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50" w:rsidRPr="00EC3211" w:rsidRDefault="00655E50" w:rsidP="00655E50">
      <w:pPr>
        <w:jc w:val="right"/>
      </w:pPr>
      <w:r w:rsidRPr="00EC3211">
        <w:t>Projekts</w:t>
      </w:r>
    </w:p>
    <w:p w:rsidR="00655E50" w:rsidRPr="00EC3211" w:rsidRDefault="00655E50" w:rsidP="00655E50">
      <w:pPr>
        <w:jc w:val="right"/>
      </w:pPr>
    </w:p>
    <w:p w:rsidR="003908DB" w:rsidRPr="00EC3211" w:rsidRDefault="003908DB" w:rsidP="003908DB">
      <w:pPr>
        <w:jc w:val="center"/>
        <w:rPr>
          <w:b/>
        </w:rPr>
      </w:pPr>
      <w:r w:rsidRPr="00EC3211">
        <w:rPr>
          <w:b/>
        </w:rPr>
        <w:t xml:space="preserve">Ministru kabineta </w:t>
      </w:r>
      <w:r w:rsidR="00330635" w:rsidRPr="00EC3211">
        <w:rPr>
          <w:b/>
        </w:rPr>
        <w:t>noteikumu</w:t>
      </w:r>
      <w:r w:rsidRPr="00EC3211">
        <w:rPr>
          <w:b/>
        </w:rPr>
        <w:t xml:space="preserve"> projekta</w:t>
      </w:r>
    </w:p>
    <w:p w:rsidR="003908DB" w:rsidRPr="00EC3211" w:rsidRDefault="003908DB" w:rsidP="002B6636">
      <w:pPr>
        <w:spacing w:after="120"/>
        <w:jc w:val="center"/>
      </w:pPr>
      <w:r w:rsidRPr="00EC3211">
        <w:rPr>
          <w:b/>
        </w:rPr>
        <w:t>„</w:t>
      </w:r>
      <w:r w:rsidR="00475E8C" w:rsidRPr="00EC3211">
        <w:rPr>
          <w:b/>
        </w:rPr>
        <w:t xml:space="preserve">Darbības programmas "Izaugsme un nodarbinātība" </w:t>
      </w:r>
      <w:r w:rsidR="009663AE" w:rsidRPr="00EC3211">
        <w:rPr>
          <w:b/>
        </w:rPr>
        <w:t>6.1.</w:t>
      </w:r>
      <w:r w:rsidR="00777353" w:rsidRPr="00EC3211">
        <w:rPr>
          <w:b/>
        </w:rPr>
        <w:t>4</w:t>
      </w:r>
      <w:r w:rsidR="00475E8C" w:rsidRPr="00EC3211">
        <w:rPr>
          <w:b/>
        </w:rPr>
        <w:t>. specifiskā atbalsta mērķa "</w:t>
      </w:r>
      <w:r w:rsidR="00777353" w:rsidRPr="00EC3211">
        <w:rPr>
          <w:b/>
        </w:rPr>
        <w:t>Pilsētu infrastruktūras sasaiste ar TEN-T tīklu</w:t>
      </w:r>
      <w:r w:rsidR="00475E8C" w:rsidRPr="00EC3211">
        <w:rPr>
          <w:b/>
        </w:rPr>
        <w:t xml:space="preserve">” </w:t>
      </w:r>
      <w:r w:rsidR="00777353" w:rsidRPr="00EC3211">
        <w:rPr>
          <w:b/>
        </w:rPr>
        <w:t>6.1.4.</w:t>
      </w:r>
      <w:r w:rsidR="00F0364C" w:rsidRPr="00EC3211">
        <w:rPr>
          <w:b/>
        </w:rPr>
        <w:t>2</w:t>
      </w:r>
      <w:r w:rsidR="00777353" w:rsidRPr="00EC3211">
        <w:rPr>
          <w:b/>
        </w:rPr>
        <w:t>.</w:t>
      </w:r>
      <w:r w:rsidR="009663AE" w:rsidRPr="00EC3211">
        <w:rPr>
          <w:b/>
        </w:rPr>
        <w:t>pasākuma „</w:t>
      </w:r>
      <w:r w:rsidR="001C1A57" w:rsidRPr="00EC3211">
        <w:rPr>
          <w:b/>
        </w:rPr>
        <w:t>Nacionālas nozīmes attīstības centru integrēšana TEN-T tīklā</w:t>
      </w:r>
      <w:r w:rsidR="000002F4" w:rsidRPr="00EC3211">
        <w:rPr>
          <w:b/>
        </w:rPr>
        <w:t>”</w:t>
      </w:r>
      <w:r w:rsidR="001C1A57" w:rsidRPr="00EC3211" w:rsidDel="001C1A57">
        <w:rPr>
          <w:b/>
        </w:rPr>
        <w:t xml:space="preserve"> </w:t>
      </w:r>
      <w:r w:rsidR="009663AE" w:rsidRPr="00EC3211">
        <w:rPr>
          <w:b/>
        </w:rPr>
        <w:t xml:space="preserve"> </w:t>
      </w:r>
      <w:r w:rsidR="00475E8C" w:rsidRPr="00EC3211">
        <w:rPr>
          <w:b/>
        </w:rPr>
        <w:t>īstenošanas noteikumi</w:t>
      </w:r>
      <w:r w:rsidRPr="00EC3211">
        <w:rPr>
          <w:b/>
        </w:rPr>
        <w:t>” 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C61A59" w:rsidRPr="00EC3211" w:rsidTr="00041DD0">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EC3211" w:rsidRDefault="00C61A59" w:rsidP="00155D30">
            <w:pPr>
              <w:pStyle w:val="ListParagraph"/>
              <w:tabs>
                <w:tab w:val="left" w:pos="2268"/>
                <w:tab w:val="left" w:pos="2410"/>
              </w:tabs>
              <w:ind w:left="1080"/>
              <w:jc w:val="center"/>
              <w:rPr>
                <w:b/>
                <w:sz w:val="24"/>
                <w:szCs w:val="24"/>
                <w:lang w:eastAsia="en-US"/>
              </w:rPr>
            </w:pPr>
            <w:r w:rsidRPr="00EC3211">
              <w:rPr>
                <w:b/>
                <w:bCs/>
                <w:sz w:val="24"/>
                <w:szCs w:val="24"/>
              </w:rPr>
              <w:t>I. Tiesību akta projekta izstrādes nepieciešamība</w:t>
            </w:r>
          </w:p>
        </w:tc>
      </w:tr>
      <w:tr w:rsidR="00C61A59" w:rsidRPr="00EC3211"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EC3211" w:rsidRDefault="00C61A59" w:rsidP="00155D30">
            <w:pPr>
              <w:jc w:val="center"/>
              <w:rPr>
                <w:lang w:eastAsia="en-US"/>
              </w:rPr>
            </w:pPr>
            <w:r w:rsidRPr="00EC3211">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EC3211" w:rsidRDefault="00C61A59" w:rsidP="00155D30">
            <w:pPr>
              <w:tabs>
                <w:tab w:val="left" w:pos="1904"/>
              </w:tabs>
              <w:rPr>
                <w:lang w:eastAsia="en-US"/>
              </w:rPr>
            </w:pPr>
            <w:r w:rsidRPr="00EC3211">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C22" w:rsidRPr="00EC3211" w:rsidRDefault="009B0952" w:rsidP="009E5A05">
            <w:pPr>
              <w:pStyle w:val="ListParagraph"/>
              <w:tabs>
                <w:tab w:val="left" w:pos="34"/>
              </w:tabs>
              <w:spacing w:before="60" w:after="60"/>
              <w:ind w:left="0"/>
              <w:jc w:val="both"/>
              <w:rPr>
                <w:sz w:val="24"/>
                <w:szCs w:val="24"/>
              </w:rPr>
            </w:pPr>
            <w:r w:rsidRPr="00EC3211">
              <w:rPr>
                <w:sz w:val="24"/>
                <w:szCs w:val="24"/>
              </w:rPr>
              <w:t xml:space="preserve">Eiropas Savienības struktūrfondu un Kohēzijas fonda 2014.-2020.gada plānošanas perioda vadības likuma 20.panta </w:t>
            </w:r>
            <w:r w:rsidR="00641C03" w:rsidRPr="00EC3211">
              <w:rPr>
                <w:sz w:val="24"/>
                <w:szCs w:val="24"/>
              </w:rPr>
              <w:t>6</w:t>
            </w:r>
            <w:r w:rsidR="001C1A57" w:rsidRPr="00EC3211">
              <w:rPr>
                <w:sz w:val="24"/>
                <w:szCs w:val="24"/>
              </w:rPr>
              <w:t>.</w:t>
            </w:r>
            <w:r w:rsidR="00641C03" w:rsidRPr="00EC3211">
              <w:rPr>
                <w:sz w:val="24"/>
                <w:szCs w:val="24"/>
              </w:rPr>
              <w:t xml:space="preserve"> un</w:t>
            </w:r>
            <w:r w:rsidR="001C1A57" w:rsidRPr="00EC3211">
              <w:rPr>
                <w:sz w:val="24"/>
                <w:szCs w:val="24"/>
              </w:rPr>
              <w:t xml:space="preserve"> </w:t>
            </w:r>
            <w:r w:rsidRPr="00EC3211">
              <w:rPr>
                <w:sz w:val="24"/>
                <w:szCs w:val="24"/>
              </w:rPr>
              <w:t>13.punkt</w:t>
            </w:r>
            <w:r w:rsidR="00C82668" w:rsidRPr="00EC3211">
              <w:rPr>
                <w:sz w:val="24"/>
                <w:szCs w:val="24"/>
              </w:rPr>
              <w:t>s</w:t>
            </w:r>
            <w:r w:rsidR="00CC5027" w:rsidRPr="00EC3211">
              <w:rPr>
                <w:sz w:val="24"/>
                <w:szCs w:val="24"/>
              </w:rPr>
              <w:t>.</w:t>
            </w:r>
          </w:p>
        </w:tc>
      </w:tr>
      <w:tr w:rsidR="00C61A59" w:rsidRPr="00EC3211"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EC3211" w:rsidRDefault="00C61A59" w:rsidP="00155D30">
            <w:pPr>
              <w:jc w:val="center"/>
              <w:rPr>
                <w:lang w:eastAsia="en-US"/>
              </w:rPr>
            </w:pPr>
            <w:r w:rsidRPr="00EC3211">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EC3211" w:rsidRDefault="00C61A59" w:rsidP="00CA1F44">
            <w:pPr>
              <w:jc w:val="both"/>
              <w:rPr>
                <w:lang w:eastAsia="en-US"/>
              </w:rPr>
            </w:pPr>
            <w:r w:rsidRPr="00EC3211">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777353" w:rsidRPr="00EC3211" w:rsidRDefault="00777353" w:rsidP="00777353">
            <w:pPr>
              <w:autoSpaceDE w:val="0"/>
              <w:autoSpaceDN w:val="0"/>
              <w:jc w:val="both"/>
            </w:pPr>
            <w:r w:rsidRPr="00EC3211">
              <w:t xml:space="preserve">Eiropas Komisija 2014.gada 11.novembrī apstiprināja </w:t>
            </w:r>
            <w:r w:rsidR="006A2B4E" w:rsidRPr="00EC3211">
              <w:t xml:space="preserve">Eiropas Savienības </w:t>
            </w:r>
            <w:r w:rsidR="0056563D" w:rsidRPr="00EC3211">
              <w:t>Struktūr</w:t>
            </w:r>
            <w:r w:rsidR="006A2B4E" w:rsidRPr="00EC3211">
              <w:t xml:space="preserve">fondu un </w:t>
            </w:r>
            <w:r w:rsidRPr="00EC3211">
              <w:t>Kohēzijas  fond</w:t>
            </w:r>
            <w:r w:rsidR="0056563D" w:rsidRPr="00EC3211">
              <w:t>a</w:t>
            </w:r>
            <w:r w:rsidRPr="00EC3211">
              <w:t xml:space="preserve"> </w:t>
            </w:r>
            <w:r w:rsidR="006A2B4E" w:rsidRPr="00EC3211">
              <w:t xml:space="preserve">(turpmāk – ES fondu) </w:t>
            </w:r>
            <w:r w:rsidRPr="00EC3211">
              <w:t>2014.-2020.gada plānošanas perioda darbības programmu „Izaugsme un nodarbinātība” (turpmāk - darbības programma). Darbības programma noteic, ka, īstenojot 6.1.4. specifiskā atbalsta mērķi „Pilsētu infrastruktūras sasaiste ar TEN-T tīklu” (turpmāk – SAM), tiks novērsti infrastruktūras pārrāvumi pilsētās, un radīts alternatīvs maršruts tranzīta un kravas transportam, atdalot no vietējās nozīmes sabiedriskā transporta plūsm</w:t>
            </w:r>
            <w:r w:rsidR="00F16134" w:rsidRPr="00EC3211">
              <w:t>ām</w:t>
            </w:r>
            <w:r w:rsidR="0056563D" w:rsidRPr="00EC3211">
              <w:t xml:space="preserve">. </w:t>
            </w:r>
            <w:r w:rsidR="00F16134" w:rsidRPr="00EC3211">
              <w:t xml:space="preserve"> SAM </w:t>
            </w:r>
            <w:r w:rsidR="00D97DF0" w:rsidRPr="00EC3211">
              <w:t>6.1.4.</w:t>
            </w:r>
            <w:r w:rsidR="00641C03" w:rsidRPr="00EC3211">
              <w:t>2</w:t>
            </w:r>
            <w:r w:rsidR="00D97DF0" w:rsidRPr="00EC3211">
              <w:t>.pasākuma „</w:t>
            </w:r>
            <w:r w:rsidR="00641C03" w:rsidRPr="00EC3211">
              <w:t>Nacionālas nozīmes attīstības centru integrēšana TEN-T tīklā</w:t>
            </w:r>
            <w:r w:rsidR="00D97DF0" w:rsidRPr="00EC3211">
              <w:t>”</w:t>
            </w:r>
            <w:r w:rsidR="000F7584" w:rsidRPr="00EC3211">
              <w:t xml:space="preserve"> (turpmāk – pasākums)</w:t>
            </w:r>
            <w:r w:rsidR="00D97DF0" w:rsidRPr="00EC3211">
              <w:t xml:space="preserve"> </w:t>
            </w:r>
            <w:r w:rsidR="00F16134" w:rsidRPr="00EC3211">
              <w:t xml:space="preserve">īstenošanas rezultātā sasniedzamie radītāji – izbūvēti, </w:t>
            </w:r>
            <w:r w:rsidR="004D470B" w:rsidRPr="00EC3211">
              <w:t xml:space="preserve">pārbūvēti </w:t>
            </w:r>
            <w:r w:rsidR="00F16134" w:rsidRPr="00EC3211">
              <w:t>vai modernizēti alternatīvie kravas ceļi, ielas un pārvadi sasaistei ar TEN-T</w:t>
            </w:r>
            <w:r w:rsidR="00D97DF0" w:rsidRPr="00EC3211">
              <w:t xml:space="preserve"> </w:t>
            </w:r>
            <w:r w:rsidR="00641C03" w:rsidRPr="00EC3211">
              <w:t>4,95</w:t>
            </w:r>
            <w:r w:rsidR="00D97DF0" w:rsidRPr="00EC3211">
              <w:t xml:space="preserve"> km garumā</w:t>
            </w:r>
            <w:r w:rsidR="00F16134" w:rsidRPr="00EC3211">
              <w:t>.</w:t>
            </w:r>
          </w:p>
          <w:p w:rsidR="00D97DF0" w:rsidRPr="003C4CE9" w:rsidRDefault="00D97DF0" w:rsidP="00777353">
            <w:pPr>
              <w:autoSpaceDE w:val="0"/>
              <w:autoSpaceDN w:val="0"/>
              <w:jc w:val="both"/>
              <w:rPr>
                <w:sz w:val="16"/>
                <w:szCs w:val="16"/>
              </w:rPr>
            </w:pPr>
          </w:p>
          <w:p w:rsidR="00641C03" w:rsidRPr="00EC3211" w:rsidRDefault="00641C03" w:rsidP="00641C03">
            <w:pPr>
              <w:autoSpaceDE w:val="0"/>
              <w:autoSpaceDN w:val="0"/>
              <w:jc w:val="both"/>
            </w:pPr>
            <w:r w:rsidRPr="00EC3211">
              <w:t xml:space="preserve">Latvijas ilgtspējīgas attīstības stratēģijā līdz 2030.gadam (apstiprināta Saeimā </w:t>
            </w:r>
            <w:r w:rsidR="00BB2067" w:rsidRPr="00EC3211">
              <w:t>2010. gada 10. jūnijā</w:t>
            </w:r>
            <w:r w:rsidRPr="00EC3211">
              <w:t xml:space="preserve">, turpmāk - LIAS2030) </w:t>
            </w:r>
            <w:r w:rsidR="00417D87" w:rsidRPr="00EC3211">
              <w:t xml:space="preserve">kā </w:t>
            </w:r>
            <w:r w:rsidRPr="00EC3211">
              <w:t xml:space="preserve">viens no nacionālajiem telpiskās attīstības </w:t>
            </w:r>
            <w:r w:rsidR="00D27C6C" w:rsidRPr="00EC3211">
              <w:t xml:space="preserve">perspektīvas </w:t>
            </w:r>
            <w:r w:rsidRPr="00EC3211">
              <w:t xml:space="preserve">virzieniem ir  </w:t>
            </w:r>
            <w:r w:rsidR="00417D87" w:rsidRPr="00EC3211">
              <w:t>noteikt</w:t>
            </w:r>
            <w:r w:rsidR="002316A2" w:rsidRPr="00EC3211">
              <w:t>a</w:t>
            </w:r>
            <w:r w:rsidR="00417D87" w:rsidRPr="00EC3211">
              <w:t xml:space="preserve"> </w:t>
            </w:r>
            <w:r w:rsidRPr="00EC3211">
              <w:t xml:space="preserve">sasniedzamības uzlabošana. LIAS2030 paredz prioritāri atbalstīt starptautiskas nozīmes autoceļu, dzelzceļu, ostu un lidostu - TEN-T tīkla elementu attīstību, tādējādi stiprinot reģionu konkurētspēju un palielinot Latvijas lielāko pilsētu starptautisko lomu. </w:t>
            </w:r>
          </w:p>
          <w:p w:rsidR="00641C03" w:rsidRPr="00EC3211" w:rsidRDefault="00641C03" w:rsidP="00641C03">
            <w:pPr>
              <w:autoSpaceDE w:val="0"/>
              <w:autoSpaceDN w:val="0"/>
              <w:jc w:val="both"/>
            </w:pPr>
            <w:r w:rsidRPr="00EC3211">
              <w:t xml:space="preserve">LIAS2030 tiek atbalstīta to reģionālo autoceļu vai pilsētu maģistrālo ielu pārbūve vai jaunu savienojošo posmu būvniecība, kas </w:t>
            </w:r>
            <w:r w:rsidR="00D27C6C" w:rsidRPr="00EC3211">
              <w:t xml:space="preserve">nodrošina </w:t>
            </w:r>
            <w:r w:rsidRPr="00EC3211">
              <w:t>savieno</w:t>
            </w:r>
            <w:r w:rsidR="00D27C6C" w:rsidRPr="00EC3211">
              <w:t>jumus</w:t>
            </w:r>
            <w:r w:rsidRPr="00EC3211">
              <w:t xml:space="preserve"> ar valsts galvenajiem autoceļiem, lielajām ostām vai loģistikas parkiem. Lai uzlabotu pārvietošanās efektivitāti, drošību un komfortu, par pirmo prioritāti infrastruktūras saglabāšanā un attīstības plānošanā ir jāizvirza esošās infrastruktūras atjaunošana un pārbūve.</w:t>
            </w:r>
          </w:p>
          <w:p w:rsidR="00641C03" w:rsidRPr="00EC3211" w:rsidRDefault="00641C03" w:rsidP="00641C03">
            <w:pPr>
              <w:autoSpaceDE w:val="0"/>
              <w:autoSpaceDN w:val="0"/>
              <w:jc w:val="both"/>
            </w:pPr>
            <w:r w:rsidRPr="00EC3211">
              <w:t>LIAS2030 ir noteikts atbalsts apvedceļu izbūvei ap tām pilsētām un apdzīvotām vietām, ko šķērso ievērojamas tranzīta plūsmas.</w:t>
            </w:r>
          </w:p>
          <w:p w:rsidR="00641C03" w:rsidRPr="00EC3211" w:rsidRDefault="00641C03" w:rsidP="00641C03">
            <w:pPr>
              <w:autoSpaceDE w:val="0"/>
              <w:autoSpaceDN w:val="0"/>
              <w:jc w:val="both"/>
            </w:pPr>
            <w:r w:rsidRPr="00EC3211">
              <w:t>Atbilstoši LIAS2030</w:t>
            </w:r>
            <w:r w:rsidR="00E662A1" w:rsidRPr="00EC3211">
              <w:t>,</w:t>
            </w:r>
            <w:r w:rsidRPr="00EC3211">
              <w:t xml:space="preserve"> nacionālās nozīmes centri ir Daugavpils, Jelgava, Jēkabpils, Jūrmala, Liepāja, Rēzekne, Valmiera un Ventspils. Attīstības centri piesaista resursus, sociālās un ekonomiskās aktivitātes, kā arī sekmē apkārtējo </w:t>
            </w:r>
            <w:r w:rsidRPr="00EC3211">
              <w:lastRenderedPageBreak/>
              <w:t xml:space="preserve">teritoriju attīstību. Tiek atzīmēts Daugavpils, Jūrmalas, Liepājas un Ventspils potenciāls ekonomiskās attīstības izaugsmei, balstoties uz </w:t>
            </w:r>
            <w:r w:rsidR="00E662A1" w:rsidRPr="00EC3211">
              <w:t xml:space="preserve">pilsētu </w:t>
            </w:r>
            <w:r w:rsidRPr="00EC3211">
              <w:t>ģeogrāfisko novietojumu un sociāli ekonomiskajiem priekšnoteikumiem.</w:t>
            </w:r>
          </w:p>
          <w:p w:rsidR="00641C03" w:rsidRPr="003C4CE9" w:rsidRDefault="00641C03" w:rsidP="009E5A05">
            <w:pPr>
              <w:autoSpaceDE w:val="0"/>
              <w:autoSpaceDN w:val="0"/>
              <w:jc w:val="both"/>
              <w:rPr>
                <w:sz w:val="8"/>
                <w:szCs w:val="8"/>
              </w:rPr>
            </w:pPr>
          </w:p>
          <w:p w:rsidR="00BB2067" w:rsidRPr="00EC3211" w:rsidRDefault="00BB2067" w:rsidP="00BB2067">
            <w:pPr>
              <w:autoSpaceDE w:val="0"/>
              <w:autoSpaceDN w:val="0"/>
              <w:jc w:val="both"/>
            </w:pPr>
            <w:r w:rsidRPr="00EC3211">
              <w:t>2012.gada 20.decembrī Saeimas apstiprinātā „Latvijas Nacionālais attīstības plān</w:t>
            </w:r>
            <w:r w:rsidR="00E662A1" w:rsidRPr="00EC3211">
              <w:t>a</w:t>
            </w:r>
            <w:r w:rsidR="00564473" w:rsidRPr="00EC3211">
              <w:t xml:space="preserve"> </w:t>
            </w:r>
            <w:r w:rsidRPr="00EC3211">
              <w:t xml:space="preserve">2014.-2020.gadam” (turpmāk – NAP2020) prioritātes </w:t>
            </w:r>
            <w:r w:rsidR="00E662A1" w:rsidRPr="00EC3211">
              <w:t xml:space="preserve">- </w:t>
            </w:r>
            <w:r w:rsidRPr="00EC3211">
              <w:t xml:space="preserve">„Tautas saimniecības izaugsme” </w:t>
            </w:r>
            <w:r w:rsidR="00E662A1" w:rsidRPr="00EC3211">
              <w:t xml:space="preserve">rīcības virziens “Izcila uzņēmējdarbības vide” </w:t>
            </w:r>
            <w:r w:rsidR="00171A8B" w:rsidRPr="00EC3211">
              <w:t xml:space="preserve">paredz nodrošināt Latvijas starptautisko sasniedzamību, </w:t>
            </w:r>
            <w:r w:rsidRPr="00EC3211">
              <w:t xml:space="preserve"> lai ne tikai izmantotu valsts izdevīgo stāvokli, bet arī sniegtu atbalstu Latvijas uzņēmumiem konkurētspējīgu produktu un pakalpojumu piegādei ārvalstu tirgiem.</w:t>
            </w:r>
          </w:p>
          <w:p w:rsidR="00BB2067" w:rsidRPr="00EC3211" w:rsidRDefault="00BB2067" w:rsidP="00BB2067">
            <w:pPr>
              <w:autoSpaceDE w:val="0"/>
              <w:autoSpaceDN w:val="0"/>
              <w:jc w:val="both"/>
            </w:pPr>
            <w:r w:rsidRPr="00EC3211">
              <w:t>Prioritātes „Izaugsmi atbalstošas teritorijas” rīcības virziena „Pakalpojumu pieejamība līdzvērtīgāku darba iespēju un dzīves apstākļu radīšanai” ietvaros paredzēts veikt šādu uzdevumu:</w:t>
            </w:r>
          </w:p>
          <w:p w:rsidR="00641C03" w:rsidRPr="00EC3211" w:rsidRDefault="00BB2067" w:rsidP="009E5A05">
            <w:pPr>
              <w:autoSpaceDE w:val="0"/>
              <w:autoSpaceDN w:val="0"/>
              <w:jc w:val="both"/>
            </w:pPr>
            <w:r w:rsidRPr="00EC3211">
              <w:t xml:space="preserve"> [412] Nozīmīgāko transporta koridoru infrastruktūras nodrošināšana un attīstība (TEN-T), tai skaitā pilsētu satiksmes infrastruktūras sasaiste ar TEN-T tīklu. Valsts galveno autoceļu </w:t>
            </w:r>
            <w:r w:rsidR="003B0AA0" w:rsidRPr="00EC3211">
              <w:t>seguma pārbūve</w:t>
            </w:r>
            <w:r w:rsidRPr="00EC3211">
              <w:t>.</w:t>
            </w:r>
          </w:p>
          <w:p w:rsidR="00641C03" w:rsidRPr="003C4CE9" w:rsidRDefault="00641C03" w:rsidP="009E5A05">
            <w:pPr>
              <w:autoSpaceDE w:val="0"/>
              <w:autoSpaceDN w:val="0"/>
              <w:jc w:val="both"/>
              <w:rPr>
                <w:sz w:val="8"/>
                <w:szCs w:val="8"/>
              </w:rPr>
            </w:pPr>
          </w:p>
          <w:p w:rsidR="009E5A05" w:rsidRPr="00EC3211" w:rsidRDefault="00171A8B" w:rsidP="009E5A05">
            <w:pPr>
              <w:autoSpaceDE w:val="0"/>
              <w:autoSpaceDN w:val="0"/>
              <w:jc w:val="both"/>
            </w:pPr>
            <w:r w:rsidRPr="00EC3211">
              <w:t xml:space="preserve">Atbilstoši </w:t>
            </w:r>
            <w:r w:rsidR="009E5A05" w:rsidRPr="00EC3211">
              <w:t xml:space="preserve">„Transporta attīstības </w:t>
            </w:r>
            <w:r w:rsidRPr="00EC3211">
              <w:t xml:space="preserve">pamatnostādnēm  </w:t>
            </w:r>
            <w:r w:rsidR="009E5A05" w:rsidRPr="00EC3211">
              <w:t>2014.-2020.gadam” (turpmāk – transporta pamatnostādnes)</w:t>
            </w:r>
            <w:r w:rsidRPr="00EC3211">
              <w:t xml:space="preserve">, kas apstiprinātas ar Ministru kabineta 2013.gada 27.decembra rīkojumu Nr.683 „Par Transporta attīstības pamatnostādnēm”, </w:t>
            </w:r>
            <w:r w:rsidR="009E5A05" w:rsidRPr="00EC3211">
              <w:t xml:space="preserve"> Latvija </w:t>
            </w:r>
            <w:r w:rsidRPr="00EC3211">
              <w:t xml:space="preserve">ir </w:t>
            </w:r>
            <w:r w:rsidR="009E5A05" w:rsidRPr="00EC3211">
              <w:t>veiksmīgi izmantojusi savas priekšrocības tranzīta attīstības jomā un ieņem vadošās pozīcijas Baltijas valstu starpā. Tomēr efektīvākai tranzīta nozares attīstībai traucē Latvijas ceļu kvalitātes līmenis. Minētajā dokumentā kā galvenās risināmās problēmas tiek minētas šaur</w:t>
            </w:r>
            <w:r w:rsidR="006E7709" w:rsidRPr="00EC3211">
              <w:t>ā</w:t>
            </w:r>
            <w:r w:rsidR="009E5A05" w:rsidRPr="00EC3211">
              <w:t xml:space="preserve">s vietas intensīvi noslogotā autoceļu tīkla daļā, kur netiek nodrošināta droša un komfortabla satiksme. </w:t>
            </w:r>
          </w:p>
          <w:p w:rsidR="00267CEE" w:rsidRPr="00EC3211" w:rsidRDefault="00E66541" w:rsidP="00267CEE">
            <w:pPr>
              <w:autoSpaceDE w:val="0"/>
              <w:autoSpaceDN w:val="0"/>
              <w:jc w:val="both"/>
            </w:pPr>
            <w:r w:rsidRPr="00EC3211">
              <w:t>ES fondu 2007.-2013.gada plānošanas periodā</w:t>
            </w:r>
            <w:r w:rsidR="00F00103" w:rsidRPr="00EC3211">
              <w:t xml:space="preserve"> </w:t>
            </w:r>
            <w:r w:rsidR="00267CEE" w:rsidRPr="00EC3211">
              <w:t>3.2.1.2.aktivitātes „</w:t>
            </w:r>
            <w:proofErr w:type="spellStart"/>
            <w:r w:rsidR="00267CEE" w:rsidRPr="00EC3211">
              <w:t>Tranzītielu</w:t>
            </w:r>
            <w:proofErr w:type="spellEnd"/>
            <w:r w:rsidR="00267CEE" w:rsidRPr="00EC3211">
              <w:t xml:space="preserve"> sakārtošana pilsētu teritorijās” ietvaros finansējumu saņēma kopumā 54 pašvaldības (izņemot Rīgu), kuru teritorijās ir </w:t>
            </w:r>
            <w:proofErr w:type="spellStart"/>
            <w:r w:rsidR="00267CEE" w:rsidRPr="00EC3211">
              <w:t>tranzītiela</w:t>
            </w:r>
            <w:proofErr w:type="spellEnd"/>
            <w:r w:rsidR="00267CEE" w:rsidRPr="00EC3211">
              <w:t xml:space="preserve"> uz valsts galvenā vai 1.šķiras autoceļa (ja tas apdzīvotās vietas teritorijā pieslēdzas valsts galvenajam autoceļam) maršruta turpinājums. Projektu atlasei aktivitātes ietvaros tika piemērota atklāta projektu iesniegumu atlase (APIA), kas tika īstenota trijās kārtās. Šīs aktivitātes ietvaros lielajās pilsētās tika īstenoti kopumā 11 projekti, tai skaitā Daugavpilī (2), Jelgavā (2), Jūrmalā (1), Liepājā (2), Rēzeknē (2) un Ventspilī (2). Jēkabpils pilsētas domes iesniegtais projekts netika īstenots. </w:t>
            </w:r>
          </w:p>
          <w:p w:rsidR="00C52C42" w:rsidRPr="00EC3211" w:rsidRDefault="00267CEE" w:rsidP="00267CEE">
            <w:pPr>
              <w:autoSpaceDE w:val="0"/>
              <w:autoSpaceDN w:val="0"/>
              <w:jc w:val="both"/>
            </w:pPr>
            <w:r w:rsidRPr="00EC3211">
              <w:t xml:space="preserve">Pirmajā kārtā finansējumu saņēma četri lielo pilsētu iesniegtie projekti, otrajā viens un trešajā kārtā seši projekti. Kopumā lielo pilsētu projektiem tika izlietoti </w:t>
            </w:r>
            <w:r w:rsidR="00765144" w:rsidRPr="00EC3211">
              <w:t>59</w:t>
            </w:r>
            <w:r w:rsidRPr="00EC3211">
              <w:t>,</w:t>
            </w:r>
            <w:r w:rsidR="00765144" w:rsidRPr="00EC3211">
              <w:t xml:space="preserve">1 </w:t>
            </w:r>
            <w:r w:rsidRPr="00EC3211">
              <w:t xml:space="preserve">miljoni </w:t>
            </w:r>
            <w:proofErr w:type="spellStart"/>
            <w:r w:rsidR="00EE23DA" w:rsidRPr="00EC3211">
              <w:rPr>
                <w:i/>
              </w:rPr>
              <w:t>euro</w:t>
            </w:r>
            <w:proofErr w:type="spellEnd"/>
            <w:r w:rsidR="00EE23DA" w:rsidRPr="00EC3211">
              <w:t xml:space="preserve"> </w:t>
            </w:r>
            <w:r w:rsidRPr="00EC3211">
              <w:t xml:space="preserve">jeb </w:t>
            </w:r>
            <w:r w:rsidR="001576FE" w:rsidRPr="00EC3211">
              <w:t>36</w:t>
            </w:r>
            <w:r w:rsidRPr="00EC3211">
              <w:t>% visa aktivitātes finansējuma.</w:t>
            </w:r>
          </w:p>
          <w:p w:rsidR="000D2FA6" w:rsidRPr="003C4CE9" w:rsidRDefault="000D2FA6" w:rsidP="00267CEE">
            <w:pPr>
              <w:autoSpaceDE w:val="0"/>
              <w:autoSpaceDN w:val="0"/>
              <w:jc w:val="both"/>
              <w:rPr>
                <w:sz w:val="8"/>
                <w:szCs w:val="8"/>
              </w:rPr>
            </w:pPr>
          </w:p>
          <w:p w:rsidR="000D2FA6" w:rsidRPr="00EC3211" w:rsidRDefault="000D2FA6" w:rsidP="00267CEE">
            <w:pPr>
              <w:autoSpaceDE w:val="0"/>
              <w:autoSpaceDN w:val="0"/>
              <w:jc w:val="both"/>
            </w:pPr>
            <w:r w:rsidRPr="00EC3211">
              <w:t xml:space="preserve">Partnerības līgumā “ES investīcijas fondu 2014. – 2020.gada plānošanas periodam” minēts, ka ņemot  vērā  lielo  pilsētu  </w:t>
            </w:r>
            <w:r w:rsidRPr="00EC3211">
              <w:lastRenderedPageBreak/>
              <w:t xml:space="preserve">noslogojumu  ar  tranzīta  plūsmām  un  to  teritorijā  esošo  </w:t>
            </w:r>
            <w:proofErr w:type="spellStart"/>
            <w:r w:rsidRPr="00EC3211">
              <w:t>vienlīmeņa</w:t>
            </w:r>
            <w:proofErr w:type="spellEnd"/>
            <w:r w:rsidRPr="00EC3211">
              <w:t xml:space="preserve"> dzelzceļa  pārbrauktuvju  skaitu  ar  augstu  automašīnu  un  vilcienu  satiksmes  intensitāti, nepieciešams atbalstīt arī pilsētu savienojumus ar TEN-T tīkliem, ar mērķi novērst infrastruktūras pārrāvumus  un  radīt  alternatīvu  maršrutu  tranzīta  un  kravas  transportam,  atdalot  no  vietējās nozīmes plūsmām un dzīvojamo zonu šķērsošanas, kā rezultātā samazināsies  piesārņojums un  trokšņu līmenis pilsētās.</w:t>
            </w:r>
          </w:p>
          <w:p w:rsidR="006617F1" w:rsidRPr="003C4CE9" w:rsidRDefault="006617F1" w:rsidP="00384935">
            <w:pPr>
              <w:autoSpaceDE w:val="0"/>
              <w:autoSpaceDN w:val="0"/>
              <w:jc w:val="both"/>
              <w:rPr>
                <w:sz w:val="8"/>
                <w:szCs w:val="8"/>
              </w:rPr>
            </w:pPr>
          </w:p>
          <w:p w:rsidR="006617F1" w:rsidRPr="00EC3211" w:rsidRDefault="006617F1" w:rsidP="006617F1">
            <w:pPr>
              <w:autoSpaceDE w:val="0"/>
              <w:autoSpaceDN w:val="0"/>
              <w:jc w:val="both"/>
              <w:rPr>
                <w:bCs/>
              </w:rPr>
            </w:pPr>
            <w:r w:rsidRPr="00EC3211">
              <w:rPr>
                <w:bCs/>
              </w:rPr>
              <w:t xml:space="preserve">Pirms Ministru kabineta noteikumu par pasākuma īstenošanu </w:t>
            </w:r>
            <w:r w:rsidR="005B4C38" w:rsidRPr="00EC3211">
              <w:rPr>
                <w:bCs/>
              </w:rPr>
              <w:t xml:space="preserve">(turpmāk – MK noteikumi) </w:t>
            </w:r>
            <w:r w:rsidRPr="00EC3211">
              <w:rPr>
                <w:bCs/>
              </w:rPr>
              <w:t xml:space="preserve"> izstrādāšanas</w:t>
            </w:r>
            <w:r w:rsidR="005B4C38" w:rsidRPr="00EC3211">
              <w:rPr>
                <w:bCs/>
              </w:rPr>
              <w:t xml:space="preserve"> </w:t>
            </w:r>
            <w:r w:rsidRPr="00EC3211">
              <w:rPr>
                <w:bCs/>
              </w:rPr>
              <w:t>tika veikts paplašinātais sākotnējais novērtējums. Tā mērķis bija:</w:t>
            </w:r>
          </w:p>
          <w:p w:rsidR="006617F1" w:rsidRPr="00EC3211" w:rsidRDefault="006617F1" w:rsidP="006617F1">
            <w:pPr>
              <w:numPr>
                <w:ilvl w:val="0"/>
                <w:numId w:val="33"/>
              </w:numPr>
              <w:autoSpaceDE w:val="0"/>
              <w:autoSpaceDN w:val="0"/>
              <w:jc w:val="both"/>
              <w:rPr>
                <w:bCs/>
              </w:rPr>
            </w:pPr>
            <w:r w:rsidRPr="00EC3211">
              <w:rPr>
                <w:bCs/>
              </w:rPr>
              <w:t>sniegt izvērtējumu pasākuma ieviešanas risinājumam, kas ietver projektu iesniegumu atlases veida izvērtējumu un priekšlikumus, finansējuma saņēmēju un projektu atlases principus, tai skaitā sniegt priekšlikumus kritērijiem, kas ļauj atlasīt projektus ar lielāko ietekmi uz pilsētu ielu caurlaides spēju un transporta plūsmu</w:t>
            </w:r>
            <w:r w:rsidR="005B4C38" w:rsidRPr="00EC3211">
              <w:rPr>
                <w:bCs/>
              </w:rPr>
              <w:t>;</w:t>
            </w:r>
            <w:r w:rsidRPr="00EC3211">
              <w:rPr>
                <w:bCs/>
              </w:rPr>
              <w:t xml:space="preserve"> </w:t>
            </w:r>
          </w:p>
          <w:p w:rsidR="006617F1" w:rsidRPr="00EC3211" w:rsidRDefault="006617F1" w:rsidP="006617F1">
            <w:pPr>
              <w:numPr>
                <w:ilvl w:val="0"/>
                <w:numId w:val="33"/>
              </w:numPr>
              <w:autoSpaceDE w:val="0"/>
              <w:autoSpaceDN w:val="0"/>
              <w:jc w:val="both"/>
              <w:rPr>
                <w:bCs/>
              </w:rPr>
            </w:pPr>
            <w:r w:rsidRPr="00EC3211">
              <w:rPr>
                <w:bCs/>
              </w:rPr>
              <w:t xml:space="preserve">sniegt izvērtējumu un veikt vajadzību analīzi, nosakot potenciālās </w:t>
            </w:r>
            <w:proofErr w:type="spellStart"/>
            <w:r w:rsidRPr="00EC3211">
              <w:rPr>
                <w:bCs/>
              </w:rPr>
              <w:t>mērķteritorijas</w:t>
            </w:r>
            <w:proofErr w:type="spellEnd"/>
            <w:r w:rsidRPr="00EC3211">
              <w:rPr>
                <w:bCs/>
              </w:rPr>
              <w:t xml:space="preserve"> un kāda veida darbības ir nepieciešams atbalstīt Pasākuma mērķu sasniegšanai.</w:t>
            </w:r>
          </w:p>
          <w:p w:rsidR="006617F1" w:rsidRPr="003C4CE9" w:rsidRDefault="006617F1" w:rsidP="00384935">
            <w:pPr>
              <w:autoSpaceDE w:val="0"/>
              <w:autoSpaceDN w:val="0"/>
              <w:jc w:val="both"/>
              <w:rPr>
                <w:sz w:val="8"/>
                <w:szCs w:val="8"/>
              </w:rPr>
            </w:pPr>
          </w:p>
          <w:p w:rsidR="006617F1" w:rsidRPr="00EC3211" w:rsidRDefault="006617F1" w:rsidP="006617F1">
            <w:pPr>
              <w:autoSpaceDE w:val="0"/>
              <w:autoSpaceDN w:val="0"/>
              <w:jc w:val="both"/>
            </w:pPr>
            <w:r w:rsidRPr="00EC3211">
              <w:t>Atbilstoši darbības programmai un tās papildinājumam pasākuma  ietvaros ir atbalstāma jaunu maģistrālo ielu, maršrutu attīstība, kas nodrošina atsevišķu pilsētu daļu efektīvu savstarpējo sasaisti</w:t>
            </w:r>
            <w:r w:rsidR="005B4C38" w:rsidRPr="00EC3211">
              <w:t>, kā arī to</w:t>
            </w:r>
            <w:r w:rsidRPr="00EC3211">
              <w:t xml:space="preserve"> sasaisti ar Eiropas komunikāciju tīklu elementiem. Projektu īstenošanas rezultātā ir jārada vai jāattīsta alternatīvs maršruts tranzīta un kravas transportam, tādā veidā nodrošinot, ka sabiedriskā transporta plūsma tiek nodalīta no kravu autotransporta kustības un tranzītkravas tiek novirzītas no pilsētu centriem. Vēlamajai ietekmei jāizpaužas kā maģistrālo ielu caurlaides spējas pieaugumam, transporta plūsmas vidējā ātruma pieaugumam un pārvietošanās laika samazinājumam</w:t>
            </w:r>
            <w:r w:rsidR="00197B1E" w:rsidRPr="00EC3211">
              <w:t>, vienlaikus veicinot ekoloģiskās un dzīves vides kvalitātes uzlabošanos pilsētas iedzīvotājiem.</w:t>
            </w:r>
          </w:p>
          <w:p w:rsidR="007B76F1" w:rsidRPr="003C4CE9" w:rsidRDefault="007B76F1" w:rsidP="007068EB">
            <w:pPr>
              <w:autoSpaceDE w:val="0"/>
              <w:autoSpaceDN w:val="0"/>
              <w:jc w:val="both"/>
              <w:rPr>
                <w:sz w:val="8"/>
                <w:szCs w:val="8"/>
              </w:rPr>
            </w:pPr>
          </w:p>
          <w:p w:rsidR="007068EB" w:rsidRPr="00EC3211" w:rsidRDefault="007068EB" w:rsidP="007068EB">
            <w:pPr>
              <w:autoSpaceDE w:val="0"/>
              <w:autoSpaceDN w:val="0"/>
              <w:jc w:val="both"/>
            </w:pPr>
            <w:r w:rsidRPr="00EC3211">
              <w:t xml:space="preserve">Atbilstoši darbības programmai SAM pasākuma mērķa teritorijas ir nacionālās nozīmes attīstības centri (izņemot Rīgu) TEN-T autoceļu tīklā. Ņemot vērā, ka visiem nacionālās nozīmes attīstības centriem (izņemot Rīgu) – Daugavpilij, Jelgavai, Jēkabpilij, Jūrmalai, Liepājai, Rēzeknei, Valmierai un Ventspilij – ir sasaiste ar TEN-T autoceļa tīklu, kā arī minētās pilsētas ir būtiski satiksmes infrastruktūras mezgli kā reģionālā, tā nacionālā līmenī, tad visas republikas pilsētas ir vērtējamas kā </w:t>
            </w:r>
            <w:proofErr w:type="spellStart"/>
            <w:r w:rsidRPr="00EC3211">
              <w:t>mērķteritorijas</w:t>
            </w:r>
            <w:proofErr w:type="spellEnd"/>
            <w:r w:rsidRPr="00EC3211">
              <w:t xml:space="preserve"> šī pasākuma ietvaros. </w:t>
            </w:r>
          </w:p>
          <w:p w:rsidR="00B02728" w:rsidRPr="003C4CE9" w:rsidRDefault="00B02728" w:rsidP="006617F1">
            <w:pPr>
              <w:autoSpaceDE w:val="0"/>
              <w:autoSpaceDN w:val="0"/>
              <w:jc w:val="both"/>
              <w:rPr>
                <w:sz w:val="8"/>
                <w:szCs w:val="8"/>
              </w:rPr>
            </w:pPr>
          </w:p>
          <w:p w:rsidR="006617F1" w:rsidRPr="00EC3211" w:rsidRDefault="006617F1" w:rsidP="006617F1">
            <w:pPr>
              <w:autoSpaceDE w:val="0"/>
              <w:autoSpaceDN w:val="0"/>
              <w:jc w:val="both"/>
            </w:pPr>
            <w:r w:rsidRPr="00EC3211">
              <w:t xml:space="preserve">Sākotnējā novērtējuma ietvaros pašvaldības ir sniegušas 32 sākotnējās projektu idejas, kas varētu tikt īstenotas pasākuma ietvaros. Lai novērtētu pasākuma sākotnējo ietekmi tika </w:t>
            </w:r>
            <w:r w:rsidRPr="00EC3211">
              <w:lastRenderedPageBreak/>
              <w:t>veikta šo projektu ideju analīze, izmantojot izvērtējuma ietvaros izstrādātos kritērijus. Pašvaldību iesniegto projektu ideju analīze norāda, ka pasākuma mērķiem visprecīzāk atbilst 12 projektu idejas, kuras īstenojot pastāv iespēja sasniegt pasākuma vēlamos iznākumus. Identificētās projektu idejas ir izvirzījušas Daugavpils (kopskaitā 1), Jelgavas (kopskaitā 1), Jēkabpils (kopskaitā 2), Jūrmalas (1), Liepājas (kopskaitā 2), Rēzeknes (kopskaitā 1) un Valmieras (kopskaitā 2), Ventspils (kopskaitā 2)  pilsētas pašvaldības.</w:t>
            </w:r>
          </w:p>
          <w:p w:rsidR="006617F1" w:rsidRPr="00EC3211" w:rsidRDefault="006617F1" w:rsidP="006617F1">
            <w:pPr>
              <w:autoSpaceDE w:val="0"/>
              <w:autoSpaceDN w:val="0"/>
              <w:jc w:val="both"/>
            </w:pPr>
            <w:r w:rsidRPr="00EC3211">
              <w:t xml:space="preserve">SAM pasākuma mērķiem visprecīzāk atbilstošo projektu ideju kopējais nepieciešamais apjoms sasniedza 107, 2 milj. </w:t>
            </w:r>
            <w:proofErr w:type="spellStart"/>
            <w:r w:rsidRPr="00EC3211">
              <w:rPr>
                <w:i/>
              </w:rPr>
              <w:t>euro</w:t>
            </w:r>
            <w:proofErr w:type="spellEnd"/>
            <w:r w:rsidRPr="00EC3211">
              <w:t>.</w:t>
            </w:r>
          </w:p>
          <w:p w:rsidR="00B02728" w:rsidRPr="00EC3211" w:rsidRDefault="00B02728" w:rsidP="006617F1">
            <w:pPr>
              <w:autoSpaceDE w:val="0"/>
              <w:autoSpaceDN w:val="0"/>
              <w:jc w:val="both"/>
            </w:pPr>
          </w:p>
          <w:p w:rsidR="006617F1" w:rsidRPr="00EC3211" w:rsidRDefault="006617F1" w:rsidP="006617F1">
            <w:pPr>
              <w:autoSpaceDE w:val="0"/>
              <w:autoSpaceDN w:val="0"/>
              <w:jc w:val="both"/>
            </w:pPr>
            <w:r w:rsidRPr="00EC3211">
              <w:t>Ņemot vērā pasākumam pieejamo ierobežoto finansējumu sākotnēja novērtējumā tika ieteikts veikt finansējuma sadali prioritārā secībā, piešķirot finansējumu projektiem,  kas atbilst atbilstības kritērijiem un saņēmuši visaugstāko kopvērtējumu papildinātības un gatavības kritērijos.</w:t>
            </w:r>
          </w:p>
          <w:p w:rsidR="006617F1" w:rsidRPr="00EC3211" w:rsidRDefault="006617F1" w:rsidP="006617F1">
            <w:pPr>
              <w:autoSpaceDE w:val="0"/>
              <w:autoSpaceDN w:val="0"/>
              <w:jc w:val="both"/>
            </w:pPr>
          </w:p>
          <w:p w:rsidR="006617F1" w:rsidRPr="00EC3211" w:rsidRDefault="006617F1" w:rsidP="006617F1">
            <w:pPr>
              <w:autoSpaceDE w:val="0"/>
              <w:autoSpaceDN w:val="0"/>
              <w:jc w:val="both"/>
            </w:pPr>
            <w:r w:rsidRPr="00EC3211">
              <w:t xml:space="preserve">Papildus, ņemot vērā identificētās infrastruktūras attīstības vajadzības un atbilstošos projektus, kā arī to īstenošanai nepieciešamo finansējumu,  tālāk izvērtējama iespēja paredzēt papildu finansējumu pasākuma īstenošanai, piemēram, pēc 2014.-2020.gada plānošanas perioda </w:t>
            </w:r>
            <w:proofErr w:type="spellStart"/>
            <w:r w:rsidRPr="00EC3211">
              <w:t>vidusposma</w:t>
            </w:r>
            <w:proofErr w:type="spellEnd"/>
            <w:r w:rsidRPr="00EC3211">
              <w:t xml:space="preserve"> pārskata.</w:t>
            </w:r>
          </w:p>
          <w:p w:rsidR="006617F1" w:rsidRPr="00EC3211" w:rsidRDefault="006617F1" w:rsidP="00384935">
            <w:pPr>
              <w:autoSpaceDE w:val="0"/>
              <w:autoSpaceDN w:val="0"/>
              <w:jc w:val="both"/>
            </w:pPr>
          </w:p>
          <w:p w:rsidR="006617F1" w:rsidRPr="00EC3211" w:rsidRDefault="006617F1" w:rsidP="00384935">
            <w:pPr>
              <w:autoSpaceDE w:val="0"/>
              <w:autoSpaceDN w:val="0"/>
              <w:jc w:val="both"/>
            </w:pPr>
            <w:r w:rsidRPr="00EC3211">
              <w:t>2016.gada 18.maijā Latvijas Lielo pilsētu asociācija (turpmāk – LLPA) organizēja  LLPA biedru pārstāvju – Latvijas Republikas pilsētu domju priekšsēdētāju – sanāksmi par pasākuma ieviešanas risinājumiem.</w:t>
            </w:r>
          </w:p>
          <w:p w:rsidR="006617F1" w:rsidRPr="00EC3211" w:rsidRDefault="006617F1" w:rsidP="00384935">
            <w:pPr>
              <w:autoSpaceDE w:val="0"/>
              <w:autoSpaceDN w:val="0"/>
              <w:jc w:val="both"/>
            </w:pPr>
            <w:r w:rsidRPr="00EC3211">
              <w:t xml:space="preserve">LLPA ietvaros diskusijā ar lielo pilsētu pārstāvjiem konceptuāli </w:t>
            </w:r>
            <w:r w:rsidR="007068EB" w:rsidRPr="00EC3211">
              <w:t xml:space="preserve">tika </w:t>
            </w:r>
            <w:r w:rsidRPr="00EC3211">
              <w:t>panākta vienošanās par ierobežotu projektu iesniegumu atlasi</w:t>
            </w:r>
            <w:r w:rsidR="007068EB" w:rsidRPr="00EC3211">
              <w:t>, kas</w:t>
            </w:r>
            <w:r w:rsidR="005E78C9" w:rsidRPr="00EC3211">
              <w:t xml:space="preserve"> attiecīgi ir noteikts arī MK noteikumu projektā.</w:t>
            </w:r>
          </w:p>
          <w:p w:rsidR="006617F1" w:rsidRPr="00EC3211" w:rsidRDefault="006617F1" w:rsidP="006617F1">
            <w:pPr>
              <w:autoSpaceDE w:val="0"/>
              <w:autoSpaceDN w:val="0"/>
              <w:jc w:val="both"/>
            </w:pPr>
          </w:p>
          <w:p w:rsidR="006617F1" w:rsidRPr="00EC3211" w:rsidRDefault="006617F1" w:rsidP="006617F1">
            <w:pPr>
              <w:autoSpaceDE w:val="0"/>
              <w:autoSpaceDN w:val="0"/>
              <w:jc w:val="both"/>
            </w:pPr>
            <w:r w:rsidRPr="00EC3211">
              <w:t>Pasākuma ietvaros projekti tiks īstenoti ņemot vērā atbilstību darbības programmas SAM noteiktajam mērķim un nacionālo attīstības centru izvirzītajam prioritātēm, kā arī  projektu gatavības pakāp</w:t>
            </w:r>
            <w:r w:rsidR="005E78C9" w:rsidRPr="00EC3211">
              <w:t>e</w:t>
            </w:r>
            <w:r w:rsidRPr="00EC3211">
              <w:t>i.</w:t>
            </w:r>
          </w:p>
          <w:p w:rsidR="007B300C" w:rsidRPr="00EC3211" w:rsidRDefault="007B300C" w:rsidP="00384935">
            <w:pPr>
              <w:autoSpaceDE w:val="0"/>
              <w:autoSpaceDN w:val="0"/>
              <w:jc w:val="both"/>
            </w:pPr>
          </w:p>
          <w:p w:rsidR="007B300C" w:rsidRPr="00EC3211" w:rsidRDefault="007B300C" w:rsidP="00384935">
            <w:pPr>
              <w:autoSpaceDE w:val="0"/>
              <w:autoSpaceDN w:val="0"/>
              <w:jc w:val="both"/>
            </w:pPr>
            <w:r w:rsidRPr="00EC3211">
              <w:t xml:space="preserve">MK noteikumu projekts nosaka, ka </w:t>
            </w:r>
            <w:r w:rsidR="005E78C9" w:rsidRPr="00EC3211">
              <w:t>p</w:t>
            </w:r>
            <w:r w:rsidR="00343528" w:rsidRPr="00EC3211">
              <w:t>asākuma ietvaros finansējuma saņēmējs ir nacionālās nozīmes attīstības centra pašvaldība – Daugavpils, Jelgava, Jēkabpils, Jūrmala, Liepāja, Rēzekne, Valmiera un Ventspils pilsētas pašvaldība, vai tās izveidota iestāde</w:t>
            </w:r>
            <w:r w:rsidR="008472AD" w:rsidRPr="00EC3211">
              <w:t>.</w:t>
            </w:r>
          </w:p>
          <w:p w:rsidR="00673B77" w:rsidRPr="00EC3211" w:rsidRDefault="00673B77" w:rsidP="009E5A05">
            <w:pPr>
              <w:autoSpaceDE w:val="0"/>
              <w:autoSpaceDN w:val="0"/>
              <w:jc w:val="both"/>
            </w:pPr>
            <w:r w:rsidRPr="00EC3211">
              <w:t>MK noteikumu projekts nosaka, ka projekta iesniedzējs pasākuma ietvaros iesniedz vienu projekta iesniegumu. Vienā projektā nevar iekļaut vairākas ielas, izņemot gadījumus, ja tiek veidots vienots, noslēgts maršruts, sasaistē ar TEN-T tīklu.</w:t>
            </w:r>
          </w:p>
          <w:p w:rsidR="00A26D29" w:rsidRPr="00EC3211" w:rsidRDefault="00673B77" w:rsidP="00B02728">
            <w:pPr>
              <w:autoSpaceDE w:val="0"/>
              <w:autoSpaceDN w:val="0"/>
              <w:jc w:val="both"/>
            </w:pPr>
            <w:r w:rsidRPr="00EC3211">
              <w:t xml:space="preserve">MK noteikumu projekts </w:t>
            </w:r>
            <w:r w:rsidR="00400FD8" w:rsidRPr="00EC3211">
              <w:t xml:space="preserve"> nosaka katram</w:t>
            </w:r>
            <w:r w:rsidR="008472AD" w:rsidRPr="00EC3211">
              <w:t xml:space="preserve"> </w:t>
            </w:r>
            <w:r w:rsidRPr="00EC3211">
              <w:t xml:space="preserve"> </w:t>
            </w:r>
            <w:r w:rsidR="008472AD" w:rsidRPr="00EC3211">
              <w:t xml:space="preserve">finansējuma </w:t>
            </w:r>
            <w:r w:rsidR="008472AD" w:rsidRPr="00EC3211">
              <w:lastRenderedPageBreak/>
              <w:t xml:space="preserve">saņēmējam </w:t>
            </w:r>
            <w:r w:rsidR="00A26D29" w:rsidRPr="00EC3211">
              <w:t xml:space="preserve">līdz 2018.gada 31.decembrim pieejamo Kohēzijas fonda (turpmāk - KF) finansējumu. </w:t>
            </w:r>
          </w:p>
          <w:p w:rsidR="008472AD" w:rsidRPr="00EC3211" w:rsidRDefault="008472AD" w:rsidP="009E5A05">
            <w:pPr>
              <w:autoSpaceDE w:val="0"/>
              <w:autoSpaceDN w:val="0"/>
              <w:jc w:val="both"/>
              <w:rPr>
                <w:u w:val="single"/>
              </w:rPr>
            </w:pPr>
          </w:p>
          <w:p w:rsidR="00343528" w:rsidRPr="00EC3211" w:rsidRDefault="00545335" w:rsidP="009E5A05">
            <w:pPr>
              <w:autoSpaceDE w:val="0"/>
              <w:autoSpaceDN w:val="0"/>
              <w:jc w:val="both"/>
              <w:rPr>
                <w:b/>
                <w:u w:val="single"/>
              </w:rPr>
            </w:pPr>
            <w:r w:rsidRPr="00EC3211">
              <w:rPr>
                <w:b/>
                <w:u w:val="single"/>
              </w:rPr>
              <w:t xml:space="preserve">Daugavpils </w:t>
            </w:r>
          </w:p>
          <w:p w:rsidR="00E24319" w:rsidRPr="00EC3211" w:rsidRDefault="00545335" w:rsidP="009E5A05">
            <w:pPr>
              <w:autoSpaceDE w:val="0"/>
              <w:autoSpaceDN w:val="0"/>
              <w:jc w:val="both"/>
              <w:rPr>
                <w:rFonts w:eastAsia="Times New Roman"/>
                <w:lang w:eastAsia="en-US"/>
              </w:rPr>
            </w:pPr>
            <w:r w:rsidRPr="00EC3211">
              <w:rPr>
                <w:rFonts w:eastAsia="Times New Roman"/>
                <w:lang w:eastAsia="en-US"/>
              </w:rPr>
              <w:t xml:space="preserve">Daugavpils pilsētas attīstības programmas  2014.-2020.gadam ietvaros ir paredzēta pilsētas starptautiskās sasniedzamības uzlabošana un integrācija TEN-T transporta tīklā, paredzot transporta infrastruktūras izbūvi vai </w:t>
            </w:r>
            <w:r w:rsidR="004D470B" w:rsidRPr="00EC3211">
              <w:rPr>
                <w:rFonts w:eastAsia="Times New Roman"/>
                <w:lang w:eastAsia="en-US"/>
              </w:rPr>
              <w:t xml:space="preserve">pārbūvi </w:t>
            </w:r>
            <w:r w:rsidRPr="00EC3211">
              <w:rPr>
                <w:rFonts w:eastAsia="Times New Roman"/>
                <w:lang w:eastAsia="en-US"/>
              </w:rPr>
              <w:t xml:space="preserve">tranzīta satiksmes kustības sakārtošanai, uzlabojot reģiona sasniedzamību un veicinot loģistikas pakalpojumu attīstību. </w:t>
            </w:r>
          </w:p>
          <w:p w:rsidR="002E7246" w:rsidRPr="00EC3211" w:rsidRDefault="002E7246" w:rsidP="009E5A05">
            <w:pPr>
              <w:autoSpaceDE w:val="0"/>
              <w:autoSpaceDN w:val="0"/>
              <w:jc w:val="both"/>
              <w:rPr>
                <w:rFonts w:eastAsia="Times New Roman"/>
                <w:lang w:eastAsia="en-US"/>
              </w:rPr>
            </w:pPr>
            <w:r w:rsidRPr="00EC3211">
              <w:rPr>
                <w:rFonts w:eastAsia="Times New Roman"/>
                <w:lang w:eastAsia="en-US"/>
              </w:rPr>
              <w:t xml:space="preserve">Pasākuma ietvaros </w:t>
            </w:r>
            <w:r w:rsidR="00E24319" w:rsidRPr="00EC3211">
              <w:rPr>
                <w:rFonts w:eastAsia="Times New Roman"/>
                <w:lang w:eastAsia="en-US"/>
              </w:rPr>
              <w:t>Daugavpilī plānots īstenot projektu “Smiltenes ielas divlīmeņu pārvada ar pievadiem būvniecība līdz Smilšu un Kauņu ielu krustojumam Daugavpilī”.</w:t>
            </w:r>
          </w:p>
          <w:p w:rsidR="00E24319" w:rsidRPr="00EC3211" w:rsidRDefault="00E24319" w:rsidP="00E24319">
            <w:pPr>
              <w:autoSpaceDE w:val="0"/>
              <w:autoSpaceDN w:val="0"/>
              <w:jc w:val="both"/>
              <w:rPr>
                <w:rFonts w:eastAsia="Times New Roman"/>
                <w:lang w:eastAsia="en-US"/>
              </w:rPr>
            </w:pPr>
            <w:r w:rsidRPr="00EC3211">
              <w:rPr>
                <w:rFonts w:eastAsia="Times New Roman"/>
                <w:lang w:eastAsia="en-US"/>
              </w:rPr>
              <w:t xml:space="preserve">Projekta īstenošanas rezultātā tiks atslogota transporta kustība pilsētas teritorijā pāri I kategorijas dzelzceļa infrastruktūrai, kas ir stratēģiskas nozīmes kravu pārvadājumu TEN-T tīkla dzelzceļa līnija, nodrošinot kravu pārvadājumus starp Krieviju un Latviju, uzlabota pilsētas transporta infrastruktūras integrēta sasaiste, sekmējot nepārtrauktu transporta plūsmu starp pilsētas mikrorajoniem Jaunbūve - Ķīmija - Vecā </w:t>
            </w:r>
            <w:proofErr w:type="spellStart"/>
            <w:r w:rsidRPr="00EC3211">
              <w:rPr>
                <w:rFonts w:eastAsia="Times New Roman"/>
                <w:lang w:eastAsia="en-US"/>
              </w:rPr>
              <w:t>Forštadte</w:t>
            </w:r>
            <w:proofErr w:type="spellEnd"/>
            <w:r w:rsidRPr="00EC3211">
              <w:rPr>
                <w:rFonts w:eastAsia="Times New Roman"/>
                <w:lang w:eastAsia="en-US"/>
              </w:rPr>
              <w:t xml:space="preserve"> un savienojamību ar TEN -T ceļu tīklā iekļautajiem valsts galveno autoceļu posmiem A6 (</w:t>
            </w:r>
            <w:proofErr w:type="spellStart"/>
            <w:r w:rsidRPr="00EC3211">
              <w:rPr>
                <w:rFonts w:eastAsia="Times New Roman"/>
                <w:lang w:eastAsia="en-US"/>
              </w:rPr>
              <w:t>Vitebskas</w:t>
            </w:r>
            <w:proofErr w:type="spellEnd"/>
            <w:r w:rsidRPr="00EC3211">
              <w:rPr>
                <w:rFonts w:eastAsia="Times New Roman"/>
                <w:lang w:eastAsia="en-US"/>
              </w:rPr>
              <w:t xml:space="preserve"> - Rīgas virziens), AI 3 (Varšavas - Sanktpēterburgas virziens).</w:t>
            </w:r>
          </w:p>
          <w:p w:rsidR="00E24319" w:rsidRPr="00EC3211" w:rsidRDefault="00E24319" w:rsidP="009E5A05">
            <w:pPr>
              <w:autoSpaceDE w:val="0"/>
              <w:autoSpaceDN w:val="0"/>
              <w:jc w:val="both"/>
              <w:rPr>
                <w:rFonts w:eastAsia="Times New Roman"/>
                <w:lang w:eastAsia="en-US"/>
              </w:rPr>
            </w:pPr>
          </w:p>
          <w:p w:rsidR="00BA57E3" w:rsidRPr="00EC3211" w:rsidRDefault="00BA57E3" w:rsidP="00BA57E3">
            <w:pPr>
              <w:autoSpaceDE w:val="0"/>
              <w:autoSpaceDN w:val="0"/>
              <w:jc w:val="both"/>
              <w:rPr>
                <w:rFonts w:eastAsia="Times New Roman"/>
                <w:lang w:eastAsia="en-US"/>
              </w:rPr>
            </w:pPr>
            <w:r w:rsidRPr="00EC3211">
              <w:rPr>
                <w:rFonts w:eastAsia="Times New Roman"/>
                <w:lang w:eastAsia="en-US"/>
              </w:rPr>
              <w:t>Projekta plānoto attiecināmo izmaksu kopsumma 20 719 958 EUR (</w:t>
            </w:r>
            <w:r w:rsidR="00544306" w:rsidRPr="00EC3211">
              <w:rPr>
                <w:rFonts w:eastAsia="Times New Roman"/>
                <w:lang w:eastAsia="en-US"/>
              </w:rPr>
              <w:t xml:space="preserve">2016.gadā 78 912 EUR, </w:t>
            </w:r>
            <w:r w:rsidRPr="00EC3211">
              <w:rPr>
                <w:rFonts w:eastAsia="Times New Roman"/>
                <w:lang w:eastAsia="en-US"/>
              </w:rPr>
              <w:t xml:space="preserve">2017.gadā </w:t>
            </w:r>
            <w:r w:rsidR="00544306" w:rsidRPr="00EC3211">
              <w:rPr>
                <w:rFonts w:eastAsia="Times New Roman"/>
                <w:lang w:eastAsia="en-US"/>
              </w:rPr>
              <w:t>8 248 527</w:t>
            </w:r>
            <w:r w:rsidRPr="00EC3211">
              <w:rPr>
                <w:rFonts w:eastAsia="Times New Roman"/>
                <w:lang w:eastAsia="en-US"/>
              </w:rPr>
              <w:t xml:space="preserve"> EUR, 2018.gadā </w:t>
            </w:r>
            <w:r w:rsidR="00544306" w:rsidRPr="00EC3211">
              <w:rPr>
                <w:rFonts w:eastAsia="Times New Roman"/>
                <w:lang w:eastAsia="en-US"/>
              </w:rPr>
              <w:t>10 320 523</w:t>
            </w:r>
            <w:r w:rsidRPr="00EC3211">
              <w:rPr>
                <w:rFonts w:eastAsia="Times New Roman"/>
                <w:lang w:eastAsia="en-US"/>
              </w:rPr>
              <w:t xml:space="preserve"> EUR, 2019.gadā </w:t>
            </w:r>
            <w:r w:rsidR="00544306" w:rsidRPr="00EC3211">
              <w:rPr>
                <w:rFonts w:eastAsia="Times New Roman"/>
                <w:lang w:eastAsia="en-US"/>
              </w:rPr>
              <w:t>2 071 996</w:t>
            </w:r>
            <w:r w:rsidRPr="00EC3211">
              <w:rPr>
                <w:rFonts w:eastAsia="Times New Roman"/>
                <w:lang w:eastAsia="en-US"/>
              </w:rPr>
              <w:t xml:space="preserve"> EUR), t.sk., pieejamais KF finansējums 7 648 </w:t>
            </w:r>
            <w:r w:rsidR="00424C64" w:rsidRPr="00EC3211">
              <w:rPr>
                <w:rFonts w:eastAsia="Times New Roman"/>
                <w:lang w:eastAsia="en-US"/>
              </w:rPr>
              <w:t>4</w:t>
            </w:r>
            <w:r w:rsidR="00424C64">
              <w:rPr>
                <w:rFonts w:eastAsia="Times New Roman"/>
                <w:lang w:eastAsia="en-US"/>
              </w:rPr>
              <w:t>19</w:t>
            </w:r>
            <w:r w:rsidR="00424C64" w:rsidRPr="00EC3211">
              <w:rPr>
                <w:rFonts w:eastAsia="Times New Roman"/>
                <w:lang w:eastAsia="en-US"/>
              </w:rPr>
              <w:t xml:space="preserve"> </w:t>
            </w:r>
            <w:r w:rsidRPr="00EC3211">
              <w:rPr>
                <w:rFonts w:eastAsia="Times New Roman"/>
                <w:lang w:eastAsia="en-US"/>
              </w:rPr>
              <w:t>EUR (</w:t>
            </w:r>
            <w:r w:rsidR="00544306" w:rsidRPr="00EC3211">
              <w:rPr>
                <w:rFonts w:eastAsia="Times New Roman"/>
                <w:lang w:eastAsia="en-US"/>
              </w:rPr>
              <w:t xml:space="preserve">2016.gadā 29 129 EUR, </w:t>
            </w:r>
            <w:r w:rsidRPr="00EC3211">
              <w:rPr>
                <w:rFonts w:eastAsia="Times New Roman"/>
                <w:lang w:eastAsia="en-US"/>
              </w:rPr>
              <w:t xml:space="preserve">2017.gadā </w:t>
            </w:r>
            <w:r w:rsidR="00544306" w:rsidRPr="00EC3211">
              <w:rPr>
                <w:rFonts w:eastAsia="Times New Roman"/>
                <w:lang w:eastAsia="en-US"/>
              </w:rPr>
              <w:t xml:space="preserve">3 044 803 </w:t>
            </w:r>
            <w:r w:rsidRPr="00EC3211">
              <w:rPr>
                <w:rFonts w:eastAsia="Times New Roman"/>
                <w:lang w:eastAsia="en-US"/>
              </w:rPr>
              <w:t xml:space="preserve">EUR, 2018.gadā </w:t>
            </w:r>
            <w:r w:rsidR="00FB4F50">
              <w:rPr>
                <w:rFonts w:eastAsia="Times New Roman"/>
                <w:lang w:eastAsia="en-US"/>
              </w:rPr>
              <w:t xml:space="preserve">             3 </w:t>
            </w:r>
            <w:r w:rsidR="00544306" w:rsidRPr="00EC3211">
              <w:rPr>
                <w:rFonts w:eastAsia="Times New Roman"/>
                <w:lang w:eastAsia="en-US"/>
              </w:rPr>
              <w:t>809</w:t>
            </w:r>
            <w:r w:rsidR="00FB4F50">
              <w:rPr>
                <w:rFonts w:eastAsia="Times New Roman"/>
                <w:lang w:eastAsia="en-US"/>
              </w:rPr>
              <w:t> </w:t>
            </w:r>
            <w:r w:rsidR="00544306" w:rsidRPr="00EC3211">
              <w:rPr>
                <w:rFonts w:eastAsia="Times New Roman"/>
                <w:lang w:eastAsia="en-US"/>
              </w:rPr>
              <w:t>645</w:t>
            </w:r>
            <w:r w:rsidR="00FB4F50">
              <w:rPr>
                <w:rFonts w:eastAsia="Times New Roman"/>
                <w:lang w:eastAsia="en-US"/>
              </w:rPr>
              <w:t xml:space="preserve"> </w:t>
            </w:r>
            <w:r w:rsidRPr="00EC3211">
              <w:rPr>
                <w:rFonts w:eastAsia="Times New Roman"/>
                <w:lang w:eastAsia="en-US"/>
              </w:rPr>
              <w:t xml:space="preserve">EUR, 2019.gadā </w:t>
            </w:r>
            <w:r w:rsidR="00544306" w:rsidRPr="00EC3211">
              <w:rPr>
                <w:rFonts w:eastAsia="Times New Roman"/>
                <w:lang w:eastAsia="en-US"/>
              </w:rPr>
              <w:t>764 842</w:t>
            </w:r>
            <w:r w:rsidRPr="00EC3211">
              <w:rPr>
                <w:rFonts w:eastAsia="Times New Roman"/>
                <w:lang w:eastAsia="en-US"/>
              </w:rPr>
              <w:t xml:space="preserve"> EUR), pašvaldības finansējums </w:t>
            </w:r>
            <w:r w:rsidR="00002FAA" w:rsidRPr="00EC3211">
              <w:rPr>
                <w:rFonts w:eastAsia="Times New Roman"/>
                <w:lang w:eastAsia="en-US"/>
              </w:rPr>
              <w:t>12 666 62</w:t>
            </w:r>
            <w:r w:rsidR="00424C64">
              <w:rPr>
                <w:rFonts w:eastAsia="Times New Roman"/>
                <w:lang w:eastAsia="en-US"/>
              </w:rPr>
              <w:t>3</w:t>
            </w:r>
            <w:r w:rsidR="00002FAA" w:rsidRPr="00EC3211">
              <w:rPr>
                <w:rFonts w:eastAsia="Times New Roman"/>
                <w:lang w:eastAsia="en-US"/>
              </w:rPr>
              <w:t xml:space="preserve"> </w:t>
            </w:r>
            <w:r w:rsidRPr="00EC3211">
              <w:rPr>
                <w:rFonts w:eastAsia="Times New Roman"/>
                <w:lang w:eastAsia="en-US"/>
              </w:rPr>
              <w:t>EUR (</w:t>
            </w:r>
            <w:r w:rsidR="00544306" w:rsidRPr="00EC3211">
              <w:rPr>
                <w:rFonts w:eastAsia="Times New Roman"/>
                <w:lang w:eastAsia="en-US"/>
              </w:rPr>
              <w:t xml:space="preserve">2016.gadā </w:t>
            </w:r>
            <w:r w:rsidR="00002FAA" w:rsidRPr="00EC3211">
              <w:rPr>
                <w:rFonts w:eastAsia="Times New Roman"/>
                <w:lang w:eastAsia="en-US"/>
              </w:rPr>
              <w:t>48 241</w:t>
            </w:r>
            <w:r w:rsidR="00544306" w:rsidRPr="00EC3211">
              <w:rPr>
                <w:rFonts w:eastAsia="Times New Roman"/>
                <w:lang w:eastAsia="en-US"/>
              </w:rPr>
              <w:t xml:space="preserve"> EUR, </w:t>
            </w:r>
            <w:r w:rsidRPr="00EC3211">
              <w:rPr>
                <w:rFonts w:eastAsia="Times New Roman"/>
                <w:lang w:eastAsia="en-US"/>
              </w:rPr>
              <w:t xml:space="preserve">2017.gadā </w:t>
            </w:r>
            <w:r w:rsidR="00002FAA" w:rsidRPr="00EC3211">
              <w:rPr>
                <w:rFonts w:eastAsia="Times New Roman"/>
                <w:lang w:eastAsia="en-US"/>
              </w:rPr>
              <w:t xml:space="preserve"> 5 042 529 </w:t>
            </w:r>
            <w:r w:rsidRPr="00EC3211">
              <w:rPr>
                <w:rFonts w:eastAsia="Times New Roman"/>
                <w:lang w:eastAsia="en-US"/>
              </w:rPr>
              <w:t xml:space="preserve">EUR, 2018.gadā </w:t>
            </w:r>
            <w:r w:rsidR="00002FAA" w:rsidRPr="00EC3211">
              <w:rPr>
                <w:rFonts w:eastAsia="Times New Roman"/>
                <w:lang w:eastAsia="en-US"/>
              </w:rPr>
              <w:t xml:space="preserve">6 309 191 </w:t>
            </w:r>
            <w:r w:rsidRPr="00EC3211">
              <w:rPr>
                <w:rFonts w:eastAsia="Times New Roman"/>
                <w:lang w:eastAsia="en-US"/>
              </w:rPr>
              <w:t xml:space="preserve">EUR, 2019.gadā </w:t>
            </w:r>
            <w:r w:rsidR="00002FAA" w:rsidRPr="00EC3211">
              <w:rPr>
                <w:rFonts w:eastAsia="Times New Roman"/>
                <w:lang w:eastAsia="en-US"/>
              </w:rPr>
              <w:t>1 266 662</w:t>
            </w:r>
            <w:r w:rsidRPr="00EC3211">
              <w:rPr>
                <w:rFonts w:eastAsia="Times New Roman"/>
                <w:lang w:eastAsia="en-US"/>
              </w:rPr>
              <w:t xml:space="preserve"> EUR) un valsts budžeta dotācija </w:t>
            </w:r>
            <w:r w:rsidR="00002FAA" w:rsidRPr="00EC3211">
              <w:rPr>
                <w:rFonts w:eastAsia="Times New Roman"/>
                <w:lang w:eastAsia="en-US"/>
              </w:rPr>
              <w:t xml:space="preserve"> 404 916 </w:t>
            </w:r>
            <w:r w:rsidRPr="00EC3211">
              <w:rPr>
                <w:rFonts w:eastAsia="Times New Roman"/>
                <w:lang w:eastAsia="en-US"/>
              </w:rPr>
              <w:t>EUR (</w:t>
            </w:r>
            <w:r w:rsidR="00544306" w:rsidRPr="00EC3211">
              <w:rPr>
                <w:rFonts w:eastAsia="Times New Roman"/>
                <w:lang w:eastAsia="en-US"/>
              </w:rPr>
              <w:t xml:space="preserve">2016.gadā </w:t>
            </w:r>
            <w:r w:rsidR="00002FAA" w:rsidRPr="00EC3211">
              <w:rPr>
                <w:rFonts w:eastAsia="Times New Roman"/>
                <w:lang w:eastAsia="en-US"/>
              </w:rPr>
              <w:t xml:space="preserve"> 1 542 </w:t>
            </w:r>
            <w:r w:rsidR="00544306" w:rsidRPr="00EC3211">
              <w:rPr>
                <w:rFonts w:eastAsia="Times New Roman"/>
                <w:lang w:eastAsia="en-US"/>
              </w:rPr>
              <w:t xml:space="preserve">EUR, </w:t>
            </w:r>
            <w:r w:rsidRPr="00EC3211">
              <w:rPr>
                <w:rFonts w:eastAsia="Times New Roman"/>
                <w:lang w:eastAsia="en-US"/>
              </w:rPr>
              <w:t xml:space="preserve">2017.gadā </w:t>
            </w:r>
            <w:r w:rsidR="00002FAA" w:rsidRPr="00EC3211">
              <w:rPr>
                <w:rFonts w:eastAsia="Times New Roman"/>
                <w:lang w:eastAsia="en-US"/>
              </w:rPr>
              <w:t xml:space="preserve"> 161 195 </w:t>
            </w:r>
            <w:r w:rsidRPr="00EC3211">
              <w:rPr>
                <w:rFonts w:eastAsia="Times New Roman"/>
                <w:lang w:eastAsia="en-US"/>
              </w:rPr>
              <w:t xml:space="preserve">EUR, 2018.gadā </w:t>
            </w:r>
            <w:r w:rsidR="00002FAA" w:rsidRPr="00EC3211">
              <w:rPr>
                <w:rFonts w:eastAsia="Times New Roman"/>
                <w:lang w:eastAsia="en-US"/>
              </w:rPr>
              <w:t xml:space="preserve"> 201 687 </w:t>
            </w:r>
            <w:r w:rsidRPr="00EC3211">
              <w:rPr>
                <w:rFonts w:eastAsia="Times New Roman"/>
                <w:lang w:eastAsia="en-US"/>
              </w:rPr>
              <w:t xml:space="preserve">EUR, 2019.gadā </w:t>
            </w:r>
            <w:r w:rsidR="00002FAA" w:rsidRPr="00EC3211">
              <w:rPr>
                <w:rFonts w:eastAsia="Times New Roman"/>
                <w:lang w:eastAsia="en-US"/>
              </w:rPr>
              <w:t>  40 492</w:t>
            </w:r>
            <w:r w:rsidRPr="00EC3211">
              <w:rPr>
                <w:rFonts w:eastAsia="Times New Roman"/>
                <w:lang w:eastAsia="en-US"/>
              </w:rPr>
              <w:t xml:space="preserve"> EUR).</w:t>
            </w:r>
          </w:p>
          <w:p w:rsidR="00545335" w:rsidRPr="00EC3211" w:rsidRDefault="00545335" w:rsidP="009E5A05">
            <w:pPr>
              <w:autoSpaceDE w:val="0"/>
              <w:autoSpaceDN w:val="0"/>
              <w:jc w:val="both"/>
              <w:rPr>
                <w:rFonts w:eastAsia="Times New Roman"/>
                <w:lang w:eastAsia="en-US"/>
              </w:rPr>
            </w:pPr>
          </w:p>
          <w:p w:rsidR="00545335" w:rsidRPr="00EC3211" w:rsidRDefault="00545335" w:rsidP="009E5A05">
            <w:pPr>
              <w:autoSpaceDE w:val="0"/>
              <w:autoSpaceDN w:val="0"/>
              <w:jc w:val="both"/>
              <w:rPr>
                <w:rFonts w:eastAsia="Times New Roman"/>
                <w:b/>
                <w:u w:val="single"/>
                <w:lang w:eastAsia="en-US"/>
              </w:rPr>
            </w:pPr>
            <w:r w:rsidRPr="00EC3211">
              <w:rPr>
                <w:rFonts w:eastAsia="Times New Roman"/>
                <w:b/>
                <w:u w:val="single"/>
                <w:lang w:eastAsia="en-US"/>
              </w:rPr>
              <w:t>Jēkabpils</w:t>
            </w:r>
          </w:p>
          <w:p w:rsidR="00545335" w:rsidRPr="00EC3211" w:rsidRDefault="00545335" w:rsidP="009E5A05">
            <w:pPr>
              <w:autoSpaceDE w:val="0"/>
              <w:autoSpaceDN w:val="0"/>
              <w:jc w:val="both"/>
              <w:rPr>
                <w:rFonts w:eastAsia="Times New Roman"/>
                <w:lang w:eastAsia="en-US"/>
              </w:rPr>
            </w:pPr>
            <w:r w:rsidRPr="00EC3211">
              <w:rPr>
                <w:rFonts w:eastAsia="Times New Roman"/>
                <w:lang w:eastAsia="en-US"/>
              </w:rPr>
              <w:t>Jēkabpils pilsētas attīstības programmas 2012.-2018.gadam ietvaros ir plānots līdz 2020.gadam īstenot aktivitātes un projektus, kas nodrošinātu ērtu un drošu pārvietošanos pilsētā, pilsētas daļu labāku sasaisti un pilsētas ērtāku sasniedzamību reģionālā līmenī.</w:t>
            </w:r>
          </w:p>
          <w:p w:rsidR="002E7246" w:rsidRPr="00EC3211" w:rsidRDefault="002E7246" w:rsidP="002E7246">
            <w:pPr>
              <w:autoSpaceDE w:val="0"/>
              <w:autoSpaceDN w:val="0"/>
              <w:jc w:val="both"/>
              <w:rPr>
                <w:rFonts w:eastAsia="Times New Roman"/>
                <w:lang w:eastAsia="en-US"/>
              </w:rPr>
            </w:pPr>
            <w:r w:rsidRPr="00EC3211">
              <w:rPr>
                <w:rFonts w:eastAsia="Times New Roman"/>
                <w:lang w:eastAsia="en-US"/>
              </w:rPr>
              <w:t>Pasākuma ietvaros Jēkabpilī plāno īstenot projektu “Sēlijas pieslēgums TEN-T tīklam - Dienvidu tranzīta loka izveidošana Jēkabpils pilsētā – Brīvības ielas</w:t>
            </w:r>
            <w:r w:rsidR="004D470B" w:rsidRPr="00EC3211">
              <w:rPr>
                <w:rFonts w:eastAsia="Times New Roman"/>
                <w:lang w:eastAsia="en-US"/>
              </w:rPr>
              <w:t xml:space="preserve"> pārbūve</w:t>
            </w:r>
            <w:r w:rsidRPr="00EC3211">
              <w:rPr>
                <w:rFonts w:eastAsia="Times New Roman"/>
                <w:lang w:eastAsia="en-US"/>
              </w:rPr>
              <w:t>”.</w:t>
            </w:r>
          </w:p>
          <w:p w:rsidR="002E7246" w:rsidRPr="00EC3211" w:rsidRDefault="002E7246" w:rsidP="002E7246">
            <w:pPr>
              <w:autoSpaceDE w:val="0"/>
              <w:autoSpaceDN w:val="0"/>
              <w:jc w:val="both"/>
              <w:rPr>
                <w:rFonts w:eastAsia="Times New Roman"/>
                <w:lang w:eastAsia="en-US"/>
              </w:rPr>
            </w:pPr>
            <w:r w:rsidRPr="00EC3211">
              <w:rPr>
                <w:rFonts w:eastAsia="Times New Roman"/>
                <w:lang w:eastAsia="en-US"/>
              </w:rPr>
              <w:t>Lai novirzītu kravas transportu no pilsētas centra, nodrošinot tiešu nokļūšanu no autoceļa P75 uz Neretas ielu</w:t>
            </w:r>
            <w:r w:rsidR="003537E3" w:rsidRPr="00EC3211">
              <w:rPr>
                <w:rFonts w:eastAsia="Times New Roman"/>
                <w:lang w:eastAsia="en-US"/>
              </w:rPr>
              <w:t>,</w:t>
            </w:r>
            <w:r w:rsidRPr="00EC3211">
              <w:rPr>
                <w:rFonts w:eastAsia="Times New Roman"/>
                <w:lang w:eastAsia="en-US"/>
              </w:rPr>
              <w:t xml:space="preserve"> tiks veikta šobrīd esošās Dolomīta ielas (</w:t>
            </w:r>
            <w:r w:rsidRPr="00EC3211">
              <w:rPr>
                <w:rFonts w:eastAsia="Times New Roman"/>
                <w:u w:val="single"/>
                <w:lang w:eastAsia="en-US"/>
              </w:rPr>
              <w:t>šobrīd notiek darbs pie ielas nosaukuma maiņas uz Brīvības ielu</w:t>
            </w:r>
            <w:r w:rsidRPr="00EC3211">
              <w:rPr>
                <w:rFonts w:eastAsia="Times New Roman"/>
                <w:lang w:eastAsia="en-US"/>
              </w:rPr>
              <w:t xml:space="preserve">), bet projekta </w:t>
            </w:r>
            <w:r w:rsidRPr="00EC3211">
              <w:rPr>
                <w:rFonts w:eastAsia="Times New Roman"/>
                <w:lang w:eastAsia="en-US"/>
              </w:rPr>
              <w:lastRenderedPageBreak/>
              <w:t xml:space="preserve">iesniegšanas, realizācijas laikā Brīvības ielas pārbūve posmā no pilsētas robežas līdz Neretas ielai. Brīvības ielas posma </w:t>
            </w:r>
            <w:r w:rsidR="004D470B" w:rsidRPr="00EC3211">
              <w:rPr>
                <w:rFonts w:eastAsia="Times New Roman"/>
                <w:lang w:eastAsia="en-US"/>
              </w:rPr>
              <w:t xml:space="preserve"> pārbūve </w:t>
            </w:r>
            <w:r w:rsidRPr="00EC3211">
              <w:rPr>
                <w:rFonts w:eastAsia="Times New Roman"/>
                <w:lang w:eastAsia="en-US"/>
              </w:rPr>
              <w:t>no pilsētas robežas līdz R. Blaumaņa ielai nodrošinās atbilstošu infrastruktūru kravas (piegādes) transportam, kam ir nepieciešams veikt piegādes pilsētas centrā.</w:t>
            </w:r>
          </w:p>
          <w:p w:rsidR="002E7246" w:rsidRPr="00EC3211" w:rsidRDefault="002E7246" w:rsidP="002E7246">
            <w:pPr>
              <w:autoSpaceDE w:val="0"/>
              <w:autoSpaceDN w:val="0"/>
              <w:jc w:val="both"/>
              <w:rPr>
                <w:rFonts w:eastAsia="Times New Roman"/>
                <w:lang w:eastAsia="en-US"/>
              </w:rPr>
            </w:pPr>
            <w:r w:rsidRPr="00EC3211">
              <w:rPr>
                <w:rFonts w:eastAsia="Times New Roman"/>
                <w:lang w:eastAsia="en-US"/>
              </w:rPr>
              <w:t>Kravu autotransports jau pie pilsētas robežas tiks novirzīts pa Brīvības ielas posmu, kas ir ārpus pilsētas centra – kravas transporta prasībām atbilstošu ielu, liedzot tam iespēju iebraukt pilsētā.</w:t>
            </w:r>
          </w:p>
          <w:p w:rsidR="002E7246" w:rsidRPr="00EC3211" w:rsidRDefault="002E7246" w:rsidP="002E7246">
            <w:pPr>
              <w:autoSpaceDE w:val="0"/>
              <w:autoSpaceDN w:val="0"/>
              <w:jc w:val="both"/>
              <w:rPr>
                <w:rFonts w:eastAsia="Times New Roman"/>
                <w:lang w:eastAsia="en-US"/>
              </w:rPr>
            </w:pPr>
            <w:r w:rsidRPr="00EC3211">
              <w:rPr>
                <w:rFonts w:eastAsia="Times New Roman"/>
                <w:lang w:eastAsia="en-US"/>
              </w:rPr>
              <w:t xml:space="preserve">Brīvības ielas </w:t>
            </w:r>
            <w:r w:rsidR="004D470B" w:rsidRPr="00EC3211">
              <w:rPr>
                <w:rFonts w:eastAsia="Times New Roman"/>
                <w:lang w:eastAsia="en-US"/>
              </w:rPr>
              <w:t xml:space="preserve">pārbūve </w:t>
            </w:r>
            <w:r w:rsidRPr="00EC3211">
              <w:rPr>
                <w:rFonts w:eastAsia="Times New Roman"/>
                <w:lang w:eastAsia="en-US"/>
              </w:rPr>
              <w:t>posmā no pilsētas robežas līdz Neretas ielai ir pirmais posms Dienvidu tranzīta loka izveidošanā Jēkabpils pilsētā, kas sākas uz autoceļa P75 un beidzas uz autoceļiem A6 un A12, nodrošinot pilsētas transporta infrastruktūras integrācijas TEN-T tīklā sākumu un pabeigtību. Pārbūvējamā iela savienos autoceļu P75 ar Neretas ielu un tālāk ar autoceļu P76, Daugavas šķērsojumiem un autoceļiem A6 un A12, izslēdzot nepieciešamību kravu transportam iebraukt pilsētā.</w:t>
            </w:r>
          </w:p>
          <w:p w:rsidR="00545335" w:rsidRPr="00EC3211" w:rsidRDefault="002E7246" w:rsidP="009E5A05">
            <w:pPr>
              <w:autoSpaceDE w:val="0"/>
              <w:autoSpaceDN w:val="0"/>
              <w:jc w:val="both"/>
              <w:rPr>
                <w:rFonts w:eastAsia="Times New Roman"/>
                <w:lang w:eastAsia="en-US"/>
              </w:rPr>
            </w:pPr>
            <w:r w:rsidRPr="00EC3211">
              <w:rPr>
                <w:rFonts w:eastAsia="Times New Roman"/>
                <w:lang w:eastAsia="en-US"/>
              </w:rPr>
              <w:t xml:space="preserve">Projekta plānoto attiecināmo izmaksu kopsumma 5 000 178 </w:t>
            </w:r>
            <w:r w:rsidR="00427036" w:rsidRPr="00EC3211">
              <w:rPr>
                <w:rFonts w:eastAsia="Times New Roman"/>
                <w:lang w:eastAsia="en-US"/>
              </w:rPr>
              <w:t xml:space="preserve">EUR </w:t>
            </w:r>
            <w:r w:rsidRPr="00EC3211">
              <w:rPr>
                <w:rFonts w:eastAsia="Times New Roman"/>
                <w:lang w:eastAsia="en-US"/>
              </w:rPr>
              <w:t>(20</w:t>
            </w:r>
            <w:r w:rsidR="00427036" w:rsidRPr="00EC3211">
              <w:rPr>
                <w:rFonts w:eastAsia="Times New Roman"/>
                <w:lang w:eastAsia="en-US"/>
              </w:rPr>
              <w:t xml:space="preserve">17.gadā 35 000 EUR, 2018.gadā 2 048 311 EUR, 2019.gadā 2 916 867 EUR), t.sk., </w:t>
            </w:r>
            <w:r w:rsidR="00E607FF" w:rsidRPr="00EC3211">
              <w:rPr>
                <w:rFonts w:eastAsia="Times New Roman"/>
                <w:lang w:eastAsia="en-US"/>
              </w:rPr>
              <w:t xml:space="preserve">pieejamais </w:t>
            </w:r>
            <w:r w:rsidR="00427036" w:rsidRPr="00EC3211">
              <w:rPr>
                <w:rFonts w:eastAsia="Times New Roman"/>
                <w:lang w:eastAsia="en-US"/>
              </w:rPr>
              <w:t xml:space="preserve">KF finansējums 3 987 067 EUR (2017.gadā 27 909 EUR, 2018.gadā 1 633 323 EUR, 2019.gadā 2 325 835 EUR), pašvaldības finansējums </w:t>
            </w:r>
            <w:r w:rsidR="00BA57E3" w:rsidRPr="00EC3211">
              <w:rPr>
                <w:rFonts w:eastAsia="Times New Roman"/>
                <w:lang w:eastAsia="en-US"/>
              </w:rPr>
              <w:t xml:space="preserve"> </w:t>
            </w:r>
            <w:r w:rsidR="00544306" w:rsidRPr="00EC3211">
              <w:rPr>
                <w:rFonts w:eastAsia="Times New Roman"/>
                <w:lang w:eastAsia="en-US"/>
              </w:rPr>
              <w:t>  </w:t>
            </w:r>
            <w:r w:rsidR="00002FAA" w:rsidRPr="00EC3211">
              <w:rPr>
                <w:rFonts w:eastAsia="Times New Roman"/>
                <w:lang w:eastAsia="en-US"/>
              </w:rPr>
              <w:t xml:space="preserve"> 837 </w:t>
            </w:r>
            <w:r w:rsidR="00651B99" w:rsidRPr="00EC3211">
              <w:rPr>
                <w:rFonts w:eastAsia="Times New Roman"/>
                <w:lang w:eastAsia="en-US"/>
              </w:rPr>
              <w:t>21</w:t>
            </w:r>
            <w:r w:rsidR="00651B99">
              <w:rPr>
                <w:rFonts w:eastAsia="Times New Roman"/>
                <w:lang w:eastAsia="en-US"/>
              </w:rPr>
              <w:t>2</w:t>
            </w:r>
            <w:r w:rsidR="00651B99" w:rsidRPr="00EC3211">
              <w:rPr>
                <w:rFonts w:eastAsia="Times New Roman"/>
                <w:lang w:eastAsia="en-US"/>
              </w:rPr>
              <w:t xml:space="preserve"> </w:t>
            </w:r>
            <w:r w:rsidR="00427036" w:rsidRPr="00EC3211">
              <w:rPr>
                <w:rFonts w:eastAsia="Times New Roman"/>
                <w:lang w:eastAsia="en-US"/>
              </w:rPr>
              <w:t>EUR (2017.gadā</w:t>
            </w:r>
            <w:r w:rsidR="00FB4F50">
              <w:rPr>
                <w:rFonts w:eastAsia="Times New Roman"/>
                <w:lang w:eastAsia="en-US"/>
              </w:rPr>
              <w:t xml:space="preserve">           </w:t>
            </w:r>
            <w:r w:rsidR="00427036" w:rsidRPr="00EC3211">
              <w:rPr>
                <w:rFonts w:eastAsia="Times New Roman"/>
                <w:lang w:eastAsia="en-US"/>
              </w:rPr>
              <w:t xml:space="preserve"> </w:t>
            </w:r>
            <w:r w:rsidR="00002FAA" w:rsidRPr="00EC3211">
              <w:rPr>
                <w:rFonts w:eastAsia="Times New Roman"/>
                <w:lang w:eastAsia="en-US"/>
              </w:rPr>
              <w:t xml:space="preserve">5 860 </w:t>
            </w:r>
            <w:r w:rsidR="00427036" w:rsidRPr="00EC3211">
              <w:rPr>
                <w:rFonts w:eastAsia="Times New Roman"/>
                <w:lang w:eastAsia="en-US"/>
              </w:rPr>
              <w:t xml:space="preserve">EUR, 2018.gadā </w:t>
            </w:r>
            <w:r w:rsidR="00BA57E3" w:rsidRPr="00EC3211">
              <w:rPr>
                <w:rFonts w:eastAsia="Times New Roman"/>
                <w:lang w:eastAsia="en-US"/>
              </w:rPr>
              <w:t> </w:t>
            </w:r>
            <w:r w:rsidR="00002FAA" w:rsidRPr="00EC3211">
              <w:rPr>
                <w:rFonts w:eastAsia="Times New Roman"/>
                <w:lang w:eastAsia="en-US"/>
              </w:rPr>
              <w:t xml:space="preserve"> 342 930 </w:t>
            </w:r>
            <w:r w:rsidR="00427036" w:rsidRPr="00EC3211">
              <w:rPr>
                <w:rFonts w:eastAsia="Times New Roman"/>
                <w:lang w:eastAsia="en-US"/>
              </w:rPr>
              <w:t xml:space="preserve">EUR, 2019.gadā </w:t>
            </w:r>
            <w:r w:rsidR="00002FAA" w:rsidRPr="00EC3211">
              <w:rPr>
                <w:rFonts w:eastAsia="Times New Roman"/>
                <w:lang w:eastAsia="en-US"/>
              </w:rPr>
              <w:t xml:space="preserve"> 488 422 </w:t>
            </w:r>
            <w:r w:rsidR="00427036" w:rsidRPr="00EC3211">
              <w:rPr>
                <w:rFonts w:eastAsia="Times New Roman"/>
                <w:lang w:eastAsia="en-US"/>
              </w:rPr>
              <w:t xml:space="preserve">EUR) un valsts budžeta dotācija </w:t>
            </w:r>
            <w:r w:rsidR="00C736DD" w:rsidRPr="00EC3211">
              <w:rPr>
                <w:rFonts w:eastAsia="Times New Roman"/>
                <w:lang w:eastAsia="en-US"/>
              </w:rPr>
              <w:t xml:space="preserve">175 </w:t>
            </w:r>
            <w:r w:rsidR="00651B99">
              <w:rPr>
                <w:rFonts w:eastAsia="Times New Roman"/>
                <w:lang w:eastAsia="en-US"/>
              </w:rPr>
              <w:t>899</w:t>
            </w:r>
            <w:r w:rsidR="00651B99" w:rsidRPr="00EC3211">
              <w:rPr>
                <w:rFonts w:eastAsia="Times New Roman"/>
                <w:lang w:eastAsia="en-US"/>
              </w:rPr>
              <w:t xml:space="preserve"> </w:t>
            </w:r>
            <w:r w:rsidR="00427036" w:rsidRPr="00EC3211">
              <w:rPr>
                <w:rFonts w:eastAsia="Times New Roman"/>
                <w:lang w:eastAsia="en-US"/>
              </w:rPr>
              <w:t xml:space="preserve">EUR (2017.gadā </w:t>
            </w:r>
            <w:r w:rsidR="00C736DD" w:rsidRPr="00EC3211">
              <w:rPr>
                <w:rFonts w:eastAsia="Times New Roman"/>
                <w:lang w:eastAsia="en-US"/>
              </w:rPr>
              <w:t xml:space="preserve"> 1 231 </w:t>
            </w:r>
            <w:r w:rsidR="00427036" w:rsidRPr="00EC3211">
              <w:rPr>
                <w:rFonts w:eastAsia="Times New Roman"/>
                <w:lang w:eastAsia="en-US"/>
              </w:rPr>
              <w:t xml:space="preserve">EUR, 2018.gadā </w:t>
            </w:r>
            <w:r w:rsidR="00C736DD" w:rsidRPr="00EC3211">
              <w:rPr>
                <w:rFonts w:eastAsia="Times New Roman"/>
                <w:lang w:eastAsia="en-US"/>
              </w:rPr>
              <w:t xml:space="preserve"> 72 058 </w:t>
            </w:r>
            <w:r w:rsidR="00427036" w:rsidRPr="00EC3211">
              <w:rPr>
                <w:rFonts w:eastAsia="Times New Roman"/>
                <w:lang w:eastAsia="en-US"/>
              </w:rPr>
              <w:t xml:space="preserve">EUR, 2019.gadā </w:t>
            </w:r>
            <w:r w:rsidR="00C736DD" w:rsidRPr="00EC3211">
              <w:rPr>
                <w:rFonts w:eastAsia="Times New Roman"/>
                <w:lang w:eastAsia="en-US"/>
              </w:rPr>
              <w:t>102 610</w:t>
            </w:r>
            <w:r w:rsidR="00427036" w:rsidRPr="00EC3211">
              <w:rPr>
                <w:rFonts w:eastAsia="Times New Roman"/>
                <w:lang w:eastAsia="en-US"/>
              </w:rPr>
              <w:t xml:space="preserve"> EUR).</w:t>
            </w:r>
          </w:p>
          <w:p w:rsidR="0033342E" w:rsidRPr="00EC3211" w:rsidRDefault="0033342E" w:rsidP="009E5A05">
            <w:pPr>
              <w:autoSpaceDE w:val="0"/>
              <w:autoSpaceDN w:val="0"/>
              <w:jc w:val="both"/>
              <w:rPr>
                <w:rFonts w:eastAsia="Times New Roman"/>
                <w:u w:val="single"/>
                <w:lang w:eastAsia="en-US"/>
              </w:rPr>
            </w:pPr>
          </w:p>
          <w:p w:rsidR="00545335" w:rsidRPr="00EC3211" w:rsidRDefault="00545335" w:rsidP="009E5A05">
            <w:pPr>
              <w:autoSpaceDE w:val="0"/>
              <w:autoSpaceDN w:val="0"/>
              <w:jc w:val="both"/>
              <w:rPr>
                <w:rFonts w:eastAsia="Times New Roman"/>
                <w:b/>
                <w:u w:val="single"/>
                <w:lang w:eastAsia="en-US"/>
              </w:rPr>
            </w:pPr>
            <w:r w:rsidRPr="00EC3211">
              <w:rPr>
                <w:rFonts w:eastAsia="Times New Roman"/>
                <w:b/>
                <w:u w:val="single"/>
                <w:lang w:eastAsia="en-US"/>
              </w:rPr>
              <w:t>Jelgava</w:t>
            </w:r>
          </w:p>
          <w:p w:rsidR="0096030B" w:rsidRPr="00EC3211" w:rsidRDefault="0096030B" w:rsidP="009E5A05">
            <w:pPr>
              <w:autoSpaceDE w:val="0"/>
              <w:autoSpaceDN w:val="0"/>
              <w:jc w:val="both"/>
            </w:pPr>
            <w:r w:rsidRPr="00EC3211">
              <w:rPr>
                <w:rFonts w:eastAsia="Times New Roman"/>
                <w:lang w:eastAsia="en-US"/>
              </w:rPr>
              <w:t xml:space="preserve">Jelgavas pilsētas attīstības programmā 2014-2020 ir noteiktas </w:t>
            </w:r>
            <w:proofErr w:type="spellStart"/>
            <w:r w:rsidRPr="00EC3211">
              <w:rPr>
                <w:rFonts w:eastAsia="Times New Roman"/>
                <w:lang w:eastAsia="en-US"/>
              </w:rPr>
              <w:t>rīcībpolitikas</w:t>
            </w:r>
            <w:proofErr w:type="spellEnd"/>
            <w:r w:rsidRPr="00EC3211">
              <w:rPr>
                <w:rFonts w:eastAsia="Times New Roman"/>
                <w:lang w:eastAsia="en-US"/>
              </w:rPr>
              <w:t xml:space="preserve"> pilsētas attīstības vīzijas un stratēģisko mērķu  sasniegšanai. </w:t>
            </w:r>
            <w:proofErr w:type="spellStart"/>
            <w:r w:rsidRPr="00EC3211">
              <w:rPr>
                <w:rFonts w:eastAsia="Times New Roman"/>
                <w:lang w:eastAsia="en-US"/>
              </w:rPr>
              <w:t>Rīcībpolitikas</w:t>
            </w:r>
            <w:proofErr w:type="spellEnd"/>
            <w:r w:rsidRPr="00EC3211">
              <w:rPr>
                <w:rFonts w:eastAsia="Times New Roman"/>
                <w:lang w:eastAsia="en-US"/>
              </w:rPr>
              <w:t xml:space="preserve"> “Mobilitāte un pilsētas sasniedzamība” ietvaros plānots nodrošināt pilsētas iekšējo un ārējo sasniedzamību, attīstot transporta infrastruktūru un konkurētspējīgus transporta pakalpojumus. </w:t>
            </w:r>
            <w:proofErr w:type="spellStart"/>
            <w:r w:rsidRPr="00EC3211">
              <w:rPr>
                <w:rFonts w:eastAsia="Times New Roman"/>
                <w:lang w:eastAsia="en-US"/>
              </w:rPr>
              <w:t>Rīcībpolitikas</w:t>
            </w:r>
            <w:proofErr w:type="spellEnd"/>
            <w:r w:rsidRPr="00EC3211">
              <w:rPr>
                <w:rFonts w:eastAsia="Times New Roman"/>
                <w:lang w:eastAsia="en-US"/>
              </w:rPr>
              <w:t xml:space="preserve">  “Pētniecība, inovatīva uzņēmējdarbība un industriālā attīstība” ietvaros plānots sekmēt saimniecisko darbību pilsētā un jaunu darba vietu attīstību, t.sk. attīstot transporta infrastruktūru industriālajās teritorijās.” Industriālo teritoriju attīstībai būtiski transporta infrastruktūras projekti plānoti vēl vienas </w:t>
            </w:r>
            <w:proofErr w:type="spellStart"/>
            <w:r w:rsidRPr="00EC3211">
              <w:rPr>
                <w:rFonts w:eastAsia="Times New Roman"/>
                <w:lang w:eastAsia="en-US"/>
              </w:rPr>
              <w:t>rīcībpolitikas</w:t>
            </w:r>
            <w:proofErr w:type="spellEnd"/>
            <w:r w:rsidRPr="00EC3211">
              <w:rPr>
                <w:rFonts w:eastAsia="Times New Roman"/>
                <w:lang w:eastAsia="en-US"/>
              </w:rPr>
              <w:t xml:space="preserve"> ietvaros.</w:t>
            </w:r>
          </w:p>
          <w:p w:rsidR="0096030B" w:rsidRPr="00EC3211" w:rsidRDefault="0096030B" w:rsidP="0096030B">
            <w:pPr>
              <w:autoSpaceDE w:val="0"/>
              <w:autoSpaceDN w:val="0"/>
              <w:jc w:val="both"/>
            </w:pPr>
            <w:r w:rsidRPr="00EC3211">
              <w:t xml:space="preserve">Pasākuma ietvaros Jelgavā plāno īstenot projektu “Loka maģistrāles </w:t>
            </w:r>
            <w:r w:rsidR="004D470B" w:rsidRPr="00EC3211">
              <w:t xml:space="preserve"> pārbūve </w:t>
            </w:r>
            <w:r w:rsidRPr="00EC3211">
              <w:t>posmā no Aviācijas ielas līdz Jelgavas pilsētas administratīvajai robežai”. Projekta īstenošanas rezultātā tiks modernizēts nozīmīgs esošais tranzīta un kravu transporta maršruts Jelgavas pilsētā tā sasaistei ar TEN-T tīklu, tādējādi novēršot transporta infrastruktūras nepilnības, uzlabojot transporta plūsmu un pilsētvidi.</w:t>
            </w:r>
          </w:p>
          <w:p w:rsidR="00343528" w:rsidRPr="00EC3211" w:rsidRDefault="0096030B" w:rsidP="009E5A05">
            <w:pPr>
              <w:autoSpaceDE w:val="0"/>
              <w:autoSpaceDN w:val="0"/>
              <w:jc w:val="both"/>
            </w:pPr>
            <w:r w:rsidRPr="00EC3211">
              <w:lastRenderedPageBreak/>
              <w:t xml:space="preserve">Projekta plānoto attiecināmo izmaksu kopsumma </w:t>
            </w:r>
            <w:r w:rsidR="001238E0" w:rsidRPr="00EC3211">
              <w:t>7 877 584</w:t>
            </w:r>
            <w:r w:rsidRPr="00EC3211">
              <w:t xml:space="preserve"> EUR (</w:t>
            </w:r>
            <w:r w:rsidR="001238E0" w:rsidRPr="00EC3211">
              <w:t xml:space="preserve">2016.gadā 30 000 EUR, </w:t>
            </w:r>
            <w:r w:rsidRPr="00EC3211">
              <w:t xml:space="preserve">2017.gadā </w:t>
            </w:r>
            <w:r w:rsidR="001238E0" w:rsidRPr="00EC3211">
              <w:t>3 923 792</w:t>
            </w:r>
            <w:r w:rsidRPr="00EC3211">
              <w:t xml:space="preserve"> EUR, 2018.gadā </w:t>
            </w:r>
            <w:r w:rsidR="001238E0" w:rsidRPr="00EC3211">
              <w:t>3 923 792</w:t>
            </w:r>
            <w:r w:rsidRPr="00EC3211">
              <w:t xml:space="preserve"> </w:t>
            </w:r>
            <w:r w:rsidR="001238E0" w:rsidRPr="00EC3211">
              <w:t>EUR</w:t>
            </w:r>
            <w:r w:rsidRPr="00EC3211">
              <w:t xml:space="preserve">), t.sk., </w:t>
            </w:r>
            <w:r w:rsidR="00E607FF" w:rsidRPr="00EC3211">
              <w:t xml:space="preserve">pieejamais </w:t>
            </w:r>
            <w:r w:rsidRPr="00EC3211">
              <w:t xml:space="preserve">KF finansējums </w:t>
            </w:r>
            <w:r w:rsidR="001238E0" w:rsidRPr="00EC3211">
              <w:t>6 281 690</w:t>
            </w:r>
            <w:r w:rsidRPr="00EC3211">
              <w:t xml:space="preserve"> EUR (201</w:t>
            </w:r>
            <w:r w:rsidR="001238E0" w:rsidRPr="00EC3211">
              <w:t>6</w:t>
            </w:r>
            <w:r w:rsidRPr="00EC3211">
              <w:t xml:space="preserve">.gadā </w:t>
            </w:r>
            <w:r w:rsidR="001238E0" w:rsidRPr="00EC3211">
              <w:t>23 922</w:t>
            </w:r>
            <w:r w:rsidRPr="00EC3211">
              <w:t xml:space="preserve"> EUR, 201</w:t>
            </w:r>
            <w:r w:rsidR="001238E0" w:rsidRPr="00EC3211">
              <w:t>7</w:t>
            </w:r>
            <w:r w:rsidRPr="00EC3211">
              <w:t xml:space="preserve">.gadā </w:t>
            </w:r>
            <w:r w:rsidR="001238E0" w:rsidRPr="00EC3211">
              <w:t>3 128 884</w:t>
            </w:r>
            <w:r w:rsidRPr="00EC3211">
              <w:t xml:space="preserve"> EUR, </w:t>
            </w:r>
            <w:r w:rsidR="00A63F10" w:rsidRPr="00EC3211">
              <w:t>201</w:t>
            </w:r>
            <w:r w:rsidR="00A63F10">
              <w:t>8</w:t>
            </w:r>
            <w:r w:rsidRPr="00EC3211">
              <w:t xml:space="preserve">.gadā </w:t>
            </w:r>
            <w:r w:rsidR="001238E0" w:rsidRPr="00EC3211">
              <w:t>3 128 884</w:t>
            </w:r>
            <w:r w:rsidRPr="00EC3211">
              <w:t xml:space="preserve"> EUR), pašvaldības finansējums </w:t>
            </w:r>
            <w:r w:rsidR="00C736DD" w:rsidRPr="00EC3211">
              <w:t xml:space="preserve">1 318 761 </w:t>
            </w:r>
            <w:r w:rsidRPr="00EC3211">
              <w:t>EUR (201</w:t>
            </w:r>
            <w:r w:rsidR="001238E0" w:rsidRPr="00EC3211">
              <w:t>6</w:t>
            </w:r>
            <w:r w:rsidRPr="00EC3211">
              <w:t xml:space="preserve">.gadā </w:t>
            </w:r>
            <w:r w:rsidR="00C736DD" w:rsidRPr="00EC3211">
              <w:t xml:space="preserve"> 5 023 </w:t>
            </w:r>
            <w:r w:rsidRPr="00EC3211">
              <w:t>EUR, 201</w:t>
            </w:r>
            <w:r w:rsidR="001238E0" w:rsidRPr="00EC3211">
              <w:t>7</w:t>
            </w:r>
            <w:r w:rsidRPr="00EC3211">
              <w:t xml:space="preserve">.gadā </w:t>
            </w:r>
            <w:r w:rsidR="00BA57E3" w:rsidRPr="00EC3211">
              <w:t> </w:t>
            </w:r>
            <w:r w:rsidR="00C736DD" w:rsidRPr="00EC3211">
              <w:t>656 869</w:t>
            </w:r>
            <w:r w:rsidR="00BA57E3" w:rsidRPr="00EC3211">
              <w:t xml:space="preserve"> </w:t>
            </w:r>
            <w:r w:rsidRPr="00EC3211">
              <w:t>EUR, 201</w:t>
            </w:r>
            <w:r w:rsidR="001238E0" w:rsidRPr="00EC3211">
              <w:t>8</w:t>
            </w:r>
            <w:r w:rsidRPr="00EC3211">
              <w:t xml:space="preserve">.gadā </w:t>
            </w:r>
            <w:r w:rsidR="00C736DD" w:rsidRPr="00EC3211">
              <w:t>656 869</w:t>
            </w:r>
            <w:r w:rsidRPr="00EC3211">
              <w:t xml:space="preserve"> EUR) un valsts budžeta dotācija </w:t>
            </w:r>
            <w:r w:rsidR="00BA57E3" w:rsidRPr="00EC3211">
              <w:t> </w:t>
            </w:r>
            <w:r w:rsidR="00C736DD" w:rsidRPr="00EC3211">
              <w:t xml:space="preserve"> 277 133 </w:t>
            </w:r>
            <w:r w:rsidRPr="00EC3211">
              <w:t>EUR (201</w:t>
            </w:r>
            <w:r w:rsidR="001238E0" w:rsidRPr="00EC3211">
              <w:t>6</w:t>
            </w:r>
            <w:r w:rsidRPr="00EC3211">
              <w:t xml:space="preserve">.gadā </w:t>
            </w:r>
            <w:r w:rsidR="00C736DD" w:rsidRPr="00EC3211">
              <w:t>  1 055</w:t>
            </w:r>
            <w:r w:rsidR="002E20F7" w:rsidRPr="00EC3211">
              <w:t xml:space="preserve"> </w:t>
            </w:r>
            <w:r w:rsidRPr="00EC3211">
              <w:t>EUR, 201</w:t>
            </w:r>
            <w:r w:rsidR="001238E0" w:rsidRPr="00EC3211">
              <w:t>7</w:t>
            </w:r>
            <w:r w:rsidRPr="00EC3211">
              <w:t xml:space="preserve">.gadā </w:t>
            </w:r>
            <w:r w:rsidR="00C736DD" w:rsidRPr="00EC3211">
              <w:t>  138 039</w:t>
            </w:r>
            <w:r w:rsidRPr="00EC3211">
              <w:t xml:space="preserve"> EUR, 201</w:t>
            </w:r>
            <w:r w:rsidR="001238E0" w:rsidRPr="00EC3211">
              <w:t>8</w:t>
            </w:r>
            <w:r w:rsidRPr="00EC3211">
              <w:t xml:space="preserve">.gadā </w:t>
            </w:r>
            <w:r w:rsidR="00C736DD" w:rsidRPr="00EC3211">
              <w:t xml:space="preserve"> 138 039 </w:t>
            </w:r>
            <w:r w:rsidRPr="00EC3211">
              <w:t>EUR).</w:t>
            </w:r>
          </w:p>
          <w:p w:rsidR="001238E0" w:rsidRPr="00EC3211" w:rsidRDefault="001238E0" w:rsidP="009E5A05">
            <w:pPr>
              <w:autoSpaceDE w:val="0"/>
              <w:autoSpaceDN w:val="0"/>
              <w:jc w:val="both"/>
              <w:rPr>
                <w:u w:val="single"/>
              </w:rPr>
            </w:pPr>
          </w:p>
          <w:p w:rsidR="001315F8" w:rsidRPr="00EC3211" w:rsidRDefault="001315F8" w:rsidP="009E5A05">
            <w:pPr>
              <w:autoSpaceDE w:val="0"/>
              <w:autoSpaceDN w:val="0"/>
              <w:jc w:val="both"/>
              <w:rPr>
                <w:b/>
                <w:u w:val="single"/>
              </w:rPr>
            </w:pPr>
            <w:r w:rsidRPr="00EC3211">
              <w:rPr>
                <w:b/>
                <w:u w:val="single"/>
              </w:rPr>
              <w:t xml:space="preserve">Jūrmala </w:t>
            </w:r>
          </w:p>
          <w:p w:rsidR="00E43098" w:rsidRPr="00EC3211" w:rsidRDefault="00E43098" w:rsidP="00E43098">
            <w:pPr>
              <w:autoSpaceDE w:val="0"/>
              <w:autoSpaceDN w:val="0"/>
              <w:jc w:val="both"/>
            </w:pPr>
            <w:r w:rsidRPr="00EC3211">
              <w:t xml:space="preserve">Jūrmalas pilsētas attīstības programmā 2014.-2020.gadam </w:t>
            </w:r>
            <w:r w:rsidR="003537E3" w:rsidRPr="00EC3211">
              <w:t xml:space="preserve">noteiktā </w:t>
            </w:r>
            <w:r w:rsidRPr="00EC3211">
              <w:t>vidēj</w:t>
            </w:r>
            <w:r w:rsidR="003537E3" w:rsidRPr="00EC3211">
              <w:t>ā</w:t>
            </w:r>
            <w:r w:rsidRPr="00EC3211">
              <w:t xml:space="preserve"> termiņa mērķa “Komunālā un transporta infrastruktūra” sasniegšanai līdz 2020.gadam prioritāri</w:t>
            </w:r>
            <w:r w:rsidR="003537E3" w:rsidRPr="00EC3211">
              <w:t xml:space="preserve"> jāveic</w:t>
            </w:r>
            <w:r w:rsidRPr="00EC3211">
              <w:t xml:space="preserve"> pašvaldības ceļu un ielu kvalitātes uzlabošana</w:t>
            </w:r>
            <w:r w:rsidR="003537E3" w:rsidRPr="00EC3211">
              <w:t xml:space="preserve">. </w:t>
            </w:r>
          </w:p>
          <w:p w:rsidR="00E43098" w:rsidRPr="00EC3211" w:rsidRDefault="00E43098" w:rsidP="00E43098">
            <w:pPr>
              <w:autoSpaceDE w:val="0"/>
              <w:autoSpaceDN w:val="0"/>
              <w:jc w:val="both"/>
            </w:pPr>
            <w:r w:rsidRPr="00EC3211">
              <w:t xml:space="preserve">Pasākuma ietvaros Jūrmalā plāno īstenot projektu “Apvedceļa Kauguri – Sloka izbūve I kārta (pieslēgums A10/E22) un II kārta (pieslēgums Kolkas ielai)”. Īstenojot projektu, tiks radīts alternatīvs maršruts tranzīta kravas transportam, atdalot </w:t>
            </w:r>
            <w:r w:rsidR="003537E3" w:rsidRPr="00EC3211">
              <w:t xml:space="preserve">to </w:t>
            </w:r>
            <w:r w:rsidRPr="00EC3211">
              <w:t>no vietēj</w:t>
            </w:r>
            <w:r w:rsidR="003537E3" w:rsidRPr="00EC3211">
              <w:t>ā</w:t>
            </w:r>
            <w:r w:rsidRPr="00EC3211">
              <w:t xml:space="preserve">s nozīmes sabiedriskā transporta plūsmām, līdz ar to tiks samazināta transporta intensitāte blīvi apdzīvotajās pilsētas daļās. Tāpat tiks uzlabots transporta plūsmas vidējais ātrums un saīsināts </w:t>
            </w:r>
            <w:r w:rsidR="003537E3" w:rsidRPr="00EC3211">
              <w:t>pārvietošanās</w:t>
            </w:r>
            <w:r w:rsidRPr="00EC3211">
              <w:t xml:space="preserve"> laiks, turklāt īstenojot projekta 3.kārtu (izbūvējot pārvadu) netiks ierobežota vilcienu kustība posmā Rīga – Ventspils, kā arī tiks veicināta ekoloģiskās dzīves vides kvalitātes uzlabošanās pilsētas iedzīvotājiem, jo tiks samazināts CO2 izmešu daudzums pilsētas blīvi apdzīvotajās daļās, kā arī samazināts trokšņu līmenis un risināti drošības jautājumi.</w:t>
            </w:r>
          </w:p>
          <w:p w:rsidR="00E43098" w:rsidRPr="00EC3211" w:rsidRDefault="00766D64" w:rsidP="00E43098">
            <w:pPr>
              <w:autoSpaceDE w:val="0"/>
              <w:autoSpaceDN w:val="0"/>
              <w:jc w:val="both"/>
            </w:pPr>
            <w:r w:rsidRPr="00EC3211">
              <w:t xml:space="preserve">Projekta kopējas izmaksas 9 800 000 EUR. </w:t>
            </w:r>
            <w:r w:rsidR="00E43098" w:rsidRPr="00EC3211">
              <w:t xml:space="preserve">Projekta plānoto attiecināmo izmaksu kopsumma 3 189 653 EUR (2019.gadā 500 000 EUR, 2020.gadā 2 400 000 EUR, 2021.gadā </w:t>
            </w:r>
            <w:r w:rsidR="00FB4F50">
              <w:t xml:space="preserve">      </w:t>
            </w:r>
            <w:r w:rsidR="00E43098" w:rsidRPr="00EC3211">
              <w:t xml:space="preserve">289 653 EUR), t.sk., </w:t>
            </w:r>
            <w:r w:rsidR="00E607FF" w:rsidRPr="00EC3211">
              <w:t xml:space="preserve">pieejamais </w:t>
            </w:r>
            <w:r w:rsidR="00E43098" w:rsidRPr="00EC3211">
              <w:t xml:space="preserve">KF finansējums </w:t>
            </w:r>
            <w:r w:rsidR="00C13A49" w:rsidRPr="00EC3211">
              <w:t>2 711 205</w:t>
            </w:r>
            <w:r w:rsidR="00E43098" w:rsidRPr="00EC3211">
              <w:t xml:space="preserve"> EUR (2019.gadā </w:t>
            </w:r>
            <w:r w:rsidR="00C13A49" w:rsidRPr="00EC3211">
              <w:t>425 000</w:t>
            </w:r>
            <w:r w:rsidR="00E43098" w:rsidRPr="00EC3211">
              <w:t xml:space="preserve"> EUR, 2020.gadā </w:t>
            </w:r>
            <w:r w:rsidR="00C13A49" w:rsidRPr="00EC3211">
              <w:t>2 040 000</w:t>
            </w:r>
            <w:r w:rsidR="00E43098" w:rsidRPr="00EC3211">
              <w:t xml:space="preserve"> EUR, 2021.gadā </w:t>
            </w:r>
            <w:r w:rsidR="00C13A49" w:rsidRPr="00EC3211">
              <w:t>246 205</w:t>
            </w:r>
            <w:r w:rsidR="00E43098" w:rsidRPr="00EC3211">
              <w:t xml:space="preserve"> EUR), pašvaldības finansējums </w:t>
            </w:r>
            <w:r w:rsidR="00C13A49" w:rsidRPr="00EC3211">
              <w:t>406 681</w:t>
            </w:r>
            <w:r w:rsidR="00E43098" w:rsidRPr="00EC3211">
              <w:t xml:space="preserve"> EUR (</w:t>
            </w:r>
            <w:r w:rsidR="00C13A49" w:rsidRPr="00EC3211">
              <w:t xml:space="preserve">2019.gadā 63 750 EUR, 2020.gadā 306 000 EUR, 2021.gadā 36 </w:t>
            </w:r>
            <w:r w:rsidR="00A3392A">
              <w:t>931</w:t>
            </w:r>
            <w:r w:rsidR="00A3392A" w:rsidRPr="00EC3211">
              <w:t xml:space="preserve"> </w:t>
            </w:r>
            <w:r w:rsidR="00C13A49" w:rsidRPr="00EC3211">
              <w:t>EUR</w:t>
            </w:r>
            <w:r w:rsidR="00E43098" w:rsidRPr="00EC3211">
              <w:t xml:space="preserve">) un valsts budžeta dotācija </w:t>
            </w:r>
            <w:r w:rsidR="00C13A49" w:rsidRPr="00EC3211">
              <w:t>71 767</w:t>
            </w:r>
            <w:r w:rsidR="00E43098" w:rsidRPr="00EC3211">
              <w:t xml:space="preserve"> EUR (</w:t>
            </w:r>
            <w:r w:rsidR="00C13A49" w:rsidRPr="00EC3211">
              <w:t>2019.gadā 11 250 EUR, 2020.gadā 54 000 EUR, 2021.gadā 6 517 EUR</w:t>
            </w:r>
            <w:r w:rsidR="00E43098" w:rsidRPr="00EC3211">
              <w:t>).</w:t>
            </w:r>
          </w:p>
          <w:p w:rsidR="0033342E" w:rsidRPr="00EC3211" w:rsidRDefault="0033342E" w:rsidP="00E43098">
            <w:pPr>
              <w:autoSpaceDE w:val="0"/>
              <w:autoSpaceDN w:val="0"/>
              <w:jc w:val="both"/>
            </w:pPr>
          </w:p>
          <w:p w:rsidR="001315F8" w:rsidRPr="00EC3211" w:rsidRDefault="001315F8" w:rsidP="009E5A05">
            <w:pPr>
              <w:autoSpaceDE w:val="0"/>
              <w:autoSpaceDN w:val="0"/>
              <w:jc w:val="both"/>
              <w:rPr>
                <w:b/>
                <w:u w:val="single"/>
              </w:rPr>
            </w:pPr>
            <w:r w:rsidRPr="00EC3211">
              <w:rPr>
                <w:b/>
                <w:u w:val="single"/>
              </w:rPr>
              <w:t xml:space="preserve">Liepāja </w:t>
            </w:r>
          </w:p>
          <w:p w:rsidR="001315F8" w:rsidRPr="00EC3211" w:rsidRDefault="001315F8" w:rsidP="009E5A05">
            <w:pPr>
              <w:autoSpaceDE w:val="0"/>
              <w:autoSpaceDN w:val="0"/>
              <w:jc w:val="both"/>
            </w:pPr>
            <w:r w:rsidRPr="00EC3211">
              <w:t>Liepājas pilsētas attīstības programmas 2015.-2020. gadam ietvaros līdz 2020.gadam plānots</w:t>
            </w:r>
            <w:r w:rsidRPr="00EC3211">
              <w:rPr>
                <w:rFonts w:ascii="Calibri" w:eastAsia="Times New Roman" w:hAnsi="Calibri"/>
                <w:sz w:val="22"/>
                <w:szCs w:val="22"/>
                <w:lang w:eastAsia="en-US"/>
              </w:rPr>
              <w:t xml:space="preserve"> </w:t>
            </w:r>
            <w:r w:rsidRPr="00EC3211">
              <w:t>veicināt Liepājai nozīmīgu valsts galveno autoceļu infrastruktūras attīstību (A9; A11), nodrošinot sasaisti ar prioritāro TEN-T tīkla infrastruktūru.</w:t>
            </w:r>
          </w:p>
          <w:p w:rsidR="00684FAF" w:rsidRPr="00EC3211" w:rsidRDefault="00FD5963" w:rsidP="009E5A05">
            <w:pPr>
              <w:autoSpaceDE w:val="0"/>
              <w:autoSpaceDN w:val="0"/>
              <w:jc w:val="both"/>
            </w:pPr>
            <w:r w:rsidRPr="00EC3211">
              <w:t>Pasākuma ietvaros Liepājā  plāno īstenot projektu “</w:t>
            </w:r>
            <w:proofErr w:type="spellStart"/>
            <w:r w:rsidRPr="00EC3211">
              <w:t>Grīzupes</w:t>
            </w:r>
            <w:proofErr w:type="spellEnd"/>
            <w:r w:rsidRPr="00EC3211">
              <w:t xml:space="preserve"> ielas pārbūve posmā no Liepājas pilsētas robežas līdz Cukura ielas aplim”. Īstenojot projektu</w:t>
            </w:r>
            <w:r w:rsidR="00FB4F50">
              <w:t>,</w:t>
            </w:r>
            <w:r w:rsidRPr="00EC3211">
              <w:t xml:space="preserve"> tiks nodrošināts </w:t>
            </w:r>
            <w:proofErr w:type="spellStart"/>
            <w:r w:rsidRPr="00EC3211">
              <w:t>Grīzupes</w:t>
            </w:r>
            <w:proofErr w:type="spellEnd"/>
            <w:r w:rsidRPr="00EC3211">
              <w:t xml:space="preserve"> ielas (P110) savienojums ar A9 tālākai kravu plūsmai uz Liepājas ostu un A11 uz Klaipēdas (Lietuva) </w:t>
            </w:r>
            <w:r w:rsidRPr="00EC3211">
              <w:lastRenderedPageBreak/>
              <w:t>ostu, vienlaicīgi nodrošinot nozīmīgas pilsētas transporta infrastruktūras sasaisti ar TEN-T tīkliem pilsētas ietvaros un integrāciju TEN-T tīklā ārpus pilsētas.</w:t>
            </w:r>
          </w:p>
          <w:p w:rsidR="00766D64" w:rsidRPr="00EC3211" w:rsidRDefault="00766D64" w:rsidP="00766D64">
            <w:pPr>
              <w:autoSpaceDE w:val="0"/>
              <w:autoSpaceDN w:val="0"/>
              <w:jc w:val="both"/>
            </w:pPr>
            <w:r w:rsidRPr="00EC3211">
              <w:t xml:space="preserve">Projekta plānoto attiecināmo izmaksu kopsumma 5 558 088 EUR (2017.gadā 3 890 662 EUR, 2018.gadā 1 667 426 EUR,), t.sk., </w:t>
            </w:r>
            <w:r w:rsidR="00E607FF" w:rsidRPr="00EC3211">
              <w:t xml:space="preserve">pieejamais </w:t>
            </w:r>
            <w:r w:rsidRPr="00EC3211">
              <w:t>KF finansējums 4 432 </w:t>
            </w:r>
            <w:r w:rsidR="00933034" w:rsidRPr="00EC3211">
              <w:t xml:space="preserve">093 </w:t>
            </w:r>
            <w:r w:rsidRPr="00EC3211">
              <w:t xml:space="preserve">EUR (2017.gadā 3 102 466 EUR, 2018.gadā 1 329 </w:t>
            </w:r>
            <w:r w:rsidR="00933034" w:rsidRPr="00EC3211">
              <w:t xml:space="preserve">627 </w:t>
            </w:r>
            <w:r w:rsidRPr="00EC3211">
              <w:t xml:space="preserve">EUR), pašvaldības finansējums </w:t>
            </w:r>
            <w:r w:rsidR="00BA57E3" w:rsidRPr="00EC3211">
              <w:t> </w:t>
            </w:r>
            <w:r w:rsidR="002E20F7" w:rsidRPr="00EC3211">
              <w:t xml:space="preserve"> </w:t>
            </w:r>
            <w:r w:rsidR="005F6EB1" w:rsidRPr="00EC3211">
              <w:t xml:space="preserve"> 930 461 </w:t>
            </w:r>
            <w:r w:rsidRPr="00EC3211">
              <w:t xml:space="preserve">EUR (2017.gadā </w:t>
            </w:r>
            <w:r w:rsidR="005F6EB1" w:rsidRPr="00EC3211">
              <w:t>651 322</w:t>
            </w:r>
            <w:r w:rsidRPr="00EC3211">
              <w:t xml:space="preserve"> EUR, 2018.gadā </w:t>
            </w:r>
            <w:r w:rsidR="00BA57E3" w:rsidRPr="00EC3211">
              <w:t> </w:t>
            </w:r>
            <w:r w:rsidR="005F6EB1" w:rsidRPr="00EC3211">
              <w:t>279 139</w:t>
            </w:r>
            <w:r w:rsidR="00BA57E3" w:rsidRPr="00EC3211">
              <w:t xml:space="preserve"> </w:t>
            </w:r>
            <w:r w:rsidRPr="00EC3211">
              <w:t xml:space="preserve">EUR) un valsts budžeta dotācija </w:t>
            </w:r>
            <w:r w:rsidR="005F6EB1" w:rsidRPr="00EC3211">
              <w:t>195 534</w:t>
            </w:r>
            <w:r w:rsidRPr="00EC3211">
              <w:t xml:space="preserve"> EUR (2017.gadā </w:t>
            </w:r>
            <w:r w:rsidR="005F6EB1" w:rsidRPr="00EC3211">
              <w:t>136 873</w:t>
            </w:r>
            <w:r w:rsidRPr="00EC3211">
              <w:t xml:space="preserve"> EUR, 2018.gadā </w:t>
            </w:r>
            <w:r w:rsidR="005F6EB1" w:rsidRPr="00EC3211">
              <w:t>58 66</w:t>
            </w:r>
            <w:r w:rsidR="008C1D17">
              <w:t>1</w:t>
            </w:r>
            <w:r w:rsidRPr="00EC3211">
              <w:t xml:space="preserve"> </w:t>
            </w:r>
            <w:r w:rsidR="00DE2BC3" w:rsidRPr="00EC3211">
              <w:t>EUR</w:t>
            </w:r>
            <w:r w:rsidRPr="00EC3211">
              <w:t>).</w:t>
            </w:r>
          </w:p>
          <w:p w:rsidR="001315F8" w:rsidRPr="00EC3211" w:rsidRDefault="001315F8" w:rsidP="009E5A05">
            <w:pPr>
              <w:autoSpaceDE w:val="0"/>
              <w:autoSpaceDN w:val="0"/>
              <w:jc w:val="both"/>
              <w:rPr>
                <w:u w:val="single"/>
              </w:rPr>
            </w:pPr>
          </w:p>
          <w:p w:rsidR="001315F8" w:rsidRPr="00EC3211" w:rsidRDefault="001315F8" w:rsidP="009E5A05">
            <w:pPr>
              <w:autoSpaceDE w:val="0"/>
              <w:autoSpaceDN w:val="0"/>
              <w:jc w:val="both"/>
              <w:rPr>
                <w:b/>
                <w:u w:val="single"/>
              </w:rPr>
            </w:pPr>
            <w:r w:rsidRPr="00EC3211">
              <w:rPr>
                <w:b/>
                <w:u w:val="single"/>
              </w:rPr>
              <w:t>Rēzekne</w:t>
            </w:r>
          </w:p>
          <w:p w:rsidR="001315F8" w:rsidRPr="00EC3211" w:rsidRDefault="001315F8" w:rsidP="009E5A05">
            <w:pPr>
              <w:autoSpaceDE w:val="0"/>
              <w:autoSpaceDN w:val="0"/>
              <w:jc w:val="both"/>
            </w:pPr>
            <w:r w:rsidRPr="00EC3211">
              <w:t>Rēzeknes pilsētas attīstības programmas 2014.-2020.gadam</w:t>
            </w:r>
            <w:r w:rsidRPr="00EC3211">
              <w:rPr>
                <w:rFonts w:eastAsia="Times New Roman"/>
                <w:lang w:eastAsia="en-US"/>
              </w:rPr>
              <w:t xml:space="preserve"> ietvaros</w:t>
            </w:r>
            <w:r w:rsidRPr="00EC3211">
              <w:rPr>
                <w:rFonts w:ascii="Calibri" w:eastAsia="Times New Roman" w:hAnsi="Calibri"/>
                <w:sz w:val="22"/>
                <w:szCs w:val="22"/>
                <w:lang w:eastAsia="en-US"/>
              </w:rPr>
              <w:t xml:space="preserve"> </w:t>
            </w:r>
            <w:r w:rsidRPr="00EC3211">
              <w:t>pašvaldība plāno pilnveidot transporta infrastruktūru, īstenojot aktivitātes un projektus, kas nodrošinās ērtu un drošu pārvietošanos pilsētā, pilsētas daļu labāku sasaisti un pilsētas ērtāku sasniedzamību reģionālā līmenī un integrāciju TEN-T tīklā.</w:t>
            </w:r>
          </w:p>
          <w:p w:rsidR="00A30D0B" w:rsidRPr="00EC3211" w:rsidRDefault="00A30D0B" w:rsidP="00A30D0B">
            <w:pPr>
              <w:autoSpaceDE w:val="0"/>
              <w:autoSpaceDN w:val="0"/>
              <w:jc w:val="both"/>
              <w:rPr>
                <w:iCs/>
              </w:rPr>
            </w:pPr>
            <w:r w:rsidRPr="00EC3211">
              <w:rPr>
                <w:iCs/>
              </w:rPr>
              <w:t xml:space="preserve">Pasākuma ietvaros Rēzeknē  plāno īstenot projektu “Latgales ielas posma no Daugavpils ielas līdz Ludzas ielas un </w:t>
            </w:r>
            <w:proofErr w:type="spellStart"/>
            <w:r w:rsidRPr="00EC3211">
              <w:rPr>
                <w:iCs/>
              </w:rPr>
              <w:t>Kr</w:t>
            </w:r>
            <w:proofErr w:type="spellEnd"/>
            <w:r w:rsidRPr="00EC3211">
              <w:rPr>
                <w:iCs/>
              </w:rPr>
              <w:t>. Barona ielas krustojumam pārbūve, Rēzeknē un Ludzas ielas pārbūve Rēzeknē”, kura mērķis ir uzlabot Rēzeknes pilsētas satiksmes funkcionalitāti un Rēzeknes pilsētas transporta infrastruktūras integrētu sasaisti TEN-T tīklā.</w:t>
            </w:r>
          </w:p>
          <w:p w:rsidR="00A30D0B" w:rsidRPr="00EC3211" w:rsidRDefault="00A30D0B" w:rsidP="00A30D0B">
            <w:pPr>
              <w:autoSpaceDE w:val="0"/>
              <w:autoSpaceDN w:val="0"/>
              <w:jc w:val="both"/>
            </w:pPr>
            <w:r w:rsidRPr="00EC3211">
              <w:t>Projekta plānoto attiecināmo izmaksu kopsumma 2 814 400 EUR (2017.gadā 239 224 EUR, 2018.gadā 1 751 120 EUR, 2019.gadā 824 056), t.sk., pieejamais KF finansējums 2 392 240 EUR (2017.gadā 203 340 EUR, 2018.gadā 1 488 452 EUR, 2019.gadā 700 448 EUR), pašvaldības finansējums 316 620 EUR (2017.gadā 26 913 EUR, 2018.gadā 197 001 EUR, 2019.gadā 92 706 EUR) un valsts budžeta dotācija 105 540  EUR (2017.gadā 8 971 EUR, 2018.gadā 65 667 EUR, 2019.gadā 30 902).</w:t>
            </w:r>
          </w:p>
          <w:p w:rsidR="001315F8" w:rsidRPr="00EC3211" w:rsidRDefault="001315F8" w:rsidP="009E5A05">
            <w:pPr>
              <w:autoSpaceDE w:val="0"/>
              <w:autoSpaceDN w:val="0"/>
              <w:jc w:val="both"/>
            </w:pPr>
          </w:p>
          <w:p w:rsidR="001315F8" w:rsidRPr="00EC3211" w:rsidRDefault="001315F8" w:rsidP="009E5A05">
            <w:pPr>
              <w:autoSpaceDE w:val="0"/>
              <w:autoSpaceDN w:val="0"/>
              <w:jc w:val="both"/>
              <w:rPr>
                <w:b/>
                <w:u w:val="single"/>
              </w:rPr>
            </w:pPr>
            <w:r w:rsidRPr="00EC3211">
              <w:rPr>
                <w:b/>
                <w:u w:val="single"/>
              </w:rPr>
              <w:t xml:space="preserve">Valmiera </w:t>
            </w:r>
          </w:p>
          <w:p w:rsidR="00EC5BBB" w:rsidRPr="00EC3211" w:rsidRDefault="00EC5BBB" w:rsidP="009E5A05">
            <w:pPr>
              <w:autoSpaceDE w:val="0"/>
              <w:autoSpaceDN w:val="0"/>
              <w:jc w:val="both"/>
            </w:pPr>
            <w:r w:rsidRPr="00EC3211">
              <w:t>Valmieras pilsētas ilgtspējīgas attīstības stratēģij</w:t>
            </w:r>
            <w:r w:rsidR="00A26D29" w:rsidRPr="00EC3211">
              <w:t>a</w:t>
            </w:r>
            <w:r w:rsidRPr="00EC3211">
              <w:t xml:space="preserve"> 2015.-2030.gadam</w:t>
            </w:r>
            <w:r w:rsidR="00A26D29" w:rsidRPr="00EC3211">
              <w:t xml:space="preserve"> nosaka, ka</w:t>
            </w:r>
            <w:r w:rsidRPr="00EC3211">
              <w:t xml:space="preserve"> būtiska loma Valmieras pilsētas satiksmes infrastruktūras attīstībā ir valsts galvenajam autoceļam A3 (Inčukalns-Valmiera-Igaunijas robeža (Valka)), kas ietilpst starptautiskajā autoceļu izvietojumā gar pilsētas ziemeļu robežu, kā arī autoceļam P18 Valmiera-Smiltene, kas veido apvedceļu ap pilsētu, un dzelzceļam, kas šķērso Valmieras dienvidaustrumu daļu, kur koncentrēt</w:t>
            </w:r>
            <w:r w:rsidR="00A26D29" w:rsidRPr="00EC3211">
              <w:t>as</w:t>
            </w:r>
            <w:r w:rsidRPr="00EC3211">
              <w:t xml:space="preserve"> izvietojušās industriālās teritorijas. Dzelzceļš un autoceļu tīkls nodrošina ērtu Valmieras sasniedzamību gan reģionālā, gan starptautiskā līmenī.</w:t>
            </w:r>
          </w:p>
          <w:p w:rsidR="00DE2BC3" w:rsidRPr="00EC3211" w:rsidRDefault="00DE2BC3" w:rsidP="00DE2BC3">
            <w:pPr>
              <w:autoSpaceDE w:val="0"/>
              <w:autoSpaceDN w:val="0"/>
              <w:jc w:val="both"/>
            </w:pPr>
            <w:r w:rsidRPr="00EC3211">
              <w:t>Pasākuma ietvaros Valmierā  plāno īstenot projektu “Valmieras pilsētas Rietumu industriālās maģistrāles attīstība - L.Paegles ielas savienojums ar TEN-T tīklu</w:t>
            </w:r>
            <w:r w:rsidRPr="00EC3211">
              <w:rPr>
                <w:b/>
              </w:rPr>
              <w:t>.</w:t>
            </w:r>
            <w:r w:rsidRPr="00EC3211">
              <w:t>” Projekta īstenošana nodrošinā</w:t>
            </w:r>
            <w:r w:rsidR="00BD7450" w:rsidRPr="00EC3211">
              <w:t>s</w:t>
            </w:r>
            <w:r w:rsidRPr="00EC3211">
              <w:t xml:space="preserve"> Valmieras pilsētas atsevišķu </w:t>
            </w:r>
            <w:r w:rsidRPr="00EC3211">
              <w:lastRenderedPageBreak/>
              <w:t xml:space="preserve">daļu efektīvu savstarpējo sasaisti un sasaisti ar TEN-T tīklu un </w:t>
            </w:r>
            <w:r w:rsidRPr="00EC3211">
              <w:rPr>
                <w:bCs/>
              </w:rPr>
              <w:t>vidējo satiksmes intensitātes samazinājumu kravas transportam uz ielām, kuras tiks atslogotas projekta īstenošanas rezultātā.</w:t>
            </w:r>
          </w:p>
          <w:p w:rsidR="00DE2BC3" w:rsidRPr="00EC3211" w:rsidRDefault="00DE2BC3" w:rsidP="00DE2BC3">
            <w:pPr>
              <w:autoSpaceDE w:val="0"/>
              <w:autoSpaceDN w:val="0"/>
              <w:jc w:val="both"/>
            </w:pPr>
            <w:r w:rsidRPr="00EC3211">
              <w:t xml:space="preserve">Projekta plānoto attiecināmo izmaksu kopsumma 3 377 280 EUR (2017.gadā 1 800 000 EUR, 2018.gadā 1 577 280 EUR,), t.sk., </w:t>
            </w:r>
            <w:r w:rsidR="00E607FF" w:rsidRPr="00EC3211">
              <w:t xml:space="preserve">pieejamais </w:t>
            </w:r>
            <w:r w:rsidRPr="00EC3211">
              <w:t>KF finansējums 2 870 688 EUR (2017.gadā 1 530 000 EUR, 2018.gadā 1 340 688 EUR), pašvaldības finansējums 405 274 EUR (2017.gadā 216 000 EUR, 2018.gadā 189 274 EUR) un valsts budžeta dotācija 101 318 EUR (2017.gadā 54 000 EUR, 2018.gadā 47 318 EUR).</w:t>
            </w:r>
          </w:p>
          <w:p w:rsidR="00EC5BBB" w:rsidRPr="00EC3211" w:rsidRDefault="00EC5BBB" w:rsidP="009E5A05">
            <w:pPr>
              <w:autoSpaceDE w:val="0"/>
              <w:autoSpaceDN w:val="0"/>
              <w:jc w:val="both"/>
              <w:rPr>
                <w:b/>
                <w:u w:val="single"/>
              </w:rPr>
            </w:pPr>
          </w:p>
          <w:p w:rsidR="001315F8" w:rsidRPr="00EC3211" w:rsidRDefault="00EC5BBB" w:rsidP="009E5A05">
            <w:pPr>
              <w:autoSpaceDE w:val="0"/>
              <w:autoSpaceDN w:val="0"/>
              <w:jc w:val="both"/>
              <w:rPr>
                <w:b/>
                <w:u w:val="single"/>
              </w:rPr>
            </w:pPr>
            <w:r w:rsidRPr="00EC3211">
              <w:rPr>
                <w:b/>
                <w:u w:val="single"/>
              </w:rPr>
              <w:t xml:space="preserve">Ventspils </w:t>
            </w:r>
          </w:p>
          <w:p w:rsidR="000079FC" w:rsidRPr="00EC3211" w:rsidRDefault="000079FC" w:rsidP="009E5A05">
            <w:pPr>
              <w:autoSpaceDE w:val="0"/>
              <w:autoSpaceDN w:val="0"/>
              <w:jc w:val="both"/>
            </w:pPr>
            <w:r w:rsidRPr="00EC3211">
              <w:t>Ventspils pilsētas attīstības programm</w:t>
            </w:r>
            <w:r w:rsidR="003537E3" w:rsidRPr="00EC3211">
              <w:t>as</w:t>
            </w:r>
            <w:r w:rsidRPr="00EC3211">
              <w:t xml:space="preserve"> 2014.-2020.gadam ietvaros plānots </w:t>
            </w:r>
            <w:r w:rsidR="004D470B" w:rsidRPr="00EC3211">
              <w:t xml:space="preserve">pārbūvēt </w:t>
            </w:r>
            <w:r w:rsidRPr="00EC3211">
              <w:t xml:space="preserve">valsts autoceļus, kas savieno Ventspili ar Rīgu (E22 posms), Liepāju un Kuldīgu. </w:t>
            </w:r>
          </w:p>
          <w:p w:rsidR="00EC5BBB" w:rsidRPr="00EC3211" w:rsidRDefault="00BD7450" w:rsidP="009E5A05">
            <w:pPr>
              <w:autoSpaceDE w:val="0"/>
              <w:autoSpaceDN w:val="0"/>
              <w:jc w:val="both"/>
            </w:pPr>
            <w:r w:rsidRPr="00EC3211">
              <w:t xml:space="preserve">Pasākuma ietvaros Ventspilī plāno īstenot projektu “Alternatīva </w:t>
            </w:r>
            <w:proofErr w:type="spellStart"/>
            <w:r w:rsidRPr="00EC3211">
              <w:t>tranzītmaršruta</w:t>
            </w:r>
            <w:proofErr w:type="spellEnd"/>
            <w:r w:rsidRPr="00EC3211">
              <w:t xml:space="preserve"> izveide TEN-T tīklam Ventspilī (Robežu ielas pārbūve 3,35km garumā un Mazā Kurzemes ielas pārbūve 0,55km garumā)”</w:t>
            </w:r>
            <w:r w:rsidR="00DA0065" w:rsidRPr="00EC3211">
              <w:t xml:space="preserve">. Projekta īstenošanas rezultātā Ventspils pilsētā tiks izveidots alternatīvs TEN-T tranzīta kravu maršruts, nodrošinot transportlīdzekļu </w:t>
            </w:r>
            <w:r w:rsidR="00F726AE" w:rsidRPr="00EC3211">
              <w:t xml:space="preserve"> </w:t>
            </w:r>
            <w:r w:rsidR="003537E3" w:rsidRPr="00EC3211">
              <w:t>pārvietošanās</w:t>
            </w:r>
            <w:r w:rsidR="00DA0065" w:rsidRPr="00EC3211">
              <w:t xml:space="preserve"> laika ietaupījumu.</w:t>
            </w:r>
          </w:p>
          <w:p w:rsidR="00BD7450" w:rsidRPr="00EC3211" w:rsidRDefault="00BD7450" w:rsidP="00BD7450">
            <w:pPr>
              <w:autoSpaceDE w:val="0"/>
              <w:autoSpaceDN w:val="0"/>
              <w:jc w:val="both"/>
            </w:pPr>
            <w:r w:rsidRPr="00EC3211">
              <w:t xml:space="preserve">Projekta plānoto attiecināmo izmaksu kopsumma </w:t>
            </w:r>
            <w:r w:rsidR="00E607FF" w:rsidRPr="00EC3211">
              <w:t>6 330 000</w:t>
            </w:r>
            <w:r w:rsidRPr="00EC3211">
              <w:t xml:space="preserve"> EUR (2016.gadā </w:t>
            </w:r>
            <w:r w:rsidR="00E607FF" w:rsidRPr="00EC3211">
              <w:t>25</w:t>
            </w:r>
            <w:r w:rsidRPr="00EC3211">
              <w:t xml:space="preserve"> 000 EUR, 2017.gadā </w:t>
            </w:r>
            <w:r w:rsidR="00E607FF" w:rsidRPr="00EC3211">
              <w:t>3 450 000</w:t>
            </w:r>
            <w:r w:rsidRPr="00EC3211">
              <w:t xml:space="preserve"> EUR, 2018.gadā </w:t>
            </w:r>
            <w:r w:rsidR="00E607FF" w:rsidRPr="00EC3211">
              <w:t>2 855 000</w:t>
            </w:r>
            <w:r w:rsidRPr="00EC3211">
              <w:t xml:space="preserve"> EUR), t.sk., </w:t>
            </w:r>
            <w:r w:rsidR="00E607FF" w:rsidRPr="00EC3211">
              <w:t xml:space="preserve">pieejamais </w:t>
            </w:r>
            <w:r w:rsidRPr="00EC3211">
              <w:t xml:space="preserve">KF finansējums </w:t>
            </w:r>
            <w:r w:rsidR="00E607FF" w:rsidRPr="00EC3211">
              <w:t>5 047 626</w:t>
            </w:r>
            <w:r w:rsidRPr="00EC3211">
              <w:t xml:space="preserve"> EUR (2016.gadā </w:t>
            </w:r>
            <w:r w:rsidR="00E607FF" w:rsidRPr="00EC3211">
              <w:t>19 935</w:t>
            </w:r>
            <w:r w:rsidRPr="00EC3211">
              <w:t xml:space="preserve"> EUR, 2017.gadā </w:t>
            </w:r>
            <w:r w:rsidR="00E607FF" w:rsidRPr="00EC3211">
              <w:t>2 751 076</w:t>
            </w:r>
            <w:r w:rsidRPr="00EC3211">
              <w:t xml:space="preserve"> EUR, 201</w:t>
            </w:r>
            <w:r w:rsidR="008B341E">
              <w:t>8</w:t>
            </w:r>
            <w:r w:rsidRPr="00EC3211">
              <w:t xml:space="preserve">.gadā </w:t>
            </w:r>
            <w:r w:rsidR="00E607FF" w:rsidRPr="00EC3211">
              <w:t>2 276 615</w:t>
            </w:r>
            <w:r w:rsidRPr="00EC3211">
              <w:t xml:space="preserve"> EUR), pašvaldības finansējums </w:t>
            </w:r>
            <w:r w:rsidR="00637FFA" w:rsidRPr="00EC3211">
              <w:t xml:space="preserve"> </w:t>
            </w:r>
            <w:r w:rsidR="005F6EB1" w:rsidRPr="00EC3211">
              <w:t xml:space="preserve"> 1 104 222 </w:t>
            </w:r>
            <w:r w:rsidRPr="00EC3211">
              <w:t xml:space="preserve">EUR (2016.gadā </w:t>
            </w:r>
            <w:r w:rsidR="005F6EB1" w:rsidRPr="00EC3211">
              <w:t xml:space="preserve"> 4 361 </w:t>
            </w:r>
            <w:r w:rsidRPr="00EC3211">
              <w:t xml:space="preserve">EUR, 2017.gadā </w:t>
            </w:r>
            <w:r w:rsidR="005F6EB1" w:rsidRPr="00EC3211">
              <w:t xml:space="preserve"> 601 827 </w:t>
            </w:r>
            <w:r w:rsidRPr="00EC3211">
              <w:t xml:space="preserve">EUR, 2018.gadā </w:t>
            </w:r>
            <w:r w:rsidR="005F6EB1" w:rsidRPr="00EC3211">
              <w:t>498 034</w:t>
            </w:r>
            <w:r w:rsidRPr="00EC3211">
              <w:t xml:space="preserve"> EUR) un valsts budžeta dotācija </w:t>
            </w:r>
            <w:r w:rsidR="005F6EB1" w:rsidRPr="00EC3211">
              <w:t xml:space="preserve"> 178 152 </w:t>
            </w:r>
            <w:r w:rsidRPr="00EC3211">
              <w:t xml:space="preserve">EUR (2016.gadā </w:t>
            </w:r>
            <w:r w:rsidR="005F6EB1" w:rsidRPr="00EC3211">
              <w:t xml:space="preserve"> 704 </w:t>
            </w:r>
            <w:r w:rsidRPr="00EC3211">
              <w:t xml:space="preserve">EUR, 2017.gadā </w:t>
            </w:r>
            <w:r w:rsidR="005F6EB1" w:rsidRPr="00EC3211">
              <w:t>97 097</w:t>
            </w:r>
            <w:r w:rsidRPr="00EC3211">
              <w:t xml:space="preserve"> EUR, 2018.gadā </w:t>
            </w:r>
            <w:r w:rsidR="005F6EB1" w:rsidRPr="00EC3211">
              <w:t>80 351</w:t>
            </w:r>
            <w:r w:rsidRPr="00EC3211">
              <w:t xml:space="preserve"> EUR).</w:t>
            </w:r>
          </w:p>
          <w:p w:rsidR="002512B4" w:rsidRPr="00EC3211" w:rsidRDefault="002512B4" w:rsidP="000C65E0">
            <w:pPr>
              <w:spacing w:after="120"/>
              <w:jc w:val="both"/>
              <w:rPr>
                <w:sz w:val="16"/>
                <w:szCs w:val="16"/>
              </w:rPr>
            </w:pPr>
          </w:p>
          <w:p w:rsidR="00B362FB" w:rsidRPr="00EC3211" w:rsidRDefault="00E33EF2" w:rsidP="000C65E0">
            <w:pPr>
              <w:spacing w:after="120"/>
              <w:jc w:val="both"/>
            </w:pPr>
            <w:r w:rsidRPr="00EC3211">
              <w:t xml:space="preserve">Sākotnējās ietekmes novērtējuma ziņojuma (anotācijas) pielikumā Nr.1 pievienots </w:t>
            </w:r>
            <w:r w:rsidR="000C65E0" w:rsidRPr="00EC3211">
              <w:t xml:space="preserve">projektu </w:t>
            </w:r>
            <w:r w:rsidRPr="00EC3211">
              <w:t xml:space="preserve">īstenošanas laika </w:t>
            </w:r>
            <w:r w:rsidR="000C65E0" w:rsidRPr="00EC3211">
              <w:t>grafiks. Pasākuma</w:t>
            </w:r>
            <w:r w:rsidRPr="00EC3211">
              <w:t xml:space="preserve"> ietvaros tiks īstenoti  astoņi projekti</w:t>
            </w:r>
            <w:r w:rsidR="003370CF" w:rsidRPr="00EC3211">
              <w:t>.</w:t>
            </w:r>
          </w:p>
          <w:p w:rsidR="000C5B0E" w:rsidRPr="00EC3211" w:rsidRDefault="00E77953" w:rsidP="000C65E0">
            <w:pPr>
              <w:spacing w:after="120"/>
              <w:jc w:val="both"/>
            </w:pPr>
            <w:r w:rsidRPr="00EC3211">
              <w:t xml:space="preserve">Indikatīvais projektu īstenošanas rezultātā sasniedzamais radītājs – izbūvēti, </w:t>
            </w:r>
            <w:r w:rsidR="004D470B" w:rsidRPr="00EC3211">
              <w:t xml:space="preserve"> pārbūvēti </w:t>
            </w:r>
            <w:r w:rsidRPr="00EC3211">
              <w:t>vai modernizēti alternatīvie kravas ceļi, ielas un pārvadi sasaistei ar TEN-T  1</w:t>
            </w:r>
            <w:r w:rsidR="00522B58" w:rsidRPr="00EC3211">
              <w:t>8</w:t>
            </w:r>
            <w:r w:rsidRPr="00EC3211">
              <w:t xml:space="preserve"> km garumā</w:t>
            </w:r>
            <w:r w:rsidR="000C5B0E" w:rsidRPr="00EC3211">
              <w:t>;</w:t>
            </w:r>
          </w:p>
          <w:p w:rsidR="00522B58" w:rsidRPr="00EC3211" w:rsidRDefault="00522B58" w:rsidP="00522B58">
            <w:pPr>
              <w:spacing w:after="120"/>
              <w:jc w:val="both"/>
              <w:rPr>
                <w:bCs/>
              </w:rPr>
            </w:pPr>
            <w:r w:rsidRPr="00EC3211">
              <w:rPr>
                <w:rFonts w:eastAsia="Times New Roman"/>
                <w:bCs/>
              </w:rPr>
              <w:t xml:space="preserve"> </w:t>
            </w:r>
            <w:r w:rsidRPr="00EC3211">
              <w:rPr>
                <w:bCs/>
              </w:rPr>
              <w:t>Daugavpils - ≈ 2 km; Jelgava – ≈ 2 km; Jēkabpils – ≈3 km; Jūrmala – ≈1 km, Liepāja – ≈3 km, Rēzekne – ≈1 km, Valmiera - ≈2 km, Ventspils – ≈4 km.</w:t>
            </w:r>
          </w:p>
          <w:p w:rsidR="00B362FB" w:rsidRPr="00EC3211" w:rsidRDefault="00AF2353" w:rsidP="00B362FB">
            <w:pPr>
              <w:autoSpaceDE w:val="0"/>
              <w:autoSpaceDN w:val="0"/>
              <w:jc w:val="both"/>
            </w:pPr>
            <w:r w:rsidRPr="00EC3211">
              <w:t>MK</w:t>
            </w:r>
            <w:r w:rsidR="00B362FB" w:rsidRPr="00EC3211">
              <w:t xml:space="preserve"> noteikumu projekts nosaka pasākumam </w:t>
            </w:r>
            <w:r w:rsidR="007A6C6E" w:rsidRPr="00EC3211">
              <w:t xml:space="preserve">plānoto </w:t>
            </w:r>
            <w:r w:rsidR="00B362FB" w:rsidRPr="00EC3211">
              <w:t xml:space="preserve">kopējo </w:t>
            </w:r>
            <w:r w:rsidR="007B79F6" w:rsidRPr="00EC3211">
              <w:t xml:space="preserve">attiecināmo finansējuma apjomu </w:t>
            </w:r>
            <w:r w:rsidR="00E33EF2" w:rsidRPr="00EC3211">
              <w:t xml:space="preserve">44 357 210  </w:t>
            </w:r>
            <w:proofErr w:type="spellStart"/>
            <w:r w:rsidR="007B79F6" w:rsidRPr="00EC3211">
              <w:rPr>
                <w:i/>
              </w:rPr>
              <w:t>euro</w:t>
            </w:r>
            <w:proofErr w:type="spellEnd"/>
            <w:r w:rsidR="007B79F6" w:rsidRPr="00EC3211">
              <w:t xml:space="preserve"> apmērā, tai skaitā </w:t>
            </w:r>
            <w:r w:rsidR="00B362FB" w:rsidRPr="00EC3211">
              <w:t>KF finansējuma apjom</w:t>
            </w:r>
            <w:r w:rsidR="007B79F6" w:rsidRPr="00EC3211">
              <w:t>s</w:t>
            </w:r>
            <w:r w:rsidR="00B362FB" w:rsidRPr="00EC3211">
              <w:t xml:space="preserve"> </w:t>
            </w:r>
            <w:r w:rsidR="00E33EF2" w:rsidRPr="00EC3211">
              <w:t xml:space="preserve">nepārsniedz  37 703 628 </w:t>
            </w:r>
            <w:proofErr w:type="spellStart"/>
            <w:r w:rsidR="00B362FB" w:rsidRPr="00EC3211">
              <w:rPr>
                <w:i/>
              </w:rPr>
              <w:t>euro</w:t>
            </w:r>
            <w:proofErr w:type="spellEnd"/>
            <w:r w:rsidR="0058586D" w:rsidRPr="00EC3211">
              <w:t xml:space="preserve"> </w:t>
            </w:r>
            <w:r w:rsidR="007A6C6E" w:rsidRPr="00EC3211">
              <w:t xml:space="preserve">(t.sk. Daugavpilij- 8 152 807 </w:t>
            </w:r>
            <w:proofErr w:type="spellStart"/>
            <w:r w:rsidR="007A6C6E" w:rsidRPr="00EC3211">
              <w:rPr>
                <w:i/>
              </w:rPr>
              <w:t>euro</w:t>
            </w:r>
            <w:proofErr w:type="spellEnd"/>
            <w:r w:rsidR="007A6C6E" w:rsidRPr="00EC3211">
              <w:t xml:space="preserve">, Jēkabpilij – 4 250 000  </w:t>
            </w:r>
            <w:proofErr w:type="spellStart"/>
            <w:r w:rsidR="007A6C6E" w:rsidRPr="00EC3211">
              <w:rPr>
                <w:i/>
              </w:rPr>
              <w:t>euro</w:t>
            </w:r>
            <w:proofErr w:type="spellEnd"/>
            <w:r w:rsidR="007A6C6E" w:rsidRPr="00EC3211">
              <w:t xml:space="preserve">,  Jelgavai – 6 695 946 </w:t>
            </w:r>
            <w:proofErr w:type="spellStart"/>
            <w:r w:rsidR="007A6C6E" w:rsidRPr="00EC3211">
              <w:rPr>
                <w:i/>
              </w:rPr>
              <w:t>euro</w:t>
            </w:r>
            <w:proofErr w:type="spellEnd"/>
            <w:r w:rsidR="007A6C6E" w:rsidRPr="00EC3211">
              <w:t xml:space="preserve">,  Jūrmalai – 2 890 000 </w:t>
            </w:r>
            <w:proofErr w:type="spellStart"/>
            <w:r w:rsidR="007A6C6E" w:rsidRPr="00EC3211">
              <w:rPr>
                <w:i/>
              </w:rPr>
              <w:t>euro</w:t>
            </w:r>
            <w:proofErr w:type="spellEnd"/>
            <w:r w:rsidR="007A6C6E" w:rsidRPr="00EC3211">
              <w:t xml:space="preserve">, Liepājai – 4 724 375  </w:t>
            </w:r>
            <w:proofErr w:type="spellStart"/>
            <w:r w:rsidR="007A6C6E" w:rsidRPr="00EC3211">
              <w:rPr>
                <w:i/>
              </w:rPr>
              <w:t>euro</w:t>
            </w:r>
            <w:proofErr w:type="spellEnd"/>
            <w:r w:rsidR="007A6C6E" w:rsidRPr="00EC3211">
              <w:t xml:space="preserve">,  Rēzeknei – </w:t>
            </w:r>
            <w:r w:rsidR="007A6C6E" w:rsidRPr="00EC3211">
              <w:lastRenderedPageBreak/>
              <w:t xml:space="preserve">2 550 000 </w:t>
            </w:r>
            <w:proofErr w:type="spellStart"/>
            <w:r w:rsidR="007A6C6E" w:rsidRPr="00EC3211">
              <w:rPr>
                <w:i/>
              </w:rPr>
              <w:t>euro</w:t>
            </w:r>
            <w:proofErr w:type="spellEnd"/>
            <w:r w:rsidR="007A6C6E" w:rsidRPr="00EC3211">
              <w:t xml:space="preserve">, Valmierai – 3 060 000 </w:t>
            </w:r>
            <w:proofErr w:type="spellStart"/>
            <w:r w:rsidR="007A6C6E" w:rsidRPr="00EC3211">
              <w:rPr>
                <w:i/>
              </w:rPr>
              <w:t>euro</w:t>
            </w:r>
            <w:proofErr w:type="spellEnd"/>
            <w:r w:rsidR="007A6C6E" w:rsidRPr="00EC3211">
              <w:t xml:space="preserve"> un Ventspilij – 5 380 500 </w:t>
            </w:r>
            <w:proofErr w:type="spellStart"/>
            <w:r w:rsidR="007A6C6E" w:rsidRPr="00EC3211">
              <w:rPr>
                <w:i/>
              </w:rPr>
              <w:t>euro</w:t>
            </w:r>
            <w:proofErr w:type="spellEnd"/>
            <w:r w:rsidR="007A6C6E" w:rsidRPr="00EC3211">
              <w:t xml:space="preserve">) </w:t>
            </w:r>
            <w:r w:rsidR="0058586D" w:rsidRPr="00EC3211">
              <w:t xml:space="preserve">un </w:t>
            </w:r>
            <w:r w:rsidR="00E33EF2" w:rsidRPr="00EC3211">
              <w:t xml:space="preserve">nacionālais </w:t>
            </w:r>
            <w:r w:rsidR="00550A7B" w:rsidRPr="00EC3211">
              <w:t xml:space="preserve">finansējums </w:t>
            </w:r>
            <w:r w:rsidR="00F726AE" w:rsidRPr="00EC3211">
              <w:t xml:space="preserve">ir </w:t>
            </w:r>
            <w:r w:rsidR="00E33EF2" w:rsidRPr="00EC3211">
              <w:t>ne mazāk</w:t>
            </w:r>
            <w:r w:rsidR="00F726AE" w:rsidRPr="00EC3211">
              <w:t>s</w:t>
            </w:r>
            <w:r w:rsidR="00E33EF2" w:rsidRPr="00EC3211">
              <w:t xml:space="preserve"> kā 6 653 582 </w:t>
            </w:r>
            <w:proofErr w:type="spellStart"/>
            <w:r w:rsidR="007B79F6" w:rsidRPr="00EC3211">
              <w:rPr>
                <w:i/>
              </w:rPr>
              <w:t>euro</w:t>
            </w:r>
            <w:proofErr w:type="spellEnd"/>
            <w:r w:rsidR="007B79F6" w:rsidRPr="00EC3211">
              <w:t xml:space="preserve"> apmērā. KF finansējums</w:t>
            </w:r>
            <w:r w:rsidR="0058586D" w:rsidRPr="00EC3211">
              <w:t xml:space="preserve"> nevar pārsniegt 85% </w:t>
            </w:r>
            <w:r w:rsidR="000C65E0" w:rsidRPr="00EC3211">
              <w:t xml:space="preserve">no </w:t>
            </w:r>
            <w:r w:rsidR="0058586D" w:rsidRPr="00EC3211">
              <w:t>projektā plānotā kopējā attiecināmā finansējuma.</w:t>
            </w:r>
          </w:p>
          <w:p w:rsidR="00FE5DF0" w:rsidRPr="00EC3211" w:rsidRDefault="00FE5DF0" w:rsidP="00B362FB">
            <w:pPr>
              <w:autoSpaceDE w:val="0"/>
              <w:autoSpaceDN w:val="0"/>
              <w:jc w:val="both"/>
            </w:pPr>
          </w:p>
          <w:p w:rsidR="00E33EF2" w:rsidRPr="00EC3211" w:rsidRDefault="00E33EF2" w:rsidP="00E33EF2">
            <w:pPr>
              <w:autoSpaceDE w:val="0"/>
              <w:autoSpaceDN w:val="0"/>
              <w:jc w:val="both"/>
            </w:pPr>
            <w:r w:rsidRPr="00EC3211">
              <w:t>Pasākuma ietvaros plānotajam KF finansējumam</w:t>
            </w:r>
            <w:r w:rsidR="000C65E0" w:rsidRPr="00EC3211">
              <w:t xml:space="preserve"> projekta līmenī </w:t>
            </w:r>
            <w:r w:rsidRPr="00EC3211">
              <w:t xml:space="preserve"> piemēro snieguma rezervi – 6,19% apmērā, kas </w:t>
            </w:r>
            <w:r w:rsidR="000C65E0" w:rsidRPr="00EC3211">
              <w:t xml:space="preserve">kopā visiem projektiem </w:t>
            </w:r>
            <w:r w:rsidRPr="00EC3211">
              <w:t xml:space="preserve">ir 2 332 599 </w:t>
            </w:r>
            <w:proofErr w:type="spellStart"/>
            <w:r w:rsidRPr="00EC3211">
              <w:rPr>
                <w:i/>
                <w:iCs/>
              </w:rPr>
              <w:t>euro</w:t>
            </w:r>
            <w:proofErr w:type="spellEnd"/>
            <w:r w:rsidRPr="00EC3211">
              <w:t xml:space="preserve">. Līdz ar to pieejamais kopējais KF finansējums vienošanos par projektu īstenošanu slēgšanai līdz 2018.gada 31.decembrim ir   35 371 029 </w:t>
            </w:r>
            <w:proofErr w:type="spellStart"/>
            <w:r w:rsidRPr="00EC3211">
              <w:rPr>
                <w:i/>
                <w:iCs/>
              </w:rPr>
              <w:t>euro</w:t>
            </w:r>
            <w:proofErr w:type="spellEnd"/>
            <w:r w:rsidRPr="00EC3211">
              <w:t xml:space="preserve">. Snieguma rezerve 6,19% apmērā tiek aprēķināta katram nacionālās nozīmes centra atbalstāmajam projektam. </w:t>
            </w:r>
          </w:p>
          <w:p w:rsidR="00E33EF2" w:rsidRPr="00EC3211" w:rsidRDefault="00E33EF2" w:rsidP="00E33EF2">
            <w:pPr>
              <w:autoSpaceDE w:val="0"/>
              <w:autoSpaceDN w:val="0"/>
              <w:jc w:val="both"/>
            </w:pPr>
          </w:p>
          <w:p w:rsidR="00652571" w:rsidRPr="00EC3211" w:rsidRDefault="00652571" w:rsidP="00652571">
            <w:pPr>
              <w:autoSpaceDE w:val="0"/>
              <w:autoSpaceDN w:val="0"/>
              <w:jc w:val="both"/>
            </w:pPr>
            <w:r w:rsidRPr="00EC3211">
              <w:t xml:space="preserve">Pasākumam piemēro 6.2.1.specifiskā atbalsta mērķa „Nodrošināt konkurētspējīgu un videi draudzīgu TEN-T dzelzceļa tīklu, veicinot tā drošību, kvalitāti un kapacitāti” 6.2.1.2.pasākuma “Dzelzceļa infrastruktūras modernizācija un izbūve” finanšu rādītāja vērtību 5 000 000 </w:t>
            </w:r>
            <w:proofErr w:type="spellStart"/>
            <w:r w:rsidRPr="00EC3211">
              <w:rPr>
                <w:i/>
              </w:rPr>
              <w:t>euro</w:t>
            </w:r>
            <w:proofErr w:type="spellEnd"/>
            <w:r w:rsidRPr="00EC3211">
              <w:t xml:space="preserve"> apmērā. Līdz ar to MK noteikumu projektā ir paredzēts šāds finanšu rādītājs:</w:t>
            </w:r>
          </w:p>
          <w:p w:rsidR="00652571" w:rsidRPr="00EC3211" w:rsidRDefault="00652571" w:rsidP="00652571">
            <w:pPr>
              <w:autoSpaceDE w:val="0"/>
              <w:autoSpaceDN w:val="0"/>
              <w:jc w:val="both"/>
            </w:pPr>
            <w:r w:rsidRPr="00EC3211">
              <w:t xml:space="preserve">- līdz 2018.gada 31.decembrim sertificēti izdevumi vismaz             5 000 000 </w:t>
            </w:r>
            <w:proofErr w:type="spellStart"/>
            <w:r w:rsidRPr="00EC3211">
              <w:rPr>
                <w:i/>
              </w:rPr>
              <w:t>euro</w:t>
            </w:r>
            <w:proofErr w:type="spellEnd"/>
            <w:r w:rsidRPr="00EC3211">
              <w:t xml:space="preserve">  apmērā.</w:t>
            </w:r>
          </w:p>
          <w:p w:rsidR="00652571" w:rsidRPr="00EC3211" w:rsidRDefault="00652571" w:rsidP="00E33EF2">
            <w:pPr>
              <w:autoSpaceDE w:val="0"/>
              <w:autoSpaceDN w:val="0"/>
              <w:jc w:val="both"/>
            </w:pPr>
          </w:p>
          <w:p w:rsidR="009A2735" w:rsidRPr="00EC3211" w:rsidRDefault="009A2735" w:rsidP="00E33EF2">
            <w:pPr>
              <w:autoSpaceDE w:val="0"/>
              <w:autoSpaceDN w:val="0"/>
              <w:jc w:val="both"/>
            </w:pPr>
          </w:p>
          <w:p w:rsidR="00371BE2" w:rsidRPr="00EC3211" w:rsidRDefault="00E33EF2" w:rsidP="000C65E0">
            <w:pPr>
              <w:autoSpaceDE w:val="0"/>
              <w:autoSpaceDN w:val="0"/>
              <w:jc w:val="both"/>
            </w:pPr>
            <w:r w:rsidRPr="00EC3211">
              <w:t xml:space="preserve">No 2019.gada 1.janvāra atbildīgā iestāde pēc Eiropas Komisijas lēmuma par izpildi </w:t>
            </w:r>
            <w:r w:rsidR="009A2735" w:rsidRPr="00EC3211">
              <w:t xml:space="preserve">un snieguma rezerves piešķiršanu </w:t>
            </w:r>
            <w:r w:rsidRPr="00EC3211">
              <w:t xml:space="preserve">var ierosināt palielināt pieejamā KF apjomu līdz </w:t>
            </w:r>
            <w:r w:rsidR="009855BC" w:rsidRPr="00EC3211">
              <w:t>MK</w:t>
            </w:r>
            <w:r w:rsidRPr="00EC3211">
              <w:t xml:space="preserve"> noteikumu projekta </w:t>
            </w:r>
            <w:r w:rsidR="00030A1C" w:rsidRPr="00EC3211">
              <w:t xml:space="preserve"> </w:t>
            </w:r>
            <w:r w:rsidRPr="00EC3211">
              <w:t xml:space="preserve">9.punktā noteiktajam KF finansējumam, </w:t>
            </w:r>
            <w:r w:rsidR="009A2735" w:rsidRPr="00EC3211">
              <w:t xml:space="preserve">nepārsniedzot </w:t>
            </w:r>
            <w:r w:rsidR="004650F8" w:rsidRPr="00EC3211">
              <w:t xml:space="preserve">noteikumu projekta </w:t>
            </w:r>
            <w:r w:rsidR="009A2735" w:rsidRPr="00EC3211">
              <w:t xml:space="preserve">10.punktā noteikto maksimālo </w:t>
            </w:r>
            <w:r w:rsidR="009855BC" w:rsidRPr="00EC3211">
              <w:t>KF</w:t>
            </w:r>
            <w:r w:rsidR="009A2735" w:rsidRPr="00EC3211">
              <w:t xml:space="preserve"> finansējuma apmēru, projekt</w:t>
            </w:r>
            <w:r w:rsidR="00371BE2" w:rsidRPr="00EC3211">
              <w:t xml:space="preserve">a </w:t>
            </w:r>
            <w:r w:rsidR="009855BC" w:rsidRPr="00EC3211">
              <w:t>KF</w:t>
            </w:r>
            <w:r w:rsidR="00371BE2" w:rsidRPr="00EC3211">
              <w:t xml:space="preserve"> finansējuma  apmēra palielināšanai projekta attiecināmo izmaksu līdzfinansēšanai, ja projektam pieejamais </w:t>
            </w:r>
            <w:r w:rsidR="009855BC" w:rsidRPr="00EC3211">
              <w:t>KF</w:t>
            </w:r>
            <w:r w:rsidR="00371BE2" w:rsidRPr="00EC3211">
              <w:t xml:space="preserve"> finansējums nesasniedz noteikto maksimālo attiecināmo </w:t>
            </w:r>
            <w:r w:rsidR="009855BC" w:rsidRPr="00EC3211">
              <w:t>KF</w:t>
            </w:r>
            <w:r w:rsidR="00371BE2" w:rsidRPr="00EC3211">
              <w:t xml:space="preserve"> finansējuma apmēru 85 % no projekta attiecināmajām izmaksām gan  </w:t>
            </w:r>
            <w:proofErr w:type="spellStart"/>
            <w:r w:rsidR="00371BE2" w:rsidRPr="00EC3211">
              <w:t>priekšfinansētās</w:t>
            </w:r>
            <w:proofErr w:type="spellEnd"/>
            <w:r w:rsidR="00371BE2" w:rsidRPr="00EC3211">
              <w:t xml:space="preserve"> snieguma rezerves apmērā</w:t>
            </w:r>
            <w:r w:rsidR="009A2735" w:rsidRPr="00EC3211">
              <w:t>,</w:t>
            </w:r>
            <w:r w:rsidR="00371BE2" w:rsidRPr="00EC3211">
              <w:t xml:space="preserve"> gan papildus </w:t>
            </w:r>
            <w:proofErr w:type="spellStart"/>
            <w:r w:rsidR="00371BE2" w:rsidRPr="00EC3211">
              <w:t>priekšfinansētajai</w:t>
            </w:r>
            <w:proofErr w:type="spellEnd"/>
            <w:r w:rsidR="00371BE2" w:rsidRPr="00EC3211">
              <w:t xml:space="preserve"> snieguma rezervei.</w:t>
            </w:r>
          </w:p>
          <w:p w:rsidR="00C107FB" w:rsidRPr="00EC3211" w:rsidRDefault="00371BE2" w:rsidP="009E314C">
            <w:pPr>
              <w:autoSpaceDE w:val="0"/>
              <w:autoSpaceDN w:val="0"/>
              <w:jc w:val="both"/>
            </w:pPr>
            <w:r w:rsidRPr="00EC3211">
              <w:t xml:space="preserve">Ja projekta īstenošanas gaitā, tai skaitā projektā veikto iepirkumu rezultātā, ir izveidojies finanšu ietaupījums papildus noteikumu </w:t>
            </w:r>
            <w:r w:rsidR="00712125" w:rsidRPr="00EC3211">
              <w:t xml:space="preserve">projekta </w:t>
            </w:r>
            <w:r w:rsidRPr="00EC3211">
              <w:t xml:space="preserve">15. punktā minētajam, sadarbības iestāde, saskaņojot to ar atbildīgo iestādi, var lemt par minēto līdzekļu papildu piešķīrumu vai pārdali </w:t>
            </w:r>
            <w:r w:rsidR="00712125" w:rsidRPr="00EC3211">
              <w:t xml:space="preserve">ievērojot noteikumu projekta 16.punkta apakšpunktos noteikto prioritāro secību. </w:t>
            </w:r>
          </w:p>
          <w:p w:rsidR="00E33EF2" w:rsidRPr="00EC3211" w:rsidRDefault="00E33EF2" w:rsidP="00E33EF2">
            <w:pPr>
              <w:autoSpaceDE w:val="0"/>
              <w:autoSpaceDN w:val="0"/>
              <w:jc w:val="both"/>
            </w:pPr>
          </w:p>
          <w:p w:rsidR="00E33EF2" w:rsidRPr="00EC3211" w:rsidRDefault="00E33EF2" w:rsidP="00E33EF2">
            <w:pPr>
              <w:autoSpaceDE w:val="0"/>
              <w:autoSpaceDN w:val="0"/>
              <w:jc w:val="both"/>
            </w:pPr>
            <w:r w:rsidRPr="00EC3211">
              <w:t xml:space="preserve">Palielinot KF finansējuma apmēru projektam, kuram sākotnēji apstiprinātais pieejamais KF apjoms nesasniedza maksimālo attiecināmo KF finansējuma apmēru (85% no projekta attiecināmajām izmaksām), līdz Ministru kabineta noteikumu 10.punktā maksimālajam pieejamam attiecināmajam KF finansējuma apmēram, </w:t>
            </w:r>
            <w:r w:rsidR="000C65E0" w:rsidRPr="00EC3211">
              <w:t xml:space="preserve">palielinātā </w:t>
            </w:r>
            <w:r w:rsidRPr="00EC3211">
              <w:t xml:space="preserve">KF atbalsta intensitāte  tiek attiecināta uz visu projekta  </w:t>
            </w:r>
            <w:r w:rsidRPr="00EC3211">
              <w:lastRenderedPageBreak/>
              <w:t xml:space="preserve">īstenošanas periodu. </w:t>
            </w:r>
          </w:p>
          <w:p w:rsidR="000F31F3" w:rsidRDefault="000F31F3" w:rsidP="00535FD6">
            <w:pPr>
              <w:jc w:val="both"/>
            </w:pPr>
          </w:p>
          <w:p w:rsidR="00DD10BC" w:rsidRPr="00DD10BC" w:rsidRDefault="00DD10BC" w:rsidP="00DD10BC">
            <w:pPr>
              <w:jc w:val="both"/>
            </w:pPr>
            <w:r>
              <w:t>N</w:t>
            </w:r>
            <w:r w:rsidRPr="00DD10BC">
              <w:t>eatkarīgi no tā vai projektam tiek palielināts Kohēzijas fonda finansējums papildu šo noteik</w:t>
            </w:r>
            <w:r>
              <w:t xml:space="preserve">umu </w:t>
            </w:r>
            <w:r w:rsidR="00AB4082">
              <w:t xml:space="preserve">projekta </w:t>
            </w:r>
            <w:r>
              <w:t xml:space="preserve">12. un 13. punktā minētajam, </w:t>
            </w:r>
            <w:r w:rsidRPr="00DD10BC">
              <w:t>finansējuma saņēmējam jānodrošina projekta pabeigšana, kas nozīmē pilnas projekta funkcionalitātes sasniegšanu un pēdējā maksājuma veikšanu atbilstoši vienošanās par projekta īstenošanu noteiktajam īstenošanas termiņam.</w:t>
            </w:r>
          </w:p>
          <w:p w:rsidR="00DD10BC" w:rsidRPr="00EC3211" w:rsidRDefault="00DD10BC" w:rsidP="00535FD6">
            <w:pPr>
              <w:jc w:val="both"/>
            </w:pPr>
          </w:p>
          <w:p w:rsidR="0000076B" w:rsidRPr="00EC3211" w:rsidRDefault="00906B7B" w:rsidP="00535FD6">
            <w:pPr>
              <w:jc w:val="both"/>
            </w:pPr>
            <w:r w:rsidRPr="00EC3211">
              <w:t xml:space="preserve">Vienošanās par projekta īstenošanu </w:t>
            </w:r>
            <w:r w:rsidR="000F31F3" w:rsidRPr="00EC3211">
              <w:t xml:space="preserve">tiks paredzēta kārtība, kādā tiks veikti vienošanās grozījumi pēc attiecīgā atbildīgās iestādes ierosinājuma palielināt KF finansējuma likmi. </w:t>
            </w:r>
          </w:p>
          <w:p w:rsidR="00906B7B" w:rsidRPr="00EC3211" w:rsidRDefault="00906B7B" w:rsidP="00535FD6">
            <w:pPr>
              <w:jc w:val="both"/>
            </w:pPr>
          </w:p>
          <w:p w:rsidR="00042DDF" w:rsidRPr="00EC3211" w:rsidRDefault="00B362FB" w:rsidP="00042DDF">
            <w:pPr>
              <w:autoSpaceDE w:val="0"/>
              <w:autoSpaceDN w:val="0"/>
              <w:jc w:val="both"/>
            </w:pPr>
            <w:r w:rsidRPr="00EC3211">
              <w:t xml:space="preserve">Pasākuma ietvaros atbalstāmās darbības ir – </w:t>
            </w:r>
            <w:r w:rsidR="0054651E" w:rsidRPr="00EC3211">
              <w:t>jaunu maģistrālo ielu, esošo maršrutu attīstība, kas nodrošina atsevišķu pilsētu daļu efektīvu savstarpējo sasaisti un sasaisti ar TEN-T tīklu (alternatīvu kravas ceļu izbūve, pārbūve vai modernizācija)</w:t>
            </w:r>
            <w:r w:rsidR="00042DDF" w:rsidRPr="00EC3211">
              <w:t>, kas atbilst EK īstenošanas regulā (ES) Nr. 215/2014 noteiktajai intervences kategorijai “</w:t>
            </w:r>
            <w:r w:rsidR="00042DDF" w:rsidRPr="00EC3211">
              <w:rPr>
                <w:iCs/>
              </w:rPr>
              <w:t>Transporta infrastruktūra</w:t>
            </w:r>
            <w:r w:rsidR="00042DDF" w:rsidRPr="00EC3211">
              <w:t xml:space="preserve">” -  033     TEN-T </w:t>
            </w:r>
            <w:r w:rsidR="004D470B" w:rsidRPr="00EC3211">
              <w:t xml:space="preserve">pārbūvēts  </w:t>
            </w:r>
            <w:r w:rsidR="00042DDF" w:rsidRPr="00EC3211">
              <w:t>vai uzlabots ceļš.</w:t>
            </w:r>
          </w:p>
          <w:p w:rsidR="00B362FB" w:rsidRPr="00EC3211" w:rsidRDefault="00B362FB" w:rsidP="00B362FB">
            <w:pPr>
              <w:autoSpaceDE w:val="0"/>
              <w:autoSpaceDN w:val="0"/>
              <w:jc w:val="both"/>
            </w:pPr>
          </w:p>
          <w:p w:rsidR="00030A1C" w:rsidRPr="00EC3211" w:rsidRDefault="00B362FB" w:rsidP="00D16AAB">
            <w:pPr>
              <w:jc w:val="both"/>
            </w:pPr>
            <w:r w:rsidRPr="00EC3211">
              <w:t xml:space="preserve">Pasākuma neattiecināmās izmaksas ir izmaksas, kas pārsniedz Ministru kabineta noteikumu projekta </w:t>
            </w:r>
            <w:r w:rsidR="006166C4" w:rsidRPr="00EC3211">
              <w:rPr>
                <w:rFonts w:eastAsia="Times New Roman"/>
                <w:bCs/>
              </w:rPr>
              <w:t>2</w:t>
            </w:r>
            <w:r w:rsidR="00712125" w:rsidRPr="00EC3211">
              <w:rPr>
                <w:rFonts w:eastAsia="Times New Roman"/>
                <w:bCs/>
              </w:rPr>
              <w:t>3</w:t>
            </w:r>
            <w:r w:rsidR="00030A1C" w:rsidRPr="00EC3211">
              <w:rPr>
                <w:rFonts w:eastAsia="Times New Roman"/>
                <w:bCs/>
              </w:rPr>
              <w:t xml:space="preserve">.4., </w:t>
            </w:r>
            <w:r w:rsidR="006166C4" w:rsidRPr="00EC3211">
              <w:rPr>
                <w:rFonts w:eastAsia="Times New Roman"/>
                <w:bCs/>
              </w:rPr>
              <w:t>2</w:t>
            </w:r>
            <w:r w:rsidR="00712125" w:rsidRPr="00EC3211">
              <w:rPr>
                <w:rFonts w:eastAsia="Times New Roman"/>
                <w:bCs/>
              </w:rPr>
              <w:t>3</w:t>
            </w:r>
            <w:r w:rsidR="00030A1C" w:rsidRPr="00EC3211">
              <w:rPr>
                <w:rFonts w:eastAsia="Times New Roman"/>
                <w:bCs/>
              </w:rPr>
              <w:t xml:space="preserve">.7., </w:t>
            </w:r>
            <w:r w:rsidR="006166C4" w:rsidRPr="00EC3211">
              <w:rPr>
                <w:rFonts w:eastAsia="Times New Roman"/>
                <w:bCs/>
              </w:rPr>
              <w:t>2</w:t>
            </w:r>
            <w:r w:rsidR="00712125" w:rsidRPr="00EC3211">
              <w:rPr>
                <w:rFonts w:eastAsia="Times New Roman"/>
                <w:bCs/>
              </w:rPr>
              <w:t>3</w:t>
            </w:r>
            <w:r w:rsidR="00030A1C" w:rsidRPr="00EC3211">
              <w:rPr>
                <w:rFonts w:eastAsia="Times New Roman"/>
                <w:bCs/>
              </w:rPr>
              <w:t xml:space="preserve">.9., </w:t>
            </w:r>
            <w:r w:rsidR="006166C4" w:rsidRPr="00EC3211">
              <w:rPr>
                <w:rFonts w:eastAsia="Times New Roman"/>
                <w:bCs/>
              </w:rPr>
              <w:t>2</w:t>
            </w:r>
            <w:r w:rsidR="00712125" w:rsidRPr="00EC3211">
              <w:rPr>
                <w:rFonts w:eastAsia="Times New Roman"/>
                <w:bCs/>
              </w:rPr>
              <w:t>3</w:t>
            </w:r>
            <w:r w:rsidR="00030A1C" w:rsidRPr="00EC3211">
              <w:rPr>
                <w:rFonts w:eastAsia="Times New Roman"/>
                <w:bCs/>
              </w:rPr>
              <w:t xml:space="preserve">.15. un </w:t>
            </w:r>
            <w:r w:rsidR="006166C4" w:rsidRPr="00EC3211">
              <w:rPr>
                <w:rFonts w:eastAsia="Times New Roman"/>
                <w:bCs/>
              </w:rPr>
              <w:t>2</w:t>
            </w:r>
            <w:r w:rsidR="00712125" w:rsidRPr="00EC3211">
              <w:rPr>
                <w:rFonts w:eastAsia="Times New Roman"/>
                <w:bCs/>
              </w:rPr>
              <w:t>3</w:t>
            </w:r>
            <w:r w:rsidR="00030A1C" w:rsidRPr="00EC3211">
              <w:rPr>
                <w:rFonts w:eastAsia="Times New Roman"/>
                <w:bCs/>
              </w:rPr>
              <w:t xml:space="preserve">.18.apakšpunktā, </w:t>
            </w:r>
            <w:r w:rsidR="00712125" w:rsidRPr="00EC3211">
              <w:rPr>
                <w:rFonts w:eastAsia="Times New Roman"/>
                <w:bCs/>
              </w:rPr>
              <w:t>25</w:t>
            </w:r>
            <w:r w:rsidR="00030A1C" w:rsidRPr="00EC3211">
              <w:rPr>
                <w:rFonts w:eastAsia="Times New Roman"/>
                <w:bCs/>
              </w:rPr>
              <w:t xml:space="preserve">., </w:t>
            </w:r>
            <w:r w:rsidR="006166C4" w:rsidRPr="00EC3211">
              <w:rPr>
                <w:rFonts w:eastAsia="Times New Roman"/>
                <w:bCs/>
              </w:rPr>
              <w:t>2</w:t>
            </w:r>
            <w:r w:rsidR="00712125" w:rsidRPr="00EC3211">
              <w:rPr>
                <w:rFonts w:eastAsia="Times New Roman"/>
                <w:bCs/>
              </w:rPr>
              <w:t>6</w:t>
            </w:r>
            <w:r w:rsidR="00030A1C" w:rsidRPr="00EC3211">
              <w:rPr>
                <w:rFonts w:eastAsia="Times New Roman"/>
                <w:bCs/>
              </w:rPr>
              <w:t xml:space="preserve">. un </w:t>
            </w:r>
            <w:r w:rsidR="006166C4" w:rsidRPr="00EC3211">
              <w:rPr>
                <w:rFonts w:eastAsia="Times New Roman"/>
                <w:bCs/>
              </w:rPr>
              <w:t>2</w:t>
            </w:r>
            <w:r w:rsidR="00712125" w:rsidRPr="00EC3211">
              <w:rPr>
                <w:rFonts w:eastAsia="Times New Roman"/>
                <w:bCs/>
              </w:rPr>
              <w:t>7</w:t>
            </w:r>
            <w:r w:rsidR="00030A1C" w:rsidRPr="00EC3211">
              <w:rPr>
                <w:rFonts w:eastAsia="Times New Roman"/>
                <w:bCs/>
              </w:rPr>
              <w:t xml:space="preserve">.punktā </w:t>
            </w:r>
            <w:r w:rsidRPr="00EC3211">
              <w:t xml:space="preserve">minētos izmaksu ierobežojumus. </w:t>
            </w:r>
          </w:p>
          <w:p w:rsidR="00B362FB" w:rsidRPr="00EC3211" w:rsidRDefault="00B362FB" w:rsidP="00D16AAB">
            <w:pPr>
              <w:jc w:val="both"/>
              <w:rPr>
                <w:rFonts w:eastAsia="Times New Roman"/>
                <w:bCs/>
              </w:rPr>
            </w:pPr>
            <w:r w:rsidRPr="00EC3211">
              <w:t>Ministru kabineta noteikumu projekts neparedz ierobežojumu neattiecināmo izmaksu apjomam, tomēr, paredzot neattiecināmās izmaksas projektā, projekta iesniedzējam ir jāņem vērā, ka šādas izmaksas projekta iesniedzējs sedz pilnībā no saviem līdzekļiem.</w:t>
            </w:r>
          </w:p>
          <w:p w:rsidR="0092142B" w:rsidRPr="00EC3211" w:rsidRDefault="0092142B" w:rsidP="00B362FB">
            <w:pPr>
              <w:autoSpaceDE w:val="0"/>
              <w:autoSpaceDN w:val="0"/>
              <w:jc w:val="both"/>
            </w:pPr>
            <w:r w:rsidRPr="00EC3211">
              <w:t xml:space="preserve"> Neattiecināmo izmaksu segšanai projekta iesniedzējs var piesaistīt papildu publiskos līdzekļus. </w:t>
            </w:r>
          </w:p>
          <w:p w:rsidR="00970557" w:rsidRPr="00EC3211" w:rsidRDefault="00970557" w:rsidP="00B362FB">
            <w:pPr>
              <w:autoSpaceDE w:val="0"/>
              <w:autoSpaceDN w:val="0"/>
              <w:jc w:val="both"/>
            </w:pPr>
            <w:r w:rsidRPr="00EC3211">
              <w:t>Finansējuma saņēmējs nodrošina projekta īstenošanas rezultātā radīto vērtību uzturēšanu ar savlaicīgu uzturēšanas un periodiskās nodilušo konstrukciju atjaunošanas plānošanu un finansējuma piešķiršanu šiem darbiem turpmākos 20 gadus pēc projekta īstenošanas. Valsts un pašvaldību autoceļu ikdienas uzturēšanas kārtība tiek nodrošināta  atbilstoši Ministru kabineta 2010.gada 9.marta noteikumiem Nr.224 “</w:t>
            </w:r>
            <w:r w:rsidRPr="00EC3211">
              <w:rPr>
                <w:bCs/>
              </w:rPr>
              <w:t>Noteikumi par valsts un pašvaldību autoceļu ikdienas uzturēšanas prasībām un to izpildes kontroli.</w:t>
            </w:r>
          </w:p>
          <w:p w:rsidR="00030A1C" w:rsidRPr="00EC3211" w:rsidRDefault="00B362FB" w:rsidP="00030A1C">
            <w:pPr>
              <w:autoSpaceDE w:val="0"/>
              <w:autoSpaceDN w:val="0"/>
              <w:jc w:val="both"/>
              <w:rPr>
                <w:bCs/>
              </w:rPr>
            </w:pPr>
            <w:r w:rsidRPr="00EC3211">
              <w:t xml:space="preserve">Ministru kabineta noteikumu projekts paredz, ka projekta izmaksas ir attiecināmas finansēšanai no Kohēzijas fonda līdzfinansējuma, ja tās atbilst Ministru kabineta noteikumu projekta </w:t>
            </w:r>
            <w:r w:rsidR="004D470B" w:rsidRPr="00EC3211">
              <w:t>2</w:t>
            </w:r>
            <w:r w:rsidR="00712125" w:rsidRPr="00EC3211">
              <w:t>3</w:t>
            </w:r>
            <w:r w:rsidR="00042DDF" w:rsidRPr="00EC3211">
              <w:t>.</w:t>
            </w:r>
            <w:r w:rsidRPr="00EC3211">
              <w:t xml:space="preserve">punktā ietvertajām izmaksu pozīcijām </w:t>
            </w:r>
            <w:r w:rsidR="00030A1C" w:rsidRPr="00EC3211">
              <w:rPr>
                <w:bCs/>
              </w:rPr>
              <w:t xml:space="preserve">un ir radušās ne agrāk kā 2016.gada 1.janvārī, izņemot šo noteikumu </w:t>
            </w:r>
            <w:r w:rsidR="007E41E9" w:rsidRPr="00EC3211">
              <w:rPr>
                <w:bCs/>
              </w:rPr>
              <w:t>2</w:t>
            </w:r>
            <w:r w:rsidR="00712125" w:rsidRPr="00EC3211">
              <w:rPr>
                <w:bCs/>
              </w:rPr>
              <w:t>3</w:t>
            </w:r>
            <w:r w:rsidR="00030A1C" w:rsidRPr="00EC3211">
              <w:rPr>
                <w:bCs/>
              </w:rPr>
              <w:t xml:space="preserve">.5., </w:t>
            </w:r>
            <w:r w:rsidR="007E41E9" w:rsidRPr="00EC3211">
              <w:rPr>
                <w:bCs/>
              </w:rPr>
              <w:t>2</w:t>
            </w:r>
            <w:r w:rsidR="00712125" w:rsidRPr="00EC3211">
              <w:rPr>
                <w:bCs/>
              </w:rPr>
              <w:t>3</w:t>
            </w:r>
            <w:r w:rsidR="00030A1C" w:rsidRPr="00EC3211">
              <w:rPr>
                <w:bCs/>
              </w:rPr>
              <w:t xml:space="preserve">.6., </w:t>
            </w:r>
            <w:r w:rsidR="007E41E9" w:rsidRPr="00EC3211">
              <w:rPr>
                <w:bCs/>
              </w:rPr>
              <w:t>2</w:t>
            </w:r>
            <w:r w:rsidR="00712125" w:rsidRPr="00EC3211">
              <w:rPr>
                <w:bCs/>
              </w:rPr>
              <w:t>3</w:t>
            </w:r>
            <w:r w:rsidR="00030A1C" w:rsidRPr="00EC3211">
              <w:rPr>
                <w:bCs/>
              </w:rPr>
              <w:t xml:space="preserve">.7., </w:t>
            </w:r>
            <w:r w:rsidR="007E41E9" w:rsidRPr="00EC3211">
              <w:rPr>
                <w:bCs/>
              </w:rPr>
              <w:t>2</w:t>
            </w:r>
            <w:r w:rsidR="00712125" w:rsidRPr="00EC3211">
              <w:rPr>
                <w:bCs/>
              </w:rPr>
              <w:t>3</w:t>
            </w:r>
            <w:r w:rsidR="00030A1C" w:rsidRPr="00EC3211">
              <w:rPr>
                <w:bCs/>
              </w:rPr>
              <w:t xml:space="preserve">.8., </w:t>
            </w:r>
            <w:r w:rsidR="007E41E9" w:rsidRPr="00EC3211">
              <w:rPr>
                <w:bCs/>
              </w:rPr>
              <w:t>2</w:t>
            </w:r>
            <w:r w:rsidR="00712125" w:rsidRPr="00EC3211">
              <w:rPr>
                <w:bCs/>
              </w:rPr>
              <w:t>3</w:t>
            </w:r>
            <w:r w:rsidR="00030A1C" w:rsidRPr="00EC3211">
              <w:rPr>
                <w:bCs/>
              </w:rPr>
              <w:t xml:space="preserve">.9., </w:t>
            </w:r>
            <w:r w:rsidR="007E41E9" w:rsidRPr="00EC3211">
              <w:rPr>
                <w:bCs/>
              </w:rPr>
              <w:t>2</w:t>
            </w:r>
            <w:r w:rsidR="00712125" w:rsidRPr="00EC3211">
              <w:rPr>
                <w:bCs/>
              </w:rPr>
              <w:t>3</w:t>
            </w:r>
            <w:r w:rsidR="00030A1C" w:rsidRPr="00EC3211">
              <w:rPr>
                <w:bCs/>
              </w:rPr>
              <w:t xml:space="preserve">.12., </w:t>
            </w:r>
            <w:r w:rsidR="007E41E9" w:rsidRPr="00EC3211">
              <w:rPr>
                <w:bCs/>
              </w:rPr>
              <w:t>2</w:t>
            </w:r>
            <w:r w:rsidR="00712125" w:rsidRPr="00EC3211">
              <w:rPr>
                <w:bCs/>
              </w:rPr>
              <w:t>3</w:t>
            </w:r>
            <w:r w:rsidR="00030A1C" w:rsidRPr="00EC3211">
              <w:rPr>
                <w:bCs/>
              </w:rPr>
              <w:t xml:space="preserve">.13., </w:t>
            </w:r>
            <w:r w:rsidR="007E41E9" w:rsidRPr="00EC3211">
              <w:rPr>
                <w:bCs/>
              </w:rPr>
              <w:t>2</w:t>
            </w:r>
            <w:r w:rsidR="00712125" w:rsidRPr="00EC3211">
              <w:rPr>
                <w:bCs/>
              </w:rPr>
              <w:t>3</w:t>
            </w:r>
            <w:r w:rsidR="00030A1C" w:rsidRPr="00EC3211">
              <w:rPr>
                <w:bCs/>
              </w:rPr>
              <w:t xml:space="preserve">.14., </w:t>
            </w:r>
            <w:r w:rsidR="007E41E9" w:rsidRPr="00EC3211">
              <w:rPr>
                <w:bCs/>
              </w:rPr>
              <w:t>2</w:t>
            </w:r>
            <w:r w:rsidR="00712125" w:rsidRPr="00EC3211">
              <w:rPr>
                <w:bCs/>
              </w:rPr>
              <w:t>3</w:t>
            </w:r>
            <w:r w:rsidR="00030A1C" w:rsidRPr="00EC3211">
              <w:rPr>
                <w:bCs/>
              </w:rPr>
              <w:t>.15.</w:t>
            </w:r>
            <w:r w:rsidR="00870CDF">
              <w:rPr>
                <w:bCs/>
              </w:rPr>
              <w:t>,</w:t>
            </w:r>
            <w:r w:rsidR="00030A1C" w:rsidRPr="00EC3211">
              <w:rPr>
                <w:bCs/>
              </w:rPr>
              <w:t xml:space="preserve"> </w:t>
            </w:r>
            <w:r w:rsidR="007E41E9" w:rsidRPr="00EC3211">
              <w:rPr>
                <w:bCs/>
              </w:rPr>
              <w:t>2</w:t>
            </w:r>
            <w:r w:rsidR="00712125" w:rsidRPr="00EC3211">
              <w:rPr>
                <w:bCs/>
              </w:rPr>
              <w:t>3</w:t>
            </w:r>
            <w:r w:rsidR="00030A1C" w:rsidRPr="00EC3211">
              <w:rPr>
                <w:bCs/>
              </w:rPr>
              <w:t>.16.</w:t>
            </w:r>
            <w:r w:rsidR="00870CDF">
              <w:rPr>
                <w:bCs/>
              </w:rPr>
              <w:t xml:space="preserve"> un </w:t>
            </w:r>
            <w:r w:rsidR="00870CDF" w:rsidRPr="00EC3211">
              <w:rPr>
                <w:bCs/>
              </w:rPr>
              <w:t>23</w:t>
            </w:r>
            <w:r w:rsidR="00870CDF">
              <w:rPr>
                <w:bCs/>
              </w:rPr>
              <w:t>.19</w:t>
            </w:r>
            <w:r w:rsidR="00870CDF" w:rsidRPr="00EC3211">
              <w:rPr>
                <w:bCs/>
              </w:rPr>
              <w:t>.</w:t>
            </w:r>
            <w:r w:rsidR="00870CDF">
              <w:rPr>
                <w:bCs/>
              </w:rPr>
              <w:t xml:space="preserve"> </w:t>
            </w:r>
            <w:r w:rsidR="00030A1C" w:rsidRPr="00EC3211">
              <w:rPr>
                <w:bCs/>
              </w:rPr>
              <w:t>apakšpunktā minētās izmaksas, kas ir attiecināmas  no vienošanās par projekta īstenošanu noslēgšanas brīža.</w:t>
            </w:r>
          </w:p>
          <w:p w:rsidR="00F46623" w:rsidRPr="00EC3211" w:rsidRDefault="00F46623" w:rsidP="00F46623">
            <w:pPr>
              <w:autoSpaceDE w:val="0"/>
              <w:autoSpaceDN w:val="0"/>
              <w:jc w:val="both"/>
              <w:rPr>
                <w:bCs/>
              </w:rPr>
            </w:pPr>
          </w:p>
          <w:p w:rsidR="00F46623" w:rsidRPr="00EC3211" w:rsidRDefault="00F46623" w:rsidP="00F46623">
            <w:pPr>
              <w:autoSpaceDE w:val="0"/>
              <w:autoSpaceDN w:val="0"/>
              <w:jc w:val="both"/>
              <w:rPr>
                <w:bCs/>
              </w:rPr>
            </w:pPr>
            <w:r w:rsidRPr="00EC3211">
              <w:rPr>
                <w:bCs/>
              </w:rPr>
              <w:t xml:space="preserve">MK noteikumu projekts paredz iespēju </w:t>
            </w:r>
            <w:r w:rsidR="003B52ED" w:rsidRPr="00EC3211">
              <w:rPr>
                <w:bCs/>
              </w:rPr>
              <w:t xml:space="preserve">projekta </w:t>
            </w:r>
            <w:r w:rsidRPr="00EC3211">
              <w:rPr>
                <w:bCs/>
              </w:rPr>
              <w:t xml:space="preserve">finansēšanai saņemt avansu, atbilstoši normatīvajiem aktiem par valsts budžeta līdzekļu plānošanu Eiropas Savienības struktūrfondu un Kohēzijas fonda projektu īstenošanai un maksājumu veikšanu 2014.-2020. gada plānošanas periodā, kas nosaka, ka sadarbības iestāde, veicot avansa un starpposma maksājumus, ievēro nosacījumu, ka to kopsumma nedrīkst pārsniegt 90 % no projektam piešķirtā Kohēzijas fonda finansējuma </w:t>
            </w:r>
            <w:r w:rsidRPr="00EC3211">
              <w:t>un projektā ir noslēgts pakalpojumu, preču piegādes vai būvdarbu līgums.</w:t>
            </w:r>
            <w:r w:rsidR="00A508FB" w:rsidRPr="00EC3211">
              <w:t xml:space="preserve"> Avansa maksājumu ir iespējams saņemt vairākos maksājumos.</w:t>
            </w:r>
          </w:p>
          <w:p w:rsidR="00F46623" w:rsidRPr="00EC3211" w:rsidRDefault="00F46623" w:rsidP="00F46623">
            <w:pPr>
              <w:autoSpaceDE w:val="0"/>
              <w:autoSpaceDN w:val="0"/>
              <w:jc w:val="both"/>
            </w:pPr>
            <w:r w:rsidRPr="00EC3211">
              <w:t>Nosakot projekta avansa apmēru, ir jāņem vērā finansējuma saņēmēja spēja sešu mēnešu laikā pēc avansa maksājuma saņemšanas iesniegt sadarbības iestādē maksājuma pieprasījumu piešķirtā avansa maksājuma apmērā.</w:t>
            </w:r>
          </w:p>
          <w:p w:rsidR="004719BD" w:rsidRPr="00EC3211" w:rsidRDefault="004719BD" w:rsidP="004D1A8D">
            <w:pPr>
              <w:autoSpaceDE w:val="0"/>
              <w:autoSpaceDN w:val="0"/>
              <w:jc w:val="both"/>
            </w:pPr>
          </w:p>
          <w:p w:rsidR="00933074" w:rsidRPr="00EC3211" w:rsidRDefault="00030A1C" w:rsidP="00030A1C">
            <w:pPr>
              <w:autoSpaceDE w:val="0"/>
              <w:autoSpaceDN w:val="0"/>
              <w:jc w:val="both"/>
              <w:rPr>
                <w:rFonts w:eastAsia="Times New Roman"/>
              </w:rPr>
            </w:pPr>
            <w:r w:rsidRPr="00EC3211">
              <w:rPr>
                <w:rFonts w:eastAsia="Times New Roman"/>
              </w:rPr>
              <w:t xml:space="preserve">SAM ir netieša ietekme uz horizontālo principu „Vienlīdzīgas iespējas” un „Ilgtspējīga attīstība”. Projektos, kuros tiks realizēti specifiski pasākumi attiecībā uz </w:t>
            </w:r>
            <w:r w:rsidR="00754355" w:rsidRPr="00EC3211">
              <w:rPr>
                <w:rFonts w:eastAsia="Times New Roman"/>
              </w:rPr>
              <w:t>šo horizont</w:t>
            </w:r>
            <w:r w:rsidR="00372913" w:rsidRPr="00EC3211">
              <w:rPr>
                <w:rFonts w:eastAsia="Times New Roman"/>
              </w:rPr>
              <w:t>ālo</w:t>
            </w:r>
            <w:r w:rsidR="00754355" w:rsidRPr="00EC3211">
              <w:rPr>
                <w:rFonts w:eastAsia="Times New Roman"/>
              </w:rPr>
              <w:t xml:space="preserve">  principu</w:t>
            </w:r>
            <w:r w:rsidRPr="00EC3211">
              <w:rPr>
                <w:rFonts w:eastAsia="Times New Roman"/>
              </w:rPr>
              <w:t>, finansējuma saņēmējs nodrošinās sasniegto rezultātu uzskaiti, piemēram, izbūvētu infrastruktūras objektu skaits, kas veicina vides pieejamību  personām ar funkcionāliem traucējumiem</w:t>
            </w:r>
            <w:r w:rsidR="00754355" w:rsidRPr="00EC3211">
              <w:rPr>
                <w:rFonts w:eastAsia="Times New Roman"/>
              </w:rPr>
              <w:t>.</w:t>
            </w:r>
            <w:r w:rsidRPr="00EC3211">
              <w:rPr>
                <w:rFonts w:eastAsia="Times New Roman"/>
              </w:rPr>
              <w:t xml:space="preserve">  </w:t>
            </w:r>
          </w:p>
          <w:p w:rsidR="00030A1C" w:rsidRPr="00EC3211" w:rsidRDefault="00030A1C" w:rsidP="00030A1C">
            <w:pPr>
              <w:autoSpaceDE w:val="0"/>
              <w:autoSpaceDN w:val="0"/>
              <w:jc w:val="both"/>
              <w:rPr>
                <w:rFonts w:eastAsia="Times New Roman"/>
              </w:rPr>
            </w:pPr>
            <w:r w:rsidRPr="00EC3211">
              <w:rPr>
                <w:rFonts w:eastAsia="Times New Roman"/>
              </w:rPr>
              <w:t xml:space="preserve"> </w:t>
            </w:r>
          </w:p>
          <w:p w:rsidR="00933074" w:rsidRPr="00EC3211" w:rsidRDefault="00933074" w:rsidP="00933074">
            <w:pPr>
              <w:autoSpaceDE w:val="0"/>
              <w:autoSpaceDN w:val="0"/>
              <w:jc w:val="both"/>
              <w:rPr>
                <w:rFonts w:eastAsia="Times New Roman"/>
              </w:rPr>
            </w:pPr>
            <w:r w:rsidRPr="00EC3211">
              <w:rPr>
                <w:rFonts w:eastAsia="Times New Roman"/>
              </w:rPr>
              <w:t>Nepieciešamības gadījumā, ja  tiek īstenoti specifiski vides un informācijas risinājumi, papildu  būvn</w:t>
            </w:r>
            <w:r w:rsidR="00FB4F50">
              <w:rPr>
                <w:rFonts w:eastAsia="Times New Roman"/>
              </w:rPr>
              <w:t xml:space="preserve">ormatīvos noteiktajam </w:t>
            </w:r>
            <w:r w:rsidRPr="00EC3211">
              <w:rPr>
                <w:rFonts w:eastAsia="Times New Roman"/>
              </w:rPr>
              <w:t xml:space="preserve"> projektu ietvaros var tikt veiktas konsultācijas ar personu ar invaliditāti intereses pārstāvošo nevalstisko organizāciju ekspertiem.</w:t>
            </w:r>
          </w:p>
          <w:p w:rsidR="00933074" w:rsidRPr="00EC3211" w:rsidRDefault="00A67C78" w:rsidP="00933074">
            <w:pPr>
              <w:autoSpaceDE w:val="0"/>
              <w:autoSpaceDN w:val="0"/>
              <w:jc w:val="both"/>
              <w:rPr>
                <w:bCs/>
              </w:rPr>
            </w:pPr>
            <w:r w:rsidRPr="00EC3211">
              <w:t xml:space="preserve">Finansējuma saņēmējs </w:t>
            </w:r>
            <w:r w:rsidR="00933074" w:rsidRPr="00EC3211">
              <w:t xml:space="preserve">nodrošina </w:t>
            </w:r>
            <w:r w:rsidR="00933074" w:rsidRPr="00EC3211">
              <w:rPr>
                <w:bCs/>
              </w:rPr>
              <w:t>informāciju par:</w:t>
            </w:r>
          </w:p>
          <w:p w:rsidR="00933074" w:rsidRPr="00EC3211" w:rsidRDefault="0076656A" w:rsidP="0076656A">
            <w:pPr>
              <w:autoSpaceDE w:val="0"/>
              <w:autoSpaceDN w:val="0"/>
              <w:jc w:val="both"/>
              <w:rPr>
                <w:bCs/>
              </w:rPr>
            </w:pPr>
            <w:r w:rsidRPr="00EC3211">
              <w:rPr>
                <w:bCs/>
              </w:rPr>
              <w:t xml:space="preserve">- </w:t>
            </w:r>
            <w:r w:rsidR="00933074" w:rsidRPr="00EC3211">
              <w:rPr>
                <w:bCs/>
              </w:rPr>
              <w:t>projekta ietekmi uz transporta plūsmas aizkavējuma samazinājumu (minūtes) ielās, kuras paredzēts atslogot</w:t>
            </w:r>
            <w:r w:rsidR="00FB4F50">
              <w:rPr>
                <w:bCs/>
              </w:rPr>
              <w:t>,</w:t>
            </w:r>
            <w:r w:rsidR="00933074" w:rsidRPr="00EC3211">
              <w:rPr>
                <w:bCs/>
              </w:rPr>
              <w:t xml:space="preserve"> izbūvējot alternatīvos maršrutus, pirms un pēc ieguldījumu veikšanas;</w:t>
            </w:r>
          </w:p>
          <w:p w:rsidR="00933074" w:rsidRPr="00EC3211" w:rsidRDefault="0076656A" w:rsidP="0076656A">
            <w:pPr>
              <w:autoSpaceDE w:val="0"/>
              <w:autoSpaceDN w:val="0"/>
              <w:jc w:val="both"/>
              <w:rPr>
                <w:bCs/>
              </w:rPr>
            </w:pPr>
            <w:r w:rsidRPr="00EC3211">
              <w:rPr>
                <w:bCs/>
              </w:rPr>
              <w:t>-</w:t>
            </w:r>
            <w:r w:rsidR="00933074" w:rsidRPr="00EC3211">
              <w:rPr>
                <w:bCs/>
              </w:rPr>
              <w:t>projekta ietekmi uz vidējo satiksmes intensitātes samazinājumu kravas transportam (automašīnu skaits/diennaktī) uz ielām, kuras tiek atslogotas projekta īstenošanas rezultātā, pirms un pēc ieguldījumu veikšanas</w:t>
            </w:r>
            <w:r w:rsidR="00543C82" w:rsidRPr="00EC3211">
              <w:rPr>
                <w:bCs/>
              </w:rPr>
              <w:t>.</w:t>
            </w:r>
            <w:r w:rsidR="00933074" w:rsidRPr="00EC3211">
              <w:rPr>
                <w:bCs/>
              </w:rPr>
              <w:t xml:space="preserve"> </w:t>
            </w:r>
          </w:p>
          <w:p w:rsidR="00B02728" w:rsidRPr="00EC3211" w:rsidRDefault="00B02728" w:rsidP="004D1A8D">
            <w:pPr>
              <w:autoSpaceDE w:val="0"/>
              <w:autoSpaceDN w:val="0"/>
              <w:jc w:val="both"/>
            </w:pPr>
          </w:p>
          <w:p w:rsidR="00E75E07" w:rsidRPr="00EC3211" w:rsidRDefault="00E75E07" w:rsidP="004D1A8D">
            <w:pPr>
              <w:autoSpaceDE w:val="0"/>
              <w:autoSpaceDN w:val="0"/>
              <w:jc w:val="both"/>
            </w:pPr>
            <w:r w:rsidRPr="00EC3211">
              <w:t xml:space="preserve">Projektu iesniegumu atlasi organizē Centrālā finanšu un līgumu aģentūra (turpmāk – CFLA), kas izstrādā projektu iesniegumu atlases nolikumu. Projektu iesniegumu vērtēšanu veic CFLA un pēc projekta iesnieguma apstiprināšanas noslēdz vienošanos ar projekta iesniedzēju par projekta īstenošanu. </w:t>
            </w:r>
          </w:p>
          <w:p w:rsidR="00B02728" w:rsidRPr="00EC3211" w:rsidRDefault="00B02728" w:rsidP="004D1A8D">
            <w:pPr>
              <w:autoSpaceDE w:val="0"/>
              <w:autoSpaceDN w:val="0"/>
              <w:jc w:val="both"/>
            </w:pPr>
          </w:p>
          <w:p w:rsidR="00042DDF" w:rsidRPr="00EC3211" w:rsidRDefault="00042DDF" w:rsidP="004D1A8D">
            <w:pPr>
              <w:autoSpaceDE w:val="0"/>
              <w:autoSpaceDN w:val="0"/>
              <w:jc w:val="both"/>
            </w:pPr>
            <w:proofErr w:type="spellStart"/>
            <w:r w:rsidRPr="00EC3211">
              <w:t>Ex-ante</w:t>
            </w:r>
            <w:proofErr w:type="spellEnd"/>
            <w:r w:rsidRPr="00EC3211">
              <w:t xml:space="preserve"> nosacījums – metodika starpniekinstitūciju un atbalsta saņēmēju spēju sasnieg</w:t>
            </w:r>
            <w:r w:rsidR="00FB4F50">
              <w:t>t projekta mērķus stiprināšanai</w:t>
            </w:r>
            <w:r w:rsidRPr="00EC3211">
              <w:t xml:space="preserve"> ir izstrādāta un apstiprināta 2015.gada 20.februārī, </w:t>
            </w:r>
            <w:r w:rsidR="00FB4F50">
              <w:t>ko apliecina</w:t>
            </w:r>
            <w:r w:rsidRPr="00EC3211">
              <w:t xml:space="preserve"> Eiropas komisijas 2015.gada </w:t>
            </w:r>
            <w:r w:rsidRPr="00EC3211">
              <w:lastRenderedPageBreak/>
              <w:t>18.augusta vēstule par izpildi.</w:t>
            </w:r>
          </w:p>
        </w:tc>
      </w:tr>
      <w:tr w:rsidR="00330C43" w:rsidRPr="00EC3211"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EC3211" w:rsidRDefault="00330C43" w:rsidP="00330C43">
            <w:pPr>
              <w:jc w:val="center"/>
              <w:rPr>
                <w:lang w:eastAsia="en-US"/>
              </w:rPr>
            </w:pPr>
            <w:r w:rsidRPr="00EC3211">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EC3211" w:rsidRDefault="00330C43" w:rsidP="00330C43">
            <w:pPr>
              <w:rPr>
                <w:lang w:eastAsia="en-US"/>
              </w:rPr>
            </w:pPr>
            <w:r w:rsidRPr="00EC3211">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893FBD" w:rsidRPr="00EC3211" w:rsidRDefault="00FB4F50" w:rsidP="0057743E">
            <w:pPr>
              <w:spacing w:after="120"/>
              <w:jc w:val="both"/>
              <w:rPr>
                <w:b/>
              </w:rPr>
            </w:pPr>
            <w:r>
              <w:t>Satiksmes ministrija</w:t>
            </w:r>
          </w:p>
        </w:tc>
      </w:tr>
      <w:tr w:rsidR="00330C43" w:rsidRPr="00EC3211"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EC3211" w:rsidRDefault="00330C43" w:rsidP="00330C43">
            <w:pPr>
              <w:jc w:val="center"/>
              <w:rPr>
                <w:lang w:eastAsia="en-US"/>
              </w:rPr>
            </w:pPr>
            <w:r w:rsidRPr="00EC3211">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EC3211" w:rsidRDefault="00330C43" w:rsidP="00330C43">
            <w:pPr>
              <w:rPr>
                <w:lang w:eastAsia="en-US"/>
              </w:rPr>
            </w:pPr>
            <w:r w:rsidRPr="00EC3211">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EC3211" w:rsidRDefault="00554AB1" w:rsidP="00554AB1">
            <w:r w:rsidRPr="00EC3211">
              <w:t>Nav.</w:t>
            </w:r>
          </w:p>
        </w:tc>
      </w:tr>
    </w:tbl>
    <w:p w:rsidR="000D3D70" w:rsidRPr="00EC3211" w:rsidRDefault="000D3D70"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40705" w:rsidRPr="00EC3211"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705" w:rsidRPr="00EC3211" w:rsidRDefault="00A40705" w:rsidP="00BF08DE">
            <w:pPr>
              <w:pStyle w:val="ListParagraph"/>
              <w:tabs>
                <w:tab w:val="left" w:pos="2268"/>
                <w:tab w:val="left" w:pos="2410"/>
              </w:tabs>
              <w:ind w:left="1080"/>
              <w:jc w:val="center"/>
              <w:rPr>
                <w:b/>
                <w:sz w:val="24"/>
                <w:szCs w:val="24"/>
                <w:lang w:eastAsia="en-US"/>
              </w:rPr>
            </w:pPr>
            <w:r w:rsidRPr="00EC3211">
              <w:rPr>
                <w:b/>
                <w:bCs/>
                <w:sz w:val="24"/>
                <w:szCs w:val="24"/>
              </w:rPr>
              <w:t>II. Tiesību akta projekta ietekme uz sabiedrību, tautsaimniecības attīstību un administratīvo slogu</w:t>
            </w:r>
          </w:p>
        </w:tc>
      </w:tr>
      <w:tr w:rsidR="00A40705" w:rsidRPr="00EC3211"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40705" w:rsidRPr="00EC3211" w:rsidRDefault="00A40705" w:rsidP="00BF08DE">
            <w:pPr>
              <w:jc w:val="center"/>
              <w:rPr>
                <w:lang w:eastAsia="en-US"/>
              </w:rPr>
            </w:pPr>
            <w:r w:rsidRPr="00EC3211">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40705" w:rsidRPr="00EC3211" w:rsidRDefault="00A40705" w:rsidP="00BF08DE">
            <w:pPr>
              <w:rPr>
                <w:lang w:eastAsia="en-US"/>
              </w:rPr>
            </w:pPr>
            <w:r w:rsidRPr="00EC3211">
              <w:t xml:space="preserve">Sabiedrības </w:t>
            </w:r>
            <w:proofErr w:type="spellStart"/>
            <w:r w:rsidRPr="00EC3211">
              <w:t>mērķgrupas</w:t>
            </w:r>
            <w:proofErr w:type="spellEnd"/>
            <w:r w:rsidRPr="00EC3211">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705" w:rsidRPr="00EC3211" w:rsidRDefault="00BD685E" w:rsidP="00847EC7">
            <w:pPr>
              <w:jc w:val="both"/>
              <w:rPr>
                <w:bCs/>
                <w:lang w:eastAsia="en-US"/>
              </w:rPr>
            </w:pPr>
            <w:r w:rsidRPr="00EC3211">
              <w:rPr>
                <w:bCs/>
                <w:lang w:eastAsia="en-US"/>
              </w:rPr>
              <w:t>Satiksmes dalībnieki</w:t>
            </w:r>
          </w:p>
        </w:tc>
      </w:tr>
      <w:tr w:rsidR="00A40705" w:rsidRPr="00EC3211"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EC3211" w:rsidRDefault="00A40705" w:rsidP="00BF08DE">
            <w:pPr>
              <w:jc w:val="center"/>
            </w:pPr>
            <w:r w:rsidRPr="00EC3211">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EC3211" w:rsidRDefault="00A40705" w:rsidP="00BF08DE">
            <w:pPr>
              <w:rPr>
                <w:rFonts w:ascii="Arial" w:hAnsi="Arial" w:cs="Arial"/>
                <w:color w:val="414142"/>
                <w:sz w:val="20"/>
                <w:szCs w:val="20"/>
              </w:rPr>
            </w:pPr>
            <w:r w:rsidRPr="00EC3211">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EC3211" w:rsidRDefault="008B4F71" w:rsidP="00BF08DE">
            <w:pPr>
              <w:pStyle w:val="ListParagraph"/>
              <w:tabs>
                <w:tab w:val="left" w:pos="317"/>
              </w:tabs>
              <w:spacing w:before="60" w:after="60"/>
              <w:ind w:left="34"/>
              <w:jc w:val="both"/>
              <w:rPr>
                <w:bCs/>
                <w:sz w:val="24"/>
                <w:szCs w:val="24"/>
                <w:lang w:eastAsia="en-US"/>
              </w:rPr>
            </w:pPr>
            <w:r w:rsidRPr="00EC3211">
              <w:rPr>
                <w:bCs/>
                <w:sz w:val="24"/>
                <w:szCs w:val="24"/>
                <w:lang w:eastAsia="en-US"/>
              </w:rPr>
              <w:t>Projekts šo jomu neskar.</w:t>
            </w:r>
          </w:p>
        </w:tc>
      </w:tr>
      <w:tr w:rsidR="00A40705" w:rsidRPr="00EC3211"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EC3211" w:rsidRDefault="00A40705" w:rsidP="00BF08DE">
            <w:pPr>
              <w:jc w:val="center"/>
            </w:pPr>
            <w:r w:rsidRPr="00EC3211">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EC3211" w:rsidRDefault="00A40705" w:rsidP="00BF08DE">
            <w:pPr>
              <w:rPr>
                <w:rFonts w:ascii="Arial" w:hAnsi="Arial" w:cs="Arial"/>
                <w:color w:val="414142"/>
                <w:sz w:val="20"/>
                <w:szCs w:val="20"/>
              </w:rPr>
            </w:pPr>
            <w:r w:rsidRPr="00EC3211">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EC3211" w:rsidRDefault="00FB4F50" w:rsidP="00813BE9">
            <w:pPr>
              <w:pStyle w:val="ListParagraph"/>
              <w:tabs>
                <w:tab w:val="left" w:pos="317"/>
              </w:tabs>
              <w:spacing w:before="60" w:after="60"/>
              <w:ind w:left="34"/>
              <w:jc w:val="both"/>
              <w:rPr>
                <w:bCs/>
                <w:sz w:val="24"/>
                <w:szCs w:val="24"/>
                <w:lang w:eastAsia="en-US"/>
              </w:rPr>
            </w:pPr>
            <w:r>
              <w:rPr>
                <w:bCs/>
                <w:sz w:val="24"/>
                <w:szCs w:val="24"/>
                <w:lang w:eastAsia="en-US"/>
              </w:rPr>
              <w:t>Projekts šo jomu neskar.</w:t>
            </w:r>
          </w:p>
        </w:tc>
      </w:tr>
      <w:tr w:rsidR="00A40705" w:rsidRPr="00EC3211"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EC3211" w:rsidRDefault="00A40705" w:rsidP="00BF08DE">
            <w:pPr>
              <w:jc w:val="center"/>
            </w:pPr>
            <w:r w:rsidRPr="00EC3211">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EC3211" w:rsidRDefault="00A40705" w:rsidP="00BF08DE">
            <w:pPr>
              <w:rPr>
                <w:rFonts w:ascii="Arial" w:hAnsi="Arial" w:cs="Arial"/>
                <w:color w:val="414142"/>
                <w:sz w:val="20"/>
                <w:szCs w:val="20"/>
              </w:rPr>
            </w:pPr>
            <w:r w:rsidRPr="00EC3211">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EC3211" w:rsidRDefault="00A40705" w:rsidP="00BF08DE">
            <w:pPr>
              <w:pStyle w:val="ListParagraph"/>
              <w:tabs>
                <w:tab w:val="left" w:pos="317"/>
              </w:tabs>
              <w:spacing w:before="60" w:after="60"/>
              <w:ind w:left="34"/>
              <w:jc w:val="both"/>
              <w:rPr>
                <w:bCs/>
                <w:sz w:val="24"/>
                <w:szCs w:val="24"/>
                <w:lang w:eastAsia="en-US"/>
              </w:rPr>
            </w:pPr>
            <w:r w:rsidRPr="00EC3211">
              <w:rPr>
                <w:bCs/>
                <w:sz w:val="24"/>
                <w:szCs w:val="24"/>
                <w:lang w:eastAsia="en-US"/>
              </w:rPr>
              <w:t>Nav.</w:t>
            </w:r>
          </w:p>
        </w:tc>
      </w:tr>
    </w:tbl>
    <w:p w:rsidR="00E51DE7" w:rsidRPr="00EC3211" w:rsidRDefault="00E51DE7" w:rsidP="00C61A59">
      <w:pPr>
        <w:jc w:val="both"/>
      </w:pPr>
    </w:p>
    <w:tbl>
      <w:tblPr>
        <w:tblW w:w="9214" w:type="dxa"/>
        <w:tblInd w:w="-34" w:type="dxa"/>
        <w:tblLayout w:type="fixed"/>
        <w:tblCellMar>
          <w:left w:w="0" w:type="dxa"/>
          <w:right w:w="0" w:type="dxa"/>
        </w:tblCellMar>
        <w:tblLook w:val="04A0" w:firstRow="1" w:lastRow="0" w:firstColumn="1" w:lastColumn="0" w:noHBand="0" w:noVBand="1"/>
      </w:tblPr>
      <w:tblGrid>
        <w:gridCol w:w="2410"/>
        <w:gridCol w:w="1163"/>
        <w:gridCol w:w="1247"/>
        <w:gridCol w:w="1559"/>
        <w:gridCol w:w="1418"/>
        <w:gridCol w:w="1417"/>
      </w:tblGrid>
      <w:tr w:rsidR="00E51DE7" w:rsidRPr="00EC3211" w:rsidTr="00D92D99">
        <w:tc>
          <w:tcPr>
            <w:tcW w:w="92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pStyle w:val="ListParagraph"/>
              <w:ind w:left="1080"/>
              <w:jc w:val="center"/>
              <w:rPr>
                <w:b/>
                <w:bCs/>
                <w:sz w:val="24"/>
                <w:szCs w:val="24"/>
                <w:lang w:eastAsia="en-US"/>
              </w:rPr>
            </w:pPr>
            <w:r w:rsidRPr="00EC3211">
              <w:rPr>
                <w:b/>
                <w:bCs/>
                <w:sz w:val="24"/>
                <w:szCs w:val="24"/>
              </w:rPr>
              <w:t>III. Tiesību akta projekta ietekme uz valsts budžetu un pašvaldību budžetiem</w:t>
            </w:r>
          </w:p>
        </w:tc>
      </w:tr>
      <w:tr w:rsidR="00E51DE7" w:rsidRPr="00EC3211" w:rsidTr="00D92D99">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Rādītāji</w:t>
            </w:r>
          </w:p>
        </w:tc>
        <w:tc>
          <w:tcPr>
            <w:tcW w:w="24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01150B" w:rsidP="0001150B">
            <w:pPr>
              <w:jc w:val="center"/>
              <w:rPr>
                <w:b/>
                <w:bCs/>
                <w:lang w:eastAsia="en-US"/>
              </w:rPr>
            </w:pPr>
            <w:r w:rsidRPr="00EC3211">
              <w:rPr>
                <w:b/>
                <w:bCs/>
              </w:rPr>
              <w:t>2016</w:t>
            </w:r>
            <w:r w:rsidR="00E51DE7" w:rsidRPr="00EC3211">
              <w:rPr>
                <w:b/>
                <w:bCs/>
              </w:rPr>
              <w:t>.gads</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Turpmākie trīs gadi (</w:t>
            </w:r>
            <w:proofErr w:type="spellStart"/>
            <w:r w:rsidRPr="00EC3211">
              <w:rPr>
                <w:b/>
                <w:bCs/>
              </w:rPr>
              <w:t>euro</w:t>
            </w:r>
            <w:proofErr w:type="spellEnd"/>
            <w:r w:rsidRPr="00EC3211">
              <w:rPr>
                <w:b/>
                <w:bCs/>
              </w:rPr>
              <w:t>)</w:t>
            </w:r>
          </w:p>
        </w:tc>
      </w:tr>
      <w:tr w:rsidR="00E51DE7" w:rsidRPr="00EC3211" w:rsidTr="00D92D99">
        <w:tc>
          <w:tcPr>
            <w:tcW w:w="2410" w:type="dxa"/>
            <w:vMerge/>
            <w:tcBorders>
              <w:top w:val="nil"/>
              <w:left w:val="single" w:sz="8" w:space="0" w:color="auto"/>
              <w:bottom w:val="single" w:sz="8" w:space="0" w:color="auto"/>
              <w:right w:val="single" w:sz="8" w:space="0" w:color="auto"/>
            </w:tcBorders>
            <w:vAlign w:val="center"/>
            <w:hideMark/>
          </w:tcPr>
          <w:p w:rsidR="00E51DE7" w:rsidRPr="00EC3211" w:rsidRDefault="00E51DE7">
            <w:pPr>
              <w:rPr>
                <w:b/>
                <w:bCs/>
                <w:lang w:eastAsia="en-US"/>
              </w:rPr>
            </w:pPr>
          </w:p>
        </w:tc>
        <w:tc>
          <w:tcPr>
            <w:tcW w:w="2410" w:type="dxa"/>
            <w:gridSpan w:val="2"/>
            <w:vMerge/>
            <w:tcBorders>
              <w:top w:val="nil"/>
              <w:left w:val="nil"/>
              <w:bottom w:val="single" w:sz="8" w:space="0" w:color="auto"/>
              <w:right w:val="single" w:sz="8" w:space="0" w:color="auto"/>
            </w:tcBorders>
            <w:vAlign w:val="center"/>
            <w:hideMark/>
          </w:tcPr>
          <w:p w:rsidR="00E51DE7" w:rsidRPr="00EC3211" w:rsidRDefault="00E51DE7">
            <w:pPr>
              <w:rPr>
                <w:b/>
                <w:bCs/>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01150B" w:rsidP="0001150B">
            <w:pPr>
              <w:jc w:val="center"/>
              <w:rPr>
                <w:b/>
                <w:bCs/>
                <w:lang w:eastAsia="en-US"/>
              </w:rPr>
            </w:pPr>
            <w:r w:rsidRPr="00EC3211">
              <w:rPr>
                <w:b/>
                <w:bCs/>
              </w:rPr>
              <w:t>2017</w:t>
            </w:r>
            <w:r w:rsidR="00E51DE7" w:rsidRPr="00EC3211">
              <w:rPr>
                <w:b/>
                <w:bCs/>
              </w:rPr>
              <w:t>.g.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01150B" w:rsidP="0001150B">
            <w:pPr>
              <w:jc w:val="center"/>
              <w:rPr>
                <w:b/>
                <w:bCs/>
                <w:lang w:eastAsia="en-US"/>
              </w:rPr>
            </w:pPr>
            <w:r w:rsidRPr="00EC3211">
              <w:rPr>
                <w:b/>
                <w:bCs/>
              </w:rPr>
              <w:t>2018</w:t>
            </w:r>
            <w:r w:rsidR="00E51DE7" w:rsidRPr="00EC3211">
              <w:rPr>
                <w:b/>
                <w:bCs/>
              </w:rPr>
              <w:t>.g.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01150B" w:rsidP="0001150B">
            <w:pPr>
              <w:jc w:val="center"/>
              <w:rPr>
                <w:b/>
                <w:bCs/>
                <w:lang w:eastAsia="en-US"/>
              </w:rPr>
            </w:pPr>
            <w:r w:rsidRPr="00EC3211">
              <w:rPr>
                <w:b/>
                <w:bCs/>
              </w:rPr>
              <w:t>2019</w:t>
            </w:r>
            <w:r w:rsidR="00E51DE7" w:rsidRPr="00EC3211">
              <w:rPr>
                <w:b/>
                <w:bCs/>
              </w:rPr>
              <w:t>.g.</w:t>
            </w:r>
          </w:p>
        </w:tc>
      </w:tr>
      <w:tr w:rsidR="00E51DE7" w:rsidRPr="00EC3211" w:rsidTr="00D92D99">
        <w:tc>
          <w:tcPr>
            <w:tcW w:w="2410" w:type="dxa"/>
            <w:vMerge/>
            <w:tcBorders>
              <w:top w:val="nil"/>
              <w:left w:val="single" w:sz="8" w:space="0" w:color="auto"/>
              <w:bottom w:val="single" w:sz="8" w:space="0" w:color="auto"/>
              <w:right w:val="single" w:sz="8" w:space="0" w:color="auto"/>
            </w:tcBorders>
            <w:vAlign w:val="center"/>
            <w:hideMark/>
          </w:tcPr>
          <w:p w:rsidR="00E51DE7" w:rsidRPr="00EC3211" w:rsidRDefault="00E51DE7">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saskaņā ar valsts budžetu kārtējam gadam</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izmaiņas kārtējā gadā, salīdzinot ar valsts budžetu kārtējam gadam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b/>
                <w:bCs/>
                <w:lang w:eastAsia="en-US"/>
              </w:rPr>
            </w:pPr>
            <w:r w:rsidRPr="00EC3211">
              <w:rPr>
                <w:b/>
                <w:bCs/>
              </w:rPr>
              <w:t>izmaiņas, salīdzinot ar kārtējo (n) gadu</w:t>
            </w:r>
          </w:p>
        </w:tc>
      </w:tr>
      <w:tr w:rsidR="00E51DE7" w:rsidRPr="00EC3211"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lang w:eastAsia="en-US"/>
              </w:rPr>
            </w:pPr>
            <w:r w:rsidRPr="00EC3211">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lang w:eastAsia="en-US"/>
              </w:rPr>
            </w:pPr>
            <w:r w:rsidRPr="00EC3211">
              <w:t>2</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lang w:eastAsia="en-US"/>
              </w:rPr>
            </w:pPr>
            <w:r w:rsidRPr="00EC3211">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lang w:eastAsia="en-US"/>
              </w:rPr>
            </w:pPr>
            <w:r w:rsidRPr="00EC3211">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lang w:eastAsia="en-US"/>
              </w:rPr>
            </w:pPr>
            <w:r w:rsidRPr="00EC3211">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center"/>
              <w:rPr>
                <w:lang w:eastAsia="en-US"/>
              </w:rPr>
            </w:pPr>
            <w:r w:rsidRPr="00EC3211">
              <w:t>6</w:t>
            </w:r>
          </w:p>
        </w:tc>
      </w:tr>
      <w:tr w:rsidR="0001150B" w:rsidRPr="00EC3211" w:rsidTr="00E96C8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BF7545">
            <w:pPr>
              <w:jc w:val="right"/>
              <w:rPr>
                <w:lang w:eastAsia="en-US"/>
              </w:rPr>
            </w:pPr>
            <w:r w:rsidRPr="00EC3211">
              <w:rPr>
                <w:lang w:eastAsia="en-US"/>
              </w:rPr>
              <w:t>72 986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BF7545" w:rsidP="00535FD6">
            <w:pPr>
              <w:jc w:val="right"/>
              <w:rPr>
                <w:lang w:eastAsia="en-US"/>
              </w:rPr>
            </w:pPr>
            <w:r w:rsidRPr="00EC3211">
              <w:rPr>
                <w:lang w:eastAsia="en-US"/>
              </w:rPr>
              <w:t>13 788 478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1372A6" w:rsidP="00473EE9">
            <w:pPr>
              <w:jc w:val="right"/>
              <w:rPr>
                <w:lang w:eastAsia="en-US"/>
              </w:rPr>
            </w:pPr>
            <w:r w:rsidRPr="00EC3211">
              <w:rPr>
                <w:lang w:eastAsia="en-US"/>
              </w:rPr>
              <w:t>15 007 234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1372A6" w:rsidP="00535FD6">
            <w:pPr>
              <w:jc w:val="right"/>
              <w:rPr>
                <w:lang w:eastAsia="en-US"/>
              </w:rPr>
            </w:pPr>
            <w:r w:rsidRPr="00EC3211">
              <w:rPr>
                <w:lang w:eastAsia="en-US"/>
              </w:rPr>
              <w:t>4 216 125</w:t>
            </w:r>
          </w:p>
        </w:tc>
      </w:tr>
      <w:tr w:rsidR="0001150B" w:rsidRPr="00EC3211" w:rsidTr="00E96C8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1.1. valsts pamatbudžets, tai skaitā ieņēmumi no maksas pakalpojumiem un citi pašu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BF7545">
            <w:pPr>
              <w:jc w:val="right"/>
              <w:rPr>
                <w:lang w:eastAsia="en-US"/>
              </w:rPr>
            </w:pPr>
            <w:r w:rsidRPr="00EC3211">
              <w:rPr>
                <w:lang w:eastAsia="en-US"/>
              </w:rPr>
              <w:t>72 986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BF7545" w:rsidP="00F361BA">
            <w:pPr>
              <w:jc w:val="right"/>
              <w:rPr>
                <w:lang w:eastAsia="en-US"/>
              </w:rPr>
            </w:pPr>
            <w:r w:rsidRPr="00EC3211">
              <w:rPr>
                <w:lang w:eastAsia="en-US"/>
              </w:rPr>
              <w:t>13 788 478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1372A6" w:rsidP="00535FD6">
            <w:pPr>
              <w:jc w:val="right"/>
              <w:rPr>
                <w:lang w:eastAsia="en-US"/>
              </w:rPr>
            </w:pPr>
            <w:r w:rsidRPr="00EC3211">
              <w:rPr>
                <w:lang w:eastAsia="en-US"/>
              </w:rPr>
              <w:t>15 007 234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1372A6" w:rsidP="00535FD6">
            <w:pPr>
              <w:jc w:val="right"/>
              <w:rPr>
                <w:lang w:eastAsia="en-US"/>
              </w:rPr>
            </w:pPr>
            <w:r w:rsidRPr="00EC3211">
              <w:rPr>
                <w:lang w:eastAsia="en-US"/>
              </w:rPr>
              <w:t>4 216 125</w:t>
            </w:r>
          </w:p>
        </w:tc>
      </w:tr>
      <w:tr w:rsidR="0001150B" w:rsidRPr="00EC3211" w:rsidTr="00E96C8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1.2.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r>
      <w:tr w:rsidR="0001150B" w:rsidRPr="00EC3211" w:rsidTr="00E96C8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1.3.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24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r>
      <w:tr w:rsidR="0001150B" w:rsidRPr="00EC3211" w:rsidTr="00E96C8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150B" w:rsidRPr="00EC3211" w:rsidRDefault="00BF7545">
            <w:pPr>
              <w:jc w:val="right"/>
              <w:rPr>
                <w:lang w:eastAsia="en-US"/>
              </w:rPr>
            </w:pPr>
            <w:r w:rsidRPr="00EC3211">
              <w:rPr>
                <w:lang w:eastAsia="en-US"/>
              </w:rPr>
              <w:t>133 912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BF7545" w:rsidP="00316DEF">
            <w:pPr>
              <w:jc w:val="right"/>
              <w:rPr>
                <w:lang w:eastAsia="en-US"/>
              </w:rPr>
            </w:pPr>
            <w:r w:rsidRPr="00EC3211">
              <w:rPr>
                <w:lang w:eastAsia="en-US"/>
              </w:rPr>
              <w:t>21 587 20</w:t>
            </w:r>
            <w:r w:rsidR="00316DEF">
              <w:rPr>
                <w:lang w:eastAsia="en-US"/>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1372A6" w:rsidP="00316DEF">
            <w:pPr>
              <w:jc w:val="right"/>
              <w:rPr>
                <w:lang w:eastAsia="en-US"/>
              </w:rPr>
            </w:pPr>
            <w:r w:rsidRPr="00EC3211">
              <w:rPr>
                <w:lang w:eastAsia="en-US"/>
              </w:rPr>
              <w:t>24 143 45</w:t>
            </w:r>
            <w:r w:rsidR="00316DEF">
              <w:rPr>
                <w:lang w:eastAsia="en-US"/>
              </w:rPr>
              <w:t>4</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1372A6" w:rsidP="0001150B">
            <w:pPr>
              <w:jc w:val="right"/>
              <w:rPr>
                <w:lang w:eastAsia="en-US"/>
              </w:rPr>
            </w:pPr>
            <w:r w:rsidRPr="00EC3211">
              <w:rPr>
                <w:lang w:eastAsia="en-US"/>
              </w:rPr>
              <w:t>6 312 919</w:t>
            </w:r>
          </w:p>
        </w:tc>
      </w:tr>
      <w:tr w:rsidR="0001150B" w:rsidRPr="00EC3211" w:rsidTr="00E96C8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2.1.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06B4" w:rsidRPr="00EC3211" w:rsidRDefault="006606B4" w:rsidP="006606B4">
            <w:pPr>
              <w:jc w:val="right"/>
              <w:rPr>
                <w:lang w:eastAsia="en-US"/>
              </w:rPr>
            </w:pPr>
            <w:r w:rsidRPr="00EC3211">
              <w:rPr>
                <w:lang w:eastAsia="en-US"/>
              </w:rPr>
              <w:t>76 287</w:t>
            </w:r>
          </w:p>
          <w:p w:rsidR="0001150B" w:rsidRPr="00EC3211" w:rsidRDefault="006606B4" w:rsidP="006606B4">
            <w:pPr>
              <w:jc w:val="right"/>
              <w:rPr>
                <w:lang w:eastAsia="en-US"/>
              </w:rPr>
            </w:pPr>
            <w:r w:rsidRPr="00EC3211">
              <w:rPr>
                <w:lang w:eastAsia="en-US"/>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606B4" w:rsidRPr="00EC3211" w:rsidRDefault="006606B4" w:rsidP="001F5B35">
            <w:pPr>
              <w:jc w:val="right"/>
              <w:rPr>
                <w:lang w:eastAsia="en-US"/>
              </w:rPr>
            </w:pPr>
            <w:r w:rsidRPr="00EC3211">
              <w:rPr>
                <w:lang w:eastAsia="en-US"/>
              </w:rPr>
              <w:t>14 385 88</w:t>
            </w:r>
            <w:r w:rsidR="00316DEF">
              <w:rPr>
                <w:lang w:eastAsia="en-US"/>
              </w:rPr>
              <w:t>4</w:t>
            </w:r>
          </w:p>
          <w:p w:rsidR="0001150B" w:rsidRPr="00EC3211" w:rsidRDefault="0001150B" w:rsidP="001F5B35">
            <w:pPr>
              <w:jc w:val="right"/>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44AC2" w:rsidRPr="00EC3211" w:rsidRDefault="00E44AC2" w:rsidP="00397F02">
            <w:pPr>
              <w:jc w:val="right"/>
              <w:rPr>
                <w:lang w:eastAsia="en-US"/>
              </w:rPr>
            </w:pPr>
            <w:r w:rsidRPr="00EC3211">
              <w:rPr>
                <w:lang w:eastAsia="en-US"/>
              </w:rPr>
              <w:t>15 671 01</w:t>
            </w:r>
            <w:r w:rsidR="00316DEF">
              <w:rPr>
                <w:lang w:eastAsia="en-US"/>
              </w:rPr>
              <w:t>6</w:t>
            </w:r>
          </w:p>
          <w:p w:rsidR="0001150B" w:rsidRPr="00EC3211" w:rsidRDefault="00544366" w:rsidP="00397F02">
            <w:pPr>
              <w:jc w:val="right"/>
              <w:rPr>
                <w:lang w:eastAsia="en-US"/>
              </w:rPr>
            </w:pPr>
            <w:r w:rsidRPr="00EC3211">
              <w:rPr>
                <w:lang w:eastAsia="en-US"/>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544366" w:rsidRPr="00EC3211" w:rsidRDefault="00544366" w:rsidP="00B17923">
            <w:pPr>
              <w:jc w:val="right"/>
              <w:rPr>
                <w:lang w:eastAsia="en-US"/>
              </w:rPr>
            </w:pPr>
            <w:r w:rsidRPr="00EC3211">
              <w:rPr>
                <w:lang w:eastAsia="en-US"/>
              </w:rPr>
              <w:t>4 401 379</w:t>
            </w:r>
          </w:p>
          <w:p w:rsidR="0001150B" w:rsidRPr="00EC3211" w:rsidRDefault="0001150B" w:rsidP="00B17923">
            <w:pPr>
              <w:jc w:val="right"/>
              <w:rPr>
                <w:lang w:eastAsia="en-US"/>
              </w:rPr>
            </w:pPr>
          </w:p>
        </w:tc>
      </w:tr>
      <w:tr w:rsidR="0001150B" w:rsidRPr="00EC3211" w:rsidTr="00E96C8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2.2.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1150B" w:rsidRPr="00EC3211" w:rsidRDefault="0001150B">
            <w:pPr>
              <w:jc w:val="right"/>
              <w:rPr>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01150B" w:rsidRPr="00EC3211" w:rsidRDefault="0001150B">
            <w:pPr>
              <w:jc w:val="right"/>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1150B" w:rsidRPr="00EC3211" w:rsidRDefault="0001150B">
            <w:pPr>
              <w:jc w:val="right"/>
              <w:rPr>
                <w:lang w:eastAsia="en-US"/>
              </w:rPr>
            </w:pPr>
          </w:p>
        </w:tc>
      </w:tr>
      <w:tr w:rsidR="0001150B" w:rsidRPr="00EC3211" w:rsidTr="00E96C8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lastRenderedPageBreak/>
              <w:t>2.3.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42ED" w:rsidRPr="00EC3211" w:rsidRDefault="00C142ED" w:rsidP="00C142ED">
            <w:pPr>
              <w:jc w:val="right"/>
              <w:rPr>
                <w:lang w:eastAsia="en-US"/>
              </w:rPr>
            </w:pPr>
            <w:r w:rsidRPr="00EC3211">
              <w:rPr>
                <w:lang w:eastAsia="en-US"/>
              </w:rPr>
              <w:t xml:space="preserve">57 625 </w:t>
            </w:r>
          </w:p>
          <w:p w:rsidR="0001150B" w:rsidRPr="00EC3211" w:rsidRDefault="00C142ED" w:rsidP="00C142ED">
            <w:pPr>
              <w:jc w:val="right"/>
              <w:rPr>
                <w:lang w:eastAsia="en-US"/>
              </w:rPr>
            </w:pPr>
            <w:r w:rsidRPr="00EC3211">
              <w:rPr>
                <w:lang w:eastAsia="en-US"/>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142ED" w:rsidRPr="00EC3211" w:rsidRDefault="00C142ED">
            <w:pPr>
              <w:jc w:val="right"/>
              <w:rPr>
                <w:lang w:eastAsia="en-US"/>
              </w:rPr>
            </w:pPr>
            <w:r w:rsidRPr="00EC3211">
              <w:rPr>
                <w:lang w:eastAsia="en-US"/>
              </w:rPr>
              <w:t>7 201 320</w:t>
            </w:r>
          </w:p>
          <w:p w:rsidR="0001150B" w:rsidRPr="00EC3211" w:rsidRDefault="0001150B">
            <w:pPr>
              <w:jc w:val="right"/>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44AC2" w:rsidRPr="00EC3211" w:rsidRDefault="00E44AC2">
            <w:pPr>
              <w:jc w:val="right"/>
              <w:rPr>
                <w:lang w:eastAsia="en-US"/>
              </w:rPr>
            </w:pPr>
            <w:r w:rsidRPr="00EC3211">
              <w:rPr>
                <w:lang w:eastAsia="en-US"/>
              </w:rPr>
              <w:t>8 472 43</w:t>
            </w:r>
            <w:r w:rsidR="00E61C48">
              <w:rPr>
                <w:lang w:eastAsia="en-US"/>
              </w:rPr>
              <w:t>8</w:t>
            </w:r>
          </w:p>
          <w:p w:rsidR="0001150B" w:rsidRPr="00EC3211" w:rsidRDefault="0001150B">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544366" w:rsidRPr="00EC3211" w:rsidRDefault="00544366" w:rsidP="000271A0">
            <w:pPr>
              <w:jc w:val="center"/>
              <w:rPr>
                <w:lang w:eastAsia="en-US"/>
              </w:rPr>
            </w:pPr>
            <w:r w:rsidRPr="00EC3211">
              <w:rPr>
                <w:lang w:eastAsia="en-US"/>
              </w:rPr>
              <w:t>1 911 540</w:t>
            </w:r>
          </w:p>
          <w:p w:rsidR="0001150B" w:rsidRPr="00EC3211" w:rsidRDefault="0001150B" w:rsidP="000271A0">
            <w:pPr>
              <w:jc w:val="center"/>
              <w:rPr>
                <w:lang w:eastAsia="en-US"/>
              </w:rPr>
            </w:pPr>
          </w:p>
        </w:tc>
      </w:tr>
      <w:tr w:rsidR="0001150B" w:rsidRPr="00EC3211" w:rsidTr="00E96C8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150B" w:rsidRPr="00EC3211" w:rsidRDefault="00BF7545">
            <w:pPr>
              <w:jc w:val="right"/>
              <w:rPr>
                <w:lang w:eastAsia="en-US"/>
              </w:rPr>
            </w:pPr>
            <w:r w:rsidRPr="00EC3211">
              <w:rPr>
                <w:lang w:eastAsia="en-US"/>
              </w:rPr>
              <w:t>-60 926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1372A6" w:rsidP="001A2959">
            <w:pPr>
              <w:jc w:val="right"/>
              <w:rPr>
                <w:lang w:eastAsia="en-US"/>
              </w:rPr>
            </w:pPr>
            <w:r w:rsidRPr="00EC3211">
              <w:rPr>
                <w:lang w:eastAsia="en-US"/>
              </w:rPr>
              <w:t>-7 798 72</w:t>
            </w:r>
            <w:r w:rsidR="001A2959">
              <w:rPr>
                <w:lang w:eastAsia="en-US"/>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1372A6" w:rsidP="006659BF">
            <w:pPr>
              <w:jc w:val="right"/>
              <w:rPr>
                <w:lang w:eastAsia="en-US"/>
              </w:rPr>
            </w:pPr>
            <w:r w:rsidRPr="00EC3211">
              <w:rPr>
                <w:lang w:eastAsia="en-US"/>
              </w:rPr>
              <w:t>-9 136 2</w:t>
            </w:r>
            <w:r w:rsidR="006659BF">
              <w:rPr>
                <w:lang w:eastAsia="en-US"/>
              </w:rPr>
              <w:t>19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1150B" w:rsidRPr="00EC3211" w:rsidRDefault="001372A6" w:rsidP="0001150B">
            <w:pPr>
              <w:jc w:val="right"/>
              <w:rPr>
                <w:lang w:eastAsia="en-US"/>
              </w:rPr>
            </w:pPr>
            <w:r w:rsidRPr="00EC3211">
              <w:rPr>
                <w:lang w:eastAsia="en-US"/>
              </w:rPr>
              <w:t>-2 096 794</w:t>
            </w:r>
          </w:p>
        </w:tc>
      </w:tr>
      <w:tr w:rsidR="0001150B" w:rsidRPr="00EC3211" w:rsidTr="00E96C8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3.1.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42ED" w:rsidRPr="00EC3211" w:rsidRDefault="00BF7545" w:rsidP="00C142ED">
            <w:pPr>
              <w:jc w:val="right"/>
              <w:rPr>
                <w:lang w:eastAsia="en-US"/>
              </w:rPr>
            </w:pPr>
            <w:r w:rsidRPr="00EC3211">
              <w:rPr>
                <w:lang w:eastAsia="en-US"/>
              </w:rPr>
              <w:t>-</w:t>
            </w:r>
            <w:r w:rsidR="00C142ED" w:rsidRPr="00EC3211">
              <w:rPr>
                <w:lang w:eastAsia="en-US"/>
              </w:rPr>
              <w:t>3 301</w:t>
            </w:r>
          </w:p>
          <w:p w:rsidR="0001150B" w:rsidRPr="00EC3211" w:rsidRDefault="00C142ED" w:rsidP="00C142ED">
            <w:pPr>
              <w:jc w:val="right"/>
              <w:rPr>
                <w:lang w:eastAsia="en-US"/>
              </w:rPr>
            </w:pPr>
            <w:r w:rsidRPr="00EC3211">
              <w:rPr>
                <w:lang w:eastAsia="en-US"/>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1372A6" w:rsidP="00E61C48">
            <w:pPr>
              <w:jc w:val="right"/>
              <w:rPr>
                <w:lang w:eastAsia="en-US"/>
              </w:rPr>
            </w:pPr>
            <w:r w:rsidRPr="00EC3211">
              <w:rPr>
                <w:lang w:eastAsia="en-US"/>
              </w:rPr>
              <w:t>-</w:t>
            </w:r>
            <w:r w:rsidR="00C142ED" w:rsidRPr="00EC3211">
              <w:rPr>
                <w:lang w:eastAsia="en-US"/>
              </w:rPr>
              <w:t>597 40</w:t>
            </w:r>
            <w:r w:rsidR="00E61C48">
              <w:rPr>
                <w:lang w:eastAsia="en-US"/>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44AC2" w:rsidRPr="00EC3211" w:rsidRDefault="001372A6" w:rsidP="00AE5706">
            <w:pPr>
              <w:jc w:val="right"/>
              <w:rPr>
                <w:lang w:eastAsia="en-US"/>
              </w:rPr>
            </w:pPr>
            <w:r w:rsidRPr="00EC3211">
              <w:rPr>
                <w:lang w:eastAsia="en-US"/>
              </w:rPr>
              <w:t>-</w:t>
            </w:r>
            <w:r w:rsidR="00E44AC2" w:rsidRPr="00EC3211">
              <w:rPr>
                <w:lang w:eastAsia="en-US"/>
              </w:rPr>
              <w:t>663 78</w:t>
            </w:r>
            <w:r w:rsidR="006659BF">
              <w:rPr>
                <w:lang w:eastAsia="en-US"/>
              </w:rPr>
              <w:t>1</w:t>
            </w:r>
          </w:p>
          <w:p w:rsidR="0001150B" w:rsidRPr="00EC3211" w:rsidRDefault="0001150B" w:rsidP="00AE5706">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544366" w:rsidRPr="00EC3211" w:rsidRDefault="001372A6" w:rsidP="000271A0">
            <w:pPr>
              <w:jc w:val="center"/>
              <w:rPr>
                <w:lang w:eastAsia="en-US"/>
              </w:rPr>
            </w:pPr>
            <w:r w:rsidRPr="00EC3211">
              <w:rPr>
                <w:lang w:eastAsia="en-US"/>
              </w:rPr>
              <w:t>-</w:t>
            </w:r>
            <w:r w:rsidR="00544366" w:rsidRPr="00EC3211">
              <w:rPr>
                <w:lang w:eastAsia="en-US"/>
              </w:rPr>
              <w:t>185 254</w:t>
            </w:r>
          </w:p>
          <w:p w:rsidR="0001150B" w:rsidRPr="00EC3211" w:rsidRDefault="0001150B" w:rsidP="000271A0">
            <w:pPr>
              <w:jc w:val="center"/>
              <w:rPr>
                <w:lang w:eastAsia="en-US"/>
              </w:rPr>
            </w:pPr>
          </w:p>
        </w:tc>
      </w:tr>
      <w:tr w:rsidR="0001150B" w:rsidRPr="00EC3211" w:rsidTr="00E96C8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3.2.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150B" w:rsidRPr="00EC3211" w:rsidRDefault="0001150B">
            <w:pPr>
              <w:jc w:val="right"/>
              <w:rPr>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01150B">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1150B" w:rsidRPr="00EC3211" w:rsidRDefault="0001150B">
            <w:pPr>
              <w:jc w:val="right"/>
              <w:rPr>
                <w:lang w:eastAsia="en-US"/>
              </w:rPr>
            </w:pPr>
          </w:p>
        </w:tc>
      </w:tr>
      <w:tr w:rsidR="0001150B" w:rsidRPr="00EC3211" w:rsidTr="00E96C8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50B" w:rsidRPr="00EC3211" w:rsidRDefault="0001150B">
            <w:pPr>
              <w:rPr>
                <w:lang w:eastAsia="en-US"/>
              </w:rPr>
            </w:pPr>
            <w:r w:rsidRPr="00EC3211">
              <w:t>3.3.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150B" w:rsidRPr="00EC3211" w:rsidRDefault="0001150B">
            <w:pPr>
              <w:jc w:val="right"/>
              <w:rPr>
                <w:lang w:eastAsia="en-US"/>
              </w:rPr>
            </w:pPr>
            <w:r w:rsidRPr="00EC3211">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42ED" w:rsidRPr="00EC3211" w:rsidRDefault="001372A6" w:rsidP="00C142ED">
            <w:pPr>
              <w:jc w:val="right"/>
              <w:rPr>
                <w:lang w:eastAsia="en-US"/>
              </w:rPr>
            </w:pPr>
            <w:r w:rsidRPr="00EC3211">
              <w:rPr>
                <w:lang w:eastAsia="en-US"/>
              </w:rPr>
              <w:t>-</w:t>
            </w:r>
            <w:r w:rsidR="00C142ED" w:rsidRPr="00EC3211">
              <w:rPr>
                <w:lang w:eastAsia="en-US"/>
              </w:rPr>
              <w:t>57 625</w:t>
            </w:r>
          </w:p>
          <w:p w:rsidR="0001150B" w:rsidRPr="00EC3211" w:rsidRDefault="00C142ED" w:rsidP="00C142ED">
            <w:pPr>
              <w:jc w:val="right"/>
              <w:rPr>
                <w:lang w:eastAsia="en-US"/>
              </w:rPr>
            </w:pPr>
            <w:r w:rsidRPr="00EC3211">
              <w:rPr>
                <w:lang w:eastAsia="en-US"/>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1150B" w:rsidRPr="00EC3211" w:rsidRDefault="001372A6" w:rsidP="00C142ED">
            <w:pPr>
              <w:jc w:val="right"/>
              <w:rPr>
                <w:lang w:eastAsia="en-US"/>
              </w:rPr>
            </w:pPr>
            <w:r w:rsidRPr="00EC3211">
              <w:rPr>
                <w:lang w:eastAsia="en-US"/>
              </w:rPr>
              <w:t>-</w:t>
            </w:r>
            <w:r w:rsidR="00C142ED" w:rsidRPr="00EC3211">
              <w:rPr>
                <w:lang w:eastAsia="en-US"/>
              </w:rPr>
              <w:t xml:space="preserve">7 201 320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E44AC2" w:rsidRPr="00EC3211" w:rsidRDefault="001372A6" w:rsidP="00E44AC2">
            <w:pPr>
              <w:jc w:val="right"/>
              <w:rPr>
                <w:lang w:eastAsia="en-US"/>
              </w:rPr>
            </w:pPr>
            <w:r w:rsidRPr="00EC3211">
              <w:rPr>
                <w:lang w:eastAsia="en-US"/>
              </w:rPr>
              <w:t>-</w:t>
            </w:r>
            <w:r w:rsidR="00E44AC2" w:rsidRPr="00EC3211">
              <w:rPr>
                <w:lang w:eastAsia="en-US"/>
              </w:rPr>
              <w:t>8 472 43</w:t>
            </w:r>
            <w:r w:rsidR="00E66BE8">
              <w:rPr>
                <w:lang w:eastAsia="en-US"/>
              </w:rPr>
              <w:t>8</w:t>
            </w:r>
          </w:p>
          <w:p w:rsidR="0001150B" w:rsidRPr="00EC3211" w:rsidRDefault="0001150B" w:rsidP="00397F02">
            <w:pPr>
              <w:jc w:val="right"/>
              <w:rPr>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544366" w:rsidRPr="00EC3211" w:rsidRDefault="001372A6" w:rsidP="00544366">
            <w:pPr>
              <w:jc w:val="center"/>
              <w:rPr>
                <w:lang w:eastAsia="en-US"/>
              </w:rPr>
            </w:pPr>
            <w:r w:rsidRPr="00EC3211">
              <w:rPr>
                <w:lang w:eastAsia="en-US"/>
              </w:rPr>
              <w:t>-</w:t>
            </w:r>
            <w:r w:rsidR="00544366" w:rsidRPr="00EC3211">
              <w:rPr>
                <w:lang w:eastAsia="en-US"/>
              </w:rPr>
              <w:t>1 911 540</w:t>
            </w:r>
          </w:p>
          <w:p w:rsidR="0001150B" w:rsidRPr="00EC3211" w:rsidRDefault="0001150B" w:rsidP="000271A0">
            <w:pPr>
              <w:jc w:val="center"/>
              <w:rPr>
                <w:lang w:eastAsia="en-US"/>
              </w:rPr>
            </w:pPr>
          </w:p>
        </w:tc>
      </w:tr>
      <w:tr w:rsidR="00E51DE7" w:rsidRPr="00EC3211" w:rsidTr="00D92D99">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x</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rPr>
                <w:lang w:eastAsia="en-US"/>
              </w:rPr>
            </w:pPr>
            <w:r w:rsidRPr="00EC3211">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r>
      <w:tr w:rsidR="00E51DE7" w:rsidRPr="00EC3211"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5. Precizēta finansiālā ietekme:</w:t>
            </w:r>
          </w:p>
        </w:tc>
        <w:tc>
          <w:tcPr>
            <w:tcW w:w="11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x</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r>
      <w:tr w:rsidR="00E51DE7" w:rsidRPr="00EC3211"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5.1. valsts pamatbudžets</w:t>
            </w:r>
          </w:p>
        </w:tc>
        <w:tc>
          <w:tcPr>
            <w:tcW w:w="1163" w:type="dxa"/>
            <w:vMerge/>
            <w:tcBorders>
              <w:top w:val="nil"/>
              <w:left w:val="nil"/>
              <w:bottom w:val="single" w:sz="8" w:space="0" w:color="auto"/>
              <w:right w:val="single" w:sz="8" w:space="0" w:color="auto"/>
            </w:tcBorders>
            <w:vAlign w:val="center"/>
            <w:hideMark/>
          </w:tcPr>
          <w:p w:rsidR="00E51DE7" w:rsidRPr="00EC3211"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r>
      <w:tr w:rsidR="00E51DE7" w:rsidRPr="00EC3211"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5.2. speciālais budžets</w:t>
            </w:r>
          </w:p>
        </w:tc>
        <w:tc>
          <w:tcPr>
            <w:tcW w:w="1163" w:type="dxa"/>
            <w:vMerge/>
            <w:tcBorders>
              <w:top w:val="nil"/>
              <w:left w:val="nil"/>
              <w:bottom w:val="single" w:sz="8" w:space="0" w:color="auto"/>
              <w:right w:val="single" w:sz="8" w:space="0" w:color="auto"/>
            </w:tcBorders>
            <w:vAlign w:val="center"/>
            <w:hideMark/>
          </w:tcPr>
          <w:p w:rsidR="00E51DE7" w:rsidRPr="00EC3211"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r>
      <w:tr w:rsidR="00E51DE7" w:rsidRPr="00EC3211"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5.3. pašvaldību budžets</w:t>
            </w:r>
          </w:p>
        </w:tc>
        <w:tc>
          <w:tcPr>
            <w:tcW w:w="1163" w:type="dxa"/>
            <w:vMerge/>
            <w:tcBorders>
              <w:top w:val="nil"/>
              <w:left w:val="nil"/>
              <w:bottom w:val="single" w:sz="8" w:space="0" w:color="auto"/>
              <w:right w:val="single" w:sz="8" w:space="0" w:color="auto"/>
            </w:tcBorders>
            <w:vAlign w:val="center"/>
            <w:hideMark/>
          </w:tcPr>
          <w:p w:rsidR="00E51DE7" w:rsidRPr="00EC3211"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EC3211" w:rsidRDefault="00E51DE7">
            <w:pPr>
              <w:jc w:val="right"/>
              <w:rPr>
                <w:lang w:eastAsia="en-US"/>
              </w:rPr>
            </w:pPr>
            <w:r w:rsidRPr="00EC3211">
              <w:t>0</w:t>
            </w:r>
          </w:p>
        </w:tc>
      </w:tr>
      <w:tr w:rsidR="00E51DE7" w:rsidRPr="00EC3211"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6. Detalizēts ieņēmumu un izdevumu aprēķins (ja nepieciešams, detalizētu ieņēmumu un izdevumu aprēķinu var pievienot anotācijas pielikumā):</w:t>
            </w:r>
          </w:p>
        </w:tc>
        <w:tc>
          <w:tcPr>
            <w:tcW w:w="6804" w:type="dxa"/>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8F2574" w:rsidRPr="00EC3211" w:rsidRDefault="008F2574" w:rsidP="008F2574">
            <w:pPr>
              <w:spacing w:after="120" w:line="259" w:lineRule="auto"/>
              <w:jc w:val="both"/>
              <w:rPr>
                <w:rFonts w:eastAsia="Times New Roman"/>
              </w:rPr>
            </w:pPr>
            <w:bookmarkStart w:id="0" w:name="_Ref427589387"/>
            <w:r w:rsidRPr="00EC3211">
              <w:rPr>
                <w:rFonts w:eastAsia="Times New Roman"/>
              </w:rPr>
              <w:t xml:space="preserve">Pasākumam  plānotais  kopējais  attiecināmais finansējums ir ne mazāks kā 44 357 210  </w:t>
            </w:r>
            <w:proofErr w:type="spellStart"/>
            <w:r w:rsidRPr="00EC3211">
              <w:rPr>
                <w:rFonts w:eastAsia="Times New Roman"/>
                <w:i/>
              </w:rPr>
              <w:t>euro</w:t>
            </w:r>
            <w:proofErr w:type="spellEnd"/>
            <w:r w:rsidRPr="00EC3211">
              <w:rPr>
                <w:rFonts w:eastAsia="Times New Roman"/>
              </w:rPr>
              <w:t>,</w:t>
            </w:r>
            <w:r w:rsidRPr="00EC3211">
              <w:rPr>
                <w:rFonts w:eastAsia="Times New Roman"/>
                <w:i/>
              </w:rPr>
              <w:t xml:space="preserve"> </w:t>
            </w:r>
            <w:r w:rsidRPr="00EC3211">
              <w:rPr>
                <w:rFonts w:eastAsia="Times New Roman"/>
              </w:rPr>
              <w:t xml:space="preserve">tai skaitā Kohēzijas Fonda finansējums nepārsniedz 37 703 628 </w:t>
            </w:r>
            <w:proofErr w:type="spellStart"/>
            <w:r w:rsidRPr="00EC3211">
              <w:rPr>
                <w:rFonts w:eastAsia="Times New Roman"/>
                <w:i/>
              </w:rPr>
              <w:t>euro</w:t>
            </w:r>
            <w:proofErr w:type="spellEnd"/>
            <w:r w:rsidRPr="00EC3211">
              <w:rPr>
                <w:rFonts w:eastAsia="Times New Roman"/>
              </w:rPr>
              <w:t xml:space="preserve"> un nacionālais finansējums - ne mazāks kā 6 653 582 </w:t>
            </w:r>
            <w:proofErr w:type="spellStart"/>
            <w:r w:rsidRPr="00EC3211">
              <w:rPr>
                <w:rFonts w:eastAsia="Times New Roman"/>
                <w:i/>
              </w:rPr>
              <w:t>euro</w:t>
            </w:r>
            <w:proofErr w:type="spellEnd"/>
            <w:r w:rsidRPr="00EC3211">
              <w:rPr>
                <w:rFonts w:eastAsia="Times New Roman"/>
              </w:rPr>
              <w:t xml:space="preserve">. </w:t>
            </w:r>
            <w:bookmarkEnd w:id="0"/>
          </w:p>
          <w:p w:rsidR="00ED53CB" w:rsidRPr="00EC3211" w:rsidRDefault="00ED53CB" w:rsidP="00D15AFC">
            <w:pPr>
              <w:jc w:val="both"/>
              <w:rPr>
                <w:rFonts w:eastAsia="Times New Roman"/>
              </w:rPr>
            </w:pPr>
            <w:r w:rsidRPr="00EC3211">
              <w:rPr>
                <w:rFonts w:eastAsia="Times New Roman"/>
              </w:rPr>
              <w:t xml:space="preserve">Budžeta ieņēmumi ir Kohēzijas fonda daļa </w:t>
            </w:r>
            <w:r w:rsidR="003E5656" w:rsidRPr="00EC3211">
              <w:rPr>
                <w:rFonts w:eastAsia="Times New Roman"/>
              </w:rPr>
              <w:t xml:space="preserve"> līdz </w:t>
            </w:r>
            <w:r w:rsidRPr="00EC3211">
              <w:rPr>
                <w:rFonts w:eastAsia="Times New Roman"/>
              </w:rPr>
              <w:t xml:space="preserve">85 procentu apmērā no </w:t>
            </w:r>
            <w:r w:rsidR="003E5656" w:rsidRPr="00EC3211">
              <w:rPr>
                <w:rFonts w:eastAsia="Times New Roman"/>
              </w:rPr>
              <w:t xml:space="preserve">projektu </w:t>
            </w:r>
            <w:r w:rsidRPr="00EC3211">
              <w:rPr>
                <w:rFonts w:eastAsia="Times New Roman"/>
              </w:rPr>
              <w:t>publiskā finansējuma (attiecināmām izmaksām).</w:t>
            </w:r>
          </w:p>
          <w:p w:rsidR="003E5656" w:rsidRPr="00EC3211" w:rsidRDefault="003E5656" w:rsidP="00D15AFC">
            <w:pPr>
              <w:jc w:val="both"/>
              <w:rPr>
                <w:rFonts w:eastAsia="Times New Roman"/>
                <w:sz w:val="16"/>
                <w:szCs w:val="16"/>
              </w:rPr>
            </w:pPr>
          </w:p>
          <w:p w:rsidR="00ED53CB" w:rsidRPr="00EC3211" w:rsidRDefault="00ED53CB" w:rsidP="00D15AFC">
            <w:pPr>
              <w:jc w:val="both"/>
              <w:rPr>
                <w:rFonts w:eastAsia="Times New Roman"/>
              </w:rPr>
            </w:pPr>
            <w:r w:rsidRPr="00EC3211">
              <w:rPr>
                <w:rFonts w:eastAsia="Times New Roman"/>
              </w:rPr>
              <w:t xml:space="preserve">Budžeta izdevumi ir </w:t>
            </w:r>
            <w:r w:rsidR="003E5656" w:rsidRPr="00EC3211">
              <w:rPr>
                <w:rFonts w:eastAsia="Times New Roman"/>
              </w:rPr>
              <w:t xml:space="preserve">projektu </w:t>
            </w:r>
            <w:r w:rsidRPr="00EC3211">
              <w:rPr>
                <w:rFonts w:eastAsia="Times New Roman"/>
              </w:rPr>
              <w:t>ieviešanai nepieciešamie līdzekļi.</w:t>
            </w:r>
          </w:p>
          <w:p w:rsidR="00ED53CB" w:rsidRPr="00EC3211" w:rsidRDefault="00ED53CB" w:rsidP="00D15AFC">
            <w:pPr>
              <w:jc w:val="both"/>
              <w:rPr>
                <w:rFonts w:eastAsia="Times New Roman"/>
              </w:rPr>
            </w:pPr>
            <w:r w:rsidRPr="00EC3211">
              <w:rPr>
                <w:rFonts w:eastAsia="Times New Roman"/>
              </w:rPr>
              <w:t>Projektu</w:t>
            </w:r>
            <w:r w:rsidR="00F0193B" w:rsidRPr="00EC3211">
              <w:rPr>
                <w:rFonts w:eastAsia="Times New Roman"/>
              </w:rPr>
              <w:t>s</w:t>
            </w:r>
            <w:r w:rsidRPr="00EC3211">
              <w:rPr>
                <w:rFonts w:eastAsia="Times New Roman"/>
              </w:rPr>
              <w:t xml:space="preserve"> plānots </w:t>
            </w:r>
            <w:r w:rsidR="00E07CE5" w:rsidRPr="00EC3211">
              <w:rPr>
                <w:rFonts w:eastAsia="Times New Roman"/>
              </w:rPr>
              <w:t xml:space="preserve">īstenot </w:t>
            </w:r>
            <w:r w:rsidRPr="00EC3211">
              <w:rPr>
                <w:rFonts w:eastAsia="Times New Roman"/>
              </w:rPr>
              <w:t>līdz 202</w:t>
            </w:r>
            <w:r w:rsidR="00F0193B" w:rsidRPr="00EC3211">
              <w:rPr>
                <w:rFonts w:eastAsia="Times New Roman"/>
              </w:rPr>
              <w:t>3</w:t>
            </w:r>
            <w:r w:rsidRPr="00EC3211">
              <w:rPr>
                <w:rFonts w:eastAsia="Times New Roman"/>
              </w:rPr>
              <w:t>.gada 31.decembrim.</w:t>
            </w:r>
          </w:p>
          <w:p w:rsidR="003E5656" w:rsidRPr="00EC3211" w:rsidRDefault="003E5656" w:rsidP="00D15AFC">
            <w:pPr>
              <w:jc w:val="both"/>
              <w:rPr>
                <w:rFonts w:eastAsia="Times New Roman"/>
                <w:sz w:val="16"/>
                <w:szCs w:val="16"/>
              </w:rPr>
            </w:pPr>
          </w:p>
          <w:p w:rsidR="00AA4448" w:rsidRPr="00EC3211" w:rsidRDefault="00AA4448" w:rsidP="00AA4448">
            <w:pPr>
              <w:jc w:val="both"/>
              <w:rPr>
                <w:rFonts w:eastAsia="Times New Roman"/>
              </w:rPr>
            </w:pPr>
            <w:r w:rsidRPr="00EC3211">
              <w:rPr>
                <w:rFonts w:eastAsia="Times New Roman"/>
              </w:rPr>
              <w:t xml:space="preserve">Prognozējot budžeta izdevumus un finansiālo ietekmi, tiek ņemts vērā, ka atbilstoši MK 2015.gada 27.janvāra noteikumiem Nr.42 „Noteikumi par kritērijiem un kārtību valsts budžeta dotācijas piešķiršanai pašvaldībām Eiropas Savienības struktūrfondu un Kohēzijas fonda 2014. – 2020.gada plānošanas periodā līdzfinansēto projektu īstenošanai” pašvaldības vai pašvaldību iestādes kā projektu iesniedzēji saņem valsts budžeta dotāciju.   Valsts budžeta dotācijas apjoms tika aprēķināts ņemot vērā nacionālā publiskā  finansējuma attiecināmo izmaksu </w:t>
            </w:r>
            <w:r w:rsidR="00C0714C" w:rsidRPr="00EC3211">
              <w:rPr>
                <w:rFonts w:eastAsia="Times New Roman"/>
              </w:rPr>
              <w:t xml:space="preserve">minimālo </w:t>
            </w:r>
            <w:r w:rsidRPr="00EC3211">
              <w:rPr>
                <w:rFonts w:eastAsia="Times New Roman"/>
              </w:rPr>
              <w:t>apjomu</w:t>
            </w:r>
            <w:r w:rsidR="00C0714C" w:rsidRPr="00EC3211">
              <w:rPr>
                <w:rFonts w:eastAsia="Times New Roman"/>
              </w:rPr>
              <w:t>-</w:t>
            </w:r>
            <w:r w:rsidR="00A74A6F" w:rsidRPr="00EC3211">
              <w:rPr>
                <w:rFonts w:eastAsia="Times New Roman"/>
              </w:rPr>
              <w:t xml:space="preserve"> 15%</w:t>
            </w:r>
            <w:r w:rsidR="00E66BE8">
              <w:rPr>
                <w:rFonts w:eastAsia="Times New Roman"/>
              </w:rPr>
              <w:t xml:space="preserve">. </w:t>
            </w:r>
            <w:r w:rsidR="00A74A6F" w:rsidRPr="00EC3211">
              <w:rPr>
                <w:rFonts w:eastAsia="Times New Roman"/>
              </w:rPr>
              <w:t xml:space="preserve"> </w:t>
            </w:r>
          </w:p>
          <w:p w:rsidR="004422C3" w:rsidRPr="00EC3211" w:rsidRDefault="00AA4448" w:rsidP="00C4407C">
            <w:pPr>
              <w:jc w:val="both"/>
              <w:rPr>
                <w:rFonts w:eastAsia="Times New Roman"/>
                <w:sz w:val="16"/>
                <w:szCs w:val="16"/>
              </w:rPr>
            </w:pPr>
            <w:r w:rsidRPr="00EC3211">
              <w:rPr>
                <w:rFonts w:eastAsia="Times New Roman"/>
              </w:rPr>
              <w:t xml:space="preserve">  </w:t>
            </w:r>
          </w:p>
          <w:p w:rsidR="004422C3" w:rsidRPr="00EC3211" w:rsidRDefault="004422C3" w:rsidP="00D15AFC">
            <w:pPr>
              <w:jc w:val="both"/>
              <w:rPr>
                <w:rFonts w:eastAsia="Times New Roman"/>
              </w:rPr>
            </w:pPr>
            <w:r w:rsidRPr="00EC3211">
              <w:rPr>
                <w:rFonts w:eastAsia="Times New Roman"/>
              </w:rPr>
              <w:t xml:space="preserve">2016.gadam kopējās izmaksas ir  </w:t>
            </w:r>
            <w:r w:rsidR="001372A6" w:rsidRPr="00EC3211">
              <w:rPr>
                <w:rFonts w:eastAsia="Times New Roman"/>
              </w:rPr>
              <w:t>133 912</w:t>
            </w:r>
            <w:r w:rsidRPr="00EC3211">
              <w:rPr>
                <w:rFonts w:eastAsia="Times New Roman"/>
              </w:rPr>
              <w:t xml:space="preserve"> </w:t>
            </w:r>
            <w:proofErr w:type="spellStart"/>
            <w:r w:rsidRPr="00EC3211">
              <w:rPr>
                <w:rFonts w:eastAsia="Times New Roman"/>
                <w:i/>
              </w:rPr>
              <w:t>euro</w:t>
            </w:r>
            <w:proofErr w:type="spellEnd"/>
            <w:r w:rsidRPr="00EC3211">
              <w:rPr>
                <w:rFonts w:eastAsia="Times New Roman"/>
              </w:rPr>
              <w:t xml:space="preserve">, tajā skaitā Kohēzijas fonda finansējums  </w:t>
            </w:r>
            <w:r w:rsidR="001372A6" w:rsidRPr="00EC3211">
              <w:rPr>
                <w:rFonts w:eastAsia="Times New Roman"/>
              </w:rPr>
              <w:t>72 986</w:t>
            </w:r>
            <w:r w:rsidR="006E1CD3" w:rsidRPr="00EC3211">
              <w:rPr>
                <w:rFonts w:eastAsia="Times New Roman"/>
              </w:rPr>
              <w:t xml:space="preserve"> </w:t>
            </w:r>
            <w:proofErr w:type="spellStart"/>
            <w:r w:rsidR="006E1CD3" w:rsidRPr="00EC3211">
              <w:rPr>
                <w:rFonts w:eastAsia="Times New Roman"/>
                <w:i/>
              </w:rPr>
              <w:t>euro</w:t>
            </w:r>
            <w:proofErr w:type="spellEnd"/>
            <w:r w:rsidRPr="00EC3211">
              <w:rPr>
                <w:rFonts w:eastAsia="Times New Roman"/>
              </w:rPr>
              <w:t xml:space="preserve">, bet </w:t>
            </w:r>
            <w:r w:rsidR="00AE5706" w:rsidRPr="00EC3211">
              <w:rPr>
                <w:rFonts w:eastAsia="Times New Roman"/>
              </w:rPr>
              <w:t xml:space="preserve">nacionālais publiskais </w:t>
            </w:r>
            <w:r w:rsidRPr="00EC3211">
              <w:rPr>
                <w:rFonts w:eastAsia="Times New Roman"/>
              </w:rPr>
              <w:t xml:space="preserve">finansējums </w:t>
            </w:r>
            <w:r w:rsidR="001372A6" w:rsidRPr="00EC3211">
              <w:rPr>
                <w:rFonts w:eastAsia="Times New Roman"/>
              </w:rPr>
              <w:t>60 926</w:t>
            </w:r>
            <w:r w:rsidRPr="00EC3211">
              <w:rPr>
                <w:rFonts w:eastAsia="Times New Roman"/>
              </w:rPr>
              <w:t xml:space="preserve"> </w:t>
            </w:r>
            <w:proofErr w:type="spellStart"/>
            <w:r w:rsidRPr="00EC3211">
              <w:rPr>
                <w:rFonts w:eastAsia="Times New Roman"/>
                <w:i/>
              </w:rPr>
              <w:t>euro</w:t>
            </w:r>
            <w:proofErr w:type="spellEnd"/>
            <w:r w:rsidRPr="00EC3211">
              <w:rPr>
                <w:rFonts w:eastAsia="Times New Roman"/>
                <w:i/>
              </w:rPr>
              <w:t xml:space="preserve">, </w:t>
            </w:r>
            <w:r w:rsidRPr="00EC3211">
              <w:rPr>
                <w:rFonts w:eastAsia="Times New Roman"/>
              </w:rPr>
              <w:t>tajā skaitā</w:t>
            </w:r>
            <w:r w:rsidR="008B341E">
              <w:rPr>
                <w:rFonts w:eastAsia="Times New Roman"/>
              </w:rPr>
              <w:t xml:space="preserve"> pašvaldības finansējums  57 625 </w:t>
            </w:r>
            <w:proofErr w:type="spellStart"/>
            <w:r w:rsidR="008B341E" w:rsidRPr="00DE6B5E">
              <w:rPr>
                <w:rFonts w:eastAsia="Times New Roman"/>
                <w:i/>
              </w:rPr>
              <w:t>euro</w:t>
            </w:r>
            <w:proofErr w:type="spellEnd"/>
            <w:r w:rsidR="008B341E">
              <w:rPr>
                <w:rFonts w:eastAsia="Times New Roman"/>
              </w:rPr>
              <w:t xml:space="preserve"> un </w:t>
            </w:r>
            <w:r w:rsidRPr="00EC3211">
              <w:rPr>
                <w:rFonts w:eastAsia="Times New Roman"/>
              </w:rPr>
              <w:t xml:space="preserve"> valsts budžeta dotācija pašvaldībai </w:t>
            </w:r>
            <w:r w:rsidR="00AE5706" w:rsidRPr="00EC3211">
              <w:rPr>
                <w:rFonts w:eastAsia="Times New Roman"/>
              </w:rPr>
              <w:t xml:space="preserve">  </w:t>
            </w:r>
            <w:r w:rsidR="00C142ED" w:rsidRPr="00EC3211">
              <w:rPr>
                <w:rFonts w:eastAsia="Times New Roman"/>
              </w:rPr>
              <w:t xml:space="preserve">3 301 </w:t>
            </w:r>
            <w:proofErr w:type="spellStart"/>
            <w:r w:rsidRPr="00EC3211">
              <w:rPr>
                <w:rFonts w:eastAsia="Times New Roman"/>
                <w:i/>
              </w:rPr>
              <w:t>euro</w:t>
            </w:r>
            <w:proofErr w:type="spellEnd"/>
            <w:r w:rsidR="00042368" w:rsidRPr="00EC3211">
              <w:rPr>
                <w:rFonts w:eastAsia="Times New Roman"/>
                <w:i/>
              </w:rPr>
              <w:t>.</w:t>
            </w:r>
          </w:p>
          <w:p w:rsidR="002317EA" w:rsidRPr="00EC3211" w:rsidRDefault="002317EA">
            <w:pPr>
              <w:rPr>
                <w:rFonts w:eastAsia="Times New Roman"/>
                <w:sz w:val="16"/>
                <w:szCs w:val="16"/>
              </w:rPr>
            </w:pPr>
          </w:p>
          <w:p w:rsidR="002317EA" w:rsidRPr="00EC3211" w:rsidRDefault="002317EA" w:rsidP="003B0AA0">
            <w:pPr>
              <w:jc w:val="both"/>
              <w:rPr>
                <w:rFonts w:eastAsia="Times New Roman"/>
              </w:rPr>
            </w:pPr>
            <w:r w:rsidRPr="00EC3211">
              <w:rPr>
                <w:rFonts w:eastAsia="Times New Roman"/>
              </w:rPr>
              <w:t xml:space="preserve">2017.gadam kopējās izmaksas ir  21 587 </w:t>
            </w:r>
            <w:r w:rsidR="00316DEF" w:rsidRPr="00EC3211">
              <w:rPr>
                <w:rFonts w:eastAsia="Times New Roman"/>
              </w:rPr>
              <w:t>20</w:t>
            </w:r>
            <w:r w:rsidR="00316DEF">
              <w:rPr>
                <w:rFonts w:eastAsia="Times New Roman"/>
              </w:rPr>
              <w:t>4</w:t>
            </w:r>
            <w:r w:rsidR="00316DEF" w:rsidRPr="00EC3211">
              <w:rPr>
                <w:rFonts w:eastAsia="Times New Roman"/>
              </w:rPr>
              <w:t xml:space="preserve"> </w:t>
            </w:r>
            <w:proofErr w:type="spellStart"/>
            <w:r w:rsidRPr="00EC3211">
              <w:rPr>
                <w:rFonts w:eastAsia="Times New Roman"/>
                <w:i/>
              </w:rPr>
              <w:t>euro</w:t>
            </w:r>
            <w:proofErr w:type="spellEnd"/>
            <w:r w:rsidRPr="00EC3211">
              <w:rPr>
                <w:rFonts w:eastAsia="Times New Roman"/>
              </w:rPr>
              <w:t xml:space="preserve">, tajā skaitā Kohēzijas fonda finansējums  13 788 478 </w:t>
            </w:r>
            <w:proofErr w:type="spellStart"/>
            <w:r w:rsidRPr="00EC3211">
              <w:rPr>
                <w:rFonts w:eastAsia="Times New Roman"/>
                <w:i/>
              </w:rPr>
              <w:t>euro</w:t>
            </w:r>
            <w:proofErr w:type="spellEnd"/>
            <w:r w:rsidRPr="00EC3211">
              <w:rPr>
                <w:rFonts w:eastAsia="Times New Roman"/>
              </w:rPr>
              <w:t xml:space="preserve">, bet nacionālais </w:t>
            </w:r>
            <w:r w:rsidRPr="00EC3211">
              <w:rPr>
                <w:rFonts w:eastAsia="Times New Roman"/>
              </w:rPr>
              <w:lastRenderedPageBreak/>
              <w:t>publiskais finansējums 7 798 72</w:t>
            </w:r>
            <w:r w:rsidR="00316DEF">
              <w:rPr>
                <w:rFonts w:eastAsia="Times New Roman"/>
              </w:rPr>
              <w:t>6</w:t>
            </w:r>
            <w:r w:rsidRPr="00EC3211">
              <w:rPr>
                <w:rFonts w:eastAsia="Times New Roman"/>
              </w:rPr>
              <w:t xml:space="preserve"> </w:t>
            </w:r>
            <w:r w:rsidR="00316DEF" w:rsidRPr="00EC3211">
              <w:rPr>
                <w:rFonts w:eastAsia="Times New Roman"/>
              </w:rPr>
              <w:t xml:space="preserve"> </w:t>
            </w:r>
            <w:proofErr w:type="spellStart"/>
            <w:r w:rsidRPr="00EC3211">
              <w:rPr>
                <w:rFonts w:eastAsia="Times New Roman"/>
                <w:i/>
              </w:rPr>
              <w:t>euro</w:t>
            </w:r>
            <w:proofErr w:type="spellEnd"/>
            <w:r w:rsidRPr="00EC3211">
              <w:rPr>
                <w:rFonts w:eastAsia="Times New Roman"/>
                <w:i/>
              </w:rPr>
              <w:t xml:space="preserve">, </w:t>
            </w:r>
            <w:r w:rsidRPr="00EC3211">
              <w:rPr>
                <w:rFonts w:eastAsia="Times New Roman"/>
              </w:rPr>
              <w:t xml:space="preserve">tajā skaitā </w:t>
            </w:r>
            <w:r w:rsidR="008B341E">
              <w:rPr>
                <w:rFonts w:eastAsia="Times New Roman"/>
              </w:rPr>
              <w:t xml:space="preserve">pašvaldības finansējums  7 201 320 </w:t>
            </w:r>
            <w:proofErr w:type="spellStart"/>
            <w:r w:rsidR="008B341E" w:rsidRPr="000C0225">
              <w:rPr>
                <w:rFonts w:eastAsia="Times New Roman"/>
                <w:i/>
              </w:rPr>
              <w:t>euro</w:t>
            </w:r>
            <w:proofErr w:type="spellEnd"/>
            <w:r w:rsidR="008B341E">
              <w:rPr>
                <w:rFonts w:eastAsia="Times New Roman"/>
              </w:rPr>
              <w:t xml:space="preserve"> un </w:t>
            </w:r>
            <w:r w:rsidR="008B341E" w:rsidRPr="00EC3211">
              <w:rPr>
                <w:rFonts w:eastAsia="Times New Roman"/>
              </w:rPr>
              <w:t xml:space="preserve"> </w:t>
            </w:r>
            <w:r w:rsidRPr="00EC3211">
              <w:rPr>
                <w:rFonts w:eastAsia="Times New Roman"/>
              </w:rPr>
              <w:t xml:space="preserve">valsts budžeta dotācija pašvaldībai   </w:t>
            </w:r>
            <w:r w:rsidR="00C142ED" w:rsidRPr="00EC3211">
              <w:rPr>
                <w:rFonts w:eastAsia="Times New Roman"/>
              </w:rPr>
              <w:t> 597 40</w:t>
            </w:r>
            <w:r w:rsidR="00316DEF">
              <w:rPr>
                <w:rFonts w:eastAsia="Times New Roman"/>
              </w:rPr>
              <w:t>6</w:t>
            </w:r>
            <w:r w:rsidR="00C142ED" w:rsidRPr="00EC3211">
              <w:rPr>
                <w:rFonts w:eastAsia="Times New Roman"/>
              </w:rPr>
              <w:t xml:space="preserve"> </w:t>
            </w:r>
            <w:r w:rsidR="00E66BE8">
              <w:rPr>
                <w:rFonts w:eastAsia="Times New Roman"/>
              </w:rPr>
              <w:t xml:space="preserve">  </w:t>
            </w:r>
            <w:proofErr w:type="spellStart"/>
            <w:r w:rsidRPr="00EC3211">
              <w:rPr>
                <w:rFonts w:eastAsia="Times New Roman"/>
                <w:i/>
              </w:rPr>
              <w:t>euro</w:t>
            </w:r>
            <w:proofErr w:type="spellEnd"/>
            <w:r w:rsidRPr="00EC3211">
              <w:rPr>
                <w:rFonts w:eastAsia="Times New Roman"/>
                <w:i/>
              </w:rPr>
              <w:t>.</w:t>
            </w:r>
          </w:p>
          <w:p w:rsidR="002317EA" w:rsidRPr="00EC3211" w:rsidRDefault="002317EA" w:rsidP="003B0AA0">
            <w:pPr>
              <w:jc w:val="both"/>
              <w:rPr>
                <w:rFonts w:eastAsia="Times New Roman"/>
              </w:rPr>
            </w:pPr>
          </w:p>
          <w:p w:rsidR="002317EA" w:rsidRPr="00EC3211" w:rsidRDefault="002317EA" w:rsidP="003B0AA0">
            <w:pPr>
              <w:jc w:val="both"/>
              <w:rPr>
                <w:rFonts w:eastAsia="Times New Roman"/>
              </w:rPr>
            </w:pPr>
            <w:r w:rsidRPr="00EC3211">
              <w:rPr>
                <w:rFonts w:eastAsia="Times New Roman"/>
              </w:rPr>
              <w:t>2018.gadam kopējās izmaksas ir  24 143 45</w:t>
            </w:r>
            <w:r w:rsidR="00316DEF">
              <w:rPr>
                <w:rFonts w:eastAsia="Times New Roman"/>
              </w:rPr>
              <w:t>4</w:t>
            </w:r>
            <w:r w:rsidRPr="00EC3211">
              <w:rPr>
                <w:rFonts w:eastAsia="Times New Roman"/>
              </w:rPr>
              <w:t xml:space="preserve"> </w:t>
            </w:r>
            <w:proofErr w:type="spellStart"/>
            <w:r w:rsidRPr="00EC3211">
              <w:rPr>
                <w:rFonts w:eastAsia="Times New Roman"/>
                <w:i/>
              </w:rPr>
              <w:t>euro</w:t>
            </w:r>
            <w:proofErr w:type="spellEnd"/>
            <w:r w:rsidRPr="00EC3211">
              <w:rPr>
                <w:rFonts w:eastAsia="Times New Roman"/>
              </w:rPr>
              <w:t xml:space="preserve">, tajā skaitā Kohēzijas fonda finansējums  15 007 234 </w:t>
            </w:r>
            <w:proofErr w:type="spellStart"/>
            <w:r w:rsidRPr="00EC3211">
              <w:rPr>
                <w:rFonts w:eastAsia="Times New Roman"/>
                <w:i/>
              </w:rPr>
              <w:t>euro</w:t>
            </w:r>
            <w:proofErr w:type="spellEnd"/>
            <w:r w:rsidRPr="00EC3211">
              <w:rPr>
                <w:rFonts w:eastAsia="Times New Roman"/>
              </w:rPr>
              <w:t>, bet nacionālais publiskais finansējums 9 136 2</w:t>
            </w:r>
            <w:r w:rsidR="006659BF">
              <w:rPr>
                <w:rFonts w:eastAsia="Times New Roman"/>
              </w:rPr>
              <w:t>19</w:t>
            </w:r>
            <w:r w:rsidRPr="00EC3211">
              <w:rPr>
                <w:rFonts w:eastAsia="Times New Roman"/>
              </w:rPr>
              <w:t xml:space="preserve"> </w:t>
            </w:r>
            <w:proofErr w:type="spellStart"/>
            <w:r w:rsidRPr="00EC3211">
              <w:rPr>
                <w:rFonts w:eastAsia="Times New Roman"/>
                <w:i/>
              </w:rPr>
              <w:t>euro</w:t>
            </w:r>
            <w:proofErr w:type="spellEnd"/>
            <w:r w:rsidRPr="00EC3211">
              <w:rPr>
                <w:rFonts w:eastAsia="Times New Roman"/>
                <w:i/>
              </w:rPr>
              <w:t xml:space="preserve">, </w:t>
            </w:r>
            <w:r w:rsidRPr="00EC3211">
              <w:rPr>
                <w:rFonts w:eastAsia="Times New Roman"/>
              </w:rPr>
              <w:t xml:space="preserve">tajā skaitā </w:t>
            </w:r>
            <w:r w:rsidR="008B341E">
              <w:rPr>
                <w:rFonts w:eastAsia="Times New Roman"/>
              </w:rPr>
              <w:t xml:space="preserve">pašvaldības finansējums  </w:t>
            </w:r>
            <w:r w:rsidR="00CE7F64">
              <w:rPr>
                <w:rFonts w:eastAsia="Times New Roman"/>
              </w:rPr>
              <w:t>8 472 438</w:t>
            </w:r>
            <w:r w:rsidR="008B341E">
              <w:rPr>
                <w:rFonts w:eastAsia="Times New Roman"/>
              </w:rPr>
              <w:t xml:space="preserve"> </w:t>
            </w:r>
            <w:proofErr w:type="spellStart"/>
            <w:r w:rsidR="008B341E" w:rsidRPr="000C0225">
              <w:rPr>
                <w:rFonts w:eastAsia="Times New Roman"/>
                <w:i/>
              </w:rPr>
              <w:t>euro</w:t>
            </w:r>
            <w:proofErr w:type="spellEnd"/>
            <w:r w:rsidR="008B341E">
              <w:rPr>
                <w:rFonts w:eastAsia="Times New Roman"/>
              </w:rPr>
              <w:t xml:space="preserve"> un </w:t>
            </w:r>
            <w:r w:rsidR="008B341E" w:rsidRPr="00EC3211">
              <w:rPr>
                <w:rFonts w:eastAsia="Times New Roman"/>
              </w:rPr>
              <w:t xml:space="preserve"> </w:t>
            </w:r>
            <w:r w:rsidRPr="00EC3211">
              <w:rPr>
                <w:rFonts w:eastAsia="Times New Roman"/>
              </w:rPr>
              <w:t xml:space="preserve">valsts budžeta dotācija pašvaldībai   </w:t>
            </w:r>
            <w:r w:rsidR="00C142ED" w:rsidRPr="00EC3211">
              <w:rPr>
                <w:rFonts w:eastAsia="Times New Roman"/>
              </w:rPr>
              <w:t> 663 </w:t>
            </w:r>
            <w:r w:rsidR="00E66BE8" w:rsidRPr="00EC3211">
              <w:rPr>
                <w:rFonts w:eastAsia="Times New Roman"/>
              </w:rPr>
              <w:t>78</w:t>
            </w:r>
            <w:r w:rsidR="006659BF">
              <w:rPr>
                <w:rFonts w:eastAsia="Times New Roman"/>
              </w:rPr>
              <w:t>1</w:t>
            </w:r>
            <w:r w:rsidR="00E66BE8" w:rsidRPr="00EC3211">
              <w:rPr>
                <w:rFonts w:eastAsia="Times New Roman"/>
              </w:rPr>
              <w:t xml:space="preserve"> </w:t>
            </w:r>
            <w:proofErr w:type="spellStart"/>
            <w:r w:rsidRPr="00EC3211">
              <w:rPr>
                <w:rFonts w:eastAsia="Times New Roman"/>
                <w:i/>
              </w:rPr>
              <w:t>euro</w:t>
            </w:r>
            <w:proofErr w:type="spellEnd"/>
            <w:r w:rsidRPr="00EC3211">
              <w:rPr>
                <w:rFonts w:eastAsia="Times New Roman"/>
                <w:i/>
              </w:rPr>
              <w:t>.</w:t>
            </w:r>
          </w:p>
          <w:p w:rsidR="002317EA" w:rsidRPr="00EC3211" w:rsidRDefault="002317EA" w:rsidP="002317EA">
            <w:pPr>
              <w:rPr>
                <w:rFonts w:eastAsia="Times New Roman"/>
              </w:rPr>
            </w:pPr>
          </w:p>
          <w:p w:rsidR="002317EA" w:rsidRPr="00EC3211" w:rsidRDefault="002317EA" w:rsidP="003B0AA0">
            <w:pPr>
              <w:jc w:val="both"/>
              <w:rPr>
                <w:rFonts w:eastAsia="Times New Roman"/>
                <w:i/>
              </w:rPr>
            </w:pPr>
            <w:r w:rsidRPr="00EC3211">
              <w:rPr>
                <w:rFonts w:eastAsia="Times New Roman"/>
              </w:rPr>
              <w:t xml:space="preserve">2019.gadam kopējās izmaksas ir   6 312 919 </w:t>
            </w:r>
            <w:proofErr w:type="spellStart"/>
            <w:r w:rsidRPr="00EC3211">
              <w:rPr>
                <w:rFonts w:eastAsia="Times New Roman"/>
                <w:i/>
              </w:rPr>
              <w:t>euro</w:t>
            </w:r>
            <w:proofErr w:type="spellEnd"/>
            <w:r w:rsidRPr="00EC3211">
              <w:rPr>
                <w:rFonts w:eastAsia="Times New Roman"/>
              </w:rPr>
              <w:t xml:space="preserve">, tajā skaitā Kohēzijas fonda finansējums  4 216 125 </w:t>
            </w:r>
            <w:proofErr w:type="spellStart"/>
            <w:r w:rsidRPr="00EC3211">
              <w:rPr>
                <w:rFonts w:eastAsia="Times New Roman"/>
                <w:i/>
              </w:rPr>
              <w:t>euro</w:t>
            </w:r>
            <w:proofErr w:type="spellEnd"/>
            <w:r w:rsidRPr="00EC3211">
              <w:rPr>
                <w:rFonts w:eastAsia="Times New Roman"/>
              </w:rPr>
              <w:t xml:space="preserve">, bet nacionālais publiskais finansējums 2 096 794 </w:t>
            </w:r>
            <w:proofErr w:type="spellStart"/>
            <w:r w:rsidRPr="00EC3211">
              <w:rPr>
                <w:rFonts w:eastAsia="Times New Roman"/>
                <w:i/>
              </w:rPr>
              <w:t>euro</w:t>
            </w:r>
            <w:proofErr w:type="spellEnd"/>
            <w:r w:rsidRPr="00EC3211">
              <w:rPr>
                <w:rFonts w:eastAsia="Times New Roman"/>
                <w:i/>
              </w:rPr>
              <w:t xml:space="preserve">, </w:t>
            </w:r>
            <w:r w:rsidRPr="00EC3211">
              <w:rPr>
                <w:rFonts w:eastAsia="Times New Roman"/>
              </w:rPr>
              <w:t xml:space="preserve">tajā skaitā </w:t>
            </w:r>
            <w:r w:rsidR="00CE7F64">
              <w:rPr>
                <w:rFonts w:eastAsia="Times New Roman"/>
              </w:rPr>
              <w:t xml:space="preserve">pašvaldības finansējums  1 911 540 </w:t>
            </w:r>
            <w:proofErr w:type="spellStart"/>
            <w:r w:rsidR="00CE7F64" w:rsidRPr="000C0225">
              <w:rPr>
                <w:rFonts w:eastAsia="Times New Roman"/>
                <w:i/>
              </w:rPr>
              <w:t>euro</w:t>
            </w:r>
            <w:proofErr w:type="spellEnd"/>
            <w:r w:rsidR="00CE7F64">
              <w:rPr>
                <w:rFonts w:eastAsia="Times New Roman"/>
              </w:rPr>
              <w:t xml:space="preserve"> un </w:t>
            </w:r>
            <w:r w:rsidRPr="00EC3211">
              <w:rPr>
                <w:rFonts w:eastAsia="Times New Roman"/>
              </w:rPr>
              <w:t xml:space="preserve">valsts budžeta dotācija pašvaldībai   </w:t>
            </w:r>
            <w:r w:rsidR="001A2959">
              <w:rPr>
                <w:rFonts w:eastAsia="Times New Roman"/>
              </w:rPr>
              <w:t xml:space="preserve">  </w:t>
            </w:r>
            <w:r w:rsidR="00E66BE8">
              <w:rPr>
                <w:rFonts w:eastAsia="Times New Roman"/>
              </w:rPr>
              <w:t>185 254</w:t>
            </w:r>
            <w:r w:rsidR="00C142ED" w:rsidRPr="00EC3211">
              <w:rPr>
                <w:rFonts w:eastAsia="Times New Roman"/>
              </w:rPr>
              <w:t xml:space="preserve"> </w:t>
            </w:r>
            <w:proofErr w:type="spellStart"/>
            <w:r w:rsidRPr="00EC3211">
              <w:rPr>
                <w:rFonts w:eastAsia="Times New Roman"/>
                <w:i/>
              </w:rPr>
              <w:t>euro</w:t>
            </w:r>
            <w:proofErr w:type="spellEnd"/>
            <w:r w:rsidRPr="00EC3211">
              <w:rPr>
                <w:rFonts w:eastAsia="Times New Roman"/>
                <w:i/>
              </w:rPr>
              <w:t>.</w:t>
            </w:r>
          </w:p>
          <w:p w:rsidR="002317EA" w:rsidRPr="00EC3211" w:rsidRDefault="002317EA" w:rsidP="003B0AA0">
            <w:pPr>
              <w:jc w:val="both"/>
              <w:rPr>
                <w:rFonts w:eastAsia="Times New Roman"/>
                <w:i/>
              </w:rPr>
            </w:pPr>
          </w:p>
          <w:p w:rsidR="00ED53CB" w:rsidRPr="00EC3211" w:rsidRDefault="002317EA" w:rsidP="00CE7F64">
            <w:pPr>
              <w:jc w:val="both"/>
              <w:rPr>
                <w:rFonts w:eastAsia="Times New Roman"/>
              </w:rPr>
            </w:pPr>
            <w:r w:rsidRPr="00EC3211">
              <w:rPr>
                <w:rFonts w:eastAsia="Times New Roman"/>
              </w:rPr>
              <w:t xml:space="preserve">No 2020. </w:t>
            </w:r>
            <w:r w:rsidR="00175636" w:rsidRPr="00EC3211">
              <w:rPr>
                <w:rFonts w:eastAsia="Times New Roman"/>
              </w:rPr>
              <w:t>l</w:t>
            </w:r>
            <w:r w:rsidRPr="00EC3211">
              <w:rPr>
                <w:rFonts w:eastAsia="Times New Roman"/>
              </w:rPr>
              <w:t xml:space="preserve">īdz 2021.gadam izmaksas ir </w:t>
            </w:r>
            <w:r w:rsidR="007E02BC" w:rsidRPr="00EC3211">
              <w:rPr>
                <w:rFonts w:eastAsia="Times New Roman"/>
              </w:rPr>
              <w:t>2 689 653</w:t>
            </w:r>
            <w:r w:rsidRPr="00EC3211">
              <w:rPr>
                <w:rFonts w:eastAsia="Times New Roman"/>
              </w:rPr>
              <w:t xml:space="preserve"> </w:t>
            </w:r>
            <w:proofErr w:type="spellStart"/>
            <w:r w:rsidRPr="00EC3211">
              <w:rPr>
                <w:rFonts w:eastAsia="Times New Roman"/>
                <w:i/>
              </w:rPr>
              <w:t>euro</w:t>
            </w:r>
            <w:proofErr w:type="spellEnd"/>
            <w:r w:rsidRPr="00EC3211">
              <w:rPr>
                <w:rFonts w:eastAsia="Times New Roman"/>
              </w:rPr>
              <w:t xml:space="preserve">, tajā skaitā Kohēzijas fonda finansējums  </w:t>
            </w:r>
            <w:r w:rsidR="007E02BC" w:rsidRPr="00EC3211">
              <w:rPr>
                <w:rFonts w:eastAsia="Times New Roman"/>
              </w:rPr>
              <w:t xml:space="preserve">2 286 </w:t>
            </w:r>
            <w:r w:rsidR="00D719E4" w:rsidRPr="00EC3211">
              <w:rPr>
                <w:rFonts w:eastAsia="Times New Roman"/>
              </w:rPr>
              <w:t>20</w:t>
            </w:r>
            <w:r w:rsidR="00D719E4">
              <w:rPr>
                <w:rFonts w:eastAsia="Times New Roman"/>
              </w:rPr>
              <w:t>5</w:t>
            </w:r>
            <w:r w:rsidR="00D719E4" w:rsidRPr="00EC3211">
              <w:rPr>
                <w:rFonts w:eastAsia="Times New Roman"/>
              </w:rPr>
              <w:t xml:space="preserve"> </w:t>
            </w:r>
            <w:proofErr w:type="spellStart"/>
            <w:r w:rsidRPr="00EC3211">
              <w:rPr>
                <w:rFonts w:eastAsia="Times New Roman"/>
                <w:i/>
              </w:rPr>
              <w:t>euro</w:t>
            </w:r>
            <w:proofErr w:type="spellEnd"/>
            <w:r w:rsidRPr="00EC3211">
              <w:rPr>
                <w:rFonts w:eastAsia="Times New Roman"/>
              </w:rPr>
              <w:t xml:space="preserve">, bet nacionālais publiskais finansējums </w:t>
            </w:r>
            <w:r w:rsidR="007E02BC" w:rsidRPr="00EC3211">
              <w:rPr>
                <w:rFonts w:eastAsia="Times New Roman"/>
              </w:rPr>
              <w:t>403 44</w:t>
            </w:r>
            <w:r w:rsidR="00D719E4">
              <w:rPr>
                <w:rFonts w:eastAsia="Times New Roman"/>
              </w:rPr>
              <w:t>8</w:t>
            </w:r>
            <w:r w:rsidRPr="00EC3211">
              <w:rPr>
                <w:rFonts w:eastAsia="Times New Roman"/>
              </w:rPr>
              <w:t xml:space="preserve">  </w:t>
            </w:r>
            <w:proofErr w:type="spellStart"/>
            <w:r w:rsidRPr="00EC3211">
              <w:rPr>
                <w:rFonts w:eastAsia="Times New Roman"/>
                <w:i/>
              </w:rPr>
              <w:t>euro</w:t>
            </w:r>
            <w:proofErr w:type="spellEnd"/>
            <w:r w:rsidRPr="00EC3211">
              <w:rPr>
                <w:rFonts w:eastAsia="Times New Roman"/>
                <w:i/>
              </w:rPr>
              <w:t xml:space="preserve">, </w:t>
            </w:r>
            <w:r w:rsidRPr="00EC3211">
              <w:rPr>
                <w:rFonts w:eastAsia="Times New Roman"/>
              </w:rPr>
              <w:t xml:space="preserve"> tajā skaitā </w:t>
            </w:r>
            <w:r w:rsidR="00CE7F64">
              <w:rPr>
                <w:rFonts w:eastAsia="Times New Roman"/>
              </w:rPr>
              <w:t xml:space="preserve">pašvaldības finansējums  342 931 </w:t>
            </w:r>
            <w:proofErr w:type="spellStart"/>
            <w:r w:rsidR="00CE7F64" w:rsidRPr="000C0225">
              <w:rPr>
                <w:rFonts w:eastAsia="Times New Roman"/>
                <w:i/>
              </w:rPr>
              <w:t>euro</w:t>
            </w:r>
            <w:proofErr w:type="spellEnd"/>
            <w:r w:rsidR="00CE7F64">
              <w:rPr>
                <w:rFonts w:eastAsia="Times New Roman"/>
              </w:rPr>
              <w:t xml:space="preserve"> un </w:t>
            </w:r>
            <w:r w:rsidRPr="00EC3211">
              <w:rPr>
                <w:rFonts w:eastAsia="Times New Roman"/>
              </w:rPr>
              <w:t xml:space="preserve">valsts budžeta dotācija pašvaldībai  </w:t>
            </w:r>
            <w:r w:rsidR="007E02BC" w:rsidRPr="00EC3211">
              <w:rPr>
                <w:rFonts w:eastAsia="Times New Roman"/>
              </w:rPr>
              <w:t>60 517</w:t>
            </w:r>
            <w:r w:rsidRPr="00EC3211">
              <w:rPr>
                <w:rFonts w:eastAsia="Times New Roman"/>
              </w:rPr>
              <w:t xml:space="preserve">  </w:t>
            </w:r>
            <w:proofErr w:type="spellStart"/>
            <w:r w:rsidRPr="00EC3211">
              <w:rPr>
                <w:rFonts w:eastAsia="Times New Roman"/>
                <w:i/>
              </w:rPr>
              <w:t>euro</w:t>
            </w:r>
            <w:proofErr w:type="spellEnd"/>
            <w:r w:rsidRPr="00EC3211">
              <w:rPr>
                <w:rFonts w:eastAsia="Times New Roman"/>
              </w:rPr>
              <w:t>.</w:t>
            </w:r>
          </w:p>
        </w:tc>
      </w:tr>
      <w:tr w:rsidR="00E51DE7" w:rsidRPr="00EC3211"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6.1. detalizēts ieņēmumu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E51DE7" w:rsidRPr="00EC3211" w:rsidRDefault="00E51DE7">
            <w:pPr>
              <w:rPr>
                <w:rFonts w:ascii="Calibri" w:eastAsia="Times New Roman" w:hAnsi="Calibri"/>
                <w:sz w:val="22"/>
                <w:szCs w:val="22"/>
              </w:rPr>
            </w:pPr>
          </w:p>
        </w:tc>
      </w:tr>
      <w:tr w:rsidR="00E51DE7" w:rsidRPr="00EC3211"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t>6.2. detalizēts izdevumu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E51DE7" w:rsidRPr="00EC3211" w:rsidRDefault="00E51DE7">
            <w:pPr>
              <w:rPr>
                <w:rFonts w:ascii="Calibri" w:eastAsia="Times New Roman" w:hAnsi="Calibri"/>
                <w:sz w:val="22"/>
                <w:szCs w:val="22"/>
              </w:rPr>
            </w:pPr>
          </w:p>
        </w:tc>
      </w:tr>
      <w:tr w:rsidR="00E51DE7" w:rsidRPr="00EC3211" w:rsidTr="00372913">
        <w:trPr>
          <w:trHeight w:val="2629"/>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EC3211" w:rsidRDefault="00E51DE7">
            <w:pPr>
              <w:rPr>
                <w:lang w:eastAsia="en-US"/>
              </w:rPr>
            </w:pPr>
            <w:r w:rsidRPr="00EC3211">
              <w:lastRenderedPageBreak/>
              <w:t>7. Cita informācija</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tcPr>
          <w:p w:rsidR="00E51DE7" w:rsidRPr="00EC3211" w:rsidRDefault="00947320">
            <w:pPr>
              <w:jc w:val="both"/>
              <w:rPr>
                <w:lang w:eastAsia="en-US"/>
              </w:rPr>
            </w:pPr>
            <w:r w:rsidRPr="00EC3211">
              <w:t>Finanšu ministrija pēc projekta apstiprināšanas 2016.gadā</w:t>
            </w:r>
            <w:r w:rsidR="00FB4F50">
              <w:t>,</w:t>
            </w:r>
            <w:r w:rsidRPr="00EC3211">
              <w:t xml:space="preserve"> pamatojoties uz CFLA kā sadarbīb</w:t>
            </w:r>
            <w:r w:rsidR="00FB4F50">
              <w:t xml:space="preserve">as iestādes sniegto informāciju, </w:t>
            </w:r>
            <w:r w:rsidRPr="00EC3211">
              <w:t xml:space="preserve">sagatavos pieprasījumu pārdalīt finansējumu no valsts budžeta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 atbilstoši plānotajam naudas plūsmām projekta īstenošanai, tajā skaitā avansa maksājumiem. </w:t>
            </w:r>
          </w:p>
        </w:tc>
      </w:tr>
    </w:tbl>
    <w:p w:rsidR="00D92D99" w:rsidRPr="00EC3211" w:rsidRDefault="00D92D99" w:rsidP="00D92D99">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4"/>
        <w:gridCol w:w="2845"/>
        <w:gridCol w:w="6035"/>
      </w:tblGrid>
      <w:tr w:rsidR="009B5EBC" w:rsidRPr="00EC3211" w:rsidTr="005314D4">
        <w:trPr>
          <w:trHeight w:val="421"/>
        </w:trPr>
        <w:tc>
          <w:tcPr>
            <w:tcW w:w="9192" w:type="dxa"/>
            <w:gridSpan w:val="3"/>
            <w:vAlign w:val="center"/>
          </w:tcPr>
          <w:p w:rsidR="009B5EBC" w:rsidRPr="00EC3211" w:rsidRDefault="009B5EBC" w:rsidP="005314D4">
            <w:pPr>
              <w:jc w:val="both"/>
              <w:rPr>
                <w:b/>
              </w:rPr>
            </w:pPr>
            <w:r w:rsidRPr="00EC3211">
              <w:rPr>
                <w:b/>
              </w:rPr>
              <w:t>V. Tiesību akta projekta atbilstība Latvijas Republikas starptautiskajām saistībām</w:t>
            </w:r>
          </w:p>
        </w:tc>
      </w:tr>
      <w:tr w:rsidR="009B5EBC" w:rsidRPr="00EC3211" w:rsidTr="005314D4">
        <w:trPr>
          <w:trHeight w:val="553"/>
        </w:trPr>
        <w:tc>
          <w:tcPr>
            <w:tcW w:w="333" w:type="dxa"/>
          </w:tcPr>
          <w:p w:rsidR="009B5EBC" w:rsidRPr="00EC3211" w:rsidRDefault="009B5EBC" w:rsidP="005314D4">
            <w:pPr>
              <w:jc w:val="both"/>
            </w:pPr>
            <w:r w:rsidRPr="00EC3211">
              <w:t>1.</w:t>
            </w:r>
          </w:p>
        </w:tc>
        <w:tc>
          <w:tcPr>
            <w:tcW w:w="2838" w:type="dxa"/>
          </w:tcPr>
          <w:p w:rsidR="009B5EBC" w:rsidRPr="00EC3211" w:rsidRDefault="009B5EBC" w:rsidP="005314D4">
            <w:pPr>
              <w:jc w:val="both"/>
            </w:pPr>
            <w:r w:rsidRPr="00EC3211">
              <w:t>Saistības pret Eiropas Savienību</w:t>
            </w:r>
          </w:p>
        </w:tc>
        <w:tc>
          <w:tcPr>
            <w:tcW w:w="6021" w:type="dxa"/>
          </w:tcPr>
          <w:p w:rsidR="009B5EBC" w:rsidRPr="00EC3211" w:rsidRDefault="003D7DB0" w:rsidP="005314D4">
            <w:pPr>
              <w:jc w:val="both"/>
            </w:pPr>
            <w:r w:rsidRPr="00EC3211">
              <w:t xml:space="preserve">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w:t>
            </w:r>
          </w:p>
        </w:tc>
      </w:tr>
      <w:tr w:rsidR="009B5EBC" w:rsidRPr="00EC3211" w:rsidTr="005314D4">
        <w:trPr>
          <w:trHeight w:val="339"/>
        </w:trPr>
        <w:tc>
          <w:tcPr>
            <w:tcW w:w="333" w:type="dxa"/>
          </w:tcPr>
          <w:p w:rsidR="009B5EBC" w:rsidRPr="00EC3211" w:rsidRDefault="009B5EBC" w:rsidP="005314D4">
            <w:pPr>
              <w:jc w:val="both"/>
            </w:pPr>
            <w:r w:rsidRPr="00EC3211">
              <w:t>2.</w:t>
            </w:r>
          </w:p>
        </w:tc>
        <w:tc>
          <w:tcPr>
            <w:tcW w:w="2838" w:type="dxa"/>
          </w:tcPr>
          <w:p w:rsidR="009B5EBC" w:rsidRPr="00EC3211" w:rsidRDefault="009B5EBC" w:rsidP="005314D4">
            <w:pPr>
              <w:jc w:val="both"/>
            </w:pPr>
            <w:r w:rsidRPr="00EC3211">
              <w:t>Citas starptautiskās saistības</w:t>
            </w:r>
          </w:p>
        </w:tc>
        <w:tc>
          <w:tcPr>
            <w:tcW w:w="6021" w:type="dxa"/>
          </w:tcPr>
          <w:p w:rsidR="009B5EBC" w:rsidRPr="00EC3211" w:rsidRDefault="009B5EBC" w:rsidP="005314D4">
            <w:pPr>
              <w:jc w:val="both"/>
            </w:pPr>
            <w:r w:rsidRPr="00EC3211">
              <w:t>MK noteikumu projekts šo jomu neskar.</w:t>
            </w:r>
          </w:p>
        </w:tc>
      </w:tr>
      <w:tr w:rsidR="009B5EBC" w:rsidRPr="00EC3211" w:rsidTr="005314D4">
        <w:trPr>
          <w:trHeight w:val="476"/>
        </w:trPr>
        <w:tc>
          <w:tcPr>
            <w:tcW w:w="333" w:type="dxa"/>
          </w:tcPr>
          <w:p w:rsidR="009B5EBC" w:rsidRPr="00EC3211" w:rsidRDefault="009B5EBC" w:rsidP="005314D4">
            <w:pPr>
              <w:jc w:val="both"/>
            </w:pPr>
            <w:r w:rsidRPr="00EC3211">
              <w:t>3.</w:t>
            </w:r>
          </w:p>
        </w:tc>
        <w:tc>
          <w:tcPr>
            <w:tcW w:w="2838" w:type="dxa"/>
          </w:tcPr>
          <w:p w:rsidR="009B5EBC" w:rsidRPr="00EC3211" w:rsidRDefault="009B5EBC" w:rsidP="005314D4">
            <w:pPr>
              <w:jc w:val="both"/>
            </w:pPr>
            <w:r w:rsidRPr="00EC3211">
              <w:t>Cita informācija</w:t>
            </w:r>
          </w:p>
        </w:tc>
        <w:tc>
          <w:tcPr>
            <w:tcW w:w="6021" w:type="dxa"/>
          </w:tcPr>
          <w:p w:rsidR="009B5EBC" w:rsidRPr="00EC3211" w:rsidRDefault="009B5EBC" w:rsidP="005314D4">
            <w:pPr>
              <w:jc w:val="both"/>
            </w:pPr>
            <w:r w:rsidRPr="00EC3211">
              <w:t>Nav.</w:t>
            </w:r>
          </w:p>
        </w:tc>
      </w:tr>
    </w:tbl>
    <w:p w:rsidR="009B5EBC" w:rsidRPr="00EC3211" w:rsidRDefault="009B5EBC" w:rsidP="00D92D99">
      <w:pPr>
        <w:rPr>
          <w:lang w:eastAsia="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18"/>
        <w:gridCol w:w="2023"/>
        <w:gridCol w:w="801"/>
        <w:gridCol w:w="14"/>
        <w:gridCol w:w="247"/>
        <w:gridCol w:w="1411"/>
        <w:gridCol w:w="1685"/>
        <w:gridCol w:w="551"/>
        <w:gridCol w:w="2149"/>
      </w:tblGrid>
      <w:tr w:rsidR="009B5EBC" w:rsidRPr="00EC3211" w:rsidTr="00E1637E">
        <w:tc>
          <w:tcPr>
            <w:tcW w:w="9214" w:type="dxa"/>
            <w:gridSpan w:val="10"/>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center"/>
              <w:rPr>
                <w:b/>
              </w:rPr>
            </w:pPr>
            <w:r w:rsidRPr="00EC3211">
              <w:rPr>
                <w:b/>
              </w:rPr>
              <w:t>1.tabula. Tiesību akta projekta atbilstība ES tiesību aktiem</w:t>
            </w:r>
          </w:p>
        </w:tc>
      </w:tr>
      <w:tr w:rsidR="009B5EBC" w:rsidRPr="00EC3211" w:rsidTr="00E1637E">
        <w:tc>
          <w:tcPr>
            <w:tcW w:w="2356" w:type="dxa"/>
            <w:gridSpan w:val="3"/>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Attiecīgā ES tiesību akta datums, numurs un nosaukums</w:t>
            </w:r>
          </w:p>
        </w:tc>
        <w:tc>
          <w:tcPr>
            <w:tcW w:w="6858" w:type="dxa"/>
            <w:gridSpan w:val="7"/>
            <w:tcBorders>
              <w:top w:val="single" w:sz="4" w:space="0" w:color="auto"/>
              <w:left w:val="single" w:sz="4" w:space="0" w:color="auto"/>
              <w:bottom w:val="single" w:sz="4" w:space="0" w:color="auto"/>
              <w:right w:val="single" w:sz="4" w:space="0" w:color="auto"/>
            </w:tcBorders>
            <w:hideMark/>
          </w:tcPr>
          <w:p w:rsidR="009B5EBC" w:rsidRPr="00EC3211" w:rsidRDefault="00655E50" w:rsidP="005314D4">
            <w:pPr>
              <w:jc w:val="both"/>
            </w:pPr>
            <w:r w:rsidRPr="00EC3211">
              <w:t xml:space="preserve">Eiropas Parlamenta un Padomes 2013.gada 17.decembra Regula (ES) Nr.1303/2013, ar ko paredz kopīgus noteikumus par Eiropas Reģionālās attīstības fondu, Eiropas Sociālo fondu, Kohēzijas fondu, </w:t>
            </w:r>
            <w:r w:rsidRPr="00EC3211">
              <w:lastRenderedPageBreak/>
              <w:t>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9B5EBC" w:rsidRPr="00EC3211" w:rsidTr="00E1637E">
        <w:tc>
          <w:tcPr>
            <w:tcW w:w="2356" w:type="dxa"/>
            <w:gridSpan w:val="3"/>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lastRenderedPageBreak/>
              <w:t>A</w:t>
            </w:r>
          </w:p>
        </w:tc>
        <w:tc>
          <w:tcPr>
            <w:tcW w:w="2473" w:type="dxa"/>
            <w:gridSpan w:val="4"/>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B</w:t>
            </w:r>
          </w:p>
        </w:tc>
        <w:tc>
          <w:tcPr>
            <w:tcW w:w="2236" w:type="dxa"/>
            <w:gridSpan w:val="2"/>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C</w:t>
            </w:r>
          </w:p>
        </w:tc>
        <w:tc>
          <w:tcPr>
            <w:tcW w:w="2149" w:type="dxa"/>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D</w:t>
            </w:r>
          </w:p>
        </w:tc>
      </w:tr>
      <w:tr w:rsidR="009B5EBC" w:rsidRPr="00EC3211" w:rsidTr="00E1637E">
        <w:tc>
          <w:tcPr>
            <w:tcW w:w="2356" w:type="dxa"/>
            <w:gridSpan w:val="3"/>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 xml:space="preserve">Attiecīgā ES tiesību akta panta numurs (uzskaitot katru tiesību akta </w:t>
            </w:r>
            <w:r w:rsidRPr="00EC3211">
              <w:br/>
              <w:t>vienību – pantu, daļu, punktu, apakšpunktu)</w:t>
            </w:r>
          </w:p>
        </w:tc>
        <w:tc>
          <w:tcPr>
            <w:tcW w:w="2473" w:type="dxa"/>
            <w:gridSpan w:val="4"/>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Projekta vienība, kas pārņem vai ievieš katru šīs tabulas A ailē minēto ES tiesību akta vienību, vai tiesību akts, kur attiecīgā ES tiesību akta vienība pārņemta vai ieviesta</w:t>
            </w:r>
          </w:p>
        </w:tc>
        <w:tc>
          <w:tcPr>
            <w:tcW w:w="2236" w:type="dxa"/>
            <w:gridSpan w:val="2"/>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Informācija par to, vai šīs tabulas A ailē minētās ES tiesību akta vienības tiek pārņemtas vai ieviestas pilnībā vai daļēji.</w:t>
            </w:r>
          </w:p>
          <w:p w:rsidR="009B5EBC" w:rsidRPr="00EC3211" w:rsidRDefault="009B5EBC" w:rsidP="005314D4">
            <w:pPr>
              <w:jc w:val="both"/>
            </w:pPr>
            <w:r w:rsidRPr="00EC3211">
              <w:t>Ja attiecīgā ES tiesību akta vienība tiek pārņemta vai ieviesta daļēji, – sniedz attiecīgu skaidrojumu, kā arī precīzi norāda, kad un kādā veidā ES tiesību akta vienība tiks pārņemta vai ieviesta pilnībā.</w:t>
            </w:r>
          </w:p>
          <w:p w:rsidR="009B5EBC" w:rsidRPr="00EC3211" w:rsidRDefault="009B5EBC" w:rsidP="005314D4">
            <w:pPr>
              <w:jc w:val="both"/>
            </w:pPr>
            <w:r w:rsidRPr="00EC3211">
              <w:t>Norāda institūciju, kas ir atbildīga par šo saistību izpildi pilnībā</w:t>
            </w:r>
          </w:p>
        </w:tc>
        <w:tc>
          <w:tcPr>
            <w:tcW w:w="2149" w:type="dxa"/>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Informācija par to, vai šīs tabulas B ailē minētās projekta vienības paredz stingrākas prasības nekā šīs tabulas A ailē minētās ES tiesību akta vienības.</w:t>
            </w:r>
          </w:p>
          <w:p w:rsidR="009B5EBC" w:rsidRPr="00EC3211" w:rsidRDefault="009B5EBC" w:rsidP="005314D4">
            <w:pPr>
              <w:jc w:val="both"/>
            </w:pPr>
            <w:r w:rsidRPr="00EC3211">
              <w:t>Ja projekts satur stingrākas prasības nekā attiecīgais ES tiesību akts, – norāda pamatojumu un samērīgumu.</w:t>
            </w:r>
          </w:p>
          <w:p w:rsidR="009B5EBC" w:rsidRPr="00EC3211" w:rsidRDefault="009B5EBC" w:rsidP="005314D4">
            <w:pPr>
              <w:jc w:val="both"/>
            </w:pPr>
            <w:r w:rsidRPr="00EC3211">
              <w:t>Norāda iespējamās alternatīvas (t.sk. alternatīvas, kas neparedz tiesiskā regulējuma izstrādi) – kādos gadījumos būtu iespējams izvairīties no stingrāku prasību noteikšanas, nekā paredzēts attiecīgajos ES tiesību aktos</w:t>
            </w:r>
          </w:p>
        </w:tc>
      </w:tr>
      <w:tr w:rsidR="009B5EBC" w:rsidRPr="00EC3211" w:rsidTr="00E1637E">
        <w:trPr>
          <w:trHeight w:val="353"/>
        </w:trPr>
        <w:tc>
          <w:tcPr>
            <w:tcW w:w="2356" w:type="dxa"/>
            <w:gridSpan w:val="3"/>
            <w:tcBorders>
              <w:top w:val="single" w:sz="4" w:space="0" w:color="auto"/>
              <w:left w:val="single" w:sz="4" w:space="0" w:color="auto"/>
              <w:bottom w:val="single" w:sz="4" w:space="0" w:color="auto"/>
              <w:right w:val="single" w:sz="4" w:space="0" w:color="auto"/>
            </w:tcBorders>
            <w:hideMark/>
          </w:tcPr>
          <w:p w:rsidR="003D7DB0" w:rsidRPr="00EC3211" w:rsidRDefault="003D7DB0" w:rsidP="009B5EBC">
            <w:pPr>
              <w:jc w:val="both"/>
            </w:pPr>
            <w:r w:rsidRPr="00EC3211">
              <w:t>Eiropas Parlamenta un Padomes regulas Nr.1303/2013 XII pielikuma 2.2.apakšpunkts</w:t>
            </w:r>
          </w:p>
        </w:tc>
        <w:tc>
          <w:tcPr>
            <w:tcW w:w="2473" w:type="dxa"/>
            <w:gridSpan w:val="4"/>
            <w:tcBorders>
              <w:top w:val="single" w:sz="4" w:space="0" w:color="auto"/>
              <w:left w:val="single" w:sz="4" w:space="0" w:color="auto"/>
              <w:bottom w:val="single" w:sz="4" w:space="0" w:color="auto"/>
              <w:right w:val="single" w:sz="4" w:space="0" w:color="auto"/>
            </w:tcBorders>
            <w:hideMark/>
          </w:tcPr>
          <w:p w:rsidR="009B5EBC" w:rsidRPr="00EC3211" w:rsidRDefault="009B5EBC" w:rsidP="00946E62">
            <w:pPr>
              <w:jc w:val="both"/>
            </w:pPr>
            <w:r w:rsidRPr="00EC3211">
              <w:t xml:space="preserve">MK noteikumu projekta </w:t>
            </w:r>
            <w:r w:rsidR="00946E62" w:rsidRPr="00EC3211">
              <w:t>31</w:t>
            </w:r>
            <w:r w:rsidR="003D7DB0" w:rsidRPr="00EC3211">
              <w:t>.1</w:t>
            </w:r>
            <w:r w:rsidRPr="00EC3211">
              <w:t>.</w:t>
            </w:r>
            <w:r w:rsidR="003D7DB0" w:rsidRPr="00EC3211">
              <w:t>apakš</w:t>
            </w:r>
            <w:r w:rsidRPr="00EC3211">
              <w:t>punkts.</w:t>
            </w:r>
          </w:p>
        </w:tc>
        <w:tc>
          <w:tcPr>
            <w:tcW w:w="2236" w:type="dxa"/>
            <w:gridSpan w:val="2"/>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Vienība tiek ieviesta pilnībā.</w:t>
            </w:r>
          </w:p>
        </w:tc>
        <w:tc>
          <w:tcPr>
            <w:tcW w:w="2149" w:type="dxa"/>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Netiek paredzētas stingrākas prasības.</w:t>
            </w:r>
          </w:p>
        </w:tc>
      </w:tr>
      <w:tr w:rsidR="009B5EBC" w:rsidRPr="00EC3211" w:rsidTr="00E1637E">
        <w:trPr>
          <w:trHeight w:val="1122"/>
        </w:trPr>
        <w:tc>
          <w:tcPr>
            <w:tcW w:w="4829" w:type="dxa"/>
            <w:gridSpan w:val="7"/>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Kā ir izmantota ES tiesību aktā paredzētā rīcības brīvība dalībvalstij pārņemt vai ieviest noteiktas ES tiesību akta normas?</w:t>
            </w:r>
          </w:p>
          <w:p w:rsidR="009B5EBC" w:rsidRPr="00EC3211" w:rsidRDefault="009B5EBC" w:rsidP="005314D4">
            <w:pPr>
              <w:jc w:val="both"/>
            </w:pPr>
            <w:r w:rsidRPr="00EC3211">
              <w:t>Kādēļ?</w:t>
            </w:r>
          </w:p>
        </w:tc>
        <w:tc>
          <w:tcPr>
            <w:tcW w:w="4385" w:type="dxa"/>
            <w:gridSpan w:val="3"/>
            <w:tcBorders>
              <w:top w:val="single" w:sz="4" w:space="0" w:color="auto"/>
              <w:left w:val="single" w:sz="4" w:space="0" w:color="auto"/>
              <w:bottom w:val="single" w:sz="4" w:space="0" w:color="auto"/>
              <w:right w:val="single" w:sz="4" w:space="0" w:color="auto"/>
            </w:tcBorders>
            <w:hideMark/>
          </w:tcPr>
          <w:p w:rsidR="009B5EBC" w:rsidRPr="00EC3211" w:rsidRDefault="003D7DB0" w:rsidP="005314D4">
            <w:pPr>
              <w:jc w:val="both"/>
            </w:pPr>
            <w:r w:rsidRPr="00EC3211">
              <w:t>MK noteikumu projekts šo jomu neskar.</w:t>
            </w:r>
          </w:p>
        </w:tc>
      </w:tr>
      <w:tr w:rsidR="009B5EBC" w:rsidRPr="00EC3211" w:rsidTr="00E1637E">
        <w:tc>
          <w:tcPr>
            <w:tcW w:w="4829" w:type="dxa"/>
            <w:gridSpan w:val="7"/>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385" w:type="dxa"/>
            <w:gridSpan w:val="3"/>
            <w:tcBorders>
              <w:top w:val="single" w:sz="4" w:space="0" w:color="auto"/>
              <w:left w:val="single" w:sz="4" w:space="0" w:color="auto"/>
              <w:bottom w:val="single" w:sz="4" w:space="0" w:color="auto"/>
              <w:right w:val="single" w:sz="4" w:space="0" w:color="auto"/>
            </w:tcBorders>
            <w:hideMark/>
          </w:tcPr>
          <w:p w:rsidR="009B5EBC" w:rsidRPr="00EC3211" w:rsidRDefault="003D7DB0" w:rsidP="005314D4">
            <w:pPr>
              <w:jc w:val="both"/>
            </w:pPr>
            <w:r w:rsidRPr="00EC3211">
              <w:t>MK noteikumu projekts šo jomu neskar.</w:t>
            </w:r>
          </w:p>
        </w:tc>
      </w:tr>
      <w:tr w:rsidR="009B5EBC" w:rsidRPr="00EC3211" w:rsidTr="00E1637E">
        <w:tc>
          <w:tcPr>
            <w:tcW w:w="4829" w:type="dxa"/>
            <w:gridSpan w:val="7"/>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Cita informācija</w:t>
            </w:r>
          </w:p>
        </w:tc>
        <w:tc>
          <w:tcPr>
            <w:tcW w:w="4385" w:type="dxa"/>
            <w:gridSpan w:val="3"/>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Nav</w:t>
            </w:r>
          </w:p>
        </w:tc>
      </w:tr>
      <w:tr w:rsidR="009B5EBC" w:rsidRPr="00EC3211" w:rsidTr="00E1637E">
        <w:tc>
          <w:tcPr>
            <w:tcW w:w="9214" w:type="dxa"/>
            <w:gridSpan w:val="10"/>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center"/>
              <w:rPr>
                <w:b/>
              </w:rPr>
            </w:pPr>
            <w:r w:rsidRPr="00EC3211">
              <w:rPr>
                <w:b/>
              </w:rPr>
              <w:t xml:space="preserve">2.tabula. Ar tiesību akta projektu uzņemtās saistības, kas izriet no starptautiskajiem </w:t>
            </w:r>
            <w:r w:rsidRPr="00EC3211">
              <w:rPr>
                <w:b/>
              </w:rPr>
              <w:lastRenderedPageBreak/>
              <w:t>tiesību aktiem vai starptautiskas institūcijas vai organizācijas dokumentiem</w:t>
            </w:r>
          </w:p>
          <w:p w:rsidR="009B5EBC" w:rsidRPr="00EC3211" w:rsidRDefault="009B5EBC" w:rsidP="005314D4">
            <w:pPr>
              <w:jc w:val="center"/>
            </w:pPr>
            <w:r w:rsidRPr="00EC3211">
              <w:rPr>
                <w:b/>
              </w:rPr>
              <w:t>Pasākumi šo saistību izpildei</w:t>
            </w:r>
          </w:p>
        </w:tc>
      </w:tr>
      <w:tr w:rsidR="009B5EBC" w:rsidRPr="00EC3211" w:rsidTr="00E1637E">
        <w:tc>
          <w:tcPr>
            <w:tcW w:w="3418" w:type="dxa"/>
            <w:gridSpan w:val="6"/>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lastRenderedPageBreak/>
              <w:t>Attiecīgā starptautiskā tiesību akta vai starptautiskas institūcijas vai organizācijas dokumenta (turpmāk – starptautiskais dokuments) datums, numurs un nosaukums</w:t>
            </w:r>
          </w:p>
        </w:tc>
        <w:tc>
          <w:tcPr>
            <w:tcW w:w="5796" w:type="dxa"/>
            <w:gridSpan w:val="4"/>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Nav</w:t>
            </w:r>
          </w:p>
        </w:tc>
      </w:tr>
      <w:tr w:rsidR="009B5EBC" w:rsidRPr="00EC3211" w:rsidTr="00E1637E">
        <w:tc>
          <w:tcPr>
            <w:tcW w:w="3418" w:type="dxa"/>
            <w:gridSpan w:val="6"/>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A</w:t>
            </w:r>
          </w:p>
        </w:tc>
        <w:tc>
          <w:tcPr>
            <w:tcW w:w="3096" w:type="dxa"/>
            <w:gridSpan w:val="2"/>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B</w:t>
            </w:r>
          </w:p>
        </w:tc>
        <w:tc>
          <w:tcPr>
            <w:tcW w:w="2700" w:type="dxa"/>
            <w:gridSpan w:val="2"/>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C</w:t>
            </w:r>
          </w:p>
        </w:tc>
      </w:tr>
      <w:tr w:rsidR="009B5EBC" w:rsidRPr="00EC3211" w:rsidTr="00E1637E">
        <w:tc>
          <w:tcPr>
            <w:tcW w:w="3418" w:type="dxa"/>
            <w:gridSpan w:val="6"/>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Starptautiskās saistības (pēc būtības), kas izriet no norādītā starptautiskā dokumenta.</w:t>
            </w:r>
          </w:p>
          <w:p w:rsidR="009B5EBC" w:rsidRPr="00EC3211" w:rsidRDefault="009B5EBC" w:rsidP="005314D4">
            <w:pPr>
              <w:jc w:val="both"/>
            </w:pPr>
            <w:r w:rsidRPr="00EC3211">
              <w:t>Konkrēti veicamie pasākumi vai uzdevumi, kas nepieciešami šo starptautisko saistību izpildei</w:t>
            </w:r>
          </w:p>
        </w:tc>
        <w:tc>
          <w:tcPr>
            <w:tcW w:w="3096" w:type="dxa"/>
            <w:gridSpan w:val="2"/>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700" w:type="dxa"/>
            <w:gridSpan w:val="2"/>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Informācija par to, vai starptautiskās saistības, kas minētas šīs tabulas A ailē, tiek izpildītas pilnībā vai daļēji.</w:t>
            </w:r>
          </w:p>
          <w:p w:rsidR="009B5EBC" w:rsidRPr="00EC3211" w:rsidRDefault="009B5EBC" w:rsidP="005314D4">
            <w:pPr>
              <w:jc w:val="both"/>
            </w:pPr>
            <w:r w:rsidRPr="00EC3211">
              <w:t>Ja attiecīgās starptautiskās saistības tiek izpildītas daļēji, sniedz attiecīgu skaidrojumu, kā arī precīzi norāda, kad un kādā veidā starptautiskās saistības tiks izpildītas pilnībā.</w:t>
            </w:r>
          </w:p>
          <w:p w:rsidR="009B5EBC" w:rsidRPr="00EC3211" w:rsidRDefault="009B5EBC" w:rsidP="005314D4">
            <w:pPr>
              <w:jc w:val="both"/>
            </w:pPr>
            <w:r w:rsidRPr="00EC3211">
              <w:t>Norāda institūciju, kas ir atbildīga par šo saistību izpildi pilnībā</w:t>
            </w:r>
          </w:p>
        </w:tc>
      </w:tr>
      <w:tr w:rsidR="009B5EBC" w:rsidRPr="00EC3211" w:rsidTr="00E1637E">
        <w:tc>
          <w:tcPr>
            <w:tcW w:w="3418" w:type="dxa"/>
            <w:gridSpan w:val="6"/>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Nav.</w:t>
            </w:r>
          </w:p>
        </w:tc>
        <w:tc>
          <w:tcPr>
            <w:tcW w:w="3096" w:type="dxa"/>
            <w:gridSpan w:val="2"/>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Nav.</w:t>
            </w:r>
          </w:p>
        </w:tc>
        <w:tc>
          <w:tcPr>
            <w:tcW w:w="2700" w:type="dxa"/>
            <w:gridSpan w:val="2"/>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Nav.</w:t>
            </w:r>
          </w:p>
        </w:tc>
      </w:tr>
      <w:tr w:rsidR="009B5EBC" w:rsidRPr="00EC3211" w:rsidTr="00E1637E">
        <w:tc>
          <w:tcPr>
            <w:tcW w:w="3418" w:type="dxa"/>
            <w:gridSpan w:val="6"/>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Vai starptautiskajā dokumentā paredzētās saistības nav pretrunā ar jau esošajām Latvijas Republikas starptautiskajām saistībām</w:t>
            </w:r>
          </w:p>
        </w:tc>
        <w:tc>
          <w:tcPr>
            <w:tcW w:w="5796" w:type="dxa"/>
            <w:gridSpan w:val="4"/>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tabs>
                <w:tab w:val="left" w:pos="1128"/>
              </w:tabs>
              <w:jc w:val="both"/>
            </w:pPr>
            <w:r w:rsidRPr="00EC3211">
              <w:t>Nav.</w:t>
            </w:r>
          </w:p>
        </w:tc>
      </w:tr>
      <w:tr w:rsidR="009B5EBC" w:rsidRPr="00EC3211" w:rsidTr="00E1637E">
        <w:tc>
          <w:tcPr>
            <w:tcW w:w="3418" w:type="dxa"/>
            <w:gridSpan w:val="6"/>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Cita informācija</w:t>
            </w:r>
          </w:p>
        </w:tc>
        <w:tc>
          <w:tcPr>
            <w:tcW w:w="5796" w:type="dxa"/>
            <w:gridSpan w:val="4"/>
            <w:tcBorders>
              <w:top w:val="single" w:sz="4" w:space="0" w:color="auto"/>
              <w:left w:val="single" w:sz="4" w:space="0" w:color="auto"/>
              <w:bottom w:val="single" w:sz="4" w:space="0" w:color="auto"/>
              <w:right w:val="single" w:sz="4" w:space="0" w:color="auto"/>
            </w:tcBorders>
            <w:hideMark/>
          </w:tcPr>
          <w:p w:rsidR="009B5EBC" w:rsidRPr="00EC3211" w:rsidRDefault="009B5EBC" w:rsidP="005314D4">
            <w:pPr>
              <w:jc w:val="both"/>
            </w:pPr>
            <w:r w:rsidRPr="00EC3211">
              <w:t>Nav.</w:t>
            </w:r>
          </w:p>
        </w:tc>
      </w:tr>
      <w:tr w:rsidR="00D02ABF" w:rsidRPr="00EC3211" w:rsidTr="00E1637E">
        <w:tblPrEx>
          <w:tblCellMar>
            <w:left w:w="0" w:type="dxa"/>
            <w:right w:w="0" w:type="dxa"/>
          </w:tblCellMar>
          <w:tblLook w:val="0000" w:firstRow="0" w:lastRow="0" w:firstColumn="0" w:lastColumn="0" w:noHBand="0" w:noVBand="0"/>
        </w:tblPrEx>
        <w:trPr>
          <w:trHeight w:val="421"/>
        </w:trPr>
        <w:tc>
          <w:tcPr>
            <w:tcW w:w="9214" w:type="dxa"/>
            <w:gridSpan w:val="10"/>
            <w:vAlign w:val="center"/>
          </w:tcPr>
          <w:p w:rsidR="00D02ABF" w:rsidRPr="00EC3211" w:rsidRDefault="00D02ABF" w:rsidP="003425D3">
            <w:pPr>
              <w:pStyle w:val="naisnod"/>
              <w:spacing w:before="0" w:beforeAutospacing="0" w:after="0" w:afterAutospacing="0"/>
              <w:ind w:left="57" w:right="57"/>
              <w:jc w:val="center"/>
            </w:pPr>
            <w:r w:rsidRPr="00EC3211">
              <w:rPr>
                <w:b/>
              </w:rPr>
              <w:t>VI. Sabiedrības līdzdalība un komunikācijas aktivitātes</w:t>
            </w:r>
          </w:p>
        </w:tc>
      </w:tr>
      <w:tr w:rsidR="00D02ABF" w:rsidRPr="00EC3211" w:rsidTr="00E1637E">
        <w:tblPrEx>
          <w:tblCellMar>
            <w:left w:w="0" w:type="dxa"/>
            <w:right w:w="0" w:type="dxa"/>
          </w:tblCellMar>
          <w:tblLook w:val="0000" w:firstRow="0" w:lastRow="0" w:firstColumn="0" w:lastColumn="0" w:noHBand="0" w:noVBand="0"/>
        </w:tblPrEx>
        <w:trPr>
          <w:trHeight w:val="553"/>
        </w:trPr>
        <w:tc>
          <w:tcPr>
            <w:tcW w:w="315" w:type="dxa"/>
          </w:tcPr>
          <w:p w:rsidR="00D02ABF" w:rsidRPr="00EC3211" w:rsidRDefault="00D02ABF" w:rsidP="003425D3">
            <w:pPr>
              <w:ind w:left="57" w:right="57"/>
              <w:jc w:val="both"/>
              <w:rPr>
                <w:bCs/>
              </w:rPr>
            </w:pPr>
            <w:r w:rsidRPr="00EC3211">
              <w:rPr>
                <w:bCs/>
              </w:rPr>
              <w:t>1.</w:t>
            </w:r>
          </w:p>
        </w:tc>
        <w:tc>
          <w:tcPr>
            <w:tcW w:w="2842" w:type="dxa"/>
            <w:gridSpan w:val="3"/>
          </w:tcPr>
          <w:p w:rsidR="00D02ABF" w:rsidRPr="00EC3211" w:rsidRDefault="00D02ABF" w:rsidP="003425D3">
            <w:pPr>
              <w:tabs>
                <w:tab w:val="left" w:pos="170"/>
              </w:tabs>
              <w:ind w:left="57" w:right="57"/>
            </w:pPr>
            <w:r w:rsidRPr="00EC3211">
              <w:t>Plānotās sabiedrības līdzdalības un komunikācijas aktivitātes saistībā ar projektu</w:t>
            </w:r>
          </w:p>
        </w:tc>
        <w:tc>
          <w:tcPr>
            <w:tcW w:w="6057" w:type="dxa"/>
            <w:gridSpan w:val="6"/>
          </w:tcPr>
          <w:p w:rsidR="00343528" w:rsidRPr="00EC3211" w:rsidRDefault="00343528" w:rsidP="00343528">
            <w:pPr>
              <w:shd w:val="clear" w:color="auto" w:fill="FFFFFF"/>
              <w:spacing w:after="120"/>
              <w:ind w:left="57" w:right="113"/>
              <w:jc w:val="both"/>
              <w:rPr>
                <w:bCs/>
              </w:rPr>
            </w:pPr>
            <w:r w:rsidRPr="00EC3211">
              <w:rPr>
                <w:bCs/>
              </w:rPr>
              <w:t xml:space="preserve">Pirms Ministru kabineta noteikumu par SAM </w:t>
            </w:r>
            <w:r w:rsidR="00F0193B" w:rsidRPr="00EC3211">
              <w:rPr>
                <w:bCs/>
              </w:rPr>
              <w:t xml:space="preserve">pasākuma </w:t>
            </w:r>
            <w:r w:rsidRPr="00EC3211">
              <w:rPr>
                <w:bCs/>
              </w:rPr>
              <w:t>īstenošanu  izstrādāšanas tika veikts SAM pasākuma paplašinātais sākotnējais novērtējums. Tā mērķis bija:</w:t>
            </w:r>
          </w:p>
          <w:p w:rsidR="00343528" w:rsidRPr="00EC3211" w:rsidRDefault="00343528" w:rsidP="00D16AAB">
            <w:pPr>
              <w:numPr>
                <w:ilvl w:val="0"/>
                <w:numId w:val="33"/>
              </w:numPr>
              <w:shd w:val="clear" w:color="auto" w:fill="FFFFFF"/>
              <w:spacing w:after="120"/>
              <w:ind w:right="113"/>
              <w:jc w:val="both"/>
              <w:rPr>
                <w:bCs/>
              </w:rPr>
            </w:pPr>
            <w:r w:rsidRPr="00EC3211">
              <w:rPr>
                <w:bCs/>
              </w:rPr>
              <w:t xml:space="preserve">sniegt izvērtējumu pasākuma ieviešanas risinājumam, kas ietver projektu iesniegumu atlases veida izvērtējumu un priekšlikumus, finansējuma saņēmēju un projektu atlases principus, tai skaitā sniegt priekšlikumus kritērijiem, kas ļauj atlasīt projektus ar lielāko ietekmi uz pilsētu ielu caurlaides spēju un transporta plūsmu. </w:t>
            </w:r>
          </w:p>
          <w:p w:rsidR="00343528" w:rsidRPr="00EC3211" w:rsidRDefault="00343528" w:rsidP="00D16AAB">
            <w:pPr>
              <w:numPr>
                <w:ilvl w:val="0"/>
                <w:numId w:val="33"/>
              </w:numPr>
              <w:shd w:val="clear" w:color="auto" w:fill="FFFFFF"/>
              <w:spacing w:after="120"/>
              <w:ind w:right="113"/>
              <w:jc w:val="both"/>
              <w:rPr>
                <w:bCs/>
              </w:rPr>
            </w:pPr>
            <w:r w:rsidRPr="00EC3211">
              <w:rPr>
                <w:bCs/>
              </w:rPr>
              <w:t xml:space="preserve">sniegt izvērtējumu un veikt vajadzību analīzi, nosakot potenciālās </w:t>
            </w:r>
            <w:proofErr w:type="spellStart"/>
            <w:r w:rsidRPr="00EC3211">
              <w:rPr>
                <w:bCs/>
              </w:rPr>
              <w:t>mērķteritorijas</w:t>
            </w:r>
            <w:proofErr w:type="spellEnd"/>
            <w:r w:rsidRPr="00EC3211">
              <w:rPr>
                <w:bCs/>
              </w:rPr>
              <w:t xml:space="preserve"> un kāda veida darbības ir nepieciešams atbalstīt </w:t>
            </w:r>
            <w:r w:rsidR="00A7446E" w:rsidRPr="00EC3211">
              <w:rPr>
                <w:bCs/>
              </w:rPr>
              <w:t xml:space="preserve">pasākuma </w:t>
            </w:r>
            <w:r w:rsidRPr="00EC3211">
              <w:rPr>
                <w:bCs/>
              </w:rPr>
              <w:t>mērķu sasniegšanai.</w:t>
            </w:r>
          </w:p>
          <w:p w:rsidR="00343528" w:rsidRPr="00EC3211" w:rsidRDefault="00343528" w:rsidP="00343528">
            <w:pPr>
              <w:shd w:val="clear" w:color="auto" w:fill="FFFFFF"/>
              <w:spacing w:after="120"/>
              <w:ind w:left="57" w:right="113"/>
              <w:jc w:val="both"/>
              <w:rPr>
                <w:bCs/>
              </w:rPr>
            </w:pPr>
            <w:r w:rsidRPr="00EC3211">
              <w:rPr>
                <w:bCs/>
              </w:rPr>
              <w:t xml:space="preserve">SAM pasākuma sākotnējais novērtējums tika iesniegts </w:t>
            </w:r>
            <w:r w:rsidRPr="00EC3211">
              <w:rPr>
                <w:bCs/>
              </w:rPr>
              <w:lastRenderedPageBreak/>
              <w:t xml:space="preserve">izvērtēšanai rakstiskā procedūrā Eiropas Savienības Kohēzijas politikas fondu Konsultatīvās izvērtēšanas darba grupā.  </w:t>
            </w:r>
          </w:p>
          <w:p w:rsidR="00D02ABF" w:rsidRPr="00EC3211" w:rsidRDefault="00343528" w:rsidP="00A7446E">
            <w:pPr>
              <w:shd w:val="clear" w:color="auto" w:fill="FFFFFF"/>
              <w:spacing w:after="120"/>
              <w:ind w:left="57" w:right="113"/>
              <w:jc w:val="both"/>
            </w:pPr>
            <w:r w:rsidRPr="00EC3211">
              <w:rPr>
                <w:bCs/>
              </w:rPr>
              <w:t>Novērtējuma saskaņošanas procesā tika iestrādāti institūciju izteiktie komentāri un 2016.gada 21.aprīlī precizēts novērtējums kopā ar pasākuma vērtēšanas kritēriju komplektu un vērtēšanas metodiku tika iesniegts izskatīšanai Eiropas Savienības struktūrfondu un Kohēzijas fonda 2014.-2020.gada plānošanas perioda š.g. 27.maija apakškomitejas sēdē.</w:t>
            </w:r>
          </w:p>
        </w:tc>
      </w:tr>
      <w:tr w:rsidR="00D02ABF" w:rsidRPr="00EC3211" w:rsidTr="00E1637E">
        <w:tblPrEx>
          <w:tblCellMar>
            <w:left w:w="0" w:type="dxa"/>
            <w:right w:w="0" w:type="dxa"/>
          </w:tblCellMar>
          <w:tblLook w:val="0000" w:firstRow="0" w:lastRow="0" w:firstColumn="0" w:lastColumn="0" w:noHBand="0" w:noVBand="0"/>
        </w:tblPrEx>
        <w:trPr>
          <w:trHeight w:val="339"/>
        </w:trPr>
        <w:tc>
          <w:tcPr>
            <w:tcW w:w="315" w:type="dxa"/>
          </w:tcPr>
          <w:p w:rsidR="00D02ABF" w:rsidRPr="00EC3211" w:rsidRDefault="00D02ABF" w:rsidP="003425D3">
            <w:pPr>
              <w:ind w:left="57" w:right="57"/>
              <w:jc w:val="both"/>
              <w:rPr>
                <w:bCs/>
              </w:rPr>
            </w:pPr>
            <w:r w:rsidRPr="00EC3211">
              <w:rPr>
                <w:bCs/>
              </w:rPr>
              <w:lastRenderedPageBreak/>
              <w:t>2.</w:t>
            </w:r>
          </w:p>
        </w:tc>
        <w:tc>
          <w:tcPr>
            <w:tcW w:w="2842" w:type="dxa"/>
            <w:gridSpan w:val="3"/>
          </w:tcPr>
          <w:p w:rsidR="00D02ABF" w:rsidRPr="00EC3211" w:rsidRDefault="00D02ABF" w:rsidP="003425D3">
            <w:pPr>
              <w:ind w:left="57" w:right="57"/>
            </w:pPr>
            <w:r w:rsidRPr="00EC3211">
              <w:t>Sabiedrības līdzdalība projekta izstrādē</w:t>
            </w:r>
          </w:p>
        </w:tc>
        <w:tc>
          <w:tcPr>
            <w:tcW w:w="6057" w:type="dxa"/>
            <w:gridSpan w:val="6"/>
          </w:tcPr>
          <w:p w:rsidR="00267768" w:rsidRPr="00EC3211" w:rsidRDefault="00FB4F50" w:rsidP="00655E50">
            <w:pPr>
              <w:shd w:val="clear" w:color="auto" w:fill="FFFFFF"/>
              <w:spacing w:after="120"/>
              <w:ind w:right="113"/>
              <w:jc w:val="both"/>
            </w:pPr>
            <w:r>
              <w:t>Projekts šo jomu neskar.</w:t>
            </w:r>
          </w:p>
          <w:p w:rsidR="00D02ABF" w:rsidRPr="00EC3211" w:rsidRDefault="00D02ABF" w:rsidP="00655E50">
            <w:pPr>
              <w:shd w:val="clear" w:color="auto" w:fill="FFFFFF"/>
              <w:spacing w:after="120"/>
              <w:ind w:right="113"/>
              <w:jc w:val="both"/>
              <w:rPr>
                <w:kern w:val="24"/>
              </w:rPr>
            </w:pPr>
          </w:p>
        </w:tc>
      </w:tr>
      <w:tr w:rsidR="00D02ABF" w:rsidRPr="00EC3211" w:rsidTr="00E1637E">
        <w:tblPrEx>
          <w:tblCellMar>
            <w:left w:w="0" w:type="dxa"/>
            <w:right w:w="0" w:type="dxa"/>
          </w:tblCellMar>
          <w:tblLook w:val="0000" w:firstRow="0" w:lastRow="0" w:firstColumn="0" w:lastColumn="0" w:noHBand="0" w:noVBand="0"/>
        </w:tblPrEx>
        <w:trPr>
          <w:trHeight w:val="476"/>
        </w:trPr>
        <w:tc>
          <w:tcPr>
            <w:tcW w:w="315" w:type="dxa"/>
          </w:tcPr>
          <w:p w:rsidR="00D02ABF" w:rsidRPr="00EC3211" w:rsidRDefault="00D02ABF" w:rsidP="003425D3">
            <w:pPr>
              <w:ind w:left="57" w:right="57"/>
              <w:jc w:val="both"/>
              <w:rPr>
                <w:bCs/>
              </w:rPr>
            </w:pPr>
            <w:r w:rsidRPr="00EC3211">
              <w:rPr>
                <w:bCs/>
              </w:rPr>
              <w:t>3.</w:t>
            </w:r>
          </w:p>
        </w:tc>
        <w:tc>
          <w:tcPr>
            <w:tcW w:w="2842" w:type="dxa"/>
            <w:gridSpan w:val="3"/>
          </w:tcPr>
          <w:p w:rsidR="00D02ABF" w:rsidRPr="00EC3211" w:rsidRDefault="00D02ABF" w:rsidP="003425D3">
            <w:pPr>
              <w:ind w:left="57" w:right="57"/>
            </w:pPr>
            <w:r w:rsidRPr="00EC3211">
              <w:t>Sabiedrības līdzdalības rezultāti</w:t>
            </w:r>
          </w:p>
        </w:tc>
        <w:tc>
          <w:tcPr>
            <w:tcW w:w="6057" w:type="dxa"/>
            <w:gridSpan w:val="6"/>
          </w:tcPr>
          <w:p w:rsidR="00FB4F50" w:rsidRPr="00EC3211" w:rsidRDefault="00FB4F50" w:rsidP="00FB4F50">
            <w:pPr>
              <w:shd w:val="clear" w:color="auto" w:fill="FFFFFF"/>
              <w:spacing w:after="120"/>
              <w:ind w:right="113"/>
              <w:jc w:val="both"/>
            </w:pPr>
            <w:r>
              <w:t>Projekts šo jomu neskar.</w:t>
            </w:r>
          </w:p>
          <w:p w:rsidR="00D02ABF" w:rsidRPr="00EC3211" w:rsidRDefault="00D02ABF" w:rsidP="00847EC7">
            <w:pPr>
              <w:shd w:val="clear" w:color="auto" w:fill="FFFFFF"/>
              <w:spacing w:after="120"/>
              <w:ind w:right="113"/>
              <w:jc w:val="both"/>
            </w:pPr>
          </w:p>
        </w:tc>
      </w:tr>
      <w:tr w:rsidR="00D02ABF" w:rsidRPr="00EC3211" w:rsidTr="00E1637E">
        <w:tblPrEx>
          <w:tblCellMar>
            <w:left w:w="0" w:type="dxa"/>
            <w:right w:w="0" w:type="dxa"/>
          </w:tblCellMar>
          <w:tblLook w:val="0000" w:firstRow="0" w:lastRow="0" w:firstColumn="0" w:lastColumn="0" w:noHBand="0" w:noVBand="0"/>
        </w:tblPrEx>
        <w:trPr>
          <w:trHeight w:val="357"/>
        </w:trPr>
        <w:tc>
          <w:tcPr>
            <w:tcW w:w="315" w:type="dxa"/>
          </w:tcPr>
          <w:p w:rsidR="00D02ABF" w:rsidRPr="00EC3211" w:rsidRDefault="00D02ABF" w:rsidP="003425D3">
            <w:pPr>
              <w:ind w:left="57" w:right="57"/>
              <w:jc w:val="both"/>
              <w:rPr>
                <w:bCs/>
              </w:rPr>
            </w:pPr>
            <w:r w:rsidRPr="00EC3211">
              <w:rPr>
                <w:bCs/>
              </w:rPr>
              <w:t>4.</w:t>
            </w:r>
          </w:p>
        </w:tc>
        <w:tc>
          <w:tcPr>
            <w:tcW w:w="2842" w:type="dxa"/>
            <w:gridSpan w:val="3"/>
          </w:tcPr>
          <w:p w:rsidR="00D02ABF" w:rsidRPr="00EC3211" w:rsidRDefault="00D02ABF" w:rsidP="003425D3">
            <w:pPr>
              <w:ind w:left="57" w:right="57"/>
            </w:pPr>
            <w:r w:rsidRPr="00EC3211">
              <w:t>Cita informācija</w:t>
            </w:r>
          </w:p>
        </w:tc>
        <w:tc>
          <w:tcPr>
            <w:tcW w:w="6057" w:type="dxa"/>
            <w:gridSpan w:val="6"/>
          </w:tcPr>
          <w:p w:rsidR="00D02ABF" w:rsidRPr="00EC3211" w:rsidRDefault="00D02ABF" w:rsidP="00655E50">
            <w:pPr>
              <w:ind w:right="113"/>
              <w:jc w:val="both"/>
            </w:pPr>
            <w:r w:rsidRPr="00EC3211">
              <w:t>Nav.</w:t>
            </w:r>
          </w:p>
        </w:tc>
      </w:tr>
      <w:tr w:rsidR="00D02ABF" w:rsidRPr="00EC3211" w:rsidTr="00E1637E">
        <w:tblPrEx>
          <w:tblCellMar>
            <w:left w:w="0" w:type="dxa"/>
            <w:right w:w="0" w:type="dxa"/>
          </w:tblCellMar>
          <w:tblLook w:val="0000" w:firstRow="0" w:lastRow="0" w:firstColumn="0" w:lastColumn="0" w:noHBand="0" w:noVBand="0"/>
        </w:tblPrEx>
        <w:trPr>
          <w:trHeight w:val="421"/>
        </w:trPr>
        <w:tc>
          <w:tcPr>
            <w:tcW w:w="9214" w:type="dxa"/>
            <w:gridSpan w:val="10"/>
            <w:vAlign w:val="center"/>
          </w:tcPr>
          <w:p w:rsidR="00D02ABF" w:rsidRPr="00EC3211" w:rsidRDefault="00D02ABF" w:rsidP="003425D3">
            <w:pPr>
              <w:pStyle w:val="naisnod"/>
              <w:spacing w:before="0" w:beforeAutospacing="0" w:after="0" w:afterAutospacing="0"/>
              <w:ind w:left="57" w:right="57"/>
              <w:jc w:val="center"/>
            </w:pPr>
            <w:r w:rsidRPr="00EC3211">
              <w:rPr>
                <w:b/>
              </w:rPr>
              <w:t>VII. Tiesību akta projekta izpildes nodrošināšana un tās ietekme uz institūcijām</w:t>
            </w:r>
          </w:p>
        </w:tc>
      </w:tr>
      <w:tr w:rsidR="005A2444" w:rsidRPr="00EC3211" w:rsidTr="00E1637E">
        <w:tblPrEx>
          <w:tblCellMar>
            <w:left w:w="0" w:type="dxa"/>
            <w:right w:w="0" w:type="dxa"/>
          </w:tblCellMar>
          <w:tblLook w:val="0000" w:firstRow="0" w:lastRow="0" w:firstColumn="0" w:lastColumn="0" w:noHBand="0" w:noVBand="0"/>
        </w:tblPrEx>
        <w:trPr>
          <w:trHeight w:val="553"/>
        </w:trPr>
        <w:tc>
          <w:tcPr>
            <w:tcW w:w="333" w:type="dxa"/>
            <w:gridSpan w:val="2"/>
          </w:tcPr>
          <w:p w:rsidR="005A2444" w:rsidRPr="00EC3211" w:rsidRDefault="005A2444" w:rsidP="003425D3">
            <w:pPr>
              <w:ind w:left="57" w:right="57"/>
              <w:jc w:val="both"/>
              <w:rPr>
                <w:bCs/>
              </w:rPr>
            </w:pPr>
            <w:r w:rsidRPr="00EC3211">
              <w:rPr>
                <w:bCs/>
              </w:rPr>
              <w:t>1.</w:t>
            </w:r>
          </w:p>
        </w:tc>
        <w:tc>
          <w:tcPr>
            <w:tcW w:w="2838" w:type="dxa"/>
            <w:gridSpan w:val="3"/>
          </w:tcPr>
          <w:p w:rsidR="005A2444" w:rsidRPr="00EC3211" w:rsidRDefault="005A2444" w:rsidP="003425D3">
            <w:pPr>
              <w:ind w:left="57" w:right="57"/>
            </w:pPr>
            <w:r w:rsidRPr="00EC3211">
              <w:t>Projekta izpildē iesaistītās institūcijas</w:t>
            </w:r>
          </w:p>
        </w:tc>
        <w:tc>
          <w:tcPr>
            <w:tcW w:w="6043" w:type="dxa"/>
            <w:gridSpan w:val="5"/>
          </w:tcPr>
          <w:p w:rsidR="005A2444" w:rsidRPr="00EC3211" w:rsidRDefault="005A2444" w:rsidP="00D02ABF">
            <w:pPr>
              <w:shd w:val="clear" w:color="auto" w:fill="FFFFFF"/>
              <w:ind w:left="57" w:right="113"/>
              <w:jc w:val="both"/>
            </w:pPr>
            <w:r w:rsidRPr="00EC3211">
              <w:t xml:space="preserve">Satiksmes ministrija kā atbildīgā iestāde, Centrālā finanšu un līgumu aģentūra kā sadarbības iestāde. </w:t>
            </w:r>
          </w:p>
        </w:tc>
      </w:tr>
      <w:tr w:rsidR="005A2444" w:rsidRPr="00EC3211" w:rsidTr="00E1637E">
        <w:tblPrEx>
          <w:tblCellMar>
            <w:left w:w="0" w:type="dxa"/>
            <w:right w:w="0" w:type="dxa"/>
          </w:tblCellMar>
          <w:tblLook w:val="0000" w:firstRow="0" w:lastRow="0" w:firstColumn="0" w:lastColumn="0" w:noHBand="0" w:noVBand="0"/>
        </w:tblPrEx>
        <w:trPr>
          <w:trHeight w:val="339"/>
        </w:trPr>
        <w:tc>
          <w:tcPr>
            <w:tcW w:w="333" w:type="dxa"/>
            <w:gridSpan w:val="2"/>
          </w:tcPr>
          <w:p w:rsidR="005A2444" w:rsidRPr="00EC3211" w:rsidRDefault="005A2444" w:rsidP="003425D3">
            <w:pPr>
              <w:ind w:left="57" w:right="57"/>
              <w:jc w:val="both"/>
              <w:rPr>
                <w:bCs/>
              </w:rPr>
            </w:pPr>
            <w:r w:rsidRPr="00EC3211">
              <w:rPr>
                <w:bCs/>
              </w:rPr>
              <w:t>2.</w:t>
            </w:r>
          </w:p>
        </w:tc>
        <w:tc>
          <w:tcPr>
            <w:tcW w:w="2838" w:type="dxa"/>
            <w:gridSpan w:val="3"/>
          </w:tcPr>
          <w:p w:rsidR="005A2444" w:rsidRPr="00EC3211" w:rsidRDefault="005A2444" w:rsidP="003425D3">
            <w:pPr>
              <w:ind w:left="57" w:right="57"/>
            </w:pPr>
            <w:r w:rsidRPr="00EC3211">
              <w:t xml:space="preserve">Projekta izpildes ietekme uz pārvaldes funkcijām un institucionālo struktūru. </w:t>
            </w:r>
          </w:p>
          <w:p w:rsidR="005A2444" w:rsidRPr="00EC3211" w:rsidRDefault="005A2444" w:rsidP="00B4412D">
            <w:pPr>
              <w:ind w:left="57" w:right="57"/>
            </w:pPr>
            <w:r w:rsidRPr="00EC3211">
              <w:t>Jaunu institūciju izveide, esošu institūciju likvidācija vai reorganizācija, to ietekme uz institūcijas cilvēkresursiem</w:t>
            </w:r>
          </w:p>
        </w:tc>
        <w:tc>
          <w:tcPr>
            <w:tcW w:w="6043" w:type="dxa"/>
            <w:gridSpan w:val="5"/>
          </w:tcPr>
          <w:p w:rsidR="005A2444" w:rsidRPr="00EC3211" w:rsidRDefault="005A2444" w:rsidP="003425D3">
            <w:pPr>
              <w:shd w:val="clear" w:color="auto" w:fill="FFFFFF"/>
              <w:ind w:left="57" w:right="113"/>
              <w:jc w:val="both"/>
              <w:rPr>
                <w:kern w:val="24"/>
              </w:rPr>
            </w:pPr>
            <w:r w:rsidRPr="00EC3211">
              <w:t>Nav plānota jaunu institūciju izveide, esošu institūciju likvidācija vai reorganizācija.</w:t>
            </w:r>
          </w:p>
        </w:tc>
      </w:tr>
      <w:tr w:rsidR="005A2444" w:rsidRPr="00EC3211" w:rsidTr="00E1637E">
        <w:tblPrEx>
          <w:tblCellMar>
            <w:left w:w="0" w:type="dxa"/>
            <w:right w:w="0" w:type="dxa"/>
          </w:tblCellMar>
          <w:tblLook w:val="0000" w:firstRow="0" w:lastRow="0" w:firstColumn="0" w:lastColumn="0" w:noHBand="0" w:noVBand="0"/>
        </w:tblPrEx>
        <w:trPr>
          <w:trHeight w:val="351"/>
        </w:trPr>
        <w:tc>
          <w:tcPr>
            <w:tcW w:w="333" w:type="dxa"/>
            <w:gridSpan w:val="2"/>
          </w:tcPr>
          <w:p w:rsidR="005A2444" w:rsidRPr="00EC3211" w:rsidRDefault="005A2444" w:rsidP="003425D3">
            <w:pPr>
              <w:ind w:left="57" w:right="57"/>
              <w:jc w:val="both"/>
              <w:rPr>
                <w:bCs/>
              </w:rPr>
            </w:pPr>
            <w:r w:rsidRPr="00EC3211">
              <w:rPr>
                <w:bCs/>
              </w:rPr>
              <w:t>3.</w:t>
            </w:r>
          </w:p>
        </w:tc>
        <w:tc>
          <w:tcPr>
            <w:tcW w:w="2838" w:type="dxa"/>
            <w:gridSpan w:val="3"/>
          </w:tcPr>
          <w:p w:rsidR="005A2444" w:rsidRPr="00EC3211" w:rsidRDefault="005A2444" w:rsidP="003425D3">
            <w:pPr>
              <w:ind w:left="57" w:right="57"/>
            </w:pPr>
            <w:r w:rsidRPr="00EC3211">
              <w:t>Cita informācija</w:t>
            </w:r>
          </w:p>
        </w:tc>
        <w:tc>
          <w:tcPr>
            <w:tcW w:w="6043" w:type="dxa"/>
            <w:gridSpan w:val="5"/>
          </w:tcPr>
          <w:p w:rsidR="005A2444" w:rsidRPr="00EC3211" w:rsidRDefault="005A2444" w:rsidP="003425D3">
            <w:pPr>
              <w:shd w:val="clear" w:color="auto" w:fill="FFFFFF"/>
              <w:ind w:left="57" w:right="113"/>
              <w:jc w:val="both"/>
            </w:pPr>
            <w:r w:rsidRPr="00EC3211">
              <w:t xml:space="preserve">Nav. </w:t>
            </w:r>
          </w:p>
        </w:tc>
      </w:tr>
    </w:tbl>
    <w:p w:rsidR="00FB4F50" w:rsidRPr="00FB4F50" w:rsidRDefault="00FB4F50" w:rsidP="00FB4F50">
      <w:pPr>
        <w:jc w:val="both"/>
      </w:pPr>
      <w:r w:rsidRPr="00FB4F50">
        <w:rPr>
          <w:i/>
        </w:rPr>
        <w:t>Anotācijas IV sadaļa – projekts š</w:t>
      </w:r>
      <w:r>
        <w:rPr>
          <w:i/>
        </w:rPr>
        <w:t>o</w:t>
      </w:r>
      <w:r w:rsidRPr="00FB4F50">
        <w:rPr>
          <w:i/>
        </w:rPr>
        <w:t xml:space="preserve"> jom</w:t>
      </w:r>
      <w:r>
        <w:rPr>
          <w:i/>
        </w:rPr>
        <w:t>u</w:t>
      </w:r>
      <w:r w:rsidRPr="00FB4F50">
        <w:rPr>
          <w:i/>
        </w:rPr>
        <w:t xml:space="preserve"> neskar.</w:t>
      </w:r>
    </w:p>
    <w:p w:rsidR="00532F38" w:rsidRDefault="00532F38" w:rsidP="00D02ABF">
      <w:pPr>
        <w:jc w:val="both"/>
      </w:pPr>
    </w:p>
    <w:p w:rsidR="00FB4F50" w:rsidRPr="00EC3211" w:rsidRDefault="00FB4F50" w:rsidP="00D02ABF">
      <w:pPr>
        <w:jc w:val="both"/>
      </w:pPr>
    </w:p>
    <w:p w:rsidR="003B7164" w:rsidRPr="00EC3211" w:rsidRDefault="003B7164" w:rsidP="003B7164">
      <w:pPr>
        <w:jc w:val="both"/>
      </w:pPr>
      <w:r w:rsidRPr="00EC3211">
        <w:t xml:space="preserve">Satiksmes </w:t>
      </w:r>
      <w:r w:rsidR="003C4CE9">
        <w:t>ministrs</w:t>
      </w:r>
      <w:r w:rsidR="003C4CE9">
        <w:tab/>
      </w:r>
      <w:r w:rsidR="003C4CE9">
        <w:tab/>
      </w:r>
      <w:r w:rsidR="003C4CE9">
        <w:tab/>
      </w:r>
      <w:r w:rsidR="003C4CE9">
        <w:tab/>
      </w:r>
      <w:r w:rsidR="003C4CE9">
        <w:tab/>
      </w:r>
      <w:r w:rsidR="003C4CE9">
        <w:tab/>
      </w:r>
      <w:r w:rsidR="003C4CE9">
        <w:tab/>
      </w:r>
      <w:proofErr w:type="spellStart"/>
      <w:r w:rsidR="00B7311F" w:rsidRPr="00EC3211">
        <w:t>U.Augulis</w:t>
      </w:r>
      <w:proofErr w:type="spellEnd"/>
    </w:p>
    <w:p w:rsidR="005A2444" w:rsidRPr="00EC3211" w:rsidRDefault="005A2444" w:rsidP="005A2444">
      <w:pPr>
        <w:jc w:val="both"/>
      </w:pPr>
      <w:r w:rsidRPr="00EC3211">
        <w:tab/>
      </w:r>
    </w:p>
    <w:p w:rsidR="003C4CE9" w:rsidRDefault="003C4CE9" w:rsidP="005A2444">
      <w:pPr>
        <w:jc w:val="both"/>
      </w:pPr>
    </w:p>
    <w:p w:rsidR="005A2444" w:rsidRPr="00EC3211" w:rsidRDefault="005A2444" w:rsidP="005A2444">
      <w:pPr>
        <w:jc w:val="both"/>
      </w:pPr>
      <w:r w:rsidRPr="00EC3211">
        <w:t>Vīza:</w:t>
      </w:r>
    </w:p>
    <w:p w:rsidR="003C4CE9" w:rsidRDefault="00800E6A" w:rsidP="005A2444">
      <w:pPr>
        <w:jc w:val="both"/>
      </w:pPr>
      <w:r>
        <w:t>Valsts sekretāra vietā</w:t>
      </w:r>
    </w:p>
    <w:p w:rsidR="005A2444" w:rsidRPr="00EC3211" w:rsidRDefault="003C4CE9" w:rsidP="005A2444">
      <w:pPr>
        <w:jc w:val="both"/>
      </w:pPr>
      <w:r>
        <w:t xml:space="preserve">valsts sekretāra vietniece </w:t>
      </w:r>
      <w:r>
        <w:tab/>
      </w:r>
      <w:r>
        <w:tab/>
      </w:r>
      <w:r>
        <w:tab/>
      </w:r>
      <w:r w:rsidR="005A2444" w:rsidRPr="00EC3211">
        <w:tab/>
      </w:r>
      <w:r w:rsidR="005A2444" w:rsidRPr="00EC3211">
        <w:tab/>
      </w:r>
      <w:r w:rsidR="004768C8" w:rsidRPr="00EC3211">
        <w:tab/>
      </w:r>
      <w:r>
        <w:t>I.Aleksandroviča</w:t>
      </w:r>
    </w:p>
    <w:p w:rsidR="003B7164" w:rsidRPr="00EC3211" w:rsidRDefault="003B7164" w:rsidP="00DB4386">
      <w:pPr>
        <w:pStyle w:val="Header"/>
        <w:tabs>
          <w:tab w:val="clear" w:pos="4153"/>
          <w:tab w:val="clear" w:pos="8306"/>
        </w:tabs>
        <w:rPr>
          <w:lang w:val="lv-LV"/>
        </w:rPr>
      </w:pPr>
      <w:bookmarkStart w:id="1" w:name="_GoBack"/>
      <w:bookmarkEnd w:id="1"/>
    </w:p>
    <w:p w:rsidR="003C4CE9" w:rsidRDefault="003C4CE9" w:rsidP="003B7164">
      <w:pPr>
        <w:pStyle w:val="Header"/>
        <w:tabs>
          <w:tab w:val="clear" w:pos="4153"/>
          <w:tab w:val="clear" w:pos="8306"/>
        </w:tabs>
        <w:rPr>
          <w:sz w:val="20"/>
          <w:szCs w:val="20"/>
          <w:lang w:val="lv-LV"/>
        </w:rPr>
      </w:pPr>
    </w:p>
    <w:p w:rsidR="003B7164" w:rsidRPr="00EC3211" w:rsidRDefault="003C4CE9" w:rsidP="003B7164">
      <w:pPr>
        <w:pStyle w:val="Header"/>
        <w:tabs>
          <w:tab w:val="clear" w:pos="4153"/>
          <w:tab w:val="clear" w:pos="8306"/>
        </w:tabs>
        <w:rPr>
          <w:sz w:val="20"/>
          <w:szCs w:val="20"/>
        </w:rPr>
      </w:pPr>
      <w:r>
        <w:rPr>
          <w:sz w:val="20"/>
          <w:szCs w:val="20"/>
          <w:lang w:val="lv-LV"/>
        </w:rPr>
        <w:t>18</w:t>
      </w:r>
      <w:r w:rsidR="00EC3211">
        <w:rPr>
          <w:sz w:val="20"/>
          <w:szCs w:val="20"/>
          <w:lang w:val="lv-LV"/>
        </w:rPr>
        <w:t>.08</w:t>
      </w:r>
      <w:r w:rsidR="00260DBA" w:rsidRPr="00EC3211">
        <w:rPr>
          <w:sz w:val="20"/>
          <w:szCs w:val="20"/>
          <w:lang w:val="lv-LV"/>
        </w:rPr>
        <w:t>.2016.</w:t>
      </w:r>
      <w:r w:rsidR="003B7164" w:rsidRPr="00EC3211">
        <w:rPr>
          <w:sz w:val="20"/>
          <w:szCs w:val="20"/>
        </w:rPr>
        <w:t xml:space="preserve"> </w:t>
      </w:r>
      <w:r w:rsidR="00EC3211">
        <w:rPr>
          <w:sz w:val="20"/>
          <w:szCs w:val="20"/>
          <w:lang w:val="lv-LV"/>
        </w:rPr>
        <w:t>12</w:t>
      </w:r>
      <w:r w:rsidR="003B7164" w:rsidRPr="00EC3211">
        <w:rPr>
          <w:sz w:val="20"/>
          <w:szCs w:val="20"/>
        </w:rPr>
        <w:t>:00</w:t>
      </w:r>
    </w:p>
    <w:p w:rsidR="003B7164" w:rsidRPr="00EC3211" w:rsidRDefault="00000928" w:rsidP="003B7164">
      <w:pPr>
        <w:pStyle w:val="Header"/>
        <w:tabs>
          <w:tab w:val="clear" w:pos="4153"/>
          <w:tab w:val="clear" w:pos="8306"/>
        </w:tabs>
        <w:rPr>
          <w:sz w:val="20"/>
          <w:szCs w:val="20"/>
          <w:lang w:val="lv-LV"/>
        </w:rPr>
      </w:pPr>
      <w:r w:rsidRPr="00EC3211">
        <w:rPr>
          <w:sz w:val="20"/>
          <w:szCs w:val="20"/>
          <w:lang w:val="lv-LV"/>
        </w:rPr>
        <w:t>5</w:t>
      </w:r>
      <w:r w:rsidR="00DE6B5E">
        <w:rPr>
          <w:sz w:val="20"/>
          <w:szCs w:val="20"/>
          <w:lang w:val="lv-LV"/>
        </w:rPr>
        <w:t>4</w:t>
      </w:r>
      <w:r w:rsidR="000A3219">
        <w:rPr>
          <w:sz w:val="20"/>
          <w:szCs w:val="20"/>
          <w:lang w:val="lv-LV"/>
        </w:rPr>
        <w:t>07</w:t>
      </w:r>
    </w:p>
    <w:p w:rsidR="003B7164" w:rsidRPr="00EC3211" w:rsidRDefault="00EC3211" w:rsidP="003B7164">
      <w:pPr>
        <w:pStyle w:val="Header"/>
        <w:tabs>
          <w:tab w:val="clear" w:pos="4153"/>
          <w:tab w:val="clear" w:pos="8306"/>
        </w:tabs>
        <w:rPr>
          <w:sz w:val="20"/>
          <w:szCs w:val="20"/>
          <w:lang w:val="lv-LV"/>
        </w:rPr>
      </w:pPr>
      <w:r>
        <w:rPr>
          <w:sz w:val="20"/>
          <w:szCs w:val="20"/>
          <w:lang w:val="lv-LV"/>
        </w:rPr>
        <w:t>G.Kupča</w:t>
      </w:r>
      <w:r w:rsidR="003B7164" w:rsidRPr="00EC3211">
        <w:rPr>
          <w:sz w:val="20"/>
          <w:szCs w:val="20"/>
        </w:rPr>
        <w:t>, 67028</w:t>
      </w:r>
      <w:r>
        <w:rPr>
          <w:sz w:val="20"/>
          <w:szCs w:val="20"/>
          <w:lang w:val="lv-LV"/>
        </w:rPr>
        <w:t>023</w:t>
      </w:r>
    </w:p>
    <w:p w:rsidR="003B7164" w:rsidRPr="00655E50" w:rsidRDefault="00EC3211" w:rsidP="003B7164">
      <w:pPr>
        <w:pStyle w:val="Header"/>
        <w:tabs>
          <w:tab w:val="clear" w:pos="4153"/>
          <w:tab w:val="clear" w:pos="8306"/>
        </w:tabs>
        <w:rPr>
          <w:sz w:val="20"/>
          <w:szCs w:val="20"/>
        </w:rPr>
      </w:pPr>
      <w:proofErr w:type="spellStart"/>
      <w:r>
        <w:rPr>
          <w:sz w:val="20"/>
          <w:szCs w:val="20"/>
          <w:lang w:val="lv-LV"/>
        </w:rPr>
        <w:t>Gunita.Kupca</w:t>
      </w:r>
      <w:proofErr w:type="spellEnd"/>
      <w:r w:rsidR="002E3D87" w:rsidRPr="00EC3211">
        <w:rPr>
          <w:sz w:val="20"/>
          <w:szCs w:val="20"/>
          <w:lang w:val="lv-LV"/>
        </w:rPr>
        <w:t xml:space="preserve"> </w:t>
      </w:r>
      <w:r w:rsidR="003B7164" w:rsidRPr="00EC3211">
        <w:rPr>
          <w:sz w:val="20"/>
          <w:szCs w:val="20"/>
        </w:rPr>
        <w:t>@</w:t>
      </w:r>
      <w:proofErr w:type="spellStart"/>
      <w:r w:rsidR="003B7164" w:rsidRPr="00EC3211">
        <w:rPr>
          <w:sz w:val="20"/>
          <w:szCs w:val="20"/>
        </w:rPr>
        <w:t>sam.gov.lv</w:t>
      </w:r>
      <w:proofErr w:type="spellEnd"/>
    </w:p>
    <w:p w:rsidR="003B7164" w:rsidRPr="003B7164" w:rsidRDefault="003B7164" w:rsidP="00DB4386">
      <w:pPr>
        <w:pStyle w:val="Header"/>
        <w:tabs>
          <w:tab w:val="clear" w:pos="4153"/>
          <w:tab w:val="clear" w:pos="8306"/>
        </w:tabs>
      </w:pPr>
    </w:p>
    <w:sectPr w:rsidR="003B7164" w:rsidRPr="003B7164" w:rsidSect="003C4CE9">
      <w:headerReference w:type="default" r:id="rId13"/>
      <w:footerReference w:type="even" r:id="rId14"/>
      <w:footerReference w:type="default" r:id="rId15"/>
      <w:headerReference w:type="first" r:id="rId16"/>
      <w:footerReference w:type="first" r:id="rId17"/>
      <w:pgSz w:w="11906" w:h="16838"/>
      <w:pgMar w:top="1247" w:right="1134" w:bottom="1134" w:left="1588"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E4" w:rsidRDefault="00D719E4">
      <w:r>
        <w:separator/>
      </w:r>
    </w:p>
  </w:endnote>
  <w:endnote w:type="continuationSeparator" w:id="0">
    <w:p w:rsidR="00D719E4" w:rsidRDefault="00D7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E4" w:rsidRPr="00186C21" w:rsidRDefault="00D719E4"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E4" w:rsidRPr="002E311E" w:rsidRDefault="00D719E4" w:rsidP="00BD685E">
    <w:pPr>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800E6A">
      <w:rPr>
        <w:bCs/>
        <w:noProof/>
        <w:sz w:val="20"/>
        <w:szCs w:val="20"/>
      </w:rPr>
      <w:t>SAMAnot_6142_18082016</w:t>
    </w:r>
    <w:r>
      <w:rPr>
        <w:bCs/>
        <w:sz w:val="20"/>
        <w:szCs w:val="20"/>
      </w:rPr>
      <w:fldChar w:fldCharType="end"/>
    </w:r>
    <w:r w:rsidRPr="00475E8C">
      <w:rPr>
        <w:bCs/>
        <w:sz w:val="20"/>
        <w:szCs w:val="20"/>
      </w:rPr>
      <w:t xml:space="preserve">; </w:t>
    </w:r>
    <w:r w:rsidRPr="00E1637E">
      <w:rPr>
        <w:bCs/>
        <w:sz w:val="20"/>
        <w:szCs w:val="20"/>
      </w:rPr>
      <w:t>Ministru kabineta noteikumu projekta “Darbības programmas "Izaugsme un nodarbinātība" 6.1.4. specifiskā atbalsta mērķa "Pilsētu infrastruktūras sasaiste ar TEN-T tīklu” 6.1.4.</w:t>
    </w:r>
    <w:r>
      <w:rPr>
        <w:bCs/>
        <w:sz w:val="20"/>
        <w:szCs w:val="20"/>
      </w:rPr>
      <w:t>2</w:t>
    </w:r>
    <w:r w:rsidRPr="00E1637E">
      <w:rPr>
        <w:bCs/>
        <w:sz w:val="20"/>
        <w:szCs w:val="20"/>
      </w:rPr>
      <w:t>.pasākuma „</w:t>
    </w:r>
    <w:r w:rsidRPr="006E7709">
      <w:rPr>
        <w:bCs/>
        <w:sz w:val="20"/>
        <w:szCs w:val="20"/>
      </w:rPr>
      <w:t>Nacionālas nozīmes attīstības centru integrēšana TEN-T tīklā</w:t>
    </w:r>
    <w:r w:rsidRPr="00E1637E">
      <w:rPr>
        <w:bCs/>
        <w:sz w:val="20"/>
        <w:szCs w:val="20"/>
      </w:rPr>
      <w:t>” īstenošanas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E4" w:rsidRPr="00330635" w:rsidRDefault="00D719E4" w:rsidP="00E1637E">
    <w:pPr>
      <w:jc w:val="both"/>
      <w:rPr>
        <w:b/>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800E6A">
      <w:rPr>
        <w:bCs/>
        <w:noProof/>
        <w:sz w:val="20"/>
        <w:szCs w:val="20"/>
      </w:rPr>
      <w:t>SAMAnot_6142_18082016</w:t>
    </w:r>
    <w:r>
      <w:rPr>
        <w:bCs/>
        <w:sz w:val="20"/>
        <w:szCs w:val="20"/>
      </w:rPr>
      <w:fldChar w:fldCharType="end"/>
    </w:r>
    <w:r w:rsidRPr="00475E8C">
      <w:rPr>
        <w:bCs/>
        <w:sz w:val="20"/>
        <w:szCs w:val="20"/>
      </w:rPr>
      <w:t xml:space="preserve">; </w:t>
    </w:r>
    <w:r w:rsidRPr="00E1637E">
      <w:rPr>
        <w:bCs/>
        <w:sz w:val="20"/>
        <w:szCs w:val="20"/>
      </w:rPr>
      <w:t>Ministru kabineta noteikumu projekta “Darbības programmas "Izaugsme un nodarbinātība" 6.1.4. specifiskā atbalsta mērķa "Pilsētu infrastruktūras sasaiste ar TEN-T tīklu” 6.1.4.</w:t>
    </w:r>
    <w:r>
      <w:rPr>
        <w:bCs/>
        <w:sz w:val="20"/>
        <w:szCs w:val="20"/>
      </w:rPr>
      <w:t>2</w:t>
    </w:r>
    <w:r w:rsidRPr="00E1637E">
      <w:rPr>
        <w:bCs/>
        <w:sz w:val="20"/>
        <w:szCs w:val="20"/>
      </w:rPr>
      <w:t>.pasākuma „</w:t>
    </w:r>
    <w:r w:rsidRPr="00E662A1">
      <w:rPr>
        <w:bCs/>
        <w:sz w:val="20"/>
        <w:szCs w:val="20"/>
      </w:rPr>
      <w:t>Nacionālas nozīmes attīstības centru integrēšana TEN-T tīklā</w:t>
    </w:r>
    <w:r>
      <w:rPr>
        <w:bCs/>
        <w:sz w:val="20"/>
        <w:szCs w:val="20"/>
      </w:rPr>
      <w:t xml:space="preserve"> </w:t>
    </w:r>
    <w:r w:rsidRPr="00E1637E">
      <w:rPr>
        <w:bCs/>
        <w:sz w:val="20"/>
        <w:szCs w:val="20"/>
      </w:rPr>
      <w:t>”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E4" w:rsidRDefault="00D719E4">
      <w:r>
        <w:separator/>
      </w:r>
    </w:p>
  </w:footnote>
  <w:footnote w:type="continuationSeparator" w:id="0">
    <w:p w:rsidR="00D719E4" w:rsidRDefault="00D71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E4" w:rsidRDefault="00D719E4"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E6A">
      <w:rPr>
        <w:rStyle w:val="PageNumber"/>
        <w:noProof/>
      </w:rPr>
      <w:t>18</w:t>
    </w:r>
    <w:r>
      <w:rPr>
        <w:rStyle w:val="PageNumber"/>
      </w:rPr>
      <w:fldChar w:fldCharType="end"/>
    </w:r>
  </w:p>
  <w:p w:rsidR="00D719E4" w:rsidRDefault="00D71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E4" w:rsidRDefault="00D719E4"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C51"/>
    <w:multiLevelType w:val="multilevel"/>
    <w:tmpl w:val="46B29C6A"/>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B91182"/>
    <w:multiLevelType w:val="hybridMultilevel"/>
    <w:tmpl w:val="52B0B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916CD4"/>
    <w:multiLevelType w:val="hybridMultilevel"/>
    <w:tmpl w:val="D3ACE5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DA3FA5"/>
    <w:multiLevelType w:val="hybridMultilevel"/>
    <w:tmpl w:val="CCB6E9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17F1274E"/>
    <w:multiLevelType w:val="hybridMultilevel"/>
    <w:tmpl w:val="2E7801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nsid w:val="1E3061AB"/>
    <w:multiLevelType w:val="hybridMultilevel"/>
    <w:tmpl w:val="3DE027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8E62A3"/>
    <w:multiLevelType w:val="hybridMultilevel"/>
    <w:tmpl w:val="ADCAB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3A27E29"/>
    <w:multiLevelType w:val="hybridMultilevel"/>
    <w:tmpl w:val="EED0464C"/>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9606006"/>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nsid w:val="4E6A791F"/>
    <w:multiLevelType w:val="hybridMultilevel"/>
    <w:tmpl w:val="BA82C1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nsid w:val="50687981"/>
    <w:multiLevelType w:val="hybridMultilevel"/>
    <w:tmpl w:val="3F4A7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A7A3523"/>
    <w:multiLevelType w:val="hybridMultilevel"/>
    <w:tmpl w:val="0A7440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12C2F23"/>
    <w:multiLevelType w:val="hybridMultilevel"/>
    <w:tmpl w:val="FEA81666"/>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1FD7243"/>
    <w:multiLevelType w:val="hybridMultilevel"/>
    <w:tmpl w:val="82568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4CA6112"/>
    <w:multiLevelType w:val="hybridMultilevel"/>
    <w:tmpl w:val="282A1C82"/>
    <w:lvl w:ilvl="0" w:tplc="EE8C0A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BF2710D"/>
    <w:multiLevelType w:val="hybridMultilevel"/>
    <w:tmpl w:val="7D967D5C"/>
    <w:lvl w:ilvl="0" w:tplc="18467494">
      <w:numFmt w:val="bullet"/>
      <w:lvlText w:val="-"/>
      <w:lvlJc w:val="left"/>
      <w:pPr>
        <w:ind w:left="777" w:hanging="360"/>
      </w:pPr>
      <w:rPr>
        <w:rFonts w:ascii="Calibri" w:eastAsia="Calibri" w:hAnsi="Calibri" w:cs="Calibri"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1">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nsid w:val="73025726"/>
    <w:multiLevelType w:val="hybridMultilevel"/>
    <w:tmpl w:val="3E549C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19"/>
  </w:num>
  <w:num w:numId="2">
    <w:abstractNumId w:val="14"/>
  </w:num>
  <w:num w:numId="3">
    <w:abstractNumId w:val="12"/>
  </w:num>
  <w:num w:numId="4">
    <w:abstractNumId w:val="17"/>
  </w:num>
  <w:num w:numId="5">
    <w:abstractNumId w:val="32"/>
  </w:num>
  <w:num w:numId="6">
    <w:abstractNumId w:val="6"/>
  </w:num>
  <w:num w:numId="7">
    <w:abstractNumId w:val="24"/>
  </w:num>
  <w:num w:numId="8">
    <w:abstractNumId w:val="22"/>
  </w:num>
  <w:num w:numId="9">
    <w:abstractNumId w:val="13"/>
  </w:num>
  <w:num w:numId="10">
    <w:abstractNumId w:val="11"/>
  </w:num>
  <w:num w:numId="11">
    <w:abstractNumId w:val="5"/>
  </w:num>
  <w:num w:numId="12">
    <w:abstractNumId w:val="34"/>
  </w:num>
  <w:num w:numId="13">
    <w:abstractNumId w:val="31"/>
  </w:num>
  <w:num w:numId="14">
    <w:abstractNumId w:val="8"/>
  </w:num>
  <w:num w:numId="15">
    <w:abstractNumId w:val="10"/>
  </w:num>
  <w:num w:numId="16">
    <w:abstractNumId w:val="18"/>
  </w:num>
  <w:num w:numId="17">
    <w:abstractNumId w:val="20"/>
  </w:num>
  <w:num w:numId="18">
    <w:abstractNumId w:val="29"/>
  </w:num>
  <w:num w:numId="19">
    <w:abstractNumId w:val="21"/>
  </w:num>
  <w:num w:numId="20">
    <w:abstractNumId w:val="33"/>
  </w:num>
  <w:num w:numId="21">
    <w:abstractNumId w:val="9"/>
  </w:num>
  <w:num w:numId="22">
    <w:abstractNumId w:val="3"/>
  </w:num>
  <w:num w:numId="23">
    <w:abstractNumId w:val="16"/>
  </w:num>
  <w:num w:numId="24">
    <w:abstractNumId w:val="4"/>
  </w:num>
  <w:num w:numId="25">
    <w:abstractNumId w:val="25"/>
  </w:num>
  <w:num w:numId="26">
    <w:abstractNumId w:val="7"/>
  </w:num>
  <w:num w:numId="27">
    <w:abstractNumId w:val="23"/>
  </w:num>
  <w:num w:numId="28">
    <w:abstractNumId w:val="28"/>
  </w:num>
  <w:num w:numId="29">
    <w:abstractNumId w:val="15"/>
  </w:num>
  <w:num w:numId="30">
    <w:abstractNumId w:val="1"/>
  </w:num>
  <w:num w:numId="31">
    <w:abstractNumId w:val="26"/>
  </w:num>
  <w:num w:numId="32">
    <w:abstractNumId w:val="2"/>
  </w:num>
  <w:num w:numId="33">
    <w:abstractNumId w:val="30"/>
  </w:num>
  <w:num w:numId="34">
    <w:abstractNumId w:val="0"/>
  </w:num>
  <w:num w:numId="3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2F4"/>
    <w:rsid w:val="0000076B"/>
    <w:rsid w:val="00000928"/>
    <w:rsid w:val="00000A3B"/>
    <w:rsid w:val="00002171"/>
    <w:rsid w:val="00002E0E"/>
    <w:rsid w:val="00002FAA"/>
    <w:rsid w:val="00003A26"/>
    <w:rsid w:val="000043B8"/>
    <w:rsid w:val="00005549"/>
    <w:rsid w:val="000069F6"/>
    <w:rsid w:val="000070AB"/>
    <w:rsid w:val="000079FC"/>
    <w:rsid w:val="00010130"/>
    <w:rsid w:val="0001036C"/>
    <w:rsid w:val="00010917"/>
    <w:rsid w:val="0001150B"/>
    <w:rsid w:val="00011D21"/>
    <w:rsid w:val="00011F50"/>
    <w:rsid w:val="000121C3"/>
    <w:rsid w:val="000126CC"/>
    <w:rsid w:val="00014091"/>
    <w:rsid w:val="00016A4F"/>
    <w:rsid w:val="00016DB8"/>
    <w:rsid w:val="00016FFA"/>
    <w:rsid w:val="00022649"/>
    <w:rsid w:val="00023A5E"/>
    <w:rsid w:val="00025475"/>
    <w:rsid w:val="00025982"/>
    <w:rsid w:val="00025D9F"/>
    <w:rsid w:val="000271A0"/>
    <w:rsid w:val="000276C4"/>
    <w:rsid w:val="00030A1C"/>
    <w:rsid w:val="00031401"/>
    <w:rsid w:val="00031531"/>
    <w:rsid w:val="00032C84"/>
    <w:rsid w:val="00032CC9"/>
    <w:rsid w:val="00033622"/>
    <w:rsid w:val="00033962"/>
    <w:rsid w:val="00033BE2"/>
    <w:rsid w:val="00033F89"/>
    <w:rsid w:val="00034BAC"/>
    <w:rsid w:val="00036D56"/>
    <w:rsid w:val="00037EA8"/>
    <w:rsid w:val="0004167A"/>
    <w:rsid w:val="00041DD0"/>
    <w:rsid w:val="00042368"/>
    <w:rsid w:val="00042DDF"/>
    <w:rsid w:val="00043C55"/>
    <w:rsid w:val="00046B88"/>
    <w:rsid w:val="000501E1"/>
    <w:rsid w:val="000503D4"/>
    <w:rsid w:val="00053475"/>
    <w:rsid w:val="00053E06"/>
    <w:rsid w:val="00053EC6"/>
    <w:rsid w:val="0005552D"/>
    <w:rsid w:val="00056289"/>
    <w:rsid w:val="00057D58"/>
    <w:rsid w:val="000600BF"/>
    <w:rsid w:val="00061BA5"/>
    <w:rsid w:val="00062143"/>
    <w:rsid w:val="000624F1"/>
    <w:rsid w:val="000627E5"/>
    <w:rsid w:val="000643D4"/>
    <w:rsid w:val="000648AC"/>
    <w:rsid w:val="00064C5E"/>
    <w:rsid w:val="0006611D"/>
    <w:rsid w:val="000663AF"/>
    <w:rsid w:val="000671DF"/>
    <w:rsid w:val="000706BF"/>
    <w:rsid w:val="00072F20"/>
    <w:rsid w:val="0007632A"/>
    <w:rsid w:val="00076497"/>
    <w:rsid w:val="00081113"/>
    <w:rsid w:val="000817DA"/>
    <w:rsid w:val="00083A4D"/>
    <w:rsid w:val="00084A32"/>
    <w:rsid w:val="00085C7A"/>
    <w:rsid w:val="00086AFF"/>
    <w:rsid w:val="0008752E"/>
    <w:rsid w:val="00090507"/>
    <w:rsid w:val="0009178C"/>
    <w:rsid w:val="00093676"/>
    <w:rsid w:val="0009448B"/>
    <w:rsid w:val="00094926"/>
    <w:rsid w:val="00095292"/>
    <w:rsid w:val="000952A1"/>
    <w:rsid w:val="00095DF5"/>
    <w:rsid w:val="0009607B"/>
    <w:rsid w:val="00096395"/>
    <w:rsid w:val="0009693B"/>
    <w:rsid w:val="000A03A6"/>
    <w:rsid w:val="000A2823"/>
    <w:rsid w:val="000A2C7F"/>
    <w:rsid w:val="000A3219"/>
    <w:rsid w:val="000A423C"/>
    <w:rsid w:val="000A4A6B"/>
    <w:rsid w:val="000A534A"/>
    <w:rsid w:val="000A79AB"/>
    <w:rsid w:val="000B09AD"/>
    <w:rsid w:val="000B1CC4"/>
    <w:rsid w:val="000B3C07"/>
    <w:rsid w:val="000B3E3D"/>
    <w:rsid w:val="000B4274"/>
    <w:rsid w:val="000B46E1"/>
    <w:rsid w:val="000B744A"/>
    <w:rsid w:val="000B74F2"/>
    <w:rsid w:val="000B7AB5"/>
    <w:rsid w:val="000C0D7A"/>
    <w:rsid w:val="000C0F79"/>
    <w:rsid w:val="000C1255"/>
    <w:rsid w:val="000C1E77"/>
    <w:rsid w:val="000C5B0E"/>
    <w:rsid w:val="000C65C0"/>
    <w:rsid w:val="000C65E0"/>
    <w:rsid w:val="000D0DCE"/>
    <w:rsid w:val="000D1838"/>
    <w:rsid w:val="000D26FF"/>
    <w:rsid w:val="000D2C17"/>
    <w:rsid w:val="000D2E24"/>
    <w:rsid w:val="000D2FA6"/>
    <w:rsid w:val="000D37A9"/>
    <w:rsid w:val="000D3D70"/>
    <w:rsid w:val="000D4C0B"/>
    <w:rsid w:val="000D4C0F"/>
    <w:rsid w:val="000D4D64"/>
    <w:rsid w:val="000D4FE2"/>
    <w:rsid w:val="000D51C1"/>
    <w:rsid w:val="000D5611"/>
    <w:rsid w:val="000D5891"/>
    <w:rsid w:val="000D7999"/>
    <w:rsid w:val="000E120B"/>
    <w:rsid w:val="000E1E10"/>
    <w:rsid w:val="000E2161"/>
    <w:rsid w:val="000E327F"/>
    <w:rsid w:val="000E4430"/>
    <w:rsid w:val="000E4BEE"/>
    <w:rsid w:val="000E5231"/>
    <w:rsid w:val="000E5BDF"/>
    <w:rsid w:val="000E6573"/>
    <w:rsid w:val="000E6952"/>
    <w:rsid w:val="000E6B86"/>
    <w:rsid w:val="000F0578"/>
    <w:rsid w:val="000F06A3"/>
    <w:rsid w:val="000F0C52"/>
    <w:rsid w:val="000F0E3B"/>
    <w:rsid w:val="000F31F3"/>
    <w:rsid w:val="000F4DC7"/>
    <w:rsid w:val="000F4F3B"/>
    <w:rsid w:val="000F56A7"/>
    <w:rsid w:val="000F608A"/>
    <w:rsid w:val="000F6AD5"/>
    <w:rsid w:val="000F7584"/>
    <w:rsid w:val="000F7ABF"/>
    <w:rsid w:val="001004CE"/>
    <w:rsid w:val="00100D7C"/>
    <w:rsid w:val="00101253"/>
    <w:rsid w:val="00102912"/>
    <w:rsid w:val="001037F8"/>
    <w:rsid w:val="001039F0"/>
    <w:rsid w:val="00103A6C"/>
    <w:rsid w:val="00104292"/>
    <w:rsid w:val="00104E5A"/>
    <w:rsid w:val="00104E6E"/>
    <w:rsid w:val="00105319"/>
    <w:rsid w:val="00110FF3"/>
    <w:rsid w:val="00111123"/>
    <w:rsid w:val="0011299A"/>
    <w:rsid w:val="00112F49"/>
    <w:rsid w:val="00113A11"/>
    <w:rsid w:val="00114592"/>
    <w:rsid w:val="0011584F"/>
    <w:rsid w:val="0011770F"/>
    <w:rsid w:val="00120ACA"/>
    <w:rsid w:val="00121D4F"/>
    <w:rsid w:val="00121F0F"/>
    <w:rsid w:val="001221A7"/>
    <w:rsid w:val="00122CD7"/>
    <w:rsid w:val="001238E0"/>
    <w:rsid w:val="001246EA"/>
    <w:rsid w:val="00124D8E"/>
    <w:rsid w:val="00124F0E"/>
    <w:rsid w:val="00125297"/>
    <w:rsid w:val="00126C02"/>
    <w:rsid w:val="00127F18"/>
    <w:rsid w:val="001315F8"/>
    <w:rsid w:val="001316CF"/>
    <w:rsid w:val="001320BC"/>
    <w:rsid w:val="001333C1"/>
    <w:rsid w:val="00133C20"/>
    <w:rsid w:val="001356F7"/>
    <w:rsid w:val="00136085"/>
    <w:rsid w:val="00136B1B"/>
    <w:rsid w:val="001372A6"/>
    <w:rsid w:val="001404C5"/>
    <w:rsid w:val="001408A3"/>
    <w:rsid w:val="001418C6"/>
    <w:rsid w:val="00141D62"/>
    <w:rsid w:val="001428A9"/>
    <w:rsid w:val="00142AEA"/>
    <w:rsid w:val="0014304D"/>
    <w:rsid w:val="00144810"/>
    <w:rsid w:val="00144BF2"/>
    <w:rsid w:val="0014605B"/>
    <w:rsid w:val="00151034"/>
    <w:rsid w:val="00152051"/>
    <w:rsid w:val="00152A3B"/>
    <w:rsid w:val="0015323A"/>
    <w:rsid w:val="00153A20"/>
    <w:rsid w:val="00153AEE"/>
    <w:rsid w:val="00154352"/>
    <w:rsid w:val="001556AE"/>
    <w:rsid w:val="00155D30"/>
    <w:rsid w:val="0015709E"/>
    <w:rsid w:val="001576FE"/>
    <w:rsid w:val="00160162"/>
    <w:rsid w:val="00160B8F"/>
    <w:rsid w:val="00160C06"/>
    <w:rsid w:val="00161A23"/>
    <w:rsid w:val="00161F2B"/>
    <w:rsid w:val="00162E94"/>
    <w:rsid w:val="00162EED"/>
    <w:rsid w:val="00162EF1"/>
    <w:rsid w:val="00163EB4"/>
    <w:rsid w:val="001670AA"/>
    <w:rsid w:val="00167647"/>
    <w:rsid w:val="00167959"/>
    <w:rsid w:val="00171627"/>
    <w:rsid w:val="00171A8B"/>
    <w:rsid w:val="001725AE"/>
    <w:rsid w:val="00173726"/>
    <w:rsid w:val="00173C1D"/>
    <w:rsid w:val="001748EB"/>
    <w:rsid w:val="001750CD"/>
    <w:rsid w:val="00175636"/>
    <w:rsid w:val="00176350"/>
    <w:rsid w:val="00177068"/>
    <w:rsid w:val="00180BDE"/>
    <w:rsid w:val="0018515C"/>
    <w:rsid w:val="0018741E"/>
    <w:rsid w:val="001875CD"/>
    <w:rsid w:val="00190F47"/>
    <w:rsid w:val="001913BD"/>
    <w:rsid w:val="001918FC"/>
    <w:rsid w:val="001934C4"/>
    <w:rsid w:val="00193810"/>
    <w:rsid w:val="001957D8"/>
    <w:rsid w:val="00195D1F"/>
    <w:rsid w:val="0019632B"/>
    <w:rsid w:val="00196F87"/>
    <w:rsid w:val="001979DD"/>
    <w:rsid w:val="00197B1E"/>
    <w:rsid w:val="00197DF9"/>
    <w:rsid w:val="001A09C5"/>
    <w:rsid w:val="001A1B44"/>
    <w:rsid w:val="001A1FFB"/>
    <w:rsid w:val="001A2959"/>
    <w:rsid w:val="001A2DC9"/>
    <w:rsid w:val="001A3AAE"/>
    <w:rsid w:val="001A3B59"/>
    <w:rsid w:val="001A5627"/>
    <w:rsid w:val="001A5867"/>
    <w:rsid w:val="001A665B"/>
    <w:rsid w:val="001A756C"/>
    <w:rsid w:val="001B0A1F"/>
    <w:rsid w:val="001B129E"/>
    <w:rsid w:val="001B2391"/>
    <w:rsid w:val="001B2891"/>
    <w:rsid w:val="001B2B6D"/>
    <w:rsid w:val="001B34B2"/>
    <w:rsid w:val="001B4A33"/>
    <w:rsid w:val="001B50DE"/>
    <w:rsid w:val="001B54B1"/>
    <w:rsid w:val="001B5BD2"/>
    <w:rsid w:val="001B6148"/>
    <w:rsid w:val="001B6264"/>
    <w:rsid w:val="001B688B"/>
    <w:rsid w:val="001B7CB1"/>
    <w:rsid w:val="001C00DD"/>
    <w:rsid w:val="001C1418"/>
    <w:rsid w:val="001C1A57"/>
    <w:rsid w:val="001C363B"/>
    <w:rsid w:val="001C36E1"/>
    <w:rsid w:val="001C4291"/>
    <w:rsid w:val="001C5252"/>
    <w:rsid w:val="001C53BB"/>
    <w:rsid w:val="001C5FC3"/>
    <w:rsid w:val="001C70DA"/>
    <w:rsid w:val="001C7257"/>
    <w:rsid w:val="001C7285"/>
    <w:rsid w:val="001D0A43"/>
    <w:rsid w:val="001D2003"/>
    <w:rsid w:val="001D2BED"/>
    <w:rsid w:val="001D2C76"/>
    <w:rsid w:val="001D2F71"/>
    <w:rsid w:val="001D4894"/>
    <w:rsid w:val="001D54BD"/>
    <w:rsid w:val="001D5DA0"/>
    <w:rsid w:val="001D5FE3"/>
    <w:rsid w:val="001D623A"/>
    <w:rsid w:val="001D74C3"/>
    <w:rsid w:val="001E05C0"/>
    <w:rsid w:val="001E065F"/>
    <w:rsid w:val="001E0A0F"/>
    <w:rsid w:val="001E1862"/>
    <w:rsid w:val="001E1D73"/>
    <w:rsid w:val="001E228E"/>
    <w:rsid w:val="001E3361"/>
    <w:rsid w:val="001E6375"/>
    <w:rsid w:val="001F14FA"/>
    <w:rsid w:val="001F2E31"/>
    <w:rsid w:val="001F34E6"/>
    <w:rsid w:val="001F3D4C"/>
    <w:rsid w:val="001F4DB2"/>
    <w:rsid w:val="001F4DD8"/>
    <w:rsid w:val="001F5063"/>
    <w:rsid w:val="001F595C"/>
    <w:rsid w:val="001F5B35"/>
    <w:rsid w:val="001F7306"/>
    <w:rsid w:val="001F7AF3"/>
    <w:rsid w:val="0020001C"/>
    <w:rsid w:val="00202DA4"/>
    <w:rsid w:val="002030DB"/>
    <w:rsid w:val="0020342E"/>
    <w:rsid w:val="00203CCC"/>
    <w:rsid w:val="00206342"/>
    <w:rsid w:val="00206722"/>
    <w:rsid w:val="00207072"/>
    <w:rsid w:val="00207B52"/>
    <w:rsid w:val="0021057B"/>
    <w:rsid w:val="002116BD"/>
    <w:rsid w:val="00212218"/>
    <w:rsid w:val="00214225"/>
    <w:rsid w:val="00214F0B"/>
    <w:rsid w:val="0021747A"/>
    <w:rsid w:val="002202EA"/>
    <w:rsid w:val="002205EB"/>
    <w:rsid w:val="00222172"/>
    <w:rsid w:val="00222C27"/>
    <w:rsid w:val="0022510B"/>
    <w:rsid w:val="002305A8"/>
    <w:rsid w:val="002316A2"/>
    <w:rsid w:val="002317EA"/>
    <w:rsid w:val="00232AEE"/>
    <w:rsid w:val="00232E9F"/>
    <w:rsid w:val="00234F2B"/>
    <w:rsid w:val="00235496"/>
    <w:rsid w:val="00240EAE"/>
    <w:rsid w:val="002413A6"/>
    <w:rsid w:val="00241BC8"/>
    <w:rsid w:val="002421F8"/>
    <w:rsid w:val="00244398"/>
    <w:rsid w:val="002463FA"/>
    <w:rsid w:val="00246F31"/>
    <w:rsid w:val="002472B1"/>
    <w:rsid w:val="00250146"/>
    <w:rsid w:val="00250D09"/>
    <w:rsid w:val="002510E3"/>
    <w:rsid w:val="002512B4"/>
    <w:rsid w:val="0025164C"/>
    <w:rsid w:val="002539BA"/>
    <w:rsid w:val="00254323"/>
    <w:rsid w:val="00254CDC"/>
    <w:rsid w:val="00255E6A"/>
    <w:rsid w:val="00255FB7"/>
    <w:rsid w:val="00255FEF"/>
    <w:rsid w:val="0025707A"/>
    <w:rsid w:val="00260DBA"/>
    <w:rsid w:val="00262EAE"/>
    <w:rsid w:val="002636FC"/>
    <w:rsid w:val="002641A5"/>
    <w:rsid w:val="00265B3F"/>
    <w:rsid w:val="0026696E"/>
    <w:rsid w:val="002673AF"/>
    <w:rsid w:val="00267768"/>
    <w:rsid w:val="00267907"/>
    <w:rsid w:val="00267CEE"/>
    <w:rsid w:val="002703C7"/>
    <w:rsid w:val="002706A1"/>
    <w:rsid w:val="00271D95"/>
    <w:rsid w:val="0027270B"/>
    <w:rsid w:val="002732E7"/>
    <w:rsid w:val="00273339"/>
    <w:rsid w:val="002737E1"/>
    <w:rsid w:val="0027380B"/>
    <w:rsid w:val="00273F81"/>
    <w:rsid w:val="00275FF8"/>
    <w:rsid w:val="00277ACD"/>
    <w:rsid w:val="00280927"/>
    <w:rsid w:val="00281736"/>
    <w:rsid w:val="00282093"/>
    <w:rsid w:val="0028403E"/>
    <w:rsid w:val="00285F34"/>
    <w:rsid w:val="002919D2"/>
    <w:rsid w:val="00291E5B"/>
    <w:rsid w:val="002924D8"/>
    <w:rsid w:val="00293318"/>
    <w:rsid w:val="00293548"/>
    <w:rsid w:val="0029357C"/>
    <w:rsid w:val="0029375C"/>
    <w:rsid w:val="00293BE3"/>
    <w:rsid w:val="00293BEA"/>
    <w:rsid w:val="0029550B"/>
    <w:rsid w:val="00295C0A"/>
    <w:rsid w:val="00295DB8"/>
    <w:rsid w:val="00296AB3"/>
    <w:rsid w:val="002976ED"/>
    <w:rsid w:val="002A1416"/>
    <w:rsid w:val="002A15BE"/>
    <w:rsid w:val="002A1D97"/>
    <w:rsid w:val="002A30E6"/>
    <w:rsid w:val="002A37F4"/>
    <w:rsid w:val="002A3FAF"/>
    <w:rsid w:val="002B0E58"/>
    <w:rsid w:val="002B18A5"/>
    <w:rsid w:val="002B43A8"/>
    <w:rsid w:val="002B4865"/>
    <w:rsid w:val="002B49EC"/>
    <w:rsid w:val="002B4A30"/>
    <w:rsid w:val="002B4D5F"/>
    <w:rsid w:val="002B530C"/>
    <w:rsid w:val="002B5A2C"/>
    <w:rsid w:val="002B5C90"/>
    <w:rsid w:val="002B628A"/>
    <w:rsid w:val="002B6636"/>
    <w:rsid w:val="002B6ECB"/>
    <w:rsid w:val="002B746F"/>
    <w:rsid w:val="002C2219"/>
    <w:rsid w:val="002C2341"/>
    <w:rsid w:val="002C2730"/>
    <w:rsid w:val="002C2A3D"/>
    <w:rsid w:val="002C3B13"/>
    <w:rsid w:val="002C3ED3"/>
    <w:rsid w:val="002C5C63"/>
    <w:rsid w:val="002C6683"/>
    <w:rsid w:val="002C752A"/>
    <w:rsid w:val="002C7B42"/>
    <w:rsid w:val="002D1242"/>
    <w:rsid w:val="002D1AAA"/>
    <w:rsid w:val="002D370A"/>
    <w:rsid w:val="002D4311"/>
    <w:rsid w:val="002D5603"/>
    <w:rsid w:val="002D78A9"/>
    <w:rsid w:val="002D7B4D"/>
    <w:rsid w:val="002E0B99"/>
    <w:rsid w:val="002E16F0"/>
    <w:rsid w:val="002E1A3E"/>
    <w:rsid w:val="002E20F7"/>
    <w:rsid w:val="002E311E"/>
    <w:rsid w:val="002E3D87"/>
    <w:rsid w:val="002E4119"/>
    <w:rsid w:val="002E4AC5"/>
    <w:rsid w:val="002E6DE2"/>
    <w:rsid w:val="002E7246"/>
    <w:rsid w:val="002F0429"/>
    <w:rsid w:val="002F5BDF"/>
    <w:rsid w:val="002F6F80"/>
    <w:rsid w:val="002F7067"/>
    <w:rsid w:val="00302228"/>
    <w:rsid w:val="00303A7F"/>
    <w:rsid w:val="003046B0"/>
    <w:rsid w:val="00304D05"/>
    <w:rsid w:val="003066F2"/>
    <w:rsid w:val="00306BDD"/>
    <w:rsid w:val="00306C1E"/>
    <w:rsid w:val="003078D0"/>
    <w:rsid w:val="003112BD"/>
    <w:rsid w:val="0031255F"/>
    <w:rsid w:val="003134F0"/>
    <w:rsid w:val="00314552"/>
    <w:rsid w:val="00315B99"/>
    <w:rsid w:val="00316DEF"/>
    <w:rsid w:val="0032076E"/>
    <w:rsid w:val="00320DEC"/>
    <w:rsid w:val="00322AB4"/>
    <w:rsid w:val="00323828"/>
    <w:rsid w:val="00323B3C"/>
    <w:rsid w:val="00324557"/>
    <w:rsid w:val="00324C72"/>
    <w:rsid w:val="003251E1"/>
    <w:rsid w:val="003258F1"/>
    <w:rsid w:val="00325C75"/>
    <w:rsid w:val="003260B6"/>
    <w:rsid w:val="00326A33"/>
    <w:rsid w:val="00326FA6"/>
    <w:rsid w:val="0032708F"/>
    <w:rsid w:val="00330635"/>
    <w:rsid w:val="00330C43"/>
    <w:rsid w:val="003316CA"/>
    <w:rsid w:val="00332436"/>
    <w:rsid w:val="0033321E"/>
    <w:rsid w:val="0033342E"/>
    <w:rsid w:val="00334AA3"/>
    <w:rsid w:val="00334B92"/>
    <w:rsid w:val="00334E9C"/>
    <w:rsid w:val="00335CC7"/>
    <w:rsid w:val="003370CF"/>
    <w:rsid w:val="003375DA"/>
    <w:rsid w:val="00340A6F"/>
    <w:rsid w:val="0034204D"/>
    <w:rsid w:val="003425D3"/>
    <w:rsid w:val="00342E1B"/>
    <w:rsid w:val="00343528"/>
    <w:rsid w:val="00343A05"/>
    <w:rsid w:val="00344178"/>
    <w:rsid w:val="00345AC5"/>
    <w:rsid w:val="00347231"/>
    <w:rsid w:val="0034764F"/>
    <w:rsid w:val="0034786E"/>
    <w:rsid w:val="00347D73"/>
    <w:rsid w:val="003500FA"/>
    <w:rsid w:val="0035093B"/>
    <w:rsid w:val="003537E3"/>
    <w:rsid w:val="00354D2B"/>
    <w:rsid w:val="00354E26"/>
    <w:rsid w:val="00360258"/>
    <w:rsid w:val="0036081C"/>
    <w:rsid w:val="00360930"/>
    <w:rsid w:val="00360CDE"/>
    <w:rsid w:val="00362B4E"/>
    <w:rsid w:val="00363297"/>
    <w:rsid w:val="00363641"/>
    <w:rsid w:val="00364748"/>
    <w:rsid w:val="00364F6F"/>
    <w:rsid w:val="00365127"/>
    <w:rsid w:val="00366D85"/>
    <w:rsid w:val="003678BE"/>
    <w:rsid w:val="00367A68"/>
    <w:rsid w:val="00371BE2"/>
    <w:rsid w:val="003726D0"/>
    <w:rsid w:val="00372913"/>
    <w:rsid w:val="00373043"/>
    <w:rsid w:val="003743B1"/>
    <w:rsid w:val="003772FE"/>
    <w:rsid w:val="00380E07"/>
    <w:rsid w:val="0038152E"/>
    <w:rsid w:val="003838CA"/>
    <w:rsid w:val="0038424B"/>
    <w:rsid w:val="00384935"/>
    <w:rsid w:val="00384F30"/>
    <w:rsid w:val="0038574C"/>
    <w:rsid w:val="00385C2A"/>
    <w:rsid w:val="00387089"/>
    <w:rsid w:val="003908DB"/>
    <w:rsid w:val="00391449"/>
    <w:rsid w:val="00392E82"/>
    <w:rsid w:val="003933E9"/>
    <w:rsid w:val="003934B8"/>
    <w:rsid w:val="00393D05"/>
    <w:rsid w:val="003942BF"/>
    <w:rsid w:val="00394C33"/>
    <w:rsid w:val="00396C15"/>
    <w:rsid w:val="00397D44"/>
    <w:rsid w:val="00397F02"/>
    <w:rsid w:val="003A0C47"/>
    <w:rsid w:val="003A1E14"/>
    <w:rsid w:val="003A2154"/>
    <w:rsid w:val="003A251B"/>
    <w:rsid w:val="003A2A13"/>
    <w:rsid w:val="003A340D"/>
    <w:rsid w:val="003A4AC8"/>
    <w:rsid w:val="003A6127"/>
    <w:rsid w:val="003A6729"/>
    <w:rsid w:val="003A683E"/>
    <w:rsid w:val="003A6AB4"/>
    <w:rsid w:val="003B0AA0"/>
    <w:rsid w:val="003B31CD"/>
    <w:rsid w:val="003B39A6"/>
    <w:rsid w:val="003B45FA"/>
    <w:rsid w:val="003B4632"/>
    <w:rsid w:val="003B52ED"/>
    <w:rsid w:val="003B5DAC"/>
    <w:rsid w:val="003B601E"/>
    <w:rsid w:val="003B7164"/>
    <w:rsid w:val="003B7C62"/>
    <w:rsid w:val="003C2574"/>
    <w:rsid w:val="003C2797"/>
    <w:rsid w:val="003C2DA4"/>
    <w:rsid w:val="003C39F1"/>
    <w:rsid w:val="003C4CE9"/>
    <w:rsid w:val="003C5675"/>
    <w:rsid w:val="003C5D25"/>
    <w:rsid w:val="003C6CB6"/>
    <w:rsid w:val="003C6E0F"/>
    <w:rsid w:val="003C7725"/>
    <w:rsid w:val="003C7C96"/>
    <w:rsid w:val="003D0DC1"/>
    <w:rsid w:val="003D2917"/>
    <w:rsid w:val="003D2C52"/>
    <w:rsid w:val="003D3ADD"/>
    <w:rsid w:val="003D3DC7"/>
    <w:rsid w:val="003D42F9"/>
    <w:rsid w:val="003D61AC"/>
    <w:rsid w:val="003D720D"/>
    <w:rsid w:val="003D7231"/>
    <w:rsid w:val="003D7DB0"/>
    <w:rsid w:val="003E035B"/>
    <w:rsid w:val="003E4701"/>
    <w:rsid w:val="003E5656"/>
    <w:rsid w:val="003E5C83"/>
    <w:rsid w:val="003E6E46"/>
    <w:rsid w:val="003E73BB"/>
    <w:rsid w:val="003E755C"/>
    <w:rsid w:val="003F1B8F"/>
    <w:rsid w:val="003F222E"/>
    <w:rsid w:val="003F24CB"/>
    <w:rsid w:val="003F373D"/>
    <w:rsid w:val="003F3DFF"/>
    <w:rsid w:val="003F41B5"/>
    <w:rsid w:val="003F60F0"/>
    <w:rsid w:val="0040028C"/>
    <w:rsid w:val="0040030D"/>
    <w:rsid w:val="00400D2F"/>
    <w:rsid w:val="00400FD8"/>
    <w:rsid w:val="00401FC2"/>
    <w:rsid w:val="00403BD2"/>
    <w:rsid w:val="004045C7"/>
    <w:rsid w:val="0040527C"/>
    <w:rsid w:val="0040559D"/>
    <w:rsid w:val="00405B29"/>
    <w:rsid w:val="00405BCB"/>
    <w:rsid w:val="004062BF"/>
    <w:rsid w:val="00406797"/>
    <w:rsid w:val="004069C1"/>
    <w:rsid w:val="004110C4"/>
    <w:rsid w:val="004126DA"/>
    <w:rsid w:val="00413696"/>
    <w:rsid w:val="0041659D"/>
    <w:rsid w:val="00417D87"/>
    <w:rsid w:val="00420255"/>
    <w:rsid w:val="0042049C"/>
    <w:rsid w:val="004227C9"/>
    <w:rsid w:val="00422B49"/>
    <w:rsid w:val="00424C64"/>
    <w:rsid w:val="00425B84"/>
    <w:rsid w:val="00425FF2"/>
    <w:rsid w:val="004265AE"/>
    <w:rsid w:val="00426A4A"/>
    <w:rsid w:val="00427036"/>
    <w:rsid w:val="0042766C"/>
    <w:rsid w:val="00431C6A"/>
    <w:rsid w:val="00431F6D"/>
    <w:rsid w:val="00432594"/>
    <w:rsid w:val="00433222"/>
    <w:rsid w:val="00434181"/>
    <w:rsid w:val="004345E6"/>
    <w:rsid w:val="00434BD4"/>
    <w:rsid w:val="00435601"/>
    <w:rsid w:val="004359E1"/>
    <w:rsid w:val="00435B0F"/>
    <w:rsid w:val="004365FE"/>
    <w:rsid w:val="00437EB4"/>
    <w:rsid w:val="004405B1"/>
    <w:rsid w:val="004422C3"/>
    <w:rsid w:val="004437F3"/>
    <w:rsid w:val="004446E7"/>
    <w:rsid w:val="00445707"/>
    <w:rsid w:val="00445972"/>
    <w:rsid w:val="004459CA"/>
    <w:rsid w:val="0044757A"/>
    <w:rsid w:val="004477A8"/>
    <w:rsid w:val="0045164A"/>
    <w:rsid w:val="00452232"/>
    <w:rsid w:val="00452937"/>
    <w:rsid w:val="00453898"/>
    <w:rsid w:val="00453CB7"/>
    <w:rsid w:val="0045431F"/>
    <w:rsid w:val="0045457B"/>
    <w:rsid w:val="00454890"/>
    <w:rsid w:val="00454A09"/>
    <w:rsid w:val="004565EC"/>
    <w:rsid w:val="00456E1D"/>
    <w:rsid w:val="004603AF"/>
    <w:rsid w:val="0046091D"/>
    <w:rsid w:val="004625A7"/>
    <w:rsid w:val="004646EA"/>
    <w:rsid w:val="004647C0"/>
    <w:rsid w:val="00464EF7"/>
    <w:rsid w:val="004650F8"/>
    <w:rsid w:val="00465CD8"/>
    <w:rsid w:val="0046732D"/>
    <w:rsid w:val="00467EA6"/>
    <w:rsid w:val="00467F49"/>
    <w:rsid w:val="0047025D"/>
    <w:rsid w:val="00470CB0"/>
    <w:rsid w:val="004712DE"/>
    <w:rsid w:val="00471474"/>
    <w:rsid w:val="004719BD"/>
    <w:rsid w:val="0047237C"/>
    <w:rsid w:val="00473898"/>
    <w:rsid w:val="00473AFD"/>
    <w:rsid w:val="00473EE9"/>
    <w:rsid w:val="00474E65"/>
    <w:rsid w:val="00475999"/>
    <w:rsid w:val="00475E8C"/>
    <w:rsid w:val="00476144"/>
    <w:rsid w:val="004768C8"/>
    <w:rsid w:val="004773BC"/>
    <w:rsid w:val="004773F2"/>
    <w:rsid w:val="004803A0"/>
    <w:rsid w:val="0048128A"/>
    <w:rsid w:val="00482E5C"/>
    <w:rsid w:val="004830E5"/>
    <w:rsid w:val="00483994"/>
    <w:rsid w:val="00484D6F"/>
    <w:rsid w:val="00485372"/>
    <w:rsid w:val="0048582F"/>
    <w:rsid w:val="00485857"/>
    <w:rsid w:val="00486163"/>
    <w:rsid w:val="004867DC"/>
    <w:rsid w:val="00490BC2"/>
    <w:rsid w:val="00491A53"/>
    <w:rsid w:val="00491FFA"/>
    <w:rsid w:val="00492817"/>
    <w:rsid w:val="00493E59"/>
    <w:rsid w:val="004943B2"/>
    <w:rsid w:val="0049492A"/>
    <w:rsid w:val="004960DD"/>
    <w:rsid w:val="004971FF"/>
    <w:rsid w:val="00497B1B"/>
    <w:rsid w:val="004A02E3"/>
    <w:rsid w:val="004A0A47"/>
    <w:rsid w:val="004A2C0D"/>
    <w:rsid w:val="004A3D81"/>
    <w:rsid w:val="004A42D9"/>
    <w:rsid w:val="004A4EFE"/>
    <w:rsid w:val="004A570F"/>
    <w:rsid w:val="004A7AF2"/>
    <w:rsid w:val="004A7FFE"/>
    <w:rsid w:val="004B0CAD"/>
    <w:rsid w:val="004B16F6"/>
    <w:rsid w:val="004B1C26"/>
    <w:rsid w:val="004B38D7"/>
    <w:rsid w:val="004B3F98"/>
    <w:rsid w:val="004B4564"/>
    <w:rsid w:val="004B4BD9"/>
    <w:rsid w:val="004B4DE9"/>
    <w:rsid w:val="004B5F41"/>
    <w:rsid w:val="004C1386"/>
    <w:rsid w:val="004C1F15"/>
    <w:rsid w:val="004C25C3"/>
    <w:rsid w:val="004C7CB9"/>
    <w:rsid w:val="004C7D56"/>
    <w:rsid w:val="004C7DDE"/>
    <w:rsid w:val="004D1A8D"/>
    <w:rsid w:val="004D3C11"/>
    <w:rsid w:val="004D3C8A"/>
    <w:rsid w:val="004D3D5A"/>
    <w:rsid w:val="004D470B"/>
    <w:rsid w:val="004D5490"/>
    <w:rsid w:val="004D6201"/>
    <w:rsid w:val="004D74C1"/>
    <w:rsid w:val="004E0320"/>
    <w:rsid w:val="004E03A5"/>
    <w:rsid w:val="004E1136"/>
    <w:rsid w:val="004E2585"/>
    <w:rsid w:val="004E2A2E"/>
    <w:rsid w:val="004E2A88"/>
    <w:rsid w:val="004E4568"/>
    <w:rsid w:val="004E5360"/>
    <w:rsid w:val="004E5DB4"/>
    <w:rsid w:val="004E62C3"/>
    <w:rsid w:val="004F0AC4"/>
    <w:rsid w:val="004F1462"/>
    <w:rsid w:val="004F171B"/>
    <w:rsid w:val="004F1BAE"/>
    <w:rsid w:val="004F1BD3"/>
    <w:rsid w:val="004F38FE"/>
    <w:rsid w:val="004F3D3F"/>
    <w:rsid w:val="004F6878"/>
    <w:rsid w:val="004F7D9F"/>
    <w:rsid w:val="005011A8"/>
    <w:rsid w:val="00501B84"/>
    <w:rsid w:val="00502855"/>
    <w:rsid w:val="00504A57"/>
    <w:rsid w:val="00504C88"/>
    <w:rsid w:val="00504DE4"/>
    <w:rsid w:val="005050DC"/>
    <w:rsid w:val="0050586E"/>
    <w:rsid w:val="00505D48"/>
    <w:rsid w:val="005065E4"/>
    <w:rsid w:val="00506F73"/>
    <w:rsid w:val="00512138"/>
    <w:rsid w:val="00513D72"/>
    <w:rsid w:val="00513EF3"/>
    <w:rsid w:val="00514837"/>
    <w:rsid w:val="00514E3B"/>
    <w:rsid w:val="00515068"/>
    <w:rsid w:val="00515B13"/>
    <w:rsid w:val="00515DF1"/>
    <w:rsid w:val="00517502"/>
    <w:rsid w:val="00517CFE"/>
    <w:rsid w:val="0052015A"/>
    <w:rsid w:val="00521613"/>
    <w:rsid w:val="00521703"/>
    <w:rsid w:val="00522A63"/>
    <w:rsid w:val="00522B58"/>
    <w:rsid w:val="00524E89"/>
    <w:rsid w:val="00526830"/>
    <w:rsid w:val="00526FD3"/>
    <w:rsid w:val="00527678"/>
    <w:rsid w:val="00527E26"/>
    <w:rsid w:val="00530CD0"/>
    <w:rsid w:val="005314D4"/>
    <w:rsid w:val="00531C22"/>
    <w:rsid w:val="00532B55"/>
    <w:rsid w:val="00532F38"/>
    <w:rsid w:val="0053322A"/>
    <w:rsid w:val="005339A0"/>
    <w:rsid w:val="00535EB4"/>
    <w:rsid w:val="00535FD6"/>
    <w:rsid w:val="00536E0E"/>
    <w:rsid w:val="005370F6"/>
    <w:rsid w:val="005377FD"/>
    <w:rsid w:val="00537BF9"/>
    <w:rsid w:val="00537E16"/>
    <w:rsid w:val="00540260"/>
    <w:rsid w:val="00541FD4"/>
    <w:rsid w:val="00542270"/>
    <w:rsid w:val="00543C2C"/>
    <w:rsid w:val="00543C82"/>
    <w:rsid w:val="00544306"/>
    <w:rsid w:val="00544366"/>
    <w:rsid w:val="00545335"/>
    <w:rsid w:val="00545540"/>
    <w:rsid w:val="00545601"/>
    <w:rsid w:val="0054651E"/>
    <w:rsid w:val="00546C98"/>
    <w:rsid w:val="00547711"/>
    <w:rsid w:val="00550A7B"/>
    <w:rsid w:val="00551742"/>
    <w:rsid w:val="00551C99"/>
    <w:rsid w:val="00551D01"/>
    <w:rsid w:val="00552BEC"/>
    <w:rsid w:val="0055324A"/>
    <w:rsid w:val="00553708"/>
    <w:rsid w:val="00554AB1"/>
    <w:rsid w:val="00555A9D"/>
    <w:rsid w:val="00555AA0"/>
    <w:rsid w:val="005576B0"/>
    <w:rsid w:val="005608E2"/>
    <w:rsid w:val="0056422C"/>
    <w:rsid w:val="00564473"/>
    <w:rsid w:val="0056472D"/>
    <w:rsid w:val="00565507"/>
    <w:rsid w:val="0056563D"/>
    <w:rsid w:val="00566497"/>
    <w:rsid w:val="005670FE"/>
    <w:rsid w:val="005677D8"/>
    <w:rsid w:val="005708D1"/>
    <w:rsid w:val="0057235E"/>
    <w:rsid w:val="00572523"/>
    <w:rsid w:val="00573772"/>
    <w:rsid w:val="005739B0"/>
    <w:rsid w:val="00575299"/>
    <w:rsid w:val="005762AA"/>
    <w:rsid w:val="00576865"/>
    <w:rsid w:val="00576CE2"/>
    <w:rsid w:val="0057743E"/>
    <w:rsid w:val="005775BF"/>
    <w:rsid w:val="00577679"/>
    <w:rsid w:val="00580A61"/>
    <w:rsid w:val="0058130D"/>
    <w:rsid w:val="00582658"/>
    <w:rsid w:val="00582C52"/>
    <w:rsid w:val="00582EF1"/>
    <w:rsid w:val="005855B0"/>
    <w:rsid w:val="0058586D"/>
    <w:rsid w:val="00586D51"/>
    <w:rsid w:val="005908C8"/>
    <w:rsid w:val="00590C28"/>
    <w:rsid w:val="00591A64"/>
    <w:rsid w:val="005921A0"/>
    <w:rsid w:val="00593014"/>
    <w:rsid w:val="005931E7"/>
    <w:rsid w:val="00593E1A"/>
    <w:rsid w:val="00595346"/>
    <w:rsid w:val="00595E70"/>
    <w:rsid w:val="00595FF7"/>
    <w:rsid w:val="00596457"/>
    <w:rsid w:val="005A016F"/>
    <w:rsid w:val="005A0E62"/>
    <w:rsid w:val="005A10FB"/>
    <w:rsid w:val="005A1DB8"/>
    <w:rsid w:val="005A2057"/>
    <w:rsid w:val="005A2444"/>
    <w:rsid w:val="005A6A6F"/>
    <w:rsid w:val="005A7553"/>
    <w:rsid w:val="005B11E3"/>
    <w:rsid w:val="005B13AF"/>
    <w:rsid w:val="005B26BE"/>
    <w:rsid w:val="005B348C"/>
    <w:rsid w:val="005B3E05"/>
    <w:rsid w:val="005B4971"/>
    <w:rsid w:val="005B4C38"/>
    <w:rsid w:val="005B582E"/>
    <w:rsid w:val="005B64ED"/>
    <w:rsid w:val="005B66B2"/>
    <w:rsid w:val="005B702B"/>
    <w:rsid w:val="005B7A2B"/>
    <w:rsid w:val="005C009E"/>
    <w:rsid w:val="005C03CF"/>
    <w:rsid w:val="005C04AE"/>
    <w:rsid w:val="005C060F"/>
    <w:rsid w:val="005C0957"/>
    <w:rsid w:val="005C1C2D"/>
    <w:rsid w:val="005C3E23"/>
    <w:rsid w:val="005C446A"/>
    <w:rsid w:val="005D0433"/>
    <w:rsid w:val="005D127A"/>
    <w:rsid w:val="005D1819"/>
    <w:rsid w:val="005D3B53"/>
    <w:rsid w:val="005D4C9A"/>
    <w:rsid w:val="005D56A8"/>
    <w:rsid w:val="005D5A73"/>
    <w:rsid w:val="005D70B9"/>
    <w:rsid w:val="005E056F"/>
    <w:rsid w:val="005E1459"/>
    <w:rsid w:val="005E32F2"/>
    <w:rsid w:val="005E3B05"/>
    <w:rsid w:val="005E527A"/>
    <w:rsid w:val="005E716D"/>
    <w:rsid w:val="005E73D4"/>
    <w:rsid w:val="005E78C9"/>
    <w:rsid w:val="005E7925"/>
    <w:rsid w:val="005F0C1C"/>
    <w:rsid w:val="005F3977"/>
    <w:rsid w:val="005F5523"/>
    <w:rsid w:val="005F6EB1"/>
    <w:rsid w:val="006010A6"/>
    <w:rsid w:val="00601522"/>
    <w:rsid w:val="006024FB"/>
    <w:rsid w:val="00602506"/>
    <w:rsid w:val="00602C7A"/>
    <w:rsid w:val="006030D6"/>
    <w:rsid w:val="006034F9"/>
    <w:rsid w:val="00604B03"/>
    <w:rsid w:val="00606BA7"/>
    <w:rsid w:val="00606D36"/>
    <w:rsid w:val="00607C2F"/>
    <w:rsid w:val="006100BF"/>
    <w:rsid w:val="00610740"/>
    <w:rsid w:val="00611B04"/>
    <w:rsid w:val="00612807"/>
    <w:rsid w:val="00614A1B"/>
    <w:rsid w:val="006159B1"/>
    <w:rsid w:val="0061651A"/>
    <w:rsid w:val="006166C4"/>
    <w:rsid w:val="006168D2"/>
    <w:rsid w:val="006177B3"/>
    <w:rsid w:val="006203D0"/>
    <w:rsid w:val="006222A8"/>
    <w:rsid w:val="006225E8"/>
    <w:rsid w:val="00624E1D"/>
    <w:rsid w:val="00630B3B"/>
    <w:rsid w:val="006310E2"/>
    <w:rsid w:val="00631240"/>
    <w:rsid w:val="0063145B"/>
    <w:rsid w:val="00631FB8"/>
    <w:rsid w:val="0063246A"/>
    <w:rsid w:val="00632612"/>
    <w:rsid w:val="00633F09"/>
    <w:rsid w:val="0063453D"/>
    <w:rsid w:val="00634856"/>
    <w:rsid w:val="006354BD"/>
    <w:rsid w:val="00637115"/>
    <w:rsid w:val="00637FFA"/>
    <w:rsid w:val="0064001D"/>
    <w:rsid w:val="00641C03"/>
    <w:rsid w:val="00642B0A"/>
    <w:rsid w:val="006439F4"/>
    <w:rsid w:val="006441C8"/>
    <w:rsid w:val="00644460"/>
    <w:rsid w:val="00646646"/>
    <w:rsid w:val="0064679C"/>
    <w:rsid w:val="00650359"/>
    <w:rsid w:val="00651B99"/>
    <w:rsid w:val="00652571"/>
    <w:rsid w:val="00652E55"/>
    <w:rsid w:val="00653DE8"/>
    <w:rsid w:val="006542E4"/>
    <w:rsid w:val="006554D4"/>
    <w:rsid w:val="00655A09"/>
    <w:rsid w:val="00655E50"/>
    <w:rsid w:val="00660212"/>
    <w:rsid w:val="006606B4"/>
    <w:rsid w:val="006616E0"/>
    <w:rsid w:val="006617F1"/>
    <w:rsid w:val="006627C1"/>
    <w:rsid w:val="00662B5B"/>
    <w:rsid w:val="00662BC4"/>
    <w:rsid w:val="00664249"/>
    <w:rsid w:val="006659BF"/>
    <w:rsid w:val="00665CB3"/>
    <w:rsid w:val="00666AD8"/>
    <w:rsid w:val="00666D36"/>
    <w:rsid w:val="00667716"/>
    <w:rsid w:val="00667E66"/>
    <w:rsid w:val="006711A9"/>
    <w:rsid w:val="00671392"/>
    <w:rsid w:val="006718EF"/>
    <w:rsid w:val="0067262A"/>
    <w:rsid w:val="00672E8C"/>
    <w:rsid w:val="00673B77"/>
    <w:rsid w:val="00675847"/>
    <w:rsid w:val="00676D30"/>
    <w:rsid w:val="00677826"/>
    <w:rsid w:val="006806C4"/>
    <w:rsid w:val="0068314C"/>
    <w:rsid w:val="00683E2E"/>
    <w:rsid w:val="0068454C"/>
    <w:rsid w:val="00684D37"/>
    <w:rsid w:val="00684FAF"/>
    <w:rsid w:val="00685FBC"/>
    <w:rsid w:val="00686C26"/>
    <w:rsid w:val="0068787E"/>
    <w:rsid w:val="00687E19"/>
    <w:rsid w:val="00687FA7"/>
    <w:rsid w:val="00690170"/>
    <w:rsid w:val="006918A2"/>
    <w:rsid w:val="00692584"/>
    <w:rsid w:val="0069386D"/>
    <w:rsid w:val="00693999"/>
    <w:rsid w:val="00694261"/>
    <w:rsid w:val="00694B9C"/>
    <w:rsid w:val="0069543C"/>
    <w:rsid w:val="0069709D"/>
    <w:rsid w:val="00697523"/>
    <w:rsid w:val="006A10CA"/>
    <w:rsid w:val="006A25EB"/>
    <w:rsid w:val="006A2B4E"/>
    <w:rsid w:val="006A33E2"/>
    <w:rsid w:val="006A3444"/>
    <w:rsid w:val="006A36D0"/>
    <w:rsid w:val="006A3BA8"/>
    <w:rsid w:val="006A48D9"/>
    <w:rsid w:val="006A5FDF"/>
    <w:rsid w:val="006A7163"/>
    <w:rsid w:val="006A7B8C"/>
    <w:rsid w:val="006B13B3"/>
    <w:rsid w:val="006B2982"/>
    <w:rsid w:val="006B4218"/>
    <w:rsid w:val="006B4D9B"/>
    <w:rsid w:val="006B55C3"/>
    <w:rsid w:val="006C02B7"/>
    <w:rsid w:val="006C0713"/>
    <w:rsid w:val="006C14DD"/>
    <w:rsid w:val="006C36E9"/>
    <w:rsid w:val="006C3AD3"/>
    <w:rsid w:val="006C3EDF"/>
    <w:rsid w:val="006C451E"/>
    <w:rsid w:val="006C4A73"/>
    <w:rsid w:val="006C6368"/>
    <w:rsid w:val="006D04E8"/>
    <w:rsid w:val="006D0523"/>
    <w:rsid w:val="006D1EED"/>
    <w:rsid w:val="006D2391"/>
    <w:rsid w:val="006D2742"/>
    <w:rsid w:val="006D2DAA"/>
    <w:rsid w:val="006D360A"/>
    <w:rsid w:val="006D4A39"/>
    <w:rsid w:val="006D4F76"/>
    <w:rsid w:val="006D5416"/>
    <w:rsid w:val="006D56C7"/>
    <w:rsid w:val="006E1351"/>
    <w:rsid w:val="006E1A40"/>
    <w:rsid w:val="006E1CD3"/>
    <w:rsid w:val="006E1FDA"/>
    <w:rsid w:val="006E2371"/>
    <w:rsid w:val="006E33D3"/>
    <w:rsid w:val="006E381C"/>
    <w:rsid w:val="006E39D0"/>
    <w:rsid w:val="006E3A79"/>
    <w:rsid w:val="006E41E2"/>
    <w:rsid w:val="006E4338"/>
    <w:rsid w:val="006E4AF4"/>
    <w:rsid w:val="006E4CE1"/>
    <w:rsid w:val="006E5C28"/>
    <w:rsid w:val="006E654C"/>
    <w:rsid w:val="006E685A"/>
    <w:rsid w:val="006E7709"/>
    <w:rsid w:val="006E7917"/>
    <w:rsid w:val="006F0F9F"/>
    <w:rsid w:val="006F39F6"/>
    <w:rsid w:val="006F3AEB"/>
    <w:rsid w:val="006F4417"/>
    <w:rsid w:val="006F5701"/>
    <w:rsid w:val="006F6858"/>
    <w:rsid w:val="007002DF"/>
    <w:rsid w:val="00700931"/>
    <w:rsid w:val="0070131C"/>
    <w:rsid w:val="00701815"/>
    <w:rsid w:val="00702183"/>
    <w:rsid w:val="007021FA"/>
    <w:rsid w:val="00702642"/>
    <w:rsid w:val="007032A7"/>
    <w:rsid w:val="007045F4"/>
    <w:rsid w:val="007054E5"/>
    <w:rsid w:val="007068EB"/>
    <w:rsid w:val="007070A7"/>
    <w:rsid w:val="007070BD"/>
    <w:rsid w:val="0071135F"/>
    <w:rsid w:val="007113F9"/>
    <w:rsid w:val="007117AB"/>
    <w:rsid w:val="00712125"/>
    <w:rsid w:val="0071382C"/>
    <w:rsid w:val="00713CA6"/>
    <w:rsid w:val="00715246"/>
    <w:rsid w:val="0071583D"/>
    <w:rsid w:val="00716CB3"/>
    <w:rsid w:val="00716DF3"/>
    <w:rsid w:val="00717E52"/>
    <w:rsid w:val="00723A83"/>
    <w:rsid w:val="00724E9D"/>
    <w:rsid w:val="007252A5"/>
    <w:rsid w:val="0072584B"/>
    <w:rsid w:val="00725D61"/>
    <w:rsid w:val="00727A98"/>
    <w:rsid w:val="00735728"/>
    <w:rsid w:val="0073661B"/>
    <w:rsid w:val="007373D3"/>
    <w:rsid w:val="00737E7E"/>
    <w:rsid w:val="00740EE9"/>
    <w:rsid w:val="007410CF"/>
    <w:rsid w:val="0074134C"/>
    <w:rsid w:val="00743536"/>
    <w:rsid w:val="00743680"/>
    <w:rsid w:val="00743C29"/>
    <w:rsid w:val="0074525F"/>
    <w:rsid w:val="0074534E"/>
    <w:rsid w:val="007453F7"/>
    <w:rsid w:val="00746D0C"/>
    <w:rsid w:val="00747929"/>
    <w:rsid w:val="007509A3"/>
    <w:rsid w:val="00752E42"/>
    <w:rsid w:val="00752F9F"/>
    <w:rsid w:val="00753FC7"/>
    <w:rsid w:val="007541B3"/>
    <w:rsid w:val="00754355"/>
    <w:rsid w:val="0075444B"/>
    <w:rsid w:val="00755239"/>
    <w:rsid w:val="00756366"/>
    <w:rsid w:val="00761602"/>
    <w:rsid w:val="007626DA"/>
    <w:rsid w:val="00763A6A"/>
    <w:rsid w:val="00763E53"/>
    <w:rsid w:val="007650F5"/>
    <w:rsid w:val="00765144"/>
    <w:rsid w:val="00765AAC"/>
    <w:rsid w:val="0076656A"/>
    <w:rsid w:val="00766D64"/>
    <w:rsid w:val="0076779A"/>
    <w:rsid w:val="00767C41"/>
    <w:rsid w:val="00770D75"/>
    <w:rsid w:val="00771694"/>
    <w:rsid w:val="00771758"/>
    <w:rsid w:val="00772941"/>
    <w:rsid w:val="007729DB"/>
    <w:rsid w:val="00773A85"/>
    <w:rsid w:val="00773E94"/>
    <w:rsid w:val="00774CA5"/>
    <w:rsid w:val="00775563"/>
    <w:rsid w:val="007759EA"/>
    <w:rsid w:val="0077707B"/>
    <w:rsid w:val="00777353"/>
    <w:rsid w:val="00777540"/>
    <w:rsid w:val="00777A79"/>
    <w:rsid w:val="007808CD"/>
    <w:rsid w:val="007813AD"/>
    <w:rsid w:val="00781895"/>
    <w:rsid w:val="00781984"/>
    <w:rsid w:val="00781DBD"/>
    <w:rsid w:val="00783BEC"/>
    <w:rsid w:val="0078626F"/>
    <w:rsid w:val="0079068A"/>
    <w:rsid w:val="00790757"/>
    <w:rsid w:val="007908D6"/>
    <w:rsid w:val="00791492"/>
    <w:rsid w:val="0079179D"/>
    <w:rsid w:val="007919B3"/>
    <w:rsid w:val="007923C0"/>
    <w:rsid w:val="00794C94"/>
    <w:rsid w:val="00796848"/>
    <w:rsid w:val="00796A3B"/>
    <w:rsid w:val="0079752F"/>
    <w:rsid w:val="00797630"/>
    <w:rsid w:val="00797F33"/>
    <w:rsid w:val="007A1308"/>
    <w:rsid w:val="007A1722"/>
    <w:rsid w:val="007A3282"/>
    <w:rsid w:val="007A3870"/>
    <w:rsid w:val="007A3DD8"/>
    <w:rsid w:val="007A3E90"/>
    <w:rsid w:val="007A41B7"/>
    <w:rsid w:val="007A547F"/>
    <w:rsid w:val="007A6742"/>
    <w:rsid w:val="007A69F0"/>
    <w:rsid w:val="007A6C6E"/>
    <w:rsid w:val="007B06BE"/>
    <w:rsid w:val="007B08A2"/>
    <w:rsid w:val="007B300C"/>
    <w:rsid w:val="007B3382"/>
    <w:rsid w:val="007B34BD"/>
    <w:rsid w:val="007B4935"/>
    <w:rsid w:val="007B559D"/>
    <w:rsid w:val="007B61B3"/>
    <w:rsid w:val="007B642D"/>
    <w:rsid w:val="007B6A8D"/>
    <w:rsid w:val="007B6B26"/>
    <w:rsid w:val="007B7025"/>
    <w:rsid w:val="007B76F1"/>
    <w:rsid w:val="007B79F6"/>
    <w:rsid w:val="007C089A"/>
    <w:rsid w:val="007C0DCA"/>
    <w:rsid w:val="007C15D4"/>
    <w:rsid w:val="007C337A"/>
    <w:rsid w:val="007C6F56"/>
    <w:rsid w:val="007D1A9C"/>
    <w:rsid w:val="007D23A0"/>
    <w:rsid w:val="007D2880"/>
    <w:rsid w:val="007D2C0A"/>
    <w:rsid w:val="007D34E5"/>
    <w:rsid w:val="007D3894"/>
    <w:rsid w:val="007D39A2"/>
    <w:rsid w:val="007D4587"/>
    <w:rsid w:val="007D467E"/>
    <w:rsid w:val="007D491B"/>
    <w:rsid w:val="007D4A54"/>
    <w:rsid w:val="007D5699"/>
    <w:rsid w:val="007E0232"/>
    <w:rsid w:val="007E02BC"/>
    <w:rsid w:val="007E179A"/>
    <w:rsid w:val="007E2126"/>
    <w:rsid w:val="007E30A6"/>
    <w:rsid w:val="007E41E9"/>
    <w:rsid w:val="007E4BBA"/>
    <w:rsid w:val="007E5013"/>
    <w:rsid w:val="007E5597"/>
    <w:rsid w:val="007E6491"/>
    <w:rsid w:val="007E6B8B"/>
    <w:rsid w:val="007E757C"/>
    <w:rsid w:val="007E7B0F"/>
    <w:rsid w:val="007F33A1"/>
    <w:rsid w:val="007F33BD"/>
    <w:rsid w:val="007F34A1"/>
    <w:rsid w:val="007F34D5"/>
    <w:rsid w:val="007F454D"/>
    <w:rsid w:val="007F52DF"/>
    <w:rsid w:val="007F5FF8"/>
    <w:rsid w:val="007F7144"/>
    <w:rsid w:val="008001BF"/>
    <w:rsid w:val="00800E6A"/>
    <w:rsid w:val="008019F1"/>
    <w:rsid w:val="00801DE0"/>
    <w:rsid w:val="008021ED"/>
    <w:rsid w:val="008025E5"/>
    <w:rsid w:val="00802E25"/>
    <w:rsid w:val="008032CD"/>
    <w:rsid w:val="00804497"/>
    <w:rsid w:val="008052BB"/>
    <w:rsid w:val="008068D5"/>
    <w:rsid w:val="00806F09"/>
    <w:rsid w:val="00807166"/>
    <w:rsid w:val="00807DA5"/>
    <w:rsid w:val="00813BE9"/>
    <w:rsid w:val="00816075"/>
    <w:rsid w:val="00817EFA"/>
    <w:rsid w:val="00822172"/>
    <w:rsid w:val="00825068"/>
    <w:rsid w:val="0083232C"/>
    <w:rsid w:val="008329ED"/>
    <w:rsid w:val="00833C67"/>
    <w:rsid w:val="00833C85"/>
    <w:rsid w:val="0083560F"/>
    <w:rsid w:val="00836FAA"/>
    <w:rsid w:val="0083705C"/>
    <w:rsid w:val="0083732F"/>
    <w:rsid w:val="00842CF0"/>
    <w:rsid w:val="00844F61"/>
    <w:rsid w:val="00845C33"/>
    <w:rsid w:val="0084692A"/>
    <w:rsid w:val="008472AD"/>
    <w:rsid w:val="00847EC7"/>
    <w:rsid w:val="00850210"/>
    <w:rsid w:val="00850B19"/>
    <w:rsid w:val="0085338B"/>
    <w:rsid w:val="008534E1"/>
    <w:rsid w:val="008542CA"/>
    <w:rsid w:val="00854EAD"/>
    <w:rsid w:val="00855F45"/>
    <w:rsid w:val="0085621C"/>
    <w:rsid w:val="008572C2"/>
    <w:rsid w:val="0086037D"/>
    <w:rsid w:val="00860C20"/>
    <w:rsid w:val="0086136A"/>
    <w:rsid w:val="00861F9D"/>
    <w:rsid w:val="0086228E"/>
    <w:rsid w:val="00862D38"/>
    <w:rsid w:val="0086590F"/>
    <w:rsid w:val="00866E4A"/>
    <w:rsid w:val="00866E70"/>
    <w:rsid w:val="00866FDE"/>
    <w:rsid w:val="00867797"/>
    <w:rsid w:val="008679B6"/>
    <w:rsid w:val="00867B85"/>
    <w:rsid w:val="00870CDF"/>
    <w:rsid w:val="0087166A"/>
    <w:rsid w:val="00871DF3"/>
    <w:rsid w:val="00872696"/>
    <w:rsid w:val="00873983"/>
    <w:rsid w:val="00873E4E"/>
    <w:rsid w:val="00873E50"/>
    <w:rsid w:val="0087484E"/>
    <w:rsid w:val="00875F2C"/>
    <w:rsid w:val="00875FC0"/>
    <w:rsid w:val="0087658C"/>
    <w:rsid w:val="00876EFD"/>
    <w:rsid w:val="0087776A"/>
    <w:rsid w:val="0088064A"/>
    <w:rsid w:val="00880BF6"/>
    <w:rsid w:val="00880E65"/>
    <w:rsid w:val="0088122F"/>
    <w:rsid w:val="0088123A"/>
    <w:rsid w:val="00882FF6"/>
    <w:rsid w:val="008838D4"/>
    <w:rsid w:val="008843EF"/>
    <w:rsid w:val="008850E9"/>
    <w:rsid w:val="00886D6F"/>
    <w:rsid w:val="008908B4"/>
    <w:rsid w:val="008927D4"/>
    <w:rsid w:val="00892FF9"/>
    <w:rsid w:val="00893326"/>
    <w:rsid w:val="00893F35"/>
    <w:rsid w:val="00893FBD"/>
    <w:rsid w:val="0089574D"/>
    <w:rsid w:val="00896CFD"/>
    <w:rsid w:val="00896EEF"/>
    <w:rsid w:val="00897E69"/>
    <w:rsid w:val="008A1683"/>
    <w:rsid w:val="008A34DC"/>
    <w:rsid w:val="008A3B06"/>
    <w:rsid w:val="008A3FDC"/>
    <w:rsid w:val="008A43C4"/>
    <w:rsid w:val="008A4E08"/>
    <w:rsid w:val="008A639B"/>
    <w:rsid w:val="008A6430"/>
    <w:rsid w:val="008A6881"/>
    <w:rsid w:val="008A6F39"/>
    <w:rsid w:val="008A7285"/>
    <w:rsid w:val="008B0346"/>
    <w:rsid w:val="008B117A"/>
    <w:rsid w:val="008B2080"/>
    <w:rsid w:val="008B341E"/>
    <w:rsid w:val="008B44C6"/>
    <w:rsid w:val="008B4F71"/>
    <w:rsid w:val="008B73FA"/>
    <w:rsid w:val="008C0689"/>
    <w:rsid w:val="008C099D"/>
    <w:rsid w:val="008C0ED3"/>
    <w:rsid w:val="008C1304"/>
    <w:rsid w:val="008C1D17"/>
    <w:rsid w:val="008C2B98"/>
    <w:rsid w:val="008C2CA0"/>
    <w:rsid w:val="008C474C"/>
    <w:rsid w:val="008C54EA"/>
    <w:rsid w:val="008C70B0"/>
    <w:rsid w:val="008C7460"/>
    <w:rsid w:val="008C7633"/>
    <w:rsid w:val="008D2825"/>
    <w:rsid w:val="008D3142"/>
    <w:rsid w:val="008D37EF"/>
    <w:rsid w:val="008D475E"/>
    <w:rsid w:val="008D4FBF"/>
    <w:rsid w:val="008D64C6"/>
    <w:rsid w:val="008D701B"/>
    <w:rsid w:val="008E105C"/>
    <w:rsid w:val="008E227B"/>
    <w:rsid w:val="008E2886"/>
    <w:rsid w:val="008E38DC"/>
    <w:rsid w:val="008E3B04"/>
    <w:rsid w:val="008E47C8"/>
    <w:rsid w:val="008E49F0"/>
    <w:rsid w:val="008E52AE"/>
    <w:rsid w:val="008E5A0E"/>
    <w:rsid w:val="008E79A9"/>
    <w:rsid w:val="008E7DE2"/>
    <w:rsid w:val="008F01B9"/>
    <w:rsid w:val="008F0AAD"/>
    <w:rsid w:val="008F1412"/>
    <w:rsid w:val="008F1432"/>
    <w:rsid w:val="008F1D55"/>
    <w:rsid w:val="008F23E8"/>
    <w:rsid w:val="008F2574"/>
    <w:rsid w:val="008F5616"/>
    <w:rsid w:val="008F702D"/>
    <w:rsid w:val="008F7D6E"/>
    <w:rsid w:val="00900EA0"/>
    <w:rsid w:val="009028C9"/>
    <w:rsid w:val="0090301A"/>
    <w:rsid w:val="009032A2"/>
    <w:rsid w:val="00905E5B"/>
    <w:rsid w:val="00906B7B"/>
    <w:rsid w:val="00907F21"/>
    <w:rsid w:val="00912151"/>
    <w:rsid w:val="00913446"/>
    <w:rsid w:val="00913472"/>
    <w:rsid w:val="00914C64"/>
    <w:rsid w:val="00915A34"/>
    <w:rsid w:val="009179C9"/>
    <w:rsid w:val="00920F0A"/>
    <w:rsid w:val="00921147"/>
    <w:rsid w:val="0092142B"/>
    <w:rsid w:val="0092249F"/>
    <w:rsid w:val="00922C2C"/>
    <w:rsid w:val="00923280"/>
    <w:rsid w:val="00925022"/>
    <w:rsid w:val="00925454"/>
    <w:rsid w:val="009254F8"/>
    <w:rsid w:val="0092672F"/>
    <w:rsid w:val="009274FB"/>
    <w:rsid w:val="00927E6F"/>
    <w:rsid w:val="009300C1"/>
    <w:rsid w:val="00932DEC"/>
    <w:rsid w:val="00933034"/>
    <w:rsid w:val="00933074"/>
    <w:rsid w:val="00934E3E"/>
    <w:rsid w:val="00935088"/>
    <w:rsid w:val="00935E84"/>
    <w:rsid w:val="00936600"/>
    <w:rsid w:val="00941F50"/>
    <w:rsid w:val="00944CA3"/>
    <w:rsid w:val="00946DBE"/>
    <w:rsid w:val="00946E62"/>
    <w:rsid w:val="00947320"/>
    <w:rsid w:val="009478BE"/>
    <w:rsid w:val="00947CD9"/>
    <w:rsid w:val="0095132D"/>
    <w:rsid w:val="009535C7"/>
    <w:rsid w:val="00953CB4"/>
    <w:rsid w:val="00953F60"/>
    <w:rsid w:val="00954258"/>
    <w:rsid w:val="009550BC"/>
    <w:rsid w:val="00956ACC"/>
    <w:rsid w:val="0096030B"/>
    <w:rsid w:val="00961F6D"/>
    <w:rsid w:val="00962126"/>
    <w:rsid w:val="009623F4"/>
    <w:rsid w:val="00962E64"/>
    <w:rsid w:val="00964C72"/>
    <w:rsid w:val="00965315"/>
    <w:rsid w:val="00965922"/>
    <w:rsid w:val="009663AE"/>
    <w:rsid w:val="0096668D"/>
    <w:rsid w:val="009668FA"/>
    <w:rsid w:val="00966F30"/>
    <w:rsid w:val="00967394"/>
    <w:rsid w:val="009678A7"/>
    <w:rsid w:val="00967A84"/>
    <w:rsid w:val="00970557"/>
    <w:rsid w:val="0097068A"/>
    <w:rsid w:val="00970B84"/>
    <w:rsid w:val="00970E38"/>
    <w:rsid w:val="00971D65"/>
    <w:rsid w:val="00972556"/>
    <w:rsid w:val="009767C5"/>
    <w:rsid w:val="00977044"/>
    <w:rsid w:val="009777FF"/>
    <w:rsid w:val="009813F3"/>
    <w:rsid w:val="00981725"/>
    <w:rsid w:val="00981765"/>
    <w:rsid w:val="0098329A"/>
    <w:rsid w:val="0098397F"/>
    <w:rsid w:val="00983B23"/>
    <w:rsid w:val="00983EEF"/>
    <w:rsid w:val="009840ED"/>
    <w:rsid w:val="0098453C"/>
    <w:rsid w:val="00984E63"/>
    <w:rsid w:val="009850BC"/>
    <w:rsid w:val="009855BC"/>
    <w:rsid w:val="009865D3"/>
    <w:rsid w:val="009905AC"/>
    <w:rsid w:val="009914B7"/>
    <w:rsid w:val="00991CE7"/>
    <w:rsid w:val="00994181"/>
    <w:rsid w:val="00994ECF"/>
    <w:rsid w:val="00995EC2"/>
    <w:rsid w:val="00996FB2"/>
    <w:rsid w:val="0099796D"/>
    <w:rsid w:val="009A059E"/>
    <w:rsid w:val="009A0899"/>
    <w:rsid w:val="009A2735"/>
    <w:rsid w:val="009A3182"/>
    <w:rsid w:val="009A3FDD"/>
    <w:rsid w:val="009A6963"/>
    <w:rsid w:val="009A6C95"/>
    <w:rsid w:val="009B0444"/>
    <w:rsid w:val="009B0952"/>
    <w:rsid w:val="009B229C"/>
    <w:rsid w:val="009B259F"/>
    <w:rsid w:val="009B5186"/>
    <w:rsid w:val="009B52C1"/>
    <w:rsid w:val="009B59CA"/>
    <w:rsid w:val="009B5EBC"/>
    <w:rsid w:val="009B7318"/>
    <w:rsid w:val="009B793E"/>
    <w:rsid w:val="009C0F32"/>
    <w:rsid w:val="009C11AB"/>
    <w:rsid w:val="009C1EC0"/>
    <w:rsid w:val="009C321E"/>
    <w:rsid w:val="009C3FEA"/>
    <w:rsid w:val="009C47EB"/>
    <w:rsid w:val="009C498A"/>
    <w:rsid w:val="009C61B9"/>
    <w:rsid w:val="009C717B"/>
    <w:rsid w:val="009D0470"/>
    <w:rsid w:val="009D0802"/>
    <w:rsid w:val="009D1D41"/>
    <w:rsid w:val="009D2143"/>
    <w:rsid w:val="009D31EF"/>
    <w:rsid w:val="009D4635"/>
    <w:rsid w:val="009D5445"/>
    <w:rsid w:val="009D5626"/>
    <w:rsid w:val="009D60ED"/>
    <w:rsid w:val="009D63FE"/>
    <w:rsid w:val="009E16AA"/>
    <w:rsid w:val="009E2D5F"/>
    <w:rsid w:val="009E314C"/>
    <w:rsid w:val="009E35FD"/>
    <w:rsid w:val="009E3A59"/>
    <w:rsid w:val="009E4632"/>
    <w:rsid w:val="009E538D"/>
    <w:rsid w:val="009E5533"/>
    <w:rsid w:val="009E56AE"/>
    <w:rsid w:val="009E5A05"/>
    <w:rsid w:val="009E6BE3"/>
    <w:rsid w:val="009E6D94"/>
    <w:rsid w:val="009F1310"/>
    <w:rsid w:val="009F1856"/>
    <w:rsid w:val="009F2175"/>
    <w:rsid w:val="009F2919"/>
    <w:rsid w:val="009F2A98"/>
    <w:rsid w:val="009F5004"/>
    <w:rsid w:val="009F50FD"/>
    <w:rsid w:val="009F6FE7"/>
    <w:rsid w:val="009F7C1D"/>
    <w:rsid w:val="00A019DD"/>
    <w:rsid w:val="00A03FDD"/>
    <w:rsid w:val="00A046D0"/>
    <w:rsid w:val="00A04BA4"/>
    <w:rsid w:val="00A04BB2"/>
    <w:rsid w:val="00A05249"/>
    <w:rsid w:val="00A063EF"/>
    <w:rsid w:val="00A0651B"/>
    <w:rsid w:val="00A10E1C"/>
    <w:rsid w:val="00A119C5"/>
    <w:rsid w:val="00A12878"/>
    <w:rsid w:val="00A14660"/>
    <w:rsid w:val="00A146F0"/>
    <w:rsid w:val="00A16034"/>
    <w:rsid w:val="00A17132"/>
    <w:rsid w:val="00A17EE4"/>
    <w:rsid w:val="00A20250"/>
    <w:rsid w:val="00A2209F"/>
    <w:rsid w:val="00A23D77"/>
    <w:rsid w:val="00A2423C"/>
    <w:rsid w:val="00A253BF"/>
    <w:rsid w:val="00A2589E"/>
    <w:rsid w:val="00A26D29"/>
    <w:rsid w:val="00A26DA7"/>
    <w:rsid w:val="00A2712C"/>
    <w:rsid w:val="00A278FB"/>
    <w:rsid w:val="00A2797D"/>
    <w:rsid w:val="00A279D9"/>
    <w:rsid w:val="00A3026A"/>
    <w:rsid w:val="00A304F9"/>
    <w:rsid w:val="00A30D0B"/>
    <w:rsid w:val="00A31A2E"/>
    <w:rsid w:val="00A33041"/>
    <w:rsid w:val="00A3392A"/>
    <w:rsid w:val="00A33CA1"/>
    <w:rsid w:val="00A343AD"/>
    <w:rsid w:val="00A352C6"/>
    <w:rsid w:val="00A3640A"/>
    <w:rsid w:val="00A40705"/>
    <w:rsid w:val="00A416BB"/>
    <w:rsid w:val="00A41820"/>
    <w:rsid w:val="00A428A2"/>
    <w:rsid w:val="00A44070"/>
    <w:rsid w:val="00A44195"/>
    <w:rsid w:val="00A45251"/>
    <w:rsid w:val="00A50676"/>
    <w:rsid w:val="00A508FB"/>
    <w:rsid w:val="00A5416B"/>
    <w:rsid w:val="00A552A2"/>
    <w:rsid w:val="00A56209"/>
    <w:rsid w:val="00A56B1F"/>
    <w:rsid w:val="00A60A37"/>
    <w:rsid w:val="00A60B4E"/>
    <w:rsid w:val="00A60C60"/>
    <w:rsid w:val="00A61866"/>
    <w:rsid w:val="00A61C40"/>
    <w:rsid w:val="00A61DFF"/>
    <w:rsid w:val="00A63F10"/>
    <w:rsid w:val="00A66199"/>
    <w:rsid w:val="00A67C78"/>
    <w:rsid w:val="00A71A45"/>
    <w:rsid w:val="00A724EF"/>
    <w:rsid w:val="00A73D8C"/>
    <w:rsid w:val="00A7446E"/>
    <w:rsid w:val="00A748EE"/>
    <w:rsid w:val="00A7499C"/>
    <w:rsid w:val="00A74A6F"/>
    <w:rsid w:val="00A75566"/>
    <w:rsid w:val="00A761B3"/>
    <w:rsid w:val="00A771F2"/>
    <w:rsid w:val="00A77B83"/>
    <w:rsid w:val="00A807E4"/>
    <w:rsid w:val="00A81715"/>
    <w:rsid w:val="00A81BC0"/>
    <w:rsid w:val="00A82BCE"/>
    <w:rsid w:val="00A8321F"/>
    <w:rsid w:val="00A84BA5"/>
    <w:rsid w:val="00A84D91"/>
    <w:rsid w:val="00A87B9C"/>
    <w:rsid w:val="00A87C09"/>
    <w:rsid w:val="00A908E0"/>
    <w:rsid w:val="00A940F7"/>
    <w:rsid w:val="00A952E2"/>
    <w:rsid w:val="00A956CF"/>
    <w:rsid w:val="00A96EF5"/>
    <w:rsid w:val="00A975EA"/>
    <w:rsid w:val="00AA0057"/>
    <w:rsid w:val="00AA0482"/>
    <w:rsid w:val="00AA1E9E"/>
    <w:rsid w:val="00AA34E2"/>
    <w:rsid w:val="00AA3C8F"/>
    <w:rsid w:val="00AA3C90"/>
    <w:rsid w:val="00AA4448"/>
    <w:rsid w:val="00AA4AB1"/>
    <w:rsid w:val="00AA56D2"/>
    <w:rsid w:val="00AA57CF"/>
    <w:rsid w:val="00AA59D4"/>
    <w:rsid w:val="00AA61D4"/>
    <w:rsid w:val="00AA7959"/>
    <w:rsid w:val="00AB09B4"/>
    <w:rsid w:val="00AB2BAD"/>
    <w:rsid w:val="00AB34CE"/>
    <w:rsid w:val="00AB4076"/>
    <w:rsid w:val="00AB4082"/>
    <w:rsid w:val="00AB4123"/>
    <w:rsid w:val="00AB419D"/>
    <w:rsid w:val="00AB760B"/>
    <w:rsid w:val="00AC0E12"/>
    <w:rsid w:val="00AC1405"/>
    <w:rsid w:val="00AC1B0F"/>
    <w:rsid w:val="00AC217C"/>
    <w:rsid w:val="00AC2E05"/>
    <w:rsid w:val="00AC3C70"/>
    <w:rsid w:val="00AC4893"/>
    <w:rsid w:val="00AC6814"/>
    <w:rsid w:val="00AC718F"/>
    <w:rsid w:val="00AC739B"/>
    <w:rsid w:val="00AC7A4B"/>
    <w:rsid w:val="00AD0CFD"/>
    <w:rsid w:val="00AD21F1"/>
    <w:rsid w:val="00AD4270"/>
    <w:rsid w:val="00AD4816"/>
    <w:rsid w:val="00AD4E42"/>
    <w:rsid w:val="00AD5806"/>
    <w:rsid w:val="00AD59F8"/>
    <w:rsid w:val="00AD5B1F"/>
    <w:rsid w:val="00AD74D3"/>
    <w:rsid w:val="00AD7F47"/>
    <w:rsid w:val="00AE08E4"/>
    <w:rsid w:val="00AE1F2C"/>
    <w:rsid w:val="00AE2C3B"/>
    <w:rsid w:val="00AE2CDE"/>
    <w:rsid w:val="00AE31DE"/>
    <w:rsid w:val="00AE3D65"/>
    <w:rsid w:val="00AE3E9C"/>
    <w:rsid w:val="00AE4B2A"/>
    <w:rsid w:val="00AE5706"/>
    <w:rsid w:val="00AE5C22"/>
    <w:rsid w:val="00AE5D47"/>
    <w:rsid w:val="00AE6B86"/>
    <w:rsid w:val="00AE6B9E"/>
    <w:rsid w:val="00AE73CE"/>
    <w:rsid w:val="00AE77FE"/>
    <w:rsid w:val="00AF0203"/>
    <w:rsid w:val="00AF1CC5"/>
    <w:rsid w:val="00AF1DA1"/>
    <w:rsid w:val="00AF2353"/>
    <w:rsid w:val="00AF3C86"/>
    <w:rsid w:val="00AF429D"/>
    <w:rsid w:val="00AF49AD"/>
    <w:rsid w:val="00AF5862"/>
    <w:rsid w:val="00AF5E83"/>
    <w:rsid w:val="00AF6E0E"/>
    <w:rsid w:val="00B00786"/>
    <w:rsid w:val="00B009FE"/>
    <w:rsid w:val="00B02728"/>
    <w:rsid w:val="00B0287F"/>
    <w:rsid w:val="00B03BE9"/>
    <w:rsid w:val="00B051CF"/>
    <w:rsid w:val="00B0571A"/>
    <w:rsid w:val="00B0623F"/>
    <w:rsid w:val="00B063C8"/>
    <w:rsid w:val="00B070CA"/>
    <w:rsid w:val="00B10BD7"/>
    <w:rsid w:val="00B17923"/>
    <w:rsid w:val="00B17BFE"/>
    <w:rsid w:val="00B201C9"/>
    <w:rsid w:val="00B222DF"/>
    <w:rsid w:val="00B22BC5"/>
    <w:rsid w:val="00B22E44"/>
    <w:rsid w:val="00B24994"/>
    <w:rsid w:val="00B24E57"/>
    <w:rsid w:val="00B25DF5"/>
    <w:rsid w:val="00B30577"/>
    <w:rsid w:val="00B3086C"/>
    <w:rsid w:val="00B30B22"/>
    <w:rsid w:val="00B31421"/>
    <w:rsid w:val="00B315D8"/>
    <w:rsid w:val="00B31AB6"/>
    <w:rsid w:val="00B33276"/>
    <w:rsid w:val="00B33800"/>
    <w:rsid w:val="00B360B9"/>
    <w:rsid w:val="00B360D0"/>
    <w:rsid w:val="00B362FB"/>
    <w:rsid w:val="00B36911"/>
    <w:rsid w:val="00B36B20"/>
    <w:rsid w:val="00B36EF8"/>
    <w:rsid w:val="00B373AC"/>
    <w:rsid w:val="00B40964"/>
    <w:rsid w:val="00B40D29"/>
    <w:rsid w:val="00B430D1"/>
    <w:rsid w:val="00B4412D"/>
    <w:rsid w:val="00B4453B"/>
    <w:rsid w:val="00B44EAE"/>
    <w:rsid w:val="00B51132"/>
    <w:rsid w:val="00B52842"/>
    <w:rsid w:val="00B52EAB"/>
    <w:rsid w:val="00B5315E"/>
    <w:rsid w:val="00B537F2"/>
    <w:rsid w:val="00B54274"/>
    <w:rsid w:val="00B54E8A"/>
    <w:rsid w:val="00B5655C"/>
    <w:rsid w:val="00B56A70"/>
    <w:rsid w:val="00B57127"/>
    <w:rsid w:val="00B57A56"/>
    <w:rsid w:val="00B600CC"/>
    <w:rsid w:val="00B604F9"/>
    <w:rsid w:val="00B60E0C"/>
    <w:rsid w:val="00B61CD1"/>
    <w:rsid w:val="00B61F67"/>
    <w:rsid w:val="00B62AF1"/>
    <w:rsid w:val="00B63E12"/>
    <w:rsid w:val="00B64EC4"/>
    <w:rsid w:val="00B6570A"/>
    <w:rsid w:val="00B657CA"/>
    <w:rsid w:val="00B722BF"/>
    <w:rsid w:val="00B72FDA"/>
    <w:rsid w:val="00B7311F"/>
    <w:rsid w:val="00B734F8"/>
    <w:rsid w:val="00B747FB"/>
    <w:rsid w:val="00B7579E"/>
    <w:rsid w:val="00B75835"/>
    <w:rsid w:val="00B75CB4"/>
    <w:rsid w:val="00B75F0C"/>
    <w:rsid w:val="00B76139"/>
    <w:rsid w:val="00B76A1F"/>
    <w:rsid w:val="00B774A9"/>
    <w:rsid w:val="00B77B4D"/>
    <w:rsid w:val="00B77F0E"/>
    <w:rsid w:val="00B826D8"/>
    <w:rsid w:val="00B83C91"/>
    <w:rsid w:val="00B84065"/>
    <w:rsid w:val="00B8417E"/>
    <w:rsid w:val="00B8555E"/>
    <w:rsid w:val="00B85B4F"/>
    <w:rsid w:val="00B8618F"/>
    <w:rsid w:val="00B87ECD"/>
    <w:rsid w:val="00B91B1C"/>
    <w:rsid w:val="00B924DB"/>
    <w:rsid w:val="00B9306B"/>
    <w:rsid w:val="00B93972"/>
    <w:rsid w:val="00B940BE"/>
    <w:rsid w:val="00B94207"/>
    <w:rsid w:val="00B957AC"/>
    <w:rsid w:val="00BA0050"/>
    <w:rsid w:val="00BA108F"/>
    <w:rsid w:val="00BA1673"/>
    <w:rsid w:val="00BA38EB"/>
    <w:rsid w:val="00BA48CE"/>
    <w:rsid w:val="00BA551D"/>
    <w:rsid w:val="00BA57E3"/>
    <w:rsid w:val="00BA581D"/>
    <w:rsid w:val="00BA6FBE"/>
    <w:rsid w:val="00BA7753"/>
    <w:rsid w:val="00BB0240"/>
    <w:rsid w:val="00BB0677"/>
    <w:rsid w:val="00BB0CB6"/>
    <w:rsid w:val="00BB2067"/>
    <w:rsid w:val="00BB2692"/>
    <w:rsid w:val="00BB2CDC"/>
    <w:rsid w:val="00BB2E38"/>
    <w:rsid w:val="00BB4C92"/>
    <w:rsid w:val="00BB5DCA"/>
    <w:rsid w:val="00BB5E04"/>
    <w:rsid w:val="00BB63CE"/>
    <w:rsid w:val="00BB6D94"/>
    <w:rsid w:val="00BB7696"/>
    <w:rsid w:val="00BC0260"/>
    <w:rsid w:val="00BC02DC"/>
    <w:rsid w:val="00BC25A0"/>
    <w:rsid w:val="00BC2B8C"/>
    <w:rsid w:val="00BC449A"/>
    <w:rsid w:val="00BC62D4"/>
    <w:rsid w:val="00BC6E63"/>
    <w:rsid w:val="00BC73A3"/>
    <w:rsid w:val="00BC7AD1"/>
    <w:rsid w:val="00BD0612"/>
    <w:rsid w:val="00BD3238"/>
    <w:rsid w:val="00BD3330"/>
    <w:rsid w:val="00BD3349"/>
    <w:rsid w:val="00BD44FE"/>
    <w:rsid w:val="00BD58F1"/>
    <w:rsid w:val="00BD5D6F"/>
    <w:rsid w:val="00BD5F95"/>
    <w:rsid w:val="00BD685E"/>
    <w:rsid w:val="00BD7450"/>
    <w:rsid w:val="00BD76BF"/>
    <w:rsid w:val="00BD7B18"/>
    <w:rsid w:val="00BE02EF"/>
    <w:rsid w:val="00BE0597"/>
    <w:rsid w:val="00BE2D2B"/>
    <w:rsid w:val="00BE3160"/>
    <w:rsid w:val="00BE457F"/>
    <w:rsid w:val="00BE459F"/>
    <w:rsid w:val="00BE5AEF"/>
    <w:rsid w:val="00BE6443"/>
    <w:rsid w:val="00BF08DE"/>
    <w:rsid w:val="00BF2DF1"/>
    <w:rsid w:val="00BF54EC"/>
    <w:rsid w:val="00BF5DDA"/>
    <w:rsid w:val="00BF60E2"/>
    <w:rsid w:val="00BF620C"/>
    <w:rsid w:val="00BF7545"/>
    <w:rsid w:val="00BF78DA"/>
    <w:rsid w:val="00C005E4"/>
    <w:rsid w:val="00C017DD"/>
    <w:rsid w:val="00C02E41"/>
    <w:rsid w:val="00C035A3"/>
    <w:rsid w:val="00C03F4B"/>
    <w:rsid w:val="00C047CE"/>
    <w:rsid w:val="00C06480"/>
    <w:rsid w:val="00C0714C"/>
    <w:rsid w:val="00C107FB"/>
    <w:rsid w:val="00C11876"/>
    <w:rsid w:val="00C13A49"/>
    <w:rsid w:val="00C13E55"/>
    <w:rsid w:val="00C142ED"/>
    <w:rsid w:val="00C14721"/>
    <w:rsid w:val="00C15521"/>
    <w:rsid w:val="00C1666A"/>
    <w:rsid w:val="00C200AC"/>
    <w:rsid w:val="00C21984"/>
    <w:rsid w:val="00C21D54"/>
    <w:rsid w:val="00C220D8"/>
    <w:rsid w:val="00C22A2D"/>
    <w:rsid w:val="00C235A0"/>
    <w:rsid w:val="00C23DD9"/>
    <w:rsid w:val="00C24033"/>
    <w:rsid w:val="00C31D99"/>
    <w:rsid w:val="00C32047"/>
    <w:rsid w:val="00C3228D"/>
    <w:rsid w:val="00C32424"/>
    <w:rsid w:val="00C336D0"/>
    <w:rsid w:val="00C355D8"/>
    <w:rsid w:val="00C364C4"/>
    <w:rsid w:val="00C36699"/>
    <w:rsid w:val="00C37F8E"/>
    <w:rsid w:val="00C40E83"/>
    <w:rsid w:val="00C4256A"/>
    <w:rsid w:val="00C42CC8"/>
    <w:rsid w:val="00C42D9F"/>
    <w:rsid w:val="00C43A8F"/>
    <w:rsid w:val="00C4407C"/>
    <w:rsid w:val="00C44220"/>
    <w:rsid w:val="00C46844"/>
    <w:rsid w:val="00C46C58"/>
    <w:rsid w:val="00C46DB3"/>
    <w:rsid w:val="00C52C42"/>
    <w:rsid w:val="00C561A5"/>
    <w:rsid w:val="00C567EB"/>
    <w:rsid w:val="00C5682B"/>
    <w:rsid w:val="00C56EB9"/>
    <w:rsid w:val="00C56F2C"/>
    <w:rsid w:val="00C57401"/>
    <w:rsid w:val="00C61A59"/>
    <w:rsid w:val="00C624D3"/>
    <w:rsid w:val="00C62A55"/>
    <w:rsid w:val="00C637BD"/>
    <w:rsid w:val="00C63CA4"/>
    <w:rsid w:val="00C64C06"/>
    <w:rsid w:val="00C64F99"/>
    <w:rsid w:val="00C6659E"/>
    <w:rsid w:val="00C66758"/>
    <w:rsid w:val="00C676FD"/>
    <w:rsid w:val="00C67BFC"/>
    <w:rsid w:val="00C718C7"/>
    <w:rsid w:val="00C71D35"/>
    <w:rsid w:val="00C723B4"/>
    <w:rsid w:val="00C7250B"/>
    <w:rsid w:val="00C733AC"/>
    <w:rsid w:val="00C736DD"/>
    <w:rsid w:val="00C73DA6"/>
    <w:rsid w:val="00C75F30"/>
    <w:rsid w:val="00C765CC"/>
    <w:rsid w:val="00C77019"/>
    <w:rsid w:val="00C81BD7"/>
    <w:rsid w:val="00C82668"/>
    <w:rsid w:val="00C84F2B"/>
    <w:rsid w:val="00C8516D"/>
    <w:rsid w:val="00C86869"/>
    <w:rsid w:val="00C8766F"/>
    <w:rsid w:val="00C879C9"/>
    <w:rsid w:val="00C923C1"/>
    <w:rsid w:val="00C93162"/>
    <w:rsid w:val="00C93500"/>
    <w:rsid w:val="00C94156"/>
    <w:rsid w:val="00C94FFA"/>
    <w:rsid w:val="00C95CCF"/>
    <w:rsid w:val="00C95F14"/>
    <w:rsid w:val="00C9689E"/>
    <w:rsid w:val="00C96B69"/>
    <w:rsid w:val="00C96BF5"/>
    <w:rsid w:val="00C97DC9"/>
    <w:rsid w:val="00CA1F44"/>
    <w:rsid w:val="00CA3433"/>
    <w:rsid w:val="00CA351E"/>
    <w:rsid w:val="00CA3691"/>
    <w:rsid w:val="00CA5B04"/>
    <w:rsid w:val="00CB1DA7"/>
    <w:rsid w:val="00CB21F2"/>
    <w:rsid w:val="00CB344B"/>
    <w:rsid w:val="00CB460B"/>
    <w:rsid w:val="00CB4E14"/>
    <w:rsid w:val="00CB54F3"/>
    <w:rsid w:val="00CB5873"/>
    <w:rsid w:val="00CB5E05"/>
    <w:rsid w:val="00CB5E7B"/>
    <w:rsid w:val="00CB7C2F"/>
    <w:rsid w:val="00CC0839"/>
    <w:rsid w:val="00CC1B87"/>
    <w:rsid w:val="00CC251A"/>
    <w:rsid w:val="00CC2802"/>
    <w:rsid w:val="00CC3BB9"/>
    <w:rsid w:val="00CC410E"/>
    <w:rsid w:val="00CC5027"/>
    <w:rsid w:val="00CC5847"/>
    <w:rsid w:val="00CC6AAF"/>
    <w:rsid w:val="00CD189A"/>
    <w:rsid w:val="00CD284B"/>
    <w:rsid w:val="00CD3391"/>
    <w:rsid w:val="00CD34CD"/>
    <w:rsid w:val="00CD39FC"/>
    <w:rsid w:val="00CD4B80"/>
    <w:rsid w:val="00CD5D39"/>
    <w:rsid w:val="00CD6B9C"/>
    <w:rsid w:val="00CD6D1A"/>
    <w:rsid w:val="00CD6D27"/>
    <w:rsid w:val="00CE0E71"/>
    <w:rsid w:val="00CE1AF7"/>
    <w:rsid w:val="00CE26C7"/>
    <w:rsid w:val="00CE366C"/>
    <w:rsid w:val="00CE5250"/>
    <w:rsid w:val="00CE7C62"/>
    <w:rsid w:val="00CE7F64"/>
    <w:rsid w:val="00CF21FE"/>
    <w:rsid w:val="00CF3404"/>
    <w:rsid w:val="00CF47A0"/>
    <w:rsid w:val="00D02ABF"/>
    <w:rsid w:val="00D02EF2"/>
    <w:rsid w:val="00D032D9"/>
    <w:rsid w:val="00D038A8"/>
    <w:rsid w:val="00D03DA1"/>
    <w:rsid w:val="00D05892"/>
    <w:rsid w:val="00D06FF9"/>
    <w:rsid w:val="00D07ED6"/>
    <w:rsid w:val="00D1058F"/>
    <w:rsid w:val="00D11105"/>
    <w:rsid w:val="00D12BC1"/>
    <w:rsid w:val="00D13578"/>
    <w:rsid w:val="00D15AFC"/>
    <w:rsid w:val="00D1656E"/>
    <w:rsid w:val="00D16AAB"/>
    <w:rsid w:val="00D17A04"/>
    <w:rsid w:val="00D20309"/>
    <w:rsid w:val="00D20CFC"/>
    <w:rsid w:val="00D210A9"/>
    <w:rsid w:val="00D21AEC"/>
    <w:rsid w:val="00D233DB"/>
    <w:rsid w:val="00D23EE9"/>
    <w:rsid w:val="00D253CA"/>
    <w:rsid w:val="00D26271"/>
    <w:rsid w:val="00D26E09"/>
    <w:rsid w:val="00D27C6C"/>
    <w:rsid w:val="00D31719"/>
    <w:rsid w:val="00D31ABC"/>
    <w:rsid w:val="00D3201F"/>
    <w:rsid w:val="00D32263"/>
    <w:rsid w:val="00D3436F"/>
    <w:rsid w:val="00D37B9E"/>
    <w:rsid w:val="00D40D87"/>
    <w:rsid w:val="00D4290D"/>
    <w:rsid w:val="00D43562"/>
    <w:rsid w:val="00D439B2"/>
    <w:rsid w:val="00D43F8B"/>
    <w:rsid w:val="00D44275"/>
    <w:rsid w:val="00D505D1"/>
    <w:rsid w:val="00D52C35"/>
    <w:rsid w:val="00D52D77"/>
    <w:rsid w:val="00D5408B"/>
    <w:rsid w:val="00D54634"/>
    <w:rsid w:val="00D54B0E"/>
    <w:rsid w:val="00D608DA"/>
    <w:rsid w:val="00D60987"/>
    <w:rsid w:val="00D615CD"/>
    <w:rsid w:val="00D62721"/>
    <w:rsid w:val="00D6553D"/>
    <w:rsid w:val="00D709A3"/>
    <w:rsid w:val="00D70AD6"/>
    <w:rsid w:val="00D70C7F"/>
    <w:rsid w:val="00D70DC1"/>
    <w:rsid w:val="00D7163F"/>
    <w:rsid w:val="00D719E4"/>
    <w:rsid w:val="00D724F1"/>
    <w:rsid w:val="00D72F92"/>
    <w:rsid w:val="00D73847"/>
    <w:rsid w:val="00D73B20"/>
    <w:rsid w:val="00D74243"/>
    <w:rsid w:val="00D746A1"/>
    <w:rsid w:val="00D75802"/>
    <w:rsid w:val="00D773A6"/>
    <w:rsid w:val="00D77833"/>
    <w:rsid w:val="00D803AE"/>
    <w:rsid w:val="00D80DF0"/>
    <w:rsid w:val="00D827F6"/>
    <w:rsid w:val="00D841DA"/>
    <w:rsid w:val="00D858BA"/>
    <w:rsid w:val="00D863EE"/>
    <w:rsid w:val="00D90DAC"/>
    <w:rsid w:val="00D91433"/>
    <w:rsid w:val="00D92D99"/>
    <w:rsid w:val="00D931C7"/>
    <w:rsid w:val="00D9352C"/>
    <w:rsid w:val="00D93B9D"/>
    <w:rsid w:val="00D93C8B"/>
    <w:rsid w:val="00D94268"/>
    <w:rsid w:val="00D94A8C"/>
    <w:rsid w:val="00D95204"/>
    <w:rsid w:val="00D95B6A"/>
    <w:rsid w:val="00D960E5"/>
    <w:rsid w:val="00D96514"/>
    <w:rsid w:val="00D977AF"/>
    <w:rsid w:val="00D97DF0"/>
    <w:rsid w:val="00D97E4F"/>
    <w:rsid w:val="00DA0065"/>
    <w:rsid w:val="00DA28DA"/>
    <w:rsid w:val="00DA35BD"/>
    <w:rsid w:val="00DA3A24"/>
    <w:rsid w:val="00DA409C"/>
    <w:rsid w:val="00DA4932"/>
    <w:rsid w:val="00DA4FB4"/>
    <w:rsid w:val="00DA54D2"/>
    <w:rsid w:val="00DA7E9C"/>
    <w:rsid w:val="00DB032F"/>
    <w:rsid w:val="00DB0593"/>
    <w:rsid w:val="00DB15A0"/>
    <w:rsid w:val="00DB1CE0"/>
    <w:rsid w:val="00DB3047"/>
    <w:rsid w:val="00DB4386"/>
    <w:rsid w:val="00DB4548"/>
    <w:rsid w:val="00DB4733"/>
    <w:rsid w:val="00DB49B6"/>
    <w:rsid w:val="00DB55DA"/>
    <w:rsid w:val="00DB60C3"/>
    <w:rsid w:val="00DC21CD"/>
    <w:rsid w:val="00DC3977"/>
    <w:rsid w:val="00DC3D3A"/>
    <w:rsid w:val="00DC415C"/>
    <w:rsid w:val="00DC4924"/>
    <w:rsid w:val="00DC5B7D"/>
    <w:rsid w:val="00DC64C2"/>
    <w:rsid w:val="00DC67D9"/>
    <w:rsid w:val="00DC6AB9"/>
    <w:rsid w:val="00DC7574"/>
    <w:rsid w:val="00DD028D"/>
    <w:rsid w:val="00DD0E8E"/>
    <w:rsid w:val="00DD10BC"/>
    <w:rsid w:val="00DD16B0"/>
    <w:rsid w:val="00DD4CEC"/>
    <w:rsid w:val="00DD6343"/>
    <w:rsid w:val="00DD63E8"/>
    <w:rsid w:val="00DD6C65"/>
    <w:rsid w:val="00DD6E2E"/>
    <w:rsid w:val="00DE0149"/>
    <w:rsid w:val="00DE28C9"/>
    <w:rsid w:val="00DE2BC3"/>
    <w:rsid w:val="00DE306B"/>
    <w:rsid w:val="00DE3E31"/>
    <w:rsid w:val="00DE4D3D"/>
    <w:rsid w:val="00DE541D"/>
    <w:rsid w:val="00DE6B5E"/>
    <w:rsid w:val="00DE6B78"/>
    <w:rsid w:val="00DE7090"/>
    <w:rsid w:val="00DF1387"/>
    <w:rsid w:val="00DF16B9"/>
    <w:rsid w:val="00DF2284"/>
    <w:rsid w:val="00DF479B"/>
    <w:rsid w:val="00DF5118"/>
    <w:rsid w:val="00DF60DE"/>
    <w:rsid w:val="00DF76ED"/>
    <w:rsid w:val="00E00A8F"/>
    <w:rsid w:val="00E01CE0"/>
    <w:rsid w:val="00E01F86"/>
    <w:rsid w:val="00E023F1"/>
    <w:rsid w:val="00E027FA"/>
    <w:rsid w:val="00E045F2"/>
    <w:rsid w:val="00E051C8"/>
    <w:rsid w:val="00E05AC0"/>
    <w:rsid w:val="00E05D03"/>
    <w:rsid w:val="00E05F25"/>
    <w:rsid w:val="00E06025"/>
    <w:rsid w:val="00E06324"/>
    <w:rsid w:val="00E07B79"/>
    <w:rsid w:val="00E07CE5"/>
    <w:rsid w:val="00E10D4B"/>
    <w:rsid w:val="00E1394B"/>
    <w:rsid w:val="00E15357"/>
    <w:rsid w:val="00E15AFF"/>
    <w:rsid w:val="00E1637E"/>
    <w:rsid w:val="00E16A68"/>
    <w:rsid w:val="00E17A9D"/>
    <w:rsid w:val="00E2233C"/>
    <w:rsid w:val="00E22B5C"/>
    <w:rsid w:val="00E22CFD"/>
    <w:rsid w:val="00E24319"/>
    <w:rsid w:val="00E246BE"/>
    <w:rsid w:val="00E24A2E"/>
    <w:rsid w:val="00E24CA9"/>
    <w:rsid w:val="00E261CA"/>
    <w:rsid w:val="00E26672"/>
    <w:rsid w:val="00E26820"/>
    <w:rsid w:val="00E26BA0"/>
    <w:rsid w:val="00E3059B"/>
    <w:rsid w:val="00E306A6"/>
    <w:rsid w:val="00E30776"/>
    <w:rsid w:val="00E30BA5"/>
    <w:rsid w:val="00E333A4"/>
    <w:rsid w:val="00E33EF2"/>
    <w:rsid w:val="00E3522D"/>
    <w:rsid w:val="00E35D25"/>
    <w:rsid w:val="00E35D4A"/>
    <w:rsid w:val="00E36DC1"/>
    <w:rsid w:val="00E40DF3"/>
    <w:rsid w:val="00E40ECB"/>
    <w:rsid w:val="00E43098"/>
    <w:rsid w:val="00E43B36"/>
    <w:rsid w:val="00E44AC2"/>
    <w:rsid w:val="00E44DA7"/>
    <w:rsid w:val="00E4648C"/>
    <w:rsid w:val="00E46C63"/>
    <w:rsid w:val="00E46F83"/>
    <w:rsid w:val="00E47790"/>
    <w:rsid w:val="00E47961"/>
    <w:rsid w:val="00E479CF"/>
    <w:rsid w:val="00E50D68"/>
    <w:rsid w:val="00E51DE7"/>
    <w:rsid w:val="00E52957"/>
    <w:rsid w:val="00E540AC"/>
    <w:rsid w:val="00E557AF"/>
    <w:rsid w:val="00E55AE0"/>
    <w:rsid w:val="00E56046"/>
    <w:rsid w:val="00E562A9"/>
    <w:rsid w:val="00E56438"/>
    <w:rsid w:val="00E5674E"/>
    <w:rsid w:val="00E568C7"/>
    <w:rsid w:val="00E607FF"/>
    <w:rsid w:val="00E60CE1"/>
    <w:rsid w:val="00E61C48"/>
    <w:rsid w:val="00E61CFA"/>
    <w:rsid w:val="00E61F9A"/>
    <w:rsid w:val="00E6200A"/>
    <w:rsid w:val="00E625EE"/>
    <w:rsid w:val="00E62EE7"/>
    <w:rsid w:val="00E635BB"/>
    <w:rsid w:val="00E639CA"/>
    <w:rsid w:val="00E640A7"/>
    <w:rsid w:val="00E64CA0"/>
    <w:rsid w:val="00E65728"/>
    <w:rsid w:val="00E65AD1"/>
    <w:rsid w:val="00E662A1"/>
    <w:rsid w:val="00E66541"/>
    <w:rsid w:val="00E66BE8"/>
    <w:rsid w:val="00E6713F"/>
    <w:rsid w:val="00E677F1"/>
    <w:rsid w:val="00E70410"/>
    <w:rsid w:val="00E707EA"/>
    <w:rsid w:val="00E7241A"/>
    <w:rsid w:val="00E7390C"/>
    <w:rsid w:val="00E73E6D"/>
    <w:rsid w:val="00E7480F"/>
    <w:rsid w:val="00E74934"/>
    <w:rsid w:val="00E74C9F"/>
    <w:rsid w:val="00E75E07"/>
    <w:rsid w:val="00E7745B"/>
    <w:rsid w:val="00E77953"/>
    <w:rsid w:val="00E77A6F"/>
    <w:rsid w:val="00E817FA"/>
    <w:rsid w:val="00E83AB1"/>
    <w:rsid w:val="00E83FA4"/>
    <w:rsid w:val="00E8593D"/>
    <w:rsid w:val="00E90021"/>
    <w:rsid w:val="00E908B7"/>
    <w:rsid w:val="00E90B90"/>
    <w:rsid w:val="00E91020"/>
    <w:rsid w:val="00E91082"/>
    <w:rsid w:val="00E9197D"/>
    <w:rsid w:val="00E922A0"/>
    <w:rsid w:val="00E92330"/>
    <w:rsid w:val="00E93A00"/>
    <w:rsid w:val="00E95952"/>
    <w:rsid w:val="00E96422"/>
    <w:rsid w:val="00E96C83"/>
    <w:rsid w:val="00E97957"/>
    <w:rsid w:val="00EA49AA"/>
    <w:rsid w:val="00EA7BB0"/>
    <w:rsid w:val="00EB06DC"/>
    <w:rsid w:val="00EB0A16"/>
    <w:rsid w:val="00EB0DBC"/>
    <w:rsid w:val="00EB2952"/>
    <w:rsid w:val="00EB3EC7"/>
    <w:rsid w:val="00EB415D"/>
    <w:rsid w:val="00EB44CC"/>
    <w:rsid w:val="00EB4A11"/>
    <w:rsid w:val="00EB5B17"/>
    <w:rsid w:val="00EB6DC3"/>
    <w:rsid w:val="00EB732A"/>
    <w:rsid w:val="00EC08CA"/>
    <w:rsid w:val="00EC1EB3"/>
    <w:rsid w:val="00EC24E4"/>
    <w:rsid w:val="00EC3211"/>
    <w:rsid w:val="00EC3A85"/>
    <w:rsid w:val="00EC456A"/>
    <w:rsid w:val="00EC5684"/>
    <w:rsid w:val="00EC5BBB"/>
    <w:rsid w:val="00EC6456"/>
    <w:rsid w:val="00EC735A"/>
    <w:rsid w:val="00ED035D"/>
    <w:rsid w:val="00ED05D9"/>
    <w:rsid w:val="00ED2163"/>
    <w:rsid w:val="00ED2F5B"/>
    <w:rsid w:val="00ED427C"/>
    <w:rsid w:val="00ED4B20"/>
    <w:rsid w:val="00ED53CB"/>
    <w:rsid w:val="00ED6511"/>
    <w:rsid w:val="00ED69A1"/>
    <w:rsid w:val="00EE0B57"/>
    <w:rsid w:val="00EE184D"/>
    <w:rsid w:val="00EE22E5"/>
    <w:rsid w:val="00EE23DA"/>
    <w:rsid w:val="00EE337C"/>
    <w:rsid w:val="00EE68B1"/>
    <w:rsid w:val="00EF1EE0"/>
    <w:rsid w:val="00EF37D0"/>
    <w:rsid w:val="00EF425C"/>
    <w:rsid w:val="00EF4776"/>
    <w:rsid w:val="00EF48F6"/>
    <w:rsid w:val="00EF492A"/>
    <w:rsid w:val="00EF508C"/>
    <w:rsid w:val="00EF53ED"/>
    <w:rsid w:val="00EF5982"/>
    <w:rsid w:val="00F00103"/>
    <w:rsid w:val="00F0108C"/>
    <w:rsid w:val="00F011E6"/>
    <w:rsid w:val="00F0193B"/>
    <w:rsid w:val="00F01A62"/>
    <w:rsid w:val="00F033EC"/>
    <w:rsid w:val="00F0364C"/>
    <w:rsid w:val="00F03E93"/>
    <w:rsid w:val="00F044AE"/>
    <w:rsid w:val="00F05321"/>
    <w:rsid w:val="00F06706"/>
    <w:rsid w:val="00F07DBC"/>
    <w:rsid w:val="00F10DE0"/>
    <w:rsid w:val="00F11200"/>
    <w:rsid w:val="00F1188D"/>
    <w:rsid w:val="00F12142"/>
    <w:rsid w:val="00F121B4"/>
    <w:rsid w:val="00F12295"/>
    <w:rsid w:val="00F1303D"/>
    <w:rsid w:val="00F13EFC"/>
    <w:rsid w:val="00F1408D"/>
    <w:rsid w:val="00F15208"/>
    <w:rsid w:val="00F15885"/>
    <w:rsid w:val="00F16134"/>
    <w:rsid w:val="00F166A4"/>
    <w:rsid w:val="00F16BC1"/>
    <w:rsid w:val="00F178E3"/>
    <w:rsid w:val="00F20882"/>
    <w:rsid w:val="00F20ADE"/>
    <w:rsid w:val="00F20F94"/>
    <w:rsid w:val="00F210A1"/>
    <w:rsid w:val="00F2111F"/>
    <w:rsid w:val="00F22781"/>
    <w:rsid w:val="00F2331D"/>
    <w:rsid w:val="00F23AF8"/>
    <w:rsid w:val="00F23BCC"/>
    <w:rsid w:val="00F247DF"/>
    <w:rsid w:val="00F361BA"/>
    <w:rsid w:val="00F40005"/>
    <w:rsid w:val="00F4140E"/>
    <w:rsid w:val="00F4267D"/>
    <w:rsid w:val="00F43649"/>
    <w:rsid w:val="00F43924"/>
    <w:rsid w:val="00F43A4B"/>
    <w:rsid w:val="00F451A3"/>
    <w:rsid w:val="00F46623"/>
    <w:rsid w:val="00F46C87"/>
    <w:rsid w:val="00F50D66"/>
    <w:rsid w:val="00F526B2"/>
    <w:rsid w:val="00F52711"/>
    <w:rsid w:val="00F53BAD"/>
    <w:rsid w:val="00F54BCB"/>
    <w:rsid w:val="00F55299"/>
    <w:rsid w:val="00F55EBA"/>
    <w:rsid w:val="00F57682"/>
    <w:rsid w:val="00F62772"/>
    <w:rsid w:val="00F630B4"/>
    <w:rsid w:val="00F638B2"/>
    <w:rsid w:val="00F63ABB"/>
    <w:rsid w:val="00F63B8D"/>
    <w:rsid w:val="00F645B6"/>
    <w:rsid w:val="00F648A1"/>
    <w:rsid w:val="00F653BE"/>
    <w:rsid w:val="00F6588F"/>
    <w:rsid w:val="00F65F16"/>
    <w:rsid w:val="00F667E0"/>
    <w:rsid w:val="00F705AB"/>
    <w:rsid w:val="00F7111F"/>
    <w:rsid w:val="00F726AE"/>
    <w:rsid w:val="00F73768"/>
    <w:rsid w:val="00F76277"/>
    <w:rsid w:val="00F766CE"/>
    <w:rsid w:val="00F77172"/>
    <w:rsid w:val="00F80C09"/>
    <w:rsid w:val="00F812E8"/>
    <w:rsid w:val="00F81DB5"/>
    <w:rsid w:val="00F82FF6"/>
    <w:rsid w:val="00F843A0"/>
    <w:rsid w:val="00F8454B"/>
    <w:rsid w:val="00F84AE3"/>
    <w:rsid w:val="00F85406"/>
    <w:rsid w:val="00F85790"/>
    <w:rsid w:val="00F85CEB"/>
    <w:rsid w:val="00F87A20"/>
    <w:rsid w:val="00F924D8"/>
    <w:rsid w:val="00F9473F"/>
    <w:rsid w:val="00F94C3B"/>
    <w:rsid w:val="00F9523F"/>
    <w:rsid w:val="00F95D9D"/>
    <w:rsid w:val="00F963B2"/>
    <w:rsid w:val="00F97353"/>
    <w:rsid w:val="00FA0219"/>
    <w:rsid w:val="00FA0232"/>
    <w:rsid w:val="00FA16E2"/>
    <w:rsid w:val="00FA2CAA"/>
    <w:rsid w:val="00FA312C"/>
    <w:rsid w:val="00FA382E"/>
    <w:rsid w:val="00FA3ACF"/>
    <w:rsid w:val="00FA3E08"/>
    <w:rsid w:val="00FA456E"/>
    <w:rsid w:val="00FA4747"/>
    <w:rsid w:val="00FA51DB"/>
    <w:rsid w:val="00FB0643"/>
    <w:rsid w:val="00FB1A40"/>
    <w:rsid w:val="00FB21C8"/>
    <w:rsid w:val="00FB4F50"/>
    <w:rsid w:val="00FB5C88"/>
    <w:rsid w:val="00FC1D59"/>
    <w:rsid w:val="00FC233D"/>
    <w:rsid w:val="00FC3238"/>
    <w:rsid w:val="00FC3974"/>
    <w:rsid w:val="00FC3D51"/>
    <w:rsid w:val="00FC42A3"/>
    <w:rsid w:val="00FC4C13"/>
    <w:rsid w:val="00FC724B"/>
    <w:rsid w:val="00FD0032"/>
    <w:rsid w:val="00FD173D"/>
    <w:rsid w:val="00FD4552"/>
    <w:rsid w:val="00FD45F7"/>
    <w:rsid w:val="00FD5963"/>
    <w:rsid w:val="00FD5DCE"/>
    <w:rsid w:val="00FD6099"/>
    <w:rsid w:val="00FD7F9D"/>
    <w:rsid w:val="00FE3EE8"/>
    <w:rsid w:val="00FE41B8"/>
    <w:rsid w:val="00FE5D68"/>
    <w:rsid w:val="00FE5DF0"/>
    <w:rsid w:val="00FE64D0"/>
    <w:rsid w:val="00FE67C6"/>
    <w:rsid w:val="00FE6C72"/>
    <w:rsid w:val="00FE74F0"/>
    <w:rsid w:val="00FE77D9"/>
    <w:rsid w:val="00FE7E60"/>
    <w:rsid w:val="00FE7F98"/>
    <w:rsid w:val="00FF1239"/>
    <w:rsid w:val="00FF1441"/>
    <w:rsid w:val="00FF1FC4"/>
    <w:rsid w:val="00FF341B"/>
    <w:rsid w:val="00FF3C80"/>
    <w:rsid w:val="00FF3F8B"/>
    <w:rsid w:val="00FF49AF"/>
    <w:rsid w:val="00FF4A18"/>
    <w:rsid w:val="00FF585E"/>
    <w:rsid w:val="00FF6014"/>
    <w:rsid w:val="00FF61BE"/>
    <w:rsid w:val="00FF6A30"/>
    <w:rsid w:val="00FF6A62"/>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79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3680020">
      <w:bodyDiv w:val="1"/>
      <w:marLeft w:val="0"/>
      <w:marRight w:val="0"/>
      <w:marTop w:val="0"/>
      <w:marBottom w:val="0"/>
      <w:divBdr>
        <w:top w:val="none" w:sz="0" w:space="0" w:color="auto"/>
        <w:left w:val="none" w:sz="0" w:space="0" w:color="auto"/>
        <w:bottom w:val="none" w:sz="0" w:space="0" w:color="auto"/>
        <w:right w:val="none" w:sz="0" w:space="0" w:color="auto"/>
      </w:divBdr>
      <w:divsChild>
        <w:div w:id="1787888434">
          <w:marLeft w:val="0"/>
          <w:marRight w:val="0"/>
          <w:marTop w:val="0"/>
          <w:marBottom w:val="0"/>
          <w:divBdr>
            <w:top w:val="none" w:sz="0" w:space="0" w:color="auto"/>
            <w:left w:val="none" w:sz="0" w:space="0" w:color="auto"/>
            <w:bottom w:val="none" w:sz="0" w:space="0" w:color="auto"/>
            <w:right w:val="none" w:sz="0" w:space="0" w:color="auto"/>
          </w:divBdr>
          <w:divsChild>
            <w:div w:id="1050569708">
              <w:marLeft w:val="0"/>
              <w:marRight w:val="0"/>
              <w:marTop w:val="0"/>
              <w:marBottom w:val="0"/>
              <w:divBdr>
                <w:top w:val="none" w:sz="0" w:space="0" w:color="auto"/>
                <w:left w:val="none" w:sz="0" w:space="0" w:color="auto"/>
                <w:bottom w:val="none" w:sz="0" w:space="0" w:color="auto"/>
                <w:right w:val="none" w:sz="0" w:space="0" w:color="auto"/>
              </w:divBdr>
              <w:divsChild>
                <w:div w:id="1666208011">
                  <w:marLeft w:val="0"/>
                  <w:marRight w:val="0"/>
                  <w:marTop w:val="0"/>
                  <w:marBottom w:val="0"/>
                  <w:divBdr>
                    <w:top w:val="none" w:sz="0" w:space="0" w:color="auto"/>
                    <w:left w:val="none" w:sz="0" w:space="0" w:color="auto"/>
                    <w:bottom w:val="none" w:sz="0" w:space="0" w:color="auto"/>
                    <w:right w:val="none" w:sz="0" w:space="0" w:color="auto"/>
                  </w:divBdr>
                  <w:divsChild>
                    <w:div w:id="1272124113">
                      <w:marLeft w:val="0"/>
                      <w:marRight w:val="0"/>
                      <w:marTop w:val="0"/>
                      <w:marBottom w:val="0"/>
                      <w:divBdr>
                        <w:top w:val="none" w:sz="0" w:space="0" w:color="auto"/>
                        <w:left w:val="none" w:sz="0" w:space="0" w:color="auto"/>
                        <w:bottom w:val="none" w:sz="0" w:space="0" w:color="auto"/>
                        <w:right w:val="none" w:sz="0" w:space="0" w:color="auto"/>
                      </w:divBdr>
                      <w:divsChild>
                        <w:div w:id="1953826063">
                          <w:marLeft w:val="0"/>
                          <w:marRight w:val="0"/>
                          <w:marTop w:val="0"/>
                          <w:marBottom w:val="0"/>
                          <w:divBdr>
                            <w:top w:val="none" w:sz="0" w:space="0" w:color="auto"/>
                            <w:left w:val="none" w:sz="0" w:space="0" w:color="auto"/>
                            <w:bottom w:val="none" w:sz="0" w:space="0" w:color="auto"/>
                            <w:right w:val="none" w:sz="0" w:space="0" w:color="auto"/>
                          </w:divBdr>
                          <w:divsChild>
                            <w:div w:id="7362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906274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402475">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191248">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47237914">
      <w:bodyDiv w:val="1"/>
      <w:marLeft w:val="0"/>
      <w:marRight w:val="0"/>
      <w:marTop w:val="0"/>
      <w:marBottom w:val="0"/>
      <w:divBdr>
        <w:top w:val="none" w:sz="0" w:space="0" w:color="auto"/>
        <w:left w:val="none" w:sz="0" w:space="0" w:color="auto"/>
        <w:bottom w:val="none" w:sz="0" w:space="0" w:color="auto"/>
        <w:right w:val="none" w:sz="0" w:space="0" w:color="auto"/>
      </w:divBdr>
    </w:div>
    <w:div w:id="1633711086">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34580859">
      <w:bodyDiv w:val="1"/>
      <w:marLeft w:val="0"/>
      <w:marRight w:val="0"/>
      <w:marTop w:val="0"/>
      <w:marBottom w:val="0"/>
      <w:divBdr>
        <w:top w:val="none" w:sz="0" w:space="0" w:color="auto"/>
        <w:left w:val="none" w:sz="0" w:space="0" w:color="auto"/>
        <w:bottom w:val="none" w:sz="0" w:space="0" w:color="auto"/>
        <w:right w:val="none" w:sz="0" w:space="0" w:color="auto"/>
      </w:divBdr>
    </w:div>
    <w:div w:id="1996763102">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9089263">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E2A74-61EF-4353-9FB0-121009828713}">
  <ds:schemaRefs>
    <ds:schemaRef ds:uri="http://schemas.microsoft.com/office/2006/metadata/longProperties"/>
  </ds:schemaRefs>
</ds:datastoreItem>
</file>

<file path=customXml/itemProps2.xml><?xml version="1.0" encoding="utf-8"?>
<ds:datastoreItem xmlns:ds="http://schemas.openxmlformats.org/officeDocument/2006/customXml" ds:itemID="{8C5E825D-4310-402C-8F26-10C3AFF91246}">
  <ds:schemaRefs>
    <ds:schemaRef ds:uri="http://schemas.microsoft.com/sharepoint/v3/contenttype/forms"/>
  </ds:schemaRefs>
</ds:datastoreItem>
</file>

<file path=customXml/itemProps3.xml><?xml version="1.0" encoding="utf-8"?>
<ds:datastoreItem xmlns:ds="http://schemas.openxmlformats.org/officeDocument/2006/customXml" ds:itemID="{62D4BEE8-4932-40E4-AD4D-508A1F58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346F7-2CFF-4157-8A69-97B6457E0393}">
  <ds:schemaRefs>
    <ds:schemaRef ds:uri="http://schemas.microsoft.com/office/2006/documentManagement/types"/>
    <ds:schemaRef ds:uri="http://purl.org/dc/elements/1.1/"/>
    <ds:schemaRef ds:uri="http://schemas.microsoft.com/office/infopath/2007/PartnerControls"/>
    <ds:schemaRef ds:uri="0403aeb7-10dd-41a9-8f8e-1fc0ec5546a5"/>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8B6009A-1824-44AC-8ADD-D0BC2009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26878</Words>
  <Characters>15321</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6.1.4. specifiskā atbalsta mērķa "Pilsētu infrastruktūras sasaiste ar TEN-T tīklu” 6.1.4.2.pasākuma „Nacionālas nozīmes attīstības centru integrēšana TEN-T tīklā”  īsten</vt:lpstr>
      <vt:lpstr>Ministru kabineta noteikumu projekta„Darbības programmas "Izaugsme un nodarbinātība" 6.1.4. specifiskā atbalsta mērķa "Pilsētu infrastruktūras sasaiste ar TEN-T tīklu”6.1.4.1.pasākuma „Rīgas ostas un Rīgas pilsētas integrēšana TEN-T tīklā”īstenošanas note</vt:lpstr>
    </vt:vector>
  </TitlesOfParts>
  <Company/>
  <LinksUpToDate>false</LinksUpToDate>
  <CharactersWithSpaces>42115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6.1.4. specifiskā atbalsta mērķa "Pilsētu infrastruktūras sasaiste ar TEN-T tīklu” 6.1.4.2.pasākuma „Nacionālas nozīmes attīstības centru integrēšana TEN-T tīklā”  īstenošanas noteikumi” sākotnējās ietekmes novērtējuma ziņojums (anotācija)</dc:title>
  <dc:subject>MK noteikumu anotācija</dc:subject>
  <dc:creator>Andžela Koroktoručko Investīciju departamenta direktores vietniece</dc:creator>
  <dc:description>Andzela.Korotkorucko@sam.gov.lv</dc:description>
  <cp:lastModifiedBy>Gunita Kupča</cp:lastModifiedBy>
  <cp:revision>9</cp:revision>
  <cp:lastPrinted>2016-08-19T07:56:00Z</cp:lastPrinted>
  <dcterms:created xsi:type="dcterms:W3CDTF">2016-08-16T14:12:00Z</dcterms:created>
  <dcterms:modified xsi:type="dcterms:W3CDTF">2016-08-19T08:00:00Z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