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67" w:rsidRPr="00D65FA4" w:rsidRDefault="00001BAC" w:rsidP="00001BAC">
      <w:pPr>
        <w:pStyle w:val="naisc"/>
        <w:spacing w:before="0" w:after="0"/>
        <w:rPr>
          <w:b/>
          <w:bCs/>
        </w:rPr>
      </w:pPr>
      <w:r w:rsidRPr="00001BAC">
        <w:rPr>
          <w:b/>
          <w:bCs/>
        </w:rPr>
        <w:t>Ministru kabineta rīkojuma projekta „</w:t>
      </w:r>
      <w:r w:rsidRPr="00001BAC">
        <w:rPr>
          <w:b/>
        </w:rPr>
        <w:t>Grozījumi Elektronisko identifikācijas karšu koncepcijā</w:t>
      </w:r>
      <w:r w:rsidRPr="00001BAC">
        <w:rPr>
          <w:b/>
          <w:bCs/>
        </w:rPr>
        <w:t xml:space="preserve">” </w:t>
      </w:r>
      <w:r w:rsidRPr="00001BAC">
        <w:rPr>
          <w:b/>
        </w:rPr>
        <w:t>sākotnējās ietek</w:t>
      </w:r>
      <w:bookmarkStart w:id="0" w:name="_GoBack"/>
      <w:bookmarkEnd w:id="0"/>
      <w:r w:rsidRPr="00001BAC">
        <w:rPr>
          <w:b/>
        </w:rPr>
        <w:t>mes novērtējuma ziņojums (</w:t>
      </w:r>
      <w:r w:rsidRPr="00001BAC">
        <w:rPr>
          <w:b/>
          <w:bCs/>
        </w:rPr>
        <w:t>anotācija)</w:t>
      </w:r>
    </w:p>
    <w:p w:rsidR="001A1967" w:rsidRPr="00D65FA4" w:rsidRDefault="001A1967" w:rsidP="001A1967">
      <w:pPr>
        <w:pStyle w:val="Footer"/>
        <w:jc w:val="center"/>
        <w:rPr>
          <w:b/>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41"/>
        <w:gridCol w:w="2458"/>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D65FA4" w:rsidRDefault="001A1967" w:rsidP="004E5CC3">
            <w:pPr>
              <w:snapToGrid w:val="0"/>
              <w:jc w:val="center"/>
              <w:rPr>
                <w:b/>
                <w:bCs/>
                <w:color w:val="000000"/>
              </w:rPr>
            </w:pPr>
            <w:r w:rsidRPr="00D65FA4">
              <w:rPr>
                <w:b/>
                <w:bCs/>
                <w:color w:val="000000"/>
              </w:rPr>
              <w:t>I. Tiesību akta projekta izstrādes nepieciešamība</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1.</w:t>
            </w:r>
          </w:p>
        </w:tc>
        <w:tc>
          <w:tcPr>
            <w:tcW w:w="2458"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Pamatojums</w:t>
            </w:r>
          </w:p>
        </w:tc>
        <w:tc>
          <w:tcPr>
            <w:tcW w:w="6237" w:type="dxa"/>
            <w:tcBorders>
              <w:top w:val="single" w:sz="4" w:space="0" w:color="auto"/>
              <w:left w:val="single" w:sz="4" w:space="0" w:color="auto"/>
              <w:bottom w:val="single" w:sz="4" w:space="0" w:color="auto"/>
              <w:right w:val="single" w:sz="4" w:space="0" w:color="auto"/>
            </w:tcBorders>
          </w:tcPr>
          <w:p w:rsidR="00001BAC" w:rsidRPr="005C4A67" w:rsidRDefault="00001BAC" w:rsidP="00001BAC">
            <w:pPr>
              <w:jc w:val="both"/>
            </w:pPr>
            <w:r w:rsidRPr="005C4A67">
              <w:t>Elektronisko identifikācijas karšu koncepcija</w:t>
            </w:r>
            <w:r>
              <w:t xml:space="preserve">, kas </w:t>
            </w:r>
            <w:r w:rsidRPr="005C4A67">
              <w:t>apstiprināta ar 2010. gada 10.februāra Ministru kabineta rīkojumu Nr.62; grozīta ar Ministru kabineta 2011.</w:t>
            </w:r>
            <w:r>
              <w:t>gada 16.augusta rīkojumu Nr.377</w:t>
            </w:r>
            <w:r w:rsidRPr="005C4A67">
              <w:t xml:space="preserve"> (turpmāk - Koncepcija).</w:t>
            </w:r>
          </w:p>
          <w:p w:rsidR="00001BAC" w:rsidRPr="005C4A67" w:rsidRDefault="00001BAC" w:rsidP="00001BAC">
            <w:pPr>
              <w:jc w:val="both"/>
            </w:pPr>
            <w:r>
              <w:t>“</w:t>
            </w:r>
            <w:r w:rsidRPr="005C4A67">
              <w:t>Valdības rīcības plān</w:t>
            </w:r>
            <w:r>
              <w:t>s</w:t>
            </w:r>
            <w:r w:rsidRPr="005C4A67">
              <w:t xml:space="preserve"> Deklarācijas par Māra Kučinska vadītā Ministru kabineta iecerēto darbību īstenošanai”</w:t>
            </w:r>
            <w:r>
              <w:t xml:space="preserve">, kas </w:t>
            </w:r>
            <w:r w:rsidRPr="005C4A67">
              <w:t>apstiprināts ar Ministru kabineta 2016.gada 3.maija rīkojumu Nr.275</w:t>
            </w:r>
            <w:r>
              <w:t>,</w:t>
            </w:r>
            <w:r w:rsidRPr="005C4A67">
              <w:t xml:space="preserve"> deklarācijas sadaļa</w:t>
            </w:r>
            <w:r>
              <w:t>s</w:t>
            </w:r>
            <w:r w:rsidRPr="005C4A67">
              <w:t xml:space="preserve"> “</w:t>
            </w:r>
            <w:r>
              <w:t xml:space="preserve">Tautsaimniecības stiprināšana” </w:t>
            </w:r>
            <w:r w:rsidRPr="005C4A67">
              <w:t>pasākum</w:t>
            </w:r>
            <w:r>
              <w:t>s</w:t>
            </w:r>
            <w:r w:rsidRPr="005C4A67">
              <w:t xml:space="preserve"> Nr.35.9</w:t>
            </w:r>
            <w:r w:rsidR="00144F43">
              <w:t xml:space="preserve"> (turpmāk – Valdības rīcības plāns)</w:t>
            </w:r>
            <w:r w:rsidRPr="005C4A67">
              <w:t>.</w:t>
            </w:r>
          </w:p>
          <w:p w:rsidR="00001BAC" w:rsidRPr="005C4A67" w:rsidRDefault="00001BAC" w:rsidP="00001BAC">
            <w:pPr>
              <w:jc w:val="both"/>
            </w:pPr>
            <w:r w:rsidRPr="005C4A67">
              <w:t>Informācijas sabiedrības attīstības pamatnostādnes 2014.-2020.gadam</w:t>
            </w:r>
            <w:r>
              <w:t>,</w:t>
            </w:r>
            <w:r w:rsidR="006C5C29">
              <w:t xml:space="preserve"> </w:t>
            </w:r>
            <w:r>
              <w:t>kas</w:t>
            </w:r>
            <w:r w:rsidRPr="005C4A67">
              <w:t xml:space="preserve"> </w:t>
            </w:r>
            <w:r>
              <w:t xml:space="preserve">apstiprinātas ar Ministru kabineta 2013.gada 14.oktobra rīkojumu Nr.468, </w:t>
            </w:r>
            <w:r w:rsidRPr="005C4A67">
              <w:t>5.4. un 5.5 nodaļa</w:t>
            </w:r>
            <w:r>
              <w:t>.</w:t>
            </w:r>
          </w:p>
          <w:p w:rsidR="001A1967" w:rsidRPr="009673CC" w:rsidRDefault="00001BAC" w:rsidP="00001BAC">
            <w:pPr>
              <w:ind w:right="111"/>
              <w:jc w:val="both"/>
            </w:pPr>
            <w:r w:rsidRPr="005C4A67">
              <w:t>Pamatnostādnes "Latvijas kiberdrošības stratēģija 2014.-2018.gadam"</w:t>
            </w:r>
            <w:r>
              <w:t xml:space="preserve">, kas </w:t>
            </w:r>
            <w:r w:rsidRPr="005C4A67">
              <w:t>apstiprinātas ar</w:t>
            </w:r>
            <w:r w:rsidRPr="005C4A67">
              <w:rPr>
                <w:rStyle w:val="col-sm-91"/>
                <w:b/>
                <w:bCs/>
              </w:rPr>
              <w:t xml:space="preserve"> </w:t>
            </w:r>
            <w:hyperlink r:id="rId9" w:tgtFrame="_self" w:history="1">
              <w:r w:rsidRPr="005C4A67">
                <w:rPr>
                  <w:rStyle w:val="Hyperlink"/>
                  <w:color w:val="auto"/>
                </w:rPr>
                <w:t>Ministru kabineta 2014.gada 21.janvāra rīkojumu Nr.40</w:t>
              </w:r>
            </w:hyperlink>
            <w:r w:rsidRPr="005C4A67">
              <w:rPr>
                <w:rStyle w:val="file-details3"/>
              </w:rPr>
              <w:t xml:space="preserve">, </w:t>
            </w:r>
            <w:r w:rsidRPr="00001BAC">
              <w:rPr>
                <w:rStyle w:val="file-details3"/>
                <w:sz w:val="24"/>
                <w:szCs w:val="24"/>
              </w:rPr>
              <w:t>grozītas ar</w:t>
            </w:r>
            <w:r w:rsidRPr="005C4A67">
              <w:rPr>
                <w:rStyle w:val="file-details3"/>
              </w:rPr>
              <w:t xml:space="preserve"> </w:t>
            </w:r>
            <w:hyperlink r:id="rId10" w:tgtFrame="_self" w:history="1">
              <w:r w:rsidRPr="005C4A67">
                <w:rPr>
                  <w:rStyle w:val="Hyperlink"/>
                  <w:color w:val="auto"/>
                </w:rPr>
                <w:t>Ministru kabineta 2014.gada 9.jūlija rīkojumu Nr.347</w:t>
              </w:r>
            </w:hyperlink>
            <w:r>
              <w:rPr>
                <w:rStyle w:val="file-details3"/>
              </w:rPr>
              <w:t>.</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2.</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t>Pašreizējā situācija un problēmas, kuru risināšanai tiesību akta projekts izstrādāts, tiesiskā regulējuma mērķis un būtība</w:t>
            </w:r>
          </w:p>
        </w:tc>
        <w:tc>
          <w:tcPr>
            <w:tcW w:w="6237" w:type="dxa"/>
            <w:tcBorders>
              <w:top w:val="single" w:sz="4" w:space="0" w:color="auto"/>
              <w:left w:val="single" w:sz="4" w:space="0" w:color="auto"/>
              <w:bottom w:val="single" w:sz="4" w:space="0" w:color="auto"/>
              <w:right w:val="single" w:sz="4" w:space="0" w:color="auto"/>
            </w:tcBorders>
          </w:tcPr>
          <w:p w:rsidR="001A1967" w:rsidRPr="0026499C" w:rsidRDefault="00001BAC" w:rsidP="00001BAC">
            <w:pPr>
              <w:ind w:right="111" w:firstLine="395"/>
              <w:jc w:val="both"/>
            </w:pPr>
            <w:r w:rsidRPr="0026499C">
              <w:t>Ministru kabineta rīkojuma projekta izstrādes mērķis ir</w:t>
            </w:r>
            <w:r w:rsidR="00E9701F" w:rsidRPr="0026499C">
              <w:t>,</w:t>
            </w:r>
            <w:r w:rsidRPr="0026499C">
              <w:t xml:space="preserve"> sākot ar 2017.gada 1.janvāri</w:t>
            </w:r>
            <w:r w:rsidR="00E9701F" w:rsidRPr="0026499C">
              <w:t>,</w:t>
            </w:r>
            <w:r w:rsidRPr="0026499C">
              <w:t xml:space="preserve"> nodrošināt sertifikācijas pakalpojuma sniegšanas nepārtrauktību, kas ir </w:t>
            </w:r>
            <w:r w:rsidR="00B30E8A" w:rsidRPr="0026499C">
              <w:t>elektroniskās identifikācijas kartes (personas apliecība</w:t>
            </w:r>
            <w:r w:rsidR="00E9701F" w:rsidRPr="0026499C">
              <w:t>s</w:t>
            </w:r>
            <w:r w:rsidR="00B30E8A" w:rsidRPr="0026499C">
              <w:t xml:space="preserve">) (turpmāk – eID karte) </w:t>
            </w:r>
            <w:r w:rsidRPr="0026499C">
              <w:t>viena no svarīgākajām pamatfunkcijām – personas identitātes un gribas apliecināšana elektroniskajā vidē.</w:t>
            </w:r>
          </w:p>
          <w:p w:rsidR="00001BAC" w:rsidRPr="0026499C" w:rsidRDefault="00001BAC" w:rsidP="00001BAC">
            <w:pPr>
              <w:jc w:val="both"/>
            </w:pPr>
            <w:r w:rsidRPr="0026499C">
              <w:rPr>
                <w:b/>
              </w:rPr>
              <w:t>1.</w:t>
            </w:r>
            <w:r w:rsidRPr="0026499C">
              <w:t> Koncepcijas mērķis bija ieviest jaunu personu apliecinošu dokumentu –</w:t>
            </w:r>
            <w:r w:rsidR="00B30E8A" w:rsidRPr="0026499C">
              <w:t xml:space="preserve"> eID karti</w:t>
            </w:r>
            <w:r w:rsidRPr="0026499C">
              <w:t xml:space="preserve">, kas cita starpā nodrošinātu Latvijas pilsoņu un pastāvīgo iedzīvotāju parakstīšanos ar drošu elektronisko parakstu un autentifikāciju elektroniskajā vidē. Koncepcija paredz, ka eID karte atbilstu Eiropas Savienības (turpmāk – ES) normatīvajos aktos noteiktajām prasībām un Starptautiskās Civilās aviācijas organizācijas (ICAO) standartiem, kā arī efektīvākajā veidā būtu izmantojama elektroniskajā vidē sertifikācijas pakalpojumu saņemšanai, proti, lai autentificētos informācijas sistēmās un lietotu e-parakstu saskarsmē ar valsts un pašvaldību institūcijām. Saskaņā ar apstiprināto Koncepcijā ietvertā risinājuma 3.variantu Pilsonības un migrācijas lietu pārvalde </w:t>
            </w:r>
            <w:r w:rsidR="00144F43" w:rsidRPr="0026499C">
              <w:t xml:space="preserve">(turpmāk – PMLP) </w:t>
            </w:r>
            <w:r w:rsidRPr="0026499C">
              <w:t>izsniedz eID karti, kurā iekļauti autentifikācijas un e-paraksta lietošanas līdzekļi.</w:t>
            </w:r>
          </w:p>
          <w:p w:rsidR="00001BAC" w:rsidRPr="0026499C" w:rsidRDefault="00001BAC" w:rsidP="00001BAC">
            <w:pPr>
              <w:pStyle w:val="BodyText"/>
              <w:spacing w:after="0"/>
              <w:jc w:val="both"/>
            </w:pPr>
            <w:r w:rsidRPr="0026499C">
              <w:rPr>
                <w:b/>
              </w:rPr>
              <w:t>2.</w:t>
            </w:r>
            <w:r w:rsidRPr="0026499C">
              <w:t> </w:t>
            </w:r>
            <w:r w:rsidR="00144F43" w:rsidRPr="0026499C">
              <w:t>P</w:t>
            </w:r>
            <w:r w:rsidR="00144F43" w:rsidRPr="0026499C">
              <w:rPr>
                <w:bCs/>
              </w:rPr>
              <w:t xml:space="preserve">amatojoties uz Ministru kabineta 2008.gada 28.maija sēdes </w:t>
            </w:r>
            <w:proofErr w:type="spellStart"/>
            <w:r w:rsidR="00144F43" w:rsidRPr="0026499C">
              <w:rPr>
                <w:bCs/>
              </w:rPr>
              <w:t>protokollēmumu</w:t>
            </w:r>
            <w:proofErr w:type="spellEnd"/>
            <w:r w:rsidR="00144F43" w:rsidRPr="0026499C">
              <w:rPr>
                <w:bCs/>
              </w:rPr>
              <w:t xml:space="preserve"> (Nr.35, 2.</w:t>
            </w:r>
            <w:r w:rsidR="00144F43" w:rsidRPr="0026499C">
              <w:t>§),</w:t>
            </w:r>
            <w:r w:rsidR="00144F43" w:rsidRPr="0026499C">
              <w:rPr>
                <w:bCs/>
              </w:rPr>
              <w:t xml:space="preserve"> s</w:t>
            </w:r>
            <w:r w:rsidRPr="0026499C">
              <w:rPr>
                <w:bCs/>
              </w:rPr>
              <w:t>ākot ar 2009.gada 1.jūniju</w:t>
            </w:r>
            <w:r w:rsidR="00144F43" w:rsidRPr="0026499C">
              <w:rPr>
                <w:bCs/>
              </w:rPr>
              <w:t xml:space="preserve">, </w:t>
            </w:r>
            <w:r w:rsidRPr="0026499C">
              <w:rPr>
                <w:bCs/>
              </w:rPr>
              <w:t xml:space="preserve"> vienīgais uzticamais sertifikācijas pakalpojumu sniedzējs </w:t>
            </w:r>
            <w:r w:rsidR="00B30E8A" w:rsidRPr="0026499C">
              <w:rPr>
                <w:bCs/>
              </w:rPr>
              <w:t xml:space="preserve">(turpmāk – USPS) </w:t>
            </w:r>
            <w:r w:rsidRPr="0026499C">
              <w:rPr>
                <w:bCs/>
              </w:rPr>
              <w:t xml:space="preserve">Latvijā ir </w:t>
            </w:r>
            <w:r w:rsidR="00144F43" w:rsidRPr="0026499C">
              <w:rPr>
                <w:bCs/>
              </w:rPr>
              <w:t xml:space="preserve">valsts akciju sabiedrība “Latvijas Valsts radio un televīzijas centrs” (turpmāk – </w:t>
            </w:r>
            <w:r w:rsidRPr="0026499C">
              <w:rPr>
                <w:bCs/>
              </w:rPr>
              <w:t>LVRTC</w:t>
            </w:r>
            <w:r w:rsidR="00144F43" w:rsidRPr="0026499C">
              <w:rPr>
                <w:bCs/>
              </w:rPr>
              <w:t>)</w:t>
            </w:r>
            <w:r w:rsidRPr="0026499C">
              <w:rPr>
                <w:bCs/>
              </w:rPr>
              <w:t xml:space="preserve">. Ar Ministru kabineta </w:t>
            </w:r>
            <w:r w:rsidRPr="0026499C">
              <w:t>2011.gada 16.augusta</w:t>
            </w:r>
            <w:r w:rsidRPr="0026499C">
              <w:rPr>
                <w:bCs/>
              </w:rPr>
              <w:t xml:space="preserve"> rīkojumu Nr.377</w:t>
            </w:r>
            <w:r w:rsidRPr="0026499C">
              <w:t xml:space="preserve"> “</w:t>
            </w:r>
            <w:r w:rsidRPr="0026499C">
              <w:rPr>
                <w:bCs/>
              </w:rPr>
              <w:t xml:space="preserve">Grozījumi Elektronisko identifikācijas karšu koncepcijā” (turpmāk – Rīkojums) tika noteikts, ka sertifikācijas pakalpojumus personas apliecībā sniedz </w:t>
            </w:r>
            <w:r w:rsidR="00144F43" w:rsidRPr="0026499C">
              <w:t>LVRTC</w:t>
            </w:r>
            <w:r w:rsidRPr="0026499C">
              <w:t xml:space="preserve">. Ar Rīkojuma </w:t>
            </w:r>
            <w:r w:rsidRPr="0026499C">
              <w:lastRenderedPageBreak/>
              <w:t xml:space="preserve">3.punktu </w:t>
            </w:r>
            <w:r w:rsidR="00144F43" w:rsidRPr="0026499C">
              <w:t>PMLP</w:t>
            </w:r>
            <w:r w:rsidRPr="0026499C">
              <w:t xml:space="preserve"> saskaņā ar Publisko iepirkumu likuma 8.panta septīto un 7.</w:t>
            </w:r>
            <w:r w:rsidRPr="0026499C">
              <w:rPr>
                <w:vertAlign w:val="superscript"/>
              </w:rPr>
              <w:t>1</w:t>
            </w:r>
            <w:r w:rsidRPr="0026499C">
              <w:t xml:space="preserve"> daļu tika uzdots noslēgt līgumu ar LVRTC par sertifikācijas pakalpojumu piegādi eID kartes izsniegšanas nodrošināšanai, paredzot, ka līguma darbības termiņš ir pieci gadi.</w:t>
            </w:r>
          </w:p>
          <w:p w:rsidR="00001BAC" w:rsidRPr="0026499C" w:rsidRDefault="00001BAC" w:rsidP="00001BAC">
            <w:pPr>
              <w:autoSpaceDE w:val="0"/>
              <w:autoSpaceDN w:val="0"/>
              <w:adjustRightInd w:val="0"/>
              <w:jc w:val="both"/>
            </w:pPr>
            <w:r w:rsidRPr="0026499C">
              <w:rPr>
                <w:b/>
              </w:rPr>
              <w:t>3.</w:t>
            </w:r>
            <w:r w:rsidRPr="0026499C">
              <w:t xml:space="preserve"> Personu apliecinošu dokumentu likuma (turpmāk – Likums) 5.panta ceturtā daļa nosaka, ka personas apliecībā iekļauj informāciju elektroniskā formā, kas nepieciešama personas apliecības turētāja elektroniskai identitātes pārbaudei, kā arī droša elektroniskā paraksta radīšanai. Ministru kabinets nosaka personas apliecībā iekļaujamās informācijas apjomu un saturu, tās izveidošanas, aktivizēšanas, deaktivizēšanas un atjaunošanas kārtību, kā arī lietošanas ierobežojumus. Uz Likuma pamata izdoto </w:t>
            </w:r>
            <w:r w:rsidRPr="0026499C">
              <w:rPr>
                <w:bCs/>
              </w:rPr>
              <w:t xml:space="preserve">Ministru kabineta </w:t>
            </w:r>
            <w:r w:rsidRPr="0026499C">
              <w:t>2012.gada 21.februāra</w:t>
            </w:r>
            <w:r w:rsidRPr="0026499C">
              <w:rPr>
                <w:bCs/>
              </w:rPr>
              <w:t xml:space="preserve"> noteikumu Nr.134</w:t>
            </w:r>
            <w:r w:rsidRPr="0026499C">
              <w:t xml:space="preserve"> “Personu apliecinošu dokumentu noteikumi” (turpmāk – Noteikumi) 11.punktā ir noteikts, ka personas apliecībā ir iestrādāts datu nesējs – kontakta mikroshēma, kura atbilst prasībām, kas tiesību aktos noteiktas drošiem elektroniskā paraksta radīšanas līdzekļiem, un kurā personai no 14 gadu vecuma ir iekļauta šāda informācija:</w:t>
            </w:r>
          </w:p>
          <w:p w:rsidR="00001BAC" w:rsidRPr="0026499C" w:rsidRDefault="00001BAC" w:rsidP="00001BAC">
            <w:pPr>
              <w:pStyle w:val="tv213"/>
              <w:numPr>
                <w:ilvl w:val="0"/>
                <w:numId w:val="6"/>
              </w:numPr>
              <w:spacing w:before="0" w:beforeAutospacing="0" w:after="0" w:afterAutospacing="0"/>
            </w:pPr>
            <w:r w:rsidRPr="0026499C">
              <w:t>dati elektroniskā paraksta radīšanai un pārbaudei;</w:t>
            </w:r>
          </w:p>
          <w:p w:rsidR="00001BAC" w:rsidRPr="0026499C" w:rsidRDefault="00001BAC" w:rsidP="00001BAC">
            <w:pPr>
              <w:pStyle w:val="tv213"/>
              <w:numPr>
                <w:ilvl w:val="0"/>
                <w:numId w:val="6"/>
              </w:numPr>
              <w:spacing w:before="0" w:beforeAutospacing="0" w:after="0" w:afterAutospacing="0"/>
            </w:pPr>
            <w:r w:rsidRPr="0026499C">
              <w:t>kvalificēts elektroniskā paraksta sertifikāts;</w:t>
            </w:r>
          </w:p>
          <w:p w:rsidR="00001BAC" w:rsidRPr="0026499C" w:rsidRDefault="00001BAC" w:rsidP="00001BAC">
            <w:pPr>
              <w:pStyle w:val="tv213"/>
              <w:numPr>
                <w:ilvl w:val="0"/>
                <w:numId w:val="6"/>
              </w:numPr>
              <w:spacing w:before="0" w:beforeAutospacing="0" w:after="0" w:afterAutospacing="0"/>
            </w:pPr>
            <w:r w:rsidRPr="0026499C">
              <w:t>dati elektroniskai identitātes apliecināšanai un pārbaudei;</w:t>
            </w:r>
          </w:p>
          <w:p w:rsidR="00001BAC" w:rsidRPr="0026499C" w:rsidRDefault="00001BAC" w:rsidP="00001BAC">
            <w:pPr>
              <w:pStyle w:val="tv213"/>
              <w:numPr>
                <w:ilvl w:val="0"/>
                <w:numId w:val="6"/>
              </w:numPr>
              <w:spacing w:before="0" w:beforeAutospacing="0" w:after="0" w:afterAutospacing="0"/>
            </w:pPr>
            <w:r w:rsidRPr="0026499C">
              <w:t>autentifikācijas sertifikāts;</w:t>
            </w:r>
          </w:p>
          <w:p w:rsidR="00001BAC" w:rsidRPr="0026499C" w:rsidRDefault="00001BAC" w:rsidP="00001BAC">
            <w:pPr>
              <w:pStyle w:val="tv213"/>
              <w:numPr>
                <w:ilvl w:val="0"/>
                <w:numId w:val="6"/>
              </w:numPr>
              <w:spacing w:before="0" w:beforeAutospacing="0" w:after="0" w:afterAutospacing="0"/>
              <w:ind w:left="730" w:hanging="284"/>
            </w:pPr>
            <w:r w:rsidRPr="0026499C">
              <w:t>dati iekļautās informācijas aizsardzībai un automatizētai apstrādei (metadati).</w:t>
            </w:r>
          </w:p>
          <w:p w:rsidR="00001BAC" w:rsidRPr="0026499C" w:rsidRDefault="00001BAC" w:rsidP="00001BAC">
            <w:pPr>
              <w:autoSpaceDE w:val="0"/>
              <w:autoSpaceDN w:val="0"/>
              <w:adjustRightInd w:val="0"/>
              <w:jc w:val="both"/>
            </w:pPr>
            <w:r w:rsidRPr="0026499C">
              <w:t>Noteikumu 32.punkt</w:t>
            </w:r>
            <w:r w:rsidR="00144F43" w:rsidRPr="0026499C">
              <w:t>ā</w:t>
            </w:r>
            <w:r w:rsidRPr="0026499C">
              <w:t xml:space="preserve"> ir noteikts, ka, ja personas apliecībā ir iekļaujam</w:t>
            </w:r>
            <w:r w:rsidR="00144F43" w:rsidRPr="0026499C">
              <w:t>a</w:t>
            </w:r>
            <w:r w:rsidRPr="0026499C">
              <w:t xml:space="preserve"> Noteikumu 11.2. un 11.4. apakšpunktā minētā informācija (turpmāk – sertifikāti), persona piesakās </w:t>
            </w:r>
            <w:r w:rsidR="00B30E8A" w:rsidRPr="0026499C">
              <w:t>LVRTC kā USPS</w:t>
            </w:r>
            <w:r w:rsidRPr="0026499C">
              <w:t xml:space="preserve"> sniegtajiem sertifikācijas pakalpojumiem (turpmāk – sertifikācijas pakalpojumi). Līdz ar to Noteikum</w:t>
            </w:r>
            <w:r w:rsidR="00144F43" w:rsidRPr="0026499C">
              <w:t>os</w:t>
            </w:r>
            <w:r w:rsidRPr="0026499C">
              <w:t xml:space="preserve"> ir noteikts, ka sertifikācijas pakalpojumus personas apliecības turētājam sniedz </w:t>
            </w:r>
            <w:r w:rsidR="00144F43" w:rsidRPr="0026499C">
              <w:t>LVRTC</w:t>
            </w:r>
            <w:r w:rsidRPr="0026499C">
              <w:t>.</w:t>
            </w:r>
          </w:p>
          <w:p w:rsidR="00001BAC" w:rsidRPr="0026499C" w:rsidRDefault="00001BAC" w:rsidP="00001BAC">
            <w:pPr>
              <w:pStyle w:val="tv213"/>
              <w:spacing w:before="0" w:beforeAutospacing="0" w:after="0" w:afterAutospacing="0"/>
              <w:jc w:val="both"/>
            </w:pPr>
            <w:r w:rsidRPr="0026499C">
              <w:rPr>
                <w:b/>
              </w:rPr>
              <w:t>4.</w:t>
            </w:r>
            <w:r w:rsidRPr="0026499C">
              <w:t xml:space="preserve"> Lai nodrošinātu Rīkojuma, kā arī Likuma un Noteikumu izpildi, 2012.gada 2.janvārī starp LVRTC un PMLP tika noslēgts Līgums par sertifikācijas pakalpojumu sniegšanu Nr.2011/39 (turpmāk – Līgums). Līgums paredz, ka PMLP pasūta un LVRTC sniedz sertifikācijas pakalpojumus, lai PMLP nodrošinātu autentifikācijas sertifikātu, parakstīšanas sertifikātu un šifrēšanas sertifikātu iekļaušanu personas apliecībā. Līgums paredz LVRTC nodrošināt personas apliecības turētājam bezmaksas 120 laika zīmogus. Saskaņā ar Līgumu LVRTC sniedz sertifikācijas pakalpojumus PMLP līdz </w:t>
            </w:r>
            <w:r w:rsidRPr="0026499C">
              <w:rPr>
                <w:u w:val="single"/>
              </w:rPr>
              <w:t>2016.gada 31.decembrim. Ievērojot minēto, secināms, ka nav tiesiski noteikta risinājuma, kas no 2017.gada 1.janvāra nodrošinās sertifikācijas pakalpojuma sniegšanas nepārtrauktību. Proti, beidzoties Līguma termiņam eID kartēs netiks nodrošināta viena no tās svarīgākajām pamatfunkcijām – personas identitātes un gribas apliecināšana elektroniskajā vidē.</w:t>
            </w:r>
            <w:r w:rsidRPr="0026499C">
              <w:t xml:space="preserve"> Pakalpojuma nepārtrauktības nodrošināšana vienlīdz ir </w:t>
            </w:r>
            <w:r w:rsidRPr="0026499C">
              <w:lastRenderedPageBreak/>
              <w:t>nozīmīga arī esošajiem eID kartes lietotājiem, kuri ir saņēmuši vai saņems eID kartes līdz līguma darbības beigām</w:t>
            </w:r>
            <w:r w:rsidR="00144F43" w:rsidRPr="0026499C">
              <w:t xml:space="preserve"> -</w:t>
            </w:r>
            <w:r w:rsidRPr="0026499C">
              <w:t xml:space="preserve"> 2016.gada 31.decembr</w:t>
            </w:r>
            <w:r w:rsidR="00144F43" w:rsidRPr="0026499C">
              <w:t>im</w:t>
            </w:r>
            <w:r w:rsidRPr="0026499C">
              <w:t>. Minētā līguma ietvaros izsniegtās eID kartes, atkarībā no izsniegšanas datuma, būs derīgas līdz 2021.gada 31.decembrim, līdz ar to ir nepieciešams radīt pēctecības mehānismu, kas spētu eID karšu lietotājiem sniegt pilnvērtīgu atbalstu eID kartē iekļauto elektronisko iespēju izmantošanā.</w:t>
            </w:r>
          </w:p>
          <w:p w:rsidR="00001BAC" w:rsidRPr="0026499C" w:rsidRDefault="00001BAC" w:rsidP="00001BAC">
            <w:pPr>
              <w:pStyle w:val="BodyText"/>
              <w:spacing w:after="0"/>
              <w:jc w:val="both"/>
            </w:pPr>
            <w:r w:rsidRPr="0026499C">
              <w:rPr>
                <w:b/>
              </w:rPr>
              <w:t xml:space="preserve">5. </w:t>
            </w:r>
            <w:r w:rsidRPr="0026499C">
              <w:t xml:space="preserve">Lai nodrošinātu privātpersonām maksimāli efektīvu pakalpojumu sniegšanu un ērtu pakalpojumu pieejamību, kā arī, lai īstenotu </w:t>
            </w:r>
            <w:r w:rsidR="00144F43" w:rsidRPr="0026499C">
              <w:t>Valdības rīcības plān</w:t>
            </w:r>
            <w:r w:rsidR="00D61797" w:rsidRPr="0026499C">
              <w:t>ā</w:t>
            </w:r>
            <w:r w:rsidR="00144F43" w:rsidRPr="0026499C">
              <w:t xml:space="preserve"> </w:t>
            </w:r>
            <w:r w:rsidRPr="0026499C">
              <w:t xml:space="preserve">iecerēto un Ministru kabineta prioritāro rīcības virzienu tautsaimniecības attīstībai paredzēto, šobrīd tiek izstrādāti vairāki apjomīgi un būtiski nozaru projekti elektroniskās pārvaldes attīstībā, kuru izmantošanai nepieciešama personas identificēšana, realizējot to ar eID kartes starpniecību. </w:t>
            </w:r>
          </w:p>
          <w:p w:rsidR="00001BAC" w:rsidRPr="0026499C" w:rsidRDefault="00001BAC" w:rsidP="00001BAC">
            <w:pPr>
              <w:pStyle w:val="BodyText"/>
              <w:spacing w:after="0"/>
              <w:jc w:val="both"/>
            </w:pPr>
            <w:r w:rsidRPr="0026499C">
              <w:t xml:space="preserve">Oficiālās elektroniskās adreses likums 2016.gada 16.jūnijā tika pieņemts Saeimā 3.lasījumā un stāsies spēkā 2018. gada 1. martā. Minētā likuma 9. pants nosaka, </w:t>
            </w:r>
            <w:r w:rsidRPr="0026499C">
              <w:rPr>
                <w:u w:val="single"/>
              </w:rPr>
              <w:t>ka piekļuve oficiālajai elektroniskajai adresei (turpmāk – e-adrese) tiek nodrošināta ar kvalificētiem personas elektroniskās identifikācijas līdzekļiem.  Vienīgais līdzeklis, ko šobrīd valsts var apzināt un garantēti nodrošināt tā atbilstību spēkā esošajam tiesiskajam regulējumam un ar kuru varēs nodrošināt piekļuvi e-adresei</w:t>
            </w:r>
            <w:r w:rsidR="00E9701F" w:rsidRPr="0026499C">
              <w:rPr>
                <w:u w:val="single"/>
              </w:rPr>
              <w:t>,</w:t>
            </w:r>
            <w:r w:rsidRPr="0026499C">
              <w:rPr>
                <w:u w:val="single"/>
              </w:rPr>
              <w:t xml:space="preserve"> ir eID karte</w:t>
            </w:r>
            <w:r w:rsidRPr="0026499C">
              <w:t xml:space="preserve">, jo: </w:t>
            </w:r>
          </w:p>
          <w:p w:rsidR="00001BAC" w:rsidRPr="0026499C" w:rsidRDefault="00D61797" w:rsidP="00001BAC">
            <w:pPr>
              <w:pStyle w:val="BodyText"/>
              <w:numPr>
                <w:ilvl w:val="0"/>
                <w:numId w:val="4"/>
              </w:numPr>
              <w:spacing w:after="0"/>
              <w:jc w:val="both"/>
            </w:pPr>
            <w:r w:rsidRPr="0026499C">
              <w:t>v</w:t>
            </w:r>
            <w:r w:rsidR="00001BAC" w:rsidRPr="0026499C">
              <w:t>alsts nevar garantēt komersantu ieinteresētību sniegt, identifikācijas pakalpojumus, kas saskaņā ar Fizisku personu elektroniskās identifikācijas likumu atbilstu kvalificētie</w:t>
            </w:r>
            <w:r w:rsidR="00E9701F" w:rsidRPr="0026499C">
              <w:t>m identifikācijas pakalpojumiem</w:t>
            </w:r>
            <w:r w:rsidR="00001BAC" w:rsidRPr="0026499C">
              <w:t>, līdz ar to nav zināms</w:t>
            </w:r>
            <w:r w:rsidR="00E9701F" w:rsidRPr="0026499C">
              <w:t>,</w:t>
            </w:r>
            <w:r w:rsidR="00001BAC" w:rsidRPr="0026499C">
              <w:t xml:space="preserve"> vai potenciāli e-adrese būs pieejama ar kādu citu identifikācijas rīku</w:t>
            </w:r>
            <w:r w:rsidR="00E9701F" w:rsidRPr="0026499C">
              <w:t>,</w:t>
            </w:r>
            <w:r w:rsidR="00001BAC" w:rsidRPr="0026499C">
              <w:t xml:space="preserve"> izņemot eID karti. Izrietoši valstij būtu jāgarantē iedzīvotājiem vismaz viens augsta uzticamības līmeņa piekļuves rīks;</w:t>
            </w:r>
          </w:p>
          <w:p w:rsidR="00001BAC" w:rsidRPr="0026499C" w:rsidRDefault="00001BAC" w:rsidP="00001BAC">
            <w:pPr>
              <w:pStyle w:val="BodyText"/>
              <w:numPr>
                <w:ilvl w:val="0"/>
                <w:numId w:val="4"/>
              </w:numPr>
              <w:spacing w:after="0"/>
              <w:jc w:val="both"/>
            </w:pPr>
            <w:r w:rsidRPr="0026499C">
              <w:t>eID karte ir vienīgais prasībām atbilstošais elektroniskās identifikācijas līdzeklis, kurā saskaņā ar Likumu un Noteikumiem tiek iekļauts autentifikācijas un elektroniskā paraksta sertifikāts, kas identificē personu un kas tiek izsniegts no 14 gadu vecuma (e-adresi kā neobligātu varēs izmantot arī Iedzīvotāju reģistrā reģistrēta fiziska personas no 14 gadu vecuma un reģistros nereģistrētas personas).</w:t>
            </w:r>
          </w:p>
          <w:p w:rsidR="00001BAC" w:rsidRPr="0026499C" w:rsidRDefault="00001BAC" w:rsidP="00001BAC">
            <w:pPr>
              <w:pStyle w:val="BodyText"/>
              <w:spacing w:after="0"/>
              <w:jc w:val="both"/>
            </w:pPr>
            <w:r w:rsidRPr="0026499C">
              <w:t>Ministru kabineta 2014.gada 11.marta noteikumu Nr.134 “Noteikumi par vienoto veselības nozares elektronisko informācijas sistēmu” 31.punkts no</w:t>
            </w:r>
            <w:r w:rsidR="00D61797" w:rsidRPr="0026499C">
              <w:t>teic</w:t>
            </w:r>
            <w:r w:rsidRPr="0026499C">
              <w:t xml:space="preserve">, ka no 2017.gada 1.janvāra </w:t>
            </w:r>
            <w:r w:rsidRPr="0026499C">
              <w:rPr>
                <w:u w:val="single"/>
              </w:rPr>
              <w:t>e-veselības informācijas sistēma pacientiem būs pieejama</w:t>
            </w:r>
            <w:r w:rsidR="00E9701F" w:rsidRPr="0026499C">
              <w:rPr>
                <w:u w:val="single"/>
              </w:rPr>
              <w:t>,</w:t>
            </w:r>
            <w:r w:rsidRPr="0026499C">
              <w:rPr>
                <w:u w:val="single"/>
              </w:rPr>
              <w:t xml:space="preserve"> izmantojot tikai eID </w:t>
            </w:r>
            <w:r w:rsidRPr="0026499C">
              <w:t>karti. Secināms, ka pacienta tiesības pilnvērtīgi varēs izmantot tikai tās personas, kurām ir eID kartes ar aktivizētiem droša elektroniskā paraksta un autentifikācijas sertifikātiem – šobrīd tikai 8.65% no kopējā iedzīvotāju skaita.</w:t>
            </w:r>
          </w:p>
          <w:p w:rsidR="00001BAC" w:rsidRPr="0026499C" w:rsidRDefault="00001BAC" w:rsidP="00001BAC">
            <w:pPr>
              <w:pStyle w:val="BodyText"/>
              <w:spacing w:after="0"/>
              <w:jc w:val="both"/>
            </w:pPr>
            <w:r w:rsidRPr="0026499C">
              <w:t xml:space="preserve">Kopš 2012.gada kopumā ir izsniegtas 780 564 eID kartes, no kurām eID kartes elektroniskās iespējas (droša elektroniskā </w:t>
            </w:r>
            <w:r w:rsidRPr="0026499C">
              <w:lastRenderedPageBreak/>
              <w:t xml:space="preserve">paraksta un autentifikācijas sertifikāti) ir aktivizēti 171 388 eID kartēs. Tas nozīmē, ka 609 176 eID kartes turētājiem, lai izmantotu vienu no eID kartes pamatfunkcijām – apliecinātu identitāti un gribu elektroniskajā vidē (turpmāk – e-vidē), nāksies vēlreiz doties klātienē uz PMLP.  Tādējādi </w:t>
            </w:r>
            <w:r w:rsidR="00D61797" w:rsidRPr="0026499C">
              <w:t xml:space="preserve">var tikt radīts papildu administratīva sloga risks gan </w:t>
            </w:r>
            <w:r w:rsidRPr="0026499C">
              <w:t>iedzīvotājiem</w:t>
            </w:r>
            <w:r w:rsidR="00D61797" w:rsidRPr="0026499C">
              <w:t>, gan</w:t>
            </w:r>
            <w:r w:rsidRPr="0026499C">
              <w:t xml:space="preserve"> PMLP, jo ir atkārtoti jāapkalpo klienti, turklāt, saskaroties ar problēmām eID kartes pielietošanā, mazinās lietotāju paļaušanās uz eID karti kā uzticamu rīku e-vidē. </w:t>
            </w:r>
          </w:p>
          <w:p w:rsidR="00001BAC" w:rsidRPr="0026499C" w:rsidRDefault="00001BAC" w:rsidP="00001BAC">
            <w:pPr>
              <w:pStyle w:val="BodyText"/>
              <w:spacing w:after="0"/>
              <w:jc w:val="both"/>
            </w:pPr>
            <w:r w:rsidRPr="0026499C">
              <w:t>Līdz ar 2016.gada 1.jūliju tiks piemērota Eiro</w:t>
            </w:r>
            <w:r w:rsidR="00D61797" w:rsidRPr="0026499C">
              <w:t>pas P</w:t>
            </w:r>
            <w:r w:rsidRPr="0026499C">
              <w:t>arlamenta un Padomes 2014.gada 23.</w:t>
            </w:r>
            <w:r w:rsidR="00D61797" w:rsidRPr="0026499C">
              <w:t>jūlija R</w:t>
            </w:r>
            <w:r w:rsidRPr="0026499C">
              <w:t xml:space="preserve">egula (ES) Nr. 910/2014 par elektronisko identifikāciju un uzticamības pakalpojumiem elektronisko darījumu veikšanai iekšējā tirgū un ar ko atceļ Direktīvu 1999/93/EK (turpmāk - </w:t>
            </w:r>
            <w:proofErr w:type="spellStart"/>
            <w:r w:rsidRPr="0026499C">
              <w:t>eIDAS</w:t>
            </w:r>
            <w:proofErr w:type="spellEnd"/>
            <w:r w:rsidRPr="0026499C">
              <w:t xml:space="preserve"> regula), līdz ar to dalībvalstīm būs:</w:t>
            </w:r>
          </w:p>
          <w:p w:rsidR="00001BAC" w:rsidRPr="0026499C" w:rsidRDefault="00001BAC" w:rsidP="00001BAC">
            <w:pPr>
              <w:pStyle w:val="BodyText"/>
              <w:numPr>
                <w:ilvl w:val="0"/>
                <w:numId w:val="9"/>
              </w:numPr>
              <w:spacing w:after="0"/>
              <w:jc w:val="both"/>
            </w:pPr>
            <w:r w:rsidRPr="0026499C">
              <w:t>jāizveido un jāpaziņo savas nacionālās identifikācijas shēmas;</w:t>
            </w:r>
          </w:p>
          <w:p w:rsidR="00001BAC" w:rsidRPr="0026499C" w:rsidRDefault="00001BAC" w:rsidP="00001BAC">
            <w:pPr>
              <w:pStyle w:val="BodyText"/>
              <w:numPr>
                <w:ilvl w:val="0"/>
                <w:numId w:val="9"/>
              </w:numPr>
              <w:spacing w:after="0"/>
              <w:jc w:val="both"/>
            </w:pPr>
            <w:r w:rsidRPr="0026499C">
              <w:t>e-pakalpojumi būs jānodrošina visiem ES rezidentiem neatkarīgi no tā, no kuras ES dalībvalsts pakalpojums tiks pieprasīts.</w:t>
            </w:r>
          </w:p>
          <w:p w:rsidR="00001BAC" w:rsidRPr="0026499C" w:rsidRDefault="00001BAC" w:rsidP="00001BAC">
            <w:pPr>
              <w:pStyle w:val="BodyText"/>
              <w:spacing w:after="0"/>
              <w:jc w:val="both"/>
            </w:pPr>
            <w:r w:rsidRPr="0026499C">
              <w:t xml:space="preserve">Proti, ja Latvijā būs noteikts, ka e-pakalpojumu var saņemt ar eID karti, tad dalībvalstij būs jānodrošina pakalpojuma saņemšana ar jebkuras ES dalībvalsts izsniegtu eID karti un otrādi – ar Latvijā izsniegtu eID jānodrošina piekļuve citu dalībvalstu e-pakalpojumiem. </w:t>
            </w:r>
            <w:r w:rsidRPr="0026499C">
              <w:rPr>
                <w:u w:val="single"/>
              </w:rPr>
              <w:t>Attiecīgi</w:t>
            </w:r>
            <w:r w:rsidR="00E9701F" w:rsidRPr="0026499C">
              <w:rPr>
                <w:u w:val="single"/>
              </w:rPr>
              <w:t>,</w:t>
            </w:r>
            <w:r w:rsidRPr="0026499C">
              <w:rPr>
                <w:u w:val="single"/>
              </w:rPr>
              <w:t xml:space="preserve"> neizpildot </w:t>
            </w:r>
            <w:proofErr w:type="spellStart"/>
            <w:r w:rsidRPr="0026499C">
              <w:rPr>
                <w:u w:val="single"/>
              </w:rPr>
              <w:t>eIDAS</w:t>
            </w:r>
            <w:proofErr w:type="spellEnd"/>
            <w:r w:rsidRPr="0026499C">
              <w:rPr>
                <w:u w:val="single"/>
              </w:rPr>
              <w:t xml:space="preserve"> regulas prasības, Latvijā nodrošinātais drošs elektroniskais paraksts un radītie e-identitātes un gribas izpausmes rīki e-vid</w:t>
            </w:r>
            <w:r w:rsidR="00E9701F" w:rsidRPr="0026499C">
              <w:rPr>
                <w:u w:val="single"/>
              </w:rPr>
              <w:t>ē netiks starptautiski atzīti, un</w:t>
            </w:r>
            <w:r w:rsidRPr="0026499C">
              <w:rPr>
                <w:u w:val="single"/>
              </w:rPr>
              <w:t xml:space="preserve"> netiks nodrošināts, ka iedzīvotāji, uzņēmumi un valsts pārvaldes iestādes var izmantot savas valsts elektroniskās identifikācijas līdzekļus, lai piekļūtu e-pakalpojumiem citās ES valstīs</w:t>
            </w:r>
            <w:r w:rsidRPr="0026499C">
              <w:t>.</w:t>
            </w:r>
          </w:p>
          <w:p w:rsidR="00001BAC" w:rsidRPr="0026499C" w:rsidRDefault="00001BAC" w:rsidP="00001BAC">
            <w:pPr>
              <w:pStyle w:val="BodyText"/>
              <w:spacing w:after="0"/>
              <w:jc w:val="both"/>
              <w:rPr>
                <w:u w:val="single"/>
              </w:rPr>
            </w:pPr>
            <w:r w:rsidRPr="0026499C">
              <w:t xml:space="preserve">Ministru kabineta 2015.gada 31.marta noteikumi Nr.153 „Noteikumi par pasažieru kategorijām, kuras ir tiesīgas izmantot braukšanas maksas atvieglojumus maršrutu tīkla maršrutos” paredz ieviest sabiedriskajā transportā </w:t>
            </w:r>
            <w:r w:rsidR="00FE64CB" w:rsidRPr="0026499C">
              <w:t xml:space="preserve">jaunu uzskaites un </w:t>
            </w:r>
            <w:r w:rsidR="000C3061" w:rsidRPr="0026499C">
              <w:t>izmaksu kompensēšanas</w:t>
            </w:r>
            <w:r w:rsidRPr="0026499C">
              <w:t xml:space="preserve"> sistēmu person</w:t>
            </w:r>
            <w:r w:rsidR="000C3061" w:rsidRPr="0026499C">
              <w:t xml:space="preserve">ām, kam </w:t>
            </w:r>
            <w:r w:rsidR="00FE64CB" w:rsidRPr="0026499C">
              <w:t>ir valsts noteikti</w:t>
            </w:r>
            <w:r w:rsidRPr="0026499C">
              <w:t xml:space="preserve"> braukšanas maksas atvieglojumi. </w:t>
            </w:r>
            <w:r w:rsidRPr="0026499C">
              <w:rPr>
                <w:u w:val="single"/>
              </w:rPr>
              <w:t xml:space="preserve">Efektīvākais un drošākais risinājums </w:t>
            </w:r>
            <w:r w:rsidR="002B2143" w:rsidRPr="0026499C">
              <w:rPr>
                <w:u w:val="single"/>
              </w:rPr>
              <w:t xml:space="preserve">100% atvieglojumu kategoriju personu identifikācijas un uzskaites </w:t>
            </w:r>
            <w:r w:rsidR="00E9701F" w:rsidRPr="0026499C">
              <w:rPr>
                <w:u w:val="single"/>
              </w:rPr>
              <w:t>sistēmai sabiedriskajā transportā</w:t>
            </w:r>
            <w:r w:rsidRPr="0026499C">
              <w:rPr>
                <w:u w:val="single"/>
              </w:rPr>
              <w:t xml:space="preserve"> ir eID karte, jo:</w:t>
            </w:r>
          </w:p>
          <w:p w:rsidR="00001BAC" w:rsidRPr="0026499C" w:rsidRDefault="00001BAC" w:rsidP="00001BAC">
            <w:pPr>
              <w:pStyle w:val="BodyText"/>
              <w:numPr>
                <w:ilvl w:val="0"/>
                <w:numId w:val="5"/>
              </w:numPr>
              <w:spacing w:after="0"/>
              <w:jc w:val="both"/>
            </w:pPr>
            <w:r w:rsidRPr="0026499C">
              <w:t>braucienu un personu identifikācija notiktu bez naudas līdzekļu aprites, izmantojot uzstādīto infrastruktūru;</w:t>
            </w:r>
          </w:p>
          <w:p w:rsidR="00001BAC" w:rsidRPr="0026499C" w:rsidRDefault="00001BAC" w:rsidP="00001BAC">
            <w:pPr>
              <w:pStyle w:val="BodyText"/>
              <w:numPr>
                <w:ilvl w:val="0"/>
                <w:numId w:val="5"/>
              </w:numPr>
              <w:spacing w:after="0"/>
              <w:jc w:val="both"/>
            </w:pPr>
            <w:r w:rsidRPr="0026499C">
              <w:t xml:space="preserve">tiks </w:t>
            </w:r>
            <w:r w:rsidR="00642483" w:rsidRPr="0026499C">
              <w:t xml:space="preserve">uzlabota </w:t>
            </w:r>
            <w:r w:rsidR="00213CD2" w:rsidRPr="0026499C">
              <w:t>braukšanas maksas atvieglojumu saņēmēju braucienu uzskaite</w:t>
            </w:r>
            <w:r w:rsidRPr="0026499C">
              <w:t>;</w:t>
            </w:r>
          </w:p>
          <w:p w:rsidR="00001BAC" w:rsidRPr="0026499C" w:rsidRDefault="00001BAC" w:rsidP="00001BAC">
            <w:pPr>
              <w:pStyle w:val="BodyText"/>
              <w:numPr>
                <w:ilvl w:val="0"/>
                <w:numId w:val="5"/>
              </w:numPr>
              <w:spacing w:after="0"/>
              <w:jc w:val="both"/>
            </w:pPr>
            <w:r w:rsidRPr="0026499C">
              <w:t>personu sensitīvos datus kontrolē valsts;</w:t>
            </w:r>
          </w:p>
          <w:p w:rsidR="00001BAC" w:rsidRPr="0026499C" w:rsidRDefault="00001BAC" w:rsidP="00001BAC">
            <w:pPr>
              <w:pStyle w:val="BodyText"/>
              <w:numPr>
                <w:ilvl w:val="0"/>
                <w:numId w:val="5"/>
              </w:numPr>
              <w:spacing w:after="0"/>
              <w:jc w:val="both"/>
            </w:pPr>
            <w:r w:rsidRPr="0026499C">
              <w:t>tiek gūta lielāka atdeve valsts līdzekļu ieguldījumam eID kartēs;</w:t>
            </w:r>
          </w:p>
          <w:p w:rsidR="008B4586" w:rsidRPr="0026499C" w:rsidRDefault="00001BAC" w:rsidP="00001BAC">
            <w:pPr>
              <w:pStyle w:val="BodyText"/>
              <w:numPr>
                <w:ilvl w:val="0"/>
                <w:numId w:val="5"/>
              </w:numPr>
              <w:spacing w:after="0"/>
              <w:jc w:val="both"/>
            </w:pPr>
            <w:r w:rsidRPr="0026499C">
              <w:t xml:space="preserve">privātais sektors (bankas) nav gatavas </w:t>
            </w:r>
            <w:r w:rsidR="008B4586" w:rsidRPr="0026499C">
              <w:t>izstrādāt tehniskos risinājumus, lai apmainītos ar starpbanku informāciju par braukšanas maksas atvieglojumu saņēmējiem izsniegtajiem norēķinu līdzekļiem;</w:t>
            </w:r>
          </w:p>
          <w:p w:rsidR="00001BAC" w:rsidRPr="0026499C" w:rsidRDefault="00D54A4E" w:rsidP="00001BAC">
            <w:pPr>
              <w:pStyle w:val="BodyText"/>
              <w:numPr>
                <w:ilvl w:val="0"/>
                <w:numId w:val="5"/>
              </w:numPr>
              <w:spacing w:after="0"/>
              <w:jc w:val="both"/>
            </w:pPr>
            <w:r w:rsidRPr="0026499C">
              <w:lastRenderedPageBreak/>
              <w:t>Ja šādu risinājumu īsteno viena vai vairākas bankas, kuras savstarpēji neapmainās ar informāciju un nenodrošina citas bankas izsniegto norēķinu līdzekļu apstrādi savas bankas POS terminālos,</w:t>
            </w:r>
            <w:r w:rsidR="00001BAC" w:rsidRPr="0026499C">
              <w:t xml:space="preserve"> slēgt</w:t>
            </w:r>
            <w:r w:rsidRPr="0026499C">
              <w:t>a</w:t>
            </w:r>
            <w:r w:rsidR="00001BAC" w:rsidRPr="0026499C">
              <w:t xml:space="preserve">s </w:t>
            </w:r>
            <w:r w:rsidRPr="0026499C">
              <w:t xml:space="preserve">sistēmas </w:t>
            </w:r>
            <w:r w:rsidR="00001BAC" w:rsidRPr="0026499C">
              <w:t>risinājums</w:t>
            </w:r>
            <w:r w:rsidRPr="0026499C">
              <w:t xml:space="preserve"> liedz iespēju pasažierim identificēt braucienu jebkurā maršrutā un jebkurā sabiedriskajā transportlīdzeklī visā valsts teritorijā. Tādējādi</w:t>
            </w:r>
            <w:r w:rsidR="00001BAC" w:rsidRPr="0026499C">
              <w:t xml:space="preserve"> braukšanas maksas atvieglojumu saņēmēji </w:t>
            </w:r>
            <w:r w:rsidRPr="0026499C">
              <w:t>nevarēs identificēt braucienu</w:t>
            </w:r>
            <w:r w:rsidR="00001BAC" w:rsidRPr="0026499C">
              <w:t xml:space="preserve"> ar jebkuras bankas izsniegtu norēķinu līdzekli, tādējādi radot pakalpojuma nepieejamību, monopola situāciju, negodīgas konkurences veidošanās risku konkrētas bankas karšu izsniegšanas un pieņemšanas procesos.</w:t>
            </w:r>
          </w:p>
          <w:p w:rsidR="00001BAC" w:rsidRPr="0026499C" w:rsidRDefault="00001BAC" w:rsidP="00001BAC">
            <w:pPr>
              <w:jc w:val="both"/>
            </w:pPr>
            <w:r w:rsidRPr="0026499C">
              <w:rPr>
                <w:b/>
              </w:rPr>
              <w:t>6.</w:t>
            </w:r>
            <w:r w:rsidRPr="0026499C">
              <w:t xml:space="preserve"> 2014.gada 9.decembrī Ministru kabinets akceptēja Vides aizsardzības un reģionālās attīstības ministrijas piedāvāto pieeju 2014.-2020.gada </w:t>
            </w:r>
            <w:r w:rsidR="00D61797" w:rsidRPr="0026499C">
              <w:t>ES</w:t>
            </w:r>
            <w:r w:rsidRPr="0026499C">
              <w:t xml:space="preserve"> fondu plānošanas perioda informācijas un komunikācijas tehnoloģijas (IKT) attīstības struktūrfondu pārvaldībai, kas iekļauta V</w:t>
            </w:r>
            <w:r w:rsidR="004C0535" w:rsidRPr="0026499C">
              <w:t xml:space="preserve">ides aizsardzības un reģionālās attīstības ministrijas </w:t>
            </w:r>
            <w:r w:rsidRPr="0026499C">
              <w:t>informatīvajā ziņojumā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(turpmāk tekstā – Informatīvais ziņojums). Pieejas pamatā ir vienotas valsts pārvaldes un publisko pakalpojumu IKT arhitektūras izstrāde un ieviešana.</w:t>
            </w:r>
          </w:p>
          <w:p w:rsidR="00001BAC" w:rsidRPr="0026499C" w:rsidRDefault="00001BAC" w:rsidP="00001BAC">
            <w:pPr>
              <w:jc w:val="both"/>
            </w:pPr>
            <w:r w:rsidRPr="0026499C">
              <w:t>Lai īstenotu Informācijas sabiedrības attīstības pamatnostādnēs 2014.-2020.gadiem (ISAP) noteiktos mērķus, Informatīvais ziņojums nosaka 12 IKT attīstības programmas. Katras programmas ietvaros tiek plānoti vairāki 2014.–2020.gad</w:t>
            </w:r>
            <w:r w:rsidR="00E9701F" w:rsidRPr="0026499C">
              <w:t>a</w:t>
            </w:r>
            <w:r w:rsidRPr="0026499C">
              <w:t xml:space="preserve"> plānošanas perioda darbības programmas “Izaugsme un nodarbinātība” 2.2.1.specifiskā atbalsta mērķa “Nodrošināt publisko datu </w:t>
            </w:r>
            <w:proofErr w:type="spellStart"/>
            <w:r w:rsidRPr="0026499C">
              <w:t>atkalizmantošanas</w:t>
            </w:r>
            <w:proofErr w:type="spellEnd"/>
            <w:r w:rsidRPr="0026499C">
              <w:t xml:space="preserve"> pieaugumu un efektīvu publiskās pārvaldes un privātā sektora mijiedarbību” Eiropas Reģionālās attīstības fonda </w:t>
            </w:r>
            <w:r w:rsidR="00D61797" w:rsidRPr="0026499C">
              <w:t xml:space="preserve">(turpmāk – ERAF) </w:t>
            </w:r>
            <w:r w:rsidRPr="0026499C">
              <w:t>līdzfinansēti projekti.</w:t>
            </w:r>
          </w:p>
          <w:p w:rsidR="00001BAC" w:rsidRPr="0026499C" w:rsidRDefault="00001BAC" w:rsidP="00001BAC">
            <w:pPr>
              <w:jc w:val="both"/>
              <w:rPr>
                <w:u w:val="single"/>
              </w:rPr>
            </w:pPr>
            <w:r w:rsidRPr="0026499C">
              <w:t xml:space="preserve">IKT attīstības programmas “Publiskās pārvaldes IKT infrastruktūras un koplietošanas atbalsta risinājumu attīstība” ietvaros, kā viens no attīstības pasākumiem ir “E-identitātes un e-paraksta risinājumu attīstība”. Tā ietvaros, atbilstoši valsts konceptuālās IKT arhitektūras 7.2.3. apakšnodaļā teiktajam, </w:t>
            </w:r>
            <w:r w:rsidRPr="0026499C">
              <w:rPr>
                <w:u w:val="single"/>
              </w:rPr>
              <w:t xml:space="preserve">tiek realizēta LVRTC uzticama sertifikācijas pakalpojumu sniedzēja platformas attīstība par nacionālo infrastruktūru, kas nodrošinās ne tikai eID kartē iekļaujamo autentifikācijas, paraksta un šifrēšanas sertifikātu izsniegšanu un pārvaldību, bet arī nodrošinās eID elektroniskās identifikācijas shēmas attīstību un uzturēšanu atbilstoši </w:t>
            </w:r>
            <w:proofErr w:type="spellStart"/>
            <w:r w:rsidRPr="0026499C">
              <w:rPr>
                <w:u w:val="single"/>
              </w:rPr>
              <w:t>eIDAS</w:t>
            </w:r>
            <w:proofErr w:type="spellEnd"/>
            <w:r w:rsidRPr="0026499C">
              <w:rPr>
                <w:u w:val="single"/>
              </w:rPr>
              <w:t xml:space="preserve"> regulas prasībām tā, lai tā varētu tikt iekļauta ES uzticamības sarakstā un nākotnē kļūtu izmantojama Latvijas iedzīvotājiem, uzņēmējiem un iestādēm piekļuvei citu ES valstu publiskajiem e-pakalpojumiem. </w:t>
            </w:r>
          </w:p>
          <w:p w:rsidR="00001BAC" w:rsidRPr="0026499C" w:rsidRDefault="00001BAC" w:rsidP="00001BAC">
            <w:pPr>
              <w:jc w:val="both"/>
            </w:pPr>
            <w:r w:rsidRPr="0026499C">
              <w:lastRenderedPageBreak/>
              <w:t xml:space="preserve">Realizējot projektu “E-identitātes un e-paraksta risinājumu attīstība”, </w:t>
            </w:r>
            <w:r w:rsidRPr="0026499C">
              <w:rPr>
                <w:shd w:val="clear" w:color="auto" w:fill="FFFFFF"/>
              </w:rPr>
              <w:t>tiek nodrošinātas visas elektroniskās vides priekšrocības, lai valsts un citu ES dalībvalstu radītie pakalpojumi kļūst pieejami ar eID kartēm</w:t>
            </w:r>
            <w:r w:rsidRPr="0026499C">
              <w:t>. E-identitātes un e-paraksta risinājumu attīstība padarītu iespējamus un pieejamus privātpersonām – e-veselība, e-adrese, sabiedriskā transporta bezskaidras naudas norēķinu sistēma u.c. e-pakalpojumus, kuros e-identitāte pati par sevi nav pakalpojums, bet gan veids, kā saņemt publiskos pakalpojumus.</w:t>
            </w:r>
          </w:p>
          <w:p w:rsidR="00001BAC" w:rsidRPr="0026499C" w:rsidRDefault="00001BAC" w:rsidP="00001BAC">
            <w:pPr>
              <w:pStyle w:val="NoSpacing"/>
              <w:jc w:val="both"/>
              <w:rPr>
                <w:rFonts w:ascii="Times New Roman" w:hAnsi="Times New Roman"/>
                <w:sz w:val="24"/>
                <w:szCs w:val="24"/>
              </w:rPr>
            </w:pPr>
            <w:r w:rsidRPr="0026499C">
              <w:rPr>
                <w:rFonts w:ascii="Times New Roman" w:hAnsi="Times New Roman"/>
                <w:sz w:val="24"/>
                <w:szCs w:val="24"/>
              </w:rPr>
              <w:t xml:space="preserve">Minētās aktivitātes realizācijai plānots piesaistīt ERAF līdzfinansējumu. Tas nozīmē, ka </w:t>
            </w:r>
            <w:r w:rsidRPr="0026499C">
              <w:rPr>
                <w:rFonts w:ascii="Times New Roman" w:hAnsi="Times New Roman"/>
                <w:sz w:val="24"/>
                <w:szCs w:val="24"/>
                <w:u w:val="single"/>
              </w:rPr>
              <w:t>projekta rezultātā izveidotās platformas darbības laiks nedrīkst būt mazāks par 5 gadiem.</w:t>
            </w:r>
            <w:r w:rsidRPr="0026499C">
              <w:rPr>
                <w:rFonts w:ascii="Times New Roman" w:hAnsi="Times New Roman"/>
                <w:sz w:val="24"/>
                <w:szCs w:val="24"/>
              </w:rPr>
              <w:t xml:space="preserve"> Turklāt</w:t>
            </w:r>
            <w:r w:rsidR="00E9701F" w:rsidRPr="0026499C">
              <w:rPr>
                <w:rFonts w:ascii="Times New Roman" w:hAnsi="Times New Roman"/>
                <w:sz w:val="24"/>
                <w:szCs w:val="24"/>
              </w:rPr>
              <w:t>,</w:t>
            </w:r>
            <w:r w:rsidRPr="0026499C">
              <w:rPr>
                <w:rFonts w:ascii="Times New Roman" w:hAnsi="Times New Roman"/>
                <w:sz w:val="24"/>
                <w:szCs w:val="24"/>
              </w:rPr>
              <w:t xml:space="preserve"> sākot ar 2017.gadu</w:t>
            </w:r>
            <w:r w:rsidR="00E9701F" w:rsidRPr="0026499C">
              <w:rPr>
                <w:rFonts w:ascii="Times New Roman" w:hAnsi="Times New Roman"/>
                <w:sz w:val="24"/>
                <w:szCs w:val="24"/>
              </w:rPr>
              <w:t>,</w:t>
            </w:r>
            <w:r w:rsidRPr="0026499C">
              <w:rPr>
                <w:rFonts w:ascii="Times New Roman" w:hAnsi="Times New Roman"/>
                <w:sz w:val="24"/>
                <w:szCs w:val="24"/>
              </w:rPr>
              <w:t xml:space="preserve"> plānots izsniegt jauna parauga eID kartes, kas būs derīgas 10 gadus. Līdz ar to periods, uz kādu LVRTC ir jānodrošina eID kartēs autentifikācijas, paraksta un šifrēšanas sertifikātu izsniegšanu un pārvaldību, kā arī jānodrošina eID elektroniskās identifikācijas shēmas attīstību un uzturēšanu atbilstoši  </w:t>
            </w:r>
            <w:proofErr w:type="spellStart"/>
            <w:r w:rsidRPr="0026499C">
              <w:rPr>
                <w:rFonts w:ascii="Times New Roman" w:hAnsi="Times New Roman"/>
                <w:sz w:val="24"/>
                <w:szCs w:val="24"/>
              </w:rPr>
              <w:t>eIDAS</w:t>
            </w:r>
            <w:proofErr w:type="spellEnd"/>
            <w:r w:rsidRPr="0026499C">
              <w:rPr>
                <w:rFonts w:ascii="Times New Roman" w:hAnsi="Times New Roman"/>
                <w:sz w:val="24"/>
                <w:szCs w:val="24"/>
              </w:rPr>
              <w:t xml:space="preserve"> regulas prasībām, ir vismaz 10 gadi.</w:t>
            </w:r>
          </w:p>
          <w:p w:rsidR="00E9701F" w:rsidRPr="0026499C" w:rsidRDefault="00001BAC" w:rsidP="00001BAC">
            <w:pPr>
              <w:jc w:val="both"/>
              <w:rPr>
                <w:u w:val="single"/>
              </w:rPr>
            </w:pPr>
            <w:r w:rsidRPr="0026499C">
              <w:rPr>
                <w:b/>
              </w:rPr>
              <w:t xml:space="preserve">7.  </w:t>
            </w:r>
            <w:r w:rsidRPr="0026499C">
              <w:t>Tā kā eID karte ir vienīgais valsts nodrošinātais un kontrolētais rīks v</w:t>
            </w:r>
            <w:r w:rsidR="00E9701F" w:rsidRPr="0026499C">
              <w:t>alsts sniegto e-pakalpojumu</w:t>
            </w:r>
            <w:r w:rsidRPr="0026499C">
              <w:t xml:space="preserve"> saņemšanai, atbilstoši</w:t>
            </w:r>
            <w:r w:rsidR="00E9701F" w:rsidRPr="0026499C">
              <w:t xml:space="preserve"> Koncepcijas 3.nodaļā minētajam -</w:t>
            </w:r>
            <w:r w:rsidRPr="0026499C">
              <w:t xml:space="preserve"> </w:t>
            </w:r>
            <w:r w:rsidRPr="0026499C">
              <w:rPr>
                <w:u w:val="single"/>
              </w:rPr>
              <w:t>personai, kurai tiek izsniegta eID karte, pēc iespējas jāminimizē vai jāizslēdz izmaksas,</w:t>
            </w:r>
            <w:r w:rsidRPr="0026499C">
              <w:t xml:space="preserve"> kas saistītas ar autentifikācijas un e-paraksta izmantošanu. Tāpat vērā ņemams ir Igaunijas piemērs, </w:t>
            </w:r>
            <w:r w:rsidR="00E9701F" w:rsidRPr="0026499C">
              <w:rPr>
                <w:u w:val="single"/>
              </w:rPr>
              <w:t>Igaunijā eID kartes turētājam tiek bez maksas garantētas 10 transakcijas mēnesī jeb 600 transakcijas eID kartes derīguma termiņa laikā.</w:t>
            </w:r>
          </w:p>
          <w:p w:rsidR="00001BAC" w:rsidRPr="0026499C" w:rsidRDefault="00001BAC" w:rsidP="00001BAC">
            <w:pPr>
              <w:jc w:val="both"/>
            </w:pPr>
            <w:r w:rsidRPr="0026499C">
              <w:t>Vienlaikus atzīmējams, ka droša elektroniskā pa</w:t>
            </w:r>
            <w:r w:rsidR="00E9701F" w:rsidRPr="0026499C">
              <w:t xml:space="preserve">raksta un identitātes </w:t>
            </w:r>
            <w:r w:rsidRPr="0026499C">
              <w:t xml:space="preserve">pakalpojumu nodrošināšana esošajā tiesiskajā regulējumā USPS rada zaudējumus. Zaudējumi ik gadu pārsniedz vienu miljonu </w:t>
            </w:r>
            <w:proofErr w:type="spellStart"/>
            <w:r w:rsidRPr="0026499C">
              <w:rPr>
                <w:i/>
              </w:rPr>
              <w:t>euro</w:t>
            </w:r>
            <w:proofErr w:type="spellEnd"/>
            <w:r w:rsidRPr="0026499C">
              <w:t>. Tajā pašā laikā nav pamata uzskatīt, ka sertifikācijas pakalpojumu nodrošināšana Latvijā vai kādā citā valstī varētu būt komerciāli attaisnojama, raugoties no šo pakalpojumu sniedzēja viedokļa. Minētās izmaksas ir saistītas gan ar pienākumiem, kas noteikti normatīvajos aktos (piemēram, dalītās piekļuves informācijas sistēmām), gan klientu atbalsta nodrošināšana</w:t>
            </w:r>
            <w:r w:rsidR="00E9701F" w:rsidRPr="0026499C">
              <w:t>s un konsultācijas, t.sk.</w:t>
            </w:r>
            <w:r w:rsidRPr="0026499C">
              <w:t xml:space="preserve"> iespēja apturēt un anulēt droša elektroniskā paraksta sertifikātus 24 stundas diennaktī, 7 dienas nedēļā, kā arī nepieciešamību USPS pakalpojumus nodrošināt ar ļoti augstu pieejamību - 99.6%. Tādējādi valstij ir jāpieliek visas pūles, lai izveidotu tādu tiesisko regulējumu, kurā ieguvumi tiktu sabalansēti ar pakalpojuma nodrošināšanai nepieciešamajiem līdzekļiem</w:t>
            </w:r>
            <w:r w:rsidR="00E9701F" w:rsidRPr="0026499C">
              <w:t>,</w:t>
            </w:r>
            <w:r w:rsidRPr="0026499C">
              <w:t xml:space="preserve"> un tas ir iespējams pie nosacījuma, ka Latvijas </w:t>
            </w:r>
            <w:r w:rsidRPr="0026499C">
              <w:rPr>
                <w:shd w:val="clear" w:color="auto" w:fill="FFFFFF"/>
              </w:rPr>
              <w:t xml:space="preserve">valsts un citu </w:t>
            </w:r>
            <w:r w:rsidR="00D61797" w:rsidRPr="0026499C">
              <w:rPr>
                <w:shd w:val="clear" w:color="auto" w:fill="FFFFFF"/>
              </w:rPr>
              <w:t>ES</w:t>
            </w:r>
            <w:r w:rsidRPr="0026499C">
              <w:rPr>
                <w:shd w:val="clear" w:color="auto" w:fill="FFFFFF"/>
              </w:rPr>
              <w:t xml:space="preserve"> dalībvalstu radītie pakalpojumi ir pieejami ar eID kartēm</w:t>
            </w:r>
            <w:r w:rsidRPr="0026499C">
              <w:t xml:space="preserve">. </w:t>
            </w:r>
          </w:p>
          <w:p w:rsidR="00001BAC" w:rsidRPr="0026499C" w:rsidRDefault="00001BAC" w:rsidP="00001BAC">
            <w:pPr>
              <w:jc w:val="both"/>
            </w:pPr>
            <w:r w:rsidRPr="0026499C">
              <w:rPr>
                <w:u w:val="single"/>
              </w:rPr>
              <w:t>Ievērojot minēto, lēmumus par sertifikācijas pakalpojumu attīstību var pamatot, ņemot vērā ieguvumus visas sabiedrības mērogā</w:t>
            </w:r>
            <w:r w:rsidRPr="0026499C">
              <w:t xml:space="preserve"> un salīdzinot tos ar investīcijām un darbības izmaksām gan sertifikācijas pakalpojuma sniedzēja pusē, gan citās pusēs, kas iesaistītas pakalpojumu nodrošināšanā. Lēmumu </w:t>
            </w:r>
            <w:r w:rsidRPr="0026499C">
              <w:lastRenderedPageBreak/>
              <w:t>pamatotībai iespējams izvērtēt līdzīgu pieredzi Igaunijā. Lai apmaksātu tās iedzīvotajiem elektroniskās identifikāc</w:t>
            </w:r>
            <w:r w:rsidR="001E6C59" w:rsidRPr="0026499C">
              <w:t xml:space="preserve">ijas un elektroniskā paraksta  </w:t>
            </w:r>
            <w:r w:rsidRPr="0026499C">
              <w:t xml:space="preserve">pakalpojumu un uzturētu visu normatīvi un tehniski nepieciešamo infrastruktūru pakalpojuma sniegšanai, Igaunijas valsts ik gadu tērē ap 8,9 milj. </w:t>
            </w:r>
            <w:proofErr w:type="spellStart"/>
            <w:r w:rsidR="001E6C59" w:rsidRPr="0026499C">
              <w:rPr>
                <w:i/>
              </w:rPr>
              <w:t>euro</w:t>
            </w:r>
            <w:proofErr w:type="spellEnd"/>
            <w:r w:rsidRPr="0026499C">
              <w:t xml:space="preserve">. Salīdzinot abu valstu uzturēšanas izmaksas redzams, ka par faktiski vienāda pakalpojuma nodrošināšanu uz kaimiņvalsts 1,2 milj. iedzīvotājiem tiek tērēti 8.9 milj. </w:t>
            </w:r>
            <w:proofErr w:type="spellStart"/>
            <w:r w:rsidR="001E6C59" w:rsidRPr="0026499C">
              <w:rPr>
                <w:i/>
              </w:rPr>
              <w:t>euro</w:t>
            </w:r>
            <w:proofErr w:type="spellEnd"/>
            <w:r w:rsidRPr="0026499C">
              <w:t xml:space="preserve">, savukārt Latvijā pēc USPS sniegtajiem aprēķiniem uz 2 milj. iedzīvotāju izmaksas būtu 1,9 milj. </w:t>
            </w:r>
            <w:proofErr w:type="spellStart"/>
            <w:r w:rsidR="001E6C59" w:rsidRPr="0026499C">
              <w:rPr>
                <w:i/>
              </w:rPr>
              <w:t>euro</w:t>
            </w:r>
            <w:proofErr w:type="spellEnd"/>
            <w:r w:rsidRPr="0026499C">
              <w:t xml:space="preserve">, pieskaitot PMLP eID karšu izsniegšanas pakalpojumu izmaksas. </w:t>
            </w:r>
            <w:r w:rsidRPr="0026499C">
              <w:rPr>
                <w:u w:val="single"/>
              </w:rPr>
              <w:t xml:space="preserve">Valsts investīcijas sertifikācijas pakalpojumu nodrošināšanā uz vienu iedzīvotāju atšķiras gandrīz 8 reizes, Igaunijā tās ir 7.416 </w:t>
            </w:r>
            <w:proofErr w:type="spellStart"/>
            <w:r w:rsidR="001E6C59" w:rsidRPr="0026499C">
              <w:rPr>
                <w:i/>
              </w:rPr>
              <w:t>euro</w:t>
            </w:r>
            <w:proofErr w:type="spellEnd"/>
            <w:r w:rsidRPr="0026499C">
              <w:rPr>
                <w:u w:val="single"/>
              </w:rPr>
              <w:t xml:space="preserve"> uz vienu iedzīvotāju gadā, savukārt Latvijā – 0.95 </w:t>
            </w:r>
            <w:proofErr w:type="spellStart"/>
            <w:r w:rsidR="001E6C59" w:rsidRPr="0026499C">
              <w:rPr>
                <w:i/>
              </w:rPr>
              <w:t>euro</w:t>
            </w:r>
            <w:proofErr w:type="spellEnd"/>
            <w:r w:rsidRPr="0026499C">
              <w:rPr>
                <w:u w:val="single"/>
              </w:rPr>
              <w:t>.</w:t>
            </w:r>
            <w:r w:rsidRPr="0026499C">
              <w:t xml:space="preserve"> Acīmredzot, šī ievērojamā starpība lielā mērā arī nodrošina elektronisko pakalpojumu daudz plašāku lietojamību kaimiņvalstī.</w:t>
            </w:r>
          </w:p>
          <w:p w:rsidR="00001BAC" w:rsidRPr="0026499C" w:rsidRDefault="00001BAC" w:rsidP="00001BAC">
            <w:pPr>
              <w:jc w:val="both"/>
            </w:pPr>
            <w:r w:rsidRPr="0026499C">
              <w:t xml:space="preserve">Tomēr, pat tērējot šādu summu gadā, pēc Igaunijas valsts aprēķiniem, kaimiņvalsts ir ar pozitīvu bilanci. Proti, ieguvumu, </w:t>
            </w:r>
            <w:r w:rsidR="001E6C59" w:rsidRPr="0026499C">
              <w:t>tostarp</w:t>
            </w:r>
            <w:r w:rsidRPr="0026499C">
              <w:t>, finansiālu ir vairāk par izdevumiem. Balstoties uz kaimiņvalsts iesniegtu informāciju (aprēķinu) ir redzams pavisam vienkārša ieguvumu /izdevumu attiecība par pēdējiem 10 gadiem:</w:t>
            </w:r>
          </w:p>
          <w:p w:rsidR="00001BAC" w:rsidRPr="0026499C" w:rsidRDefault="00001BAC" w:rsidP="00001BAC">
            <w:pPr>
              <w:ind w:left="21"/>
              <w:jc w:val="both"/>
              <w:rPr>
                <w:rStyle w:val="tvhtml1"/>
                <w:u w:val="single"/>
              </w:rPr>
            </w:pPr>
            <w:r w:rsidRPr="0026499C">
              <w:rPr>
                <w:rStyle w:val="tvhtml1"/>
                <w:u w:val="single"/>
              </w:rPr>
              <w:t>Izmaksas (10 gados):</w:t>
            </w:r>
          </w:p>
          <w:p w:rsidR="00001BAC" w:rsidRPr="0026499C" w:rsidRDefault="00001BAC" w:rsidP="00001BAC">
            <w:pPr>
              <w:numPr>
                <w:ilvl w:val="0"/>
                <w:numId w:val="7"/>
              </w:numPr>
              <w:jc w:val="both"/>
              <w:rPr>
                <w:rStyle w:val="tvhtml1"/>
              </w:rPr>
            </w:pPr>
            <w:r w:rsidRPr="0026499C">
              <w:rPr>
                <w:rStyle w:val="tvhtml1"/>
              </w:rPr>
              <w:t xml:space="preserve">Personu apliecinošu dokumentu ražošana - 36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7"/>
              </w:numPr>
              <w:jc w:val="both"/>
              <w:rPr>
                <w:rStyle w:val="tvhtml1"/>
              </w:rPr>
            </w:pPr>
            <w:r w:rsidRPr="0026499C">
              <w:rPr>
                <w:rStyle w:val="tvhtml1"/>
              </w:rPr>
              <w:t xml:space="preserve">Sertifikācijas pakalpojumu sniegšana - 11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7"/>
              </w:numPr>
              <w:jc w:val="both"/>
              <w:rPr>
                <w:rStyle w:val="tvhtml1"/>
              </w:rPr>
            </w:pPr>
            <w:r w:rsidRPr="0026499C">
              <w:rPr>
                <w:rStyle w:val="tvhtml1"/>
              </w:rPr>
              <w:t xml:space="preserve">Personu apliecinošu dokumentu izsniegšana - 9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7"/>
              </w:numPr>
              <w:jc w:val="both"/>
              <w:rPr>
                <w:rStyle w:val="tvhtml1"/>
              </w:rPr>
            </w:pPr>
            <w:r w:rsidRPr="0026499C">
              <w:rPr>
                <w:rStyle w:val="tvhtml1"/>
              </w:rPr>
              <w:t xml:space="preserve">Gala patērētāja (mājas lietotāja) dokumentu parakstīšanas un pārbaudes programmatūra - 5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7"/>
              </w:numPr>
              <w:jc w:val="both"/>
              <w:rPr>
                <w:rStyle w:val="tvhtml1"/>
              </w:rPr>
            </w:pPr>
            <w:r w:rsidRPr="0026499C">
              <w:rPr>
                <w:rStyle w:val="tvhtml1"/>
              </w:rPr>
              <w:t xml:space="preserve">Palīdzības dienests/atbalsts gala (mājas) lietotājam un programmatūras izstrādātājiem – 3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7"/>
              </w:numPr>
              <w:jc w:val="both"/>
              <w:rPr>
                <w:rStyle w:val="tvhtml1"/>
              </w:rPr>
            </w:pPr>
            <w:r w:rsidRPr="0026499C">
              <w:rPr>
                <w:rStyle w:val="tvhtml1"/>
              </w:rPr>
              <w:t xml:space="preserve">e-pakalpojumu atbalsts - 25 milj. </w:t>
            </w:r>
            <w:proofErr w:type="spellStart"/>
            <w:r w:rsidR="001E6C59" w:rsidRPr="0026499C">
              <w:rPr>
                <w:i/>
              </w:rPr>
              <w:t>euro</w:t>
            </w:r>
            <w:proofErr w:type="spellEnd"/>
            <w:r w:rsidRPr="0026499C">
              <w:rPr>
                <w:rStyle w:val="tvhtml1"/>
              </w:rPr>
              <w:t>;</w:t>
            </w:r>
          </w:p>
          <w:p w:rsidR="00001BAC" w:rsidRPr="0026499C" w:rsidRDefault="00001BAC" w:rsidP="00001BAC">
            <w:pPr>
              <w:ind w:left="21"/>
              <w:jc w:val="both"/>
              <w:rPr>
                <w:rStyle w:val="tvhtml1"/>
                <w:b/>
              </w:rPr>
            </w:pPr>
            <w:r w:rsidRPr="0026499C">
              <w:rPr>
                <w:rStyle w:val="tvhtml1"/>
                <w:b/>
              </w:rPr>
              <w:t xml:space="preserve">KOPĀ: 89 milj. </w:t>
            </w:r>
            <w:proofErr w:type="spellStart"/>
            <w:r w:rsidR="001E6C59" w:rsidRPr="0026499C">
              <w:rPr>
                <w:b/>
                <w:i/>
              </w:rPr>
              <w:t>euro</w:t>
            </w:r>
            <w:proofErr w:type="spellEnd"/>
          </w:p>
          <w:p w:rsidR="00001BAC" w:rsidRPr="0026499C" w:rsidRDefault="00001BAC" w:rsidP="00001BAC">
            <w:pPr>
              <w:ind w:left="21"/>
              <w:jc w:val="both"/>
              <w:rPr>
                <w:rStyle w:val="tvhtml1"/>
                <w:u w:val="single"/>
              </w:rPr>
            </w:pPr>
            <w:r w:rsidRPr="0026499C">
              <w:rPr>
                <w:rStyle w:val="tvhtml1"/>
                <w:u w:val="single"/>
              </w:rPr>
              <w:t>Ietaupījumi (10 gados):</w:t>
            </w:r>
          </w:p>
          <w:p w:rsidR="00001BAC" w:rsidRPr="0026499C" w:rsidRDefault="00001BAC" w:rsidP="00001BAC">
            <w:pPr>
              <w:numPr>
                <w:ilvl w:val="0"/>
                <w:numId w:val="8"/>
              </w:numPr>
              <w:jc w:val="both"/>
              <w:rPr>
                <w:rStyle w:val="tvhtml1"/>
              </w:rPr>
            </w:pPr>
            <w:r w:rsidRPr="0026499C">
              <w:rPr>
                <w:rStyle w:val="tvhtml1"/>
              </w:rPr>
              <w:t xml:space="preserve">Ietaupījums uz valsts klientu apkalpošanas centriem - 40 milj. </w:t>
            </w:r>
            <w:proofErr w:type="spellStart"/>
            <w:r w:rsidR="001E6C59" w:rsidRPr="0026499C">
              <w:rPr>
                <w:i/>
              </w:rPr>
              <w:t>euro</w:t>
            </w:r>
            <w:proofErr w:type="spellEnd"/>
            <w:r w:rsidR="001E6C59" w:rsidRPr="0026499C">
              <w:rPr>
                <w:i/>
              </w:rPr>
              <w:t>;</w:t>
            </w:r>
          </w:p>
          <w:p w:rsidR="00001BAC" w:rsidRPr="0026499C" w:rsidRDefault="00001BAC" w:rsidP="00001BAC">
            <w:pPr>
              <w:numPr>
                <w:ilvl w:val="0"/>
                <w:numId w:val="8"/>
              </w:numPr>
              <w:jc w:val="both"/>
              <w:rPr>
                <w:rStyle w:val="tvhtml1"/>
              </w:rPr>
            </w:pPr>
            <w:r w:rsidRPr="0026499C">
              <w:rPr>
                <w:rStyle w:val="tvhtml1"/>
              </w:rPr>
              <w:t xml:space="preserve">Pasta izdevumu, papīra, laika un cilvēkresursu ietaupījums lietojot elektroniskos dokumentus ikdienas apritē - 144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8"/>
              </w:numPr>
              <w:jc w:val="both"/>
              <w:rPr>
                <w:rStyle w:val="tvhtml1"/>
              </w:rPr>
            </w:pPr>
            <w:r w:rsidRPr="0026499C">
              <w:rPr>
                <w:rStyle w:val="tvhtml1"/>
              </w:rPr>
              <w:t xml:space="preserve">Identitātes apliecināšanas ietaupījums salīdzinājumā, ja tas būtu jādara klātienē - 117 milj. </w:t>
            </w:r>
            <w:proofErr w:type="spellStart"/>
            <w:r w:rsidR="001E6C59" w:rsidRPr="0026499C">
              <w:rPr>
                <w:i/>
              </w:rPr>
              <w:t>euro</w:t>
            </w:r>
            <w:proofErr w:type="spellEnd"/>
            <w:r w:rsidRPr="0026499C">
              <w:rPr>
                <w:rStyle w:val="tvhtml1"/>
              </w:rPr>
              <w:t>;</w:t>
            </w:r>
          </w:p>
          <w:p w:rsidR="00001BAC" w:rsidRPr="0026499C" w:rsidRDefault="00001BAC" w:rsidP="00001BAC">
            <w:pPr>
              <w:numPr>
                <w:ilvl w:val="0"/>
                <w:numId w:val="8"/>
              </w:numPr>
              <w:jc w:val="both"/>
              <w:rPr>
                <w:rStyle w:val="tvhtml1"/>
              </w:rPr>
            </w:pPr>
            <w:r w:rsidRPr="0026499C">
              <w:rPr>
                <w:rStyle w:val="tvhtml1"/>
              </w:rPr>
              <w:t>Papīra ietaupījumi, m</w:t>
            </w:r>
            <w:r w:rsidR="00E9701F" w:rsidRPr="0026499C">
              <w:rPr>
                <w:rStyle w:val="tvhtml1"/>
              </w:rPr>
              <w:t xml:space="preserve">azāk patērēta degviela, kas veicina </w:t>
            </w:r>
            <w:r w:rsidRPr="0026499C">
              <w:rPr>
                <w:rStyle w:val="tvhtml1"/>
              </w:rPr>
              <w:t xml:space="preserve">dabas </w:t>
            </w:r>
            <w:r w:rsidR="00E9701F" w:rsidRPr="0026499C">
              <w:rPr>
                <w:rStyle w:val="tvhtml1"/>
              </w:rPr>
              <w:t>resursu</w:t>
            </w:r>
            <w:r w:rsidRPr="0026499C">
              <w:rPr>
                <w:rStyle w:val="tvhtml1"/>
              </w:rPr>
              <w:t xml:space="preserve"> saglabāšanu, netiek vērtēta naudas izteiksmē.</w:t>
            </w:r>
          </w:p>
          <w:p w:rsidR="00001BAC" w:rsidRPr="0026499C" w:rsidRDefault="00001BAC" w:rsidP="00001BAC">
            <w:pPr>
              <w:ind w:left="21"/>
              <w:jc w:val="both"/>
              <w:rPr>
                <w:rStyle w:val="tvhtml1"/>
                <w:b/>
              </w:rPr>
            </w:pPr>
            <w:r w:rsidRPr="0026499C">
              <w:rPr>
                <w:rStyle w:val="tvhtml1"/>
                <w:b/>
              </w:rPr>
              <w:t xml:space="preserve">KOPĀ: 301 milj. </w:t>
            </w:r>
            <w:proofErr w:type="spellStart"/>
            <w:r w:rsidR="001E6C59" w:rsidRPr="0026499C">
              <w:rPr>
                <w:b/>
                <w:i/>
              </w:rPr>
              <w:t>euro</w:t>
            </w:r>
            <w:proofErr w:type="spellEnd"/>
          </w:p>
          <w:p w:rsidR="00001BAC" w:rsidRPr="0026499C" w:rsidRDefault="00001BAC" w:rsidP="00001BAC">
            <w:pPr>
              <w:ind w:left="21"/>
              <w:jc w:val="both"/>
              <w:rPr>
                <w:rStyle w:val="tvhtml1"/>
                <w:u w:val="single"/>
              </w:rPr>
            </w:pPr>
            <w:r w:rsidRPr="0026499C">
              <w:rPr>
                <w:rStyle w:val="tvhtml1"/>
                <w:u w:val="single"/>
              </w:rPr>
              <w:t xml:space="preserve">Bilance: +212 milj. </w:t>
            </w:r>
            <w:proofErr w:type="spellStart"/>
            <w:r w:rsidR="001E6C59" w:rsidRPr="0026499C">
              <w:rPr>
                <w:i/>
              </w:rPr>
              <w:t>euro</w:t>
            </w:r>
            <w:proofErr w:type="spellEnd"/>
            <w:r w:rsidR="00E9701F" w:rsidRPr="0026499C">
              <w:rPr>
                <w:rStyle w:val="tvhtml1"/>
                <w:u w:val="single"/>
              </w:rPr>
              <w:t xml:space="preserve"> ietaupījums</w:t>
            </w:r>
            <w:r w:rsidRPr="0026499C">
              <w:rPr>
                <w:rStyle w:val="tvhtml1"/>
                <w:u w:val="single"/>
              </w:rPr>
              <w:t xml:space="preserve"> jeb 240% atdeve no investīcijām.</w:t>
            </w:r>
          </w:p>
          <w:p w:rsidR="00001BAC" w:rsidRPr="0026499C" w:rsidRDefault="00001BAC" w:rsidP="00001BAC">
            <w:pPr>
              <w:jc w:val="both"/>
              <w:rPr>
                <w:b/>
              </w:rPr>
            </w:pPr>
            <w:r w:rsidRPr="0026499C">
              <w:rPr>
                <w:rStyle w:val="tvhtml1"/>
                <w:b/>
              </w:rPr>
              <w:t xml:space="preserve">No minētā secināms, ka pat šķietami izdevumi valsts </w:t>
            </w:r>
            <w:r w:rsidRPr="0026499C">
              <w:rPr>
                <w:rStyle w:val="tvhtml1"/>
                <w:b/>
              </w:rPr>
              <w:lastRenderedPageBreak/>
              <w:t>mērogā ir ekonomiski pamatoti, ja tie konsekventi tiek ieguldīti infrastruktūrā, kas veicina izaugsmi, attīstību un efektivitāti gan valsts, gan privātajā sektorā</w:t>
            </w:r>
            <w:r w:rsidRPr="0026499C">
              <w:rPr>
                <w:b/>
              </w:rPr>
              <w:t xml:space="preserve">. </w:t>
            </w:r>
          </w:p>
          <w:p w:rsidR="00001BAC" w:rsidRPr="0026499C" w:rsidRDefault="00001BAC" w:rsidP="00001BAC">
            <w:pPr>
              <w:pStyle w:val="NoSpacing"/>
              <w:jc w:val="both"/>
              <w:rPr>
                <w:rFonts w:ascii="Times New Roman" w:hAnsi="Times New Roman"/>
                <w:sz w:val="24"/>
                <w:szCs w:val="24"/>
              </w:rPr>
            </w:pPr>
            <w:r w:rsidRPr="0026499C">
              <w:rPr>
                <w:rFonts w:ascii="Times New Roman" w:hAnsi="Times New Roman"/>
                <w:b/>
                <w:sz w:val="24"/>
                <w:szCs w:val="24"/>
              </w:rPr>
              <w:t>8.</w:t>
            </w:r>
            <w:r w:rsidRPr="0026499C">
              <w:rPr>
                <w:rFonts w:ascii="Times New Roman" w:hAnsi="Times New Roman"/>
                <w:sz w:val="24"/>
                <w:szCs w:val="24"/>
              </w:rPr>
              <w:t xml:space="preserve"> Turpinot sertifikācijas pakalpojumu piegādi eID karšu izsniegšanas nodrošināšanai no LVRTC, tiek ņemti vērā šādi apsvērumi:</w:t>
            </w:r>
          </w:p>
          <w:p w:rsidR="00001BAC" w:rsidRPr="0026499C" w:rsidRDefault="00001BAC"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 xml:space="preserve">eID karšu izsniegšana, valstiski pārvaldīta identitātes un droša elektroniskā paraksta nodrošināšana ir valsts funkcija, </w:t>
            </w:r>
            <w:r w:rsidR="00E9701F" w:rsidRPr="0026499C">
              <w:rPr>
                <w:rFonts w:ascii="Times New Roman" w:hAnsi="Times New Roman"/>
                <w:sz w:val="24"/>
                <w:szCs w:val="24"/>
              </w:rPr>
              <w:t>kuru tā vei</w:t>
            </w:r>
            <w:r w:rsidRPr="0026499C">
              <w:rPr>
                <w:rFonts w:ascii="Times New Roman" w:hAnsi="Times New Roman"/>
                <w:sz w:val="24"/>
                <w:szCs w:val="24"/>
              </w:rPr>
              <w:t>, atbilstoši spēkā esošajiem Latvijas likumiem un citiem normatīvajiem aktiem, un ir uzskatāma par vienu no valsts suverenitātes izpausmēm.</w:t>
            </w:r>
          </w:p>
          <w:p w:rsidR="00001BAC" w:rsidRPr="0026499C" w:rsidRDefault="00001BAC"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s</w:t>
            </w:r>
            <w:r w:rsidR="00E9701F" w:rsidRPr="0026499C">
              <w:rPr>
                <w:rFonts w:ascii="Times New Roman" w:hAnsi="Times New Roman"/>
                <w:sz w:val="24"/>
                <w:szCs w:val="24"/>
              </w:rPr>
              <w:t>askaņā ar Informatīvo ziņojumu</w:t>
            </w:r>
            <w:r w:rsidRPr="0026499C">
              <w:rPr>
                <w:rFonts w:ascii="Times New Roman" w:hAnsi="Times New Roman"/>
                <w:sz w:val="24"/>
                <w:szCs w:val="24"/>
              </w:rPr>
              <w:t xml:space="preserve"> IKT attīstības programm</w:t>
            </w:r>
            <w:r w:rsidR="00E9701F" w:rsidRPr="0026499C">
              <w:rPr>
                <w:rFonts w:ascii="Times New Roman" w:hAnsi="Times New Roman"/>
                <w:sz w:val="24"/>
                <w:szCs w:val="24"/>
              </w:rPr>
              <w:t>as</w:t>
            </w:r>
            <w:r w:rsidRPr="0026499C">
              <w:rPr>
                <w:rFonts w:ascii="Times New Roman" w:hAnsi="Times New Roman"/>
                <w:sz w:val="24"/>
                <w:szCs w:val="24"/>
              </w:rPr>
              <w:t xml:space="preserve"> “Publiskās pārvaldes IKT infrastruktūras un koplietošanas atbalsta risinājumu attīstība”, </w:t>
            </w:r>
            <w:r w:rsidRPr="0026499C">
              <w:rPr>
                <w:rFonts w:ascii="Times New Roman" w:hAnsi="Times New Roman"/>
                <w:sz w:val="24"/>
                <w:szCs w:val="24"/>
                <w:u w:val="single"/>
              </w:rPr>
              <w:t xml:space="preserve">kā viens no IKT arhitektūras attīstības mugurkaula pasākumiem ir “E-identitātes un e-paraksta risinājumu attīstība”. Tā ietvaros tiek realizēta LVRTC uzticama sertifikācijas pakalpojumu sniedzēja platformas attīstība par nacionālo infrastruktūru, kas nodrošinās ne tikai eID kartē iekļaujamo autentifikācijas, paraksta un šifrēšanas sertifikātu izsniegšanu un pārvaldību, bet arī nodrošinās eID elektroniskās identifikācijas shēmas attīstību un uzturēšanu atbilstoši  </w:t>
            </w:r>
            <w:proofErr w:type="spellStart"/>
            <w:r w:rsidRPr="0026499C">
              <w:rPr>
                <w:rFonts w:ascii="Times New Roman" w:hAnsi="Times New Roman"/>
                <w:sz w:val="24"/>
                <w:szCs w:val="24"/>
                <w:u w:val="single"/>
              </w:rPr>
              <w:t>eIDAS</w:t>
            </w:r>
            <w:proofErr w:type="spellEnd"/>
            <w:r w:rsidRPr="0026499C">
              <w:rPr>
                <w:rFonts w:ascii="Times New Roman" w:hAnsi="Times New Roman"/>
                <w:sz w:val="24"/>
                <w:szCs w:val="24"/>
                <w:u w:val="single"/>
              </w:rPr>
              <w:t xml:space="preserve"> regulas prasībām tā, lai tā varētu tikt iekļauta </w:t>
            </w:r>
            <w:r w:rsidR="00D61797" w:rsidRPr="0026499C">
              <w:rPr>
                <w:rFonts w:ascii="Times New Roman" w:hAnsi="Times New Roman"/>
                <w:sz w:val="24"/>
                <w:szCs w:val="24"/>
                <w:u w:val="single"/>
              </w:rPr>
              <w:t>ES</w:t>
            </w:r>
            <w:r w:rsidRPr="0026499C">
              <w:rPr>
                <w:rFonts w:ascii="Times New Roman" w:hAnsi="Times New Roman"/>
                <w:sz w:val="24"/>
                <w:szCs w:val="24"/>
                <w:u w:val="single"/>
              </w:rPr>
              <w:t xml:space="preserve"> uzticamības sarakstā un nākotnē kļūtu izmantojama Latvijas iedzīvotājiem, uzņēmējiem un iestādēm piekļuvei citu </w:t>
            </w:r>
            <w:r w:rsidR="00D61797" w:rsidRPr="0026499C">
              <w:rPr>
                <w:rFonts w:ascii="Times New Roman" w:hAnsi="Times New Roman"/>
                <w:sz w:val="24"/>
                <w:szCs w:val="24"/>
                <w:u w:val="single"/>
              </w:rPr>
              <w:t>ES</w:t>
            </w:r>
            <w:r w:rsidRPr="0026499C">
              <w:rPr>
                <w:rFonts w:ascii="Times New Roman" w:hAnsi="Times New Roman"/>
                <w:sz w:val="24"/>
                <w:szCs w:val="24"/>
                <w:u w:val="single"/>
              </w:rPr>
              <w:t xml:space="preserve"> </w:t>
            </w:r>
            <w:r w:rsidR="00D61797" w:rsidRPr="0026499C">
              <w:rPr>
                <w:rFonts w:ascii="Times New Roman" w:hAnsi="Times New Roman"/>
                <w:sz w:val="24"/>
                <w:szCs w:val="24"/>
                <w:u w:val="single"/>
              </w:rPr>
              <w:t>dalīb</w:t>
            </w:r>
            <w:r w:rsidRPr="0026499C">
              <w:rPr>
                <w:rFonts w:ascii="Times New Roman" w:hAnsi="Times New Roman"/>
                <w:sz w:val="24"/>
                <w:szCs w:val="24"/>
                <w:u w:val="single"/>
              </w:rPr>
              <w:t>valstu publiskajiem e-pakalpojumiem</w:t>
            </w:r>
            <w:r w:rsidRPr="0026499C">
              <w:rPr>
                <w:rFonts w:ascii="Times New Roman" w:hAnsi="Times New Roman"/>
                <w:sz w:val="24"/>
                <w:szCs w:val="24"/>
              </w:rPr>
              <w:t>.</w:t>
            </w:r>
          </w:p>
          <w:p w:rsidR="00001BAC" w:rsidRPr="0026499C" w:rsidRDefault="00001BAC"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e-pakalpojumu pieejamība, attīstība, lietošanas veicināšana ir visas sabiedrība</w:t>
            </w:r>
            <w:r w:rsidR="00E9701F" w:rsidRPr="0026499C">
              <w:rPr>
                <w:rFonts w:ascii="Times New Roman" w:hAnsi="Times New Roman"/>
                <w:sz w:val="24"/>
                <w:szCs w:val="24"/>
              </w:rPr>
              <w:t>s, tajā skaitā valsts interesēs</w:t>
            </w:r>
            <w:r w:rsidRPr="0026499C">
              <w:rPr>
                <w:rFonts w:ascii="Times New Roman" w:hAnsi="Times New Roman"/>
                <w:sz w:val="24"/>
                <w:szCs w:val="24"/>
              </w:rPr>
              <w:t xml:space="preserve"> un ieguvumi ir vērtējami valsts mērogā. Tuvāko pāris gadu laikā būs ieviesti un pieejami daudzi plašai sabiedrībai būtiski e-pakalpojumi (piemēram, e-veselība). Savukārt, bankas būs uzsākušas “stingrās autentifikācijas” risinājumus </w:t>
            </w:r>
            <w:r w:rsidR="00E9701F" w:rsidRPr="0026499C">
              <w:rPr>
                <w:rFonts w:ascii="Times New Roman" w:hAnsi="Times New Roman"/>
                <w:sz w:val="24"/>
                <w:szCs w:val="24"/>
              </w:rPr>
              <w:t xml:space="preserve">maksājumu drošības uzlabošanai. </w:t>
            </w:r>
            <w:r w:rsidRPr="0026499C">
              <w:rPr>
                <w:rFonts w:ascii="Times New Roman" w:hAnsi="Times New Roman"/>
                <w:sz w:val="24"/>
                <w:szCs w:val="24"/>
              </w:rPr>
              <w:t>Vienlaikus atzīmējams, ka sākot ar 2017.gada aprīli ir jāpiemēro Eiropas banku iestādes (</w:t>
            </w:r>
            <w:proofErr w:type="spellStart"/>
            <w:r w:rsidRPr="0026499C">
              <w:rPr>
                <w:rFonts w:ascii="Times New Roman" w:hAnsi="Times New Roman"/>
                <w:i/>
                <w:sz w:val="24"/>
                <w:szCs w:val="24"/>
              </w:rPr>
              <w:t>European</w:t>
            </w:r>
            <w:proofErr w:type="spellEnd"/>
            <w:r w:rsidRPr="0026499C">
              <w:rPr>
                <w:rFonts w:ascii="Times New Roman" w:hAnsi="Times New Roman"/>
                <w:i/>
                <w:sz w:val="24"/>
                <w:szCs w:val="24"/>
              </w:rPr>
              <w:t xml:space="preserve"> </w:t>
            </w:r>
            <w:proofErr w:type="spellStart"/>
            <w:r w:rsidRPr="0026499C">
              <w:rPr>
                <w:rFonts w:ascii="Times New Roman" w:hAnsi="Times New Roman"/>
                <w:i/>
                <w:sz w:val="24"/>
                <w:szCs w:val="24"/>
              </w:rPr>
              <w:t>Banking</w:t>
            </w:r>
            <w:proofErr w:type="spellEnd"/>
            <w:r w:rsidRPr="0026499C">
              <w:rPr>
                <w:rFonts w:ascii="Times New Roman" w:hAnsi="Times New Roman"/>
                <w:i/>
                <w:sz w:val="24"/>
                <w:szCs w:val="24"/>
              </w:rPr>
              <w:t xml:space="preserve"> </w:t>
            </w:r>
            <w:proofErr w:type="spellStart"/>
            <w:r w:rsidRPr="0026499C">
              <w:rPr>
                <w:rFonts w:ascii="Times New Roman" w:hAnsi="Times New Roman"/>
                <w:i/>
                <w:sz w:val="24"/>
                <w:szCs w:val="24"/>
              </w:rPr>
              <w:t>Authority</w:t>
            </w:r>
            <w:proofErr w:type="spellEnd"/>
            <w:r w:rsidRPr="0026499C">
              <w:rPr>
                <w:rFonts w:ascii="Times New Roman" w:hAnsi="Times New Roman"/>
                <w:sz w:val="24"/>
                <w:szCs w:val="24"/>
              </w:rPr>
              <w:t xml:space="preserve">) (turpmāk - EBA) </w:t>
            </w:r>
            <w:r w:rsidRPr="0026499C">
              <w:rPr>
                <w:rFonts w:ascii="Times New Roman" w:hAnsi="Times New Roman"/>
                <w:sz w:val="24"/>
                <w:szCs w:val="24"/>
                <w:u w:val="single"/>
              </w:rPr>
              <w:t>izdotās interneta maksājumu drošības vadlīnijas</w:t>
            </w:r>
            <w:r w:rsidRPr="0026499C">
              <w:rPr>
                <w:rStyle w:val="FootnoteReference"/>
                <w:rFonts w:ascii="Times New Roman" w:hAnsi="Times New Roman"/>
                <w:sz w:val="24"/>
                <w:szCs w:val="24"/>
                <w:u w:val="single"/>
              </w:rPr>
              <w:footnoteReference w:id="1"/>
            </w:r>
            <w:r w:rsidRPr="0026499C">
              <w:rPr>
                <w:rFonts w:ascii="Times New Roman" w:hAnsi="Times New Roman"/>
                <w:sz w:val="24"/>
                <w:szCs w:val="24"/>
                <w:u w:val="single"/>
              </w:rPr>
              <w:t>, kas cita starpā nosaka, ka kodu kartes tiek atzītas par nedrošām.</w:t>
            </w:r>
            <w:r w:rsidRPr="0026499C">
              <w:rPr>
                <w:rFonts w:ascii="Times New Roman" w:hAnsi="Times New Roman"/>
                <w:sz w:val="24"/>
                <w:szCs w:val="24"/>
              </w:rPr>
              <w:t xml:space="preserve"> Ņemot vērā minēto, nav garantijas, ka bankas arī pēc EBA prasību ieviešanas turpinās sniegt personu elektroniskās identitātes apliecināšanas pakalpojumus un, ka lietotājs arī nākotnē piekļuvei e-pakalpojumiem varēs izmantot internetbankas piekļuves rīkus. Ievērojot minēto, </w:t>
            </w:r>
            <w:r w:rsidRPr="0026499C">
              <w:rPr>
                <w:rFonts w:ascii="Times New Roman" w:hAnsi="Times New Roman"/>
                <w:sz w:val="24"/>
                <w:szCs w:val="24"/>
                <w:u w:val="single"/>
              </w:rPr>
              <w:t>secināms, ka tikai eID kartei nav šķēršļu, lai kļūtu par centrālo personu identifikācijas rīku e-pakalpojumu saņemšanai</w:t>
            </w:r>
            <w:r w:rsidRPr="0026499C">
              <w:rPr>
                <w:rFonts w:ascii="Times New Roman" w:hAnsi="Times New Roman"/>
                <w:sz w:val="24"/>
                <w:szCs w:val="24"/>
              </w:rPr>
              <w:t>;</w:t>
            </w:r>
          </w:p>
          <w:p w:rsidR="00001BAC" w:rsidRPr="0026499C" w:rsidRDefault="00E9701F"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 xml:space="preserve">no nepieciešamības nodrošināt </w:t>
            </w:r>
            <w:r w:rsidR="00001BAC" w:rsidRPr="0026499C">
              <w:rPr>
                <w:rFonts w:ascii="Times New Roman" w:hAnsi="Times New Roman"/>
                <w:sz w:val="24"/>
                <w:szCs w:val="24"/>
              </w:rPr>
              <w:t>nacionāl</w:t>
            </w:r>
            <w:r w:rsidRPr="0026499C">
              <w:rPr>
                <w:rFonts w:ascii="Times New Roman" w:hAnsi="Times New Roman"/>
                <w:sz w:val="24"/>
                <w:szCs w:val="24"/>
              </w:rPr>
              <w:t>o</w:t>
            </w:r>
            <w:r w:rsidR="00001BAC" w:rsidRPr="0026499C">
              <w:rPr>
                <w:rFonts w:ascii="Times New Roman" w:hAnsi="Times New Roman"/>
                <w:sz w:val="24"/>
                <w:szCs w:val="24"/>
              </w:rPr>
              <w:t xml:space="preserve"> elektronisk</w:t>
            </w:r>
            <w:r w:rsidRPr="0026499C">
              <w:rPr>
                <w:rFonts w:ascii="Times New Roman" w:hAnsi="Times New Roman"/>
                <w:sz w:val="24"/>
                <w:szCs w:val="24"/>
              </w:rPr>
              <w:t>o identitāti</w:t>
            </w:r>
            <w:r w:rsidR="00001BAC" w:rsidRPr="0026499C">
              <w:rPr>
                <w:rFonts w:ascii="Times New Roman" w:hAnsi="Times New Roman"/>
                <w:sz w:val="24"/>
                <w:szCs w:val="24"/>
              </w:rPr>
              <w:t xml:space="preserve"> un droš</w:t>
            </w:r>
            <w:r w:rsidRPr="0026499C">
              <w:rPr>
                <w:rFonts w:ascii="Times New Roman" w:hAnsi="Times New Roman"/>
                <w:sz w:val="24"/>
                <w:szCs w:val="24"/>
              </w:rPr>
              <w:t>u</w:t>
            </w:r>
            <w:r w:rsidR="00001BAC" w:rsidRPr="0026499C">
              <w:rPr>
                <w:rFonts w:ascii="Times New Roman" w:hAnsi="Times New Roman"/>
                <w:sz w:val="24"/>
                <w:szCs w:val="24"/>
              </w:rPr>
              <w:t xml:space="preserve"> elektronisk</w:t>
            </w:r>
            <w:r w:rsidRPr="0026499C">
              <w:rPr>
                <w:rFonts w:ascii="Times New Roman" w:hAnsi="Times New Roman"/>
                <w:sz w:val="24"/>
                <w:szCs w:val="24"/>
              </w:rPr>
              <w:t>o</w:t>
            </w:r>
            <w:r w:rsidR="00001BAC" w:rsidRPr="0026499C">
              <w:rPr>
                <w:rFonts w:ascii="Times New Roman" w:hAnsi="Times New Roman"/>
                <w:sz w:val="24"/>
                <w:szCs w:val="24"/>
              </w:rPr>
              <w:t xml:space="preserve"> parakst</w:t>
            </w:r>
            <w:r w:rsidRPr="0026499C">
              <w:rPr>
                <w:rFonts w:ascii="Times New Roman" w:hAnsi="Times New Roman"/>
                <w:sz w:val="24"/>
                <w:szCs w:val="24"/>
              </w:rPr>
              <w:t>u</w:t>
            </w:r>
            <w:r w:rsidR="00001BAC" w:rsidRPr="0026499C">
              <w:rPr>
                <w:rFonts w:ascii="Times New Roman" w:hAnsi="Times New Roman"/>
                <w:sz w:val="24"/>
                <w:szCs w:val="24"/>
              </w:rPr>
              <w:t xml:space="preserve"> izriet virkne prasību pret pakalpojumu sniedzēju, tā kompetencēm, funkcijām, un normatīvo prasību (akreditācijas) </w:t>
            </w:r>
            <w:r w:rsidR="00001BAC" w:rsidRPr="0026499C">
              <w:rPr>
                <w:rFonts w:ascii="Times New Roman" w:hAnsi="Times New Roman"/>
                <w:sz w:val="24"/>
                <w:szCs w:val="24"/>
              </w:rPr>
              <w:lastRenderedPageBreak/>
              <w:t>nodrošināšanu;</w:t>
            </w:r>
          </w:p>
          <w:p w:rsidR="00001BAC" w:rsidRPr="0026499C" w:rsidRDefault="00001BAC"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valsts interesēs ir tas, lai e-pakalpojumi sabiedrībai būtu pieejami nepārtraukti un sabiedrība varētu paļauties, ka būs rīks (eID karte), kura pieejamību, ieskaitot finansiālo slogu, nodrošina valsts;</w:t>
            </w:r>
          </w:p>
          <w:p w:rsidR="00001BAC" w:rsidRPr="0026499C" w:rsidRDefault="00001BAC" w:rsidP="00001BAC">
            <w:pPr>
              <w:pStyle w:val="NoSpacing"/>
              <w:numPr>
                <w:ilvl w:val="0"/>
                <w:numId w:val="3"/>
              </w:numPr>
              <w:ind w:left="446"/>
              <w:jc w:val="both"/>
              <w:rPr>
                <w:rFonts w:ascii="Times New Roman" w:hAnsi="Times New Roman"/>
                <w:sz w:val="24"/>
                <w:szCs w:val="24"/>
              </w:rPr>
            </w:pPr>
            <w:r w:rsidRPr="0026499C">
              <w:rPr>
                <w:rFonts w:ascii="Times New Roman" w:hAnsi="Times New Roman"/>
                <w:sz w:val="24"/>
                <w:szCs w:val="24"/>
              </w:rPr>
              <w:t xml:space="preserve">kopš Likuma apstiprināšanas (Saeimā pieņemts 2002.gada 31.oktobrī, spēkā stājās 2003.gada 1.janvārī), kā arī kopš Koncepcijas apstiprināšanas brīža (Ministru kabineta 2010.gada 10.februāra rīkojums Nr.62) </w:t>
            </w:r>
            <w:r w:rsidRPr="0026499C">
              <w:rPr>
                <w:rFonts w:ascii="Times New Roman" w:hAnsi="Times New Roman"/>
                <w:sz w:val="24"/>
                <w:szCs w:val="24"/>
                <w:u w:val="single"/>
              </w:rPr>
              <w:t xml:space="preserve">līdz šim brīdim, tas ir 13 gadu laikā, </w:t>
            </w:r>
            <w:r w:rsidR="00513495" w:rsidRPr="0026499C">
              <w:rPr>
                <w:rFonts w:ascii="Times New Roman" w:hAnsi="Times New Roman"/>
                <w:sz w:val="24"/>
                <w:szCs w:val="24"/>
                <w:u w:val="single"/>
              </w:rPr>
              <w:t>USPS</w:t>
            </w:r>
            <w:r w:rsidRPr="0026499C">
              <w:rPr>
                <w:rFonts w:ascii="Times New Roman" w:hAnsi="Times New Roman"/>
                <w:sz w:val="24"/>
                <w:szCs w:val="24"/>
                <w:u w:val="single"/>
              </w:rPr>
              <w:t xml:space="preserve"> skaits Latvijā nav pieaudzis, un LVRTC ir vienīgais Latvijā akreditētais USPS</w:t>
            </w:r>
            <w:r w:rsidRPr="0026499C">
              <w:rPr>
                <w:rFonts w:ascii="Times New Roman" w:hAnsi="Times New Roman"/>
                <w:sz w:val="24"/>
                <w:szCs w:val="24"/>
              </w:rPr>
              <w:t>, kurš ar Ministr</w:t>
            </w:r>
            <w:r w:rsidR="001E6C59" w:rsidRPr="0026499C">
              <w:rPr>
                <w:rFonts w:ascii="Times New Roman" w:hAnsi="Times New Roman"/>
                <w:sz w:val="24"/>
                <w:szCs w:val="24"/>
              </w:rPr>
              <w:t>u k</w:t>
            </w:r>
            <w:r w:rsidRPr="0026499C">
              <w:rPr>
                <w:rFonts w:ascii="Times New Roman" w:hAnsi="Times New Roman"/>
                <w:sz w:val="24"/>
                <w:szCs w:val="24"/>
              </w:rPr>
              <w:t>abineta lēmumu jau kopš 2009. gada nodrošina drošu elektronisko parakstu un identitāti elektroniskajā vidē.</w:t>
            </w:r>
          </w:p>
          <w:p w:rsidR="00001BAC" w:rsidRPr="0026499C" w:rsidRDefault="00001BAC" w:rsidP="00001BAC">
            <w:pPr>
              <w:jc w:val="both"/>
            </w:pPr>
            <w:r w:rsidRPr="0026499C">
              <w:rPr>
                <w:b/>
              </w:rPr>
              <w:t>9.</w:t>
            </w:r>
            <w:r w:rsidRPr="0026499C">
              <w:t> LVRTC pieredze, reputācija, lai turpinātu sniegt USPS pakalpojumus un turpinātu sertifikācijas pakalpojumu piegādi eID karšu izsniegšanas nodrošināšanai:</w:t>
            </w:r>
          </w:p>
          <w:p w:rsidR="00001BAC" w:rsidRPr="0026499C" w:rsidRDefault="00001BAC" w:rsidP="00001BAC">
            <w:pPr>
              <w:pStyle w:val="ListParagraph"/>
              <w:numPr>
                <w:ilvl w:val="0"/>
                <w:numId w:val="2"/>
              </w:numPr>
              <w:contextualSpacing w:val="0"/>
              <w:jc w:val="both"/>
            </w:pPr>
            <w:r w:rsidRPr="0026499C">
              <w:t>LVRTC ir vienīgais Latvijas Republikā akreditētais</w:t>
            </w:r>
            <w:r w:rsidR="00B30E8A" w:rsidRPr="0026499C">
              <w:t xml:space="preserve"> USPS</w:t>
            </w:r>
            <w:r w:rsidRPr="0026499C">
              <w:t xml:space="preserve">, kurš nodrošina plaša spektra uzticamu sertifikācijas pakalpojumu sniegšanu (kvalificēti sertifikāti, laika zīmogu, e-zīmogs, koda parakstīšanas un SSL sertifikātu u.c. pakalpojumus),  tā rīcībā ir atbilstoša pieredze un resursi - augsta drošības līmeņa datu centrs, programmatūra, iekārtas, kvalificēts personāls un zinātība. Kopš sertifikācijas pakalpojumu pārņemšanas no VAS “Latvijas Pasts”, LVRTC mērķtiecīgu darbību rezultātā ir spējis attīstīt sertifikācijas pakalpojumus un e-paraksta lietotāju skaits kopš 2009.gada (kad tika pārņemts no VAS “Latvijas Pasts”) no 253 040 parakstītiem dokumentiem ir audzis līdz 3 211 777 parakstītiem dokumentiem 2015.gadā; </w:t>
            </w:r>
          </w:p>
          <w:p w:rsidR="00001BAC" w:rsidRPr="0026499C" w:rsidRDefault="00001BAC" w:rsidP="003B3835">
            <w:pPr>
              <w:pStyle w:val="ListParagraph"/>
              <w:numPr>
                <w:ilvl w:val="0"/>
                <w:numId w:val="2"/>
              </w:numPr>
              <w:jc w:val="both"/>
            </w:pPr>
            <w:r w:rsidRPr="0026499C">
              <w:t xml:space="preserve">saskaņā ar </w:t>
            </w:r>
            <w:r w:rsidR="001E6C59" w:rsidRPr="0026499C">
              <w:t xml:space="preserve">Ministru kabineta </w:t>
            </w:r>
            <w:r w:rsidRPr="0026499C">
              <w:t xml:space="preserve">2012.gada 24.janvāra noteikumu Nr.79 „Noteikumi par darbības programmas "Infrastruktūra un pakalpojumi" papildinājuma 3.2.2.3.aktivitāti "Elektronisko sakaru pakalpojumu vienlīdzīgas pieejamības nodrošināšana visā valsts teritorijā (platjoslas tīkla attīstība)” 5.punktu </w:t>
            </w:r>
            <w:r w:rsidR="00ED03FB" w:rsidRPr="0026499C">
              <w:t xml:space="preserve">un </w:t>
            </w:r>
            <w:r w:rsidR="0025093A" w:rsidRPr="0026499C">
              <w:t xml:space="preserve">Ministru kabineta 2015.gada 24.novembra noteikumu Nr.664 “Darbības programmas “Izaugsme un nodarbinātība” 2.1.1. specifiskā atbalsta mērķa “Uzlabot elektroniskās sakaru infrastruktūras pieejamību lauku teritorijās” pirmās projektu iesniegumu atlases kārtas īstenošanas noteikumi” 11.punktu </w:t>
            </w:r>
            <w:r w:rsidRPr="0026499C">
              <w:t>LVRTC ir apstiprināta par ERAF projekta “Nākamās paaudzes elektronisko sakaru tīkla attīstība lauku reģionos” finansējuma saņēmēju</w:t>
            </w:r>
            <w:r w:rsidR="0025093A" w:rsidRPr="0026499C">
              <w:t xml:space="preserve"> un projekta īstenotāju</w:t>
            </w:r>
            <w:r w:rsidRPr="0026499C">
              <w:t>. Projekta ietvaros platjoslas infrastruktūras uzbūve ir paredzēta Latvijas teritorijās, kurās neviens elektronisko sakaru komersants nesniedz un tuvāko trīs gadu laikā neplāno sniegt interneta piekļuves pakalpojumus ar uzlabotiem datu pārraides parametriem, nodrošinot datu pārraides ātrumu vismaz 30 Mbit/s</w:t>
            </w:r>
            <w:r w:rsidR="0025093A" w:rsidRPr="0026499C">
              <w:t>. Projektu īsteno divās kārtās, pirmo kārtu LVRTC pabeidza 2015.gadā</w:t>
            </w:r>
            <w:r w:rsidR="00E9701F" w:rsidRPr="0026499C">
              <w:t>,</w:t>
            </w:r>
            <w:r w:rsidR="0025093A" w:rsidRPr="0026499C">
              <w:t xml:space="preserve"> izbūvējot 177 piekļuves </w:t>
            </w:r>
            <w:r w:rsidR="0025093A" w:rsidRPr="0026499C">
              <w:lastRenderedPageBreak/>
              <w:t xml:space="preserve">punktus un aptuveni 2000 km optiskā tīkla, otrajā kārtā (līdz 2022.gadam) plānots izbūvēt </w:t>
            </w:r>
            <w:proofErr w:type="spellStart"/>
            <w:r w:rsidR="0025093A" w:rsidRPr="0026499C">
              <w:t>izbūvēt</w:t>
            </w:r>
            <w:proofErr w:type="spellEnd"/>
            <w:r w:rsidR="0025093A" w:rsidRPr="0026499C">
              <w:t xml:space="preserve"> optiskā tīkla līniju aptuveni 3000 km un izveidot ne mazāk kā 220 piekļuves punktus, kas kopumā, ja tiks </w:t>
            </w:r>
            <w:r w:rsidR="009E0D2C" w:rsidRPr="0026499C">
              <w:t>izbūvētas</w:t>
            </w:r>
            <w:r w:rsidR="0025093A" w:rsidRPr="0026499C">
              <w:t xml:space="preserve"> abonentl</w:t>
            </w:r>
            <w:r w:rsidR="009E0D2C" w:rsidRPr="0026499C">
              <w:t>īnijas</w:t>
            </w:r>
            <w:r w:rsidR="0025093A" w:rsidRPr="0026499C">
              <w:t xml:space="preserve">, nodrošinās </w:t>
            </w:r>
            <w:r w:rsidR="009E0D2C" w:rsidRPr="0026499C">
              <w:rPr>
                <w:u w:val="single"/>
              </w:rPr>
              <w:t>platjoslas interneta piekļuves pakalpojumu ar vismaz 30 Mb/s datu pārraides ātrumu vēl 515 000 iedzīvotāju;</w:t>
            </w:r>
            <w:r w:rsidR="0025093A" w:rsidRPr="0026499C">
              <w:t xml:space="preserve"> </w:t>
            </w:r>
          </w:p>
          <w:p w:rsidR="00001BAC" w:rsidRPr="0026499C" w:rsidRDefault="00001BAC" w:rsidP="00001BAC">
            <w:pPr>
              <w:pStyle w:val="ListParagraph"/>
              <w:numPr>
                <w:ilvl w:val="0"/>
                <w:numId w:val="2"/>
              </w:numPr>
              <w:contextualSpacing w:val="0"/>
              <w:jc w:val="both"/>
            </w:pPr>
            <w:r w:rsidRPr="0026499C">
              <w:t xml:space="preserve">LVRTC veic Elektronisko plašsaziņas līdzekļu likuma 13.panta pirmajā daļā, 72.panta pirmajā daļā un 73.panta trešās daļas 3.punktā noteiktos uzdevumus un visā Latvijas teritorijā nodrošina elektronisko plašsaziņas līdzekļu radio programmu izplatīšanu analogajā formātā, kuriem nav savu tehnisko izplatīšanas līdzekļu, sabiedriskā elektroniskā plašsaziņas līdzekļa radio programmu izplatīšanu valsts teritorijā analogajā formātā, kā arī savas infrastruktūras nodrošināšanu komersantam, kuram piešķirtas televīzijas programmu zemes apraidei </w:t>
            </w:r>
            <w:proofErr w:type="spellStart"/>
            <w:r w:rsidRPr="0026499C">
              <w:t>ciparformātā</w:t>
            </w:r>
            <w:proofErr w:type="spellEnd"/>
            <w:r w:rsidRPr="0026499C">
              <w:t xml:space="preserve"> nepieciešamā radiofrekvenču spektra lietošanas tiesības, elektronisko plašsaziņas līdzekļu programmu zemes apraidei </w:t>
            </w:r>
            <w:proofErr w:type="spellStart"/>
            <w:r w:rsidRPr="0026499C">
              <w:t>ciparformātā</w:t>
            </w:r>
            <w:proofErr w:type="spellEnd"/>
            <w:r w:rsidRPr="0026499C">
              <w:t xml:space="preserve">. LVRTC infrastruktūra nodrošina to, ka zemes ciparu televīzijas vienā tīklā ir ietvertas nacionālās TV programmas (gan nacionālo sabiedrisko, gan nacionālo komerciālo televīziju programmas), kas Latvijas iedzīvotājiem ir pieejamas </w:t>
            </w:r>
            <w:r w:rsidRPr="0026499C">
              <w:rPr>
                <w:bCs/>
              </w:rPr>
              <w:t xml:space="preserve">bez maksas; </w:t>
            </w:r>
          </w:p>
          <w:p w:rsidR="00001BAC" w:rsidRPr="0026499C" w:rsidRDefault="00001BAC" w:rsidP="00001BAC">
            <w:pPr>
              <w:pStyle w:val="ListParagraph"/>
              <w:numPr>
                <w:ilvl w:val="0"/>
                <w:numId w:val="2"/>
              </w:numPr>
              <w:contextualSpacing w:val="0"/>
              <w:jc w:val="both"/>
            </w:pPr>
            <w:r w:rsidRPr="0026499C">
              <w:t>LVRTC, ievērojot Mobilizācijas likumā un Ministru kabineta 2009.gada 28.aprīļa noteikumos Nr.365 “Noteikumi par pasta, radio, televīzijas un citu plašsaziņas līdzekļu darba nodrošināšanu valsts apdraudējuma gadījumā”, izstrādā un uztur nepieciešamos tehniskos resursus, lai nodrošinātu iedzīvotāju apziņošanu visā Latvijas Republikas teritorijā;</w:t>
            </w:r>
          </w:p>
          <w:p w:rsidR="00001BAC" w:rsidRPr="0026499C" w:rsidRDefault="00001BAC" w:rsidP="00001BAC">
            <w:pPr>
              <w:pStyle w:val="ListParagraph"/>
              <w:numPr>
                <w:ilvl w:val="0"/>
                <w:numId w:val="2"/>
              </w:numPr>
              <w:contextualSpacing w:val="0"/>
              <w:jc w:val="both"/>
            </w:pPr>
            <w:r w:rsidRPr="0026499C">
              <w:t xml:space="preserve">LVRTC, ievērojot </w:t>
            </w:r>
            <w:r w:rsidRPr="0026499C">
              <w:rPr>
                <w:bCs/>
              </w:rPr>
              <w:t xml:space="preserve">Ministru kabineta </w:t>
            </w:r>
            <w:r w:rsidRPr="0026499C">
              <w:t>2003.gada 29.aprīļa</w:t>
            </w:r>
            <w:r w:rsidRPr="0026499C">
              <w:rPr>
                <w:bCs/>
              </w:rPr>
              <w:t xml:space="preserve"> noteikumus Nr.242</w:t>
            </w:r>
            <w:r w:rsidRPr="0026499C">
              <w:t xml:space="preserve"> “Satiksmes ministrijas nolikums”</w:t>
            </w:r>
            <w:r w:rsidR="00E9701F" w:rsidRPr="0026499C">
              <w:t>,</w:t>
            </w:r>
            <w:r w:rsidRPr="0026499C">
              <w:t xml:space="preserve"> uz deleģējuma līguma pamata nodrošina datu centra pakalpojumus valsts informācijas sistēmai darbam ar </w:t>
            </w:r>
            <w:r w:rsidR="00D61797" w:rsidRPr="0026499C">
              <w:t>ES</w:t>
            </w:r>
            <w:r w:rsidRPr="0026499C">
              <w:t xml:space="preserve"> dokumentiem līdz 2019.gada 1.jūlijam.</w:t>
            </w:r>
          </w:p>
          <w:p w:rsidR="00001BAC" w:rsidRPr="0026499C" w:rsidRDefault="00001BAC" w:rsidP="00001BAC">
            <w:pPr>
              <w:pStyle w:val="ListParagraph"/>
              <w:numPr>
                <w:ilvl w:val="0"/>
                <w:numId w:val="2"/>
              </w:numPr>
              <w:contextualSpacing w:val="0"/>
              <w:jc w:val="both"/>
            </w:pPr>
            <w:r w:rsidRPr="0026499C">
              <w:t>LVRTC nodrošina augstākā līmeņa domēna gov.lv uzturēšanu.</w:t>
            </w:r>
          </w:p>
          <w:p w:rsidR="00001BAC" w:rsidRPr="0026499C" w:rsidRDefault="00001BAC" w:rsidP="00001BAC">
            <w:pPr>
              <w:jc w:val="both"/>
            </w:pPr>
            <w:r w:rsidRPr="0026499C">
              <w:rPr>
                <w:b/>
              </w:rPr>
              <w:t xml:space="preserve">10. </w:t>
            </w:r>
            <w:r w:rsidRPr="0026499C">
              <w:t>Lietderības apsvērumi un ieguvumi:</w:t>
            </w:r>
          </w:p>
          <w:p w:rsidR="00001BAC" w:rsidRPr="0026499C" w:rsidRDefault="00001BAC" w:rsidP="00001BAC">
            <w:pPr>
              <w:pStyle w:val="ListParagraph"/>
              <w:numPr>
                <w:ilvl w:val="0"/>
                <w:numId w:val="2"/>
              </w:numPr>
              <w:contextualSpacing w:val="0"/>
              <w:jc w:val="both"/>
            </w:pPr>
            <w:r w:rsidRPr="0026499C">
              <w:t xml:space="preserve">turpinot saņemt sertifikācijas pakalpojumu piegādi eID karšu izsniegšanas nodrošināšanai no LVRTC, kurš darbojas kā valsts akciju sabiedrība, kuras kapitāldaļas nav atsavināmas vai privatizējamas ne kopumā, ne daļēji un kura 100% akciju turētājs ir Satiksmes ministrija, saglabājas valsts kontrole pār valsts kritisko infrastruktūru, kā arī informāciju, kura tiek apstrādāta, izmantojot šo infrastruktūru; </w:t>
            </w:r>
          </w:p>
          <w:p w:rsidR="00001BAC" w:rsidRPr="0026499C" w:rsidRDefault="00001BAC" w:rsidP="00001BAC">
            <w:pPr>
              <w:pStyle w:val="ListParagraph"/>
              <w:numPr>
                <w:ilvl w:val="0"/>
                <w:numId w:val="2"/>
              </w:numPr>
              <w:contextualSpacing w:val="0"/>
              <w:jc w:val="both"/>
            </w:pPr>
            <w:r w:rsidRPr="0026499C">
              <w:t xml:space="preserve">atzīmējams, ka eID kartes  ir viena no jomām, kurā nav vēlama vairāku </w:t>
            </w:r>
            <w:r w:rsidR="00513495" w:rsidRPr="0026499C">
              <w:t>USPS</w:t>
            </w:r>
            <w:r w:rsidRPr="0026499C">
              <w:t xml:space="preserve"> kvalificētu sertifikātu izmantošana, jo tas ievērojami var sadārdzināt esošā projekta izmaksas, radīt savietojamības problēmas, kā arī papildu darbu ar </w:t>
            </w:r>
            <w:r w:rsidRPr="0026499C">
              <w:lastRenderedPageBreak/>
              <w:t>lietotājiem, skaidrojot vairākas sistēmas. Minēto pamato arī Igaunijas pieredze, kur eID kartēs sertifikācijas pakalpojumus nodrošina tikai viens sertifikācijas pakalpojumu sniedzējs.</w:t>
            </w:r>
          </w:p>
          <w:p w:rsidR="00001BAC" w:rsidRPr="0026499C" w:rsidRDefault="00001BAC" w:rsidP="00001BAC">
            <w:pPr>
              <w:jc w:val="both"/>
            </w:pPr>
            <w:r w:rsidRPr="0026499C">
              <w:rPr>
                <w:b/>
              </w:rPr>
              <w:t>12.</w:t>
            </w:r>
            <w:r w:rsidRPr="0026499C">
              <w:t xml:space="preserve"> Analizējot rīkojuma projekta ietekmi uz brīvas konkurences tiesību aktu regulējuma ievērošanu, norādāms, ka saskaņā ar pašreizējo normatīvo aktu regulējumu </w:t>
            </w:r>
            <w:r w:rsidR="00513495" w:rsidRPr="0026499C">
              <w:rPr>
                <w:u w:val="single"/>
              </w:rPr>
              <w:t>USPS</w:t>
            </w:r>
            <w:r w:rsidRPr="0026499C">
              <w:rPr>
                <w:u w:val="single"/>
              </w:rPr>
              <w:t xml:space="preserve"> funkcijas veic LVRTC</w:t>
            </w:r>
            <w:r w:rsidRPr="0026499C">
              <w:t>. No minētā izriet, ka izvēloties sertifikācijas pakalpojuma sniedzēju ir jāņem vērā Likumā noteiktais, proti, sertifikācijas pakalpojuma sniedzējam ir jāatbilst Elektronisko dokumentu likuma 9. pantā minētajām prasībām. Atzīmējams, ka trīs gadu laikā pēc Likuma stāšanās spēkā 2003.gadā sertifikācijas pakalpojumu tirgū nebija ienācis neviens privātais uzņēmums. Lai nodrošinātu vietējā un starptautiskā mērogā atzītu, normatīvajos aktos nostiprinātu drošu sertifikācijas pakalpojumu sniegšanu, valsts ar Ministru kabineta 2005.gada 7.novembra rīkojumu Nr.714 “Par droša elektroniskā paraksta nesēja izvēli un droša elektroniskā paraksta ieviešanu Latvijas Republikā”</w:t>
            </w:r>
            <w:r w:rsidR="0004431C" w:rsidRPr="0026499C">
              <w:rPr>
                <w:rStyle w:val="FootnoteReference"/>
              </w:rPr>
              <w:footnoteReference w:id="2"/>
            </w:r>
            <w:r w:rsidRPr="0026499C">
              <w:t>, iniciējot un investējot sertifikācijas pakalpojumu infrastruktūrā, noteica, ka tai ir nepieciešams drošs elektroniskais paraksts. Tādējādi personas identitātes pārbaudes un gribas izpausmes apliecināšanas funkciju elektroniskajā vidē no  2006.gada līdz 2009.gadam realizēja VAS “Latvijas Pasts”, savukārt no 2009.gada –</w:t>
            </w:r>
            <w:r w:rsidR="0026392F" w:rsidRPr="0026499C">
              <w:t xml:space="preserve"> LVRTC</w:t>
            </w:r>
            <w:r w:rsidRPr="0026499C">
              <w:t xml:space="preserve">. Līdz ar to LVRTC ir vienīgais </w:t>
            </w:r>
            <w:r w:rsidR="00B30E8A" w:rsidRPr="0026499C">
              <w:t>USPS</w:t>
            </w:r>
            <w:r w:rsidRPr="0026499C">
              <w:t>, kas ir reģistrēts Latvijas Republikā un atbilst Elektronisko dokumentu likuma 9. panta prasībām. Papildus tam norādāms, ka Ministru kabinets, apstiprinot politikas plānošanas dokumentus par jauniem valsts nodrošinātiem personu autentifikācijas risinājumiem norādīja uz LVRTC kā potenciālu droša elektroniskā paraksta radīšanas datu un kvalificēta sertifikāta pakalpojumu sniedzēju</w:t>
            </w:r>
            <w:r w:rsidR="0026392F" w:rsidRPr="0026499C">
              <w:t>, proti</w:t>
            </w:r>
            <w:r w:rsidRPr="0026499C">
              <w:t>:</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 xml:space="preserve">Nacionālais attīstības plāns 2014.–2020.gadam. Rīcības virziens „Pakalpojumu pieejamība līdzvērtīgāku darba iespēju un dzīves apstākļu radīšanai” (apstiprināts ar </w:t>
            </w:r>
            <w:r w:rsidR="00D06FB5" w:rsidRPr="0026499C">
              <w:rPr>
                <w:bCs/>
              </w:rPr>
              <w:t>20.12.2012. Saeimas sēdē</w:t>
            </w:r>
            <w:r w:rsidRPr="0026499C">
              <w:rPr>
                <w:bCs/>
              </w:rPr>
              <w:t xml:space="preserve">);  </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Pamatnostādnes „Latvijas kiberdrošības stratēģija 2014.-2018.gadam” (apstiprināts ar M</w:t>
            </w:r>
            <w:r w:rsidR="00D06FB5" w:rsidRPr="0026499C">
              <w:rPr>
                <w:bCs/>
              </w:rPr>
              <w:t>inistru kabineta</w:t>
            </w:r>
            <w:r w:rsidRPr="0026499C">
              <w:rPr>
                <w:bCs/>
              </w:rPr>
              <w:t xml:space="preserve"> 21.01.2014. rīkojumu Nr.40 (prot. Nr.3 43.§)) un Grozījumi pamatnostādnēs "Latvijas kiberdrošības stratēģija 2014.-2018.gadam" (apstiprināti ar M</w:t>
            </w:r>
            <w:r w:rsidR="00D06FB5" w:rsidRPr="0026499C">
              <w:rPr>
                <w:bCs/>
              </w:rPr>
              <w:t>inistru kabineta</w:t>
            </w:r>
            <w:r w:rsidRPr="0026499C">
              <w:rPr>
                <w:bCs/>
              </w:rPr>
              <w:t xml:space="preserve">  09.07.2014. rīkojumu Nr.347 (prot. Nr.38 45.§); </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 xml:space="preserve">Deklarācijas par </w:t>
            </w:r>
            <w:proofErr w:type="spellStart"/>
            <w:r w:rsidRPr="0026499C">
              <w:rPr>
                <w:bCs/>
              </w:rPr>
              <w:t>L.Straujumas</w:t>
            </w:r>
            <w:proofErr w:type="spellEnd"/>
            <w:r w:rsidRPr="0026499C">
              <w:rPr>
                <w:bCs/>
              </w:rPr>
              <w:t xml:space="preserve"> vadītā Ministru kabineta iecerēto darbību 27.punkts;</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Deklarācijas par M.Kučinska vadītā Ministru kabineta iecerēto darbību 34.punkts;</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 xml:space="preserve">Par Uzņēmējdarbības vides uzlabošanas pasākumu plānu </w:t>
            </w:r>
            <w:r w:rsidRPr="0026499C">
              <w:rPr>
                <w:bCs/>
              </w:rPr>
              <w:lastRenderedPageBreak/>
              <w:t>2014.-2015.gadam (apstiprināts ar M</w:t>
            </w:r>
            <w:r w:rsidR="00D06FB5" w:rsidRPr="0026499C">
              <w:rPr>
                <w:bCs/>
              </w:rPr>
              <w:t>inistru kabineta</w:t>
            </w:r>
            <w:r w:rsidRPr="0026499C">
              <w:rPr>
                <w:bCs/>
              </w:rPr>
              <w:t xml:space="preserve"> 28.11.2014. rīkojumu Nr.694 (prot. Nr.65 82.§);</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Informācijas sabiedrības attīstības pamatnostādnes 2014.–2020.gadam - rīcības virzieni „Moderna un efektīva publiskā pārvalde”, „Uzticēšanās un drošība”, „E-pakalpojumi un digitālais saturs sabiedrībai” (apstiprinātas ar M</w:t>
            </w:r>
            <w:r w:rsidR="00D06FB5" w:rsidRPr="0026499C">
              <w:rPr>
                <w:bCs/>
              </w:rPr>
              <w:t>inistru kabineta</w:t>
            </w:r>
            <w:r w:rsidRPr="0026499C">
              <w:rPr>
                <w:bCs/>
              </w:rPr>
              <w:t xml:space="preserve"> 14.10.2013. rīkojumu Nr.486);</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Latvijas nacionālā reformu programma „ES 2020” stratēģijas īstenošanai „2.3.Sabalansētas tautsaimniecības attīstības nodrošināšana, veicinot tirgojamo nozaru attīstību un ceļot produktivitāti” virziens „Informācijas un komunikāciju tehnoloģiju (IKT) attīstība un digitālā vienotā tirgus ieviešana" (apstiprināta Ministru kabineta 26.04.2011. sēdē (</w:t>
            </w:r>
            <w:r w:rsidR="0026392F" w:rsidRPr="0026499C">
              <w:rPr>
                <w:bCs/>
              </w:rPr>
              <w:t>p</w:t>
            </w:r>
            <w:r w:rsidRPr="0026499C">
              <w:rPr>
                <w:bCs/>
              </w:rPr>
              <w:t>rot.Nr.27, 34.§);</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Koncepcijas projekts „Par interneta vēlēšanu sistēmas izveidi” (izskatīts Ministru kabine</w:t>
            </w:r>
            <w:r w:rsidR="0026392F" w:rsidRPr="0026499C">
              <w:rPr>
                <w:bCs/>
              </w:rPr>
              <w:t>ta komitejas 23.09.2013. sēdē, p</w:t>
            </w:r>
            <w:r w:rsidRPr="0026499C">
              <w:rPr>
                <w:bCs/>
              </w:rPr>
              <w:t>rot.Nr</w:t>
            </w:r>
            <w:r w:rsidR="0026392F" w:rsidRPr="0026499C">
              <w:rPr>
                <w:bCs/>
              </w:rPr>
              <w:t>.35</w:t>
            </w:r>
            <w:r w:rsidR="00871C5A" w:rsidRPr="0026499C">
              <w:rPr>
                <w:bCs/>
              </w:rPr>
              <w:t>. 1</w:t>
            </w:r>
            <w:r w:rsidRPr="0026499C">
              <w:rPr>
                <w:bCs/>
              </w:rPr>
              <w:t>.§);</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(izskatīts Ministru kabineta sēdē 09.12.2014. (prot.Nr.69 50.§);</w:t>
            </w:r>
          </w:p>
          <w:p w:rsidR="00001BAC" w:rsidRPr="0026499C" w:rsidRDefault="00001BAC" w:rsidP="00001BAC">
            <w:pPr>
              <w:numPr>
                <w:ilvl w:val="0"/>
                <w:numId w:val="2"/>
              </w:numPr>
              <w:suppressAutoHyphens w:val="0"/>
              <w:autoSpaceDE w:val="0"/>
              <w:autoSpaceDN w:val="0"/>
              <w:adjustRightInd w:val="0"/>
              <w:jc w:val="both"/>
              <w:rPr>
                <w:bCs/>
              </w:rPr>
            </w:pPr>
            <w:r w:rsidRPr="0026499C">
              <w:rPr>
                <w:bCs/>
              </w:rPr>
              <w:t>Koncepcija par vienota autentifikācijas mehānisma ieviešanas iespējām valsts informācijas sistēmās (apstiprināta ar Ministru kabineta 30.03.2011.</w:t>
            </w:r>
            <w:r w:rsidR="00D06FB5" w:rsidRPr="0026499C">
              <w:rPr>
                <w:bCs/>
              </w:rPr>
              <w:t xml:space="preserve"> </w:t>
            </w:r>
            <w:r w:rsidRPr="0026499C">
              <w:rPr>
                <w:bCs/>
              </w:rPr>
              <w:t>rīkojumu Nr.140);</w:t>
            </w:r>
          </w:p>
          <w:p w:rsidR="00001BAC" w:rsidRPr="0026499C" w:rsidRDefault="00001BAC" w:rsidP="00001BAC">
            <w:pPr>
              <w:numPr>
                <w:ilvl w:val="0"/>
                <w:numId w:val="2"/>
              </w:numPr>
              <w:suppressAutoHyphens w:val="0"/>
              <w:autoSpaceDE w:val="0"/>
              <w:autoSpaceDN w:val="0"/>
              <w:adjustRightInd w:val="0"/>
              <w:jc w:val="both"/>
              <w:rPr>
                <w:lang w:eastAsia="en-US"/>
              </w:rPr>
            </w:pPr>
            <w:r w:rsidRPr="0026499C">
              <w:rPr>
                <w:bCs/>
              </w:rPr>
              <w:t>Latvijas ilgtspējīgas attīstības stratēģija līdz 2030.gadam – „Inovatīva pārvaldība un sabiedrības līdzdalība/E-pārvaldība un sabiedriskā inovācija” 448.punkts (apstiprināta 10.06.2010.</w:t>
            </w:r>
            <w:r w:rsidR="00D06FB5" w:rsidRPr="0026499C">
              <w:rPr>
                <w:bCs/>
              </w:rPr>
              <w:t xml:space="preserve"> </w:t>
            </w:r>
            <w:r w:rsidRPr="0026499C">
              <w:rPr>
                <w:bCs/>
              </w:rPr>
              <w:t>Saeim</w:t>
            </w:r>
            <w:r w:rsidR="00D06FB5" w:rsidRPr="0026499C">
              <w:rPr>
                <w:bCs/>
              </w:rPr>
              <w:t>as sēdē</w:t>
            </w:r>
            <w:r w:rsidRPr="0026499C">
              <w:rPr>
                <w:bCs/>
              </w:rPr>
              <w:t>).</w:t>
            </w:r>
          </w:p>
          <w:p w:rsidR="00062015" w:rsidRPr="0026499C" w:rsidRDefault="00062015" w:rsidP="00871C5A">
            <w:pPr>
              <w:ind w:right="111" w:firstLine="395"/>
              <w:jc w:val="both"/>
            </w:pPr>
            <w:r w:rsidRPr="0026499C">
              <w:t xml:space="preserve">13. </w:t>
            </w:r>
            <w:r w:rsidR="00001BAC" w:rsidRPr="0026499C">
              <w:t xml:space="preserve">Deleģēšanas līguma, kas noslēgts starp  </w:t>
            </w:r>
            <w:r w:rsidR="00871C5A" w:rsidRPr="0026499C">
              <w:t>PMLP</w:t>
            </w:r>
            <w:r w:rsidR="00001BAC" w:rsidRPr="0026499C">
              <w:t xml:space="preserve"> un  </w:t>
            </w:r>
            <w:r w:rsidR="00871C5A" w:rsidRPr="0026499C">
              <w:t>LVRTC</w:t>
            </w:r>
            <w:r w:rsidR="00001BAC" w:rsidRPr="0026499C">
              <w:t xml:space="preserve">  par sertifikācijas pakalpojumu piegādi elektronisko identifikācijas karšu (personas apliecību) izsniegšanas nodrošināšanai izpildei līdz 2016.gada 31.decembrim no valsts budžeta </w:t>
            </w:r>
            <w:r w:rsidR="00766619" w:rsidRPr="0026499C">
              <w:t>bija</w:t>
            </w:r>
            <w:r w:rsidR="00001BAC" w:rsidRPr="0026499C">
              <w:t xml:space="preserve"> piešķirti līdzekļi 847035 EUR apjomā katru gadu</w:t>
            </w:r>
            <w:r w:rsidRPr="0026499C">
              <w:t>.</w:t>
            </w:r>
          </w:p>
          <w:p w:rsidR="00062015" w:rsidRPr="0026499C" w:rsidRDefault="00062015" w:rsidP="00062015">
            <w:pPr>
              <w:ind w:right="111" w:firstLine="395"/>
              <w:jc w:val="both"/>
            </w:pPr>
            <w:r w:rsidRPr="0026499C">
              <w:t xml:space="preserve">Valsts kontrole revīzijas ziņojumā lietā Nr.2.4.1-26-2015 “Par Iekšlietu ministrijas gada pārskatu”, vērtējot izdevumus sertifikācijas pakalpojumiem, </w:t>
            </w:r>
            <w:r w:rsidR="00070C45" w:rsidRPr="0026499C">
              <w:t>ierosināja</w:t>
            </w:r>
            <w:r w:rsidRPr="0026499C">
              <w:t>, ka, lai nov</w:t>
            </w:r>
            <w:r w:rsidR="00766619" w:rsidRPr="0026499C">
              <w:t>ērtu valsts budže</w:t>
            </w:r>
            <w:r w:rsidRPr="0026499C">
              <w:t xml:space="preserve">ta līdzekļu neefektīvu un neekonomisku izlietojumu, Iekšlietu ministrijai </w:t>
            </w:r>
            <w:r w:rsidR="00DD5321" w:rsidRPr="0026499C">
              <w:t>būtu jā</w:t>
            </w:r>
            <w:r w:rsidRPr="0026499C">
              <w:t xml:space="preserve">izvērtē ieguvumus, kādus rada eID kartē iekļautās autentificēšanas un elektroniskā paraksta lietošanas iespējas, un nepieciešamos pasākumus eID karšu radīto iespēju izmantošanas paplašināšanai, vai arī </w:t>
            </w:r>
            <w:r w:rsidR="00DD5321" w:rsidRPr="0026499C">
              <w:t>jā</w:t>
            </w:r>
            <w:r w:rsidRPr="0026499C">
              <w:t xml:space="preserve">izvērtē iespējas atteikties no šādu funkcionalitāšu visaptverošas finansēšanas no valsts budžeta līdzekļiem, piemēram, paredzot, ka eID karšu lietotāji paši veic samaksu par laika zīmogiem. </w:t>
            </w:r>
            <w:r w:rsidR="00DD5321" w:rsidRPr="0026499C">
              <w:t xml:space="preserve">Vienlaikus Valsts kontrole  ieteica </w:t>
            </w:r>
            <w:r w:rsidRPr="0026499C">
              <w:t>Iekšlietu ministrijai rosināt</w:t>
            </w:r>
            <w:r w:rsidR="00DD5321" w:rsidRPr="0026499C">
              <w:t xml:space="preserve"> virzīt izskatīšanai</w:t>
            </w:r>
            <w:r w:rsidRPr="0026499C">
              <w:t xml:space="preserve"> Ministru kabinet</w:t>
            </w:r>
            <w:r w:rsidR="00DD5321" w:rsidRPr="0026499C">
              <w:t>ā</w:t>
            </w:r>
            <w:r w:rsidRPr="0026499C">
              <w:t xml:space="preserve"> </w:t>
            </w:r>
            <w:r w:rsidR="00DD5321" w:rsidRPr="0026499C">
              <w:t xml:space="preserve">jautājumu </w:t>
            </w:r>
            <w:r w:rsidRPr="0026499C">
              <w:t xml:space="preserve">par valstij izdevīgāko </w:t>
            </w:r>
            <w:r w:rsidR="00DD5321" w:rsidRPr="0026499C">
              <w:t xml:space="preserve">sertifikācijas pakalpojumu </w:t>
            </w:r>
            <w:r w:rsidR="00DD5321" w:rsidRPr="0026499C">
              <w:lastRenderedPageBreak/>
              <w:t>finansēšanas risinājumu</w:t>
            </w:r>
            <w:r w:rsidRPr="0026499C">
              <w:t>.</w:t>
            </w:r>
          </w:p>
          <w:p w:rsidR="00062015" w:rsidRPr="0026499C" w:rsidRDefault="00062015" w:rsidP="00062015">
            <w:pPr>
              <w:ind w:right="111" w:firstLine="395"/>
              <w:jc w:val="both"/>
            </w:pPr>
            <w:r w:rsidRPr="0026499C">
              <w:t>Tādejādi pirms jauna deleģēšanas līguma noslēgšanas nepieciešams sagatavot un iesniegt Ministru kabinetā informāciju par iespējamajiem sertifikācijas pakalpojumu finansēšanas risinājumiem un deleģēšanas līgumu slēgt</w:t>
            </w:r>
            <w:r w:rsidR="00DD5321" w:rsidRPr="0026499C">
              <w:t>,</w:t>
            </w:r>
            <w:r w:rsidRPr="0026499C">
              <w:t xml:space="preserve"> pamatojoties uz Ministru kabinetā atbalstīto </w:t>
            </w:r>
            <w:r w:rsidR="00766619" w:rsidRPr="0026499C">
              <w:t xml:space="preserve">sertifikācijas pakalpojumu </w:t>
            </w:r>
            <w:r w:rsidRPr="0026499C">
              <w:t>finansējuma modeli</w:t>
            </w:r>
            <w:r w:rsidR="00766619" w:rsidRPr="0026499C">
              <w:t>.</w:t>
            </w:r>
          </w:p>
          <w:p w:rsidR="00001BAC" w:rsidRPr="0026499C" w:rsidRDefault="00001BAC" w:rsidP="00766619">
            <w:pPr>
              <w:ind w:right="111" w:firstLine="395"/>
              <w:jc w:val="both"/>
            </w:pPr>
            <w:r w:rsidRPr="0026499C">
              <w:t xml:space="preserve"> </w:t>
            </w:r>
            <w:r w:rsidR="00766619" w:rsidRPr="0026499C">
              <w:t>J</w:t>
            </w:r>
            <w:r w:rsidRPr="0026499C">
              <w:t>aun</w:t>
            </w:r>
            <w:r w:rsidR="00766619" w:rsidRPr="0026499C">
              <w:t>ā</w:t>
            </w:r>
            <w:r w:rsidRPr="0026499C">
              <w:t xml:space="preserve"> deleģēšanas līguma izpilde</w:t>
            </w:r>
            <w:r w:rsidR="00766619" w:rsidRPr="0026499C">
              <w:t xml:space="preserve"> paredzēta</w:t>
            </w:r>
            <w:r w:rsidRPr="0026499C">
              <w:t>, sākot ar 2017.gada 1.janvāri ar termiņu 10 gadi</w:t>
            </w:r>
            <w:r w:rsidR="00766619" w:rsidRPr="0026499C">
              <w:t>.</w:t>
            </w:r>
            <w:r w:rsidRPr="0026499C">
              <w:t xml:space="preserve"> </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lastRenderedPageBreak/>
              <w:t>3.</w:t>
            </w:r>
          </w:p>
        </w:tc>
        <w:tc>
          <w:tcPr>
            <w:tcW w:w="2458" w:type="dxa"/>
            <w:tcBorders>
              <w:top w:val="single" w:sz="4" w:space="0" w:color="auto"/>
              <w:left w:val="single" w:sz="4" w:space="0" w:color="auto"/>
              <w:bottom w:val="single" w:sz="4" w:space="0" w:color="auto"/>
              <w:right w:val="single" w:sz="4" w:space="0" w:color="auto"/>
            </w:tcBorders>
          </w:tcPr>
          <w:p w:rsidR="001A1967" w:rsidRPr="002A3824" w:rsidRDefault="001A1967" w:rsidP="004E5CC3">
            <w:pPr>
              <w:snapToGrid w:val="0"/>
              <w:jc w:val="both"/>
              <w:rPr>
                <w:color w:val="000000"/>
              </w:rPr>
            </w:pPr>
            <w:r w:rsidRPr="002A3824">
              <w:rPr>
                <w:color w:val="000000"/>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tcPr>
          <w:p w:rsidR="001A1967" w:rsidRPr="0026499C" w:rsidRDefault="00871C5A" w:rsidP="005F433E">
            <w:pPr>
              <w:snapToGrid w:val="0"/>
              <w:jc w:val="both"/>
            </w:pPr>
            <w:r w:rsidRPr="0026499C">
              <w:t>PMLP</w:t>
            </w:r>
            <w:r w:rsidR="00001BAC" w:rsidRPr="0026499C">
              <w:t xml:space="preserve">, </w:t>
            </w:r>
            <w:r w:rsidR="004C0535" w:rsidRPr="0026499C">
              <w:t>Vides aizsardzības un reģionālās attīstības ministrija</w:t>
            </w:r>
            <w:r w:rsidR="00001BAC" w:rsidRPr="0026499C">
              <w:t xml:space="preserve">, </w:t>
            </w:r>
            <w:r w:rsidR="005F433E" w:rsidRPr="0026499C">
              <w:t>Satiksmes ministrija</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747A94" w:rsidRPr="0026499C" w:rsidRDefault="00747A94" w:rsidP="00747A94">
            <w:pPr>
              <w:ind w:firstLine="34"/>
              <w:jc w:val="both"/>
            </w:pPr>
            <w:r w:rsidRPr="0026499C">
              <w:t>Saskaņā ar</w:t>
            </w:r>
            <w:r w:rsidRPr="0026499C">
              <w:rPr>
                <w:b/>
              </w:rPr>
              <w:t xml:space="preserve"> </w:t>
            </w:r>
            <w:r w:rsidRPr="0026499C">
              <w:t>2011.gada 16.augusta rīkojumu Nr. 377 “Grozījumi Elektronisko identifikācijas karšu koncepcijā” 3.punktu, Pilsonības un migrācijas lietu pārvaldei saskaņā ar Publisko iepirkumu likuma 8. panta septīto un 7.</w:t>
            </w:r>
            <w:r w:rsidRPr="0026499C">
              <w:rPr>
                <w:vertAlign w:val="superscript"/>
              </w:rPr>
              <w:t>1</w:t>
            </w:r>
            <w:r w:rsidRPr="0026499C">
              <w:t xml:space="preserve"> daļu jānoslēdz līgums ar valsts akciju sabiedrīb</w:t>
            </w:r>
            <w:r w:rsidR="00454448" w:rsidRPr="0026499C">
              <w:t>u</w:t>
            </w:r>
            <w:r w:rsidRPr="0026499C">
              <w:t xml:space="preserve"> “Latvijas Valsts radio un televīzijas centrs” par sertifikācijas pakalpojumu piegādi elektronisko identifikācijas karšu (personas apliecību) izsniegšanas nodrošināšan</w:t>
            </w:r>
            <w:r w:rsidR="00454448" w:rsidRPr="0026499C">
              <w:t>ai</w:t>
            </w:r>
            <w:r w:rsidRPr="0026499C">
              <w:t xml:space="preserve">. </w:t>
            </w:r>
          </w:p>
          <w:p w:rsidR="00747A94" w:rsidRPr="0026499C" w:rsidRDefault="00747A94" w:rsidP="00747A94">
            <w:pPr>
              <w:jc w:val="both"/>
            </w:pPr>
            <w:r w:rsidRPr="0026499C">
              <w:t xml:space="preserve">Savukārt saskaņā ar </w:t>
            </w:r>
            <w:r w:rsidRPr="0026499C">
              <w:rPr>
                <w:bCs/>
                <w:lang w:eastAsia="lv-LV"/>
              </w:rPr>
              <w:t xml:space="preserve">Ministru kabineta </w:t>
            </w:r>
            <w:r w:rsidRPr="0026499C">
              <w:rPr>
                <w:lang w:eastAsia="lv-LV"/>
              </w:rPr>
              <w:t xml:space="preserve">2012.gada 21.februāra </w:t>
            </w:r>
            <w:r w:rsidRPr="0026499C">
              <w:rPr>
                <w:bCs/>
                <w:lang w:eastAsia="lv-LV"/>
              </w:rPr>
              <w:t>noteikumu Nr.134</w:t>
            </w:r>
            <w:r w:rsidRPr="0026499C">
              <w:rPr>
                <w:lang w:eastAsia="lv-LV"/>
              </w:rPr>
              <w:t xml:space="preserve"> “</w:t>
            </w:r>
            <w:r w:rsidRPr="0026499C">
              <w:rPr>
                <w:bCs/>
                <w:lang w:eastAsia="lv-LV"/>
              </w:rPr>
              <w:t>Personu apliecinošu dokumentu noteikumi” 32.1.apakšpunkt</w:t>
            </w:r>
            <w:r w:rsidR="00454448" w:rsidRPr="0026499C">
              <w:rPr>
                <w:bCs/>
                <w:lang w:eastAsia="lv-LV"/>
              </w:rPr>
              <w:t>u,</w:t>
            </w:r>
            <w:r w:rsidRPr="0026499C">
              <w:rPr>
                <w:bCs/>
                <w:lang w:eastAsia="lv-LV"/>
              </w:rPr>
              <w:t xml:space="preserve"> </w:t>
            </w:r>
            <w:r w:rsidRPr="0026499C">
              <w:t xml:space="preserve">datu elektroniskā paraksta radīšanai un pārbaudei un autentifikācijas sertifikāta iekļaušanai eID kartē, personai jāpiesakās pie </w:t>
            </w:r>
            <w:r w:rsidR="00513495" w:rsidRPr="0026499C">
              <w:t>USPS</w:t>
            </w:r>
            <w:r w:rsidR="0083450F" w:rsidRPr="0026499C">
              <w:t>, norādot precīzi</w:t>
            </w:r>
            <w:r w:rsidR="005A7098" w:rsidRPr="0026499C">
              <w:t xml:space="preserve">, ka </w:t>
            </w:r>
            <w:r w:rsidR="0083450F" w:rsidRPr="0026499C">
              <w:t xml:space="preserve">pie </w:t>
            </w:r>
            <w:r w:rsidR="00513495" w:rsidRPr="0026499C">
              <w:t>LVRTC</w:t>
            </w:r>
            <w:r w:rsidRPr="0026499C">
              <w:t>.</w:t>
            </w:r>
          </w:p>
          <w:p w:rsidR="00A2609B" w:rsidRPr="0026499C" w:rsidRDefault="00747A94" w:rsidP="00A86E7B">
            <w:pPr>
              <w:snapToGrid w:val="0"/>
              <w:jc w:val="both"/>
            </w:pPr>
            <w:r w:rsidRPr="0026499C">
              <w:t xml:space="preserve">Ievērojot iepriekšminētā Ministru kabineta rīkojuma un Ministru kabineta noteikumu spēkā stāšanās laiku, secināms, ka 2011.gadā līguma noslēgšanai piemērojamas noteiktās Publisko iepirkumu likuma normas, savukārt, savukārt pēc 2012.gadā spēkā stājušiem Ministru kabineta noteikumiem Nr.134, kuros ir iekļauta norma, ka valsts akciju sabiedrība “Latvijas Valsts radio un televīzijas centrs” nodrošina sertifikācijas pakalpojumus </w:t>
            </w:r>
            <w:r w:rsidR="00454448" w:rsidRPr="0026499C">
              <w:t>eID kartēs, uzdevuma izpildei noslēdz</w:t>
            </w:r>
            <w:r w:rsidRPr="0026499C">
              <w:t xml:space="preserve"> deleģēšanas līgum</w:t>
            </w:r>
            <w:r w:rsidR="00454448" w:rsidRPr="0026499C">
              <w:t>u</w:t>
            </w:r>
            <w:r w:rsidRPr="0026499C">
              <w:t>, atbilstoši Valsts pārvaldes iekārtas likumā noteiktajam, nepiemērojot Publisko iepirkumu likumu.</w:t>
            </w:r>
          </w:p>
          <w:p w:rsidR="001A1967" w:rsidRPr="0026499C" w:rsidRDefault="001A1967" w:rsidP="00A86E7B">
            <w:pPr>
              <w:snapToGrid w:val="0"/>
              <w:jc w:val="both"/>
              <w:rPr>
                <w:color w:val="000000"/>
              </w:rPr>
            </w:pPr>
          </w:p>
        </w:tc>
      </w:tr>
    </w:tbl>
    <w:p w:rsidR="001A1967" w:rsidRPr="00D65FA4" w:rsidRDefault="001A1967" w:rsidP="001A1967">
      <w:pPr>
        <w:rPr>
          <w:color w:val="000000"/>
          <w:highlight w:val="yellow"/>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89"/>
        <w:gridCol w:w="2410"/>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974432" w:rsidRDefault="001A1967" w:rsidP="004E5CC3">
            <w:pPr>
              <w:ind w:left="57" w:right="57"/>
              <w:jc w:val="center"/>
              <w:rPr>
                <w:b/>
                <w:lang w:eastAsia="lv-LV"/>
              </w:rPr>
            </w:pPr>
            <w:r w:rsidRPr="00D65FA4">
              <w:rPr>
                <w:b/>
                <w:bCs/>
                <w:color w:val="000000"/>
              </w:rPr>
              <w:t xml:space="preserve">II. </w:t>
            </w:r>
            <w:r w:rsidRPr="00974432">
              <w:rPr>
                <w:b/>
                <w:lang w:eastAsia="lv-LV"/>
              </w:rPr>
              <w:t>Tiesību akta projekta ietekme uz sabiedrību, tautsaimniecības attīstību</w:t>
            </w:r>
          </w:p>
          <w:p w:rsidR="001A1967" w:rsidRPr="00974432" w:rsidRDefault="001A1967" w:rsidP="004E5CC3">
            <w:pPr>
              <w:snapToGrid w:val="0"/>
              <w:jc w:val="center"/>
              <w:rPr>
                <w:b/>
                <w:bCs/>
                <w:color w:val="000000"/>
              </w:rPr>
            </w:pPr>
            <w:r w:rsidRPr="00974432">
              <w:rPr>
                <w:b/>
                <w:lang w:eastAsia="lv-LV"/>
              </w:rPr>
              <w:t>un administratīvo slogu</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tcPr>
          <w:p w:rsidR="001A1967" w:rsidRDefault="00001BAC" w:rsidP="004E5CC3">
            <w:pPr>
              <w:snapToGrid w:val="0"/>
              <w:jc w:val="both"/>
            </w:pPr>
            <w:r w:rsidRPr="005C4A67">
              <w:t>Jebkura fiziskā persona no 14 gadu vecuma, kura saņem eID karti ar tajā ietvertiem sertifikātiem un kura izmanto eID kartē ietvertos kvalificētos sertifikātus.</w:t>
            </w:r>
          </w:p>
          <w:p w:rsidR="00001BAC" w:rsidRPr="00D65FA4" w:rsidRDefault="00001BAC" w:rsidP="004E5CC3">
            <w:pPr>
              <w:snapToGrid w:val="0"/>
              <w:jc w:val="both"/>
              <w:rPr>
                <w:color w:val="000000"/>
              </w:rPr>
            </w:pP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tcPr>
          <w:p w:rsidR="001A1967" w:rsidRPr="004C1522" w:rsidRDefault="00001BAC" w:rsidP="004E5CC3">
            <w:pPr>
              <w:snapToGrid w:val="0"/>
              <w:jc w:val="both"/>
              <w:rPr>
                <w:color w:val="000000"/>
              </w:rPr>
            </w:pPr>
            <w:r w:rsidRPr="005C4A67">
              <w:t xml:space="preserve">Ievērojot to, ka rīkojuma projekts paredz noteikt, ka eID karšu sertifikācijas pakalpojumu sniedzēja funkcijas veic LVRTC, kurš saskaņā ar Koncepcijā noteikto daļu no ieņēmumiem, kas iegūti sertifikācijas pakalpojumu sniegšanas rezultātā, novirzīs e-paraksta infrastruktūras uzturēšanai, tiks veidota e-pakalpojumiem draudzīga vide, nodrošinot to turpmāko </w:t>
            </w:r>
            <w:r>
              <w:t xml:space="preserve">attīstību, vienlaikus mazinot administratīvo slogu jebkuram </w:t>
            </w:r>
            <w:r>
              <w:lastRenderedPageBreak/>
              <w:t>procesa dalībniekam, kas pakalpojuma saņemšanai izmantos eID kartes sertifikācijas pakalpojumus.</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1A1967" w:rsidRDefault="001A1967" w:rsidP="004E5CC3">
            <w:r w:rsidRPr="00E50006">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tcPr>
          <w:p w:rsidR="001A1967" w:rsidRPr="004C1522" w:rsidRDefault="001A1967" w:rsidP="004E5CC3">
            <w:pPr>
              <w:pStyle w:val="naisf"/>
              <w:spacing w:before="0" w:after="0"/>
              <w:ind w:right="111" w:firstLine="0"/>
              <w:rPr>
                <w:color w:val="000000"/>
              </w:rPr>
            </w:pPr>
            <w:r w:rsidRPr="004C1522">
              <w:t>Projekts šo jomu neskar.</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10"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t>Nav.</w:t>
            </w:r>
          </w:p>
        </w:tc>
      </w:tr>
    </w:tbl>
    <w:p w:rsidR="001A1967" w:rsidRDefault="001A1967" w:rsidP="001A1967">
      <w:pPr>
        <w:suppressAutoHyphens w:val="0"/>
        <w:rPr>
          <w:lang w:eastAsia="lv-LV"/>
        </w:rPr>
      </w:pPr>
    </w:p>
    <w:p w:rsidR="001A1967" w:rsidRPr="00522610" w:rsidDel="009D1634" w:rsidRDefault="001A1967" w:rsidP="001A1967">
      <w:pPr>
        <w:suppressAutoHyphens w:val="0"/>
        <w:rPr>
          <w:lang w:eastAsia="lv-LV"/>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842"/>
        <w:gridCol w:w="5717"/>
      </w:tblGrid>
      <w:tr w:rsidR="001A1967" w:rsidRPr="00522610" w:rsidTr="004E5CC3">
        <w:trPr>
          <w:trHeight w:val="421"/>
          <w:jc w:val="center"/>
        </w:trPr>
        <w:tc>
          <w:tcPr>
            <w:tcW w:w="8991" w:type="dxa"/>
            <w:gridSpan w:val="3"/>
            <w:vAlign w:val="center"/>
          </w:tcPr>
          <w:p w:rsidR="001A1967" w:rsidRPr="00522610" w:rsidRDefault="001A1967" w:rsidP="004E5CC3">
            <w:pPr>
              <w:suppressAutoHyphens w:val="0"/>
              <w:ind w:left="57" w:right="57"/>
              <w:jc w:val="center"/>
              <w:rPr>
                <w:lang w:eastAsia="lv-LV"/>
              </w:rPr>
            </w:pPr>
            <w:r w:rsidRPr="00522610">
              <w:rPr>
                <w:b/>
                <w:lang w:eastAsia="lv-LV"/>
              </w:rPr>
              <w:t>VI. Sabiedrības līdzdalība un komunikācijas aktivitātes</w:t>
            </w:r>
          </w:p>
        </w:tc>
      </w:tr>
      <w:tr w:rsidR="00871C5A" w:rsidRPr="00522610" w:rsidTr="004E5CC3">
        <w:trPr>
          <w:trHeight w:val="553"/>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1.</w:t>
            </w:r>
          </w:p>
        </w:tc>
        <w:tc>
          <w:tcPr>
            <w:tcW w:w="2842" w:type="dxa"/>
          </w:tcPr>
          <w:p w:rsidR="00871C5A" w:rsidRPr="00522610" w:rsidRDefault="00871C5A" w:rsidP="004E5CC3">
            <w:pPr>
              <w:tabs>
                <w:tab w:val="left" w:pos="170"/>
              </w:tabs>
              <w:suppressAutoHyphens w:val="0"/>
              <w:ind w:left="57" w:right="57"/>
              <w:rPr>
                <w:lang w:eastAsia="lv-LV"/>
              </w:rPr>
            </w:pPr>
            <w:r w:rsidRPr="00522610">
              <w:rPr>
                <w:lang w:eastAsia="lv-LV"/>
              </w:rPr>
              <w:t>Plānotās sabiedrības līdzdalības un komunikācijas aktivitātes saistībā ar projektu</w:t>
            </w:r>
          </w:p>
        </w:tc>
        <w:tc>
          <w:tcPr>
            <w:tcW w:w="5717" w:type="dxa"/>
          </w:tcPr>
          <w:p w:rsidR="00871C5A" w:rsidRPr="009B448F" w:rsidRDefault="00871C5A" w:rsidP="00A77882">
            <w:pPr>
              <w:jc w:val="both"/>
              <w:rPr>
                <w:lang w:eastAsia="en-US"/>
              </w:rPr>
            </w:pPr>
            <w:bookmarkStart w:id="1" w:name="p61"/>
            <w:bookmarkEnd w:id="1"/>
            <w:r w:rsidRPr="009B448F">
              <w:rPr>
                <w:bCs/>
              </w:rPr>
              <w:t xml:space="preserve">Projekts paredz risināt </w:t>
            </w:r>
            <w:r w:rsidRPr="009B448F">
              <w:t>organizatoriskus valsts pārvaldes jautājumus un neierobežo sabiedrības pārstāvju vai indivīda tiesības. Sabiedrības informēšanas pasākumi tika veikti izstrādājot Koncepciju un apstiprinot Koncepcijā ietvertā risinājuma 3.variantu.</w:t>
            </w:r>
          </w:p>
        </w:tc>
      </w:tr>
      <w:tr w:rsidR="00871C5A" w:rsidRPr="00522610" w:rsidTr="004E5CC3">
        <w:trPr>
          <w:trHeight w:val="339"/>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2.</w:t>
            </w:r>
          </w:p>
        </w:tc>
        <w:tc>
          <w:tcPr>
            <w:tcW w:w="2842" w:type="dxa"/>
          </w:tcPr>
          <w:p w:rsidR="00871C5A" w:rsidRPr="00522610" w:rsidRDefault="00871C5A" w:rsidP="004E5CC3">
            <w:pPr>
              <w:suppressAutoHyphens w:val="0"/>
              <w:ind w:left="57" w:right="57"/>
              <w:rPr>
                <w:lang w:eastAsia="lv-LV"/>
              </w:rPr>
            </w:pPr>
            <w:r w:rsidRPr="00522610">
              <w:rPr>
                <w:lang w:eastAsia="lv-LV"/>
              </w:rPr>
              <w:t>Sabiedrības līdzdalība projekta izstrādē</w:t>
            </w:r>
          </w:p>
        </w:tc>
        <w:tc>
          <w:tcPr>
            <w:tcW w:w="5717" w:type="dxa"/>
          </w:tcPr>
          <w:p w:rsidR="00871C5A" w:rsidRPr="00522610" w:rsidRDefault="00871C5A" w:rsidP="004E5CC3">
            <w:pPr>
              <w:shd w:val="clear" w:color="auto" w:fill="FFFFFF"/>
              <w:suppressAutoHyphens w:val="0"/>
              <w:jc w:val="both"/>
              <w:rPr>
                <w:lang w:eastAsia="lv-LV"/>
              </w:rPr>
            </w:pPr>
            <w:bookmarkStart w:id="2" w:name="p62"/>
            <w:bookmarkEnd w:id="2"/>
            <w:r w:rsidRPr="00522610">
              <w:t>Projekts šo jomu neskar.</w:t>
            </w:r>
          </w:p>
        </w:tc>
      </w:tr>
      <w:tr w:rsidR="00871C5A" w:rsidRPr="00522610" w:rsidTr="004E5CC3">
        <w:trPr>
          <w:trHeight w:val="476"/>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3.</w:t>
            </w:r>
          </w:p>
        </w:tc>
        <w:tc>
          <w:tcPr>
            <w:tcW w:w="2842" w:type="dxa"/>
          </w:tcPr>
          <w:p w:rsidR="00871C5A" w:rsidRPr="00522610" w:rsidRDefault="00871C5A" w:rsidP="004E5CC3">
            <w:pPr>
              <w:suppressAutoHyphens w:val="0"/>
              <w:ind w:left="57" w:right="57"/>
              <w:rPr>
                <w:lang w:eastAsia="lv-LV"/>
              </w:rPr>
            </w:pPr>
            <w:r w:rsidRPr="00522610">
              <w:rPr>
                <w:lang w:eastAsia="lv-LV"/>
              </w:rPr>
              <w:t>Sabiedrības līdzdalības rezultāti</w:t>
            </w:r>
          </w:p>
        </w:tc>
        <w:tc>
          <w:tcPr>
            <w:tcW w:w="5717" w:type="dxa"/>
          </w:tcPr>
          <w:p w:rsidR="00871C5A" w:rsidRPr="00522610" w:rsidRDefault="00871C5A" w:rsidP="004E5CC3">
            <w:pPr>
              <w:shd w:val="clear" w:color="auto" w:fill="FFFFFF"/>
              <w:suppressAutoHyphens w:val="0"/>
              <w:jc w:val="both"/>
              <w:rPr>
                <w:lang w:eastAsia="lv-LV"/>
              </w:rPr>
            </w:pPr>
            <w:r w:rsidRPr="00522610">
              <w:t>Projekts šo jomu neskar.</w:t>
            </w:r>
          </w:p>
        </w:tc>
      </w:tr>
      <w:tr w:rsidR="00871C5A" w:rsidRPr="00522610" w:rsidTr="004E5CC3">
        <w:trPr>
          <w:trHeight w:val="476"/>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4.</w:t>
            </w:r>
          </w:p>
        </w:tc>
        <w:tc>
          <w:tcPr>
            <w:tcW w:w="2842" w:type="dxa"/>
          </w:tcPr>
          <w:p w:rsidR="00871C5A" w:rsidRPr="00522610" w:rsidRDefault="00871C5A" w:rsidP="004E5CC3">
            <w:pPr>
              <w:suppressAutoHyphens w:val="0"/>
              <w:ind w:left="57" w:right="57"/>
              <w:rPr>
                <w:lang w:eastAsia="lv-LV"/>
              </w:rPr>
            </w:pPr>
            <w:r w:rsidRPr="00522610">
              <w:rPr>
                <w:lang w:eastAsia="lv-LV"/>
              </w:rPr>
              <w:t>Cita informācija</w:t>
            </w:r>
          </w:p>
        </w:tc>
        <w:tc>
          <w:tcPr>
            <w:tcW w:w="5717" w:type="dxa"/>
          </w:tcPr>
          <w:p w:rsidR="00871C5A" w:rsidRPr="00522610" w:rsidRDefault="00871C5A" w:rsidP="004E5CC3">
            <w:pPr>
              <w:suppressAutoHyphens w:val="0"/>
              <w:ind w:right="57"/>
              <w:jc w:val="both"/>
              <w:rPr>
                <w:lang w:eastAsia="lv-LV"/>
              </w:rPr>
            </w:pPr>
            <w:r w:rsidRPr="00896671">
              <w:t>Nav</w:t>
            </w:r>
            <w:r>
              <w:t>.</w:t>
            </w:r>
          </w:p>
        </w:tc>
      </w:tr>
    </w:tbl>
    <w:p w:rsidR="001A1967" w:rsidRDefault="001A1967" w:rsidP="001A1967">
      <w:pPr>
        <w:rPr>
          <w:color w:val="000000"/>
          <w:highlight w:val="yellow"/>
        </w:rPr>
      </w:pPr>
    </w:p>
    <w:tbl>
      <w:tblPr>
        <w:tblW w:w="9072" w:type="dxa"/>
        <w:tblInd w:w="30" w:type="dxa"/>
        <w:tblLayout w:type="fixed"/>
        <w:tblCellMar>
          <w:top w:w="30" w:type="dxa"/>
          <w:left w:w="30" w:type="dxa"/>
          <w:bottom w:w="30" w:type="dxa"/>
          <w:right w:w="30" w:type="dxa"/>
        </w:tblCellMar>
        <w:tblLook w:val="0000" w:firstRow="0" w:lastRow="0" w:firstColumn="0" w:lastColumn="0" w:noHBand="0" w:noVBand="0"/>
      </w:tblPr>
      <w:tblGrid>
        <w:gridCol w:w="426"/>
        <w:gridCol w:w="3260"/>
        <w:gridCol w:w="5386"/>
      </w:tblGrid>
      <w:tr w:rsidR="001A1967" w:rsidRPr="00522610" w:rsidTr="004E5CC3">
        <w:trPr>
          <w:trHeight w:val="240"/>
        </w:trPr>
        <w:tc>
          <w:tcPr>
            <w:tcW w:w="9072" w:type="dxa"/>
            <w:gridSpan w:val="3"/>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jc w:val="center"/>
              <w:rPr>
                <w:b/>
                <w:bCs/>
                <w:color w:val="000000"/>
              </w:rPr>
            </w:pPr>
            <w:r w:rsidRPr="00522610">
              <w:rPr>
                <w:b/>
                <w:bCs/>
                <w:color w:val="000000"/>
              </w:rPr>
              <w:t>VII. Tiesību akta projekta izpildes nodrošināšana un tās ietekme uz institūcijām</w:t>
            </w:r>
          </w:p>
        </w:tc>
      </w:tr>
      <w:tr w:rsidR="001A1967" w:rsidRPr="00522610" w:rsidTr="004E5CC3">
        <w:trPr>
          <w:trHeight w:val="24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izpildē iesaistītās institūcijas</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871C5A" w:rsidP="004E5CC3">
            <w:pPr>
              <w:snapToGrid w:val="0"/>
              <w:ind w:right="112"/>
              <w:jc w:val="both"/>
              <w:rPr>
                <w:color w:val="000000"/>
              </w:rPr>
            </w:pPr>
            <w:r>
              <w:rPr>
                <w:color w:val="000000"/>
              </w:rPr>
              <w:t>PMLP, LVRTC</w:t>
            </w:r>
          </w:p>
        </w:tc>
      </w:tr>
      <w:tr w:rsidR="001A1967" w:rsidRPr="00522610" w:rsidTr="004E5CC3">
        <w:trPr>
          <w:trHeight w:val="51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2.</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izpildes ietekme uz pārvaldes funkcijām un institucionālo struktūru.</w:t>
            </w:r>
          </w:p>
          <w:p w:rsidR="001A1967" w:rsidRPr="00522610" w:rsidRDefault="001A1967" w:rsidP="004E5CC3">
            <w:r w:rsidRPr="00522610">
              <w:t xml:space="preserve">Jaunu institūciju izveide, esošu institūciju likvidācija vai reorganizācija, to ietekme uz institūcijas cilvēkresursiem </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ind w:right="112"/>
              <w:jc w:val="both"/>
              <w:rPr>
                <w:color w:val="000000"/>
              </w:rPr>
            </w:pPr>
            <w:r w:rsidRPr="00522610">
              <w:t>Projekts šo jomu neskar.</w:t>
            </w:r>
          </w:p>
        </w:tc>
      </w:tr>
      <w:tr w:rsidR="001A1967" w:rsidRPr="00D65FA4" w:rsidTr="004E5CC3">
        <w:trPr>
          <w:trHeight w:val="234"/>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3.</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Cita informācija</w:t>
            </w:r>
          </w:p>
        </w:tc>
        <w:tc>
          <w:tcPr>
            <w:tcW w:w="5386"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rPr>
                <w:color w:val="000000"/>
              </w:rPr>
            </w:pPr>
            <w:r w:rsidRPr="00522610">
              <w:rPr>
                <w:color w:val="000000"/>
              </w:rPr>
              <w:t>Nav.</w:t>
            </w:r>
          </w:p>
        </w:tc>
      </w:tr>
    </w:tbl>
    <w:p w:rsidR="001A1967" w:rsidRDefault="001A1967" w:rsidP="001A1967">
      <w:pPr>
        <w:ind w:firstLine="902"/>
        <w:rPr>
          <w:iCs/>
          <w:highlight w:val="yellow"/>
        </w:rPr>
      </w:pPr>
    </w:p>
    <w:p w:rsidR="003B2A9C" w:rsidRPr="00322C1E" w:rsidRDefault="003B2A9C" w:rsidP="003B2A9C">
      <w:pPr>
        <w:pStyle w:val="tvhtml"/>
        <w:spacing w:before="0" w:beforeAutospacing="0" w:after="0" w:afterAutospacing="0"/>
      </w:pPr>
      <w:r w:rsidRPr="00322C1E">
        <w:t>Anotācijas III, IV, V, sadaļa – projekts šīs jomas neskar</w:t>
      </w:r>
    </w:p>
    <w:p w:rsidR="009673CC" w:rsidRDefault="009673CC" w:rsidP="001A1967">
      <w:pPr>
        <w:ind w:firstLine="902"/>
        <w:rPr>
          <w:iCs/>
          <w:highlight w:val="yellow"/>
        </w:rPr>
      </w:pPr>
    </w:p>
    <w:p w:rsidR="003B2A9C" w:rsidRDefault="003B2A9C" w:rsidP="001A1967">
      <w:pPr>
        <w:ind w:firstLine="902"/>
        <w:rPr>
          <w:iCs/>
          <w:highlight w:val="yellow"/>
        </w:rPr>
      </w:pPr>
    </w:p>
    <w:p w:rsidR="003B2A9C" w:rsidRPr="00D65FA4" w:rsidRDefault="003B2A9C" w:rsidP="001A1967">
      <w:pPr>
        <w:ind w:firstLine="902"/>
        <w:rPr>
          <w:iCs/>
          <w:highlight w:val="yellow"/>
        </w:rPr>
      </w:pPr>
    </w:p>
    <w:p w:rsidR="001A1967" w:rsidRPr="00A861E9" w:rsidRDefault="001A1967" w:rsidP="009673CC">
      <w:pPr>
        <w:tabs>
          <w:tab w:val="right" w:pos="9072"/>
        </w:tabs>
        <w:jc w:val="both"/>
      </w:pPr>
      <w:r w:rsidRPr="00A861E9">
        <w:t>Satiksmes ministr</w:t>
      </w:r>
      <w:r w:rsidR="00001BAC" w:rsidRPr="00A861E9">
        <w:t>s</w:t>
      </w:r>
      <w:r w:rsidR="00A861E9">
        <w:t xml:space="preserve">                                                                                            </w:t>
      </w:r>
      <w:r w:rsidR="00001BAC" w:rsidRPr="00A861E9">
        <w:t>U.Augulis</w:t>
      </w:r>
    </w:p>
    <w:p w:rsidR="001A1967" w:rsidRPr="00A861E9" w:rsidRDefault="001A1967" w:rsidP="009673CC">
      <w:pPr>
        <w:tabs>
          <w:tab w:val="right" w:pos="9072"/>
        </w:tabs>
        <w:jc w:val="both"/>
      </w:pPr>
    </w:p>
    <w:p w:rsidR="009673CC" w:rsidRPr="00A861E9" w:rsidRDefault="009673CC" w:rsidP="009673CC">
      <w:pPr>
        <w:tabs>
          <w:tab w:val="right" w:pos="9072"/>
        </w:tabs>
        <w:jc w:val="both"/>
      </w:pPr>
    </w:p>
    <w:p w:rsidR="00A861E9" w:rsidRPr="00A861E9" w:rsidRDefault="001A1967" w:rsidP="00A861E9">
      <w:pPr>
        <w:pStyle w:val="BodyTextIndent"/>
        <w:tabs>
          <w:tab w:val="left" w:pos="6840"/>
          <w:tab w:val="left" w:pos="7020"/>
        </w:tabs>
        <w:spacing w:after="0" w:line="240" w:lineRule="auto"/>
        <w:ind w:left="0"/>
        <w:rPr>
          <w:szCs w:val="24"/>
        </w:rPr>
      </w:pPr>
      <w:r w:rsidRPr="00A861E9">
        <w:rPr>
          <w:szCs w:val="24"/>
        </w:rPr>
        <w:t>Vīza:</w:t>
      </w:r>
      <w:r w:rsidR="007C0773" w:rsidRPr="00A861E9">
        <w:rPr>
          <w:szCs w:val="24"/>
        </w:rPr>
        <w:t xml:space="preserve"> </w:t>
      </w:r>
      <w:r w:rsidR="00A861E9" w:rsidRPr="00A861E9">
        <w:rPr>
          <w:szCs w:val="24"/>
        </w:rPr>
        <w:t>Valsts sekretāra vietā -</w:t>
      </w:r>
    </w:p>
    <w:p w:rsidR="00A861E9" w:rsidRPr="00A861E9" w:rsidRDefault="00A861E9" w:rsidP="00454448">
      <w:pPr>
        <w:tabs>
          <w:tab w:val="left" w:pos="6840"/>
          <w:tab w:val="left" w:pos="7020"/>
        </w:tabs>
        <w:suppressAutoHyphens w:val="0"/>
        <w:rPr>
          <w:rFonts w:eastAsia="Calibri"/>
          <w:lang w:eastAsia="en-US"/>
        </w:rPr>
      </w:pPr>
      <w:r w:rsidRPr="00A861E9">
        <w:rPr>
          <w:rFonts w:eastAsia="Calibri"/>
          <w:lang w:eastAsia="en-US"/>
        </w:rPr>
        <w:t>valsts sekretāra vietniece</w:t>
      </w:r>
      <w:r w:rsidRPr="00A861E9">
        <w:rPr>
          <w:rFonts w:eastAsia="Calibri"/>
          <w:lang w:eastAsia="en-US"/>
        </w:rPr>
        <w:tab/>
      </w:r>
      <w:r>
        <w:rPr>
          <w:rFonts w:eastAsia="Calibri"/>
          <w:lang w:eastAsia="en-US"/>
        </w:rPr>
        <w:tab/>
      </w:r>
      <w:r>
        <w:rPr>
          <w:rFonts w:eastAsia="Calibri"/>
          <w:lang w:eastAsia="en-US"/>
        </w:rPr>
        <w:tab/>
        <w:t xml:space="preserve"> </w:t>
      </w:r>
      <w:proofErr w:type="spellStart"/>
      <w:r w:rsidR="000E544C">
        <w:rPr>
          <w:rFonts w:eastAsia="Calibri"/>
          <w:lang w:eastAsia="en-US"/>
        </w:rPr>
        <w:t>Dž.Innusa</w:t>
      </w:r>
      <w:proofErr w:type="spellEnd"/>
    </w:p>
    <w:p w:rsidR="00EA5DC8" w:rsidRDefault="00EA5DC8" w:rsidP="00A861E9">
      <w:pPr>
        <w:tabs>
          <w:tab w:val="right" w:pos="9072"/>
        </w:tabs>
        <w:jc w:val="both"/>
      </w:pPr>
    </w:p>
    <w:p w:rsidR="00A861E9" w:rsidRDefault="00A861E9" w:rsidP="00A861E9">
      <w:pPr>
        <w:tabs>
          <w:tab w:val="right" w:pos="9072"/>
        </w:tabs>
        <w:jc w:val="both"/>
      </w:pPr>
    </w:p>
    <w:p w:rsidR="00A861E9" w:rsidRPr="00D65FA4" w:rsidRDefault="00A861E9" w:rsidP="00A861E9">
      <w:pPr>
        <w:tabs>
          <w:tab w:val="right" w:pos="9072"/>
        </w:tabs>
        <w:jc w:val="both"/>
      </w:pPr>
    </w:p>
    <w:p w:rsidR="00001BAC" w:rsidRDefault="002A3824" w:rsidP="009673CC">
      <w:pPr>
        <w:shd w:val="clear" w:color="auto" w:fill="FFFFFF"/>
        <w:jc w:val="both"/>
        <w:rPr>
          <w:sz w:val="18"/>
          <w:szCs w:val="20"/>
        </w:rPr>
      </w:pPr>
      <w:r>
        <w:rPr>
          <w:sz w:val="18"/>
          <w:szCs w:val="20"/>
        </w:rPr>
        <w:t>26</w:t>
      </w:r>
      <w:r w:rsidR="003B3835">
        <w:rPr>
          <w:sz w:val="18"/>
          <w:szCs w:val="20"/>
        </w:rPr>
        <w:t>.</w:t>
      </w:r>
      <w:r w:rsidR="000E544C">
        <w:rPr>
          <w:sz w:val="18"/>
          <w:szCs w:val="20"/>
        </w:rPr>
        <w:t>08</w:t>
      </w:r>
      <w:r w:rsidR="003B3835">
        <w:rPr>
          <w:sz w:val="18"/>
          <w:szCs w:val="20"/>
        </w:rPr>
        <w:t>.2016</w:t>
      </w:r>
      <w:r w:rsidR="00001BAC">
        <w:rPr>
          <w:sz w:val="18"/>
          <w:szCs w:val="20"/>
        </w:rPr>
        <w:t xml:space="preserve">. </w:t>
      </w:r>
      <w:r w:rsidR="003B3835">
        <w:rPr>
          <w:sz w:val="18"/>
          <w:szCs w:val="20"/>
        </w:rPr>
        <w:t>8:45</w:t>
      </w:r>
    </w:p>
    <w:p w:rsidR="001A1967" w:rsidRPr="00EA5DC8" w:rsidRDefault="00454448" w:rsidP="009673CC">
      <w:pPr>
        <w:shd w:val="clear" w:color="auto" w:fill="FFFFFF"/>
        <w:jc w:val="both"/>
        <w:rPr>
          <w:sz w:val="18"/>
          <w:szCs w:val="20"/>
        </w:rPr>
      </w:pPr>
      <w:r>
        <w:rPr>
          <w:sz w:val="18"/>
          <w:szCs w:val="20"/>
        </w:rPr>
        <w:t>4</w:t>
      </w:r>
      <w:r w:rsidR="000E544C">
        <w:rPr>
          <w:sz w:val="18"/>
          <w:szCs w:val="20"/>
        </w:rPr>
        <w:t>386</w:t>
      </w:r>
    </w:p>
    <w:p w:rsidR="001A1967" w:rsidRDefault="00001BAC" w:rsidP="009673CC">
      <w:pPr>
        <w:shd w:val="clear" w:color="auto" w:fill="FFFFFF"/>
        <w:jc w:val="both"/>
        <w:rPr>
          <w:sz w:val="18"/>
          <w:szCs w:val="20"/>
        </w:rPr>
      </w:pPr>
      <w:r>
        <w:rPr>
          <w:sz w:val="18"/>
          <w:szCs w:val="20"/>
        </w:rPr>
        <w:t>Bankoviča 67028111</w:t>
      </w:r>
    </w:p>
    <w:p w:rsidR="00001BAC" w:rsidRPr="00EA5DC8" w:rsidRDefault="00001BAC" w:rsidP="009673CC">
      <w:pPr>
        <w:shd w:val="clear" w:color="auto" w:fill="FFFFFF"/>
        <w:jc w:val="both"/>
        <w:rPr>
          <w:sz w:val="18"/>
          <w:szCs w:val="20"/>
        </w:rPr>
      </w:pPr>
      <w:r>
        <w:rPr>
          <w:sz w:val="18"/>
          <w:szCs w:val="20"/>
        </w:rPr>
        <w:t>Dace.Bankovica@sam.gov.lv</w:t>
      </w:r>
    </w:p>
    <w:sectPr w:rsidR="00001BAC" w:rsidRPr="00EA5DC8" w:rsidSect="00E40209">
      <w:headerReference w:type="even" r:id="rId11"/>
      <w:headerReference w:type="default" r:id="rId12"/>
      <w:footerReference w:type="default" r:id="rId13"/>
      <w:footerReference w:type="first" r:id="rId14"/>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F2" w:rsidRDefault="00DE26F2">
      <w:r>
        <w:separator/>
      </w:r>
    </w:p>
  </w:endnote>
  <w:endnote w:type="continuationSeparator" w:id="0">
    <w:p w:rsidR="00DE26F2" w:rsidRDefault="00DE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DE26F2" w:rsidP="00D83099">
    <w:pPr>
      <w:jc w:val="both"/>
      <w:rPr>
        <w:sz w:val="20"/>
        <w:szCs w:val="20"/>
      </w:rPr>
    </w:pPr>
  </w:p>
  <w:p w:rsidR="00001BAC" w:rsidRPr="009B448F" w:rsidRDefault="00FF0DE9" w:rsidP="00001BAC">
    <w:pPr>
      <w:pStyle w:val="naisc"/>
      <w:spacing w:before="0" w:after="0"/>
      <w:jc w:val="left"/>
      <w:rPr>
        <w:bCs/>
        <w:sz w:val="20"/>
        <w:szCs w:val="20"/>
      </w:rPr>
    </w:pPr>
    <w:r>
      <w:rPr>
        <w:sz w:val="20"/>
        <w:szCs w:val="20"/>
      </w:rPr>
      <w:t>SAManot_</w:t>
    </w:r>
    <w:r w:rsidR="0026499C">
      <w:rPr>
        <w:sz w:val="20"/>
        <w:szCs w:val="20"/>
      </w:rPr>
      <w:t>26</w:t>
    </w:r>
    <w:r>
      <w:rPr>
        <w:sz w:val="20"/>
        <w:szCs w:val="20"/>
      </w:rPr>
      <w:t>08</w:t>
    </w:r>
    <w:r w:rsidR="00001BAC">
      <w:rPr>
        <w:sz w:val="20"/>
        <w:szCs w:val="20"/>
      </w:rPr>
      <w:t>16_eID_konc</w:t>
    </w:r>
    <w:r w:rsidR="00001BAC" w:rsidRPr="00814E2A">
      <w:rPr>
        <w:sz w:val="20"/>
        <w:szCs w:val="20"/>
      </w:rPr>
      <w:t xml:space="preserve">; </w:t>
    </w:r>
    <w:r w:rsidR="00001BAC" w:rsidRPr="009B448F">
      <w:rPr>
        <w:bCs/>
        <w:sz w:val="20"/>
        <w:szCs w:val="20"/>
      </w:rPr>
      <w:t>Ministru kabineta rīkojuma projekta „</w:t>
    </w:r>
    <w:r w:rsidR="00001BAC" w:rsidRPr="009B448F">
      <w:rPr>
        <w:sz w:val="20"/>
        <w:szCs w:val="20"/>
      </w:rPr>
      <w:t>Grozījumi Elektronisko identifikācijas karšu koncepcijā</w:t>
    </w:r>
    <w:r w:rsidR="00001BAC" w:rsidRPr="009B448F">
      <w:rPr>
        <w:bCs/>
        <w:sz w:val="20"/>
        <w:szCs w:val="20"/>
      </w:rPr>
      <w:t xml:space="preserve">” </w:t>
    </w:r>
    <w:r w:rsidR="00001BAC" w:rsidRPr="009B448F">
      <w:rPr>
        <w:sz w:val="20"/>
        <w:szCs w:val="20"/>
      </w:rPr>
      <w:t>sākotnējās ietekmes novērtējuma ziņojums (</w:t>
    </w:r>
    <w:r w:rsidR="00001BAC" w:rsidRPr="009B448F">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AC" w:rsidRPr="009B448F" w:rsidRDefault="00FF0DE9" w:rsidP="00001BAC">
    <w:pPr>
      <w:pStyle w:val="naisc"/>
      <w:spacing w:before="0" w:after="0"/>
      <w:jc w:val="left"/>
      <w:rPr>
        <w:bCs/>
        <w:sz w:val="20"/>
        <w:szCs w:val="20"/>
      </w:rPr>
    </w:pPr>
    <w:r>
      <w:rPr>
        <w:sz w:val="20"/>
        <w:szCs w:val="20"/>
      </w:rPr>
      <w:t>SAManot_</w:t>
    </w:r>
    <w:r w:rsidR="0026499C">
      <w:rPr>
        <w:sz w:val="20"/>
        <w:szCs w:val="20"/>
      </w:rPr>
      <w:t>26</w:t>
    </w:r>
    <w:r>
      <w:rPr>
        <w:sz w:val="20"/>
        <w:szCs w:val="20"/>
      </w:rPr>
      <w:t>08</w:t>
    </w:r>
    <w:r w:rsidR="001A1967">
      <w:rPr>
        <w:sz w:val="20"/>
        <w:szCs w:val="20"/>
      </w:rPr>
      <w:t>16_</w:t>
    </w:r>
    <w:r w:rsidR="00001BAC">
      <w:rPr>
        <w:sz w:val="20"/>
        <w:szCs w:val="20"/>
      </w:rPr>
      <w:t>eID_konc</w:t>
    </w:r>
    <w:r w:rsidR="001A1967" w:rsidRPr="00814E2A">
      <w:rPr>
        <w:sz w:val="20"/>
        <w:szCs w:val="20"/>
      </w:rPr>
      <w:t xml:space="preserve">; </w:t>
    </w:r>
    <w:r w:rsidR="00001BAC" w:rsidRPr="009B448F">
      <w:rPr>
        <w:bCs/>
        <w:sz w:val="20"/>
        <w:szCs w:val="20"/>
      </w:rPr>
      <w:t>Ministru kabineta rīkojuma projekta „</w:t>
    </w:r>
    <w:r w:rsidR="00001BAC" w:rsidRPr="009B448F">
      <w:rPr>
        <w:sz w:val="20"/>
        <w:szCs w:val="20"/>
      </w:rPr>
      <w:t>Grozījumi Elektronisko identifikācijas karšu koncepcijā</w:t>
    </w:r>
    <w:r w:rsidR="00001BAC" w:rsidRPr="009B448F">
      <w:rPr>
        <w:bCs/>
        <w:sz w:val="20"/>
        <w:szCs w:val="20"/>
      </w:rPr>
      <w:t xml:space="preserve">” </w:t>
    </w:r>
    <w:r w:rsidR="00001BAC" w:rsidRPr="009B448F">
      <w:rPr>
        <w:sz w:val="20"/>
        <w:szCs w:val="20"/>
      </w:rPr>
      <w:t>sākotnējās ietekmes novērtējuma ziņojums (</w:t>
    </w:r>
    <w:r w:rsidR="00001BAC" w:rsidRPr="009B448F">
      <w:rPr>
        <w:bCs/>
        <w:sz w:val="20"/>
        <w:szCs w:val="20"/>
      </w:rPr>
      <w:t>anotācija)</w:t>
    </w:r>
  </w:p>
  <w:p w:rsidR="000B1DF1" w:rsidRPr="001A1EDD" w:rsidRDefault="00DE26F2" w:rsidP="00001BAC">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F2" w:rsidRDefault="00DE26F2">
      <w:r>
        <w:separator/>
      </w:r>
    </w:p>
  </w:footnote>
  <w:footnote w:type="continuationSeparator" w:id="0">
    <w:p w:rsidR="00DE26F2" w:rsidRDefault="00DE26F2">
      <w:r>
        <w:continuationSeparator/>
      </w:r>
    </w:p>
  </w:footnote>
  <w:footnote w:id="1">
    <w:p w:rsidR="00001BAC" w:rsidRPr="00F6128A" w:rsidRDefault="00001BAC" w:rsidP="00001BAC">
      <w:pPr>
        <w:pStyle w:val="FootnoteText"/>
        <w:rPr>
          <w:sz w:val="16"/>
          <w:szCs w:val="16"/>
        </w:rPr>
      </w:pPr>
      <w:r w:rsidRPr="00A11CD3">
        <w:rPr>
          <w:rStyle w:val="FootnoteReference"/>
        </w:rPr>
        <w:footnoteRef/>
      </w:r>
      <w:r w:rsidRPr="00A11CD3">
        <w:rPr>
          <w:sz w:val="16"/>
          <w:szCs w:val="16"/>
        </w:rPr>
        <w:t xml:space="preserve"> </w:t>
      </w:r>
      <w:proofErr w:type="spellStart"/>
      <w:r w:rsidRPr="00A11CD3">
        <w:rPr>
          <w:sz w:val="16"/>
          <w:szCs w:val="16"/>
        </w:rPr>
        <w:t>Final</w:t>
      </w:r>
      <w:proofErr w:type="spellEnd"/>
      <w:r w:rsidRPr="00A11CD3">
        <w:rPr>
          <w:sz w:val="16"/>
          <w:szCs w:val="16"/>
        </w:rPr>
        <w:t xml:space="preserve"> </w:t>
      </w:r>
      <w:proofErr w:type="spellStart"/>
      <w:r w:rsidRPr="00A11CD3">
        <w:rPr>
          <w:sz w:val="16"/>
          <w:szCs w:val="16"/>
        </w:rPr>
        <w:t>guidelines</w:t>
      </w:r>
      <w:proofErr w:type="spellEnd"/>
      <w:r w:rsidRPr="00A11CD3">
        <w:rPr>
          <w:sz w:val="16"/>
          <w:szCs w:val="16"/>
        </w:rPr>
        <w:t xml:space="preserve"> </w:t>
      </w:r>
      <w:proofErr w:type="spellStart"/>
      <w:r w:rsidRPr="00A11CD3">
        <w:rPr>
          <w:sz w:val="16"/>
          <w:szCs w:val="16"/>
        </w:rPr>
        <w:t>on</w:t>
      </w:r>
      <w:proofErr w:type="spellEnd"/>
      <w:r w:rsidRPr="00A11CD3">
        <w:rPr>
          <w:sz w:val="16"/>
          <w:szCs w:val="16"/>
        </w:rPr>
        <w:t xml:space="preserve"> </w:t>
      </w:r>
      <w:proofErr w:type="spellStart"/>
      <w:r w:rsidRPr="00A11CD3">
        <w:rPr>
          <w:sz w:val="16"/>
          <w:szCs w:val="16"/>
        </w:rPr>
        <w:t>the</w:t>
      </w:r>
      <w:proofErr w:type="spellEnd"/>
      <w:r w:rsidRPr="00A11CD3">
        <w:rPr>
          <w:sz w:val="16"/>
          <w:szCs w:val="16"/>
        </w:rPr>
        <w:t xml:space="preserve"> </w:t>
      </w:r>
      <w:proofErr w:type="spellStart"/>
      <w:r w:rsidRPr="00A11CD3">
        <w:rPr>
          <w:sz w:val="16"/>
          <w:szCs w:val="16"/>
        </w:rPr>
        <w:t>security</w:t>
      </w:r>
      <w:proofErr w:type="spellEnd"/>
      <w:r w:rsidRPr="00A11CD3">
        <w:rPr>
          <w:sz w:val="16"/>
          <w:szCs w:val="16"/>
        </w:rPr>
        <w:t xml:space="preserve"> </w:t>
      </w:r>
      <w:proofErr w:type="spellStart"/>
      <w:r w:rsidRPr="00A11CD3">
        <w:rPr>
          <w:sz w:val="16"/>
          <w:szCs w:val="16"/>
        </w:rPr>
        <w:t>on</w:t>
      </w:r>
      <w:proofErr w:type="spellEnd"/>
      <w:r w:rsidRPr="00A11CD3">
        <w:rPr>
          <w:sz w:val="16"/>
          <w:szCs w:val="16"/>
        </w:rPr>
        <w:t xml:space="preserve"> </w:t>
      </w:r>
      <w:proofErr w:type="spellStart"/>
      <w:r w:rsidRPr="00A11CD3">
        <w:rPr>
          <w:sz w:val="16"/>
          <w:szCs w:val="16"/>
        </w:rPr>
        <w:t>internet</w:t>
      </w:r>
      <w:proofErr w:type="spellEnd"/>
      <w:r w:rsidRPr="00A11CD3">
        <w:rPr>
          <w:sz w:val="16"/>
          <w:szCs w:val="16"/>
        </w:rPr>
        <w:t xml:space="preserve"> </w:t>
      </w:r>
      <w:proofErr w:type="spellStart"/>
      <w:r w:rsidRPr="00A11CD3">
        <w:rPr>
          <w:sz w:val="16"/>
          <w:szCs w:val="16"/>
        </w:rPr>
        <w:t>payments</w:t>
      </w:r>
      <w:proofErr w:type="spellEnd"/>
      <w:r w:rsidRPr="00A11CD3">
        <w:rPr>
          <w:sz w:val="16"/>
          <w:szCs w:val="16"/>
        </w:rPr>
        <w:t xml:space="preserve">, 19 </w:t>
      </w:r>
      <w:proofErr w:type="spellStart"/>
      <w:r w:rsidRPr="00A11CD3">
        <w:rPr>
          <w:sz w:val="16"/>
          <w:szCs w:val="16"/>
        </w:rPr>
        <w:t>December</w:t>
      </w:r>
      <w:proofErr w:type="spellEnd"/>
      <w:r w:rsidRPr="00A11CD3">
        <w:rPr>
          <w:sz w:val="16"/>
          <w:szCs w:val="16"/>
        </w:rPr>
        <w:t xml:space="preserve"> 2014</w:t>
      </w:r>
    </w:p>
  </w:footnote>
  <w:footnote w:id="2">
    <w:p w:rsidR="00AB13C9" w:rsidRPr="001163C9" w:rsidRDefault="0004431C" w:rsidP="00AB13C9">
      <w:pPr>
        <w:jc w:val="both"/>
      </w:pPr>
      <w:r>
        <w:rPr>
          <w:rStyle w:val="FootnoteReference"/>
        </w:rPr>
        <w:footnoteRef/>
      </w:r>
      <w:r>
        <w:t xml:space="preserve"> </w:t>
      </w:r>
      <w:r w:rsidR="00AB13C9" w:rsidRPr="00AB13C9">
        <w:rPr>
          <w:sz w:val="20"/>
          <w:szCs w:val="20"/>
        </w:rPr>
        <w:t>Ministru kabineta 2011.gada 30.marta rīkojum</w:t>
      </w:r>
      <w:r w:rsidR="00AB13C9">
        <w:rPr>
          <w:sz w:val="20"/>
          <w:szCs w:val="20"/>
        </w:rPr>
        <w:t>s</w:t>
      </w:r>
      <w:r w:rsidR="00AB13C9" w:rsidRPr="00AB13C9">
        <w:rPr>
          <w:sz w:val="20"/>
          <w:szCs w:val="20"/>
        </w:rPr>
        <w:t xml:space="preserve"> Nr.139 “Par </w:t>
      </w:r>
      <w:r w:rsidR="00AB13C9" w:rsidRPr="001163C9">
        <w:rPr>
          <w:bCs/>
          <w:sz w:val="20"/>
          <w:szCs w:val="20"/>
          <w:lang w:eastAsia="lv-LV"/>
        </w:rPr>
        <w:t>Ministru kabineta 2005.gada 7.novembra rīkojuma Nr.714 "</w:t>
      </w:r>
      <w:hyperlink r:id="rId1" w:tgtFrame="_blank" w:history="1">
        <w:r w:rsidR="00AB13C9" w:rsidRPr="001163C9">
          <w:rPr>
            <w:bCs/>
            <w:sz w:val="20"/>
            <w:szCs w:val="20"/>
            <w:lang w:eastAsia="lv-LV"/>
          </w:rPr>
          <w:t>Par droša elektroniskā paraksta nesēja izvēli un droša elektroniskā paraksta ieviešanu Latvijas Republikā</w:t>
        </w:r>
      </w:hyperlink>
      <w:r w:rsidR="00AB13C9" w:rsidRPr="001163C9">
        <w:rPr>
          <w:bCs/>
          <w:sz w:val="20"/>
          <w:szCs w:val="20"/>
          <w:lang w:eastAsia="lv-LV"/>
        </w:rPr>
        <w:t>" atzīšanu par spēku zaudējušu</w:t>
      </w:r>
    </w:p>
    <w:p w:rsidR="0004431C" w:rsidRDefault="000443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DE26F2" w:rsidP="00D83099">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036" o:spid="_x0000_s2049" type="#_x0000_t136" style="position:absolute;margin-left:0;margin-top:0;width:572.05pt;height:67.3pt;rotation:315;z-index:-251658752;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rsidR="001A1967">
      <w:rPr>
        <w:rStyle w:val="PageNumber"/>
      </w:rPr>
      <w:fldChar w:fldCharType="begin"/>
    </w:r>
    <w:r w:rsidR="001A1967">
      <w:rPr>
        <w:rStyle w:val="PageNumber"/>
      </w:rPr>
      <w:instrText xml:space="preserve">PAGE  </w:instrText>
    </w:r>
    <w:r w:rsidR="001A1967">
      <w:rPr>
        <w:rStyle w:val="PageNumber"/>
      </w:rPr>
      <w:fldChar w:fldCharType="end"/>
    </w:r>
  </w:p>
  <w:p w:rsidR="000B1DF1" w:rsidRDefault="00DE2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1A1967" w:rsidP="00A71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A03">
      <w:rPr>
        <w:rStyle w:val="PageNumber"/>
        <w:noProof/>
      </w:rPr>
      <w:t>14</w:t>
    </w:r>
    <w:r>
      <w:rPr>
        <w:rStyle w:val="PageNumber"/>
      </w:rPr>
      <w:fldChar w:fldCharType="end"/>
    </w:r>
  </w:p>
  <w:p w:rsidR="000B1DF1" w:rsidRDefault="00DE2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14B"/>
    <w:multiLevelType w:val="hybridMultilevel"/>
    <w:tmpl w:val="A89875A6"/>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
    <w:nsid w:val="1EB0061A"/>
    <w:multiLevelType w:val="hybridMultilevel"/>
    <w:tmpl w:val="77544726"/>
    <w:lvl w:ilvl="0" w:tplc="A314A9C4">
      <w:start w:val="1"/>
      <w:numFmt w:val="decimal"/>
      <w:lvlText w:val="%1."/>
      <w:lvlJc w:val="left"/>
      <w:pPr>
        <w:ind w:left="1252" w:hanging="806"/>
      </w:pPr>
      <w:rPr>
        <w:rFonts w:hint="default"/>
      </w:rPr>
    </w:lvl>
    <w:lvl w:ilvl="1" w:tplc="04260019" w:tentative="1">
      <w:start w:val="1"/>
      <w:numFmt w:val="lowerLetter"/>
      <w:lvlText w:val="%2."/>
      <w:lvlJc w:val="left"/>
      <w:pPr>
        <w:ind w:left="1526" w:hanging="360"/>
      </w:pPr>
    </w:lvl>
    <w:lvl w:ilvl="2" w:tplc="0426001B" w:tentative="1">
      <w:start w:val="1"/>
      <w:numFmt w:val="lowerRoman"/>
      <w:lvlText w:val="%3."/>
      <w:lvlJc w:val="right"/>
      <w:pPr>
        <w:ind w:left="2246" w:hanging="180"/>
      </w:pPr>
    </w:lvl>
    <w:lvl w:ilvl="3" w:tplc="0426000F" w:tentative="1">
      <w:start w:val="1"/>
      <w:numFmt w:val="decimal"/>
      <w:lvlText w:val="%4."/>
      <w:lvlJc w:val="left"/>
      <w:pPr>
        <w:ind w:left="2966" w:hanging="360"/>
      </w:pPr>
    </w:lvl>
    <w:lvl w:ilvl="4" w:tplc="04260019" w:tentative="1">
      <w:start w:val="1"/>
      <w:numFmt w:val="lowerLetter"/>
      <w:lvlText w:val="%5."/>
      <w:lvlJc w:val="left"/>
      <w:pPr>
        <w:ind w:left="3686" w:hanging="360"/>
      </w:pPr>
    </w:lvl>
    <w:lvl w:ilvl="5" w:tplc="0426001B" w:tentative="1">
      <w:start w:val="1"/>
      <w:numFmt w:val="lowerRoman"/>
      <w:lvlText w:val="%6."/>
      <w:lvlJc w:val="right"/>
      <w:pPr>
        <w:ind w:left="4406" w:hanging="180"/>
      </w:pPr>
    </w:lvl>
    <w:lvl w:ilvl="6" w:tplc="0426000F" w:tentative="1">
      <w:start w:val="1"/>
      <w:numFmt w:val="decimal"/>
      <w:lvlText w:val="%7."/>
      <w:lvlJc w:val="left"/>
      <w:pPr>
        <w:ind w:left="5126" w:hanging="360"/>
      </w:pPr>
    </w:lvl>
    <w:lvl w:ilvl="7" w:tplc="04260019" w:tentative="1">
      <w:start w:val="1"/>
      <w:numFmt w:val="lowerLetter"/>
      <w:lvlText w:val="%8."/>
      <w:lvlJc w:val="left"/>
      <w:pPr>
        <w:ind w:left="5846" w:hanging="360"/>
      </w:pPr>
    </w:lvl>
    <w:lvl w:ilvl="8" w:tplc="0426001B" w:tentative="1">
      <w:start w:val="1"/>
      <w:numFmt w:val="lowerRoman"/>
      <w:lvlText w:val="%9."/>
      <w:lvlJc w:val="right"/>
      <w:pPr>
        <w:ind w:left="6566" w:hanging="180"/>
      </w:pPr>
    </w:lvl>
  </w:abstractNum>
  <w:abstractNum w:abstractNumId="2">
    <w:nsid w:val="388B7E50"/>
    <w:multiLevelType w:val="hybridMultilevel"/>
    <w:tmpl w:val="0462A3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400407B7"/>
    <w:multiLevelType w:val="hybridMultilevel"/>
    <w:tmpl w:val="81E0DA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2C46DA7"/>
    <w:multiLevelType w:val="hybridMultilevel"/>
    <w:tmpl w:val="C6C6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D86809"/>
    <w:multiLevelType w:val="hybridMultilevel"/>
    <w:tmpl w:val="BEBCC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FDB7122"/>
    <w:multiLevelType w:val="hybridMultilevel"/>
    <w:tmpl w:val="D430DF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474521B"/>
    <w:multiLevelType w:val="hybridMultilevel"/>
    <w:tmpl w:val="4F328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662068"/>
    <w:multiLevelType w:val="hybridMultilevel"/>
    <w:tmpl w:val="DEB67AD0"/>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1"/>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67"/>
    <w:rsid w:val="00001BAC"/>
    <w:rsid w:val="000066DE"/>
    <w:rsid w:val="000115A2"/>
    <w:rsid w:val="00014560"/>
    <w:rsid w:val="0001556C"/>
    <w:rsid w:val="000204F2"/>
    <w:rsid w:val="0002288D"/>
    <w:rsid w:val="00023CBC"/>
    <w:rsid w:val="000279AB"/>
    <w:rsid w:val="0003093F"/>
    <w:rsid w:val="00030CCD"/>
    <w:rsid w:val="000333B0"/>
    <w:rsid w:val="00035260"/>
    <w:rsid w:val="00035370"/>
    <w:rsid w:val="0004146D"/>
    <w:rsid w:val="000442CA"/>
    <w:rsid w:val="0004431C"/>
    <w:rsid w:val="00045F4C"/>
    <w:rsid w:val="00046DE4"/>
    <w:rsid w:val="00056220"/>
    <w:rsid w:val="00060752"/>
    <w:rsid w:val="00062015"/>
    <w:rsid w:val="00063A80"/>
    <w:rsid w:val="0006446D"/>
    <w:rsid w:val="00064CD8"/>
    <w:rsid w:val="00066531"/>
    <w:rsid w:val="00070C45"/>
    <w:rsid w:val="00070EBC"/>
    <w:rsid w:val="00072039"/>
    <w:rsid w:val="0007304C"/>
    <w:rsid w:val="0007395F"/>
    <w:rsid w:val="0007560E"/>
    <w:rsid w:val="0007651A"/>
    <w:rsid w:val="00076FC8"/>
    <w:rsid w:val="000817B4"/>
    <w:rsid w:val="000847DF"/>
    <w:rsid w:val="00087026"/>
    <w:rsid w:val="000872AD"/>
    <w:rsid w:val="00093DE2"/>
    <w:rsid w:val="000A1FE9"/>
    <w:rsid w:val="000A38DD"/>
    <w:rsid w:val="000A6181"/>
    <w:rsid w:val="000A62E4"/>
    <w:rsid w:val="000B010A"/>
    <w:rsid w:val="000B29B1"/>
    <w:rsid w:val="000B78F3"/>
    <w:rsid w:val="000C02CB"/>
    <w:rsid w:val="000C1466"/>
    <w:rsid w:val="000C1845"/>
    <w:rsid w:val="000C28C8"/>
    <w:rsid w:val="000C3061"/>
    <w:rsid w:val="000C3AB0"/>
    <w:rsid w:val="000C48C5"/>
    <w:rsid w:val="000C6855"/>
    <w:rsid w:val="000C6906"/>
    <w:rsid w:val="000C7289"/>
    <w:rsid w:val="000D018E"/>
    <w:rsid w:val="000D2837"/>
    <w:rsid w:val="000D44E9"/>
    <w:rsid w:val="000D669D"/>
    <w:rsid w:val="000E544C"/>
    <w:rsid w:val="000E5E35"/>
    <w:rsid w:val="000E7746"/>
    <w:rsid w:val="000E7AA6"/>
    <w:rsid w:val="000F5526"/>
    <w:rsid w:val="000F6BCB"/>
    <w:rsid w:val="00102B1B"/>
    <w:rsid w:val="00102E4A"/>
    <w:rsid w:val="0010344C"/>
    <w:rsid w:val="001035B9"/>
    <w:rsid w:val="00106040"/>
    <w:rsid w:val="0010656A"/>
    <w:rsid w:val="00111FC1"/>
    <w:rsid w:val="00112D06"/>
    <w:rsid w:val="0011375F"/>
    <w:rsid w:val="00115AAE"/>
    <w:rsid w:val="001208D3"/>
    <w:rsid w:val="001209F7"/>
    <w:rsid w:val="00121977"/>
    <w:rsid w:val="00122128"/>
    <w:rsid w:val="001224B8"/>
    <w:rsid w:val="00124981"/>
    <w:rsid w:val="0013108D"/>
    <w:rsid w:val="001338DB"/>
    <w:rsid w:val="00133D51"/>
    <w:rsid w:val="00135766"/>
    <w:rsid w:val="00135F82"/>
    <w:rsid w:val="001371C7"/>
    <w:rsid w:val="00141D40"/>
    <w:rsid w:val="00141F0E"/>
    <w:rsid w:val="00144F43"/>
    <w:rsid w:val="00147882"/>
    <w:rsid w:val="0015464B"/>
    <w:rsid w:val="001558B2"/>
    <w:rsid w:val="00156071"/>
    <w:rsid w:val="00156FD6"/>
    <w:rsid w:val="0015723A"/>
    <w:rsid w:val="00160DB8"/>
    <w:rsid w:val="00173387"/>
    <w:rsid w:val="001748A6"/>
    <w:rsid w:val="00174D54"/>
    <w:rsid w:val="00175D9C"/>
    <w:rsid w:val="00176326"/>
    <w:rsid w:val="001813A8"/>
    <w:rsid w:val="00183073"/>
    <w:rsid w:val="00183286"/>
    <w:rsid w:val="00184597"/>
    <w:rsid w:val="00184EE3"/>
    <w:rsid w:val="001918F0"/>
    <w:rsid w:val="001926AB"/>
    <w:rsid w:val="00194095"/>
    <w:rsid w:val="001952F3"/>
    <w:rsid w:val="00197D63"/>
    <w:rsid w:val="001A0DD1"/>
    <w:rsid w:val="001A15B8"/>
    <w:rsid w:val="001A1967"/>
    <w:rsid w:val="001A1B17"/>
    <w:rsid w:val="001A2797"/>
    <w:rsid w:val="001A2D4E"/>
    <w:rsid w:val="001A35BC"/>
    <w:rsid w:val="001A4726"/>
    <w:rsid w:val="001A5F5C"/>
    <w:rsid w:val="001A724C"/>
    <w:rsid w:val="001B1150"/>
    <w:rsid w:val="001B2379"/>
    <w:rsid w:val="001B4036"/>
    <w:rsid w:val="001B6723"/>
    <w:rsid w:val="001B69EA"/>
    <w:rsid w:val="001B71E3"/>
    <w:rsid w:val="001C3D30"/>
    <w:rsid w:val="001C5EBA"/>
    <w:rsid w:val="001C7115"/>
    <w:rsid w:val="001D0DD0"/>
    <w:rsid w:val="001D3696"/>
    <w:rsid w:val="001D63F3"/>
    <w:rsid w:val="001D7C7F"/>
    <w:rsid w:val="001E006B"/>
    <w:rsid w:val="001E0552"/>
    <w:rsid w:val="001E058B"/>
    <w:rsid w:val="001E0A54"/>
    <w:rsid w:val="001E0AFA"/>
    <w:rsid w:val="001E0F51"/>
    <w:rsid w:val="001E5289"/>
    <w:rsid w:val="001E652D"/>
    <w:rsid w:val="001E6C59"/>
    <w:rsid w:val="001E725A"/>
    <w:rsid w:val="001F0439"/>
    <w:rsid w:val="001F1229"/>
    <w:rsid w:val="001F129B"/>
    <w:rsid w:val="001F13F4"/>
    <w:rsid w:val="001F1D20"/>
    <w:rsid w:val="001F22FB"/>
    <w:rsid w:val="001F386D"/>
    <w:rsid w:val="001F4DD6"/>
    <w:rsid w:val="001F6699"/>
    <w:rsid w:val="001F73F1"/>
    <w:rsid w:val="00201744"/>
    <w:rsid w:val="0020174D"/>
    <w:rsid w:val="00201A57"/>
    <w:rsid w:val="00201BB4"/>
    <w:rsid w:val="00201F07"/>
    <w:rsid w:val="0020551F"/>
    <w:rsid w:val="00205C2D"/>
    <w:rsid w:val="00207658"/>
    <w:rsid w:val="00213CD2"/>
    <w:rsid w:val="002151A3"/>
    <w:rsid w:val="00215A74"/>
    <w:rsid w:val="0021721A"/>
    <w:rsid w:val="00217674"/>
    <w:rsid w:val="002214FC"/>
    <w:rsid w:val="002222F1"/>
    <w:rsid w:val="00224FF9"/>
    <w:rsid w:val="002304B2"/>
    <w:rsid w:val="00231DA2"/>
    <w:rsid w:val="00235EE4"/>
    <w:rsid w:val="00236C11"/>
    <w:rsid w:val="00236C59"/>
    <w:rsid w:val="00237599"/>
    <w:rsid w:val="00237B1A"/>
    <w:rsid w:val="00240016"/>
    <w:rsid w:val="00240BC6"/>
    <w:rsid w:val="00242C3B"/>
    <w:rsid w:val="0025093A"/>
    <w:rsid w:val="00252569"/>
    <w:rsid w:val="002542DA"/>
    <w:rsid w:val="00261503"/>
    <w:rsid w:val="0026392F"/>
    <w:rsid w:val="0026499C"/>
    <w:rsid w:val="002650C5"/>
    <w:rsid w:val="00271009"/>
    <w:rsid w:val="00282037"/>
    <w:rsid w:val="00282BF1"/>
    <w:rsid w:val="002913A6"/>
    <w:rsid w:val="002971E9"/>
    <w:rsid w:val="00297E20"/>
    <w:rsid w:val="002A0D05"/>
    <w:rsid w:val="002A1A3B"/>
    <w:rsid w:val="002A3824"/>
    <w:rsid w:val="002A6896"/>
    <w:rsid w:val="002B0F79"/>
    <w:rsid w:val="002B2143"/>
    <w:rsid w:val="002B2266"/>
    <w:rsid w:val="002B336A"/>
    <w:rsid w:val="002C0A3D"/>
    <w:rsid w:val="002C5A01"/>
    <w:rsid w:val="002C6156"/>
    <w:rsid w:val="002C6996"/>
    <w:rsid w:val="002C6BEF"/>
    <w:rsid w:val="002C7069"/>
    <w:rsid w:val="002D01AA"/>
    <w:rsid w:val="002D0210"/>
    <w:rsid w:val="002D3538"/>
    <w:rsid w:val="002D3BFA"/>
    <w:rsid w:val="002D4DCB"/>
    <w:rsid w:val="002D6115"/>
    <w:rsid w:val="002E0E1D"/>
    <w:rsid w:val="002E0FD6"/>
    <w:rsid w:val="002E64C2"/>
    <w:rsid w:val="002E774A"/>
    <w:rsid w:val="002E7767"/>
    <w:rsid w:val="002E7C77"/>
    <w:rsid w:val="002F02BA"/>
    <w:rsid w:val="002F34E7"/>
    <w:rsid w:val="002F42FE"/>
    <w:rsid w:val="002F5E57"/>
    <w:rsid w:val="002F725B"/>
    <w:rsid w:val="0030285E"/>
    <w:rsid w:val="0030392B"/>
    <w:rsid w:val="00311974"/>
    <w:rsid w:val="00313805"/>
    <w:rsid w:val="00313A61"/>
    <w:rsid w:val="00315008"/>
    <w:rsid w:val="00315F38"/>
    <w:rsid w:val="003210E3"/>
    <w:rsid w:val="00323DE1"/>
    <w:rsid w:val="003265DA"/>
    <w:rsid w:val="00327051"/>
    <w:rsid w:val="00327F2A"/>
    <w:rsid w:val="00330064"/>
    <w:rsid w:val="00330B57"/>
    <w:rsid w:val="00330E03"/>
    <w:rsid w:val="00333C31"/>
    <w:rsid w:val="00335C89"/>
    <w:rsid w:val="00335EE5"/>
    <w:rsid w:val="00337820"/>
    <w:rsid w:val="0034027F"/>
    <w:rsid w:val="0034124B"/>
    <w:rsid w:val="00343A9F"/>
    <w:rsid w:val="00343BC5"/>
    <w:rsid w:val="003450F1"/>
    <w:rsid w:val="003458D3"/>
    <w:rsid w:val="00352868"/>
    <w:rsid w:val="00354968"/>
    <w:rsid w:val="00357E76"/>
    <w:rsid w:val="00362085"/>
    <w:rsid w:val="003622DE"/>
    <w:rsid w:val="00367997"/>
    <w:rsid w:val="003710E6"/>
    <w:rsid w:val="00372158"/>
    <w:rsid w:val="00374D7F"/>
    <w:rsid w:val="00375DE6"/>
    <w:rsid w:val="00376673"/>
    <w:rsid w:val="00381681"/>
    <w:rsid w:val="00381B0C"/>
    <w:rsid w:val="003822EC"/>
    <w:rsid w:val="00383AE8"/>
    <w:rsid w:val="003857E8"/>
    <w:rsid w:val="00385B88"/>
    <w:rsid w:val="003916F0"/>
    <w:rsid w:val="003922E6"/>
    <w:rsid w:val="00393E24"/>
    <w:rsid w:val="00397947"/>
    <w:rsid w:val="003A072A"/>
    <w:rsid w:val="003A11B0"/>
    <w:rsid w:val="003A30D8"/>
    <w:rsid w:val="003A41E0"/>
    <w:rsid w:val="003B2A9C"/>
    <w:rsid w:val="003B3835"/>
    <w:rsid w:val="003C1504"/>
    <w:rsid w:val="003C1800"/>
    <w:rsid w:val="003C1CF7"/>
    <w:rsid w:val="003C3BB4"/>
    <w:rsid w:val="003D6A99"/>
    <w:rsid w:val="003E26A2"/>
    <w:rsid w:val="003E5DB9"/>
    <w:rsid w:val="003E5FA8"/>
    <w:rsid w:val="003E615A"/>
    <w:rsid w:val="003E6228"/>
    <w:rsid w:val="003F1E94"/>
    <w:rsid w:val="003F2076"/>
    <w:rsid w:val="003F7BE3"/>
    <w:rsid w:val="004034C0"/>
    <w:rsid w:val="0040387B"/>
    <w:rsid w:val="00405B88"/>
    <w:rsid w:val="004118E2"/>
    <w:rsid w:val="00412670"/>
    <w:rsid w:val="00416A66"/>
    <w:rsid w:val="00417D2C"/>
    <w:rsid w:val="00421905"/>
    <w:rsid w:val="00423153"/>
    <w:rsid w:val="004256DF"/>
    <w:rsid w:val="0042580A"/>
    <w:rsid w:val="00426CCD"/>
    <w:rsid w:val="00427650"/>
    <w:rsid w:val="00430E48"/>
    <w:rsid w:val="00436041"/>
    <w:rsid w:val="00441DC6"/>
    <w:rsid w:val="00443161"/>
    <w:rsid w:val="00443852"/>
    <w:rsid w:val="004442D4"/>
    <w:rsid w:val="00445406"/>
    <w:rsid w:val="00446ED2"/>
    <w:rsid w:val="00451D37"/>
    <w:rsid w:val="00454448"/>
    <w:rsid w:val="00457088"/>
    <w:rsid w:val="00461AB6"/>
    <w:rsid w:val="004644C4"/>
    <w:rsid w:val="00466D74"/>
    <w:rsid w:val="00470801"/>
    <w:rsid w:val="0047168C"/>
    <w:rsid w:val="00471A4D"/>
    <w:rsid w:val="00473712"/>
    <w:rsid w:val="00474129"/>
    <w:rsid w:val="004766E1"/>
    <w:rsid w:val="00477D04"/>
    <w:rsid w:val="004808BD"/>
    <w:rsid w:val="004811BC"/>
    <w:rsid w:val="00481240"/>
    <w:rsid w:val="00482BC4"/>
    <w:rsid w:val="00482D3E"/>
    <w:rsid w:val="00483139"/>
    <w:rsid w:val="00486422"/>
    <w:rsid w:val="00490D07"/>
    <w:rsid w:val="00495024"/>
    <w:rsid w:val="004A05BD"/>
    <w:rsid w:val="004A4702"/>
    <w:rsid w:val="004A57C8"/>
    <w:rsid w:val="004B1B8E"/>
    <w:rsid w:val="004B2387"/>
    <w:rsid w:val="004B3A44"/>
    <w:rsid w:val="004B446F"/>
    <w:rsid w:val="004B4F31"/>
    <w:rsid w:val="004B7478"/>
    <w:rsid w:val="004C0535"/>
    <w:rsid w:val="004C4D9D"/>
    <w:rsid w:val="004C7A03"/>
    <w:rsid w:val="004D1692"/>
    <w:rsid w:val="004D3017"/>
    <w:rsid w:val="004D3B97"/>
    <w:rsid w:val="004D3BB3"/>
    <w:rsid w:val="004D6020"/>
    <w:rsid w:val="004E3711"/>
    <w:rsid w:val="004F088E"/>
    <w:rsid w:val="004F5817"/>
    <w:rsid w:val="00502DDA"/>
    <w:rsid w:val="005036EA"/>
    <w:rsid w:val="00510C0D"/>
    <w:rsid w:val="005133F6"/>
    <w:rsid w:val="00513495"/>
    <w:rsid w:val="00514F83"/>
    <w:rsid w:val="005163C8"/>
    <w:rsid w:val="0052009D"/>
    <w:rsid w:val="00520304"/>
    <w:rsid w:val="00525963"/>
    <w:rsid w:val="005265CA"/>
    <w:rsid w:val="0052669E"/>
    <w:rsid w:val="005275F7"/>
    <w:rsid w:val="00527996"/>
    <w:rsid w:val="00527AB1"/>
    <w:rsid w:val="005308A2"/>
    <w:rsid w:val="0053473C"/>
    <w:rsid w:val="00537C9D"/>
    <w:rsid w:val="00540EA9"/>
    <w:rsid w:val="00540FA9"/>
    <w:rsid w:val="00541498"/>
    <w:rsid w:val="005437E9"/>
    <w:rsid w:val="00543D35"/>
    <w:rsid w:val="00544979"/>
    <w:rsid w:val="00544D8E"/>
    <w:rsid w:val="00546E74"/>
    <w:rsid w:val="0054767E"/>
    <w:rsid w:val="0055086B"/>
    <w:rsid w:val="00553DD9"/>
    <w:rsid w:val="005540F7"/>
    <w:rsid w:val="0055568D"/>
    <w:rsid w:val="00557208"/>
    <w:rsid w:val="00563B6A"/>
    <w:rsid w:val="00563CE1"/>
    <w:rsid w:val="0056708C"/>
    <w:rsid w:val="005704D4"/>
    <w:rsid w:val="00570CD0"/>
    <w:rsid w:val="00572931"/>
    <w:rsid w:val="00574825"/>
    <w:rsid w:val="00574FA2"/>
    <w:rsid w:val="005754F6"/>
    <w:rsid w:val="00581E11"/>
    <w:rsid w:val="00582D57"/>
    <w:rsid w:val="00590DBF"/>
    <w:rsid w:val="005920F8"/>
    <w:rsid w:val="00594EC2"/>
    <w:rsid w:val="00597392"/>
    <w:rsid w:val="005A20D7"/>
    <w:rsid w:val="005A2600"/>
    <w:rsid w:val="005A2DAA"/>
    <w:rsid w:val="005A2F4A"/>
    <w:rsid w:val="005A6EB8"/>
    <w:rsid w:val="005A7098"/>
    <w:rsid w:val="005B010F"/>
    <w:rsid w:val="005B521B"/>
    <w:rsid w:val="005B69DC"/>
    <w:rsid w:val="005C0D56"/>
    <w:rsid w:val="005C40BE"/>
    <w:rsid w:val="005C6EF6"/>
    <w:rsid w:val="005D6C53"/>
    <w:rsid w:val="005D7E74"/>
    <w:rsid w:val="005E20A1"/>
    <w:rsid w:val="005E4233"/>
    <w:rsid w:val="005E47AD"/>
    <w:rsid w:val="005F0D1B"/>
    <w:rsid w:val="005F16C1"/>
    <w:rsid w:val="005F18FC"/>
    <w:rsid w:val="005F433E"/>
    <w:rsid w:val="005F50A7"/>
    <w:rsid w:val="005F6CEA"/>
    <w:rsid w:val="00602BE4"/>
    <w:rsid w:val="00603585"/>
    <w:rsid w:val="00605EAC"/>
    <w:rsid w:val="0060798D"/>
    <w:rsid w:val="00614069"/>
    <w:rsid w:val="00614D3E"/>
    <w:rsid w:val="00621848"/>
    <w:rsid w:val="00625018"/>
    <w:rsid w:val="00625DD8"/>
    <w:rsid w:val="00627EA6"/>
    <w:rsid w:val="00630A93"/>
    <w:rsid w:val="00630BAE"/>
    <w:rsid w:val="00632443"/>
    <w:rsid w:val="00632CB8"/>
    <w:rsid w:val="006338B5"/>
    <w:rsid w:val="00633D35"/>
    <w:rsid w:val="00634DBB"/>
    <w:rsid w:val="0063580D"/>
    <w:rsid w:val="00636437"/>
    <w:rsid w:val="006377D2"/>
    <w:rsid w:val="00641041"/>
    <w:rsid w:val="00642347"/>
    <w:rsid w:val="00642483"/>
    <w:rsid w:val="00642CF4"/>
    <w:rsid w:val="00643A57"/>
    <w:rsid w:val="00646075"/>
    <w:rsid w:val="00651A97"/>
    <w:rsid w:val="006530EB"/>
    <w:rsid w:val="006533A3"/>
    <w:rsid w:val="00660466"/>
    <w:rsid w:val="006641D3"/>
    <w:rsid w:val="00666F90"/>
    <w:rsid w:val="0066737E"/>
    <w:rsid w:val="00670B73"/>
    <w:rsid w:val="0067481E"/>
    <w:rsid w:val="00674A98"/>
    <w:rsid w:val="00674AF4"/>
    <w:rsid w:val="00674D03"/>
    <w:rsid w:val="006769B3"/>
    <w:rsid w:val="006770F6"/>
    <w:rsid w:val="0068129D"/>
    <w:rsid w:val="00681542"/>
    <w:rsid w:val="00681D6E"/>
    <w:rsid w:val="00690825"/>
    <w:rsid w:val="0069556C"/>
    <w:rsid w:val="0069624C"/>
    <w:rsid w:val="00696683"/>
    <w:rsid w:val="006970E3"/>
    <w:rsid w:val="006A15EA"/>
    <w:rsid w:val="006A19F1"/>
    <w:rsid w:val="006A43D2"/>
    <w:rsid w:val="006A51F4"/>
    <w:rsid w:val="006A71BA"/>
    <w:rsid w:val="006A7C92"/>
    <w:rsid w:val="006B7558"/>
    <w:rsid w:val="006C138A"/>
    <w:rsid w:val="006C194A"/>
    <w:rsid w:val="006C404C"/>
    <w:rsid w:val="006C5C29"/>
    <w:rsid w:val="006C6A47"/>
    <w:rsid w:val="006C6CA0"/>
    <w:rsid w:val="006C7F1E"/>
    <w:rsid w:val="006C7FC1"/>
    <w:rsid w:val="006D0FAD"/>
    <w:rsid w:val="006D10D7"/>
    <w:rsid w:val="006D4D61"/>
    <w:rsid w:val="006E3292"/>
    <w:rsid w:val="006E3E35"/>
    <w:rsid w:val="006E59B0"/>
    <w:rsid w:val="006E7DD2"/>
    <w:rsid w:val="006F1271"/>
    <w:rsid w:val="006F213F"/>
    <w:rsid w:val="006F407E"/>
    <w:rsid w:val="006F52A4"/>
    <w:rsid w:val="006F61EA"/>
    <w:rsid w:val="006F6623"/>
    <w:rsid w:val="00702A68"/>
    <w:rsid w:val="0070394C"/>
    <w:rsid w:val="00711D53"/>
    <w:rsid w:val="00713163"/>
    <w:rsid w:val="007133C5"/>
    <w:rsid w:val="007139B6"/>
    <w:rsid w:val="00714ADD"/>
    <w:rsid w:val="00716A5F"/>
    <w:rsid w:val="00717594"/>
    <w:rsid w:val="0072007F"/>
    <w:rsid w:val="00726185"/>
    <w:rsid w:val="00726322"/>
    <w:rsid w:val="00726AED"/>
    <w:rsid w:val="00726F9D"/>
    <w:rsid w:val="007271AC"/>
    <w:rsid w:val="007278B6"/>
    <w:rsid w:val="00730C6C"/>
    <w:rsid w:val="00732B33"/>
    <w:rsid w:val="00732DE6"/>
    <w:rsid w:val="00732F36"/>
    <w:rsid w:val="00735772"/>
    <w:rsid w:val="007372DA"/>
    <w:rsid w:val="007413DB"/>
    <w:rsid w:val="00742216"/>
    <w:rsid w:val="00744738"/>
    <w:rsid w:val="007474A5"/>
    <w:rsid w:val="00747A94"/>
    <w:rsid w:val="00747DF5"/>
    <w:rsid w:val="0075239A"/>
    <w:rsid w:val="0075340A"/>
    <w:rsid w:val="00753BC6"/>
    <w:rsid w:val="00760741"/>
    <w:rsid w:val="00760766"/>
    <w:rsid w:val="00765837"/>
    <w:rsid w:val="00766619"/>
    <w:rsid w:val="00766DFA"/>
    <w:rsid w:val="0077085D"/>
    <w:rsid w:val="007718ED"/>
    <w:rsid w:val="00776952"/>
    <w:rsid w:val="00777697"/>
    <w:rsid w:val="00781451"/>
    <w:rsid w:val="007823DA"/>
    <w:rsid w:val="00782626"/>
    <w:rsid w:val="00787C12"/>
    <w:rsid w:val="00790F96"/>
    <w:rsid w:val="0079221B"/>
    <w:rsid w:val="00793CEA"/>
    <w:rsid w:val="00796F5E"/>
    <w:rsid w:val="0079717E"/>
    <w:rsid w:val="00797CD8"/>
    <w:rsid w:val="007A0176"/>
    <w:rsid w:val="007A266E"/>
    <w:rsid w:val="007A2F4D"/>
    <w:rsid w:val="007B1E7F"/>
    <w:rsid w:val="007B1F50"/>
    <w:rsid w:val="007B4642"/>
    <w:rsid w:val="007C0773"/>
    <w:rsid w:val="007C36D9"/>
    <w:rsid w:val="007C3F54"/>
    <w:rsid w:val="007C5A17"/>
    <w:rsid w:val="007D07AE"/>
    <w:rsid w:val="007D0BEC"/>
    <w:rsid w:val="007D177A"/>
    <w:rsid w:val="007E02BA"/>
    <w:rsid w:val="007E255F"/>
    <w:rsid w:val="007E3117"/>
    <w:rsid w:val="007E553B"/>
    <w:rsid w:val="007E5B32"/>
    <w:rsid w:val="007E60FD"/>
    <w:rsid w:val="007E638D"/>
    <w:rsid w:val="007E6762"/>
    <w:rsid w:val="007E76BA"/>
    <w:rsid w:val="007E7FB5"/>
    <w:rsid w:val="007F0D8F"/>
    <w:rsid w:val="007F2E7B"/>
    <w:rsid w:val="007F37C2"/>
    <w:rsid w:val="008016E9"/>
    <w:rsid w:val="00804DDA"/>
    <w:rsid w:val="00814B0C"/>
    <w:rsid w:val="008165E6"/>
    <w:rsid w:val="0082462C"/>
    <w:rsid w:val="00824B7C"/>
    <w:rsid w:val="00826B39"/>
    <w:rsid w:val="00827FA9"/>
    <w:rsid w:val="008300E9"/>
    <w:rsid w:val="00831F9F"/>
    <w:rsid w:val="00833512"/>
    <w:rsid w:val="00833E97"/>
    <w:rsid w:val="0083450F"/>
    <w:rsid w:val="008375C6"/>
    <w:rsid w:val="00840880"/>
    <w:rsid w:val="008421CE"/>
    <w:rsid w:val="008434EF"/>
    <w:rsid w:val="00845AAD"/>
    <w:rsid w:val="00845DCA"/>
    <w:rsid w:val="008467C4"/>
    <w:rsid w:val="008504CD"/>
    <w:rsid w:val="00851303"/>
    <w:rsid w:val="00851A3F"/>
    <w:rsid w:val="00852122"/>
    <w:rsid w:val="0085345D"/>
    <w:rsid w:val="008541A2"/>
    <w:rsid w:val="0085504B"/>
    <w:rsid w:val="008562B5"/>
    <w:rsid w:val="00857C3B"/>
    <w:rsid w:val="0086039C"/>
    <w:rsid w:val="00864520"/>
    <w:rsid w:val="00870B3A"/>
    <w:rsid w:val="00871792"/>
    <w:rsid w:val="00871C5A"/>
    <w:rsid w:val="008725B6"/>
    <w:rsid w:val="00872C62"/>
    <w:rsid w:val="0087513C"/>
    <w:rsid w:val="00875B9A"/>
    <w:rsid w:val="00881979"/>
    <w:rsid w:val="008842F5"/>
    <w:rsid w:val="00886B75"/>
    <w:rsid w:val="008871A5"/>
    <w:rsid w:val="00887EF5"/>
    <w:rsid w:val="0089114D"/>
    <w:rsid w:val="008933AF"/>
    <w:rsid w:val="00897052"/>
    <w:rsid w:val="0089708B"/>
    <w:rsid w:val="008970EB"/>
    <w:rsid w:val="008A313D"/>
    <w:rsid w:val="008A5AA3"/>
    <w:rsid w:val="008B0E86"/>
    <w:rsid w:val="008B2C89"/>
    <w:rsid w:val="008B31C4"/>
    <w:rsid w:val="008B4586"/>
    <w:rsid w:val="008B692B"/>
    <w:rsid w:val="008C43B2"/>
    <w:rsid w:val="008C47AC"/>
    <w:rsid w:val="008C56C4"/>
    <w:rsid w:val="008C5975"/>
    <w:rsid w:val="008D2069"/>
    <w:rsid w:val="008D407E"/>
    <w:rsid w:val="008D72C6"/>
    <w:rsid w:val="008E0355"/>
    <w:rsid w:val="008E1797"/>
    <w:rsid w:val="008E1DBB"/>
    <w:rsid w:val="008E4A91"/>
    <w:rsid w:val="008F227A"/>
    <w:rsid w:val="008F41B6"/>
    <w:rsid w:val="008F4E8D"/>
    <w:rsid w:val="008F620A"/>
    <w:rsid w:val="00900AF5"/>
    <w:rsid w:val="009020E5"/>
    <w:rsid w:val="0090363D"/>
    <w:rsid w:val="00910905"/>
    <w:rsid w:val="009109E1"/>
    <w:rsid w:val="00912854"/>
    <w:rsid w:val="0091305F"/>
    <w:rsid w:val="00915FC1"/>
    <w:rsid w:val="00917AA1"/>
    <w:rsid w:val="00923952"/>
    <w:rsid w:val="009310AA"/>
    <w:rsid w:val="00934198"/>
    <w:rsid w:val="009470CF"/>
    <w:rsid w:val="009472D8"/>
    <w:rsid w:val="00953613"/>
    <w:rsid w:val="009559BC"/>
    <w:rsid w:val="00955D75"/>
    <w:rsid w:val="009604D3"/>
    <w:rsid w:val="0096154D"/>
    <w:rsid w:val="00961B7B"/>
    <w:rsid w:val="00963E1B"/>
    <w:rsid w:val="0096447B"/>
    <w:rsid w:val="00965973"/>
    <w:rsid w:val="00965E40"/>
    <w:rsid w:val="009673CC"/>
    <w:rsid w:val="0097392E"/>
    <w:rsid w:val="00977346"/>
    <w:rsid w:val="00977634"/>
    <w:rsid w:val="00980164"/>
    <w:rsid w:val="00981C25"/>
    <w:rsid w:val="00985EBA"/>
    <w:rsid w:val="0098689D"/>
    <w:rsid w:val="00991992"/>
    <w:rsid w:val="009933CE"/>
    <w:rsid w:val="009A45F4"/>
    <w:rsid w:val="009B08BD"/>
    <w:rsid w:val="009B08F0"/>
    <w:rsid w:val="009B3736"/>
    <w:rsid w:val="009B383E"/>
    <w:rsid w:val="009B5F76"/>
    <w:rsid w:val="009C1DC4"/>
    <w:rsid w:val="009C3A35"/>
    <w:rsid w:val="009C4031"/>
    <w:rsid w:val="009C4925"/>
    <w:rsid w:val="009C4999"/>
    <w:rsid w:val="009C5867"/>
    <w:rsid w:val="009C6A49"/>
    <w:rsid w:val="009D0165"/>
    <w:rsid w:val="009D0228"/>
    <w:rsid w:val="009D43C4"/>
    <w:rsid w:val="009D4F1E"/>
    <w:rsid w:val="009D7CB0"/>
    <w:rsid w:val="009E0D2C"/>
    <w:rsid w:val="009E3E1C"/>
    <w:rsid w:val="009E46D0"/>
    <w:rsid w:val="009E4798"/>
    <w:rsid w:val="009E61C4"/>
    <w:rsid w:val="009E7D80"/>
    <w:rsid w:val="009F2204"/>
    <w:rsid w:val="00A06AE1"/>
    <w:rsid w:val="00A105BC"/>
    <w:rsid w:val="00A140D1"/>
    <w:rsid w:val="00A15BCF"/>
    <w:rsid w:val="00A21270"/>
    <w:rsid w:val="00A25C48"/>
    <w:rsid w:val="00A2609B"/>
    <w:rsid w:val="00A276E6"/>
    <w:rsid w:val="00A335AA"/>
    <w:rsid w:val="00A34223"/>
    <w:rsid w:val="00A36A76"/>
    <w:rsid w:val="00A36C56"/>
    <w:rsid w:val="00A40664"/>
    <w:rsid w:val="00A409C3"/>
    <w:rsid w:val="00A4438E"/>
    <w:rsid w:val="00A474A7"/>
    <w:rsid w:val="00A50043"/>
    <w:rsid w:val="00A56F76"/>
    <w:rsid w:val="00A57051"/>
    <w:rsid w:val="00A60459"/>
    <w:rsid w:val="00A63E90"/>
    <w:rsid w:val="00A7161C"/>
    <w:rsid w:val="00A71668"/>
    <w:rsid w:val="00A7527D"/>
    <w:rsid w:val="00A77A9F"/>
    <w:rsid w:val="00A80783"/>
    <w:rsid w:val="00A861E9"/>
    <w:rsid w:val="00A86E7B"/>
    <w:rsid w:val="00A879BB"/>
    <w:rsid w:val="00A97F7B"/>
    <w:rsid w:val="00AA441C"/>
    <w:rsid w:val="00AA6D18"/>
    <w:rsid w:val="00AB13C9"/>
    <w:rsid w:val="00AB28E5"/>
    <w:rsid w:val="00AB298F"/>
    <w:rsid w:val="00AB2CC2"/>
    <w:rsid w:val="00AB3F97"/>
    <w:rsid w:val="00AB4907"/>
    <w:rsid w:val="00AC3D6B"/>
    <w:rsid w:val="00AC582F"/>
    <w:rsid w:val="00AD1201"/>
    <w:rsid w:val="00AD269D"/>
    <w:rsid w:val="00AD2F9D"/>
    <w:rsid w:val="00AD47A0"/>
    <w:rsid w:val="00AD5A88"/>
    <w:rsid w:val="00AD64C3"/>
    <w:rsid w:val="00AD7BBC"/>
    <w:rsid w:val="00AF0D0A"/>
    <w:rsid w:val="00AF1D79"/>
    <w:rsid w:val="00AF2F10"/>
    <w:rsid w:val="00AF3693"/>
    <w:rsid w:val="00AF7D20"/>
    <w:rsid w:val="00B01D5B"/>
    <w:rsid w:val="00B049B4"/>
    <w:rsid w:val="00B04CF6"/>
    <w:rsid w:val="00B10049"/>
    <w:rsid w:val="00B12DAB"/>
    <w:rsid w:val="00B15722"/>
    <w:rsid w:val="00B15D1B"/>
    <w:rsid w:val="00B1791A"/>
    <w:rsid w:val="00B17FED"/>
    <w:rsid w:val="00B20440"/>
    <w:rsid w:val="00B23AE8"/>
    <w:rsid w:val="00B24D20"/>
    <w:rsid w:val="00B30E8A"/>
    <w:rsid w:val="00B31AB7"/>
    <w:rsid w:val="00B32D27"/>
    <w:rsid w:val="00B334C5"/>
    <w:rsid w:val="00B3633B"/>
    <w:rsid w:val="00B40C33"/>
    <w:rsid w:val="00B412EE"/>
    <w:rsid w:val="00B41ACF"/>
    <w:rsid w:val="00B4231C"/>
    <w:rsid w:val="00B426CB"/>
    <w:rsid w:val="00B43C2E"/>
    <w:rsid w:val="00B44C2A"/>
    <w:rsid w:val="00B53EED"/>
    <w:rsid w:val="00B5455E"/>
    <w:rsid w:val="00B54603"/>
    <w:rsid w:val="00B547EE"/>
    <w:rsid w:val="00B55CF6"/>
    <w:rsid w:val="00B567CC"/>
    <w:rsid w:val="00B674A7"/>
    <w:rsid w:val="00B720FE"/>
    <w:rsid w:val="00B734A0"/>
    <w:rsid w:val="00B74685"/>
    <w:rsid w:val="00B74C96"/>
    <w:rsid w:val="00B74F66"/>
    <w:rsid w:val="00B76A79"/>
    <w:rsid w:val="00B80481"/>
    <w:rsid w:val="00B81157"/>
    <w:rsid w:val="00B84109"/>
    <w:rsid w:val="00B84387"/>
    <w:rsid w:val="00B86F28"/>
    <w:rsid w:val="00B9041D"/>
    <w:rsid w:val="00B9055E"/>
    <w:rsid w:val="00B9189B"/>
    <w:rsid w:val="00B92AAE"/>
    <w:rsid w:val="00B94D12"/>
    <w:rsid w:val="00BA05BA"/>
    <w:rsid w:val="00BA25DB"/>
    <w:rsid w:val="00BA4229"/>
    <w:rsid w:val="00BA5057"/>
    <w:rsid w:val="00BA72B9"/>
    <w:rsid w:val="00BA7967"/>
    <w:rsid w:val="00BA79D4"/>
    <w:rsid w:val="00BB02CC"/>
    <w:rsid w:val="00BB75AF"/>
    <w:rsid w:val="00BC03FE"/>
    <w:rsid w:val="00BC34C4"/>
    <w:rsid w:val="00BC3A95"/>
    <w:rsid w:val="00BC6505"/>
    <w:rsid w:val="00BC74C4"/>
    <w:rsid w:val="00BC7F00"/>
    <w:rsid w:val="00BD10B1"/>
    <w:rsid w:val="00BD15F3"/>
    <w:rsid w:val="00BD4E7B"/>
    <w:rsid w:val="00BD7073"/>
    <w:rsid w:val="00BE1C7E"/>
    <w:rsid w:val="00BE25F0"/>
    <w:rsid w:val="00BE300D"/>
    <w:rsid w:val="00BE4924"/>
    <w:rsid w:val="00BF0D7A"/>
    <w:rsid w:val="00BF44E2"/>
    <w:rsid w:val="00BF4BC5"/>
    <w:rsid w:val="00BF56DE"/>
    <w:rsid w:val="00BF5E09"/>
    <w:rsid w:val="00BF7053"/>
    <w:rsid w:val="00C02605"/>
    <w:rsid w:val="00C04328"/>
    <w:rsid w:val="00C167F8"/>
    <w:rsid w:val="00C214F2"/>
    <w:rsid w:val="00C24CED"/>
    <w:rsid w:val="00C25784"/>
    <w:rsid w:val="00C267C1"/>
    <w:rsid w:val="00C34026"/>
    <w:rsid w:val="00C34034"/>
    <w:rsid w:val="00C35F55"/>
    <w:rsid w:val="00C414C7"/>
    <w:rsid w:val="00C41DF1"/>
    <w:rsid w:val="00C43919"/>
    <w:rsid w:val="00C43A40"/>
    <w:rsid w:val="00C43ADD"/>
    <w:rsid w:val="00C444A0"/>
    <w:rsid w:val="00C45613"/>
    <w:rsid w:val="00C47643"/>
    <w:rsid w:val="00C50227"/>
    <w:rsid w:val="00C507A8"/>
    <w:rsid w:val="00C53963"/>
    <w:rsid w:val="00C53EC9"/>
    <w:rsid w:val="00C55BC9"/>
    <w:rsid w:val="00C55E9B"/>
    <w:rsid w:val="00C56009"/>
    <w:rsid w:val="00C569EC"/>
    <w:rsid w:val="00C60041"/>
    <w:rsid w:val="00C617AD"/>
    <w:rsid w:val="00C6255F"/>
    <w:rsid w:val="00C76414"/>
    <w:rsid w:val="00C76E62"/>
    <w:rsid w:val="00C77791"/>
    <w:rsid w:val="00C77928"/>
    <w:rsid w:val="00C83BF6"/>
    <w:rsid w:val="00C84A8C"/>
    <w:rsid w:val="00C85861"/>
    <w:rsid w:val="00C91F7D"/>
    <w:rsid w:val="00CA0D67"/>
    <w:rsid w:val="00CA1CAA"/>
    <w:rsid w:val="00CA3E53"/>
    <w:rsid w:val="00CA5B14"/>
    <w:rsid w:val="00CA6321"/>
    <w:rsid w:val="00CB002B"/>
    <w:rsid w:val="00CB1ACD"/>
    <w:rsid w:val="00CB384B"/>
    <w:rsid w:val="00CB618F"/>
    <w:rsid w:val="00CB7CD4"/>
    <w:rsid w:val="00CC1918"/>
    <w:rsid w:val="00CC3002"/>
    <w:rsid w:val="00CC3663"/>
    <w:rsid w:val="00CC75AD"/>
    <w:rsid w:val="00CD54C6"/>
    <w:rsid w:val="00CD634F"/>
    <w:rsid w:val="00CD679A"/>
    <w:rsid w:val="00CD6ACF"/>
    <w:rsid w:val="00CD76C1"/>
    <w:rsid w:val="00CE1E35"/>
    <w:rsid w:val="00CE4A9D"/>
    <w:rsid w:val="00CE66E3"/>
    <w:rsid w:val="00CE6B9B"/>
    <w:rsid w:val="00CF240B"/>
    <w:rsid w:val="00CF6127"/>
    <w:rsid w:val="00CF6D0A"/>
    <w:rsid w:val="00D00058"/>
    <w:rsid w:val="00D0127C"/>
    <w:rsid w:val="00D04F56"/>
    <w:rsid w:val="00D06FB5"/>
    <w:rsid w:val="00D11438"/>
    <w:rsid w:val="00D17E10"/>
    <w:rsid w:val="00D230AC"/>
    <w:rsid w:val="00D271E2"/>
    <w:rsid w:val="00D30F1D"/>
    <w:rsid w:val="00D34CEE"/>
    <w:rsid w:val="00D41D3F"/>
    <w:rsid w:val="00D43EE0"/>
    <w:rsid w:val="00D4448B"/>
    <w:rsid w:val="00D46332"/>
    <w:rsid w:val="00D46C66"/>
    <w:rsid w:val="00D54A4E"/>
    <w:rsid w:val="00D61797"/>
    <w:rsid w:val="00D633E4"/>
    <w:rsid w:val="00D6575C"/>
    <w:rsid w:val="00D65C25"/>
    <w:rsid w:val="00D66416"/>
    <w:rsid w:val="00D72464"/>
    <w:rsid w:val="00D72CE5"/>
    <w:rsid w:val="00D82E5A"/>
    <w:rsid w:val="00D8437F"/>
    <w:rsid w:val="00D86A7C"/>
    <w:rsid w:val="00D9051E"/>
    <w:rsid w:val="00D90C0D"/>
    <w:rsid w:val="00D91B00"/>
    <w:rsid w:val="00D96F4E"/>
    <w:rsid w:val="00DA2858"/>
    <w:rsid w:val="00DA2E27"/>
    <w:rsid w:val="00DA2E47"/>
    <w:rsid w:val="00DA3DA9"/>
    <w:rsid w:val="00DA4080"/>
    <w:rsid w:val="00DA409A"/>
    <w:rsid w:val="00DB0624"/>
    <w:rsid w:val="00DB1656"/>
    <w:rsid w:val="00DB6BF2"/>
    <w:rsid w:val="00DC0B46"/>
    <w:rsid w:val="00DC230D"/>
    <w:rsid w:val="00DC380D"/>
    <w:rsid w:val="00DC4CDF"/>
    <w:rsid w:val="00DC7EE2"/>
    <w:rsid w:val="00DD18D4"/>
    <w:rsid w:val="00DD3F5D"/>
    <w:rsid w:val="00DD5321"/>
    <w:rsid w:val="00DE093A"/>
    <w:rsid w:val="00DE26F2"/>
    <w:rsid w:val="00DE32FC"/>
    <w:rsid w:val="00DE5F61"/>
    <w:rsid w:val="00DE64D8"/>
    <w:rsid w:val="00E01569"/>
    <w:rsid w:val="00E04B1A"/>
    <w:rsid w:val="00E06B09"/>
    <w:rsid w:val="00E1146A"/>
    <w:rsid w:val="00E11C9E"/>
    <w:rsid w:val="00E1219B"/>
    <w:rsid w:val="00E12F68"/>
    <w:rsid w:val="00E14848"/>
    <w:rsid w:val="00E161A8"/>
    <w:rsid w:val="00E16D00"/>
    <w:rsid w:val="00E209F5"/>
    <w:rsid w:val="00E25499"/>
    <w:rsid w:val="00E26554"/>
    <w:rsid w:val="00E268D4"/>
    <w:rsid w:val="00E26C01"/>
    <w:rsid w:val="00E27382"/>
    <w:rsid w:val="00E27DDD"/>
    <w:rsid w:val="00E3120A"/>
    <w:rsid w:val="00E40209"/>
    <w:rsid w:val="00E403E7"/>
    <w:rsid w:val="00E42C9A"/>
    <w:rsid w:val="00E437BD"/>
    <w:rsid w:val="00E477A2"/>
    <w:rsid w:val="00E56B06"/>
    <w:rsid w:val="00E5701E"/>
    <w:rsid w:val="00E60F2D"/>
    <w:rsid w:val="00E663AB"/>
    <w:rsid w:val="00E66FCC"/>
    <w:rsid w:val="00E67A51"/>
    <w:rsid w:val="00E74DC0"/>
    <w:rsid w:val="00E81818"/>
    <w:rsid w:val="00E863E0"/>
    <w:rsid w:val="00E90842"/>
    <w:rsid w:val="00E92FC9"/>
    <w:rsid w:val="00E937F8"/>
    <w:rsid w:val="00E9431F"/>
    <w:rsid w:val="00E95846"/>
    <w:rsid w:val="00E9701F"/>
    <w:rsid w:val="00EA0F67"/>
    <w:rsid w:val="00EA135F"/>
    <w:rsid w:val="00EA3E35"/>
    <w:rsid w:val="00EA470D"/>
    <w:rsid w:val="00EA532A"/>
    <w:rsid w:val="00EA5DC8"/>
    <w:rsid w:val="00EB109D"/>
    <w:rsid w:val="00EB1ED0"/>
    <w:rsid w:val="00EB6C24"/>
    <w:rsid w:val="00EC02CF"/>
    <w:rsid w:val="00EC3C95"/>
    <w:rsid w:val="00EC53F2"/>
    <w:rsid w:val="00ED03FB"/>
    <w:rsid w:val="00ED3F0C"/>
    <w:rsid w:val="00ED44A5"/>
    <w:rsid w:val="00ED611F"/>
    <w:rsid w:val="00ED6EED"/>
    <w:rsid w:val="00EE12BE"/>
    <w:rsid w:val="00EE2730"/>
    <w:rsid w:val="00EE2E82"/>
    <w:rsid w:val="00EE62D9"/>
    <w:rsid w:val="00EF1108"/>
    <w:rsid w:val="00EF17F6"/>
    <w:rsid w:val="00EF4982"/>
    <w:rsid w:val="00EF7140"/>
    <w:rsid w:val="00F00623"/>
    <w:rsid w:val="00F01FA1"/>
    <w:rsid w:val="00F022F9"/>
    <w:rsid w:val="00F02CA5"/>
    <w:rsid w:val="00F07168"/>
    <w:rsid w:val="00F24CAE"/>
    <w:rsid w:val="00F26A17"/>
    <w:rsid w:val="00F31A9B"/>
    <w:rsid w:val="00F33F6F"/>
    <w:rsid w:val="00F415C6"/>
    <w:rsid w:val="00F427F3"/>
    <w:rsid w:val="00F448A3"/>
    <w:rsid w:val="00F4574C"/>
    <w:rsid w:val="00F46717"/>
    <w:rsid w:val="00F47264"/>
    <w:rsid w:val="00F47520"/>
    <w:rsid w:val="00F51413"/>
    <w:rsid w:val="00F53FFB"/>
    <w:rsid w:val="00F55168"/>
    <w:rsid w:val="00F6054C"/>
    <w:rsid w:val="00F67630"/>
    <w:rsid w:val="00F76EEE"/>
    <w:rsid w:val="00F7701C"/>
    <w:rsid w:val="00F82A59"/>
    <w:rsid w:val="00F83C82"/>
    <w:rsid w:val="00F87284"/>
    <w:rsid w:val="00F9457E"/>
    <w:rsid w:val="00F96690"/>
    <w:rsid w:val="00F97DDE"/>
    <w:rsid w:val="00FA00EF"/>
    <w:rsid w:val="00FA4594"/>
    <w:rsid w:val="00FA6347"/>
    <w:rsid w:val="00FB14FB"/>
    <w:rsid w:val="00FB3117"/>
    <w:rsid w:val="00FB5F88"/>
    <w:rsid w:val="00FB6367"/>
    <w:rsid w:val="00FB71FB"/>
    <w:rsid w:val="00FC0ADF"/>
    <w:rsid w:val="00FC5F43"/>
    <w:rsid w:val="00FC79F5"/>
    <w:rsid w:val="00FD16DD"/>
    <w:rsid w:val="00FD4151"/>
    <w:rsid w:val="00FD4C66"/>
    <w:rsid w:val="00FD6617"/>
    <w:rsid w:val="00FE088E"/>
    <w:rsid w:val="00FE2C0F"/>
    <w:rsid w:val="00FE64CB"/>
    <w:rsid w:val="00FF0DE9"/>
    <w:rsid w:val="00FF0E9E"/>
    <w:rsid w:val="00FF1AE0"/>
    <w:rsid w:val="00FF26F6"/>
    <w:rsid w:val="00FF2FD4"/>
    <w:rsid w:val="00FF6285"/>
    <w:rsid w:val="00FF6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paragraph" w:customStyle="1" w:styleId="naisc">
    <w:name w:val="naisc"/>
    <w:basedOn w:val="Normal"/>
    <w:rsid w:val="00001BAC"/>
    <w:pPr>
      <w:suppressAutoHyphens w:val="0"/>
      <w:spacing w:before="75" w:after="75"/>
      <w:jc w:val="center"/>
    </w:pPr>
    <w:rPr>
      <w:lang w:eastAsia="lv-LV"/>
    </w:rPr>
  </w:style>
  <w:style w:type="character" w:styleId="Hyperlink">
    <w:name w:val="Hyperlink"/>
    <w:rsid w:val="00001BAC"/>
    <w:rPr>
      <w:strike w:val="0"/>
      <w:dstrike w:val="0"/>
      <w:color w:val="40407C"/>
      <w:u w:val="none"/>
      <w:effect w:val="none"/>
    </w:rPr>
  </w:style>
  <w:style w:type="character" w:customStyle="1" w:styleId="col-sm-91">
    <w:name w:val="col-sm-91"/>
    <w:rsid w:val="00001BAC"/>
  </w:style>
  <w:style w:type="character" w:customStyle="1" w:styleId="file-details3">
    <w:name w:val="file-details3"/>
    <w:rsid w:val="00001BAC"/>
    <w:rPr>
      <w:sz w:val="20"/>
      <w:szCs w:val="20"/>
    </w:rPr>
  </w:style>
  <w:style w:type="paragraph" w:styleId="NoSpacing">
    <w:name w:val="No Spacing"/>
    <w:uiPriority w:val="1"/>
    <w:qFormat/>
    <w:rsid w:val="00001BAC"/>
    <w:rPr>
      <w:rFonts w:ascii="Calibri" w:eastAsia="Times New Roman" w:hAnsi="Calibri" w:cs="Times New Roman"/>
      <w:sz w:val="22"/>
    </w:rPr>
  </w:style>
  <w:style w:type="paragraph" w:customStyle="1" w:styleId="tv213">
    <w:name w:val="tv213"/>
    <w:basedOn w:val="Normal"/>
    <w:rsid w:val="00001BAC"/>
    <w:pPr>
      <w:suppressAutoHyphens w:val="0"/>
      <w:spacing w:before="100" w:beforeAutospacing="1" w:after="100" w:afterAutospacing="1"/>
    </w:pPr>
    <w:rPr>
      <w:lang w:eastAsia="lv-LV"/>
    </w:rPr>
  </w:style>
  <w:style w:type="paragraph" w:styleId="BodyText">
    <w:name w:val="Body Text"/>
    <w:basedOn w:val="Normal"/>
    <w:link w:val="BodyTextChar"/>
    <w:rsid w:val="00001BAC"/>
    <w:pPr>
      <w:suppressAutoHyphens w:val="0"/>
      <w:spacing w:after="120"/>
    </w:pPr>
    <w:rPr>
      <w:lang w:eastAsia="lv-LV"/>
    </w:rPr>
  </w:style>
  <w:style w:type="character" w:customStyle="1" w:styleId="BodyTextChar">
    <w:name w:val="Body Text Char"/>
    <w:basedOn w:val="DefaultParagraphFont"/>
    <w:link w:val="BodyText"/>
    <w:rsid w:val="00001BAC"/>
    <w:rPr>
      <w:rFonts w:eastAsia="Times New Roman" w:cs="Times New Roman"/>
      <w:sz w:val="24"/>
      <w:szCs w:val="24"/>
      <w:lang w:eastAsia="lv-LV"/>
    </w:rPr>
  </w:style>
  <w:style w:type="paragraph" w:styleId="FootnoteText">
    <w:name w:val="footnote text"/>
    <w:basedOn w:val="Normal"/>
    <w:link w:val="FootnoteTextChar"/>
    <w:uiPriority w:val="99"/>
    <w:rsid w:val="00001BAC"/>
    <w:pPr>
      <w:suppressAutoHyphens w:val="0"/>
    </w:pPr>
    <w:rPr>
      <w:rFonts w:eastAsia="Calibri"/>
      <w:sz w:val="20"/>
      <w:szCs w:val="20"/>
      <w:lang w:eastAsia="lv-LV"/>
    </w:rPr>
  </w:style>
  <w:style w:type="character" w:customStyle="1" w:styleId="FootnoteTextChar">
    <w:name w:val="Footnote Text Char"/>
    <w:basedOn w:val="DefaultParagraphFont"/>
    <w:link w:val="FootnoteText"/>
    <w:uiPriority w:val="99"/>
    <w:rsid w:val="00001BAC"/>
    <w:rPr>
      <w:rFonts w:eastAsia="Calibri" w:cs="Times New Roman"/>
      <w:sz w:val="20"/>
      <w:szCs w:val="20"/>
      <w:lang w:eastAsia="lv-LV"/>
    </w:rPr>
  </w:style>
  <w:style w:type="character" w:styleId="FootnoteReference">
    <w:name w:val="footnote reference"/>
    <w:uiPriority w:val="99"/>
    <w:rsid w:val="00001BAC"/>
    <w:rPr>
      <w:vertAlign w:val="superscript"/>
    </w:rPr>
  </w:style>
  <w:style w:type="character" w:customStyle="1" w:styleId="tvhtml1">
    <w:name w:val="tv_html1"/>
    <w:rsid w:val="00001BAC"/>
  </w:style>
  <w:style w:type="paragraph" w:customStyle="1" w:styleId="tvhtml">
    <w:name w:val="tv_html"/>
    <w:basedOn w:val="Normal"/>
    <w:rsid w:val="003B2A9C"/>
    <w:pPr>
      <w:suppressAutoHyphens w:val="0"/>
      <w:spacing w:before="100" w:beforeAutospacing="1" w:after="100" w:afterAutospacing="1"/>
    </w:pPr>
    <w:rPr>
      <w:lang w:eastAsia="lv-LV"/>
    </w:rPr>
  </w:style>
  <w:style w:type="paragraph" w:styleId="BodyTextIndent">
    <w:name w:val="Body Text Indent"/>
    <w:basedOn w:val="Normal"/>
    <w:link w:val="BodyTextIndentChar"/>
    <w:rsid w:val="00A861E9"/>
    <w:pPr>
      <w:suppressAutoHyphens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rsid w:val="00A861E9"/>
    <w:rPr>
      <w:rFonts w:eastAsia="Calibri" w:cs="Times New Roman"/>
      <w:sz w:val="24"/>
    </w:rPr>
  </w:style>
  <w:style w:type="character" w:styleId="CommentReference">
    <w:name w:val="annotation reference"/>
    <w:basedOn w:val="DefaultParagraphFont"/>
    <w:uiPriority w:val="99"/>
    <w:semiHidden/>
    <w:unhideWhenUsed/>
    <w:rsid w:val="00330E03"/>
    <w:rPr>
      <w:sz w:val="16"/>
      <w:szCs w:val="16"/>
    </w:rPr>
  </w:style>
  <w:style w:type="paragraph" w:styleId="CommentText">
    <w:name w:val="annotation text"/>
    <w:basedOn w:val="Normal"/>
    <w:link w:val="CommentTextChar"/>
    <w:uiPriority w:val="99"/>
    <w:semiHidden/>
    <w:unhideWhenUsed/>
    <w:rsid w:val="00330E03"/>
    <w:rPr>
      <w:sz w:val="20"/>
      <w:szCs w:val="20"/>
    </w:rPr>
  </w:style>
  <w:style w:type="character" w:customStyle="1" w:styleId="CommentTextChar">
    <w:name w:val="Comment Text Char"/>
    <w:basedOn w:val="DefaultParagraphFont"/>
    <w:link w:val="CommentText"/>
    <w:uiPriority w:val="99"/>
    <w:semiHidden/>
    <w:rsid w:val="00330E03"/>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30E03"/>
    <w:rPr>
      <w:b/>
      <w:bCs/>
    </w:rPr>
  </w:style>
  <w:style w:type="character" w:customStyle="1" w:styleId="CommentSubjectChar">
    <w:name w:val="Comment Subject Char"/>
    <w:basedOn w:val="CommentTextChar"/>
    <w:link w:val="CommentSubject"/>
    <w:uiPriority w:val="99"/>
    <w:semiHidden/>
    <w:rsid w:val="00330E03"/>
    <w:rPr>
      <w:rFonts w:eastAsia="Times New Roman" w:cs="Times New Roman"/>
      <w:b/>
      <w:bCs/>
      <w:sz w:val="20"/>
      <w:szCs w:val="20"/>
      <w:lang w:eastAsia="ar-SA"/>
    </w:rPr>
  </w:style>
  <w:style w:type="paragraph" w:styleId="Revision">
    <w:name w:val="Revision"/>
    <w:hidden/>
    <w:uiPriority w:val="99"/>
    <w:semiHidden/>
    <w:rsid w:val="00330E03"/>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paragraph" w:customStyle="1" w:styleId="naisc">
    <w:name w:val="naisc"/>
    <w:basedOn w:val="Normal"/>
    <w:rsid w:val="00001BAC"/>
    <w:pPr>
      <w:suppressAutoHyphens w:val="0"/>
      <w:spacing w:before="75" w:after="75"/>
      <w:jc w:val="center"/>
    </w:pPr>
    <w:rPr>
      <w:lang w:eastAsia="lv-LV"/>
    </w:rPr>
  </w:style>
  <w:style w:type="character" w:styleId="Hyperlink">
    <w:name w:val="Hyperlink"/>
    <w:rsid w:val="00001BAC"/>
    <w:rPr>
      <w:strike w:val="0"/>
      <w:dstrike w:val="0"/>
      <w:color w:val="40407C"/>
      <w:u w:val="none"/>
      <w:effect w:val="none"/>
    </w:rPr>
  </w:style>
  <w:style w:type="character" w:customStyle="1" w:styleId="col-sm-91">
    <w:name w:val="col-sm-91"/>
    <w:rsid w:val="00001BAC"/>
  </w:style>
  <w:style w:type="character" w:customStyle="1" w:styleId="file-details3">
    <w:name w:val="file-details3"/>
    <w:rsid w:val="00001BAC"/>
    <w:rPr>
      <w:sz w:val="20"/>
      <w:szCs w:val="20"/>
    </w:rPr>
  </w:style>
  <w:style w:type="paragraph" w:styleId="NoSpacing">
    <w:name w:val="No Spacing"/>
    <w:uiPriority w:val="1"/>
    <w:qFormat/>
    <w:rsid w:val="00001BAC"/>
    <w:rPr>
      <w:rFonts w:ascii="Calibri" w:eastAsia="Times New Roman" w:hAnsi="Calibri" w:cs="Times New Roman"/>
      <w:sz w:val="22"/>
    </w:rPr>
  </w:style>
  <w:style w:type="paragraph" w:customStyle="1" w:styleId="tv213">
    <w:name w:val="tv213"/>
    <w:basedOn w:val="Normal"/>
    <w:rsid w:val="00001BAC"/>
    <w:pPr>
      <w:suppressAutoHyphens w:val="0"/>
      <w:spacing w:before="100" w:beforeAutospacing="1" w:after="100" w:afterAutospacing="1"/>
    </w:pPr>
    <w:rPr>
      <w:lang w:eastAsia="lv-LV"/>
    </w:rPr>
  </w:style>
  <w:style w:type="paragraph" w:styleId="BodyText">
    <w:name w:val="Body Text"/>
    <w:basedOn w:val="Normal"/>
    <w:link w:val="BodyTextChar"/>
    <w:rsid w:val="00001BAC"/>
    <w:pPr>
      <w:suppressAutoHyphens w:val="0"/>
      <w:spacing w:after="120"/>
    </w:pPr>
    <w:rPr>
      <w:lang w:eastAsia="lv-LV"/>
    </w:rPr>
  </w:style>
  <w:style w:type="character" w:customStyle="1" w:styleId="BodyTextChar">
    <w:name w:val="Body Text Char"/>
    <w:basedOn w:val="DefaultParagraphFont"/>
    <w:link w:val="BodyText"/>
    <w:rsid w:val="00001BAC"/>
    <w:rPr>
      <w:rFonts w:eastAsia="Times New Roman" w:cs="Times New Roman"/>
      <w:sz w:val="24"/>
      <w:szCs w:val="24"/>
      <w:lang w:eastAsia="lv-LV"/>
    </w:rPr>
  </w:style>
  <w:style w:type="paragraph" w:styleId="FootnoteText">
    <w:name w:val="footnote text"/>
    <w:basedOn w:val="Normal"/>
    <w:link w:val="FootnoteTextChar"/>
    <w:uiPriority w:val="99"/>
    <w:rsid w:val="00001BAC"/>
    <w:pPr>
      <w:suppressAutoHyphens w:val="0"/>
    </w:pPr>
    <w:rPr>
      <w:rFonts w:eastAsia="Calibri"/>
      <w:sz w:val="20"/>
      <w:szCs w:val="20"/>
      <w:lang w:eastAsia="lv-LV"/>
    </w:rPr>
  </w:style>
  <w:style w:type="character" w:customStyle="1" w:styleId="FootnoteTextChar">
    <w:name w:val="Footnote Text Char"/>
    <w:basedOn w:val="DefaultParagraphFont"/>
    <w:link w:val="FootnoteText"/>
    <w:uiPriority w:val="99"/>
    <w:rsid w:val="00001BAC"/>
    <w:rPr>
      <w:rFonts w:eastAsia="Calibri" w:cs="Times New Roman"/>
      <w:sz w:val="20"/>
      <w:szCs w:val="20"/>
      <w:lang w:eastAsia="lv-LV"/>
    </w:rPr>
  </w:style>
  <w:style w:type="character" w:styleId="FootnoteReference">
    <w:name w:val="footnote reference"/>
    <w:uiPriority w:val="99"/>
    <w:rsid w:val="00001BAC"/>
    <w:rPr>
      <w:vertAlign w:val="superscript"/>
    </w:rPr>
  </w:style>
  <w:style w:type="character" w:customStyle="1" w:styleId="tvhtml1">
    <w:name w:val="tv_html1"/>
    <w:rsid w:val="00001BAC"/>
  </w:style>
  <w:style w:type="paragraph" w:customStyle="1" w:styleId="tvhtml">
    <w:name w:val="tv_html"/>
    <w:basedOn w:val="Normal"/>
    <w:rsid w:val="003B2A9C"/>
    <w:pPr>
      <w:suppressAutoHyphens w:val="0"/>
      <w:spacing w:before="100" w:beforeAutospacing="1" w:after="100" w:afterAutospacing="1"/>
    </w:pPr>
    <w:rPr>
      <w:lang w:eastAsia="lv-LV"/>
    </w:rPr>
  </w:style>
  <w:style w:type="paragraph" w:styleId="BodyTextIndent">
    <w:name w:val="Body Text Indent"/>
    <w:basedOn w:val="Normal"/>
    <w:link w:val="BodyTextIndentChar"/>
    <w:rsid w:val="00A861E9"/>
    <w:pPr>
      <w:suppressAutoHyphens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rsid w:val="00A861E9"/>
    <w:rPr>
      <w:rFonts w:eastAsia="Calibri" w:cs="Times New Roman"/>
      <w:sz w:val="24"/>
    </w:rPr>
  </w:style>
  <w:style w:type="character" w:styleId="CommentReference">
    <w:name w:val="annotation reference"/>
    <w:basedOn w:val="DefaultParagraphFont"/>
    <w:uiPriority w:val="99"/>
    <w:semiHidden/>
    <w:unhideWhenUsed/>
    <w:rsid w:val="00330E03"/>
    <w:rPr>
      <w:sz w:val="16"/>
      <w:szCs w:val="16"/>
    </w:rPr>
  </w:style>
  <w:style w:type="paragraph" w:styleId="CommentText">
    <w:name w:val="annotation text"/>
    <w:basedOn w:val="Normal"/>
    <w:link w:val="CommentTextChar"/>
    <w:uiPriority w:val="99"/>
    <w:semiHidden/>
    <w:unhideWhenUsed/>
    <w:rsid w:val="00330E03"/>
    <w:rPr>
      <w:sz w:val="20"/>
      <w:szCs w:val="20"/>
    </w:rPr>
  </w:style>
  <w:style w:type="character" w:customStyle="1" w:styleId="CommentTextChar">
    <w:name w:val="Comment Text Char"/>
    <w:basedOn w:val="DefaultParagraphFont"/>
    <w:link w:val="CommentText"/>
    <w:uiPriority w:val="99"/>
    <w:semiHidden/>
    <w:rsid w:val="00330E03"/>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30E03"/>
    <w:rPr>
      <w:b/>
      <w:bCs/>
    </w:rPr>
  </w:style>
  <w:style w:type="character" w:customStyle="1" w:styleId="CommentSubjectChar">
    <w:name w:val="Comment Subject Char"/>
    <w:basedOn w:val="CommentTextChar"/>
    <w:link w:val="CommentSubject"/>
    <w:uiPriority w:val="99"/>
    <w:semiHidden/>
    <w:rsid w:val="00330E03"/>
    <w:rPr>
      <w:rFonts w:eastAsia="Times New Roman" w:cs="Times New Roman"/>
      <w:b/>
      <w:bCs/>
      <w:sz w:val="20"/>
      <w:szCs w:val="20"/>
      <w:lang w:eastAsia="ar-SA"/>
    </w:rPr>
  </w:style>
  <w:style w:type="paragraph" w:styleId="Revision">
    <w:name w:val="Revision"/>
    <w:hidden/>
    <w:uiPriority w:val="99"/>
    <w:semiHidden/>
    <w:rsid w:val="00330E03"/>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lsis.mk.gov.lv/api/file/file59924.doc" TargetMode="External"/><Relationship Id="rId4" Type="http://schemas.microsoft.com/office/2007/relationships/stylesWithEffects" Target="stylesWithEffects.xml"/><Relationship Id="rId9" Type="http://schemas.openxmlformats.org/officeDocument/2006/relationships/hyperlink" Target="http://polsis.mk.gov.lv/api/file/file5913.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121005-par-drosa-elektroniska-paraksta-neseja-izveli-un-drosa-elektroniska-paraksta-ieviesanu-latvijas-republ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4FB9-8623-4BB1-B497-0160F7FC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23366</Words>
  <Characters>13320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Ministru kabineta rīkojuma projekta „Grozījumi Elektronisko identifikācijas karšu koncepcijā”</vt:lpstr>
    </vt:vector>
  </TitlesOfParts>
  <Company>SM</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Elektronisko identifikācijas karšu koncepcijā” anotācija</dc:title>
  <dc:subject>anotācija</dc:subject>
  <dc:creator>D.Bankoviča</dc:creator>
  <cp:lastModifiedBy>Ingrīda Igaune</cp:lastModifiedBy>
  <cp:revision>4</cp:revision>
  <cp:lastPrinted>2016-08-17T10:56:00Z</cp:lastPrinted>
  <dcterms:created xsi:type="dcterms:W3CDTF">2016-08-26T07:06:00Z</dcterms:created>
  <dcterms:modified xsi:type="dcterms:W3CDTF">2016-08-26T11:51:00Z</dcterms:modified>
</cp:coreProperties>
</file>