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DCD95" w14:textId="51460FD8" w:rsidR="0002029A" w:rsidRPr="00BA0DE8" w:rsidRDefault="00C948BB" w:rsidP="00875222">
      <w:pPr>
        <w:pStyle w:val="Pamatteksts"/>
        <w:ind w:firstLine="720"/>
        <w:jc w:val="center"/>
        <w:rPr>
          <w:sz w:val="24"/>
          <w:szCs w:val="28"/>
        </w:rPr>
      </w:pPr>
      <w:r w:rsidRPr="00C948BB">
        <w:rPr>
          <w:sz w:val="24"/>
          <w:szCs w:val="28"/>
        </w:rPr>
        <w:t xml:space="preserve">Ministru kabineta noteikumu projekta “Grozījumi Ministru kabineta 2012. gada 7. februāra noteikumos Nr.99 “Noteikumi par valsts un Eiropas Savienības atbalsta piešķiršanu biškopībai, tā administrēšanas un uzraudzības kārtību”” </w:t>
      </w:r>
      <w:r w:rsidR="003B585F" w:rsidRPr="003B585F">
        <w:rPr>
          <w:sz w:val="24"/>
          <w:szCs w:val="28"/>
        </w:rPr>
        <w:t xml:space="preserve">sākotnējās ietekmes novērtējuma ziņojums </w:t>
      </w:r>
      <w:r w:rsidR="0002029A" w:rsidRPr="00BA0DE8">
        <w:rPr>
          <w:sz w:val="24"/>
          <w:szCs w:val="28"/>
        </w:rPr>
        <w:t>(anotācija)</w:t>
      </w:r>
    </w:p>
    <w:p w14:paraId="4784CBFB" w14:textId="77777777" w:rsidR="00F37F7E" w:rsidRPr="00BA0DE8" w:rsidRDefault="00F37F7E" w:rsidP="00F37F7E">
      <w:pPr>
        <w:pStyle w:val="naisc"/>
        <w:widowControl w:val="0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837"/>
        <w:gridCol w:w="531"/>
        <w:gridCol w:w="6386"/>
      </w:tblGrid>
      <w:tr w:rsidR="00BA0DE8" w:rsidRPr="00BA0DE8" w14:paraId="232BF374" w14:textId="77777777" w:rsidTr="00133DFE">
        <w:tc>
          <w:tcPr>
            <w:tcW w:w="5000" w:type="pct"/>
            <w:gridSpan w:val="4"/>
          </w:tcPr>
          <w:p w14:paraId="4C9249F4" w14:textId="77777777"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BA0DE8">
              <w:rPr>
                <w:b/>
              </w:rPr>
              <w:t>I. Tiesību akta projekta izstrādes nepieciešamība</w:t>
            </w:r>
          </w:p>
        </w:tc>
      </w:tr>
      <w:tr w:rsidR="00BA0DE8" w:rsidRPr="00BA0DE8" w14:paraId="37E42372" w14:textId="77777777" w:rsidTr="008E3636">
        <w:tc>
          <w:tcPr>
            <w:tcW w:w="287" w:type="pct"/>
          </w:tcPr>
          <w:p w14:paraId="68276C80" w14:textId="77777777"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1.</w:t>
            </w:r>
          </w:p>
        </w:tc>
        <w:tc>
          <w:tcPr>
            <w:tcW w:w="1275" w:type="pct"/>
            <w:gridSpan w:val="2"/>
          </w:tcPr>
          <w:p w14:paraId="4B7A4FA7" w14:textId="77777777"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Pamatojums</w:t>
            </w:r>
          </w:p>
        </w:tc>
        <w:tc>
          <w:tcPr>
            <w:tcW w:w="3438" w:type="pct"/>
          </w:tcPr>
          <w:p w14:paraId="2EACD7EB" w14:textId="12D8ADFD" w:rsidR="00AC145B" w:rsidRPr="00BA0DE8" w:rsidRDefault="00C948BB" w:rsidP="00C948BB">
            <w:pPr>
              <w:pStyle w:val="naislab"/>
              <w:spacing w:before="0" w:after="0"/>
              <w:jc w:val="both"/>
              <w:outlineLvl w:val="0"/>
            </w:pPr>
            <w:r w:rsidRPr="00C948BB">
              <w:t>Ministru kabineta noteikumu projekts “Grozījumi Ministru kabineta 2012. gada 7. februāra noteikumos Nr.99 „Noteikumi par valsts un Eiropas Savienības atbalsta piešķiršanu biškopībai, tā administrēšanas un uzraudzības kārtību”” (turpmāk – noteikumu projekts) sagatavots, pamatojoties uz Lauksaimniecības un lauku attīstības likuma 5. panta ceturto un septīto daļu.</w:t>
            </w:r>
          </w:p>
        </w:tc>
      </w:tr>
      <w:tr w:rsidR="00BA0DE8" w:rsidRPr="00BA0DE8" w14:paraId="2B9FD514" w14:textId="77777777" w:rsidTr="008E3636">
        <w:tc>
          <w:tcPr>
            <w:tcW w:w="287" w:type="pct"/>
          </w:tcPr>
          <w:p w14:paraId="4630946C" w14:textId="77777777"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2.</w:t>
            </w:r>
          </w:p>
        </w:tc>
        <w:tc>
          <w:tcPr>
            <w:tcW w:w="1275" w:type="pct"/>
            <w:gridSpan w:val="2"/>
          </w:tcPr>
          <w:p w14:paraId="50BABC10" w14:textId="04E0492E" w:rsidR="00A61CAA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Pašreizējā situācija un problēmas, kuru risināšanai tiesību akta projekts izstrādāts, tiesiskā regulējuma mērķis un būtība</w:t>
            </w:r>
          </w:p>
          <w:p w14:paraId="0D6176A6" w14:textId="77777777" w:rsidR="00A61CAA" w:rsidRPr="00162BA4" w:rsidRDefault="00A61CAA" w:rsidP="00162BA4"/>
          <w:p w14:paraId="0D7FFDBA" w14:textId="77777777" w:rsidR="00A61CAA" w:rsidRPr="00162BA4" w:rsidRDefault="00A61CAA" w:rsidP="00162BA4"/>
          <w:p w14:paraId="5746BCA7" w14:textId="77777777" w:rsidR="00A61CAA" w:rsidRPr="00162BA4" w:rsidRDefault="00A61CAA" w:rsidP="00162BA4"/>
          <w:p w14:paraId="1D1901A4" w14:textId="77777777" w:rsidR="00A61CAA" w:rsidRPr="00162BA4" w:rsidRDefault="00A61CAA" w:rsidP="00162BA4"/>
          <w:p w14:paraId="110BF606" w14:textId="77777777" w:rsidR="00A61CAA" w:rsidRPr="00162BA4" w:rsidRDefault="00A61CAA" w:rsidP="00162BA4"/>
          <w:p w14:paraId="35AC0FBF" w14:textId="77777777" w:rsidR="00A61CAA" w:rsidRPr="00162BA4" w:rsidRDefault="00A61CAA" w:rsidP="00162BA4"/>
          <w:p w14:paraId="7BA6717E" w14:textId="77777777" w:rsidR="00A61CAA" w:rsidRPr="00162BA4" w:rsidRDefault="00A61CAA" w:rsidP="00162BA4"/>
          <w:p w14:paraId="74C7BB54" w14:textId="77777777" w:rsidR="00A61CAA" w:rsidRPr="00162BA4" w:rsidRDefault="00A61CAA" w:rsidP="00162BA4"/>
          <w:p w14:paraId="6A45596A" w14:textId="77777777" w:rsidR="00A61CAA" w:rsidRPr="00162BA4" w:rsidRDefault="00A61CAA" w:rsidP="00162BA4"/>
          <w:p w14:paraId="45495618" w14:textId="77777777" w:rsidR="00A61CAA" w:rsidRPr="00162BA4" w:rsidRDefault="00A61CAA" w:rsidP="00162BA4"/>
          <w:p w14:paraId="17E90644" w14:textId="77777777" w:rsidR="00A61CAA" w:rsidRPr="00162BA4" w:rsidRDefault="00A61CAA" w:rsidP="00162BA4"/>
          <w:p w14:paraId="24692050" w14:textId="77777777" w:rsidR="00A61CAA" w:rsidRPr="00162BA4" w:rsidRDefault="00A61CAA" w:rsidP="00162BA4"/>
          <w:p w14:paraId="326338C9" w14:textId="77777777" w:rsidR="00A61CAA" w:rsidRPr="00162BA4" w:rsidRDefault="00A61CAA" w:rsidP="00162BA4"/>
          <w:p w14:paraId="72156263" w14:textId="77777777" w:rsidR="00A61CAA" w:rsidRPr="00162BA4" w:rsidRDefault="00A61CAA" w:rsidP="00162BA4"/>
          <w:p w14:paraId="0C076230" w14:textId="77777777" w:rsidR="00A61CAA" w:rsidRPr="00162BA4" w:rsidRDefault="00A61CAA" w:rsidP="00162BA4"/>
          <w:p w14:paraId="68BB04ED" w14:textId="77777777" w:rsidR="00A61CAA" w:rsidRPr="00162BA4" w:rsidRDefault="00A61CAA" w:rsidP="00162BA4"/>
          <w:p w14:paraId="775F9C0C" w14:textId="77777777" w:rsidR="00A61CAA" w:rsidRPr="00162BA4" w:rsidRDefault="00A61CAA" w:rsidP="00162BA4"/>
          <w:p w14:paraId="55DCDFEC" w14:textId="77777777" w:rsidR="00A61CAA" w:rsidRPr="00162BA4" w:rsidRDefault="00A61CAA" w:rsidP="00162BA4"/>
          <w:p w14:paraId="03516360" w14:textId="77777777" w:rsidR="00A61CAA" w:rsidRPr="00162BA4" w:rsidRDefault="00A61CAA" w:rsidP="00162BA4"/>
          <w:p w14:paraId="074166BA" w14:textId="77777777" w:rsidR="00A61CAA" w:rsidRPr="00162BA4" w:rsidRDefault="00A61CAA" w:rsidP="00162BA4"/>
          <w:p w14:paraId="138FD7AC" w14:textId="77777777" w:rsidR="00A61CAA" w:rsidRPr="00162BA4" w:rsidRDefault="00A61CAA" w:rsidP="00162BA4"/>
          <w:p w14:paraId="25EBE61C" w14:textId="77777777" w:rsidR="00A61CAA" w:rsidRPr="00162BA4" w:rsidRDefault="00A61CAA" w:rsidP="00162BA4"/>
          <w:p w14:paraId="7CB6A8AE" w14:textId="77777777" w:rsidR="00A61CAA" w:rsidRPr="00162BA4" w:rsidRDefault="00A61CAA" w:rsidP="00162BA4"/>
          <w:p w14:paraId="5F6DA777" w14:textId="77777777" w:rsidR="00A61CAA" w:rsidRPr="00162BA4" w:rsidRDefault="00A61CAA" w:rsidP="00162BA4"/>
          <w:p w14:paraId="7EFF45C8" w14:textId="77777777" w:rsidR="00A61CAA" w:rsidRPr="00162BA4" w:rsidRDefault="00A61CAA" w:rsidP="00162BA4"/>
          <w:p w14:paraId="03F4D7B5" w14:textId="77777777" w:rsidR="00A61CAA" w:rsidRPr="00162BA4" w:rsidRDefault="00A61CAA" w:rsidP="00162BA4"/>
          <w:p w14:paraId="28B1C0CA" w14:textId="77777777" w:rsidR="00A61CAA" w:rsidRPr="00162BA4" w:rsidRDefault="00A61CAA" w:rsidP="00162BA4"/>
          <w:p w14:paraId="4B1FE81E" w14:textId="77777777" w:rsidR="00A61CAA" w:rsidRPr="00162BA4" w:rsidRDefault="00A61CAA" w:rsidP="00162BA4"/>
          <w:p w14:paraId="24DB6FD8" w14:textId="77777777" w:rsidR="00A61CAA" w:rsidRPr="00162BA4" w:rsidRDefault="00A61CAA" w:rsidP="00162BA4"/>
          <w:p w14:paraId="2B642A27" w14:textId="115E7A01" w:rsidR="00A61CAA" w:rsidRDefault="00A61CAA" w:rsidP="00A61CAA"/>
          <w:p w14:paraId="161C4D75" w14:textId="77777777" w:rsidR="00A61CAA" w:rsidRPr="00162BA4" w:rsidRDefault="00A61CAA" w:rsidP="00162BA4"/>
          <w:p w14:paraId="707B253E" w14:textId="3F50B429" w:rsidR="00AC145B" w:rsidRPr="00162BA4" w:rsidRDefault="00AC145B" w:rsidP="00162BA4"/>
        </w:tc>
        <w:tc>
          <w:tcPr>
            <w:tcW w:w="3438" w:type="pct"/>
          </w:tcPr>
          <w:p w14:paraId="1D0F4652" w14:textId="4AB6AAE0" w:rsidR="00C948BB" w:rsidRDefault="00C948BB" w:rsidP="00C948BB">
            <w:pPr>
              <w:jc w:val="both"/>
              <w:rPr>
                <w:bCs/>
              </w:rPr>
            </w:pPr>
            <w:r w:rsidRPr="00C948BB">
              <w:rPr>
                <w:bCs/>
              </w:rPr>
              <w:t>Paš</w:t>
            </w:r>
            <w:r w:rsidR="00736175">
              <w:rPr>
                <w:bCs/>
              </w:rPr>
              <w:t>laik</w:t>
            </w:r>
            <w:r w:rsidRPr="00C948BB">
              <w:rPr>
                <w:bCs/>
              </w:rPr>
              <w:t xml:space="preserve"> spēkā ir Ministru kabineta 2012.gada 7.februāra noteikumi Nr.99 „Noteikumi par valsts un Eiropas Savienības atbalsta piešķiršanu biškopībai, tā administrēšanas un uzraudzības kārtību” (turpmāk –</w:t>
            </w:r>
            <w:r w:rsidR="00736175">
              <w:rPr>
                <w:bCs/>
              </w:rPr>
              <w:t xml:space="preserve"> </w:t>
            </w:r>
            <w:r w:rsidRPr="00C948BB">
              <w:rPr>
                <w:bCs/>
              </w:rPr>
              <w:t xml:space="preserve">noteikumi). </w:t>
            </w:r>
          </w:p>
          <w:p w14:paraId="50DAAF08" w14:textId="4C0AC064" w:rsidR="00C948BB" w:rsidRPr="00C948BB" w:rsidRDefault="00C948BB" w:rsidP="00C948BB">
            <w:pPr>
              <w:jc w:val="both"/>
              <w:rPr>
                <w:bCs/>
              </w:rPr>
            </w:pPr>
            <w:r w:rsidRPr="00B10CCA">
              <w:rPr>
                <w:bCs/>
              </w:rPr>
              <w:t>Noteikumu projekta mērķis ir precizēt kārtību, kādā piešķir, administrē un uzrauga valsts un Eiropas Savienības atbalstu biškopībai par Latvijas biškopības programmā noteiktiem pasākumiem.</w:t>
            </w:r>
          </w:p>
          <w:p w14:paraId="2B8F3184" w14:textId="467D5C79" w:rsidR="00C948BB" w:rsidRDefault="00C948BB" w:rsidP="00C948BB">
            <w:pPr>
              <w:jc w:val="both"/>
              <w:rPr>
                <w:bCs/>
              </w:rPr>
            </w:pPr>
            <w:r w:rsidRPr="00C948BB">
              <w:rPr>
                <w:bCs/>
              </w:rPr>
              <w:t>Tā kā Eiropas Komisija sa</w:t>
            </w:r>
            <w:r w:rsidR="004D40ED">
              <w:rPr>
                <w:bCs/>
              </w:rPr>
              <w:t>skaņā ar Padomes 2013. gada 17. </w:t>
            </w:r>
            <w:r w:rsidRPr="00C948BB">
              <w:rPr>
                <w:bCs/>
              </w:rPr>
              <w:t xml:space="preserve">decembra Regulas (EK) Nr.1308/2013, ar ko izveido lauksaimniecības tirgu kopīgu organizāciju un atceļ Padomes regulas (EK) Nr.922/72, (EEK) </w:t>
            </w:r>
            <w:r w:rsidR="00736175">
              <w:rPr>
                <w:bCs/>
              </w:rPr>
              <w:t>N</w:t>
            </w:r>
            <w:r w:rsidRPr="00C948BB">
              <w:rPr>
                <w:bCs/>
              </w:rPr>
              <w:t>r.234/79, (EK) Nr.1037/2001 un (EK) Nr.1234/2007</w:t>
            </w:r>
            <w:r w:rsidR="00736175">
              <w:rPr>
                <w:bCs/>
              </w:rPr>
              <w:t>,</w:t>
            </w:r>
            <w:r w:rsidRPr="00C948BB">
              <w:rPr>
                <w:bCs/>
              </w:rPr>
              <w:t xml:space="preserve"> (turpmāk – Regula Nr.1308/2013) 56. un 57.panta prasīb</w:t>
            </w:r>
            <w:r w:rsidR="006F5FE2">
              <w:rPr>
                <w:bCs/>
              </w:rPr>
              <w:t>ām ir izstrādājusi</w:t>
            </w:r>
            <w:r w:rsidR="00736175">
              <w:rPr>
                <w:bCs/>
              </w:rPr>
              <w:t xml:space="preserve"> jau</w:t>
            </w:r>
            <w:r w:rsidR="006F5FE2">
              <w:rPr>
                <w:bCs/>
              </w:rPr>
              <w:t xml:space="preserve"> </w:t>
            </w:r>
            <w:r w:rsidR="00736175" w:rsidRPr="00C948BB">
              <w:rPr>
                <w:bCs/>
              </w:rPr>
              <w:t xml:space="preserve">spēkā </w:t>
            </w:r>
            <w:r w:rsidR="006F5FE2">
              <w:rPr>
                <w:bCs/>
              </w:rPr>
              <w:t>stāju</w:t>
            </w:r>
            <w:r w:rsidR="00736175">
              <w:rPr>
                <w:bCs/>
              </w:rPr>
              <w:t>šos</w:t>
            </w:r>
            <w:r w:rsidRPr="00C948BB">
              <w:rPr>
                <w:bCs/>
              </w:rPr>
              <w:t xml:space="preserve"> Komisijas 2015. gada 11. maija Deleģēt</w:t>
            </w:r>
            <w:r w:rsidR="00736175">
              <w:rPr>
                <w:bCs/>
              </w:rPr>
              <w:t>o</w:t>
            </w:r>
            <w:r w:rsidRPr="00C948BB">
              <w:rPr>
                <w:bCs/>
              </w:rPr>
              <w:t xml:space="preserve"> Regul</w:t>
            </w:r>
            <w:r w:rsidR="00736175">
              <w:rPr>
                <w:bCs/>
              </w:rPr>
              <w:t>u</w:t>
            </w:r>
            <w:r w:rsidRPr="00C948BB">
              <w:rPr>
                <w:bCs/>
              </w:rPr>
              <w:t xml:space="preserve"> (ES) Nr.2015/1366, ar ko Eiropas Parlamenta un Padomes Regulu (ES) Nr.1308/2013 papildina attiecībā uz biškopības nozari</w:t>
            </w:r>
            <w:r w:rsidR="00736175">
              <w:rPr>
                <w:bCs/>
              </w:rPr>
              <w:t>,</w:t>
            </w:r>
            <w:r w:rsidRPr="00C948BB">
              <w:rPr>
                <w:bCs/>
              </w:rPr>
              <w:t xml:space="preserve"> (turpmāk – Regula Nr.2015/1</w:t>
            </w:r>
            <w:r w:rsidR="004D40ED">
              <w:rPr>
                <w:bCs/>
              </w:rPr>
              <w:t>366) un Komisijas 2015. gada 6. </w:t>
            </w:r>
            <w:r w:rsidRPr="00C948BB">
              <w:rPr>
                <w:bCs/>
              </w:rPr>
              <w:t>augusta Īstenošanas Regul</w:t>
            </w:r>
            <w:r w:rsidR="00736175">
              <w:rPr>
                <w:bCs/>
              </w:rPr>
              <w:t>u</w:t>
            </w:r>
            <w:r w:rsidRPr="00C948BB">
              <w:rPr>
                <w:bCs/>
              </w:rPr>
              <w:t xml:space="preserve"> (ES) Nr.2015/1368, ar ko paredz noteikumus par to, kā Eiropas Parlamenta un Padomes Regulu (ES) Nr.1308/2013 piemēro attiecībā uz atbalstu biškopības nozarē (turpmāk – Regula Nr.2015/1368), </w:t>
            </w:r>
            <w:r w:rsidR="00736175">
              <w:rPr>
                <w:bCs/>
              </w:rPr>
              <w:t xml:space="preserve">un </w:t>
            </w:r>
            <w:r w:rsidRPr="00C948BB">
              <w:rPr>
                <w:bCs/>
              </w:rPr>
              <w:t>Latvij</w:t>
            </w:r>
            <w:r w:rsidR="00736175">
              <w:rPr>
                <w:bCs/>
              </w:rPr>
              <w:t>ā</w:t>
            </w:r>
            <w:r w:rsidRPr="00C948BB">
              <w:rPr>
                <w:bCs/>
              </w:rPr>
              <w:t xml:space="preserve"> </w:t>
            </w:r>
            <w:r w:rsidR="00736175">
              <w:rPr>
                <w:bCs/>
              </w:rPr>
              <w:t>nākam</w:t>
            </w:r>
            <w:r w:rsidR="00736175" w:rsidRPr="00C948BB">
              <w:rPr>
                <w:bCs/>
              </w:rPr>
              <w:t xml:space="preserve">ajam periodam </w:t>
            </w:r>
            <w:r w:rsidRPr="00C948BB">
              <w:rPr>
                <w:bCs/>
              </w:rPr>
              <w:t>ir izstrādā</w:t>
            </w:r>
            <w:r w:rsidR="00736175">
              <w:rPr>
                <w:bCs/>
              </w:rPr>
              <w:t>ta</w:t>
            </w:r>
            <w:r w:rsidRPr="00C948BB">
              <w:rPr>
                <w:bCs/>
              </w:rPr>
              <w:t xml:space="preserve"> Latvijas biškopības programm</w:t>
            </w:r>
            <w:r w:rsidR="00736175">
              <w:rPr>
                <w:bCs/>
              </w:rPr>
              <w:t>a</w:t>
            </w:r>
            <w:r w:rsidRPr="00C948BB">
              <w:rPr>
                <w:bCs/>
              </w:rPr>
              <w:t xml:space="preserve"> 2017.</w:t>
            </w:r>
            <w:r w:rsidR="00736175">
              <w:rPr>
                <w:bCs/>
              </w:rPr>
              <w:t>–</w:t>
            </w:r>
            <w:r w:rsidRPr="00C948BB">
              <w:rPr>
                <w:bCs/>
              </w:rPr>
              <w:t>2019.gadam, ir nepieciešam</w:t>
            </w:r>
            <w:r w:rsidR="00736175">
              <w:rPr>
                <w:bCs/>
              </w:rPr>
              <w:t>i</w:t>
            </w:r>
            <w:r w:rsidRPr="00C948BB">
              <w:rPr>
                <w:bCs/>
              </w:rPr>
              <w:t xml:space="preserve"> grozījum</w:t>
            </w:r>
            <w:r w:rsidR="00736175">
              <w:rPr>
                <w:bCs/>
              </w:rPr>
              <w:t>i</w:t>
            </w:r>
            <w:r w:rsidRPr="00C948BB">
              <w:rPr>
                <w:bCs/>
              </w:rPr>
              <w:t xml:space="preserve"> un precizējum</w:t>
            </w:r>
            <w:r w:rsidR="00736175">
              <w:rPr>
                <w:bCs/>
              </w:rPr>
              <w:t>i</w:t>
            </w:r>
            <w:r w:rsidRPr="00C948BB">
              <w:rPr>
                <w:bCs/>
              </w:rPr>
              <w:t xml:space="preserve"> noteikum</w:t>
            </w:r>
            <w:r w:rsidR="00736175">
              <w:rPr>
                <w:bCs/>
              </w:rPr>
              <w:t>os</w:t>
            </w:r>
            <w:r w:rsidRPr="00C948BB">
              <w:rPr>
                <w:bCs/>
              </w:rPr>
              <w:t>.</w:t>
            </w:r>
          </w:p>
          <w:p w14:paraId="6D616FE6" w14:textId="39546828" w:rsidR="00173F77" w:rsidRDefault="00740C83" w:rsidP="003B585F">
            <w:pPr>
              <w:jc w:val="both"/>
              <w:rPr>
                <w:bCs/>
              </w:rPr>
            </w:pPr>
            <w:r w:rsidRPr="00740C83">
              <w:rPr>
                <w:bCs/>
              </w:rPr>
              <w:t xml:space="preserve">Eiropas Savienības normatīvos aktos par </w:t>
            </w:r>
            <w:r>
              <w:rPr>
                <w:bCs/>
              </w:rPr>
              <w:t xml:space="preserve">atbalstu biškopības nozarē </w:t>
            </w:r>
            <w:r w:rsidRPr="00740C83">
              <w:rPr>
                <w:bCs/>
              </w:rPr>
              <w:t xml:space="preserve">ir noteikts, ka </w:t>
            </w:r>
            <w:r>
              <w:rPr>
                <w:bCs/>
              </w:rPr>
              <w:t xml:space="preserve">dalībvalsts </w:t>
            </w:r>
            <w:r w:rsidRPr="00740C83">
              <w:rPr>
                <w:bCs/>
              </w:rPr>
              <w:t>pienākums ir</w:t>
            </w:r>
            <w:r>
              <w:rPr>
                <w:bCs/>
              </w:rPr>
              <w:t xml:space="preserve"> sagatavot un </w:t>
            </w:r>
            <w:r w:rsidR="004D40ED" w:rsidRPr="00740C83">
              <w:rPr>
                <w:bCs/>
              </w:rPr>
              <w:t xml:space="preserve">noteiktā termiņā </w:t>
            </w:r>
            <w:r w:rsidRPr="00740C83">
              <w:rPr>
                <w:bCs/>
              </w:rPr>
              <w:t>sniegt informāciju Eiropas Komisijai</w:t>
            </w:r>
            <w:r>
              <w:rPr>
                <w:bCs/>
              </w:rPr>
              <w:t xml:space="preserve">, </w:t>
            </w:r>
            <w:r w:rsidR="00736175">
              <w:rPr>
                <w:bCs/>
              </w:rPr>
              <w:t>tāpēc</w:t>
            </w:r>
            <w:r w:rsidRPr="00740C83">
              <w:rPr>
                <w:bCs/>
              </w:rPr>
              <w:t xml:space="preserve"> </w:t>
            </w:r>
            <w:r>
              <w:rPr>
                <w:bCs/>
              </w:rPr>
              <w:t>n</w:t>
            </w:r>
            <w:r w:rsidR="00C948BB">
              <w:rPr>
                <w:bCs/>
              </w:rPr>
              <w:t>ot</w:t>
            </w:r>
            <w:r w:rsidR="003B585F" w:rsidRPr="003B585F">
              <w:rPr>
                <w:bCs/>
              </w:rPr>
              <w:t xml:space="preserve">eikumu projektā </w:t>
            </w:r>
            <w:r w:rsidR="001748D2">
              <w:rPr>
                <w:bCs/>
              </w:rPr>
              <w:t>ir</w:t>
            </w:r>
            <w:r w:rsidR="003B585F" w:rsidRPr="003B585F">
              <w:rPr>
                <w:bCs/>
              </w:rPr>
              <w:t xml:space="preserve"> p</w:t>
            </w:r>
            <w:r w:rsidR="008015DA">
              <w:rPr>
                <w:bCs/>
              </w:rPr>
              <w:t>a</w:t>
            </w:r>
            <w:r w:rsidR="003B585F" w:rsidRPr="003B585F">
              <w:rPr>
                <w:bCs/>
              </w:rPr>
              <w:t>re</w:t>
            </w:r>
            <w:r w:rsidR="008015DA">
              <w:rPr>
                <w:bCs/>
              </w:rPr>
              <w:t>d</w:t>
            </w:r>
            <w:r w:rsidR="003B585F" w:rsidRPr="003B585F">
              <w:rPr>
                <w:bCs/>
              </w:rPr>
              <w:t xml:space="preserve">zēta </w:t>
            </w:r>
            <w:r w:rsidR="008015DA" w:rsidRPr="003B585F">
              <w:rPr>
                <w:bCs/>
              </w:rPr>
              <w:t>informācijas apmaiņ</w:t>
            </w:r>
            <w:r w:rsidR="008015DA">
              <w:rPr>
                <w:bCs/>
              </w:rPr>
              <w:t>a</w:t>
            </w:r>
            <w:r w:rsidR="001748D2" w:rsidRPr="003B585F">
              <w:rPr>
                <w:bCs/>
              </w:rPr>
              <w:t xml:space="preserve"> </w:t>
            </w:r>
            <w:r w:rsidR="008015DA">
              <w:rPr>
                <w:bCs/>
              </w:rPr>
              <w:t>starp L</w:t>
            </w:r>
            <w:r w:rsidR="003B585F" w:rsidRPr="003B585F">
              <w:rPr>
                <w:bCs/>
              </w:rPr>
              <w:t>auk</w:t>
            </w:r>
            <w:r w:rsidR="008015DA">
              <w:rPr>
                <w:bCs/>
              </w:rPr>
              <w:t xml:space="preserve">u atbalsta dienestu, atbalsta pretendentu un Zemkopības ministriju, lai nodrošinātu atbilstošas informācijas savlaicīgu sagatavošanu un nosūtīšanu Eiropas Komisijai. </w:t>
            </w:r>
          </w:p>
          <w:p w14:paraId="2C8FE45F" w14:textId="182B65B0" w:rsidR="001A4030" w:rsidRDefault="008015DA" w:rsidP="003B585F">
            <w:pPr>
              <w:jc w:val="both"/>
              <w:rPr>
                <w:bCs/>
              </w:rPr>
            </w:pPr>
            <w:r>
              <w:rPr>
                <w:bCs/>
              </w:rPr>
              <w:t>Noteikumu projektā precizēts biškopības gads, kas ir mainīts</w:t>
            </w:r>
            <w:r w:rsidR="00736175">
              <w:rPr>
                <w:bCs/>
              </w:rPr>
              <w:t>,</w:t>
            </w:r>
            <w:r>
              <w:rPr>
                <w:bCs/>
              </w:rPr>
              <w:t xml:space="preserve"> pamatojoties uz Regulā Nr.2015/1368 noteikto</w:t>
            </w:r>
            <w:r w:rsidR="00220950">
              <w:rPr>
                <w:bCs/>
              </w:rPr>
              <w:t xml:space="preserve"> (</w:t>
            </w:r>
            <w:r w:rsidR="00736175">
              <w:rPr>
                <w:bCs/>
              </w:rPr>
              <w:t>spēkā esošajos noteikumos</w:t>
            </w:r>
            <w:r w:rsidR="00220950">
              <w:rPr>
                <w:bCs/>
              </w:rPr>
              <w:t xml:space="preserve"> biškopības gads </w:t>
            </w:r>
            <w:r w:rsidR="00736175">
              <w:rPr>
                <w:bCs/>
              </w:rPr>
              <w:t>ir</w:t>
            </w:r>
            <w:r w:rsidR="00220950">
              <w:rPr>
                <w:bCs/>
              </w:rPr>
              <w:t xml:space="preserve"> no 1.09.</w:t>
            </w:r>
            <w:r w:rsidR="00736175">
              <w:rPr>
                <w:bCs/>
              </w:rPr>
              <w:t xml:space="preserve"> līdz </w:t>
            </w:r>
            <w:r w:rsidR="00220950">
              <w:rPr>
                <w:bCs/>
              </w:rPr>
              <w:t>31.08</w:t>
            </w:r>
            <w:r w:rsidR="00736175">
              <w:rPr>
                <w:bCs/>
              </w:rPr>
              <w:t>.</w:t>
            </w:r>
            <w:r w:rsidR="00220950">
              <w:rPr>
                <w:bCs/>
              </w:rPr>
              <w:t xml:space="preserve">, bet </w:t>
            </w:r>
            <w:r w:rsidR="00736175">
              <w:rPr>
                <w:bCs/>
              </w:rPr>
              <w:t xml:space="preserve">noteikumu projektā tas </w:t>
            </w:r>
            <w:r w:rsidR="00220950">
              <w:rPr>
                <w:bCs/>
              </w:rPr>
              <w:t xml:space="preserve">noteikts </w:t>
            </w:r>
            <w:r w:rsidR="00736175">
              <w:rPr>
                <w:bCs/>
              </w:rPr>
              <w:t xml:space="preserve">no </w:t>
            </w:r>
            <w:r w:rsidR="00220950">
              <w:rPr>
                <w:bCs/>
              </w:rPr>
              <w:t>1.08</w:t>
            </w:r>
            <w:r w:rsidR="00736175">
              <w:rPr>
                <w:bCs/>
              </w:rPr>
              <w:t xml:space="preserve"> līdz </w:t>
            </w:r>
            <w:r w:rsidR="00220950">
              <w:rPr>
                <w:bCs/>
              </w:rPr>
              <w:t>31.07</w:t>
            </w:r>
            <w:r w:rsidR="00736175">
              <w:rPr>
                <w:bCs/>
              </w:rPr>
              <w:t>.</w:t>
            </w:r>
            <w:r w:rsidR="00220950">
              <w:rPr>
                <w:bCs/>
              </w:rPr>
              <w:t>). T</w:t>
            </w:r>
            <w:r w:rsidR="006F5FE2">
              <w:rPr>
                <w:bCs/>
              </w:rPr>
              <w:t xml:space="preserve">ā kā ir </w:t>
            </w:r>
            <w:r w:rsidR="00736175">
              <w:rPr>
                <w:bCs/>
              </w:rPr>
              <w:t>izdarīti</w:t>
            </w:r>
            <w:r w:rsidR="00664A54">
              <w:rPr>
                <w:bCs/>
              </w:rPr>
              <w:t xml:space="preserve"> grozījumi </w:t>
            </w:r>
            <w:r w:rsidR="005A35AB">
              <w:rPr>
                <w:bCs/>
              </w:rPr>
              <w:t xml:space="preserve">normatīvajos aktos </w:t>
            </w:r>
            <w:r w:rsidR="00664A54">
              <w:rPr>
                <w:bCs/>
              </w:rPr>
              <w:t xml:space="preserve">par lauksaimniecības dzīvnieku, ganāmpulku un novietņu reģistrēšanu, kuros noteikts jauns </w:t>
            </w:r>
            <w:r w:rsidR="00173F77">
              <w:rPr>
                <w:bCs/>
              </w:rPr>
              <w:t>bišu saimju reģistrēšanas</w:t>
            </w:r>
            <w:r w:rsidR="00664A54">
              <w:rPr>
                <w:bCs/>
              </w:rPr>
              <w:t xml:space="preserve"> termiņš </w:t>
            </w:r>
            <w:r w:rsidR="00220950">
              <w:rPr>
                <w:bCs/>
              </w:rPr>
              <w:t>(</w:t>
            </w:r>
            <w:r w:rsidR="002508FA">
              <w:rPr>
                <w:bCs/>
              </w:rPr>
              <w:t xml:space="preserve">tagad </w:t>
            </w:r>
            <w:r w:rsidR="00B10CCA">
              <w:rPr>
                <w:bCs/>
              </w:rPr>
              <w:t xml:space="preserve">reģistrā dati par </w:t>
            </w:r>
            <w:r w:rsidR="00B10CCA">
              <w:rPr>
                <w:bCs/>
              </w:rPr>
              <w:lastRenderedPageBreak/>
              <w:t xml:space="preserve">bišu saimju skaitu jāziņo </w:t>
            </w:r>
            <w:r w:rsidR="00173F77">
              <w:rPr>
                <w:bCs/>
              </w:rPr>
              <w:t>pēc stāvok</w:t>
            </w:r>
            <w:r w:rsidR="00B10CCA">
              <w:rPr>
                <w:bCs/>
              </w:rPr>
              <w:t>ļa</w:t>
            </w:r>
            <w:r w:rsidR="00173F77">
              <w:rPr>
                <w:bCs/>
              </w:rPr>
              <w:t xml:space="preserve"> kārtējā gada 1.maijā</w:t>
            </w:r>
            <w:r w:rsidR="00220950">
              <w:rPr>
                <w:bCs/>
              </w:rPr>
              <w:t>)</w:t>
            </w:r>
            <w:r w:rsidR="00173F77">
              <w:rPr>
                <w:bCs/>
              </w:rPr>
              <w:t xml:space="preserve">, </w:t>
            </w:r>
            <w:r w:rsidR="00664A54">
              <w:rPr>
                <w:bCs/>
              </w:rPr>
              <w:t xml:space="preserve">tad </w:t>
            </w:r>
            <w:r w:rsidR="00736175">
              <w:rPr>
                <w:bCs/>
              </w:rPr>
              <w:t xml:space="preserve">arī </w:t>
            </w:r>
            <w:r w:rsidR="00664A54">
              <w:rPr>
                <w:bCs/>
              </w:rPr>
              <w:t xml:space="preserve">tas ir jāmaina </w:t>
            </w:r>
            <w:r w:rsidR="00B10CCA">
              <w:rPr>
                <w:bCs/>
              </w:rPr>
              <w:t>(</w:t>
            </w:r>
            <w:r w:rsidR="002508FA">
              <w:rPr>
                <w:bCs/>
              </w:rPr>
              <w:t xml:space="preserve">noteikumos </w:t>
            </w:r>
            <w:r w:rsidR="00B10CCA">
              <w:rPr>
                <w:bCs/>
              </w:rPr>
              <w:t xml:space="preserve">termiņš ir noteikts </w:t>
            </w:r>
            <w:r w:rsidR="00220950">
              <w:rPr>
                <w:bCs/>
              </w:rPr>
              <w:t>pēc stāvokļa 1.jūlij</w:t>
            </w:r>
            <w:r w:rsidR="00736175">
              <w:rPr>
                <w:bCs/>
              </w:rPr>
              <w:t>ā</w:t>
            </w:r>
            <w:r w:rsidR="00220950">
              <w:rPr>
                <w:bCs/>
              </w:rPr>
              <w:t>)</w:t>
            </w:r>
            <w:r w:rsidR="00664A54">
              <w:rPr>
                <w:bCs/>
              </w:rPr>
              <w:t xml:space="preserve">. </w:t>
            </w:r>
          </w:p>
          <w:p w14:paraId="5FAA843C" w14:textId="24CC5C49" w:rsidR="00FE09A0" w:rsidRPr="00BA0DE8" w:rsidRDefault="00740C83" w:rsidP="00736175">
            <w:pPr>
              <w:jc w:val="both"/>
              <w:rPr>
                <w:bCs/>
              </w:rPr>
            </w:pPr>
            <w:r>
              <w:rPr>
                <w:bCs/>
              </w:rPr>
              <w:t>Tāpat noteikumu projektā ir mainīts atbalsta pretenden</w:t>
            </w:r>
            <w:r w:rsidR="00B46A72">
              <w:rPr>
                <w:bCs/>
              </w:rPr>
              <w:t xml:space="preserve">ta pārskata iesūtīšanas termiņš (saistībā ar biškopības gada maiņu) </w:t>
            </w:r>
            <w:r>
              <w:rPr>
                <w:bCs/>
              </w:rPr>
              <w:t xml:space="preserve">Lauku atbalsta dienestam, lai tas </w:t>
            </w:r>
            <w:r w:rsidRPr="003B585F">
              <w:rPr>
                <w:bCs/>
              </w:rPr>
              <w:t xml:space="preserve">nodrošinātu </w:t>
            </w:r>
            <w:r>
              <w:rPr>
                <w:bCs/>
              </w:rPr>
              <w:t>atbilstošu administrēšanu un savlaicīg</w:t>
            </w:r>
            <w:r w:rsidR="005F2B72">
              <w:rPr>
                <w:bCs/>
              </w:rPr>
              <w:t>u</w:t>
            </w:r>
            <w:r>
              <w:rPr>
                <w:bCs/>
              </w:rPr>
              <w:t xml:space="preserve"> atbalsta </w:t>
            </w:r>
            <w:r w:rsidR="005F2B72">
              <w:rPr>
                <w:bCs/>
              </w:rPr>
              <w:t xml:space="preserve">piešķiršanu atbalsta pretendentam </w:t>
            </w:r>
            <w:r>
              <w:rPr>
                <w:bCs/>
              </w:rPr>
              <w:t xml:space="preserve">par </w:t>
            </w:r>
            <w:r w:rsidR="00736175">
              <w:rPr>
                <w:bCs/>
              </w:rPr>
              <w:t xml:space="preserve">īstenotajiem pasākumiem saistībā ar </w:t>
            </w:r>
            <w:r>
              <w:rPr>
                <w:bCs/>
              </w:rPr>
              <w:t>biškopības programm</w:t>
            </w:r>
            <w:r w:rsidR="00736175">
              <w:rPr>
                <w:bCs/>
              </w:rPr>
              <w:t>u</w:t>
            </w:r>
            <w:r w:rsidR="005F2B7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BA0DE8" w:rsidRPr="00BA0DE8" w14:paraId="59C2246A" w14:textId="77777777" w:rsidTr="008E3636">
        <w:tc>
          <w:tcPr>
            <w:tcW w:w="287" w:type="pct"/>
          </w:tcPr>
          <w:p w14:paraId="2DBE2D98" w14:textId="08E06A6C" w:rsidR="00AC145B" w:rsidRPr="00BA0DE8" w:rsidRDefault="00243D1D" w:rsidP="003037FE">
            <w:pPr>
              <w:pStyle w:val="Galvene"/>
              <w:jc w:val="center"/>
              <w:outlineLvl w:val="0"/>
            </w:pPr>
            <w:r w:rsidRPr="00BA0DE8">
              <w:lastRenderedPageBreak/>
              <w:t>3</w:t>
            </w:r>
            <w:r w:rsidR="00AC145B" w:rsidRPr="00BA0DE8">
              <w:t>.</w:t>
            </w:r>
          </w:p>
        </w:tc>
        <w:tc>
          <w:tcPr>
            <w:tcW w:w="1275" w:type="pct"/>
            <w:gridSpan w:val="2"/>
          </w:tcPr>
          <w:p w14:paraId="73E7E513" w14:textId="77777777" w:rsidR="00AC145B" w:rsidRPr="00BA0DE8" w:rsidRDefault="00AC145B" w:rsidP="003037FE">
            <w:pPr>
              <w:pStyle w:val="Galvene"/>
              <w:jc w:val="both"/>
              <w:outlineLvl w:val="0"/>
            </w:pPr>
            <w:r w:rsidRPr="00BA0DE8">
              <w:t>Projekta izstrādē iesaistītās institūcijas</w:t>
            </w:r>
          </w:p>
        </w:tc>
        <w:tc>
          <w:tcPr>
            <w:tcW w:w="3438" w:type="pct"/>
          </w:tcPr>
          <w:p w14:paraId="224C0756" w14:textId="3B3EDD8E" w:rsidR="00AC145B" w:rsidRPr="00BA0DE8" w:rsidRDefault="00C948BB" w:rsidP="00C948BB">
            <w:pPr>
              <w:jc w:val="both"/>
            </w:pPr>
            <w:r>
              <w:t>Lauku</w:t>
            </w:r>
            <w:r w:rsidR="00940B60" w:rsidRPr="00940B60">
              <w:t xml:space="preserve"> un </w:t>
            </w:r>
            <w:r>
              <w:t xml:space="preserve">atbalsta </w:t>
            </w:r>
            <w:r w:rsidR="00940B60" w:rsidRPr="00940B60">
              <w:t>dienests</w:t>
            </w:r>
          </w:p>
        </w:tc>
      </w:tr>
      <w:tr w:rsidR="005C3223" w:rsidRPr="00BA0DE8" w14:paraId="45012733" w14:textId="77777777" w:rsidTr="008E3636">
        <w:tc>
          <w:tcPr>
            <w:tcW w:w="287" w:type="pct"/>
          </w:tcPr>
          <w:p w14:paraId="07FBDCDD" w14:textId="77777777" w:rsidR="00AC145B" w:rsidRPr="00BA0DE8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4</w:t>
            </w:r>
            <w:r w:rsidR="00AC145B" w:rsidRPr="00BA0DE8">
              <w:t>.</w:t>
            </w:r>
          </w:p>
        </w:tc>
        <w:tc>
          <w:tcPr>
            <w:tcW w:w="1275" w:type="pct"/>
            <w:gridSpan w:val="2"/>
          </w:tcPr>
          <w:p w14:paraId="6454C268" w14:textId="77777777"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Cita informācija</w:t>
            </w:r>
          </w:p>
        </w:tc>
        <w:tc>
          <w:tcPr>
            <w:tcW w:w="3438" w:type="pct"/>
          </w:tcPr>
          <w:p w14:paraId="22B2EB7F" w14:textId="77777777" w:rsidR="00AC145B" w:rsidRPr="00BA0DE8" w:rsidRDefault="00AC145B" w:rsidP="003037FE">
            <w:pPr>
              <w:jc w:val="both"/>
            </w:pPr>
            <w:r w:rsidRPr="00BA0DE8">
              <w:t>Nav.</w:t>
            </w:r>
          </w:p>
        </w:tc>
      </w:tr>
      <w:tr w:rsidR="00BA0DE8" w:rsidRPr="00BA0DE8" w14:paraId="01790ABC" w14:textId="77777777" w:rsidTr="00133DFE">
        <w:tc>
          <w:tcPr>
            <w:tcW w:w="5000" w:type="pct"/>
            <w:gridSpan w:val="4"/>
          </w:tcPr>
          <w:p w14:paraId="1EB0D8C7" w14:textId="77777777"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A0DE8" w:rsidRPr="00BA0DE8" w14:paraId="5974D254" w14:textId="77777777" w:rsidTr="00BC349A">
        <w:tc>
          <w:tcPr>
            <w:tcW w:w="285" w:type="pct"/>
          </w:tcPr>
          <w:p w14:paraId="1B9D89DE" w14:textId="77777777"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1.</w:t>
            </w:r>
          </w:p>
        </w:tc>
        <w:tc>
          <w:tcPr>
            <w:tcW w:w="989" w:type="pct"/>
          </w:tcPr>
          <w:p w14:paraId="05BECCA4" w14:textId="77777777"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Sabiedrības mērķgrupas, kuras tiesiskais regulējums ietekmē vai varētu ietekmēt</w:t>
            </w:r>
          </w:p>
        </w:tc>
        <w:tc>
          <w:tcPr>
            <w:tcW w:w="3726" w:type="pct"/>
            <w:gridSpan w:val="2"/>
          </w:tcPr>
          <w:p w14:paraId="21F5456B" w14:textId="5DF6B453" w:rsidR="00FE2C4C" w:rsidRPr="00C948BB" w:rsidRDefault="00940B60" w:rsidP="00323329">
            <w:pPr>
              <w:jc w:val="both"/>
              <w:rPr>
                <w:color w:val="414142"/>
              </w:rPr>
            </w:pPr>
            <w:r>
              <w:t>Noteikumu projekta tiesiskais regulējums attieksies uz</w:t>
            </w:r>
            <w:r w:rsidR="00323329">
              <w:t xml:space="preserve"> </w:t>
            </w:r>
            <w:r w:rsidR="00C948BB">
              <w:t>bišu saimju</w:t>
            </w:r>
            <w:r>
              <w:t xml:space="preserve"> īpašniekiem un turētājiem</w:t>
            </w:r>
            <w:r w:rsidR="00323329">
              <w:t xml:space="preserve"> un </w:t>
            </w:r>
            <w:r w:rsidR="00323329" w:rsidRPr="00307B7F">
              <w:t>Latvijas Biškopības biedrību un tās reģionu nodaļas</w:t>
            </w:r>
            <w:r w:rsidRPr="00736175">
              <w:t xml:space="preserve">. Datu centra elektroniskajā </w:t>
            </w:r>
            <w:r>
              <w:t>datubāzē ir reģistrēt</w:t>
            </w:r>
            <w:r w:rsidR="00736175">
              <w:t>s</w:t>
            </w:r>
            <w:r>
              <w:t xml:space="preserve"> </w:t>
            </w:r>
            <w:r w:rsidR="008A088C">
              <w:t>29</w:t>
            </w:r>
            <w:r w:rsidR="00C948BB">
              <w:t>31 biškop</w:t>
            </w:r>
            <w:r w:rsidR="00736175">
              <w:t>is</w:t>
            </w:r>
            <w:r w:rsidR="00C948BB">
              <w:rPr>
                <w:color w:val="414142"/>
              </w:rPr>
              <w:t>.</w:t>
            </w:r>
          </w:p>
        </w:tc>
      </w:tr>
      <w:tr w:rsidR="00BA0DE8" w:rsidRPr="00BA0DE8" w14:paraId="46D9EA57" w14:textId="77777777" w:rsidTr="00BC349A">
        <w:tc>
          <w:tcPr>
            <w:tcW w:w="285" w:type="pct"/>
          </w:tcPr>
          <w:p w14:paraId="71B5C867" w14:textId="15F15067"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2.</w:t>
            </w:r>
          </w:p>
        </w:tc>
        <w:tc>
          <w:tcPr>
            <w:tcW w:w="989" w:type="pct"/>
          </w:tcPr>
          <w:p w14:paraId="65D5FE84" w14:textId="77777777"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Tiesiskā regulējuma ietekme uz tautsaimniecību un administratīvo slogu</w:t>
            </w:r>
          </w:p>
        </w:tc>
        <w:tc>
          <w:tcPr>
            <w:tcW w:w="3726" w:type="pct"/>
            <w:gridSpan w:val="2"/>
          </w:tcPr>
          <w:p w14:paraId="5D920BC2" w14:textId="793B9401" w:rsidR="00AC145B" w:rsidRPr="00BA0DE8" w:rsidRDefault="000B2338" w:rsidP="006E65F9">
            <w:pPr>
              <w:jc w:val="both"/>
            </w:pPr>
            <w:r w:rsidRPr="00BA0DE8">
              <w:rPr>
                <w:bCs/>
              </w:rPr>
              <w:t>Tiesisk</w:t>
            </w:r>
            <w:r w:rsidR="000B43C3">
              <w:rPr>
                <w:bCs/>
              </w:rPr>
              <w:t>ais</w:t>
            </w:r>
            <w:r w:rsidRPr="00BA0DE8">
              <w:rPr>
                <w:bCs/>
              </w:rPr>
              <w:t xml:space="preserve"> regulējum</w:t>
            </w:r>
            <w:r w:rsidR="000B43C3">
              <w:rPr>
                <w:bCs/>
              </w:rPr>
              <w:t>s nerada</w:t>
            </w:r>
            <w:r w:rsidRPr="00BA0DE8">
              <w:rPr>
                <w:bCs/>
              </w:rPr>
              <w:t xml:space="preserve"> jaunas tiesības un pienākum</w:t>
            </w:r>
            <w:r w:rsidR="000B43C3">
              <w:rPr>
                <w:bCs/>
              </w:rPr>
              <w:t>u</w:t>
            </w:r>
            <w:r w:rsidR="006E65F9">
              <w:rPr>
                <w:bCs/>
              </w:rPr>
              <w:t>s,</w:t>
            </w:r>
            <w:r w:rsidR="006E65F9">
              <w:t xml:space="preserve"> </w:t>
            </w:r>
            <w:r w:rsidR="006E65F9" w:rsidRPr="006E65F9">
              <w:rPr>
                <w:bCs/>
              </w:rPr>
              <w:t>ne arī veicamās darbības</w:t>
            </w:r>
            <w:r w:rsidRPr="00BA0DE8">
              <w:rPr>
                <w:bCs/>
              </w:rPr>
              <w:t>.</w:t>
            </w:r>
            <w:r w:rsidR="0030353C" w:rsidRPr="00BA0DE8">
              <w:t xml:space="preserve"> </w:t>
            </w:r>
          </w:p>
        </w:tc>
      </w:tr>
      <w:tr w:rsidR="00BA0DE8" w:rsidRPr="00BA0DE8" w14:paraId="7A601307" w14:textId="77777777" w:rsidTr="00BC349A">
        <w:tc>
          <w:tcPr>
            <w:tcW w:w="285" w:type="pct"/>
          </w:tcPr>
          <w:p w14:paraId="30FFF5C8" w14:textId="77777777"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3.</w:t>
            </w:r>
          </w:p>
        </w:tc>
        <w:tc>
          <w:tcPr>
            <w:tcW w:w="989" w:type="pct"/>
          </w:tcPr>
          <w:p w14:paraId="6684BBE4" w14:textId="77777777"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Administratīvo izmaksu monetārs novērtējums</w:t>
            </w:r>
          </w:p>
        </w:tc>
        <w:tc>
          <w:tcPr>
            <w:tcW w:w="3726" w:type="pct"/>
            <w:gridSpan w:val="2"/>
          </w:tcPr>
          <w:p w14:paraId="0D29098D" w14:textId="07EF8433" w:rsidR="00AC145B" w:rsidRPr="000B43C3" w:rsidRDefault="0068169C" w:rsidP="00CF4A26">
            <w:pPr>
              <w:jc w:val="both"/>
            </w:pPr>
            <w:r w:rsidRPr="008B5C1A">
              <w:t xml:space="preserve">Administratīvās izmaksas mērķgrupai, ko veido juridiskas personas, nepārsniedz 2000 </w:t>
            </w:r>
            <w:r w:rsidRPr="001E2B2F">
              <w:rPr>
                <w:i/>
              </w:rPr>
              <w:t>euro</w:t>
            </w:r>
            <w:r w:rsidRPr="008B5C1A">
              <w:t xml:space="preserve"> gadā.</w:t>
            </w:r>
          </w:p>
        </w:tc>
      </w:tr>
      <w:tr w:rsidR="005C3223" w:rsidRPr="00BA0DE8" w14:paraId="2B5BD8E3" w14:textId="77777777" w:rsidTr="00BC349A">
        <w:tc>
          <w:tcPr>
            <w:tcW w:w="285" w:type="pct"/>
          </w:tcPr>
          <w:p w14:paraId="52C6E535" w14:textId="77777777"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4.</w:t>
            </w:r>
          </w:p>
        </w:tc>
        <w:tc>
          <w:tcPr>
            <w:tcW w:w="989" w:type="pct"/>
          </w:tcPr>
          <w:p w14:paraId="33541139" w14:textId="77777777"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Cita informācija</w:t>
            </w:r>
          </w:p>
        </w:tc>
        <w:tc>
          <w:tcPr>
            <w:tcW w:w="3726" w:type="pct"/>
            <w:gridSpan w:val="2"/>
          </w:tcPr>
          <w:p w14:paraId="3B2591EC" w14:textId="77777777" w:rsidR="00AC145B" w:rsidRPr="00BA0DE8" w:rsidRDefault="00AC145B" w:rsidP="003037FE">
            <w:pPr>
              <w:jc w:val="both"/>
            </w:pPr>
            <w:r w:rsidRPr="00BA0DE8">
              <w:t>Nav.</w:t>
            </w:r>
          </w:p>
        </w:tc>
      </w:tr>
    </w:tbl>
    <w:p w14:paraId="0265AEF8" w14:textId="451C3BA1" w:rsidR="00656C9A" w:rsidRDefault="00656C9A" w:rsidP="00656C9A">
      <w:pPr>
        <w:rPr>
          <w:i/>
        </w:rPr>
      </w:pPr>
      <w:r w:rsidRPr="00BA0DE8">
        <w:rPr>
          <w:i/>
        </w:rPr>
        <w:t xml:space="preserve">Anotācijas </w:t>
      </w:r>
      <w:r w:rsidR="008F28C0" w:rsidRPr="00BA0DE8">
        <w:rPr>
          <w:i/>
        </w:rPr>
        <w:t xml:space="preserve">III - </w:t>
      </w:r>
      <w:r w:rsidR="0060636F" w:rsidRPr="00BA0DE8">
        <w:rPr>
          <w:i/>
        </w:rPr>
        <w:t>IV</w:t>
      </w:r>
      <w:r w:rsidR="00D36A7D" w:rsidRPr="00BA0DE8">
        <w:rPr>
          <w:i/>
        </w:rPr>
        <w:t xml:space="preserve"> </w:t>
      </w:r>
      <w:r w:rsidRPr="00BA0DE8">
        <w:rPr>
          <w:i/>
        </w:rPr>
        <w:t>sadaļa – projekts š</w:t>
      </w:r>
      <w:r w:rsidR="00143CB1" w:rsidRPr="00BA0DE8">
        <w:rPr>
          <w:i/>
        </w:rPr>
        <w:t>īs</w:t>
      </w:r>
      <w:r w:rsidRPr="00BA0DE8">
        <w:rPr>
          <w:i/>
        </w:rPr>
        <w:t xml:space="preserve"> jom</w:t>
      </w:r>
      <w:r w:rsidR="00143CB1" w:rsidRPr="00BA0DE8">
        <w:rPr>
          <w:i/>
        </w:rPr>
        <w:t>as</w:t>
      </w:r>
      <w:r w:rsidRPr="00BA0DE8">
        <w:rPr>
          <w:i/>
        </w:rPr>
        <w:t xml:space="preserve"> neskar.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607"/>
        <w:gridCol w:w="7147"/>
      </w:tblGrid>
      <w:tr w:rsidR="00BA0DE8" w:rsidRPr="00BA0DE8" w14:paraId="7C7B7C0A" w14:textId="77777777" w:rsidTr="00133DFE">
        <w:trPr>
          <w:trHeight w:val="279"/>
        </w:trPr>
        <w:tc>
          <w:tcPr>
            <w:tcW w:w="5000" w:type="pct"/>
            <w:gridSpan w:val="3"/>
          </w:tcPr>
          <w:p w14:paraId="5816C474" w14:textId="77777777" w:rsidR="008F28C0" w:rsidRPr="00BA0DE8" w:rsidRDefault="008F28C0" w:rsidP="009956A8">
            <w:pPr>
              <w:jc w:val="center"/>
              <w:rPr>
                <w:b/>
                <w:sz w:val="22"/>
                <w:szCs w:val="22"/>
              </w:rPr>
            </w:pPr>
            <w:r w:rsidRPr="00BA0DE8">
              <w:rPr>
                <w:b/>
                <w:sz w:val="22"/>
                <w:szCs w:val="22"/>
              </w:rPr>
              <w:t>V. Tiesību akta projekta atbilstība Latvijas Republikas starptautiskajām saistībām</w:t>
            </w:r>
          </w:p>
        </w:tc>
      </w:tr>
      <w:tr w:rsidR="00BA0DE8" w:rsidRPr="00BA0DE8" w14:paraId="25156F85" w14:textId="77777777" w:rsidTr="00875222">
        <w:trPr>
          <w:trHeight w:val="279"/>
        </w:trPr>
        <w:tc>
          <w:tcPr>
            <w:tcW w:w="287" w:type="pct"/>
          </w:tcPr>
          <w:p w14:paraId="28528D09" w14:textId="77777777" w:rsidR="008F28C0" w:rsidRPr="00BA0DE8" w:rsidRDefault="008F28C0" w:rsidP="009956A8">
            <w:pPr>
              <w:jc w:val="both"/>
              <w:rPr>
                <w:sz w:val="22"/>
                <w:szCs w:val="22"/>
              </w:rPr>
            </w:pPr>
            <w:r w:rsidRPr="00BA0DE8">
              <w:rPr>
                <w:sz w:val="22"/>
                <w:szCs w:val="22"/>
              </w:rPr>
              <w:t>1.</w:t>
            </w:r>
          </w:p>
        </w:tc>
        <w:tc>
          <w:tcPr>
            <w:tcW w:w="865" w:type="pct"/>
          </w:tcPr>
          <w:p w14:paraId="01F9606D" w14:textId="77777777" w:rsidR="008F28C0" w:rsidRPr="00BA0DE8" w:rsidRDefault="008F28C0" w:rsidP="009956A8">
            <w:pPr>
              <w:jc w:val="both"/>
              <w:rPr>
                <w:sz w:val="22"/>
                <w:szCs w:val="22"/>
              </w:rPr>
            </w:pPr>
            <w:r w:rsidRPr="00BA0DE8">
              <w:rPr>
                <w:sz w:val="22"/>
                <w:szCs w:val="22"/>
              </w:rPr>
              <w:t>Saistības pret Eiropas Savienību</w:t>
            </w:r>
          </w:p>
        </w:tc>
        <w:tc>
          <w:tcPr>
            <w:tcW w:w="3848" w:type="pct"/>
          </w:tcPr>
          <w:p w14:paraId="7552B263" w14:textId="5C70B52F" w:rsidR="009D5019" w:rsidRPr="001E2B2F" w:rsidRDefault="009D5019" w:rsidP="009D5019">
            <w:pPr>
              <w:jc w:val="both"/>
            </w:pPr>
            <w:r w:rsidRPr="001E2B2F">
              <w:t>Eiropas Parlamenta un Padomes 2013. gada 17. decembra Regul</w:t>
            </w:r>
            <w:r w:rsidR="00736175" w:rsidRPr="001E2B2F">
              <w:t>a</w:t>
            </w:r>
            <w:r w:rsidRPr="001E2B2F">
              <w:t xml:space="preserve"> (ES) Nr.1308/2013, ar ko izveido lauksaimniecības produktu tirgu kopīgu organizāciju un atceļ Padomes Regulas (EEK) Nr.922/72, (EEK) Nr.234/79, (EK) Nr.1037/2001 un (EK) Nr.1234/2007</w:t>
            </w:r>
            <w:r w:rsidR="001F4496" w:rsidRPr="001E2B2F">
              <w:t>.</w:t>
            </w:r>
          </w:p>
          <w:p w14:paraId="00927D2D" w14:textId="288F3172" w:rsidR="009D5019" w:rsidRPr="001E2B2F" w:rsidRDefault="009D5019" w:rsidP="009D5019">
            <w:pPr>
              <w:jc w:val="both"/>
            </w:pPr>
            <w:r w:rsidRPr="001E2B2F">
              <w:t>Komisijas 2015. gada 11. maija Deleģētā Regula (ES) Nr.2015/1366, ar ko Eiropas Parlamenta un Padomes Regulu (ES) Nr.1308/2013 papildina attiecībā uz biškopības nozari</w:t>
            </w:r>
            <w:r w:rsidR="001F4496" w:rsidRPr="001E2B2F">
              <w:t>.</w:t>
            </w:r>
          </w:p>
          <w:p w14:paraId="097693EC" w14:textId="01BC45F5" w:rsidR="008F28C0" w:rsidRPr="00BA0DE8" w:rsidRDefault="009D5019" w:rsidP="009D5019">
            <w:pPr>
              <w:jc w:val="both"/>
            </w:pPr>
            <w:r w:rsidRPr="001E2B2F">
              <w:t>Komisijas 2015. gada 6. augusta Īstenošanas Regula (ES) Nr.2015/1368, ar ko paredz noteikumus par to, kā Eiropas Parlamenta un Padomes Regulu (ES) Nr.1308/2013 piemēro attiecībā uz atbalstu biškopības nozarē.</w:t>
            </w:r>
          </w:p>
        </w:tc>
      </w:tr>
      <w:tr w:rsidR="00BA0DE8" w:rsidRPr="00BA0DE8" w14:paraId="3B1795FB" w14:textId="77777777" w:rsidTr="00875222">
        <w:trPr>
          <w:trHeight w:val="279"/>
        </w:trPr>
        <w:tc>
          <w:tcPr>
            <w:tcW w:w="287" w:type="pct"/>
          </w:tcPr>
          <w:p w14:paraId="4264104A" w14:textId="77777777" w:rsidR="008F28C0" w:rsidRPr="00BA0DE8" w:rsidRDefault="008F28C0" w:rsidP="009956A8">
            <w:pPr>
              <w:jc w:val="both"/>
              <w:rPr>
                <w:sz w:val="22"/>
                <w:szCs w:val="22"/>
              </w:rPr>
            </w:pPr>
            <w:r w:rsidRPr="00BA0DE8">
              <w:rPr>
                <w:sz w:val="22"/>
                <w:szCs w:val="22"/>
              </w:rPr>
              <w:t>2.</w:t>
            </w:r>
          </w:p>
        </w:tc>
        <w:tc>
          <w:tcPr>
            <w:tcW w:w="865" w:type="pct"/>
          </w:tcPr>
          <w:p w14:paraId="13D1D1F5" w14:textId="77777777" w:rsidR="008F28C0" w:rsidRPr="00BA0DE8" w:rsidRDefault="008F28C0" w:rsidP="009956A8">
            <w:pPr>
              <w:jc w:val="both"/>
              <w:rPr>
                <w:sz w:val="22"/>
                <w:szCs w:val="22"/>
              </w:rPr>
            </w:pPr>
            <w:r w:rsidRPr="00BA0DE8">
              <w:rPr>
                <w:sz w:val="22"/>
                <w:szCs w:val="22"/>
              </w:rPr>
              <w:t>Citas starptautiskās saistības</w:t>
            </w:r>
          </w:p>
        </w:tc>
        <w:tc>
          <w:tcPr>
            <w:tcW w:w="3848" w:type="pct"/>
          </w:tcPr>
          <w:p w14:paraId="73706D22" w14:textId="0B09D2CE" w:rsidR="008F28C0" w:rsidRPr="000E674D" w:rsidRDefault="004D4F42" w:rsidP="009956A8">
            <w:pPr>
              <w:jc w:val="both"/>
            </w:pPr>
            <w:r w:rsidRPr="000E674D">
              <w:t>Projekts šo jomu neskar.</w:t>
            </w:r>
          </w:p>
        </w:tc>
      </w:tr>
      <w:tr w:rsidR="008F28C0" w:rsidRPr="00BA0DE8" w14:paraId="2BF31E1E" w14:textId="77777777" w:rsidTr="00875222">
        <w:trPr>
          <w:trHeight w:val="279"/>
        </w:trPr>
        <w:tc>
          <w:tcPr>
            <w:tcW w:w="287" w:type="pct"/>
          </w:tcPr>
          <w:p w14:paraId="12E195ED" w14:textId="77777777" w:rsidR="008F28C0" w:rsidRPr="00BA0DE8" w:rsidRDefault="008F28C0" w:rsidP="009956A8">
            <w:pPr>
              <w:jc w:val="both"/>
              <w:rPr>
                <w:sz w:val="22"/>
                <w:szCs w:val="22"/>
              </w:rPr>
            </w:pPr>
            <w:r w:rsidRPr="00BA0DE8">
              <w:rPr>
                <w:sz w:val="22"/>
                <w:szCs w:val="22"/>
              </w:rPr>
              <w:t>3.</w:t>
            </w:r>
          </w:p>
        </w:tc>
        <w:tc>
          <w:tcPr>
            <w:tcW w:w="865" w:type="pct"/>
          </w:tcPr>
          <w:p w14:paraId="73417378" w14:textId="77777777" w:rsidR="008F28C0" w:rsidRPr="00BA0DE8" w:rsidRDefault="008F28C0" w:rsidP="009956A8">
            <w:pPr>
              <w:jc w:val="both"/>
              <w:rPr>
                <w:sz w:val="22"/>
                <w:szCs w:val="22"/>
              </w:rPr>
            </w:pPr>
            <w:r w:rsidRPr="00BA0DE8">
              <w:rPr>
                <w:sz w:val="22"/>
                <w:szCs w:val="22"/>
              </w:rPr>
              <w:t>Cita informācija</w:t>
            </w:r>
          </w:p>
        </w:tc>
        <w:tc>
          <w:tcPr>
            <w:tcW w:w="3848" w:type="pct"/>
          </w:tcPr>
          <w:p w14:paraId="30F7C2A6" w14:textId="77777777" w:rsidR="008F28C0" w:rsidRPr="000E674D" w:rsidRDefault="008F28C0" w:rsidP="009956A8">
            <w:pPr>
              <w:jc w:val="both"/>
            </w:pPr>
            <w:r w:rsidRPr="000E674D">
              <w:t>Nav.</w:t>
            </w:r>
          </w:p>
        </w:tc>
      </w:tr>
    </w:tbl>
    <w:p w14:paraId="28D72723" w14:textId="77777777" w:rsidR="008F28C0" w:rsidRPr="00BA0DE8" w:rsidRDefault="008F28C0" w:rsidP="008F28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659"/>
        <w:gridCol w:w="1997"/>
        <w:gridCol w:w="3395"/>
        <w:gridCol w:w="1856"/>
      </w:tblGrid>
      <w:tr w:rsidR="00BA0DE8" w:rsidRPr="00BA0DE8" w14:paraId="4E456D6B" w14:textId="77777777" w:rsidTr="00133DFE">
        <w:trPr>
          <w:trHeight w:val="279"/>
        </w:trPr>
        <w:tc>
          <w:tcPr>
            <w:tcW w:w="5000" w:type="pct"/>
            <w:gridSpan w:val="5"/>
          </w:tcPr>
          <w:p w14:paraId="4DA0DFB8" w14:textId="77777777" w:rsidR="00E9760B" w:rsidRDefault="008F28C0" w:rsidP="00E9760B">
            <w:pPr>
              <w:pStyle w:val="naisnod"/>
              <w:spacing w:before="0" w:after="0"/>
              <w:jc w:val="center"/>
              <w:rPr>
                <w:b/>
              </w:rPr>
            </w:pPr>
            <w:r w:rsidRPr="009D69A1">
              <w:rPr>
                <w:b/>
              </w:rPr>
              <w:lastRenderedPageBreak/>
              <w:t>1.tabula</w:t>
            </w:r>
          </w:p>
          <w:p w14:paraId="1F850CB6" w14:textId="2FB378C0" w:rsidR="008F28C0" w:rsidRPr="009D69A1" w:rsidRDefault="008F28C0" w:rsidP="00E9760B">
            <w:pPr>
              <w:pStyle w:val="naisnod"/>
              <w:spacing w:before="0" w:after="0"/>
              <w:jc w:val="center"/>
              <w:rPr>
                <w:b/>
              </w:rPr>
            </w:pPr>
            <w:r w:rsidRPr="009D69A1">
              <w:rPr>
                <w:b/>
              </w:rPr>
              <w:t>Tiesību akta projekta atbilstība ES tiesību aktiem</w:t>
            </w:r>
          </w:p>
        </w:tc>
      </w:tr>
      <w:tr w:rsidR="00BA0DE8" w:rsidRPr="00BA0DE8" w14:paraId="672ADF21" w14:textId="77777777" w:rsidTr="00A42FE7">
        <w:trPr>
          <w:trHeight w:val="279"/>
        </w:trPr>
        <w:tc>
          <w:tcPr>
            <w:tcW w:w="743" w:type="pct"/>
          </w:tcPr>
          <w:p w14:paraId="588390C4" w14:textId="77777777" w:rsidR="008F28C0" w:rsidRPr="00BA0DE8" w:rsidRDefault="008F28C0" w:rsidP="009956A8">
            <w:pPr>
              <w:jc w:val="center"/>
            </w:pPr>
            <w:r w:rsidRPr="00BA0DE8">
              <w:rPr>
                <w:sz w:val="22"/>
                <w:szCs w:val="22"/>
              </w:rPr>
              <w:t>Attiecīgā ES tiesību akta datums, numurs un nosaukums</w:t>
            </w:r>
          </w:p>
        </w:tc>
        <w:tc>
          <w:tcPr>
            <w:tcW w:w="4257" w:type="pct"/>
            <w:gridSpan w:val="4"/>
          </w:tcPr>
          <w:p w14:paraId="78663A07" w14:textId="6AE3AE87" w:rsidR="009D5019" w:rsidRPr="001E2B2F" w:rsidRDefault="009D5019" w:rsidP="009D5019">
            <w:pPr>
              <w:jc w:val="both"/>
            </w:pPr>
            <w:r w:rsidRPr="001E2B2F">
              <w:t>Eiropas Parlamenta un Padomes 2013. gada 17. decembra Regul</w:t>
            </w:r>
            <w:r w:rsidR="00736175" w:rsidRPr="001E2B2F">
              <w:t>a</w:t>
            </w:r>
            <w:r w:rsidRPr="001E2B2F">
              <w:t xml:space="preserve"> (ES) Nr.1308/2013, ar ko izveido lauksaimniecības produktu tirgu kopīgu organizāciju un atceļ Padomes Regulas (EEK) Nr.922/72, (EEK) Nr.234/79, (EK) Nr.1037/2001 un (EK) Nr.1234/2007 (turpmāk –</w:t>
            </w:r>
            <w:r w:rsidR="00736175" w:rsidRPr="001E2B2F">
              <w:t xml:space="preserve"> </w:t>
            </w:r>
            <w:r w:rsidRPr="001E2B2F">
              <w:t>Regula Nr.1308/2013);</w:t>
            </w:r>
          </w:p>
          <w:p w14:paraId="04CD1502" w14:textId="46B44867" w:rsidR="009D5019" w:rsidRPr="001E2B2F" w:rsidRDefault="009D5019" w:rsidP="009D5019">
            <w:pPr>
              <w:jc w:val="both"/>
            </w:pPr>
            <w:r w:rsidRPr="001E2B2F">
              <w:t>Komisijas 2015. gada 11. maija Deleģētā Regula (ES) Nr.2015/1366, ar ko Eiropas Parlamenta un Padomes Regulu (ES) Nr.1308/2013 papildina attiecībā uz biškopības nozari (turpmāk – Regula Nr.2015/1366);</w:t>
            </w:r>
          </w:p>
          <w:p w14:paraId="4D7A480C" w14:textId="588C19BC" w:rsidR="008F28C0" w:rsidRPr="00BA0DE8" w:rsidRDefault="009D5019" w:rsidP="009D5019">
            <w:pPr>
              <w:jc w:val="both"/>
            </w:pPr>
            <w:r w:rsidRPr="001E2B2F">
              <w:t>Komisijas 2015. gada 6. augusta Īstenošanas Regula (ES) Nr.2015/1368, ar ko paredz noteikumus par to, kā Eiropas Parlamenta un Padomes Regulu (ES) Nr.1308/2013 piemēro attiecībā uz atbalstu biškopības nozarē (turpmāk – Regula Nr.2015/1368)</w:t>
            </w:r>
            <w:r w:rsidR="00E8752B" w:rsidRPr="001E2B2F">
              <w:t>.</w:t>
            </w:r>
          </w:p>
        </w:tc>
      </w:tr>
      <w:tr w:rsidR="00BA0DE8" w:rsidRPr="00BA0DE8" w14:paraId="21E29535" w14:textId="77777777" w:rsidTr="00133DFE">
        <w:trPr>
          <w:trHeight w:val="279"/>
        </w:trPr>
        <w:tc>
          <w:tcPr>
            <w:tcW w:w="5000" w:type="pct"/>
            <w:gridSpan w:val="5"/>
          </w:tcPr>
          <w:p w14:paraId="72BEEEF8" w14:textId="77777777" w:rsidR="008F28C0" w:rsidRPr="00BA0DE8" w:rsidRDefault="008F28C0" w:rsidP="009956A8">
            <w:pPr>
              <w:jc w:val="both"/>
            </w:pPr>
          </w:p>
        </w:tc>
      </w:tr>
      <w:tr w:rsidR="003063C7" w:rsidRPr="00BA0DE8" w14:paraId="150C5495" w14:textId="77777777" w:rsidTr="00A42FE7">
        <w:trPr>
          <w:trHeight w:val="279"/>
        </w:trPr>
        <w:tc>
          <w:tcPr>
            <w:tcW w:w="1098" w:type="pct"/>
            <w:gridSpan w:val="2"/>
          </w:tcPr>
          <w:p w14:paraId="0C82E880" w14:textId="77777777" w:rsidR="008F28C0" w:rsidRPr="00BA0DE8" w:rsidRDefault="008F28C0" w:rsidP="009956A8">
            <w:pPr>
              <w:jc w:val="center"/>
            </w:pPr>
            <w:r w:rsidRPr="00BA0DE8">
              <w:t>A</w:t>
            </w:r>
          </w:p>
        </w:tc>
        <w:tc>
          <w:tcPr>
            <w:tcW w:w="1075" w:type="pct"/>
          </w:tcPr>
          <w:p w14:paraId="151E2C9A" w14:textId="77777777" w:rsidR="008F28C0" w:rsidRPr="00BA0DE8" w:rsidRDefault="008F28C0" w:rsidP="009956A8">
            <w:pPr>
              <w:jc w:val="center"/>
            </w:pPr>
            <w:r w:rsidRPr="00BA0DE8">
              <w:t>B</w:t>
            </w:r>
          </w:p>
        </w:tc>
        <w:tc>
          <w:tcPr>
            <w:tcW w:w="1828" w:type="pct"/>
          </w:tcPr>
          <w:p w14:paraId="41A1C8F7" w14:textId="77777777" w:rsidR="008F28C0" w:rsidRPr="00BA0DE8" w:rsidRDefault="008F28C0" w:rsidP="009956A8">
            <w:pPr>
              <w:jc w:val="center"/>
            </w:pPr>
            <w:r w:rsidRPr="00BA0DE8">
              <w:t>C</w:t>
            </w:r>
          </w:p>
        </w:tc>
        <w:tc>
          <w:tcPr>
            <w:tcW w:w="998" w:type="pct"/>
          </w:tcPr>
          <w:p w14:paraId="76A78E55" w14:textId="77777777" w:rsidR="008F28C0" w:rsidRPr="00BA0DE8" w:rsidRDefault="008F28C0" w:rsidP="009956A8">
            <w:pPr>
              <w:jc w:val="center"/>
            </w:pPr>
            <w:r w:rsidRPr="00BA0DE8">
              <w:t>D</w:t>
            </w:r>
          </w:p>
        </w:tc>
      </w:tr>
      <w:tr w:rsidR="003063C7" w:rsidRPr="00BA0DE8" w14:paraId="1FF575AB" w14:textId="77777777" w:rsidTr="00A42FE7">
        <w:trPr>
          <w:trHeight w:val="279"/>
        </w:trPr>
        <w:tc>
          <w:tcPr>
            <w:tcW w:w="1098" w:type="pct"/>
            <w:gridSpan w:val="2"/>
          </w:tcPr>
          <w:p w14:paraId="15159BCB" w14:textId="77777777" w:rsidR="008F28C0" w:rsidRPr="00BA0DE8" w:rsidRDefault="008F28C0" w:rsidP="009956A8">
            <w:pPr>
              <w:jc w:val="both"/>
            </w:pPr>
            <w:r w:rsidRPr="00BA0DE8">
              <w:rPr>
                <w:sz w:val="22"/>
                <w:szCs w:val="22"/>
              </w:rPr>
              <w:t xml:space="preserve">Attiecīgā ES tiesību akta panta numurs (uzskaitot katru tiesību akta </w:t>
            </w:r>
            <w:r w:rsidRPr="00BA0DE8">
              <w:rPr>
                <w:sz w:val="22"/>
                <w:szCs w:val="22"/>
              </w:rPr>
              <w:br/>
              <w:t>vienību – pantu, daļu, punktu, apakšpunktu)</w:t>
            </w:r>
          </w:p>
        </w:tc>
        <w:tc>
          <w:tcPr>
            <w:tcW w:w="1075" w:type="pct"/>
          </w:tcPr>
          <w:p w14:paraId="79066F0B" w14:textId="77777777" w:rsidR="008F28C0" w:rsidRPr="00BA0DE8" w:rsidRDefault="008F28C0" w:rsidP="009956A8">
            <w:pPr>
              <w:jc w:val="both"/>
            </w:pPr>
            <w:r w:rsidRPr="00BA0DE8">
              <w:rPr>
                <w:sz w:val="22"/>
                <w:szCs w:val="22"/>
              </w:rPr>
              <w:t>Projekta vienība, kas pārņem vai ievieš katru šīs tabulas A ailē minēto ES tiesību akta vienību</w:t>
            </w:r>
          </w:p>
        </w:tc>
        <w:tc>
          <w:tcPr>
            <w:tcW w:w="1828" w:type="pct"/>
          </w:tcPr>
          <w:p w14:paraId="06DEF0F6" w14:textId="77777777" w:rsidR="008F28C0" w:rsidRPr="00BA0DE8" w:rsidRDefault="008F28C0" w:rsidP="004D4F42">
            <w:pPr>
              <w:pStyle w:val="naiskr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A0DE8">
              <w:rPr>
                <w:sz w:val="22"/>
                <w:szCs w:val="22"/>
              </w:rPr>
              <w:t>Informācija par to, vai šīs tabulas A ailē minētās ES tiesību akta vienības tiek pārņemtas vai ieviestas pilnībā vai daļēji.</w:t>
            </w:r>
          </w:p>
          <w:p w14:paraId="62AF3CD0" w14:textId="77777777" w:rsidR="008F28C0" w:rsidRPr="00BA0DE8" w:rsidRDefault="008F28C0" w:rsidP="004D4F42">
            <w:pPr>
              <w:pStyle w:val="naiskr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A0DE8">
              <w:rPr>
                <w:sz w:val="22"/>
                <w:szCs w:val="22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14:paraId="24B10BF3" w14:textId="77777777" w:rsidR="008F28C0" w:rsidRPr="00BA0DE8" w:rsidRDefault="008F28C0" w:rsidP="009956A8">
            <w:pPr>
              <w:jc w:val="both"/>
            </w:pPr>
            <w:r w:rsidRPr="00BA0DE8">
              <w:rPr>
                <w:sz w:val="22"/>
                <w:szCs w:val="22"/>
              </w:rPr>
              <w:t>Norāda institūciju, kas ir atbildīga par šo saistību izpildi pilnībā</w:t>
            </w:r>
          </w:p>
        </w:tc>
        <w:tc>
          <w:tcPr>
            <w:tcW w:w="998" w:type="pct"/>
          </w:tcPr>
          <w:p w14:paraId="37243508" w14:textId="77777777" w:rsidR="008F28C0" w:rsidRPr="00BA0DE8" w:rsidRDefault="008F28C0" w:rsidP="004D4F42">
            <w:pPr>
              <w:pStyle w:val="naiskr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A0DE8">
              <w:rPr>
                <w:sz w:val="22"/>
                <w:szCs w:val="22"/>
              </w:rPr>
              <w:t>Informācija par to, vai šīs tabulas B ailē minētās projekta vienības paredz stingrākas prasības nekā šīs tabulas A ailē minētās ES tiesību akta vienības.</w:t>
            </w:r>
          </w:p>
          <w:p w14:paraId="1486A1FD" w14:textId="77777777" w:rsidR="008F28C0" w:rsidRPr="00BA0DE8" w:rsidRDefault="008F28C0" w:rsidP="004D4F42">
            <w:pPr>
              <w:pStyle w:val="naiskr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A0DE8">
              <w:rPr>
                <w:sz w:val="22"/>
                <w:szCs w:val="22"/>
              </w:rPr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BA0DE8">
                <w:rPr>
                  <w:sz w:val="22"/>
                  <w:szCs w:val="22"/>
                </w:rPr>
                <w:t>akts</w:t>
              </w:r>
            </w:smartTag>
            <w:r w:rsidRPr="00BA0DE8">
              <w:rPr>
                <w:sz w:val="22"/>
                <w:szCs w:val="22"/>
              </w:rPr>
              <w:t>, – norāda pamatojumu un samērīgumu.</w:t>
            </w:r>
          </w:p>
          <w:p w14:paraId="209219D3" w14:textId="77777777" w:rsidR="008F28C0" w:rsidRPr="00BA0DE8" w:rsidRDefault="008F28C0" w:rsidP="009956A8">
            <w:pPr>
              <w:jc w:val="both"/>
            </w:pPr>
            <w:r w:rsidRPr="00BA0DE8">
              <w:rPr>
                <w:sz w:val="22"/>
                <w:szCs w:val="22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3063C7" w:rsidRPr="00BA0DE8" w14:paraId="2F215A00" w14:textId="77777777" w:rsidTr="00A42FE7">
        <w:trPr>
          <w:trHeight w:val="279"/>
        </w:trPr>
        <w:tc>
          <w:tcPr>
            <w:tcW w:w="1098" w:type="pct"/>
            <w:gridSpan w:val="2"/>
          </w:tcPr>
          <w:p w14:paraId="5473886F" w14:textId="3FD6C67D" w:rsidR="005D00FC" w:rsidRPr="00BA0DE8" w:rsidRDefault="00762F9E" w:rsidP="00762F9E">
            <w:pPr>
              <w:jc w:val="both"/>
            </w:pPr>
            <w:r w:rsidRPr="00762F9E">
              <w:t>Regula</w:t>
            </w:r>
            <w:r>
              <w:t>s</w:t>
            </w:r>
            <w:r w:rsidRPr="00762F9E">
              <w:t xml:space="preserve"> Nr.2015/136</w:t>
            </w:r>
            <w:r>
              <w:t>8 8.pants</w:t>
            </w:r>
          </w:p>
        </w:tc>
        <w:tc>
          <w:tcPr>
            <w:tcW w:w="1075" w:type="pct"/>
          </w:tcPr>
          <w:p w14:paraId="6F45DD32" w14:textId="1BB88B94" w:rsidR="005D00FC" w:rsidRPr="00BA0DE8" w:rsidRDefault="005D00FC" w:rsidP="00762F9E">
            <w:pPr>
              <w:jc w:val="both"/>
            </w:pPr>
            <w:r w:rsidRPr="00683B7F">
              <w:t xml:space="preserve">Noteikumu projekta </w:t>
            </w:r>
            <w:r w:rsidR="00762F9E">
              <w:t>2</w:t>
            </w:r>
            <w:r>
              <w:t xml:space="preserve">.punkts </w:t>
            </w:r>
          </w:p>
        </w:tc>
        <w:tc>
          <w:tcPr>
            <w:tcW w:w="1828" w:type="pct"/>
          </w:tcPr>
          <w:p w14:paraId="1BBEDD55" w14:textId="77777777" w:rsidR="005D00FC" w:rsidRPr="00683B7F" w:rsidRDefault="005D00FC" w:rsidP="005D00FC">
            <w:pPr>
              <w:ind w:right="180"/>
              <w:jc w:val="both"/>
            </w:pPr>
            <w:r w:rsidRPr="00683B7F">
              <w:t xml:space="preserve">Šīs tabulas A ailē minētās ES tiesību akta vienības tiek ieviestas </w:t>
            </w:r>
            <w:r>
              <w:t>pilnībā</w:t>
            </w:r>
            <w:r w:rsidRPr="00683B7F">
              <w:t xml:space="preserve">. </w:t>
            </w:r>
          </w:p>
          <w:p w14:paraId="6643B3F5" w14:textId="67EA1F47" w:rsidR="005D00FC" w:rsidRPr="00BA0DE8" w:rsidRDefault="005D00FC" w:rsidP="005D00FC">
            <w:pPr>
              <w:jc w:val="both"/>
            </w:pPr>
          </w:p>
        </w:tc>
        <w:tc>
          <w:tcPr>
            <w:tcW w:w="998" w:type="pct"/>
          </w:tcPr>
          <w:p w14:paraId="4E5BB451" w14:textId="52BF9E68" w:rsidR="005D00FC" w:rsidRPr="00BA0DE8" w:rsidRDefault="005D00FC" w:rsidP="005D00FC">
            <w:pPr>
              <w:jc w:val="both"/>
              <w:rPr>
                <w:sz w:val="22"/>
                <w:szCs w:val="22"/>
              </w:rPr>
            </w:pPr>
            <w:r w:rsidRPr="00972FD0">
              <w:t xml:space="preserve">Šīs tabulas B ailē minētās noteikumu projekta vienības neparedz </w:t>
            </w:r>
            <w:r w:rsidRPr="00972FD0">
              <w:lastRenderedPageBreak/>
              <w:t>stingrākas prasības kā šīs tabulas A ailē minētās ES tiesību akta vienības.</w:t>
            </w:r>
          </w:p>
        </w:tc>
      </w:tr>
      <w:tr w:rsidR="003063C7" w:rsidRPr="00BA0DE8" w14:paraId="7429972E" w14:textId="77777777" w:rsidTr="00A42FE7">
        <w:trPr>
          <w:trHeight w:val="279"/>
        </w:trPr>
        <w:tc>
          <w:tcPr>
            <w:tcW w:w="1098" w:type="pct"/>
            <w:gridSpan w:val="2"/>
          </w:tcPr>
          <w:p w14:paraId="2D866BEC" w14:textId="081F8151" w:rsidR="005D00FC" w:rsidRPr="00BA0DE8" w:rsidRDefault="005D00FC" w:rsidP="0029395E">
            <w:pPr>
              <w:jc w:val="both"/>
            </w:pPr>
            <w:r w:rsidRPr="00A2327F">
              <w:lastRenderedPageBreak/>
              <w:t>Regulas Nr.2015/</w:t>
            </w:r>
            <w:r w:rsidR="00762F9E">
              <w:t>1368</w:t>
            </w:r>
            <w:r w:rsidRPr="00A2327F">
              <w:t xml:space="preserve"> </w:t>
            </w:r>
            <w:r>
              <w:t>2</w:t>
            </w:r>
            <w:r w:rsidRPr="00A2327F">
              <w:t>.pant</w:t>
            </w:r>
            <w:r w:rsidR="00762F9E">
              <w:t>s</w:t>
            </w:r>
            <w:r w:rsidR="0029395E">
              <w:t xml:space="preserve"> un Regulas Nr.1308/2013 55.panta 4.punkts</w:t>
            </w:r>
            <w:r>
              <w:t>.</w:t>
            </w:r>
          </w:p>
        </w:tc>
        <w:tc>
          <w:tcPr>
            <w:tcW w:w="1075" w:type="pct"/>
          </w:tcPr>
          <w:p w14:paraId="27A95D23" w14:textId="419C6CA4" w:rsidR="005D00FC" w:rsidRDefault="005D00FC" w:rsidP="005D00FC">
            <w:pPr>
              <w:jc w:val="both"/>
            </w:pPr>
            <w:r>
              <w:t xml:space="preserve">Noteikumu projekta </w:t>
            </w:r>
          </w:p>
          <w:p w14:paraId="52C9EA72" w14:textId="77777777" w:rsidR="005D00FC" w:rsidRDefault="00762F9E" w:rsidP="00762F9E">
            <w:pPr>
              <w:jc w:val="both"/>
            </w:pPr>
            <w:r>
              <w:t>3</w:t>
            </w:r>
            <w:r w:rsidR="005D00FC">
              <w:t xml:space="preserve">.punkts </w:t>
            </w:r>
          </w:p>
          <w:p w14:paraId="18E6FFDF" w14:textId="3567EDA7" w:rsidR="002B6683" w:rsidRPr="00BA0DE8" w:rsidRDefault="002B6683" w:rsidP="002B6683">
            <w:pPr>
              <w:jc w:val="both"/>
            </w:pPr>
            <w:r w:rsidRPr="002B6683">
              <w:t xml:space="preserve">(noteikumu </w:t>
            </w:r>
            <w:r>
              <w:t>3</w:t>
            </w:r>
            <w:r w:rsidRPr="002B6683">
              <w:t>.punkts).</w:t>
            </w:r>
          </w:p>
        </w:tc>
        <w:tc>
          <w:tcPr>
            <w:tcW w:w="1828" w:type="pct"/>
          </w:tcPr>
          <w:p w14:paraId="70F2DE42" w14:textId="64ACDD1D" w:rsidR="005D00FC" w:rsidRPr="00BA0DE8" w:rsidRDefault="005D00FC" w:rsidP="005D00FC">
            <w:pPr>
              <w:jc w:val="both"/>
            </w:pPr>
            <w:r w:rsidRPr="00972FD0">
              <w:t>Šīs tabulas A ailē minētās ES tiesību akta vienības tiek ieviestas pilnībā</w:t>
            </w:r>
            <w:r>
              <w:t>.</w:t>
            </w:r>
          </w:p>
        </w:tc>
        <w:tc>
          <w:tcPr>
            <w:tcW w:w="998" w:type="pct"/>
          </w:tcPr>
          <w:p w14:paraId="3045786C" w14:textId="0EC51FBA" w:rsidR="005D00FC" w:rsidRPr="00BA0DE8" w:rsidRDefault="005D00FC" w:rsidP="005D00FC">
            <w:pPr>
              <w:jc w:val="both"/>
              <w:rPr>
                <w:sz w:val="22"/>
                <w:szCs w:val="22"/>
              </w:rPr>
            </w:pPr>
            <w:r w:rsidRPr="00972FD0">
              <w:t>Šīs tabulas B ailē minētās noteikumu projekta vienības neparedz stingrākas prasības kā šīs tabulas A ailē minētās ES tiesību akta vienības.</w:t>
            </w:r>
          </w:p>
        </w:tc>
      </w:tr>
      <w:tr w:rsidR="00C4243B" w:rsidRPr="00BA0DE8" w14:paraId="18D7CAF6" w14:textId="77777777" w:rsidTr="00A42FE7">
        <w:trPr>
          <w:trHeight w:val="279"/>
        </w:trPr>
        <w:tc>
          <w:tcPr>
            <w:tcW w:w="1098" w:type="pct"/>
            <w:gridSpan w:val="2"/>
          </w:tcPr>
          <w:p w14:paraId="207D91F7" w14:textId="3947251A" w:rsidR="00C4243B" w:rsidRPr="00BA0DE8" w:rsidRDefault="00C4243B" w:rsidP="00C4243B">
            <w:pPr>
              <w:jc w:val="both"/>
            </w:pPr>
            <w:r w:rsidRPr="00C4243B">
              <w:t>Regulas Nr.2015/1368 10. un 11. pant</w:t>
            </w:r>
            <w:r w:rsidR="00F653DF">
              <w:t>s</w:t>
            </w:r>
          </w:p>
        </w:tc>
        <w:tc>
          <w:tcPr>
            <w:tcW w:w="1075" w:type="pct"/>
          </w:tcPr>
          <w:p w14:paraId="0C5582A1" w14:textId="703BDA43" w:rsidR="00C4243B" w:rsidRPr="00BA0DE8" w:rsidRDefault="00C4243B" w:rsidP="00C4243B">
            <w:pPr>
              <w:jc w:val="both"/>
            </w:pPr>
            <w:r w:rsidRPr="00683B7F">
              <w:t xml:space="preserve">Noteikumu projekta </w:t>
            </w:r>
            <w:r>
              <w:t>4.punkts (noteikumu 4.</w:t>
            </w:r>
            <w:r w:rsidRPr="00C4243B">
              <w:rPr>
                <w:vertAlign w:val="superscript"/>
              </w:rPr>
              <w:t>2</w:t>
            </w:r>
            <w:r w:rsidRPr="00683B7F">
              <w:t>.punkts</w:t>
            </w:r>
            <w:r>
              <w:t>).</w:t>
            </w:r>
          </w:p>
        </w:tc>
        <w:tc>
          <w:tcPr>
            <w:tcW w:w="1828" w:type="pct"/>
          </w:tcPr>
          <w:p w14:paraId="4781226B" w14:textId="7F621684" w:rsidR="00C4243B" w:rsidRPr="00BA0DE8" w:rsidRDefault="00C4243B" w:rsidP="00C4243B">
            <w:pPr>
              <w:pStyle w:val="naisc"/>
              <w:spacing w:before="0" w:after="0"/>
              <w:jc w:val="both"/>
            </w:pPr>
            <w:r w:rsidRPr="00972FD0">
              <w:t>Šīs tabulas A ailē minētās ES tiesību akta vienības tiek ieviestas pilnībā</w:t>
            </w:r>
            <w:r>
              <w:t>.</w:t>
            </w:r>
          </w:p>
        </w:tc>
        <w:tc>
          <w:tcPr>
            <w:tcW w:w="998" w:type="pct"/>
          </w:tcPr>
          <w:p w14:paraId="40124B19" w14:textId="30A8FFC2" w:rsidR="00C4243B" w:rsidRPr="00BA0DE8" w:rsidRDefault="00C4243B" w:rsidP="00C4243B">
            <w:pPr>
              <w:jc w:val="both"/>
              <w:rPr>
                <w:sz w:val="22"/>
                <w:szCs w:val="22"/>
              </w:rPr>
            </w:pPr>
            <w:r w:rsidRPr="00972FD0">
              <w:t>Šīs tabulas B ailē minētās noteikumu projekta vienības neparedz stingrākas prasības kā šīs tabulas A ailē minētās ES tiesību akta vienības.</w:t>
            </w:r>
          </w:p>
        </w:tc>
      </w:tr>
      <w:tr w:rsidR="00C4243B" w:rsidRPr="00BA0DE8" w14:paraId="1A923B6D" w14:textId="77777777" w:rsidTr="00A42FE7">
        <w:trPr>
          <w:trHeight w:val="279"/>
        </w:trPr>
        <w:tc>
          <w:tcPr>
            <w:tcW w:w="1098" w:type="pct"/>
            <w:gridSpan w:val="2"/>
          </w:tcPr>
          <w:p w14:paraId="685020CE" w14:textId="072E84F5" w:rsidR="00C4243B" w:rsidRPr="00446463" w:rsidRDefault="00C4243B" w:rsidP="00C4243B">
            <w:pPr>
              <w:jc w:val="both"/>
            </w:pPr>
            <w:r w:rsidRPr="00E552E5">
              <w:rPr>
                <w:color w:val="000000" w:themeColor="text1"/>
                <w:sz w:val="22"/>
                <w:szCs w:val="22"/>
              </w:rPr>
              <w:t>Kā ir izmantota ES tiesību aktā paredzētā rīcības brīvība dalībvalstij pārņemt vai ieviest noteiktas ES tiesību akta normas?</w:t>
            </w:r>
            <w:r w:rsidRPr="00E552E5">
              <w:rPr>
                <w:color w:val="000000" w:themeColor="text1"/>
                <w:sz w:val="22"/>
                <w:szCs w:val="22"/>
              </w:rPr>
              <w:br/>
              <w:t>Kādēļ?</w:t>
            </w:r>
          </w:p>
        </w:tc>
        <w:tc>
          <w:tcPr>
            <w:tcW w:w="3902" w:type="pct"/>
            <w:gridSpan w:val="3"/>
          </w:tcPr>
          <w:p w14:paraId="04D5D67D" w14:textId="762CA922" w:rsidR="00C4243B" w:rsidRPr="00016263" w:rsidRDefault="004D40ED" w:rsidP="00C4243B">
            <w:pPr>
              <w:jc w:val="both"/>
            </w:pPr>
            <w:r>
              <w:t>–</w:t>
            </w:r>
          </w:p>
        </w:tc>
      </w:tr>
      <w:tr w:rsidR="00C4243B" w:rsidRPr="00BA0DE8" w14:paraId="7A2C5D40" w14:textId="77777777" w:rsidTr="00A42FE7">
        <w:trPr>
          <w:trHeight w:val="279"/>
        </w:trPr>
        <w:tc>
          <w:tcPr>
            <w:tcW w:w="1098" w:type="pct"/>
            <w:gridSpan w:val="2"/>
          </w:tcPr>
          <w:p w14:paraId="154DF1BB" w14:textId="68A14EEE" w:rsidR="00C4243B" w:rsidRPr="00E552E5" w:rsidRDefault="00C4243B" w:rsidP="00C4243B">
            <w:pPr>
              <w:jc w:val="both"/>
              <w:rPr>
                <w:color w:val="000000" w:themeColor="text1"/>
              </w:rPr>
            </w:pPr>
            <w:r w:rsidRPr="00E552E5">
              <w:rPr>
                <w:color w:val="000000" w:themeColor="text1"/>
                <w:sz w:val="22"/>
                <w:szCs w:val="22"/>
              </w:rPr>
              <w:t xml:space="preserve">Saistības sniegt paziņojumu ES institūcijām un ES dalībvalstīm atbilstoši normatīvajiem aktiem, kas regulē informācijas sniegšanu par tehnisko noteikumu, valsts atbalsta piešķiršanas un finanšu noteikumu (attiecībā uz monetāro politiku) </w:t>
            </w:r>
            <w:r w:rsidRPr="00E552E5">
              <w:rPr>
                <w:color w:val="000000" w:themeColor="text1"/>
                <w:sz w:val="22"/>
                <w:szCs w:val="22"/>
              </w:rPr>
              <w:lastRenderedPageBreak/>
              <w:t>projektiem</w:t>
            </w:r>
          </w:p>
        </w:tc>
        <w:tc>
          <w:tcPr>
            <w:tcW w:w="3902" w:type="pct"/>
            <w:gridSpan w:val="3"/>
          </w:tcPr>
          <w:p w14:paraId="6BAD80A0" w14:textId="2A617F0E" w:rsidR="00C4243B" w:rsidRPr="00446463" w:rsidRDefault="004D40ED" w:rsidP="00C4243B">
            <w:pPr>
              <w:jc w:val="both"/>
            </w:pPr>
            <w:r>
              <w:lastRenderedPageBreak/>
              <w:t>–</w:t>
            </w:r>
          </w:p>
        </w:tc>
      </w:tr>
      <w:tr w:rsidR="00C4243B" w:rsidRPr="00BA0DE8" w14:paraId="32CF3453" w14:textId="77777777" w:rsidTr="00A42FE7">
        <w:trPr>
          <w:trHeight w:val="279"/>
        </w:trPr>
        <w:tc>
          <w:tcPr>
            <w:tcW w:w="1098" w:type="pct"/>
            <w:gridSpan w:val="2"/>
          </w:tcPr>
          <w:p w14:paraId="7877E88C" w14:textId="77777777" w:rsidR="00C4243B" w:rsidRPr="00BA0DE8" w:rsidRDefault="00C4243B" w:rsidP="00C4243B">
            <w:pPr>
              <w:jc w:val="both"/>
            </w:pPr>
            <w:r w:rsidRPr="00BA0DE8">
              <w:rPr>
                <w:sz w:val="22"/>
                <w:szCs w:val="22"/>
              </w:rPr>
              <w:t>Cita informācija</w:t>
            </w:r>
          </w:p>
        </w:tc>
        <w:tc>
          <w:tcPr>
            <w:tcW w:w="3902" w:type="pct"/>
            <w:gridSpan w:val="3"/>
          </w:tcPr>
          <w:p w14:paraId="2B212D2F" w14:textId="77777777" w:rsidR="00C4243B" w:rsidRPr="00BA0DE8" w:rsidRDefault="00C4243B" w:rsidP="00C4243B">
            <w:pPr>
              <w:jc w:val="both"/>
            </w:pPr>
            <w:r w:rsidRPr="00BA0DE8">
              <w:rPr>
                <w:sz w:val="22"/>
                <w:szCs w:val="22"/>
              </w:rPr>
              <w:t>Nav.</w:t>
            </w:r>
          </w:p>
        </w:tc>
      </w:tr>
    </w:tbl>
    <w:p w14:paraId="03FD736E" w14:textId="5111A001" w:rsidR="00FF319C" w:rsidRPr="00FF319C" w:rsidRDefault="00FF319C" w:rsidP="008F28C0">
      <w:pPr>
        <w:pStyle w:val="naisf"/>
        <w:spacing w:before="0" w:beforeAutospacing="0" w:after="0" w:afterAutospacing="0"/>
        <w:rPr>
          <w:i/>
        </w:rPr>
      </w:pPr>
      <w:r w:rsidRPr="00FF319C">
        <w:rPr>
          <w:i/>
        </w:rPr>
        <w:t>Anotācijas V sadaļas2.tabula – projekts šo jomu neskar.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28"/>
        <w:gridCol w:w="6794"/>
      </w:tblGrid>
      <w:tr w:rsidR="00BA0DE8" w:rsidRPr="00BA0DE8" w14:paraId="2C80A1B0" w14:textId="77777777" w:rsidTr="00133DFE">
        <w:trPr>
          <w:trHeight w:val="279"/>
        </w:trPr>
        <w:tc>
          <w:tcPr>
            <w:tcW w:w="5000" w:type="pct"/>
            <w:gridSpan w:val="3"/>
          </w:tcPr>
          <w:p w14:paraId="25403D69" w14:textId="77777777"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VI. Sabiedrības līdzdalība un komunikācijas aktivitātes</w:t>
            </w:r>
          </w:p>
        </w:tc>
      </w:tr>
      <w:tr w:rsidR="00BA0DE8" w:rsidRPr="00BA0DE8" w14:paraId="201EAD28" w14:textId="77777777" w:rsidTr="00875222">
        <w:trPr>
          <w:trHeight w:val="279"/>
        </w:trPr>
        <w:tc>
          <w:tcPr>
            <w:tcW w:w="304" w:type="pct"/>
          </w:tcPr>
          <w:p w14:paraId="5DC7ADC9" w14:textId="77777777" w:rsidR="00AC145B" w:rsidRPr="00BA0DE8" w:rsidRDefault="00AC145B" w:rsidP="003037FE">
            <w:pPr>
              <w:jc w:val="both"/>
            </w:pPr>
            <w:r w:rsidRPr="00BA0DE8">
              <w:t>1.</w:t>
            </w:r>
          </w:p>
        </w:tc>
        <w:tc>
          <w:tcPr>
            <w:tcW w:w="1038" w:type="pct"/>
          </w:tcPr>
          <w:p w14:paraId="5062D17C" w14:textId="77777777" w:rsidR="00AC145B" w:rsidRPr="00BA0DE8" w:rsidRDefault="00AC145B" w:rsidP="00FC11EF">
            <w:r w:rsidRPr="00BA0DE8">
              <w:t>Plānotās sabiedrības līdzdalības un komunikācijas aktivitātes saistībā ar projektu</w:t>
            </w:r>
          </w:p>
        </w:tc>
        <w:tc>
          <w:tcPr>
            <w:tcW w:w="3658" w:type="pct"/>
          </w:tcPr>
          <w:p w14:paraId="5C55EAC3" w14:textId="5027EFFA" w:rsidR="007D3F1B" w:rsidRDefault="007D3F1B" w:rsidP="007D3F1B">
            <w:pPr>
              <w:jc w:val="both"/>
            </w:pPr>
            <w:r>
              <w:t xml:space="preserve">Informācija par noteikumu projektu ievietota Zemkopības ministrijas tīmekļa vietnē </w:t>
            </w:r>
            <w:hyperlink r:id="rId8" w:history="1">
              <w:r w:rsidRPr="00CC61AB">
                <w:rPr>
                  <w:rStyle w:val="Hipersaite"/>
                </w:rPr>
                <w:t>www.zm.gov.lv</w:t>
              </w:r>
            </w:hyperlink>
            <w:r>
              <w:t xml:space="preserve"> </w:t>
            </w:r>
          </w:p>
          <w:p w14:paraId="7A0B573D" w14:textId="7967305B" w:rsidR="00C61931" w:rsidRPr="00BA0DE8" w:rsidRDefault="007D3F1B" w:rsidP="00736175">
            <w:pPr>
              <w:jc w:val="both"/>
            </w:pPr>
            <w:r>
              <w:t>Par noteikumu projektu ir elektroniski informēta Lauksaimnieku organizāciju sadarbības padome (LOSP), Zemnieku saeima</w:t>
            </w:r>
            <w:r w:rsidR="00881878">
              <w:t>,</w:t>
            </w:r>
            <w:r>
              <w:t xml:space="preserve"> Latvijas Lauksaimniecības kooperatīvu asociācija</w:t>
            </w:r>
            <w:r w:rsidR="00881878">
              <w:t>,</w:t>
            </w:r>
            <w:r>
              <w:t xml:space="preserve"> </w:t>
            </w:r>
            <w:r w:rsidR="00E8752B">
              <w:t>Latvijas biškopības biedrība</w:t>
            </w:r>
            <w:r w:rsidR="00736175">
              <w:t xml:space="preserve"> un</w:t>
            </w:r>
            <w:r>
              <w:t xml:space="preserve"> </w:t>
            </w:r>
            <w:r w:rsidR="00823E27">
              <w:t>Lauku atbalsta dienests</w:t>
            </w:r>
            <w:r>
              <w:t>.</w:t>
            </w:r>
          </w:p>
        </w:tc>
      </w:tr>
      <w:tr w:rsidR="00BA0DE8" w:rsidRPr="00BA0DE8" w14:paraId="237FE7D7" w14:textId="77777777" w:rsidTr="00875222">
        <w:trPr>
          <w:trHeight w:val="279"/>
        </w:trPr>
        <w:tc>
          <w:tcPr>
            <w:tcW w:w="304" w:type="pct"/>
          </w:tcPr>
          <w:p w14:paraId="53E5A3E2" w14:textId="77777777" w:rsidR="00AC145B" w:rsidRPr="00BA0DE8" w:rsidRDefault="00AC145B" w:rsidP="003037FE">
            <w:pPr>
              <w:jc w:val="both"/>
            </w:pPr>
            <w:r w:rsidRPr="00BA0DE8">
              <w:t>2.</w:t>
            </w:r>
          </w:p>
        </w:tc>
        <w:tc>
          <w:tcPr>
            <w:tcW w:w="1038" w:type="pct"/>
          </w:tcPr>
          <w:p w14:paraId="2BCCF277" w14:textId="77777777" w:rsidR="00AC145B" w:rsidRPr="00BA0DE8" w:rsidRDefault="00AC145B" w:rsidP="003037FE">
            <w:pPr>
              <w:jc w:val="both"/>
            </w:pPr>
            <w:r w:rsidRPr="00BA0DE8">
              <w:t>Sabiedrības līdzdalība projekta izstrādē</w:t>
            </w:r>
          </w:p>
        </w:tc>
        <w:tc>
          <w:tcPr>
            <w:tcW w:w="3658" w:type="pct"/>
          </w:tcPr>
          <w:p w14:paraId="3FE085F5" w14:textId="280E70EA" w:rsidR="0091351B" w:rsidRPr="00BA0DE8" w:rsidRDefault="007D3F1B" w:rsidP="00592C54">
            <w:pPr>
              <w:pStyle w:val="naiskr"/>
              <w:spacing w:before="0" w:beforeAutospacing="0" w:after="0" w:afterAutospacing="0"/>
              <w:jc w:val="both"/>
            </w:pPr>
            <w:r w:rsidRPr="007D3F1B">
              <w:t xml:space="preserve">Notika sanāksme </w:t>
            </w:r>
            <w:r w:rsidR="00592C54">
              <w:t xml:space="preserve">un elektroniska sarakste </w:t>
            </w:r>
            <w:r w:rsidRPr="007D3F1B">
              <w:t>ar noteikumu projekt</w:t>
            </w:r>
            <w:r w:rsidR="00592C54">
              <w:t>a</w:t>
            </w:r>
            <w:r w:rsidRPr="007D3F1B">
              <w:t xml:space="preserve"> </w:t>
            </w:r>
            <w:r w:rsidR="00881878">
              <w:t xml:space="preserve">izstrādē </w:t>
            </w:r>
            <w:r w:rsidRPr="007D3F1B">
              <w:t>iesaistīt</w:t>
            </w:r>
            <w:r w:rsidR="00592C54">
              <w:t>o institūciju</w:t>
            </w:r>
            <w:r w:rsidR="00881878">
              <w:t xml:space="preserve"> un</w:t>
            </w:r>
            <w:r w:rsidRPr="007D3F1B">
              <w:t xml:space="preserve"> </w:t>
            </w:r>
            <w:r w:rsidR="00592C54">
              <w:t>Latvijas B</w:t>
            </w:r>
            <w:r w:rsidR="006911EB">
              <w:t>iškopības b</w:t>
            </w:r>
            <w:r w:rsidR="00E8752B">
              <w:t>i</w:t>
            </w:r>
            <w:r w:rsidR="006911EB">
              <w:t>e</w:t>
            </w:r>
            <w:r w:rsidR="00E8752B">
              <w:t>d</w:t>
            </w:r>
            <w:r w:rsidR="006911EB">
              <w:t>r</w:t>
            </w:r>
            <w:r w:rsidR="00E8752B">
              <w:t>ību</w:t>
            </w:r>
            <w:r w:rsidRPr="007D3F1B">
              <w:t xml:space="preserve">, kas </w:t>
            </w:r>
            <w:r w:rsidR="008467D6">
              <w:t xml:space="preserve">ir </w:t>
            </w:r>
            <w:r w:rsidRPr="007D3F1B">
              <w:t>sniegušas priekšlikumus un izteikušas komentārus par noteikumu projektu.</w:t>
            </w:r>
          </w:p>
        </w:tc>
      </w:tr>
      <w:tr w:rsidR="00BA0DE8" w:rsidRPr="00BA0DE8" w14:paraId="0BA5FC62" w14:textId="77777777" w:rsidTr="00875222">
        <w:trPr>
          <w:trHeight w:val="279"/>
        </w:trPr>
        <w:tc>
          <w:tcPr>
            <w:tcW w:w="304" w:type="pct"/>
          </w:tcPr>
          <w:p w14:paraId="7CEDE2CB" w14:textId="17AA27A8" w:rsidR="00AC145B" w:rsidRPr="00BA0DE8" w:rsidRDefault="00AC145B" w:rsidP="003037FE">
            <w:pPr>
              <w:jc w:val="both"/>
            </w:pPr>
            <w:r w:rsidRPr="00BA0DE8">
              <w:t>3.</w:t>
            </w:r>
          </w:p>
        </w:tc>
        <w:tc>
          <w:tcPr>
            <w:tcW w:w="1038" w:type="pct"/>
          </w:tcPr>
          <w:p w14:paraId="4D226EB8" w14:textId="77777777" w:rsidR="00AC145B" w:rsidRPr="00BA0DE8" w:rsidRDefault="00AC145B" w:rsidP="003037FE">
            <w:pPr>
              <w:jc w:val="both"/>
            </w:pPr>
            <w:r w:rsidRPr="00BA0DE8">
              <w:t>Sabiedrības līdzdalības rezultāti</w:t>
            </w:r>
          </w:p>
        </w:tc>
        <w:tc>
          <w:tcPr>
            <w:tcW w:w="3658" w:type="pct"/>
          </w:tcPr>
          <w:p w14:paraId="08DFC570" w14:textId="44A3FFE4" w:rsidR="00FC11EF" w:rsidRPr="00BA0DE8" w:rsidRDefault="00C61931" w:rsidP="00FC11EF">
            <w:pPr>
              <w:pStyle w:val="naiskr"/>
              <w:spacing w:before="0" w:beforeAutospacing="0" w:after="0" w:afterAutospacing="0"/>
              <w:jc w:val="both"/>
            </w:pPr>
            <w:r w:rsidRPr="00BA0DE8">
              <w:t xml:space="preserve">Izteiktie komentāri un iebildumi </w:t>
            </w:r>
            <w:r w:rsidR="000A2D0B">
              <w:t xml:space="preserve">ir </w:t>
            </w:r>
            <w:r w:rsidRPr="00BA0DE8">
              <w:t>ņemti vērā, kā arī panākta vienošanās sanāksmē.</w:t>
            </w:r>
          </w:p>
        </w:tc>
      </w:tr>
      <w:tr w:rsidR="005C3223" w:rsidRPr="00BA0DE8" w14:paraId="4FB76134" w14:textId="77777777" w:rsidTr="00875222">
        <w:trPr>
          <w:trHeight w:val="279"/>
        </w:trPr>
        <w:tc>
          <w:tcPr>
            <w:tcW w:w="304" w:type="pct"/>
          </w:tcPr>
          <w:p w14:paraId="79CFF2E5" w14:textId="77777777" w:rsidR="00AC145B" w:rsidRPr="00BA0DE8" w:rsidRDefault="00AC145B" w:rsidP="003037FE">
            <w:pPr>
              <w:jc w:val="both"/>
            </w:pPr>
            <w:r w:rsidRPr="00BA0DE8">
              <w:t>4.</w:t>
            </w:r>
          </w:p>
        </w:tc>
        <w:tc>
          <w:tcPr>
            <w:tcW w:w="1038" w:type="pct"/>
          </w:tcPr>
          <w:p w14:paraId="39A63D58" w14:textId="77777777" w:rsidR="00AC145B" w:rsidRPr="00BA0DE8" w:rsidRDefault="00AC145B" w:rsidP="003037FE">
            <w:pPr>
              <w:jc w:val="both"/>
            </w:pPr>
            <w:r w:rsidRPr="00BA0DE8">
              <w:t>Cita informācija</w:t>
            </w:r>
          </w:p>
        </w:tc>
        <w:tc>
          <w:tcPr>
            <w:tcW w:w="3658" w:type="pct"/>
          </w:tcPr>
          <w:p w14:paraId="398C2014" w14:textId="77777777" w:rsidR="00AC145B" w:rsidRPr="00BA0DE8" w:rsidRDefault="00AC145B" w:rsidP="003037FE">
            <w:pPr>
              <w:jc w:val="both"/>
            </w:pPr>
            <w:r w:rsidRPr="00BA0DE8">
              <w:rPr>
                <w:sz w:val="22"/>
                <w:szCs w:val="22"/>
              </w:rPr>
              <w:t>Nav.</w:t>
            </w:r>
          </w:p>
        </w:tc>
      </w:tr>
    </w:tbl>
    <w:p w14:paraId="4918DBBC" w14:textId="77777777" w:rsidR="00AC145B" w:rsidRPr="00BA0DE8" w:rsidRDefault="00AC145B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54"/>
        <w:gridCol w:w="5368"/>
      </w:tblGrid>
      <w:tr w:rsidR="00BA0DE8" w:rsidRPr="00BA0DE8" w14:paraId="3488C072" w14:textId="77777777" w:rsidTr="00133DFE">
        <w:trPr>
          <w:trHeight w:val="279"/>
        </w:trPr>
        <w:tc>
          <w:tcPr>
            <w:tcW w:w="5000" w:type="pct"/>
            <w:gridSpan w:val="3"/>
          </w:tcPr>
          <w:p w14:paraId="59B29EF3" w14:textId="77777777"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VII. Tiesību akta projekta izpildes nodrošināšana un tās ietekme uz institūcijām</w:t>
            </w:r>
          </w:p>
        </w:tc>
      </w:tr>
      <w:tr w:rsidR="00BA0DE8" w:rsidRPr="00BA0DE8" w14:paraId="5A56D705" w14:textId="77777777" w:rsidTr="00133DFE">
        <w:trPr>
          <w:trHeight w:val="279"/>
        </w:trPr>
        <w:tc>
          <w:tcPr>
            <w:tcW w:w="304" w:type="pct"/>
          </w:tcPr>
          <w:p w14:paraId="7D4BAC07" w14:textId="77777777" w:rsidR="00AC145B" w:rsidRPr="00BA0DE8" w:rsidRDefault="00AC145B" w:rsidP="003037FE">
            <w:pPr>
              <w:jc w:val="both"/>
            </w:pPr>
            <w:r w:rsidRPr="00BA0DE8">
              <w:t>1.</w:t>
            </w:r>
          </w:p>
        </w:tc>
        <w:tc>
          <w:tcPr>
            <w:tcW w:w="1806" w:type="pct"/>
          </w:tcPr>
          <w:p w14:paraId="5B1387D8" w14:textId="77777777" w:rsidR="00AC145B" w:rsidRPr="00BA0DE8" w:rsidRDefault="00AC145B" w:rsidP="003037FE">
            <w:pPr>
              <w:jc w:val="both"/>
            </w:pPr>
            <w:r w:rsidRPr="00BA0DE8">
              <w:t>Projekta izpildē iesaistītās institūcijas</w:t>
            </w:r>
          </w:p>
        </w:tc>
        <w:tc>
          <w:tcPr>
            <w:tcW w:w="2890" w:type="pct"/>
          </w:tcPr>
          <w:p w14:paraId="174F5AB0" w14:textId="308AF9EC" w:rsidR="00AC145B" w:rsidRPr="00BA0DE8" w:rsidRDefault="00AC145B" w:rsidP="00E8752B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 w:rsidRPr="00BA0DE8">
              <w:t xml:space="preserve">Lauku </w:t>
            </w:r>
            <w:r w:rsidR="00E8752B">
              <w:t>atbalsta</w:t>
            </w:r>
            <w:r w:rsidR="007D3F1B" w:rsidRPr="007D3F1B">
              <w:t xml:space="preserve"> dienests</w:t>
            </w:r>
          </w:p>
        </w:tc>
      </w:tr>
      <w:tr w:rsidR="00BA0DE8" w:rsidRPr="00BA0DE8" w14:paraId="02D0D3E6" w14:textId="77777777" w:rsidTr="00133DFE">
        <w:trPr>
          <w:trHeight w:val="279"/>
        </w:trPr>
        <w:tc>
          <w:tcPr>
            <w:tcW w:w="304" w:type="pct"/>
          </w:tcPr>
          <w:p w14:paraId="5083C6CA" w14:textId="77777777" w:rsidR="00AC145B" w:rsidRPr="00BA0DE8" w:rsidRDefault="00AC145B" w:rsidP="003037FE">
            <w:pPr>
              <w:jc w:val="both"/>
            </w:pPr>
            <w:r w:rsidRPr="00BA0DE8">
              <w:t>2.</w:t>
            </w:r>
          </w:p>
        </w:tc>
        <w:tc>
          <w:tcPr>
            <w:tcW w:w="1806" w:type="pct"/>
          </w:tcPr>
          <w:p w14:paraId="6A6E0367" w14:textId="77777777" w:rsidR="00AC145B" w:rsidRPr="00BA0DE8" w:rsidRDefault="00AC145B" w:rsidP="003037FE">
            <w:r w:rsidRPr="00BA0DE8">
              <w:t>Projekta izpildes ietekme uz pārvaldes funkcijām un institucionālo struktūru.</w:t>
            </w:r>
          </w:p>
          <w:p w14:paraId="19858653" w14:textId="77777777" w:rsidR="00AC145B" w:rsidRPr="00BA0DE8" w:rsidRDefault="00AC145B" w:rsidP="003037FE">
            <w:r w:rsidRPr="00BA0DE8">
              <w:t>Jaunu institūciju izveide, esošu institūciju likvidācija vai reorganizācija, to ietekme uz institūcijas cilvēkresursiem</w:t>
            </w:r>
          </w:p>
        </w:tc>
        <w:tc>
          <w:tcPr>
            <w:tcW w:w="2890" w:type="pct"/>
          </w:tcPr>
          <w:p w14:paraId="4695FB27" w14:textId="0406BDB9" w:rsidR="00AC145B" w:rsidRPr="00BA0DE8" w:rsidRDefault="00AC145B" w:rsidP="004F598D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BA0DE8">
              <w:t>Projekts neietekmē pārvaldes funkcijas. Pr</w:t>
            </w:r>
            <w:r w:rsidR="004F598D" w:rsidRPr="00BA0DE8">
              <w:t>ojekta izpildei nav nepieciešama jaunu institūciju izveide, esošo likvidācija vai reorganizācija</w:t>
            </w:r>
            <w:r w:rsidRPr="00BA0DE8">
              <w:t>.</w:t>
            </w:r>
          </w:p>
        </w:tc>
      </w:tr>
      <w:tr w:rsidR="005C3223" w:rsidRPr="00BA0DE8" w14:paraId="44230E0E" w14:textId="77777777" w:rsidTr="00133DFE">
        <w:trPr>
          <w:trHeight w:val="279"/>
        </w:trPr>
        <w:tc>
          <w:tcPr>
            <w:tcW w:w="304" w:type="pct"/>
          </w:tcPr>
          <w:p w14:paraId="205DD208" w14:textId="77777777" w:rsidR="00AC145B" w:rsidRPr="00BA0DE8" w:rsidRDefault="00AC145B" w:rsidP="003037FE">
            <w:pPr>
              <w:jc w:val="both"/>
            </w:pPr>
            <w:r w:rsidRPr="00BA0DE8">
              <w:t>3.</w:t>
            </w:r>
          </w:p>
        </w:tc>
        <w:tc>
          <w:tcPr>
            <w:tcW w:w="1806" w:type="pct"/>
          </w:tcPr>
          <w:p w14:paraId="4A4F4E95" w14:textId="77777777" w:rsidR="00AC145B" w:rsidRPr="00BA0DE8" w:rsidRDefault="00AC145B" w:rsidP="003037FE">
            <w:pPr>
              <w:jc w:val="both"/>
            </w:pPr>
            <w:r w:rsidRPr="00BA0DE8">
              <w:t>Cita informācija</w:t>
            </w:r>
          </w:p>
        </w:tc>
        <w:tc>
          <w:tcPr>
            <w:tcW w:w="2890" w:type="pct"/>
          </w:tcPr>
          <w:p w14:paraId="5F867428" w14:textId="77777777" w:rsidR="00AC145B" w:rsidRPr="00BA0DE8" w:rsidRDefault="00AC145B" w:rsidP="003037FE">
            <w:pPr>
              <w:pStyle w:val="naiskr"/>
              <w:spacing w:before="0" w:after="0"/>
              <w:ind w:left="57" w:right="57"/>
            </w:pPr>
            <w:r w:rsidRPr="00BA0DE8">
              <w:t>Nav.</w:t>
            </w:r>
          </w:p>
        </w:tc>
      </w:tr>
    </w:tbl>
    <w:p w14:paraId="17900B39" w14:textId="7A00E9B2" w:rsidR="00FE3353" w:rsidRDefault="00FE3353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10125252" w14:textId="77777777" w:rsidR="00534D94" w:rsidRPr="00BA0DE8" w:rsidRDefault="00534D94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786974A8" w14:textId="28F36995" w:rsidR="00F37F7E" w:rsidRPr="00BA0DE8" w:rsidRDefault="00F37F7E" w:rsidP="00FE3353">
      <w:pPr>
        <w:pStyle w:val="naisf"/>
        <w:spacing w:before="0" w:beforeAutospacing="0" w:after="0" w:afterAutospacing="0"/>
        <w:rPr>
          <w:szCs w:val="28"/>
        </w:rPr>
      </w:pPr>
      <w:r w:rsidRPr="00BA0DE8">
        <w:rPr>
          <w:szCs w:val="28"/>
        </w:rPr>
        <w:t>Zemkopības ministr</w:t>
      </w:r>
      <w:r w:rsidR="00E01809" w:rsidRPr="00BA0DE8">
        <w:rPr>
          <w:szCs w:val="28"/>
        </w:rPr>
        <w:t>s</w:t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="00E01809" w:rsidRPr="00BA0DE8">
        <w:rPr>
          <w:szCs w:val="28"/>
        </w:rPr>
        <w:tab/>
      </w:r>
      <w:r w:rsidR="00FE3353">
        <w:rPr>
          <w:szCs w:val="28"/>
        </w:rPr>
        <w:tab/>
      </w:r>
      <w:r w:rsidR="00FE3353">
        <w:rPr>
          <w:szCs w:val="28"/>
        </w:rPr>
        <w:tab/>
      </w:r>
      <w:r w:rsidR="00FE3353">
        <w:rPr>
          <w:szCs w:val="28"/>
        </w:rPr>
        <w:tab/>
      </w:r>
      <w:r w:rsidR="00E01809" w:rsidRPr="00BA0DE8">
        <w:rPr>
          <w:szCs w:val="28"/>
        </w:rPr>
        <w:tab/>
        <w:t>J.Dūklavs</w:t>
      </w:r>
    </w:p>
    <w:p w14:paraId="00AD5150" w14:textId="136ABD04" w:rsidR="00652543" w:rsidRDefault="0065254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00E1F256" w14:textId="77777777" w:rsidR="00534D94" w:rsidRDefault="00534D94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4E93C23D" w14:textId="77777777" w:rsidR="00875222" w:rsidRDefault="0087522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3DFDF286" w14:textId="77777777" w:rsidR="00875222" w:rsidRDefault="0087522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524DCF4D" w14:textId="77777777" w:rsidR="00875222" w:rsidRDefault="0087522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0E16A7E6" w14:textId="77777777" w:rsidR="00875222" w:rsidRDefault="0087522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3FD81BE5" w14:textId="77777777" w:rsidR="00875222" w:rsidRDefault="0087522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60B2EEA4" w14:textId="77777777" w:rsidR="00875222" w:rsidRDefault="0087522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4B79EA3C" w14:textId="77777777" w:rsidR="00875222" w:rsidRDefault="0087522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1F1BE5C7" w14:textId="77777777" w:rsidR="00875222" w:rsidRDefault="0087522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1C8CA44F" w14:textId="77777777" w:rsidR="001747C6" w:rsidRDefault="001747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5A882B36" w14:textId="77777777" w:rsidR="001747C6" w:rsidRDefault="001747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34EE9F85" w14:textId="77777777" w:rsidR="001747C6" w:rsidRDefault="001747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0C4ABEF0" w14:textId="77777777" w:rsidR="00875222" w:rsidRDefault="0087522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2A8BC725" w14:textId="77777777" w:rsidR="00875222" w:rsidRDefault="0087522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14:paraId="2B5E7DC3" w14:textId="77777777" w:rsidR="001747C6" w:rsidRDefault="001747C6" w:rsidP="0002029A">
      <w:pPr>
        <w:jc w:val="both"/>
        <w:rPr>
          <w:sz w:val="20"/>
          <w:szCs w:val="20"/>
        </w:rPr>
      </w:pPr>
      <w:r>
        <w:rPr>
          <w:sz w:val="20"/>
          <w:szCs w:val="20"/>
        </w:rPr>
        <w:t>15.06.2016. 16:18</w:t>
      </w:r>
    </w:p>
    <w:p w14:paraId="692CE659" w14:textId="77777777" w:rsidR="001747C6" w:rsidRDefault="001747C6" w:rsidP="0002029A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1277</w:t>
      </w:r>
      <w:r>
        <w:rPr>
          <w:sz w:val="20"/>
          <w:szCs w:val="20"/>
        </w:rPr>
        <w:fldChar w:fldCharType="end"/>
      </w:r>
    </w:p>
    <w:p w14:paraId="575CD833" w14:textId="7A8DDA57" w:rsidR="0002029A" w:rsidRPr="00BA0DE8" w:rsidRDefault="00115738" w:rsidP="0002029A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I</w:t>
      </w:r>
      <w:r w:rsidR="00AD4B66" w:rsidRPr="00BA0DE8">
        <w:rPr>
          <w:sz w:val="20"/>
          <w:szCs w:val="20"/>
        </w:rPr>
        <w:t>.</w:t>
      </w:r>
      <w:r>
        <w:rPr>
          <w:sz w:val="20"/>
          <w:szCs w:val="20"/>
        </w:rPr>
        <w:t>Lavrinoviča</w:t>
      </w:r>
    </w:p>
    <w:p w14:paraId="1FDEFAAD" w14:textId="30C016C5" w:rsidR="0002029A" w:rsidRPr="00BA0DE8" w:rsidRDefault="00AD4B66" w:rsidP="0002029A">
      <w:pPr>
        <w:jc w:val="both"/>
        <w:rPr>
          <w:sz w:val="20"/>
          <w:szCs w:val="20"/>
        </w:rPr>
      </w:pPr>
      <w:r w:rsidRPr="00BA0DE8">
        <w:rPr>
          <w:sz w:val="20"/>
          <w:szCs w:val="20"/>
        </w:rPr>
        <w:t>67027</w:t>
      </w:r>
      <w:r w:rsidR="00115738">
        <w:rPr>
          <w:sz w:val="20"/>
          <w:szCs w:val="20"/>
        </w:rPr>
        <w:t>5</w:t>
      </w:r>
      <w:r w:rsidRPr="00BA0DE8">
        <w:rPr>
          <w:sz w:val="20"/>
          <w:szCs w:val="20"/>
        </w:rPr>
        <w:t>2</w:t>
      </w:r>
      <w:r w:rsidR="00115738">
        <w:rPr>
          <w:sz w:val="20"/>
          <w:szCs w:val="20"/>
        </w:rPr>
        <w:t>8, Ineta</w:t>
      </w:r>
      <w:r w:rsidRPr="00BA0DE8">
        <w:rPr>
          <w:sz w:val="20"/>
          <w:szCs w:val="20"/>
        </w:rPr>
        <w:t>.</w:t>
      </w:r>
      <w:r w:rsidR="00115738">
        <w:rPr>
          <w:sz w:val="20"/>
          <w:szCs w:val="20"/>
        </w:rPr>
        <w:t>Lavrinovic</w:t>
      </w:r>
      <w:r w:rsidRPr="00BA0DE8">
        <w:rPr>
          <w:sz w:val="20"/>
          <w:szCs w:val="20"/>
        </w:rPr>
        <w:t>a</w:t>
      </w:r>
      <w:r w:rsidR="0002029A" w:rsidRPr="00BA0DE8">
        <w:rPr>
          <w:sz w:val="20"/>
          <w:szCs w:val="20"/>
        </w:rPr>
        <w:t>@zm.gov.lv</w:t>
      </w:r>
    </w:p>
    <w:sectPr w:rsidR="0002029A" w:rsidRPr="00BA0DE8" w:rsidSect="0087522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24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94BE3" w14:textId="77777777" w:rsidR="0083361B" w:rsidRDefault="0083361B" w:rsidP="00F37F7E">
      <w:pPr>
        <w:pStyle w:val="naiskr"/>
      </w:pPr>
      <w:r>
        <w:separator/>
      </w:r>
    </w:p>
  </w:endnote>
  <w:endnote w:type="continuationSeparator" w:id="0">
    <w:p w14:paraId="3002E6CC" w14:textId="77777777" w:rsidR="0083361B" w:rsidRDefault="0083361B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1444" w14:textId="556A8FB2" w:rsidR="009434A2" w:rsidRPr="0002029A" w:rsidRDefault="00875222" w:rsidP="0002029A">
    <w:pPr>
      <w:pStyle w:val="Kjene"/>
      <w:jc w:val="both"/>
      <w:rPr>
        <w:sz w:val="20"/>
        <w:szCs w:val="20"/>
      </w:rPr>
    </w:pPr>
    <w:r w:rsidRPr="00875222">
      <w:rPr>
        <w:sz w:val="20"/>
        <w:szCs w:val="20"/>
      </w:rPr>
      <w:t>ZMAnot_</w:t>
    </w:r>
    <w:r w:rsidR="003002EE">
      <w:rPr>
        <w:sz w:val="20"/>
        <w:szCs w:val="20"/>
      </w:rPr>
      <w:t>15</w:t>
    </w:r>
    <w:r w:rsidRPr="00875222">
      <w:rPr>
        <w:sz w:val="20"/>
        <w:szCs w:val="20"/>
      </w:rPr>
      <w:t>0</w:t>
    </w:r>
    <w:r w:rsidR="00107B96">
      <w:rPr>
        <w:sz w:val="20"/>
        <w:szCs w:val="20"/>
      </w:rPr>
      <w:t>6</w:t>
    </w:r>
    <w:r w:rsidRPr="00875222">
      <w:rPr>
        <w:sz w:val="20"/>
        <w:szCs w:val="20"/>
      </w:rPr>
      <w:t>16_esatbbiskop</w:t>
    </w:r>
    <w:r w:rsidR="004C6CFB" w:rsidRPr="004C6CFB">
      <w:rPr>
        <w:sz w:val="20"/>
      </w:rPr>
      <w:t xml:space="preserve">; </w:t>
    </w:r>
    <w:r w:rsidR="004C6CFB" w:rsidRPr="004C6CFB">
      <w:rPr>
        <w:sz w:val="18"/>
        <w:szCs w:val="18"/>
      </w:rPr>
      <w:t>Ministru kabineta noteikumu projekts “Grozījumi Ministru kabineta 2012. gada 7. februāra noteikumos Nr.99 „Noteikumi par valsts un Eiropas Savienības atbalsta piešķiršanu biškopībai, tā administrēšanas un uzraudzības kārtību””</w:t>
    </w:r>
    <w:r w:rsidR="006F682B" w:rsidRPr="006F682B">
      <w:rPr>
        <w:sz w:val="20"/>
        <w:szCs w:val="20"/>
      </w:rPr>
      <w:t xml:space="preserve"> </w:t>
    </w:r>
    <w:r w:rsidR="008353DA" w:rsidRPr="008353DA">
      <w:rPr>
        <w:sz w:val="20"/>
        <w:szCs w:val="20"/>
      </w:rPr>
      <w:t>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D06B3" w14:textId="7417911A" w:rsidR="001D3AC6" w:rsidRPr="00875222" w:rsidRDefault="00875222" w:rsidP="00875222">
    <w:pPr>
      <w:pStyle w:val="Kjene"/>
      <w:jc w:val="both"/>
      <w:rPr>
        <w:sz w:val="20"/>
        <w:szCs w:val="20"/>
      </w:rPr>
    </w:pPr>
    <w:r w:rsidRPr="00875222">
      <w:rPr>
        <w:sz w:val="20"/>
        <w:szCs w:val="20"/>
      </w:rPr>
      <w:t>ZMAnot_</w:t>
    </w:r>
    <w:r w:rsidR="003002EE">
      <w:rPr>
        <w:sz w:val="20"/>
        <w:szCs w:val="20"/>
      </w:rPr>
      <w:t>15</w:t>
    </w:r>
    <w:r w:rsidRPr="00875222">
      <w:rPr>
        <w:sz w:val="20"/>
        <w:szCs w:val="20"/>
      </w:rPr>
      <w:t>0</w:t>
    </w:r>
    <w:r w:rsidR="00107B96">
      <w:rPr>
        <w:sz w:val="20"/>
        <w:szCs w:val="20"/>
      </w:rPr>
      <w:t>6</w:t>
    </w:r>
    <w:r w:rsidRPr="00875222">
      <w:rPr>
        <w:sz w:val="20"/>
        <w:szCs w:val="20"/>
      </w:rPr>
      <w:t>16_esatbbiskop</w:t>
    </w:r>
    <w:r w:rsidRPr="004C6CFB">
      <w:rPr>
        <w:sz w:val="20"/>
      </w:rPr>
      <w:t xml:space="preserve">; </w:t>
    </w:r>
    <w:r w:rsidRPr="004C6CFB">
      <w:rPr>
        <w:sz w:val="18"/>
        <w:szCs w:val="18"/>
      </w:rPr>
      <w:t>Ministru kabineta noteikumu projekts “Grozījumi Ministru kabineta 2012. gada 7. februāra noteikumos Nr.99 „Noteikumi par valsts un Eiropas Savienības atbalsta piešķiršanu biškopībai, tā administrēšanas un uzraudzības kārtību””</w:t>
    </w:r>
    <w:r w:rsidRPr="006F682B">
      <w:rPr>
        <w:sz w:val="20"/>
        <w:szCs w:val="20"/>
      </w:rPr>
      <w:t xml:space="preserve"> </w:t>
    </w:r>
    <w:r w:rsidRPr="008353DA">
      <w:rPr>
        <w:sz w:val="20"/>
        <w:szCs w:val="20"/>
      </w:rPr>
      <w:t>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C296C" w14:textId="77777777" w:rsidR="0083361B" w:rsidRDefault="0083361B" w:rsidP="00F37F7E">
      <w:pPr>
        <w:pStyle w:val="naiskr"/>
      </w:pPr>
      <w:r>
        <w:separator/>
      </w:r>
    </w:p>
  </w:footnote>
  <w:footnote w:type="continuationSeparator" w:id="0">
    <w:p w14:paraId="099C6C55" w14:textId="77777777" w:rsidR="0083361B" w:rsidRDefault="0083361B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6792" w14:textId="77777777" w:rsidR="009434A2" w:rsidRDefault="00BF7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5FF177E" w14:textId="77777777" w:rsidR="009434A2" w:rsidRDefault="009434A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FC87" w14:textId="4772F35B" w:rsidR="009434A2" w:rsidRDefault="00BF7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747C6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24F79A11" w14:textId="77777777" w:rsidR="009434A2" w:rsidRDefault="009434A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7E"/>
    <w:rsid w:val="000004CF"/>
    <w:rsid w:val="00002015"/>
    <w:rsid w:val="000033B2"/>
    <w:rsid w:val="00015974"/>
    <w:rsid w:val="000160EE"/>
    <w:rsid w:val="00016263"/>
    <w:rsid w:val="00017851"/>
    <w:rsid w:val="0002029A"/>
    <w:rsid w:val="000242CD"/>
    <w:rsid w:val="00024B0B"/>
    <w:rsid w:val="000273EA"/>
    <w:rsid w:val="000319E9"/>
    <w:rsid w:val="00036F25"/>
    <w:rsid w:val="000378F3"/>
    <w:rsid w:val="00037F77"/>
    <w:rsid w:val="00041376"/>
    <w:rsid w:val="00043064"/>
    <w:rsid w:val="000445E1"/>
    <w:rsid w:val="000500AE"/>
    <w:rsid w:val="00051187"/>
    <w:rsid w:val="00054F83"/>
    <w:rsid w:val="00055CF3"/>
    <w:rsid w:val="00056F5F"/>
    <w:rsid w:val="00062C3F"/>
    <w:rsid w:val="00065E62"/>
    <w:rsid w:val="00067716"/>
    <w:rsid w:val="00067A11"/>
    <w:rsid w:val="00070FEB"/>
    <w:rsid w:val="000713AA"/>
    <w:rsid w:val="00074178"/>
    <w:rsid w:val="00076708"/>
    <w:rsid w:val="000813CF"/>
    <w:rsid w:val="00082CCF"/>
    <w:rsid w:val="00084040"/>
    <w:rsid w:val="0008641C"/>
    <w:rsid w:val="00093DC3"/>
    <w:rsid w:val="00094946"/>
    <w:rsid w:val="000956B0"/>
    <w:rsid w:val="000957DB"/>
    <w:rsid w:val="00097898"/>
    <w:rsid w:val="000A230B"/>
    <w:rsid w:val="000A2D0B"/>
    <w:rsid w:val="000A6D6F"/>
    <w:rsid w:val="000B2338"/>
    <w:rsid w:val="000B43C3"/>
    <w:rsid w:val="000C1F1C"/>
    <w:rsid w:val="000C4826"/>
    <w:rsid w:val="000C5BCC"/>
    <w:rsid w:val="000C5E19"/>
    <w:rsid w:val="000C6049"/>
    <w:rsid w:val="000C711D"/>
    <w:rsid w:val="000D5249"/>
    <w:rsid w:val="000D6A4F"/>
    <w:rsid w:val="000D7729"/>
    <w:rsid w:val="000D7FA2"/>
    <w:rsid w:val="000E10EC"/>
    <w:rsid w:val="000E674D"/>
    <w:rsid w:val="000F328E"/>
    <w:rsid w:val="000F3449"/>
    <w:rsid w:val="000F4B00"/>
    <w:rsid w:val="000F4ED4"/>
    <w:rsid w:val="000F4F14"/>
    <w:rsid w:val="000F52FD"/>
    <w:rsid w:val="000F7CF9"/>
    <w:rsid w:val="00100684"/>
    <w:rsid w:val="0010345D"/>
    <w:rsid w:val="001039CA"/>
    <w:rsid w:val="00104613"/>
    <w:rsid w:val="00107B96"/>
    <w:rsid w:val="00111DC0"/>
    <w:rsid w:val="00112881"/>
    <w:rsid w:val="00112DF5"/>
    <w:rsid w:val="0011504A"/>
    <w:rsid w:val="00115738"/>
    <w:rsid w:val="0011697F"/>
    <w:rsid w:val="001175F8"/>
    <w:rsid w:val="00120208"/>
    <w:rsid w:val="0012150C"/>
    <w:rsid w:val="00124ACB"/>
    <w:rsid w:val="00124D04"/>
    <w:rsid w:val="00126A8D"/>
    <w:rsid w:val="00127E82"/>
    <w:rsid w:val="001321D5"/>
    <w:rsid w:val="00133DFE"/>
    <w:rsid w:val="00134BEB"/>
    <w:rsid w:val="00135F2B"/>
    <w:rsid w:val="00143954"/>
    <w:rsid w:val="00143CB1"/>
    <w:rsid w:val="00145E1F"/>
    <w:rsid w:val="00147420"/>
    <w:rsid w:val="001500A4"/>
    <w:rsid w:val="00152B50"/>
    <w:rsid w:val="00153834"/>
    <w:rsid w:val="00154FA1"/>
    <w:rsid w:val="00155DDA"/>
    <w:rsid w:val="001611DB"/>
    <w:rsid w:val="00162BA4"/>
    <w:rsid w:val="001643D1"/>
    <w:rsid w:val="001716C9"/>
    <w:rsid w:val="00172BC0"/>
    <w:rsid w:val="00173F77"/>
    <w:rsid w:val="001747C6"/>
    <w:rsid w:val="001748D2"/>
    <w:rsid w:val="00174BD8"/>
    <w:rsid w:val="001814E3"/>
    <w:rsid w:val="00181867"/>
    <w:rsid w:val="00185A1F"/>
    <w:rsid w:val="00186CB1"/>
    <w:rsid w:val="001876CE"/>
    <w:rsid w:val="00187944"/>
    <w:rsid w:val="00191CC1"/>
    <w:rsid w:val="001928BE"/>
    <w:rsid w:val="00193A34"/>
    <w:rsid w:val="00193C93"/>
    <w:rsid w:val="00193E2C"/>
    <w:rsid w:val="001A1C90"/>
    <w:rsid w:val="001A284C"/>
    <w:rsid w:val="001A4030"/>
    <w:rsid w:val="001A7D16"/>
    <w:rsid w:val="001B2F34"/>
    <w:rsid w:val="001B37EC"/>
    <w:rsid w:val="001B6383"/>
    <w:rsid w:val="001B644E"/>
    <w:rsid w:val="001C0BDB"/>
    <w:rsid w:val="001C3321"/>
    <w:rsid w:val="001C600D"/>
    <w:rsid w:val="001D3AC6"/>
    <w:rsid w:val="001E0876"/>
    <w:rsid w:val="001E1059"/>
    <w:rsid w:val="001E133E"/>
    <w:rsid w:val="001E2B2F"/>
    <w:rsid w:val="001E4DEC"/>
    <w:rsid w:val="001E68D0"/>
    <w:rsid w:val="001E6C66"/>
    <w:rsid w:val="001E71C9"/>
    <w:rsid w:val="001F4496"/>
    <w:rsid w:val="001F6C40"/>
    <w:rsid w:val="001F6EB8"/>
    <w:rsid w:val="001F728C"/>
    <w:rsid w:val="001F78D3"/>
    <w:rsid w:val="001F79D3"/>
    <w:rsid w:val="001F7BC2"/>
    <w:rsid w:val="002041F1"/>
    <w:rsid w:val="0020444A"/>
    <w:rsid w:val="002100B3"/>
    <w:rsid w:val="0021150A"/>
    <w:rsid w:val="002124B5"/>
    <w:rsid w:val="00214D08"/>
    <w:rsid w:val="00220950"/>
    <w:rsid w:val="0022456A"/>
    <w:rsid w:val="00227F59"/>
    <w:rsid w:val="002305A0"/>
    <w:rsid w:val="00236D65"/>
    <w:rsid w:val="00237909"/>
    <w:rsid w:val="0024124A"/>
    <w:rsid w:val="00243354"/>
    <w:rsid w:val="00243D1D"/>
    <w:rsid w:val="002508FA"/>
    <w:rsid w:val="002513DF"/>
    <w:rsid w:val="00252057"/>
    <w:rsid w:val="00255D43"/>
    <w:rsid w:val="00256B83"/>
    <w:rsid w:val="00257B87"/>
    <w:rsid w:val="00260221"/>
    <w:rsid w:val="002606DD"/>
    <w:rsid w:val="0026422C"/>
    <w:rsid w:val="00264CFE"/>
    <w:rsid w:val="00266247"/>
    <w:rsid w:val="00266734"/>
    <w:rsid w:val="00275DE4"/>
    <w:rsid w:val="00277535"/>
    <w:rsid w:val="00277C39"/>
    <w:rsid w:val="00284E0B"/>
    <w:rsid w:val="00286B98"/>
    <w:rsid w:val="00286BE2"/>
    <w:rsid w:val="0028720C"/>
    <w:rsid w:val="0028776A"/>
    <w:rsid w:val="0029395E"/>
    <w:rsid w:val="002A69AC"/>
    <w:rsid w:val="002A7C64"/>
    <w:rsid w:val="002B092E"/>
    <w:rsid w:val="002B13BA"/>
    <w:rsid w:val="002B1522"/>
    <w:rsid w:val="002B325F"/>
    <w:rsid w:val="002B436C"/>
    <w:rsid w:val="002B4887"/>
    <w:rsid w:val="002B5354"/>
    <w:rsid w:val="002B6683"/>
    <w:rsid w:val="002B79C3"/>
    <w:rsid w:val="002C0A7C"/>
    <w:rsid w:val="002C2186"/>
    <w:rsid w:val="002C5FF8"/>
    <w:rsid w:val="002C60C7"/>
    <w:rsid w:val="002D0EFF"/>
    <w:rsid w:val="002D3117"/>
    <w:rsid w:val="002D429F"/>
    <w:rsid w:val="002D50B7"/>
    <w:rsid w:val="002D7F11"/>
    <w:rsid w:val="002E15E4"/>
    <w:rsid w:val="002E6873"/>
    <w:rsid w:val="002E69C0"/>
    <w:rsid w:val="002F2D08"/>
    <w:rsid w:val="002F38DB"/>
    <w:rsid w:val="002F6A27"/>
    <w:rsid w:val="002F739C"/>
    <w:rsid w:val="003002EE"/>
    <w:rsid w:val="00301471"/>
    <w:rsid w:val="0030353C"/>
    <w:rsid w:val="003037FE"/>
    <w:rsid w:val="00305E1D"/>
    <w:rsid w:val="003063C7"/>
    <w:rsid w:val="00307B77"/>
    <w:rsid w:val="00307B7F"/>
    <w:rsid w:val="00313B3C"/>
    <w:rsid w:val="003157FC"/>
    <w:rsid w:val="003172F7"/>
    <w:rsid w:val="0032112A"/>
    <w:rsid w:val="00323329"/>
    <w:rsid w:val="003242DE"/>
    <w:rsid w:val="003257A4"/>
    <w:rsid w:val="00325A33"/>
    <w:rsid w:val="003274E7"/>
    <w:rsid w:val="0033095C"/>
    <w:rsid w:val="00331279"/>
    <w:rsid w:val="00342823"/>
    <w:rsid w:val="00343E26"/>
    <w:rsid w:val="00347B64"/>
    <w:rsid w:val="00350004"/>
    <w:rsid w:val="00351991"/>
    <w:rsid w:val="00354D7D"/>
    <w:rsid w:val="00355020"/>
    <w:rsid w:val="00355D4F"/>
    <w:rsid w:val="003561E6"/>
    <w:rsid w:val="00360A74"/>
    <w:rsid w:val="00360B91"/>
    <w:rsid w:val="003610A7"/>
    <w:rsid w:val="00362A82"/>
    <w:rsid w:val="00363DF8"/>
    <w:rsid w:val="00370A38"/>
    <w:rsid w:val="00371A65"/>
    <w:rsid w:val="00374754"/>
    <w:rsid w:val="003752C7"/>
    <w:rsid w:val="00380832"/>
    <w:rsid w:val="003831C3"/>
    <w:rsid w:val="00384D74"/>
    <w:rsid w:val="00390D29"/>
    <w:rsid w:val="00391F7B"/>
    <w:rsid w:val="00393207"/>
    <w:rsid w:val="0039375D"/>
    <w:rsid w:val="003937EE"/>
    <w:rsid w:val="00393E4A"/>
    <w:rsid w:val="00393F06"/>
    <w:rsid w:val="0039523C"/>
    <w:rsid w:val="003A1B2D"/>
    <w:rsid w:val="003A4096"/>
    <w:rsid w:val="003A5061"/>
    <w:rsid w:val="003B2B59"/>
    <w:rsid w:val="003B585F"/>
    <w:rsid w:val="003B7A18"/>
    <w:rsid w:val="003C1680"/>
    <w:rsid w:val="003C257A"/>
    <w:rsid w:val="003C2A47"/>
    <w:rsid w:val="003C3622"/>
    <w:rsid w:val="003C6AD2"/>
    <w:rsid w:val="003C7411"/>
    <w:rsid w:val="003D279C"/>
    <w:rsid w:val="003D3A27"/>
    <w:rsid w:val="003D4E3F"/>
    <w:rsid w:val="003D701C"/>
    <w:rsid w:val="003E413C"/>
    <w:rsid w:val="003E4150"/>
    <w:rsid w:val="003F001C"/>
    <w:rsid w:val="003F4081"/>
    <w:rsid w:val="003F470A"/>
    <w:rsid w:val="003F753E"/>
    <w:rsid w:val="00400503"/>
    <w:rsid w:val="004017C9"/>
    <w:rsid w:val="00403858"/>
    <w:rsid w:val="004055F9"/>
    <w:rsid w:val="00405D73"/>
    <w:rsid w:val="00406B8C"/>
    <w:rsid w:val="004121C8"/>
    <w:rsid w:val="00412D91"/>
    <w:rsid w:val="00412F9C"/>
    <w:rsid w:val="0041357D"/>
    <w:rsid w:val="00414B20"/>
    <w:rsid w:val="00415631"/>
    <w:rsid w:val="00415B80"/>
    <w:rsid w:val="00417A1B"/>
    <w:rsid w:val="00420843"/>
    <w:rsid w:val="00421391"/>
    <w:rsid w:val="00422AF6"/>
    <w:rsid w:val="00425E4D"/>
    <w:rsid w:val="0043328A"/>
    <w:rsid w:val="00433DA8"/>
    <w:rsid w:val="004341FD"/>
    <w:rsid w:val="004357CE"/>
    <w:rsid w:val="00441E23"/>
    <w:rsid w:val="00444A7D"/>
    <w:rsid w:val="004464F7"/>
    <w:rsid w:val="0044738A"/>
    <w:rsid w:val="00447764"/>
    <w:rsid w:val="004511D3"/>
    <w:rsid w:val="004547A9"/>
    <w:rsid w:val="00454D15"/>
    <w:rsid w:val="0045719F"/>
    <w:rsid w:val="00461E4A"/>
    <w:rsid w:val="00462078"/>
    <w:rsid w:val="004632CD"/>
    <w:rsid w:val="004639C0"/>
    <w:rsid w:val="00465A58"/>
    <w:rsid w:val="004662B4"/>
    <w:rsid w:val="00466CF9"/>
    <w:rsid w:val="004679FF"/>
    <w:rsid w:val="00467C61"/>
    <w:rsid w:val="004708A3"/>
    <w:rsid w:val="0047491E"/>
    <w:rsid w:val="00474A6C"/>
    <w:rsid w:val="00475A64"/>
    <w:rsid w:val="00480EF1"/>
    <w:rsid w:val="00482A25"/>
    <w:rsid w:val="00487A8F"/>
    <w:rsid w:val="004940AF"/>
    <w:rsid w:val="00495127"/>
    <w:rsid w:val="00495A25"/>
    <w:rsid w:val="004966B8"/>
    <w:rsid w:val="00496959"/>
    <w:rsid w:val="004A0EAB"/>
    <w:rsid w:val="004A6C18"/>
    <w:rsid w:val="004A708B"/>
    <w:rsid w:val="004B0271"/>
    <w:rsid w:val="004B28A8"/>
    <w:rsid w:val="004B5C4E"/>
    <w:rsid w:val="004C0ED0"/>
    <w:rsid w:val="004C4BC8"/>
    <w:rsid w:val="004C6CFB"/>
    <w:rsid w:val="004C7055"/>
    <w:rsid w:val="004C7C32"/>
    <w:rsid w:val="004D0E77"/>
    <w:rsid w:val="004D40ED"/>
    <w:rsid w:val="004D4F42"/>
    <w:rsid w:val="004D579E"/>
    <w:rsid w:val="004D64BE"/>
    <w:rsid w:val="004E1569"/>
    <w:rsid w:val="004E15D1"/>
    <w:rsid w:val="004E3F6C"/>
    <w:rsid w:val="004F2E8D"/>
    <w:rsid w:val="004F598D"/>
    <w:rsid w:val="004F7B57"/>
    <w:rsid w:val="00513790"/>
    <w:rsid w:val="00514AED"/>
    <w:rsid w:val="00516F18"/>
    <w:rsid w:val="00521C34"/>
    <w:rsid w:val="005229C2"/>
    <w:rsid w:val="005251F3"/>
    <w:rsid w:val="00533941"/>
    <w:rsid w:val="00534D94"/>
    <w:rsid w:val="00536003"/>
    <w:rsid w:val="00537386"/>
    <w:rsid w:val="005376CA"/>
    <w:rsid w:val="0054083D"/>
    <w:rsid w:val="0054677F"/>
    <w:rsid w:val="005545C2"/>
    <w:rsid w:val="00556D60"/>
    <w:rsid w:val="0056210B"/>
    <w:rsid w:val="00563A77"/>
    <w:rsid w:val="005660EB"/>
    <w:rsid w:val="005705D4"/>
    <w:rsid w:val="0057117B"/>
    <w:rsid w:val="0057147C"/>
    <w:rsid w:val="00572009"/>
    <w:rsid w:val="0057499C"/>
    <w:rsid w:val="00580AE7"/>
    <w:rsid w:val="005827E6"/>
    <w:rsid w:val="00583239"/>
    <w:rsid w:val="00584D39"/>
    <w:rsid w:val="00590F7E"/>
    <w:rsid w:val="00591E61"/>
    <w:rsid w:val="00592C54"/>
    <w:rsid w:val="005940F9"/>
    <w:rsid w:val="0059419D"/>
    <w:rsid w:val="005956D2"/>
    <w:rsid w:val="00595851"/>
    <w:rsid w:val="00596043"/>
    <w:rsid w:val="005A35AB"/>
    <w:rsid w:val="005A5CF6"/>
    <w:rsid w:val="005A6772"/>
    <w:rsid w:val="005A76A3"/>
    <w:rsid w:val="005A771C"/>
    <w:rsid w:val="005C045F"/>
    <w:rsid w:val="005C17A2"/>
    <w:rsid w:val="005C2316"/>
    <w:rsid w:val="005C3223"/>
    <w:rsid w:val="005C37B4"/>
    <w:rsid w:val="005D00FC"/>
    <w:rsid w:val="005D0F57"/>
    <w:rsid w:val="005D16B1"/>
    <w:rsid w:val="005D3D68"/>
    <w:rsid w:val="005D782F"/>
    <w:rsid w:val="005E52B6"/>
    <w:rsid w:val="005F28C6"/>
    <w:rsid w:val="005F2B72"/>
    <w:rsid w:val="005F49F6"/>
    <w:rsid w:val="00601219"/>
    <w:rsid w:val="00603A97"/>
    <w:rsid w:val="006056ED"/>
    <w:rsid w:val="0060636F"/>
    <w:rsid w:val="0060673F"/>
    <w:rsid w:val="00606F24"/>
    <w:rsid w:val="0060708E"/>
    <w:rsid w:val="0060719D"/>
    <w:rsid w:val="0061217E"/>
    <w:rsid w:val="00612ED0"/>
    <w:rsid w:val="00615784"/>
    <w:rsid w:val="00620D0D"/>
    <w:rsid w:val="00620DC4"/>
    <w:rsid w:val="00624D48"/>
    <w:rsid w:val="006257A6"/>
    <w:rsid w:val="006266E3"/>
    <w:rsid w:val="006313A4"/>
    <w:rsid w:val="006368D6"/>
    <w:rsid w:val="00640AA9"/>
    <w:rsid w:val="00643797"/>
    <w:rsid w:val="0065138F"/>
    <w:rsid w:val="00652105"/>
    <w:rsid w:val="00652543"/>
    <w:rsid w:val="006534BB"/>
    <w:rsid w:val="00654CED"/>
    <w:rsid w:val="00656C9A"/>
    <w:rsid w:val="006602BB"/>
    <w:rsid w:val="006606B7"/>
    <w:rsid w:val="00664A54"/>
    <w:rsid w:val="00665362"/>
    <w:rsid w:val="006663BB"/>
    <w:rsid w:val="0066773A"/>
    <w:rsid w:val="00667A13"/>
    <w:rsid w:val="006714C5"/>
    <w:rsid w:val="0067366E"/>
    <w:rsid w:val="006748CD"/>
    <w:rsid w:val="00675CCE"/>
    <w:rsid w:val="006760F2"/>
    <w:rsid w:val="0068169C"/>
    <w:rsid w:val="006820E7"/>
    <w:rsid w:val="00685243"/>
    <w:rsid w:val="006867F0"/>
    <w:rsid w:val="00687397"/>
    <w:rsid w:val="00690F8C"/>
    <w:rsid w:val="006911EB"/>
    <w:rsid w:val="00697AF8"/>
    <w:rsid w:val="006A18BF"/>
    <w:rsid w:val="006A344D"/>
    <w:rsid w:val="006B07C9"/>
    <w:rsid w:val="006B33B5"/>
    <w:rsid w:val="006C176A"/>
    <w:rsid w:val="006C17D2"/>
    <w:rsid w:val="006C3152"/>
    <w:rsid w:val="006D1130"/>
    <w:rsid w:val="006D1959"/>
    <w:rsid w:val="006D35E7"/>
    <w:rsid w:val="006E0B73"/>
    <w:rsid w:val="006E0C24"/>
    <w:rsid w:val="006E52B6"/>
    <w:rsid w:val="006E65F9"/>
    <w:rsid w:val="006F122E"/>
    <w:rsid w:val="006F2E6E"/>
    <w:rsid w:val="006F5FE2"/>
    <w:rsid w:val="006F682B"/>
    <w:rsid w:val="006F69AA"/>
    <w:rsid w:val="007018E2"/>
    <w:rsid w:val="00702355"/>
    <w:rsid w:val="007028B5"/>
    <w:rsid w:val="00704C52"/>
    <w:rsid w:val="00705B6F"/>
    <w:rsid w:val="00707AB8"/>
    <w:rsid w:val="00707B6F"/>
    <w:rsid w:val="0071167F"/>
    <w:rsid w:val="0071337A"/>
    <w:rsid w:val="00713450"/>
    <w:rsid w:val="00713A7C"/>
    <w:rsid w:val="00717226"/>
    <w:rsid w:val="0071757F"/>
    <w:rsid w:val="00717734"/>
    <w:rsid w:val="00717F6E"/>
    <w:rsid w:val="00720F8D"/>
    <w:rsid w:val="00721B97"/>
    <w:rsid w:val="00721E49"/>
    <w:rsid w:val="00725FCD"/>
    <w:rsid w:val="00727844"/>
    <w:rsid w:val="007300EF"/>
    <w:rsid w:val="00733095"/>
    <w:rsid w:val="00736175"/>
    <w:rsid w:val="00736458"/>
    <w:rsid w:val="00736CD7"/>
    <w:rsid w:val="00740C83"/>
    <w:rsid w:val="00743D38"/>
    <w:rsid w:val="0074447B"/>
    <w:rsid w:val="00745821"/>
    <w:rsid w:val="00746954"/>
    <w:rsid w:val="0074755A"/>
    <w:rsid w:val="007523AC"/>
    <w:rsid w:val="00753382"/>
    <w:rsid w:val="00753DED"/>
    <w:rsid w:val="007546F1"/>
    <w:rsid w:val="00756BC2"/>
    <w:rsid w:val="00757876"/>
    <w:rsid w:val="00760085"/>
    <w:rsid w:val="00762EFD"/>
    <w:rsid w:val="00762F9E"/>
    <w:rsid w:val="00765966"/>
    <w:rsid w:val="00771FAC"/>
    <w:rsid w:val="0077256F"/>
    <w:rsid w:val="00773DA1"/>
    <w:rsid w:val="00776413"/>
    <w:rsid w:val="00776B2C"/>
    <w:rsid w:val="00781A15"/>
    <w:rsid w:val="00786F82"/>
    <w:rsid w:val="00791D65"/>
    <w:rsid w:val="00791E9E"/>
    <w:rsid w:val="0079264F"/>
    <w:rsid w:val="007926A0"/>
    <w:rsid w:val="0079282B"/>
    <w:rsid w:val="00793143"/>
    <w:rsid w:val="00794BF1"/>
    <w:rsid w:val="007A180B"/>
    <w:rsid w:val="007A71A2"/>
    <w:rsid w:val="007B2B19"/>
    <w:rsid w:val="007B2E09"/>
    <w:rsid w:val="007B3774"/>
    <w:rsid w:val="007B45D1"/>
    <w:rsid w:val="007B579E"/>
    <w:rsid w:val="007B5EE0"/>
    <w:rsid w:val="007B603D"/>
    <w:rsid w:val="007B7B96"/>
    <w:rsid w:val="007B7D15"/>
    <w:rsid w:val="007C1074"/>
    <w:rsid w:val="007C3EDD"/>
    <w:rsid w:val="007C4473"/>
    <w:rsid w:val="007C53CE"/>
    <w:rsid w:val="007C68DE"/>
    <w:rsid w:val="007C72EA"/>
    <w:rsid w:val="007D3F1B"/>
    <w:rsid w:val="007D44A6"/>
    <w:rsid w:val="007D4B81"/>
    <w:rsid w:val="007E19B0"/>
    <w:rsid w:val="007E2460"/>
    <w:rsid w:val="007E7FB5"/>
    <w:rsid w:val="007F0FA8"/>
    <w:rsid w:val="007F1BBB"/>
    <w:rsid w:val="007F4ED1"/>
    <w:rsid w:val="008015DA"/>
    <w:rsid w:val="00805705"/>
    <w:rsid w:val="00806EBD"/>
    <w:rsid w:val="00811225"/>
    <w:rsid w:val="008145F9"/>
    <w:rsid w:val="00817A87"/>
    <w:rsid w:val="00820FE9"/>
    <w:rsid w:val="00821E5D"/>
    <w:rsid w:val="00823E27"/>
    <w:rsid w:val="00823EDE"/>
    <w:rsid w:val="00824538"/>
    <w:rsid w:val="0082460D"/>
    <w:rsid w:val="00825572"/>
    <w:rsid w:val="0083086E"/>
    <w:rsid w:val="00830AFB"/>
    <w:rsid w:val="0083361B"/>
    <w:rsid w:val="008339D3"/>
    <w:rsid w:val="00834142"/>
    <w:rsid w:val="008353DA"/>
    <w:rsid w:val="008364B2"/>
    <w:rsid w:val="008370B1"/>
    <w:rsid w:val="008416D9"/>
    <w:rsid w:val="00843508"/>
    <w:rsid w:val="00845907"/>
    <w:rsid w:val="00845BDC"/>
    <w:rsid w:val="008467D6"/>
    <w:rsid w:val="0084701F"/>
    <w:rsid w:val="008471F4"/>
    <w:rsid w:val="00852C45"/>
    <w:rsid w:val="00853192"/>
    <w:rsid w:val="008561EF"/>
    <w:rsid w:val="00861D12"/>
    <w:rsid w:val="00863976"/>
    <w:rsid w:val="00865B57"/>
    <w:rsid w:val="008669BC"/>
    <w:rsid w:val="00870567"/>
    <w:rsid w:val="00870824"/>
    <w:rsid w:val="00872C23"/>
    <w:rsid w:val="008740F9"/>
    <w:rsid w:val="00875222"/>
    <w:rsid w:val="008763E4"/>
    <w:rsid w:val="00880EF6"/>
    <w:rsid w:val="00881878"/>
    <w:rsid w:val="0088329E"/>
    <w:rsid w:val="00884A8B"/>
    <w:rsid w:val="00887B5B"/>
    <w:rsid w:val="00887D2F"/>
    <w:rsid w:val="008907B2"/>
    <w:rsid w:val="00891CE4"/>
    <w:rsid w:val="00894BA2"/>
    <w:rsid w:val="00895763"/>
    <w:rsid w:val="00896048"/>
    <w:rsid w:val="008A088C"/>
    <w:rsid w:val="008A08A9"/>
    <w:rsid w:val="008A1143"/>
    <w:rsid w:val="008A5E04"/>
    <w:rsid w:val="008A6594"/>
    <w:rsid w:val="008A6921"/>
    <w:rsid w:val="008A7D5D"/>
    <w:rsid w:val="008B00E7"/>
    <w:rsid w:val="008B094F"/>
    <w:rsid w:val="008B2198"/>
    <w:rsid w:val="008B43A5"/>
    <w:rsid w:val="008B5C1A"/>
    <w:rsid w:val="008B63FA"/>
    <w:rsid w:val="008B73A5"/>
    <w:rsid w:val="008C3213"/>
    <w:rsid w:val="008C3EBB"/>
    <w:rsid w:val="008C65C8"/>
    <w:rsid w:val="008D0074"/>
    <w:rsid w:val="008D23D3"/>
    <w:rsid w:val="008D2811"/>
    <w:rsid w:val="008D3BCB"/>
    <w:rsid w:val="008E0686"/>
    <w:rsid w:val="008E33DE"/>
    <w:rsid w:val="008E3636"/>
    <w:rsid w:val="008E4ABE"/>
    <w:rsid w:val="008E4D95"/>
    <w:rsid w:val="008F28C0"/>
    <w:rsid w:val="008F343B"/>
    <w:rsid w:val="008F7874"/>
    <w:rsid w:val="00900BC9"/>
    <w:rsid w:val="00905332"/>
    <w:rsid w:val="0091351B"/>
    <w:rsid w:val="00915FF3"/>
    <w:rsid w:val="00916CBE"/>
    <w:rsid w:val="00923C24"/>
    <w:rsid w:val="00927D6E"/>
    <w:rsid w:val="00930EA9"/>
    <w:rsid w:val="00934693"/>
    <w:rsid w:val="00940B60"/>
    <w:rsid w:val="009434A2"/>
    <w:rsid w:val="00945674"/>
    <w:rsid w:val="009457DD"/>
    <w:rsid w:val="00945C0F"/>
    <w:rsid w:val="009507A3"/>
    <w:rsid w:val="009527B3"/>
    <w:rsid w:val="0095373F"/>
    <w:rsid w:val="00954537"/>
    <w:rsid w:val="00956C17"/>
    <w:rsid w:val="009628DA"/>
    <w:rsid w:val="00964DAF"/>
    <w:rsid w:val="009665A9"/>
    <w:rsid w:val="00966CB8"/>
    <w:rsid w:val="00970CBF"/>
    <w:rsid w:val="00972058"/>
    <w:rsid w:val="00973CED"/>
    <w:rsid w:val="00982DC2"/>
    <w:rsid w:val="00984A7D"/>
    <w:rsid w:val="00984CB2"/>
    <w:rsid w:val="009956A8"/>
    <w:rsid w:val="009A177C"/>
    <w:rsid w:val="009B04A2"/>
    <w:rsid w:val="009B1042"/>
    <w:rsid w:val="009B26A9"/>
    <w:rsid w:val="009B2D95"/>
    <w:rsid w:val="009C001B"/>
    <w:rsid w:val="009C13CC"/>
    <w:rsid w:val="009C1E8C"/>
    <w:rsid w:val="009C2867"/>
    <w:rsid w:val="009C2F0C"/>
    <w:rsid w:val="009C58CE"/>
    <w:rsid w:val="009C6F13"/>
    <w:rsid w:val="009D1DBD"/>
    <w:rsid w:val="009D4048"/>
    <w:rsid w:val="009D40D0"/>
    <w:rsid w:val="009D5019"/>
    <w:rsid w:val="009D5905"/>
    <w:rsid w:val="009D69A1"/>
    <w:rsid w:val="009D70DE"/>
    <w:rsid w:val="009E05E4"/>
    <w:rsid w:val="009E112D"/>
    <w:rsid w:val="009E41F0"/>
    <w:rsid w:val="009E4C34"/>
    <w:rsid w:val="009F2252"/>
    <w:rsid w:val="009F2EA3"/>
    <w:rsid w:val="009F3E52"/>
    <w:rsid w:val="009F72AE"/>
    <w:rsid w:val="009F7DE0"/>
    <w:rsid w:val="00A00570"/>
    <w:rsid w:val="00A164A1"/>
    <w:rsid w:val="00A16E36"/>
    <w:rsid w:val="00A179F9"/>
    <w:rsid w:val="00A21F1F"/>
    <w:rsid w:val="00A239E6"/>
    <w:rsid w:val="00A23E0B"/>
    <w:rsid w:val="00A25F9B"/>
    <w:rsid w:val="00A30F4A"/>
    <w:rsid w:val="00A353A4"/>
    <w:rsid w:val="00A36C8C"/>
    <w:rsid w:val="00A3737B"/>
    <w:rsid w:val="00A40267"/>
    <w:rsid w:val="00A41C7D"/>
    <w:rsid w:val="00A41E67"/>
    <w:rsid w:val="00A42620"/>
    <w:rsid w:val="00A42FA4"/>
    <w:rsid w:val="00A42FE7"/>
    <w:rsid w:val="00A50377"/>
    <w:rsid w:val="00A51C96"/>
    <w:rsid w:val="00A52300"/>
    <w:rsid w:val="00A53E68"/>
    <w:rsid w:val="00A54E08"/>
    <w:rsid w:val="00A559EF"/>
    <w:rsid w:val="00A55EAB"/>
    <w:rsid w:val="00A6000F"/>
    <w:rsid w:val="00A61CAA"/>
    <w:rsid w:val="00A61D9B"/>
    <w:rsid w:val="00A65C5A"/>
    <w:rsid w:val="00A708ED"/>
    <w:rsid w:val="00A7248A"/>
    <w:rsid w:val="00A75DEB"/>
    <w:rsid w:val="00A765C4"/>
    <w:rsid w:val="00A8230E"/>
    <w:rsid w:val="00A82E8C"/>
    <w:rsid w:val="00A8542D"/>
    <w:rsid w:val="00A8754B"/>
    <w:rsid w:val="00A91D1D"/>
    <w:rsid w:val="00A920FB"/>
    <w:rsid w:val="00A92342"/>
    <w:rsid w:val="00A946C3"/>
    <w:rsid w:val="00A95A2F"/>
    <w:rsid w:val="00AA3732"/>
    <w:rsid w:val="00AA3A32"/>
    <w:rsid w:val="00AA61DA"/>
    <w:rsid w:val="00AA6478"/>
    <w:rsid w:val="00AB0041"/>
    <w:rsid w:val="00AB04E5"/>
    <w:rsid w:val="00AB170E"/>
    <w:rsid w:val="00AB350B"/>
    <w:rsid w:val="00AB416C"/>
    <w:rsid w:val="00AB596F"/>
    <w:rsid w:val="00AB59FD"/>
    <w:rsid w:val="00AC145B"/>
    <w:rsid w:val="00AD22C0"/>
    <w:rsid w:val="00AD4B66"/>
    <w:rsid w:val="00AD645F"/>
    <w:rsid w:val="00AE5565"/>
    <w:rsid w:val="00AE7059"/>
    <w:rsid w:val="00AF0810"/>
    <w:rsid w:val="00AF0BAF"/>
    <w:rsid w:val="00AF142A"/>
    <w:rsid w:val="00AF268B"/>
    <w:rsid w:val="00AF606C"/>
    <w:rsid w:val="00AF61D4"/>
    <w:rsid w:val="00AF7945"/>
    <w:rsid w:val="00B01A2B"/>
    <w:rsid w:val="00B02CCF"/>
    <w:rsid w:val="00B0592C"/>
    <w:rsid w:val="00B05C53"/>
    <w:rsid w:val="00B103DE"/>
    <w:rsid w:val="00B10CCA"/>
    <w:rsid w:val="00B11677"/>
    <w:rsid w:val="00B1481C"/>
    <w:rsid w:val="00B21A83"/>
    <w:rsid w:val="00B2596F"/>
    <w:rsid w:val="00B27F81"/>
    <w:rsid w:val="00B32B11"/>
    <w:rsid w:val="00B3458F"/>
    <w:rsid w:val="00B35402"/>
    <w:rsid w:val="00B42584"/>
    <w:rsid w:val="00B42FE7"/>
    <w:rsid w:val="00B44F97"/>
    <w:rsid w:val="00B46A72"/>
    <w:rsid w:val="00B46B32"/>
    <w:rsid w:val="00B47A4D"/>
    <w:rsid w:val="00B52182"/>
    <w:rsid w:val="00B53809"/>
    <w:rsid w:val="00B54F59"/>
    <w:rsid w:val="00B56189"/>
    <w:rsid w:val="00B60F97"/>
    <w:rsid w:val="00B61006"/>
    <w:rsid w:val="00B64D11"/>
    <w:rsid w:val="00B67AC5"/>
    <w:rsid w:val="00B7046A"/>
    <w:rsid w:val="00B71BDF"/>
    <w:rsid w:val="00B74565"/>
    <w:rsid w:val="00B7692E"/>
    <w:rsid w:val="00B76D1A"/>
    <w:rsid w:val="00B81F83"/>
    <w:rsid w:val="00B84A56"/>
    <w:rsid w:val="00B84F1C"/>
    <w:rsid w:val="00B87CD9"/>
    <w:rsid w:val="00B94A6C"/>
    <w:rsid w:val="00B95D4D"/>
    <w:rsid w:val="00B97126"/>
    <w:rsid w:val="00BA043A"/>
    <w:rsid w:val="00BA0943"/>
    <w:rsid w:val="00BA0958"/>
    <w:rsid w:val="00BA0DE8"/>
    <w:rsid w:val="00BA7BBE"/>
    <w:rsid w:val="00BB0BC4"/>
    <w:rsid w:val="00BB7716"/>
    <w:rsid w:val="00BC349A"/>
    <w:rsid w:val="00BC3786"/>
    <w:rsid w:val="00BC56DD"/>
    <w:rsid w:val="00BD5673"/>
    <w:rsid w:val="00BD695F"/>
    <w:rsid w:val="00BD74DA"/>
    <w:rsid w:val="00BE211D"/>
    <w:rsid w:val="00BE2AA0"/>
    <w:rsid w:val="00BE3935"/>
    <w:rsid w:val="00BE4880"/>
    <w:rsid w:val="00BE6367"/>
    <w:rsid w:val="00BE63D3"/>
    <w:rsid w:val="00BF1E02"/>
    <w:rsid w:val="00BF2133"/>
    <w:rsid w:val="00BF3762"/>
    <w:rsid w:val="00BF5E25"/>
    <w:rsid w:val="00BF7B52"/>
    <w:rsid w:val="00C019D0"/>
    <w:rsid w:val="00C0214D"/>
    <w:rsid w:val="00C038B5"/>
    <w:rsid w:val="00C05479"/>
    <w:rsid w:val="00C057B7"/>
    <w:rsid w:val="00C10018"/>
    <w:rsid w:val="00C11675"/>
    <w:rsid w:val="00C11ED9"/>
    <w:rsid w:val="00C1471C"/>
    <w:rsid w:val="00C245C2"/>
    <w:rsid w:val="00C26A14"/>
    <w:rsid w:val="00C31017"/>
    <w:rsid w:val="00C3121E"/>
    <w:rsid w:val="00C35043"/>
    <w:rsid w:val="00C36B8C"/>
    <w:rsid w:val="00C4243B"/>
    <w:rsid w:val="00C44519"/>
    <w:rsid w:val="00C44E1C"/>
    <w:rsid w:val="00C44FE4"/>
    <w:rsid w:val="00C51545"/>
    <w:rsid w:val="00C5479E"/>
    <w:rsid w:val="00C573AC"/>
    <w:rsid w:val="00C609A3"/>
    <w:rsid w:val="00C6178F"/>
    <w:rsid w:val="00C61931"/>
    <w:rsid w:val="00C619BB"/>
    <w:rsid w:val="00C61BE0"/>
    <w:rsid w:val="00C64B59"/>
    <w:rsid w:val="00C65617"/>
    <w:rsid w:val="00C65E5A"/>
    <w:rsid w:val="00C66FF0"/>
    <w:rsid w:val="00C67300"/>
    <w:rsid w:val="00C71503"/>
    <w:rsid w:val="00C71EFB"/>
    <w:rsid w:val="00C74EA5"/>
    <w:rsid w:val="00C7549F"/>
    <w:rsid w:val="00C762F7"/>
    <w:rsid w:val="00C80561"/>
    <w:rsid w:val="00C82175"/>
    <w:rsid w:val="00C846EC"/>
    <w:rsid w:val="00C8499C"/>
    <w:rsid w:val="00C84FE9"/>
    <w:rsid w:val="00C90B92"/>
    <w:rsid w:val="00C91232"/>
    <w:rsid w:val="00C948BB"/>
    <w:rsid w:val="00CA2D36"/>
    <w:rsid w:val="00CB5AFB"/>
    <w:rsid w:val="00CC0D36"/>
    <w:rsid w:val="00CC307A"/>
    <w:rsid w:val="00CC3C39"/>
    <w:rsid w:val="00CC54B7"/>
    <w:rsid w:val="00CD278A"/>
    <w:rsid w:val="00CD2CF8"/>
    <w:rsid w:val="00CD40FD"/>
    <w:rsid w:val="00CD47C9"/>
    <w:rsid w:val="00CE2C5E"/>
    <w:rsid w:val="00CE3E6C"/>
    <w:rsid w:val="00CE701B"/>
    <w:rsid w:val="00CE72CC"/>
    <w:rsid w:val="00CF0BD0"/>
    <w:rsid w:val="00CF229C"/>
    <w:rsid w:val="00CF2B44"/>
    <w:rsid w:val="00CF326A"/>
    <w:rsid w:val="00CF3C48"/>
    <w:rsid w:val="00CF4A26"/>
    <w:rsid w:val="00CF5FA3"/>
    <w:rsid w:val="00CF7A2C"/>
    <w:rsid w:val="00D051D7"/>
    <w:rsid w:val="00D108A9"/>
    <w:rsid w:val="00D112F5"/>
    <w:rsid w:val="00D12F8F"/>
    <w:rsid w:val="00D16DBA"/>
    <w:rsid w:val="00D17C53"/>
    <w:rsid w:val="00D20B27"/>
    <w:rsid w:val="00D23B9A"/>
    <w:rsid w:val="00D23D5E"/>
    <w:rsid w:val="00D25318"/>
    <w:rsid w:val="00D25A18"/>
    <w:rsid w:val="00D26560"/>
    <w:rsid w:val="00D27C66"/>
    <w:rsid w:val="00D33117"/>
    <w:rsid w:val="00D364C9"/>
    <w:rsid w:val="00D36A7D"/>
    <w:rsid w:val="00D36CAE"/>
    <w:rsid w:val="00D37A74"/>
    <w:rsid w:val="00D37FC0"/>
    <w:rsid w:val="00D4422B"/>
    <w:rsid w:val="00D467E4"/>
    <w:rsid w:val="00D51516"/>
    <w:rsid w:val="00D52881"/>
    <w:rsid w:val="00D531CA"/>
    <w:rsid w:val="00D5564A"/>
    <w:rsid w:val="00D55996"/>
    <w:rsid w:val="00D63687"/>
    <w:rsid w:val="00D63AF8"/>
    <w:rsid w:val="00D64F63"/>
    <w:rsid w:val="00D66DA8"/>
    <w:rsid w:val="00D77B91"/>
    <w:rsid w:val="00D80A54"/>
    <w:rsid w:val="00D80CFE"/>
    <w:rsid w:val="00D81591"/>
    <w:rsid w:val="00D90759"/>
    <w:rsid w:val="00D927BB"/>
    <w:rsid w:val="00D945C1"/>
    <w:rsid w:val="00D9756C"/>
    <w:rsid w:val="00DA00B0"/>
    <w:rsid w:val="00DA06A2"/>
    <w:rsid w:val="00DA0E46"/>
    <w:rsid w:val="00DA304A"/>
    <w:rsid w:val="00DA7E9A"/>
    <w:rsid w:val="00DB1932"/>
    <w:rsid w:val="00DB1F8B"/>
    <w:rsid w:val="00DB748F"/>
    <w:rsid w:val="00DC31BF"/>
    <w:rsid w:val="00DC3658"/>
    <w:rsid w:val="00DC3A48"/>
    <w:rsid w:val="00DD0F47"/>
    <w:rsid w:val="00DD1D97"/>
    <w:rsid w:val="00DD3324"/>
    <w:rsid w:val="00DE1A75"/>
    <w:rsid w:val="00DE46F6"/>
    <w:rsid w:val="00DE4BBB"/>
    <w:rsid w:val="00DE4CFF"/>
    <w:rsid w:val="00DE5C11"/>
    <w:rsid w:val="00DE622C"/>
    <w:rsid w:val="00DF07DA"/>
    <w:rsid w:val="00DF1527"/>
    <w:rsid w:val="00DF2343"/>
    <w:rsid w:val="00DF5EE4"/>
    <w:rsid w:val="00E00C33"/>
    <w:rsid w:val="00E01809"/>
    <w:rsid w:val="00E043BC"/>
    <w:rsid w:val="00E060F1"/>
    <w:rsid w:val="00E0680A"/>
    <w:rsid w:val="00E07A06"/>
    <w:rsid w:val="00E10A4B"/>
    <w:rsid w:val="00E12744"/>
    <w:rsid w:val="00E13393"/>
    <w:rsid w:val="00E14D03"/>
    <w:rsid w:val="00E1791D"/>
    <w:rsid w:val="00E23864"/>
    <w:rsid w:val="00E2396A"/>
    <w:rsid w:val="00E23E06"/>
    <w:rsid w:val="00E247E4"/>
    <w:rsid w:val="00E31824"/>
    <w:rsid w:val="00E35E52"/>
    <w:rsid w:val="00E368CE"/>
    <w:rsid w:val="00E36DE9"/>
    <w:rsid w:val="00E46D4E"/>
    <w:rsid w:val="00E5394B"/>
    <w:rsid w:val="00E552E5"/>
    <w:rsid w:val="00E558C7"/>
    <w:rsid w:val="00E5642E"/>
    <w:rsid w:val="00E57C4D"/>
    <w:rsid w:val="00E720E4"/>
    <w:rsid w:val="00E732B3"/>
    <w:rsid w:val="00E7386E"/>
    <w:rsid w:val="00E77889"/>
    <w:rsid w:val="00E80068"/>
    <w:rsid w:val="00E84326"/>
    <w:rsid w:val="00E8752B"/>
    <w:rsid w:val="00E9412E"/>
    <w:rsid w:val="00E9760B"/>
    <w:rsid w:val="00EA544E"/>
    <w:rsid w:val="00EB4045"/>
    <w:rsid w:val="00EB5337"/>
    <w:rsid w:val="00EB6EBC"/>
    <w:rsid w:val="00EC0C21"/>
    <w:rsid w:val="00EC0D69"/>
    <w:rsid w:val="00EC19B2"/>
    <w:rsid w:val="00EC1B4F"/>
    <w:rsid w:val="00EC4481"/>
    <w:rsid w:val="00ED12DA"/>
    <w:rsid w:val="00ED20D4"/>
    <w:rsid w:val="00ED2F03"/>
    <w:rsid w:val="00ED3F12"/>
    <w:rsid w:val="00ED4BBC"/>
    <w:rsid w:val="00EE024A"/>
    <w:rsid w:val="00EE04DF"/>
    <w:rsid w:val="00EE2793"/>
    <w:rsid w:val="00EE2F67"/>
    <w:rsid w:val="00EE3DC6"/>
    <w:rsid w:val="00EE4375"/>
    <w:rsid w:val="00EE5696"/>
    <w:rsid w:val="00EF0066"/>
    <w:rsid w:val="00EF095D"/>
    <w:rsid w:val="00EF1C34"/>
    <w:rsid w:val="00EF2B01"/>
    <w:rsid w:val="00EF678F"/>
    <w:rsid w:val="00EF6A2A"/>
    <w:rsid w:val="00F00BC5"/>
    <w:rsid w:val="00F02737"/>
    <w:rsid w:val="00F039F3"/>
    <w:rsid w:val="00F04121"/>
    <w:rsid w:val="00F04489"/>
    <w:rsid w:val="00F0538B"/>
    <w:rsid w:val="00F1003D"/>
    <w:rsid w:val="00F3056C"/>
    <w:rsid w:val="00F324CE"/>
    <w:rsid w:val="00F327DB"/>
    <w:rsid w:val="00F33912"/>
    <w:rsid w:val="00F36F60"/>
    <w:rsid w:val="00F370A8"/>
    <w:rsid w:val="00F37F7E"/>
    <w:rsid w:val="00F42C6F"/>
    <w:rsid w:val="00F57847"/>
    <w:rsid w:val="00F60A2C"/>
    <w:rsid w:val="00F62952"/>
    <w:rsid w:val="00F63103"/>
    <w:rsid w:val="00F64E9A"/>
    <w:rsid w:val="00F653DF"/>
    <w:rsid w:val="00F720CC"/>
    <w:rsid w:val="00F76DCD"/>
    <w:rsid w:val="00F80460"/>
    <w:rsid w:val="00F83055"/>
    <w:rsid w:val="00F8405A"/>
    <w:rsid w:val="00F91DBE"/>
    <w:rsid w:val="00F93E87"/>
    <w:rsid w:val="00F94C88"/>
    <w:rsid w:val="00F97291"/>
    <w:rsid w:val="00FA18A5"/>
    <w:rsid w:val="00FA5A46"/>
    <w:rsid w:val="00FB0955"/>
    <w:rsid w:val="00FB273F"/>
    <w:rsid w:val="00FB5D10"/>
    <w:rsid w:val="00FB785E"/>
    <w:rsid w:val="00FC11EF"/>
    <w:rsid w:val="00FD17A0"/>
    <w:rsid w:val="00FD3450"/>
    <w:rsid w:val="00FD41CD"/>
    <w:rsid w:val="00FD4A7A"/>
    <w:rsid w:val="00FE086E"/>
    <w:rsid w:val="00FE09A0"/>
    <w:rsid w:val="00FE1B60"/>
    <w:rsid w:val="00FE2A89"/>
    <w:rsid w:val="00FE2C4C"/>
    <w:rsid w:val="00FE2E62"/>
    <w:rsid w:val="00FE3353"/>
    <w:rsid w:val="00FE3AA2"/>
    <w:rsid w:val="00FE7CED"/>
    <w:rsid w:val="00FE7F3C"/>
    <w:rsid w:val="00FF319C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47B5AA32"/>
  <w15:docId w15:val="{86BAFB29-6C04-4566-A6A9-9438B1C7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74A3-B601-4818-8782-5A4EFE8E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1302</Words>
  <Characters>8830</Characters>
  <Application>Microsoft Office Word</Application>
  <DocSecurity>0</DocSecurity>
  <Lines>441</Lines>
  <Paragraphs>128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Zemkopības ministrija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Anotācija</dc:subject>
  <dc:creator>Ineta Lavrinoviča</dc:creator>
  <dc:description>Ineta.Lavrinovica@zm.gov.lv; 67027528</dc:description>
  <cp:lastModifiedBy>Sanita Žagare</cp:lastModifiedBy>
  <cp:revision>26</cp:revision>
  <cp:lastPrinted>2016-05-05T08:22:00Z</cp:lastPrinted>
  <dcterms:created xsi:type="dcterms:W3CDTF">2016-05-03T11:16:00Z</dcterms:created>
  <dcterms:modified xsi:type="dcterms:W3CDTF">2016-06-15T13:19:00Z</dcterms:modified>
</cp:coreProperties>
</file>