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904" w:rsidRPr="00AC6491" w:rsidRDefault="00895904" w:rsidP="00895904">
      <w:pPr>
        <w:jc w:val="center"/>
        <w:rPr>
          <w:b/>
        </w:rPr>
      </w:pPr>
      <w:r w:rsidRPr="00AC6491">
        <w:rPr>
          <w:b/>
        </w:rPr>
        <w:t>Ministru kabineta noteikumu projekta „Grozījumi Ministru kabineta 2010.gada 2.marta noteikumos Nr.215 "Noteikumi par valsts atbalsta piešķiršanu zivsaimniecības attīstībai no Zivju fonda finanšu līdzekļiem"” sākotnējās ietekmes novērtējuma ziņojums (anotācija)</w:t>
      </w:r>
    </w:p>
    <w:p w:rsidR="00895904" w:rsidRPr="007505D9" w:rsidRDefault="00895904" w:rsidP="00895904">
      <w:pPr>
        <w:spacing w:before="45" w:line="360" w:lineRule="auto"/>
        <w:ind w:firstLine="300"/>
        <w:jc w:val="center"/>
        <w:rPr>
          <w:iCs/>
          <w:color w:val="414142"/>
          <w:sz w:val="22"/>
          <w:szCs w:val="22"/>
        </w:rPr>
      </w:pPr>
      <w:bookmarkStart w:id="0" w:name="468683"/>
      <w:bookmarkEnd w:id="0"/>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2"/>
        <w:gridCol w:w="2803"/>
        <w:gridCol w:w="5770"/>
      </w:tblGrid>
      <w:tr w:rsidR="00895904" w:rsidRPr="0098695D" w:rsidTr="00E63AE2">
        <w:trPr>
          <w:trHeight w:val="324"/>
          <w:tblCellSpacing w:w="15" w:type="dxa"/>
        </w:trPr>
        <w:tc>
          <w:tcPr>
            <w:tcW w:w="0" w:type="auto"/>
            <w:gridSpan w:val="3"/>
            <w:vAlign w:val="center"/>
            <w:hideMark/>
          </w:tcPr>
          <w:p w:rsidR="00895904" w:rsidRPr="0098695D" w:rsidRDefault="00895904" w:rsidP="00E63AE2">
            <w:pPr>
              <w:spacing w:before="100" w:beforeAutospacing="1" w:after="100" w:afterAutospacing="1" w:line="360" w:lineRule="auto"/>
              <w:ind w:firstLine="300"/>
              <w:jc w:val="center"/>
              <w:rPr>
                <w:b/>
                <w:bCs/>
                <w:szCs w:val="22"/>
              </w:rPr>
            </w:pPr>
            <w:r w:rsidRPr="0098695D">
              <w:rPr>
                <w:b/>
                <w:bCs/>
                <w:szCs w:val="22"/>
              </w:rPr>
              <w:t>I. Tiesību akta projekta izstrādes nepieciešamība</w:t>
            </w:r>
          </w:p>
        </w:tc>
      </w:tr>
      <w:tr w:rsidR="00895904" w:rsidRPr="0098695D" w:rsidTr="00E63AE2">
        <w:trPr>
          <w:trHeight w:val="324"/>
          <w:tblCellSpacing w:w="15" w:type="dxa"/>
        </w:trPr>
        <w:tc>
          <w:tcPr>
            <w:tcW w:w="247" w:type="pct"/>
            <w:hideMark/>
          </w:tcPr>
          <w:p w:rsidR="00895904" w:rsidRPr="0098695D" w:rsidRDefault="00895904" w:rsidP="00E63AE2">
            <w:pPr>
              <w:rPr>
                <w:szCs w:val="22"/>
              </w:rPr>
            </w:pPr>
            <w:r w:rsidRPr="0098695D">
              <w:rPr>
                <w:szCs w:val="22"/>
              </w:rPr>
              <w:t>1.</w:t>
            </w:r>
          </w:p>
        </w:tc>
        <w:tc>
          <w:tcPr>
            <w:tcW w:w="1530" w:type="pct"/>
            <w:hideMark/>
          </w:tcPr>
          <w:p w:rsidR="00895904" w:rsidRPr="0098695D" w:rsidRDefault="00895904" w:rsidP="00E63AE2">
            <w:pPr>
              <w:rPr>
                <w:szCs w:val="22"/>
              </w:rPr>
            </w:pPr>
            <w:r w:rsidRPr="0098695D">
              <w:rPr>
                <w:szCs w:val="22"/>
              </w:rPr>
              <w:t>Pamatojums</w:t>
            </w:r>
          </w:p>
        </w:tc>
        <w:tc>
          <w:tcPr>
            <w:tcW w:w="3158" w:type="pct"/>
            <w:hideMark/>
          </w:tcPr>
          <w:p w:rsidR="00895904" w:rsidRPr="0098695D" w:rsidRDefault="00895904" w:rsidP="00E63AE2">
            <w:pPr>
              <w:jc w:val="both"/>
              <w:rPr>
                <w:szCs w:val="22"/>
              </w:rPr>
            </w:pPr>
            <w:r w:rsidRPr="0098695D">
              <w:rPr>
                <w:szCs w:val="22"/>
              </w:rPr>
              <w:t xml:space="preserve">Lauksaimniecības un lauku attīstības likuma </w:t>
            </w:r>
            <w:proofErr w:type="gramStart"/>
            <w:r w:rsidRPr="0098695D">
              <w:rPr>
                <w:szCs w:val="22"/>
              </w:rPr>
              <w:t>5.panta</w:t>
            </w:r>
            <w:proofErr w:type="gramEnd"/>
            <w:r w:rsidRPr="0098695D">
              <w:rPr>
                <w:szCs w:val="22"/>
              </w:rPr>
              <w:t xml:space="preserve"> ceturtā daļa</w:t>
            </w:r>
          </w:p>
        </w:tc>
      </w:tr>
      <w:tr w:rsidR="00895904" w:rsidRPr="0098695D" w:rsidTr="00E63AE2">
        <w:trPr>
          <w:trHeight w:val="372"/>
          <w:tblCellSpacing w:w="15" w:type="dxa"/>
        </w:trPr>
        <w:tc>
          <w:tcPr>
            <w:tcW w:w="247" w:type="pct"/>
            <w:hideMark/>
          </w:tcPr>
          <w:p w:rsidR="00895904" w:rsidRPr="0098695D" w:rsidRDefault="00895904" w:rsidP="00E63AE2">
            <w:pPr>
              <w:rPr>
                <w:szCs w:val="22"/>
              </w:rPr>
            </w:pPr>
            <w:r w:rsidRPr="0098695D">
              <w:rPr>
                <w:szCs w:val="22"/>
              </w:rPr>
              <w:t>2.</w:t>
            </w:r>
          </w:p>
        </w:tc>
        <w:tc>
          <w:tcPr>
            <w:tcW w:w="1530" w:type="pct"/>
            <w:hideMark/>
          </w:tcPr>
          <w:p w:rsidR="00895904" w:rsidRPr="0098695D" w:rsidRDefault="00895904" w:rsidP="00E63AE2">
            <w:pPr>
              <w:rPr>
                <w:szCs w:val="22"/>
              </w:rPr>
            </w:pPr>
            <w:r w:rsidRPr="0098695D">
              <w:rPr>
                <w:szCs w:val="22"/>
              </w:rPr>
              <w:t>Pašreizējā situācija un problēmas, kuru risināšanai tiesību akta projekts izstrādāts, tiesiskā regulējuma mērķis un būtība</w:t>
            </w:r>
          </w:p>
        </w:tc>
        <w:tc>
          <w:tcPr>
            <w:tcW w:w="3158" w:type="pct"/>
            <w:hideMark/>
          </w:tcPr>
          <w:p w:rsidR="00D22CF1" w:rsidRPr="0098695D" w:rsidRDefault="00D22CF1" w:rsidP="00D22CF1">
            <w:pPr>
              <w:jc w:val="both"/>
              <w:rPr>
                <w:szCs w:val="22"/>
              </w:rPr>
            </w:pPr>
            <w:r w:rsidRPr="0098695D">
              <w:rPr>
                <w:szCs w:val="22"/>
              </w:rPr>
              <w:t>26.06.2014. stājās spēkā likums „Grozījumi Zvejniecības likumā”, kas paredz termina „amatierzveja” un “makšķerēšana” aizstāšanu ar terminu „makšķerēšana, vēžošana un zemūdens medības”. Ministru kabineta 2010.</w:t>
            </w:r>
            <w:r w:rsidR="00D1639B">
              <w:rPr>
                <w:szCs w:val="22"/>
              </w:rPr>
              <w:t xml:space="preserve"> gada 2. marta </w:t>
            </w:r>
            <w:r w:rsidRPr="0098695D">
              <w:rPr>
                <w:szCs w:val="22"/>
              </w:rPr>
              <w:t>noteikumos Nr.215 “Noteikumi par valsts atbalsta piešķiršanu zivsaimniecības attīstībai no Zivju fonda finanšu līdzekļiem” (turpmāk – noteikumi Nr.215) nepieciešams mainīt terminoloģiju, to saskaņojot ar Zvejniecības likumu un citiem zvejniecības jomu regulējošajiem normatīvajiem aktiem. Noteikumu projektā paredzēts aizstāt terminus “amatierzveja” un “makšķerēšana” ar termin</w:t>
            </w:r>
            <w:r w:rsidR="00D1639B">
              <w:rPr>
                <w:szCs w:val="22"/>
              </w:rPr>
              <w:t>u</w:t>
            </w:r>
            <w:r w:rsidRPr="0098695D">
              <w:rPr>
                <w:szCs w:val="22"/>
              </w:rPr>
              <w:t xml:space="preserve"> “makšķerēšana, vēžošana un zemūdens medības”.</w:t>
            </w:r>
          </w:p>
          <w:p w:rsidR="00D22CF1" w:rsidRDefault="00D22CF1" w:rsidP="00D22CF1">
            <w:pPr>
              <w:jc w:val="both"/>
              <w:rPr>
                <w:szCs w:val="22"/>
              </w:rPr>
            </w:pPr>
          </w:p>
          <w:p w:rsidR="008D40C4" w:rsidRDefault="008D40C4" w:rsidP="00D22CF1">
            <w:pPr>
              <w:jc w:val="both"/>
              <w:rPr>
                <w:szCs w:val="22"/>
              </w:rPr>
            </w:pPr>
            <w:r>
              <w:rPr>
                <w:szCs w:val="22"/>
              </w:rPr>
              <w:t xml:space="preserve">Tāpat minētais likums paredz </w:t>
            </w:r>
            <w:r w:rsidRPr="000E49D0">
              <w:rPr>
                <w:szCs w:val="22"/>
              </w:rPr>
              <w:t xml:space="preserve">vārdu "apstiprinātu zivju resursu atražošanas valsts programmu" </w:t>
            </w:r>
            <w:r>
              <w:rPr>
                <w:szCs w:val="22"/>
              </w:rPr>
              <w:t xml:space="preserve">aizstāšanu </w:t>
            </w:r>
            <w:r w:rsidRPr="000E49D0">
              <w:rPr>
                <w:szCs w:val="22"/>
              </w:rPr>
              <w:t>ar vārdiem "apstiprinātām zivju resursu mākslīgas atražošanas pamatnostādnēm"</w:t>
            </w:r>
            <w:r w:rsidR="009264CA">
              <w:rPr>
                <w:szCs w:val="22"/>
              </w:rPr>
              <w:t xml:space="preserve">, </w:t>
            </w:r>
            <w:r w:rsidR="00D1639B">
              <w:rPr>
                <w:szCs w:val="22"/>
              </w:rPr>
              <w:t>jo</w:t>
            </w:r>
            <w:r w:rsidR="009264CA">
              <w:rPr>
                <w:szCs w:val="22"/>
              </w:rPr>
              <w:t xml:space="preserve"> </w:t>
            </w:r>
            <w:r w:rsidR="009264CA" w:rsidRPr="009264CA">
              <w:rPr>
                <w:szCs w:val="22"/>
              </w:rPr>
              <w:t>programma kā politikas plānošanas dokuments vairs netiek izstrādāta</w:t>
            </w:r>
            <w:r w:rsidR="00D1639B">
              <w:rPr>
                <w:szCs w:val="22"/>
              </w:rPr>
              <w:t>, tāpēc</w:t>
            </w:r>
            <w:r>
              <w:rPr>
                <w:szCs w:val="22"/>
              </w:rPr>
              <w:t xml:space="preserve"> </w:t>
            </w:r>
            <w:r w:rsidR="00F92AFF">
              <w:rPr>
                <w:szCs w:val="22"/>
              </w:rPr>
              <w:t xml:space="preserve">noteikumos Nr.215 </w:t>
            </w:r>
            <w:r w:rsidRPr="006F5106">
              <w:rPr>
                <w:szCs w:val="22"/>
              </w:rPr>
              <w:t>ir nepieciešams labot pašreizējās atsauces uz Zivju resursu atražošanas valsts programmu</w:t>
            </w:r>
            <w:r>
              <w:rPr>
                <w:szCs w:val="22"/>
              </w:rPr>
              <w:t xml:space="preserve">, aizstājot tās ar atsaucēm uz “Ministru kabineta </w:t>
            </w:r>
            <w:r w:rsidRPr="00543FEE">
              <w:rPr>
                <w:szCs w:val="22"/>
              </w:rPr>
              <w:t>apstiprinātām zivju resursu mākslīgas atražošanas pamatnostādnēm</w:t>
            </w:r>
            <w:r>
              <w:rPr>
                <w:szCs w:val="22"/>
              </w:rPr>
              <w:t>”</w:t>
            </w:r>
            <w:r w:rsidRPr="006F5106">
              <w:rPr>
                <w:szCs w:val="22"/>
              </w:rPr>
              <w:t>.</w:t>
            </w:r>
          </w:p>
          <w:p w:rsidR="008D40C4" w:rsidRPr="0098695D" w:rsidRDefault="008D40C4" w:rsidP="00D22CF1">
            <w:pPr>
              <w:jc w:val="both"/>
              <w:rPr>
                <w:szCs w:val="22"/>
              </w:rPr>
            </w:pPr>
          </w:p>
          <w:p w:rsidR="00D4213A" w:rsidRDefault="00D1639B" w:rsidP="00D22CF1">
            <w:pPr>
              <w:jc w:val="both"/>
              <w:rPr>
                <w:szCs w:val="22"/>
              </w:rPr>
            </w:pPr>
            <w:r>
              <w:rPr>
                <w:szCs w:val="22"/>
              </w:rPr>
              <w:t>Tā kā</w:t>
            </w:r>
            <w:r w:rsidR="00D4213A" w:rsidRPr="0098695D">
              <w:rPr>
                <w:szCs w:val="22"/>
              </w:rPr>
              <w:t xml:space="preserve"> 16.04.2015.</w:t>
            </w:r>
            <w:r>
              <w:rPr>
                <w:szCs w:val="22"/>
              </w:rPr>
              <w:t xml:space="preserve"> </w:t>
            </w:r>
            <w:r w:rsidR="00D4213A" w:rsidRPr="0098695D">
              <w:rPr>
                <w:szCs w:val="22"/>
              </w:rPr>
              <w:t>stājās spēkā Ministru kabineta 2015.</w:t>
            </w:r>
            <w:r>
              <w:rPr>
                <w:szCs w:val="22"/>
              </w:rPr>
              <w:t> gada</w:t>
            </w:r>
            <w:r w:rsidRPr="0098695D">
              <w:rPr>
                <w:szCs w:val="22"/>
              </w:rPr>
              <w:t xml:space="preserve"> </w:t>
            </w:r>
            <w:r>
              <w:rPr>
                <w:szCs w:val="22"/>
              </w:rPr>
              <w:t xml:space="preserve">31. marta </w:t>
            </w:r>
            <w:r w:rsidR="00D4213A" w:rsidRPr="0098695D">
              <w:rPr>
                <w:szCs w:val="22"/>
              </w:rPr>
              <w:t>noteikumi Nr.150 “Kārtība, kādā uzskaita un dabiskajās ūdenstilpēs ielaiž zivju resursu atražošanai un pavairošanai paredzētos zivju mazuļus, kā arī prasības attiecībā uz mākslīgai zivju pavairošanai pielāgotu privāto ezeru izmantošanu”, kas aizstāja Ministru kabineta 2004.</w:t>
            </w:r>
            <w:r>
              <w:rPr>
                <w:szCs w:val="22"/>
              </w:rPr>
              <w:t xml:space="preserve"> gada 22. aprīļa </w:t>
            </w:r>
            <w:r w:rsidR="00D4213A" w:rsidRPr="0098695D">
              <w:rPr>
                <w:szCs w:val="22"/>
              </w:rPr>
              <w:t>noteikumus Nr.381 “Kārtība, kādā uzskaitāmi un ielaižami dabiskajās ūdenstilpēs zivju resursu atražošanai un pavairošanai paredzētie zivju mazuļi”, noteikumos Nr.215 ir nepieciešams labot atsauc</w:t>
            </w:r>
            <w:r w:rsidR="002F475C">
              <w:rPr>
                <w:szCs w:val="22"/>
              </w:rPr>
              <w:t xml:space="preserve">es </w:t>
            </w:r>
            <w:r w:rsidR="009264CA">
              <w:rPr>
                <w:szCs w:val="22"/>
              </w:rPr>
              <w:t>uz normatīvajiem aktiem.</w:t>
            </w:r>
          </w:p>
          <w:p w:rsidR="00184EF5" w:rsidRPr="0098695D" w:rsidRDefault="00184EF5" w:rsidP="00D22CF1">
            <w:pPr>
              <w:jc w:val="both"/>
              <w:rPr>
                <w:szCs w:val="22"/>
              </w:rPr>
            </w:pPr>
          </w:p>
          <w:p w:rsidR="00895904" w:rsidRPr="0098695D" w:rsidRDefault="00D1639B" w:rsidP="00A81EFB">
            <w:pPr>
              <w:jc w:val="both"/>
              <w:rPr>
                <w:szCs w:val="22"/>
              </w:rPr>
            </w:pPr>
            <w:r>
              <w:rPr>
                <w:szCs w:val="22"/>
              </w:rPr>
              <w:t>Spēkā esošie n</w:t>
            </w:r>
            <w:r w:rsidR="00D22CF1" w:rsidRPr="0098695D">
              <w:rPr>
                <w:szCs w:val="22"/>
              </w:rPr>
              <w:t>oteikumi Nr.215</w:t>
            </w:r>
            <w:proofErr w:type="gramStart"/>
            <w:r w:rsidR="00D22CF1" w:rsidRPr="0098695D">
              <w:rPr>
                <w:szCs w:val="22"/>
              </w:rPr>
              <w:t xml:space="preserve">  </w:t>
            </w:r>
            <w:proofErr w:type="gramEnd"/>
            <w:r w:rsidR="00D22CF1" w:rsidRPr="0098695D">
              <w:rPr>
                <w:szCs w:val="22"/>
              </w:rPr>
              <w:t>Zivju fonda pasākuma “Atbalsta maksājumi par pašvaldību un Valsts vides dienesta pilnvaroto personu iesaistīšanu zvejas un makšķerēšanas kontroles darbību nodrošināšanā”</w:t>
            </w:r>
            <w:r w:rsidR="0035609E">
              <w:rPr>
                <w:szCs w:val="22"/>
              </w:rPr>
              <w:t xml:space="preserve"> (turpmāk</w:t>
            </w:r>
            <w:r>
              <w:rPr>
                <w:szCs w:val="22"/>
              </w:rPr>
              <w:t> </w:t>
            </w:r>
            <w:r w:rsidR="0035609E">
              <w:rPr>
                <w:szCs w:val="22"/>
              </w:rPr>
              <w:t>– pasākums)</w:t>
            </w:r>
            <w:r w:rsidR="00D22CF1" w:rsidRPr="0098695D">
              <w:rPr>
                <w:szCs w:val="22"/>
              </w:rPr>
              <w:t xml:space="preserve"> atbalsta pretendentiem – </w:t>
            </w:r>
            <w:r w:rsidR="003822BB" w:rsidRPr="0098695D">
              <w:rPr>
                <w:szCs w:val="22"/>
              </w:rPr>
              <w:t xml:space="preserve">novadu un </w:t>
            </w:r>
            <w:r w:rsidR="003822BB" w:rsidRPr="0098695D">
              <w:rPr>
                <w:szCs w:val="22"/>
              </w:rPr>
              <w:lastRenderedPageBreak/>
              <w:t xml:space="preserve">republikas pilsētu </w:t>
            </w:r>
            <w:r w:rsidR="00D22CF1" w:rsidRPr="0098695D">
              <w:rPr>
                <w:szCs w:val="22"/>
              </w:rPr>
              <w:t>pašvaldībām</w:t>
            </w:r>
            <w:r w:rsidR="003822BB" w:rsidRPr="0098695D">
              <w:rPr>
                <w:szCs w:val="22"/>
              </w:rPr>
              <w:t xml:space="preserve"> (turpmāk – pašvaldības)</w:t>
            </w:r>
            <w:r w:rsidR="00D22CF1" w:rsidRPr="0098695D">
              <w:rPr>
                <w:szCs w:val="22"/>
              </w:rPr>
              <w:t xml:space="preserve"> un Valsts vides dienestam</w:t>
            </w:r>
            <w:r w:rsidR="00093972" w:rsidRPr="0098695D">
              <w:rPr>
                <w:szCs w:val="22"/>
              </w:rPr>
              <w:t xml:space="preserve"> (turpmāk – VVD)</w:t>
            </w:r>
            <w:r w:rsidR="00D22CF1" w:rsidRPr="0098695D">
              <w:rPr>
                <w:szCs w:val="22"/>
              </w:rPr>
              <w:t xml:space="preserve"> – </w:t>
            </w:r>
            <w:r w:rsidRPr="0098695D">
              <w:rPr>
                <w:szCs w:val="22"/>
              </w:rPr>
              <w:t xml:space="preserve">uzliek </w:t>
            </w:r>
            <w:r w:rsidR="00D22CF1" w:rsidRPr="0098695D">
              <w:rPr>
                <w:szCs w:val="22"/>
              </w:rPr>
              <w:t>lielu administratīvo slogu, pieprasot</w:t>
            </w:r>
            <w:r w:rsidR="00A42E50" w:rsidRPr="0098695D">
              <w:rPr>
                <w:szCs w:val="22"/>
              </w:rPr>
              <w:t xml:space="preserve"> kopā ar citiem projekta dokumentiem</w:t>
            </w:r>
            <w:r w:rsidR="00D22CF1" w:rsidRPr="0098695D">
              <w:rPr>
                <w:szCs w:val="22"/>
              </w:rPr>
              <w:t xml:space="preserve"> iesniegt Lauku atbalsta dienestā</w:t>
            </w:r>
            <w:r w:rsidR="00177918" w:rsidRPr="0098695D">
              <w:rPr>
                <w:szCs w:val="22"/>
              </w:rPr>
              <w:t xml:space="preserve"> (turpmāk – LAD)</w:t>
            </w:r>
            <w:r w:rsidR="00D22CF1" w:rsidRPr="0098695D">
              <w:rPr>
                <w:szCs w:val="22"/>
              </w:rPr>
              <w:t xml:space="preserve"> pašvaldību vai </w:t>
            </w:r>
            <w:r w:rsidR="00093972" w:rsidRPr="0098695D">
              <w:rPr>
                <w:szCs w:val="22"/>
              </w:rPr>
              <w:t xml:space="preserve">VVD </w:t>
            </w:r>
            <w:r w:rsidR="00D22CF1" w:rsidRPr="0098695D">
              <w:rPr>
                <w:szCs w:val="22"/>
              </w:rPr>
              <w:t>pilnvaroto personu sastādīto administratīvo pārkāpumu protokolu kopijas par zveju regulējošo normatīvo aktu pārkāpumiem</w:t>
            </w:r>
            <w:r w:rsidR="00E2260D" w:rsidRPr="0098695D">
              <w:rPr>
                <w:szCs w:val="22"/>
              </w:rPr>
              <w:t xml:space="preserve">. Tāpat atbalsta pretendentiem – pašvaldībām – tiek prasīts iesniegt pašvaldības administratīvās komisijas vai </w:t>
            </w:r>
            <w:r w:rsidR="00093972" w:rsidRPr="0098695D">
              <w:rPr>
                <w:szCs w:val="22"/>
              </w:rPr>
              <w:t xml:space="preserve">VVD </w:t>
            </w:r>
            <w:r w:rsidR="00E2260D" w:rsidRPr="0098695D">
              <w:rPr>
                <w:szCs w:val="22"/>
              </w:rPr>
              <w:t xml:space="preserve">lēmuma kopiju par naudas sodu, kas uzlikts par zveju regulējošo normatīvo aktu pārkāpumiem, vai zivju, zvejas rīku un zvejas līdzekļu izņemšanu, bet Valsts vides dienestam – </w:t>
            </w:r>
            <w:r w:rsidR="00093972" w:rsidRPr="0098695D">
              <w:rPr>
                <w:szCs w:val="22"/>
              </w:rPr>
              <w:t>VVD</w:t>
            </w:r>
            <w:r w:rsidR="00E2260D" w:rsidRPr="0098695D">
              <w:rPr>
                <w:szCs w:val="22"/>
              </w:rPr>
              <w:t xml:space="preserve"> lēmuma kopiju par naudas sodu, kas uzlikts par zveju regulējošo normatīvo aktu pārkāpumiem, vai zivju, zvejas rīku un zvejas līdzekļu izņe</w:t>
            </w:r>
            <w:r w:rsidR="00177918" w:rsidRPr="0098695D">
              <w:rPr>
                <w:szCs w:val="22"/>
              </w:rPr>
              <w:t>mšanu</w:t>
            </w:r>
            <w:r w:rsidR="007547D8" w:rsidRPr="0098695D">
              <w:rPr>
                <w:szCs w:val="22"/>
              </w:rPr>
              <w:t>. Tā kā Zivju fonda padomes sekretariātam</w:t>
            </w:r>
            <w:r w:rsidR="007F6193" w:rsidRPr="0098695D">
              <w:rPr>
                <w:szCs w:val="22"/>
              </w:rPr>
              <w:t>, k</w:t>
            </w:r>
            <w:r>
              <w:rPr>
                <w:szCs w:val="22"/>
              </w:rPr>
              <w:t>as</w:t>
            </w:r>
            <w:r w:rsidR="007F6193" w:rsidRPr="0098695D">
              <w:rPr>
                <w:szCs w:val="22"/>
              </w:rPr>
              <w:t xml:space="preserve"> pārbauda atbalsta pretendentu iesniegtos dokumentus,</w:t>
            </w:r>
            <w:r w:rsidR="007547D8" w:rsidRPr="0098695D">
              <w:rPr>
                <w:szCs w:val="22"/>
              </w:rPr>
              <w:t xml:space="preserve"> ir pieeja Sodu reģistram, kurā ir atrodama detalizēta informācija par visiem administratīvajiem pārkāpumiem un </w:t>
            </w:r>
            <w:r>
              <w:rPr>
                <w:szCs w:val="22"/>
              </w:rPr>
              <w:t xml:space="preserve">arī </w:t>
            </w:r>
            <w:r w:rsidR="007547D8" w:rsidRPr="0098695D">
              <w:rPr>
                <w:szCs w:val="22"/>
              </w:rPr>
              <w:t>atbalsta pretendentam projekta iesniegumā ir jānorāda ziņas par pilnvaroto personu sastādīto administratīvo pārkāpumu protokolu datumiem, numuriem un attiecīgajiem lēmumu numuriem, nav pamata apgrūtināt atbalsta pretendentus ar nesamērīgu administratīvo slogu.</w:t>
            </w:r>
          </w:p>
        </w:tc>
      </w:tr>
      <w:tr w:rsidR="00895904" w:rsidRPr="0098695D" w:rsidTr="00E63AE2">
        <w:trPr>
          <w:trHeight w:val="372"/>
          <w:tblCellSpacing w:w="15" w:type="dxa"/>
        </w:trPr>
        <w:tc>
          <w:tcPr>
            <w:tcW w:w="247" w:type="pct"/>
            <w:hideMark/>
          </w:tcPr>
          <w:p w:rsidR="00895904" w:rsidRPr="0098695D" w:rsidRDefault="00895904" w:rsidP="00E63AE2">
            <w:pPr>
              <w:rPr>
                <w:szCs w:val="22"/>
              </w:rPr>
            </w:pPr>
            <w:r w:rsidRPr="0098695D">
              <w:rPr>
                <w:szCs w:val="22"/>
              </w:rPr>
              <w:lastRenderedPageBreak/>
              <w:t>3.</w:t>
            </w:r>
          </w:p>
        </w:tc>
        <w:tc>
          <w:tcPr>
            <w:tcW w:w="1530" w:type="pct"/>
            <w:hideMark/>
          </w:tcPr>
          <w:p w:rsidR="00895904" w:rsidRPr="0098695D" w:rsidRDefault="00895904" w:rsidP="00E63AE2">
            <w:pPr>
              <w:rPr>
                <w:szCs w:val="22"/>
              </w:rPr>
            </w:pPr>
            <w:r w:rsidRPr="0098695D">
              <w:rPr>
                <w:szCs w:val="22"/>
              </w:rPr>
              <w:t>Projekta izstrādē iesaistītās institūcijas</w:t>
            </w:r>
          </w:p>
        </w:tc>
        <w:tc>
          <w:tcPr>
            <w:tcW w:w="3158" w:type="pct"/>
            <w:hideMark/>
          </w:tcPr>
          <w:p w:rsidR="00895904" w:rsidRPr="0098695D" w:rsidRDefault="00D22CF1" w:rsidP="00D22CF1">
            <w:pPr>
              <w:rPr>
                <w:szCs w:val="22"/>
              </w:rPr>
            </w:pPr>
            <w:r w:rsidRPr="0098695D">
              <w:rPr>
                <w:szCs w:val="22"/>
              </w:rPr>
              <w:t>Zemkopības ministrija</w:t>
            </w:r>
          </w:p>
        </w:tc>
      </w:tr>
      <w:tr w:rsidR="00895904" w:rsidRPr="0098695D" w:rsidTr="00E63AE2">
        <w:trPr>
          <w:tblCellSpacing w:w="15" w:type="dxa"/>
        </w:trPr>
        <w:tc>
          <w:tcPr>
            <w:tcW w:w="247" w:type="pct"/>
            <w:hideMark/>
          </w:tcPr>
          <w:p w:rsidR="00895904" w:rsidRPr="0098695D" w:rsidRDefault="00895904" w:rsidP="00E63AE2">
            <w:pPr>
              <w:rPr>
                <w:szCs w:val="22"/>
              </w:rPr>
            </w:pPr>
            <w:r w:rsidRPr="0098695D">
              <w:rPr>
                <w:szCs w:val="22"/>
              </w:rPr>
              <w:t>4.</w:t>
            </w:r>
          </w:p>
        </w:tc>
        <w:tc>
          <w:tcPr>
            <w:tcW w:w="1530" w:type="pct"/>
            <w:hideMark/>
          </w:tcPr>
          <w:p w:rsidR="00895904" w:rsidRPr="0098695D" w:rsidRDefault="00895904" w:rsidP="00E63AE2">
            <w:pPr>
              <w:rPr>
                <w:szCs w:val="22"/>
              </w:rPr>
            </w:pPr>
            <w:r w:rsidRPr="0098695D">
              <w:rPr>
                <w:szCs w:val="22"/>
              </w:rPr>
              <w:t>Cita informācija</w:t>
            </w:r>
          </w:p>
        </w:tc>
        <w:tc>
          <w:tcPr>
            <w:tcW w:w="3158" w:type="pct"/>
            <w:hideMark/>
          </w:tcPr>
          <w:p w:rsidR="00895904" w:rsidRPr="0098695D" w:rsidRDefault="0049316C" w:rsidP="0075055C">
            <w:pPr>
              <w:spacing w:before="100" w:beforeAutospacing="1" w:after="100" w:afterAutospacing="1"/>
              <w:rPr>
                <w:szCs w:val="22"/>
              </w:rPr>
            </w:pPr>
            <w:r w:rsidRPr="0098695D">
              <w:rPr>
                <w:szCs w:val="22"/>
              </w:rPr>
              <w:t>Nav.</w:t>
            </w:r>
          </w:p>
        </w:tc>
      </w:tr>
    </w:tbl>
    <w:p w:rsidR="00895904" w:rsidRPr="0034630B" w:rsidRDefault="00895904" w:rsidP="00895904">
      <w:pPr>
        <w:ind w:firstLine="301"/>
        <w:rPr>
          <w:rFonts w:ascii="Arial" w:hAnsi="Arial" w:cs="Arial"/>
          <w:iCs/>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2"/>
        <w:gridCol w:w="2803"/>
        <w:gridCol w:w="5770"/>
      </w:tblGrid>
      <w:tr w:rsidR="00895904" w:rsidRPr="0098695D" w:rsidTr="00E63AE2">
        <w:trPr>
          <w:trHeight w:val="444"/>
          <w:tblCellSpacing w:w="15" w:type="dxa"/>
        </w:trPr>
        <w:tc>
          <w:tcPr>
            <w:tcW w:w="0" w:type="auto"/>
            <w:gridSpan w:val="3"/>
            <w:vAlign w:val="center"/>
            <w:hideMark/>
          </w:tcPr>
          <w:p w:rsidR="00895904" w:rsidRPr="0098695D" w:rsidRDefault="00895904" w:rsidP="00AC6491">
            <w:pPr>
              <w:jc w:val="center"/>
              <w:rPr>
                <w:b/>
                <w:bCs/>
                <w:szCs w:val="20"/>
              </w:rPr>
            </w:pPr>
            <w:r w:rsidRPr="0098695D">
              <w:rPr>
                <w:b/>
                <w:bCs/>
                <w:szCs w:val="20"/>
              </w:rPr>
              <w:t>II. Tiesību akta projekta ietekme uz sabiedrību, tautsaimniecības attīstību un administratīvo slogu</w:t>
            </w:r>
          </w:p>
        </w:tc>
      </w:tr>
      <w:tr w:rsidR="00895904" w:rsidRPr="0098695D" w:rsidTr="00E63AE2">
        <w:trPr>
          <w:trHeight w:val="372"/>
          <w:tblCellSpacing w:w="15" w:type="dxa"/>
        </w:trPr>
        <w:tc>
          <w:tcPr>
            <w:tcW w:w="250" w:type="pct"/>
            <w:hideMark/>
          </w:tcPr>
          <w:p w:rsidR="00895904" w:rsidRPr="0098695D" w:rsidRDefault="00895904" w:rsidP="00E63AE2">
            <w:pPr>
              <w:rPr>
                <w:szCs w:val="20"/>
              </w:rPr>
            </w:pPr>
            <w:r w:rsidRPr="0098695D">
              <w:rPr>
                <w:szCs w:val="20"/>
              </w:rPr>
              <w:t>1.</w:t>
            </w:r>
          </w:p>
        </w:tc>
        <w:tc>
          <w:tcPr>
            <w:tcW w:w="1550" w:type="pct"/>
            <w:hideMark/>
          </w:tcPr>
          <w:p w:rsidR="00895904" w:rsidRPr="0098695D" w:rsidRDefault="00895904" w:rsidP="00E63AE2">
            <w:pPr>
              <w:rPr>
                <w:szCs w:val="20"/>
              </w:rPr>
            </w:pPr>
            <w:r w:rsidRPr="0098695D">
              <w:rPr>
                <w:szCs w:val="20"/>
              </w:rPr>
              <w:t>Sabiedrības mērķgrupas, kuras tiesiskais regulējums ietekmē vai varētu ietekmēt</w:t>
            </w:r>
          </w:p>
        </w:tc>
        <w:tc>
          <w:tcPr>
            <w:tcW w:w="3200" w:type="pct"/>
            <w:hideMark/>
          </w:tcPr>
          <w:p w:rsidR="00895904" w:rsidRPr="0098695D" w:rsidRDefault="00A42E50" w:rsidP="00A81EFB">
            <w:pPr>
              <w:jc w:val="both"/>
              <w:rPr>
                <w:szCs w:val="20"/>
              </w:rPr>
            </w:pPr>
            <w:r w:rsidRPr="0098695D">
              <w:rPr>
                <w:szCs w:val="22"/>
              </w:rPr>
              <w:t>P</w:t>
            </w:r>
            <w:r w:rsidR="003822BB" w:rsidRPr="0098695D">
              <w:rPr>
                <w:szCs w:val="22"/>
              </w:rPr>
              <w:t>ašvaldības un</w:t>
            </w:r>
            <w:r w:rsidR="00D1639B">
              <w:rPr>
                <w:szCs w:val="22"/>
              </w:rPr>
              <w:t xml:space="preserve"> VVD</w:t>
            </w:r>
            <w:r w:rsidR="003822BB" w:rsidRPr="0098695D">
              <w:rPr>
                <w:szCs w:val="22"/>
              </w:rPr>
              <w:t>, kā arī pašvaldību</w:t>
            </w:r>
            <w:r w:rsidR="00093972" w:rsidRPr="0098695D">
              <w:rPr>
                <w:szCs w:val="22"/>
              </w:rPr>
              <w:t xml:space="preserve"> un VVD pilnvarotās personas</w:t>
            </w:r>
          </w:p>
        </w:tc>
      </w:tr>
      <w:tr w:rsidR="00895904" w:rsidRPr="0098695D" w:rsidTr="00E63AE2">
        <w:trPr>
          <w:trHeight w:val="408"/>
          <w:tblCellSpacing w:w="15" w:type="dxa"/>
        </w:trPr>
        <w:tc>
          <w:tcPr>
            <w:tcW w:w="250" w:type="pct"/>
            <w:hideMark/>
          </w:tcPr>
          <w:p w:rsidR="00895904" w:rsidRPr="0098695D" w:rsidRDefault="00895904" w:rsidP="00E63AE2">
            <w:pPr>
              <w:rPr>
                <w:szCs w:val="20"/>
              </w:rPr>
            </w:pPr>
            <w:r w:rsidRPr="0098695D">
              <w:rPr>
                <w:szCs w:val="20"/>
              </w:rPr>
              <w:t>2.</w:t>
            </w:r>
          </w:p>
        </w:tc>
        <w:tc>
          <w:tcPr>
            <w:tcW w:w="1550" w:type="pct"/>
            <w:hideMark/>
          </w:tcPr>
          <w:p w:rsidR="00895904" w:rsidRPr="0098695D" w:rsidRDefault="00895904" w:rsidP="00E63AE2">
            <w:pPr>
              <w:rPr>
                <w:szCs w:val="20"/>
              </w:rPr>
            </w:pPr>
            <w:r w:rsidRPr="0098695D">
              <w:rPr>
                <w:szCs w:val="20"/>
              </w:rPr>
              <w:t>Tiesiskā regulējuma ietekme uz tautsaimniecību un administratīvo slogu</w:t>
            </w:r>
          </w:p>
        </w:tc>
        <w:tc>
          <w:tcPr>
            <w:tcW w:w="3200" w:type="pct"/>
            <w:hideMark/>
          </w:tcPr>
          <w:p w:rsidR="00177918" w:rsidRDefault="00A841B6" w:rsidP="0035609E">
            <w:pPr>
              <w:jc w:val="both"/>
              <w:rPr>
                <w:szCs w:val="20"/>
              </w:rPr>
            </w:pPr>
            <w:r w:rsidRPr="0098695D">
              <w:rPr>
                <w:szCs w:val="20"/>
              </w:rPr>
              <w:t xml:space="preserve">Samazināsies </w:t>
            </w:r>
            <w:r w:rsidR="00895904" w:rsidRPr="0098695D">
              <w:rPr>
                <w:szCs w:val="20"/>
              </w:rPr>
              <w:t>Zivju fonda atbalsta</w:t>
            </w:r>
            <w:r w:rsidRPr="0098695D">
              <w:rPr>
                <w:szCs w:val="20"/>
              </w:rPr>
              <w:t xml:space="preserve"> pretendentu</w:t>
            </w:r>
            <w:r w:rsidR="009C5431">
              <w:rPr>
                <w:szCs w:val="20"/>
              </w:rPr>
              <w:t xml:space="preserve"> (turpmāk – atbalsta pretendenti)</w:t>
            </w:r>
            <w:r w:rsidRPr="0098695D">
              <w:rPr>
                <w:szCs w:val="20"/>
              </w:rPr>
              <w:t xml:space="preserve"> – pašvaldību un Valsts vides dienesta</w:t>
            </w:r>
            <w:r w:rsidR="00D1639B">
              <w:rPr>
                <w:szCs w:val="20"/>
              </w:rPr>
              <w:t> </w:t>
            </w:r>
            <w:r w:rsidRPr="0098695D">
              <w:rPr>
                <w:szCs w:val="20"/>
              </w:rPr>
              <w:t>– administratīvais slogs, jo kopā ar projekta iesniegumu</w:t>
            </w:r>
            <w:r w:rsidR="00A42E50" w:rsidRPr="0098695D">
              <w:rPr>
                <w:szCs w:val="20"/>
              </w:rPr>
              <w:t xml:space="preserve"> un citiem projekta dokumentiem</w:t>
            </w:r>
            <w:r w:rsidR="00177918" w:rsidRPr="0098695D">
              <w:rPr>
                <w:szCs w:val="20"/>
              </w:rPr>
              <w:t xml:space="preserve"> atbalsta pretendentiem</w:t>
            </w:r>
            <w:r w:rsidRPr="0098695D">
              <w:rPr>
                <w:szCs w:val="20"/>
              </w:rPr>
              <w:t xml:space="preserve"> vairs nebūs jāiesniedz </w:t>
            </w:r>
            <w:r w:rsidR="00177918" w:rsidRPr="0098695D">
              <w:rPr>
                <w:szCs w:val="20"/>
              </w:rPr>
              <w:t xml:space="preserve">LAD </w:t>
            </w:r>
            <w:r w:rsidRPr="0098695D">
              <w:rPr>
                <w:szCs w:val="20"/>
              </w:rPr>
              <w:t>pašvaldību vai VVD pilnvaroto personu sastādīto administratīvo pārkāpumu protokolu kopijas par zveju regulējošo normatīvo aktu pārkāpumiem</w:t>
            </w:r>
            <w:r w:rsidR="00177918" w:rsidRPr="0098695D">
              <w:rPr>
                <w:szCs w:val="20"/>
              </w:rPr>
              <w:t>.</w:t>
            </w:r>
            <w:r w:rsidRPr="0098695D">
              <w:rPr>
                <w:szCs w:val="20"/>
              </w:rPr>
              <w:t xml:space="preserve"> </w:t>
            </w:r>
            <w:r w:rsidR="00177918" w:rsidRPr="0098695D">
              <w:rPr>
                <w:szCs w:val="20"/>
              </w:rPr>
              <w:t>Atbalsta pretendentiem – p</w:t>
            </w:r>
            <w:r w:rsidRPr="0098695D">
              <w:rPr>
                <w:szCs w:val="20"/>
              </w:rPr>
              <w:t>ašvaldīb</w:t>
            </w:r>
            <w:r w:rsidR="00177918" w:rsidRPr="0098695D">
              <w:rPr>
                <w:szCs w:val="20"/>
              </w:rPr>
              <w:t>ām – vairs nevajadzēs iesniegt L</w:t>
            </w:r>
            <w:r w:rsidR="0035609E">
              <w:rPr>
                <w:szCs w:val="20"/>
              </w:rPr>
              <w:t>auku atbalsta dienestā</w:t>
            </w:r>
            <w:r w:rsidR="00177918" w:rsidRPr="0098695D">
              <w:rPr>
                <w:szCs w:val="20"/>
              </w:rPr>
              <w:t xml:space="preserve"> a</w:t>
            </w:r>
            <w:r w:rsidRPr="0098695D">
              <w:rPr>
                <w:szCs w:val="20"/>
              </w:rPr>
              <w:t>dministratīvās komisijas vai VVD lēmuma kopijas par naudas sodu, kas uzlikts par zveju regulējošo normatīvo aktu pārkāpumiem, vai zivju, zvejas rīku un zvejas līdzekļu izņemšanu,</w:t>
            </w:r>
            <w:r w:rsidR="00177918" w:rsidRPr="0098695D">
              <w:rPr>
                <w:szCs w:val="20"/>
              </w:rPr>
              <w:t xml:space="preserve"> bet Valsts vides dienestam </w:t>
            </w:r>
            <w:r w:rsidR="00D1639B">
              <w:rPr>
                <w:szCs w:val="20"/>
              </w:rPr>
              <w:t>–</w:t>
            </w:r>
            <w:r w:rsidR="00177918" w:rsidRPr="0098695D">
              <w:rPr>
                <w:szCs w:val="20"/>
              </w:rPr>
              <w:t xml:space="preserve"> VVD lēmumu kopijas par naudas sodu, kas uzlikts par zveju regulējošo normatīvo aktu pārkāpumiem, vai zivju, zvejas rīku un zvejas līdzekļu izņemšanu.</w:t>
            </w:r>
          </w:p>
          <w:p w:rsidR="00A32E03" w:rsidRPr="0098695D" w:rsidRDefault="00A32E03" w:rsidP="00A81EFB">
            <w:pPr>
              <w:jc w:val="both"/>
              <w:rPr>
                <w:szCs w:val="20"/>
              </w:rPr>
            </w:pPr>
            <w:r>
              <w:rPr>
                <w:szCs w:val="20"/>
              </w:rPr>
              <w:lastRenderedPageBreak/>
              <w:t>Tā kā sagaidāms, ka, samazinot</w:t>
            </w:r>
            <w:r w:rsidR="009C5431">
              <w:rPr>
                <w:szCs w:val="20"/>
              </w:rPr>
              <w:t xml:space="preserve"> projektu iesniedzēju </w:t>
            </w:r>
            <w:r w:rsidR="00D1639B">
              <w:rPr>
                <w:szCs w:val="20"/>
              </w:rPr>
              <w:t>–</w:t>
            </w:r>
            <w:proofErr w:type="gramStart"/>
            <w:r w:rsidR="009C5431">
              <w:rPr>
                <w:szCs w:val="20"/>
              </w:rPr>
              <w:t xml:space="preserve"> </w:t>
            </w:r>
            <w:r>
              <w:rPr>
                <w:szCs w:val="20"/>
              </w:rPr>
              <w:t xml:space="preserve"> </w:t>
            </w:r>
            <w:proofErr w:type="gramEnd"/>
            <w:r>
              <w:rPr>
                <w:szCs w:val="20"/>
              </w:rPr>
              <w:t>pašvaldību un VVD</w:t>
            </w:r>
            <w:r w:rsidR="009C5431">
              <w:rPr>
                <w:szCs w:val="20"/>
              </w:rPr>
              <w:t xml:space="preserve"> –</w:t>
            </w:r>
            <w:r>
              <w:rPr>
                <w:szCs w:val="20"/>
              </w:rPr>
              <w:t xml:space="preserve"> administratīvo slogu, palielināsies iesniegto pieteikumu skaits, attiecīgi </w:t>
            </w:r>
            <w:r w:rsidR="00D1639B">
              <w:rPr>
                <w:szCs w:val="20"/>
              </w:rPr>
              <w:t xml:space="preserve">palielināsies  arī </w:t>
            </w:r>
            <w:r>
              <w:rPr>
                <w:szCs w:val="20"/>
              </w:rPr>
              <w:t xml:space="preserve">administratīvais slogs </w:t>
            </w:r>
            <w:r w:rsidR="00404E49">
              <w:rPr>
                <w:szCs w:val="20"/>
              </w:rPr>
              <w:t>LAD</w:t>
            </w:r>
            <w:r>
              <w:rPr>
                <w:szCs w:val="20"/>
              </w:rPr>
              <w:t xml:space="preserve"> darbiniekam, k</w:t>
            </w:r>
            <w:r w:rsidR="00D1639B">
              <w:rPr>
                <w:szCs w:val="20"/>
              </w:rPr>
              <w:t>as</w:t>
            </w:r>
            <w:r>
              <w:rPr>
                <w:szCs w:val="20"/>
              </w:rPr>
              <w:t xml:space="preserve"> izskata iesniegtos pieteikumus, un Zivju fonda padomes sekretariāta (Zemkopības ministrija) darbiniekam, k</w:t>
            </w:r>
            <w:r w:rsidR="00D1639B">
              <w:rPr>
                <w:szCs w:val="20"/>
              </w:rPr>
              <w:t>as</w:t>
            </w:r>
            <w:r>
              <w:rPr>
                <w:szCs w:val="20"/>
              </w:rPr>
              <w:t xml:space="preserve"> pārbauda pieteikumos </w:t>
            </w:r>
            <w:r w:rsidR="00D1639B">
              <w:rPr>
                <w:szCs w:val="20"/>
              </w:rPr>
              <w:t>no</w:t>
            </w:r>
            <w:r>
              <w:rPr>
                <w:szCs w:val="20"/>
              </w:rPr>
              <w:t>rādīto datu atbilstību Soda reģistra informācijai.</w:t>
            </w:r>
          </w:p>
        </w:tc>
      </w:tr>
      <w:tr w:rsidR="00895904" w:rsidRPr="0098695D" w:rsidTr="00E63AE2">
        <w:trPr>
          <w:trHeight w:val="408"/>
          <w:tblCellSpacing w:w="15" w:type="dxa"/>
        </w:trPr>
        <w:tc>
          <w:tcPr>
            <w:tcW w:w="250" w:type="pct"/>
            <w:hideMark/>
          </w:tcPr>
          <w:p w:rsidR="00895904" w:rsidRPr="0098695D" w:rsidRDefault="00895904" w:rsidP="00E63AE2">
            <w:pPr>
              <w:rPr>
                <w:szCs w:val="20"/>
              </w:rPr>
            </w:pPr>
            <w:r w:rsidRPr="0098695D">
              <w:rPr>
                <w:szCs w:val="20"/>
              </w:rPr>
              <w:lastRenderedPageBreak/>
              <w:t>3.</w:t>
            </w:r>
          </w:p>
        </w:tc>
        <w:tc>
          <w:tcPr>
            <w:tcW w:w="1550" w:type="pct"/>
            <w:hideMark/>
          </w:tcPr>
          <w:p w:rsidR="00895904" w:rsidRPr="0098695D" w:rsidRDefault="00895904" w:rsidP="00E63AE2">
            <w:pPr>
              <w:rPr>
                <w:szCs w:val="20"/>
              </w:rPr>
            </w:pPr>
            <w:r w:rsidRPr="0098695D">
              <w:rPr>
                <w:szCs w:val="20"/>
              </w:rPr>
              <w:t>Administratīvo izmaksu monetārs novērtējums</w:t>
            </w:r>
          </w:p>
        </w:tc>
        <w:tc>
          <w:tcPr>
            <w:tcW w:w="3200" w:type="pct"/>
            <w:hideMark/>
          </w:tcPr>
          <w:p w:rsidR="00522033" w:rsidRDefault="004A7B54" w:rsidP="00522033">
            <w:pPr>
              <w:jc w:val="both"/>
              <w:rPr>
                <w:szCs w:val="22"/>
              </w:rPr>
            </w:pPr>
            <w:r w:rsidRPr="004A7B54">
              <w:rPr>
                <w:szCs w:val="20"/>
              </w:rPr>
              <w:t>Mērķgrupas</w:t>
            </w:r>
            <w:r w:rsidR="00522033">
              <w:rPr>
                <w:szCs w:val="20"/>
              </w:rPr>
              <w:t xml:space="preserve"> vienas daļas</w:t>
            </w:r>
            <w:r w:rsidRPr="004A7B54">
              <w:rPr>
                <w:szCs w:val="20"/>
              </w:rPr>
              <w:t xml:space="preserve"> – </w:t>
            </w:r>
            <w:r w:rsidR="00522033">
              <w:rPr>
                <w:szCs w:val="20"/>
              </w:rPr>
              <w:t>110 novadu pašvaldību un 9</w:t>
            </w:r>
            <w:r w:rsidR="00D1639B">
              <w:rPr>
                <w:szCs w:val="20"/>
              </w:rPr>
              <w:t> </w:t>
            </w:r>
            <w:r w:rsidR="00522033">
              <w:rPr>
                <w:szCs w:val="20"/>
              </w:rPr>
              <w:t xml:space="preserve">republikas pilsētu pašvaldību </w:t>
            </w:r>
            <w:r w:rsidRPr="004A7B54">
              <w:rPr>
                <w:szCs w:val="20"/>
              </w:rPr>
              <w:t xml:space="preserve">– administratīvās izmaksas veido </w:t>
            </w:r>
            <w:r w:rsidR="00522033">
              <w:rPr>
                <w:szCs w:val="20"/>
              </w:rPr>
              <w:t xml:space="preserve">pašvaldību </w:t>
            </w:r>
            <w:r w:rsidR="00522033" w:rsidRPr="0098695D">
              <w:rPr>
                <w:szCs w:val="22"/>
              </w:rPr>
              <w:t>pilnvaroto personu sastādīto administratīvo pārkāpumu protokolu kopij</w:t>
            </w:r>
            <w:r w:rsidR="00522033">
              <w:rPr>
                <w:szCs w:val="22"/>
              </w:rPr>
              <w:t>u</w:t>
            </w:r>
            <w:r w:rsidR="00522033" w:rsidRPr="0098695D">
              <w:rPr>
                <w:szCs w:val="22"/>
              </w:rPr>
              <w:t xml:space="preserve"> par zveju regulējošo normatīvo aktu pārkāpumiem</w:t>
            </w:r>
            <w:r w:rsidR="00522033">
              <w:rPr>
                <w:szCs w:val="22"/>
              </w:rPr>
              <w:t xml:space="preserve"> </w:t>
            </w:r>
            <w:r w:rsidR="00FB718A" w:rsidRPr="00FB718A">
              <w:rPr>
                <w:szCs w:val="22"/>
              </w:rPr>
              <w:t>dokumentu noformēšana un iesniegšana</w:t>
            </w:r>
            <w:r w:rsidR="00522033">
              <w:rPr>
                <w:szCs w:val="22"/>
              </w:rPr>
              <w:t xml:space="preserve">, kā arī </w:t>
            </w:r>
            <w:r w:rsidR="00522033" w:rsidRPr="00522033">
              <w:rPr>
                <w:szCs w:val="22"/>
              </w:rPr>
              <w:t>pašvaldības administratīvās komisijas vai VVD lēmuma kopiju par naudas sodu, kas uzlikts par zveju regulējošo normatīvo aktu pārkāpumiem, vai zivju, zvejas rīku un zvejas līdzekļu izņemšanu</w:t>
            </w:r>
            <w:r w:rsidR="00522033">
              <w:rPr>
                <w:szCs w:val="22"/>
              </w:rPr>
              <w:t xml:space="preserve"> </w:t>
            </w:r>
            <w:r w:rsidR="00FB718A">
              <w:rPr>
                <w:szCs w:val="22"/>
              </w:rPr>
              <w:t>noformēšana un iesniegšana</w:t>
            </w:r>
            <w:r w:rsidR="00522033">
              <w:rPr>
                <w:szCs w:val="22"/>
              </w:rPr>
              <w:t>.</w:t>
            </w:r>
          </w:p>
          <w:p w:rsidR="00522033" w:rsidRDefault="00522033" w:rsidP="00522033">
            <w:pPr>
              <w:jc w:val="both"/>
              <w:rPr>
                <w:szCs w:val="22"/>
              </w:rPr>
            </w:pPr>
            <w:r>
              <w:rPr>
                <w:szCs w:val="22"/>
              </w:rPr>
              <w:t xml:space="preserve">Mērķgrupas otras daļas – Valsts vides dienesta – </w:t>
            </w:r>
            <w:r w:rsidRPr="00522033">
              <w:rPr>
                <w:szCs w:val="22"/>
              </w:rPr>
              <w:t>administratīvās izmaksas veido</w:t>
            </w:r>
            <w:r>
              <w:rPr>
                <w:szCs w:val="22"/>
              </w:rPr>
              <w:t xml:space="preserve"> </w:t>
            </w:r>
            <w:r w:rsidRPr="00522033">
              <w:rPr>
                <w:szCs w:val="22"/>
              </w:rPr>
              <w:t>VVD pilnvaroto personu sastādīto administratīvo pārkāpumu protokolu kopij</w:t>
            </w:r>
            <w:r>
              <w:rPr>
                <w:szCs w:val="22"/>
              </w:rPr>
              <w:t>u</w:t>
            </w:r>
            <w:r w:rsidRPr="00522033">
              <w:rPr>
                <w:szCs w:val="22"/>
              </w:rPr>
              <w:t xml:space="preserve"> par zveju regulējošo normatīvo aktu pārkāpumiem</w:t>
            </w:r>
            <w:r>
              <w:rPr>
                <w:szCs w:val="22"/>
              </w:rPr>
              <w:t xml:space="preserve">, kā arī </w:t>
            </w:r>
            <w:r w:rsidRPr="00522033">
              <w:rPr>
                <w:szCs w:val="22"/>
              </w:rPr>
              <w:t>VVD lēmuma kopiju par naudas sodu, kas uzlikts par zveju regulējošo normatīvo aktu pārkāpumiem, vai zivju, zvejas rīku un zvejas līdzekļu izņemšanu</w:t>
            </w:r>
            <w:r>
              <w:rPr>
                <w:szCs w:val="22"/>
              </w:rPr>
              <w:t xml:space="preserve"> </w:t>
            </w:r>
            <w:r w:rsidR="00FB718A">
              <w:rPr>
                <w:szCs w:val="22"/>
              </w:rPr>
              <w:t>noformēšana un iesniegšana</w:t>
            </w:r>
            <w:r>
              <w:rPr>
                <w:szCs w:val="22"/>
              </w:rPr>
              <w:t>.</w:t>
            </w:r>
          </w:p>
          <w:p w:rsidR="00A222E0" w:rsidRDefault="00A222E0" w:rsidP="00522033">
            <w:pPr>
              <w:jc w:val="both"/>
              <w:rPr>
                <w:szCs w:val="20"/>
              </w:rPr>
            </w:pPr>
          </w:p>
          <w:p w:rsidR="004A7B54" w:rsidRPr="004A7B54" w:rsidRDefault="009C5431" w:rsidP="004A7B54">
            <w:pPr>
              <w:jc w:val="both"/>
              <w:rPr>
                <w:szCs w:val="20"/>
              </w:rPr>
            </w:pPr>
            <w:r>
              <w:rPr>
                <w:szCs w:val="20"/>
              </w:rPr>
              <w:t xml:space="preserve">1) </w:t>
            </w:r>
            <w:r w:rsidR="004833FF">
              <w:rPr>
                <w:szCs w:val="20"/>
              </w:rPr>
              <w:t xml:space="preserve">Tiek pieņemts, ka </w:t>
            </w:r>
            <w:r w:rsidR="00FB718A">
              <w:rPr>
                <w:szCs w:val="20"/>
              </w:rPr>
              <w:t xml:space="preserve">pēc noteikumu projekta apstiprināšanas </w:t>
            </w:r>
            <w:r w:rsidR="004833FF">
              <w:rPr>
                <w:szCs w:val="20"/>
              </w:rPr>
              <w:t>m</w:t>
            </w:r>
            <w:r w:rsidR="0035609E">
              <w:rPr>
                <w:szCs w:val="20"/>
              </w:rPr>
              <w:t>inēto dokumentu</w:t>
            </w:r>
            <w:r w:rsidR="004A7B54" w:rsidRPr="004A7B54">
              <w:rPr>
                <w:szCs w:val="20"/>
              </w:rPr>
              <w:t xml:space="preserve"> </w:t>
            </w:r>
            <w:r w:rsidR="00FB718A">
              <w:rPr>
                <w:szCs w:val="20"/>
              </w:rPr>
              <w:t>noformēšanai un iesniegšanai</w:t>
            </w:r>
            <w:r w:rsidR="00FB718A" w:rsidRPr="004A7B54">
              <w:rPr>
                <w:szCs w:val="20"/>
              </w:rPr>
              <w:t xml:space="preserve"> </w:t>
            </w:r>
            <w:r w:rsidR="004A7B54" w:rsidRPr="004A7B54">
              <w:rPr>
                <w:szCs w:val="20"/>
              </w:rPr>
              <w:t>vidēji nepieciešamais laiks vienam darbiniekam</w:t>
            </w:r>
            <w:r w:rsidR="00FB7E31">
              <w:rPr>
                <w:szCs w:val="20"/>
              </w:rPr>
              <w:t xml:space="preserve"> vidēji</w:t>
            </w:r>
            <w:r w:rsidR="004A7B54" w:rsidRPr="004A7B54">
              <w:rPr>
                <w:szCs w:val="20"/>
              </w:rPr>
              <w:t xml:space="preserve"> nepārsnie</w:t>
            </w:r>
            <w:r w:rsidR="00FB7E31">
              <w:rPr>
                <w:szCs w:val="20"/>
              </w:rPr>
              <w:t>gs</w:t>
            </w:r>
            <w:r w:rsidR="004A7B54" w:rsidRPr="004A7B54">
              <w:rPr>
                <w:szCs w:val="20"/>
              </w:rPr>
              <w:t xml:space="preserve"> </w:t>
            </w:r>
            <w:r w:rsidR="00A32E03">
              <w:rPr>
                <w:szCs w:val="20"/>
              </w:rPr>
              <w:t>2</w:t>
            </w:r>
            <w:r w:rsidR="004A7B54" w:rsidRPr="004A7B54">
              <w:rPr>
                <w:szCs w:val="20"/>
              </w:rPr>
              <w:t xml:space="preserve"> stund</w:t>
            </w:r>
            <w:r w:rsidR="00A32E03">
              <w:rPr>
                <w:szCs w:val="20"/>
              </w:rPr>
              <w:t>as</w:t>
            </w:r>
            <w:r w:rsidR="004A7B54" w:rsidRPr="004A7B54">
              <w:rPr>
                <w:szCs w:val="20"/>
              </w:rPr>
              <w:t>.</w:t>
            </w:r>
          </w:p>
          <w:p w:rsidR="004A7B54" w:rsidRDefault="00701547" w:rsidP="004A7B54">
            <w:pPr>
              <w:jc w:val="both"/>
              <w:rPr>
                <w:szCs w:val="20"/>
              </w:rPr>
            </w:pPr>
            <w:r>
              <w:rPr>
                <w:szCs w:val="20"/>
              </w:rPr>
              <w:t>Referenta d</w:t>
            </w:r>
            <w:r w:rsidR="004A7B54" w:rsidRPr="004A7B54">
              <w:rPr>
                <w:szCs w:val="20"/>
              </w:rPr>
              <w:t xml:space="preserve">arba samaksas stundas likme ar nodokļiem </w:t>
            </w:r>
            <w:r w:rsidR="00D1639B">
              <w:rPr>
                <w:szCs w:val="20"/>
              </w:rPr>
              <w:t>ir</w:t>
            </w:r>
            <w:r w:rsidR="004A7B54" w:rsidRPr="004A7B54">
              <w:rPr>
                <w:szCs w:val="20"/>
              </w:rPr>
              <w:t xml:space="preserve"> </w:t>
            </w:r>
            <w:r>
              <w:rPr>
                <w:szCs w:val="20"/>
              </w:rPr>
              <w:t>6</w:t>
            </w:r>
            <w:r w:rsidR="004A7B54" w:rsidRPr="004A7B54">
              <w:rPr>
                <w:szCs w:val="20"/>
              </w:rPr>
              <w:t>,</w:t>
            </w:r>
            <w:r>
              <w:rPr>
                <w:szCs w:val="20"/>
              </w:rPr>
              <w:t>50</w:t>
            </w:r>
            <w:r w:rsidR="004A7B54" w:rsidRPr="004A7B54">
              <w:rPr>
                <w:szCs w:val="20"/>
              </w:rPr>
              <w:t xml:space="preserve"> </w:t>
            </w:r>
            <w:proofErr w:type="spellStart"/>
            <w:r w:rsidR="004A7B54" w:rsidRPr="00DE3001">
              <w:rPr>
                <w:i/>
                <w:szCs w:val="20"/>
              </w:rPr>
              <w:t>euro</w:t>
            </w:r>
            <w:proofErr w:type="spellEnd"/>
            <w:r w:rsidR="004A7B54" w:rsidRPr="004A7B54">
              <w:rPr>
                <w:szCs w:val="20"/>
              </w:rPr>
              <w:t xml:space="preserve"> (avots – </w:t>
            </w:r>
            <w:r>
              <w:rPr>
                <w:szCs w:val="20"/>
              </w:rPr>
              <w:t>Valsts ieņēmumu dienesta</w:t>
            </w:r>
            <w:r w:rsidR="004A7B54" w:rsidRPr="004A7B54">
              <w:rPr>
                <w:szCs w:val="20"/>
              </w:rPr>
              <w:t xml:space="preserve"> dati</w:t>
            </w:r>
            <w:r>
              <w:rPr>
                <w:szCs w:val="20"/>
              </w:rPr>
              <w:t xml:space="preserve"> “I</w:t>
            </w:r>
            <w:r w:rsidRPr="00701547">
              <w:rPr>
                <w:szCs w:val="20"/>
              </w:rPr>
              <w:t xml:space="preserve">nformācija par darba vietām </w:t>
            </w:r>
            <w:proofErr w:type="gramStart"/>
            <w:r w:rsidRPr="00701547">
              <w:rPr>
                <w:szCs w:val="20"/>
              </w:rPr>
              <w:t>2016.gada</w:t>
            </w:r>
            <w:proofErr w:type="gramEnd"/>
            <w:r w:rsidRPr="00701547">
              <w:rPr>
                <w:szCs w:val="20"/>
              </w:rPr>
              <w:t xml:space="preserve"> maijā atbilstoši profesiju klasifikatoram</w:t>
            </w:r>
            <w:r>
              <w:rPr>
                <w:szCs w:val="20"/>
              </w:rPr>
              <w:t>”</w:t>
            </w:r>
            <w:r w:rsidR="00A32E03">
              <w:rPr>
                <w:szCs w:val="20"/>
              </w:rPr>
              <w:t>).</w:t>
            </w:r>
          </w:p>
          <w:p w:rsidR="00A32E03" w:rsidRPr="004A7B54" w:rsidRDefault="00A32E03" w:rsidP="004A7B54">
            <w:pPr>
              <w:jc w:val="both"/>
              <w:rPr>
                <w:szCs w:val="20"/>
              </w:rPr>
            </w:pPr>
          </w:p>
          <w:p w:rsidR="004A7B54" w:rsidRPr="004A7B54" w:rsidRDefault="004A7B54" w:rsidP="004A7B54">
            <w:pPr>
              <w:jc w:val="both"/>
              <w:rPr>
                <w:szCs w:val="20"/>
              </w:rPr>
            </w:pPr>
            <w:r w:rsidRPr="004A7B54">
              <w:rPr>
                <w:szCs w:val="20"/>
              </w:rPr>
              <w:t>C = (f x l) x (n x b) = (</w:t>
            </w:r>
            <w:r w:rsidR="00860192">
              <w:rPr>
                <w:szCs w:val="20"/>
              </w:rPr>
              <w:t>6</w:t>
            </w:r>
            <w:r w:rsidRPr="004A7B54">
              <w:rPr>
                <w:szCs w:val="20"/>
              </w:rPr>
              <w:t>,</w:t>
            </w:r>
            <w:r w:rsidR="00860192">
              <w:rPr>
                <w:szCs w:val="20"/>
              </w:rPr>
              <w:t>50</w:t>
            </w:r>
            <w:r w:rsidRPr="004A7B54">
              <w:rPr>
                <w:szCs w:val="20"/>
              </w:rPr>
              <w:t xml:space="preserve"> x</w:t>
            </w:r>
            <w:r w:rsidR="00A32E03">
              <w:rPr>
                <w:szCs w:val="20"/>
              </w:rPr>
              <w:t>2</w:t>
            </w:r>
            <w:r w:rsidRPr="004A7B54">
              <w:rPr>
                <w:szCs w:val="20"/>
              </w:rPr>
              <w:t>) x (</w:t>
            </w:r>
            <w:r w:rsidR="00A32E03">
              <w:rPr>
                <w:szCs w:val="20"/>
              </w:rPr>
              <w:t>2</w:t>
            </w:r>
            <w:r w:rsidRPr="004A7B54">
              <w:rPr>
                <w:szCs w:val="20"/>
              </w:rPr>
              <w:t xml:space="preserve">0 x </w:t>
            </w:r>
            <w:r w:rsidR="0035609E">
              <w:rPr>
                <w:szCs w:val="20"/>
              </w:rPr>
              <w:t>1</w:t>
            </w:r>
            <w:r w:rsidRPr="004A7B54">
              <w:rPr>
                <w:szCs w:val="20"/>
              </w:rPr>
              <w:t xml:space="preserve">) = </w:t>
            </w:r>
            <w:r w:rsidR="00860192">
              <w:rPr>
                <w:szCs w:val="20"/>
              </w:rPr>
              <w:t>2</w:t>
            </w:r>
            <w:r w:rsidR="00A32E03">
              <w:rPr>
                <w:szCs w:val="20"/>
              </w:rPr>
              <w:t>60</w:t>
            </w:r>
            <w:r w:rsidRPr="004A7B54">
              <w:rPr>
                <w:szCs w:val="20"/>
              </w:rPr>
              <w:t xml:space="preserve"> </w:t>
            </w:r>
            <w:proofErr w:type="spellStart"/>
            <w:r w:rsidRPr="00DE3001">
              <w:rPr>
                <w:i/>
                <w:szCs w:val="20"/>
              </w:rPr>
              <w:t>euro</w:t>
            </w:r>
            <w:proofErr w:type="spellEnd"/>
            <w:r w:rsidRPr="004A7B54">
              <w:rPr>
                <w:szCs w:val="20"/>
              </w:rPr>
              <w:t>, kur</w:t>
            </w:r>
          </w:p>
          <w:p w:rsidR="004A7B54" w:rsidRPr="004A7B54" w:rsidRDefault="004A7B54" w:rsidP="004A7B54">
            <w:pPr>
              <w:jc w:val="both"/>
              <w:rPr>
                <w:szCs w:val="20"/>
              </w:rPr>
            </w:pPr>
            <w:r w:rsidRPr="004A7B54">
              <w:rPr>
                <w:szCs w:val="20"/>
              </w:rPr>
              <w:t>C – informācijas sniegšanas pienākuma radītās izmaksas jeb administratīvās izmaksas;</w:t>
            </w:r>
          </w:p>
          <w:p w:rsidR="004A7B54" w:rsidRPr="004A7B54" w:rsidRDefault="004A7B54" w:rsidP="004A7B54">
            <w:pPr>
              <w:jc w:val="both"/>
              <w:rPr>
                <w:szCs w:val="20"/>
              </w:rPr>
            </w:pPr>
            <w:r w:rsidRPr="004A7B54">
              <w:rPr>
                <w:szCs w:val="20"/>
              </w:rPr>
              <w:t>f – finanšu līdzekļi, kas nepieciešami, lai nodrošinātu projektā paredzētā informācijas sniegšanas pienākuma izpildi (stundas samaksas likme, ieskaitot virsstundas vai stundas limitu ārējo pakalpojumu sniedzējiem, ja tādi ir);</w:t>
            </w:r>
          </w:p>
          <w:p w:rsidR="004A7B54" w:rsidRPr="004A7B54" w:rsidRDefault="004A7B54" w:rsidP="004A7B54">
            <w:pPr>
              <w:jc w:val="both"/>
              <w:rPr>
                <w:szCs w:val="20"/>
              </w:rPr>
            </w:pPr>
            <w:r w:rsidRPr="004A7B54">
              <w:rPr>
                <w:szCs w:val="20"/>
              </w:rPr>
              <w:t>l – laika patēriņš, kas nepieciešams, lai sagatavotu informāciju, kuras sniegšanu paredz projekts;</w:t>
            </w:r>
          </w:p>
          <w:p w:rsidR="004A7B54" w:rsidRPr="004A7B54" w:rsidRDefault="004A7B54" w:rsidP="004A7B54">
            <w:pPr>
              <w:jc w:val="both"/>
              <w:rPr>
                <w:szCs w:val="20"/>
              </w:rPr>
            </w:pPr>
            <w:r w:rsidRPr="004A7B54">
              <w:rPr>
                <w:szCs w:val="20"/>
              </w:rPr>
              <w:t>n – subjektu skaits, uz kuriem attiecas projektā paredzētās informācijas sniegšanas prasības;</w:t>
            </w:r>
          </w:p>
          <w:p w:rsidR="004A7B54" w:rsidRPr="004A7B54" w:rsidRDefault="004A7B54" w:rsidP="004A7B54">
            <w:pPr>
              <w:jc w:val="both"/>
              <w:rPr>
                <w:szCs w:val="20"/>
              </w:rPr>
            </w:pPr>
            <w:r w:rsidRPr="004A7B54">
              <w:rPr>
                <w:szCs w:val="20"/>
              </w:rPr>
              <w:t>b – reizes, cik bieži gada laikā projekts paredz informācijas sniegšanu.</w:t>
            </w:r>
          </w:p>
          <w:p w:rsidR="004A7B54" w:rsidRDefault="004A7B54" w:rsidP="004A7B54">
            <w:pPr>
              <w:jc w:val="both"/>
              <w:rPr>
                <w:szCs w:val="20"/>
              </w:rPr>
            </w:pPr>
          </w:p>
          <w:p w:rsidR="00FB718A" w:rsidRDefault="00FB718A" w:rsidP="004A7B54">
            <w:pPr>
              <w:jc w:val="both"/>
              <w:rPr>
                <w:szCs w:val="20"/>
              </w:rPr>
            </w:pPr>
            <w:r>
              <w:rPr>
                <w:szCs w:val="20"/>
              </w:rPr>
              <w:lastRenderedPageBreak/>
              <w:t xml:space="preserve">2) Tiek pieņemts, ka pašlaik projekta iesniedzējam ir jāpatērē 3 stundas, lai noformētu un iesniegtu projekta iesniegumu. </w:t>
            </w:r>
            <w:r w:rsidR="00A81EFB">
              <w:rPr>
                <w:szCs w:val="20"/>
              </w:rPr>
              <w:t xml:space="preserve">Tātad </w:t>
            </w:r>
            <w:r>
              <w:rPr>
                <w:szCs w:val="20"/>
              </w:rPr>
              <w:t>pašlaik</w:t>
            </w:r>
            <w:r w:rsidR="009C5431">
              <w:rPr>
                <w:szCs w:val="20"/>
              </w:rPr>
              <w:t>, ja projektus iesniegtu 20 subjekti</w:t>
            </w:r>
            <w:r>
              <w:rPr>
                <w:szCs w:val="20"/>
              </w:rPr>
              <w:t>:</w:t>
            </w:r>
          </w:p>
          <w:p w:rsidR="00FB718A" w:rsidRDefault="00FB718A" w:rsidP="004A7B54">
            <w:pPr>
              <w:jc w:val="both"/>
              <w:rPr>
                <w:szCs w:val="20"/>
              </w:rPr>
            </w:pPr>
          </w:p>
          <w:p w:rsidR="00FB718A" w:rsidRDefault="00FB718A" w:rsidP="004A7B54">
            <w:pPr>
              <w:jc w:val="both"/>
              <w:rPr>
                <w:szCs w:val="20"/>
              </w:rPr>
            </w:pPr>
            <w:r w:rsidRPr="004A7B54">
              <w:rPr>
                <w:szCs w:val="20"/>
              </w:rPr>
              <w:t>C = (f x l) x (n x b) = (</w:t>
            </w:r>
            <w:r>
              <w:rPr>
                <w:szCs w:val="20"/>
              </w:rPr>
              <w:t>6</w:t>
            </w:r>
            <w:r w:rsidRPr="004A7B54">
              <w:rPr>
                <w:szCs w:val="20"/>
              </w:rPr>
              <w:t>,</w:t>
            </w:r>
            <w:r>
              <w:rPr>
                <w:szCs w:val="20"/>
              </w:rPr>
              <w:t>50</w:t>
            </w:r>
            <w:r w:rsidRPr="004A7B54">
              <w:rPr>
                <w:szCs w:val="20"/>
              </w:rPr>
              <w:t xml:space="preserve"> x</w:t>
            </w:r>
            <w:r w:rsidR="009C5431">
              <w:rPr>
                <w:szCs w:val="20"/>
              </w:rPr>
              <w:t xml:space="preserve"> </w:t>
            </w:r>
            <w:r>
              <w:rPr>
                <w:szCs w:val="20"/>
              </w:rPr>
              <w:t>3</w:t>
            </w:r>
            <w:r w:rsidRPr="004A7B54">
              <w:rPr>
                <w:szCs w:val="20"/>
              </w:rPr>
              <w:t>) x (</w:t>
            </w:r>
            <w:r>
              <w:rPr>
                <w:szCs w:val="20"/>
              </w:rPr>
              <w:t>2</w:t>
            </w:r>
            <w:r w:rsidRPr="004A7B54">
              <w:rPr>
                <w:szCs w:val="20"/>
              </w:rPr>
              <w:t xml:space="preserve">0 x </w:t>
            </w:r>
            <w:r>
              <w:rPr>
                <w:szCs w:val="20"/>
              </w:rPr>
              <w:t>1</w:t>
            </w:r>
            <w:r w:rsidRPr="004A7B54">
              <w:rPr>
                <w:szCs w:val="20"/>
              </w:rPr>
              <w:t xml:space="preserve">) = </w:t>
            </w:r>
            <w:r w:rsidR="009C5431">
              <w:rPr>
                <w:szCs w:val="20"/>
              </w:rPr>
              <w:t>390</w:t>
            </w:r>
            <w:r w:rsidRPr="004A7B54">
              <w:rPr>
                <w:szCs w:val="20"/>
              </w:rPr>
              <w:t xml:space="preserve"> </w:t>
            </w:r>
            <w:proofErr w:type="spellStart"/>
            <w:r w:rsidRPr="00DE3001">
              <w:rPr>
                <w:i/>
                <w:szCs w:val="20"/>
              </w:rPr>
              <w:t>euro</w:t>
            </w:r>
            <w:proofErr w:type="spellEnd"/>
          </w:p>
          <w:p w:rsidR="009C5431" w:rsidRDefault="009C5431" w:rsidP="004A7B54">
            <w:pPr>
              <w:jc w:val="both"/>
              <w:rPr>
                <w:szCs w:val="20"/>
              </w:rPr>
            </w:pPr>
          </w:p>
          <w:p w:rsidR="004A7B54" w:rsidRPr="004A7B54" w:rsidRDefault="00A81EFB" w:rsidP="004A7B54">
            <w:pPr>
              <w:jc w:val="both"/>
              <w:rPr>
                <w:szCs w:val="20"/>
              </w:rPr>
            </w:pPr>
            <w:r>
              <w:rPr>
                <w:szCs w:val="20"/>
              </w:rPr>
              <w:t xml:space="preserve">Tātad </w:t>
            </w:r>
            <w:r w:rsidR="009C5431">
              <w:rPr>
                <w:szCs w:val="20"/>
              </w:rPr>
              <w:t>projekta radīto a</w:t>
            </w:r>
            <w:r w:rsidR="004A7B54" w:rsidRPr="004A7B54">
              <w:rPr>
                <w:szCs w:val="20"/>
              </w:rPr>
              <w:t>dministratīv</w:t>
            </w:r>
            <w:r w:rsidR="009C5431">
              <w:rPr>
                <w:szCs w:val="20"/>
              </w:rPr>
              <w:t>o</w:t>
            </w:r>
            <w:r w:rsidR="0028670A">
              <w:rPr>
                <w:szCs w:val="20"/>
              </w:rPr>
              <w:t xml:space="preserve"> izmaks</w:t>
            </w:r>
            <w:r w:rsidR="009C5431">
              <w:rPr>
                <w:szCs w:val="20"/>
              </w:rPr>
              <w:t>u samazinājums</w:t>
            </w:r>
            <w:r>
              <w:rPr>
                <w:szCs w:val="20"/>
              </w:rPr>
              <w:t>,</w:t>
            </w:r>
            <w:r w:rsidR="0028670A">
              <w:rPr>
                <w:szCs w:val="20"/>
              </w:rPr>
              <w:t xml:space="preserve"> </w:t>
            </w:r>
            <w:proofErr w:type="gramStart"/>
            <w:r w:rsidR="0035609E">
              <w:rPr>
                <w:szCs w:val="20"/>
              </w:rPr>
              <w:t>paredzot, ka pasākumam pieteiksies</w:t>
            </w:r>
            <w:proofErr w:type="gramEnd"/>
            <w:r w:rsidR="0035609E">
              <w:rPr>
                <w:szCs w:val="20"/>
              </w:rPr>
              <w:t xml:space="preserve"> tikai neliela</w:t>
            </w:r>
            <w:r w:rsidR="004A7B54" w:rsidRPr="004A7B54">
              <w:rPr>
                <w:szCs w:val="20"/>
              </w:rPr>
              <w:t xml:space="preserve"> </w:t>
            </w:r>
            <w:r w:rsidR="0035609E">
              <w:rPr>
                <w:szCs w:val="20"/>
              </w:rPr>
              <w:t>daļa</w:t>
            </w:r>
            <w:r w:rsidR="00A32E03">
              <w:rPr>
                <w:szCs w:val="20"/>
              </w:rPr>
              <w:t xml:space="preserve"> (19)</w:t>
            </w:r>
            <w:r w:rsidR="0035609E">
              <w:rPr>
                <w:szCs w:val="20"/>
              </w:rPr>
              <w:t xml:space="preserve"> no visām</w:t>
            </w:r>
            <w:r w:rsidR="00A32E03">
              <w:rPr>
                <w:szCs w:val="20"/>
              </w:rPr>
              <w:t xml:space="preserve"> 119</w:t>
            </w:r>
            <w:r w:rsidR="0035609E">
              <w:rPr>
                <w:szCs w:val="20"/>
              </w:rPr>
              <w:t xml:space="preserve"> pašvaldībām, kā arī VVD, </w:t>
            </w:r>
            <w:r w:rsidR="004A7B54" w:rsidRPr="004A7B54">
              <w:rPr>
                <w:szCs w:val="20"/>
              </w:rPr>
              <w:t xml:space="preserve">ir prognozējams aptuveni </w:t>
            </w:r>
            <w:r w:rsidR="009C5431">
              <w:rPr>
                <w:szCs w:val="20"/>
              </w:rPr>
              <w:t xml:space="preserve"> 390 </w:t>
            </w:r>
            <w:r>
              <w:rPr>
                <w:szCs w:val="20"/>
              </w:rPr>
              <w:t>–</w:t>
            </w:r>
            <w:r w:rsidR="009C5431">
              <w:rPr>
                <w:szCs w:val="20"/>
              </w:rPr>
              <w:t xml:space="preserve"> 260 = 130</w:t>
            </w:r>
            <w:r w:rsidR="009C5431" w:rsidRPr="004A7B54">
              <w:rPr>
                <w:szCs w:val="20"/>
              </w:rPr>
              <w:t xml:space="preserve"> </w:t>
            </w:r>
            <w:proofErr w:type="spellStart"/>
            <w:r w:rsidR="004A7B54" w:rsidRPr="00DE3001">
              <w:rPr>
                <w:i/>
                <w:szCs w:val="20"/>
              </w:rPr>
              <w:t>euro</w:t>
            </w:r>
            <w:proofErr w:type="spellEnd"/>
            <w:r w:rsidR="004A7B54" w:rsidRPr="004A7B54">
              <w:rPr>
                <w:szCs w:val="20"/>
              </w:rPr>
              <w:t xml:space="preserve"> apmērā.</w:t>
            </w:r>
          </w:p>
          <w:p w:rsidR="00A32E03" w:rsidRPr="0098695D" w:rsidRDefault="009C5431" w:rsidP="004833FF">
            <w:pPr>
              <w:jc w:val="both"/>
              <w:rPr>
                <w:szCs w:val="20"/>
              </w:rPr>
            </w:pPr>
            <w:r>
              <w:rPr>
                <w:szCs w:val="20"/>
              </w:rPr>
              <w:t xml:space="preserve">Tas nozīmē, ka </w:t>
            </w:r>
            <w:r w:rsidR="00C9131F">
              <w:rPr>
                <w:szCs w:val="20"/>
              </w:rPr>
              <w:t>a</w:t>
            </w:r>
            <w:r w:rsidR="004A7B54" w:rsidRPr="004A7B54">
              <w:rPr>
                <w:szCs w:val="20"/>
              </w:rPr>
              <w:t>dministratīvās izmaksas viena</w:t>
            </w:r>
            <w:r w:rsidR="00FB718A">
              <w:rPr>
                <w:szCs w:val="20"/>
              </w:rPr>
              <w:t>m</w:t>
            </w:r>
            <w:r w:rsidR="004A7B54" w:rsidRPr="004A7B54">
              <w:rPr>
                <w:szCs w:val="20"/>
              </w:rPr>
              <w:t xml:space="preserve"> </w:t>
            </w:r>
            <w:r w:rsidR="00FB718A">
              <w:rPr>
                <w:szCs w:val="20"/>
              </w:rPr>
              <w:t>projekta iesniedzējam</w:t>
            </w:r>
            <w:r w:rsidR="00FF50A5">
              <w:rPr>
                <w:szCs w:val="20"/>
              </w:rPr>
              <w:t xml:space="preserve"> </w:t>
            </w:r>
            <w:r w:rsidR="00A81EFB">
              <w:rPr>
                <w:szCs w:val="20"/>
              </w:rPr>
              <w:t>(</w:t>
            </w:r>
            <w:r w:rsidR="00FF50A5">
              <w:rPr>
                <w:szCs w:val="20"/>
              </w:rPr>
              <w:t>pašvaldībai vai VVD</w:t>
            </w:r>
            <w:r w:rsidR="00A81EFB">
              <w:rPr>
                <w:szCs w:val="20"/>
              </w:rPr>
              <w:t>)</w:t>
            </w:r>
            <w:r w:rsidR="00C9131F">
              <w:rPr>
                <w:szCs w:val="20"/>
              </w:rPr>
              <w:t>,</w:t>
            </w:r>
            <w:r w:rsidR="00FF50A5">
              <w:rPr>
                <w:szCs w:val="20"/>
              </w:rPr>
              <w:t xml:space="preserve"> </w:t>
            </w:r>
            <w:r w:rsidR="00C9131F">
              <w:rPr>
                <w:szCs w:val="20"/>
              </w:rPr>
              <w:t>kas pieteiksies pasākumam,</w:t>
            </w:r>
            <w:r w:rsidR="004A7B54" w:rsidRPr="004A7B54">
              <w:rPr>
                <w:szCs w:val="20"/>
              </w:rPr>
              <w:t xml:space="preserve"> </w:t>
            </w:r>
            <w:r w:rsidR="00C9131F">
              <w:rPr>
                <w:szCs w:val="20"/>
              </w:rPr>
              <w:t xml:space="preserve">vidēji </w:t>
            </w:r>
            <w:r>
              <w:rPr>
                <w:szCs w:val="20"/>
              </w:rPr>
              <w:t>samazināsies par 6,5</w:t>
            </w:r>
            <w:r w:rsidR="004A7B54" w:rsidRPr="004A7B54">
              <w:rPr>
                <w:szCs w:val="20"/>
              </w:rPr>
              <w:t xml:space="preserve"> </w:t>
            </w:r>
            <w:proofErr w:type="spellStart"/>
            <w:r w:rsidR="004A7B54" w:rsidRPr="00DE3001">
              <w:rPr>
                <w:i/>
                <w:szCs w:val="20"/>
              </w:rPr>
              <w:t>euro</w:t>
            </w:r>
            <w:proofErr w:type="spellEnd"/>
            <w:r w:rsidR="004A7B54" w:rsidRPr="004A7B54">
              <w:rPr>
                <w:szCs w:val="20"/>
              </w:rPr>
              <w:t xml:space="preserve"> gadā.</w:t>
            </w:r>
          </w:p>
        </w:tc>
      </w:tr>
      <w:tr w:rsidR="00895904" w:rsidRPr="0098695D" w:rsidTr="00E63AE2">
        <w:trPr>
          <w:trHeight w:val="276"/>
          <w:tblCellSpacing w:w="15" w:type="dxa"/>
        </w:trPr>
        <w:tc>
          <w:tcPr>
            <w:tcW w:w="250" w:type="pct"/>
            <w:hideMark/>
          </w:tcPr>
          <w:p w:rsidR="00895904" w:rsidRPr="0098695D" w:rsidRDefault="00895904" w:rsidP="00E63AE2">
            <w:pPr>
              <w:rPr>
                <w:szCs w:val="20"/>
              </w:rPr>
            </w:pPr>
            <w:r w:rsidRPr="0098695D">
              <w:rPr>
                <w:szCs w:val="20"/>
              </w:rPr>
              <w:lastRenderedPageBreak/>
              <w:t>4.</w:t>
            </w:r>
          </w:p>
        </w:tc>
        <w:tc>
          <w:tcPr>
            <w:tcW w:w="1550" w:type="pct"/>
            <w:hideMark/>
          </w:tcPr>
          <w:p w:rsidR="00895904" w:rsidRPr="0098695D" w:rsidRDefault="00895904" w:rsidP="00E63AE2">
            <w:pPr>
              <w:rPr>
                <w:szCs w:val="20"/>
              </w:rPr>
            </w:pPr>
            <w:r w:rsidRPr="0098695D">
              <w:rPr>
                <w:szCs w:val="20"/>
              </w:rPr>
              <w:t>Cita informācija</w:t>
            </w:r>
          </w:p>
        </w:tc>
        <w:tc>
          <w:tcPr>
            <w:tcW w:w="3200" w:type="pct"/>
            <w:hideMark/>
          </w:tcPr>
          <w:p w:rsidR="00895904" w:rsidRPr="0098695D" w:rsidRDefault="00DE3001" w:rsidP="00A81EFB">
            <w:pPr>
              <w:jc w:val="both"/>
              <w:rPr>
                <w:szCs w:val="20"/>
              </w:rPr>
            </w:pPr>
            <w:r>
              <w:rPr>
                <w:szCs w:val="20"/>
              </w:rPr>
              <w:t>A</w:t>
            </w:r>
            <w:r w:rsidRPr="00DE3001">
              <w:rPr>
                <w:szCs w:val="20"/>
              </w:rPr>
              <w:t>dministratīvo izmaksu monetār</w:t>
            </w:r>
            <w:r>
              <w:rPr>
                <w:szCs w:val="20"/>
              </w:rPr>
              <w:t>ai</w:t>
            </w:r>
            <w:r w:rsidRPr="00DE3001">
              <w:rPr>
                <w:szCs w:val="20"/>
              </w:rPr>
              <w:t>s novērtējums</w:t>
            </w:r>
            <w:r>
              <w:rPr>
                <w:szCs w:val="20"/>
              </w:rPr>
              <w:t xml:space="preserve"> šīs sadaļas 3.punktā izdarīts, pieņemot, ka </w:t>
            </w:r>
            <w:r w:rsidR="00A81EFB">
              <w:rPr>
                <w:szCs w:val="20"/>
              </w:rPr>
              <w:t xml:space="preserve">līdz ar </w:t>
            </w:r>
            <w:r>
              <w:rPr>
                <w:szCs w:val="20"/>
              </w:rPr>
              <w:t>administratīvā sloga samazināšan</w:t>
            </w:r>
            <w:r w:rsidR="00A81EFB">
              <w:rPr>
                <w:szCs w:val="20"/>
              </w:rPr>
              <w:t>os</w:t>
            </w:r>
            <w:r>
              <w:rPr>
                <w:szCs w:val="20"/>
              </w:rPr>
              <w:t xml:space="preserve"> </w:t>
            </w:r>
            <w:r w:rsidR="00A81EFB">
              <w:rPr>
                <w:szCs w:val="20"/>
              </w:rPr>
              <w:t xml:space="preserve">vidēji no 4 līdz 19 palielināsies to </w:t>
            </w:r>
            <w:r>
              <w:rPr>
                <w:szCs w:val="20"/>
              </w:rPr>
              <w:t>pašvaldību skaits, k</w:t>
            </w:r>
            <w:r w:rsidR="00A81EFB">
              <w:rPr>
                <w:szCs w:val="20"/>
              </w:rPr>
              <w:t>ur</w:t>
            </w:r>
            <w:r>
              <w:rPr>
                <w:szCs w:val="20"/>
              </w:rPr>
              <w:t>as iesniegs pieteikumus pasākumam.</w:t>
            </w:r>
          </w:p>
        </w:tc>
      </w:tr>
    </w:tbl>
    <w:p w:rsidR="00895904" w:rsidRPr="00AC6491" w:rsidRDefault="00895904" w:rsidP="00895904">
      <w:pPr>
        <w:ind w:firstLine="301"/>
        <w:rPr>
          <w:i/>
          <w:sz w:val="22"/>
          <w:szCs w:val="22"/>
        </w:rPr>
      </w:pPr>
      <w:r w:rsidRPr="00AC6491">
        <w:rPr>
          <w:i/>
          <w:iCs/>
        </w:rPr>
        <w:t xml:space="preserve">Anotācijas </w:t>
      </w:r>
      <w:r w:rsidR="00DC0AFB" w:rsidRPr="00AC6491">
        <w:rPr>
          <w:i/>
          <w:iCs/>
        </w:rPr>
        <w:t>I</w:t>
      </w:r>
      <w:r w:rsidRPr="00AC6491">
        <w:rPr>
          <w:i/>
          <w:iCs/>
        </w:rPr>
        <w:t>I</w:t>
      </w:r>
      <w:r w:rsidR="00DC0AFB" w:rsidRPr="00AC6491">
        <w:rPr>
          <w:i/>
          <w:iCs/>
        </w:rPr>
        <w:t>I</w:t>
      </w:r>
      <w:r w:rsidRPr="00AC6491">
        <w:rPr>
          <w:i/>
          <w:iCs/>
        </w:rPr>
        <w:t xml:space="preserve"> </w:t>
      </w:r>
      <w:r w:rsidR="00525A5D" w:rsidRPr="00AC6491">
        <w:rPr>
          <w:i/>
          <w:iCs/>
        </w:rPr>
        <w:t xml:space="preserve">sadaļa </w:t>
      </w:r>
      <w:r w:rsidRPr="00AC6491">
        <w:rPr>
          <w:i/>
          <w:iCs/>
        </w:rPr>
        <w:t>– projekts š</w:t>
      </w:r>
      <w:r w:rsidR="00911AAE" w:rsidRPr="00AC6491">
        <w:rPr>
          <w:i/>
          <w:iCs/>
        </w:rPr>
        <w:t>o</w:t>
      </w:r>
      <w:r w:rsidRPr="00AC6491">
        <w:rPr>
          <w:i/>
          <w:iCs/>
        </w:rPr>
        <w:t xml:space="preserve"> jom</w:t>
      </w:r>
      <w:r w:rsidR="00911AAE" w:rsidRPr="00AC6491">
        <w:rPr>
          <w:i/>
          <w:iCs/>
        </w:rPr>
        <w:t>u</w:t>
      </w:r>
      <w:r w:rsidRPr="00AC6491">
        <w:rPr>
          <w:i/>
          <w:iCs/>
        </w:rPr>
        <w:t xml:space="preserve"> neskar.</w:t>
      </w:r>
      <w:r w:rsidRPr="00AC6491">
        <w:rPr>
          <w:i/>
          <w:sz w:val="22"/>
          <w:szCs w:val="22"/>
        </w:rPr>
        <w:t> </w:t>
      </w:r>
    </w:p>
    <w:p w:rsidR="00895904" w:rsidRDefault="00895904" w:rsidP="00895904">
      <w:pPr>
        <w:ind w:firstLine="301"/>
        <w:rPr>
          <w:i/>
          <w:sz w:val="22"/>
          <w:szCs w:val="22"/>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2"/>
        <w:gridCol w:w="2623"/>
        <w:gridCol w:w="5946"/>
      </w:tblGrid>
      <w:tr w:rsidR="00A2266E" w:rsidRPr="00A2266E" w:rsidTr="003A45BA">
        <w:trPr>
          <w:trHeight w:val="360"/>
          <w:tblCellSpacing w:w="15" w:type="dxa"/>
          <w:jc w:val="center"/>
        </w:trPr>
        <w:tc>
          <w:tcPr>
            <w:tcW w:w="0" w:type="auto"/>
            <w:gridSpan w:val="3"/>
            <w:vAlign w:val="center"/>
            <w:hideMark/>
          </w:tcPr>
          <w:p w:rsidR="00911AAE" w:rsidRPr="00A2266E" w:rsidRDefault="00911AAE" w:rsidP="003A45BA">
            <w:pPr>
              <w:spacing w:before="100" w:beforeAutospacing="1" w:after="100" w:afterAutospacing="1" w:line="360" w:lineRule="auto"/>
              <w:ind w:firstLine="300"/>
              <w:jc w:val="center"/>
              <w:rPr>
                <w:b/>
                <w:bCs/>
                <w:szCs w:val="22"/>
              </w:rPr>
            </w:pPr>
            <w:r w:rsidRPr="00A2266E">
              <w:rPr>
                <w:b/>
                <w:bCs/>
                <w:szCs w:val="22"/>
              </w:rPr>
              <w:t>IV. Tiesību akta projekta ietekme uz spēkā esošo tiesību normu sistēmu</w:t>
            </w:r>
          </w:p>
        </w:tc>
      </w:tr>
      <w:tr w:rsidR="00A2266E" w:rsidRPr="00A2266E" w:rsidTr="003A45BA">
        <w:trPr>
          <w:tblCellSpacing w:w="15" w:type="dxa"/>
          <w:jc w:val="center"/>
        </w:trPr>
        <w:tc>
          <w:tcPr>
            <w:tcW w:w="247" w:type="pct"/>
            <w:hideMark/>
          </w:tcPr>
          <w:p w:rsidR="00911AAE" w:rsidRPr="00A2266E" w:rsidRDefault="00911AAE" w:rsidP="003A45BA">
            <w:pPr>
              <w:rPr>
                <w:szCs w:val="20"/>
              </w:rPr>
            </w:pPr>
            <w:r w:rsidRPr="00A2266E">
              <w:rPr>
                <w:szCs w:val="20"/>
              </w:rPr>
              <w:t>1.</w:t>
            </w:r>
          </w:p>
        </w:tc>
        <w:tc>
          <w:tcPr>
            <w:tcW w:w="1431" w:type="pct"/>
            <w:hideMark/>
          </w:tcPr>
          <w:p w:rsidR="00911AAE" w:rsidRPr="00A2266E" w:rsidRDefault="00911AAE" w:rsidP="003A45BA">
            <w:pPr>
              <w:rPr>
                <w:szCs w:val="20"/>
              </w:rPr>
            </w:pPr>
            <w:r w:rsidRPr="00A2266E">
              <w:rPr>
                <w:szCs w:val="20"/>
              </w:rPr>
              <w:t>Nepieciešamie saistītie tiesību aktu projekti</w:t>
            </w:r>
          </w:p>
        </w:tc>
        <w:tc>
          <w:tcPr>
            <w:tcW w:w="3257" w:type="pct"/>
            <w:hideMark/>
          </w:tcPr>
          <w:p w:rsidR="00911AAE" w:rsidRPr="00A2266E" w:rsidRDefault="00911AAE" w:rsidP="008D40C4">
            <w:pPr>
              <w:rPr>
                <w:szCs w:val="20"/>
              </w:rPr>
            </w:pPr>
            <w:r w:rsidRPr="00A2266E">
              <w:rPr>
                <w:szCs w:val="20"/>
              </w:rPr>
              <w:t xml:space="preserve">Grozījumi jāizdara arī </w:t>
            </w:r>
            <w:r w:rsidR="00C74E55" w:rsidRPr="00A2266E">
              <w:rPr>
                <w:szCs w:val="20"/>
              </w:rPr>
              <w:t>Ministru kabineta 1995.gada 19.decembra noteikumos Nr.388 “Zivju fonda nolikums”</w:t>
            </w:r>
            <w:r w:rsidRPr="00A2266E">
              <w:rPr>
                <w:szCs w:val="20"/>
              </w:rPr>
              <w:t xml:space="preserve">, jo </w:t>
            </w:r>
            <w:r w:rsidR="008D40C4" w:rsidRPr="00A2266E">
              <w:rPr>
                <w:szCs w:val="20"/>
              </w:rPr>
              <w:t>tie</w:t>
            </w:r>
            <w:r w:rsidRPr="00A2266E">
              <w:rPr>
                <w:szCs w:val="20"/>
              </w:rPr>
              <w:t xml:space="preserve"> un </w:t>
            </w:r>
            <w:r w:rsidR="00C74E55" w:rsidRPr="00A2266E">
              <w:rPr>
                <w:szCs w:val="20"/>
              </w:rPr>
              <w:t xml:space="preserve">noteikumi Nr.215 </w:t>
            </w:r>
            <w:r w:rsidRPr="00A2266E">
              <w:rPr>
                <w:szCs w:val="20"/>
              </w:rPr>
              <w:t>ir savstarpēji saistīti.</w:t>
            </w:r>
          </w:p>
        </w:tc>
      </w:tr>
      <w:tr w:rsidR="00A2266E" w:rsidRPr="00A2266E" w:rsidTr="003A45BA">
        <w:trPr>
          <w:tblCellSpacing w:w="15" w:type="dxa"/>
          <w:jc w:val="center"/>
        </w:trPr>
        <w:tc>
          <w:tcPr>
            <w:tcW w:w="247" w:type="pct"/>
            <w:hideMark/>
          </w:tcPr>
          <w:p w:rsidR="00911AAE" w:rsidRPr="00A2266E" w:rsidRDefault="00911AAE" w:rsidP="003A45BA">
            <w:pPr>
              <w:rPr>
                <w:szCs w:val="20"/>
              </w:rPr>
            </w:pPr>
            <w:r w:rsidRPr="00A2266E">
              <w:rPr>
                <w:szCs w:val="20"/>
              </w:rPr>
              <w:t>2.</w:t>
            </w:r>
          </w:p>
        </w:tc>
        <w:tc>
          <w:tcPr>
            <w:tcW w:w="1431" w:type="pct"/>
            <w:hideMark/>
          </w:tcPr>
          <w:p w:rsidR="00911AAE" w:rsidRPr="00A2266E" w:rsidRDefault="00911AAE" w:rsidP="003A45BA">
            <w:pPr>
              <w:rPr>
                <w:szCs w:val="20"/>
              </w:rPr>
            </w:pPr>
            <w:r w:rsidRPr="00A2266E">
              <w:rPr>
                <w:szCs w:val="20"/>
              </w:rPr>
              <w:t>Atbildīgā institūcija</w:t>
            </w:r>
          </w:p>
        </w:tc>
        <w:tc>
          <w:tcPr>
            <w:tcW w:w="3257" w:type="pct"/>
            <w:hideMark/>
          </w:tcPr>
          <w:p w:rsidR="00911AAE" w:rsidRPr="00A2266E" w:rsidRDefault="00911AAE" w:rsidP="003A45BA">
            <w:pPr>
              <w:rPr>
                <w:szCs w:val="20"/>
              </w:rPr>
            </w:pPr>
            <w:r w:rsidRPr="00A2266E">
              <w:rPr>
                <w:szCs w:val="20"/>
              </w:rPr>
              <w:t>Zemkopības ministrija</w:t>
            </w:r>
          </w:p>
        </w:tc>
      </w:tr>
      <w:tr w:rsidR="00A2266E" w:rsidRPr="00A2266E" w:rsidTr="003A45BA">
        <w:trPr>
          <w:tblCellSpacing w:w="15" w:type="dxa"/>
          <w:jc w:val="center"/>
        </w:trPr>
        <w:tc>
          <w:tcPr>
            <w:tcW w:w="247" w:type="pct"/>
            <w:hideMark/>
          </w:tcPr>
          <w:p w:rsidR="00911AAE" w:rsidRPr="00A2266E" w:rsidRDefault="00911AAE" w:rsidP="003A45BA">
            <w:pPr>
              <w:rPr>
                <w:szCs w:val="20"/>
              </w:rPr>
            </w:pPr>
            <w:r w:rsidRPr="00A2266E">
              <w:rPr>
                <w:szCs w:val="20"/>
              </w:rPr>
              <w:t>3.</w:t>
            </w:r>
          </w:p>
        </w:tc>
        <w:tc>
          <w:tcPr>
            <w:tcW w:w="1431" w:type="pct"/>
            <w:hideMark/>
          </w:tcPr>
          <w:p w:rsidR="00911AAE" w:rsidRPr="00A2266E" w:rsidRDefault="00911AAE" w:rsidP="003A45BA">
            <w:pPr>
              <w:rPr>
                <w:szCs w:val="20"/>
              </w:rPr>
            </w:pPr>
            <w:r w:rsidRPr="00A2266E">
              <w:rPr>
                <w:szCs w:val="20"/>
              </w:rPr>
              <w:t>Cita informācija</w:t>
            </w:r>
          </w:p>
        </w:tc>
        <w:tc>
          <w:tcPr>
            <w:tcW w:w="3257" w:type="pct"/>
            <w:hideMark/>
          </w:tcPr>
          <w:p w:rsidR="00911AAE" w:rsidRPr="00A2266E" w:rsidRDefault="00911AAE" w:rsidP="003A45BA">
            <w:pPr>
              <w:spacing w:before="100" w:beforeAutospacing="1" w:after="100" w:afterAutospacing="1" w:line="360" w:lineRule="auto"/>
              <w:rPr>
                <w:szCs w:val="20"/>
              </w:rPr>
            </w:pPr>
            <w:r w:rsidRPr="00A2266E">
              <w:rPr>
                <w:szCs w:val="20"/>
              </w:rPr>
              <w:t>Nav.</w:t>
            </w:r>
          </w:p>
        </w:tc>
      </w:tr>
    </w:tbl>
    <w:p w:rsidR="00911AAE" w:rsidRPr="0098695D" w:rsidRDefault="00911AAE" w:rsidP="00911AAE">
      <w:pPr>
        <w:ind w:firstLine="301"/>
        <w:rPr>
          <w:i/>
          <w:szCs w:val="22"/>
        </w:rPr>
      </w:pPr>
      <w:r w:rsidRPr="00AC6491">
        <w:rPr>
          <w:i/>
          <w:iCs/>
        </w:rPr>
        <w:t>Anotācijas V sadaļa – projekts š</w:t>
      </w:r>
      <w:r w:rsidR="0098695D" w:rsidRPr="00AC6491">
        <w:rPr>
          <w:i/>
          <w:iCs/>
        </w:rPr>
        <w:t>o</w:t>
      </w:r>
      <w:r w:rsidRPr="00AC6491">
        <w:rPr>
          <w:i/>
          <w:iCs/>
        </w:rPr>
        <w:t xml:space="preserve"> jom</w:t>
      </w:r>
      <w:r w:rsidR="0098695D" w:rsidRPr="00AC6491">
        <w:rPr>
          <w:i/>
          <w:iCs/>
        </w:rPr>
        <w:t>u</w:t>
      </w:r>
      <w:r w:rsidRPr="00AC6491">
        <w:rPr>
          <w:i/>
          <w:iCs/>
        </w:rPr>
        <w:t xml:space="preserve"> neskar.</w:t>
      </w:r>
      <w:r w:rsidRPr="00AC6491">
        <w:rPr>
          <w:i/>
          <w:sz w:val="22"/>
          <w:szCs w:val="22"/>
        </w:rPr>
        <w:t> </w:t>
      </w:r>
    </w:p>
    <w:p w:rsidR="00484000" w:rsidRDefault="00484000" w:rsidP="00895904">
      <w:pPr>
        <w:ind w:firstLine="301"/>
        <w:rPr>
          <w:sz w:val="22"/>
          <w:szCs w:val="22"/>
        </w:rPr>
      </w:pPr>
    </w:p>
    <w:tbl>
      <w:tblPr>
        <w:tblW w:w="917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478"/>
        <w:gridCol w:w="3998"/>
        <w:gridCol w:w="4698"/>
      </w:tblGrid>
      <w:tr w:rsidR="0098695D" w:rsidRPr="00592A2C" w:rsidTr="003A45BA">
        <w:trPr>
          <w:jc w:val="center"/>
        </w:trPr>
        <w:tc>
          <w:tcPr>
            <w:tcW w:w="9174" w:type="dxa"/>
            <w:gridSpan w:val="3"/>
          </w:tcPr>
          <w:p w:rsidR="0098695D" w:rsidRPr="00592A2C" w:rsidRDefault="0098695D" w:rsidP="003A45BA">
            <w:pPr>
              <w:pStyle w:val="naisnod"/>
              <w:spacing w:before="0" w:after="0"/>
              <w:ind w:left="57" w:right="57"/>
            </w:pPr>
            <w:r w:rsidRPr="00592A2C">
              <w:t>VI. Sabiedrības līdzdalība un komunikācijas aktivitātes</w:t>
            </w:r>
          </w:p>
        </w:tc>
      </w:tr>
      <w:tr w:rsidR="0098695D" w:rsidRPr="00592A2C" w:rsidTr="003A45BA">
        <w:trPr>
          <w:trHeight w:val="553"/>
          <w:jc w:val="center"/>
        </w:trPr>
        <w:tc>
          <w:tcPr>
            <w:tcW w:w="478" w:type="dxa"/>
          </w:tcPr>
          <w:p w:rsidR="0098695D" w:rsidRPr="00592A2C" w:rsidRDefault="0098695D" w:rsidP="003A45BA">
            <w:pPr>
              <w:pStyle w:val="naiskr"/>
              <w:spacing w:before="0" w:after="0"/>
              <w:ind w:left="57" w:right="57"/>
              <w:rPr>
                <w:bCs/>
              </w:rPr>
            </w:pPr>
            <w:r w:rsidRPr="00592A2C">
              <w:rPr>
                <w:bCs/>
              </w:rPr>
              <w:t>1.</w:t>
            </w:r>
          </w:p>
        </w:tc>
        <w:tc>
          <w:tcPr>
            <w:tcW w:w="3998" w:type="dxa"/>
          </w:tcPr>
          <w:p w:rsidR="0098695D" w:rsidRPr="00592A2C" w:rsidRDefault="0098695D" w:rsidP="003A45BA">
            <w:pPr>
              <w:pStyle w:val="naiskr"/>
              <w:tabs>
                <w:tab w:val="left" w:pos="170"/>
              </w:tabs>
              <w:spacing w:before="0" w:after="0"/>
              <w:ind w:left="57" w:right="57"/>
            </w:pPr>
            <w:r w:rsidRPr="00592A2C">
              <w:t>Plānotās sabiedrības līdzdalības un komunikācijas aktivitātes saistībā ar projektu</w:t>
            </w:r>
          </w:p>
        </w:tc>
        <w:tc>
          <w:tcPr>
            <w:tcW w:w="4698" w:type="dxa"/>
          </w:tcPr>
          <w:p w:rsidR="0098695D" w:rsidRPr="004275EF" w:rsidRDefault="0098695D" w:rsidP="003A45BA">
            <w:pPr>
              <w:pStyle w:val="Virsraksts1"/>
              <w:spacing w:before="0" w:beforeAutospacing="0" w:after="0" w:afterAutospacing="0"/>
              <w:jc w:val="both"/>
              <w:rPr>
                <w:b w:val="0"/>
                <w:sz w:val="24"/>
                <w:szCs w:val="24"/>
              </w:rPr>
            </w:pPr>
            <w:r w:rsidRPr="004275EF">
              <w:rPr>
                <w:b w:val="0"/>
                <w:sz w:val="24"/>
                <w:szCs w:val="24"/>
              </w:rPr>
              <w:t xml:space="preserve">Informācija par Zemkopības ministrijas sagatavoto noteikumu projektu bija pieejama tīmekļa vietnē </w:t>
            </w:r>
            <w:hyperlink r:id="rId6" w:history="1">
              <w:r w:rsidRPr="004275EF">
                <w:rPr>
                  <w:b w:val="0"/>
                  <w:sz w:val="24"/>
                  <w:szCs w:val="24"/>
                </w:rPr>
                <w:t>www.zm.gov.lv</w:t>
              </w:r>
            </w:hyperlink>
            <w:r w:rsidRPr="004275EF">
              <w:rPr>
                <w:b w:val="0"/>
                <w:sz w:val="24"/>
                <w:szCs w:val="24"/>
              </w:rPr>
              <w:t xml:space="preserve"> no </w:t>
            </w:r>
            <w:proofErr w:type="gramStart"/>
            <w:r w:rsidRPr="004275EF">
              <w:rPr>
                <w:b w:val="0"/>
                <w:sz w:val="24"/>
                <w:szCs w:val="24"/>
              </w:rPr>
              <w:t>201</w:t>
            </w:r>
            <w:r>
              <w:rPr>
                <w:b w:val="0"/>
                <w:sz w:val="24"/>
                <w:szCs w:val="24"/>
              </w:rPr>
              <w:t>6</w:t>
            </w:r>
            <w:r w:rsidRPr="004275EF">
              <w:rPr>
                <w:b w:val="0"/>
                <w:sz w:val="24"/>
                <w:szCs w:val="24"/>
              </w:rPr>
              <w:t>.gada</w:t>
            </w:r>
            <w:proofErr w:type="gramEnd"/>
            <w:r w:rsidRPr="004275EF">
              <w:rPr>
                <w:b w:val="0"/>
                <w:sz w:val="24"/>
                <w:szCs w:val="24"/>
              </w:rPr>
              <w:t xml:space="preserve"> </w:t>
            </w:r>
            <w:r>
              <w:rPr>
                <w:b w:val="0"/>
                <w:sz w:val="24"/>
                <w:szCs w:val="24"/>
              </w:rPr>
              <w:t>8.</w:t>
            </w:r>
            <w:r w:rsidR="00A81EFB">
              <w:rPr>
                <w:b w:val="0"/>
                <w:sz w:val="24"/>
                <w:szCs w:val="24"/>
              </w:rPr>
              <w:t> </w:t>
            </w:r>
            <w:r w:rsidRPr="004275EF">
              <w:rPr>
                <w:b w:val="0"/>
                <w:sz w:val="24"/>
                <w:szCs w:val="24"/>
              </w:rPr>
              <w:t xml:space="preserve">līdz </w:t>
            </w:r>
            <w:r>
              <w:rPr>
                <w:b w:val="0"/>
                <w:sz w:val="24"/>
                <w:szCs w:val="24"/>
              </w:rPr>
              <w:t>1</w:t>
            </w:r>
            <w:r w:rsidR="00950C82">
              <w:rPr>
                <w:b w:val="0"/>
                <w:sz w:val="24"/>
                <w:szCs w:val="24"/>
              </w:rPr>
              <w:t>5</w:t>
            </w:r>
            <w:r>
              <w:rPr>
                <w:b w:val="0"/>
                <w:sz w:val="24"/>
                <w:szCs w:val="24"/>
              </w:rPr>
              <w:t>.septembrim</w:t>
            </w:r>
            <w:r w:rsidRPr="004275EF">
              <w:rPr>
                <w:b w:val="0"/>
                <w:sz w:val="24"/>
                <w:szCs w:val="24"/>
              </w:rPr>
              <w:t>.</w:t>
            </w:r>
          </w:p>
          <w:p w:rsidR="0098695D" w:rsidRPr="00592A2C" w:rsidRDefault="0098695D" w:rsidP="00A81EFB">
            <w:pPr>
              <w:pStyle w:val="Virsraksts1"/>
              <w:spacing w:before="0" w:beforeAutospacing="0" w:after="0" w:afterAutospacing="0"/>
              <w:jc w:val="both"/>
              <w:rPr>
                <w:b w:val="0"/>
                <w:iCs/>
                <w:sz w:val="24"/>
                <w:szCs w:val="24"/>
              </w:rPr>
            </w:pPr>
            <w:r>
              <w:rPr>
                <w:b w:val="0"/>
                <w:sz w:val="24"/>
                <w:szCs w:val="24"/>
              </w:rPr>
              <w:t>P</w:t>
            </w:r>
            <w:r w:rsidRPr="004275EF">
              <w:rPr>
                <w:b w:val="0"/>
                <w:sz w:val="24"/>
                <w:szCs w:val="24"/>
              </w:rPr>
              <w:t xml:space="preserve">laša </w:t>
            </w:r>
            <w:r>
              <w:rPr>
                <w:b w:val="0"/>
                <w:sz w:val="24"/>
                <w:szCs w:val="24"/>
              </w:rPr>
              <w:t>n</w:t>
            </w:r>
            <w:r w:rsidRPr="004275EF">
              <w:rPr>
                <w:b w:val="0"/>
                <w:sz w:val="24"/>
                <w:szCs w:val="24"/>
              </w:rPr>
              <w:t xml:space="preserve">oteikumu projekta sabiedriskā apspriešana nav plānota, </w:t>
            </w:r>
            <w:r>
              <w:rPr>
                <w:b w:val="0"/>
                <w:sz w:val="24"/>
                <w:szCs w:val="24"/>
              </w:rPr>
              <w:t xml:space="preserve">jo noteikumu projektā </w:t>
            </w:r>
            <w:r w:rsidR="00A81EFB">
              <w:rPr>
                <w:b w:val="0"/>
                <w:sz w:val="24"/>
                <w:szCs w:val="24"/>
              </w:rPr>
              <w:t xml:space="preserve">mainīta </w:t>
            </w:r>
            <w:r>
              <w:rPr>
                <w:b w:val="0"/>
                <w:sz w:val="24"/>
                <w:szCs w:val="24"/>
              </w:rPr>
              <w:t xml:space="preserve">terminoloģija un </w:t>
            </w:r>
            <w:r w:rsidR="00A81EFB">
              <w:rPr>
                <w:b w:val="0"/>
                <w:sz w:val="24"/>
                <w:szCs w:val="24"/>
              </w:rPr>
              <w:t xml:space="preserve">paredzēts </w:t>
            </w:r>
            <w:r>
              <w:rPr>
                <w:b w:val="0"/>
                <w:sz w:val="24"/>
                <w:szCs w:val="24"/>
              </w:rPr>
              <w:t>administratīvā sloga atvieglojums.</w:t>
            </w:r>
            <w:r w:rsidRPr="00592A2C">
              <w:rPr>
                <w:b w:val="0"/>
                <w:sz w:val="24"/>
                <w:szCs w:val="24"/>
              </w:rPr>
              <w:t xml:space="preserve"> </w:t>
            </w:r>
            <w:r>
              <w:rPr>
                <w:b w:val="0"/>
                <w:sz w:val="24"/>
                <w:szCs w:val="24"/>
              </w:rPr>
              <w:t xml:space="preserve">Noteikumu projekts </w:t>
            </w:r>
            <w:r w:rsidRPr="0098695D">
              <w:rPr>
                <w:b w:val="0"/>
                <w:sz w:val="24"/>
                <w:szCs w:val="24"/>
              </w:rPr>
              <w:t xml:space="preserve">būtiski </w:t>
            </w:r>
            <w:r>
              <w:rPr>
                <w:b w:val="0"/>
                <w:sz w:val="24"/>
                <w:szCs w:val="24"/>
              </w:rPr>
              <w:t>ne</w:t>
            </w:r>
            <w:r w:rsidRPr="0098695D">
              <w:rPr>
                <w:b w:val="0"/>
                <w:sz w:val="24"/>
                <w:szCs w:val="24"/>
              </w:rPr>
              <w:t xml:space="preserve">maina esošo regulējumu </w:t>
            </w:r>
            <w:r>
              <w:rPr>
                <w:b w:val="0"/>
                <w:sz w:val="24"/>
                <w:szCs w:val="24"/>
              </w:rPr>
              <w:t>un</w:t>
            </w:r>
            <w:r w:rsidRPr="0098695D">
              <w:rPr>
                <w:b w:val="0"/>
                <w:sz w:val="24"/>
                <w:szCs w:val="24"/>
              </w:rPr>
              <w:t xml:space="preserve"> </w:t>
            </w:r>
            <w:r>
              <w:rPr>
                <w:b w:val="0"/>
                <w:sz w:val="24"/>
                <w:szCs w:val="24"/>
              </w:rPr>
              <w:t>ne</w:t>
            </w:r>
            <w:r w:rsidRPr="0098695D">
              <w:rPr>
                <w:b w:val="0"/>
                <w:sz w:val="24"/>
                <w:szCs w:val="24"/>
              </w:rPr>
              <w:t>paredz ieviest jaunas politiskās iniciatīvas.</w:t>
            </w:r>
          </w:p>
        </w:tc>
      </w:tr>
      <w:tr w:rsidR="0098695D" w:rsidRPr="00592A2C" w:rsidTr="003A45BA">
        <w:trPr>
          <w:trHeight w:val="339"/>
          <w:jc w:val="center"/>
        </w:trPr>
        <w:tc>
          <w:tcPr>
            <w:tcW w:w="478" w:type="dxa"/>
          </w:tcPr>
          <w:p w:rsidR="0098695D" w:rsidRPr="00592A2C" w:rsidRDefault="0098695D" w:rsidP="003A45BA">
            <w:pPr>
              <w:pStyle w:val="naiskr"/>
              <w:spacing w:before="0" w:after="0"/>
              <w:ind w:left="57" w:right="57"/>
              <w:rPr>
                <w:bCs/>
              </w:rPr>
            </w:pPr>
            <w:r w:rsidRPr="00592A2C">
              <w:rPr>
                <w:bCs/>
              </w:rPr>
              <w:t>2.</w:t>
            </w:r>
          </w:p>
        </w:tc>
        <w:tc>
          <w:tcPr>
            <w:tcW w:w="3998" w:type="dxa"/>
          </w:tcPr>
          <w:p w:rsidR="0098695D" w:rsidRPr="00592A2C" w:rsidRDefault="0098695D" w:rsidP="003A45BA">
            <w:pPr>
              <w:pStyle w:val="naiskr"/>
              <w:spacing w:before="0" w:after="0"/>
              <w:ind w:left="57" w:right="57"/>
            </w:pPr>
            <w:r w:rsidRPr="00592A2C">
              <w:t xml:space="preserve">Sabiedrības līdzdalība projekta izstrādē </w:t>
            </w:r>
          </w:p>
        </w:tc>
        <w:tc>
          <w:tcPr>
            <w:tcW w:w="4698" w:type="dxa"/>
          </w:tcPr>
          <w:p w:rsidR="0098695D" w:rsidRPr="00FB6218" w:rsidRDefault="0098695D" w:rsidP="00A81EFB">
            <w:pPr>
              <w:pStyle w:val="Virsraksts1"/>
              <w:spacing w:before="0" w:beforeAutospacing="0" w:after="0" w:afterAutospacing="0"/>
              <w:jc w:val="both"/>
              <w:rPr>
                <w:b w:val="0"/>
                <w:bCs w:val="0"/>
                <w:kern w:val="0"/>
                <w:sz w:val="24"/>
                <w:szCs w:val="24"/>
              </w:rPr>
            </w:pPr>
            <w:r>
              <w:rPr>
                <w:b w:val="0"/>
                <w:sz w:val="24"/>
                <w:szCs w:val="24"/>
              </w:rPr>
              <w:t>N</w:t>
            </w:r>
            <w:r w:rsidRPr="004275EF">
              <w:rPr>
                <w:b w:val="0"/>
                <w:sz w:val="24"/>
                <w:szCs w:val="24"/>
              </w:rPr>
              <w:t>oteikumu projekt</w:t>
            </w:r>
            <w:r>
              <w:rPr>
                <w:b w:val="0"/>
                <w:sz w:val="24"/>
                <w:szCs w:val="24"/>
              </w:rPr>
              <w:t>s bija pieejams</w:t>
            </w:r>
            <w:r w:rsidRPr="004275EF">
              <w:rPr>
                <w:b w:val="0"/>
                <w:sz w:val="24"/>
                <w:szCs w:val="24"/>
              </w:rPr>
              <w:t xml:space="preserve"> tīmekļa vietnē </w:t>
            </w:r>
            <w:hyperlink r:id="rId7" w:history="1">
              <w:r w:rsidRPr="004275EF">
                <w:rPr>
                  <w:b w:val="0"/>
                  <w:sz w:val="24"/>
                  <w:szCs w:val="24"/>
                </w:rPr>
                <w:t>www.zm.gov.lv</w:t>
              </w:r>
            </w:hyperlink>
            <w:r w:rsidRPr="004275EF">
              <w:rPr>
                <w:b w:val="0"/>
                <w:sz w:val="24"/>
                <w:szCs w:val="24"/>
              </w:rPr>
              <w:t xml:space="preserve"> no </w:t>
            </w:r>
            <w:proofErr w:type="gramStart"/>
            <w:r w:rsidRPr="004275EF">
              <w:rPr>
                <w:b w:val="0"/>
                <w:sz w:val="24"/>
                <w:szCs w:val="24"/>
              </w:rPr>
              <w:t>201</w:t>
            </w:r>
            <w:r>
              <w:rPr>
                <w:b w:val="0"/>
                <w:sz w:val="24"/>
                <w:szCs w:val="24"/>
              </w:rPr>
              <w:t>6</w:t>
            </w:r>
            <w:r w:rsidRPr="004275EF">
              <w:rPr>
                <w:b w:val="0"/>
                <w:sz w:val="24"/>
                <w:szCs w:val="24"/>
              </w:rPr>
              <w:t>.gada</w:t>
            </w:r>
            <w:proofErr w:type="gramEnd"/>
            <w:r w:rsidRPr="004275EF">
              <w:rPr>
                <w:b w:val="0"/>
                <w:sz w:val="24"/>
                <w:szCs w:val="24"/>
              </w:rPr>
              <w:t xml:space="preserve"> </w:t>
            </w:r>
            <w:r>
              <w:rPr>
                <w:b w:val="0"/>
                <w:sz w:val="24"/>
                <w:szCs w:val="24"/>
              </w:rPr>
              <w:t>8.</w:t>
            </w:r>
            <w:r w:rsidR="00A81EFB">
              <w:rPr>
                <w:b w:val="0"/>
                <w:sz w:val="24"/>
                <w:szCs w:val="24"/>
              </w:rPr>
              <w:t> </w:t>
            </w:r>
            <w:r w:rsidRPr="004275EF">
              <w:rPr>
                <w:b w:val="0"/>
                <w:sz w:val="24"/>
                <w:szCs w:val="24"/>
              </w:rPr>
              <w:t xml:space="preserve">līdz </w:t>
            </w:r>
            <w:r>
              <w:rPr>
                <w:b w:val="0"/>
                <w:sz w:val="24"/>
                <w:szCs w:val="24"/>
              </w:rPr>
              <w:t>1</w:t>
            </w:r>
            <w:r w:rsidR="0025017E">
              <w:rPr>
                <w:b w:val="0"/>
                <w:sz w:val="24"/>
                <w:szCs w:val="24"/>
              </w:rPr>
              <w:t>5</w:t>
            </w:r>
            <w:r>
              <w:rPr>
                <w:b w:val="0"/>
                <w:sz w:val="24"/>
                <w:szCs w:val="24"/>
              </w:rPr>
              <w:t>.septembrim</w:t>
            </w:r>
            <w:r w:rsidRPr="004275EF">
              <w:rPr>
                <w:b w:val="0"/>
                <w:sz w:val="24"/>
                <w:szCs w:val="24"/>
              </w:rPr>
              <w:t>.</w:t>
            </w:r>
          </w:p>
        </w:tc>
      </w:tr>
      <w:tr w:rsidR="0098695D" w:rsidRPr="00592A2C" w:rsidTr="003A45BA">
        <w:trPr>
          <w:trHeight w:val="375"/>
          <w:jc w:val="center"/>
        </w:trPr>
        <w:tc>
          <w:tcPr>
            <w:tcW w:w="478" w:type="dxa"/>
          </w:tcPr>
          <w:p w:rsidR="0098695D" w:rsidRPr="00592A2C" w:rsidRDefault="0098695D" w:rsidP="003A45BA">
            <w:pPr>
              <w:pStyle w:val="naiskr"/>
              <w:spacing w:before="0" w:after="0"/>
              <w:ind w:left="57" w:right="57"/>
              <w:rPr>
                <w:bCs/>
              </w:rPr>
            </w:pPr>
            <w:r w:rsidRPr="00592A2C">
              <w:rPr>
                <w:bCs/>
              </w:rPr>
              <w:t>3.</w:t>
            </w:r>
          </w:p>
        </w:tc>
        <w:tc>
          <w:tcPr>
            <w:tcW w:w="3998" w:type="dxa"/>
          </w:tcPr>
          <w:p w:rsidR="0098695D" w:rsidRPr="00592A2C" w:rsidRDefault="0098695D" w:rsidP="003A45BA">
            <w:pPr>
              <w:pStyle w:val="naiskr"/>
              <w:spacing w:before="0" w:after="0"/>
              <w:ind w:left="57" w:right="57"/>
            </w:pPr>
            <w:r w:rsidRPr="00592A2C">
              <w:t xml:space="preserve">Sabiedrības līdzdalības rezultāti </w:t>
            </w:r>
          </w:p>
        </w:tc>
        <w:tc>
          <w:tcPr>
            <w:tcW w:w="4698" w:type="dxa"/>
          </w:tcPr>
          <w:p w:rsidR="0098695D" w:rsidRPr="008E02CB" w:rsidRDefault="0098695D" w:rsidP="003A45BA">
            <w:pPr>
              <w:pStyle w:val="naiskr"/>
              <w:spacing w:before="0" w:after="0"/>
              <w:ind w:left="57" w:right="57"/>
              <w:jc w:val="both"/>
              <w:rPr>
                <w:b/>
                <w:bCs/>
                <w:i/>
              </w:rPr>
            </w:pPr>
            <w:r w:rsidRPr="004275EF">
              <w:t>Sabiedriskās apspriešanas laikā iebildumi un priekšlikumi par noteikumu projektu netika saņemti</w:t>
            </w:r>
            <w:r w:rsidRPr="00B551B7">
              <w:t>.</w:t>
            </w:r>
            <w:r w:rsidRPr="00B551B7">
              <w:rPr>
                <w:b/>
                <w:bCs/>
                <w:i/>
              </w:rPr>
              <w:t xml:space="preserve"> </w:t>
            </w:r>
          </w:p>
        </w:tc>
      </w:tr>
      <w:tr w:rsidR="0098695D" w:rsidRPr="00592A2C" w:rsidTr="003A45BA">
        <w:trPr>
          <w:trHeight w:val="369"/>
          <w:jc w:val="center"/>
        </w:trPr>
        <w:tc>
          <w:tcPr>
            <w:tcW w:w="478" w:type="dxa"/>
          </w:tcPr>
          <w:p w:rsidR="0098695D" w:rsidRPr="00592A2C" w:rsidRDefault="0098695D" w:rsidP="003A45BA">
            <w:pPr>
              <w:pStyle w:val="naiskr"/>
              <w:spacing w:before="0" w:after="0"/>
              <w:ind w:left="57" w:right="57"/>
              <w:rPr>
                <w:bCs/>
              </w:rPr>
            </w:pPr>
            <w:r w:rsidRPr="00592A2C">
              <w:rPr>
                <w:bCs/>
              </w:rPr>
              <w:t>4.</w:t>
            </w:r>
          </w:p>
        </w:tc>
        <w:tc>
          <w:tcPr>
            <w:tcW w:w="3998" w:type="dxa"/>
          </w:tcPr>
          <w:p w:rsidR="0098695D" w:rsidRPr="00592A2C" w:rsidRDefault="0098695D" w:rsidP="003A45BA">
            <w:pPr>
              <w:pStyle w:val="naiskr"/>
              <w:spacing w:before="0" w:after="0"/>
              <w:ind w:left="57" w:right="57"/>
            </w:pPr>
            <w:r w:rsidRPr="00592A2C">
              <w:t>Cita informācija</w:t>
            </w:r>
          </w:p>
        </w:tc>
        <w:tc>
          <w:tcPr>
            <w:tcW w:w="4698" w:type="dxa"/>
          </w:tcPr>
          <w:p w:rsidR="0098695D" w:rsidRPr="004275EF" w:rsidRDefault="0098695D" w:rsidP="003A45BA">
            <w:pPr>
              <w:pStyle w:val="naiskr"/>
              <w:spacing w:before="0" w:after="0"/>
              <w:ind w:left="57" w:right="57"/>
              <w:jc w:val="both"/>
            </w:pPr>
            <w:r w:rsidRPr="004275EF">
              <w:t>Nav.</w:t>
            </w:r>
          </w:p>
        </w:tc>
      </w:tr>
    </w:tbl>
    <w:p w:rsidR="0098695D" w:rsidRPr="00EB09A4" w:rsidRDefault="0098695D" w:rsidP="00895904">
      <w:pPr>
        <w:rPr>
          <w:sz w:val="22"/>
          <w:szCs w:val="22"/>
        </w:rPr>
      </w:pPr>
    </w:p>
    <w:tbl>
      <w:tblPr>
        <w:tblpPr w:leftFromText="180" w:rightFromText="180" w:vertAnchor="text" w:horzAnchor="margin" w:tblpX="108" w:tblpY="113"/>
        <w:tblW w:w="494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6"/>
        <w:gridCol w:w="4151"/>
        <w:gridCol w:w="4389"/>
      </w:tblGrid>
      <w:tr w:rsidR="0098695D" w:rsidRPr="00592A2C" w:rsidTr="003A45BA">
        <w:tc>
          <w:tcPr>
            <w:tcW w:w="5000" w:type="pct"/>
            <w:gridSpan w:val="3"/>
          </w:tcPr>
          <w:p w:rsidR="0098695D" w:rsidRPr="00592A2C" w:rsidRDefault="0098695D" w:rsidP="003A45BA">
            <w:pPr>
              <w:jc w:val="center"/>
              <w:rPr>
                <w:b/>
                <w:bCs/>
                <w:color w:val="000000"/>
              </w:rPr>
            </w:pPr>
            <w:r w:rsidRPr="00592A2C">
              <w:rPr>
                <w:b/>
                <w:bCs/>
                <w:color w:val="000000"/>
              </w:rPr>
              <w:lastRenderedPageBreak/>
              <w:t>VII. Tiesību akta projekta izpildes nodrošināšana un tās ietekme uz institūcijām</w:t>
            </w:r>
          </w:p>
        </w:tc>
      </w:tr>
      <w:tr w:rsidR="0098695D" w:rsidRPr="00592A2C" w:rsidTr="003A45BA">
        <w:tc>
          <w:tcPr>
            <w:tcW w:w="217" w:type="pct"/>
          </w:tcPr>
          <w:p w:rsidR="0098695D" w:rsidRPr="00592A2C" w:rsidRDefault="0098695D" w:rsidP="003A45BA">
            <w:pPr>
              <w:rPr>
                <w:color w:val="000000"/>
              </w:rPr>
            </w:pPr>
            <w:r w:rsidRPr="00592A2C">
              <w:rPr>
                <w:color w:val="000000"/>
              </w:rPr>
              <w:t>1.</w:t>
            </w:r>
          </w:p>
        </w:tc>
        <w:tc>
          <w:tcPr>
            <w:tcW w:w="2325" w:type="pct"/>
          </w:tcPr>
          <w:p w:rsidR="0098695D" w:rsidRPr="00592A2C" w:rsidRDefault="0098695D" w:rsidP="003A45BA">
            <w:pPr>
              <w:rPr>
                <w:color w:val="000000"/>
              </w:rPr>
            </w:pPr>
            <w:r w:rsidRPr="00592A2C">
              <w:rPr>
                <w:color w:val="000000"/>
              </w:rPr>
              <w:t>Projekta izpildē iesaistītās institūcijas</w:t>
            </w:r>
          </w:p>
        </w:tc>
        <w:tc>
          <w:tcPr>
            <w:tcW w:w="2458" w:type="pct"/>
          </w:tcPr>
          <w:p w:rsidR="0098695D" w:rsidRPr="00592A2C" w:rsidRDefault="0098695D" w:rsidP="003A45BA">
            <w:pPr>
              <w:jc w:val="both"/>
              <w:rPr>
                <w:color w:val="000000"/>
              </w:rPr>
            </w:pPr>
            <w:r w:rsidRPr="00592A2C">
              <w:t>Zemkopības ministrija</w:t>
            </w:r>
          </w:p>
        </w:tc>
      </w:tr>
      <w:tr w:rsidR="0098695D" w:rsidRPr="00592A2C" w:rsidTr="003A45BA">
        <w:tc>
          <w:tcPr>
            <w:tcW w:w="217" w:type="pct"/>
          </w:tcPr>
          <w:p w:rsidR="0098695D" w:rsidRPr="00592A2C" w:rsidRDefault="0098695D" w:rsidP="003A45BA">
            <w:pPr>
              <w:rPr>
                <w:color w:val="000000"/>
              </w:rPr>
            </w:pPr>
            <w:r w:rsidRPr="00592A2C">
              <w:rPr>
                <w:color w:val="000000"/>
              </w:rPr>
              <w:t>2.</w:t>
            </w:r>
          </w:p>
        </w:tc>
        <w:tc>
          <w:tcPr>
            <w:tcW w:w="2325" w:type="pct"/>
          </w:tcPr>
          <w:p w:rsidR="0098695D" w:rsidRPr="00592A2C" w:rsidRDefault="0098695D" w:rsidP="003A45BA">
            <w:pPr>
              <w:rPr>
                <w:color w:val="000000"/>
              </w:rPr>
            </w:pPr>
            <w:r w:rsidRPr="00592A2C">
              <w:rPr>
                <w:color w:val="000000"/>
              </w:rPr>
              <w:t>Projekta izpildes ietekme uz pārvaldes funkcijām un institucionālo struktūru.</w:t>
            </w:r>
          </w:p>
          <w:p w:rsidR="0098695D" w:rsidRPr="00592A2C" w:rsidRDefault="0098695D" w:rsidP="003A45BA">
            <w:pPr>
              <w:rPr>
                <w:color w:val="000000"/>
              </w:rPr>
            </w:pPr>
            <w:r w:rsidRPr="00592A2C">
              <w:rPr>
                <w:color w:val="000000"/>
              </w:rPr>
              <w:t>Jaunu institūciju izveide, esošu institūciju likvidācija vai reorganizācija, to ietekme un institūcijas cilvēkresursiem</w:t>
            </w:r>
          </w:p>
        </w:tc>
        <w:tc>
          <w:tcPr>
            <w:tcW w:w="2458" w:type="pct"/>
          </w:tcPr>
          <w:p w:rsidR="0098695D" w:rsidRDefault="004833FF" w:rsidP="003A45BA">
            <w:pPr>
              <w:rPr>
                <w:szCs w:val="20"/>
              </w:rPr>
            </w:pPr>
            <w:r>
              <w:rPr>
                <w:szCs w:val="20"/>
              </w:rPr>
              <w:t xml:space="preserve">Paredzams, ka </w:t>
            </w:r>
            <w:r w:rsidR="00A81EFB">
              <w:rPr>
                <w:szCs w:val="20"/>
              </w:rPr>
              <w:t xml:space="preserve">līdz ar grozījumu pieņemšanu palielināsies administratīvais slogs </w:t>
            </w:r>
            <w:r>
              <w:rPr>
                <w:szCs w:val="20"/>
              </w:rPr>
              <w:t>LAD darbinieka</w:t>
            </w:r>
            <w:r w:rsidR="00A81EFB">
              <w:rPr>
                <w:szCs w:val="20"/>
              </w:rPr>
              <w:t>m</w:t>
            </w:r>
            <w:r>
              <w:rPr>
                <w:szCs w:val="20"/>
              </w:rPr>
              <w:t>, k</w:t>
            </w:r>
            <w:r w:rsidR="00A81EFB">
              <w:rPr>
                <w:szCs w:val="20"/>
              </w:rPr>
              <w:t>as</w:t>
            </w:r>
            <w:r>
              <w:rPr>
                <w:szCs w:val="20"/>
              </w:rPr>
              <w:t xml:space="preserve"> izskata iesniegtos pieteikumus, un Zivju fonda padomes sekretariāta (Zemkopības ministrija) darbinieka</w:t>
            </w:r>
            <w:r w:rsidR="00A81EFB">
              <w:rPr>
                <w:szCs w:val="20"/>
              </w:rPr>
              <w:t>m</w:t>
            </w:r>
            <w:r>
              <w:rPr>
                <w:szCs w:val="20"/>
              </w:rPr>
              <w:t>, k</w:t>
            </w:r>
            <w:r w:rsidR="00A81EFB">
              <w:rPr>
                <w:szCs w:val="20"/>
              </w:rPr>
              <w:t>as</w:t>
            </w:r>
            <w:r>
              <w:rPr>
                <w:szCs w:val="20"/>
              </w:rPr>
              <w:t xml:space="preserve"> pārbauda pieteikumos uzrādīto datu atbilstību Soda reģistra informācijai, jo </w:t>
            </w:r>
            <w:r w:rsidR="00A81EFB">
              <w:rPr>
                <w:szCs w:val="20"/>
              </w:rPr>
              <w:t xml:space="preserve">viņiem </w:t>
            </w:r>
            <w:r>
              <w:rPr>
                <w:szCs w:val="20"/>
              </w:rPr>
              <w:t>būs jāizskata vairāk pieteikumu nekā iepriekš.</w:t>
            </w:r>
          </w:p>
          <w:p w:rsidR="004833FF" w:rsidRPr="00592A2C" w:rsidRDefault="004833FF" w:rsidP="003A45BA">
            <w:pPr>
              <w:rPr>
                <w:color w:val="000000"/>
              </w:rPr>
            </w:pPr>
            <w:r>
              <w:rPr>
                <w:color w:val="000000"/>
              </w:rPr>
              <w:t>S</w:t>
            </w:r>
            <w:r w:rsidRPr="004833FF">
              <w:rPr>
                <w:color w:val="000000"/>
              </w:rPr>
              <w:t xml:space="preserve">aistībā ar projekta izpildi </w:t>
            </w:r>
            <w:r>
              <w:rPr>
                <w:color w:val="000000"/>
              </w:rPr>
              <w:t xml:space="preserve">nav </w:t>
            </w:r>
            <w:r w:rsidRPr="004833FF">
              <w:rPr>
                <w:color w:val="000000"/>
              </w:rPr>
              <w:t xml:space="preserve">nepieciešams veidot jaunas institūcijas, </w:t>
            </w:r>
            <w:r w:rsidR="00A81EFB">
              <w:rPr>
                <w:color w:val="000000"/>
              </w:rPr>
              <w:t xml:space="preserve">ne arī </w:t>
            </w:r>
            <w:r>
              <w:rPr>
                <w:color w:val="000000"/>
              </w:rPr>
              <w:t>likvidēt vai reorganizēt esošās.</w:t>
            </w:r>
          </w:p>
        </w:tc>
      </w:tr>
      <w:tr w:rsidR="0098695D" w:rsidRPr="00592A2C" w:rsidTr="003A45BA">
        <w:tc>
          <w:tcPr>
            <w:tcW w:w="217" w:type="pct"/>
          </w:tcPr>
          <w:p w:rsidR="0098695D" w:rsidRPr="00592A2C" w:rsidRDefault="0098695D" w:rsidP="003A45BA">
            <w:pPr>
              <w:jc w:val="both"/>
              <w:rPr>
                <w:color w:val="000000"/>
              </w:rPr>
            </w:pPr>
            <w:r w:rsidRPr="00592A2C">
              <w:rPr>
                <w:color w:val="000000"/>
              </w:rPr>
              <w:t>3.</w:t>
            </w:r>
          </w:p>
        </w:tc>
        <w:tc>
          <w:tcPr>
            <w:tcW w:w="2325" w:type="pct"/>
          </w:tcPr>
          <w:p w:rsidR="0098695D" w:rsidRPr="00592A2C" w:rsidRDefault="0098695D" w:rsidP="003A45BA">
            <w:pPr>
              <w:jc w:val="both"/>
              <w:rPr>
                <w:color w:val="000000"/>
              </w:rPr>
            </w:pPr>
            <w:r w:rsidRPr="00592A2C">
              <w:rPr>
                <w:color w:val="000000"/>
              </w:rPr>
              <w:t>Cita informācija</w:t>
            </w:r>
          </w:p>
        </w:tc>
        <w:tc>
          <w:tcPr>
            <w:tcW w:w="2458" w:type="pct"/>
          </w:tcPr>
          <w:p w:rsidR="0098695D" w:rsidRPr="00592A2C" w:rsidRDefault="0098695D" w:rsidP="003A45BA">
            <w:pPr>
              <w:jc w:val="both"/>
              <w:rPr>
                <w:color w:val="000000"/>
              </w:rPr>
            </w:pPr>
            <w:r w:rsidRPr="00592A2C">
              <w:rPr>
                <w:color w:val="000000"/>
              </w:rPr>
              <w:t>Nav.</w:t>
            </w:r>
          </w:p>
        </w:tc>
      </w:tr>
    </w:tbl>
    <w:p w:rsidR="00895904" w:rsidRPr="00AC6491" w:rsidRDefault="00895904" w:rsidP="00895904">
      <w:pPr>
        <w:rPr>
          <w:szCs w:val="28"/>
        </w:rPr>
      </w:pPr>
    </w:p>
    <w:p w:rsidR="00895904" w:rsidRPr="00AC6491" w:rsidRDefault="00895904" w:rsidP="00895904">
      <w:pPr>
        <w:rPr>
          <w:szCs w:val="28"/>
        </w:rPr>
      </w:pPr>
    </w:p>
    <w:p w:rsidR="00895904" w:rsidRDefault="002F475C" w:rsidP="00AC6491">
      <w:pPr>
        <w:rPr>
          <w:sz w:val="28"/>
          <w:szCs w:val="28"/>
        </w:rPr>
      </w:pPr>
      <w:r w:rsidRPr="00AC6491">
        <w:rPr>
          <w:szCs w:val="28"/>
        </w:rPr>
        <w:t>Zemkopības ministrs</w:t>
      </w:r>
      <w:r w:rsidRPr="00AC6491">
        <w:rPr>
          <w:szCs w:val="28"/>
        </w:rPr>
        <w:tab/>
      </w:r>
      <w:r w:rsidRPr="00AC6491">
        <w:rPr>
          <w:szCs w:val="28"/>
        </w:rPr>
        <w:tab/>
      </w:r>
      <w:r w:rsidRPr="00AC6491">
        <w:rPr>
          <w:szCs w:val="28"/>
        </w:rPr>
        <w:tab/>
      </w:r>
      <w:r w:rsidRPr="00AC6491">
        <w:rPr>
          <w:szCs w:val="28"/>
        </w:rPr>
        <w:tab/>
      </w:r>
      <w:r w:rsidRPr="00AC6491">
        <w:rPr>
          <w:szCs w:val="28"/>
        </w:rPr>
        <w:tab/>
      </w:r>
      <w:r w:rsidR="00AC6491">
        <w:rPr>
          <w:szCs w:val="28"/>
        </w:rPr>
        <w:tab/>
      </w:r>
      <w:r w:rsidR="00AC6491">
        <w:rPr>
          <w:szCs w:val="28"/>
        </w:rPr>
        <w:tab/>
      </w:r>
      <w:r w:rsidRPr="00AC6491">
        <w:rPr>
          <w:szCs w:val="28"/>
        </w:rPr>
        <w:tab/>
        <w:t xml:space="preserve"> Jānis </w:t>
      </w:r>
      <w:r w:rsidR="00895904" w:rsidRPr="00AC6491">
        <w:rPr>
          <w:szCs w:val="28"/>
        </w:rPr>
        <w:t>Dūklavs</w:t>
      </w:r>
    </w:p>
    <w:p w:rsidR="00895904" w:rsidRDefault="00895904" w:rsidP="00895904">
      <w:pPr>
        <w:rPr>
          <w:sz w:val="28"/>
          <w:szCs w:val="28"/>
        </w:rPr>
      </w:pPr>
    </w:p>
    <w:p w:rsidR="00895904" w:rsidRDefault="00895904" w:rsidP="00895904">
      <w:pPr>
        <w:rPr>
          <w:sz w:val="28"/>
          <w:szCs w:val="28"/>
        </w:rPr>
      </w:pPr>
    </w:p>
    <w:p w:rsidR="00895904" w:rsidRDefault="00895904" w:rsidP="00895904">
      <w:pPr>
        <w:rPr>
          <w:sz w:val="28"/>
          <w:szCs w:val="28"/>
        </w:rPr>
      </w:pPr>
    </w:p>
    <w:p w:rsidR="00895904" w:rsidRDefault="00895904" w:rsidP="00895904">
      <w:pPr>
        <w:rPr>
          <w:sz w:val="28"/>
          <w:szCs w:val="28"/>
        </w:rPr>
      </w:pPr>
    </w:p>
    <w:p w:rsidR="00895904" w:rsidRDefault="00895904" w:rsidP="00895904">
      <w:pPr>
        <w:rPr>
          <w:sz w:val="28"/>
          <w:szCs w:val="28"/>
        </w:rPr>
      </w:pPr>
    </w:p>
    <w:p w:rsidR="00895904" w:rsidRDefault="00895904"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895904" w:rsidRDefault="00895904" w:rsidP="00895904">
      <w:pPr>
        <w:rPr>
          <w:sz w:val="28"/>
          <w:szCs w:val="28"/>
        </w:rPr>
      </w:pPr>
    </w:p>
    <w:p w:rsidR="00AC6491" w:rsidRDefault="00741B2B" w:rsidP="00895904">
      <w:pPr>
        <w:rPr>
          <w:sz w:val="20"/>
          <w:szCs w:val="20"/>
        </w:rPr>
      </w:pPr>
      <w:r>
        <w:rPr>
          <w:sz w:val="20"/>
          <w:szCs w:val="20"/>
        </w:rPr>
        <w:t>26.09.2016. 10:19</w:t>
      </w:r>
    </w:p>
    <w:p w:rsidR="00741B2B" w:rsidRDefault="00741B2B" w:rsidP="00895904">
      <w:pPr>
        <w:rPr>
          <w:sz w:val="20"/>
        </w:rPr>
      </w:pPr>
      <w:r>
        <w:rPr>
          <w:sz w:val="20"/>
        </w:rPr>
        <w:fldChar w:fldCharType="begin"/>
      </w:r>
      <w:r>
        <w:rPr>
          <w:sz w:val="20"/>
        </w:rPr>
        <w:instrText xml:space="preserve"> NUMWORDS   \* MERGEFORMAT </w:instrText>
      </w:r>
      <w:r>
        <w:rPr>
          <w:sz w:val="20"/>
        </w:rPr>
        <w:fldChar w:fldCharType="separate"/>
      </w:r>
      <w:r>
        <w:rPr>
          <w:noProof/>
          <w:sz w:val="20"/>
        </w:rPr>
        <w:t>1299</w:t>
      </w:r>
      <w:r>
        <w:rPr>
          <w:sz w:val="20"/>
        </w:rPr>
        <w:fldChar w:fldCharType="end"/>
      </w:r>
    </w:p>
    <w:p w:rsidR="00895904" w:rsidRPr="009A5997" w:rsidRDefault="00895904" w:rsidP="00895904">
      <w:pPr>
        <w:rPr>
          <w:sz w:val="20"/>
        </w:rPr>
      </w:pPr>
      <w:bookmarkStart w:id="1" w:name="_GoBack"/>
      <w:bookmarkEnd w:id="1"/>
      <w:r>
        <w:rPr>
          <w:sz w:val="20"/>
        </w:rPr>
        <w:t>J.Ābele</w:t>
      </w:r>
    </w:p>
    <w:p w:rsidR="00473C3D" w:rsidRPr="00AC6491" w:rsidRDefault="00895904">
      <w:pPr>
        <w:rPr>
          <w:sz w:val="20"/>
        </w:rPr>
      </w:pPr>
      <w:r w:rsidRPr="009A5997">
        <w:rPr>
          <w:sz w:val="20"/>
        </w:rPr>
        <w:t>67</w:t>
      </w:r>
      <w:r>
        <w:rPr>
          <w:sz w:val="20"/>
        </w:rPr>
        <w:t>027823; janis.abele</w:t>
      </w:r>
      <w:r w:rsidRPr="009A5997">
        <w:rPr>
          <w:sz w:val="20"/>
        </w:rPr>
        <w:t>@zm.gov.lv</w:t>
      </w:r>
    </w:p>
    <w:sectPr w:rsidR="00473C3D" w:rsidRPr="00AC6491" w:rsidSect="00AC6491">
      <w:headerReference w:type="even" r:id="rId8"/>
      <w:headerReference w:type="default" r:id="rId9"/>
      <w:footerReference w:type="default" r:id="rId10"/>
      <w:footerReference w:type="first" r:id="rId11"/>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A8" w:rsidRDefault="00D478A8">
      <w:r>
        <w:separator/>
      </w:r>
    </w:p>
  </w:endnote>
  <w:endnote w:type="continuationSeparator" w:id="0">
    <w:p w:rsidR="00D478A8" w:rsidRDefault="00D4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AE2" w:rsidRPr="00C7391E" w:rsidRDefault="00895904" w:rsidP="00E63AE2">
    <w:pPr>
      <w:pStyle w:val="Kjene"/>
      <w:jc w:val="both"/>
      <w:rPr>
        <w:sz w:val="20"/>
        <w:szCs w:val="20"/>
      </w:rPr>
    </w:pPr>
    <w:r w:rsidRPr="004D6388">
      <w:rPr>
        <w:sz w:val="20"/>
        <w:szCs w:val="20"/>
      </w:rPr>
      <w:t>ZM</w:t>
    </w:r>
    <w:r>
      <w:rPr>
        <w:sz w:val="20"/>
        <w:szCs w:val="20"/>
      </w:rPr>
      <w:t>a</w:t>
    </w:r>
    <w:r w:rsidRPr="004D6388">
      <w:rPr>
        <w:sz w:val="20"/>
        <w:szCs w:val="20"/>
      </w:rPr>
      <w:t>not_2</w:t>
    </w:r>
    <w:r w:rsidR="00751A4C">
      <w:rPr>
        <w:sz w:val="20"/>
        <w:szCs w:val="20"/>
      </w:rPr>
      <w:t>6</w:t>
    </w:r>
    <w:r w:rsidRPr="004D6388">
      <w:rPr>
        <w:sz w:val="20"/>
        <w:szCs w:val="20"/>
      </w:rPr>
      <w:t>0</w:t>
    </w:r>
    <w:r w:rsidR="00751A4C">
      <w:rPr>
        <w:sz w:val="20"/>
        <w:szCs w:val="20"/>
      </w:rPr>
      <w:t>8</w:t>
    </w:r>
    <w:r w:rsidRPr="004D6388">
      <w:rPr>
        <w:sz w:val="20"/>
        <w:szCs w:val="20"/>
      </w:rPr>
      <w:t>1</w:t>
    </w:r>
    <w:r w:rsidR="00751A4C">
      <w:rPr>
        <w:sz w:val="20"/>
        <w:szCs w:val="20"/>
      </w:rPr>
      <w:t>6</w:t>
    </w:r>
    <w:r w:rsidRPr="004D6388">
      <w:rPr>
        <w:sz w:val="20"/>
        <w:szCs w:val="20"/>
      </w:rPr>
      <w:t>_groz</w:t>
    </w:r>
    <w:r w:rsidR="00674500">
      <w:rPr>
        <w:sz w:val="20"/>
        <w:szCs w:val="20"/>
      </w:rPr>
      <w:t>ījumi_215</w:t>
    </w:r>
    <w:r w:rsidRPr="00BA72C7">
      <w:rPr>
        <w:sz w:val="20"/>
        <w:szCs w:val="20"/>
      </w:rPr>
      <w:t xml:space="preserve">; </w:t>
    </w:r>
    <w:r w:rsidRPr="004D6388">
      <w:rPr>
        <w:sz w:val="20"/>
        <w:szCs w:val="20"/>
      </w:rPr>
      <w:t>Ministru kabineta noteikumu projekta „</w:t>
    </w:r>
    <w:r w:rsidRPr="00751727">
      <w:rPr>
        <w:sz w:val="20"/>
        <w:szCs w:val="20"/>
      </w:rPr>
      <w:t>Grozījumi Ministru kabineta 2010.gada 2.marta noteikumos Nr.215 "Noteikumi par valsts atbalsta piešķiršanu zivsaimniecības attīstībai no Zivju fonda finanšu līdzekļiem"”</w:t>
    </w:r>
    <w:r w:rsidRPr="004D6388">
      <w:rPr>
        <w:sz w:val="20"/>
        <w:szCs w:val="20"/>
      </w:rPr>
      <w:t xml:space="preserve"> sākotnējās ietekmes novērtējuma </w:t>
    </w:r>
    <w:smartTag w:uri="schemas-tilde-lv/tildestengine" w:element="veidnes">
      <w:smartTagPr>
        <w:attr w:name="id" w:val="-1"/>
        <w:attr w:name="baseform" w:val="ziņojums"/>
        <w:attr w:name="text" w:val="ziņojums"/>
      </w:smartTagPr>
      <w:r w:rsidRPr="004D6388">
        <w:rPr>
          <w:sz w:val="20"/>
          <w:szCs w:val="20"/>
        </w:rPr>
        <w:t>ziņojums</w:t>
      </w:r>
    </w:smartTag>
    <w:r w:rsidRPr="004D6388">
      <w:rPr>
        <w:sz w:val="20"/>
        <w:szCs w:val="20"/>
      </w:rPr>
      <w:t xml:space="preserve"> (anotācija)</w:t>
    </w:r>
    <w:r w:rsidRPr="00C7391E">
      <w:rPr>
        <w:bCs/>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AE2" w:rsidRPr="00BA72C7" w:rsidRDefault="00AC6491" w:rsidP="00E63AE2">
    <w:pPr>
      <w:pStyle w:val="Kjene"/>
      <w:jc w:val="both"/>
      <w:rPr>
        <w:sz w:val="20"/>
        <w:szCs w:val="20"/>
      </w:rPr>
    </w:pPr>
    <w:r w:rsidRPr="00AC6491">
      <w:rPr>
        <w:sz w:val="20"/>
        <w:szCs w:val="20"/>
      </w:rPr>
      <w:t>ZManot_260816_groz215</w:t>
    </w:r>
    <w:r w:rsidR="00895904" w:rsidRPr="00BA72C7">
      <w:rPr>
        <w:sz w:val="20"/>
        <w:szCs w:val="20"/>
      </w:rPr>
      <w:t xml:space="preserve">; </w:t>
    </w:r>
    <w:r w:rsidR="00895904" w:rsidRPr="004D6388">
      <w:rPr>
        <w:sz w:val="20"/>
        <w:szCs w:val="20"/>
      </w:rPr>
      <w:t>Ministru kabineta noteikumu projekta „</w:t>
    </w:r>
    <w:r w:rsidR="00895904" w:rsidRPr="00253790">
      <w:rPr>
        <w:sz w:val="20"/>
        <w:szCs w:val="20"/>
      </w:rPr>
      <w:t xml:space="preserve">Grozījumi Ministru kabineta </w:t>
    </w:r>
    <w:proofErr w:type="gramStart"/>
    <w:r w:rsidR="00895904" w:rsidRPr="00253790">
      <w:rPr>
        <w:sz w:val="20"/>
        <w:szCs w:val="20"/>
      </w:rPr>
      <w:t>2010.gada</w:t>
    </w:r>
    <w:proofErr w:type="gramEnd"/>
    <w:r w:rsidR="00895904" w:rsidRPr="00253790">
      <w:rPr>
        <w:sz w:val="20"/>
        <w:szCs w:val="20"/>
      </w:rPr>
      <w:t xml:space="preserve"> 2.marta noteikumos Nr.215 "Noteikumi par valsts atbalsta piešķiršanu zivsaimniecības attīstībai no Zivju fonda finanšu līdzekļiem"”</w:t>
    </w:r>
    <w:r w:rsidR="00895904" w:rsidRPr="004D6388">
      <w:rPr>
        <w:sz w:val="20"/>
        <w:szCs w:val="20"/>
      </w:rPr>
      <w:t xml:space="preserve"> sākotnējās ietekmes novērtējuma </w:t>
    </w:r>
    <w:smartTag w:uri="schemas-tilde-lv/tildestengine" w:element="veidnes">
      <w:smartTagPr>
        <w:attr w:name="text" w:val="ziņojums"/>
        <w:attr w:name="baseform" w:val="ziņojums"/>
        <w:attr w:name="id" w:val="-1"/>
      </w:smartTagPr>
      <w:r w:rsidR="00895904" w:rsidRPr="004D6388">
        <w:rPr>
          <w:sz w:val="20"/>
          <w:szCs w:val="20"/>
        </w:rPr>
        <w:t>ziņojums</w:t>
      </w:r>
    </w:smartTag>
    <w:r w:rsidR="00895904" w:rsidRPr="004D6388">
      <w:rPr>
        <w:sz w:val="20"/>
        <w:szCs w:val="20"/>
      </w:rPr>
      <w:t xml:space="preserve"> (anotācija)</w:t>
    </w:r>
    <w:r w:rsidR="00895904" w:rsidRPr="00C7391E">
      <w:rPr>
        <w:bCs/>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A8" w:rsidRDefault="00D478A8">
      <w:r>
        <w:separator/>
      </w:r>
    </w:p>
  </w:footnote>
  <w:footnote w:type="continuationSeparator" w:id="0">
    <w:p w:rsidR="00D478A8" w:rsidRDefault="00D47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AE2" w:rsidRDefault="00895904" w:rsidP="00E63AE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63AE2" w:rsidRDefault="00E63AE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AE2" w:rsidRDefault="00895904" w:rsidP="00E63AE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41B2B">
      <w:rPr>
        <w:rStyle w:val="Lappusesnumurs"/>
        <w:noProof/>
      </w:rPr>
      <w:t>4</w:t>
    </w:r>
    <w:r>
      <w:rPr>
        <w:rStyle w:val="Lappusesnumurs"/>
      </w:rPr>
      <w:fldChar w:fldCharType="end"/>
    </w:r>
  </w:p>
  <w:p w:rsidR="00E63AE2" w:rsidRDefault="00E63AE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04"/>
    <w:rsid w:val="00093972"/>
    <w:rsid w:val="0010643D"/>
    <w:rsid w:val="001253AB"/>
    <w:rsid w:val="001708A2"/>
    <w:rsid w:val="00177918"/>
    <w:rsid w:val="00184EF5"/>
    <w:rsid w:val="00217287"/>
    <w:rsid w:val="00241BCF"/>
    <w:rsid w:val="0025017E"/>
    <w:rsid w:val="00281281"/>
    <w:rsid w:val="0028670A"/>
    <w:rsid w:val="002C08A5"/>
    <w:rsid w:val="002C3A21"/>
    <w:rsid w:val="002F475C"/>
    <w:rsid w:val="003453E4"/>
    <w:rsid w:val="0035609E"/>
    <w:rsid w:val="003822BB"/>
    <w:rsid w:val="00395525"/>
    <w:rsid w:val="003A2BB2"/>
    <w:rsid w:val="00404E49"/>
    <w:rsid w:val="0042089C"/>
    <w:rsid w:val="00473C3D"/>
    <w:rsid w:val="004830D6"/>
    <w:rsid w:val="004833FF"/>
    <w:rsid w:val="00484000"/>
    <w:rsid w:val="0049316C"/>
    <w:rsid w:val="004A3DF4"/>
    <w:rsid w:val="004A7B54"/>
    <w:rsid w:val="00522033"/>
    <w:rsid w:val="00524604"/>
    <w:rsid w:val="00525A5D"/>
    <w:rsid w:val="005B1733"/>
    <w:rsid w:val="005E7E3C"/>
    <w:rsid w:val="00637DB4"/>
    <w:rsid w:val="00662E0D"/>
    <w:rsid w:val="00674500"/>
    <w:rsid w:val="006764B9"/>
    <w:rsid w:val="00701547"/>
    <w:rsid w:val="00741B2B"/>
    <w:rsid w:val="0075055C"/>
    <w:rsid w:val="00751A4C"/>
    <w:rsid w:val="007547D8"/>
    <w:rsid w:val="007F6193"/>
    <w:rsid w:val="00807C42"/>
    <w:rsid w:val="00822CD4"/>
    <w:rsid w:val="00860192"/>
    <w:rsid w:val="00895904"/>
    <w:rsid w:val="008A5FD3"/>
    <w:rsid w:val="008B3525"/>
    <w:rsid w:val="008D40C4"/>
    <w:rsid w:val="008E0BB2"/>
    <w:rsid w:val="00911AAE"/>
    <w:rsid w:val="009264CA"/>
    <w:rsid w:val="0094259E"/>
    <w:rsid w:val="00950C82"/>
    <w:rsid w:val="0098695D"/>
    <w:rsid w:val="009B051E"/>
    <w:rsid w:val="009C5431"/>
    <w:rsid w:val="00A222E0"/>
    <w:rsid w:val="00A2266E"/>
    <w:rsid w:val="00A27185"/>
    <w:rsid w:val="00A32E03"/>
    <w:rsid w:val="00A42E50"/>
    <w:rsid w:val="00A81EFB"/>
    <w:rsid w:val="00A841B6"/>
    <w:rsid w:val="00A90BC7"/>
    <w:rsid w:val="00AA68E4"/>
    <w:rsid w:val="00AB11AB"/>
    <w:rsid w:val="00AC6491"/>
    <w:rsid w:val="00B44A68"/>
    <w:rsid w:val="00BB57E8"/>
    <w:rsid w:val="00C10677"/>
    <w:rsid w:val="00C747C0"/>
    <w:rsid w:val="00C74E55"/>
    <w:rsid w:val="00C9131F"/>
    <w:rsid w:val="00CD61C7"/>
    <w:rsid w:val="00D1639B"/>
    <w:rsid w:val="00D22CF1"/>
    <w:rsid w:val="00D41816"/>
    <w:rsid w:val="00D4213A"/>
    <w:rsid w:val="00D478A8"/>
    <w:rsid w:val="00D75199"/>
    <w:rsid w:val="00DC0AFB"/>
    <w:rsid w:val="00DE3001"/>
    <w:rsid w:val="00E11E3B"/>
    <w:rsid w:val="00E1483D"/>
    <w:rsid w:val="00E2260D"/>
    <w:rsid w:val="00E63AE2"/>
    <w:rsid w:val="00EB34A4"/>
    <w:rsid w:val="00EE3963"/>
    <w:rsid w:val="00EF6921"/>
    <w:rsid w:val="00F92AFF"/>
    <w:rsid w:val="00FB255D"/>
    <w:rsid w:val="00FB718A"/>
    <w:rsid w:val="00FB7E31"/>
    <w:rsid w:val="00FF50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5:docId w15:val="{98CAEC24-BB4E-4EDD-9CBF-F4323D2E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590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98695D"/>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95904"/>
    <w:pPr>
      <w:tabs>
        <w:tab w:val="center" w:pos="4153"/>
        <w:tab w:val="right" w:pos="8306"/>
      </w:tabs>
    </w:pPr>
  </w:style>
  <w:style w:type="character" w:customStyle="1" w:styleId="GalveneRakstz">
    <w:name w:val="Galvene Rakstz."/>
    <w:basedOn w:val="Noklusjumarindkopasfonts"/>
    <w:link w:val="Galvene"/>
    <w:uiPriority w:val="99"/>
    <w:rsid w:val="00895904"/>
    <w:rPr>
      <w:rFonts w:ascii="Times New Roman" w:eastAsia="Times New Roman" w:hAnsi="Times New Roman" w:cs="Times New Roman"/>
      <w:sz w:val="24"/>
      <w:szCs w:val="24"/>
      <w:lang w:eastAsia="lv-LV"/>
    </w:rPr>
  </w:style>
  <w:style w:type="character" w:styleId="Lappusesnumurs">
    <w:name w:val="page number"/>
    <w:uiPriority w:val="99"/>
    <w:rsid w:val="00895904"/>
    <w:rPr>
      <w:rFonts w:cs="Times New Roman"/>
    </w:rPr>
  </w:style>
  <w:style w:type="paragraph" w:styleId="Kjene">
    <w:name w:val="footer"/>
    <w:basedOn w:val="Parasts"/>
    <w:link w:val="KjeneRakstz"/>
    <w:uiPriority w:val="99"/>
    <w:rsid w:val="00895904"/>
    <w:pPr>
      <w:tabs>
        <w:tab w:val="center" w:pos="4153"/>
        <w:tab w:val="right" w:pos="8306"/>
      </w:tabs>
    </w:pPr>
  </w:style>
  <w:style w:type="character" w:customStyle="1" w:styleId="KjeneRakstz">
    <w:name w:val="Kājene Rakstz."/>
    <w:basedOn w:val="Noklusjumarindkopasfonts"/>
    <w:link w:val="Kjene"/>
    <w:uiPriority w:val="99"/>
    <w:rsid w:val="00895904"/>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A2718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7185"/>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
    <w:rsid w:val="0098695D"/>
    <w:rPr>
      <w:rFonts w:ascii="Times New Roman" w:eastAsia="Times New Roman" w:hAnsi="Times New Roman" w:cs="Times New Roman"/>
      <w:b/>
      <w:bCs/>
      <w:kern w:val="36"/>
      <w:sz w:val="48"/>
      <w:szCs w:val="48"/>
      <w:lang w:eastAsia="lv-LV"/>
    </w:rPr>
  </w:style>
  <w:style w:type="paragraph" w:customStyle="1" w:styleId="naiskr">
    <w:name w:val="naiskr"/>
    <w:basedOn w:val="Parasts"/>
    <w:rsid w:val="0098695D"/>
    <w:pPr>
      <w:spacing w:before="75" w:after="75"/>
    </w:pPr>
  </w:style>
  <w:style w:type="paragraph" w:customStyle="1" w:styleId="naisnod">
    <w:name w:val="naisnod"/>
    <w:basedOn w:val="Parasts"/>
    <w:rsid w:val="0098695D"/>
    <w:pPr>
      <w:spacing w:before="150" w:after="150"/>
      <w:jc w:val="center"/>
    </w:pPr>
    <w:rPr>
      <w:b/>
      <w:bCs/>
    </w:rPr>
  </w:style>
  <w:style w:type="paragraph" w:styleId="Sarakstarindkopa">
    <w:name w:val="List Paragraph"/>
    <w:basedOn w:val="Parasts"/>
    <w:uiPriority w:val="34"/>
    <w:qFormat/>
    <w:rsid w:val="00FB7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9293</Characters>
  <Application>Microsoft Office Word</Application>
  <DocSecurity>0</DocSecurity>
  <Lines>299</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2010.gada 2.marta noteikumos Nr.215 "Noteikumi par valsts atbalsta piešķiršanu zivsaimniecības attīstībai no Zivju fonda finanšu līdzekļiem"” sākotnējās ietekmes novērtējuma ziņojums (anotā</vt:lpstr>
      <vt:lpstr>Ministru kabineta noteikumu projekta „Grozījumi Ministru kabineta 2010.gada 2.marta noteikumos Nr.215 "Noteikumi par valsts atbalsta piešķiršanu zivsaimniecības attīstībai no Zivju fonda finanšu līdzekļiem"” sākotnējās ietekmes novērtējuma ziņojums (anotā</vt:lpstr>
    </vt:vector>
  </TitlesOfParts>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2.marta noteikumos Nr.215 "Noteikumi par valsts atbalsta piešķiršanu zivsaimniecības attīstībai no Zivju fonda finanšu līdzekļiem"” sākotnējās ietekmes novērtējuma ziņojums (anotā</dc:title>
  <dc:subject>MK noteikumu projekta anotācija</dc:subject>
  <dc:creator>Zemkopības ministrija</dc:creator>
  <cp:keywords/>
  <dc:description/>
  <cp:lastModifiedBy>Sanita Žagare</cp:lastModifiedBy>
  <cp:revision>4</cp:revision>
  <cp:lastPrinted>2016-09-09T07:37:00Z</cp:lastPrinted>
  <dcterms:created xsi:type="dcterms:W3CDTF">2016-09-26T07:10:00Z</dcterms:created>
  <dcterms:modified xsi:type="dcterms:W3CDTF">2016-09-26T07:19:00Z</dcterms:modified>
</cp:coreProperties>
</file>