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80" w:rsidRPr="00FC097F" w:rsidRDefault="00EA02AF" w:rsidP="00FC097F">
      <w:pPr>
        <w:jc w:val="center"/>
        <w:rPr>
          <w:b/>
          <w:color w:val="000000"/>
        </w:rPr>
      </w:pPr>
      <w:bookmarkStart w:id="0" w:name="_GoBack"/>
      <w:bookmarkEnd w:id="0"/>
      <w:r w:rsidRPr="00FC097F">
        <w:rPr>
          <w:b/>
          <w:color w:val="000000"/>
        </w:rPr>
        <w:t>Noteikumu</w:t>
      </w:r>
      <w:r w:rsidR="00E826C5" w:rsidRPr="00FC097F">
        <w:rPr>
          <w:b/>
          <w:color w:val="000000"/>
        </w:rPr>
        <w:t xml:space="preserve"> projekta </w:t>
      </w:r>
    </w:p>
    <w:p w:rsidR="00AF2942" w:rsidRDefault="00E826C5" w:rsidP="00FC097F">
      <w:pPr>
        <w:jc w:val="center"/>
        <w:rPr>
          <w:b/>
          <w:color w:val="000000"/>
        </w:rPr>
      </w:pPr>
      <w:r w:rsidRPr="00FC097F">
        <w:rPr>
          <w:b/>
          <w:bCs/>
        </w:rPr>
        <w:t>„</w:t>
      </w:r>
      <w:r w:rsidR="00845CA5" w:rsidRPr="00FC097F">
        <w:rPr>
          <w:b/>
          <w:bCs/>
        </w:rPr>
        <w:t xml:space="preserve">Grozījumi Ministru kabineta 2015.gada </w:t>
      </w:r>
      <w:r w:rsidR="001B4F16" w:rsidRPr="00FC097F">
        <w:rPr>
          <w:b/>
          <w:bCs/>
        </w:rPr>
        <w:t>1</w:t>
      </w:r>
      <w:r w:rsidR="00845CA5" w:rsidRPr="00FC097F">
        <w:rPr>
          <w:b/>
          <w:bCs/>
        </w:rPr>
        <w:t>.decembra noteikumos Nr.686 “</w:t>
      </w:r>
      <w:r w:rsidR="001E0C36" w:rsidRPr="00FC097F">
        <w:rPr>
          <w:b/>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Pr="00FC097F">
        <w:rPr>
          <w:b/>
        </w:rPr>
        <w:t>”</w:t>
      </w:r>
      <w:r w:rsidR="001B4F16" w:rsidRPr="00FC097F">
        <w:rPr>
          <w:b/>
        </w:rPr>
        <w:t>”</w:t>
      </w:r>
      <w:r w:rsidRPr="00FC097F">
        <w:rPr>
          <w:b/>
          <w:color w:val="000000"/>
        </w:rPr>
        <w:t xml:space="preserve"> </w:t>
      </w:r>
    </w:p>
    <w:p w:rsidR="00E826C5" w:rsidRDefault="00E826C5" w:rsidP="00FC097F">
      <w:pPr>
        <w:jc w:val="center"/>
        <w:rPr>
          <w:b/>
          <w:color w:val="000000"/>
        </w:rPr>
      </w:pPr>
      <w:r w:rsidRPr="00FC097F">
        <w:rPr>
          <w:b/>
          <w:color w:val="000000"/>
        </w:rPr>
        <w:t>sākotnējās ietekmes novērtējuma ziņojums (anotācija)</w:t>
      </w:r>
    </w:p>
    <w:p w:rsidR="00AF2942" w:rsidRPr="00FC097F" w:rsidRDefault="00AF2942" w:rsidP="00FC097F">
      <w:pPr>
        <w:jc w:val="center"/>
        <w:rPr>
          <w:b/>
          <w:color w:val="000000"/>
        </w:rPr>
      </w:pPr>
    </w:p>
    <w:tbl>
      <w:tblPr>
        <w:tblpPr w:leftFromText="180" w:rightFromText="180" w:vertAnchor="text" w:horzAnchor="margin" w:tblpXSpec="center" w:tblpY="149"/>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418"/>
        <w:gridCol w:w="7938"/>
      </w:tblGrid>
      <w:tr w:rsidR="009A0027" w:rsidRPr="00FC097F" w:rsidTr="00DE4C56">
        <w:tc>
          <w:tcPr>
            <w:tcW w:w="10122" w:type="dxa"/>
            <w:gridSpan w:val="3"/>
            <w:vAlign w:val="center"/>
          </w:tcPr>
          <w:p w:rsidR="00852042" w:rsidRPr="00FC097F" w:rsidRDefault="00852042" w:rsidP="00FC097F">
            <w:pPr>
              <w:pStyle w:val="naisnod"/>
              <w:spacing w:before="0" w:after="0"/>
            </w:pPr>
            <w:r w:rsidRPr="00FC097F">
              <w:t>I</w:t>
            </w:r>
            <w:r w:rsidR="000941C5" w:rsidRPr="00FC097F">
              <w:t>.</w:t>
            </w:r>
            <w:r w:rsidRPr="00FC097F">
              <w:t xml:space="preserve"> Tiesību akta </w:t>
            </w:r>
            <w:r w:rsidR="002E3FF4" w:rsidRPr="00FC097F">
              <w:t xml:space="preserve">projekta </w:t>
            </w:r>
            <w:r w:rsidRPr="00FC097F">
              <w:t>izstrādes nepieciešamība</w:t>
            </w:r>
          </w:p>
        </w:tc>
      </w:tr>
      <w:tr w:rsidR="00883DA1" w:rsidRPr="00FC097F" w:rsidTr="00DE4C56">
        <w:trPr>
          <w:trHeight w:val="267"/>
        </w:trPr>
        <w:tc>
          <w:tcPr>
            <w:tcW w:w="766" w:type="dxa"/>
          </w:tcPr>
          <w:p w:rsidR="00262E2B" w:rsidRPr="00FC097F" w:rsidRDefault="00262E2B" w:rsidP="00FC097F">
            <w:pPr>
              <w:pStyle w:val="naiskr"/>
              <w:spacing w:before="0" w:after="0"/>
              <w:jc w:val="center"/>
            </w:pPr>
            <w:r w:rsidRPr="00FC097F">
              <w:t>1.</w:t>
            </w:r>
          </w:p>
        </w:tc>
        <w:tc>
          <w:tcPr>
            <w:tcW w:w="1418" w:type="dxa"/>
          </w:tcPr>
          <w:p w:rsidR="00262E2B" w:rsidRPr="00FC097F" w:rsidRDefault="002D7F54" w:rsidP="00FC097F">
            <w:pPr>
              <w:pStyle w:val="naiskr"/>
              <w:spacing w:before="0" w:after="0"/>
            </w:pPr>
            <w:r w:rsidRPr="00FC097F">
              <w:t>Pamatojums</w:t>
            </w:r>
          </w:p>
        </w:tc>
        <w:tc>
          <w:tcPr>
            <w:tcW w:w="7938" w:type="dxa"/>
          </w:tcPr>
          <w:p w:rsidR="006B61F9" w:rsidRDefault="00151100" w:rsidP="00FC097F">
            <w:pPr>
              <w:ind w:left="-28"/>
              <w:jc w:val="both"/>
            </w:pPr>
            <w:r w:rsidRPr="00FC097F">
              <w:rPr>
                <w:bCs/>
              </w:rPr>
              <w:t>Publiskas personas kapitāla daļu un kapitālsabiedrību pārvaldības likuma</w:t>
            </w:r>
            <w:r w:rsidRPr="00FC097F">
              <w:t xml:space="preserve"> 31.panta desmitā daļa</w:t>
            </w:r>
          </w:p>
          <w:p w:rsidR="00AF2942" w:rsidRPr="00FC097F" w:rsidRDefault="00AF2942" w:rsidP="00FC097F">
            <w:pPr>
              <w:ind w:left="-28"/>
              <w:jc w:val="both"/>
              <w:rPr>
                <w:bCs/>
              </w:rPr>
            </w:pPr>
          </w:p>
        </w:tc>
      </w:tr>
      <w:tr w:rsidR="00E826C5" w:rsidRPr="00FC097F" w:rsidTr="00DE4C56">
        <w:trPr>
          <w:trHeight w:val="472"/>
        </w:trPr>
        <w:tc>
          <w:tcPr>
            <w:tcW w:w="766" w:type="dxa"/>
          </w:tcPr>
          <w:p w:rsidR="00E826C5" w:rsidRPr="00FC097F" w:rsidRDefault="00E826C5" w:rsidP="00FC097F">
            <w:pPr>
              <w:pStyle w:val="naiskr"/>
              <w:spacing w:before="0" w:after="0"/>
              <w:jc w:val="center"/>
            </w:pPr>
            <w:r w:rsidRPr="00FC097F">
              <w:t>2.</w:t>
            </w:r>
          </w:p>
        </w:tc>
        <w:tc>
          <w:tcPr>
            <w:tcW w:w="1418" w:type="dxa"/>
          </w:tcPr>
          <w:p w:rsidR="00E826C5" w:rsidRPr="00FC097F" w:rsidRDefault="00E826C5" w:rsidP="00FC097F">
            <w:pPr>
              <w:pStyle w:val="naiskr"/>
              <w:spacing w:before="0" w:after="0"/>
            </w:pPr>
            <w:r w:rsidRPr="00FC097F">
              <w:t>Pašreizējā situācija un problēmas, kuru risināšanai tiesību akta projekts izstrādāts, tiesiskā regulējuma mērķis un būtība</w:t>
            </w:r>
          </w:p>
        </w:tc>
        <w:tc>
          <w:tcPr>
            <w:tcW w:w="7938" w:type="dxa"/>
          </w:tcPr>
          <w:p w:rsidR="00C7762C" w:rsidRPr="00FC097F" w:rsidRDefault="009A6B0C" w:rsidP="00FC097F">
            <w:pPr>
              <w:pStyle w:val="NormalWeb"/>
              <w:spacing w:before="0" w:beforeAutospacing="0" w:after="0" w:afterAutospacing="0"/>
              <w:jc w:val="both"/>
              <w:rPr>
                <w:rFonts w:ascii="Times New Roman" w:hAnsi="Times New Roman" w:cs="Times New Roman"/>
                <w:lang w:val="lv-LV"/>
              </w:rPr>
            </w:pPr>
            <w:r w:rsidRPr="00FC097F">
              <w:rPr>
                <w:rFonts w:ascii="Times New Roman" w:hAnsi="Times New Roman"/>
                <w:lang w:val="lv-LV"/>
              </w:rPr>
              <w:t>2015.gada 1.janvārī ir stājies spēkā Publiskas personas kapitāla daļu un kapitālsabiedrību pārvaldības likums (turpmāk</w:t>
            </w:r>
            <w:r w:rsidR="000B540F" w:rsidRPr="00FC097F">
              <w:rPr>
                <w:rFonts w:ascii="Times New Roman" w:hAnsi="Times New Roman"/>
                <w:lang w:val="lv-LV"/>
              </w:rPr>
              <w:t xml:space="preserve"> – </w:t>
            </w:r>
            <w:r w:rsidRPr="00FC097F">
              <w:rPr>
                <w:rFonts w:ascii="Times New Roman" w:hAnsi="Times New Roman"/>
                <w:lang w:val="lv-LV"/>
              </w:rPr>
              <w:t xml:space="preserve">Kapitālsabiedrību pārvaldības likums). </w:t>
            </w:r>
          </w:p>
          <w:p w:rsidR="0060432A" w:rsidRPr="00FC097F" w:rsidRDefault="00B32AAA" w:rsidP="00FC097F">
            <w:pPr>
              <w:pStyle w:val="NormalWeb"/>
              <w:spacing w:before="0" w:beforeAutospacing="0" w:after="0" w:afterAutospacing="0"/>
              <w:jc w:val="both"/>
              <w:rPr>
                <w:rFonts w:ascii="Times New Roman" w:hAnsi="Times New Roman" w:cs="Times New Roman"/>
                <w:bCs/>
                <w:lang w:val="lv-LV"/>
              </w:rPr>
            </w:pPr>
            <w:r w:rsidRPr="00FC097F">
              <w:rPr>
                <w:rFonts w:ascii="Times New Roman" w:hAnsi="Times New Roman"/>
                <w:lang w:val="lv-LV"/>
              </w:rPr>
              <w:t xml:space="preserve">Kapitālsabiedrību pārvaldības </w:t>
            </w:r>
            <w:r w:rsidR="00A55B57" w:rsidRPr="00FC097F">
              <w:rPr>
                <w:rFonts w:ascii="Times New Roman" w:hAnsi="Times New Roman"/>
                <w:bCs/>
                <w:lang w:val="lv-LV"/>
              </w:rPr>
              <w:t>likuma</w:t>
            </w:r>
            <w:r w:rsidR="00A55B57" w:rsidRPr="00FC097F">
              <w:rPr>
                <w:rFonts w:ascii="Times New Roman" w:hAnsi="Times New Roman"/>
                <w:lang w:val="lv-LV"/>
              </w:rPr>
              <w:t xml:space="preserve"> 31.panta desmitā daļa</w:t>
            </w:r>
            <w:r w:rsidR="000A6E86" w:rsidRPr="00FC097F">
              <w:rPr>
                <w:rFonts w:ascii="Times New Roman" w:hAnsi="Times New Roman"/>
                <w:lang w:val="lv-LV"/>
              </w:rPr>
              <w:t xml:space="preserve"> paredz, ka Ministru kabinets nosaka kārtību, kādā nominē kandidātus valdes un padomes locekļu amatiem kapitālsabiedrībās, kurās valstij kā dalībniekam (akcionāram) ir tiesības izvirzīt valdes vai padomes locekļus, un valdes locekļus valsts kapitālsabiedrībās, kurās izveidota padome</w:t>
            </w:r>
            <w:r w:rsidR="009A6B0C" w:rsidRPr="00FC097F">
              <w:rPr>
                <w:rFonts w:ascii="Times New Roman" w:hAnsi="Times New Roman"/>
                <w:lang w:val="lv-LV"/>
              </w:rPr>
              <w:t xml:space="preserve">, bet </w:t>
            </w:r>
            <w:r w:rsidR="000A6E86" w:rsidRPr="00FC097F">
              <w:rPr>
                <w:rFonts w:ascii="Times New Roman" w:hAnsi="Times New Roman"/>
                <w:lang w:val="lv-LV"/>
              </w:rPr>
              <w:t xml:space="preserve">likuma </w:t>
            </w:r>
            <w:r w:rsidR="009A6B0C" w:rsidRPr="00FC097F">
              <w:rPr>
                <w:rFonts w:ascii="Times New Roman" w:hAnsi="Times New Roman"/>
                <w:lang w:val="lv-LV"/>
              </w:rPr>
              <w:t xml:space="preserve">22.panta otrās daļas 7.punkts nosaka, ka </w:t>
            </w:r>
            <w:r w:rsidR="002869A6" w:rsidRPr="00FC097F">
              <w:rPr>
                <w:rFonts w:ascii="Times New Roman" w:hAnsi="Times New Roman"/>
                <w:lang w:val="lv-LV"/>
              </w:rPr>
              <w:t xml:space="preserve">koordinācijas institūcija </w:t>
            </w:r>
            <w:r w:rsidR="009A6B0C" w:rsidRPr="00FC097F">
              <w:rPr>
                <w:rFonts w:ascii="Times New Roman" w:hAnsi="Times New Roman"/>
                <w:lang w:val="lv-LV"/>
              </w:rPr>
              <w:t>atbilstoši kompetencei izstrādā un normatīvajos aktos noteiktajā kārtībā iesniedz Ministru kabinetam apstiprināšanai tiesību aktu un politikas</w:t>
            </w:r>
            <w:r w:rsidR="000A6E86" w:rsidRPr="00FC097F">
              <w:rPr>
                <w:rFonts w:ascii="Times New Roman" w:hAnsi="Times New Roman"/>
                <w:lang w:val="lv-LV"/>
              </w:rPr>
              <w:t xml:space="preserve"> plānošanas dokumentu projektus.</w:t>
            </w:r>
          </w:p>
          <w:p w:rsidR="00845CA5" w:rsidRPr="00FC097F" w:rsidRDefault="00745FEE" w:rsidP="00FC097F">
            <w:pPr>
              <w:pStyle w:val="NormalWeb"/>
              <w:spacing w:before="0" w:beforeAutospacing="0" w:after="0" w:afterAutospacing="0"/>
              <w:jc w:val="both"/>
              <w:rPr>
                <w:rFonts w:ascii="Times New Roman" w:hAnsi="Times New Roman" w:cs="Times New Roman"/>
                <w:lang w:val="lv-LV"/>
              </w:rPr>
            </w:pPr>
            <w:r w:rsidRPr="00FC097F">
              <w:rPr>
                <w:rFonts w:ascii="Times New Roman" w:hAnsi="Times New Roman"/>
                <w:lang w:val="lv-LV"/>
              </w:rPr>
              <w:t xml:space="preserve">Pašreiz kārtību, kādā veic kandidātu atlasi valdes un padomes locekļu amatiem kapitālsabiedrībās, kurās valstij kā dalībniekam (akcionāram) ir tiesības izvirzīt valdes vai padomes locekļus nosaka </w:t>
            </w:r>
            <w:r w:rsidR="00C8306B" w:rsidRPr="00FC097F">
              <w:rPr>
                <w:rFonts w:ascii="Times New Roman" w:hAnsi="Times New Roman"/>
                <w:lang w:val="lv-LV"/>
              </w:rPr>
              <w:t>K</w:t>
            </w:r>
            <w:r w:rsidR="00CF1D94" w:rsidRPr="00FC097F">
              <w:rPr>
                <w:rFonts w:ascii="Times New Roman" w:hAnsi="Times New Roman"/>
                <w:lang w:val="lv-LV"/>
              </w:rPr>
              <w:t xml:space="preserve">apitālsabiedrību pārvaldības likuma 31.pants un Ministru kabineta </w:t>
            </w:r>
            <w:r w:rsidR="00845CA5" w:rsidRPr="00FC097F">
              <w:rPr>
                <w:rFonts w:ascii="Times New Roman" w:hAnsi="Times New Roman" w:cs="Times New Roman"/>
                <w:bCs/>
                <w:lang w:val="lv-LV"/>
              </w:rPr>
              <w:t xml:space="preserve">2015.gada </w:t>
            </w:r>
            <w:r w:rsidR="001B4F16" w:rsidRPr="00FC097F">
              <w:rPr>
                <w:rFonts w:ascii="Times New Roman" w:hAnsi="Times New Roman" w:cs="Times New Roman"/>
                <w:bCs/>
                <w:lang w:val="lv-LV"/>
              </w:rPr>
              <w:t>1</w:t>
            </w:r>
            <w:r w:rsidR="00845CA5" w:rsidRPr="00FC097F">
              <w:rPr>
                <w:rFonts w:ascii="Times New Roman" w:hAnsi="Times New Roman" w:cs="Times New Roman"/>
                <w:bCs/>
                <w:lang w:val="lv-LV"/>
              </w:rPr>
              <w:t>.decembra noteikumi Nr.686 “</w:t>
            </w:r>
            <w:r w:rsidR="00845CA5" w:rsidRPr="00FC097F">
              <w:rPr>
                <w:rFonts w:ascii="Times New Roman" w:hAnsi="Times New Roman" w:cs="Times New Roman"/>
                <w:lang w:val="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C8306B" w:rsidRPr="00FC097F">
              <w:rPr>
                <w:rFonts w:ascii="Times New Roman" w:hAnsi="Times New Roman" w:cs="Times New Roman"/>
                <w:lang w:val="lv-LV"/>
              </w:rPr>
              <w:t xml:space="preserve"> (turpmāk – noteikumi)</w:t>
            </w:r>
            <w:r w:rsidR="00845CA5" w:rsidRPr="00FC097F">
              <w:rPr>
                <w:rFonts w:ascii="Times New Roman" w:hAnsi="Times New Roman" w:cs="Times New Roman"/>
                <w:lang w:val="lv-LV"/>
              </w:rPr>
              <w:t>.</w:t>
            </w:r>
          </w:p>
          <w:p w:rsidR="00C8306B" w:rsidRPr="00FC097F" w:rsidRDefault="00C8306B" w:rsidP="00FC097F">
            <w:pPr>
              <w:pStyle w:val="NormalWeb"/>
              <w:spacing w:before="0" w:beforeAutospacing="0" w:after="0" w:afterAutospacing="0"/>
              <w:jc w:val="both"/>
              <w:rPr>
                <w:rFonts w:ascii="Times New Roman" w:hAnsi="Times New Roman"/>
                <w:lang w:val="lv-LV"/>
              </w:rPr>
            </w:pPr>
            <w:r w:rsidRPr="00FC097F">
              <w:rPr>
                <w:rFonts w:ascii="Times New Roman" w:hAnsi="Times New Roman"/>
                <w:lang w:val="lv-LV"/>
              </w:rPr>
              <w:t xml:space="preserve">Pārresoru koordinācijas centrs kā valsts kapitālsabiedrību un valsts kapitāla daļu pārvaldības koordinācijas institūcija ir izstrādājis šo noteikumu projektu, lai </w:t>
            </w:r>
            <w:r w:rsidR="00C7762C" w:rsidRPr="00FC097F">
              <w:rPr>
                <w:rFonts w:ascii="Times New Roman" w:hAnsi="Times New Roman"/>
                <w:lang w:val="lv-LV"/>
              </w:rPr>
              <w:t>noteikum</w:t>
            </w:r>
            <w:r w:rsidRPr="00FC097F">
              <w:rPr>
                <w:rFonts w:ascii="Times New Roman" w:hAnsi="Times New Roman"/>
                <w:lang w:val="lv-LV"/>
              </w:rPr>
              <w:t>os</w:t>
            </w:r>
            <w:r w:rsidR="00EA3C1F" w:rsidRPr="00FC097F">
              <w:rPr>
                <w:rFonts w:ascii="Times New Roman" w:hAnsi="Times New Roman"/>
                <w:lang w:val="lv-LV"/>
              </w:rPr>
              <w:t xml:space="preserve"> </w:t>
            </w:r>
            <w:r w:rsidRPr="00FC097F">
              <w:rPr>
                <w:rFonts w:ascii="Times New Roman" w:hAnsi="Times New Roman"/>
                <w:lang w:val="lv-LV"/>
              </w:rPr>
              <w:t xml:space="preserve">veiktu vairākus </w:t>
            </w:r>
            <w:r w:rsidR="00845CA5" w:rsidRPr="00FC097F">
              <w:rPr>
                <w:rFonts w:ascii="Times New Roman" w:hAnsi="Times New Roman"/>
                <w:lang w:val="lv-LV"/>
              </w:rPr>
              <w:t>precizējumus</w:t>
            </w:r>
            <w:r w:rsidR="00F17DF1" w:rsidRPr="00FC097F">
              <w:rPr>
                <w:rFonts w:ascii="Times New Roman" w:hAnsi="Times New Roman"/>
                <w:lang w:val="lv-LV"/>
              </w:rPr>
              <w:t>.</w:t>
            </w:r>
          </w:p>
          <w:p w:rsidR="00C8306B" w:rsidRPr="00FC097F" w:rsidRDefault="00C8306B" w:rsidP="00FC097F">
            <w:pPr>
              <w:pStyle w:val="NormalWeb"/>
              <w:spacing w:before="0" w:beforeAutospacing="0" w:after="0" w:afterAutospacing="0"/>
              <w:jc w:val="both"/>
              <w:rPr>
                <w:rFonts w:ascii="Times New Roman" w:hAnsi="Times New Roman"/>
                <w:lang w:val="lv-LV"/>
              </w:rPr>
            </w:pPr>
          </w:p>
          <w:p w:rsidR="00C8306B" w:rsidRPr="00FC097F" w:rsidRDefault="00F17DF1" w:rsidP="00FC097F">
            <w:pPr>
              <w:pStyle w:val="NormalWeb"/>
              <w:numPr>
                <w:ilvl w:val="0"/>
                <w:numId w:val="2"/>
              </w:numPr>
              <w:spacing w:before="0" w:beforeAutospacing="0" w:after="0" w:afterAutospacing="0"/>
              <w:ind w:left="226" w:firstLine="0"/>
              <w:jc w:val="both"/>
              <w:rPr>
                <w:rFonts w:ascii="Times New Roman" w:hAnsi="Times New Roman"/>
                <w:b/>
                <w:lang w:val="lv-LV"/>
              </w:rPr>
            </w:pPr>
            <w:r w:rsidRPr="00FC097F">
              <w:rPr>
                <w:rFonts w:ascii="Times New Roman" w:hAnsi="Times New Roman"/>
                <w:b/>
                <w:lang w:val="lv-LV"/>
              </w:rPr>
              <w:t>Informācijas publiskošana par amatā ievēlēt</w:t>
            </w:r>
            <w:r w:rsidR="00956870" w:rsidRPr="00FC097F">
              <w:rPr>
                <w:rFonts w:ascii="Times New Roman" w:hAnsi="Times New Roman"/>
                <w:b/>
                <w:lang w:val="lv-LV"/>
              </w:rPr>
              <w:t>o</w:t>
            </w:r>
            <w:r w:rsidRPr="00FC097F">
              <w:rPr>
                <w:rFonts w:ascii="Times New Roman" w:hAnsi="Times New Roman"/>
                <w:b/>
                <w:lang w:val="lv-LV"/>
              </w:rPr>
              <w:t xml:space="preserve"> </w:t>
            </w:r>
            <w:r w:rsidR="005A5620" w:rsidRPr="00FC097F">
              <w:rPr>
                <w:rFonts w:ascii="Times New Roman" w:hAnsi="Times New Roman"/>
                <w:b/>
                <w:lang w:val="lv-LV"/>
              </w:rPr>
              <w:t xml:space="preserve">kapitālsabiedrības </w:t>
            </w:r>
            <w:r w:rsidRPr="00FC097F">
              <w:rPr>
                <w:rFonts w:ascii="Times New Roman" w:hAnsi="Times New Roman"/>
                <w:b/>
                <w:lang w:val="lv-LV"/>
              </w:rPr>
              <w:t>valdes vai padomes locek</w:t>
            </w:r>
            <w:r w:rsidR="00956870" w:rsidRPr="00FC097F">
              <w:rPr>
                <w:rFonts w:ascii="Times New Roman" w:hAnsi="Times New Roman"/>
                <w:b/>
                <w:lang w:val="lv-LV"/>
              </w:rPr>
              <w:t>li</w:t>
            </w:r>
            <w:r w:rsidRPr="00FC097F">
              <w:rPr>
                <w:rFonts w:ascii="Times New Roman" w:hAnsi="Times New Roman"/>
                <w:b/>
                <w:lang w:val="lv-LV"/>
              </w:rPr>
              <w:t xml:space="preserve">  </w:t>
            </w:r>
          </w:p>
          <w:p w:rsidR="00583C2A" w:rsidRPr="00FC097F" w:rsidRDefault="00583C2A" w:rsidP="00FC097F">
            <w:pPr>
              <w:pStyle w:val="NormalWeb"/>
              <w:spacing w:before="0" w:beforeAutospacing="0" w:after="0" w:afterAutospacing="0"/>
              <w:jc w:val="both"/>
              <w:rPr>
                <w:rFonts w:ascii="Times New Roman" w:hAnsi="Times New Roman"/>
                <w:lang w:val="lv-LV"/>
              </w:rPr>
            </w:pPr>
            <w:r w:rsidRPr="00FC097F">
              <w:rPr>
                <w:rFonts w:ascii="Times New Roman" w:hAnsi="Times New Roman"/>
                <w:lang w:val="lv-LV"/>
              </w:rPr>
              <w:t xml:space="preserve">    </w:t>
            </w:r>
            <w:r w:rsidR="00956870" w:rsidRPr="00FC097F">
              <w:rPr>
                <w:rFonts w:ascii="Times New Roman" w:hAnsi="Times New Roman"/>
                <w:lang w:val="lv-LV"/>
              </w:rPr>
              <w:t xml:space="preserve">Saskaņā ar Kapitālsabiedrību pārvaldības likuma 66.panta pirmās daļas 3.punktu tikai dalībnieku sapulcei ir tiesības pieņemt lēmumus par valdes locekļu un valdes priekšsēdētāja ievēlēšanu un atsaukšanu, izņemot gadījumus, kad sabiedrībā ir izveidota padome. </w:t>
            </w:r>
            <w:r w:rsidR="00C66AC9" w:rsidRPr="00FC097F">
              <w:rPr>
                <w:rFonts w:ascii="Times New Roman" w:hAnsi="Times New Roman"/>
                <w:lang w:val="lv-LV"/>
              </w:rPr>
              <w:t xml:space="preserve">Arī </w:t>
            </w:r>
            <w:r w:rsidR="00581EFA" w:rsidRPr="00FC097F">
              <w:rPr>
                <w:rFonts w:ascii="Times New Roman" w:hAnsi="Times New Roman"/>
                <w:lang w:val="lv-LV"/>
              </w:rPr>
              <w:t>K</w:t>
            </w:r>
            <w:r w:rsidR="00C66AC9" w:rsidRPr="00FC097F">
              <w:rPr>
                <w:rFonts w:ascii="Times New Roman" w:hAnsi="Times New Roman"/>
                <w:lang w:val="lv-LV"/>
              </w:rPr>
              <w:t>apitālsabiedrību pārvaldības likuma 94.panta pirmās daļas 3. un 4.punkts noteic, ka tikai akcionāru sapulcei ir tiesības pieņemt lēmumus par valdes locekļu un valdes priekšsēdētāja ievēlēšanu un atsaukšanu (ja sabiedrībā nav izveidota padome), un padomes (ja tāda ir izveidota) locekļu ievēlēšanu un atsaukšanu</w:t>
            </w:r>
            <w:r w:rsidR="00180D56" w:rsidRPr="00FC097F">
              <w:rPr>
                <w:rFonts w:ascii="Times New Roman" w:hAnsi="Times New Roman"/>
                <w:lang w:val="lv-LV"/>
              </w:rPr>
              <w:t xml:space="preserve">. </w:t>
            </w:r>
            <w:r w:rsidR="00956870" w:rsidRPr="00FC097F">
              <w:rPr>
                <w:rFonts w:ascii="Times New Roman" w:hAnsi="Times New Roman"/>
                <w:lang w:val="lv-LV"/>
              </w:rPr>
              <w:t xml:space="preserve">Atbilstoši Kapitālsabiedrības pārvaldības likuma 107.panta otrās daļas 1.punktam viens no padomes uzdevumiem ir ievēlēt un atsaukt valdes locekļus. </w:t>
            </w:r>
          </w:p>
          <w:p w:rsidR="00AF2942" w:rsidRDefault="00583C2A" w:rsidP="00FC097F">
            <w:pPr>
              <w:pStyle w:val="NormalWeb"/>
              <w:spacing w:before="0" w:beforeAutospacing="0" w:after="0" w:afterAutospacing="0"/>
              <w:jc w:val="both"/>
              <w:rPr>
                <w:rFonts w:ascii="Times New Roman" w:hAnsi="Times New Roman"/>
                <w:lang w:val="lv-LV"/>
              </w:rPr>
            </w:pPr>
            <w:r w:rsidRPr="00FC097F">
              <w:rPr>
                <w:rFonts w:ascii="Times New Roman" w:hAnsi="Times New Roman"/>
                <w:lang w:val="lv-LV"/>
              </w:rPr>
              <w:t xml:space="preserve">    </w:t>
            </w:r>
          </w:p>
          <w:p w:rsidR="00C66AC9" w:rsidRPr="00FC097F" w:rsidRDefault="00BC4536" w:rsidP="00FC097F">
            <w:pPr>
              <w:pStyle w:val="NormalWeb"/>
              <w:spacing w:before="0" w:beforeAutospacing="0" w:after="0" w:afterAutospacing="0"/>
              <w:jc w:val="both"/>
              <w:rPr>
                <w:rFonts w:ascii="Times New Roman" w:hAnsi="Times New Roman" w:cs="Times New Roman"/>
                <w:lang w:val="lv-LV"/>
              </w:rPr>
            </w:pPr>
            <w:r w:rsidRPr="00FC097F">
              <w:rPr>
                <w:rFonts w:ascii="Times New Roman" w:hAnsi="Times New Roman"/>
                <w:lang w:val="lv-LV"/>
              </w:rPr>
              <w:t>N</w:t>
            </w:r>
            <w:r w:rsidR="00956870" w:rsidRPr="00FC097F">
              <w:rPr>
                <w:rFonts w:ascii="Times New Roman" w:hAnsi="Times New Roman"/>
                <w:lang w:val="lv-LV"/>
              </w:rPr>
              <w:t>oteikumu 23.punkt</w:t>
            </w:r>
            <w:r w:rsidRPr="00FC097F">
              <w:rPr>
                <w:rFonts w:ascii="Times New Roman" w:hAnsi="Times New Roman"/>
                <w:lang w:val="lv-LV"/>
              </w:rPr>
              <w:t>a spēkā esošā redakcija</w:t>
            </w:r>
            <w:r w:rsidR="00956870" w:rsidRPr="00FC097F">
              <w:rPr>
                <w:rFonts w:ascii="Times New Roman" w:hAnsi="Times New Roman"/>
                <w:lang w:val="lv-LV"/>
              </w:rPr>
              <w:t xml:space="preserve"> noteic, ka, lai informētu sabiedrību par kandidātu atlases procesa un kandidātu atbilstības novērtēšanas rezultātiem, valsts kapitāla daļu turētājs vai kapitālsabiedrības padome (ja tāda ir izveidota) triju darbdienu laikā pēc šo noteikumu 19.punkt</w:t>
            </w:r>
            <w:r w:rsidR="00583C2A" w:rsidRPr="00FC097F">
              <w:rPr>
                <w:rFonts w:ascii="Times New Roman" w:hAnsi="Times New Roman"/>
                <w:lang w:val="lv-LV"/>
              </w:rPr>
              <w:t xml:space="preserve">ā minētā lēmuma pieņemšanas </w:t>
            </w:r>
            <w:r w:rsidR="00583C2A" w:rsidRPr="00FC097F">
              <w:rPr>
                <w:rFonts w:ascii="Times New Roman" w:hAnsi="Times New Roman"/>
                <w:lang w:val="lv-LV"/>
              </w:rPr>
              <w:lastRenderedPageBreak/>
              <w:t xml:space="preserve">publicē institūcijas tīmekļvietnē šādu informāciju: </w:t>
            </w:r>
            <w:r w:rsidR="00583C2A" w:rsidRPr="00FC097F">
              <w:rPr>
                <w:rFonts w:ascii="Times New Roman" w:hAnsi="Times New Roman" w:cs="Times New Roman"/>
                <w:lang w:val="lv-LV"/>
              </w:rPr>
              <w:t xml:space="preserve">kapitālsabiedrības nosaukums;  kompetenču un profesionālās pieredzes prasību apraksts; nominācijas komisijas sastāvs; informācija par kandidātu novērtēšanas procesu (novērtēšanas kritērijiem, izmantotajām kandidātu novērtēšanas metodēm, novērtēto kandidātu skaitu). Šajā noteikumu punktā ietvertā iekšējā atsauce uz noteikumu 19.punktu saistīta ar lēmumu, kuru pieņem nominācijas komisija par </w:t>
            </w:r>
            <w:r w:rsidR="00C66AC9" w:rsidRPr="00FC097F">
              <w:rPr>
                <w:rFonts w:ascii="Times New Roman" w:hAnsi="Times New Roman" w:cs="Times New Roman"/>
                <w:lang w:val="lv-LV"/>
              </w:rPr>
              <w:t xml:space="preserve">kandidātu novērtēšanu. </w:t>
            </w:r>
          </w:p>
          <w:p w:rsidR="009E1AA1" w:rsidRPr="00FC097F" w:rsidRDefault="00C66AC9" w:rsidP="00FC097F">
            <w:pPr>
              <w:pStyle w:val="NormalWeb"/>
              <w:spacing w:before="0" w:beforeAutospacing="0" w:after="0" w:afterAutospacing="0"/>
              <w:jc w:val="both"/>
              <w:rPr>
                <w:rFonts w:ascii="Times New Roman" w:hAnsi="Times New Roman" w:cs="Times New Roman"/>
                <w:lang w:val="lv-LV"/>
              </w:rPr>
            </w:pPr>
            <w:r w:rsidRPr="00FC097F">
              <w:rPr>
                <w:rFonts w:ascii="Times New Roman" w:hAnsi="Times New Roman" w:cs="Times New Roman"/>
                <w:lang w:val="lv-LV"/>
              </w:rPr>
              <w:t xml:space="preserve">Tomēr ne Kapitālsabiedrību pārvaldības likumā, ne noteikumos nav noteikts cik ilgā laikā no </w:t>
            </w:r>
            <w:r w:rsidR="00180D56" w:rsidRPr="00FC097F">
              <w:rPr>
                <w:rFonts w:ascii="Times New Roman" w:hAnsi="Times New Roman" w:cs="Times New Roman"/>
                <w:lang w:val="lv-LV"/>
              </w:rPr>
              <w:t xml:space="preserve">dalībnieku (akcionāru) sapulces vai padomes lēmuma pieņemšanas </w:t>
            </w:r>
            <w:r w:rsidRPr="00FC097F">
              <w:rPr>
                <w:rFonts w:ascii="Times New Roman" w:hAnsi="Times New Roman" w:cs="Times New Roman"/>
                <w:lang w:val="lv-LV"/>
              </w:rPr>
              <w:t>ir jānodrošina informācijas atklātības prasības</w:t>
            </w:r>
            <w:r w:rsidR="00BC4536" w:rsidRPr="00FC097F">
              <w:rPr>
                <w:rFonts w:ascii="Times New Roman" w:hAnsi="Times New Roman" w:cs="Times New Roman"/>
                <w:lang w:val="lv-LV"/>
              </w:rPr>
              <w:t xml:space="preserve"> – </w:t>
            </w:r>
            <w:r w:rsidRPr="00FC097F">
              <w:rPr>
                <w:rFonts w:ascii="Times New Roman" w:hAnsi="Times New Roman" w:cs="Times New Roman"/>
                <w:lang w:val="lv-LV"/>
              </w:rPr>
              <w:t xml:space="preserve">jāinformē sabiedrība par amatā ievēlēto </w:t>
            </w:r>
            <w:r w:rsidR="00BC4536" w:rsidRPr="00FC097F">
              <w:rPr>
                <w:rFonts w:ascii="Times New Roman" w:hAnsi="Times New Roman" w:cs="Times New Roman"/>
                <w:lang w:val="lv-LV"/>
              </w:rPr>
              <w:t xml:space="preserve">kapitālsabiedrības </w:t>
            </w:r>
            <w:r w:rsidR="00180D56" w:rsidRPr="00FC097F">
              <w:rPr>
                <w:rFonts w:ascii="Times New Roman" w:hAnsi="Times New Roman" w:cs="Times New Roman"/>
                <w:lang w:val="lv-LV"/>
              </w:rPr>
              <w:t xml:space="preserve">valdes vai padomes locekli. </w:t>
            </w:r>
          </w:p>
          <w:p w:rsidR="00AF2942" w:rsidRDefault="00AF2942" w:rsidP="00FC097F">
            <w:pPr>
              <w:pStyle w:val="NormalWeb"/>
              <w:spacing w:before="0" w:beforeAutospacing="0" w:after="0" w:afterAutospacing="0"/>
              <w:jc w:val="both"/>
              <w:rPr>
                <w:rFonts w:ascii="Times New Roman" w:hAnsi="Times New Roman" w:cs="Times New Roman"/>
                <w:color w:val="000000" w:themeColor="text1"/>
                <w:lang w:val="lv-LV"/>
              </w:rPr>
            </w:pPr>
          </w:p>
          <w:p w:rsidR="00180D56" w:rsidRPr="00446BD2" w:rsidRDefault="002F324C" w:rsidP="00FC097F">
            <w:pPr>
              <w:pStyle w:val="NormalWeb"/>
              <w:spacing w:before="0" w:beforeAutospacing="0" w:after="0" w:afterAutospacing="0"/>
              <w:jc w:val="both"/>
              <w:rPr>
                <w:rFonts w:ascii="Times New Roman" w:hAnsi="Times New Roman" w:cs="Times New Roman"/>
                <w:color w:val="000000" w:themeColor="text1"/>
                <w:lang w:val="lv-LV"/>
              </w:rPr>
            </w:pPr>
            <w:r w:rsidRPr="00446BD2">
              <w:rPr>
                <w:rFonts w:ascii="Times New Roman" w:hAnsi="Times New Roman" w:cs="Times New Roman"/>
                <w:color w:val="000000" w:themeColor="text1"/>
                <w:lang w:val="lv-LV"/>
              </w:rPr>
              <w:t>Lai nodrošinātu, ka sabiedrībai tiek sniegta visaptveroša informācija gan par attiecīgās kapitālsabiedrības vakanto valdes vai padomes locekļu amata kandidātu atlases un novērtēšanas procesu</w:t>
            </w:r>
            <w:r w:rsidR="009E1AA1" w:rsidRPr="00446BD2">
              <w:rPr>
                <w:rFonts w:ascii="Times New Roman" w:hAnsi="Times New Roman" w:cs="Times New Roman"/>
                <w:color w:val="000000" w:themeColor="text1"/>
                <w:lang w:val="lv-LV"/>
              </w:rPr>
              <w:t xml:space="preserve"> (tai skaitā nominācijas komisijas sastāvu)</w:t>
            </w:r>
            <w:r w:rsidRPr="00446BD2">
              <w:rPr>
                <w:rFonts w:ascii="Times New Roman" w:hAnsi="Times New Roman" w:cs="Times New Roman"/>
                <w:color w:val="000000" w:themeColor="text1"/>
                <w:lang w:val="lv-LV"/>
              </w:rPr>
              <w:t xml:space="preserve">, gan arī ar dalībnieku (akcionāru) vai kapitālsabiedrības padomes (ja tāda ir izveidota) pieņemto lēmumu par amatā ievēlēto </w:t>
            </w:r>
            <w:r w:rsidR="00BC4536" w:rsidRPr="00446BD2">
              <w:rPr>
                <w:rFonts w:ascii="Times New Roman" w:hAnsi="Times New Roman" w:cs="Times New Roman"/>
                <w:color w:val="000000" w:themeColor="text1"/>
                <w:lang w:val="lv-LV"/>
              </w:rPr>
              <w:t xml:space="preserve">kapitālsabiedrības </w:t>
            </w:r>
            <w:r w:rsidRPr="00446BD2">
              <w:rPr>
                <w:rFonts w:ascii="Times New Roman" w:hAnsi="Times New Roman" w:cs="Times New Roman"/>
                <w:color w:val="000000" w:themeColor="text1"/>
                <w:lang w:val="lv-LV"/>
              </w:rPr>
              <w:t xml:space="preserve">valdes vai padomes locekli, tad </w:t>
            </w:r>
            <w:r w:rsidR="009E1AA1" w:rsidRPr="00446BD2">
              <w:rPr>
                <w:rFonts w:ascii="Times New Roman" w:hAnsi="Times New Roman" w:cs="Times New Roman"/>
                <w:color w:val="000000" w:themeColor="text1"/>
                <w:lang w:val="lv-LV"/>
              </w:rPr>
              <w:t xml:space="preserve">jaunā redakcijā </w:t>
            </w:r>
            <w:r w:rsidRPr="00446BD2">
              <w:rPr>
                <w:rFonts w:ascii="Times New Roman" w:hAnsi="Times New Roman" w:cs="Times New Roman"/>
                <w:color w:val="000000" w:themeColor="text1"/>
                <w:lang w:val="lv-LV"/>
              </w:rPr>
              <w:t xml:space="preserve">tiek </w:t>
            </w:r>
            <w:r w:rsidR="009E1AA1" w:rsidRPr="00446BD2">
              <w:rPr>
                <w:rFonts w:ascii="Times New Roman" w:hAnsi="Times New Roman" w:cs="Times New Roman"/>
                <w:color w:val="000000" w:themeColor="text1"/>
                <w:lang w:val="lv-LV"/>
              </w:rPr>
              <w:t xml:space="preserve">izteikts </w:t>
            </w:r>
            <w:r w:rsidRPr="00446BD2">
              <w:rPr>
                <w:rFonts w:ascii="Times New Roman" w:hAnsi="Times New Roman" w:cs="Times New Roman"/>
                <w:color w:val="000000" w:themeColor="text1"/>
                <w:lang w:val="lv-LV"/>
              </w:rPr>
              <w:t>noteikumu 23.punkt</w:t>
            </w:r>
            <w:r w:rsidR="009E1AA1" w:rsidRPr="00446BD2">
              <w:rPr>
                <w:rFonts w:ascii="Times New Roman" w:hAnsi="Times New Roman" w:cs="Times New Roman"/>
                <w:color w:val="000000" w:themeColor="text1"/>
                <w:lang w:val="lv-LV"/>
              </w:rPr>
              <w:t>s</w:t>
            </w:r>
            <w:r w:rsidRPr="00446BD2">
              <w:rPr>
                <w:rFonts w:ascii="Times New Roman" w:hAnsi="Times New Roman" w:cs="Times New Roman"/>
                <w:color w:val="000000" w:themeColor="text1"/>
                <w:lang w:val="lv-LV"/>
              </w:rPr>
              <w:t>.</w:t>
            </w:r>
            <w:r w:rsidR="00180D56" w:rsidRPr="00446BD2">
              <w:rPr>
                <w:rFonts w:ascii="Times New Roman" w:hAnsi="Times New Roman" w:cs="Times New Roman"/>
                <w:color w:val="000000" w:themeColor="text1"/>
                <w:lang w:val="lv-LV"/>
              </w:rPr>
              <w:t xml:space="preserve"> </w:t>
            </w:r>
          </w:p>
          <w:p w:rsidR="0018216A" w:rsidRPr="00FC097F" w:rsidRDefault="00583C2A" w:rsidP="00FC097F">
            <w:pPr>
              <w:pStyle w:val="NormalWeb"/>
              <w:spacing w:before="0" w:beforeAutospacing="0" w:after="0" w:afterAutospacing="0"/>
              <w:jc w:val="both"/>
              <w:rPr>
                <w:rFonts w:ascii="Times New Roman" w:hAnsi="Times New Roman"/>
                <w:lang w:val="lv-LV"/>
              </w:rPr>
            </w:pPr>
            <w:r w:rsidRPr="00FC097F">
              <w:rPr>
                <w:rFonts w:ascii="Times New Roman" w:hAnsi="Times New Roman"/>
                <w:lang w:val="lv-LV"/>
              </w:rPr>
              <w:t xml:space="preserve">   </w:t>
            </w:r>
          </w:p>
          <w:p w:rsidR="00F85960" w:rsidRPr="00FC097F" w:rsidRDefault="00F85960" w:rsidP="00FC097F">
            <w:pPr>
              <w:pStyle w:val="NormalWeb"/>
              <w:numPr>
                <w:ilvl w:val="0"/>
                <w:numId w:val="2"/>
              </w:numPr>
              <w:spacing w:before="0" w:beforeAutospacing="0" w:after="0" w:afterAutospacing="0"/>
              <w:jc w:val="both"/>
              <w:rPr>
                <w:rFonts w:ascii="Times New Roman" w:hAnsi="Times New Roman"/>
                <w:b/>
                <w:lang w:val="lv-LV"/>
              </w:rPr>
            </w:pPr>
            <w:r w:rsidRPr="00FC097F">
              <w:rPr>
                <w:rFonts w:ascii="Times New Roman" w:hAnsi="Times New Roman"/>
                <w:b/>
                <w:lang w:val="lv-LV"/>
              </w:rPr>
              <w:t>Nominācijas komisijas locekļa apliecinājums</w:t>
            </w:r>
          </w:p>
          <w:p w:rsidR="000E3068" w:rsidRDefault="00C36837" w:rsidP="00FC097F">
            <w:pPr>
              <w:pStyle w:val="NormalWeb"/>
              <w:spacing w:before="0" w:beforeAutospacing="0" w:after="0" w:afterAutospacing="0"/>
              <w:jc w:val="both"/>
              <w:rPr>
                <w:rFonts w:ascii="Times New Roman" w:hAnsi="Times New Roman" w:cs="Times New Roman"/>
                <w:lang w:val="lv-LV"/>
              </w:rPr>
            </w:pPr>
            <w:r w:rsidRPr="00FC097F">
              <w:rPr>
                <w:rFonts w:ascii="Times New Roman" w:hAnsi="Times New Roman"/>
                <w:lang w:val="lv-LV"/>
              </w:rPr>
              <w:t>Lai nodrošinātu interešu konflikta novēršanu, n</w:t>
            </w:r>
            <w:r w:rsidR="00ED0555" w:rsidRPr="00FC097F">
              <w:rPr>
                <w:rFonts w:ascii="Times New Roman" w:hAnsi="Times New Roman"/>
                <w:lang w:val="lv-LV"/>
              </w:rPr>
              <w:t>oteikumu 1</w:t>
            </w:r>
            <w:r w:rsidR="00F072C5" w:rsidRPr="00FC097F">
              <w:rPr>
                <w:rFonts w:ascii="Times New Roman" w:hAnsi="Times New Roman"/>
                <w:lang w:val="lv-LV"/>
              </w:rPr>
              <w:t>6</w:t>
            </w:r>
            <w:r w:rsidR="00ED0555" w:rsidRPr="00FC097F">
              <w:rPr>
                <w:rFonts w:ascii="Times New Roman" w:hAnsi="Times New Roman"/>
                <w:lang w:val="lv-LV"/>
              </w:rPr>
              <w:t xml:space="preserve">.punkts noteic, ka </w:t>
            </w:r>
            <w:r w:rsidR="005C4634" w:rsidRPr="00FC097F">
              <w:rPr>
                <w:rFonts w:ascii="Times New Roman" w:hAnsi="Times New Roman"/>
                <w:lang w:val="lv-LV"/>
              </w:rPr>
              <w:t xml:space="preserve">pirms kandidātu </w:t>
            </w:r>
            <w:r w:rsidR="00ED0555" w:rsidRPr="00FC097F">
              <w:rPr>
                <w:rFonts w:ascii="Times New Roman" w:hAnsi="Times New Roman"/>
                <w:lang w:val="lv-LV"/>
              </w:rPr>
              <w:t xml:space="preserve">atbilstības novērtēšanas </w:t>
            </w:r>
            <w:r w:rsidR="005C4634" w:rsidRPr="00FC097F">
              <w:rPr>
                <w:rFonts w:ascii="Times New Roman" w:hAnsi="Times New Roman"/>
                <w:lang w:val="lv-LV"/>
              </w:rPr>
              <w:t xml:space="preserve">uzsākšanas </w:t>
            </w:r>
            <w:r w:rsidR="003B6F39" w:rsidRPr="00FC097F">
              <w:rPr>
                <w:rFonts w:ascii="Times New Roman" w:hAnsi="Times New Roman"/>
                <w:lang w:val="lv-LV"/>
              </w:rPr>
              <w:t xml:space="preserve">visi </w:t>
            </w:r>
            <w:r w:rsidR="00ED0555" w:rsidRPr="00FC097F">
              <w:rPr>
                <w:rFonts w:ascii="Times New Roman" w:hAnsi="Times New Roman"/>
                <w:lang w:val="lv-LV"/>
              </w:rPr>
              <w:t>nominācijas komisijas locek</w:t>
            </w:r>
            <w:r w:rsidR="003B6F39" w:rsidRPr="00FC097F">
              <w:rPr>
                <w:rFonts w:ascii="Times New Roman" w:hAnsi="Times New Roman"/>
                <w:lang w:val="lv-LV"/>
              </w:rPr>
              <w:t>ļi</w:t>
            </w:r>
            <w:r w:rsidR="00B205C0" w:rsidRPr="00FC097F">
              <w:rPr>
                <w:rFonts w:ascii="Times New Roman" w:hAnsi="Times New Roman"/>
                <w:lang w:val="lv-LV"/>
              </w:rPr>
              <w:t xml:space="preserve">, kā arī </w:t>
            </w:r>
            <w:r w:rsidR="003B6F39" w:rsidRPr="00FC097F">
              <w:rPr>
                <w:rFonts w:ascii="Times New Roman" w:hAnsi="Times New Roman"/>
                <w:lang w:val="lv-LV"/>
              </w:rPr>
              <w:t xml:space="preserve"> novērotāji ar padomdevēja tiesībām </w:t>
            </w:r>
            <w:r w:rsidR="00ED0555" w:rsidRPr="00FC097F">
              <w:rPr>
                <w:rFonts w:ascii="Times New Roman" w:hAnsi="Times New Roman"/>
                <w:lang w:val="lv-LV"/>
              </w:rPr>
              <w:t xml:space="preserve">paraksta </w:t>
            </w:r>
            <w:r w:rsidRPr="00FC097F">
              <w:rPr>
                <w:rFonts w:ascii="Times New Roman" w:hAnsi="Times New Roman"/>
                <w:lang w:val="lv-LV"/>
              </w:rPr>
              <w:t xml:space="preserve">noteikumu 3.pielikumā norādīto nominācijas komisijas locekļa </w:t>
            </w:r>
            <w:r w:rsidR="004F585C" w:rsidRPr="00FC097F">
              <w:rPr>
                <w:rFonts w:ascii="Times New Roman" w:hAnsi="Times New Roman"/>
                <w:lang w:val="lv-LV"/>
              </w:rPr>
              <w:t>apliecinājumu</w:t>
            </w:r>
            <w:r w:rsidR="00A64B67" w:rsidRPr="00FC097F">
              <w:rPr>
                <w:rFonts w:ascii="Times New Roman" w:hAnsi="Times New Roman"/>
                <w:lang w:val="lv-LV"/>
              </w:rPr>
              <w:t xml:space="preserve"> </w:t>
            </w:r>
            <w:r w:rsidR="00A64B67" w:rsidRPr="00F51DEB">
              <w:rPr>
                <w:rFonts w:ascii="Times New Roman" w:hAnsi="Times New Roman"/>
                <w:color w:val="000000" w:themeColor="text1"/>
                <w:lang w:val="lv-LV"/>
              </w:rPr>
              <w:t>(turpmāk-apliecinājums)</w:t>
            </w:r>
            <w:r w:rsidRPr="00FC097F">
              <w:rPr>
                <w:rFonts w:ascii="Times New Roman" w:hAnsi="Times New Roman"/>
                <w:lang w:val="lv-LV"/>
              </w:rPr>
              <w:t>.</w:t>
            </w:r>
            <w:r w:rsidR="00825190" w:rsidRPr="00FC097F">
              <w:rPr>
                <w:rFonts w:ascii="Times New Roman" w:hAnsi="Times New Roman"/>
                <w:lang w:val="lv-LV"/>
              </w:rPr>
              <w:t xml:space="preserve"> Pašreizējais apliecinājums ietver pārāk ierobežojošus nosacījumus attiecībā uz nominācijas komisijas locekļa saistību ar kandidāta darba vietu, nosakot, ka nominācijas komisijas </w:t>
            </w:r>
            <w:r w:rsidR="00A64B67" w:rsidRPr="00FC097F">
              <w:rPr>
                <w:rFonts w:ascii="Times New Roman" w:hAnsi="Times New Roman"/>
                <w:lang w:val="lv-LV"/>
              </w:rPr>
              <w:t xml:space="preserve">loceklis </w:t>
            </w:r>
            <w:r w:rsidR="00825190" w:rsidRPr="00FC097F">
              <w:rPr>
                <w:rFonts w:ascii="Times New Roman" w:hAnsi="Times New Roman"/>
                <w:lang w:val="lv-LV"/>
              </w:rPr>
              <w:t>nav tiesīgs parakstīt apliecinājumu, ja vi</w:t>
            </w:r>
            <w:r w:rsidR="00E25D1C" w:rsidRPr="00FC097F">
              <w:rPr>
                <w:rFonts w:ascii="Times New Roman" w:hAnsi="Times New Roman"/>
                <w:lang w:val="lv-LV"/>
              </w:rPr>
              <w:t xml:space="preserve">ņš un kandidāts strādā vai ir strādājuši iepriekšējos 24 mēnešus vienā un tai pašā darba vietā. </w:t>
            </w:r>
            <w:r w:rsidR="00B07425">
              <w:rPr>
                <w:rFonts w:ascii="Times New Roman" w:hAnsi="Times New Roman"/>
                <w:lang w:val="lv-LV"/>
              </w:rPr>
              <w:t xml:space="preserve">Var veidoties situācijas, ka lielās institūcijās cilvēki var būt pat savstarpēji nepazīstami, bet pašreizējais regulējums liegtu nominācijas komisijas loceklim parakstīt apliecinājumu, bet attiecīgās institūcijas darbiniekam kandidēt uz amatu, lai gan interešu konflikta pēc būtības nav, jo tas neietekmēs nedz kandidāta, nedz nominācijas komisijas locekļa mantiskās vai citas personīgās intereses. </w:t>
            </w:r>
            <w:r w:rsidR="00E25D1C" w:rsidRPr="00FC097F">
              <w:rPr>
                <w:rFonts w:ascii="Times New Roman" w:hAnsi="Times New Roman"/>
                <w:lang w:val="lv-LV"/>
              </w:rPr>
              <w:t xml:space="preserve">Tādēļ tiek piedāvāts noteikt, ka apliecinājumu nevar parakstīt tikai tad, ja </w:t>
            </w:r>
            <w:r w:rsidR="00E25D1C" w:rsidRPr="00FC097F">
              <w:rPr>
                <w:rFonts w:ascii="Times New Roman" w:hAnsi="Times New Roman" w:cs="Times New Roman"/>
                <w:lang w:val="lv-LV"/>
              </w:rPr>
              <w:t xml:space="preserve"> nominācijas komisijas loceklis nav pašreizējais vai bijušais</w:t>
            </w:r>
            <w:r w:rsidR="0039602B" w:rsidRPr="00FC097F">
              <w:rPr>
                <w:rFonts w:ascii="Times New Roman" w:hAnsi="Times New Roman" w:cs="Times New Roman"/>
                <w:lang w:val="lv-LV"/>
              </w:rPr>
              <w:t xml:space="preserve"> (iepriekšējie 24 mēneši)</w:t>
            </w:r>
            <w:r w:rsidR="00E25D1C" w:rsidRPr="00FC097F">
              <w:rPr>
                <w:rFonts w:ascii="Times New Roman" w:hAnsi="Times New Roman" w:cs="Times New Roman"/>
                <w:lang w:val="lv-LV"/>
              </w:rPr>
              <w:t xml:space="preserve"> kandidāta tiešais vadītājs vai tiešais pad</w:t>
            </w:r>
            <w:r w:rsidR="0039602B" w:rsidRPr="00FC097F">
              <w:rPr>
                <w:rFonts w:ascii="Times New Roman" w:hAnsi="Times New Roman" w:cs="Times New Roman"/>
                <w:lang w:val="lv-LV"/>
              </w:rPr>
              <w:t>otais</w:t>
            </w:r>
            <w:r w:rsidR="00BC4536" w:rsidRPr="00FC097F">
              <w:rPr>
                <w:rFonts w:ascii="Times New Roman" w:hAnsi="Times New Roman" w:cs="Times New Roman"/>
                <w:lang w:val="lv-LV"/>
              </w:rPr>
              <w:t>.</w:t>
            </w:r>
            <w:r w:rsidR="00C67F4C">
              <w:rPr>
                <w:rFonts w:ascii="Times New Roman" w:hAnsi="Times New Roman" w:cs="Times New Roman"/>
                <w:lang w:val="lv-LV"/>
              </w:rPr>
              <w:t xml:space="preserve"> Tāpat tiek piedāvāts noteikt, ka, ja nominācijas komisijas loceklis iespējama interešu konflikta vai ētikas apsvērumu dēļ nevar parakstīt apliecinājumu attiecībā pret kādu no kandidātiem, tad to norāda apliecinājumā un atstata sevi no konkrētā kandidāta vērtēšanas.</w:t>
            </w:r>
          </w:p>
          <w:p w:rsidR="00AF2942" w:rsidRPr="00FC097F" w:rsidRDefault="00AF2942" w:rsidP="00FC097F">
            <w:pPr>
              <w:pStyle w:val="NormalWeb"/>
              <w:spacing w:before="0" w:beforeAutospacing="0" w:after="0" w:afterAutospacing="0"/>
              <w:jc w:val="both"/>
              <w:rPr>
                <w:rFonts w:ascii="Times New Roman" w:hAnsi="Times New Roman" w:cs="Times New Roman"/>
                <w:lang w:val="lv-LV"/>
              </w:rPr>
            </w:pPr>
          </w:p>
          <w:p w:rsidR="00AF2942" w:rsidRDefault="00913A19" w:rsidP="001A26B0">
            <w:pPr>
              <w:pStyle w:val="tv2132"/>
              <w:spacing w:line="240" w:lineRule="auto"/>
              <w:jc w:val="both"/>
              <w:rPr>
                <w:color w:val="000000" w:themeColor="text1"/>
                <w:sz w:val="24"/>
                <w:szCs w:val="24"/>
              </w:rPr>
            </w:pPr>
            <w:r w:rsidRPr="001A26B0">
              <w:rPr>
                <w:color w:val="000000" w:themeColor="text1"/>
                <w:sz w:val="24"/>
                <w:szCs w:val="24"/>
              </w:rPr>
              <w:t xml:space="preserve">Ņemot vērā, ka nominācijas komisijas darbā </w:t>
            </w:r>
            <w:r w:rsidR="00B164AB" w:rsidRPr="001A26B0">
              <w:rPr>
                <w:color w:val="000000" w:themeColor="text1"/>
                <w:sz w:val="24"/>
                <w:szCs w:val="24"/>
              </w:rPr>
              <w:t xml:space="preserve">var tikt </w:t>
            </w:r>
            <w:r w:rsidRPr="001A26B0">
              <w:rPr>
                <w:color w:val="000000" w:themeColor="text1"/>
                <w:sz w:val="24"/>
                <w:szCs w:val="24"/>
              </w:rPr>
              <w:t>skatīti dokumenti, kuri satur ierobežotas pieejamības informāciju (saistībā gan ar kapitālsabiedrības komercdarbību</w:t>
            </w:r>
            <w:r w:rsidR="003B5BF0" w:rsidRPr="001A26B0">
              <w:rPr>
                <w:color w:val="000000" w:themeColor="text1"/>
                <w:sz w:val="24"/>
                <w:szCs w:val="24"/>
              </w:rPr>
              <w:t xml:space="preserve"> (</w:t>
            </w:r>
            <w:r w:rsidRPr="001A26B0">
              <w:rPr>
                <w:color w:val="000000" w:themeColor="text1"/>
                <w:sz w:val="24"/>
                <w:szCs w:val="24"/>
              </w:rPr>
              <w:t>stratēģiju, finanšu stāvokli, attīstības mērķiem</w:t>
            </w:r>
            <w:r w:rsidR="003B5BF0" w:rsidRPr="001A26B0">
              <w:rPr>
                <w:color w:val="000000" w:themeColor="text1"/>
                <w:sz w:val="24"/>
                <w:szCs w:val="24"/>
              </w:rPr>
              <w:t>)</w:t>
            </w:r>
            <w:r w:rsidRPr="001A26B0">
              <w:rPr>
                <w:color w:val="000000" w:themeColor="text1"/>
                <w:sz w:val="24"/>
                <w:szCs w:val="24"/>
              </w:rPr>
              <w:t xml:space="preserve">, gan </w:t>
            </w:r>
            <w:r w:rsidR="00B164AB" w:rsidRPr="001A26B0">
              <w:rPr>
                <w:color w:val="000000" w:themeColor="text1"/>
                <w:sz w:val="24"/>
                <w:szCs w:val="24"/>
              </w:rPr>
              <w:t xml:space="preserve">nominācijas komisijas rīcībā tiek nodoti dokumenti, kuri satur informāciju par </w:t>
            </w:r>
            <w:r w:rsidRPr="001A26B0">
              <w:rPr>
                <w:color w:val="000000" w:themeColor="text1"/>
                <w:sz w:val="24"/>
                <w:szCs w:val="24"/>
              </w:rPr>
              <w:t>pretendent</w:t>
            </w:r>
            <w:r w:rsidR="00B164AB" w:rsidRPr="001A26B0">
              <w:rPr>
                <w:color w:val="000000" w:themeColor="text1"/>
                <w:sz w:val="24"/>
                <w:szCs w:val="24"/>
              </w:rPr>
              <w:t>iem</w:t>
            </w:r>
            <w:r w:rsidR="003B5BF0" w:rsidRPr="001A26B0">
              <w:rPr>
                <w:color w:val="000000" w:themeColor="text1"/>
                <w:sz w:val="24"/>
                <w:szCs w:val="24"/>
              </w:rPr>
              <w:t>, tad, lai</w:t>
            </w:r>
            <w:r w:rsidRPr="001A26B0">
              <w:rPr>
                <w:color w:val="000000" w:themeColor="text1"/>
                <w:sz w:val="24"/>
                <w:szCs w:val="24"/>
              </w:rPr>
              <w:t xml:space="preserve"> </w:t>
            </w:r>
            <w:r w:rsidR="003B5BF0" w:rsidRPr="001A26B0">
              <w:rPr>
                <w:color w:val="000000" w:themeColor="text1"/>
                <w:sz w:val="24"/>
                <w:szCs w:val="24"/>
              </w:rPr>
              <w:t xml:space="preserve">nodrošinātu, ka nominācijas komisijas locekļi </w:t>
            </w:r>
            <w:r w:rsidRPr="001A26B0">
              <w:rPr>
                <w:color w:val="000000" w:themeColor="text1"/>
                <w:sz w:val="24"/>
                <w:szCs w:val="24"/>
              </w:rPr>
              <w:t xml:space="preserve"> </w:t>
            </w:r>
            <w:r w:rsidR="003B5BF0" w:rsidRPr="001A26B0">
              <w:rPr>
                <w:color w:val="000000" w:themeColor="text1"/>
                <w:sz w:val="24"/>
                <w:szCs w:val="24"/>
              </w:rPr>
              <w:t>parakstot apliecinājumu vienlaikus būtu informēti par sekām, kuras var iestāties informācijas prettiesiskas izpaušanas gadījumā, 3.pielikums ir pap</w:t>
            </w:r>
            <w:r w:rsidR="001A3C7F" w:rsidRPr="001A26B0">
              <w:rPr>
                <w:color w:val="000000" w:themeColor="text1"/>
                <w:sz w:val="24"/>
                <w:szCs w:val="24"/>
              </w:rPr>
              <w:t>ildināts ar 6</w:t>
            </w:r>
            <w:r w:rsidR="003B5BF0" w:rsidRPr="001A26B0">
              <w:rPr>
                <w:color w:val="000000" w:themeColor="text1"/>
                <w:sz w:val="24"/>
                <w:szCs w:val="24"/>
              </w:rPr>
              <w:t xml:space="preserve">.punktu. </w:t>
            </w:r>
          </w:p>
          <w:p w:rsidR="00A101CC" w:rsidRPr="00AF2942" w:rsidRDefault="003B5BF0" w:rsidP="001A26B0">
            <w:pPr>
              <w:pStyle w:val="tv2132"/>
              <w:spacing w:line="240" w:lineRule="auto"/>
              <w:jc w:val="both"/>
              <w:rPr>
                <w:color w:val="000000" w:themeColor="text1"/>
                <w:sz w:val="24"/>
                <w:szCs w:val="24"/>
              </w:rPr>
            </w:pPr>
            <w:r w:rsidRPr="001A26B0">
              <w:rPr>
                <w:color w:val="000000" w:themeColor="text1"/>
                <w:sz w:val="24"/>
                <w:szCs w:val="24"/>
              </w:rPr>
              <w:t xml:space="preserve">Tā kā nominācijas komisijas sastāvā var tikt iekļauti pieaicinātie neatkarīgie </w:t>
            </w:r>
            <w:r w:rsidRPr="001A26B0">
              <w:rPr>
                <w:color w:val="000000" w:themeColor="text1"/>
                <w:sz w:val="24"/>
                <w:szCs w:val="24"/>
              </w:rPr>
              <w:lastRenderedPageBreak/>
              <w:t xml:space="preserve">eksperti un novērotāji ar padomdevēja tiesībām, kuri var nebūt valsts amatpersonas vai valsts pārvaldes darbinieki, tad </w:t>
            </w:r>
            <w:r w:rsidR="00A101CC" w:rsidRPr="001A26B0">
              <w:rPr>
                <w:color w:val="000000" w:themeColor="text1"/>
                <w:sz w:val="24"/>
                <w:szCs w:val="24"/>
              </w:rPr>
              <w:t xml:space="preserve">atbildība par </w:t>
            </w:r>
            <w:r w:rsidRPr="001A26B0">
              <w:rPr>
                <w:color w:val="000000" w:themeColor="text1"/>
                <w:sz w:val="24"/>
                <w:szCs w:val="24"/>
              </w:rPr>
              <w:t>informā</w:t>
            </w:r>
            <w:r w:rsidR="00A101CC" w:rsidRPr="001A26B0">
              <w:rPr>
                <w:color w:val="000000" w:themeColor="text1"/>
                <w:sz w:val="24"/>
                <w:szCs w:val="24"/>
              </w:rPr>
              <w:t>cijas prettiesisku izpaušanu ir saistoša arī neatkarīgajiem ekspertiem un novērotājiem ar padomdevēja tiesībām</w:t>
            </w:r>
            <w:r w:rsidR="00446BD2" w:rsidRPr="001A26B0">
              <w:rPr>
                <w:color w:val="000000" w:themeColor="text1"/>
                <w:sz w:val="24"/>
                <w:szCs w:val="24"/>
              </w:rPr>
              <w:t>.</w:t>
            </w:r>
            <w:r w:rsidR="00C67F4C" w:rsidRPr="001A26B0">
              <w:rPr>
                <w:color w:val="000000" w:themeColor="text1"/>
                <w:sz w:val="24"/>
                <w:szCs w:val="24"/>
              </w:rPr>
              <w:t xml:space="preserve"> Nominācijas komisijas locekļi var tikt saukti pie disciplināratbildības, kā arī pie kriminālatbildības par nepatiesu ziņu sniegšanu valsts institūcijai (Krimināllikuma 262.pants), vai pie administratīvās atbildības par nelikumīgu rīcību ar personas datiem </w:t>
            </w:r>
            <w:r w:rsidR="00C67F4C" w:rsidRPr="00AF2942">
              <w:rPr>
                <w:color w:val="000000" w:themeColor="text1"/>
                <w:sz w:val="24"/>
                <w:szCs w:val="24"/>
              </w:rPr>
              <w:t>(</w:t>
            </w:r>
            <w:r w:rsidR="00EE7F90" w:rsidRPr="00AF2942">
              <w:rPr>
                <w:color w:val="000000" w:themeColor="text1"/>
                <w:sz w:val="24"/>
                <w:szCs w:val="24"/>
              </w:rPr>
              <w:t xml:space="preserve">Latvijas </w:t>
            </w:r>
            <w:r w:rsidR="00C67F4C" w:rsidRPr="00AF2942">
              <w:rPr>
                <w:color w:val="000000" w:themeColor="text1"/>
                <w:sz w:val="24"/>
                <w:szCs w:val="24"/>
              </w:rPr>
              <w:t>Administratīvo pārkāpumu kodeks</w:t>
            </w:r>
            <w:r w:rsidR="001A26B0" w:rsidRPr="00AF2942">
              <w:rPr>
                <w:color w:val="000000" w:themeColor="text1"/>
                <w:sz w:val="24"/>
                <w:szCs w:val="24"/>
              </w:rPr>
              <w:t>a</w:t>
            </w:r>
            <w:r w:rsidR="001A26B0" w:rsidRPr="00AF2942">
              <w:rPr>
                <w:bCs/>
                <w:color w:val="000000" w:themeColor="text1"/>
                <w:sz w:val="24"/>
                <w:szCs w:val="24"/>
              </w:rPr>
              <w:t>204.</w:t>
            </w:r>
            <w:r w:rsidR="001A26B0" w:rsidRPr="00AF2942">
              <w:rPr>
                <w:bCs/>
                <w:color w:val="000000" w:themeColor="text1"/>
                <w:sz w:val="24"/>
                <w:szCs w:val="24"/>
                <w:vertAlign w:val="superscript"/>
              </w:rPr>
              <w:t>7</w:t>
            </w:r>
            <w:r w:rsidR="001A26B0" w:rsidRPr="00AF2942">
              <w:rPr>
                <w:bCs/>
                <w:color w:val="000000" w:themeColor="text1"/>
                <w:sz w:val="24"/>
                <w:szCs w:val="24"/>
              </w:rPr>
              <w:t xml:space="preserve"> pants. Nelikumīgas darbības ar fiziskās personas datiem</w:t>
            </w:r>
            <w:r w:rsidR="00C67F4C" w:rsidRPr="00AF2942">
              <w:rPr>
                <w:color w:val="000000" w:themeColor="text1"/>
                <w:sz w:val="24"/>
                <w:szCs w:val="24"/>
              </w:rPr>
              <w:t>), ja tiek izpausta informācija par amatu kandidātiem.</w:t>
            </w:r>
          </w:p>
          <w:p w:rsidR="00446BD2" w:rsidRPr="00AF2942" w:rsidRDefault="00446BD2" w:rsidP="00FC097F">
            <w:pPr>
              <w:pStyle w:val="NormalWeb"/>
              <w:spacing w:before="0" w:beforeAutospacing="0" w:after="0" w:afterAutospacing="0"/>
              <w:jc w:val="both"/>
              <w:rPr>
                <w:rFonts w:ascii="Times New Roman" w:hAnsi="Times New Roman" w:cs="Times New Roman"/>
                <w:color w:val="000000" w:themeColor="text1"/>
                <w:lang w:val="lv-LV"/>
              </w:rPr>
            </w:pPr>
          </w:p>
          <w:p w:rsidR="00E25D1C" w:rsidRPr="00FC097F" w:rsidRDefault="00E25D1C" w:rsidP="00FC097F">
            <w:pPr>
              <w:pStyle w:val="NormalWeb"/>
              <w:numPr>
                <w:ilvl w:val="0"/>
                <w:numId w:val="2"/>
              </w:numPr>
              <w:spacing w:before="0" w:beforeAutospacing="0" w:after="0" w:afterAutospacing="0"/>
              <w:jc w:val="both"/>
              <w:rPr>
                <w:rFonts w:ascii="Times New Roman" w:hAnsi="Times New Roman" w:cs="Times New Roman"/>
                <w:b/>
                <w:lang w:val="lv-LV"/>
              </w:rPr>
            </w:pPr>
            <w:r w:rsidRPr="00FC097F">
              <w:rPr>
                <w:rFonts w:ascii="Times New Roman" w:hAnsi="Times New Roman" w:cs="Times New Roman"/>
                <w:b/>
                <w:lang w:val="lv-LV"/>
              </w:rPr>
              <w:t>Kandidātu atbilstības vērtēšana</w:t>
            </w:r>
          </w:p>
          <w:p w:rsidR="00E25D1C" w:rsidRPr="00FC097F" w:rsidRDefault="00E25D1C" w:rsidP="00FC097F">
            <w:pPr>
              <w:pStyle w:val="NormalWeb"/>
              <w:spacing w:before="0" w:beforeAutospacing="0" w:after="0" w:afterAutospacing="0"/>
              <w:jc w:val="both"/>
              <w:rPr>
                <w:rFonts w:ascii="Times New Roman" w:hAnsi="Times New Roman" w:cs="Times New Roman"/>
                <w:lang w:val="lv-LV"/>
              </w:rPr>
            </w:pPr>
            <w:r w:rsidRPr="00FC097F">
              <w:rPr>
                <w:rFonts w:ascii="Times New Roman" w:hAnsi="Times New Roman" w:cs="Times New Roman"/>
                <w:lang w:val="lv-LV"/>
              </w:rPr>
              <w:t xml:space="preserve">Vērtēšanas rezultātus nominācijas komisija apkopo, par katru kandidātu aizpildot kandidātu vērtēšanas veidlapu, kas ir noteikumu 4. pielikumā. </w:t>
            </w:r>
            <w:r w:rsidR="00C87A3D" w:rsidRPr="00FC097F">
              <w:rPr>
                <w:rFonts w:ascii="Times New Roman" w:hAnsi="Times New Roman" w:cs="Times New Roman"/>
                <w:lang w:val="lv-LV"/>
              </w:rPr>
              <w:t xml:space="preserve">Noteikumu 4.pielikums izteikts jaunā redakcijā, lai vienkāršotu novērtējumu </w:t>
            </w:r>
            <w:r w:rsidR="0039602B" w:rsidRPr="00FC097F">
              <w:rPr>
                <w:rFonts w:ascii="Times New Roman" w:hAnsi="Times New Roman" w:cs="Times New Roman"/>
                <w:lang w:val="lv-LV"/>
              </w:rPr>
              <w:t xml:space="preserve">veikšanu un rezultātu </w:t>
            </w:r>
            <w:r w:rsidR="00C87A3D" w:rsidRPr="00FC097F">
              <w:rPr>
                <w:rFonts w:ascii="Times New Roman" w:hAnsi="Times New Roman" w:cs="Times New Roman"/>
                <w:lang w:val="lv-LV"/>
              </w:rPr>
              <w:t>aprēķināšanu.</w:t>
            </w:r>
          </w:p>
          <w:p w:rsidR="00A101CC" w:rsidRPr="00446BD2" w:rsidRDefault="00F51DEB" w:rsidP="00FC097F">
            <w:pPr>
              <w:jc w:val="both"/>
              <w:rPr>
                <w:color w:val="000000" w:themeColor="text1"/>
              </w:rPr>
            </w:pPr>
            <w:r w:rsidRPr="00446BD2">
              <w:rPr>
                <w:color w:val="000000" w:themeColor="text1"/>
              </w:rPr>
              <w:t xml:space="preserve">Lai nominācijas komisijai būtu vienota izpratne kādā nodrošināt atbilstošu </w:t>
            </w:r>
            <w:r w:rsidR="00A101CC" w:rsidRPr="00446BD2">
              <w:rPr>
                <w:color w:val="000000" w:themeColor="text1"/>
              </w:rPr>
              <w:t>kandidāta vērtējum</w:t>
            </w:r>
            <w:r w:rsidRPr="00446BD2">
              <w:rPr>
                <w:color w:val="000000" w:themeColor="text1"/>
              </w:rPr>
              <w:t>u</w:t>
            </w:r>
            <w:r w:rsidR="00A101CC" w:rsidRPr="00446BD2">
              <w:rPr>
                <w:color w:val="000000" w:themeColor="text1"/>
              </w:rPr>
              <w:t xml:space="preserve">, </w:t>
            </w:r>
            <w:r w:rsidRPr="00446BD2">
              <w:rPr>
                <w:color w:val="000000" w:themeColor="text1"/>
              </w:rPr>
              <w:t xml:space="preserve">tā </w:t>
            </w:r>
            <w:r w:rsidR="00A101CC" w:rsidRPr="00446BD2">
              <w:rPr>
                <w:color w:val="000000" w:themeColor="text1"/>
              </w:rPr>
              <w:t>veidošanās mehānismu</w:t>
            </w:r>
            <w:r w:rsidRPr="00446BD2">
              <w:rPr>
                <w:color w:val="000000" w:themeColor="text1"/>
              </w:rPr>
              <w:t xml:space="preserve">, tad turpmāk ir sniegts piemērs </w:t>
            </w:r>
            <w:r w:rsidR="00A101CC" w:rsidRPr="00446BD2">
              <w:rPr>
                <w:color w:val="000000" w:themeColor="text1"/>
              </w:rPr>
              <w:t xml:space="preserve">par </w:t>
            </w:r>
            <w:r w:rsidRPr="00446BD2">
              <w:rPr>
                <w:color w:val="000000" w:themeColor="text1"/>
              </w:rPr>
              <w:t xml:space="preserve">kandidāta </w:t>
            </w:r>
            <w:r w:rsidR="00A101CC" w:rsidRPr="00446BD2">
              <w:rPr>
                <w:color w:val="000000" w:themeColor="text1"/>
              </w:rPr>
              <w:t>veidlapas aizpildīšanu ar konkrētiem skaitļiem</w:t>
            </w:r>
            <w:r w:rsidRPr="00446BD2">
              <w:rPr>
                <w:color w:val="000000" w:themeColor="text1"/>
              </w:rPr>
              <w:t>.</w:t>
            </w:r>
            <w:r w:rsidR="00A101CC" w:rsidRPr="00446BD2">
              <w:rPr>
                <w:color w:val="000000" w:themeColor="text1"/>
              </w:rPr>
              <w:t xml:space="preserve"> </w:t>
            </w:r>
            <w:r w:rsidRPr="00446BD2">
              <w:rPr>
                <w:color w:val="000000" w:themeColor="text1"/>
              </w:rPr>
              <w:t xml:space="preserve">Tādējādi </w:t>
            </w:r>
            <w:r w:rsidR="00A101CC" w:rsidRPr="00446BD2">
              <w:rPr>
                <w:color w:val="000000" w:themeColor="text1"/>
              </w:rPr>
              <w:t>ar piemēru paskaidrojot, kā nonākt līdz gala rezultātam un novērtēt kandidātu.</w:t>
            </w:r>
          </w:p>
          <w:p w:rsidR="00446BD2" w:rsidRDefault="00446BD2" w:rsidP="00446BD2">
            <w:pPr>
              <w:tabs>
                <w:tab w:val="left" w:pos="3374"/>
              </w:tabs>
              <w:jc w:val="center"/>
              <w:rPr>
                <w:b/>
              </w:rPr>
            </w:pPr>
          </w:p>
          <w:p w:rsidR="00394D82" w:rsidRDefault="00394D82" w:rsidP="00446BD2">
            <w:pPr>
              <w:tabs>
                <w:tab w:val="left" w:pos="3374"/>
              </w:tabs>
              <w:jc w:val="center"/>
              <w:rPr>
                <w:b/>
              </w:rPr>
            </w:pPr>
            <w:r w:rsidRPr="00394D82">
              <w:rPr>
                <w:b/>
              </w:rPr>
              <w:t>Kandidāta veidlapas aizpildīšanas piemērs.</w:t>
            </w:r>
          </w:p>
          <w:p w:rsidR="00CC747D" w:rsidRPr="005B67AF" w:rsidRDefault="00CC747D" w:rsidP="005B67AF">
            <w:pPr>
              <w:pStyle w:val="ListParagraph"/>
              <w:tabs>
                <w:tab w:val="left" w:pos="5529"/>
              </w:tabs>
              <w:jc w:val="right"/>
              <w:rPr>
                <w:i/>
                <w:color w:val="000000" w:themeColor="text1"/>
                <w:lang w:val="lv-LV"/>
              </w:rPr>
            </w:pPr>
            <w:r w:rsidRPr="005B67AF">
              <w:rPr>
                <w:i/>
                <w:color w:val="000000" w:themeColor="text1"/>
                <w:lang w:val="lv-LV"/>
              </w:rPr>
              <w:t>Kandidātu atbilstības vērtēšanas veidlapas paraugs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576"/>
              <w:gridCol w:w="1609"/>
              <w:gridCol w:w="1456"/>
              <w:gridCol w:w="1533"/>
            </w:tblGrid>
            <w:tr w:rsidR="00CC747D" w:rsidTr="00356F6F">
              <w:trPr>
                <w:cantSplit/>
                <w:trHeight w:val="38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Kritērijs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Apakškritērijs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Apakškritērij</w:t>
                  </w:r>
                  <w:r w:rsidR="00356F6F">
                    <w:rPr>
                      <w:color w:val="000000" w:themeColor="text1"/>
                    </w:rPr>
                    <w:t>a</w:t>
                  </w:r>
                  <w:r>
                    <w:rPr>
                      <w:color w:val="000000" w:themeColor="text1"/>
                    </w:rPr>
                    <w:t xml:space="preserve"> svars¹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C747D" w:rsidRDefault="00CC747D" w:rsidP="00176684">
                  <w:pPr>
                    <w:framePr w:hSpace="180" w:wrap="around" w:vAnchor="text" w:hAnchor="margin" w:xAlign="center" w:y="149"/>
                    <w:tabs>
                      <w:tab w:val="left" w:pos="5529"/>
                    </w:tabs>
                    <w:rPr>
                      <w:color w:val="000000" w:themeColor="text1"/>
                    </w:rPr>
                  </w:pPr>
                  <w:r>
                    <w:rPr>
                      <w:color w:val="000000" w:themeColor="text1"/>
                    </w:rPr>
                    <w:t>Vārds, uzvārds</w:t>
                  </w:r>
                </w:p>
                <w:p w:rsidR="00CC747D" w:rsidRDefault="00CC747D" w:rsidP="00176684">
                  <w:pPr>
                    <w:framePr w:hSpace="180" w:wrap="around" w:vAnchor="text" w:hAnchor="margin" w:xAlign="center" w:y="149"/>
                    <w:tabs>
                      <w:tab w:val="left" w:pos="5529"/>
                    </w:tabs>
                    <w:spacing w:line="276" w:lineRule="auto"/>
                    <w:jc w:val="center"/>
                    <w:rPr>
                      <w:color w:val="000000" w:themeColor="text1"/>
                      <w:lang w:eastAsia="en-US"/>
                    </w:rPr>
                  </w:pPr>
                </w:p>
              </w:tc>
            </w:tr>
            <w:tr w:rsidR="00CC747D" w:rsidTr="00356F6F">
              <w:trPr>
                <w:cantSplit/>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rPr>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Novērtējums</w:t>
                  </w:r>
                </w:p>
              </w:tc>
              <w:tc>
                <w:tcPr>
                  <w:tcW w:w="0" w:type="auto"/>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Novērtējuma un svara reizinājums</w:t>
                  </w:r>
                </w:p>
              </w:tc>
            </w:tr>
            <w:tr w:rsidR="00CC747D" w:rsidTr="00356F6F">
              <w:trPr>
                <w:cantSplit/>
                <w:trHeight w:val="272"/>
              </w:trPr>
              <w:tc>
                <w:tcPr>
                  <w:tcW w:w="0" w:type="auto"/>
                  <w:vMerge w:val="restart"/>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b/>
                      <w:color w:val="000000" w:themeColor="text1"/>
                    </w:rPr>
                    <w:t>1. Valodu zināšanas</w:t>
                  </w: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1.1.</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10</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50</w:t>
                  </w:r>
                </w:p>
              </w:tc>
            </w:tr>
            <w:tr w:rsidR="00CC747D" w:rsidTr="00356F6F">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rPr>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1.2.</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10</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50</w:t>
                  </w:r>
                </w:p>
              </w:tc>
            </w:tr>
            <w:tr w:rsidR="00CC747D" w:rsidTr="00356F6F">
              <w:trPr>
                <w:cantSplit/>
                <w:trHeight w:val="284"/>
              </w:trPr>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b/>
                      <w:color w:val="000000" w:themeColor="text1"/>
                    </w:rPr>
                    <w:t>2. Izglītība²</w:t>
                  </w: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pStyle w:val="naisc"/>
                    <w:framePr w:hSpace="180" w:wrap="around" w:vAnchor="text" w:hAnchor="margin" w:xAlign="center" w:y="149"/>
                    <w:spacing w:before="0" w:after="0" w:line="276" w:lineRule="auto"/>
                    <w:jc w:val="left"/>
                    <w:rPr>
                      <w:color w:val="000000" w:themeColor="text1"/>
                      <w:lang w:eastAsia="en-US"/>
                    </w:rPr>
                  </w:pPr>
                  <w:r>
                    <w:rPr>
                      <w:color w:val="000000" w:themeColor="text1"/>
                      <w:lang w:eastAsia="en-US"/>
                    </w:rPr>
                    <w:t>2.1.</w:t>
                  </w: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Svars netiek noteikts</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jc w:val="center"/>
                    <w:rPr>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jc w:val="center"/>
                    <w:rPr>
                      <w:b/>
                      <w:color w:val="000000" w:themeColor="text1"/>
                      <w:lang w:eastAsia="en-US"/>
                    </w:rPr>
                  </w:pPr>
                </w:p>
              </w:tc>
            </w:tr>
            <w:tr w:rsidR="00CC747D" w:rsidTr="00356F6F">
              <w:trPr>
                <w:trHeight w:val="338"/>
              </w:trPr>
              <w:tc>
                <w:tcPr>
                  <w:tcW w:w="0" w:type="auto"/>
                  <w:vMerge w:val="restart"/>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b/>
                      <w:color w:val="000000" w:themeColor="text1"/>
                    </w:rPr>
                    <w:t>3. Pieredze</w:t>
                  </w: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3.1.</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15</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8</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120</w:t>
                  </w:r>
                </w:p>
              </w:tc>
            </w:tr>
            <w:tr w:rsidR="00CC747D" w:rsidTr="00356F6F">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rPr>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3.2.</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15</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8</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120</w:t>
                  </w:r>
                </w:p>
              </w:tc>
            </w:tr>
            <w:tr w:rsidR="00CC747D" w:rsidTr="00356F6F">
              <w:trPr>
                <w:trHeight w:val="268"/>
              </w:trPr>
              <w:tc>
                <w:tcPr>
                  <w:tcW w:w="0" w:type="auto"/>
                  <w:vMerge w:val="restart"/>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b/>
                      <w:color w:val="000000" w:themeColor="text1"/>
                      <w:lang w:eastAsia="en-US"/>
                    </w:rPr>
                  </w:pPr>
                  <w:r>
                    <w:rPr>
                      <w:b/>
                      <w:color w:val="000000" w:themeColor="text1"/>
                    </w:rPr>
                    <w:t>4. Kompetences</w:t>
                  </w: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4.1.</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6</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30</w:t>
                  </w:r>
                </w:p>
              </w:tc>
            </w:tr>
            <w:tr w:rsidR="00CC747D" w:rsidTr="00356F6F">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rPr>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4.2.</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10</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7</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70</w:t>
                  </w:r>
                </w:p>
              </w:tc>
            </w:tr>
            <w:tr w:rsidR="00CC747D" w:rsidTr="00356F6F">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rPr>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 xml:space="preserve">4.3. </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10</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7</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70</w:t>
                  </w:r>
                </w:p>
              </w:tc>
            </w:tr>
            <w:tr w:rsidR="00CC747D" w:rsidTr="00356F6F">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47D" w:rsidRDefault="00CC747D" w:rsidP="00176684">
                  <w:pPr>
                    <w:framePr w:hSpace="180" w:wrap="around" w:vAnchor="text" w:hAnchor="margin" w:xAlign="center" w:y="149"/>
                    <w:rPr>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4.4.</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10</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50</w:t>
                  </w:r>
                </w:p>
              </w:tc>
            </w:tr>
            <w:tr w:rsidR="00CC747D" w:rsidTr="00356F6F">
              <w:trPr>
                <w:trHeight w:val="274"/>
              </w:trPr>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b/>
                      <w:color w:val="000000" w:themeColor="text1"/>
                      <w:lang w:eastAsia="en-US"/>
                    </w:rPr>
                  </w:pPr>
                  <w:r>
                    <w:rPr>
                      <w:b/>
                      <w:color w:val="000000" w:themeColor="text1"/>
                    </w:rPr>
                    <w:t>5.Citas būtiskas kompetences</w:t>
                  </w: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5.1.</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15</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6</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90</w:t>
                  </w:r>
                </w:p>
              </w:tc>
            </w:tr>
            <w:tr w:rsidR="00CC747D" w:rsidTr="00356F6F">
              <w:trPr>
                <w:trHeight w:val="277"/>
              </w:trPr>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jc w:val="right"/>
                    <w:rPr>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rPr>
                    <w:t>5.2.</w:t>
                  </w:r>
                </w:p>
              </w:tc>
              <w:tc>
                <w:tcPr>
                  <w:tcW w:w="0" w:type="auto"/>
                  <w:tcBorders>
                    <w:top w:val="single" w:sz="4" w:space="0" w:color="auto"/>
                    <w:left w:val="single" w:sz="4" w:space="0" w:color="auto"/>
                    <w:bottom w:val="single" w:sz="4" w:space="0" w:color="auto"/>
                    <w:right w:val="single" w:sz="4" w:space="0" w:color="auto"/>
                  </w:tcBorders>
                </w:tcPr>
                <w:p w:rsidR="00CC747D" w:rsidRDefault="00CC747D" w:rsidP="00176684">
                  <w:pPr>
                    <w:framePr w:hSpace="180" w:wrap="around" w:vAnchor="text" w:hAnchor="margin" w:xAlign="center" w:y="149"/>
                    <w:tabs>
                      <w:tab w:val="left" w:pos="5529"/>
                    </w:tabs>
                    <w:spacing w:line="276" w:lineRule="auto"/>
                    <w:rPr>
                      <w:color w:val="000000" w:themeColor="text1"/>
                      <w:lang w:eastAsia="en-US"/>
                    </w:rPr>
                  </w:pPr>
                  <w:r>
                    <w:rPr>
                      <w:color w:val="000000" w:themeColor="text1"/>
                      <w:lang w:eastAsia="en-US"/>
                    </w:rPr>
                    <w:t>10</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7</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70</w:t>
                  </w:r>
                </w:p>
              </w:tc>
            </w:tr>
            <w:tr w:rsidR="00CC747D" w:rsidTr="00356F6F">
              <w:trPr>
                <w:trHeight w:val="469"/>
              </w:trPr>
              <w:tc>
                <w:tcPr>
                  <w:tcW w:w="0" w:type="auto"/>
                  <w:gridSpan w:val="4"/>
                  <w:tcBorders>
                    <w:top w:val="single" w:sz="4" w:space="0" w:color="auto"/>
                    <w:left w:val="single" w:sz="4" w:space="0" w:color="auto"/>
                    <w:bottom w:val="single" w:sz="4" w:space="0" w:color="auto"/>
                    <w:right w:val="single" w:sz="4" w:space="0" w:color="auto"/>
                  </w:tcBorders>
                  <w:hideMark/>
                </w:tcPr>
                <w:p w:rsidR="00CC747D" w:rsidRDefault="00CC747D" w:rsidP="00176684">
                  <w:pPr>
                    <w:framePr w:hSpace="180" w:wrap="around" w:vAnchor="text" w:hAnchor="margin" w:xAlign="center" w:y="149"/>
                    <w:tabs>
                      <w:tab w:val="left" w:pos="5529"/>
                    </w:tabs>
                    <w:spacing w:line="276" w:lineRule="auto"/>
                    <w:rPr>
                      <w:b/>
                      <w:color w:val="000000" w:themeColor="text1"/>
                      <w:lang w:eastAsia="en-US"/>
                    </w:rPr>
                  </w:pPr>
                  <w:r>
                    <w:rPr>
                      <w:b/>
                      <w:color w:val="000000" w:themeColor="text1"/>
                    </w:rPr>
                    <w:t>Kandidāta summārais novērtējums</w:t>
                  </w:r>
                  <w:r>
                    <w:rPr>
                      <w:rFonts w:ascii="Calibri" w:hAnsi="Calibri"/>
                      <w:b/>
                      <w:color w:val="000000" w:themeColor="text1"/>
                    </w:rPr>
                    <w:t>³</w:t>
                  </w:r>
                </w:p>
              </w:tc>
              <w:tc>
                <w:tcPr>
                  <w:tcW w:w="0" w:type="auto"/>
                  <w:tcBorders>
                    <w:top w:val="single" w:sz="4" w:space="0" w:color="auto"/>
                    <w:left w:val="single" w:sz="4" w:space="0" w:color="auto"/>
                    <w:bottom w:val="single" w:sz="4" w:space="0" w:color="auto"/>
                    <w:right w:val="single" w:sz="4" w:space="0" w:color="auto"/>
                  </w:tcBorders>
                </w:tcPr>
                <w:p w:rsidR="00CC747D" w:rsidRDefault="00356F6F" w:rsidP="00176684">
                  <w:pPr>
                    <w:framePr w:hSpace="180" w:wrap="around" w:vAnchor="text" w:hAnchor="margin" w:xAlign="center" w:y="149"/>
                    <w:tabs>
                      <w:tab w:val="left" w:pos="5529"/>
                    </w:tabs>
                    <w:spacing w:line="276" w:lineRule="auto"/>
                    <w:jc w:val="center"/>
                    <w:rPr>
                      <w:b/>
                      <w:color w:val="000000" w:themeColor="text1"/>
                      <w:lang w:eastAsia="en-US"/>
                    </w:rPr>
                  </w:pPr>
                  <w:r>
                    <w:rPr>
                      <w:b/>
                      <w:color w:val="000000" w:themeColor="text1"/>
                      <w:lang w:eastAsia="en-US"/>
                    </w:rPr>
                    <w:t>720</w:t>
                  </w:r>
                </w:p>
              </w:tc>
            </w:tr>
          </w:tbl>
          <w:p w:rsidR="00B20436" w:rsidRDefault="00B20436" w:rsidP="00394D82">
            <w:pPr>
              <w:jc w:val="both"/>
            </w:pPr>
          </w:p>
          <w:p w:rsidR="004E3E78" w:rsidRDefault="00394D82" w:rsidP="00394D82">
            <w:pPr>
              <w:jc w:val="both"/>
            </w:pPr>
            <w:r w:rsidRPr="00394D82">
              <w:t xml:space="preserve">Nominācijas komisija vienojas par katra apakškritērija svaru ar nosacījumu, ka </w:t>
            </w:r>
            <w:r w:rsidRPr="00394D82">
              <w:lastRenderedPageBreak/>
              <w:t>visu svaru summa ir 100.</w:t>
            </w:r>
            <w:r w:rsidR="00A87A48">
              <w:t xml:space="preserve"> Nominācijas komisijas loceklis vērtēšanas tabulā sniedz savu novērtējumu punktos par katru apakškritēriju. Pēc visu novērtējumu aizpildīšanas nominācijas komisijas loceklis aizpilda vērtēšanas tabulas kolonnu, tajā ierakstot katra apakškritērija svara reizinājumu ar attiecīgo apakškritērija novērtējumu. Sasummējot šo reizinājumus, nominācijas komisijas loceklis iegūst savu summāro novērtējumu attiecīgajam kandidātam. Nominācijas komisijas gala novērtējums katram konkrētam kandidātam </w:t>
            </w:r>
            <w:r w:rsidR="00A87A48" w:rsidRPr="00BC67EA">
              <w:t xml:space="preserve"> tiek aprēķināts kā vidējais</w:t>
            </w:r>
            <w:r w:rsidR="00A87A48">
              <w:t xml:space="preserve"> aritmētiskais no kandidātu vērtējušo nominācijas komisijas locekļu </w:t>
            </w:r>
            <w:r w:rsidR="00356F6F">
              <w:t xml:space="preserve">summārajiem </w:t>
            </w:r>
            <w:r w:rsidR="00A87A48">
              <w:t>vērtējumiem.</w:t>
            </w:r>
            <w:r w:rsidR="004E3E78">
              <w:t xml:space="preserve"> </w:t>
            </w:r>
          </w:p>
          <w:p w:rsidR="00B20436" w:rsidRDefault="00B20436" w:rsidP="00394D82">
            <w:pPr>
              <w:jc w:val="both"/>
            </w:pPr>
          </w:p>
          <w:p w:rsidR="00A101CC" w:rsidRPr="00446BD2" w:rsidRDefault="00394D82" w:rsidP="00394D82">
            <w:pPr>
              <w:jc w:val="both"/>
            </w:pPr>
            <w:r w:rsidRPr="00446BD2">
              <w:t>Katrs nominācijas komisijas loceklis aizpilda atsevišķu vērtēšanas anketu par katru kandidātu. Gadījumos, kad komisijas loceklis nepiedalās atsevišķu kandidātu vērtēšanā vai atstata sevi no kandidāta vērtēšanas, tiek ņemti vērā tikai to nominācijas komisijas locekļu vērtējumi, kuri piedalījušies vērtēšanas procesā. Šajā gadījumā kandidāta gala novērtējums tiek aprēķināts kā vidējais aritmētiskais no kandidātu vērtējušo nominācijas komisijas locekļu vērtējumiem. Piemēram, ja nominācijas komisijā ir pieci locekļi, bet viens no tiem nav vērtējis trīs kandidātus</w:t>
            </w:r>
            <w:r w:rsidR="00434111" w:rsidRPr="00446BD2">
              <w:t xml:space="preserve"> no 10</w:t>
            </w:r>
            <w:r w:rsidRPr="00446BD2">
              <w:t xml:space="preserve">, tad šo trīs kandidātu </w:t>
            </w:r>
            <w:r w:rsidR="00434111" w:rsidRPr="00446BD2">
              <w:t>gala novērtējumi tiek aprēķināti kā aritmētiskie vidējie no četru nominācijas komisijas locekļu, kuri vērtēja visus kandidātus, vērtējumiem. Pārējo septiņu kandidātu galanovērtējums tiek aprēķināti kā aritmētiskie vidējie no visu piecu nominācijas komisijas  locekļu novērtējumiem.</w:t>
            </w:r>
          </w:p>
          <w:p w:rsidR="00A101CC" w:rsidRDefault="00434111" w:rsidP="00F51DEB">
            <w:pPr>
              <w:jc w:val="both"/>
            </w:pPr>
            <w:r w:rsidRPr="00446BD2">
              <w:t>Izglītības vērtēšanai ar punktiem nav objektīva pamata</w:t>
            </w:r>
            <w:r w:rsidR="004E3E78">
              <w:t>.</w:t>
            </w:r>
            <w:r w:rsidR="00B20436">
              <w:t xml:space="preserve"> </w:t>
            </w:r>
            <w:r w:rsidRPr="00446BD2">
              <w:t>Izglītības detalizēta vērtēšana ar punktiem nav pietiekami pamatota, ņemot vērā, ka noteikumi nosaka, ka minimums ir otrā līmeņa augstākā izglītība un, ja šī pamatprasība ir izpildīta, nav pamatoti sniegt būtiski detalizētu punktos izteiktu novērtējumu iegūtajai izglītībai, jo tas ar augstu varbūtības pakāpi varētu tikt uzskatīts par  subjektīvu vērtējumu</w:t>
            </w:r>
            <w:r w:rsidR="00356F6F" w:rsidRPr="00446BD2">
              <w:t xml:space="preserve"> un tikt apstrīdēts</w:t>
            </w:r>
            <w:r w:rsidR="00BC67EA" w:rsidRPr="00446BD2">
              <w:t>.</w:t>
            </w:r>
          </w:p>
          <w:p w:rsidR="00812A25" w:rsidRDefault="00812A25" w:rsidP="00F51DEB">
            <w:pPr>
              <w:jc w:val="both"/>
            </w:pPr>
          </w:p>
          <w:p w:rsidR="00812A25" w:rsidRPr="003F29D0" w:rsidRDefault="00812A25" w:rsidP="00B20436">
            <w:pPr>
              <w:pStyle w:val="ListParagraph"/>
              <w:numPr>
                <w:ilvl w:val="0"/>
                <w:numId w:val="2"/>
              </w:numPr>
              <w:tabs>
                <w:tab w:val="left" w:pos="368"/>
              </w:tabs>
              <w:ind w:left="84" w:firstLine="709"/>
              <w:jc w:val="both"/>
              <w:rPr>
                <w:b/>
              </w:rPr>
            </w:pPr>
            <w:r w:rsidRPr="003F29D0">
              <w:rPr>
                <w:b/>
              </w:rPr>
              <w:t xml:space="preserve">Nevainojama reputācija. </w:t>
            </w:r>
          </w:p>
          <w:p w:rsidR="00812A25" w:rsidRDefault="00AF2942" w:rsidP="00812A25">
            <w:pPr>
              <w:jc w:val="both"/>
            </w:pPr>
            <w:r>
              <w:t xml:space="preserve">    </w:t>
            </w:r>
            <w:r w:rsidR="00812A25" w:rsidRPr="00812A25">
              <w:t>Saistībā ar</w:t>
            </w:r>
            <w:r w:rsidR="00812A25">
              <w:t xml:space="preserve"> nevainojamās reputācijas vērtēšanu noteikumu projekts paredz divas izmaiņas:</w:t>
            </w:r>
          </w:p>
          <w:p w:rsidR="004E3E78" w:rsidRPr="002B7BBF" w:rsidRDefault="00812A25" w:rsidP="004E3E78">
            <w:pPr>
              <w:pStyle w:val="ListParagraph"/>
              <w:numPr>
                <w:ilvl w:val="0"/>
                <w:numId w:val="3"/>
              </w:numPr>
              <w:ind w:left="360" w:firstLine="8"/>
              <w:jc w:val="both"/>
            </w:pPr>
            <w:r w:rsidRPr="002B7BBF">
              <w:rPr>
                <w:lang w:val="lv-LV"/>
              </w:rPr>
              <w:t xml:space="preserve">vērā ņem ne tikai nominācijas komisijas rīcībā esošo informāciju, </w:t>
            </w:r>
            <w:r w:rsidR="004E3E78" w:rsidRPr="002B7BBF">
              <w:rPr>
                <w:lang w:val="lv-LV"/>
              </w:rPr>
              <w:t xml:space="preserve">kas varētu liecināt, ka kandidātam nav nevainojama reputācija, </w:t>
            </w:r>
            <w:r w:rsidRPr="002B7BBF">
              <w:rPr>
                <w:lang w:val="lv-LV"/>
              </w:rPr>
              <w:t>bet arī kapitāla daļu turētāja un p</w:t>
            </w:r>
            <w:r w:rsidR="002B7BBF" w:rsidRPr="002B7BBF">
              <w:rPr>
                <w:lang w:val="lv-LV"/>
              </w:rPr>
              <w:t>adomes rīcībā esošo informāciju, kura varētu nebūt nominācijas komisijas rīcībā.</w:t>
            </w:r>
            <w:r w:rsidRPr="002B7BBF">
              <w:rPr>
                <w:lang w:val="lv-LV"/>
              </w:rPr>
              <w:t xml:space="preserve"> </w:t>
            </w:r>
          </w:p>
          <w:p w:rsidR="00C554D0" w:rsidRPr="004E3E78" w:rsidRDefault="00812A25" w:rsidP="00990C38">
            <w:pPr>
              <w:pStyle w:val="ListParagraph"/>
              <w:numPr>
                <w:ilvl w:val="0"/>
                <w:numId w:val="3"/>
              </w:numPr>
              <w:ind w:left="360" w:firstLine="8"/>
              <w:jc w:val="both"/>
              <w:rPr>
                <w:lang w:val="lv-LV"/>
              </w:rPr>
            </w:pPr>
            <w:r w:rsidRPr="004E3E78">
              <w:rPr>
                <w:lang w:val="lv-LV"/>
              </w:rPr>
              <w:t>pretendentu no tālākas piedalīšanās novērtēšanas procesā izslēdz ar vienbalsīgu visu nominācijas komisijas locekļu lēmumu. Minētā izmaiņa pamatota ar to, ka tiek pieņemts kandidātam būtisks lēmums –</w:t>
            </w:r>
            <w:r w:rsidR="00C554D0" w:rsidRPr="004E3E78">
              <w:rPr>
                <w:lang w:val="lv-LV"/>
              </w:rPr>
              <w:t xml:space="preserve"> </w:t>
            </w:r>
            <w:r w:rsidRPr="004E3E78">
              <w:rPr>
                <w:lang w:val="lv-LV"/>
              </w:rPr>
              <w:t xml:space="preserve">izslēgt kandidātu no vērtēšanas procesa, </w:t>
            </w:r>
            <w:r w:rsidR="00C554D0" w:rsidRPr="004E3E78">
              <w:rPr>
                <w:lang w:val="lv-LV"/>
              </w:rPr>
              <w:t xml:space="preserve">par ko jābūt pilnīgai pārliecībai, ka izslēgšana ir pamatota. </w:t>
            </w:r>
          </w:p>
          <w:p w:rsidR="00B20436" w:rsidRPr="00990C38" w:rsidRDefault="00B20436" w:rsidP="00990C38">
            <w:pPr>
              <w:jc w:val="both"/>
            </w:pPr>
          </w:p>
          <w:p w:rsidR="00C554D0" w:rsidRPr="003F29D0" w:rsidRDefault="00C554D0" w:rsidP="003F29D0">
            <w:pPr>
              <w:pStyle w:val="ListParagraph"/>
              <w:numPr>
                <w:ilvl w:val="0"/>
                <w:numId w:val="2"/>
              </w:numPr>
              <w:tabs>
                <w:tab w:val="left" w:pos="368"/>
              </w:tabs>
              <w:ind w:left="84" w:firstLine="0"/>
              <w:jc w:val="both"/>
              <w:rPr>
                <w:b/>
                <w:lang w:val="lv-LV"/>
              </w:rPr>
            </w:pPr>
            <w:r w:rsidRPr="003F29D0">
              <w:rPr>
                <w:b/>
                <w:lang w:val="lv-LV"/>
              </w:rPr>
              <w:t>Izmaiņas attiecībā uz minimālajām prasībām padomes locekļiem</w:t>
            </w:r>
            <w:r>
              <w:rPr>
                <w:b/>
                <w:lang w:val="lv-LV"/>
              </w:rPr>
              <w:t>.</w:t>
            </w:r>
          </w:p>
          <w:p w:rsidR="00C554D0" w:rsidRPr="003F29D0" w:rsidRDefault="00C554D0" w:rsidP="003F29D0">
            <w:pPr>
              <w:pStyle w:val="ListParagraph"/>
              <w:tabs>
                <w:tab w:val="left" w:pos="368"/>
              </w:tabs>
              <w:ind w:left="84"/>
              <w:jc w:val="both"/>
              <w:rPr>
                <w:lang w:val="lv-LV"/>
              </w:rPr>
            </w:pPr>
            <w:r w:rsidRPr="003F29D0">
              <w:rPr>
                <w:lang w:val="lv-LV"/>
              </w:rPr>
              <w:t xml:space="preserve">Pašlaik </w:t>
            </w:r>
            <w:r>
              <w:rPr>
                <w:lang w:val="lv-LV"/>
              </w:rPr>
              <w:t xml:space="preserve">noritējušo nominācijas procesu pieredze liecina, ka </w:t>
            </w:r>
            <w:r w:rsidRPr="003F29D0">
              <w:rPr>
                <w:lang w:val="lv-LV"/>
              </w:rPr>
              <w:t>noteikumu 2.pielikumā noteiktās</w:t>
            </w:r>
            <w:r>
              <w:rPr>
                <w:lang w:val="lv-LV"/>
              </w:rPr>
              <w:t xml:space="preserve"> darba pieredzes prasības padomes locekļu kandidātiem ir pārāk ierobežojošas, jo tās liedz pretendēt;</w:t>
            </w:r>
          </w:p>
          <w:p w:rsidR="00C554D0" w:rsidRPr="00E40DCA" w:rsidRDefault="00C554D0" w:rsidP="003F29D0">
            <w:pPr>
              <w:pStyle w:val="ListParagraph"/>
              <w:numPr>
                <w:ilvl w:val="0"/>
                <w:numId w:val="4"/>
              </w:numPr>
              <w:tabs>
                <w:tab w:val="left" w:pos="368"/>
              </w:tabs>
              <w:jc w:val="both"/>
              <w:rPr>
                <w:lang w:val="lv-LV"/>
              </w:rPr>
            </w:pPr>
            <w:r>
              <w:rPr>
                <w:lang w:val="lv-LV"/>
              </w:rPr>
              <w:t xml:space="preserve">kandidātiem, kas ieņem/ ir ieņēmuši valdes vai padomes locekļu amatus mazāka lieluma </w:t>
            </w:r>
            <w:r w:rsidRPr="003F29D0">
              <w:rPr>
                <w:lang w:val="lv-LV"/>
              </w:rPr>
              <w:t xml:space="preserve"> </w:t>
            </w:r>
            <w:r>
              <w:rPr>
                <w:lang w:val="lv-LV"/>
              </w:rPr>
              <w:t>kapitālsabiedrībās;</w:t>
            </w:r>
          </w:p>
          <w:p w:rsidR="00812A25" w:rsidRPr="003F29D0" w:rsidRDefault="00812A25" w:rsidP="003F29D0">
            <w:pPr>
              <w:pStyle w:val="ListParagraph"/>
              <w:numPr>
                <w:ilvl w:val="0"/>
                <w:numId w:val="4"/>
              </w:numPr>
              <w:tabs>
                <w:tab w:val="left" w:pos="368"/>
              </w:tabs>
              <w:jc w:val="both"/>
              <w:rPr>
                <w:lang w:val="lv-LV"/>
              </w:rPr>
            </w:pPr>
            <w:r w:rsidRPr="003F29D0">
              <w:rPr>
                <w:lang w:val="lv-LV"/>
              </w:rPr>
              <w:t xml:space="preserve">  </w:t>
            </w:r>
            <w:r w:rsidR="00C554D0">
              <w:rPr>
                <w:lang w:val="lv-LV"/>
              </w:rPr>
              <w:t xml:space="preserve"> kandidātiem, kas ieņem/ ir ieņēmuši valdes vai padomes locekļu amatus </w:t>
            </w:r>
            <w:r w:rsidR="00C554D0">
              <w:rPr>
                <w:lang w:val="lv-LV"/>
              </w:rPr>
              <w:lastRenderedPageBreak/>
              <w:t xml:space="preserve">citas jomas </w:t>
            </w:r>
            <w:r w:rsidR="00C554D0" w:rsidRPr="00AF4318">
              <w:rPr>
                <w:lang w:val="lv-LV"/>
              </w:rPr>
              <w:t xml:space="preserve"> </w:t>
            </w:r>
            <w:r w:rsidR="00C554D0">
              <w:rPr>
                <w:lang w:val="lv-LV"/>
              </w:rPr>
              <w:t>valsts vai privātās kapitālsabiedrībās;</w:t>
            </w:r>
          </w:p>
          <w:p w:rsidR="00C554D0" w:rsidRPr="003F29D0" w:rsidRDefault="00C554D0" w:rsidP="003F29D0">
            <w:pPr>
              <w:pStyle w:val="ListParagraph"/>
              <w:numPr>
                <w:ilvl w:val="0"/>
                <w:numId w:val="4"/>
              </w:numPr>
              <w:tabs>
                <w:tab w:val="left" w:pos="368"/>
              </w:tabs>
              <w:jc w:val="both"/>
              <w:rPr>
                <w:lang w:val="lv-LV"/>
              </w:rPr>
            </w:pPr>
            <w:r>
              <w:rPr>
                <w:lang w:val="lv-LV"/>
              </w:rPr>
              <w:t xml:space="preserve">kandidātiem, kas ieņem/ ir ieņēmuši vadošus amatus valsts </w:t>
            </w:r>
            <w:r w:rsidRPr="00AF4318">
              <w:rPr>
                <w:lang w:val="lv-LV"/>
              </w:rPr>
              <w:t xml:space="preserve"> </w:t>
            </w:r>
            <w:r>
              <w:rPr>
                <w:lang w:val="lv-LV"/>
              </w:rPr>
              <w:t>institūcijās, kas atbildīgas par politikas veidošanu citās jomās.</w:t>
            </w:r>
          </w:p>
          <w:p w:rsidR="00C554D0" w:rsidRDefault="00C554D0" w:rsidP="003F29D0">
            <w:pPr>
              <w:tabs>
                <w:tab w:val="left" w:pos="368"/>
              </w:tabs>
              <w:ind w:left="84"/>
              <w:jc w:val="both"/>
            </w:pPr>
            <w:r>
              <w:t>Tādē</w:t>
            </w:r>
            <w:r w:rsidR="00EF43FB">
              <w:t xml:space="preserve">ļ tiek piedāvāts veikt grozījumus noteikumu 2.pielikumā, </w:t>
            </w:r>
            <w:r>
              <w:t>paredz</w:t>
            </w:r>
            <w:r w:rsidR="00EF43FB">
              <w:t xml:space="preserve">ot, ka uz padomes locekļa amatu var kandidēt vidējas vai lielas kapitālsabiedrības valdes vai padomes loceklis, neatkarīgi no jomas un tā vai kandidāta pieredze ir valsts kapitālsabiedrībā vai privātā kapitālsabiedrībā. Vienlaikus tiek piedāvāts noteikt, ka uz padomes locekļa amatu var kandidēt persona  kas ieņem/ ir ieņēmusi vadošus amatus valsts </w:t>
            </w:r>
            <w:r w:rsidR="00EF43FB" w:rsidRPr="00AF4318">
              <w:t xml:space="preserve"> </w:t>
            </w:r>
            <w:r w:rsidR="00EF43FB">
              <w:t xml:space="preserve">institūcijā, kas atbildīga par politikas veidošanu citā jomā, nevis </w:t>
            </w:r>
            <w:r w:rsidR="00F73B96">
              <w:t xml:space="preserve">tikai </w:t>
            </w:r>
            <w:r w:rsidR="00EF43FB">
              <w:t>tajā, kurā darbojas konkrētā kapitālsabiedrība.</w:t>
            </w:r>
          </w:p>
          <w:p w:rsidR="00EF43FB" w:rsidRDefault="00EF43FB" w:rsidP="003F29D0">
            <w:pPr>
              <w:tabs>
                <w:tab w:val="left" w:pos="368"/>
              </w:tabs>
              <w:jc w:val="both"/>
            </w:pPr>
          </w:p>
          <w:p w:rsidR="00EF43FB" w:rsidRPr="003F29D0" w:rsidRDefault="00EF43FB" w:rsidP="00DE4C56">
            <w:pPr>
              <w:pStyle w:val="ListParagraph"/>
              <w:numPr>
                <w:ilvl w:val="0"/>
                <w:numId w:val="2"/>
              </w:numPr>
              <w:tabs>
                <w:tab w:val="left" w:pos="510"/>
              </w:tabs>
              <w:ind w:left="368" w:firstLine="0"/>
              <w:jc w:val="both"/>
              <w:rPr>
                <w:b/>
              </w:rPr>
            </w:pPr>
            <w:r w:rsidRPr="003F29D0">
              <w:rPr>
                <w:b/>
                <w:lang w:val="lv-LV"/>
              </w:rPr>
              <w:t xml:space="preserve">Nominācijas komisijas </w:t>
            </w:r>
            <w:r w:rsidR="00867465">
              <w:rPr>
                <w:b/>
                <w:lang w:val="lv-LV"/>
              </w:rPr>
              <w:t>darba organizācija</w:t>
            </w:r>
            <w:r w:rsidRPr="003F29D0">
              <w:rPr>
                <w:b/>
                <w:lang w:val="lv-LV"/>
              </w:rPr>
              <w:t xml:space="preserve">. </w:t>
            </w:r>
          </w:p>
          <w:p w:rsidR="004C4FE2" w:rsidRDefault="00EF43FB" w:rsidP="003F29D0">
            <w:pPr>
              <w:tabs>
                <w:tab w:val="left" w:pos="368"/>
              </w:tabs>
              <w:jc w:val="both"/>
              <w:rPr>
                <w:color w:val="000000" w:themeColor="text1"/>
              </w:rPr>
            </w:pPr>
            <w:r>
              <w:t xml:space="preserve">Lai nodrošinātu </w:t>
            </w:r>
            <w:r w:rsidR="00867465">
              <w:t xml:space="preserve">nominācijas komisijas labāku sagatavošanos kandidātu izvērtēšanai, noteikumu projekts paredz, ka pirms tās nominācijas komisijai tiek sniegta </w:t>
            </w:r>
            <w:r w:rsidR="00867465">
              <w:rPr>
                <w:color w:val="000000" w:themeColor="text1"/>
              </w:rPr>
              <w:t xml:space="preserve">informācija par esošo situāciju kapitālsabiedrībā, tās stratēģiju, mērķiem un izaicinājumiem. </w:t>
            </w:r>
            <w:r w:rsidR="003B20EC">
              <w:rPr>
                <w:color w:val="000000" w:themeColor="text1"/>
              </w:rPr>
              <w:t>K</w:t>
            </w:r>
            <w:r w:rsidR="00BB6EA1">
              <w:rPr>
                <w:color w:val="000000" w:themeColor="text1"/>
              </w:rPr>
              <w:t xml:space="preserve">apitāla daļu turētājs </w:t>
            </w:r>
            <w:r w:rsidR="003B20EC">
              <w:rPr>
                <w:color w:val="000000" w:themeColor="text1"/>
              </w:rPr>
              <w:t xml:space="preserve">sagatavo informāciju </w:t>
            </w:r>
            <w:r w:rsidR="00BB6EA1">
              <w:t>nominācijas komisija</w:t>
            </w:r>
            <w:r w:rsidR="00D45BCD">
              <w:t>i</w:t>
            </w:r>
            <w:r w:rsidR="00BB6EA1">
              <w:t xml:space="preserve"> </w:t>
            </w:r>
            <w:r w:rsidR="00071911">
              <w:t xml:space="preserve">pēc iespējas </w:t>
            </w:r>
            <w:r w:rsidR="00BB6EA1">
              <w:t>pārskatāmā veidā</w:t>
            </w:r>
            <w:r w:rsidR="00071911">
              <w:t xml:space="preserve"> un tik detalizētu, lai sagatavotā informācija palīdzētu </w:t>
            </w:r>
            <w:r w:rsidR="00867465">
              <w:rPr>
                <w:color w:val="000000" w:themeColor="text1"/>
              </w:rPr>
              <w:t xml:space="preserve">nominācijas komisijai pilnvērtīgāk un kvalitatīvāk izvērtēt kandidātu iesniegtos vai klātienes intervijās sniegtos redzējumus kapitālsabiedrības attīstībai. </w:t>
            </w:r>
          </w:p>
          <w:p w:rsidR="004C4FE2" w:rsidRDefault="004C4FE2" w:rsidP="003F29D0">
            <w:pPr>
              <w:tabs>
                <w:tab w:val="left" w:pos="368"/>
              </w:tabs>
              <w:jc w:val="both"/>
              <w:rPr>
                <w:color w:val="000000" w:themeColor="text1"/>
              </w:rPr>
            </w:pPr>
          </w:p>
          <w:p w:rsidR="00EF43FB" w:rsidRDefault="00B628DB" w:rsidP="003F29D0">
            <w:pPr>
              <w:tabs>
                <w:tab w:val="left" w:pos="368"/>
              </w:tabs>
              <w:jc w:val="both"/>
            </w:pPr>
            <w:r>
              <w:rPr>
                <w:color w:val="000000" w:themeColor="text1"/>
              </w:rPr>
              <w:t>N</w:t>
            </w:r>
            <w:r w:rsidR="00867465">
              <w:rPr>
                <w:color w:val="000000" w:themeColor="text1"/>
              </w:rPr>
              <w:t xml:space="preserve">oteikumu projekts paredz, ka publiskās pieteikšanās procedūras izsludināšanas papildus priekšnoteikums ir nominācijas komisijas apstiprināts konkursa nolikums, kurā ietverama nominācijas komisijas darba organizācijas kārtība un prasības kandidātiem. Tāpat </w:t>
            </w:r>
            <w:r>
              <w:rPr>
                <w:color w:val="000000" w:themeColor="text1"/>
              </w:rPr>
              <w:t xml:space="preserve">noteikumu projekts paredz, ka </w:t>
            </w:r>
            <w:r w:rsidR="00867465">
              <w:rPr>
                <w:color w:val="000000" w:themeColor="text1"/>
              </w:rPr>
              <w:t>nominācijas komisijai jāvienojas par nepieciešamajiem</w:t>
            </w:r>
            <w:r>
              <w:rPr>
                <w:color w:val="000000" w:themeColor="text1"/>
              </w:rPr>
              <w:t xml:space="preserve"> potenciālo kandidātu informēšanas pasākumiem.</w:t>
            </w:r>
            <w:r w:rsidR="00867465">
              <w:rPr>
                <w:color w:val="000000" w:themeColor="text1"/>
              </w:rPr>
              <w:t xml:space="preserve"> </w:t>
            </w:r>
            <w:r w:rsidR="00867465">
              <w:t xml:space="preserve">Lai nodrošinātu </w:t>
            </w:r>
            <w:r w:rsidR="00EF43FB">
              <w:t>kapitāla daļu turētāja/padomes un nominācijas komisijas lomu savstarpēju skaidru nodalīšanu</w:t>
            </w:r>
            <w:r w:rsidR="00B164AB">
              <w:t xml:space="preserve"> un veicinātu nominācijas procesa lielā</w:t>
            </w:r>
            <w:r w:rsidR="00D45BCD">
              <w:t>k</w:t>
            </w:r>
            <w:r w:rsidR="00B164AB">
              <w:t xml:space="preserve">u  objektivitāti, noteikumu projekts paredz noteikt, ka kapitāla daļu turētāja un padomes izvirzīto pārstāvju skaits nominācijas komisijā ir ne vairāk kā </w:t>
            </w:r>
            <w:r w:rsidR="004C4FE2">
              <w:t>trīs pārstāvji</w:t>
            </w:r>
            <w:r w:rsidR="00B164AB">
              <w:t>.</w:t>
            </w:r>
          </w:p>
          <w:p w:rsidR="00AF7440" w:rsidRDefault="00AF7440" w:rsidP="003F29D0">
            <w:pPr>
              <w:tabs>
                <w:tab w:val="left" w:pos="368"/>
              </w:tabs>
              <w:jc w:val="both"/>
            </w:pPr>
            <w:r>
              <w:t>Ņemot vērā visas iepriekšminētās izmaiņas, kā arī starpinstitūciju sanāksmēs diskusijā panākto kopīgo izpratni par nepieciešamību sniegt atbalstu kapitāla daļu turētājiem</w:t>
            </w:r>
            <w:r w:rsidR="003A60AB">
              <w:t xml:space="preserve"> </w:t>
            </w:r>
            <w:r>
              <w:t>profesionāla un kvalitatīva nominācijas procesa sagatavošanai un īstenošanai, Pārresoru koordinācijas centrs izstrādās vadlīnijas</w:t>
            </w:r>
            <w:r w:rsidR="003A60AB">
              <w:t xml:space="preserve"> – </w:t>
            </w:r>
            <w:r>
              <w:t xml:space="preserve">valdes un padomes locekļu kandidātu atlases un izvērtēšanas vadlīnijas. </w:t>
            </w:r>
          </w:p>
          <w:p w:rsidR="00B20436" w:rsidRDefault="00B20436" w:rsidP="003F2843">
            <w:pPr>
              <w:tabs>
                <w:tab w:val="left" w:pos="84"/>
              </w:tabs>
              <w:jc w:val="both"/>
            </w:pPr>
          </w:p>
          <w:p w:rsidR="004C4FE2" w:rsidRPr="00EF43FB" w:rsidRDefault="003B20EC" w:rsidP="003F2843">
            <w:pPr>
              <w:tabs>
                <w:tab w:val="left" w:pos="84"/>
              </w:tabs>
              <w:jc w:val="both"/>
            </w:pPr>
            <w:r>
              <w:t>Ar noteikumu projektu paredzēts</w:t>
            </w:r>
            <w:r w:rsidR="004B1333">
              <w:t xml:space="preserve"> noteikt, ka </w:t>
            </w:r>
            <w:r w:rsidRPr="003B20EC">
              <w:t>izmaiņas nominācijas komisijas sastāvā nebūs jāattiecina uz tiem kapitālsabiedrību valdes locekļu amatu konkursiem, kuri jau ir izsludināti, bet vēl nav uzsākts kandidātu novērtēšanas process.</w:t>
            </w:r>
          </w:p>
        </w:tc>
      </w:tr>
      <w:tr w:rsidR="00E826C5" w:rsidRPr="00FC097F" w:rsidTr="00DE4C56">
        <w:trPr>
          <w:trHeight w:val="585"/>
        </w:trPr>
        <w:tc>
          <w:tcPr>
            <w:tcW w:w="766" w:type="dxa"/>
          </w:tcPr>
          <w:p w:rsidR="00E826C5" w:rsidRPr="00FC097F" w:rsidRDefault="00E826C5" w:rsidP="00FC097F">
            <w:pPr>
              <w:pStyle w:val="naiskr"/>
              <w:spacing w:before="0" w:after="0"/>
              <w:jc w:val="center"/>
            </w:pPr>
            <w:r w:rsidRPr="00FC097F">
              <w:lastRenderedPageBreak/>
              <w:t>3.</w:t>
            </w:r>
          </w:p>
        </w:tc>
        <w:tc>
          <w:tcPr>
            <w:tcW w:w="1418" w:type="dxa"/>
          </w:tcPr>
          <w:p w:rsidR="00E826C5" w:rsidRPr="00FC097F" w:rsidRDefault="00E826C5" w:rsidP="00FC097F">
            <w:pPr>
              <w:pStyle w:val="naiskr"/>
              <w:spacing w:before="0" w:after="0"/>
            </w:pPr>
            <w:r w:rsidRPr="00FC097F">
              <w:t>Projekta izstrādē iesaistītās institūcijas</w:t>
            </w:r>
          </w:p>
        </w:tc>
        <w:tc>
          <w:tcPr>
            <w:tcW w:w="7938" w:type="dxa"/>
          </w:tcPr>
          <w:p w:rsidR="00E826C5" w:rsidRPr="00FC097F" w:rsidRDefault="00586B7F" w:rsidP="00FC097F">
            <w:pPr>
              <w:jc w:val="both"/>
            </w:pPr>
            <w:r w:rsidRPr="00FC097F">
              <w:t>Pārresoru koordinācijas centrs</w:t>
            </w:r>
          </w:p>
        </w:tc>
      </w:tr>
      <w:tr w:rsidR="00E826C5" w:rsidRPr="00FC097F" w:rsidTr="00DE4C56">
        <w:tc>
          <w:tcPr>
            <w:tcW w:w="766" w:type="dxa"/>
          </w:tcPr>
          <w:p w:rsidR="00E826C5" w:rsidRPr="00FC097F" w:rsidRDefault="00E826C5" w:rsidP="00FC097F">
            <w:pPr>
              <w:pStyle w:val="naiskr"/>
              <w:spacing w:before="0" w:after="0"/>
              <w:jc w:val="center"/>
            </w:pPr>
            <w:r w:rsidRPr="00FC097F">
              <w:t>4.</w:t>
            </w:r>
          </w:p>
        </w:tc>
        <w:tc>
          <w:tcPr>
            <w:tcW w:w="1418" w:type="dxa"/>
          </w:tcPr>
          <w:p w:rsidR="00E826C5" w:rsidRPr="00FC097F" w:rsidRDefault="00E826C5" w:rsidP="00FC097F">
            <w:pPr>
              <w:pStyle w:val="naiskr"/>
              <w:spacing w:before="0" w:after="0"/>
            </w:pPr>
            <w:r w:rsidRPr="00FC097F">
              <w:t>Cita informācija</w:t>
            </w:r>
          </w:p>
        </w:tc>
        <w:tc>
          <w:tcPr>
            <w:tcW w:w="7938" w:type="dxa"/>
          </w:tcPr>
          <w:p w:rsidR="00E826C5" w:rsidRPr="00FC097F" w:rsidRDefault="00C87A3D" w:rsidP="00FC097F">
            <w:pPr>
              <w:jc w:val="both"/>
              <w:rPr>
                <w:bCs/>
              </w:rPr>
            </w:pPr>
            <w:r w:rsidRPr="00FC097F">
              <w:rPr>
                <w:bCs/>
              </w:rPr>
              <w:t>Nav</w:t>
            </w:r>
          </w:p>
        </w:tc>
      </w:tr>
    </w:tbl>
    <w:p w:rsidR="00B20436" w:rsidRDefault="00B20436" w:rsidP="00FC097F">
      <w:pPr>
        <w:pStyle w:val="naisf"/>
        <w:spacing w:before="0" w:after="0"/>
        <w:ind w:firstLine="0"/>
      </w:pPr>
    </w:p>
    <w:p w:rsidR="003A60AB" w:rsidRPr="00FC097F" w:rsidRDefault="003A60AB" w:rsidP="00FC097F">
      <w:pPr>
        <w:pStyle w:val="naisf"/>
        <w:spacing w:before="0" w:after="0"/>
        <w:ind w:firstLine="0"/>
      </w:pPr>
    </w:p>
    <w:tbl>
      <w:tblPr>
        <w:tblW w:w="10074"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7"/>
        <w:gridCol w:w="1634"/>
        <w:gridCol w:w="7613"/>
      </w:tblGrid>
      <w:tr w:rsidR="009A0027" w:rsidRPr="00FC097F" w:rsidTr="003A60AB">
        <w:trPr>
          <w:jc w:val="center"/>
        </w:trPr>
        <w:tc>
          <w:tcPr>
            <w:tcW w:w="10074" w:type="dxa"/>
            <w:gridSpan w:val="3"/>
          </w:tcPr>
          <w:p w:rsidR="00DE4C56" w:rsidRDefault="00FE4973" w:rsidP="00FC097F">
            <w:pPr>
              <w:pStyle w:val="naisnod"/>
              <w:spacing w:before="0" w:after="0"/>
              <w:rPr>
                <w:bCs w:val="0"/>
              </w:rPr>
            </w:pPr>
            <w:r w:rsidRPr="00FC097F">
              <w:lastRenderedPageBreak/>
              <w:t>II.</w:t>
            </w:r>
            <w:r w:rsidRPr="00FC097F">
              <w:rPr>
                <w:bCs w:val="0"/>
              </w:rPr>
              <w:t xml:space="preserve"> Tiesību akta projekta ietekme uz sabiedrību, tautsaimniecības attīstību </w:t>
            </w:r>
          </w:p>
          <w:p w:rsidR="00FE4973" w:rsidRPr="00FC097F" w:rsidRDefault="00FE4973" w:rsidP="00FC097F">
            <w:pPr>
              <w:pStyle w:val="naisnod"/>
              <w:spacing w:before="0" w:after="0"/>
            </w:pPr>
            <w:r w:rsidRPr="00FC097F">
              <w:rPr>
                <w:bCs w:val="0"/>
              </w:rPr>
              <w:t>un administratīvo slogu</w:t>
            </w:r>
          </w:p>
        </w:tc>
      </w:tr>
      <w:tr w:rsidR="00906989" w:rsidRPr="00FC097F" w:rsidTr="00B30048">
        <w:trPr>
          <w:jc w:val="center"/>
        </w:trPr>
        <w:tc>
          <w:tcPr>
            <w:tcW w:w="851" w:type="dxa"/>
          </w:tcPr>
          <w:p w:rsidR="00906989" w:rsidRPr="00FC097F" w:rsidRDefault="00906989" w:rsidP="00FC097F">
            <w:pPr>
              <w:pStyle w:val="naiskr"/>
              <w:tabs>
                <w:tab w:val="left" w:pos="2628"/>
              </w:tabs>
              <w:spacing w:before="0" w:after="0"/>
              <w:jc w:val="center"/>
              <w:rPr>
                <w:iCs/>
              </w:rPr>
            </w:pPr>
            <w:r w:rsidRPr="00FC097F">
              <w:rPr>
                <w:iCs/>
              </w:rPr>
              <w:t>1.</w:t>
            </w:r>
          </w:p>
        </w:tc>
        <w:tc>
          <w:tcPr>
            <w:tcW w:w="1352" w:type="dxa"/>
          </w:tcPr>
          <w:p w:rsidR="00906989" w:rsidRPr="00FC097F" w:rsidRDefault="00906989" w:rsidP="00FC097F">
            <w:pPr>
              <w:pStyle w:val="naiskr"/>
              <w:spacing w:before="0" w:after="0"/>
              <w:rPr>
                <w:iCs/>
              </w:rPr>
            </w:pPr>
            <w:r w:rsidRPr="00FC097F">
              <w:t>Sabiedrības mērķgrupas, kuras tiesiskais regulējums ietekmē vai varētu ietekmēt</w:t>
            </w:r>
          </w:p>
        </w:tc>
        <w:tc>
          <w:tcPr>
            <w:tcW w:w="7871" w:type="dxa"/>
          </w:tcPr>
          <w:p w:rsidR="002E3ABF" w:rsidRPr="00FC097F" w:rsidRDefault="007C79AF" w:rsidP="00FC097F">
            <w:pPr>
              <w:jc w:val="both"/>
            </w:pPr>
            <w:r w:rsidRPr="00FC097F">
              <w:t>Publiskas personas kā kapitāla daļu un kapitālsabiedrību turētāji, publisko personu kapitālsabiedrības, publiski privātās kapitālsabiedrības un privātās kapitālsabiedrības, kurās kapitāla daļu īpašnieks ir publiskas personas</w:t>
            </w:r>
          </w:p>
        </w:tc>
      </w:tr>
      <w:tr w:rsidR="000123E4" w:rsidRPr="00FC097F" w:rsidTr="00B30048">
        <w:trPr>
          <w:jc w:val="center"/>
        </w:trPr>
        <w:tc>
          <w:tcPr>
            <w:tcW w:w="851" w:type="dxa"/>
          </w:tcPr>
          <w:p w:rsidR="00906989" w:rsidRPr="00FC097F" w:rsidRDefault="00906989" w:rsidP="00FC097F">
            <w:pPr>
              <w:pStyle w:val="naiskr"/>
              <w:tabs>
                <w:tab w:val="left" w:pos="2628"/>
              </w:tabs>
              <w:spacing w:before="0" w:after="0"/>
              <w:jc w:val="center"/>
              <w:rPr>
                <w:iCs/>
              </w:rPr>
            </w:pPr>
            <w:r w:rsidRPr="00FC097F">
              <w:rPr>
                <w:iCs/>
              </w:rPr>
              <w:t>2.</w:t>
            </w:r>
          </w:p>
        </w:tc>
        <w:tc>
          <w:tcPr>
            <w:tcW w:w="1352" w:type="dxa"/>
          </w:tcPr>
          <w:p w:rsidR="00906989" w:rsidRPr="00FC097F" w:rsidRDefault="00906989" w:rsidP="00FC097F">
            <w:pPr>
              <w:pStyle w:val="naiskr"/>
              <w:spacing w:before="0" w:after="0"/>
            </w:pPr>
            <w:r w:rsidRPr="00FC097F">
              <w:t>Tiesiskā regulējuma ietekme uz tautsaimniecību un administratīvo slogu</w:t>
            </w:r>
          </w:p>
        </w:tc>
        <w:tc>
          <w:tcPr>
            <w:tcW w:w="7871" w:type="dxa"/>
          </w:tcPr>
          <w:p w:rsidR="007C79AF" w:rsidRPr="00FC097F" w:rsidRDefault="00E80835" w:rsidP="00FC097F">
            <w:pPr>
              <w:pStyle w:val="naiskr"/>
              <w:spacing w:before="0" w:after="0"/>
              <w:jc w:val="both"/>
            </w:pPr>
            <w:r w:rsidRPr="00FC097F">
              <w:t xml:space="preserve">Ņemot vērā, </w:t>
            </w:r>
            <w:r w:rsidR="00C87A3D" w:rsidRPr="00FC097F">
              <w:t>ka grozījumi tiek veikti nominācijas procesa pilnveidošanai un netiek paredzētas jaunas administratīvās procedūras</w:t>
            </w:r>
            <w:r w:rsidRPr="00FC097F">
              <w:t>,</w:t>
            </w:r>
            <w:r w:rsidR="00C87A3D" w:rsidRPr="00FC097F">
              <w:t xml:space="preserve"> bet vienkāršotas esošās, </w:t>
            </w:r>
            <w:r w:rsidRPr="00FC097F">
              <w:t xml:space="preserve"> </w:t>
            </w:r>
            <w:r w:rsidR="007C79AF" w:rsidRPr="00FC097F">
              <w:t>netiek radī</w:t>
            </w:r>
            <w:r w:rsidR="0018216A" w:rsidRPr="00FC097F">
              <w:t>ts jauns administratīvais slogs</w:t>
            </w:r>
            <w:r w:rsidR="007C79AF" w:rsidRPr="00FC097F">
              <w:t xml:space="preserve">. </w:t>
            </w:r>
          </w:p>
          <w:p w:rsidR="00E44F13" w:rsidRDefault="008938F6" w:rsidP="00FC097F">
            <w:pPr>
              <w:pStyle w:val="naiskr"/>
              <w:spacing w:before="0" w:after="0"/>
              <w:jc w:val="both"/>
            </w:pPr>
            <w:r w:rsidRPr="00FC097F">
              <w:t>Tiesiskajam regulējumam ir netieša pozitīva ietekme uz tautsaimniecību, jo tas ir vērsts uz to kapitālsabiedrību pārvaldības uzlabošanu, kurās dalībnieks ir valsts</w:t>
            </w:r>
            <w:r w:rsidR="00DE4C56">
              <w:t>.</w:t>
            </w:r>
          </w:p>
          <w:p w:rsidR="00DE4C56" w:rsidRPr="00FC097F" w:rsidRDefault="00DE4C56" w:rsidP="00FC097F">
            <w:pPr>
              <w:pStyle w:val="naiskr"/>
              <w:spacing w:before="0" w:after="0"/>
              <w:jc w:val="both"/>
            </w:pPr>
          </w:p>
        </w:tc>
      </w:tr>
      <w:tr w:rsidR="00906989" w:rsidRPr="00FC097F" w:rsidTr="00B30048">
        <w:trPr>
          <w:jc w:val="center"/>
        </w:trPr>
        <w:tc>
          <w:tcPr>
            <w:tcW w:w="851" w:type="dxa"/>
          </w:tcPr>
          <w:p w:rsidR="00906989" w:rsidRPr="00FC097F" w:rsidRDefault="00906989" w:rsidP="00FC097F">
            <w:pPr>
              <w:pStyle w:val="naiskr"/>
              <w:tabs>
                <w:tab w:val="left" w:pos="2628"/>
              </w:tabs>
              <w:spacing w:before="0" w:after="0"/>
              <w:jc w:val="center"/>
              <w:rPr>
                <w:iCs/>
              </w:rPr>
            </w:pPr>
            <w:r w:rsidRPr="00FC097F">
              <w:rPr>
                <w:iCs/>
              </w:rPr>
              <w:t>3.</w:t>
            </w:r>
          </w:p>
        </w:tc>
        <w:tc>
          <w:tcPr>
            <w:tcW w:w="1352" w:type="dxa"/>
          </w:tcPr>
          <w:p w:rsidR="00906989" w:rsidRPr="00FC097F" w:rsidRDefault="00906989" w:rsidP="00FC097F">
            <w:pPr>
              <w:pStyle w:val="naiskr"/>
              <w:tabs>
                <w:tab w:val="left" w:pos="2628"/>
              </w:tabs>
              <w:spacing w:before="0" w:after="0"/>
              <w:rPr>
                <w:iCs/>
              </w:rPr>
            </w:pPr>
            <w:r w:rsidRPr="00FC097F">
              <w:t>Administratīvo izmaksu monetārs novērtējums</w:t>
            </w:r>
          </w:p>
        </w:tc>
        <w:tc>
          <w:tcPr>
            <w:tcW w:w="7871" w:type="dxa"/>
          </w:tcPr>
          <w:p w:rsidR="00906989" w:rsidRPr="00FC097F" w:rsidRDefault="00A73151" w:rsidP="00FC097F">
            <w:pPr>
              <w:jc w:val="both"/>
              <w:rPr>
                <w:iCs/>
              </w:rPr>
            </w:pPr>
            <w:bookmarkStart w:id="1" w:name="p25"/>
            <w:bookmarkStart w:id="2" w:name="p-468670"/>
            <w:bookmarkEnd w:id="1"/>
            <w:bookmarkEnd w:id="2"/>
            <w:r w:rsidRPr="00FC097F">
              <w:t> </w:t>
            </w:r>
            <w:r w:rsidR="00C87A3D" w:rsidRPr="00FC097F">
              <w:t>Nav</w:t>
            </w:r>
            <w:r w:rsidR="006B0636" w:rsidRPr="00FC097F">
              <w:t xml:space="preserve"> </w:t>
            </w:r>
          </w:p>
        </w:tc>
      </w:tr>
      <w:tr w:rsidR="00E218E6" w:rsidRPr="00FC097F" w:rsidTr="00B30048">
        <w:trPr>
          <w:jc w:val="center"/>
        </w:trPr>
        <w:tc>
          <w:tcPr>
            <w:tcW w:w="851" w:type="dxa"/>
          </w:tcPr>
          <w:p w:rsidR="00E218E6" w:rsidRPr="00FC097F" w:rsidRDefault="00E218E6" w:rsidP="00FC097F">
            <w:pPr>
              <w:pStyle w:val="naiskr"/>
              <w:tabs>
                <w:tab w:val="left" w:pos="2628"/>
              </w:tabs>
              <w:spacing w:before="0" w:after="0"/>
              <w:jc w:val="center"/>
              <w:rPr>
                <w:iCs/>
              </w:rPr>
            </w:pPr>
            <w:r w:rsidRPr="00FC097F">
              <w:rPr>
                <w:iCs/>
              </w:rPr>
              <w:t>4.</w:t>
            </w:r>
          </w:p>
        </w:tc>
        <w:tc>
          <w:tcPr>
            <w:tcW w:w="1352" w:type="dxa"/>
          </w:tcPr>
          <w:p w:rsidR="00B205C0" w:rsidRPr="00FC097F" w:rsidRDefault="00B205C0" w:rsidP="00FC097F">
            <w:pPr>
              <w:pStyle w:val="naiskr"/>
              <w:tabs>
                <w:tab w:val="left" w:pos="2628"/>
              </w:tabs>
              <w:spacing w:before="0" w:after="0"/>
            </w:pPr>
            <w:r w:rsidRPr="00FC097F">
              <w:rPr>
                <w:bCs/>
              </w:rPr>
              <w:t>Cita informācija</w:t>
            </w:r>
          </w:p>
        </w:tc>
        <w:tc>
          <w:tcPr>
            <w:tcW w:w="7871" w:type="dxa"/>
          </w:tcPr>
          <w:p w:rsidR="00CB5188" w:rsidRDefault="00E44F13" w:rsidP="00FC097F">
            <w:pPr>
              <w:pStyle w:val="CommentText"/>
              <w:jc w:val="both"/>
              <w:rPr>
                <w:sz w:val="24"/>
                <w:szCs w:val="24"/>
              </w:rPr>
            </w:pPr>
            <w:r w:rsidRPr="00FC097F">
              <w:rPr>
                <w:sz w:val="24"/>
                <w:szCs w:val="24"/>
              </w:rPr>
              <w:t>Nav</w:t>
            </w:r>
          </w:p>
          <w:p w:rsidR="003A60AB" w:rsidRPr="00FC097F" w:rsidRDefault="003A60AB" w:rsidP="00FC097F">
            <w:pPr>
              <w:pStyle w:val="CommentText"/>
              <w:jc w:val="both"/>
              <w:rPr>
                <w:sz w:val="24"/>
                <w:szCs w:val="24"/>
              </w:rPr>
            </w:pPr>
          </w:p>
        </w:tc>
      </w:tr>
    </w:tbl>
    <w:p w:rsidR="00C87A3D" w:rsidRDefault="00C87A3D" w:rsidP="00FC097F">
      <w:pPr>
        <w:pStyle w:val="naisf"/>
        <w:spacing w:before="0" w:after="0"/>
        <w:ind w:firstLine="0"/>
      </w:pPr>
    </w:p>
    <w:p w:rsidR="003A60AB" w:rsidRPr="00FC097F" w:rsidRDefault="003A60AB" w:rsidP="00FC097F">
      <w:pPr>
        <w:pStyle w:val="naisf"/>
        <w:spacing w:before="0" w:after="0"/>
        <w:ind w:firstLine="0"/>
      </w:pPr>
    </w:p>
    <w:tbl>
      <w:tblPr>
        <w:tblW w:w="10201" w:type="dxa"/>
        <w:jc w:val="center"/>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9"/>
        <w:gridCol w:w="2268"/>
        <w:gridCol w:w="7084"/>
      </w:tblGrid>
      <w:tr w:rsidR="009A0027" w:rsidRPr="00FC097F" w:rsidTr="00B30048">
        <w:trPr>
          <w:jc w:val="center"/>
        </w:trPr>
        <w:tc>
          <w:tcPr>
            <w:tcW w:w="10201" w:type="dxa"/>
            <w:gridSpan w:val="3"/>
          </w:tcPr>
          <w:p w:rsidR="00FE4973" w:rsidRPr="00FC097F" w:rsidRDefault="00FE4973" w:rsidP="00FC097F">
            <w:pPr>
              <w:pStyle w:val="naisnod"/>
              <w:spacing w:before="0" w:after="0"/>
              <w:ind w:firstLine="308"/>
            </w:pPr>
            <w:r w:rsidRPr="00FC097F">
              <w:t>V</w:t>
            </w:r>
            <w:r w:rsidR="00EB14E3" w:rsidRPr="00FC097F">
              <w:t>I</w:t>
            </w:r>
            <w:r w:rsidRPr="00FC097F">
              <w:t xml:space="preserve">. </w:t>
            </w:r>
            <w:r w:rsidRPr="00FC097F">
              <w:rPr>
                <w:bCs w:val="0"/>
              </w:rPr>
              <w:t>Sabiedrības līdzdalība un komunikācijas aktivitātes</w:t>
            </w:r>
          </w:p>
        </w:tc>
      </w:tr>
      <w:tr w:rsidR="00906989" w:rsidRPr="00FC097F" w:rsidTr="00B30048">
        <w:trPr>
          <w:jc w:val="center"/>
        </w:trPr>
        <w:tc>
          <w:tcPr>
            <w:tcW w:w="849" w:type="dxa"/>
          </w:tcPr>
          <w:p w:rsidR="00906989" w:rsidRPr="00FC097F" w:rsidRDefault="00906989" w:rsidP="00FC097F">
            <w:pPr>
              <w:pStyle w:val="naiskr"/>
              <w:tabs>
                <w:tab w:val="left" w:pos="2628"/>
              </w:tabs>
              <w:spacing w:before="0" w:after="0"/>
              <w:jc w:val="center"/>
              <w:rPr>
                <w:iCs/>
              </w:rPr>
            </w:pPr>
            <w:r w:rsidRPr="00FC097F">
              <w:rPr>
                <w:iCs/>
              </w:rPr>
              <w:t>1.</w:t>
            </w:r>
          </w:p>
        </w:tc>
        <w:tc>
          <w:tcPr>
            <w:tcW w:w="2268" w:type="dxa"/>
          </w:tcPr>
          <w:p w:rsidR="00906989" w:rsidRPr="00FC097F" w:rsidRDefault="00906989" w:rsidP="00FC097F">
            <w:pPr>
              <w:pStyle w:val="naiskr"/>
              <w:tabs>
                <w:tab w:val="left" w:pos="2628"/>
              </w:tabs>
              <w:spacing w:before="0" w:after="0"/>
              <w:rPr>
                <w:iCs/>
              </w:rPr>
            </w:pPr>
            <w:r w:rsidRPr="00FC097F">
              <w:t>Plānotās sabiedrības līdzdalības un komunikācijas aktivitātes saistībā ar projektu</w:t>
            </w:r>
          </w:p>
        </w:tc>
        <w:tc>
          <w:tcPr>
            <w:tcW w:w="7084" w:type="dxa"/>
          </w:tcPr>
          <w:p w:rsidR="003864FE" w:rsidRPr="00FC097F" w:rsidRDefault="00B87C51" w:rsidP="00FC097F">
            <w:pPr>
              <w:pStyle w:val="naiskr"/>
              <w:tabs>
                <w:tab w:val="left" w:pos="2628"/>
              </w:tabs>
              <w:spacing w:before="0" w:after="0"/>
              <w:jc w:val="both"/>
              <w:rPr>
                <w:iCs/>
              </w:rPr>
            </w:pPr>
            <w:r w:rsidRPr="00FC097F">
              <w:rPr>
                <w:iCs/>
              </w:rPr>
              <w:t>Noteikum</w:t>
            </w:r>
            <w:r w:rsidR="00925B63" w:rsidRPr="00FC097F">
              <w:rPr>
                <w:iCs/>
              </w:rPr>
              <w:t xml:space="preserve">u projekts uz divām nedēļām </w:t>
            </w:r>
            <w:r w:rsidRPr="00FC097F">
              <w:rPr>
                <w:iCs/>
              </w:rPr>
              <w:t>publicēts Pārresoru koordinācijas centra interneta vietnē, aicinot sabiedrību sniegt par to viedokli un priekšlikumus</w:t>
            </w:r>
          </w:p>
        </w:tc>
      </w:tr>
      <w:tr w:rsidR="00DA5C2E" w:rsidRPr="00FC097F" w:rsidTr="00B30048">
        <w:trPr>
          <w:jc w:val="center"/>
        </w:trPr>
        <w:tc>
          <w:tcPr>
            <w:tcW w:w="849" w:type="dxa"/>
          </w:tcPr>
          <w:p w:rsidR="00DA5C2E" w:rsidRPr="00FC097F" w:rsidRDefault="00DA5C2E" w:rsidP="00FC097F">
            <w:pPr>
              <w:pStyle w:val="naiskr"/>
              <w:tabs>
                <w:tab w:val="left" w:pos="2628"/>
              </w:tabs>
              <w:spacing w:before="0" w:after="0"/>
              <w:jc w:val="center"/>
              <w:rPr>
                <w:iCs/>
              </w:rPr>
            </w:pPr>
            <w:r w:rsidRPr="00FC097F">
              <w:rPr>
                <w:iCs/>
              </w:rPr>
              <w:t>2.</w:t>
            </w:r>
          </w:p>
        </w:tc>
        <w:tc>
          <w:tcPr>
            <w:tcW w:w="2268" w:type="dxa"/>
          </w:tcPr>
          <w:p w:rsidR="00DA5C2E" w:rsidRPr="00FC097F" w:rsidRDefault="00DA5C2E" w:rsidP="00FC097F">
            <w:pPr>
              <w:pStyle w:val="naiskr"/>
              <w:tabs>
                <w:tab w:val="left" w:pos="2628"/>
              </w:tabs>
              <w:spacing w:before="0" w:after="0"/>
            </w:pPr>
            <w:r w:rsidRPr="00FC097F">
              <w:t>Sabiedrības līdzdalība projekta izstrādē</w:t>
            </w:r>
          </w:p>
        </w:tc>
        <w:tc>
          <w:tcPr>
            <w:tcW w:w="7084" w:type="dxa"/>
          </w:tcPr>
          <w:p w:rsidR="00DA5C2E" w:rsidRPr="00FC097F" w:rsidRDefault="0018216A" w:rsidP="00FC097F">
            <w:r w:rsidRPr="00FC097F">
              <w:t>Tiks papildināts pēc sabiedrības viedokļa un priekšlikumu saņemšanas</w:t>
            </w:r>
          </w:p>
        </w:tc>
      </w:tr>
      <w:tr w:rsidR="00DA5C2E" w:rsidRPr="00FC097F" w:rsidTr="00B30048">
        <w:trPr>
          <w:jc w:val="center"/>
        </w:trPr>
        <w:tc>
          <w:tcPr>
            <w:tcW w:w="849" w:type="dxa"/>
          </w:tcPr>
          <w:p w:rsidR="00DA5C2E" w:rsidRPr="00FC097F" w:rsidRDefault="00DA5C2E" w:rsidP="00FC097F">
            <w:pPr>
              <w:pStyle w:val="naiskr"/>
              <w:tabs>
                <w:tab w:val="left" w:pos="2628"/>
              </w:tabs>
              <w:spacing w:before="0" w:after="0"/>
              <w:jc w:val="center"/>
              <w:rPr>
                <w:iCs/>
              </w:rPr>
            </w:pPr>
            <w:r w:rsidRPr="00FC097F">
              <w:rPr>
                <w:iCs/>
              </w:rPr>
              <w:t>3.</w:t>
            </w:r>
          </w:p>
        </w:tc>
        <w:tc>
          <w:tcPr>
            <w:tcW w:w="2268" w:type="dxa"/>
          </w:tcPr>
          <w:p w:rsidR="00DA5C2E" w:rsidRPr="00FC097F" w:rsidRDefault="00DA5C2E" w:rsidP="00FC097F">
            <w:pPr>
              <w:pStyle w:val="naiskr"/>
              <w:tabs>
                <w:tab w:val="left" w:pos="2628"/>
              </w:tabs>
              <w:spacing w:before="0" w:after="0"/>
              <w:rPr>
                <w:iCs/>
              </w:rPr>
            </w:pPr>
            <w:r w:rsidRPr="00FC097F">
              <w:t>Sabiedrības līdzdalības rezultāti</w:t>
            </w:r>
          </w:p>
        </w:tc>
        <w:tc>
          <w:tcPr>
            <w:tcW w:w="7084" w:type="dxa"/>
          </w:tcPr>
          <w:p w:rsidR="00DA5C2E" w:rsidRPr="00FC097F" w:rsidRDefault="0018216A" w:rsidP="00FC097F">
            <w:r w:rsidRPr="00FC097F">
              <w:t>Tiks papildināts pēc sabiedrības viedokļa un priekšlikumu saņemšanas</w:t>
            </w:r>
          </w:p>
        </w:tc>
      </w:tr>
      <w:tr w:rsidR="00DA5C2E" w:rsidRPr="00FC097F" w:rsidTr="00B30048">
        <w:trPr>
          <w:jc w:val="center"/>
        </w:trPr>
        <w:tc>
          <w:tcPr>
            <w:tcW w:w="849" w:type="dxa"/>
          </w:tcPr>
          <w:p w:rsidR="00DA5C2E" w:rsidRPr="00FC097F" w:rsidRDefault="00DA5C2E" w:rsidP="00FC097F">
            <w:pPr>
              <w:pStyle w:val="naiskr"/>
              <w:tabs>
                <w:tab w:val="left" w:pos="2628"/>
              </w:tabs>
              <w:spacing w:before="0" w:after="0"/>
              <w:jc w:val="center"/>
              <w:rPr>
                <w:iCs/>
              </w:rPr>
            </w:pPr>
            <w:r w:rsidRPr="00FC097F">
              <w:rPr>
                <w:iCs/>
              </w:rPr>
              <w:t>4.</w:t>
            </w:r>
          </w:p>
        </w:tc>
        <w:tc>
          <w:tcPr>
            <w:tcW w:w="2268" w:type="dxa"/>
          </w:tcPr>
          <w:p w:rsidR="00DA5C2E" w:rsidRPr="00FC097F" w:rsidRDefault="00DA5C2E" w:rsidP="00FC097F">
            <w:pPr>
              <w:pStyle w:val="naiskr"/>
              <w:tabs>
                <w:tab w:val="left" w:pos="2628"/>
              </w:tabs>
              <w:spacing w:before="0" w:after="0"/>
            </w:pPr>
            <w:r w:rsidRPr="00FC097F">
              <w:t>Cita informācija</w:t>
            </w:r>
          </w:p>
        </w:tc>
        <w:tc>
          <w:tcPr>
            <w:tcW w:w="7084" w:type="dxa"/>
          </w:tcPr>
          <w:p w:rsidR="00DA5C2E" w:rsidRDefault="00B87C51" w:rsidP="00FC097F">
            <w:r w:rsidRPr="00FC097F">
              <w:t>Nav</w:t>
            </w:r>
          </w:p>
          <w:p w:rsidR="00B30048" w:rsidRPr="00FC097F" w:rsidRDefault="00B30048" w:rsidP="00FC097F"/>
        </w:tc>
      </w:tr>
    </w:tbl>
    <w:p w:rsidR="004907B8" w:rsidRDefault="004907B8" w:rsidP="00FC097F">
      <w:pPr>
        <w:pStyle w:val="naisf"/>
        <w:spacing w:before="0" w:after="0"/>
        <w:ind w:firstLine="0"/>
      </w:pPr>
    </w:p>
    <w:p w:rsidR="003A60AB" w:rsidRPr="00FC097F" w:rsidRDefault="003A60AB" w:rsidP="00FC097F">
      <w:pPr>
        <w:pStyle w:val="naisf"/>
        <w:spacing w:before="0" w:after="0"/>
        <w:ind w:firstLine="0"/>
      </w:pPr>
    </w:p>
    <w:tbl>
      <w:tblPr>
        <w:tblW w:w="10325"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70"/>
        <w:gridCol w:w="3074"/>
        <w:gridCol w:w="6281"/>
      </w:tblGrid>
      <w:tr w:rsidR="004907B8" w:rsidRPr="00FC097F" w:rsidTr="00DE4C56">
        <w:trPr>
          <w:jc w:val="center"/>
        </w:trPr>
        <w:tc>
          <w:tcPr>
            <w:tcW w:w="10325" w:type="dxa"/>
            <w:gridSpan w:val="3"/>
            <w:tcBorders>
              <w:top w:val="single" w:sz="4" w:space="0" w:color="auto"/>
              <w:left w:val="single" w:sz="4" w:space="0" w:color="auto"/>
              <w:bottom w:val="single" w:sz="4" w:space="0" w:color="auto"/>
              <w:right w:val="single" w:sz="4" w:space="0" w:color="auto"/>
            </w:tcBorders>
          </w:tcPr>
          <w:p w:rsidR="004907B8" w:rsidRPr="00FC097F" w:rsidRDefault="004907B8" w:rsidP="00FC097F">
            <w:pPr>
              <w:pStyle w:val="naisnod"/>
              <w:spacing w:before="0" w:after="0"/>
            </w:pPr>
            <w:r w:rsidRPr="00FC097F">
              <w:t>V</w:t>
            </w:r>
            <w:r w:rsidR="001F46CC" w:rsidRPr="00FC097F">
              <w:t>I</w:t>
            </w:r>
            <w:r w:rsidR="00EB14E3" w:rsidRPr="00FC097F">
              <w:t>I</w:t>
            </w:r>
            <w:r w:rsidRPr="00FC097F">
              <w:t>. Tiesību akta projekta izpildes nodrošināšana un tās ietekme uz institūcijām</w:t>
            </w:r>
          </w:p>
        </w:tc>
      </w:tr>
      <w:tr w:rsidR="004907B8" w:rsidRPr="00FC097F" w:rsidTr="00DE4C56">
        <w:trPr>
          <w:jc w:val="center"/>
        </w:trPr>
        <w:tc>
          <w:tcPr>
            <w:tcW w:w="970" w:type="dxa"/>
            <w:tcBorders>
              <w:top w:val="single" w:sz="4" w:space="0" w:color="auto"/>
              <w:left w:val="single" w:sz="4" w:space="0" w:color="auto"/>
              <w:bottom w:val="single" w:sz="4" w:space="0" w:color="auto"/>
              <w:right w:val="single" w:sz="4" w:space="0" w:color="auto"/>
            </w:tcBorders>
          </w:tcPr>
          <w:p w:rsidR="004907B8" w:rsidRPr="00FC097F" w:rsidRDefault="004907B8" w:rsidP="00FC097F">
            <w:pPr>
              <w:pStyle w:val="naisnod"/>
              <w:spacing w:before="0" w:after="0"/>
              <w:rPr>
                <w:b w:val="0"/>
              </w:rPr>
            </w:pPr>
            <w:r w:rsidRPr="00FC097F">
              <w:rPr>
                <w:b w:val="0"/>
              </w:rPr>
              <w:t>1.</w:t>
            </w:r>
          </w:p>
        </w:tc>
        <w:tc>
          <w:tcPr>
            <w:tcW w:w="3074" w:type="dxa"/>
            <w:tcBorders>
              <w:top w:val="single" w:sz="4" w:space="0" w:color="auto"/>
              <w:left w:val="single" w:sz="4" w:space="0" w:color="auto"/>
              <w:bottom w:val="single" w:sz="4" w:space="0" w:color="auto"/>
              <w:right w:val="single" w:sz="4" w:space="0" w:color="auto"/>
            </w:tcBorders>
          </w:tcPr>
          <w:p w:rsidR="004907B8" w:rsidRPr="00FC097F" w:rsidRDefault="004907B8" w:rsidP="00FC097F">
            <w:pPr>
              <w:pStyle w:val="naisnod"/>
              <w:spacing w:before="0" w:after="0"/>
              <w:jc w:val="left"/>
              <w:rPr>
                <w:b w:val="0"/>
              </w:rPr>
            </w:pPr>
            <w:r w:rsidRPr="00FC097F">
              <w:rPr>
                <w:b w:val="0"/>
              </w:rPr>
              <w:t>Projekta izpildē iesaistītās institūcijas</w:t>
            </w:r>
          </w:p>
        </w:tc>
        <w:tc>
          <w:tcPr>
            <w:tcW w:w="6281" w:type="dxa"/>
            <w:tcBorders>
              <w:top w:val="single" w:sz="4" w:space="0" w:color="auto"/>
              <w:left w:val="single" w:sz="4" w:space="0" w:color="auto"/>
              <w:bottom w:val="single" w:sz="4" w:space="0" w:color="auto"/>
              <w:right w:val="single" w:sz="4" w:space="0" w:color="auto"/>
            </w:tcBorders>
          </w:tcPr>
          <w:p w:rsidR="004907B8" w:rsidRPr="00FC097F" w:rsidRDefault="001144F0" w:rsidP="00FC097F">
            <w:pPr>
              <w:pStyle w:val="naisnod"/>
              <w:spacing w:before="0" w:after="0"/>
              <w:jc w:val="both"/>
              <w:rPr>
                <w:b w:val="0"/>
              </w:rPr>
            </w:pPr>
            <w:r w:rsidRPr="00FC097F">
              <w:rPr>
                <w:b w:val="0"/>
              </w:rPr>
              <w:t>Valsts kapitāla daļu turētāji, Pārresoru koordinācijas centrs</w:t>
            </w:r>
          </w:p>
        </w:tc>
      </w:tr>
      <w:tr w:rsidR="004907B8" w:rsidRPr="00FC097F" w:rsidTr="00DE4C56">
        <w:trPr>
          <w:jc w:val="center"/>
        </w:trPr>
        <w:tc>
          <w:tcPr>
            <w:tcW w:w="970" w:type="dxa"/>
            <w:tcBorders>
              <w:top w:val="single" w:sz="4" w:space="0" w:color="auto"/>
              <w:left w:val="single" w:sz="4" w:space="0" w:color="auto"/>
              <w:bottom w:val="single" w:sz="4" w:space="0" w:color="auto"/>
              <w:right w:val="single" w:sz="4" w:space="0" w:color="auto"/>
            </w:tcBorders>
          </w:tcPr>
          <w:p w:rsidR="004907B8" w:rsidRPr="00FC097F" w:rsidRDefault="004907B8" w:rsidP="00FC097F">
            <w:pPr>
              <w:pStyle w:val="naisnod"/>
              <w:spacing w:before="0" w:after="0"/>
              <w:rPr>
                <w:b w:val="0"/>
              </w:rPr>
            </w:pPr>
            <w:r w:rsidRPr="00FC097F">
              <w:rPr>
                <w:b w:val="0"/>
              </w:rPr>
              <w:t>2.</w:t>
            </w:r>
          </w:p>
        </w:tc>
        <w:tc>
          <w:tcPr>
            <w:tcW w:w="3074" w:type="dxa"/>
            <w:tcBorders>
              <w:top w:val="single" w:sz="4" w:space="0" w:color="auto"/>
              <w:left w:val="single" w:sz="4" w:space="0" w:color="auto"/>
              <w:bottom w:val="single" w:sz="4" w:space="0" w:color="auto"/>
              <w:right w:val="single" w:sz="4" w:space="0" w:color="auto"/>
            </w:tcBorders>
          </w:tcPr>
          <w:p w:rsidR="004907B8" w:rsidRPr="00FC097F" w:rsidRDefault="004907B8" w:rsidP="00FC097F">
            <w:r w:rsidRPr="00FC097F">
              <w:t>Projekta izpildes ietekme uz pārvaldes funkcijām un institucionālo struktūru.</w:t>
            </w:r>
          </w:p>
          <w:p w:rsidR="004907B8" w:rsidRDefault="004907B8" w:rsidP="00DE4C56">
            <w:pPr>
              <w:pStyle w:val="naisnod"/>
              <w:spacing w:before="0" w:after="0"/>
              <w:jc w:val="both"/>
              <w:rPr>
                <w:b w:val="0"/>
                <w:bCs w:val="0"/>
              </w:rPr>
            </w:pPr>
            <w:r w:rsidRPr="00FC097F">
              <w:rPr>
                <w:b w:val="0"/>
                <w:bCs w:val="0"/>
              </w:rPr>
              <w:t>Jaunu institūciju izveide, esošu institūciju likvidācija vai reorganizācija, to ietekme uz institūcijas cilvēkresursiem</w:t>
            </w:r>
          </w:p>
          <w:p w:rsidR="00B30048" w:rsidRPr="00FC097F" w:rsidRDefault="00B30048" w:rsidP="00DE4C56">
            <w:pPr>
              <w:pStyle w:val="naisnod"/>
              <w:spacing w:before="0" w:after="0"/>
              <w:jc w:val="both"/>
              <w:rPr>
                <w:b w:val="0"/>
              </w:rPr>
            </w:pPr>
          </w:p>
        </w:tc>
        <w:tc>
          <w:tcPr>
            <w:tcW w:w="6281" w:type="dxa"/>
            <w:tcBorders>
              <w:top w:val="single" w:sz="4" w:space="0" w:color="auto"/>
              <w:left w:val="single" w:sz="4" w:space="0" w:color="auto"/>
              <w:bottom w:val="single" w:sz="4" w:space="0" w:color="auto"/>
              <w:right w:val="single" w:sz="4" w:space="0" w:color="auto"/>
            </w:tcBorders>
          </w:tcPr>
          <w:p w:rsidR="00B87C51" w:rsidRPr="00FC097F" w:rsidRDefault="00B87C51" w:rsidP="00FC097F">
            <w:pPr>
              <w:pStyle w:val="naisnod"/>
              <w:spacing w:before="0" w:after="0"/>
              <w:jc w:val="both"/>
              <w:rPr>
                <w:b w:val="0"/>
                <w:color w:val="FF0000"/>
              </w:rPr>
            </w:pPr>
            <w:r w:rsidRPr="00FC097F">
              <w:rPr>
                <w:b w:val="0"/>
              </w:rPr>
              <w:t>Netiek veidotas jaunas vai likvidētas esošās institūcijas</w:t>
            </w:r>
          </w:p>
        </w:tc>
      </w:tr>
      <w:tr w:rsidR="004907B8" w:rsidRPr="00FC097F" w:rsidTr="00DE4C5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970" w:type="dxa"/>
            <w:tcBorders>
              <w:top w:val="outset" w:sz="6" w:space="0" w:color="auto"/>
              <w:left w:val="outset" w:sz="6" w:space="0" w:color="auto"/>
              <w:bottom w:val="outset" w:sz="6" w:space="0" w:color="auto"/>
              <w:right w:val="outset" w:sz="6" w:space="0" w:color="auto"/>
            </w:tcBorders>
          </w:tcPr>
          <w:p w:rsidR="004907B8" w:rsidRPr="00FC097F" w:rsidRDefault="004907B8" w:rsidP="00FC097F">
            <w:pPr>
              <w:jc w:val="center"/>
              <w:rPr>
                <w:bCs/>
              </w:rPr>
            </w:pPr>
            <w:r w:rsidRPr="00FC097F">
              <w:rPr>
                <w:bCs/>
              </w:rPr>
              <w:lastRenderedPageBreak/>
              <w:t>3.</w:t>
            </w:r>
          </w:p>
        </w:tc>
        <w:tc>
          <w:tcPr>
            <w:tcW w:w="3074" w:type="dxa"/>
            <w:tcBorders>
              <w:top w:val="outset" w:sz="6" w:space="0" w:color="auto"/>
              <w:left w:val="outset" w:sz="6" w:space="0" w:color="auto"/>
              <w:bottom w:val="outset" w:sz="6" w:space="0" w:color="auto"/>
              <w:right w:val="outset" w:sz="6" w:space="0" w:color="auto"/>
            </w:tcBorders>
          </w:tcPr>
          <w:p w:rsidR="004907B8" w:rsidRDefault="004907B8" w:rsidP="00FC097F">
            <w:r w:rsidRPr="00FC097F">
              <w:t>Cita informācija</w:t>
            </w:r>
          </w:p>
          <w:p w:rsidR="00B30048" w:rsidRPr="00FC097F" w:rsidRDefault="00B30048" w:rsidP="00FC097F"/>
        </w:tc>
        <w:tc>
          <w:tcPr>
            <w:tcW w:w="6281" w:type="dxa"/>
            <w:tcBorders>
              <w:top w:val="outset" w:sz="6" w:space="0" w:color="auto"/>
              <w:left w:val="outset" w:sz="6" w:space="0" w:color="auto"/>
              <w:bottom w:val="outset" w:sz="6" w:space="0" w:color="auto"/>
              <w:right w:val="outset" w:sz="6" w:space="0" w:color="auto"/>
            </w:tcBorders>
          </w:tcPr>
          <w:p w:rsidR="004907B8" w:rsidRPr="00FC097F" w:rsidRDefault="00DA5C2E" w:rsidP="00FC097F">
            <w:pPr>
              <w:rPr>
                <w:bCs/>
              </w:rPr>
            </w:pPr>
            <w:r w:rsidRPr="00FC097F">
              <w:rPr>
                <w:iCs/>
              </w:rPr>
              <w:t>Nav</w:t>
            </w:r>
          </w:p>
        </w:tc>
      </w:tr>
    </w:tbl>
    <w:p w:rsidR="00B30048" w:rsidRDefault="00B30048" w:rsidP="00FC097F">
      <w:pPr>
        <w:pStyle w:val="naisf"/>
        <w:spacing w:before="0" w:after="0"/>
        <w:ind w:firstLine="0"/>
      </w:pPr>
    </w:p>
    <w:p w:rsidR="00F3651E" w:rsidRPr="00FC097F" w:rsidRDefault="00F3651E" w:rsidP="00FC097F">
      <w:pPr>
        <w:pStyle w:val="naisf"/>
        <w:spacing w:before="0" w:after="0"/>
        <w:ind w:firstLine="0"/>
      </w:pPr>
      <w:r w:rsidRPr="00FC097F">
        <w:t xml:space="preserve">Anotācijas </w:t>
      </w:r>
      <w:r w:rsidR="0039602B" w:rsidRPr="00FC097F">
        <w:t xml:space="preserve">III, IV un </w:t>
      </w:r>
      <w:r w:rsidRPr="00FC097F">
        <w:t>V sadaļa – projekts šo jomu neskar.</w:t>
      </w:r>
    </w:p>
    <w:p w:rsidR="0018216A" w:rsidRDefault="0018216A" w:rsidP="00FC097F">
      <w:pPr>
        <w:tabs>
          <w:tab w:val="left" w:pos="6804"/>
        </w:tabs>
        <w:ind w:right="-522" w:firstLine="709"/>
      </w:pPr>
    </w:p>
    <w:p w:rsidR="00B30048" w:rsidRPr="00FC097F" w:rsidRDefault="00B30048" w:rsidP="00FC097F">
      <w:pPr>
        <w:tabs>
          <w:tab w:val="left" w:pos="6804"/>
        </w:tabs>
        <w:ind w:right="-522" w:firstLine="709"/>
      </w:pPr>
    </w:p>
    <w:p w:rsidR="00C87A3D" w:rsidRPr="00FC097F" w:rsidRDefault="00C87A3D" w:rsidP="00FC097F">
      <w:pPr>
        <w:tabs>
          <w:tab w:val="left" w:pos="6804"/>
        </w:tabs>
        <w:ind w:right="-522" w:firstLine="709"/>
      </w:pPr>
      <w:r w:rsidRPr="00FC097F">
        <w:t>Ministru prezidents</w:t>
      </w:r>
      <w:r w:rsidRPr="00FC097F">
        <w:tab/>
        <w:t>M.Kučinskis</w:t>
      </w:r>
    </w:p>
    <w:p w:rsidR="0018216A" w:rsidRDefault="0018216A" w:rsidP="00FC097F">
      <w:pPr>
        <w:tabs>
          <w:tab w:val="left" w:pos="6804"/>
        </w:tabs>
        <w:ind w:right="-522" w:firstLine="709"/>
      </w:pPr>
    </w:p>
    <w:p w:rsidR="00B30048" w:rsidRPr="00FC097F" w:rsidRDefault="00B30048" w:rsidP="00FC097F">
      <w:pPr>
        <w:tabs>
          <w:tab w:val="left" w:pos="6804"/>
        </w:tabs>
        <w:ind w:right="-522" w:firstLine="709"/>
      </w:pPr>
    </w:p>
    <w:p w:rsidR="00C87A3D" w:rsidRPr="00FC097F" w:rsidRDefault="00C87A3D" w:rsidP="00FC097F">
      <w:pPr>
        <w:tabs>
          <w:tab w:val="left" w:pos="6804"/>
        </w:tabs>
        <w:ind w:right="-522" w:firstLine="709"/>
      </w:pPr>
      <w:r w:rsidRPr="00FC097F">
        <w:t xml:space="preserve">Finanšu ministre                                                              </w:t>
      </w:r>
      <w:r w:rsidR="0018216A" w:rsidRPr="00FC097F">
        <w:t xml:space="preserve">             </w:t>
      </w:r>
      <w:r w:rsidRPr="00FC097F">
        <w:t>D.Reizniece-Ozola</w:t>
      </w:r>
    </w:p>
    <w:p w:rsidR="0018216A" w:rsidRPr="00FC097F" w:rsidRDefault="0018216A" w:rsidP="00FC097F">
      <w:pPr>
        <w:tabs>
          <w:tab w:val="left" w:pos="6804"/>
        </w:tabs>
        <w:ind w:right="-522" w:firstLine="709"/>
      </w:pPr>
    </w:p>
    <w:p w:rsidR="0018216A" w:rsidRPr="00FC097F" w:rsidRDefault="0018216A" w:rsidP="00FC097F">
      <w:pPr>
        <w:tabs>
          <w:tab w:val="left" w:pos="6804"/>
        </w:tabs>
        <w:ind w:right="-522" w:firstLine="709"/>
      </w:pPr>
    </w:p>
    <w:p w:rsidR="00C87A3D" w:rsidRPr="00FC097F" w:rsidRDefault="00C87A3D" w:rsidP="00FC097F">
      <w:pPr>
        <w:tabs>
          <w:tab w:val="left" w:pos="6804"/>
        </w:tabs>
        <w:ind w:right="-522" w:firstLine="709"/>
      </w:pPr>
      <w:r w:rsidRPr="00FC097F">
        <w:t>Vīza:</w:t>
      </w:r>
    </w:p>
    <w:p w:rsidR="00C87A3D" w:rsidRDefault="00C87A3D" w:rsidP="00FC097F">
      <w:pPr>
        <w:tabs>
          <w:tab w:val="left" w:pos="6804"/>
        </w:tabs>
        <w:ind w:right="-522" w:firstLine="709"/>
      </w:pPr>
      <w:r w:rsidRPr="00FC097F">
        <w:t xml:space="preserve">Pārresoru koordinācijas centra vadītājs                           </w:t>
      </w:r>
      <w:r w:rsidR="0018216A" w:rsidRPr="00FC097F">
        <w:t xml:space="preserve">                </w:t>
      </w:r>
      <w:r w:rsidRPr="00FC097F">
        <w:t>P.Vilks</w:t>
      </w:r>
    </w:p>
    <w:p w:rsidR="00B30048" w:rsidRDefault="00B30048" w:rsidP="00FC097F">
      <w:pPr>
        <w:tabs>
          <w:tab w:val="left" w:pos="6804"/>
        </w:tabs>
        <w:ind w:right="-522" w:firstLine="709"/>
      </w:pPr>
    </w:p>
    <w:p w:rsidR="00B30048" w:rsidRDefault="00B30048" w:rsidP="00FC097F">
      <w:pPr>
        <w:tabs>
          <w:tab w:val="left" w:pos="6804"/>
        </w:tabs>
        <w:ind w:right="-522" w:firstLine="709"/>
      </w:pPr>
    </w:p>
    <w:p w:rsidR="00B30048" w:rsidRPr="00B30048" w:rsidRDefault="00B30048" w:rsidP="00FC097F">
      <w:pPr>
        <w:tabs>
          <w:tab w:val="left" w:pos="6804"/>
        </w:tabs>
        <w:ind w:right="-522" w:firstLine="709"/>
        <w:rPr>
          <w:sz w:val="20"/>
          <w:szCs w:val="20"/>
        </w:rPr>
      </w:pPr>
    </w:p>
    <w:p w:rsidR="00B20436" w:rsidRPr="00B30048" w:rsidRDefault="003F2843" w:rsidP="00FC097F">
      <w:pPr>
        <w:widowControl w:val="0"/>
        <w:tabs>
          <w:tab w:val="left" w:pos="7513"/>
        </w:tabs>
        <w:jc w:val="both"/>
        <w:rPr>
          <w:sz w:val="20"/>
          <w:szCs w:val="20"/>
        </w:rPr>
      </w:pPr>
      <w:r w:rsidRPr="00B30048">
        <w:rPr>
          <w:sz w:val="20"/>
          <w:szCs w:val="20"/>
        </w:rPr>
        <w:fldChar w:fldCharType="begin"/>
      </w:r>
      <w:r w:rsidRPr="00B30048">
        <w:rPr>
          <w:sz w:val="20"/>
          <w:szCs w:val="20"/>
        </w:rPr>
        <w:instrText xml:space="preserve"> DATE  \@ "dd.MM.yyyy H:mm"  \* MERGEFORMAT </w:instrText>
      </w:r>
      <w:r w:rsidRPr="00B30048">
        <w:rPr>
          <w:sz w:val="20"/>
          <w:szCs w:val="20"/>
        </w:rPr>
        <w:fldChar w:fldCharType="separate"/>
      </w:r>
      <w:r w:rsidR="00176684">
        <w:rPr>
          <w:noProof/>
          <w:sz w:val="20"/>
          <w:szCs w:val="20"/>
        </w:rPr>
        <w:t>12.09.2016 13:33</w:t>
      </w:r>
      <w:r w:rsidRPr="00B30048">
        <w:rPr>
          <w:sz w:val="20"/>
          <w:szCs w:val="20"/>
        </w:rPr>
        <w:fldChar w:fldCharType="end"/>
      </w:r>
    </w:p>
    <w:p w:rsidR="00C87A3D" w:rsidRPr="00B30048" w:rsidRDefault="009C1B9C" w:rsidP="00FC097F">
      <w:pPr>
        <w:widowControl w:val="0"/>
        <w:tabs>
          <w:tab w:val="left" w:pos="7513"/>
        </w:tabs>
        <w:jc w:val="both"/>
        <w:rPr>
          <w:sz w:val="20"/>
          <w:szCs w:val="20"/>
        </w:rPr>
      </w:pPr>
      <w:r w:rsidRPr="00B30048">
        <w:rPr>
          <w:sz w:val="20"/>
          <w:szCs w:val="20"/>
        </w:rPr>
        <w:t>20</w:t>
      </w:r>
      <w:r w:rsidR="00B20436" w:rsidRPr="00B30048">
        <w:rPr>
          <w:sz w:val="20"/>
          <w:szCs w:val="20"/>
        </w:rPr>
        <w:t>77</w:t>
      </w:r>
    </w:p>
    <w:p w:rsidR="00C87A3D" w:rsidRPr="00B30048" w:rsidRDefault="00C87A3D" w:rsidP="00FC097F">
      <w:pPr>
        <w:widowControl w:val="0"/>
        <w:jc w:val="both"/>
        <w:rPr>
          <w:sz w:val="20"/>
          <w:szCs w:val="20"/>
        </w:rPr>
      </w:pPr>
      <w:r w:rsidRPr="00B30048">
        <w:rPr>
          <w:sz w:val="20"/>
          <w:szCs w:val="20"/>
        </w:rPr>
        <w:t>Vladislavs Vesperis</w:t>
      </w:r>
    </w:p>
    <w:p w:rsidR="00C87A3D" w:rsidRPr="00B30048" w:rsidRDefault="00C87A3D" w:rsidP="00FC097F">
      <w:pPr>
        <w:widowControl w:val="0"/>
        <w:jc w:val="both"/>
        <w:rPr>
          <w:sz w:val="20"/>
          <w:szCs w:val="20"/>
          <w:lang w:val="en-US"/>
        </w:rPr>
      </w:pPr>
      <w:r w:rsidRPr="00B30048">
        <w:rPr>
          <w:sz w:val="20"/>
          <w:szCs w:val="20"/>
        </w:rPr>
        <w:t xml:space="preserve"> 67082812, </w:t>
      </w:r>
      <w:hyperlink r:id="rId13" w:history="1">
        <w:r w:rsidRPr="00B30048">
          <w:rPr>
            <w:rStyle w:val="Hyperlink"/>
            <w:sz w:val="20"/>
            <w:szCs w:val="20"/>
          </w:rPr>
          <w:t>vladislavs.vesperis@pkc.mk.gov.lv</w:t>
        </w:r>
      </w:hyperlink>
    </w:p>
    <w:p w:rsidR="00BF4B68" w:rsidRPr="00B30048" w:rsidRDefault="00BF4B68" w:rsidP="00FC097F">
      <w:pPr>
        <w:tabs>
          <w:tab w:val="left" w:pos="6804"/>
        </w:tabs>
        <w:ind w:right="-522"/>
        <w:rPr>
          <w:noProof/>
          <w:sz w:val="20"/>
          <w:szCs w:val="20"/>
          <w:lang w:val="en-US"/>
        </w:rPr>
      </w:pPr>
    </w:p>
    <w:sectPr w:rsidR="00BF4B68" w:rsidRPr="00B30048" w:rsidSect="00B30048">
      <w:headerReference w:type="even" r:id="rId14"/>
      <w:headerReference w:type="default" r:id="rId15"/>
      <w:footerReference w:type="default" r:id="rId16"/>
      <w:footerReference w:type="first" r:id="rId17"/>
      <w:pgSz w:w="11906" w:h="16838" w:code="9"/>
      <w:pgMar w:top="82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67" w:rsidRDefault="00050A67">
      <w:r>
        <w:separator/>
      </w:r>
    </w:p>
  </w:endnote>
  <w:endnote w:type="continuationSeparator" w:id="0">
    <w:p w:rsidR="00050A67" w:rsidRDefault="0005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43" w:rsidRPr="001E0C36" w:rsidRDefault="003F2843" w:rsidP="003F2843">
    <w:pPr>
      <w:pStyle w:val="Footer"/>
      <w:jc w:val="both"/>
      <w:rPr>
        <w:sz w:val="16"/>
        <w:szCs w:val="16"/>
      </w:rPr>
    </w:pPr>
    <w:r w:rsidRPr="001E0C36">
      <w:rPr>
        <w:color w:val="000000"/>
        <w:sz w:val="16"/>
        <w:szCs w:val="16"/>
      </w:rPr>
      <w:t>PKCAnot_</w:t>
    </w:r>
    <w:r>
      <w:rPr>
        <w:color w:val="000000"/>
        <w:sz w:val="16"/>
        <w:szCs w:val="16"/>
      </w:rPr>
      <w:t>0</w:t>
    </w:r>
    <w:r w:rsidR="00FC3F0A">
      <w:rPr>
        <w:color w:val="000000"/>
        <w:sz w:val="16"/>
        <w:szCs w:val="16"/>
      </w:rPr>
      <w:t>9</w:t>
    </w:r>
    <w:r>
      <w:rPr>
        <w:color w:val="000000"/>
        <w:sz w:val="16"/>
        <w:szCs w:val="16"/>
      </w:rPr>
      <w:t>0916_nominacija_VSS-558</w:t>
    </w:r>
    <w:r w:rsidRPr="001E0C36">
      <w:rPr>
        <w:color w:val="000000"/>
        <w:sz w:val="16"/>
        <w:szCs w:val="16"/>
      </w:rPr>
      <w:t xml:space="preserve">; </w:t>
    </w:r>
    <w:r w:rsidRPr="00035438">
      <w:rPr>
        <w:sz w:val="16"/>
        <w:szCs w:val="16"/>
      </w:rPr>
      <w:t xml:space="preserve">Ministru kabineta noteikumu projekts „Grozījumi Ministru kabineta  2015.gada </w:t>
    </w:r>
    <w:r>
      <w:rPr>
        <w:sz w:val="16"/>
        <w:szCs w:val="16"/>
      </w:rPr>
      <w:t>1</w:t>
    </w:r>
    <w:r w:rsidRPr="00035438">
      <w:rPr>
        <w:sz w:val="16"/>
        <w:szCs w:val="16"/>
      </w:rPr>
      <w:t>.decembra noteikumos Nr.</w:t>
    </w:r>
    <w:r>
      <w:rPr>
        <w:sz w:val="16"/>
        <w:szCs w:val="16"/>
      </w:rPr>
      <w:t> </w:t>
    </w:r>
    <w:r w:rsidRPr="00035438">
      <w:rPr>
        <w:sz w:val="16"/>
        <w:szCs w:val="16"/>
      </w:rPr>
      <w:t>686 “Kārtība, kādā nominē kandidātus valdes un padomes locekļu amatiem kapitālsabiedrībās, kurās valstij kā dalībniekam (akcionāram) ir tiesības izvirzīt valdes vai padomes locekļus, un valdes locekļus valsts kapitālsabiedrībās, kurās ir izveidota padome</w:t>
    </w:r>
    <w:r>
      <w:rPr>
        <w:sz w:val="16"/>
        <w:szCs w:val="16"/>
      </w:rPr>
      <w:t>”</w:t>
    </w:r>
    <w:r w:rsidRPr="00035438">
      <w:rPr>
        <w:sz w:val="16"/>
        <w:szCs w:val="16"/>
      </w:rPr>
      <w:t xml:space="preserve">” </w:t>
    </w:r>
    <w:r w:rsidRPr="001E0C36">
      <w:rPr>
        <w:color w:val="000000"/>
        <w:sz w:val="16"/>
        <w:szCs w:val="16"/>
      </w:rPr>
      <w:t>sākotnējās ietekmes novērtējuma ziņojums (anotācija)</w:t>
    </w:r>
  </w:p>
  <w:p w:rsidR="003F2843" w:rsidRPr="001E0C36" w:rsidRDefault="003F2843" w:rsidP="003F2843">
    <w:pPr>
      <w:pStyle w:val="Footer"/>
      <w:jc w:val="both"/>
      <w:rPr>
        <w:sz w:val="16"/>
        <w:szCs w:val="16"/>
      </w:rPr>
    </w:pPr>
  </w:p>
  <w:p w:rsidR="00CD6C0B" w:rsidRPr="003F2843" w:rsidRDefault="00CD6C0B" w:rsidP="003F2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3D" w:rsidRPr="001E0C36" w:rsidRDefault="00C87A3D" w:rsidP="001B4F16">
    <w:pPr>
      <w:pStyle w:val="Footer"/>
      <w:jc w:val="both"/>
      <w:rPr>
        <w:sz w:val="16"/>
        <w:szCs w:val="16"/>
      </w:rPr>
    </w:pPr>
    <w:r w:rsidRPr="001E0C36">
      <w:rPr>
        <w:color w:val="000000"/>
        <w:sz w:val="16"/>
        <w:szCs w:val="16"/>
      </w:rPr>
      <w:t>PKCAnot_</w:t>
    </w:r>
    <w:r w:rsidR="00DC7F07">
      <w:rPr>
        <w:color w:val="000000"/>
        <w:sz w:val="16"/>
        <w:szCs w:val="16"/>
      </w:rPr>
      <w:t>0</w:t>
    </w:r>
    <w:r w:rsidR="00FC3F0A">
      <w:rPr>
        <w:color w:val="000000"/>
        <w:sz w:val="16"/>
        <w:szCs w:val="16"/>
      </w:rPr>
      <w:t>9</w:t>
    </w:r>
    <w:r>
      <w:rPr>
        <w:color w:val="000000"/>
        <w:sz w:val="16"/>
        <w:szCs w:val="16"/>
      </w:rPr>
      <w:t>0</w:t>
    </w:r>
    <w:r w:rsidR="00DC7F07">
      <w:rPr>
        <w:color w:val="000000"/>
        <w:sz w:val="16"/>
        <w:szCs w:val="16"/>
      </w:rPr>
      <w:t>9</w:t>
    </w:r>
    <w:r>
      <w:rPr>
        <w:color w:val="000000"/>
        <w:sz w:val="16"/>
        <w:szCs w:val="16"/>
      </w:rPr>
      <w:t>16_nominacija</w:t>
    </w:r>
    <w:r w:rsidR="00DC7F07">
      <w:rPr>
        <w:color w:val="000000"/>
        <w:sz w:val="16"/>
        <w:szCs w:val="16"/>
      </w:rPr>
      <w:t>_VSS-558</w:t>
    </w:r>
    <w:r w:rsidRPr="001E0C36">
      <w:rPr>
        <w:color w:val="000000"/>
        <w:sz w:val="16"/>
        <w:szCs w:val="16"/>
      </w:rPr>
      <w:t xml:space="preserve">; </w:t>
    </w:r>
    <w:r w:rsidRPr="00035438">
      <w:rPr>
        <w:sz w:val="16"/>
        <w:szCs w:val="16"/>
      </w:rPr>
      <w:t xml:space="preserve">Ministru kabineta noteikumu projekts „Grozījumi Ministru kabineta  2015.gada </w:t>
    </w:r>
    <w:r w:rsidR="001B4F16">
      <w:rPr>
        <w:sz w:val="16"/>
        <w:szCs w:val="16"/>
      </w:rPr>
      <w:t>1</w:t>
    </w:r>
    <w:r w:rsidRPr="00035438">
      <w:rPr>
        <w:sz w:val="16"/>
        <w:szCs w:val="16"/>
      </w:rPr>
      <w:t>.decembra noteikumos Nr.</w:t>
    </w:r>
    <w:r w:rsidR="001B4F16">
      <w:rPr>
        <w:sz w:val="16"/>
        <w:szCs w:val="16"/>
      </w:rPr>
      <w:t> </w:t>
    </w:r>
    <w:r w:rsidRPr="00035438">
      <w:rPr>
        <w:sz w:val="16"/>
        <w:szCs w:val="16"/>
      </w:rPr>
      <w:t>686 “Kārtība,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BC4536">
      <w:rPr>
        <w:sz w:val="16"/>
        <w:szCs w:val="16"/>
      </w:rPr>
      <w:t>”</w:t>
    </w:r>
    <w:r w:rsidRPr="00035438">
      <w:rPr>
        <w:sz w:val="16"/>
        <w:szCs w:val="16"/>
      </w:rPr>
      <w:t xml:space="preserve">” </w:t>
    </w:r>
    <w:r w:rsidRPr="001E0C36">
      <w:rPr>
        <w:color w:val="000000"/>
        <w:sz w:val="16"/>
        <w:szCs w:val="16"/>
      </w:rPr>
      <w:t>sākotnējās ietekmes novērtējuma ziņojums (anotācija)</w:t>
    </w:r>
  </w:p>
  <w:p w:rsidR="00CD6C0B" w:rsidRPr="001E0C36" w:rsidRDefault="00CD6C0B" w:rsidP="00907EF2">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67" w:rsidRDefault="00050A67">
      <w:r>
        <w:separator/>
      </w:r>
    </w:p>
  </w:footnote>
  <w:footnote w:type="continuationSeparator" w:id="0">
    <w:p w:rsidR="00050A67" w:rsidRDefault="0005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0B" w:rsidRDefault="00CD6C0B"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6C0B" w:rsidRDefault="00CD6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54151"/>
      <w:docPartObj>
        <w:docPartGallery w:val="Page Numbers (Top of Page)"/>
        <w:docPartUnique/>
      </w:docPartObj>
    </w:sdtPr>
    <w:sdtEndPr>
      <w:rPr>
        <w:noProof/>
      </w:rPr>
    </w:sdtEndPr>
    <w:sdtContent>
      <w:p w:rsidR="00CD6C0B" w:rsidRDefault="00CD6C0B">
        <w:pPr>
          <w:pStyle w:val="Header"/>
          <w:jc w:val="center"/>
        </w:pPr>
        <w:r>
          <w:fldChar w:fldCharType="begin"/>
        </w:r>
        <w:r>
          <w:instrText xml:space="preserve"> PAGE   \* MERGEFORMAT </w:instrText>
        </w:r>
        <w:r>
          <w:fldChar w:fldCharType="separate"/>
        </w:r>
        <w:r w:rsidR="00176684">
          <w:rPr>
            <w:noProof/>
          </w:rPr>
          <w:t>7</w:t>
        </w:r>
        <w:r>
          <w:rPr>
            <w:noProof/>
          </w:rPr>
          <w:fldChar w:fldCharType="end"/>
        </w:r>
      </w:p>
    </w:sdtContent>
  </w:sdt>
  <w:p w:rsidR="00CD6C0B" w:rsidRDefault="00CD6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950557"/>
    <w:multiLevelType w:val="hybridMultilevel"/>
    <w:tmpl w:val="461CED04"/>
    <w:lvl w:ilvl="0" w:tplc="9C26CB70">
      <w:start w:val="1"/>
      <w:numFmt w:val="decimal"/>
      <w:lvlText w:val="%1)"/>
      <w:lvlJc w:val="left"/>
      <w:pPr>
        <w:ind w:left="450" w:hanging="360"/>
      </w:pPr>
      <w:rPr>
        <w:rFonts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
    <w:nsid w:val="2B2568E0"/>
    <w:multiLevelType w:val="hybridMultilevel"/>
    <w:tmpl w:val="C9B016F0"/>
    <w:lvl w:ilvl="0" w:tplc="D5A8474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nsid w:val="2E065471"/>
    <w:multiLevelType w:val="hybridMultilevel"/>
    <w:tmpl w:val="C41A9F6A"/>
    <w:lvl w:ilvl="0" w:tplc="4A6A2C1A">
      <w:start w:val="1"/>
      <w:numFmt w:val="decimal"/>
      <w:lvlText w:val="%1."/>
      <w:lvlJc w:val="left"/>
      <w:pPr>
        <w:ind w:left="1150" w:hanging="360"/>
      </w:pPr>
      <w:rPr>
        <w:b/>
      </w:rPr>
    </w:lvl>
    <w:lvl w:ilvl="1" w:tplc="04260019" w:tentative="1">
      <w:start w:val="1"/>
      <w:numFmt w:val="lowerLetter"/>
      <w:lvlText w:val="%2."/>
      <w:lvlJc w:val="left"/>
      <w:pPr>
        <w:ind w:left="1870" w:hanging="360"/>
      </w:pPr>
    </w:lvl>
    <w:lvl w:ilvl="2" w:tplc="0426001B" w:tentative="1">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4">
    <w:nsid w:val="3BD47F0E"/>
    <w:multiLevelType w:val="hybridMultilevel"/>
    <w:tmpl w:val="0F2086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97340D"/>
    <w:multiLevelType w:val="hybridMultilevel"/>
    <w:tmpl w:val="C4D26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E226E8"/>
    <w:multiLevelType w:val="hybridMultilevel"/>
    <w:tmpl w:val="BC06BEFC"/>
    <w:lvl w:ilvl="0" w:tplc="201C36CC">
      <w:start w:val="1"/>
      <w:numFmt w:val="decimal"/>
      <w:lvlText w:val="%1)"/>
      <w:lvlJc w:val="left"/>
      <w:pPr>
        <w:ind w:left="444" w:hanging="360"/>
      </w:pPr>
      <w:rPr>
        <w:rFonts w:hint="default"/>
      </w:rPr>
    </w:lvl>
    <w:lvl w:ilvl="1" w:tplc="04260019" w:tentative="1">
      <w:start w:val="1"/>
      <w:numFmt w:val="lowerLetter"/>
      <w:lvlText w:val="%2."/>
      <w:lvlJc w:val="left"/>
      <w:pPr>
        <w:ind w:left="1164" w:hanging="360"/>
      </w:pPr>
    </w:lvl>
    <w:lvl w:ilvl="2" w:tplc="0426001B" w:tentative="1">
      <w:start w:val="1"/>
      <w:numFmt w:val="lowerRoman"/>
      <w:lvlText w:val="%3."/>
      <w:lvlJc w:val="right"/>
      <w:pPr>
        <w:ind w:left="1884" w:hanging="180"/>
      </w:pPr>
    </w:lvl>
    <w:lvl w:ilvl="3" w:tplc="0426000F" w:tentative="1">
      <w:start w:val="1"/>
      <w:numFmt w:val="decimal"/>
      <w:lvlText w:val="%4."/>
      <w:lvlJc w:val="left"/>
      <w:pPr>
        <w:ind w:left="2604" w:hanging="360"/>
      </w:pPr>
    </w:lvl>
    <w:lvl w:ilvl="4" w:tplc="04260019" w:tentative="1">
      <w:start w:val="1"/>
      <w:numFmt w:val="lowerLetter"/>
      <w:lvlText w:val="%5."/>
      <w:lvlJc w:val="left"/>
      <w:pPr>
        <w:ind w:left="3324" w:hanging="360"/>
      </w:pPr>
    </w:lvl>
    <w:lvl w:ilvl="5" w:tplc="0426001B" w:tentative="1">
      <w:start w:val="1"/>
      <w:numFmt w:val="lowerRoman"/>
      <w:lvlText w:val="%6."/>
      <w:lvlJc w:val="right"/>
      <w:pPr>
        <w:ind w:left="4044" w:hanging="180"/>
      </w:pPr>
    </w:lvl>
    <w:lvl w:ilvl="6" w:tplc="0426000F" w:tentative="1">
      <w:start w:val="1"/>
      <w:numFmt w:val="decimal"/>
      <w:lvlText w:val="%7."/>
      <w:lvlJc w:val="left"/>
      <w:pPr>
        <w:ind w:left="4764" w:hanging="360"/>
      </w:pPr>
    </w:lvl>
    <w:lvl w:ilvl="7" w:tplc="04260019" w:tentative="1">
      <w:start w:val="1"/>
      <w:numFmt w:val="lowerLetter"/>
      <w:lvlText w:val="%8."/>
      <w:lvlJc w:val="left"/>
      <w:pPr>
        <w:ind w:left="5484" w:hanging="360"/>
      </w:pPr>
    </w:lvl>
    <w:lvl w:ilvl="8" w:tplc="0426001B" w:tentative="1">
      <w:start w:val="1"/>
      <w:numFmt w:val="lowerRoman"/>
      <w:lvlText w:val="%9."/>
      <w:lvlJc w:val="right"/>
      <w:pPr>
        <w:ind w:left="6204" w:hanging="18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2B52"/>
    <w:rsid w:val="0000308F"/>
    <w:rsid w:val="00003517"/>
    <w:rsid w:val="00005687"/>
    <w:rsid w:val="0000641C"/>
    <w:rsid w:val="00011C00"/>
    <w:rsid w:val="00011D24"/>
    <w:rsid w:val="000123E4"/>
    <w:rsid w:val="00013430"/>
    <w:rsid w:val="00013FF4"/>
    <w:rsid w:val="00015213"/>
    <w:rsid w:val="0001682D"/>
    <w:rsid w:val="00017BCC"/>
    <w:rsid w:val="00017EAF"/>
    <w:rsid w:val="00020FE1"/>
    <w:rsid w:val="000214DF"/>
    <w:rsid w:val="000219F1"/>
    <w:rsid w:val="00022E13"/>
    <w:rsid w:val="0002627A"/>
    <w:rsid w:val="00027394"/>
    <w:rsid w:val="00027866"/>
    <w:rsid w:val="00027E49"/>
    <w:rsid w:val="00032388"/>
    <w:rsid w:val="000347CE"/>
    <w:rsid w:val="00035CE2"/>
    <w:rsid w:val="00035DDF"/>
    <w:rsid w:val="00044FC0"/>
    <w:rsid w:val="00050A67"/>
    <w:rsid w:val="0005265E"/>
    <w:rsid w:val="00053EE5"/>
    <w:rsid w:val="00053F1A"/>
    <w:rsid w:val="0005553B"/>
    <w:rsid w:val="000604D2"/>
    <w:rsid w:val="00061587"/>
    <w:rsid w:val="00065241"/>
    <w:rsid w:val="00065A45"/>
    <w:rsid w:val="000675A9"/>
    <w:rsid w:val="00067A2F"/>
    <w:rsid w:val="00070D7A"/>
    <w:rsid w:val="00071911"/>
    <w:rsid w:val="00071C2F"/>
    <w:rsid w:val="00074B12"/>
    <w:rsid w:val="000760DB"/>
    <w:rsid w:val="00080AD1"/>
    <w:rsid w:val="00081991"/>
    <w:rsid w:val="00081F01"/>
    <w:rsid w:val="00083587"/>
    <w:rsid w:val="0009005E"/>
    <w:rsid w:val="00090BFB"/>
    <w:rsid w:val="00090DFB"/>
    <w:rsid w:val="0009223E"/>
    <w:rsid w:val="000941C5"/>
    <w:rsid w:val="000971F9"/>
    <w:rsid w:val="00097202"/>
    <w:rsid w:val="00097549"/>
    <w:rsid w:val="00097FF2"/>
    <w:rsid w:val="000A37F0"/>
    <w:rsid w:val="000A6451"/>
    <w:rsid w:val="000A6E86"/>
    <w:rsid w:val="000A75E5"/>
    <w:rsid w:val="000B064E"/>
    <w:rsid w:val="000B0C7C"/>
    <w:rsid w:val="000B540F"/>
    <w:rsid w:val="000B5982"/>
    <w:rsid w:val="000B63CA"/>
    <w:rsid w:val="000B69CF"/>
    <w:rsid w:val="000B7357"/>
    <w:rsid w:val="000C1071"/>
    <w:rsid w:val="000C1E30"/>
    <w:rsid w:val="000C299B"/>
    <w:rsid w:val="000C5F5A"/>
    <w:rsid w:val="000C6DD5"/>
    <w:rsid w:val="000C788D"/>
    <w:rsid w:val="000C790C"/>
    <w:rsid w:val="000D051B"/>
    <w:rsid w:val="000D3AED"/>
    <w:rsid w:val="000D452C"/>
    <w:rsid w:val="000D5A7F"/>
    <w:rsid w:val="000E0375"/>
    <w:rsid w:val="000E0F36"/>
    <w:rsid w:val="000E3068"/>
    <w:rsid w:val="000E3BA0"/>
    <w:rsid w:val="000E435E"/>
    <w:rsid w:val="000E5FF6"/>
    <w:rsid w:val="000E7EE1"/>
    <w:rsid w:val="000F061D"/>
    <w:rsid w:val="000F1982"/>
    <w:rsid w:val="000F4794"/>
    <w:rsid w:val="000F522F"/>
    <w:rsid w:val="00100399"/>
    <w:rsid w:val="00100EF9"/>
    <w:rsid w:val="001010FC"/>
    <w:rsid w:val="00102C2B"/>
    <w:rsid w:val="00102E86"/>
    <w:rsid w:val="00105059"/>
    <w:rsid w:val="0010687E"/>
    <w:rsid w:val="001071C2"/>
    <w:rsid w:val="00107336"/>
    <w:rsid w:val="001144F0"/>
    <w:rsid w:val="00115838"/>
    <w:rsid w:val="00117E30"/>
    <w:rsid w:val="001224AC"/>
    <w:rsid w:val="00124F12"/>
    <w:rsid w:val="00126BAE"/>
    <w:rsid w:val="00126BC8"/>
    <w:rsid w:val="00126CDF"/>
    <w:rsid w:val="00133406"/>
    <w:rsid w:val="001347F7"/>
    <w:rsid w:val="00135A81"/>
    <w:rsid w:val="00141024"/>
    <w:rsid w:val="001417B4"/>
    <w:rsid w:val="00141C09"/>
    <w:rsid w:val="0014222F"/>
    <w:rsid w:val="00142604"/>
    <w:rsid w:val="00144E3A"/>
    <w:rsid w:val="00146F25"/>
    <w:rsid w:val="0015060C"/>
    <w:rsid w:val="00151100"/>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41C2"/>
    <w:rsid w:val="0017664C"/>
    <w:rsid w:val="00176684"/>
    <w:rsid w:val="0017676A"/>
    <w:rsid w:val="00177394"/>
    <w:rsid w:val="00180ABF"/>
    <w:rsid w:val="00180D56"/>
    <w:rsid w:val="0018216A"/>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6B0"/>
    <w:rsid w:val="001A2C8D"/>
    <w:rsid w:val="001A2E25"/>
    <w:rsid w:val="001A3C7F"/>
    <w:rsid w:val="001A3E35"/>
    <w:rsid w:val="001A4066"/>
    <w:rsid w:val="001A5131"/>
    <w:rsid w:val="001A6AE4"/>
    <w:rsid w:val="001A7068"/>
    <w:rsid w:val="001A769D"/>
    <w:rsid w:val="001A7B4C"/>
    <w:rsid w:val="001B01FD"/>
    <w:rsid w:val="001B4A71"/>
    <w:rsid w:val="001B4F16"/>
    <w:rsid w:val="001B595D"/>
    <w:rsid w:val="001C2E78"/>
    <w:rsid w:val="001C5B2B"/>
    <w:rsid w:val="001C612F"/>
    <w:rsid w:val="001D166B"/>
    <w:rsid w:val="001D1780"/>
    <w:rsid w:val="001D1BF6"/>
    <w:rsid w:val="001D390F"/>
    <w:rsid w:val="001D5B54"/>
    <w:rsid w:val="001D79C3"/>
    <w:rsid w:val="001D7D80"/>
    <w:rsid w:val="001E0C36"/>
    <w:rsid w:val="001E1DBF"/>
    <w:rsid w:val="001E3070"/>
    <w:rsid w:val="001E4639"/>
    <w:rsid w:val="001E4A7D"/>
    <w:rsid w:val="001F1D58"/>
    <w:rsid w:val="001F353A"/>
    <w:rsid w:val="001F4209"/>
    <w:rsid w:val="001F43A8"/>
    <w:rsid w:val="001F46CC"/>
    <w:rsid w:val="001F5007"/>
    <w:rsid w:val="001F54AB"/>
    <w:rsid w:val="001F5CD6"/>
    <w:rsid w:val="00200AE2"/>
    <w:rsid w:val="00200CC7"/>
    <w:rsid w:val="00202B5E"/>
    <w:rsid w:val="00202D9C"/>
    <w:rsid w:val="00204489"/>
    <w:rsid w:val="00206600"/>
    <w:rsid w:val="0020681D"/>
    <w:rsid w:val="00210D0B"/>
    <w:rsid w:val="002113D4"/>
    <w:rsid w:val="0021263D"/>
    <w:rsid w:val="00213F0C"/>
    <w:rsid w:val="00214094"/>
    <w:rsid w:val="0021592D"/>
    <w:rsid w:val="00215968"/>
    <w:rsid w:val="00215A98"/>
    <w:rsid w:val="00220098"/>
    <w:rsid w:val="00221C11"/>
    <w:rsid w:val="00222D76"/>
    <w:rsid w:val="00223EB0"/>
    <w:rsid w:val="00223EB1"/>
    <w:rsid w:val="002257D7"/>
    <w:rsid w:val="002259E6"/>
    <w:rsid w:val="002300E9"/>
    <w:rsid w:val="00231344"/>
    <w:rsid w:val="0023229E"/>
    <w:rsid w:val="00233198"/>
    <w:rsid w:val="0023436E"/>
    <w:rsid w:val="002347C0"/>
    <w:rsid w:val="002349E7"/>
    <w:rsid w:val="00241A6C"/>
    <w:rsid w:val="0024252D"/>
    <w:rsid w:val="00242D2B"/>
    <w:rsid w:val="00244294"/>
    <w:rsid w:val="002475E3"/>
    <w:rsid w:val="00247D3C"/>
    <w:rsid w:val="00250B39"/>
    <w:rsid w:val="00251ADB"/>
    <w:rsid w:val="00252AAD"/>
    <w:rsid w:val="00256987"/>
    <w:rsid w:val="00262E2B"/>
    <w:rsid w:val="002640EA"/>
    <w:rsid w:val="00265573"/>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869A6"/>
    <w:rsid w:val="00287B63"/>
    <w:rsid w:val="0029066C"/>
    <w:rsid w:val="00294B19"/>
    <w:rsid w:val="00297969"/>
    <w:rsid w:val="002A1E1C"/>
    <w:rsid w:val="002A3E3E"/>
    <w:rsid w:val="002A50A8"/>
    <w:rsid w:val="002A60C9"/>
    <w:rsid w:val="002A7512"/>
    <w:rsid w:val="002B04AE"/>
    <w:rsid w:val="002B0982"/>
    <w:rsid w:val="002B10D4"/>
    <w:rsid w:val="002B1263"/>
    <w:rsid w:val="002B50DB"/>
    <w:rsid w:val="002B5958"/>
    <w:rsid w:val="002B7BBF"/>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E559B"/>
    <w:rsid w:val="002F22AC"/>
    <w:rsid w:val="002F324C"/>
    <w:rsid w:val="002F4B22"/>
    <w:rsid w:val="002F5B9B"/>
    <w:rsid w:val="002F5FDC"/>
    <w:rsid w:val="002F7078"/>
    <w:rsid w:val="002F759C"/>
    <w:rsid w:val="002F78C8"/>
    <w:rsid w:val="003006CA"/>
    <w:rsid w:val="00301CF3"/>
    <w:rsid w:val="003021D3"/>
    <w:rsid w:val="0030288C"/>
    <w:rsid w:val="003032C1"/>
    <w:rsid w:val="00303F8C"/>
    <w:rsid w:val="003040EA"/>
    <w:rsid w:val="00304FC1"/>
    <w:rsid w:val="0030594D"/>
    <w:rsid w:val="00305FF9"/>
    <w:rsid w:val="00306656"/>
    <w:rsid w:val="00312C59"/>
    <w:rsid w:val="00317C67"/>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56F6F"/>
    <w:rsid w:val="00360FBC"/>
    <w:rsid w:val="00362478"/>
    <w:rsid w:val="0036369F"/>
    <w:rsid w:val="00363EF3"/>
    <w:rsid w:val="003654F7"/>
    <w:rsid w:val="00370642"/>
    <w:rsid w:val="00373910"/>
    <w:rsid w:val="00375B25"/>
    <w:rsid w:val="003763D4"/>
    <w:rsid w:val="003807FF"/>
    <w:rsid w:val="0038132C"/>
    <w:rsid w:val="003835E3"/>
    <w:rsid w:val="00384E2B"/>
    <w:rsid w:val="00386488"/>
    <w:rsid w:val="003864FE"/>
    <w:rsid w:val="00386DB2"/>
    <w:rsid w:val="003878A9"/>
    <w:rsid w:val="00387D44"/>
    <w:rsid w:val="00390D8B"/>
    <w:rsid w:val="00391748"/>
    <w:rsid w:val="003926E0"/>
    <w:rsid w:val="00394313"/>
    <w:rsid w:val="00394D82"/>
    <w:rsid w:val="0039602B"/>
    <w:rsid w:val="00396542"/>
    <w:rsid w:val="0039685B"/>
    <w:rsid w:val="003968DF"/>
    <w:rsid w:val="003A0AA3"/>
    <w:rsid w:val="003A31A6"/>
    <w:rsid w:val="003A3C61"/>
    <w:rsid w:val="003A60AB"/>
    <w:rsid w:val="003A6A3C"/>
    <w:rsid w:val="003A7F0C"/>
    <w:rsid w:val="003A7F55"/>
    <w:rsid w:val="003A7F79"/>
    <w:rsid w:val="003B1220"/>
    <w:rsid w:val="003B20EC"/>
    <w:rsid w:val="003B2A0F"/>
    <w:rsid w:val="003B426E"/>
    <w:rsid w:val="003B5BF0"/>
    <w:rsid w:val="003B6404"/>
    <w:rsid w:val="003B67A2"/>
    <w:rsid w:val="003B67D0"/>
    <w:rsid w:val="003B6F39"/>
    <w:rsid w:val="003B787E"/>
    <w:rsid w:val="003C06BD"/>
    <w:rsid w:val="003C32B0"/>
    <w:rsid w:val="003C35C6"/>
    <w:rsid w:val="003C40A8"/>
    <w:rsid w:val="003C449B"/>
    <w:rsid w:val="003C6409"/>
    <w:rsid w:val="003D1AA2"/>
    <w:rsid w:val="003D21FF"/>
    <w:rsid w:val="003D698A"/>
    <w:rsid w:val="003D770B"/>
    <w:rsid w:val="003D7FEA"/>
    <w:rsid w:val="003E27A6"/>
    <w:rsid w:val="003E493E"/>
    <w:rsid w:val="003F0112"/>
    <w:rsid w:val="003F071A"/>
    <w:rsid w:val="003F160B"/>
    <w:rsid w:val="003F1E50"/>
    <w:rsid w:val="003F2843"/>
    <w:rsid w:val="003F29D0"/>
    <w:rsid w:val="003F4D77"/>
    <w:rsid w:val="003F66EA"/>
    <w:rsid w:val="003F7754"/>
    <w:rsid w:val="003F7D40"/>
    <w:rsid w:val="00400032"/>
    <w:rsid w:val="00400B5B"/>
    <w:rsid w:val="004056ED"/>
    <w:rsid w:val="00405A00"/>
    <w:rsid w:val="00410246"/>
    <w:rsid w:val="00411E90"/>
    <w:rsid w:val="00412FA3"/>
    <w:rsid w:val="00413396"/>
    <w:rsid w:val="004179DE"/>
    <w:rsid w:val="004179F4"/>
    <w:rsid w:val="00420870"/>
    <w:rsid w:val="004268F6"/>
    <w:rsid w:val="00427C10"/>
    <w:rsid w:val="0043100E"/>
    <w:rsid w:val="0043130A"/>
    <w:rsid w:val="00432422"/>
    <w:rsid w:val="00432D0C"/>
    <w:rsid w:val="00433584"/>
    <w:rsid w:val="00434111"/>
    <w:rsid w:val="0043791B"/>
    <w:rsid w:val="00440FC7"/>
    <w:rsid w:val="00441187"/>
    <w:rsid w:val="00441483"/>
    <w:rsid w:val="00441BCB"/>
    <w:rsid w:val="0044429E"/>
    <w:rsid w:val="00446BD2"/>
    <w:rsid w:val="0045176A"/>
    <w:rsid w:val="0045202F"/>
    <w:rsid w:val="00454439"/>
    <w:rsid w:val="00456332"/>
    <w:rsid w:val="00456663"/>
    <w:rsid w:val="00456A48"/>
    <w:rsid w:val="00461826"/>
    <w:rsid w:val="00462EF0"/>
    <w:rsid w:val="00466561"/>
    <w:rsid w:val="00467DD9"/>
    <w:rsid w:val="004704CE"/>
    <w:rsid w:val="004728D4"/>
    <w:rsid w:val="0047358D"/>
    <w:rsid w:val="00475AF2"/>
    <w:rsid w:val="004800F9"/>
    <w:rsid w:val="00481313"/>
    <w:rsid w:val="00481327"/>
    <w:rsid w:val="00483475"/>
    <w:rsid w:val="00486B38"/>
    <w:rsid w:val="004907B8"/>
    <w:rsid w:val="0049134A"/>
    <w:rsid w:val="00491694"/>
    <w:rsid w:val="004918A5"/>
    <w:rsid w:val="00492DFC"/>
    <w:rsid w:val="00492FDB"/>
    <w:rsid w:val="0049345F"/>
    <w:rsid w:val="00493584"/>
    <w:rsid w:val="004974E0"/>
    <w:rsid w:val="004A5266"/>
    <w:rsid w:val="004A58CB"/>
    <w:rsid w:val="004B0646"/>
    <w:rsid w:val="004B1333"/>
    <w:rsid w:val="004B1795"/>
    <w:rsid w:val="004B4F59"/>
    <w:rsid w:val="004B52C6"/>
    <w:rsid w:val="004B56DD"/>
    <w:rsid w:val="004B5B0C"/>
    <w:rsid w:val="004C020F"/>
    <w:rsid w:val="004C1AFD"/>
    <w:rsid w:val="004C49D2"/>
    <w:rsid w:val="004C4FE2"/>
    <w:rsid w:val="004C558B"/>
    <w:rsid w:val="004C6251"/>
    <w:rsid w:val="004C7A0E"/>
    <w:rsid w:val="004D0231"/>
    <w:rsid w:val="004D492F"/>
    <w:rsid w:val="004D526B"/>
    <w:rsid w:val="004D564C"/>
    <w:rsid w:val="004D5C7F"/>
    <w:rsid w:val="004E2E8D"/>
    <w:rsid w:val="004E3E78"/>
    <w:rsid w:val="004E42CD"/>
    <w:rsid w:val="004E59E1"/>
    <w:rsid w:val="004E6397"/>
    <w:rsid w:val="004E6B86"/>
    <w:rsid w:val="004E70A7"/>
    <w:rsid w:val="004F098F"/>
    <w:rsid w:val="004F1F88"/>
    <w:rsid w:val="004F304C"/>
    <w:rsid w:val="004F585C"/>
    <w:rsid w:val="004F5F1B"/>
    <w:rsid w:val="004F67DF"/>
    <w:rsid w:val="005006EF"/>
    <w:rsid w:val="00502374"/>
    <w:rsid w:val="005026E7"/>
    <w:rsid w:val="005037C5"/>
    <w:rsid w:val="005046D4"/>
    <w:rsid w:val="005060A1"/>
    <w:rsid w:val="00506F1D"/>
    <w:rsid w:val="00507009"/>
    <w:rsid w:val="0051005B"/>
    <w:rsid w:val="00514A1C"/>
    <w:rsid w:val="005156F3"/>
    <w:rsid w:val="00515B9E"/>
    <w:rsid w:val="00515F80"/>
    <w:rsid w:val="00516072"/>
    <w:rsid w:val="0051717A"/>
    <w:rsid w:val="00517DFF"/>
    <w:rsid w:val="00525A91"/>
    <w:rsid w:val="00527517"/>
    <w:rsid w:val="00530649"/>
    <w:rsid w:val="0053070D"/>
    <w:rsid w:val="00531404"/>
    <w:rsid w:val="00531FC8"/>
    <w:rsid w:val="005332EC"/>
    <w:rsid w:val="00534418"/>
    <w:rsid w:val="005353AB"/>
    <w:rsid w:val="00535E98"/>
    <w:rsid w:val="00540310"/>
    <w:rsid w:val="00542E6A"/>
    <w:rsid w:val="005450C6"/>
    <w:rsid w:val="00553AA3"/>
    <w:rsid w:val="005542A6"/>
    <w:rsid w:val="00554DE2"/>
    <w:rsid w:val="00554F08"/>
    <w:rsid w:val="00555391"/>
    <w:rsid w:val="005560BC"/>
    <w:rsid w:val="005573BE"/>
    <w:rsid w:val="00562633"/>
    <w:rsid w:val="00572700"/>
    <w:rsid w:val="005739B0"/>
    <w:rsid w:val="00574DB0"/>
    <w:rsid w:val="00576D97"/>
    <w:rsid w:val="00580468"/>
    <w:rsid w:val="00581EFA"/>
    <w:rsid w:val="00582231"/>
    <w:rsid w:val="00583C2A"/>
    <w:rsid w:val="00583F9F"/>
    <w:rsid w:val="0058435B"/>
    <w:rsid w:val="0058603B"/>
    <w:rsid w:val="00586B7F"/>
    <w:rsid w:val="00587093"/>
    <w:rsid w:val="00587C30"/>
    <w:rsid w:val="0059431B"/>
    <w:rsid w:val="005A38C3"/>
    <w:rsid w:val="005A39CC"/>
    <w:rsid w:val="005A44ED"/>
    <w:rsid w:val="005A5620"/>
    <w:rsid w:val="005A6055"/>
    <w:rsid w:val="005A6EF3"/>
    <w:rsid w:val="005B0D8F"/>
    <w:rsid w:val="005B4730"/>
    <w:rsid w:val="005B505C"/>
    <w:rsid w:val="005B67AF"/>
    <w:rsid w:val="005C0006"/>
    <w:rsid w:val="005C138A"/>
    <w:rsid w:val="005C4634"/>
    <w:rsid w:val="005D01D9"/>
    <w:rsid w:val="005D2C3C"/>
    <w:rsid w:val="005E05D7"/>
    <w:rsid w:val="005E12A5"/>
    <w:rsid w:val="005E3735"/>
    <w:rsid w:val="005E41E7"/>
    <w:rsid w:val="005E450F"/>
    <w:rsid w:val="005F0C0D"/>
    <w:rsid w:val="005F126D"/>
    <w:rsid w:val="005F2B04"/>
    <w:rsid w:val="005F3D9B"/>
    <w:rsid w:val="005F5FD1"/>
    <w:rsid w:val="0060390C"/>
    <w:rsid w:val="0060432A"/>
    <w:rsid w:val="00605497"/>
    <w:rsid w:val="00605916"/>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4FB4"/>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67739"/>
    <w:rsid w:val="006711FB"/>
    <w:rsid w:val="00672D31"/>
    <w:rsid w:val="00674572"/>
    <w:rsid w:val="006766C8"/>
    <w:rsid w:val="00677431"/>
    <w:rsid w:val="006806C9"/>
    <w:rsid w:val="0068411C"/>
    <w:rsid w:val="006849F5"/>
    <w:rsid w:val="00687763"/>
    <w:rsid w:val="0069161F"/>
    <w:rsid w:val="00692B0D"/>
    <w:rsid w:val="00692E1D"/>
    <w:rsid w:val="00693C78"/>
    <w:rsid w:val="00693E0E"/>
    <w:rsid w:val="00693FB6"/>
    <w:rsid w:val="006944E6"/>
    <w:rsid w:val="00695BB7"/>
    <w:rsid w:val="00697088"/>
    <w:rsid w:val="006A1AE3"/>
    <w:rsid w:val="006A3AC3"/>
    <w:rsid w:val="006A73C1"/>
    <w:rsid w:val="006B042F"/>
    <w:rsid w:val="006B0636"/>
    <w:rsid w:val="006B4929"/>
    <w:rsid w:val="006B6062"/>
    <w:rsid w:val="006B61F9"/>
    <w:rsid w:val="006B653F"/>
    <w:rsid w:val="006B7823"/>
    <w:rsid w:val="006C0F3B"/>
    <w:rsid w:val="006C30E1"/>
    <w:rsid w:val="006C3DE1"/>
    <w:rsid w:val="006C4607"/>
    <w:rsid w:val="006C5440"/>
    <w:rsid w:val="006C5E36"/>
    <w:rsid w:val="006D0440"/>
    <w:rsid w:val="006D0922"/>
    <w:rsid w:val="006D2766"/>
    <w:rsid w:val="006D45B8"/>
    <w:rsid w:val="006D48F1"/>
    <w:rsid w:val="006D6CFB"/>
    <w:rsid w:val="006D7E24"/>
    <w:rsid w:val="006E0518"/>
    <w:rsid w:val="006E0CDD"/>
    <w:rsid w:val="006E1540"/>
    <w:rsid w:val="006E3008"/>
    <w:rsid w:val="006E5458"/>
    <w:rsid w:val="006E5AF5"/>
    <w:rsid w:val="006E70BE"/>
    <w:rsid w:val="006E7E91"/>
    <w:rsid w:val="006F0F87"/>
    <w:rsid w:val="006F2B0F"/>
    <w:rsid w:val="006F3F60"/>
    <w:rsid w:val="006F45BE"/>
    <w:rsid w:val="007004FC"/>
    <w:rsid w:val="00701CA0"/>
    <w:rsid w:val="0070251A"/>
    <w:rsid w:val="00702E68"/>
    <w:rsid w:val="00706670"/>
    <w:rsid w:val="00710D2A"/>
    <w:rsid w:val="00711F59"/>
    <w:rsid w:val="0072417C"/>
    <w:rsid w:val="00724502"/>
    <w:rsid w:val="00724E19"/>
    <w:rsid w:val="00725E39"/>
    <w:rsid w:val="007319F1"/>
    <w:rsid w:val="00734450"/>
    <w:rsid w:val="00734E33"/>
    <w:rsid w:val="00737B70"/>
    <w:rsid w:val="00741006"/>
    <w:rsid w:val="00742FF9"/>
    <w:rsid w:val="0074436E"/>
    <w:rsid w:val="00745F67"/>
    <w:rsid w:val="00745FEE"/>
    <w:rsid w:val="00747903"/>
    <w:rsid w:val="0075039E"/>
    <w:rsid w:val="00750B0F"/>
    <w:rsid w:val="00752D9D"/>
    <w:rsid w:val="00754784"/>
    <w:rsid w:val="00756245"/>
    <w:rsid w:val="007579A0"/>
    <w:rsid w:val="00757C6E"/>
    <w:rsid w:val="00762BDA"/>
    <w:rsid w:val="00765346"/>
    <w:rsid w:val="007666F9"/>
    <w:rsid w:val="00770284"/>
    <w:rsid w:val="007736F1"/>
    <w:rsid w:val="00774AE2"/>
    <w:rsid w:val="00775D69"/>
    <w:rsid w:val="00777387"/>
    <w:rsid w:val="00777543"/>
    <w:rsid w:val="007805FD"/>
    <w:rsid w:val="00783474"/>
    <w:rsid w:val="007839BC"/>
    <w:rsid w:val="00784422"/>
    <w:rsid w:val="00784CE4"/>
    <w:rsid w:val="0079000A"/>
    <w:rsid w:val="00793C37"/>
    <w:rsid w:val="00795859"/>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0E00"/>
    <w:rsid w:val="007B2596"/>
    <w:rsid w:val="007B2CB6"/>
    <w:rsid w:val="007B3B54"/>
    <w:rsid w:val="007B3FA0"/>
    <w:rsid w:val="007B4BC6"/>
    <w:rsid w:val="007C01F1"/>
    <w:rsid w:val="007C0F2C"/>
    <w:rsid w:val="007C2BCC"/>
    <w:rsid w:val="007C35B2"/>
    <w:rsid w:val="007C4EF0"/>
    <w:rsid w:val="007C79AF"/>
    <w:rsid w:val="007D099D"/>
    <w:rsid w:val="007D0D7E"/>
    <w:rsid w:val="007D39BA"/>
    <w:rsid w:val="007D7BA1"/>
    <w:rsid w:val="007E2664"/>
    <w:rsid w:val="007E3ABF"/>
    <w:rsid w:val="007E44C5"/>
    <w:rsid w:val="007E5BFA"/>
    <w:rsid w:val="007E6689"/>
    <w:rsid w:val="007E731C"/>
    <w:rsid w:val="007F0A03"/>
    <w:rsid w:val="007F2F05"/>
    <w:rsid w:val="007F517A"/>
    <w:rsid w:val="007F63CB"/>
    <w:rsid w:val="007F7EAD"/>
    <w:rsid w:val="008042B2"/>
    <w:rsid w:val="00810040"/>
    <w:rsid w:val="00810A3A"/>
    <w:rsid w:val="00810B2F"/>
    <w:rsid w:val="0081257D"/>
    <w:rsid w:val="0081292B"/>
    <w:rsid w:val="00812A25"/>
    <w:rsid w:val="00813AC1"/>
    <w:rsid w:val="008164C8"/>
    <w:rsid w:val="0082007B"/>
    <w:rsid w:val="008201D2"/>
    <w:rsid w:val="0082023A"/>
    <w:rsid w:val="008215B8"/>
    <w:rsid w:val="00821A7A"/>
    <w:rsid w:val="0082310C"/>
    <w:rsid w:val="008237B0"/>
    <w:rsid w:val="00823882"/>
    <w:rsid w:val="00825190"/>
    <w:rsid w:val="008253F8"/>
    <w:rsid w:val="00826B74"/>
    <w:rsid w:val="00826C67"/>
    <w:rsid w:val="00826F98"/>
    <w:rsid w:val="008325E4"/>
    <w:rsid w:val="00832A2B"/>
    <w:rsid w:val="00834CA6"/>
    <w:rsid w:val="00834DA0"/>
    <w:rsid w:val="008373E6"/>
    <w:rsid w:val="0083777F"/>
    <w:rsid w:val="00842B02"/>
    <w:rsid w:val="008433E8"/>
    <w:rsid w:val="00843A2D"/>
    <w:rsid w:val="00845811"/>
    <w:rsid w:val="00845CA5"/>
    <w:rsid w:val="00846994"/>
    <w:rsid w:val="00846C48"/>
    <w:rsid w:val="00847023"/>
    <w:rsid w:val="0084741A"/>
    <w:rsid w:val="00850451"/>
    <w:rsid w:val="00852042"/>
    <w:rsid w:val="008534C9"/>
    <w:rsid w:val="008547A5"/>
    <w:rsid w:val="0085599D"/>
    <w:rsid w:val="00855FF4"/>
    <w:rsid w:val="00856FD0"/>
    <w:rsid w:val="00861813"/>
    <w:rsid w:val="00863340"/>
    <w:rsid w:val="0086587D"/>
    <w:rsid w:val="00867465"/>
    <w:rsid w:val="00870547"/>
    <w:rsid w:val="00870D1A"/>
    <w:rsid w:val="0087510C"/>
    <w:rsid w:val="00877405"/>
    <w:rsid w:val="00880C36"/>
    <w:rsid w:val="00881B32"/>
    <w:rsid w:val="00883DA1"/>
    <w:rsid w:val="00890442"/>
    <w:rsid w:val="008938F6"/>
    <w:rsid w:val="00893E73"/>
    <w:rsid w:val="008954AF"/>
    <w:rsid w:val="008968D2"/>
    <w:rsid w:val="00897269"/>
    <w:rsid w:val="0089738E"/>
    <w:rsid w:val="008A05B8"/>
    <w:rsid w:val="008A0753"/>
    <w:rsid w:val="008A7B89"/>
    <w:rsid w:val="008B4465"/>
    <w:rsid w:val="008B50FF"/>
    <w:rsid w:val="008B5FDB"/>
    <w:rsid w:val="008B6B16"/>
    <w:rsid w:val="008C2F07"/>
    <w:rsid w:val="008C3F78"/>
    <w:rsid w:val="008C43AD"/>
    <w:rsid w:val="008C50F4"/>
    <w:rsid w:val="008C5649"/>
    <w:rsid w:val="008D632E"/>
    <w:rsid w:val="008E44A2"/>
    <w:rsid w:val="008E697D"/>
    <w:rsid w:val="008F1A6E"/>
    <w:rsid w:val="008F6857"/>
    <w:rsid w:val="008F6991"/>
    <w:rsid w:val="0090267E"/>
    <w:rsid w:val="009030FB"/>
    <w:rsid w:val="00903263"/>
    <w:rsid w:val="009032AB"/>
    <w:rsid w:val="00906989"/>
    <w:rsid w:val="00906A21"/>
    <w:rsid w:val="009079C3"/>
    <w:rsid w:val="00907EF2"/>
    <w:rsid w:val="00910462"/>
    <w:rsid w:val="00913A19"/>
    <w:rsid w:val="00915AB1"/>
    <w:rsid w:val="00917532"/>
    <w:rsid w:val="00917600"/>
    <w:rsid w:val="009202D1"/>
    <w:rsid w:val="00920E7B"/>
    <w:rsid w:val="009235BA"/>
    <w:rsid w:val="00924023"/>
    <w:rsid w:val="00924CE2"/>
    <w:rsid w:val="00925B63"/>
    <w:rsid w:val="00925B9F"/>
    <w:rsid w:val="00927150"/>
    <w:rsid w:val="009275AC"/>
    <w:rsid w:val="009309EB"/>
    <w:rsid w:val="00931AED"/>
    <w:rsid w:val="00932431"/>
    <w:rsid w:val="00937644"/>
    <w:rsid w:val="009428E7"/>
    <w:rsid w:val="00943042"/>
    <w:rsid w:val="00945766"/>
    <w:rsid w:val="00945D2C"/>
    <w:rsid w:val="009476A3"/>
    <w:rsid w:val="0095334F"/>
    <w:rsid w:val="0095423D"/>
    <w:rsid w:val="00954D8F"/>
    <w:rsid w:val="0095614A"/>
    <w:rsid w:val="009563FF"/>
    <w:rsid w:val="00956870"/>
    <w:rsid w:val="00956C8B"/>
    <w:rsid w:val="0096336F"/>
    <w:rsid w:val="00964673"/>
    <w:rsid w:val="009656DE"/>
    <w:rsid w:val="00965897"/>
    <w:rsid w:val="0096765C"/>
    <w:rsid w:val="00967848"/>
    <w:rsid w:val="009714D2"/>
    <w:rsid w:val="00971852"/>
    <w:rsid w:val="009727E4"/>
    <w:rsid w:val="00974399"/>
    <w:rsid w:val="00975C3A"/>
    <w:rsid w:val="0097750A"/>
    <w:rsid w:val="00980BF4"/>
    <w:rsid w:val="009864BB"/>
    <w:rsid w:val="0098773B"/>
    <w:rsid w:val="00987B16"/>
    <w:rsid w:val="00990AB2"/>
    <w:rsid w:val="00990C38"/>
    <w:rsid w:val="00992E99"/>
    <w:rsid w:val="009934C5"/>
    <w:rsid w:val="00994386"/>
    <w:rsid w:val="009945B8"/>
    <w:rsid w:val="00994C0F"/>
    <w:rsid w:val="009A0027"/>
    <w:rsid w:val="009A33ED"/>
    <w:rsid w:val="009A6B0C"/>
    <w:rsid w:val="009A7205"/>
    <w:rsid w:val="009B118C"/>
    <w:rsid w:val="009B22D7"/>
    <w:rsid w:val="009B2A92"/>
    <w:rsid w:val="009B4270"/>
    <w:rsid w:val="009B72ED"/>
    <w:rsid w:val="009C1B9C"/>
    <w:rsid w:val="009C30E0"/>
    <w:rsid w:val="009C5659"/>
    <w:rsid w:val="009C6DEB"/>
    <w:rsid w:val="009D022D"/>
    <w:rsid w:val="009D27A6"/>
    <w:rsid w:val="009D4EF6"/>
    <w:rsid w:val="009D6504"/>
    <w:rsid w:val="009E1204"/>
    <w:rsid w:val="009E12D7"/>
    <w:rsid w:val="009E159A"/>
    <w:rsid w:val="009E1AA1"/>
    <w:rsid w:val="009E242E"/>
    <w:rsid w:val="009E3160"/>
    <w:rsid w:val="009E4BD1"/>
    <w:rsid w:val="009E661A"/>
    <w:rsid w:val="009E6A34"/>
    <w:rsid w:val="009E6C0C"/>
    <w:rsid w:val="009F0513"/>
    <w:rsid w:val="009F1276"/>
    <w:rsid w:val="009F15E6"/>
    <w:rsid w:val="009F5710"/>
    <w:rsid w:val="009F755E"/>
    <w:rsid w:val="009F7D7D"/>
    <w:rsid w:val="00A00B9B"/>
    <w:rsid w:val="00A01B80"/>
    <w:rsid w:val="00A0461C"/>
    <w:rsid w:val="00A05E77"/>
    <w:rsid w:val="00A06077"/>
    <w:rsid w:val="00A06781"/>
    <w:rsid w:val="00A074C3"/>
    <w:rsid w:val="00A100ED"/>
    <w:rsid w:val="00A101CC"/>
    <w:rsid w:val="00A102CE"/>
    <w:rsid w:val="00A1367E"/>
    <w:rsid w:val="00A1509C"/>
    <w:rsid w:val="00A16653"/>
    <w:rsid w:val="00A228CD"/>
    <w:rsid w:val="00A238AE"/>
    <w:rsid w:val="00A249B9"/>
    <w:rsid w:val="00A25063"/>
    <w:rsid w:val="00A26187"/>
    <w:rsid w:val="00A27177"/>
    <w:rsid w:val="00A31A9E"/>
    <w:rsid w:val="00A31F77"/>
    <w:rsid w:val="00A34260"/>
    <w:rsid w:val="00A370C8"/>
    <w:rsid w:val="00A43390"/>
    <w:rsid w:val="00A4727A"/>
    <w:rsid w:val="00A50873"/>
    <w:rsid w:val="00A513CA"/>
    <w:rsid w:val="00A5160D"/>
    <w:rsid w:val="00A523F9"/>
    <w:rsid w:val="00A549E0"/>
    <w:rsid w:val="00A55B57"/>
    <w:rsid w:val="00A5727C"/>
    <w:rsid w:val="00A57CF8"/>
    <w:rsid w:val="00A6048E"/>
    <w:rsid w:val="00A63203"/>
    <w:rsid w:val="00A648A4"/>
    <w:rsid w:val="00A64B67"/>
    <w:rsid w:val="00A65338"/>
    <w:rsid w:val="00A67B6A"/>
    <w:rsid w:val="00A70CFD"/>
    <w:rsid w:val="00A72A0B"/>
    <w:rsid w:val="00A72CAB"/>
    <w:rsid w:val="00A73151"/>
    <w:rsid w:val="00A77022"/>
    <w:rsid w:val="00A77110"/>
    <w:rsid w:val="00A77DBB"/>
    <w:rsid w:val="00A77F80"/>
    <w:rsid w:val="00A81E42"/>
    <w:rsid w:val="00A82F8D"/>
    <w:rsid w:val="00A83620"/>
    <w:rsid w:val="00A840D5"/>
    <w:rsid w:val="00A8481B"/>
    <w:rsid w:val="00A864FE"/>
    <w:rsid w:val="00A86F41"/>
    <w:rsid w:val="00A8776B"/>
    <w:rsid w:val="00A87A48"/>
    <w:rsid w:val="00A87D04"/>
    <w:rsid w:val="00A950C5"/>
    <w:rsid w:val="00A955A3"/>
    <w:rsid w:val="00A95777"/>
    <w:rsid w:val="00A97749"/>
    <w:rsid w:val="00AA16DE"/>
    <w:rsid w:val="00AA1BF0"/>
    <w:rsid w:val="00AA1D25"/>
    <w:rsid w:val="00AA370A"/>
    <w:rsid w:val="00AA4189"/>
    <w:rsid w:val="00AA51C5"/>
    <w:rsid w:val="00AA5F6B"/>
    <w:rsid w:val="00AB1ED0"/>
    <w:rsid w:val="00AB2B1A"/>
    <w:rsid w:val="00AB397F"/>
    <w:rsid w:val="00AB54FD"/>
    <w:rsid w:val="00AB5832"/>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162A"/>
    <w:rsid w:val="00AF2549"/>
    <w:rsid w:val="00AF2942"/>
    <w:rsid w:val="00AF35E4"/>
    <w:rsid w:val="00AF5CDE"/>
    <w:rsid w:val="00AF6A09"/>
    <w:rsid w:val="00AF7440"/>
    <w:rsid w:val="00B032F8"/>
    <w:rsid w:val="00B07425"/>
    <w:rsid w:val="00B07B64"/>
    <w:rsid w:val="00B11A57"/>
    <w:rsid w:val="00B13AD1"/>
    <w:rsid w:val="00B13C8A"/>
    <w:rsid w:val="00B14D9F"/>
    <w:rsid w:val="00B1533C"/>
    <w:rsid w:val="00B162F5"/>
    <w:rsid w:val="00B164AB"/>
    <w:rsid w:val="00B17E83"/>
    <w:rsid w:val="00B20436"/>
    <w:rsid w:val="00B205C0"/>
    <w:rsid w:val="00B211C3"/>
    <w:rsid w:val="00B21C0E"/>
    <w:rsid w:val="00B2262C"/>
    <w:rsid w:val="00B248D6"/>
    <w:rsid w:val="00B25597"/>
    <w:rsid w:val="00B25658"/>
    <w:rsid w:val="00B267B9"/>
    <w:rsid w:val="00B30048"/>
    <w:rsid w:val="00B32AAA"/>
    <w:rsid w:val="00B33E09"/>
    <w:rsid w:val="00B3594E"/>
    <w:rsid w:val="00B40930"/>
    <w:rsid w:val="00B40D37"/>
    <w:rsid w:val="00B41A9A"/>
    <w:rsid w:val="00B4248B"/>
    <w:rsid w:val="00B4663A"/>
    <w:rsid w:val="00B50708"/>
    <w:rsid w:val="00B50C68"/>
    <w:rsid w:val="00B51293"/>
    <w:rsid w:val="00B52B1E"/>
    <w:rsid w:val="00B55481"/>
    <w:rsid w:val="00B56C32"/>
    <w:rsid w:val="00B56D61"/>
    <w:rsid w:val="00B57ACF"/>
    <w:rsid w:val="00B61E4D"/>
    <w:rsid w:val="00B62845"/>
    <w:rsid w:val="00B628DB"/>
    <w:rsid w:val="00B64BB1"/>
    <w:rsid w:val="00B7276F"/>
    <w:rsid w:val="00B73166"/>
    <w:rsid w:val="00B73D56"/>
    <w:rsid w:val="00B74379"/>
    <w:rsid w:val="00B75648"/>
    <w:rsid w:val="00B8426C"/>
    <w:rsid w:val="00B84642"/>
    <w:rsid w:val="00B85104"/>
    <w:rsid w:val="00B86462"/>
    <w:rsid w:val="00B866A4"/>
    <w:rsid w:val="00B87C51"/>
    <w:rsid w:val="00B9193F"/>
    <w:rsid w:val="00B91B8D"/>
    <w:rsid w:val="00B93597"/>
    <w:rsid w:val="00B94E90"/>
    <w:rsid w:val="00BA569A"/>
    <w:rsid w:val="00BA64D3"/>
    <w:rsid w:val="00BA7CAD"/>
    <w:rsid w:val="00BB0A82"/>
    <w:rsid w:val="00BB4EB4"/>
    <w:rsid w:val="00BB6EA1"/>
    <w:rsid w:val="00BB7C94"/>
    <w:rsid w:val="00BC0A9D"/>
    <w:rsid w:val="00BC33E2"/>
    <w:rsid w:val="00BC4536"/>
    <w:rsid w:val="00BC54D5"/>
    <w:rsid w:val="00BC67EA"/>
    <w:rsid w:val="00BC6928"/>
    <w:rsid w:val="00BD02BB"/>
    <w:rsid w:val="00BD050A"/>
    <w:rsid w:val="00BD0F53"/>
    <w:rsid w:val="00BD3413"/>
    <w:rsid w:val="00BD3D8C"/>
    <w:rsid w:val="00BD494D"/>
    <w:rsid w:val="00BD4D26"/>
    <w:rsid w:val="00BD51AD"/>
    <w:rsid w:val="00BD5A4C"/>
    <w:rsid w:val="00BD7064"/>
    <w:rsid w:val="00BD7A1F"/>
    <w:rsid w:val="00BE1763"/>
    <w:rsid w:val="00BE17D8"/>
    <w:rsid w:val="00BE1959"/>
    <w:rsid w:val="00BE5530"/>
    <w:rsid w:val="00BF40ED"/>
    <w:rsid w:val="00BF43FE"/>
    <w:rsid w:val="00BF4B68"/>
    <w:rsid w:val="00BF5BC2"/>
    <w:rsid w:val="00BF75BE"/>
    <w:rsid w:val="00C10939"/>
    <w:rsid w:val="00C109F4"/>
    <w:rsid w:val="00C10EA6"/>
    <w:rsid w:val="00C1133D"/>
    <w:rsid w:val="00C143E5"/>
    <w:rsid w:val="00C16414"/>
    <w:rsid w:val="00C255EE"/>
    <w:rsid w:val="00C27A08"/>
    <w:rsid w:val="00C31312"/>
    <w:rsid w:val="00C31E36"/>
    <w:rsid w:val="00C31EE7"/>
    <w:rsid w:val="00C326C6"/>
    <w:rsid w:val="00C33ACD"/>
    <w:rsid w:val="00C35295"/>
    <w:rsid w:val="00C36837"/>
    <w:rsid w:val="00C368D6"/>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54D0"/>
    <w:rsid w:val="00C56964"/>
    <w:rsid w:val="00C56EE7"/>
    <w:rsid w:val="00C656D5"/>
    <w:rsid w:val="00C66AC9"/>
    <w:rsid w:val="00C67103"/>
    <w:rsid w:val="00C67F4C"/>
    <w:rsid w:val="00C703F3"/>
    <w:rsid w:val="00C71BB9"/>
    <w:rsid w:val="00C736FB"/>
    <w:rsid w:val="00C74DEE"/>
    <w:rsid w:val="00C7762C"/>
    <w:rsid w:val="00C82A12"/>
    <w:rsid w:val="00C8306B"/>
    <w:rsid w:val="00C85C2D"/>
    <w:rsid w:val="00C86A9A"/>
    <w:rsid w:val="00C87A3D"/>
    <w:rsid w:val="00C945FA"/>
    <w:rsid w:val="00C94613"/>
    <w:rsid w:val="00C94C28"/>
    <w:rsid w:val="00C95F30"/>
    <w:rsid w:val="00CA15AA"/>
    <w:rsid w:val="00CA2B59"/>
    <w:rsid w:val="00CA569B"/>
    <w:rsid w:val="00CA71A3"/>
    <w:rsid w:val="00CB0247"/>
    <w:rsid w:val="00CB0985"/>
    <w:rsid w:val="00CB0A64"/>
    <w:rsid w:val="00CB2E40"/>
    <w:rsid w:val="00CB3440"/>
    <w:rsid w:val="00CB3FC2"/>
    <w:rsid w:val="00CB4084"/>
    <w:rsid w:val="00CB5188"/>
    <w:rsid w:val="00CB616A"/>
    <w:rsid w:val="00CB66F6"/>
    <w:rsid w:val="00CB67C8"/>
    <w:rsid w:val="00CB7479"/>
    <w:rsid w:val="00CC1692"/>
    <w:rsid w:val="00CC747D"/>
    <w:rsid w:val="00CC7AC4"/>
    <w:rsid w:val="00CD138B"/>
    <w:rsid w:val="00CD223F"/>
    <w:rsid w:val="00CD3E31"/>
    <w:rsid w:val="00CD617D"/>
    <w:rsid w:val="00CD6C0B"/>
    <w:rsid w:val="00CD7117"/>
    <w:rsid w:val="00CD74A3"/>
    <w:rsid w:val="00CE0527"/>
    <w:rsid w:val="00CE1668"/>
    <w:rsid w:val="00CE1DEE"/>
    <w:rsid w:val="00CE2631"/>
    <w:rsid w:val="00CE27C5"/>
    <w:rsid w:val="00CE30D0"/>
    <w:rsid w:val="00CE50A6"/>
    <w:rsid w:val="00CE5B23"/>
    <w:rsid w:val="00CF1D94"/>
    <w:rsid w:val="00CF4ADC"/>
    <w:rsid w:val="00CF573B"/>
    <w:rsid w:val="00CF65CE"/>
    <w:rsid w:val="00CF70AD"/>
    <w:rsid w:val="00CF76ED"/>
    <w:rsid w:val="00CF7729"/>
    <w:rsid w:val="00CF7C93"/>
    <w:rsid w:val="00D00059"/>
    <w:rsid w:val="00D009CE"/>
    <w:rsid w:val="00D02F34"/>
    <w:rsid w:val="00D0487F"/>
    <w:rsid w:val="00D05BA6"/>
    <w:rsid w:val="00D07558"/>
    <w:rsid w:val="00D107FA"/>
    <w:rsid w:val="00D11555"/>
    <w:rsid w:val="00D115B5"/>
    <w:rsid w:val="00D12275"/>
    <w:rsid w:val="00D12766"/>
    <w:rsid w:val="00D12AB6"/>
    <w:rsid w:val="00D1354D"/>
    <w:rsid w:val="00D154E5"/>
    <w:rsid w:val="00D20E4E"/>
    <w:rsid w:val="00D20FF4"/>
    <w:rsid w:val="00D212D8"/>
    <w:rsid w:val="00D22B0E"/>
    <w:rsid w:val="00D22C26"/>
    <w:rsid w:val="00D24D2C"/>
    <w:rsid w:val="00D26C68"/>
    <w:rsid w:val="00D271E8"/>
    <w:rsid w:val="00D34B3F"/>
    <w:rsid w:val="00D35881"/>
    <w:rsid w:val="00D36916"/>
    <w:rsid w:val="00D426A5"/>
    <w:rsid w:val="00D442BD"/>
    <w:rsid w:val="00D44A23"/>
    <w:rsid w:val="00D45BCD"/>
    <w:rsid w:val="00D4659D"/>
    <w:rsid w:val="00D479AF"/>
    <w:rsid w:val="00D47F67"/>
    <w:rsid w:val="00D512BD"/>
    <w:rsid w:val="00D55399"/>
    <w:rsid w:val="00D55859"/>
    <w:rsid w:val="00D564E9"/>
    <w:rsid w:val="00D57DEC"/>
    <w:rsid w:val="00D606B2"/>
    <w:rsid w:val="00D60FCD"/>
    <w:rsid w:val="00D6357E"/>
    <w:rsid w:val="00D71E21"/>
    <w:rsid w:val="00D725EA"/>
    <w:rsid w:val="00D72CD1"/>
    <w:rsid w:val="00D736C3"/>
    <w:rsid w:val="00D73C93"/>
    <w:rsid w:val="00D76573"/>
    <w:rsid w:val="00D80414"/>
    <w:rsid w:val="00D805F0"/>
    <w:rsid w:val="00D81427"/>
    <w:rsid w:val="00D83214"/>
    <w:rsid w:val="00D83E21"/>
    <w:rsid w:val="00D8737F"/>
    <w:rsid w:val="00D874C5"/>
    <w:rsid w:val="00D901A0"/>
    <w:rsid w:val="00D902ED"/>
    <w:rsid w:val="00D91CF6"/>
    <w:rsid w:val="00D920E7"/>
    <w:rsid w:val="00D92E2F"/>
    <w:rsid w:val="00D93B58"/>
    <w:rsid w:val="00D9438B"/>
    <w:rsid w:val="00DA2241"/>
    <w:rsid w:val="00DA5C2E"/>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E43"/>
    <w:rsid w:val="00DC34AC"/>
    <w:rsid w:val="00DC55A3"/>
    <w:rsid w:val="00DC7F07"/>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C56"/>
    <w:rsid w:val="00DE4D02"/>
    <w:rsid w:val="00DE4E10"/>
    <w:rsid w:val="00DE7083"/>
    <w:rsid w:val="00DE7843"/>
    <w:rsid w:val="00DE7949"/>
    <w:rsid w:val="00DF0623"/>
    <w:rsid w:val="00DF0A05"/>
    <w:rsid w:val="00DF2905"/>
    <w:rsid w:val="00DF2B15"/>
    <w:rsid w:val="00DF4689"/>
    <w:rsid w:val="00DF5AF9"/>
    <w:rsid w:val="00DF6797"/>
    <w:rsid w:val="00DF6A1A"/>
    <w:rsid w:val="00E00E03"/>
    <w:rsid w:val="00E02ABF"/>
    <w:rsid w:val="00E0557E"/>
    <w:rsid w:val="00E1023A"/>
    <w:rsid w:val="00E125D0"/>
    <w:rsid w:val="00E14995"/>
    <w:rsid w:val="00E150D0"/>
    <w:rsid w:val="00E1642A"/>
    <w:rsid w:val="00E166B0"/>
    <w:rsid w:val="00E179CD"/>
    <w:rsid w:val="00E20341"/>
    <w:rsid w:val="00E20769"/>
    <w:rsid w:val="00E20F2C"/>
    <w:rsid w:val="00E2184F"/>
    <w:rsid w:val="00E218E6"/>
    <w:rsid w:val="00E23250"/>
    <w:rsid w:val="00E23E8D"/>
    <w:rsid w:val="00E246E3"/>
    <w:rsid w:val="00E252F3"/>
    <w:rsid w:val="00E253EB"/>
    <w:rsid w:val="00E25D1C"/>
    <w:rsid w:val="00E30E9F"/>
    <w:rsid w:val="00E311A3"/>
    <w:rsid w:val="00E37F98"/>
    <w:rsid w:val="00E409BA"/>
    <w:rsid w:val="00E40DCA"/>
    <w:rsid w:val="00E41CDE"/>
    <w:rsid w:val="00E44F13"/>
    <w:rsid w:val="00E462E7"/>
    <w:rsid w:val="00E46559"/>
    <w:rsid w:val="00E5022C"/>
    <w:rsid w:val="00E576F4"/>
    <w:rsid w:val="00E62175"/>
    <w:rsid w:val="00E6670C"/>
    <w:rsid w:val="00E71884"/>
    <w:rsid w:val="00E7437E"/>
    <w:rsid w:val="00E744B2"/>
    <w:rsid w:val="00E755F3"/>
    <w:rsid w:val="00E776E8"/>
    <w:rsid w:val="00E80835"/>
    <w:rsid w:val="00E826C5"/>
    <w:rsid w:val="00E83AD7"/>
    <w:rsid w:val="00E86AD5"/>
    <w:rsid w:val="00E92C1F"/>
    <w:rsid w:val="00E94DA1"/>
    <w:rsid w:val="00E95D4B"/>
    <w:rsid w:val="00E96E3C"/>
    <w:rsid w:val="00EA02AF"/>
    <w:rsid w:val="00EA0DE7"/>
    <w:rsid w:val="00EA20DE"/>
    <w:rsid w:val="00EA3187"/>
    <w:rsid w:val="00EA3C1F"/>
    <w:rsid w:val="00EA4241"/>
    <w:rsid w:val="00EA5176"/>
    <w:rsid w:val="00EA5325"/>
    <w:rsid w:val="00EA6728"/>
    <w:rsid w:val="00EA688A"/>
    <w:rsid w:val="00EA6D0E"/>
    <w:rsid w:val="00EA6E89"/>
    <w:rsid w:val="00EA76B8"/>
    <w:rsid w:val="00EB0D3C"/>
    <w:rsid w:val="00EB0FC5"/>
    <w:rsid w:val="00EB14E3"/>
    <w:rsid w:val="00EB199F"/>
    <w:rsid w:val="00EB3F23"/>
    <w:rsid w:val="00EB4B10"/>
    <w:rsid w:val="00EB4F0F"/>
    <w:rsid w:val="00EC22EC"/>
    <w:rsid w:val="00EC23F7"/>
    <w:rsid w:val="00EC3D88"/>
    <w:rsid w:val="00EC4684"/>
    <w:rsid w:val="00EC4BD8"/>
    <w:rsid w:val="00EC63EB"/>
    <w:rsid w:val="00ED0555"/>
    <w:rsid w:val="00ED23A9"/>
    <w:rsid w:val="00ED25EB"/>
    <w:rsid w:val="00ED3684"/>
    <w:rsid w:val="00ED412F"/>
    <w:rsid w:val="00ED5BD1"/>
    <w:rsid w:val="00EE20B3"/>
    <w:rsid w:val="00EE3254"/>
    <w:rsid w:val="00EE403C"/>
    <w:rsid w:val="00EE60CA"/>
    <w:rsid w:val="00EE7F90"/>
    <w:rsid w:val="00EF0186"/>
    <w:rsid w:val="00EF0B43"/>
    <w:rsid w:val="00EF0E3C"/>
    <w:rsid w:val="00EF2C0D"/>
    <w:rsid w:val="00EF36B2"/>
    <w:rsid w:val="00EF3CB9"/>
    <w:rsid w:val="00EF43FB"/>
    <w:rsid w:val="00EF5800"/>
    <w:rsid w:val="00EF5887"/>
    <w:rsid w:val="00EF5ADF"/>
    <w:rsid w:val="00EF77F9"/>
    <w:rsid w:val="00F068C5"/>
    <w:rsid w:val="00F06D7F"/>
    <w:rsid w:val="00F072C5"/>
    <w:rsid w:val="00F1231C"/>
    <w:rsid w:val="00F1246B"/>
    <w:rsid w:val="00F143FE"/>
    <w:rsid w:val="00F16CC4"/>
    <w:rsid w:val="00F17432"/>
    <w:rsid w:val="00F17B35"/>
    <w:rsid w:val="00F17DF1"/>
    <w:rsid w:val="00F201EC"/>
    <w:rsid w:val="00F208A9"/>
    <w:rsid w:val="00F2102F"/>
    <w:rsid w:val="00F22360"/>
    <w:rsid w:val="00F22CAF"/>
    <w:rsid w:val="00F23DB4"/>
    <w:rsid w:val="00F279DB"/>
    <w:rsid w:val="00F31A26"/>
    <w:rsid w:val="00F328FE"/>
    <w:rsid w:val="00F3651E"/>
    <w:rsid w:val="00F37796"/>
    <w:rsid w:val="00F41D75"/>
    <w:rsid w:val="00F4459C"/>
    <w:rsid w:val="00F44E34"/>
    <w:rsid w:val="00F508C7"/>
    <w:rsid w:val="00F50AB3"/>
    <w:rsid w:val="00F5139D"/>
    <w:rsid w:val="00F51DEB"/>
    <w:rsid w:val="00F52A72"/>
    <w:rsid w:val="00F5498A"/>
    <w:rsid w:val="00F55314"/>
    <w:rsid w:val="00F55977"/>
    <w:rsid w:val="00F56457"/>
    <w:rsid w:val="00F62F43"/>
    <w:rsid w:val="00F63DAC"/>
    <w:rsid w:val="00F64A42"/>
    <w:rsid w:val="00F6677F"/>
    <w:rsid w:val="00F66DA3"/>
    <w:rsid w:val="00F71B07"/>
    <w:rsid w:val="00F73B96"/>
    <w:rsid w:val="00F7454F"/>
    <w:rsid w:val="00F745ED"/>
    <w:rsid w:val="00F74C18"/>
    <w:rsid w:val="00F77511"/>
    <w:rsid w:val="00F77988"/>
    <w:rsid w:val="00F77F48"/>
    <w:rsid w:val="00F82FD3"/>
    <w:rsid w:val="00F83D68"/>
    <w:rsid w:val="00F846BB"/>
    <w:rsid w:val="00F85960"/>
    <w:rsid w:val="00F86CC1"/>
    <w:rsid w:val="00F86E37"/>
    <w:rsid w:val="00F86EFE"/>
    <w:rsid w:val="00F873D3"/>
    <w:rsid w:val="00F932CC"/>
    <w:rsid w:val="00F9397B"/>
    <w:rsid w:val="00F95719"/>
    <w:rsid w:val="00F95800"/>
    <w:rsid w:val="00F9625F"/>
    <w:rsid w:val="00F96858"/>
    <w:rsid w:val="00FA0FD5"/>
    <w:rsid w:val="00FA6DD0"/>
    <w:rsid w:val="00FB2B33"/>
    <w:rsid w:val="00FB30F1"/>
    <w:rsid w:val="00FB331B"/>
    <w:rsid w:val="00FB3580"/>
    <w:rsid w:val="00FB37FF"/>
    <w:rsid w:val="00FB3AD8"/>
    <w:rsid w:val="00FB53E7"/>
    <w:rsid w:val="00FB5BAF"/>
    <w:rsid w:val="00FB62D6"/>
    <w:rsid w:val="00FB69DD"/>
    <w:rsid w:val="00FC097F"/>
    <w:rsid w:val="00FC397E"/>
    <w:rsid w:val="00FC3F0A"/>
    <w:rsid w:val="00FD2A8A"/>
    <w:rsid w:val="00FD4D57"/>
    <w:rsid w:val="00FD501C"/>
    <w:rsid w:val="00FD5301"/>
    <w:rsid w:val="00FE2265"/>
    <w:rsid w:val="00FE4973"/>
    <w:rsid w:val="00FE4B5F"/>
    <w:rsid w:val="00FE5A2C"/>
    <w:rsid w:val="00FE6FA7"/>
    <w:rsid w:val="00FF0BD2"/>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BalloonTextChar">
    <w:name w:val="Balloon Text Char"/>
    <w:basedOn w:val="DefaultParagraphFont"/>
    <w:link w:val="BalloonText"/>
    <w:uiPriority w:val="99"/>
    <w:semiHidden/>
    <w:rsid w:val="00A101CC"/>
    <w:rPr>
      <w:rFonts w:ascii="Tahoma" w:hAnsi="Tahoma" w:cs="Tahoma"/>
      <w:sz w:val="16"/>
      <w:szCs w:val="16"/>
    </w:rPr>
  </w:style>
  <w:style w:type="paragraph" w:customStyle="1" w:styleId="tv2132">
    <w:name w:val="tv2132"/>
    <w:basedOn w:val="Normal"/>
    <w:rsid w:val="001A26B0"/>
    <w:pPr>
      <w:spacing w:line="360" w:lineRule="auto"/>
      <w:ind w:firstLine="300"/>
    </w:pPr>
    <w:rPr>
      <w:rFonts w:eastAsiaTheme="minorHAnsi"/>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character" w:customStyle="1" w:styleId="BalloonTextChar">
    <w:name w:val="Balloon Text Char"/>
    <w:basedOn w:val="DefaultParagraphFont"/>
    <w:link w:val="BalloonText"/>
    <w:uiPriority w:val="99"/>
    <w:semiHidden/>
    <w:rsid w:val="00A101CC"/>
    <w:rPr>
      <w:rFonts w:ascii="Tahoma" w:hAnsi="Tahoma" w:cs="Tahoma"/>
      <w:sz w:val="16"/>
      <w:szCs w:val="16"/>
    </w:rPr>
  </w:style>
  <w:style w:type="paragraph" w:customStyle="1" w:styleId="tv2132">
    <w:name w:val="tv2132"/>
    <w:basedOn w:val="Normal"/>
    <w:rsid w:val="001A26B0"/>
    <w:pPr>
      <w:spacing w:line="360" w:lineRule="auto"/>
      <w:ind w:firstLine="300"/>
    </w:pPr>
    <w:rPr>
      <w:rFonts w:eastAsiaTheme="minorHAnsi"/>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280262906">
      <w:bodyDiv w:val="1"/>
      <w:marLeft w:val="0"/>
      <w:marRight w:val="0"/>
      <w:marTop w:val="0"/>
      <w:marBottom w:val="0"/>
      <w:divBdr>
        <w:top w:val="none" w:sz="0" w:space="0" w:color="auto"/>
        <w:left w:val="none" w:sz="0" w:space="0" w:color="auto"/>
        <w:bottom w:val="none" w:sz="0" w:space="0" w:color="auto"/>
        <w:right w:val="none" w:sz="0" w:space="0" w:color="auto"/>
      </w:divBdr>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467286119">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337684406">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475487518">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07074441">
      <w:bodyDiv w:val="1"/>
      <w:marLeft w:val="0"/>
      <w:marRight w:val="0"/>
      <w:marTop w:val="0"/>
      <w:marBottom w:val="0"/>
      <w:divBdr>
        <w:top w:val="none" w:sz="0" w:space="0" w:color="auto"/>
        <w:left w:val="none" w:sz="0" w:space="0" w:color="auto"/>
        <w:bottom w:val="none" w:sz="0" w:space="0" w:color="auto"/>
        <w:right w:val="none" w:sz="0" w:space="0" w:color="auto"/>
      </w:divBdr>
      <w:divsChild>
        <w:div w:id="1415934569">
          <w:marLeft w:val="0"/>
          <w:marRight w:val="0"/>
          <w:marTop w:val="0"/>
          <w:marBottom w:val="0"/>
          <w:divBdr>
            <w:top w:val="none" w:sz="0" w:space="0" w:color="auto"/>
            <w:left w:val="none" w:sz="0" w:space="0" w:color="auto"/>
            <w:bottom w:val="none" w:sz="0" w:space="0" w:color="auto"/>
            <w:right w:val="none" w:sz="0" w:space="0" w:color="auto"/>
          </w:divBdr>
          <w:divsChild>
            <w:div w:id="199781359">
              <w:marLeft w:val="0"/>
              <w:marRight w:val="0"/>
              <w:marTop w:val="0"/>
              <w:marBottom w:val="0"/>
              <w:divBdr>
                <w:top w:val="none" w:sz="0" w:space="0" w:color="auto"/>
                <w:left w:val="none" w:sz="0" w:space="0" w:color="auto"/>
                <w:bottom w:val="none" w:sz="0" w:space="0" w:color="auto"/>
                <w:right w:val="none" w:sz="0" w:space="0" w:color="auto"/>
              </w:divBdr>
              <w:divsChild>
                <w:div w:id="417099307">
                  <w:marLeft w:val="0"/>
                  <w:marRight w:val="0"/>
                  <w:marTop w:val="0"/>
                  <w:marBottom w:val="0"/>
                  <w:divBdr>
                    <w:top w:val="none" w:sz="0" w:space="0" w:color="auto"/>
                    <w:left w:val="none" w:sz="0" w:space="0" w:color="auto"/>
                    <w:bottom w:val="none" w:sz="0" w:space="0" w:color="auto"/>
                    <w:right w:val="none" w:sz="0" w:space="0" w:color="auto"/>
                  </w:divBdr>
                  <w:divsChild>
                    <w:div w:id="921840273">
                      <w:marLeft w:val="0"/>
                      <w:marRight w:val="0"/>
                      <w:marTop w:val="0"/>
                      <w:marBottom w:val="0"/>
                      <w:divBdr>
                        <w:top w:val="none" w:sz="0" w:space="0" w:color="auto"/>
                        <w:left w:val="none" w:sz="0" w:space="0" w:color="auto"/>
                        <w:bottom w:val="none" w:sz="0" w:space="0" w:color="auto"/>
                        <w:right w:val="none" w:sz="0" w:space="0" w:color="auto"/>
                      </w:divBdr>
                      <w:divsChild>
                        <w:div w:id="1334800393">
                          <w:marLeft w:val="0"/>
                          <w:marRight w:val="0"/>
                          <w:marTop w:val="0"/>
                          <w:marBottom w:val="0"/>
                          <w:divBdr>
                            <w:top w:val="none" w:sz="0" w:space="0" w:color="auto"/>
                            <w:left w:val="none" w:sz="0" w:space="0" w:color="auto"/>
                            <w:bottom w:val="none" w:sz="0" w:space="0" w:color="auto"/>
                            <w:right w:val="none" w:sz="0" w:space="0" w:color="auto"/>
                          </w:divBdr>
                          <w:divsChild>
                            <w:div w:id="18631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84720677">
      <w:bodyDiv w:val="1"/>
      <w:marLeft w:val="0"/>
      <w:marRight w:val="0"/>
      <w:marTop w:val="0"/>
      <w:marBottom w:val="0"/>
      <w:divBdr>
        <w:top w:val="none" w:sz="0" w:space="0" w:color="auto"/>
        <w:left w:val="none" w:sz="0" w:space="0" w:color="auto"/>
        <w:bottom w:val="none" w:sz="0" w:space="0" w:color="auto"/>
        <w:right w:val="none" w:sz="0" w:space="0" w:color="auto"/>
      </w:divBdr>
      <w:divsChild>
        <w:div w:id="2056197225">
          <w:marLeft w:val="0"/>
          <w:marRight w:val="0"/>
          <w:marTop w:val="0"/>
          <w:marBottom w:val="0"/>
          <w:divBdr>
            <w:top w:val="none" w:sz="0" w:space="0" w:color="auto"/>
            <w:left w:val="none" w:sz="0" w:space="0" w:color="auto"/>
            <w:bottom w:val="none" w:sz="0" w:space="0" w:color="auto"/>
            <w:right w:val="none" w:sz="0" w:space="0" w:color="auto"/>
          </w:divBdr>
          <w:divsChild>
            <w:div w:id="1458600171">
              <w:marLeft w:val="0"/>
              <w:marRight w:val="0"/>
              <w:marTop w:val="0"/>
              <w:marBottom w:val="0"/>
              <w:divBdr>
                <w:top w:val="none" w:sz="0" w:space="0" w:color="auto"/>
                <w:left w:val="none" w:sz="0" w:space="0" w:color="auto"/>
                <w:bottom w:val="none" w:sz="0" w:space="0" w:color="auto"/>
                <w:right w:val="none" w:sz="0" w:space="0" w:color="auto"/>
              </w:divBdr>
              <w:divsChild>
                <w:div w:id="1572688954">
                  <w:marLeft w:val="0"/>
                  <w:marRight w:val="0"/>
                  <w:marTop w:val="0"/>
                  <w:marBottom w:val="0"/>
                  <w:divBdr>
                    <w:top w:val="none" w:sz="0" w:space="0" w:color="auto"/>
                    <w:left w:val="none" w:sz="0" w:space="0" w:color="auto"/>
                    <w:bottom w:val="none" w:sz="0" w:space="0" w:color="auto"/>
                    <w:right w:val="none" w:sz="0" w:space="0" w:color="auto"/>
                  </w:divBdr>
                  <w:divsChild>
                    <w:div w:id="2054113891">
                      <w:marLeft w:val="0"/>
                      <w:marRight w:val="0"/>
                      <w:marTop w:val="0"/>
                      <w:marBottom w:val="0"/>
                      <w:divBdr>
                        <w:top w:val="none" w:sz="0" w:space="0" w:color="auto"/>
                        <w:left w:val="none" w:sz="0" w:space="0" w:color="auto"/>
                        <w:bottom w:val="none" w:sz="0" w:space="0" w:color="auto"/>
                        <w:right w:val="none" w:sz="0" w:space="0" w:color="auto"/>
                      </w:divBdr>
                      <w:divsChild>
                        <w:div w:id="1849641108">
                          <w:marLeft w:val="0"/>
                          <w:marRight w:val="0"/>
                          <w:marTop w:val="0"/>
                          <w:marBottom w:val="0"/>
                          <w:divBdr>
                            <w:top w:val="none" w:sz="0" w:space="0" w:color="auto"/>
                            <w:left w:val="none" w:sz="0" w:space="0" w:color="auto"/>
                            <w:bottom w:val="none" w:sz="0" w:space="0" w:color="auto"/>
                            <w:right w:val="none" w:sz="0" w:space="0" w:color="auto"/>
                          </w:divBdr>
                          <w:divsChild>
                            <w:div w:id="9239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ladislavs.vesperis@pkc.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purl.org/dc/elements/1.1/"/>
    <ds:schemaRef ds:uri="http://schemas.microsoft.com/office/2006/metadata/properties"/>
    <ds:schemaRef ds:uri="http://purl.org/dc/terms/"/>
    <ds:schemaRef ds:uri="2e5bb04e-596e-45bd-9003-43ca78b1ba16"/>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B5F52FD-FF56-4A5A-9B23-50303E9E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14875</Characters>
  <Application>Microsoft Office Word</Application>
  <DocSecurity>4</DocSecurity>
  <Lines>123</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projekts„Kārtība, kādā veic kandidātu atlasi valdes un padomes locekļu amatiem kapitālsabiedrībās, kurās valstij kā dalībniekam (akcionāram) ir tiesības izvirzīt valdes vai padomes locekļus”</vt:lpstr>
      <vt:lpstr>Likumprojekta „Grozījumi Gada pārskatu likumā"</vt:lpstr>
    </vt:vector>
  </TitlesOfParts>
  <Manager>P.Vilks</Manager>
  <Company>PKC</Company>
  <LinksUpToDate>false</LinksUpToDate>
  <CharactersWithSpaces>16852</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veic kandidātu atlasi valdes un padomes locekļu amatiem kapitālsabiedrībās, kurās valstij kā dalībniekam (akcionāram) ir tiesības izvirzīt valdes vai padomes locekļus”</dc:title>
  <dc:subject>Anotācija</dc:subject>
  <dc:creator>Vladislavs Vesperis, tel. 67082812, e-pasts - vladislavs.vesperis@pkc.mk.gov.lv</dc:creator>
  <cp:lastModifiedBy>Gunta Lejiete</cp:lastModifiedBy>
  <cp:revision>2</cp:revision>
  <cp:lastPrinted>2015-03-27T10:54:00Z</cp:lastPrinted>
  <dcterms:created xsi:type="dcterms:W3CDTF">2016-09-12T10:33:00Z</dcterms:created>
  <dcterms:modified xsi:type="dcterms:W3CDTF">2016-09-12T10:33:00Z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