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B4" w:rsidRDefault="00786C08">
      <w:pPr>
        <w:spacing w:after="0" w:line="240" w:lineRule="auto"/>
        <w:jc w:val="center"/>
        <w:outlineLvl w:val="3"/>
      </w:pPr>
      <w:bookmarkStart w:id="0" w:name="OLE_LINK2"/>
      <w:bookmarkStart w:id="1" w:name="OLE_LINK1"/>
      <w:r>
        <w:rPr>
          <w:rFonts w:eastAsia="Times New Roman"/>
          <w:b/>
          <w:bCs/>
          <w:sz w:val="22"/>
          <w:lang w:eastAsia="lv-LV"/>
        </w:rPr>
        <w:t>Ministru kabineta noteikumu projekta “</w:t>
      </w:r>
      <w:r>
        <w:rPr>
          <w:rFonts w:eastAsia="Times New Roman"/>
          <w:b/>
          <w:bCs/>
          <w:iCs/>
          <w:color w:val="000000"/>
          <w:sz w:val="22"/>
          <w:lang w:eastAsia="lv-LV" w:bidi="lo-LA"/>
        </w:rPr>
        <w:t xml:space="preserve">Brīvprātīgas vienošanās par energoefektivitātes uzlabošanu noslēgšanas un pārraudzīšanas kārtība </w:t>
      </w:r>
      <w:bookmarkEnd w:id="0"/>
      <w:bookmarkEnd w:id="1"/>
      <w:r>
        <w:rPr>
          <w:rFonts w:eastAsia="Times New Roman"/>
          <w:b/>
          <w:bCs/>
          <w:sz w:val="22"/>
          <w:lang w:eastAsia="lv-LV"/>
        </w:rPr>
        <w:t>” sākotnējās ietekmes novērtējuma ziņojums (anotācija)</w:t>
      </w:r>
    </w:p>
    <w:tbl>
      <w:tblPr>
        <w:tblW w:w="5000" w:type="pct"/>
        <w:tblInd w:w="-254" w:type="dxa"/>
        <w:tblBorders>
          <w:top w:val="single" w:sz="6" w:space="0" w:color="00000A"/>
          <w:left w:val="single" w:sz="6" w:space="0" w:color="00000A"/>
          <w:bottom w:val="outset" w:sz="6" w:space="0" w:color="000001"/>
          <w:right w:val="single" w:sz="6" w:space="0" w:color="00000A"/>
          <w:insideH w:val="outset" w:sz="6" w:space="0" w:color="000001"/>
          <w:insideV w:val="single" w:sz="6" w:space="0" w:color="00000A"/>
        </w:tblBorders>
        <w:tblCellMar>
          <w:top w:w="30" w:type="dxa"/>
          <w:left w:w="44" w:type="dxa"/>
          <w:bottom w:w="30" w:type="dxa"/>
          <w:right w:w="30" w:type="dxa"/>
        </w:tblCellMar>
        <w:tblLook w:val="04A0" w:firstRow="1" w:lastRow="0" w:firstColumn="1" w:lastColumn="0" w:noHBand="0" w:noVBand="1"/>
      </w:tblPr>
      <w:tblGrid>
        <w:gridCol w:w="400"/>
        <w:gridCol w:w="1998"/>
        <w:gridCol w:w="6657"/>
      </w:tblGrid>
      <w:tr w:rsidR="000F14B4">
        <w:tc>
          <w:tcPr>
            <w:tcW w:w="9071" w:type="dxa"/>
            <w:gridSpan w:val="3"/>
            <w:tcBorders>
              <w:top w:val="single" w:sz="6" w:space="0" w:color="00000A"/>
              <w:left w:val="single" w:sz="6" w:space="0" w:color="00000A"/>
              <w:bottom w:val="outset" w:sz="6" w:space="0" w:color="000001"/>
              <w:right w:val="single" w:sz="6" w:space="0" w:color="00000A"/>
            </w:tcBorders>
            <w:shd w:val="clear" w:color="auto" w:fill="auto"/>
            <w:tcMar>
              <w:left w:w="44" w:type="dxa"/>
            </w:tcMar>
            <w:vAlign w:val="center"/>
          </w:tcPr>
          <w:p w:rsidR="000F14B4" w:rsidRDefault="00786C08">
            <w:pPr>
              <w:spacing w:after="0" w:line="240" w:lineRule="auto"/>
              <w:jc w:val="center"/>
              <w:rPr>
                <w:rFonts w:eastAsia="Times New Roman"/>
                <w:b/>
                <w:bCs/>
                <w:sz w:val="22"/>
                <w:lang w:eastAsia="lv-LV"/>
              </w:rPr>
            </w:pPr>
            <w:r>
              <w:rPr>
                <w:rFonts w:eastAsia="Times New Roman"/>
                <w:b/>
                <w:bCs/>
                <w:sz w:val="22"/>
                <w:lang w:eastAsia="lv-LV"/>
              </w:rPr>
              <w:t>I. Tiesību akta projekta izstrādes nepieciešamība</w:t>
            </w:r>
          </w:p>
        </w:tc>
      </w:tr>
      <w:tr w:rsidR="000F14B4">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1.</w:t>
            </w:r>
          </w:p>
        </w:tc>
        <w:tc>
          <w:tcPr>
            <w:tcW w:w="200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Pamatojums</w:t>
            </w:r>
          </w:p>
        </w:tc>
        <w:tc>
          <w:tcPr>
            <w:tcW w:w="667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pStyle w:val="doc-ti"/>
              <w:spacing w:before="0" w:after="0"/>
              <w:jc w:val="both"/>
            </w:pPr>
            <w:r>
              <w:rPr>
                <w:b w:val="0"/>
                <w:color w:val="000000" w:themeColor="text1"/>
                <w:sz w:val="22"/>
                <w:szCs w:val="22"/>
              </w:rPr>
              <w:t>Ministru kabineta noteikumu projekta “</w:t>
            </w:r>
            <w:r>
              <w:rPr>
                <w:b w:val="0"/>
                <w:bCs w:val="0"/>
                <w:iCs/>
                <w:color w:val="000000"/>
                <w:sz w:val="22"/>
                <w:szCs w:val="22"/>
                <w:lang w:bidi="lo-LA"/>
              </w:rPr>
              <w:t>Brīvprātīgas vienošanās par energoefektivitātes uzlabošanu noslēgšanas un pārraudzīšanas kārtība</w:t>
            </w:r>
            <w:r>
              <w:rPr>
                <w:b w:val="0"/>
                <w:color w:val="000000" w:themeColor="text1"/>
                <w:sz w:val="22"/>
                <w:szCs w:val="22"/>
              </w:rPr>
              <w:t xml:space="preserve">” (turpmāk – Noteikumu projekts) nepieciešamību nosaka Energoefektivitātes likums (turpmāk – likums), kurš pārņem Eiropas Parlamenta un Padomes 2012. gada 25. oktobra Direktīvas 2012/27/ES par energoefektivitāti, ar ko groza Direktīvas 2009/125/EK un 2010/30/ES un atceļ Direktīvas 2004/8/EK un 2006/32/EK (turpmāk tekstā - Direktīva 2012/27/ES). Likumā iekļauts deleģējums attiecībā uz kārtību kādā tiek noslēgta brīvprātīga vienošanās. </w:t>
            </w:r>
          </w:p>
        </w:tc>
      </w:tr>
      <w:tr w:rsidR="000F14B4">
        <w:trPr>
          <w:trHeight w:val="3297"/>
        </w:trPr>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2.</w:t>
            </w:r>
          </w:p>
        </w:tc>
        <w:tc>
          <w:tcPr>
            <w:tcW w:w="200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Pašreizējā situācija un problēmas, kuru risināšanai tiesību akta projekts izstrādāts, tiesiskā regulējuma mērķis un būtība</w:t>
            </w: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rPr>
                <w:rFonts w:eastAsia="Times New Roman"/>
                <w:sz w:val="22"/>
                <w:lang w:eastAsia="lv-LV"/>
              </w:rPr>
            </w:pPr>
          </w:p>
          <w:p w:rsidR="000F14B4" w:rsidRDefault="000F14B4">
            <w:pPr>
              <w:jc w:val="center"/>
              <w:rPr>
                <w:rFonts w:eastAsia="Times New Roman"/>
                <w:sz w:val="22"/>
                <w:lang w:eastAsia="lv-LV"/>
              </w:rPr>
            </w:pPr>
          </w:p>
        </w:tc>
        <w:tc>
          <w:tcPr>
            <w:tcW w:w="667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pStyle w:val="naiskr"/>
              <w:spacing w:beforeAutospacing="0" w:after="0" w:afterAutospacing="0"/>
              <w:jc w:val="both"/>
              <w:rPr>
                <w:sz w:val="22"/>
                <w:szCs w:val="22"/>
              </w:rPr>
            </w:pPr>
            <w:r>
              <w:rPr>
                <w:sz w:val="22"/>
                <w:szCs w:val="22"/>
              </w:rPr>
              <w:t xml:space="preserve">Likums tika pieņemts 2016.gada 3. martā un stājās spēkā 2016.gada 29.martā. Likuma mērķis ir energoresursu racionāla izmantošana un pārvaldība, lai sekmētu ilgtspējīgu tautsaimniecības attīstību un ierobežotu klimata pārmaiņas. Direktīvas 2012/27/ES prasības uzliek dalībvalstīm pienākumu noteikt un ar energoefektivitātes pasākumiem nodrošināt indikatīva enerģijas ietaupījuma mērķa sasniegšanu. </w:t>
            </w:r>
          </w:p>
          <w:p w:rsidR="000F14B4" w:rsidRDefault="00786C08">
            <w:pPr>
              <w:pStyle w:val="naiskr"/>
              <w:spacing w:beforeAutospacing="0" w:after="0" w:afterAutospacing="0"/>
              <w:jc w:val="both"/>
              <w:rPr>
                <w:sz w:val="22"/>
                <w:szCs w:val="22"/>
              </w:rPr>
            </w:pPr>
            <w:r>
              <w:rPr>
                <w:sz w:val="22"/>
                <w:szCs w:val="22"/>
              </w:rPr>
              <w:t xml:space="preserve">Ar šo noteikumu projektu tiek pārņemtas Direktīvas 2012/27/ES 7.panta devītās daļas c) apakšpunkta prasības, kuras nosaka, ka dalībvalstis var izvēlēties politikas pasākumus, lai samazinātu enerģijas ietaupījumu galalietotāju vidū, c) apakšpunkts nosaka brīvprātīgu vienošanos, kuras ietekmē tiek piemērotas energoefektīvas tehnoloģijas vai paņēmieni, kuri savukārt mazinās tiešās lietošanas enerģijas patēriņu. </w:t>
            </w:r>
          </w:p>
          <w:p w:rsidR="000F14B4" w:rsidRDefault="00786C08">
            <w:pPr>
              <w:pStyle w:val="naiskr"/>
              <w:spacing w:beforeAutospacing="0" w:after="0" w:afterAutospacing="0"/>
              <w:jc w:val="both"/>
              <w:rPr>
                <w:sz w:val="22"/>
                <w:szCs w:val="22"/>
              </w:rPr>
            </w:pPr>
            <w:r>
              <w:rPr>
                <w:sz w:val="22"/>
                <w:szCs w:val="22"/>
              </w:rPr>
              <w:t xml:space="preserve">Ministru kabineta noteikumu projekta mērķis ir izveidot kārtību, kādā tiek noslēgta brīvprātīga vienošanās starp komersantu, komersantu pastāvošu organizāciju vai pašvaldību un Ekonomikas ministriju (turpmāk – atbildīgā ministrija) par energoefektivitātes paaugstināšanu. Vienošanās mērķis ir stimulēt energoefektivitātes paaugstināšanu atsevišķos uzņēmumos, komersantus pārstāvošas organizācijas uzņēmumos un pašvaldībās un sasniegt vismaz 10% enerģijas ietaupījumu. </w:t>
            </w:r>
          </w:p>
          <w:p w:rsidR="000F14B4" w:rsidRDefault="00786C08">
            <w:pPr>
              <w:pStyle w:val="naiskr"/>
              <w:spacing w:beforeAutospacing="0" w:after="0" w:afterAutospacing="0"/>
              <w:jc w:val="both"/>
              <w:rPr>
                <w:sz w:val="22"/>
                <w:szCs w:val="22"/>
              </w:rPr>
            </w:pPr>
            <w:r>
              <w:rPr>
                <w:sz w:val="22"/>
                <w:szCs w:val="22"/>
              </w:rPr>
              <w:t>Vienošanās sevī ietver energoefektivitātes plānu, kurā iekļauj:</w:t>
            </w:r>
          </w:p>
          <w:p w:rsidR="000F14B4" w:rsidRDefault="00786C08">
            <w:pPr>
              <w:pStyle w:val="naiskr"/>
              <w:numPr>
                <w:ilvl w:val="0"/>
                <w:numId w:val="1"/>
              </w:numPr>
              <w:spacing w:beforeAutospacing="0" w:after="0" w:afterAutospacing="0"/>
              <w:jc w:val="both"/>
              <w:rPr>
                <w:sz w:val="22"/>
                <w:szCs w:val="22"/>
              </w:rPr>
            </w:pPr>
            <w:r>
              <w:rPr>
                <w:sz w:val="22"/>
                <w:szCs w:val="22"/>
              </w:rPr>
              <w:t>vispārēju aprakstu par vienošanās mērķi;</w:t>
            </w:r>
          </w:p>
          <w:p w:rsidR="000F14B4" w:rsidRDefault="00786C08">
            <w:pPr>
              <w:pStyle w:val="naiskr"/>
              <w:numPr>
                <w:ilvl w:val="0"/>
                <w:numId w:val="1"/>
              </w:numPr>
              <w:spacing w:beforeAutospacing="0" w:after="0" w:afterAutospacing="0"/>
              <w:jc w:val="both"/>
              <w:rPr>
                <w:sz w:val="22"/>
                <w:szCs w:val="22"/>
              </w:rPr>
            </w:pPr>
            <w:r>
              <w:rPr>
                <w:sz w:val="22"/>
                <w:szCs w:val="22"/>
              </w:rPr>
              <w:t>prioritizētus energoefektivitātes paaugstināšanas pasākumus un to īstenošanai nepieciešamo laiku;</w:t>
            </w:r>
          </w:p>
          <w:p w:rsidR="000F14B4" w:rsidRDefault="00786C08">
            <w:pPr>
              <w:pStyle w:val="naiskr"/>
              <w:numPr>
                <w:ilvl w:val="0"/>
                <w:numId w:val="1"/>
              </w:numPr>
              <w:spacing w:beforeAutospacing="0" w:after="0" w:afterAutospacing="0"/>
              <w:jc w:val="both"/>
              <w:rPr>
                <w:sz w:val="22"/>
                <w:szCs w:val="22"/>
              </w:rPr>
            </w:pPr>
            <w:r>
              <w:rPr>
                <w:sz w:val="22"/>
                <w:szCs w:val="22"/>
              </w:rPr>
              <w:t>prognozējamos enerģijas ietaupījumus;</w:t>
            </w:r>
          </w:p>
          <w:p w:rsidR="000F14B4" w:rsidRDefault="00786C08">
            <w:pPr>
              <w:pStyle w:val="naiskr"/>
              <w:numPr>
                <w:ilvl w:val="0"/>
                <w:numId w:val="1"/>
              </w:numPr>
              <w:spacing w:beforeAutospacing="0" w:after="0" w:afterAutospacing="0"/>
              <w:jc w:val="both"/>
              <w:rPr>
                <w:sz w:val="22"/>
                <w:szCs w:val="22"/>
              </w:rPr>
            </w:pPr>
            <w:r>
              <w:rPr>
                <w:sz w:val="22"/>
                <w:szCs w:val="22"/>
              </w:rPr>
              <w:t>izveides nosacījumus sistēmai, kas domāta nepārtraukta enerģijas patēriņa izvērtēšanas nodrošināšanai;</w:t>
            </w:r>
          </w:p>
          <w:p w:rsidR="000F14B4" w:rsidRPr="009D572F" w:rsidRDefault="00786C08">
            <w:pPr>
              <w:pStyle w:val="naiskr"/>
              <w:numPr>
                <w:ilvl w:val="0"/>
                <w:numId w:val="1"/>
              </w:numPr>
              <w:spacing w:beforeAutospacing="0" w:after="0" w:afterAutospacing="0"/>
              <w:jc w:val="both"/>
            </w:pPr>
            <w:r>
              <w:rPr>
                <w:sz w:val="22"/>
                <w:szCs w:val="22"/>
              </w:rPr>
              <w:t>citu informāciju, kas raksturo un paskaidro veidu vai mehānismu, kādā tiks izpildīta vienošanās.</w:t>
            </w:r>
          </w:p>
          <w:p w:rsidR="000F14B4" w:rsidRDefault="009D572F">
            <w:pPr>
              <w:pStyle w:val="naiskr"/>
              <w:spacing w:beforeAutospacing="0" w:after="0" w:afterAutospacing="0"/>
              <w:jc w:val="both"/>
            </w:pPr>
            <w:r>
              <w:rPr>
                <w:sz w:val="22"/>
                <w:szCs w:val="22"/>
              </w:rPr>
              <w:t xml:space="preserve">Brīvprātīgā vienošanās tiek slēgta kā alternatīva energoefektivitātes pasākumu shēmai līdz ar to vienošanās rezultātā </w:t>
            </w:r>
            <w:r w:rsidR="00786C08">
              <w:rPr>
                <w:sz w:val="22"/>
                <w:szCs w:val="22"/>
              </w:rPr>
              <w:t xml:space="preserve">iegūtais </w:t>
            </w:r>
            <w:r w:rsidR="00A46F96">
              <w:rPr>
                <w:sz w:val="22"/>
                <w:szCs w:val="22"/>
              </w:rPr>
              <w:t>enerģijas</w:t>
            </w:r>
            <w:r w:rsidR="00786C08">
              <w:rPr>
                <w:sz w:val="22"/>
                <w:szCs w:val="22"/>
              </w:rPr>
              <w:t xml:space="preserve"> ietaupījums nevar tikt uzskatīts par atbildīgās puses enerģijas ietaupījumu Likuma</w:t>
            </w:r>
            <w:r>
              <w:rPr>
                <w:sz w:val="22"/>
                <w:szCs w:val="22"/>
              </w:rPr>
              <w:t xml:space="preserve"> 6.panta piektās daļas ietvaros. </w:t>
            </w:r>
          </w:p>
          <w:p w:rsidR="000F14B4" w:rsidRDefault="00786C08">
            <w:pPr>
              <w:pStyle w:val="naiskr"/>
              <w:spacing w:beforeAutospacing="0" w:after="0" w:afterAutospacing="0"/>
              <w:jc w:val="both"/>
              <w:rPr>
                <w:sz w:val="22"/>
                <w:szCs w:val="22"/>
              </w:rPr>
            </w:pPr>
            <w:r>
              <w:rPr>
                <w:sz w:val="22"/>
                <w:szCs w:val="22"/>
              </w:rPr>
              <w:t>Noteikumu projekts ir izstrādāts, izpildot Likuma 8.panta trešās daļas deleģējumu Ministru kabinetam noteikt brīvprātīgās vienošanās noslēgšanas nosacījumus, saturu, termiņu un izpildes pārraudzību.</w:t>
            </w:r>
          </w:p>
          <w:p w:rsidR="000F14B4" w:rsidRDefault="00786C08">
            <w:pPr>
              <w:pStyle w:val="naiskr"/>
              <w:spacing w:beforeAutospacing="0" w:after="0" w:afterAutospacing="0"/>
              <w:jc w:val="both"/>
              <w:rPr>
                <w:sz w:val="22"/>
              </w:rPr>
            </w:pPr>
            <w:r>
              <w:rPr>
                <w:sz w:val="22"/>
                <w:szCs w:val="22"/>
              </w:rPr>
              <w:t>Lai varētu konstatēt enerģijas ietaupījumu vienošanās dalībnieki ziņo par sasniegtajiem ietaupījumiem energoefektivitātes monitoringa sistēmas ietvaros.</w:t>
            </w:r>
          </w:p>
        </w:tc>
      </w:tr>
      <w:tr w:rsidR="000F14B4">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3.</w:t>
            </w:r>
          </w:p>
        </w:tc>
        <w:tc>
          <w:tcPr>
            <w:tcW w:w="200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Projekta izstrādē iesaistītās institūcijas</w:t>
            </w:r>
          </w:p>
        </w:tc>
        <w:tc>
          <w:tcPr>
            <w:tcW w:w="667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tabs>
                <w:tab w:val="left" w:pos="2009"/>
              </w:tabs>
              <w:spacing w:after="0" w:line="240" w:lineRule="auto"/>
              <w:rPr>
                <w:rFonts w:eastAsia="Times New Roman"/>
                <w:sz w:val="22"/>
                <w:lang w:eastAsia="lv-LV"/>
              </w:rPr>
            </w:pPr>
            <w:r>
              <w:rPr>
                <w:rFonts w:eastAsia="Times New Roman"/>
                <w:sz w:val="22"/>
                <w:lang w:eastAsia="lv-LV"/>
              </w:rPr>
              <w:t xml:space="preserve">Latvijas Pašvaldību savienība, Latvijas Lielo pilsētu asociācija,  Latvijas tirdzniecības un rūpniecības kamera, Rīgas Enerģētikas aģentūra  </w:t>
            </w:r>
          </w:p>
        </w:tc>
      </w:tr>
      <w:tr w:rsidR="000F14B4">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lastRenderedPageBreak/>
              <w:t>4.</w:t>
            </w:r>
          </w:p>
        </w:tc>
        <w:tc>
          <w:tcPr>
            <w:tcW w:w="200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Cita informācija</w:t>
            </w:r>
          </w:p>
        </w:tc>
        <w:tc>
          <w:tcPr>
            <w:tcW w:w="667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both"/>
              <w:rPr>
                <w:rFonts w:eastAsia="Times New Roman"/>
                <w:sz w:val="22"/>
                <w:lang w:eastAsia="lv-LV"/>
              </w:rPr>
            </w:pPr>
            <w:r>
              <w:rPr>
                <w:rFonts w:eastAsia="Times New Roman"/>
                <w:sz w:val="22"/>
                <w:lang w:eastAsia="lv-LV"/>
              </w:rPr>
              <w:t>Nav.</w:t>
            </w:r>
          </w:p>
        </w:tc>
      </w:tr>
    </w:tbl>
    <w:p w:rsidR="000F14B4" w:rsidRDefault="00786C08">
      <w:pPr>
        <w:spacing w:after="0" w:line="240" w:lineRule="auto"/>
        <w:rPr>
          <w:rFonts w:eastAsia="Times New Roman"/>
          <w:sz w:val="22"/>
          <w:lang w:eastAsia="lv-LV"/>
        </w:rPr>
      </w:pPr>
      <w:r>
        <w:rPr>
          <w:rFonts w:eastAsia="Times New Roman"/>
          <w:sz w:val="22"/>
          <w:lang w:eastAsia="lv-LV"/>
        </w:rPr>
        <w:t> </w:t>
      </w:r>
    </w:p>
    <w:tbl>
      <w:tblPr>
        <w:tblW w:w="5000" w:type="pct"/>
        <w:tblInd w:w="-254" w:type="dxa"/>
        <w:tblBorders>
          <w:top w:val="single" w:sz="6" w:space="0" w:color="00000A"/>
          <w:left w:val="single" w:sz="6" w:space="0" w:color="00000A"/>
          <w:bottom w:val="outset" w:sz="6" w:space="0" w:color="000001"/>
          <w:right w:val="single" w:sz="6" w:space="0" w:color="00000A"/>
          <w:insideH w:val="outset" w:sz="6" w:space="0" w:color="000001"/>
          <w:insideV w:val="single" w:sz="6" w:space="0" w:color="00000A"/>
        </w:tblBorders>
        <w:tblCellMar>
          <w:top w:w="30" w:type="dxa"/>
          <w:left w:w="44" w:type="dxa"/>
          <w:bottom w:w="30" w:type="dxa"/>
          <w:right w:w="30" w:type="dxa"/>
        </w:tblCellMar>
        <w:tblLook w:val="04A0" w:firstRow="1" w:lastRow="0" w:firstColumn="1" w:lastColumn="0" w:noHBand="0" w:noVBand="1"/>
      </w:tblPr>
      <w:tblGrid>
        <w:gridCol w:w="400"/>
        <w:gridCol w:w="1998"/>
        <w:gridCol w:w="6657"/>
      </w:tblGrid>
      <w:tr w:rsidR="000F14B4">
        <w:tc>
          <w:tcPr>
            <w:tcW w:w="9071" w:type="dxa"/>
            <w:gridSpan w:val="3"/>
            <w:tcBorders>
              <w:top w:val="single" w:sz="6" w:space="0" w:color="00000A"/>
              <w:left w:val="single" w:sz="6" w:space="0" w:color="00000A"/>
              <w:bottom w:val="outset" w:sz="6" w:space="0" w:color="000001"/>
              <w:right w:val="single" w:sz="6" w:space="0" w:color="00000A"/>
            </w:tcBorders>
            <w:shd w:val="clear" w:color="auto" w:fill="auto"/>
            <w:tcMar>
              <w:left w:w="44" w:type="dxa"/>
            </w:tcMar>
            <w:vAlign w:val="center"/>
          </w:tcPr>
          <w:p w:rsidR="000F14B4" w:rsidRDefault="00786C08">
            <w:pPr>
              <w:spacing w:after="0" w:line="240" w:lineRule="auto"/>
              <w:jc w:val="center"/>
              <w:rPr>
                <w:rFonts w:eastAsia="Times New Roman"/>
                <w:b/>
                <w:bCs/>
                <w:sz w:val="22"/>
                <w:lang w:eastAsia="lv-LV"/>
              </w:rPr>
            </w:pPr>
            <w:r>
              <w:rPr>
                <w:rFonts w:eastAsia="Times New Roman"/>
                <w:b/>
                <w:bCs/>
                <w:sz w:val="22"/>
                <w:lang w:eastAsia="lv-LV"/>
              </w:rPr>
              <w:t>II. Tiesību akta projekta ietekme uz sabiedrību</w:t>
            </w:r>
            <w:r>
              <w:rPr>
                <w:b/>
                <w:color w:val="000000" w:themeColor="text1"/>
                <w:sz w:val="22"/>
              </w:rPr>
              <w:t>, tautsaimniecības attīstību un administratīvo slogu</w:t>
            </w:r>
          </w:p>
        </w:tc>
      </w:tr>
      <w:tr w:rsidR="000F14B4">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1.</w:t>
            </w:r>
          </w:p>
        </w:tc>
        <w:tc>
          <w:tcPr>
            <w:tcW w:w="20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Sabiedrības mērķgrupas, kuras tiesiskais regulējums ietekmē vai varētu ietekmēt</w:t>
            </w:r>
          </w:p>
        </w:tc>
        <w:tc>
          <w:tcPr>
            <w:tcW w:w="667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both"/>
              <w:rPr>
                <w:rFonts w:eastAsia="Times New Roman"/>
                <w:sz w:val="22"/>
                <w:lang w:eastAsia="lv-LV"/>
              </w:rPr>
            </w:pPr>
            <w:r>
              <w:rPr>
                <w:rFonts w:eastAsia="Times New Roman"/>
                <w:sz w:val="22"/>
                <w:lang w:eastAsia="lv-LV"/>
              </w:rPr>
              <w:t>Pašvaldības, komersantus pārstāvošas organizācijas, komersanti, enerģijas mazumtirdzniecības komersanti.</w:t>
            </w:r>
          </w:p>
        </w:tc>
      </w:tr>
      <w:tr w:rsidR="000F14B4">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2.</w:t>
            </w:r>
          </w:p>
        </w:tc>
        <w:tc>
          <w:tcPr>
            <w:tcW w:w="20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Tiesiskā regulējuma ietekme uz tautsaimniecību un administratīvo slogu</w:t>
            </w:r>
          </w:p>
        </w:tc>
        <w:tc>
          <w:tcPr>
            <w:tcW w:w="667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both"/>
            </w:pPr>
            <w:r>
              <w:rPr>
                <w:rFonts w:eastAsia="Times New Roman"/>
                <w:sz w:val="22"/>
                <w:lang w:eastAsia="lv-LV"/>
              </w:rPr>
              <w:t xml:space="preserve">Ministru kabineta noteikumu projekta </w:t>
            </w:r>
            <w:r>
              <w:rPr>
                <w:sz w:val="22"/>
              </w:rPr>
              <w:t>ieviešanas rezultātā tiks radīti apstākļi energoefektivitātes paaugstināšanai, kas veicinās primārās enerģijas patēriņa samazināšanos un līdz ar to arī samazināsies valsts atkarība no importējamiem energoresursiem, kā arī pašvaldību un komersantu izmaksas par enerģiju. Noteikumu projekts veicinās arī valsts obligātā enerģijas gala ietaupījuma mērķa sasniegšanu publiskajā sektorā, attiecīgi samazinot mērķa sasniegšanas slogu uz energoefektivitātes pienākumu shēmas atbildīgajām pusēm (energoapgādes komersantiem) un enerģijas tarifiem.</w:t>
            </w:r>
            <w:r>
              <w:rPr>
                <w:rFonts w:eastAsia="Times New Roman"/>
                <w:sz w:val="22"/>
                <w:lang w:eastAsia="lv-LV"/>
              </w:rPr>
              <w:t xml:space="preserve"> Ministru kabineta noteikumu</w:t>
            </w:r>
            <w:r w:rsidR="00680574">
              <w:rPr>
                <w:rFonts w:eastAsia="Times New Roman"/>
                <w:sz w:val="22"/>
                <w:lang w:eastAsia="lv-LV"/>
              </w:rPr>
              <w:t xml:space="preserve"> </w:t>
            </w:r>
            <w:r>
              <w:rPr>
                <w:rFonts w:eastAsia="Times New Roman"/>
                <w:sz w:val="22"/>
                <w:lang w:eastAsia="lv-LV"/>
              </w:rPr>
              <w:t>projekta ieviešanas rezultātā tiks radīts papildus administratīvais slogs atbildīgajai ministrijai veicot pārrunas ar brīvprātīgās vienošanās dalībniekiem un uzturot vienošanās reģistru.</w:t>
            </w:r>
          </w:p>
        </w:tc>
      </w:tr>
      <w:tr w:rsidR="000F14B4">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3.</w:t>
            </w:r>
          </w:p>
        </w:tc>
        <w:tc>
          <w:tcPr>
            <w:tcW w:w="20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Administratīvo izmaksu monetārs novērtējums</w:t>
            </w:r>
          </w:p>
        </w:tc>
        <w:tc>
          <w:tcPr>
            <w:tcW w:w="667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both"/>
              <w:rPr>
                <w:rFonts w:eastAsia="Times New Roman"/>
                <w:sz w:val="22"/>
                <w:lang w:eastAsia="lv-LV"/>
              </w:rPr>
            </w:pPr>
            <w:r>
              <w:rPr>
                <w:rFonts w:eastAsia="Times New Roman"/>
                <w:sz w:val="22"/>
                <w:lang w:eastAsia="lv-LV"/>
              </w:rPr>
              <w:t>Projekts šo jomu neskar.</w:t>
            </w:r>
          </w:p>
        </w:tc>
      </w:tr>
      <w:tr w:rsidR="000F14B4">
        <w:tc>
          <w:tcPr>
            <w:tcW w:w="4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4.</w:t>
            </w:r>
          </w:p>
        </w:tc>
        <w:tc>
          <w:tcPr>
            <w:tcW w:w="2000"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Cita informācija</w:t>
            </w:r>
          </w:p>
        </w:tc>
        <w:tc>
          <w:tcPr>
            <w:tcW w:w="667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Nav.</w:t>
            </w:r>
          </w:p>
        </w:tc>
      </w:tr>
    </w:tbl>
    <w:p w:rsidR="000F14B4" w:rsidRDefault="000F14B4">
      <w:pPr>
        <w:spacing w:after="0" w:line="240" w:lineRule="auto"/>
        <w:rPr>
          <w:rFonts w:eastAsia="Times New Roman"/>
          <w:sz w:val="22"/>
          <w:lang w:eastAsia="lv-LV"/>
        </w:rPr>
      </w:pPr>
    </w:p>
    <w:tbl>
      <w:tblPr>
        <w:tblW w:w="5000" w:type="pct"/>
        <w:tblInd w:w="-25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30" w:type="dxa"/>
          <w:left w:w="44" w:type="dxa"/>
          <w:bottom w:w="30" w:type="dxa"/>
          <w:right w:w="30" w:type="dxa"/>
        </w:tblCellMar>
        <w:tblLook w:val="04A0" w:firstRow="1" w:lastRow="0" w:firstColumn="1" w:lastColumn="0" w:noHBand="0" w:noVBand="1"/>
      </w:tblPr>
      <w:tblGrid>
        <w:gridCol w:w="3487"/>
        <w:gridCol w:w="1042"/>
        <w:gridCol w:w="1476"/>
        <w:gridCol w:w="1017"/>
        <w:gridCol w:w="1017"/>
        <w:gridCol w:w="1016"/>
      </w:tblGrid>
      <w:tr w:rsidR="000F14B4">
        <w:tc>
          <w:tcPr>
            <w:tcW w:w="9070" w:type="dxa"/>
            <w:gridSpan w:val="6"/>
            <w:tcBorders>
              <w:top w:val="single" w:sz="6" w:space="0" w:color="00000A"/>
              <w:left w:val="single" w:sz="6" w:space="0" w:color="00000A"/>
              <w:bottom w:val="single" w:sz="6" w:space="0" w:color="00000A"/>
              <w:right w:val="single" w:sz="6" w:space="0" w:color="00000A"/>
            </w:tcBorders>
            <w:shd w:val="clear" w:color="auto" w:fill="auto"/>
            <w:tcMar>
              <w:left w:w="44" w:type="dxa"/>
            </w:tcMar>
          </w:tcPr>
          <w:p w:rsidR="000F14B4" w:rsidRDefault="00786C08">
            <w:pPr>
              <w:spacing w:after="0" w:line="240" w:lineRule="auto"/>
              <w:jc w:val="center"/>
              <w:rPr>
                <w:rFonts w:eastAsia="Times New Roman"/>
                <w:b/>
                <w:bCs/>
                <w:sz w:val="22"/>
                <w:lang w:eastAsia="lv-LV"/>
              </w:rPr>
            </w:pPr>
            <w:r>
              <w:rPr>
                <w:rFonts w:eastAsia="Times New Roman"/>
                <w:b/>
                <w:bCs/>
                <w:sz w:val="22"/>
                <w:lang w:eastAsia="lv-LV"/>
              </w:rPr>
              <w:t>III. Tiesību akta projekta ietekme uz valsts budžetu un pašvaldību budžetiem</w:t>
            </w:r>
          </w:p>
        </w:tc>
      </w:tr>
      <w:tr w:rsidR="000F14B4">
        <w:tc>
          <w:tcPr>
            <w:tcW w:w="3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
                <w:sz w:val="22"/>
                <w:lang w:eastAsia="lv-LV"/>
              </w:rPr>
              <w:t>Rādītāji</w:t>
            </w:r>
          </w:p>
        </w:tc>
        <w:tc>
          <w:tcPr>
            <w:tcW w:w="252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
                <w:sz w:val="22"/>
                <w:lang w:eastAsia="lv-LV"/>
              </w:rPr>
              <w:t>2016. gads</w:t>
            </w:r>
          </w:p>
        </w:tc>
        <w:tc>
          <w:tcPr>
            <w:tcW w:w="305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 w:val="22"/>
                <w:lang w:eastAsia="lv-LV"/>
              </w:rPr>
              <w:t>Turpmākie trīs gadi (tūkst. euro)</w:t>
            </w:r>
          </w:p>
        </w:tc>
      </w:tr>
      <w:tr w:rsidR="000F14B4">
        <w:tc>
          <w:tcPr>
            <w:tcW w:w="3498"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252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
                <w:bCs/>
                <w:sz w:val="22"/>
                <w:lang w:eastAsia="lv-LV"/>
              </w:rPr>
              <w:t>2017</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
                <w:bCs/>
                <w:sz w:val="22"/>
                <w:lang w:eastAsia="lv-LV"/>
              </w:rPr>
              <w:t>2018</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
                <w:bCs/>
                <w:sz w:val="22"/>
                <w:lang w:eastAsia="lv-LV"/>
              </w:rPr>
              <w:t>2019</w:t>
            </w:r>
          </w:p>
        </w:tc>
      </w:tr>
      <w:tr w:rsidR="000F14B4">
        <w:tc>
          <w:tcPr>
            <w:tcW w:w="3498"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 w:val="22"/>
                <w:lang w:eastAsia="lv-LV"/>
              </w:rPr>
              <w:t>Saskaņā ar valsts budžetu kārtējam gadam</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 w:val="22"/>
                <w:lang w:eastAsia="lv-LV"/>
              </w:rPr>
              <w:t>Izmaiņas kārtējā gadā, salīdzinot ar budžetu kārtējam gadam</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 w:val="22"/>
                <w:lang w:eastAsia="lv-LV"/>
              </w:rPr>
              <w:t>Izmaiņas, salīdzinot ar kārtējo (n) gadu</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 w:val="22"/>
                <w:lang w:eastAsia="lv-LV"/>
              </w:rPr>
              <w:t>Izmaiņas, salīdzinot ar kārtējo (n) gadu</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 w:val="22"/>
                <w:lang w:eastAsia="lv-LV"/>
              </w:rPr>
              <w:t>Izmaiņas, salīdzinot ar kārtējo (n) gadu</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Cs/>
                <w:sz w:val="22"/>
                <w:lang w:eastAsia="lv-LV"/>
              </w:rPr>
              <w:t>1</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Cs/>
                <w:sz w:val="22"/>
                <w:lang w:eastAsia="lv-LV"/>
              </w:rPr>
              <w:t>2</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Cs/>
                <w:sz w:val="22"/>
                <w:lang w:eastAsia="lv-LV"/>
              </w:rPr>
              <w:t>3</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Cs/>
                <w:sz w:val="22"/>
                <w:lang w:eastAsia="lv-LV"/>
              </w:rPr>
              <w:t>4</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Cs/>
                <w:sz w:val="22"/>
                <w:lang w:eastAsia="lv-LV"/>
              </w:rPr>
              <w:t>5</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bCs/>
                <w:sz w:val="22"/>
                <w:lang w:eastAsia="lv-LV"/>
              </w:rPr>
              <w:t>6</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rPr>
                <w:rFonts w:eastAsia="Times New Roman"/>
                <w:szCs w:val="24"/>
                <w:lang w:eastAsia="lv-LV"/>
              </w:rPr>
            </w:pPr>
            <w:r>
              <w:rPr>
                <w:rFonts w:eastAsia="Times New Roman"/>
                <w:sz w:val="22"/>
                <w:lang w:eastAsia="lv-LV"/>
              </w:rPr>
              <w:t>1. Budžeta ieņēmumi:</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rPr>
                <w:rFonts w:eastAsia="Times New Roman"/>
                <w:szCs w:val="24"/>
                <w:lang w:eastAsia="lv-LV"/>
              </w:rPr>
            </w:pPr>
            <w:r>
              <w:rPr>
                <w:rFonts w:eastAsia="Times New Roman"/>
                <w:sz w:val="22"/>
                <w:lang w:eastAsia="lv-LV"/>
              </w:rPr>
              <w:t>1.1. valsts pamatbudžets, tai skaitā ieņēmumi no maksas pakalpo-jumiem un citi pašu ieņēmumi</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rPr>
                <w:rFonts w:eastAsia="Times New Roman"/>
                <w:szCs w:val="24"/>
                <w:lang w:eastAsia="lv-LV"/>
              </w:rPr>
            </w:pPr>
            <w:r>
              <w:rPr>
                <w:rFonts w:eastAsia="Times New Roman"/>
                <w:sz w:val="22"/>
                <w:lang w:eastAsia="lv-LV"/>
              </w:rPr>
              <w:t>1.2. valsts speciālais budžets</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rPr>
                <w:rFonts w:eastAsia="Times New Roman"/>
                <w:szCs w:val="24"/>
                <w:lang w:eastAsia="lv-LV"/>
              </w:rPr>
            </w:pPr>
            <w:r>
              <w:rPr>
                <w:rFonts w:eastAsia="Times New Roman"/>
                <w:sz w:val="22"/>
                <w:lang w:eastAsia="lv-LV"/>
              </w:rPr>
              <w:t>1.3. pašvaldību budžets</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2. Budžeta izdevumi:</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2.1. valsts pamatbudžets</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2.2. valsts speciālais budžets</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 xml:space="preserve">2.3. pašvaldību budžets </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3. Finansiālā ietekme:</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3.1. valsts pamatbudžets</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lastRenderedPageBreak/>
              <w:t>3.2. speciālais budžets</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 xml:space="preserve">3.3. pašvaldību budžets </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4. Finanšu līdzekļi papildu izde</w:t>
            </w:r>
            <w:r>
              <w:rPr>
                <w:rFonts w:eastAsia="Times New Roman"/>
                <w:sz w:val="22"/>
                <w:lang w:eastAsia="lv-LV"/>
              </w:rPr>
              <w:softHyphen/>
              <w:t>vumu finansēšanai (kompensējošu izdevumu samazinājumu norāda ar "+" zīmi)</w:t>
            </w:r>
          </w:p>
        </w:tc>
        <w:tc>
          <w:tcPr>
            <w:tcW w:w="1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Cs w:val="24"/>
                <w:lang w:eastAsia="lv-LV"/>
              </w:rPr>
              <w:t>X</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jc w:val="both"/>
              <w:rPr>
                <w:rFonts w:eastAsia="Times New Roman"/>
                <w:szCs w:val="24"/>
                <w:lang w:eastAsia="lv-LV"/>
              </w:rPr>
            </w:pPr>
            <w:r>
              <w:rPr>
                <w:rFonts w:eastAsia="Times New Roman"/>
                <w:sz w:val="22"/>
                <w:lang w:eastAsia="lv-LV"/>
              </w:rPr>
              <w:t>5. Precizēta finansiālā ietekme:</w:t>
            </w:r>
          </w:p>
        </w:tc>
        <w:tc>
          <w:tcPr>
            <w:tcW w:w="1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jc w:val="center"/>
              <w:rPr>
                <w:rFonts w:eastAsia="Times New Roman"/>
                <w:szCs w:val="24"/>
                <w:lang w:eastAsia="lv-LV"/>
              </w:rPr>
            </w:pPr>
            <w:r>
              <w:rPr>
                <w:rFonts w:eastAsia="Times New Roman"/>
                <w:szCs w:val="24"/>
                <w:lang w:eastAsia="lv-LV"/>
              </w:rPr>
              <w:t>X</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jc w:val="both"/>
              <w:rPr>
                <w:rFonts w:eastAsia="Times New Roman"/>
                <w:szCs w:val="24"/>
                <w:lang w:eastAsia="lv-LV"/>
              </w:rPr>
            </w:pPr>
            <w:r>
              <w:rPr>
                <w:rFonts w:eastAsia="Times New Roman"/>
                <w:sz w:val="22"/>
                <w:lang w:eastAsia="lv-LV"/>
              </w:rPr>
              <w:t>5.1. valsts pamatbudžets</w:t>
            </w:r>
          </w:p>
        </w:tc>
        <w:tc>
          <w:tcPr>
            <w:tcW w:w="104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jc w:val="both"/>
              <w:rPr>
                <w:rFonts w:eastAsia="Times New Roman"/>
                <w:szCs w:val="24"/>
                <w:lang w:eastAsia="lv-LV"/>
              </w:rPr>
            </w:pPr>
            <w:r>
              <w:rPr>
                <w:rFonts w:eastAsia="Times New Roman"/>
                <w:sz w:val="22"/>
                <w:lang w:eastAsia="lv-LV"/>
              </w:rPr>
              <w:t>5.2. speciālais budžets</w:t>
            </w:r>
          </w:p>
        </w:tc>
        <w:tc>
          <w:tcPr>
            <w:tcW w:w="104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jc w:val="both"/>
              <w:rPr>
                <w:rFonts w:eastAsia="Times New Roman"/>
                <w:szCs w:val="24"/>
                <w:lang w:eastAsia="lv-LV"/>
              </w:rPr>
            </w:pPr>
            <w:r>
              <w:rPr>
                <w:rFonts w:eastAsia="Times New Roman"/>
                <w:sz w:val="22"/>
                <w:lang w:eastAsia="lv-LV"/>
              </w:rPr>
              <w:t xml:space="preserve">5.3. pašvaldību budžets </w:t>
            </w:r>
          </w:p>
        </w:tc>
        <w:tc>
          <w:tcPr>
            <w:tcW w:w="1043" w:type="dxa"/>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center"/>
              <w:rPr>
                <w:rFonts w:eastAsia="Times New Roman"/>
                <w:szCs w:val="24"/>
                <w:lang w:eastAsia="lv-LV"/>
              </w:rPr>
            </w:pPr>
            <w:r>
              <w:rPr>
                <w:rFonts w:eastAsia="Times New Roman"/>
                <w:sz w:val="22"/>
                <w:lang w:eastAsia="lv-LV"/>
              </w:rPr>
              <w:t>0</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6. Detalizēts ieņēmumu un izdevu</w:t>
            </w:r>
            <w:r>
              <w:rPr>
                <w:rFonts w:eastAsia="Times New Roman"/>
                <w:sz w:val="22"/>
                <w:lang w:eastAsia="lv-LV"/>
              </w:rPr>
              <w:softHyphen/>
              <w:t>mu aprēķins (ja nepieciešams, detalizētu ieņēmumu un izdevumu aprēķinu var pievienot anotācijas pielikumā):</w:t>
            </w:r>
          </w:p>
        </w:tc>
        <w:tc>
          <w:tcPr>
            <w:tcW w:w="5572"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786C08">
            <w:pPr>
              <w:spacing w:after="0" w:line="240" w:lineRule="auto"/>
              <w:rPr>
                <w:rFonts w:eastAsia="Times New Roman"/>
                <w:szCs w:val="24"/>
                <w:lang w:eastAsia="lv-LV"/>
              </w:rPr>
            </w:pPr>
            <w:r>
              <w:rPr>
                <w:rFonts w:eastAsia="Times New Roman"/>
                <w:sz w:val="22"/>
                <w:lang w:eastAsia="lv-LV"/>
              </w:rPr>
              <w:t>Projekts šo jomu neskar.</w:t>
            </w: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6.1. detalizēts ieņēmumu aprēķins</w:t>
            </w:r>
          </w:p>
        </w:tc>
        <w:tc>
          <w:tcPr>
            <w:tcW w:w="5572"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rPr>
                <w:rFonts w:eastAsia="Times New Roman"/>
                <w:szCs w:val="24"/>
                <w:lang w:eastAsia="lv-LV"/>
              </w:rPr>
            </w:pPr>
            <w:r>
              <w:rPr>
                <w:rFonts w:eastAsia="Times New Roman"/>
                <w:sz w:val="22"/>
                <w:lang w:eastAsia="lv-LV"/>
              </w:rPr>
              <w:t>6.2. detalizēts izdevumu aprēķins</w:t>
            </w:r>
          </w:p>
        </w:tc>
        <w:tc>
          <w:tcPr>
            <w:tcW w:w="5572"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0F14B4" w:rsidRDefault="000F14B4">
            <w:pPr>
              <w:spacing w:after="0" w:line="240" w:lineRule="auto"/>
              <w:rPr>
                <w:rFonts w:eastAsia="Times New Roman"/>
                <w:szCs w:val="24"/>
                <w:lang w:eastAsia="lv-LV"/>
              </w:rPr>
            </w:pPr>
          </w:p>
        </w:tc>
      </w:tr>
      <w:tr w:rsidR="000F14B4">
        <w:tc>
          <w:tcPr>
            <w:tcW w:w="3498"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beforeAutospacing="1" w:afterAutospacing="1" w:line="240" w:lineRule="auto"/>
              <w:jc w:val="both"/>
              <w:rPr>
                <w:rFonts w:eastAsia="Times New Roman"/>
                <w:szCs w:val="24"/>
                <w:lang w:eastAsia="lv-LV"/>
              </w:rPr>
            </w:pPr>
            <w:r>
              <w:rPr>
                <w:rFonts w:eastAsia="Times New Roman"/>
                <w:sz w:val="22"/>
                <w:lang w:eastAsia="lv-LV"/>
              </w:rPr>
              <w:t>7. Cita informācija</w:t>
            </w:r>
          </w:p>
        </w:tc>
        <w:tc>
          <w:tcPr>
            <w:tcW w:w="5572"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0F14B4" w:rsidRDefault="00786C08">
            <w:pPr>
              <w:spacing w:after="0" w:line="240" w:lineRule="auto"/>
              <w:jc w:val="both"/>
              <w:rPr>
                <w:rFonts w:eastAsia="Times New Roman"/>
                <w:sz w:val="22"/>
                <w:lang w:eastAsia="lv-LV"/>
              </w:rPr>
            </w:pPr>
            <w:r>
              <w:rPr>
                <w:rFonts w:eastAsia="Times New Roman"/>
                <w:sz w:val="22"/>
                <w:lang w:eastAsia="lv-LV"/>
              </w:rPr>
              <w:t xml:space="preserve">Saskaņā ar Likuma 8.panta pirmo daļu pašvaldības ir tiesīgas noslēgt brīvprātīgu vienošanos ar valsti atbildīgās ministrijas personā par energoefektivitātes uzlabošanu, tostarp energoefektivitātes pakalpojumu veicināšanu. </w:t>
            </w:r>
          </w:p>
          <w:p w:rsidR="000F14B4" w:rsidRDefault="00786C08">
            <w:pPr>
              <w:spacing w:after="0" w:line="240" w:lineRule="auto"/>
              <w:jc w:val="both"/>
              <w:rPr>
                <w:rFonts w:eastAsia="Times New Roman"/>
                <w:sz w:val="22"/>
                <w:lang w:eastAsia="lv-LV"/>
              </w:rPr>
            </w:pPr>
            <w:r>
              <w:rPr>
                <w:rFonts w:eastAsia="Times New Roman"/>
                <w:sz w:val="22"/>
                <w:lang w:eastAsia="lv-LV"/>
              </w:rPr>
              <w:t xml:space="preserve">Sagaidāms, ka energoefektivitātes pasākumu ieviešana  pašvaldībās ļaus ietaupīt izmaksas par enerģiju. Saskaņā ar ekspertu vērtējumu energopārvaldības sistēmas, kura tiek iekļauta vienošanās dalībnieka energoefektivitātes plānā, ieviešanas izmaksas sasniedz ap 2% no enerģijas izmaksām, vienlaikus enerģijas izmaksu ietaupījums jau pirmajos ieviešanas gados ir ap 10%. Līdzekļu ekonomija būs iespējama, īstenojot brīvprātīgās vienošanās dalībnieka energoefektivitātes plānā izvirzītos energoefektivitātes uzlabošanas pasākumus. </w:t>
            </w:r>
            <w:r w:rsidR="003C14CD">
              <w:rPr>
                <w:rFonts w:eastAsia="Times New Roman"/>
                <w:sz w:val="22"/>
                <w:lang w:eastAsia="lv-LV"/>
              </w:rPr>
              <w:t>Atbildīgā ministrija noteikumu projektu īsteno tai piešķirto valsts budžeta līdzekļu ietvaros.</w:t>
            </w:r>
          </w:p>
        </w:tc>
      </w:tr>
    </w:tbl>
    <w:p w:rsidR="000F14B4" w:rsidRDefault="000F14B4">
      <w:pPr>
        <w:spacing w:after="0" w:line="240" w:lineRule="auto"/>
        <w:rPr>
          <w:rFonts w:eastAsia="Times New Roman"/>
          <w:sz w:val="22"/>
          <w:lang w:eastAsia="lv-LV"/>
        </w:rPr>
      </w:pPr>
    </w:p>
    <w:p w:rsidR="000F14B4" w:rsidRDefault="000F14B4">
      <w:pPr>
        <w:spacing w:after="0" w:line="240" w:lineRule="auto"/>
        <w:rPr>
          <w:rFonts w:eastAsia="Times New Roman"/>
          <w:sz w:val="22"/>
          <w:lang w:eastAsia="lv-LV"/>
        </w:rPr>
      </w:pPr>
    </w:p>
    <w:tbl>
      <w:tblPr>
        <w:tblW w:w="5000" w:type="pct"/>
        <w:tblInd w:w="-25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30" w:type="dxa"/>
          <w:left w:w="44" w:type="dxa"/>
          <w:bottom w:w="30" w:type="dxa"/>
          <w:right w:w="30" w:type="dxa"/>
        </w:tblCellMar>
        <w:tblLook w:val="04A0" w:firstRow="1" w:lastRow="0" w:firstColumn="1" w:lastColumn="0" w:noHBand="0" w:noVBand="1"/>
      </w:tblPr>
      <w:tblGrid>
        <w:gridCol w:w="400"/>
        <w:gridCol w:w="1982"/>
        <w:gridCol w:w="6673"/>
      </w:tblGrid>
      <w:tr w:rsidR="000F14B4">
        <w:tc>
          <w:tcPr>
            <w:tcW w:w="9071" w:type="dxa"/>
            <w:gridSpan w:val="3"/>
            <w:tcBorders>
              <w:top w:val="single" w:sz="6" w:space="0" w:color="00000A"/>
              <w:left w:val="single" w:sz="6" w:space="0" w:color="00000A"/>
              <w:bottom w:val="single" w:sz="6" w:space="0" w:color="00000A"/>
              <w:right w:val="single" w:sz="6" w:space="0" w:color="00000A"/>
            </w:tcBorders>
            <w:shd w:val="clear" w:color="auto" w:fill="auto"/>
            <w:tcMar>
              <w:left w:w="44" w:type="dxa"/>
            </w:tcMar>
          </w:tcPr>
          <w:p w:rsidR="000F14B4" w:rsidRDefault="00786C08">
            <w:pPr>
              <w:spacing w:after="0" w:line="240" w:lineRule="auto"/>
              <w:jc w:val="center"/>
              <w:rPr>
                <w:rFonts w:eastAsia="Times New Roman"/>
                <w:b/>
                <w:bCs/>
                <w:sz w:val="22"/>
                <w:lang w:eastAsia="lv-LV"/>
              </w:rPr>
            </w:pPr>
            <w:r>
              <w:rPr>
                <w:rFonts w:eastAsia="Times New Roman"/>
                <w:b/>
                <w:bCs/>
                <w:sz w:val="22"/>
                <w:lang w:eastAsia="lv-LV"/>
              </w:rPr>
              <w:t>V. Tiesību akta projekta atbilstība Latvijas Republikas starptautiskajām saistībām</w:t>
            </w:r>
          </w:p>
        </w:tc>
      </w:tr>
      <w:tr w:rsidR="000F14B4">
        <w:trPr>
          <w:trHeight w:val="246"/>
        </w:trPr>
        <w:tc>
          <w:tcPr>
            <w:tcW w:w="400" w:type="dxa"/>
            <w:tcBorders>
              <w:top w:val="single" w:sz="6" w:space="0" w:color="00000A"/>
              <w:left w:val="single" w:sz="6" w:space="0" w:color="00000A"/>
              <w:bottom w:val="outset" w:sz="6" w:space="0" w:color="000001"/>
              <w:right w:val="single" w:sz="4" w:space="0" w:color="00000A"/>
            </w:tcBorders>
            <w:shd w:val="clear" w:color="auto" w:fill="auto"/>
            <w:tcMar>
              <w:left w:w="44" w:type="dxa"/>
            </w:tcMar>
          </w:tcPr>
          <w:p w:rsidR="000F14B4" w:rsidRDefault="00786C08">
            <w:pPr>
              <w:spacing w:after="0" w:line="240" w:lineRule="auto"/>
              <w:rPr>
                <w:rFonts w:eastAsia="Times New Roman"/>
                <w:sz w:val="22"/>
                <w:lang w:eastAsia="lv-LV"/>
              </w:rPr>
            </w:pPr>
            <w:r>
              <w:rPr>
                <w:rFonts w:eastAsia="Times New Roman"/>
                <w:sz w:val="22"/>
                <w:lang w:eastAsia="lv-LV"/>
              </w:rPr>
              <w:t>1.</w:t>
            </w:r>
          </w:p>
        </w:tc>
        <w:tc>
          <w:tcPr>
            <w:tcW w:w="1984" w:type="dxa"/>
            <w:tcBorders>
              <w:top w:val="single" w:sz="6" w:space="0" w:color="00000A"/>
              <w:left w:val="single" w:sz="4" w:space="0" w:color="00000A"/>
              <w:bottom w:val="outset" w:sz="6" w:space="0" w:color="000001"/>
              <w:right w:val="single" w:sz="4" w:space="0" w:color="00000A"/>
            </w:tcBorders>
            <w:shd w:val="clear" w:color="auto" w:fill="auto"/>
            <w:tcMar>
              <w:left w:w="47" w:type="dxa"/>
            </w:tcMar>
          </w:tcPr>
          <w:p w:rsidR="000F14B4" w:rsidRDefault="00786C08">
            <w:pPr>
              <w:spacing w:after="0" w:line="240" w:lineRule="auto"/>
              <w:rPr>
                <w:rFonts w:eastAsia="Times New Roman"/>
                <w:sz w:val="22"/>
                <w:lang w:eastAsia="lv-LV"/>
              </w:rPr>
            </w:pPr>
            <w:r>
              <w:rPr>
                <w:rFonts w:eastAsia="Times New Roman"/>
                <w:sz w:val="22"/>
                <w:lang w:eastAsia="lv-LV"/>
              </w:rPr>
              <w:t>Saistības pret Eiropas Savienību</w:t>
            </w:r>
          </w:p>
        </w:tc>
        <w:tc>
          <w:tcPr>
            <w:tcW w:w="6687" w:type="dxa"/>
            <w:tcBorders>
              <w:top w:val="single" w:sz="6" w:space="0" w:color="00000A"/>
              <w:left w:val="single" w:sz="4" w:space="0" w:color="00000A"/>
              <w:bottom w:val="outset" w:sz="6" w:space="0" w:color="000001"/>
              <w:right w:val="single" w:sz="6" w:space="0" w:color="00000A"/>
            </w:tcBorders>
            <w:shd w:val="clear" w:color="auto" w:fill="auto"/>
            <w:tcMar>
              <w:left w:w="47" w:type="dxa"/>
            </w:tcMar>
          </w:tcPr>
          <w:p w:rsidR="000F14B4" w:rsidRDefault="00786C08">
            <w:pPr>
              <w:pStyle w:val="doc-ti"/>
              <w:spacing w:before="0" w:after="0"/>
              <w:jc w:val="both"/>
              <w:rPr>
                <w:sz w:val="22"/>
                <w:szCs w:val="22"/>
              </w:rPr>
            </w:pPr>
            <w:r>
              <w:rPr>
                <w:b w:val="0"/>
                <w:sz w:val="22"/>
                <w:szCs w:val="22"/>
              </w:rPr>
              <w:t xml:space="preserve">Ministru kabineta noteikumu projekta nepieciešamību nosaka </w:t>
            </w:r>
            <w:r>
              <w:rPr>
                <w:b w:val="0"/>
                <w:color w:val="000000"/>
                <w:sz w:val="22"/>
                <w:szCs w:val="22"/>
              </w:rPr>
              <w:t>Direktīvas 2012/27/ES 7. panta 9. punkta c) apakšpunkts. Normatīvajiem un administratīvajiem aktiem, kas vajadzīgi, lai izpildītu Direktīvas 2012/27/ES prasības, jāstājas spēkā līdz 2014. gada 5. jūnijam.</w:t>
            </w:r>
          </w:p>
        </w:tc>
      </w:tr>
      <w:tr w:rsidR="000F14B4">
        <w:trPr>
          <w:trHeight w:val="246"/>
        </w:trPr>
        <w:tc>
          <w:tcPr>
            <w:tcW w:w="400" w:type="dxa"/>
            <w:tcBorders>
              <w:top w:val="single" w:sz="6" w:space="0" w:color="00000A"/>
              <w:left w:val="single" w:sz="6" w:space="0" w:color="00000A"/>
              <w:bottom w:val="outset" w:sz="6" w:space="0" w:color="000001"/>
              <w:right w:val="single" w:sz="4" w:space="0" w:color="00000A"/>
            </w:tcBorders>
            <w:shd w:val="clear" w:color="auto" w:fill="auto"/>
            <w:tcMar>
              <w:left w:w="44" w:type="dxa"/>
            </w:tcMar>
          </w:tcPr>
          <w:p w:rsidR="000F14B4" w:rsidRDefault="00786C08">
            <w:pPr>
              <w:spacing w:after="0" w:line="240" w:lineRule="auto"/>
              <w:rPr>
                <w:rFonts w:eastAsia="Times New Roman"/>
                <w:sz w:val="22"/>
                <w:lang w:eastAsia="lv-LV"/>
              </w:rPr>
            </w:pPr>
            <w:r>
              <w:rPr>
                <w:rFonts w:eastAsia="Times New Roman"/>
                <w:sz w:val="22"/>
                <w:lang w:eastAsia="lv-LV"/>
              </w:rPr>
              <w:t>2.</w:t>
            </w:r>
          </w:p>
        </w:tc>
        <w:tc>
          <w:tcPr>
            <w:tcW w:w="1984" w:type="dxa"/>
            <w:tcBorders>
              <w:top w:val="single" w:sz="6" w:space="0" w:color="00000A"/>
              <w:left w:val="single" w:sz="4" w:space="0" w:color="00000A"/>
              <w:bottom w:val="outset" w:sz="6" w:space="0" w:color="000001"/>
              <w:right w:val="single" w:sz="4" w:space="0" w:color="00000A"/>
            </w:tcBorders>
            <w:shd w:val="clear" w:color="auto" w:fill="auto"/>
            <w:tcMar>
              <w:left w:w="47" w:type="dxa"/>
            </w:tcMar>
          </w:tcPr>
          <w:p w:rsidR="000F14B4" w:rsidRDefault="00786C08">
            <w:pPr>
              <w:spacing w:after="0" w:line="240" w:lineRule="auto"/>
              <w:rPr>
                <w:rFonts w:eastAsia="Times New Roman"/>
                <w:sz w:val="22"/>
                <w:lang w:eastAsia="lv-LV"/>
              </w:rPr>
            </w:pPr>
            <w:r>
              <w:rPr>
                <w:rFonts w:eastAsia="Times New Roman"/>
                <w:sz w:val="22"/>
                <w:lang w:eastAsia="lv-LV"/>
              </w:rPr>
              <w:t>Citas starptautiskās saistības</w:t>
            </w:r>
          </w:p>
        </w:tc>
        <w:tc>
          <w:tcPr>
            <w:tcW w:w="6687" w:type="dxa"/>
            <w:tcBorders>
              <w:top w:val="single" w:sz="6" w:space="0" w:color="00000A"/>
              <w:left w:val="single" w:sz="4" w:space="0" w:color="00000A"/>
              <w:bottom w:val="outset" w:sz="6" w:space="0" w:color="000001"/>
              <w:right w:val="single" w:sz="6" w:space="0" w:color="00000A"/>
            </w:tcBorders>
            <w:shd w:val="clear" w:color="auto" w:fill="auto"/>
            <w:tcMar>
              <w:left w:w="47" w:type="dxa"/>
            </w:tcMar>
          </w:tcPr>
          <w:p w:rsidR="000F14B4" w:rsidRDefault="00786C08">
            <w:pPr>
              <w:spacing w:after="0" w:line="240" w:lineRule="auto"/>
              <w:rPr>
                <w:rFonts w:eastAsia="Times New Roman"/>
                <w:sz w:val="22"/>
                <w:lang w:eastAsia="lv-LV"/>
              </w:rPr>
            </w:pPr>
            <w:r>
              <w:rPr>
                <w:bCs/>
                <w:color w:val="000000" w:themeColor="text1"/>
                <w:sz w:val="22"/>
              </w:rPr>
              <w:t>Nav attiecināms.</w:t>
            </w:r>
          </w:p>
        </w:tc>
      </w:tr>
      <w:tr w:rsidR="000F14B4">
        <w:trPr>
          <w:trHeight w:val="246"/>
        </w:trPr>
        <w:tc>
          <w:tcPr>
            <w:tcW w:w="400" w:type="dxa"/>
            <w:tcBorders>
              <w:top w:val="single" w:sz="6" w:space="0" w:color="00000A"/>
              <w:left w:val="single" w:sz="6" w:space="0" w:color="00000A"/>
              <w:bottom w:val="outset" w:sz="6" w:space="0" w:color="000001"/>
              <w:right w:val="single" w:sz="4" w:space="0" w:color="00000A"/>
            </w:tcBorders>
            <w:shd w:val="clear" w:color="auto" w:fill="auto"/>
            <w:tcMar>
              <w:left w:w="44" w:type="dxa"/>
            </w:tcMar>
          </w:tcPr>
          <w:p w:rsidR="000F14B4" w:rsidRDefault="00786C08">
            <w:pPr>
              <w:spacing w:after="0" w:line="240" w:lineRule="auto"/>
              <w:rPr>
                <w:rFonts w:eastAsia="Times New Roman"/>
                <w:sz w:val="22"/>
                <w:lang w:eastAsia="lv-LV"/>
              </w:rPr>
            </w:pPr>
            <w:r>
              <w:rPr>
                <w:rFonts w:eastAsia="Times New Roman"/>
                <w:sz w:val="22"/>
                <w:lang w:eastAsia="lv-LV"/>
              </w:rPr>
              <w:t>3.</w:t>
            </w:r>
          </w:p>
        </w:tc>
        <w:tc>
          <w:tcPr>
            <w:tcW w:w="1984" w:type="dxa"/>
            <w:tcBorders>
              <w:top w:val="single" w:sz="6" w:space="0" w:color="00000A"/>
              <w:left w:val="single" w:sz="4" w:space="0" w:color="00000A"/>
              <w:bottom w:val="outset" w:sz="6" w:space="0" w:color="000001"/>
              <w:right w:val="single" w:sz="4" w:space="0" w:color="00000A"/>
            </w:tcBorders>
            <w:shd w:val="clear" w:color="auto" w:fill="auto"/>
            <w:tcMar>
              <w:left w:w="47" w:type="dxa"/>
            </w:tcMar>
          </w:tcPr>
          <w:p w:rsidR="000F14B4" w:rsidRDefault="00786C08">
            <w:pPr>
              <w:spacing w:after="0" w:line="240" w:lineRule="auto"/>
              <w:rPr>
                <w:rFonts w:eastAsia="Times New Roman"/>
                <w:sz w:val="22"/>
                <w:lang w:eastAsia="lv-LV"/>
              </w:rPr>
            </w:pPr>
            <w:r>
              <w:rPr>
                <w:rFonts w:eastAsia="Times New Roman"/>
                <w:sz w:val="22"/>
                <w:lang w:eastAsia="lv-LV"/>
              </w:rPr>
              <w:t>Cita informācija</w:t>
            </w:r>
          </w:p>
        </w:tc>
        <w:tc>
          <w:tcPr>
            <w:tcW w:w="6687" w:type="dxa"/>
            <w:tcBorders>
              <w:top w:val="single" w:sz="6" w:space="0" w:color="00000A"/>
              <w:left w:val="single" w:sz="4" w:space="0" w:color="00000A"/>
              <w:bottom w:val="outset" w:sz="6" w:space="0" w:color="000001"/>
              <w:right w:val="single" w:sz="6" w:space="0" w:color="00000A"/>
            </w:tcBorders>
            <w:shd w:val="clear" w:color="auto" w:fill="auto"/>
            <w:tcMar>
              <w:left w:w="47" w:type="dxa"/>
            </w:tcMar>
          </w:tcPr>
          <w:p w:rsidR="000F14B4" w:rsidRDefault="00786C08">
            <w:pPr>
              <w:spacing w:after="0" w:line="240" w:lineRule="auto"/>
              <w:rPr>
                <w:rFonts w:eastAsia="Times New Roman"/>
                <w:sz w:val="22"/>
                <w:lang w:eastAsia="lv-LV"/>
              </w:rPr>
            </w:pPr>
            <w:r>
              <w:rPr>
                <w:rFonts w:eastAsia="Times New Roman"/>
                <w:sz w:val="22"/>
                <w:lang w:eastAsia="lv-LV"/>
              </w:rPr>
              <w:t>Nav</w:t>
            </w:r>
          </w:p>
        </w:tc>
      </w:tr>
    </w:tbl>
    <w:p w:rsidR="000F14B4" w:rsidRDefault="000F14B4">
      <w:pPr>
        <w:spacing w:after="0" w:line="240" w:lineRule="auto"/>
        <w:rPr>
          <w:rFonts w:eastAsia="Times New Roman"/>
          <w:sz w:val="22"/>
          <w:lang w:eastAsia="lv-LV"/>
        </w:rPr>
      </w:pPr>
    </w:p>
    <w:tbl>
      <w:tblPr>
        <w:tblStyle w:val="TableGrid"/>
        <w:tblW w:w="5000" w:type="pct"/>
        <w:tblInd w:w="-289" w:type="dxa"/>
        <w:tblLook w:val="04A0" w:firstRow="1" w:lastRow="0" w:firstColumn="1" w:lastColumn="0" w:noHBand="0" w:noVBand="1"/>
      </w:tblPr>
      <w:tblGrid>
        <w:gridCol w:w="1538"/>
        <w:gridCol w:w="1295"/>
        <w:gridCol w:w="4569"/>
        <w:gridCol w:w="1659"/>
      </w:tblGrid>
      <w:tr w:rsidR="000F14B4">
        <w:tc>
          <w:tcPr>
            <w:tcW w:w="9070" w:type="dxa"/>
            <w:gridSpan w:val="4"/>
            <w:shd w:val="clear" w:color="auto" w:fill="auto"/>
            <w:tcMar>
              <w:left w:w="108" w:type="dxa"/>
            </w:tcMar>
          </w:tcPr>
          <w:p w:rsidR="000F14B4" w:rsidRDefault="00786C08">
            <w:pPr>
              <w:spacing w:after="0" w:line="240" w:lineRule="auto"/>
              <w:jc w:val="center"/>
              <w:rPr>
                <w:rFonts w:eastAsia="Times New Roman"/>
                <w:sz w:val="22"/>
                <w:lang w:eastAsia="lv-LV"/>
              </w:rPr>
            </w:pPr>
            <w:r>
              <w:rPr>
                <w:rFonts w:eastAsia="Times New Roman"/>
                <w:b/>
                <w:bCs/>
                <w:sz w:val="22"/>
                <w:lang w:eastAsia="lv-LV"/>
              </w:rPr>
              <w:t>1. tabula</w:t>
            </w:r>
            <w:r>
              <w:rPr>
                <w:rFonts w:eastAsia="Times New Roman"/>
                <w:b/>
                <w:bCs/>
                <w:sz w:val="22"/>
                <w:lang w:eastAsia="lv-LV"/>
              </w:rPr>
              <w:br/>
              <w:t>Tiesību akta projekta atbilstība ES tiesību aktiem</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Attiecīgā ES tiesību akta datums, numurs un nosaukums</w:t>
            </w:r>
          </w:p>
        </w:tc>
        <w:tc>
          <w:tcPr>
            <w:tcW w:w="7532" w:type="dxa"/>
            <w:gridSpan w:val="3"/>
            <w:shd w:val="clear" w:color="auto" w:fill="auto"/>
            <w:tcMar>
              <w:left w:w="108" w:type="dxa"/>
            </w:tcMar>
          </w:tcPr>
          <w:p w:rsidR="000F14B4" w:rsidRDefault="00786C08">
            <w:pPr>
              <w:spacing w:after="0" w:line="240" w:lineRule="auto"/>
              <w:rPr>
                <w:rFonts w:eastAsia="Times New Roman"/>
                <w:sz w:val="22"/>
                <w:lang w:eastAsia="lv-LV"/>
              </w:rPr>
            </w:pPr>
            <w:r>
              <w:rPr>
                <w:sz w:val="22"/>
              </w:rPr>
              <w:t>Eiropas Parlamenta un Padomes 2012. gada 25. oktobra Direktīva 2012/27/ES par energoefektivitāti, ar ko groza Direktīvas 2009/125/EK un 2010/30/ES un atceļ Direktīvas 2004/8/EK un 2006/32/EK</w:t>
            </w:r>
          </w:p>
        </w:tc>
      </w:tr>
      <w:tr w:rsidR="000F14B4">
        <w:tc>
          <w:tcPr>
            <w:tcW w:w="1538" w:type="dxa"/>
            <w:shd w:val="clear" w:color="auto" w:fill="auto"/>
            <w:tcMar>
              <w:left w:w="108" w:type="dxa"/>
            </w:tcMar>
          </w:tcPr>
          <w:p w:rsidR="000F14B4" w:rsidRDefault="00786C08">
            <w:pPr>
              <w:spacing w:after="0" w:line="240" w:lineRule="auto"/>
              <w:jc w:val="center"/>
              <w:rPr>
                <w:rFonts w:eastAsia="Times New Roman"/>
                <w:sz w:val="22"/>
                <w:lang w:eastAsia="lv-LV"/>
              </w:rPr>
            </w:pPr>
            <w:r>
              <w:rPr>
                <w:rFonts w:eastAsia="Times New Roman"/>
                <w:sz w:val="22"/>
                <w:lang w:eastAsia="lv-LV"/>
              </w:rPr>
              <w:t>A</w:t>
            </w:r>
          </w:p>
        </w:tc>
        <w:tc>
          <w:tcPr>
            <w:tcW w:w="1295" w:type="dxa"/>
            <w:shd w:val="clear" w:color="auto" w:fill="auto"/>
            <w:tcMar>
              <w:left w:w="108" w:type="dxa"/>
            </w:tcMar>
          </w:tcPr>
          <w:p w:rsidR="000F14B4" w:rsidRDefault="00786C08">
            <w:pPr>
              <w:spacing w:after="0" w:line="240" w:lineRule="auto"/>
              <w:jc w:val="center"/>
              <w:rPr>
                <w:rFonts w:eastAsia="Times New Roman"/>
                <w:sz w:val="22"/>
                <w:lang w:eastAsia="lv-LV"/>
              </w:rPr>
            </w:pPr>
            <w:r>
              <w:rPr>
                <w:rFonts w:eastAsia="Times New Roman"/>
                <w:sz w:val="22"/>
                <w:lang w:eastAsia="lv-LV"/>
              </w:rPr>
              <w:t>B</w:t>
            </w:r>
          </w:p>
        </w:tc>
        <w:tc>
          <w:tcPr>
            <w:tcW w:w="4577" w:type="dxa"/>
            <w:shd w:val="clear" w:color="auto" w:fill="auto"/>
            <w:tcMar>
              <w:left w:w="108" w:type="dxa"/>
            </w:tcMar>
          </w:tcPr>
          <w:p w:rsidR="000F14B4" w:rsidRDefault="00786C08">
            <w:pPr>
              <w:spacing w:after="0" w:line="240" w:lineRule="auto"/>
              <w:jc w:val="center"/>
              <w:rPr>
                <w:rFonts w:eastAsia="Times New Roman"/>
                <w:sz w:val="22"/>
                <w:lang w:eastAsia="lv-LV"/>
              </w:rPr>
            </w:pPr>
            <w:r>
              <w:rPr>
                <w:rFonts w:eastAsia="Times New Roman"/>
                <w:sz w:val="22"/>
                <w:lang w:eastAsia="lv-LV"/>
              </w:rPr>
              <w:t>C</w:t>
            </w:r>
          </w:p>
        </w:tc>
        <w:tc>
          <w:tcPr>
            <w:tcW w:w="1660" w:type="dxa"/>
            <w:shd w:val="clear" w:color="auto" w:fill="auto"/>
            <w:tcMar>
              <w:left w:w="108" w:type="dxa"/>
            </w:tcMar>
          </w:tcPr>
          <w:p w:rsidR="000F14B4" w:rsidRDefault="00786C08">
            <w:pPr>
              <w:spacing w:after="0" w:line="240" w:lineRule="auto"/>
              <w:jc w:val="center"/>
              <w:rPr>
                <w:rFonts w:eastAsia="Times New Roman"/>
                <w:sz w:val="22"/>
                <w:lang w:eastAsia="lv-LV"/>
              </w:rPr>
            </w:pPr>
            <w:r>
              <w:rPr>
                <w:rFonts w:eastAsia="Times New Roman"/>
                <w:sz w:val="22"/>
                <w:lang w:eastAsia="lv-LV"/>
              </w:rPr>
              <w:t>D</w:t>
            </w:r>
          </w:p>
        </w:tc>
      </w:tr>
      <w:tr w:rsidR="000F14B4">
        <w:tc>
          <w:tcPr>
            <w:tcW w:w="1538" w:type="dxa"/>
            <w:shd w:val="clear" w:color="auto" w:fill="auto"/>
            <w:tcMar>
              <w:left w:w="108" w:type="dxa"/>
            </w:tcMar>
          </w:tcPr>
          <w:p w:rsidR="000F14B4" w:rsidRDefault="00786C08">
            <w:pPr>
              <w:spacing w:after="0" w:line="240" w:lineRule="auto"/>
              <w:rPr>
                <w:sz w:val="22"/>
              </w:rPr>
            </w:pPr>
            <w:r>
              <w:rPr>
                <w:sz w:val="22"/>
              </w:rPr>
              <w:lastRenderedPageBreak/>
              <w:t xml:space="preserve">Attiecīgā ES tiesību akta panta numurs (uzskaitot katru tiesību akta </w:t>
            </w:r>
            <w:r>
              <w:rPr>
                <w:sz w:val="22"/>
              </w:rPr>
              <w:br/>
              <w:t>vienību – pantu, daļu, punktu, apakšpunktu)</w:t>
            </w:r>
          </w:p>
        </w:tc>
        <w:tc>
          <w:tcPr>
            <w:tcW w:w="1295" w:type="dxa"/>
            <w:shd w:val="clear" w:color="auto" w:fill="auto"/>
            <w:tcMar>
              <w:left w:w="108" w:type="dxa"/>
            </w:tcMar>
          </w:tcPr>
          <w:p w:rsidR="000F14B4" w:rsidRDefault="00786C08">
            <w:pPr>
              <w:spacing w:after="0" w:line="240" w:lineRule="auto"/>
              <w:rPr>
                <w:rFonts w:eastAsia="Times New Roman"/>
                <w:sz w:val="22"/>
                <w:lang w:eastAsia="lv-LV"/>
              </w:rPr>
            </w:pPr>
            <w:r>
              <w:rPr>
                <w:sz w:val="22"/>
              </w:rPr>
              <w:t>Projekta vienība, kas pārņem vai ievieš katru šīs tabulas A ailē minēto ES tiesību akta vienību</w:t>
            </w: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Informācija par to, vai šīs tabulas A ailē minētās ES tiesību akta vienības tiek pārņemtas vai ieviestas pilnībā vai daļēji.</w:t>
            </w:r>
          </w:p>
          <w:p w:rsidR="000F14B4" w:rsidRDefault="000F14B4">
            <w:pPr>
              <w:spacing w:after="0" w:line="240" w:lineRule="auto"/>
              <w:rPr>
                <w:rFonts w:eastAsia="Times New Roman"/>
                <w:sz w:val="22"/>
                <w:lang w:eastAsia="lv-LV"/>
              </w:rPr>
            </w:pPr>
          </w:p>
          <w:p w:rsidR="000F14B4" w:rsidRDefault="00786C08">
            <w:pPr>
              <w:spacing w:after="0" w:line="240" w:lineRule="auto"/>
              <w:rPr>
                <w:rFonts w:eastAsia="Times New Roman"/>
                <w:sz w:val="22"/>
                <w:lang w:eastAsia="lv-LV"/>
              </w:rPr>
            </w:pPr>
            <w:r>
              <w:rPr>
                <w:rFonts w:eastAsia="Times New Roman"/>
                <w:sz w:val="22"/>
                <w:lang w:eastAsia="lv-LV"/>
              </w:rPr>
              <w:t>Ja attiecīgā ES tiesību akta vienība tiek pārņemta vai ieviesta daļēji, – sniedz attiecīgu skaidrojumu, kā arī precīzi norāda, kad un kādā veidā ES tiesību akta vienība tiks pārņemta vai ieviesta pilnībā.</w:t>
            </w:r>
          </w:p>
          <w:p w:rsidR="000F14B4" w:rsidRDefault="000F14B4">
            <w:pPr>
              <w:spacing w:after="0" w:line="240" w:lineRule="auto"/>
              <w:rPr>
                <w:rFonts w:eastAsia="Times New Roman"/>
                <w:sz w:val="22"/>
                <w:lang w:eastAsia="lv-LV"/>
              </w:rPr>
            </w:pPr>
          </w:p>
          <w:p w:rsidR="000F14B4" w:rsidRDefault="00786C08">
            <w:pPr>
              <w:spacing w:after="0" w:line="240" w:lineRule="auto"/>
              <w:rPr>
                <w:rFonts w:eastAsia="Times New Roman"/>
                <w:b/>
                <w:sz w:val="22"/>
                <w:lang w:eastAsia="lv-LV"/>
              </w:rPr>
            </w:pPr>
            <w:r>
              <w:rPr>
                <w:sz w:val="22"/>
              </w:rPr>
              <w:t>Norāda institūciju, kas ir atbildīga par šo saistību izpildi pilnībā</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Informācija par to, vai šīs tabulas B ailē minētās projekta vienības paredz stingrākas prasības nekā šīs tabulas A ailē minētās ES tiesību akta vienības.</w:t>
            </w:r>
          </w:p>
          <w:p w:rsidR="000F14B4" w:rsidRDefault="000F14B4">
            <w:pPr>
              <w:spacing w:after="0" w:line="240" w:lineRule="auto"/>
              <w:rPr>
                <w:rFonts w:eastAsia="Times New Roman"/>
                <w:sz w:val="22"/>
                <w:lang w:eastAsia="lv-LV"/>
              </w:rPr>
            </w:pPr>
          </w:p>
          <w:p w:rsidR="000F14B4" w:rsidRDefault="00786C08">
            <w:pPr>
              <w:spacing w:after="0" w:line="240" w:lineRule="auto"/>
              <w:rPr>
                <w:rFonts w:eastAsia="Times New Roman"/>
                <w:sz w:val="22"/>
                <w:lang w:eastAsia="lv-LV"/>
              </w:rPr>
            </w:pPr>
            <w:r>
              <w:rPr>
                <w:rFonts w:eastAsia="Times New Roman"/>
                <w:sz w:val="22"/>
                <w:lang w:eastAsia="lv-LV"/>
              </w:rPr>
              <w:t>Ja projekts satur stingrākas prasības nekā attiecīgais ES tiesību akts, – norāda pamatojumu un samērīgumu.</w:t>
            </w:r>
          </w:p>
          <w:p w:rsidR="000F14B4" w:rsidRDefault="000F14B4">
            <w:pPr>
              <w:spacing w:after="0" w:line="240" w:lineRule="auto"/>
              <w:rPr>
                <w:rFonts w:eastAsia="Times New Roman"/>
                <w:sz w:val="22"/>
                <w:lang w:eastAsia="lv-LV"/>
              </w:rPr>
            </w:pPr>
          </w:p>
          <w:p w:rsidR="000F14B4" w:rsidRDefault="00786C08">
            <w:pPr>
              <w:spacing w:after="0" w:line="240" w:lineRule="auto"/>
              <w:rPr>
                <w:rFonts w:eastAsia="Times New Roman"/>
                <w:sz w:val="22"/>
                <w:lang w:eastAsia="lv-LV"/>
              </w:rPr>
            </w:pPr>
            <w:r>
              <w:rPr>
                <w:sz w:val="22"/>
              </w:rPr>
              <w:t>Norāda iespējamās alternatīvas (t.sk. alternatīvas, kas neparedz tiesiskā regulējuma izstrādi) – kādos gadījumos būtu iespējams izvairīties no stingrāku prasību noteikšanas, nekā paredzēts attiecīgajos ES tiesību aktos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rFonts w:eastAsia="Times New Roman"/>
                <w:sz w:val="22"/>
                <w:lang w:eastAsia="lv-LV"/>
              </w:rPr>
              <w:t>Energoefektivitātes likuma 1. panta pirmās daļas 2. punkts.</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1. panta pirmās daļas 12. punkts.</w:t>
            </w:r>
          </w:p>
          <w:p w:rsidR="000F14B4" w:rsidRDefault="000F14B4">
            <w:pPr>
              <w:spacing w:after="0" w:line="240" w:lineRule="auto"/>
              <w:rPr>
                <w:sz w:val="22"/>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1. panta pirmās daļas 3. punkts.</w:t>
            </w:r>
          </w:p>
          <w:p w:rsidR="000F14B4" w:rsidRDefault="000F14B4">
            <w:pPr>
              <w:spacing w:after="0" w:line="240" w:lineRule="auto"/>
              <w:rPr>
                <w:sz w:val="22"/>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2. panta 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Pārņemts pilnībā</w:t>
            </w:r>
          </w:p>
          <w:p w:rsidR="000F14B4" w:rsidRDefault="00786C08">
            <w:pPr>
              <w:spacing w:after="0" w:line="240" w:lineRule="auto"/>
              <w:rPr>
                <w:sz w:val="22"/>
              </w:rPr>
            </w:pPr>
            <w:r>
              <w:rPr>
                <w:sz w:val="22"/>
              </w:rPr>
              <w:t>Enerģētikas likuma 1.pants pirmās daļas 4. punkts.</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5.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sz w:val="22"/>
              </w:rPr>
            </w:pPr>
            <w:r>
              <w:rPr>
                <w:sz w:val="22"/>
              </w:rPr>
              <w:t>Energoefektivitātes likuma 1. pants pirmās daļas 7.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6.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sz w:val="22"/>
              </w:rPr>
            </w:pPr>
            <w:r>
              <w:rPr>
                <w:sz w:val="22"/>
              </w:rPr>
              <w:t>Energoefektivitātes likuma 1. pants pirmās daļas 5.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7.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sz w:val="22"/>
              </w:rPr>
            </w:pPr>
            <w:r>
              <w:rPr>
                <w:sz w:val="22"/>
              </w:rPr>
              <w:t>Energoefektivitātes likuma 14. pants pirmā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8.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sz w:val="22"/>
              </w:rPr>
              <w:t>Publisko iepirkumu likuma 1. panta 10.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9.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Valsts pārvaldes iekārtas likuma 1. panta 5.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10.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Ministru kabineta noteikumu Nr. 348 „Ēkas energoefektivitātes aprēķina metode” 2. punkta 2.9. apakšpunkts.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0F14B4">
            <w:pPr>
              <w:spacing w:after="0" w:line="240" w:lineRule="auto"/>
              <w:rPr>
                <w:rFonts w:eastAsia="Times New Roman"/>
                <w:sz w:val="22"/>
                <w:lang w:eastAsia="lv-LV"/>
              </w:rPr>
            </w:pPr>
          </w:p>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1. panta pirmās daļas 9. punkts.</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Standartizācijas likuma 12. panta trešā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Standartizācijas likuma 12. panta pirmā un otrā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1. panta pirmās daļas 1. punkts.</w:t>
            </w:r>
          </w:p>
          <w:p w:rsidR="000F14B4" w:rsidRDefault="000F14B4">
            <w:pPr>
              <w:spacing w:after="0" w:line="240" w:lineRule="auto"/>
              <w:rPr>
                <w:rFonts w:eastAsia="Times New Roman"/>
                <w:b/>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15. punkts</w:t>
            </w:r>
          </w:p>
          <w:p w:rsidR="000F14B4" w:rsidRDefault="000F14B4">
            <w:pPr>
              <w:spacing w:after="0" w:line="240" w:lineRule="auto"/>
              <w:rPr>
                <w:rFonts w:eastAsia="Times New Roman"/>
                <w:sz w:val="22"/>
                <w:shd w:val="clear" w:color="auto" w:fill="FF0000"/>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sz w:val="22"/>
              </w:rPr>
            </w:pPr>
            <w:r>
              <w:rPr>
                <w:sz w:val="22"/>
              </w:rPr>
              <w:t>Eiropas Savienības struktūrfondu vadības likuma 7. pants.</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16.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Pārņemts pilnībā</w:t>
            </w:r>
          </w:p>
          <w:p w:rsidR="000F14B4" w:rsidRDefault="00786C08">
            <w:pPr>
              <w:spacing w:after="0" w:line="240" w:lineRule="auto"/>
              <w:rPr>
                <w:sz w:val="22"/>
              </w:rPr>
            </w:pPr>
            <w:r>
              <w:rPr>
                <w:sz w:val="22"/>
              </w:rPr>
              <w:t>Energoefektivitātes likuma 8. panta pirmā daļa.</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17.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Pārņemts pilnībā</w:t>
            </w:r>
          </w:p>
          <w:p w:rsidR="000F14B4" w:rsidRDefault="00786C08">
            <w:pPr>
              <w:spacing w:after="0" w:line="240" w:lineRule="auto"/>
              <w:rPr>
                <w:sz w:val="22"/>
              </w:rPr>
            </w:pPr>
            <w:r>
              <w:rPr>
                <w:sz w:val="22"/>
              </w:rPr>
              <w:t>Ekonomikas ministrijas nolikums.</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18.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sz w:val="22"/>
              </w:rPr>
            </w:pPr>
            <w:r>
              <w:rPr>
                <w:sz w:val="22"/>
              </w:rPr>
              <w:t>Energoefektivitātes likuma 1. panta pirmās daļas 11. punkts.</w:t>
            </w:r>
          </w:p>
          <w:p w:rsidR="000F14B4" w:rsidRDefault="000F14B4">
            <w:pPr>
              <w:spacing w:after="0" w:line="240" w:lineRule="auto"/>
              <w:rPr>
                <w:rFonts w:eastAsia="Times New Roman"/>
                <w:b/>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19.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Pārņemts pilnībā</w:t>
            </w:r>
          </w:p>
          <w:p w:rsidR="000F14B4" w:rsidRDefault="00786C08">
            <w:pPr>
              <w:spacing w:after="0" w:line="240" w:lineRule="auto"/>
              <w:rPr>
                <w:sz w:val="22"/>
              </w:rPr>
            </w:pPr>
            <w:r>
              <w:rPr>
                <w:sz w:val="22"/>
              </w:rPr>
              <w:t>Energoefektivitātes likuma 1.panta pirmās daļas 6. punkts.</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20.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Enerģētikas likuma 1. panta 45.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Enerģētikas likuma 1. panta 45.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1. panta pirmās daļas 10.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Enerģētikas likuma 1. panta 18.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sz w:val="22"/>
              </w:rPr>
              <w:t>Energoefektivitātes likuma 14. panta pirmā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25.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b/>
                <w:sz w:val="22"/>
                <w:lang w:eastAsia="lv-LV"/>
              </w:rPr>
              <w:t xml:space="preserve"> </w:t>
            </w:r>
            <w:r>
              <w:rPr>
                <w:sz w:val="22"/>
              </w:rPr>
              <w:t>Energoefektivitātes likuma 1. panta pirmās daļas 8.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26.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sz w:val="22"/>
              </w:rPr>
              <w:t>Definīcija „mazie un vidējie uzņēmumi” pārņemta ar Eiropas Komisijas Regulas (EK) Nr. 651/2014 (2014. gada 17. jūnijs),</w:t>
            </w:r>
            <w:r>
              <w:rPr>
                <w:rFonts w:eastAsia="Times New Roman"/>
                <w:sz w:val="22"/>
                <w:lang w:eastAsia="lv-LV"/>
              </w:rPr>
              <w:t xml:space="preserve"> </w:t>
            </w:r>
            <w:r>
              <w:rPr>
                <w:sz w:val="22"/>
              </w:rPr>
              <w:t>ar ko noteiktas atbalsta kategorijas atzīt par saderīgām ar iekšējo tirgu, piemērojot Līguma 107. un 108. pantu (vispārējā grupu atbrīvojuma regula), 1. pielikumu</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27.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sz w:val="22"/>
              </w:rPr>
              <w:t>Energoefektivitātes likuma 14. panta otrā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28.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sz w:val="22"/>
              </w:rPr>
              <w:t>Energoefektivitātes likuma 1. panta pirmās daļas 13.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2. panta 29.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sz w:val="22"/>
              </w:rPr>
              <w:t>Enerģētikas likuma 1. panta 13., 15., 43. un 45.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30.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Enerģētikas likuma 1. panta 22</w:t>
            </w:r>
            <w:r>
              <w:rPr>
                <w:rFonts w:eastAsia="Times New Roman"/>
                <w:sz w:val="22"/>
                <w:vertAlign w:val="superscript"/>
                <w:lang w:eastAsia="lv-LV"/>
              </w:rPr>
              <w:t>3</w:t>
            </w:r>
            <w:r>
              <w:rPr>
                <w:rFonts w:eastAsia="Times New Roman"/>
                <w:sz w:val="22"/>
                <w:lang w:eastAsia="lv-LV"/>
              </w:rPr>
              <w:t>.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31.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sz w:val="22"/>
              </w:rPr>
              <w:t>Tā kā pētījumā “Augstas efektivitātes koģenerācijas un efektīvas centralizētās siltumapgādes un dzesēšanas izmantošanas potenciāla visaptverošs invērtējums un izmaksu un ieguvumu analīze atbilstoši Direktīvas 2012/27/ES prasībām” netika konstatēts augstas efektivitātes koģenerācijas un efektīvas centralizētās siltumapgādes potenciāls, tad šī Direktīvas 2012/27/ES norma nav jāpārņem.</w:t>
            </w:r>
            <w:r>
              <w:rPr>
                <w:rStyle w:val="FootnoteAnchor"/>
                <w:sz w:val="22"/>
              </w:rPr>
              <w:footnoteReference w:id="1"/>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32.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bCs/>
                <w:sz w:val="22"/>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bCs/>
                <w:sz w:val="22"/>
                <w:lang w:eastAsia="lv-LV"/>
              </w:rPr>
              <w:t xml:space="preserve">Ministru kabineta </w:t>
            </w:r>
            <w:r>
              <w:rPr>
                <w:rFonts w:eastAsia="Times New Roman"/>
                <w:sz w:val="22"/>
                <w:lang w:eastAsia="lv-LV"/>
              </w:rPr>
              <w:t>2009. gada 10. marta</w:t>
            </w:r>
            <w:r>
              <w:rPr>
                <w:rFonts w:eastAsia="Times New Roman"/>
                <w:bCs/>
                <w:sz w:val="22"/>
                <w:lang w:eastAsia="lv-LV"/>
              </w:rPr>
              <w:t xml:space="preserve"> noteikumu Nr. 221</w:t>
            </w:r>
            <w:r>
              <w:rPr>
                <w:rFonts w:eastAsia="Times New Roman"/>
                <w:sz w:val="22"/>
                <w:lang w:eastAsia="lv-LV"/>
              </w:rPr>
              <w:t xml:space="preserve"> „Noteikumi par elektroenerģijas ražošanu un cenu noteikšanu, ražojot elektroenerģiju koģenerācijā” 2.3. apakšpunkts.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33.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bCs/>
                <w:sz w:val="22"/>
                <w:lang w:eastAsia="lv-LV"/>
              </w:rPr>
              <w:t xml:space="preserve">Ministru kabineta </w:t>
            </w:r>
            <w:r>
              <w:rPr>
                <w:rFonts w:eastAsia="Times New Roman"/>
                <w:sz w:val="22"/>
                <w:lang w:eastAsia="lv-LV"/>
              </w:rPr>
              <w:t xml:space="preserve">2009. gada 10. marta </w:t>
            </w:r>
            <w:r>
              <w:rPr>
                <w:rFonts w:eastAsia="Times New Roman"/>
                <w:bCs/>
                <w:sz w:val="22"/>
                <w:lang w:eastAsia="lv-LV"/>
              </w:rPr>
              <w:t>noteikumu Nr. 221</w:t>
            </w:r>
            <w:r>
              <w:rPr>
                <w:rFonts w:eastAsia="Times New Roman"/>
                <w:sz w:val="22"/>
                <w:lang w:eastAsia="lv-LV"/>
              </w:rPr>
              <w:t xml:space="preserve"> „Noteikumi par elektroenerģijas ražošanu un cenu noteikšanu, ražojot elektroenerģiju koģenerācijā</w:t>
            </w:r>
            <w:r>
              <w:rPr>
                <w:rFonts w:eastAsia="Times New Roman"/>
                <w:bCs/>
                <w:sz w:val="22"/>
                <w:lang w:eastAsia="lv-LV"/>
              </w:rPr>
              <w:t>” 29.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34.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b/>
                <w:sz w:val="22"/>
                <w:lang w:eastAsia="lv-LV"/>
              </w:rPr>
            </w:pPr>
            <w:r>
              <w:rPr>
                <w:rFonts w:eastAsia="Times New Roman"/>
                <w:bCs/>
                <w:sz w:val="22"/>
                <w:lang w:eastAsia="lv-LV"/>
              </w:rPr>
              <w:t xml:space="preserve">Ministru kabineta </w:t>
            </w:r>
            <w:r>
              <w:rPr>
                <w:rFonts w:eastAsia="Times New Roman"/>
                <w:sz w:val="22"/>
                <w:lang w:eastAsia="lv-LV"/>
              </w:rPr>
              <w:t xml:space="preserve">2009. gada 10. marta </w:t>
            </w:r>
            <w:r>
              <w:rPr>
                <w:rFonts w:eastAsia="Times New Roman"/>
                <w:bCs/>
                <w:sz w:val="22"/>
                <w:lang w:eastAsia="lv-LV"/>
              </w:rPr>
              <w:t>noteikumu Nr. 221</w:t>
            </w:r>
            <w:r>
              <w:rPr>
                <w:rFonts w:eastAsia="Times New Roman"/>
                <w:sz w:val="22"/>
                <w:lang w:eastAsia="lv-LV"/>
              </w:rPr>
              <w:t xml:space="preserve"> „Noteikumi par elektroenerģijas ražošanu un cenu noteikšanu, ražojot elektroenerģiju koģenerācijā” 6.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35.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bCs/>
                <w:sz w:val="22"/>
                <w:lang w:eastAsia="lv-LV"/>
              </w:rPr>
              <w:t xml:space="preserve">Ministru kabineta </w:t>
            </w:r>
            <w:r>
              <w:rPr>
                <w:rFonts w:eastAsia="Times New Roman"/>
                <w:sz w:val="22"/>
                <w:lang w:eastAsia="lv-LV"/>
              </w:rPr>
              <w:t xml:space="preserve">2009. gada 10. marta </w:t>
            </w:r>
            <w:r>
              <w:rPr>
                <w:rFonts w:eastAsia="Times New Roman"/>
                <w:bCs/>
                <w:sz w:val="22"/>
                <w:lang w:eastAsia="lv-LV"/>
              </w:rPr>
              <w:t>noteikumu Nr. 221</w:t>
            </w:r>
            <w:r>
              <w:rPr>
                <w:rFonts w:eastAsia="Times New Roman"/>
                <w:sz w:val="22"/>
                <w:lang w:eastAsia="lv-LV"/>
              </w:rPr>
              <w:t xml:space="preserve"> „Noteikumi par elektroenerģijas ražošanu un cenu noteikšanu, ražojot elektroenerģiju koģenerācijā” 29.1. apakšpunkts.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36.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bCs/>
                <w:sz w:val="22"/>
                <w:lang w:eastAsia="lv-LV"/>
              </w:rPr>
            </w:pPr>
            <w:r>
              <w:rPr>
                <w:rFonts w:eastAsia="Times New Roman"/>
                <w:b/>
                <w:bCs/>
                <w:sz w:val="22"/>
                <w:lang w:eastAsia="lv-LV"/>
              </w:rPr>
              <w:t>Pārņemts pilnībā</w:t>
            </w:r>
          </w:p>
          <w:p w:rsidR="000F14B4" w:rsidRDefault="00786C08">
            <w:pPr>
              <w:spacing w:after="0" w:line="240" w:lineRule="auto"/>
              <w:rPr>
                <w:rFonts w:eastAsia="Times New Roman"/>
                <w:sz w:val="22"/>
                <w:lang w:eastAsia="lv-LV"/>
              </w:rPr>
            </w:pPr>
            <w:r>
              <w:rPr>
                <w:rFonts w:eastAsia="Times New Roman"/>
                <w:bCs/>
                <w:sz w:val="22"/>
                <w:lang w:eastAsia="lv-LV"/>
              </w:rPr>
              <w:t xml:space="preserve">Ministru kabineta </w:t>
            </w:r>
            <w:r>
              <w:rPr>
                <w:rFonts w:eastAsia="Times New Roman"/>
                <w:sz w:val="22"/>
                <w:lang w:eastAsia="lv-LV"/>
              </w:rPr>
              <w:t>2009. gada 10. marta</w:t>
            </w:r>
            <w:r>
              <w:rPr>
                <w:rFonts w:eastAsia="Times New Roman"/>
                <w:bCs/>
                <w:sz w:val="22"/>
                <w:lang w:eastAsia="lv-LV"/>
              </w:rPr>
              <w:t xml:space="preserve"> noteikumu Nr. 221</w:t>
            </w:r>
            <w:r>
              <w:rPr>
                <w:rFonts w:eastAsia="Times New Roman"/>
                <w:sz w:val="22"/>
                <w:lang w:eastAsia="lv-LV"/>
              </w:rPr>
              <w:t xml:space="preserve"> „Noteikumi par elektroenerģijas ražošanu un cenu noteikšanu, ražojot elektroenerģiju koģenerācijā” 29.3. apakšpunkts. </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37.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bCs/>
                <w:sz w:val="22"/>
                <w:lang w:eastAsia="lv-LV"/>
              </w:rPr>
              <w:t xml:space="preserve">Ministru kabineta </w:t>
            </w:r>
            <w:r>
              <w:rPr>
                <w:rFonts w:eastAsia="Times New Roman"/>
                <w:sz w:val="22"/>
                <w:lang w:eastAsia="lv-LV"/>
              </w:rPr>
              <w:t>2009. gada 10. marta</w:t>
            </w:r>
            <w:r>
              <w:rPr>
                <w:rFonts w:eastAsia="Times New Roman"/>
                <w:bCs/>
                <w:sz w:val="22"/>
                <w:lang w:eastAsia="lv-LV"/>
              </w:rPr>
              <w:t xml:space="preserve"> noteikumu Nr. 221</w:t>
            </w:r>
            <w:r>
              <w:rPr>
                <w:rFonts w:eastAsia="Times New Roman"/>
                <w:sz w:val="22"/>
                <w:lang w:eastAsia="lv-LV"/>
              </w:rPr>
              <w:t xml:space="preserve"> „Noteikumi par elektroenerģijas ražošanu un cenu noteikšanu, </w:t>
            </w:r>
            <w:r>
              <w:rPr>
                <w:rFonts w:eastAsia="Times New Roman"/>
                <w:sz w:val="22"/>
                <w:lang w:eastAsia="lv-LV"/>
              </w:rPr>
              <w:lastRenderedPageBreak/>
              <w:t>ražojot elektroenerģiju koģenerācijā” 2.2. apakšpunkts.</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38.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bCs/>
                <w:sz w:val="22"/>
                <w:lang w:eastAsia="lv-LV"/>
              </w:rPr>
              <w:t xml:space="preserve">Ministru kabineta noteikumu </w:t>
            </w:r>
            <w:r>
              <w:rPr>
                <w:rFonts w:eastAsia="Times New Roman"/>
                <w:sz w:val="22"/>
                <w:lang w:eastAsia="lv-LV"/>
              </w:rPr>
              <w:t>2009. gada 10. marta</w:t>
            </w:r>
            <w:r>
              <w:rPr>
                <w:rFonts w:eastAsia="Times New Roman"/>
                <w:bCs/>
                <w:sz w:val="22"/>
                <w:lang w:eastAsia="lv-LV"/>
              </w:rPr>
              <w:t xml:space="preserve"> Nr. 221</w:t>
            </w:r>
            <w:r>
              <w:rPr>
                <w:rFonts w:eastAsia="Times New Roman"/>
                <w:sz w:val="22"/>
                <w:lang w:eastAsia="lv-LV"/>
              </w:rPr>
              <w:t xml:space="preserve"> „Noteikumi par elektroenerģijas ražošanu un cenu noteikšanu, ražojot elektroenerģiju koģenerācijā” 2.5. apakšpunkts.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39.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bCs/>
                <w:sz w:val="22"/>
                <w:lang w:eastAsia="lv-LV"/>
              </w:rPr>
            </w:pPr>
            <w:r>
              <w:rPr>
                <w:rFonts w:eastAsia="Times New Roman"/>
                <w:b/>
                <w:bCs/>
                <w:sz w:val="22"/>
                <w:lang w:eastAsia="lv-LV"/>
              </w:rPr>
              <w:t>Pārņemts pilnībā</w:t>
            </w:r>
          </w:p>
          <w:p w:rsidR="000F14B4" w:rsidRDefault="00786C08">
            <w:pPr>
              <w:spacing w:after="0" w:line="240" w:lineRule="auto"/>
              <w:rPr>
                <w:rFonts w:eastAsia="Times New Roman"/>
                <w:bCs/>
                <w:sz w:val="22"/>
                <w:lang w:eastAsia="lv-LV"/>
              </w:rPr>
            </w:pPr>
            <w:r>
              <w:rPr>
                <w:rFonts w:eastAsia="Times New Roman"/>
                <w:bCs/>
                <w:sz w:val="22"/>
                <w:lang w:eastAsia="lv-LV"/>
              </w:rPr>
              <w:t>Enerģētikas likuma 9</w:t>
            </w:r>
            <w:r>
              <w:rPr>
                <w:rFonts w:eastAsia="Times New Roman"/>
                <w:bCs/>
                <w:sz w:val="22"/>
                <w:vertAlign w:val="superscript"/>
                <w:lang w:eastAsia="lv-LV"/>
              </w:rPr>
              <w:t>1</w:t>
            </w:r>
            <w:r>
              <w:rPr>
                <w:rFonts w:eastAsia="Times New Roman"/>
                <w:bCs/>
                <w:sz w:val="22"/>
                <w:lang w:eastAsia="lv-LV"/>
              </w:rPr>
              <w:t>. panta sestā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40.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rFonts w:eastAsia="Times New Roman"/>
                <w:bCs/>
                <w:sz w:val="22"/>
                <w:lang w:eastAsia="lv-LV"/>
              </w:rPr>
              <w:t>Ministru kabineta noteikumu Nr. 240 „</w:t>
            </w:r>
            <w:r>
              <w:rPr>
                <w:sz w:val="22"/>
              </w:rPr>
              <w:t>Vispārīgie teritorijas plānošanas, izmantošanas un apbūves noteikumi” 116.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41.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bCs/>
                <w:sz w:val="22"/>
                <w:lang w:eastAsia="lv-LV"/>
              </w:rPr>
            </w:pPr>
            <w:r>
              <w:rPr>
                <w:rFonts w:eastAsia="Times New Roman"/>
                <w:b/>
                <w:bCs/>
                <w:sz w:val="22"/>
                <w:lang w:eastAsia="lv-LV"/>
              </w:rPr>
              <w:t>Pārņemts pilnībā</w:t>
            </w:r>
          </w:p>
          <w:p w:rsidR="000F14B4" w:rsidRDefault="00786C08">
            <w:pPr>
              <w:spacing w:after="0" w:line="240" w:lineRule="auto"/>
              <w:rPr>
                <w:rFonts w:eastAsia="Times New Roman"/>
                <w:color w:val="000000" w:themeColor="text1"/>
                <w:sz w:val="22"/>
                <w:lang w:eastAsia="lv-LV"/>
              </w:rPr>
            </w:pPr>
            <w:r>
              <w:rPr>
                <w:color w:val="000000" w:themeColor="text1"/>
                <w:sz w:val="22"/>
              </w:rPr>
              <w:t xml:space="preserve">Prasības </w:t>
            </w:r>
            <w:r>
              <w:rPr>
                <w:rFonts w:eastAsia="Times New Roman"/>
                <w:color w:val="000000" w:themeColor="text1"/>
                <w:sz w:val="22"/>
                <w:lang w:eastAsia="lv-LV"/>
              </w:rPr>
              <w:t>pārņemtas ar:</w:t>
            </w:r>
          </w:p>
          <w:p w:rsidR="000F14B4" w:rsidRDefault="00786C08">
            <w:pPr>
              <w:spacing w:after="0" w:line="240" w:lineRule="auto"/>
              <w:rPr>
                <w:color w:val="000000" w:themeColor="text1"/>
                <w:sz w:val="22"/>
              </w:rPr>
            </w:pPr>
            <w:r>
              <w:rPr>
                <w:rFonts w:eastAsia="Times New Roman"/>
                <w:color w:val="000000" w:themeColor="text1"/>
                <w:sz w:val="22"/>
              </w:rPr>
              <w:t>1) Enerģētikas likuma 1.panta 4.</w:t>
            </w:r>
            <w:r>
              <w:rPr>
                <w:rFonts w:eastAsia="Times New Roman"/>
                <w:color w:val="000000" w:themeColor="text1"/>
                <w:sz w:val="22"/>
                <w:vertAlign w:val="superscript"/>
              </w:rPr>
              <w:t xml:space="preserve">1 </w:t>
            </w:r>
            <w:r>
              <w:rPr>
                <w:rFonts w:eastAsia="Times New Roman"/>
                <w:color w:val="000000" w:themeColor="text1"/>
                <w:sz w:val="22"/>
              </w:rPr>
              <w:t>, 4.</w:t>
            </w:r>
            <w:r>
              <w:rPr>
                <w:rFonts w:eastAsia="Times New Roman"/>
                <w:color w:val="000000" w:themeColor="text1"/>
                <w:sz w:val="22"/>
                <w:vertAlign w:val="superscript"/>
              </w:rPr>
              <w:t xml:space="preserve">2 </w:t>
            </w:r>
            <w:r>
              <w:rPr>
                <w:color w:val="000000" w:themeColor="text1"/>
                <w:sz w:val="22"/>
              </w:rPr>
              <w:t>punktiem;</w:t>
            </w:r>
          </w:p>
          <w:p w:rsidR="000F14B4" w:rsidRDefault="00786C08">
            <w:pPr>
              <w:spacing w:after="0" w:line="240" w:lineRule="auto"/>
              <w:rPr>
                <w:color w:val="000000" w:themeColor="text1"/>
                <w:sz w:val="22"/>
              </w:rPr>
            </w:pPr>
            <w:r>
              <w:rPr>
                <w:color w:val="000000" w:themeColor="text1"/>
                <w:sz w:val="22"/>
              </w:rPr>
              <w:t>2)</w:t>
            </w:r>
            <w:r>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42.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bCs/>
                <w:sz w:val="22"/>
                <w:lang w:eastAsia="lv-LV"/>
              </w:rPr>
            </w:pPr>
            <w:r>
              <w:rPr>
                <w:rFonts w:eastAsia="Times New Roman"/>
                <w:b/>
                <w:bCs/>
                <w:sz w:val="22"/>
                <w:lang w:eastAsia="lv-LV"/>
              </w:rPr>
              <w:t>Pārņemts pilnībā</w:t>
            </w:r>
          </w:p>
          <w:p w:rsidR="000F14B4" w:rsidRDefault="00786C08">
            <w:pPr>
              <w:spacing w:after="0" w:line="240" w:lineRule="auto"/>
              <w:rPr>
                <w:rFonts w:eastAsia="Times New Roman"/>
                <w:color w:val="000000" w:themeColor="text1"/>
                <w:sz w:val="22"/>
                <w:lang w:eastAsia="lv-LV"/>
              </w:rPr>
            </w:pPr>
            <w:r>
              <w:rPr>
                <w:color w:val="000000" w:themeColor="text1"/>
                <w:sz w:val="22"/>
              </w:rPr>
              <w:t xml:space="preserve">Prasības </w:t>
            </w:r>
            <w:r>
              <w:rPr>
                <w:rFonts w:eastAsia="Times New Roman"/>
                <w:color w:val="000000" w:themeColor="text1"/>
                <w:sz w:val="22"/>
                <w:lang w:eastAsia="lv-LV"/>
              </w:rPr>
              <w:t>pārņemtas ar:</w:t>
            </w:r>
          </w:p>
          <w:p w:rsidR="000F14B4" w:rsidRDefault="00786C08">
            <w:pPr>
              <w:spacing w:after="0" w:line="240" w:lineRule="auto"/>
              <w:rPr>
                <w:color w:val="000000" w:themeColor="text1"/>
                <w:sz w:val="22"/>
              </w:rPr>
            </w:pPr>
            <w:r>
              <w:rPr>
                <w:rFonts w:eastAsia="Times New Roman"/>
                <w:color w:val="000000" w:themeColor="text1"/>
                <w:sz w:val="22"/>
              </w:rPr>
              <w:t>1) Enerģētikas likuma 1. panta 4.</w:t>
            </w:r>
            <w:r>
              <w:rPr>
                <w:rFonts w:eastAsia="Times New Roman"/>
                <w:color w:val="000000" w:themeColor="text1"/>
                <w:sz w:val="22"/>
                <w:vertAlign w:val="superscript"/>
              </w:rPr>
              <w:t xml:space="preserve">1 </w:t>
            </w:r>
            <w:r>
              <w:rPr>
                <w:rFonts w:eastAsia="Times New Roman"/>
                <w:color w:val="000000" w:themeColor="text1"/>
                <w:sz w:val="22"/>
              </w:rPr>
              <w:t>, 4.</w:t>
            </w:r>
            <w:r>
              <w:rPr>
                <w:rFonts w:eastAsia="Times New Roman"/>
                <w:color w:val="000000" w:themeColor="text1"/>
                <w:sz w:val="22"/>
                <w:vertAlign w:val="superscript"/>
              </w:rPr>
              <w:t xml:space="preserve">2 </w:t>
            </w:r>
            <w:r>
              <w:rPr>
                <w:color w:val="000000" w:themeColor="text1"/>
                <w:sz w:val="22"/>
              </w:rPr>
              <w:t>,22.</w:t>
            </w:r>
            <w:r>
              <w:rPr>
                <w:color w:val="000000" w:themeColor="text1"/>
                <w:sz w:val="22"/>
                <w:vertAlign w:val="superscript"/>
              </w:rPr>
              <w:t xml:space="preserve">1 </w:t>
            </w:r>
            <w:r>
              <w:rPr>
                <w:color w:val="000000" w:themeColor="text1"/>
                <w:sz w:val="22"/>
              </w:rPr>
              <w:t>un 22.</w:t>
            </w:r>
            <w:r>
              <w:rPr>
                <w:color w:val="000000" w:themeColor="text1"/>
                <w:sz w:val="22"/>
                <w:vertAlign w:val="superscript"/>
              </w:rPr>
              <w:t xml:space="preserve">2 </w:t>
            </w:r>
            <w:r>
              <w:rPr>
                <w:color w:val="000000" w:themeColor="text1"/>
                <w:sz w:val="22"/>
              </w:rPr>
              <w:t>punktiem;</w:t>
            </w:r>
          </w:p>
          <w:p w:rsidR="000F14B4" w:rsidRDefault="00786C08">
            <w:pPr>
              <w:spacing w:after="0" w:line="240" w:lineRule="auto"/>
              <w:rPr>
                <w:color w:val="000000" w:themeColor="text1"/>
                <w:sz w:val="22"/>
              </w:rPr>
            </w:pPr>
            <w:r>
              <w:rPr>
                <w:color w:val="000000" w:themeColor="text1"/>
                <w:sz w:val="22"/>
              </w:rPr>
              <w:t>2)</w:t>
            </w:r>
            <w:r>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43.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bCs/>
                <w:sz w:val="22"/>
                <w:lang w:eastAsia="lv-LV"/>
              </w:rPr>
            </w:pPr>
            <w:r>
              <w:rPr>
                <w:rFonts w:eastAsia="Times New Roman"/>
                <w:b/>
                <w:bCs/>
                <w:sz w:val="22"/>
                <w:lang w:eastAsia="lv-LV"/>
              </w:rPr>
              <w:t>Pārņemts pilnībā</w:t>
            </w:r>
          </w:p>
          <w:p w:rsidR="000F14B4" w:rsidRDefault="00786C08">
            <w:pPr>
              <w:spacing w:after="0" w:line="240" w:lineRule="auto"/>
              <w:rPr>
                <w:rFonts w:eastAsia="Times New Roman"/>
                <w:color w:val="000000" w:themeColor="text1"/>
                <w:sz w:val="22"/>
                <w:lang w:eastAsia="lv-LV"/>
              </w:rPr>
            </w:pPr>
            <w:r>
              <w:rPr>
                <w:color w:val="000000" w:themeColor="text1"/>
                <w:sz w:val="22"/>
              </w:rPr>
              <w:t xml:space="preserve">Prasības </w:t>
            </w:r>
            <w:r>
              <w:rPr>
                <w:rFonts w:eastAsia="Times New Roman"/>
                <w:color w:val="000000" w:themeColor="text1"/>
                <w:sz w:val="22"/>
                <w:lang w:eastAsia="lv-LV"/>
              </w:rPr>
              <w:t>pārņemtas ar:</w:t>
            </w:r>
          </w:p>
          <w:p w:rsidR="000F14B4" w:rsidRDefault="00786C08">
            <w:pPr>
              <w:spacing w:after="0" w:line="240" w:lineRule="auto"/>
              <w:rPr>
                <w:color w:val="000000" w:themeColor="text1"/>
                <w:sz w:val="22"/>
              </w:rPr>
            </w:pPr>
            <w:r>
              <w:rPr>
                <w:rFonts w:eastAsia="Times New Roman"/>
                <w:color w:val="000000" w:themeColor="text1"/>
                <w:sz w:val="22"/>
              </w:rPr>
              <w:t xml:space="preserve">1) Enerģētikas likuma 1. panta </w:t>
            </w:r>
            <w:r>
              <w:rPr>
                <w:color w:val="000000" w:themeColor="text1"/>
                <w:sz w:val="22"/>
              </w:rPr>
              <w:t>22.</w:t>
            </w:r>
            <w:r>
              <w:rPr>
                <w:color w:val="000000" w:themeColor="text1"/>
                <w:sz w:val="22"/>
                <w:vertAlign w:val="superscript"/>
              </w:rPr>
              <w:t xml:space="preserve">1 </w:t>
            </w:r>
            <w:r>
              <w:rPr>
                <w:color w:val="000000" w:themeColor="text1"/>
                <w:sz w:val="22"/>
              </w:rPr>
              <w:t>un 22.</w:t>
            </w:r>
            <w:r>
              <w:rPr>
                <w:color w:val="000000" w:themeColor="text1"/>
                <w:sz w:val="22"/>
                <w:vertAlign w:val="superscript"/>
              </w:rPr>
              <w:t xml:space="preserve">2 </w:t>
            </w:r>
            <w:r>
              <w:rPr>
                <w:color w:val="000000" w:themeColor="text1"/>
                <w:sz w:val="22"/>
              </w:rPr>
              <w:t>punktiem;</w:t>
            </w:r>
          </w:p>
          <w:p w:rsidR="000F14B4" w:rsidRDefault="00786C08">
            <w:pPr>
              <w:spacing w:after="0" w:line="240" w:lineRule="auto"/>
              <w:rPr>
                <w:rFonts w:eastAsia="Times New Roman"/>
                <w:b/>
                <w:sz w:val="22"/>
                <w:lang w:eastAsia="lv-LV"/>
              </w:rPr>
            </w:pPr>
            <w:r>
              <w:rPr>
                <w:color w:val="000000" w:themeColor="text1"/>
                <w:sz w:val="22"/>
              </w:rPr>
              <w:t>2)</w:t>
            </w:r>
            <w:r>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 panta 44.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jāpārņem.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2. panta 45.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bCs/>
                <w:sz w:val="22"/>
                <w:lang w:eastAsia="lv-LV"/>
              </w:rPr>
            </w:pPr>
            <w:r>
              <w:rPr>
                <w:rFonts w:eastAsia="Times New Roman"/>
                <w:b/>
                <w:bCs/>
                <w:sz w:val="22"/>
                <w:lang w:eastAsia="lv-LV"/>
              </w:rPr>
              <w:t>Nav pārņemts</w:t>
            </w:r>
          </w:p>
          <w:p w:rsidR="000F14B4" w:rsidRDefault="00786C08">
            <w:pPr>
              <w:spacing w:after="0" w:line="240" w:lineRule="auto"/>
              <w:rPr>
                <w:rFonts w:eastAsia="Times New Roman"/>
                <w:bCs/>
                <w:sz w:val="22"/>
                <w:lang w:eastAsia="lv-LV"/>
              </w:rPr>
            </w:pPr>
            <w:r>
              <w:rPr>
                <w:rFonts w:eastAsia="Times New Roman"/>
                <w:bCs/>
                <w:sz w:val="22"/>
                <w:lang w:eastAsia="lv-LV"/>
              </w:rPr>
              <w:t xml:space="preserve">Prasības tiks pārņemtas ar </w:t>
            </w:r>
          </w:p>
          <w:p w:rsidR="000F14B4" w:rsidRDefault="00786C08">
            <w:pPr>
              <w:spacing w:after="0" w:line="240" w:lineRule="auto"/>
              <w:rPr>
                <w:rFonts w:eastAsia="Times New Roman"/>
                <w:bCs/>
                <w:sz w:val="22"/>
                <w:lang w:eastAsia="lv-LV"/>
              </w:rPr>
            </w:pPr>
            <w:r>
              <w:rPr>
                <w:rFonts w:eastAsia="Times New Roman"/>
                <w:bCs/>
                <w:sz w:val="22"/>
                <w:lang w:eastAsia="lv-LV"/>
              </w:rPr>
              <w:t>likumprojektu „Grozījumi Elektroenerģijas tirgus likumā”.</w:t>
            </w:r>
          </w:p>
          <w:p w:rsidR="000F14B4" w:rsidRDefault="00786C08">
            <w:pPr>
              <w:spacing w:after="0" w:line="240" w:lineRule="auto"/>
              <w:rPr>
                <w:rFonts w:eastAsia="Times New Roman"/>
                <w:b/>
                <w:bCs/>
                <w:sz w:val="22"/>
                <w:lang w:eastAsia="lv-LV"/>
              </w:rPr>
            </w:pPr>
            <w:r>
              <w:rPr>
                <w:rFonts w:eastAsia="Times New Roman"/>
                <w:bCs/>
                <w:sz w:val="22"/>
                <w:lang w:eastAsia="lv-LV"/>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3. panta 1.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Pr>
                <w:i/>
                <w:color w:val="000000"/>
                <w:sz w:val="22"/>
              </w:rPr>
              <w:t>EU Pilot lietas Nr.505/13/ENER prasībām.</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3.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nesatur dalībvalstij saistošus pienākumus un tāpēc to nav nepieciešams pārņemt.</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3.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color w:val="000000"/>
                <w:sz w:val="22"/>
              </w:rPr>
            </w:pPr>
            <w:r>
              <w:rPr>
                <w:color w:val="000000"/>
                <w:sz w:val="22"/>
              </w:rPr>
              <w:t>Norma nesatur dalībvalstij saistošus pienākumus un tāpēc to nav nepieciešams pārņemt.</w:t>
            </w:r>
          </w:p>
        </w:tc>
        <w:tc>
          <w:tcPr>
            <w:tcW w:w="1660" w:type="dxa"/>
            <w:shd w:val="clear" w:color="auto" w:fill="auto"/>
            <w:tcMar>
              <w:left w:w="108" w:type="dxa"/>
            </w:tcMar>
          </w:tcPr>
          <w:p w:rsidR="000F14B4" w:rsidRDefault="000F14B4">
            <w:pPr>
              <w:spacing w:after="0" w:line="240" w:lineRule="auto"/>
              <w:rPr>
                <w:sz w:val="22"/>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4. pants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bCs/>
                <w:color w:val="000000" w:themeColor="text1"/>
                <w:sz w:val="22"/>
                <w:lang w:eastAsia="lv-LV"/>
              </w:rPr>
            </w:pPr>
            <w:r>
              <w:rPr>
                <w:rFonts w:eastAsia="Times New Roman"/>
                <w:b/>
                <w:bCs/>
                <w:color w:val="000000" w:themeColor="text1"/>
                <w:sz w:val="22"/>
                <w:lang w:eastAsia="lv-LV"/>
              </w:rPr>
              <w:t>Pārņemts pilnībā</w:t>
            </w:r>
          </w:p>
          <w:p w:rsidR="000F14B4" w:rsidRDefault="00786C08">
            <w:pPr>
              <w:spacing w:after="0" w:line="240" w:lineRule="auto"/>
              <w:rPr>
                <w:rFonts w:eastAsia="Times New Roman"/>
                <w:color w:val="000000" w:themeColor="text1"/>
                <w:sz w:val="22"/>
                <w:lang w:eastAsia="lv-LV"/>
              </w:rPr>
            </w:pPr>
            <w:r>
              <w:rPr>
                <w:rFonts w:eastAsia="Times New Roman"/>
                <w:bCs/>
                <w:color w:val="000000" w:themeColor="text1"/>
                <w:sz w:val="22"/>
                <w:lang w:eastAsia="lv-LV"/>
              </w:rPr>
              <w:t xml:space="preserve">Prasība pārņemta ar Ministru kabineta </w:t>
            </w:r>
            <w:r>
              <w:rPr>
                <w:rFonts w:eastAsia="Times New Roman"/>
                <w:color w:val="000000" w:themeColor="text1"/>
                <w:sz w:val="22"/>
                <w:lang w:eastAsia="lv-LV"/>
              </w:rPr>
              <w:t xml:space="preserve">2013. gada 2. decembra </w:t>
            </w:r>
            <w:r>
              <w:rPr>
                <w:rFonts w:eastAsia="Times New Roman"/>
                <w:bCs/>
                <w:color w:val="000000" w:themeColor="text1"/>
                <w:sz w:val="22"/>
                <w:lang w:eastAsia="lv-LV"/>
              </w:rPr>
              <w:t>rīkojumu Nr. 587 (</w:t>
            </w:r>
            <w:r>
              <w:rPr>
                <w:rFonts w:eastAsia="Times New Roman"/>
                <w:color w:val="000000" w:themeColor="text1"/>
                <w:sz w:val="22"/>
                <w:lang w:eastAsia="lv-LV"/>
              </w:rPr>
              <w:t xml:space="preserve">prot. Nr. 63 52.§) </w:t>
            </w:r>
            <w:r>
              <w:rPr>
                <w:rFonts w:eastAsia="Times New Roman"/>
                <w:bCs/>
                <w:color w:val="000000" w:themeColor="text1"/>
                <w:sz w:val="22"/>
                <w:lang w:eastAsia="lv-LV"/>
              </w:rPr>
              <w:t>Par Koncepciju par Eiropas Parlamenta un Padomes 2012. gada 25. oktobra Direktīvas 2012/27/ES par energoefektivitāti prasību pārņemšanu normatīvajos aktos.</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5.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ind w:right="100"/>
              <w:jc w:val="both"/>
              <w:rPr>
                <w:b/>
                <w:color w:val="000000"/>
                <w:sz w:val="22"/>
              </w:rPr>
            </w:pPr>
            <w:r>
              <w:rPr>
                <w:b/>
                <w:color w:val="000000"/>
                <w:sz w:val="22"/>
              </w:rPr>
              <w:t>Pārņemts pilnībā</w:t>
            </w:r>
          </w:p>
          <w:p w:rsidR="000F14B4" w:rsidRDefault="00786C08">
            <w:pPr>
              <w:spacing w:after="0" w:line="240" w:lineRule="auto"/>
              <w:ind w:right="100"/>
              <w:jc w:val="both"/>
              <w:rPr>
                <w:rFonts w:eastAsia="Times New Roman"/>
                <w:sz w:val="22"/>
                <w:lang w:eastAsia="lv-LV"/>
              </w:rPr>
            </w:pPr>
            <w:r>
              <w:rPr>
                <w:color w:val="000000"/>
                <w:sz w:val="22"/>
              </w:rPr>
              <w:t>Pārņemts ar Darbības programmu “Izaugsme un nodarbinātība”</w:t>
            </w:r>
            <w:r>
              <w:rPr>
                <w:rStyle w:val="FootnoteAnchor"/>
                <w:color w:val="000000"/>
                <w:sz w:val="22"/>
              </w:rPr>
              <w:footnoteReference w:id="2"/>
            </w:r>
            <w:r>
              <w:rPr>
                <w:color w:val="000000"/>
                <w:sz w:val="22"/>
              </w:rPr>
              <w:t>, kas pieņemta atbilstoši Eiropas Savienības struktūrfondu un Kohēzijas fonda 2014.-2020. gada plānošanas perioda vadības likumam</w:t>
            </w:r>
            <w:r>
              <w:rPr>
                <w:rStyle w:val="FootnoteAnchor"/>
                <w:color w:val="000000"/>
                <w:sz w:val="22"/>
              </w:rPr>
              <w:footnoteReference w:id="3"/>
            </w:r>
            <w:r>
              <w:rPr>
                <w:color w:val="000000"/>
                <w:sz w:val="22"/>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5. panta 2.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ind w:right="100"/>
              <w:jc w:val="both"/>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color w:val="000000"/>
                <w:sz w:val="22"/>
              </w:rPr>
              <w:t>Prasības tika piemērotas, sastādot Valsts institūciju īpašumā, valdījumā un lietošanā esošās ēkas ar kopējo platību virs 500 m</w:t>
            </w:r>
            <w:r>
              <w:rPr>
                <w:color w:val="000000"/>
                <w:sz w:val="22"/>
                <w:vertAlign w:val="superscript"/>
              </w:rPr>
              <w:t>2</w:t>
            </w:r>
            <w:r>
              <w:rPr>
                <w:color w:val="000000"/>
                <w:sz w:val="22"/>
              </w:rPr>
              <w:t xml:space="preserve"> uz 31.12.2013. saskaņā ar Eiropas Parlamenta un Padomes Direktīvas 2012/27/ES par energoefektivitāti 5. panta 5. punktu (sagatavota pēc valsts institūciju sniegtās informācijas).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5. panta 3.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jc w:val="both"/>
              <w:rPr>
                <w:rFonts w:eastAsia="Times New Roman"/>
                <w:sz w:val="22"/>
                <w:lang w:eastAsia="lv-LV"/>
              </w:rPr>
            </w:pPr>
            <w:r>
              <w:rPr>
                <w:color w:val="000000"/>
                <w:sz w:val="22"/>
              </w:rPr>
              <w:t xml:space="preserve"> Prasības pārņemtas ar ikgadējo ziņojumu</w:t>
            </w:r>
            <w:r>
              <w:rPr>
                <w:sz w:val="22"/>
              </w:rPr>
              <w:t xml:space="preserve"> “Ziņojums par virzību uz valsts energoefektivitātes mērķu 2020. gadam izpildi par 2013. gadu, atbilstoši Direktīvas 2012/27/ES 24. panta 1. punkta un XIV pielikuma 1.daļas prasībām” (Iesniegts Eiropas Komisijai 2015. gada 2. maijā).</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5. panta 4.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jc w:val="both"/>
              <w:rPr>
                <w:b/>
                <w:bCs/>
                <w:sz w:val="22"/>
              </w:rPr>
            </w:pPr>
            <w:r>
              <w:rPr>
                <w:b/>
                <w:bCs/>
                <w:sz w:val="22"/>
              </w:rPr>
              <w:t>Pārņemts pilnībā</w:t>
            </w:r>
          </w:p>
          <w:p w:rsidR="000F14B4" w:rsidRDefault="00786C08">
            <w:pPr>
              <w:spacing w:after="0" w:line="240" w:lineRule="auto"/>
              <w:rPr>
                <w:rFonts w:eastAsia="Times New Roman"/>
                <w:sz w:val="22"/>
                <w:lang w:eastAsia="lv-LV"/>
              </w:rPr>
            </w:pPr>
            <w:r>
              <w:rPr>
                <w:bCs/>
                <w:sz w:val="22"/>
              </w:rPr>
              <w:t xml:space="preserve">Prasības pārņemtas ar Ministru kabineta </w:t>
            </w:r>
            <w:r>
              <w:rPr>
                <w:sz w:val="22"/>
              </w:rPr>
              <w:t xml:space="preserve">2013. gada 2. decembra </w:t>
            </w:r>
            <w:r>
              <w:rPr>
                <w:bCs/>
                <w:sz w:val="22"/>
              </w:rPr>
              <w:t>rīkojumu Nr. 587 (</w:t>
            </w:r>
            <w:r>
              <w:rPr>
                <w:sz w:val="22"/>
              </w:rPr>
              <w:t>prot. Nr. 63 52.§) „</w:t>
            </w:r>
            <w:r>
              <w:rPr>
                <w:bCs/>
                <w:sz w:val="22"/>
              </w:rPr>
              <w:t>Par Koncepciju par Eiropas Parlamenta un Padomes 2012. gada 25. oktobra Direktīvas 2012/27/ES</w:t>
            </w:r>
            <w:r>
              <w:rPr>
                <w:bCs/>
                <w:color w:val="0000FF"/>
                <w:sz w:val="22"/>
                <w:u w:val="single"/>
              </w:rPr>
              <w:t xml:space="preserve"> </w:t>
            </w:r>
            <w:r>
              <w:rPr>
                <w:bCs/>
                <w:sz w:val="22"/>
              </w:rPr>
              <w:t>par energoefektivitāti prasību pārņemšanu normatīvajos aktos”</w:t>
            </w:r>
            <w:r>
              <w:rPr>
                <w:rStyle w:val="FootnoteAnchor"/>
                <w:bCs/>
                <w:sz w:val="22"/>
              </w:rPr>
              <w:footnoteReference w:id="4"/>
            </w:r>
            <w:r>
              <w:rPr>
                <w:bCs/>
                <w:sz w:val="22"/>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5. panta 5.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b/>
                <w:sz w:val="22"/>
                <w:lang w:eastAsia="lv-LV"/>
              </w:rPr>
              <w:t>Pārņemts</w:t>
            </w:r>
            <w:r>
              <w:rPr>
                <w:b/>
                <w:bCs/>
                <w:sz w:val="22"/>
              </w:rPr>
              <w:t xml:space="preserve"> pilnībā</w:t>
            </w:r>
          </w:p>
          <w:p w:rsidR="000F14B4" w:rsidRDefault="00786C08">
            <w:pPr>
              <w:spacing w:after="0" w:line="240" w:lineRule="auto"/>
              <w:rPr>
                <w:rFonts w:eastAsia="Times New Roman"/>
                <w:sz w:val="22"/>
                <w:lang w:eastAsia="lv-LV"/>
              </w:rPr>
            </w:pPr>
            <w:r>
              <w:rPr>
                <w:rFonts w:eastAsia="Times New Roman"/>
                <w:sz w:val="22"/>
                <w:lang w:eastAsia="lv-LV"/>
              </w:rPr>
              <w:t>Valsts īpašumā, valdījumā un lietošanā esošās ēkas ar kopējo platību virs 250 m</w:t>
            </w:r>
            <w:r>
              <w:rPr>
                <w:rFonts w:eastAsia="Times New Roman"/>
                <w:sz w:val="22"/>
                <w:vertAlign w:val="superscript"/>
                <w:lang w:eastAsia="lv-LV"/>
              </w:rPr>
              <w:t xml:space="preserve">2 </w:t>
            </w:r>
            <w:r>
              <w:rPr>
                <w:rFonts w:eastAsia="Times New Roman"/>
                <w:sz w:val="22"/>
                <w:lang w:eastAsia="lv-LV"/>
              </w:rPr>
              <w:t>uz 31.12.2013. saskaņā ar Eiropas padomes un Parlamenta Direktīvas 2012/27/ES par energoefektivitāti 5. panta 5. punktu</w:t>
            </w:r>
            <w:r>
              <w:rPr>
                <w:rStyle w:val="FootnoteAnchor"/>
                <w:rFonts w:eastAsia="Times New Roman"/>
                <w:sz w:val="22"/>
                <w:lang w:eastAsia="lv-LV"/>
              </w:rPr>
              <w:footnoteReference w:id="5"/>
            </w:r>
            <w:r>
              <w:rPr>
                <w:rFonts w:eastAsia="Times New Roman"/>
                <w:sz w:val="22"/>
                <w:lang w:eastAsia="lv-LV"/>
              </w:rPr>
              <w:t xml:space="preserve">. </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5. panta 6.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Latvija nav izvēlējusies iespēju ieviest Direktīvas 2012/27/ES 5. panta 6. punkta prasības, jo ir izvēlētas ieviest Direktīvas 2012/27/ES 5. panta no 1. līdz 5. punkta prasības.</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5. panta 7.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ind w:right="100"/>
              <w:jc w:val="both"/>
              <w:rPr>
                <w:b/>
                <w:color w:val="000000"/>
                <w:sz w:val="22"/>
              </w:rPr>
            </w:pPr>
            <w:r>
              <w:rPr>
                <w:b/>
                <w:color w:val="000000"/>
                <w:sz w:val="22"/>
              </w:rPr>
              <w:t>Pārņemts pilnībā</w:t>
            </w:r>
          </w:p>
          <w:p w:rsidR="000F14B4" w:rsidRDefault="00786C08">
            <w:pPr>
              <w:spacing w:after="0" w:line="240" w:lineRule="auto"/>
              <w:jc w:val="both"/>
              <w:rPr>
                <w:sz w:val="22"/>
              </w:rPr>
            </w:pPr>
            <w:r>
              <w:rPr>
                <w:sz w:val="22"/>
              </w:rPr>
              <w:t>Prasība pārņemta arī ar:</w:t>
            </w:r>
          </w:p>
          <w:p w:rsidR="000F14B4" w:rsidRDefault="00786C08">
            <w:pPr>
              <w:spacing w:after="0" w:line="240" w:lineRule="auto"/>
              <w:jc w:val="both"/>
              <w:rPr>
                <w:sz w:val="22"/>
              </w:rPr>
            </w:pPr>
            <w:r>
              <w:rPr>
                <w:sz w:val="22"/>
              </w:rPr>
              <w:t>1) Ekonomikas ministrijas dokuments „Ieteikumi enerģijas sektora plānošanai pašvaldībās”</w:t>
            </w:r>
            <w:r>
              <w:rPr>
                <w:rStyle w:val="FootnoteAnchor"/>
                <w:sz w:val="22"/>
              </w:rPr>
              <w:footnoteReference w:id="6"/>
            </w:r>
            <w:r>
              <w:rPr>
                <w:sz w:val="22"/>
              </w:rPr>
              <w:t>;</w:t>
            </w:r>
          </w:p>
          <w:p w:rsidR="000F14B4" w:rsidRDefault="00786C08">
            <w:pPr>
              <w:spacing w:after="0" w:line="240" w:lineRule="auto"/>
              <w:jc w:val="both"/>
              <w:rPr>
                <w:sz w:val="22"/>
              </w:rPr>
            </w:pPr>
            <w:r>
              <w:rPr>
                <w:sz w:val="22"/>
              </w:rPr>
              <w:t>2) Vides aizsardzības un reģionālās attīstības ministrijas dokuments „Metodiskie ieteikumi attīstības programmu izstrādei reģionālā un vietējā līmenī”</w:t>
            </w:r>
            <w:r>
              <w:rPr>
                <w:rStyle w:val="FootnoteAnchor"/>
                <w:sz w:val="22"/>
              </w:rPr>
              <w:footnoteReference w:id="7"/>
            </w:r>
            <w:r>
              <w:rPr>
                <w:sz w:val="22"/>
              </w:rPr>
              <w:t>.</w:t>
            </w:r>
          </w:p>
          <w:p w:rsidR="000F14B4" w:rsidRDefault="00786C08">
            <w:pPr>
              <w:spacing w:after="0" w:line="240" w:lineRule="auto"/>
              <w:jc w:val="both"/>
              <w:rPr>
                <w:sz w:val="22"/>
              </w:rPr>
            </w:pPr>
            <w:r>
              <w:rPr>
                <w:sz w:val="22"/>
              </w:rPr>
              <w:t>3) Energoefektivitātes likuma 5. panta pirmo, otro un trešo daļu.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shd w:val="clear" w:color="auto" w:fill="FFFF00"/>
                <w:lang w:eastAsia="lv-LV"/>
              </w:rPr>
            </w:pPr>
            <w:r>
              <w:rPr>
                <w:sz w:val="22"/>
              </w:rPr>
              <w:t>Direktīvas 2012/27/ES 6. panta 1. punkta pirmā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sz w:val="22"/>
              </w:rPr>
            </w:pPr>
            <w:r>
              <w:rPr>
                <w:sz w:val="22"/>
              </w:rPr>
              <w:t>Prasības pārņemtas ar :</w:t>
            </w:r>
          </w:p>
          <w:p w:rsidR="000F14B4" w:rsidRDefault="00786C08">
            <w:pPr>
              <w:spacing w:after="0" w:line="240" w:lineRule="auto"/>
              <w:rPr>
                <w:sz w:val="22"/>
              </w:rPr>
            </w:pPr>
            <w:r>
              <w:rPr>
                <w:sz w:val="22"/>
              </w:rPr>
              <w:t>1) Publisko iepirkumu likuma 46.</w:t>
            </w:r>
            <w:r>
              <w:rPr>
                <w:sz w:val="22"/>
                <w:vertAlign w:val="superscript"/>
              </w:rPr>
              <w:t xml:space="preserve">1 </w:t>
            </w:r>
            <w:r>
              <w:rPr>
                <w:sz w:val="22"/>
              </w:rPr>
              <w:t>pantu.</w:t>
            </w:r>
          </w:p>
          <w:p w:rsidR="000F14B4" w:rsidRDefault="00786C08">
            <w:pPr>
              <w:spacing w:after="0" w:line="240" w:lineRule="auto"/>
              <w:rPr>
                <w:sz w:val="22"/>
              </w:rPr>
            </w:pPr>
            <w:r>
              <w:rPr>
                <w:sz w:val="22"/>
              </w:rPr>
              <w:t>2) Ēku energoefektivitātes likuma 14. panta trešo, ceturto un piekto daļu.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sz w:val="22"/>
              </w:rPr>
            </w:pPr>
            <w:r>
              <w:rPr>
                <w:sz w:val="22"/>
              </w:rPr>
              <w:t>Direktīvas 2012/27/ES 6. panta 1. punkta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sz w:val="22"/>
              </w:rPr>
            </w:pPr>
            <w:r>
              <w:rPr>
                <w:sz w:val="22"/>
              </w:rPr>
              <w:t>Prasības pārņemtas ar Publisko iepirkumu likuma 46.</w:t>
            </w:r>
            <w:r>
              <w:rPr>
                <w:sz w:val="22"/>
                <w:vertAlign w:val="superscript"/>
              </w:rPr>
              <w:t xml:space="preserve">1 </w:t>
            </w:r>
            <w:r>
              <w:rPr>
                <w:sz w:val="22"/>
              </w:rPr>
              <w:t>pantu.</w:t>
            </w:r>
          </w:p>
          <w:p w:rsidR="000F14B4" w:rsidRDefault="000F14B4">
            <w:pPr>
              <w:spacing w:after="0" w:line="240" w:lineRule="auto"/>
              <w:rPr>
                <w:b/>
                <w:sz w:val="22"/>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6.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jc w:val="both"/>
              <w:rPr>
                <w:b/>
                <w:sz w:val="22"/>
              </w:rPr>
            </w:pPr>
            <w:r>
              <w:rPr>
                <w:b/>
                <w:sz w:val="22"/>
              </w:rPr>
              <w:t>Pārņemts pilnībā</w:t>
            </w:r>
          </w:p>
          <w:p w:rsidR="000F14B4" w:rsidRDefault="00786C08">
            <w:pPr>
              <w:spacing w:after="0" w:line="240" w:lineRule="auto"/>
              <w:rPr>
                <w:rFonts w:eastAsia="Times New Roman"/>
                <w:sz w:val="22"/>
                <w:lang w:eastAsia="lv-LV"/>
              </w:rPr>
            </w:pPr>
            <w:r>
              <w:rPr>
                <w:sz w:val="22"/>
              </w:rPr>
              <w:t>Aizsardzības un drošības jomas iepirkumu likums.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lastRenderedPageBreak/>
              <w:t>6. panta 3.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jc w:val="both"/>
              <w:rPr>
                <w:b/>
                <w:sz w:val="22"/>
              </w:rPr>
            </w:pPr>
            <w:r>
              <w:rPr>
                <w:b/>
                <w:sz w:val="22"/>
              </w:rPr>
              <w:t xml:space="preserve">Pārņemts pilnībā </w:t>
            </w:r>
          </w:p>
          <w:p w:rsidR="000F14B4" w:rsidRDefault="00786C08">
            <w:pPr>
              <w:spacing w:after="0" w:line="240" w:lineRule="auto"/>
              <w:jc w:val="both"/>
              <w:rPr>
                <w:sz w:val="22"/>
              </w:rPr>
            </w:pPr>
            <w:r>
              <w:rPr>
                <w:sz w:val="22"/>
              </w:rPr>
              <w:lastRenderedPageBreak/>
              <w:t>1) Ekonomikas ministrijas dokuments „Ieteikumi enerģijas sektora plānošanai pašvaldībās”</w:t>
            </w:r>
            <w:r>
              <w:rPr>
                <w:rStyle w:val="FootnoteAnchor"/>
                <w:sz w:val="22"/>
              </w:rPr>
              <w:footnoteReference w:id="8"/>
            </w:r>
            <w:r>
              <w:rPr>
                <w:sz w:val="22"/>
              </w:rPr>
              <w:t>;</w:t>
            </w:r>
          </w:p>
          <w:p w:rsidR="000F14B4" w:rsidRDefault="00786C08">
            <w:pPr>
              <w:spacing w:after="0" w:line="240" w:lineRule="auto"/>
              <w:jc w:val="both"/>
              <w:rPr>
                <w:sz w:val="22"/>
              </w:rPr>
            </w:pPr>
            <w:r>
              <w:rPr>
                <w:sz w:val="22"/>
              </w:rPr>
              <w:t>2) Zaļā iepirkuma veicināšanas plāns 2015.-2017. gadam, apstiprināts Ministru kabinetā 2015. gada 17. februārī (Protokols Nr. 9, 24.§) publicēts</w:t>
            </w:r>
            <w:r>
              <w:rPr>
                <w:rStyle w:val="FootnoteAnchor"/>
                <w:sz w:val="22"/>
              </w:rPr>
              <w:footnoteReference w:id="9"/>
            </w:r>
            <w:r>
              <w:rPr>
                <w:sz w:val="22"/>
              </w:rPr>
              <w:t>;</w:t>
            </w:r>
          </w:p>
          <w:p w:rsidR="000F14B4" w:rsidRDefault="00786C08">
            <w:pPr>
              <w:spacing w:after="0" w:line="240" w:lineRule="auto"/>
              <w:jc w:val="both"/>
              <w:rPr>
                <w:sz w:val="22"/>
              </w:rPr>
            </w:pPr>
            <w:r>
              <w:rPr>
                <w:sz w:val="22"/>
              </w:rPr>
              <w:t>3) Vides aizsardzības un reģionālās attīstības ministrijas dokuments „Metodiskie ieteikumi attīstības programmu izstrādei reģionālā un vietējā līmenī”</w:t>
            </w:r>
            <w:r>
              <w:rPr>
                <w:rStyle w:val="FootnoteAnchor"/>
                <w:sz w:val="22"/>
              </w:rPr>
              <w:footnoteReference w:id="10"/>
            </w:r>
            <w:r>
              <w:rPr>
                <w:sz w:val="22"/>
              </w:rPr>
              <w:t>;</w:t>
            </w:r>
          </w:p>
          <w:p w:rsidR="000F14B4" w:rsidRDefault="00786C08">
            <w:pPr>
              <w:spacing w:after="0" w:line="240" w:lineRule="auto"/>
              <w:jc w:val="both"/>
              <w:rPr>
                <w:sz w:val="22"/>
              </w:rPr>
            </w:pPr>
            <w:r>
              <w:rPr>
                <w:sz w:val="22"/>
              </w:rPr>
              <w:t>4) Vides aizsardzības un reģionālās attīstības ministrijas un Iepirkumu uzraudzības biroja ”Ieteikumi videi draudzīgas būvniecības veicināšanai”</w:t>
            </w:r>
            <w:r>
              <w:rPr>
                <w:rStyle w:val="FootnoteAnchor"/>
                <w:sz w:val="22"/>
              </w:rPr>
              <w:footnoteReference w:id="11"/>
            </w:r>
            <w:r>
              <w:rPr>
                <w:sz w:val="22"/>
              </w:rPr>
              <w:t>.</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shd w:val="clear" w:color="auto" w:fill="FF0000"/>
                <w:lang w:eastAsia="lv-LV"/>
              </w:rPr>
            </w:pPr>
            <w:r>
              <w:rPr>
                <w:sz w:val="22"/>
              </w:rPr>
              <w:t xml:space="preserve">Direktīvas 2012/27/ES </w:t>
            </w:r>
            <w:r>
              <w:rPr>
                <w:rFonts w:eastAsia="Times New Roman"/>
                <w:sz w:val="22"/>
                <w:lang w:eastAsia="lv-LV"/>
              </w:rPr>
              <w:t>6. panta 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sz w:val="22"/>
              </w:rPr>
            </w:pPr>
            <w:r>
              <w:rPr>
                <w:sz w:val="22"/>
              </w:rPr>
              <w:t>Prasības pārņemtas ar Publisko iepirkumu likuma 46.</w:t>
            </w:r>
            <w:r>
              <w:rPr>
                <w:sz w:val="22"/>
                <w:vertAlign w:val="superscript"/>
              </w:rPr>
              <w:t xml:space="preserve">1 </w:t>
            </w:r>
            <w:r>
              <w:rPr>
                <w:sz w:val="22"/>
              </w:rPr>
              <w:t>pantu.</w:t>
            </w:r>
          </w:p>
          <w:p w:rsidR="000F14B4" w:rsidRDefault="000F14B4">
            <w:pPr>
              <w:spacing w:after="0" w:line="240" w:lineRule="auto"/>
              <w:rPr>
                <w:b/>
                <w:sz w:val="22"/>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7. pants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daļēji</w:t>
            </w:r>
          </w:p>
          <w:p w:rsidR="000F14B4" w:rsidRDefault="00786C08">
            <w:pPr>
              <w:spacing w:after="0" w:line="240" w:lineRule="auto"/>
              <w:rPr>
                <w:rFonts w:eastAsia="Times New Roman"/>
                <w:sz w:val="22"/>
                <w:lang w:eastAsia="lv-LV"/>
              </w:rPr>
            </w:pPr>
            <w:r>
              <w:rPr>
                <w:sz w:val="22"/>
              </w:rPr>
              <w:t xml:space="preserve">Pilnībā </w:t>
            </w:r>
            <w:r>
              <w:rPr>
                <w:rFonts w:eastAsia="Times New Roman"/>
                <w:sz w:val="22"/>
                <w:lang w:eastAsia="lv-LV"/>
              </w:rPr>
              <w:t xml:space="preserve">tiks pārņemtas ar </w:t>
            </w:r>
            <w:r>
              <w:rPr>
                <w:sz w:val="22"/>
              </w:rPr>
              <w:t>Ministru kabineta noteikumu projektu „</w:t>
            </w:r>
            <w:r>
              <w:rPr>
                <w:bCs/>
                <w:sz w:val="22"/>
              </w:rPr>
              <w:t>Energoefektivitātes pienākuma shēma”</w:t>
            </w:r>
            <w:r>
              <w:rPr>
                <w:sz w:val="22"/>
              </w:rPr>
              <w:t>, ko paredzēts izdot, pamatojoties uz Energoefektivitātes likuma 6. panta prasībām.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7. panta </w:t>
            </w:r>
          </w:p>
          <w:p w:rsidR="000F14B4" w:rsidRDefault="00786C08">
            <w:pPr>
              <w:spacing w:after="0" w:line="240" w:lineRule="auto"/>
              <w:rPr>
                <w:rFonts w:eastAsia="Times New Roman"/>
                <w:sz w:val="22"/>
                <w:lang w:eastAsia="lv-LV"/>
              </w:rPr>
            </w:pPr>
            <w:r>
              <w:rPr>
                <w:rFonts w:eastAsia="Times New Roman"/>
                <w:sz w:val="22"/>
                <w:lang w:eastAsia="lv-LV"/>
              </w:rPr>
              <w:t>8. punkta pirmā daļa</w:t>
            </w:r>
          </w:p>
          <w:p w:rsidR="000F14B4" w:rsidRDefault="000F14B4">
            <w:pPr>
              <w:spacing w:after="0" w:line="240" w:lineRule="auto"/>
              <w:rPr>
                <w:sz w:val="22"/>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Ar Ministru kabineta noteikumu projektu “Noteikumi par energoefektivitātes monitoringu un piemērojamo energopārvaldības sistēmas standartu”.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7. panta </w:t>
            </w:r>
          </w:p>
          <w:p w:rsidR="000F14B4" w:rsidRDefault="00786C08">
            <w:pPr>
              <w:spacing w:after="0" w:line="240" w:lineRule="auto"/>
              <w:rPr>
                <w:rFonts w:eastAsia="Times New Roman"/>
                <w:sz w:val="22"/>
                <w:lang w:eastAsia="lv-LV"/>
              </w:rPr>
            </w:pPr>
            <w:r>
              <w:rPr>
                <w:rFonts w:eastAsia="Times New Roman"/>
                <w:sz w:val="22"/>
                <w:lang w:eastAsia="lv-LV"/>
              </w:rPr>
              <w:t>8. punkta otrā daļa, a), b) apakšpunkti</w:t>
            </w:r>
          </w:p>
          <w:p w:rsidR="000F14B4" w:rsidRDefault="000F14B4">
            <w:pPr>
              <w:spacing w:after="0" w:line="240" w:lineRule="auto"/>
              <w:rPr>
                <w:sz w:val="22"/>
              </w:rPr>
            </w:pPr>
          </w:p>
        </w:tc>
        <w:tc>
          <w:tcPr>
            <w:tcW w:w="1295" w:type="dxa"/>
            <w:shd w:val="clear" w:color="auto" w:fill="auto"/>
            <w:tcMar>
              <w:left w:w="108" w:type="dxa"/>
            </w:tcMar>
          </w:tcPr>
          <w:p w:rsidR="000F14B4" w:rsidRDefault="000F14B4">
            <w:pPr>
              <w:spacing w:after="0" w:line="240" w:lineRule="auto"/>
              <w:rPr>
                <w:rFonts w:eastAsia="Times New Roman"/>
                <w:sz w:val="22"/>
                <w:shd w:val="clear" w:color="auto" w:fill="00FF00"/>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b/>
                <w:sz w:val="22"/>
                <w:shd w:val="clear" w:color="auto" w:fill="00FF00"/>
              </w:rPr>
            </w:pPr>
            <w:r>
              <w:rPr>
                <w:rFonts w:eastAsia="Times New Roman"/>
                <w:sz w:val="22"/>
                <w:lang w:eastAsia="lv-LV"/>
              </w:rPr>
              <w:t>Ar Ministru kabineta noteikumu projektu “Noteikumi par energoefektivitātes monitoringu un piemērojamo energopārvaldības sistēmas standartu”.</w:t>
            </w:r>
          </w:p>
        </w:tc>
        <w:tc>
          <w:tcPr>
            <w:tcW w:w="1660" w:type="dxa"/>
            <w:shd w:val="clear" w:color="auto" w:fill="auto"/>
            <w:tcMar>
              <w:left w:w="108" w:type="dxa"/>
            </w:tcMar>
          </w:tcPr>
          <w:p w:rsidR="000F14B4" w:rsidRDefault="00786C08">
            <w:pPr>
              <w:spacing w:after="0" w:line="240" w:lineRule="auto"/>
              <w:rPr>
                <w:sz w:val="22"/>
                <w:shd w:val="clear" w:color="auto" w:fill="00FF00"/>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7. panta </w:t>
            </w:r>
          </w:p>
          <w:p w:rsidR="000F14B4" w:rsidRDefault="00786C08">
            <w:pPr>
              <w:spacing w:after="0" w:line="240" w:lineRule="auto"/>
              <w:rPr>
                <w:rFonts w:eastAsia="Times New Roman"/>
                <w:sz w:val="22"/>
                <w:lang w:eastAsia="lv-LV"/>
              </w:rPr>
            </w:pPr>
            <w:r>
              <w:rPr>
                <w:rFonts w:eastAsia="Times New Roman"/>
                <w:sz w:val="22"/>
                <w:lang w:eastAsia="lv-LV"/>
              </w:rPr>
              <w:t>9. punkta otrā daļa, c) apakšpunkts</w:t>
            </w:r>
          </w:p>
        </w:tc>
        <w:tc>
          <w:tcPr>
            <w:tcW w:w="1295" w:type="dxa"/>
            <w:shd w:val="clear" w:color="auto" w:fill="auto"/>
            <w:tcMar>
              <w:left w:w="108" w:type="dxa"/>
            </w:tcMar>
          </w:tcPr>
          <w:p w:rsidR="000F14B4" w:rsidRDefault="00786C08">
            <w:pPr>
              <w:spacing w:after="0" w:line="240" w:lineRule="auto"/>
              <w:rPr>
                <w:rFonts w:eastAsia="Times New Roman"/>
                <w:sz w:val="22"/>
                <w:shd w:val="clear" w:color="auto" w:fill="00FF00"/>
                <w:lang w:eastAsia="lv-LV"/>
              </w:rPr>
            </w:pPr>
            <w:r>
              <w:rPr>
                <w:rFonts w:eastAsia="Times New Roman"/>
                <w:sz w:val="22"/>
                <w:lang w:eastAsia="lv-LV"/>
              </w:rPr>
              <w:t>Noteikumu projekta I. nodaļas 1. punkts</w:t>
            </w:r>
          </w:p>
        </w:tc>
        <w:tc>
          <w:tcPr>
            <w:tcW w:w="4577" w:type="dxa"/>
            <w:shd w:val="clear" w:color="auto" w:fill="auto"/>
            <w:tcMar>
              <w:left w:w="108" w:type="dxa"/>
            </w:tcMar>
          </w:tcPr>
          <w:p w:rsidR="000F14B4" w:rsidRDefault="00786C08">
            <w:pPr>
              <w:spacing w:after="0" w:line="240" w:lineRule="auto"/>
              <w:rPr>
                <w:b/>
                <w:sz w:val="22"/>
              </w:rPr>
            </w:pPr>
            <w:r>
              <w:rPr>
                <w:b/>
                <w:sz w:val="22"/>
              </w:rPr>
              <w:t>Pārņemts pilnībā</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7. panta </w:t>
            </w:r>
          </w:p>
          <w:p w:rsidR="000F14B4" w:rsidRDefault="00786C08">
            <w:pPr>
              <w:spacing w:after="0" w:line="240" w:lineRule="auto"/>
              <w:rPr>
                <w:rFonts w:eastAsia="Times New Roman"/>
                <w:sz w:val="22"/>
                <w:lang w:eastAsia="lv-LV"/>
              </w:rPr>
            </w:pPr>
            <w:r>
              <w:rPr>
                <w:rFonts w:eastAsia="Times New Roman"/>
                <w:sz w:val="22"/>
                <w:lang w:eastAsia="lv-LV"/>
              </w:rPr>
              <w:lastRenderedPageBreak/>
              <w:t>10. punkta h) apakšpunkts</w:t>
            </w:r>
          </w:p>
        </w:tc>
        <w:tc>
          <w:tcPr>
            <w:tcW w:w="1295" w:type="dxa"/>
            <w:shd w:val="clear" w:color="auto" w:fill="auto"/>
            <w:tcMar>
              <w:left w:w="108" w:type="dxa"/>
            </w:tcMar>
          </w:tcPr>
          <w:p w:rsidR="000F14B4" w:rsidRDefault="000F14B4">
            <w:pPr>
              <w:spacing w:after="0" w:line="240" w:lineRule="auto"/>
              <w:rPr>
                <w:rFonts w:eastAsia="Times New Roman"/>
                <w:sz w:val="22"/>
                <w:shd w:val="clear" w:color="auto" w:fill="00FF00"/>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b/>
                <w:sz w:val="22"/>
                <w:shd w:val="clear" w:color="auto" w:fill="00FF00"/>
              </w:rPr>
            </w:pPr>
            <w:r>
              <w:rPr>
                <w:rFonts w:eastAsia="Times New Roman"/>
                <w:sz w:val="22"/>
                <w:lang w:eastAsia="lv-LV"/>
              </w:rPr>
              <w:t xml:space="preserve">Ar Ministru kabineta noteikumu projektu “Noteikumi par energoefektivitātes monitoringu </w:t>
            </w:r>
            <w:r>
              <w:rPr>
                <w:rFonts w:eastAsia="Times New Roman"/>
                <w:sz w:val="22"/>
                <w:lang w:eastAsia="lv-LV"/>
              </w:rPr>
              <w:lastRenderedPageBreak/>
              <w:t>un piemērojamo energopārvaldības sistēmas standartu”.</w:t>
            </w:r>
          </w:p>
        </w:tc>
        <w:tc>
          <w:tcPr>
            <w:tcW w:w="1660" w:type="dxa"/>
            <w:shd w:val="clear" w:color="auto" w:fill="auto"/>
            <w:tcMar>
              <w:left w:w="108" w:type="dxa"/>
            </w:tcMar>
          </w:tcPr>
          <w:p w:rsidR="000F14B4" w:rsidRDefault="00786C08">
            <w:pPr>
              <w:spacing w:after="0" w:line="240" w:lineRule="auto"/>
              <w:rPr>
                <w:sz w:val="22"/>
                <w:shd w:val="clear" w:color="auto" w:fill="00FF00"/>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7. panta </w:t>
            </w:r>
          </w:p>
          <w:p w:rsidR="000F14B4" w:rsidRDefault="00786C08">
            <w:pPr>
              <w:spacing w:after="0" w:line="240" w:lineRule="auto"/>
              <w:rPr>
                <w:sz w:val="22"/>
                <w:shd w:val="clear" w:color="auto" w:fill="00FF00"/>
              </w:rPr>
            </w:pPr>
            <w:r>
              <w:rPr>
                <w:rFonts w:eastAsia="Times New Roman"/>
                <w:sz w:val="22"/>
                <w:lang w:eastAsia="lv-LV"/>
              </w:rPr>
              <w:t>10. punkta i) apakšpunkts</w:t>
            </w:r>
          </w:p>
        </w:tc>
        <w:tc>
          <w:tcPr>
            <w:tcW w:w="1295" w:type="dxa"/>
            <w:shd w:val="clear" w:color="auto" w:fill="auto"/>
            <w:tcMar>
              <w:left w:w="108" w:type="dxa"/>
            </w:tcMar>
          </w:tcPr>
          <w:p w:rsidR="000F14B4" w:rsidRDefault="000F14B4">
            <w:pPr>
              <w:spacing w:after="0" w:line="240" w:lineRule="auto"/>
              <w:rPr>
                <w:rFonts w:eastAsia="Times New Roman"/>
                <w:sz w:val="22"/>
                <w:shd w:val="clear" w:color="auto" w:fill="00FF00"/>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b/>
                <w:sz w:val="22"/>
                <w:shd w:val="clear" w:color="auto" w:fill="00FF00"/>
              </w:rPr>
            </w:pPr>
            <w:r>
              <w:rPr>
                <w:rFonts w:eastAsia="Times New Roman"/>
                <w:sz w:val="22"/>
                <w:lang w:eastAsia="lv-LV"/>
              </w:rPr>
              <w:t>Ar Ministru kabineta noteikumu projektu “Noteikumi par energoefektivitātes monitoringu un piemērojamo energopārvaldības sistēmas standartu”.</w:t>
            </w:r>
          </w:p>
        </w:tc>
        <w:tc>
          <w:tcPr>
            <w:tcW w:w="1660" w:type="dxa"/>
            <w:shd w:val="clear" w:color="auto" w:fill="auto"/>
            <w:tcMar>
              <w:left w:w="108" w:type="dxa"/>
            </w:tcMar>
          </w:tcPr>
          <w:p w:rsidR="000F14B4" w:rsidRDefault="00786C08">
            <w:pPr>
              <w:spacing w:after="0" w:line="240" w:lineRule="auto"/>
              <w:rPr>
                <w:sz w:val="22"/>
                <w:shd w:val="clear" w:color="auto" w:fill="00FF00"/>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7. panta </w:t>
            </w:r>
          </w:p>
          <w:p w:rsidR="000F14B4" w:rsidRDefault="00786C08">
            <w:pPr>
              <w:spacing w:after="0" w:line="240" w:lineRule="auto"/>
              <w:rPr>
                <w:sz w:val="22"/>
                <w:shd w:val="clear" w:color="auto" w:fill="00FF00"/>
              </w:rPr>
            </w:pPr>
            <w:r>
              <w:rPr>
                <w:rFonts w:eastAsia="Times New Roman"/>
                <w:sz w:val="22"/>
                <w:lang w:eastAsia="lv-LV"/>
              </w:rPr>
              <w:t>10. punkta j) apakšpunkts</w:t>
            </w:r>
          </w:p>
        </w:tc>
        <w:tc>
          <w:tcPr>
            <w:tcW w:w="1295" w:type="dxa"/>
            <w:shd w:val="clear" w:color="auto" w:fill="auto"/>
            <w:tcMar>
              <w:left w:w="108" w:type="dxa"/>
            </w:tcMar>
          </w:tcPr>
          <w:p w:rsidR="000F14B4" w:rsidRDefault="000F14B4">
            <w:pPr>
              <w:spacing w:after="0" w:line="240" w:lineRule="auto"/>
              <w:rPr>
                <w:rFonts w:eastAsia="Times New Roman"/>
                <w:sz w:val="22"/>
                <w:shd w:val="clear" w:color="auto" w:fill="00FF00"/>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b/>
                <w:sz w:val="22"/>
                <w:shd w:val="clear" w:color="auto" w:fill="00FF00"/>
              </w:rPr>
            </w:pPr>
            <w:r>
              <w:rPr>
                <w:rFonts w:eastAsia="Times New Roman"/>
                <w:sz w:val="22"/>
                <w:lang w:eastAsia="lv-LV"/>
              </w:rPr>
              <w:t>Ar Ministru kabineta noteikumu projektu “Noteikumi par energoefektivitātes monitoringu un piemērojamo energopārvaldības sistēmas standartu”.</w:t>
            </w:r>
          </w:p>
        </w:tc>
        <w:tc>
          <w:tcPr>
            <w:tcW w:w="1660" w:type="dxa"/>
            <w:shd w:val="clear" w:color="auto" w:fill="auto"/>
            <w:tcMar>
              <w:left w:w="108" w:type="dxa"/>
            </w:tcMar>
          </w:tcPr>
          <w:p w:rsidR="000F14B4" w:rsidRDefault="00786C08">
            <w:pPr>
              <w:spacing w:after="0" w:line="240" w:lineRule="auto"/>
              <w:rPr>
                <w:sz w:val="22"/>
                <w:shd w:val="clear" w:color="auto" w:fill="00FF00"/>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7. panta </w:t>
            </w:r>
          </w:p>
          <w:p w:rsidR="000F14B4" w:rsidRDefault="00786C08">
            <w:pPr>
              <w:spacing w:after="0" w:line="240" w:lineRule="auto"/>
              <w:rPr>
                <w:rFonts w:eastAsia="Times New Roman"/>
                <w:sz w:val="22"/>
                <w:lang w:eastAsia="lv-LV"/>
              </w:rPr>
            </w:pPr>
            <w:r>
              <w:rPr>
                <w:rFonts w:eastAsia="Times New Roman"/>
                <w:sz w:val="22"/>
                <w:lang w:eastAsia="lv-LV"/>
              </w:rPr>
              <w:t>12. punkts</w:t>
            </w:r>
          </w:p>
          <w:p w:rsidR="000F14B4" w:rsidRDefault="000F14B4">
            <w:pPr>
              <w:spacing w:after="0" w:line="240" w:lineRule="auto"/>
              <w:rPr>
                <w:sz w:val="22"/>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rFonts w:eastAsia="Times New Roman"/>
                <w:b/>
                <w:sz w:val="22"/>
                <w:lang w:eastAsia="lv-LV"/>
              </w:rPr>
            </w:pPr>
            <w:r>
              <w:rPr>
                <w:rFonts w:eastAsia="Times New Roman"/>
                <w:sz w:val="22"/>
                <w:lang w:eastAsia="lv-LV"/>
              </w:rPr>
              <w:t>Ar Ministru kabineta noteikumu projektu “Noteikumi par energoefektivitātes monitoringu un piemērojamo energopārvaldības sistēmas standartu”.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1. punkta pirmās daļas a) apakšpunkts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arī ar:</w:t>
            </w:r>
          </w:p>
          <w:p w:rsidR="000F14B4" w:rsidRDefault="00786C08">
            <w:pPr>
              <w:spacing w:after="0" w:line="240" w:lineRule="auto"/>
              <w:rPr>
                <w:rFonts w:eastAsia="Times New Roman"/>
                <w:sz w:val="22"/>
                <w:lang w:eastAsia="lv-LV"/>
              </w:rPr>
            </w:pPr>
            <w:r>
              <w:rPr>
                <w:rFonts w:eastAsia="Times New Roman"/>
                <w:sz w:val="22"/>
                <w:lang w:eastAsia="lv-LV"/>
              </w:rPr>
              <w:t>1) Ministru kabineta 2013. gada 18. jūlija noteikumu Nr. 382 „Noteikumi par neatkarīgiem ekspertiem ēku energoefektivitātes jomā” 2.1. punkts;</w:t>
            </w:r>
          </w:p>
          <w:p w:rsidR="000F14B4" w:rsidRDefault="00786C08">
            <w:pPr>
              <w:spacing w:after="0" w:line="240" w:lineRule="auto"/>
              <w:rPr>
                <w:rFonts w:eastAsia="Times New Roman"/>
                <w:sz w:val="22"/>
                <w:lang w:eastAsia="lv-LV"/>
              </w:rPr>
            </w:pPr>
            <w:r>
              <w:rPr>
                <w:rFonts w:eastAsia="Times New Roman"/>
                <w:sz w:val="22"/>
                <w:lang w:eastAsia="lv-LV"/>
              </w:rPr>
              <w:t>2) Ministru kabineta 2013. gada 9. jūlija noteikumu Nr. 383 „Noteikumi par ēku energosertifikāciju” 7.4. punkts un 3. pielikums;</w:t>
            </w:r>
          </w:p>
          <w:p w:rsidR="000F14B4" w:rsidRDefault="00786C08">
            <w:pPr>
              <w:spacing w:after="0" w:line="240" w:lineRule="auto"/>
              <w:rPr>
                <w:rFonts w:eastAsia="Times New Roman"/>
                <w:sz w:val="22"/>
                <w:lang w:eastAsia="lv-LV"/>
              </w:rPr>
            </w:pPr>
            <w:r>
              <w:rPr>
                <w:rFonts w:eastAsia="Times New Roman"/>
                <w:sz w:val="22"/>
                <w:lang w:eastAsia="lv-LV"/>
              </w:rPr>
              <w:t>3) Ministru kabineta noteikumu projekta “Uzņēmumu energoaudita noteikumi” II. nodaļa.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1. punkta pirmās daļas b)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sz w:val="22"/>
                <w:lang w:eastAsia="lv-LV"/>
              </w:rPr>
              <w:t>Latvija nav izvēlējusies iespēju ieviest Direktīvas 2012/27/ES 8. panta 1. punkta b) apakšpunkta prasības, jo ir izvēlējusies Direktīvas 2012/27/ES 8. panta 1. punkta a) apakšpunkta iespējas.</w:t>
            </w:r>
          </w:p>
        </w:tc>
        <w:tc>
          <w:tcPr>
            <w:tcW w:w="1660" w:type="dxa"/>
            <w:shd w:val="clear" w:color="auto" w:fill="auto"/>
            <w:tcMar>
              <w:left w:w="108" w:type="dxa"/>
            </w:tcMar>
          </w:tcPr>
          <w:p w:rsidR="000F14B4" w:rsidRDefault="000F14B4">
            <w:pPr>
              <w:spacing w:after="0" w:line="240" w:lineRule="auto"/>
              <w:rPr>
                <w:sz w:val="22"/>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1. punkta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Tā kā </w:t>
            </w:r>
            <w:r>
              <w:rPr>
                <w:rFonts w:eastAsia="Times New Roman"/>
                <w:sz w:val="22"/>
                <w:lang w:eastAsia="lv-LV"/>
              </w:rPr>
              <w:t>Latvija nav izvēlējusies iespēju ieviest Direktīvas 2012/27/ES 8. panta 1. punkta b) apakšpunkta prasības, tad tai nav saistošas 8. panta 1. punkta otrās daļas prasības.</w:t>
            </w:r>
          </w:p>
        </w:tc>
        <w:tc>
          <w:tcPr>
            <w:tcW w:w="1660" w:type="dxa"/>
            <w:shd w:val="clear" w:color="auto" w:fill="auto"/>
            <w:tcMar>
              <w:left w:w="108" w:type="dxa"/>
            </w:tcMar>
          </w:tcPr>
          <w:p w:rsidR="000F14B4" w:rsidRDefault="000F14B4">
            <w:pPr>
              <w:spacing w:after="0" w:line="240" w:lineRule="auto"/>
              <w:rPr>
                <w:sz w:val="22"/>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1. punkta trešā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Energoefektivitātes likuma 9. panta pirmā un otrā daļu;</w:t>
            </w:r>
          </w:p>
          <w:p w:rsidR="000F14B4" w:rsidRDefault="00786C08">
            <w:pPr>
              <w:spacing w:after="0" w:line="240" w:lineRule="auto"/>
              <w:rPr>
                <w:sz w:val="22"/>
              </w:rPr>
            </w:pPr>
            <w:r>
              <w:rPr>
                <w:sz w:val="22"/>
              </w:rPr>
              <w:t>2)</w:t>
            </w:r>
            <w:r>
              <w:rPr>
                <w:bCs/>
                <w:sz w:val="22"/>
              </w:rPr>
              <w:t xml:space="preserve"> Ministru kabineta 2013. gada 25. jūnija noteikumu Nr. 348</w:t>
            </w:r>
            <w:r>
              <w:rPr>
                <w:sz w:val="22"/>
              </w:rPr>
              <w:t xml:space="preserve"> “Ēkas energoefektivitātes aprēķina metode” 5.1. apakšnodaļu;</w:t>
            </w:r>
          </w:p>
          <w:p w:rsidR="000F14B4" w:rsidRDefault="00786C08">
            <w:pPr>
              <w:spacing w:after="0" w:line="240" w:lineRule="auto"/>
              <w:rPr>
                <w:sz w:val="22"/>
              </w:rPr>
            </w:pPr>
            <w:r>
              <w:rPr>
                <w:sz w:val="22"/>
              </w:rPr>
              <w:t>3)</w:t>
            </w:r>
            <w:r>
              <w:rPr>
                <w:bCs/>
                <w:sz w:val="22"/>
              </w:rPr>
              <w:t xml:space="preserve"> Ministru kabineta 2013. gada 9. jūlija noteikumu Nr. 383</w:t>
            </w:r>
            <w:r>
              <w:rPr>
                <w:sz w:val="22"/>
              </w:rPr>
              <w:t xml:space="preserve"> “Noteikumi par ēku energosertifikāciju” 7.4. punkta un 3. pielikumu;</w:t>
            </w:r>
          </w:p>
          <w:p w:rsidR="000F14B4" w:rsidRDefault="00786C08">
            <w:pPr>
              <w:spacing w:after="0" w:line="240" w:lineRule="auto"/>
              <w:rPr>
                <w:rFonts w:eastAsia="Times New Roman"/>
                <w:sz w:val="22"/>
                <w:vertAlign w:val="superscript"/>
                <w:lang w:eastAsia="lv-LV"/>
              </w:rPr>
            </w:pPr>
            <w:r>
              <w:rPr>
                <w:sz w:val="22"/>
              </w:rPr>
              <w:lastRenderedPageBreak/>
              <w:t>4)</w:t>
            </w:r>
            <w:r>
              <w:rPr>
                <w:rFonts w:eastAsia="Times New Roman"/>
                <w:sz w:val="22"/>
                <w:lang w:eastAsia="lv-LV"/>
              </w:rPr>
              <w:t xml:space="preserve"> Ekonomikas ministrijas publicētajiem “</w:t>
            </w:r>
            <w:r>
              <w:rPr>
                <w:sz w:val="22"/>
              </w:rPr>
              <w:t>Ieteikumi obligāto energoauditu veikšanai lielajiem uzņēmumiem”</w:t>
            </w:r>
            <w:r>
              <w:rPr>
                <w:rStyle w:val="FootnoteAnchor"/>
                <w:sz w:val="22"/>
              </w:rPr>
              <w:footnoteReference w:id="12"/>
            </w:r>
            <w:r>
              <w:rPr>
                <w:sz w:val="22"/>
              </w:rPr>
              <w:t>.</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1. punkta ceturtā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u w:val="single"/>
                <w:lang w:eastAsia="lv-LV"/>
              </w:rPr>
            </w:pPr>
            <w:r>
              <w:rPr>
                <w:rFonts w:eastAsia="Times New Roman"/>
                <w:b/>
                <w:sz w:val="22"/>
                <w:lang w:eastAsia="lv-LV"/>
              </w:rPr>
              <w:t>Pārņemts pilnībā</w:t>
            </w:r>
            <w:r>
              <w:rPr>
                <w:rFonts w:eastAsia="Times New Roman"/>
                <w:sz w:val="22"/>
                <w:u w:val="single"/>
                <w:lang w:eastAsia="lv-LV"/>
              </w:rPr>
              <w:t xml:space="preserve"> </w:t>
            </w:r>
          </w:p>
          <w:p w:rsidR="000F14B4" w:rsidRDefault="00786C08">
            <w:pPr>
              <w:spacing w:after="0" w:line="240" w:lineRule="auto"/>
              <w:rPr>
                <w:rFonts w:eastAsia="Times New Roman"/>
                <w:sz w:val="22"/>
                <w:lang w:eastAsia="lv-LV"/>
              </w:rPr>
            </w:pPr>
            <w:r>
              <w:rPr>
                <w:rFonts w:eastAsia="Times New Roman"/>
                <w:sz w:val="22"/>
                <w:lang w:eastAsia="lv-LV"/>
              </w:rPr>
              <w:t>Prasības pārņemtas ar Energoefektivitātes likuma 9. panta ceturto daļu.</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2.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jc w:val="both"/>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jc w:val="both"/>
              <w:rPr>
                <w:rFonts w:eastAsia="Times New Roman"/>
                <w:sz w:val="22"/>
                <w:lang w:eastAsia="lv-LV"/>
              </w:rPr>
            </w:pPr>
            <w:r>
              <w:rPr>
                <w:rFonts w:eastAsia="Times New Roman"/>
                <w:sz w:val="22"/>
                <w:lang w:eastAsia="lv-LV"/>
              </w:rPr>
              <w:t>Prasības pārņemtas ar:</w:t>
            </w:r>
          </w:p>
          <w:p w:rsidR="000F14B4" w:rsidRDefault="00786C08">
            <w:pPr>
              <w:spacing w:after="0" w:line="240" w:lineRule="auto"/>
              <w:jc w:val="both"/>
              <w:rPr>
                <w:rFonts w:eastAsia="Times New Roman"/>
                <w:sz w:val="22"/>
                <w:lang w:eastAsia="lv-LV"/>
              </w:rPr>
            </w:pPr>
            <w:r>
              <w:rPr>
                <w:rFonts w:eastAsia="Times New Roman"/>
                <w:sz w:val="22"/>
                <w:lang w:eastAsia="lv-LV"/>
              </w:rPr>
              <w:t>1) Latvijā ir izstrādāts un tiek ieviests Klimata pārmaiņu finanšu instrumenta finansēto projektu atklātais konkurss “Kompleksi risinājumi siltumnīcefekta gāzu emisiju samazināšanai ražošanas ēkās”</w:t>
            </w:r>
            <w:r>
              <w:rPr>
                <w:rStyle w:val="FootnoteAnchor"/>
                <w:rFonts w:eastAsia="Times New Roman"/>
                <w:sz w:val="22"/>
                <w:lang w:eastAsia="lv-LV"/>
              </w:rPr>
              <w:footnoteReference w:id="13"/>
            </w:r>
            <w:r>
              <w:rPr>
                <w:rFonts w:eastAsia="Times New Roman"/>
                <w:sz w:val="22"/>
                <w:lang w:eastAsia="lv-LV"/>
              </w:rPr>
              <w:t>, tā ietvaros iespējams saņemt atbalstu arī energoaudita veikšanai;</w:t>
            </w:r>
          </w:p>
          <w:p w:rsidR="000F14B4" w:rsidRDefault="00786C08">
            <w:pPr>
              <w:spacing w:after="0" w:line="240" w:lineRule="auto"/>
              <w:rPr>
                <w:rFonts w:eastAsia="Times New Roman"/>
                <w:b/>
                <w:sz w:val="22"/>
              </w:rPr>
            </w:pPr>
            <w:r>
              <w:rPr>
                <w:rFonts w:eastAsia="Times New Roman"/>
                <w:sz w:val="22"/>
                <w:lang w:eastAsia="lv-LV"/>
              </w:rPr>
              <w:t>2) „Nacionālās industriālās politikas pamatnostādnes 2014.-2020. gadam”</w:t>
            </w:r>
            <w:r>
              <w:rPr>
                <w:rStyle w:val="FootnoteAnchor"/>
                <w:rFonts w:eastAsia="Times New Roman"/>
                <w:sz w:val="22"/>
                <w:lang w:eastAsia="lv-LV"/>
              </w:rPr>
              <w:footnoteReference w:id="14"/>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rPr>
          <w:trHeight w:val="1161"/>
        </w:trPr>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3. punkta pirmā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6. pantu.</w:t>
            </w:r>
          </w:p>
          <w:p w:rsidR="000F14B4" w:rsidRDefault="000F14B4">
            <w:pPr>
              <w:spacing w:after="0" w:line="240" w:lineRule="auto"/>
              <w:rPr>
                <w:sz w:val="22"/>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3. punkta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jc w:val="both"/>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jc w:val="both"/>
              <w:rPr>
                <w:rFonts w:eastAsia="Times New Roman"/>
                <w:sz w:val="22"/>
                <w:lang w:eastAsia="lv-LV"/>
              </w:rPr>
            </w:pPr>
            <w:r>
              <w:rPr>
                <w:rFonts w:eastAsia="Times New Roman"/>
                <w:sz w:val="22"/>
                <w:lang w:eastAsia="lv-LV"/>
              </w:rPr>
              <w:t xml:space="preserve">Prasības pārņemtas ar: </w:t>
            </w:r>
          </w:p>
          <w:p w:rsidR="000F14B4" w:rsidRDefault="00786C08">
            <w:pPr>
              <w:spacing w:after="0" w:line="240" w:lineRule="auto"/>
              <w:jc w:val="both"/>
              <w:rPr>
                <w:rFonts w:eastAsia="Times New Roman"/>
                <w:sz w:val="22"/>
                <w:lang w:eastAsia="lv-LV"/>
              </w:rPr>
            </w:pPr>
            <w:r>
              <w:rPr>
                <w:rFonts w:eastAsia="Times New Roman"/>
                <w:bCs/>
                <w:sz w:val="22"/>
                <w:lang w:eastAsia="lv-LV"/>
              </w:rPr>
              <w:t>1)Ministru kabineta 2013. gada 9. jūlija noteikumu Nr. 382</w:t>
            </w:r>
            <w:r>
              <w:rPr>
                <w:rFonts w:eastAsia="Times New Roman"/>
                <w:sz w:val="22"/>
                <w:lang w:eastAsia="lv-LV"/>
              </w:rPr>
              <w:t xml:space="preserve"> „Noteikumi par neatkarīgiem ekspertiem ēku energoefektivitātes jomā” 2., 3. 10. un 11. punktu.</w:t>
            </w:r>
          </w:p>
          <w:p w:rsidR="000F14B4" w:rsidRDefault="00786C08">
            <w:pPr>
              <w:spacing w:after="0" w:line="240" w:lineRule="auto"/>
              <w:jc w:val="both"/>
              <w:rPr>
                <w:rFonts w:eastAsia="Times New Roman"/>
                <w:sz w:val="22"/>
                <w:lang w:eastAsia="lv-LV"/>
              </w:rPr>
            </w:pPr>
            <w:r>
              <w:rPr>
                <w:rFonts w:eastAsia="Times New Roman"/>
                <w:sz w:val="22"/>
                <w:lang w:eastAsia="lv-LV"/>
              </w:rPr>
              <w:t xml:space="preserve">2) </w:t>
            </w:r>
            <w:r>
              <w:rPr>
                <w:rFonts w:eastAsia="Times New Roman"/>
                <w:sz w:val="22"/>
                <w:u w:val="single"/>
                <w:lang w:eastAsia="lv-LV"/>
              </w:rPr>
              <w:t>Studiju programmām</w:t>
            </w:r>
            <w:r>
              <w:rPr>
                <w:rFonts w:eastAsia="Times New Roman"/>
                <w:sz w:val="22"/>
                <w:lang w:eastAsia="lv-LV"/>
              </w:rPr>
              <w:t>, kas veicina energoauditoru un neatkarīgo ekspertu kvalifikāciju:</w:t>
            </w:r>
          </w:p>
          <w:p w:rsidR="000F14B4" w:rsidRDefault="00786C08">
            <w:pPr>
              <w:spacing w:after="0" w:line="240" w:lineRule="auto"/>
              <w:jc w:val="both"/>
              <w:rPr>
                <w:rFonts w:eastAsia="Times New Roman"/>
                <w:sz w:val="22"/>
                <w:lang w:eastAsia="lv-LV"/>
              </w:rPr>
            </w:pPr>
            <w:r>
              <w:rPr>
                <w:rFonts w:eastAsia="Times New Roman"/>
                <w:sz w:val="22"/>
                <w:lang w:eastAsia="lv-LV"/>
              </w:rPr>
              <w:t xml:space="preserve"> Rīgas tehniskā Universitāte: Enerģētika un elektrotehnika</w:t>
            </w:r>
            <w:r>
              <w:rPr>
                <w:rStyle w:val="FootnoteAnchor"/>
                <w:rFonts w:eastAsia="Times New Roman"/>
                <w:sz w:val="22"/>
                <w:lang w:eastAsia="lv-LV"/>
              </w:rPr>
              <w:footnoteReference w:id="15"/>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Siltumenerģētika un siltumtehnika</w:t>
            </w:r>
            <w:r>
              <w:rPr>
                <w:rStyle w:val="FootnoteAnchor"/>
                <w:rFonts w:eastAsia="Times New Roman"/>
                <w:sz w:val="22"/>
                <w:lang w:eastAsia="lv-LV"/>
              </w:rPr>
              <w:footnoteReference w:id="16"/>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Vides zinātne</w:t>
            </w:r>
            <w:r>
              <w:rPr>
                <w:rStyle w:val="FootnoteAnchor"/>
                <w:rFonts w:eastAsia="Times New Roman"/>
                <w:sz w:val="22"/>
                <w:lang w:eastAsia="lv-LV"/>
              </w:rPr>
              <w:footnoteReference w:id="17"/>
            </w:r>
            <w:r>
              <w:rPr>
                <w:rFonts w:eastAsia="Times New Roman"/>
                <w:sz w:val="22"/>
                <w:lang w:eastAsia="lv-LV"/>
              </w:rPr>
              <w:t>;</w:t>
            </w:r>
          </w:p>
          <w:p w:rsidR="000F14B4" w:rsidRDefault="00786C08">
            <w:pPr>
              <w:spacing w:after="0" w:line="240" w:lineRule="auto"/>
              <w:jc w:val="both"/>
              <w:rPr>
                <w:sz w:val="22"/>
              </w:rPr>
            </w:pPr>
            <w:r>
              <w:rPr>
                <w:rFonts w:eastAsia="Times New Roman"/>
                <w:sz w:val="22"/>
                <w:lang w:eastAsia="lv-LV"/>
              </w:rPr>
              <w:t>Rīgas tehniskā koledža: Siltumenerģētika</w:t>
            </w:r>
            <w:r>
              <w:rPr>
                <w:rStyle w:val="FootnoteAnchor"/>
                <w:rFonts w:eastAsia="Times New Roman"/>
                <w:sz w:val="22"/>
                <w:lang w:eastAsia="lv-LV"/>
              </w:rPr>
              <w:footnoteReference w:id="18"/>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Liepājas universitāte: Vides un atjaunojamo energoresursu pārvaldība un inženierija</w:t>
            </w:r>
            <w:r>
              <w:rPr>
                <w:rStyle w:val="FootnoteAnchor"/>
                <w:rFonts w:eastAsia="Times New Roman"/>
                <w:sz w:val="22"/>
                <w:lang w:eastAsia="lv-LV"/>
              </w:rPr>
              <w:footnoteReference w:id="19"/>
            </w:r>
            <w:r>
              <w:rPr>
                <w:rFonts w:eastAsia="Times New Roman"/>
                <w:sz w:val="22"/>
                <w:lang w:eastAsia="lv-LV"/>
              </w:rPr>
              <w:t>, Ekotehnoloģijas</w:t>
            </w:r>
            <w:r>
              <w:rPr>
                <w:rStyle w:val="FootnoteAnchor"/>
                <w:rFonts w:eastAsia="Times New Roman"/>
                <w:sz w:val="22"/>
                <w:lang w:eastAsia="lv-LV"/>
              </w:rPr>
              <w:footnoteReference w:id="20"/>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lastRenderedPageBreak/>
              <w:t>Latvijas Universitāte: Vides zinātne</w:t>
            </w:r>
            <w:r>
              <w:rPr>
                <w:rStyle w:val="FootnoteAnchor"/>
                <w:rFonts w:eastAsia="Times New Roman"/>
                <w:sz w:val="22"/>
                <w:lang w:eastAsia="lv-LV"/>
              </w:rPr>
              <w:footnoteReference w:id="21"/>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u w:val="single"/>
                <w:lang w:eastAsia="lv-LV"/>
              </w:rPr>
              <w:t>Energoauditoru kursi</w:t>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ABC mācību un konsultāciju centrs</w:t>
            </w:r>
            <w:r>
              <w:rPr>
                <w:rStyle w:val="FootnoteAnchor"/>
                <w:rFonts w:eastAsia="Times New Roman"/>
                <w:sz w:val="22"/>
                <w:lang w:eastAsia="lv-LV"/>
              </w:rPr>
              <w:footnoteReference w:id="22"/>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AS Inspecta Latvia</w:t>
            </w:r>
            <w:r>
              <w:rPr>
                <w:rStyle w:val="FootnoteAnchor"/>
                <w:rFonts w:eastAsia="Times New Roman"/>
                <w:sz w:val="22"/>
                <w:lang w:eastAsia="lv-LV"/>
              </w:rPr>
              <w:footnoteReference w:id="23"/>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SIA “Ekodoma”</w:t>
            </w:r>
            <w:r>
              <w:rPr>
                <w:rStyle w:val="FootnoteAnchor"/>
                <w:rFonts w:eastAsia="Times New Roman"/>
                <w:sz w:val="22"/>
                <w:lang w:eastAsia="lv-LV"/>
              </w:rPr>
              <w:footnoteReference w:id="24"/>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SIA “Energocentrāle”</w:t>
            </w:r>
            <w:r>
              <w:rPr>
                <w:rStyle w:val="FootnoteAnchor"/>
                <w:rFonts w:eastAsia="Times New Roman"/>
                <w:sz w:val="22"/>
                <w:lang w:eastAsia="lv-LV"/>
              </w:rPr>
              <w:footnoteReference w:id="25"/>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rFonts w:eastAsia="Times New Roman"/>
                <w:sz w:val="22"/>
                <w:lang w:eastAsia="lv-LV"/>
              </w:rPr>
              <w:t>Prasības pārņemtas</w:t>
            </w:r>
            <w:r>
              <w:rPr>
                <w:rFonts w:eastAsia="Times New Roman"/>
                <w:b/>
                <w:sz w:val="22"/>
                <w:lang w:eastAsia="lv-LV"/>
              </w:rPr>
              <w:t xml:space="preserve"> </w:t>
            </w:r>
            <w:r>
              <w:rPr>
                <w:rFonts w:eastAsia="Times New Roman"/>
                <w:sz w:val="22"/>
                <w:lang w:eastAsia="lv-LV"/>
              </w:rPr>
              <w:t xml:space="preserve">ar: </w:t>
            </w:r>
          </w:p>
          <w:p w:rsidR="000F14B4" w:rsidRDefault="00786C08">
            <w:pPr>
              <w:spacing w:after="0" w:line="240" w:lineRule="auto"/>
              <w:rPr>
                <w:rFonts w:eastAsia="Times New Roman"/>
                <w:sz w:val="22"/>
                <w:lang w:eastAsia="lv-LV"/>
              </w:rPr>
            </w:pPr>
            <w:r>
              <w:rPr>
                <w:rFonts w:eastAsia="Times New Roman"/>
                <w:sz w:val="22"/>
                <w:lang w:eastAsia="lv-LV"/>
              </w:rPr>
              <w:t>1) Energoefektivitātes likuma 10. panta piekto daļu;</w:t>
            </w:r>
          </w:p>
          <w:p w:rsidR="000F14B4" w:rsidRDefault="00786C08">
            <w:pPr>
              <w:spacing w:after="0" w:line="240" w:lineRule="auto"/>
              <w:rPr>
                <w:rFonts w:eastAsia="Times New Roman"/>
                <w:sz w:val="22"/>
                <w:lang w:eastAsia="lv-LV"/>
              </w:rPr>
            </w:pPr>
            <w:r>
              <w:rPr>
                <w:rFonts w:eastAsia="Times New Roman"/>
                <w:sz w:val="22"/>
                <w:lang w:eastAsia="lv-LV"/>
              </w:rPr>
              <w:t>2) Ministru kabineta noteikumu projekta “Uzņēmumu energoaudita noteikumi” II. nodaļu.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5.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jc w:val="both"/>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jc w:val="both"/>
              <w:rPr>
                <w:rFonts w:eastAsia="Times New Roman"/>
                <w:sz w:val="22"/>
                <w:lang w:eastAsia="lv-LV"/>
              </w:rPr>
            </w:pPr>
            <w:r>
              <w:rPr>
                <w:rFonts w:eastAsia="Times New Roman"/>
                <w:sz w:val="22"/>
                <w:lang w:eastAsia="lv-LV"/>
              </w:rPr>
              <w:t xml:space="preserve">Prasības pārņemtas ar </w:t>
            </w:r>
          </w:p>
          <w:p w:rsidR="000F14B4" w:rsidRDefault="00786C08">
            <w:pPr>
              <w:spacing w:after="0" w:line="240" w:lineRule="auto"/>
              <w:rPr>
                <w:rFonts w:eastAsia="Times New Roman"/>
                <w:sz w:val="22"/>
                <w:lang w:eastAsia="lv-LV"/>
              </w:rPr>
            </w:pPr>
            <w:r>
              <w:rPr>
                <w:rFonts w:eastAsia="Times New Roman"/>
                <w:sz w:val="22"/>
                <w:lang w:eastAsia="lv-LV"/>
              </w:rPr>
              <w:t>1) Energoefektivitātes likuma 9. panta otro daļu un 14. panta otro un ceturto daļu.</w:t>
            </w:r>
          </w:p>
          <w:p w:rsidR="000F14B4" w:rsidRDefault="00786C08">
            <w:pPr>
              <w:spacing w:after="0" w:line="240" w:lineRule="auto"/>
              <w:jc w:val="both"/>
              <w:rPr>
                <w:rFonts w:eastAsia="Times New Roman"/>
                <w:sz w:val="22"/>
                <w:lang w:eastAsia="lv-LV"/>
              </w:rPr>
            </w:pPr>
            <w:r>
              <w:rPr>
                <w:rFonts w:eastAsia="Times New Roman"/>
                <w:sz w:val="22"/>
                <w:lang w:eastAsia="lv-LV"/>
              </w:rPr>
              <w:t>2) Ekonomikas ministrijas publicētie „Ieteikumi obligāto energoauditu veikšanai lielajiem uzņēmumiem”</w:t>
            </w:r>
            <w:r>
              <w:rPr>
                <w:rStyle w:val="FootnoteAnchor"/>
                <w:rFonts w:eastAsia="Times New Roman"/>
                <w:sz w:val="22"/>
                <w:lang w:eastAsia="lv-LV"/>
              </w:rPr>
              <w:footnoteReference w:id="26"/>
            </w:r>
            <w:r>
              <w:rPr>
                <w:rFonts w:eastAsia="Times New Roman"/>
                <w:sz w:val="22"/>
                <w:lang w:eastAsia="lv-LV"/>
              </w:rPr>
              <w:t>;</w:t>
            </w:r>
          </w:p>
          <w:p w:rsidR="000F14B4" w:rsidRDefault="00786C08">
            <w:pPr>
              <w:spacing w:after="0" w:line="240" w:lineRule="auto"/>
              <w:jc w:val="both"/>
              <w:rPr>
                <w:rFonts w:eastAsia="Times New Roman"/>
                <w:sz w:val="22"/>
                <w:lang w:eastAsia="lv-LV"/>
              </w:rPr>
            </w:pPr>
            <w:r>
              <w:rPr>
                <w:rFonts w:eastAsia="Times New Roman"/>
                <w:sz w:val="22"/>
                <w:lang w:eastAsia="lv-LV"/>
              </w:rPr>
              <w:t>3) Ministru kabineta 2013. gada 9. jūlija noteikumi Nr. 382 “Noteikumi par neatkarīgiem ekspertiem ēku energoefektivitātes jomā”;</w:t>
            </w:r>
          </w:p>
          <w:p w:rsidR="000F14B4" w:rsidRDefault="00786C08">
            <w:pPr>
              <w:spacing w:after="0" w:line="240" w:lineRule="auto"/>
              <w:jc w:val="both"/>
              <w:rPr>
                <w:rFonts w:eastAsia="Times New Roman"/>
                <w:sz w:val="22"/>
                <w:lang w:eastAsia="lv-LV"/>
              </w:rPr>
            </w:pPr>
            <w:r>
              <w:rPr>
                <w:rFonts w:eastAsia="Times New Roman"/>
                <w:sz w:val="22"/>
                <w:lang w:eastAsia="lv-LV"/>
              </w:rPr>
              <w:t>4) Ministru kabineta 2013. gada 25. jūnija noteikumi Nr. 348 “Ēkas energoefektivitātes aprēķina metode”;</w:t>
            </w:r>
          </w:p>
          <w:p w:rsidR="000F14B4" w:rsidRDefault="00786C08">
            <w:pPr>
              <w:spacing w:after="0" w:line="240" w:lineRule="auto"/>
              <w:rPr>
                <w:rFonts w:eastAsia="Times New Roman"/>
                <w:sz w:val="22"/>
                <w:lang w:eastAsia="lv-LV"/>
              </w:rPr>
            </w:pPr>
            <w:r>
              <w:rPr>
                <w:rFonts w:eastAsia="Times New Roman"/>
                <w:sz w:val="22"/>
                <w:lang w:eastAsia="lv-LV"/>
              </w:rPr>
              <w:t>5) Ministru kabineta noteikumu projekta “Uzņēmumu energoaudita noteikumi” III. nodaļa.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6.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arī ar Energoefektivitātes likuma 10. panta sesto daļu.</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7. punkta pirmā daļa</w:t>
            </w:r>
          </w:p>
        </w:tc>
        <w:tc>
          <w:tcPr>
            <w:tcW w:w="1295"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 xml:space="preserve"> </w:t>
            </w: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Prasības pārņemtas Energoefektivitātes likuma 9. pantu.</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8. panta 7. punkta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color w:val="000000"/>
                <w:sz w:val="22"/>
              </w:rPr>
            </w:pPr>
            <w:r>
              <w:rPr>
                <w:color w:val="000000"/>
                <w:sz w:val="22"/>
              </w:rPr>
              <w:t>Prasības pārņemtas ar Energoefektivitātes likuma 6. panta otro daļu un 8. panta otro daļu</w:t>
            </w:r>
          </w:p>
          <w:p w:rsidR="000F14B4" w:rsidRDefault="000F14B4">
            <w:pPr>
              <w:spacing w:after="0" w:line="240" w:lineRule="auto"/>
              <w:rPr>
                <w:color w:val="000000"/>
                <w:sz w:val="22"/>
              </w:rPr>
            </w:pP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9.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color w:val="000000" w:themeColor="text1"/>
                <w:sz w:val="22"/>
                <w:lang w:eastAsia="lv-LV"/>
              </w:rPr>
            </w:pPr>
            <w:r>
              <w:rPr>
                <w:rFonts w:eastAsia="Times New Roman"/>
                <w:color w:val="000000" w:themeColor="text1"/>
                <w:sz w:val="22"/>
                <w:lang w:eastAsia="lv-LV"/>
              </w:rPr>
              <w:t>1) Ministru kabineta 2016. gada 9. februāra noteikumu Nr. 85 “Dabasgāzes piegādes un lietošanas noteikumi” 39. un 45. punkts;</w:t>
            </w:r>
          </w:p>
          <w:p w:rsidR="000F14B4" w:rsidRDefault="00786C08">
            <w:pPr>
              <w:spacing w:after="0" w:line="240" w:lineRule="auto"/>
              <w:rPr>
                <w:rFonts w:eastAsia="Times New Roman"/>
                <w:color w:val="000000" w:themeColor="text1"/>
                <w:sz w:val="22"/>
                <w:lang w:eastAsia="lv-LV"/>
              </w:rPr>
            </w:pPr>
            <w:r>
              <w:rPr>
                <w:rFonts w:eastAsia="Times New Roman"/>
                <w:color w:val="000000" w:themeColor="text1"/>
                <w:sz w:val="22"/>
                <w:lang w:eastAsia="lv-LV"/>
              </w:rPr>
              <w:t>2) Ministru kabineta 2008. gada 21. oktobra noteikumu Nr. 876 „Siltumenerģijas piegādes un lietošanas noteikumi” 8. un 15. punkts;</w:t>
            </w:r>
          </w:p>
          <w:p w:rsidR="000F14B4" w:rsidRDefault="00786C08">
            <w:pPr>
              <w:spacing w:after="0" w:line="240" w:lineRule="auto"/>
              <w:rPr>
                <w:rFonts w:eastAsia="Times New Roman"/>
                <w:color w:val="000000" w:themeColor="text1"/>
                <w:sz w:val="22"/>
                <w:lang w:eastAsia="lv-LV"/>
              </w:rPr>
            </w:pPr>
            <w:r>
              <w:rPr>
                <w:rFonts w:eastAsia="Times New Roman"/>
                <w:color w:val="000000" w:themeColor="text1"/>
                <w:sz w:val="22"/>
                <w:lang w:eastAsia="lv-LV"/>
              </w:rPr>
              <w:t>3) Ministru kabineta 2014. gada 21. janvāra noteikumu Nr. 50 „Elektroenerģijas tirdzniecības un lietošanas noteikumi” 4., 6. un 7. punkts;</w:t>
            </w:r>
          </w:p>
          <w:p w:rsidR="000F14B4" w:rsidRDefault="00786C08">
            <w:pPr>
              <w:spacing w:after="0" w:line="240" w:lineRule="auto"/>
              <w:rPr>
                <w:rFonts w:eastAsia="Times New Roman"/>
                <w:color w:val="000000" w:themeColor="text1"/>
                <w:sz w:val="22"/>
                <w:lang w:eastAsia="lv-LV"/>
              </w:rPr>
            </w:pPr>
            <w:r>
              <w:rPr>
                <w:rFonts w:eastAsia="Times New Roman"/>
                <w:color w:val="000000" w:themeColor="text1"/>
                <w:sz w:val="22"/>
                <w:lang w:eastAsia="lv-LV"/>
              </w:rPr>
              <w:t>4) Ministru kabineta 2008. gada 9. decembra noteikumu Nr. 1013 „Kārtība, kādā dzīvokļa īpašnieks daudzdzīvokļu dzīvojamā mājā norēķinās par pakalpojumiem, kas saistīti ar dzīvokļa īpašuma lietošanu” 14. punkts;</w:t>
            </w:r>
          </w:p>
          <w:p w:rsidR="000F14B4" w:rsidRDefault="00786C08">
            <w:pPr>
              <w:spacing w:after="0" w:line="240" w:lineRule="auto"/>
              <w:rPr>
                <w:rFonts w:eastAsia="Times New Roman"/>
                <w:sz w:val="22"/>
                <w:shd w:val="clear" w:color="auto" w:fill="00FFFF"/>
                <w:lang w:eastAsia="lv-LV"/>
              </w:rPr>
            </w:pPr>
            <w:r>
              <w:rPr>
                <w:rFonts w:eastAsia="Times New Roman"/>
                <w:color w:val="000000" w:themeColor="text1"/>
                <w:sz w:val="22"/>
                <w:lang w:eastAsia="lv-LV"/>
              </w:rPr>
              <w:t>5) Ministru kabineta 2015. gada 30. jūnija noteikumu Nr. 138 „Latvijas būvnormatīvs LBN 221-98 “Ēku iekšējais ūdensvads un kanalizācija” 138. un 139.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9. panta 2. punkta a) un b) apakšpunkti</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color w:val="000000" w:themeColor="text1"/>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noteikumiem Nr. 85 “Dabasgāzes piegādes un lietošanas noteikumi”;</w:t>
            </w:r>
          </w:p>
          <w:p w:rsidR="000F14B4" w:rsidRDefault="00786C08">
            <w:pPr>
              <w:spacing w:after="0" w:line="240" w:lineRule="auto"/>
              <w:rPr>
                <w:rFonts w:eastAsia="Times New Roman"/>
                <w:sz w:val="22"/>
                <w:lang w:eastAsia="lv-LV"/>
              </w:rPr>
            </w:pPr>
            <w:r>
              <w:rPr>
                <w:rFonts w:eastAsia="Times New Roman"/>
                <w:sz w:val="22"/>
                <w:lang w:eastAsia="lv-LV"/>
              </w:rPr>
              <w:t>2) Ministru kabineta 2008. gada 21. oktobra noteikumiem Nr. 876 „Siltumenerģijas piegādes un lietošanas noteikumi”;</w:t>
            </w:r>
          </w:p>
          <w:p w:rsidR="000F14B4" w:rsidRDefault="00786C08">
            <w:pPr>
              <w:spacing w:after="0" w:line="240" w:lineRule="auto"/>
              <w:rPr>
                <w:rFonts w:eastAsia="Times New Roman"/>
                <w:sz w:val="22"/>
                <w:lang w:eastAsia="lv-LV"/>
              </w:rPr>
            </w:pPr>
            <w:r>
              <w:rPr>
                <w:rFonts w:eastAsia="Times New Roman"/>
                <w:sz w:val="22"/>
                <w:lang w:eastAsia="lv-LV"/>
              </w:rPr>
              <w:t>3) Ministru kabineta 2014. gada 21. janvāra noteikumiem Nr. 50 „Elektroenerģijas tirdzniecības un lietošanas noteikumi”;</w:t>
            </w:r>
          </w:p>
          <w:p w:rsidR="000F14B4" w:rsidRDefault="00786C08">
            <w:pPr>
              <w:spacing w:after="0" w:line="240" w:lineRule="auto"/>
              <w:rPr>
                <w:rFonts w:eastAsia="Times New Roman"/>
                <w:sz w:val="22"/>
                <w:lang w:eastAsia="lv-LV"/>
              </w:rPr>
            </w:pPr>
            <w:r>
              <w:rPr>
                <w:rFonts w:eastAsia="Times New Roman"/>
                <w:sz w:val="22"/>
                <w:lang w:eastAsia="lv-LV"/>
              </w:rPr>
              <w:t>4) Ministru kabineta 2008. gada 9. decembra noteikumiem Nr. 1013 „Kārtība, kādā dzīvokļa īpašnieks daudzdzīvokļu dzīvojamā mājā norēķinās par pakalpojumiem, kas saistīti ar dzīvokļa īpašuma lietošanu”;</w:t>
            </w:r>
          </w:p>
          <w:p w:rsidR="000F14B4" w:rsidRDefault="00786C08">
            <w:pPr>
              <w:spacing w:after="0" w:line="240" w:lineRule="auto"/>
              <w:rPr>
                <w:rFonts w:eastAsia="Times New Roman"/>
                <w:sz w:val="22"/>
                <w:lang w:eastAsia="lv-LV"/>
              </w:rPr>
            </w:pPr>
            <w:r>
              <w:rPr>
                <w:rFonts w:eastAsia="Times New Roman"/>
                <w:sz w:val="22"/>
                <w:lang w:eastAsia="lv-LV"/>
              </w:rPr>
              <w:t xml:space="preserve">5) </w:t>
            </w:r>
            <w:r>
              <w:rPr>
                <w:rFonts w:eastAsia="Times New Roman"/>
                <w:color w:val="000000" w:themeColor="text1"/>
                <w:sz w:val="22"/>
                <w:lang w:eastAsia="lv-LV"/>
              </w:rPr>
              <w:t>Ministru kabineta 2015. gada 30. jūnija noteikumiem Nr. 138 „Latvijas būvnormatīvs LBN 221-98 “Ēku iekšējais ūdensvads un kanalizācija”;</w:t>
            </w:r>
          </w:p>
          <w:p w:rsidR="000F14B4" w:rsidRDefault="00786C08">
            <w:pPr>
              <w:spacing w:after="0" w:line="240" w:lineRule="auto"/>
              <w:rPr>
                <w:sz w:val="22"/>
              </w:rPr>
            </w:pPr>
            <w:r>
              <w:rPr>
                <w:rFonts w:eastAsia="Times New Roman"/>
                <w:sz w:val="22"/>
                <w:lang w:eastAsia="lv-LV"/>
              </w:rPr>
              <w:t>6) Energoefektivitātes likuma 16. pantu.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9. panta 2. punkta c)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rFonts w:eastAsia="Times New Roman"/>
                <w:sz w:val="22"/>
                <w:lang w:eastAsia="lv-LV"/>
              </w:rPr>
              <w:t>Prasības pārņemtas</w:t>
            </w:r>
            <w:r>
              <w:rPr>
                <w:rFonts w:eastAsia="Times New Roman"/>
                <w:b/>
                <w:sz w:val="22"/>
                <w:lang w:eastAsia="lv-LV"/>
              </w:rPr>
              <w:t xml:space="preserve"> </w:t>
            </w:r>
            <w:r>
              <w:rPr>
                <w:rFonts w:eastAsia="Times New Roman"/>
                <w:sz w:val="22"/>
                <w:lang w:eastAsia="lv-LV"/>
              </w:rPr>
              <w:t>ar</w:t>
            </w:r>
            <w:r>
              <w:rPr>
                <w:rFonts w:eastAsia="Times New Roman"/>
                <w:b/>
                <w:sz w:val="22"/>
                <w:lang w:eastAsia="lv-LV"/>
              </w:rPr>
              <w:t xml:space="preserve"> </w:t>
            </w:r>
            <w:r>
              <w:rPr>
                <w:rFonts w:eastAsia="Times New Roman"/>
                <w:sz w:val="22"/>
                <w:lang w:eastAsia="lv-LV"/>
              </w:rPr>
              <w:t>Ministru kabineta 2014. gada 21. janvāra noteikumu Nr. 50 „Elektroenerģijas tirdzniecības un lietošanas noteikumi” III nodaļu.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9. panta 2. punkta d)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rFonts w:eastAsia="Times New Roman"/>
                <w:bCs/>
                <w:sz w:val="22"/>
                <w:lang w:eastAsia="lv-LV"/>
              </w:rPr>
              <w:t xml:space="preserve">Ministru kabineta </w:t>
            </w:r>
            <w:r>
              <w:rPr>
                <w:rFonts w:eastAsia="Times New Roman"/>
                <w:sz w:val="22"/>
                <w:lang w:eastAsia="lv-LV"/>
              </w:rPr>
              <w:t xml:space="preserve">2014. gada 21. janvāra </w:t>
            </w:r>
            <w:r>
              <w:rPr>
                <w:rFonts w:eastAsia="Times New Roman"/>
                <w:bCs/>
                <w:sz w:val="22"/>
                <w:lang w:eastAsia="lv-LV"/>
              </w:rPr>
              <w:t>noteikumu Nr. 50</w:t>
            </w:r>
            <w:r>
              <w:rPr>
                <w:rFonts w:eastAsia="Times New Roman"/>
                <w:sz w:val="22"/>
                <w:lang w:eastAsia="lv-LV"/>
              </w:rPr>
              <w:t xml:space="preserve"> „Elektroenerģijas tirdzniecības un lietošanas noteikumi” 106.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9. panta </w:t>
            </w:r>
            <w:r>
              <w:rPr>
                <w:rFonts w:eastAsia="Times New Roman"/>
                <w:sz w:val="22"/>
                <w:lang w:eastAsia="lv-LV"/>
              </w:rPr>
              <w:lastRenderedPageBreak/>
              <w:t>2. punkta e)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noteikumi Nr. 85 “Dabasgāzes piegādes un lietošanas noteikumi”;</w:t>
            </w:r>
          </w:p>
          <w:p w:rsidR="000F14B4" w:rsidRDefault="00786C08">
            <w:pPr>
              <w:spacing w:after="0" w:line="240" w:lineRule="auto"/>
              <w:rPr>
                <w:rFonts w:eastAsia="Times New Roman"/>
                <w:sz w:val="22"/>
                <w:lang w:eastAsia="lv-LV"/>
              </w:rPr>
            </w:pPr>
            <w:r>
              <w:rPr>
                <w:rFonts w:eastAsia="Times New Roman"/>
                <w:sz w:val="22"/>
                <w:lang w:eastAsia="lv-LV"/>
              </w:rPr>
              <w:lastRenderedPageBreak/>
              <w:t>2) Ministru kabineta 2008. gada 21. oktobra noteikumi Nr. 876 „Siltumenerģijas piegādes un lietošanas noteikumi”;</w:t>
            </w:r>
          </w:p>
          <w:p w:rsidR="000F14B4" w:rsidRDefault="00786C08">
            <w:pPr>
              <w:spacing w:after="0" w:line="240" w:lineRule="auto"/>
              <w:rPr>
                <w:rFonts w:eastAsia="Times New Roman"/>
                <w:sz w:val="22"/>
                <w:lang w:eastAsia="lv-LV"/>
              </w:rPr>
            </w:pPr>
            <w:r>
              <w:rPr>
                <w:rFonts w:eastAsia="Times New Roman"/>
                <w:sz w:val="22"/>
                <w:lang w:eastAsia="lv-LV"/>
              </w:rPr>
              <w:t>3) Ministru kabineta 2014. gada 21. janvāra noteikumi Nr. 50 „Elektroenerģijas tirdzniecības un lietošanas noteikumi”;</w:t>
            </w:r>
          </w:p>
          <w:p w:rsidR="000F14B4" w:rsidRDefault="00786C08">
            <w:pPr>
              <w:spacing w:after="0" w:line="240" w:lineRule="auto"/>
              <w:rPr>
                <w:rFonts w:eastAsia="Times New Roman"/>
                <w:sz w:val="22"/>
                <w:lang w:eastAsia="lv-LV"/>
              </w:rPr>
            </w:pPr>
            <w:r>
              <w:rPr>
                <w:rFonts w:eastAsia="Times New Roman"/>
                <w:sz w:val="22"/>
                <w:lang w:eastAsia="lv-LV"/>
              </w:rPr>
              <w:t>4) Ministru kabineta 2008. gada 9. decembra noteikumi Nr. 1013 „Kārtība, kādā dzīvokļa īpašnieks daudzdzīvokļu dzīvojamā mājā norēķinās par pakalpojumiem, kas saistīti ar dzīvokļa īpašuma lietošanu”;</w:t>
            </w:r>
          </w:p>
          <w:p w:rsidR="000F14B4" w:rsidRDefault="00786C08">
            <w:pPr>
              <w:spacing w:after="0" w:line="240" w:lineRule="auto"/>
              <w:rPr>
                <w:rFonts w:eastAsia="Times New Roman"/>
                <w:sz w:val="22"/>
                <w:lang w:eastAsia="lv-LV"/>
              </w:rPr>
            </w:pPr>
            <w:r>
              <w:rPr>
                <w:rFonts w:eastAsia="Times New Roman"/>
                <w:sz w:val="22"/>
                <w:lang w:eastAsia="lv-LV"/>
              </w:rPr>
              <w:t xml:space="preserve">5) </w:t>
            </w:r>
            <w:r>
              <w:rPr>
                <w:rFonts w:eastAsia="Times New Roman"/>
                <w:color w:val="000000" w:themeColor="text1"/>
                <w:sz w:val="22"/>
                <w:lang w:eastAsia="lv-LV"/>
              </w:rPr>
              <w:t>Ministru kabineta 2015. gada 30. jūnija noteikumu Nr. 138 „Latvijas būvnormatīvs LBN 221-98 “Ēku iekšējais ūdensvads un kanalizācija”;</w:t>
            </w:r>
          </w:p>
          <w:p w:rsidR="000F14B4" w:rsidRDefault="00786C08">
            <w:pPr>
              <w:spacing w:after="0" w:line="240" w:lineRule="auto"/>
              <w:rPr>
                <w:rFonts w:eastAsia="Times New Roman"/>
                <w:b/>
                <w:sz w:val="22"/>
                <w:lang w:eastAsia="lv-LV"/>
              </w:rPr>
            </w:pPr>
            <w:r>
              <w:rPr>
                <w:rFonts w:eastAsia="Times New Roman"/>
                <w:sz w:val="22"/>
                <w:lang w:eastAsia="lv-LV"/>
              </w:rPr>
              <w:t>6) Energoefektivitātes likuma 16. pantu.</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color w:val="000000" w:themeColor="text1"/>
                <w:sz w:val="22"/>
                <w:lang w:eastAsia="lv-LV"/>
              </w:rPr>
            </w:pPr>
            <w:r>
              <w:rPr>
                <w:sz w:val="22"/>
              </w:rPr>
              <w:t xml:space="preserve">Direktīvas 2012/27/ES </w:t>
            </w:r>
            <w:r>
              <w:rPr>
                <w:rFonts w:eastAsia="Times New Roman"/>
                <w:color w:val="000000" w:themeColor="text1"/>
                <w:sz w:val="22"/>
                <w:lang w:eastAsia="lv-LV"/>
              </w:rPr>
              <w:t>9. panta 3. punkta pirmā daļa</w:t>
            </w:r>
          </w:p>
        </w:tc>
        <w:tc>
          <w:tcPr>
            <w:tcW w:w="1295" w:type="dxa"/>
            <w:shd w:val="clear" w:color="auto" w:fill="auto"/>
            <w:tcMar>
              <w:left w:w="108" w:type="dxa"/>
            </w:tcMar>
          </w:tcPr>
          <w:p w:rsidR="000F14B4" w:rsidRDefault="000F14B4">
            <w:pPr>
              <w:spacing w:after="0" w:line="240" w:lineRule="auto"/>
              <w:rPr>
                <w:rFonts w:eastAsia="Times New Roman"/>
                <w:color w:val="000000" w:themeColor="text1"/>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1) Ministru kabineta 2008. gada 21. oktobra noteikumi Nr. 876 „Siltumenerģijas piegādes un lietošanas noteikumi”;</w:t>
            </w:r>
          </w:p>
          <w:p w:rsidR="000F14B4" w:rsidRDefault="00786C08">
            <w:pPr>
              <w:spacing w:after="0" w:line="240" w:lineRule="auto"/>
              <w:rPr>
                <w:rFonts w:eastAsia="Times New Roman"/>
                <w:sz w:val="22"/>
                <w:lang w:eastAsia="lv-LV"/>
              </w:rPr>
            </w:pPr>
            <w:r>
              <w:rPr>
                <w:rFonts w:eastAsia="Times New Roman"/>
                <w:sz w:val="22"/>
                <w:lang w:eastAsia="lv-LV"/>
              </w:rPr>
              <w:t>2) Ministru kabineta 2008. gada 9. decembra noteikumi Nr. 1013 „Kārtība, kādā dzīvokļa īpašnieks daudzdzīvokļu dzīvojamā mājā norēķinās par pakalpojumiem, kas saistīti ar dzīvokļa īpašuma lietošanu”;</w:t>
            </w:r>
          </w:p>
          <w:p w:rsidR="000F14B4" w:rsidRDefault="00786C08">
            <w:pPr>
              <w:spacing w:after="0" w:line="240" w:lineRule="auto"/>
              <w:rPr>
                <w:rFonts w:eastAsia="Times New Roman"/>
                <w:color w:val="000000" w:themeColor="text1"/>
                <w:sz w:val="22"/>
                <w:lang w:eastAsia="lv-LV"/>
              </w:rPr>
            </w:pPr>
            <w:r>
              <w:rPr>
                <w:sz w:val="22"/>
              </w:rPr>
              <w:t xml:space="preserve">4) </w:t>
            </w:r>
            <w:r>
              <w:rPr>
                <w:rFonts w:eastAsia="Times New Roman"/>
                <w:color w:val="000000" w:themeColor="text1"/>
                <w:sz w:val="22"/>
                <w:lang w:eastAsia="lv-LV"/>
              </w:rPr>
              <w:t>Ministru kabineta 2015. gada 30. jūnija noteikumi Nr. 138 „Latvijas būvnormatīvs LBN 221-98 “Ēku iekšējais ūdensvads un kanalizācija”.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sz w:val="22"/>
              </w:rPr>
            </w:pPr>
            <w:r>
              <w:rPr>
                <w:sz w:val="22"/>
              </w:rPr>
              <w:t xml:space="preserve">Direktīvas 2012/27/ES </w:t>
            </w:r>
            <w:r>
              <w:rPr>
                <w:rFonts w:eastAsia="Times New Roman"/>
                <w:color w:val="000000" w:themeColor="text1"/>
                <w:sz w:val="22"/>
                <w:lang w:eastAsia="lv-LV"/>
              </w:rPr>
              <w:t>9. panta 3. punkta otrā daļa</w:t>
            </w:r>
          </w:p>
        </w:tc>
        <w:tc>
          <w:tcPr>
            <w:tcW w:w="1295" w:type="dxa"/>
            <w:shd w:val="clear" w:color="auto" w:fill="auto"/>
            <w:tcMar>
              <w:left w:w="108" w:type="dxa"/>
            </w:tcMar>
          </w:tcPr>
          <w:p w:rsidR="000F14B4" w:rsidRDefault="000F14B4">
            <w:pPr>
              <w:spacing w:after="0" w:line="240" w:lineRule="auto"/>
              <w:rPr>
                <w:rFonts w:eastAsia="Times New Roman"/>
                <w:color w:val="000000" w:themeColor="text1"/>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color w:val="000000" w:themeColor="text1"/>
                <w:sz w:val="22"/>
                <w:lang w:eastAsia="lv-LV"/>
              </w:rPr>
            </w:pPr>
            <w:r>
              <w:rPr>
                <w:sz w:val="22"/>
              </w:rPr>
              <w:t>Ministru kabineta 2008. gada 21. oktobra noteikumi Nr. 876 „Siltumenerģijas piegādes un lietošanas noteikumi”.</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color w:val="000000" w:themeColor="text1"/>
                <w:sz w:val="22"/>
                <w:lang w:eastAsia="lv-LV"/>
              </w:rPr>
            </w:pPr>
            <w:r>
              <w:rPr>
                <w:sz w:val="22"/>
              </w:rPr>
              <w:t xml:space="preserve">Direktīvas 2012/27/ES </w:t>
            </w:r>
            <w:r>
              <w:rPr>
                <w:rFonts w:eastAsia="Times New Roman"/>
                <w:color w:val="000000" w:themeColor="text1"/>
                <w:sz w:val="22"/>
                <w:lang w:eastAsia="lv-LV"/>
              </w:rPr>
              <w:t>9. panta 3. punkta trešā daļa</w:t>
            </w:r>
          </w:p>
        </w:tc>
        <w:tc>
          <w:tcPr>
            <w:tcW w:w="1295" w:type="dxa"/>
            <w:shd w:val="clear" w:color="auto" w:fill="auto"/>
            <w:tcMar>
              <w:left w:w="108" w:type="dxa"/>
            </w:tcMar>
          </w:tcPr>
          <w:p w:rsidR="000F14B4" w:rsidRDefault="000F14B4">
            <w:pPr>
              <w:spacing w:after="0" w:line="240" w:lineRule="auto"/>
              <w:rPr>
                <w:rFonts w:eastAsia="Times New Roman"/>
                <w:color w:val="000000" w:themeColor="text1"/>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color w:val="000000"/>
                <w:sz w:val="22"/>
                <w:lang w:eastAsia="lv-LV"/>
              </w:rPr>
            </w:pPr>
            <w:r>
              <w:rPr>
                <w:rFonts w:eastAsia="Times New Roman"/>
                <w:b/>
                <w:color w:val="000000"/>
                <w:sz w:val="22"/>
                <w:lang w:eastAsia="lv-LV"/>
              </w:rPr>
              <w:t>Pārņemts pilnībā</w:t>
            </w:r>
          </w:p>
          <w:p w:rsidR="000F14B4" w:rsidRDefault="00786C08">
            <w:pPr>
              <w:spacing w:after="0" w:line="240" w:lineRule="auto"/>
              <w:rPr>
                <w:b/>
                <w:color w:val="000000" w:themeColor="text1"/>
                <w:sz w:val="22"/>
              </w:rPr>
            </w:pPr>
            <w:r>
              <w:rPr>
                <w:sz w:val="22"/>
              </w:rPr>
              <w:t xml:space="preserve">Ministru kabineta </w:t>
            </w:r>
            <w:r>
              <w:rPr>
                <w:rFonts w:eastAsia="Times New Roman"/>
                <w:sz w:val="22"/>
                <w:lang w:eastAsia="lv-LV"/>
              </w:rPr>
              <w:t xml:space="preserve">2008. gada 9. decembra </w:t>
            </w:r>
            <w:r>
              <w:rPr>
                <w:sz w:val="22"/>
              </w:rPr>
              <w:t>noteikumu Nr. 1013 „Kārtība, kādā dzīvokļa īpašnieks daudzdzīvokļu dzīvojamā mājā norēķinās par pakalpojumiem, kas saistīti ar dzīvokļa īpašuma lietošanu” 17.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10.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noteikumu Nr. 85 “Dabasgāzes piegādes un lietošanas noteikumi” 27., 59., 69.3., 83., 84. un 88. punkts;</w:t>
            </w:r>
          </w:p>
          <w:p w:rsidR="000F14B4" w:rsidRDefault="00786C08">
            <w:pPr>
              <w:spacing w:after="0" w:line="240" w:lineRule="auto"/>
              <w:rPr>
                <w:rFonts w:eastAsia="Times New Roman"/>
                <w:sz w:val="22"/>
                <w:lang w:eastAsia="lv-LV"/>
              </w:rPr>
            </w:pPr>
            <w:r>
              <w:rPr>
                <w:rFonts w:eastAsia="Times New Roman"/>
                <w:sz w:val="22"/>
                <w:lang w:eastAsia="lv-LV"/>
              </w:rPr>
              <w:t>2) Ministru kabineta 2014. gada 21. janvāra noteikumu Nr. 50 “Elektroenerģijas tirdzniecības un lietošanas noteikumi” 1.2., 17., 22., 25. un 115. punkts;</w:t>
            </w:r>
          </w:p>
          <w:p w:rsidR="000F14B4" w:rsidRDefault="00786C08">
            <w:pPr>
              <w:spacing w:after="0" w:line="240" w:lineRule="auto"/>
              <w:rPr>
                <w:rFonts w:eastAsia="Times New Roman"/>
                <w:sz w:val="22"/>
                <w:lang w:eastAsia="lv-LV"/>
              </w:rPr>
            </w:pPr>
            <w:r>
              <w:rPr>
                <w:rFonts w:eastAsia="Times New Roman"/>
                <w:sz w:val="22"/>
                <w:lang w:eastAsia="lv-LV"/>
              </w:rPr>
              <w:t>3) Ministru kabineta 2008. gada 9. decembra noteikumu Nr.1013 “Kārtība, kādā dzīvokļa īpašnieks daudzdzīvokļu dzīvojamā mājā norēķinās par pakalpojumiem, kas saistīti ar dzīvokļa īpašuma lietošanu” 7.</w:t>
            </w:r>
            <w:r>
              <w:rPr>
                <w:rFonts w:eastAsia="Times New Roman"/>
                <w:sz w:val="22"/>
                <w:vertAlign w:val="superscript"/>
                <w:lang w:eastAsia="lv-LV"/>
              </w:rPr>
              <w:t>1</w:t>
            </w:r>
            <w:r>
              <w:rPr>
                <w:rFonts w:eastAsia="Times New Roman"/>
                <w:sz w:val="22"/>
                <w:lang w:eastAsia="lv-LV"/>
              </w:rPr>
              <w:t xml:space="preserve"> un 8. punkts;</w:t>
            </w:r>
          </w:p>
          <w:p w:rsidR="000F14B4" w:rsidRDefault="00786C08">
            <w:pPr>
              <w:spacing w:after="0" w:line="240" w:lineRule="auto"/>
              <w:rPr>
                <w:rFonts w:eastAsia="Times New Roman"/>
                <w:sz w:val="22"/>
                <w:lang w:eastAsia="lv-LV"/>
              </w:rPr>
            </w:pPr>
            <w:r>
              <w:rPr>
                <w:rFonts w:eastAsia="Times New Roman"/>
                <w:sz w:val="22"/>
                <w:lang w:eastAsia="lv-LV"/>
              </w:rPr>
              <w:lastRenderedPageBreak/>
              <w:t xml:space="preserve">4) Ministru kabineta </w:t>
            </w:r>
            <w:r>
              <w:rPr>
                <w:sz w:val="22"/>
              </w:rPr>
              <w:t xml:space="preserve">2008. gada 21. oktobra </w:t>
            </w:r>
            <w:r>
              <w:rPr>
                <w:rFonts w:eastAsia="Times New Roman"/>
                <w:sz w:val="22"/>
                <w:lang w:eastAsia="lv-LV"/>
              </w:rPr>
              <w:t>noteikumu Nr. 876 “Siltumenerģijas piegādes un lietošanas noteikumi” 36. punktu.</w:t>
            </w:r>
          </w:p>
          <w:p w:rsidR="000F14B4" w:rsidRDefault="00786C08">
            <w:pPr>
              <w:spacing w:after="0" w:line="240" w:lineRule="auto"/>
              <w:rPr>
                <w:rFonts w:eastAsia="Times New Roman"/>
                <w:b/>
                <w:sz w:val="22"/>
                <w:lang w:eastAsia="lv-LV"/>
              </w:rPr>
            </w:pPr>
            <w:r>
              <w:rPr>
                <w:rFonts w:eastAsia="Times New Roman"/>
                <w:sz w:val="22"/>
                <w:lang w:eastAsia="lv-LV"/>
              </w:rPr>
              <w:t>5) Energoefektivitātes likuma 16. panta pirmā daļa.</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10.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noteikumu Nr. 85 “Dabasgāzes piegādes un lietošanas noteikumi” 27., 59., 69.3., 83., 84. un 88. punkts;</w:t>
            </w:r>
          </w:p>
          <w:p w:rsidR="000F14B4" w:rsidRDefault="00786C08">
            <w:pPr>
              <w:spacing w:after="0" w:line="240" w:lineRule="auto"/>
              <w:rPr>
                <w:rFonts w:eastAsia="Times New Roman"/>
                <w:sz w:val="22"/>
                <w:lang w:eastAsia="lv-LV"/>
              </w:rPr>
            </w:pPr>
            <w:r>
              <w:rPr>
                <w:rFonts w:eastAsia="Times New Roman"/>
                <w:sz w:val="22"/>
                <w:lang w:eastAsia="lv-LV"/>
              </w:rPr>
              <w:t>2) Ministru kabineta 2014. gada 21. janvāra noteikumu Nr. 50 “Elektroenerģijas tirdzniecības un lietošanas noteikumi” 1.2., 17., 22., 25. un 115. punkts;</w:t>
            </w:r>
          </w:p>
          <w:p w:rsidR="000F14B4" w:rsidRDefault="00786C08">
            <w:pPr>
              <w:spacing w:after="0" w:line="240" w:lineRule="auto"/>
              <w:rPr>
                <w:rFonts w:eastAsia="Times New Roman"/>
                <w:sz w:val="22"/>
                <w:lang w:eastAsia="lv-LV"/>
              </w:rPr>
            </w:pPr>
            <w:r>
              <w:rPr>
                <w:rFonts w:eastAsia="Times New Roman"/>
                <w:sz w:val="22"/>
                <w:lang w:eastAsia="lv-LV"/>
              </w:rPr>
              <w:t>3) Ministru kabineta 2008. gada 9. decembra noteikumu Nr. 1013 “Kārtība, kādā dzīvokļa īpašnieks daudzdzīvokļu dzīvojamā mājā norēķinās par pakalpojumiem, kas saistīti ar dzīvokļa īpašuma lietošanu” 7.</w:t>
            </w:r>
            <w:r>
              <w:rPr>
                <w:rFonts w:eastAsia="Times New Roman"/>
                <w:sz w:val="22"/>
                <w:vertAlign w:val="superscript"/>
                <w:lang w:eastAsia="lv-LV"/>
              </w:rPr>
              <w:t>1</w:t>
            </w:r>
            <w:r>
              <w:rPr>
                <w:rFonts w:eastAsia="Times New Roman"/>
                <w:sz w:val="22"/>
                <w:lang w:eastAsia="lv-LV"/>
              </w:rPr>
              <w:t xml:space="preserve"> un 8. punkts;</w:t>
            </w:r>
          </w:p>
          <w:p w:rsidR="000F14B4" w:rsidRDefault="00786C08">
            <w:pPr>
              <w:spacing w:after="0" w:line="240" w:lineRule="auto"/>
              <w:rPr>
                <w:rFonts w:eastAsia="Times New Roman"/>
                <w:sz w:val="22"/>
                <w:lang w:eastAsia="lv-LV"/>
              </w:rPr>
            </w:pPr>
            <w:r>
              <w:rPr>
                <w:rFonts w:eastAsia="Times New Roman"/>
                <w:sz w:val="22"/>
                <w:lang w:eastAsia="lv-LV"/>
              </w:rPr>
              <w:t xml:space="preserve">4) Ministru kabineta </w:t>
            </w:r>
            <w:r>
              <w:rPr>
                <w:sz w:val="22"/>
              </w:rPr>
              <w:t xml:space="preserve">2008. gada 21. oktobra </w:t>
            </w:r>
            <w:r>
              <w:rPr>
                <w:rFonts w:eastAsia="Times New Roman"/>
                <w:sz w:val="22"/>
                <w:lang w:eastAsia="lv-LV"/>
              </w:rPr>
              <w:t>noteikumu Nr. 876 “Siltumenerģijas piegādes un lietošanas noteikumi” 36.</w:t>
            </w:r>
            <w:r>
              <w:rPr>
                <w:rFonts w:eastAsia="Times New Roman"/>
                <w:sz w:val="22"/>
                <w:vertAlign w:val="superscript"/>
                <w:lang w:eastAsia="lv-LV"/>
              </w:rPr>
              <w:t xml:space="preserve">1 </w:t>
            </w:r>
            <w:r>
              <w:rPr>
                <w:rFonts w:eastAsia="Times New Roman"/>
                <w:sz w:val="22"/>
                <w:lang w:eastAsia="lv-LV"/>
              </w:rPr>
              <w:t>punktu.</w:t>
            </w:r>
          </w:p>
          <w:p w:rsidR="000F14B4" w:rsidRDefault="00786C08">
            <w:pPr>
              <w:spacing w:after="0" w:line="240" w:lineRule="auto"/>
              <w:rPr>
                <w:rFonts w:eastAsia="Times New Roman"/>
                <w:b/>
                <w:sz w:val="22"/>
                <w:lang w:eastAsia="lv-LV"/>
              </w:rPr>
            </w:pPr>
            <w:r>
              <w:rPr>
                <w:rFonts w:eastAsia="Times New Roman"/>
                <w:sz w:val="22"/>
                <w:lang w:eastAsia="lv-LV"/>
              </w:rPr>
              <w:t>5) Energoefektivitātes likuma 16. pants.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10.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noteikumu Nr. 85 “Dabasgāzes piegādes un lietošanas noteikumi” 27., 59., 69.3., 83., 84. un 88. punkts;</w:t>
            </w:r>
          </w:p>
          <w:p w:rsidR="000F14B4" w:rsidRDefault="00786C08">
            <w:pPr>
              <w:spacing w:after="0" w:line="240" w:lineRule="auto"/>
              <w:rPr>
                <w:rFonts w:eastAsia="Times New Roman"/>
                <w:sz w:val="22"/>
                <w:lang w:eastAsia="lv-LV"/>
              </w:rPr>
            </w:pPr>
            <w:r>
              <w:rPr>
                <w:rFonts w:eastAsia="Times New Roman"/>
                <w:sz w:val="22"/>
                <w:lang w:eastAsia="lv-LV"/>
              </w:rPr>
              <w:t>2) Ministru kabineta 2014. gada 21. janvāra noteikumu Nr. 50 “Elektroenerģijas tirdzniecības un lietošanas noteikumi” 1.2., 17., 22., 25. un 115. punkts;</w:t>
            </w:r>
          </w:p>
          <w:p w:rsidR="000F14B4" w:rsidRDefault="00786C08">
            <w:pPr>
              <w:spacing w:after="0" w:line="240" w:lineRule="auto"/>
              <w:rPr>
                <w:rFonts w:eastAsia="Times New Roman"/>
                <w:sz w:val="22"/>
                <w:lang w:eastAsia="lv-LV"/>
              </w:rPr>
            </w:pPr>
            <w:r>
              <w:rPr>
                <w:rFonts w:eastAsia="Times New Roman"/>
                <w:sz w:val="22"/>
                <w:lang w:eastAsia="lv-LV"/>
              </w:rPr>
              <w:t>3) Ministru kabineta 2008. gada 9. decembra noteikumu Nr. 1013 “Kārtība, kādā dzīvokļa īpašnieks daudzdzīvokļu dzīvojamā mājā norēķinās par pakalpojumiem, kas saistīti ar dzīvokļa īpašuma lietošanu” 7.</w:t>
            </w:r>
            <w:r>
              <w:rPr>
                <w:rFonts w:eastAsia="Times New Roman"/>
                <w:sz w:val="22"/>
                <w:vertAlign w:val="superscript"/>
                <w:lang w:eastAsia="lv-LV"/>
              </w:rPr>
              <w:t>1</w:t>
            </w:r>
            <w:r>
              <w:rPr>
                <w:rFonts w:eastAsia="Times New Roman"/>
                <w:sz w:val="22"/>
                <w:lang w:eastAsia="lv-LV"/>
              </w:rPr>
              <w:t xml:space="preserve"> un 8. punkts;</w:t>
            </w:r>
          </w:p>
          <w:p w:rsidR="000F14B4" w:rsidRDefault="00786C08">
            <w:pPr>
              <w:spacing w:after="0" w:line="240" w:lineRule="auto"/>
              <w:rPr>
                <w:rFonts w:eastAsia="Times New Roman"/>
                <w:sz w:val="22"/>
                <w:lang w:eastAsia="lv-LV"/>
              </w:rPr>
            </w:pPr>
            <w:r>
              <w:rPr>
                <w:rFonts w:eastAsia="Times New Roman"/>
                <w:sz w:val="22"/>
                <w:lang w:eastAsia="lv-LV"/>
              </w:rPr>
              <w:t xml:space="preserve">4) Ministru kabineta </w:t>
            </w:r>
            <w:r>
              <w:rPr>
                <w:sz w:val="22"/>
              </w:rPr>
              <w:t xml:space="preserve">2008. gada 21. oktobra </w:t>
            </w:r>
            <w:r>
              <w:rPr>
                <w:rFonts w:eastAsia="Times New Roman"/>
                <w:sz w:val="22"/>
                <w:lang w:eastAsia="lv-LV"/>
              </w:rPr>
              <w:t>noteikumu Nr. 876 “Siltumenerģijas piegādes un lietošanas noteikumi” 36.</w:t>
            </w:r>
            <w:r>
              <w:rPr>
                <w:rFonts w:eastAsia="Times New Roman"/>
                <w:sz w:val="22"/>
                <w:vertAlign w:val="superscript"/>
                <w:lang w:eastAsia="lv-LV"/>
              </w:rPr>
              <w:t xml:space="preserve">1 </w:t>
            </w:r>
            <w:r>
              <w:rPr>
                <w:rFonts w:eastAsia="Times New Roman"/>
                <w:sz w:val="22"/>
                <w:lang w:eastAsia="lv-LV"/>
              </w:rPr>
              <w:t>punktu.</w:t>
            </w:r>
          </w:p>
          <w:p w:rsidR="000F14B4" w:rsidRDefault="00786C08">
            <w:pPr>
              <w:spacing w:after="0" w:line="240" w:lineRule="auto"/>
              <w:rPr>
                <w:rFonts w:eastAsia="Times New Roman"/>
                <w:b/>
                <w:sz w:val="22"/>
                <w:lang w:eastAsia="lv-LV"/>
              </w:rPr>
            </w:pPr>
            <w:r>
              <w:rPr>
                <w:rFonts w:eastAsia="Times New Roman"/>
                <w:sz w:val="22"/>
                <w:lang w:eastAsia="lv-LV"/>
              </w:rPr>
              <w:t>5) Energoefektivitātes likuma 16. pants.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11.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 Energoefektivitātes likuma 16. panta pirmo un otro daļu.</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11.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sz w:val="22"/>
              </w:rPr>
            </w:pPr>
            <w:r>
              <w:rPr>
                <w:sz w:val="22"/>
              </w:rPr>
              <w:t>1) „Dzīvojamo māju pārvaldīšanas likums” 10. panta ceturtā daļa un 11. panta otrās daļas 8. punkta c apakšpunkts;</w:t>
            </w:r>
          </w:p>
          <w:p w:rsidR="000F14B4" w:rsidRDefault="00786C08">
            <w:pPr>
              <w:spacing w:after="0" w:line="240" w:lineRule="auto"/>
              <w:rPr>
                <w:rFonts w:eastAsia="Times New Roman"/>
                <w:sz w:val="22"/>
                <w:lang w:eastAsia="lv-LV"/>
              </w:rPr>
            </w:pPr>
            <w:r>
              <w:rPr>
                <w:sz w:val="22"/>
              </w:rPr>
              <w:t>2) Likuma „Par valsts un pašvaldību dzīvojamo māju privatizāciju” 50. panta astotā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lastRenderedPageBreak/>
              <w:t>12.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6. pants.</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12.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6. pants.</w:t>
            </w:r>
          </w:p>
          <w:p w:rsidR="000F14B4" w:rsidRDefault="000F14B4">
            <w:pPr>
              <w:spacing w:after="0" w:line="240" w:lineRule="auto"/>
              <w:rPr>
                <w:rFonts w:eastAsia="Times New Roman"/>
                <w:sz w:val="22"/>
                <w:lang w:eastAsia="lv-LV"/>
              </w:rPr>
            </w:pP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13. pants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17. pants.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1.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sz w:val="22"/>
              </w:rPr>
              <w:t xml:space="preserve">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 </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2.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3.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4.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5.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 gada 14. martā.) netika konstatēts augstas efektivitātes koģenerācijas un efektīvas centralizētās siltumapgādes potenciāls, tad Direktīvas 2012/27/ES </w:t>
            </w:r>
            <w:r>
              <w:rPr>
                <w:rFonts w:eastAsia="Times New Roman"/>
                <w:sz w:val="22"/>
                <w:lang w:eastAsia="lv-LV"/>
              </w:rPr>
              <w:t xml:space="preserve">14. panta 5., 6., 7., 8. un 9. punktu prasības </w:t>
            </w:r>
            <w:r>
              <w:rPr>
                <w:sz w:val="22"/>
              </w:rPr>
              <w:t>nav jāpārņem.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14. panta 6.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0F14B4">
            <w:pPr>
              <w:spacing w:after="0" w:line="240" w:lineRule="auto"/>
              <w:rPr>
                <w:sz w:val="22"/>
              </w:rPr>
            </w:pPr>
          </w:p>
          <w:p w:rsidR="000F14B4" w:rsidRDefault="00786C08">
            <w:pPr>
              <w:spacing w:after="0" w:line="240" w:lineRule="auto"/>
              <w:rPr>
                <w:rFonts w:eastAsia="Times New Roman"/>
                <w:sz w:val="22"/>
                <w:lang w:eastAsia="lv-LV"/>
              </w:rPr>
            </w:pPr>
            <w:r>
              <w:rPr>
                <w:sz w:val="22"/>
              </w:rPr>
              <w:t xml:space="preserve">Skatīt Direktīvas 2012/27/ES </w:t>
            </w:r>
            <w:r>
              <w:rPr>
                <w:rFonts w:eastAsia="Times New Roman"/>
                <w:sz w:val="22"/>
                <w:lang w:eastAsia="lv-LV"/>
              </w:rPr>
              <w:t>14. panta 5. punkt</w:t>
            </w:r>
            <w:r>
              <w:rPr>
                <w:sz w:val="22"/>
              </w:rPr>
              <w:t>a skaidrojumu.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7.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0F14B4">
            <w:pPr>
              <w:spacing w:after="0" w:line="240" w:lineRule="auto"/>
              <w:rPr>
                <w:sz w:val="22"/>
              </w:rPr>
            </w:pPr>
          </w:p>
          <w:p w:rsidR="000F14B4" w:rsidRDefault="00786C08">
            <w:pPr>
              <w:spacing w:after="0" w:line="240" w:lineRule="auto"/>
              <w:rPr>
                <w:sz w:val="22"/>
              </w:rPr>
            </w:pPr>
            <w:r>
              <w:rPr>
                <w:sz w:val="22"/>
              </w:rPr>
              <w:t xml:space="preserve">Skatīt Direktīvas 2012/27/ES </w:t>
            </w:r>
            <w:r>
              <w:rPr>
                <w:rFonts w:eastAsia="Times New Roman"/>
                <w:sz w:val="22"/>
                <w:lang w:eastAsia="lv-LV"/>
              </w:rPr>
              <w:t>14. panta 5. punkt</w:t>
            </w:r>
            <w:r>
              <w:rPr>
                <w:sz w:val="22"/>
              </w:rPr>
              <w:t>a skaidrojumu.</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8.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0F14B4">
            <w:pPr>
              <w:spacing w:after="0" w:line="240" w:lineRule="auto"/>
              <w:rPr>
                <w:rFonts w:eastAsia="Times New Roman"/>
                <w:bCs/>
                <w:sz w:val="22"/>
                <w:lang w:eastAsia="lv-LV"/>
              </w:rPr>
            </w:pPr>
          </w:p>
          <w:p w:rsidR="000F14B4" w:rsidRDefault="00786C08">
            <w:pPr>
              <w:spacing w:after="0" w:line="240" w:lineRule="auto"/>
              <w:rPr>
                <w:rFonts w:eastAsia="Times New Roman"/>
                <w:sz w:val="22"/>
                <w:lang w:eastAsia="lv-LV"/>
              </w:rPr>
            </w:pPr>
            <w:r>
              <w:rPr>
                <w:sz w:val="22"/>
              </w:rPr>
              <w:t xml:space="preserve">Skatīt Direktīvas 2012/27/ES </w:t>
            </w:r>
            <w:r>
              <w:rPr>
                <w:rFonts w:eastAsia="Times New Roman"/>
                <w:sz w:val="22"/>
                <w:lang w:eastAsia="lv-LV"/>
              </w:rPr>
              <w:t>14. panta 5. punkt</w:t>
            </w:r>
            <w:r>
              <w:rPr>
                <w:sz w:val="22"/>
              </w:rPr>
              <w:t>a skaidrojumu.</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9.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sz w:val="22"/>
              </w:rPr>
            </w:pPr>
            <w:r>
              <w:rPr>
                <w:sz w:val="22"/>
              </w:rPr>
              <w:t xml:space="preserve"> </w:t>
            </w:r>
          </w:p>
          <w:p w:rsidR="000F14B4" w:rsidRDefault="00786C08">
            <w:pPr>
              <w:spacing w:after="0" w:line="240" w:lineRule="auto"/>
              <w:rPr>
                <w:color w:val="000000"/>
                <w:sz w:val="22"/>
              </w:rPr>
            </w:pPr>
            <w:r>
              <w:rPr>
                <w:sz w:val="22"/>
              </w:rPr>
              <w:t xml:space="preserve">Skatīt Direktīvas 2012/27/ES </w:t>
            </w:r>
            <w:r>
              <w:rPr>
                <w:rFonts w:eastAsia="Times New Roman"/>
                <w:sz w:val="22"/>
                <w:lang w:eastAsia="lv-LV"/>
              </w:rPr>
              <w:t>14. panta 5. punkt</w:t>
            </w:r>
            <w:r>
              <w:rPr>
                <w:sz w:val="22"/>
              </w:rPr>
              <w:t>a skaidrojumu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10. punkta pirmā daļa</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daļēji</w:t>
            </w:r>
          </w:p>
          <w:p w:rsidR="000F14B4" w:rsidRDefault="00786C08">
            <w:pPr>
              <w:spacing w:after="0" w:line="240" w:lineRule="auto"/>
              <w:rPr>
                <w:rFonts w:eastAsia="Times New Roman"/>
                <w:sz w:val="22"/>
                <w:lang w:eastAsia="lv-LV"/>
              </w:rPr>
            </w:pPr>
            <w:r>
              <w:rPr>
                <w:rFonts w:eastAsia="Times New Roman"/>
                <w:bCs/>
                <w:sz w:val="22"/>
                <w:lang w:eastAsia="lv-LV"/>
              </w:rPr>
              <w:t>1) Ministru kabineta noteikumu Nr. 221 „Noteikumi par elektroenerģijas ražošanu un cenu noteikšanu, ražojot elektroenerģiju koģenerācijā” V. nodaļa un</w:t>
            </w:r>
            <w:r>
              <w:rPr>
                <w:rFonts w:eastAsia="Times New Roman"/>
                <w:sz w:val="22"/>
                <w:lang w:eastAsia="lv-LV"/>
              </w:rPr>
              <w:t xml:space="preserve"> </w:t>
            </w:r>
          </w:p>
          <w:p w:rsidR="000F14B4" w:rsidRDefault="00786C08">
            <w:pPr>
              <w:spacing w:after="0" w:line="240" w:lineRule="auto"/>
              <w:rPr>
                <w:rFonts w:eastAsia="Times New Roman"/>
                <w:bCs/>
                <w:sz w:val="22"/>
                <w:lang w:eastAsia="lv-LV"/>
              </w:rPr>
            </w:pPr>
            <w:r>
              <w:rPr>
                <w:rFonts w:eastAsia="Times New Roman"/>
                <w:bCs/>
                <w:sz w:val="22"/>
                <w:lang w:eastAsia="lv-LV"/>
              </w:rPr>
              <w:t xml:space="preserve">2) Ministru kabineta 2011. gada 22. novembra noteikumu Nr. 900 „Noteikumi par izcelsmes apliecinājuma saņemšanu elektroenerģijai, kas ražota, izmantojot atjaunojamos energoresursus” pielikums. </w:t>
            </w:r>
          </w:p>
          <w:p w:rsidR="000F14B4" w:rsidRDefault="00786C08">
            <w:pPr>
              <w:keepNext/>
              <w:spacing w:after="0" w:line="240" w:lineRule="auto"/>
              <w:outlineLvl w:val="0"/>
              <w:rPr>
                <w:i/>
                <w:sz w:val="22"/>
              </w:rPr>
            </w:pPr>
            <w:r>
              <w:rPr>
                <w:i/>
                <w:sz w:val="22"/>
              </w:rPr>
              <w:t>Papildus:</w:t>
            </w:r>
          </w:p>
          <w:p w:rsidR="000F14B4" w:rsidRDefault="00786C08">
            <w:pPr>
              <w:keepNext/>
              <w:spacing w:after="0" w:line="240" w:lineRule="auto"/>
              <w:outlineLvl w:val="0"/>
              <w:rPr>
                <w:sz w:val="22"/>
              </w:rPr>
            </w:pPr>
            <w:r>
              <w:rPr>
                <w:rFonts w:eastAsia="Times New Roman"/>
                <w:sz w:val="22"/>
                <w:lang w:eastAsia="lv-LV"/>
              </w:rPr>
              <w:t xml:space="preserve">Prasības pilnībā tiks pārņemtas ar likumprojektu „Grozījumi Elektroenerģijas tirgus likumā” un </w:t>
            </w:r>
            <w:r>
              <w:rPr>
                <w:sz w:val="22"/>
              </w:rPr>
              <w:t>Ministru kabineta noteikumu projektu “Noteikumi par izcelsmes apliecinājuma saņemšanu elektroenerģijai, kas ražota, izmantojot atjaunojamos energoresursus, vai augstas efektivitātes koģenerācijas režīmā”.</w:t>
            </w:r>
          </w:p>
          <w:p w:rsidR="000F14B4" w:rsidRDefault="00786C08">
            <w:pPr>
              <w:keepNext/>
              <w:spacing w:after="0" w:line="240" w:lineRule="auto"/>
              <w:outlineLvl w:val="0"/>
              <w:rPr>
                <w:rFonts w:eastAsia="Times New Roman"/>
                <w:b/>
                <w:bCs/>
                <w:sz w:val="22"/>
                <w:lang w:eastAsia="lv-LV"/>
              </w:rPr>
            </w:pPr>
            <w:r>
              <w:rPr>
                <w:rFonts w:eastAsiaTheme="minorHAnsi"/>
                <w:color w:val="000000"/>
                <w:sz w:val="22"/>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10. punkta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sz w:val="22"/>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14. panta 11. 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Ministru kabineta 2009. gada 10. marta noteikumi </w:t>
            </w:r>
            <w:r>
              <w:rPr>
                <w:rFonts w:eastAsia="Times New Roman"/>
                <w:bCs/>
                <w:sz w:val="22"/>
                <w:lang w:eastAsia="lv-LV"/>
              </w:rPr>
              <w:t>Nr. 221</w:t>
            </w:r>
            <w:r>
              <w:rPr>
                <w:rFonts w:eastAsia="Times New Roman"/>
                <w:sz w:val="22"/>
                <w:lang w:eastAsia="lv-LV"/>
              </w:rPr>
              <w:t xml:space="preserve"> „Noteikumi par elektroenerģijas ražošanu un cenu noteikšanu, ražojot elektroenerģiju koģenerācijā” II. nodaļa.</w:t>
            </w:r>
          </w:p>
          <w:p w:rsidR="000F14B4" w:rsidRDefault="00786C08">
            <w:pPr>
              <w:spacing w:after="0" w:line="240" w:lineRule="auto"/>
              <w:rPr>
                <w:rFonts w:eastAsia="Times New Roman"/>
                <w:sz w:val="22"/>
                <w:lang w:eastAsia="lv-LV"/>
              </w:rPr>
            </w:pPr>
            <w:r>
              <w:rPr>
                <w:rFonts w:eastAsia="Times New Roman"/>
                <w:sz w:val="22"/>
                <w:lang w:eastAsia="lv-LV"/>
              </w:rPr>
              <w:t>2) Ministru kabineta 2012. gada 4. augusta noteikumu Nr. 559 „Klimata pārmaiņu finanšu instrumenta finansēto projektu atklāta konkursa “Kompleksi risinājumi siltumnīcefekta gāzu emisiju samazināšanai" nolikums” 12.8. punkts.</w:t>
            </w:r>
          </w:p>
          <w:p w:rsidR="000F14B4" w:rsidRDefault="00786C08">
            <w:pPr>
              <w:spacing w:after="0" w:line="240" w:lineRule="auto"/>
              <w:rPr>
                <w:rFonts w:eastAsia="Times New Roman"/>
                <w:sz w:val="22"/>
                <w:lang w:eastAsia="lv-LV"/>
              </w:rPr>
            </w:pPr>
            <w:r>
              <w:rPr>
                <w:rFonts w:eastAsia="Times New Roman"/>
                <w:sz w:val="22"/>
                <w:lang w:eastAsia="lv-LV"/>
              </w:rPr>
              <w:t>3)</w:t>
            </w:r>
            <w:r>
              <w:rPr>
                <w:rFonts w:eastAsia="Times New Roman"/>
                <w:bCs/>
                <w:sz w:val="22"/>
                <w:lang w:eastAsia="lv-LV"/>
              </w:rPr>
              <w:t xml:space="preserve"> Ministru kabineta 2010. gada 31. augusta noteikumi Nr. 824</w:t>
            </w:r>
            <w:r>
              <w:rPr>
                <w:rFonts w:eastAsia="Times New Roman"/>
                <w:sz w:val="22"/>
                <w:lang w:eastAsia="lv-LV"/>
              </w:rPr>
              <w:t xml:space="preserve"> “Noteikumi par darbības programmas "Infrastruktūra un pakalpojumi" papildinājuma 3.5.2.1.1.apakšaktivitātes </w:t>
            </w:r>
            <w:r>
              <w:rPr>
                <w:rFonts w:eastAsia="Times New Roman"/>
                <w:sz w:val="22"/>
                <w:lang w:eastAsia="lv-LV"/>
              </w:rPr>
              <w:lastRenderedPageBreak/>
              <w:t xml:space="preserve">"Pasākumi centralizētās siltumapgādes sistēmu efektivitātes paaugstināšanai" projektu iesniegumu atlases otro kārtu un turpmākajām kārtām” 2. </w:t>
            </w:r>
            <w:r>
              <w:rPr>
                <w:sz w:val="22"/>
              </w:rPr>
              <w:t>punkts</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shd w:val="clear" w:color="auto" w:fill="FF00FF"/>
                <w:lang w:eastAsia="lv-LV"/>
              </w:rPr>
            </w:pPr>
            <w:r>
              <w:rPr>
                <w:sz w:val="22"/>
              </w:rPr>
              <w:t xml:space="preserve">Direktīvas 2012/27/ES </w:t>
            </w:r>
            <w:r>
              <w:rPr>
                <w:rFonts w:eastAsia="Times New Roman"/>
                <w:sz w:val="22"/>
                <w:lang w:eastAsia="lv-LV"/>
              </w:rPr>
              <w:t>15. panta 1. punkta pirmā, otrā un trešā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1) Enerģētikas likuma 3., 54. un 84. pants;</w:t>
            </w:r>
          </w:p>
          <w:p w:rsidR="000F14B4" w:rsidRDefault="00786C08">
            <w:pPr>
              <w:spacing w:after="0" w:line="240" w:lineRule="auto"/>
              <w:rPr>
                <w:rFonts w:eastAsia="Times New Roman"/>
                <w:sz w:val="22"/>
                <w:lang w:eastAsia="lv-LV"/>
              </w:rPr>
            </w:pPr>
            <w:r>
              <w:rPr>
                <w:rFonts w:eastAsia="Times New Roman"/>
                <w:sz w:val="22"/>
                <w:lang w:eastAsia="lv-LV"/>
              </w:rPr>
              <w:t>2) Elektroenerģijas tirgus likuma 2., 16. un 20. pants.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1. punkta ceturtā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1) Elektroenerģijas tirgus likuma 20. un 27. pants;</w:t>
            </w:r>
          </w:p>
          <w:p w:rsidR="000F14B4" w:rsidRDefault="00786C08">
            <w:pPr>
              <w:spacing w:after="0" w:line="240" w:lineRule="auto"/>
              <w:rPr>
                <w:rFonts w:eastAsia="Times New Roman"/>
                <w:sz w:val="22"/>
                <w:lang w:eastAsia="lv-LV"/>
              </w:rPr>
            </w:pPr>
            <w:r>
              <w:rPr>
                <w:rFonts w:eastAsia="Times New Roman"/>
                <w:sz w:val="22"/>
                <w:lang w:eastAsia="lv-LV"/>
              </w:rPr>
              <w:t>2) Likuma „Par sabiedrisko pakalpojumu regulatoriem” 19. panta pirmā daļa un 20. pants;</w:t>
            </w:r>
          </w:p>
          <w:p w:rsidR="000F14B4" w:rsidRDefault="00786C08">
            <w:pPr>
              <w:spacing w:after="0" w:line="240" w:lineRule="auto"/>
              <w:rPr>
                <w:rFonts w:eastAsia="Times New Roman"/>
                <w:sz w:val="22"/>
                <w:lang w:eastAsia="lv-LV"/>
              </w:rPr>
            </w:pPr>
            <w:r>
              <w:rPr>
                <w:rFonts w:eastAsia="Times New Roman"/>
                <w:sz w:val="22"/>
                <w:lang w:eastAsia="lv-LV"/>
              </w:rPr>
              <w:t>3) Akciju sabiedrības „Sadales tīkls” Elektroenerģijas sadales sistēmas pakalpojumu diferencēto tarifu pielietošanas kārtība</w:t>
            </w:r>
            <w:r>
              <w:rPr>
                <w:rStyle w:val="FootnoteAnchor"/>
                <w:rFonts w:eastAsia="Times New Roman"/>
                <w:sz w:val="22"/>
                <w:lang w:eastAsia="lv-LV"/>
              </w:rPr>
              <w:footnoteReference w:id="27"/>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 xml:space="preserve">4) </w:t>
            </w:r>
            <w:r>
              <w:rPr>
                <w:rFonts w:eastAsia="Times New Roman"/>
                <w:bCs/>
                <w:sz w:val="22"/>
                <w:lang w:eastAsia="lv-LV"/>
              </w:rPr>
              <w:t>Sabiedrisko pakalpojumu regulēšanas komisijas padomes 2015. gada 26. februāra lēmuma Nr. 1/6</w:t>
            </w:r>
            <w:r>
              <w:rPr>
                <w:rFonts w:eastAsia="Times New Roman"/>
                <w:sz w:val="22"/>
                <w:lang w:eastAsia="lv-LV"/>
              </w:rPr>
              <w:t xml:space="preserve"> „Elektroenerģijas pārvades sistēmas pakalpojumu tarifu aprēķināšanas metodika” 1., 3., 83. un 90. punkts;</w:t>
            </w:r>
          </w:p>
          <w:p w:rsidR="000F14B4" w:rsidRDefault="00786C08">
            <w:pPr>
              <w:spacing w:after="0" w:line="240" w:lineRule="auto"/>
              <w:rPr>
                <w:rFonts w:eastAsia="Times New Roman"/>
                <w:sz w:val="22"/>
                <w:lang w:eastAsia="lv-LV"/>
              </w:rPr>
            </w:pPr>
            <w:r>
              <w:rPr>
                <w:rFonts w:eastAsia="Times New Roman"/>
                <w:sz w:val="22"/>
                <w:lang w:eastAsia="lv-LV"/>
              </w:rPr>
              <w:t xml:space="preserve">5) </w:t>
            </w:r>
            <w:r>
              <w:rPr>
                <w:rFonts w:eastAsia="Times New Roman"/>
                <w:bCs/>
                <w:sz w:val="22"/>
                <w:lang w:eastAsia="lv-LV"/>
              </w:rPr>
              <w:t>Sabiedrisko pakalpojumu regulēšanas komisijas padomes 2010. gada 14. aprīļa lēmuma Nr. 1/7</w:t>
            </w:r>
            <w:r>
              <w:rPr>
                <w:rFonts w:eastAsia="Times New Roman"/>
                <w:sz w:val="22"/>
                <w:lang w:eastAsia="lv-LV"/>
              </w:rPr>
              <w:t xml:space="preserve"> „Siltumenerģijas apgādes pakalpojumu tarifu aprēķināšanas metodika” 1., 3., 7., 14. un 21. punkts;</w:t>
            </w:r>
          </w:p>
          <w:p w:rsidR="000F14B4" w:rsidRDefault="00786C08">
            <w:pPr>
              <w:spacing w:after="0" w:line="240" w:lineRule="auto"/>
              <w:rPr>
                <w:rFonts w:eastAsia="Times New Roman"/>
                <w:b/>
                <w:sz w:val="22"/>
                <w:lang w:eastAsia="lv-LV"/>
              </w:rPr>
            </w:pPr>
            <w:r>
              <w:rPr>
                <w:rFonts w:eastAsia="Times New Roman"/>
                <w:sz w:val="22"/>
                <w:lang w:eastAsia="lv-LV"/>
              </w:rPr>
              <w:t xml:space="preserve">6) </w:t>
            </w:r>
            <w:r>
              <w:rPr>
                <w:rFonts w:eastAsia="Times New Roman"/>
                <w:bCs/>
                <w:sz w:val="22"/>
                <w:lang w:eastAsia="lv-LV"/>
              </w:rPr>
              <w:t>Sabiedrisko pakalpojumu regulēšanas komisijas padomes 2011. gada 15. decembra lēmuma Nr. 1/32</w:t>
            </w:r>
            <w:r>
              <w:rPr>
                <w:rFonts w:eastAsia="Times New Roman"/>
                <w:sz w:val="22"/>
                <w:lang w:eastAsia="lv-LV"/>
              </w:rPr>
              <w:t xml:space="preserve"> „Elektroenerģijas sadales sistēmas pakalpojumu tarifu aprēķināšanas metodika” 51.2. un 59.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2. punkta a)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b/>
                <w:sz w:val="22"/>
                <w:lang w:eastAsia="lv-LV"/>
              </w:rPr>
            </w:pPr>
            <w:r>
              <w:rPr>
                <w:rFonts w:eastAsia="Times New Roman"/>
                <w:sz w:val="22"/>
                <w:lang w:eastAsia="lv-LV"/>
              </w:rPr>
              <w:t>1) Elektroenerģijas tirgus likuma 15. pantu;</w:t>
            </w:r>
          </w:p>
          <w:p w:rsidR="000F14B4" w:rsidRDefault="00786C08">
            <w:pPr>
              <w:spacing w:after="0" w:line="240" w:lineRule="auto"/>
              <w:rPr>
                <w:rFonts w:eastAsia="Times New Roman"/>
                <w:sz w:val="22"/>
                <w:lang w:eastAsia="lv-LV"/>
              </w:rPr>
            </w:pPr>
            <w:r>
              <w:rPr>
                <w:rFonts w:eastAsia="Times New Roman"/>
                <w:sz w:val="22"/>
                <w:lang w:eastAsia="lv-LV"/>
              </w:rPr>
              <w:t xml:space="preserve">2) Sabiedrisko pakalpojumu regulēšanas komisijas </w:t>
            </w:r>
            <w:r>
              <w:rPr>
                <w:rFonts w:eastAsia="Times New Roman"/>
                <w:bCs/>
                <w:sz w:val="22"/>
                <w:lang w:eastAsia="lv-LV"/>
              </w:rPr>
              <w:t xml:space="preserve">padomes </w:t>
            </w:r>
            <w:r>
              <w:rPr>
                <w:rFonts w:eastAsia="Times New Roman"/>
                <w:sz w:val="22"/>
                <w:lang w:eastAsia="lv-LV"/>
              </w:rPr>
              <w:t>2013. gada 26. jūnija lēmuma Nr. 1/4 „Tīkla kodekss” 27. – 30. punktu.</w:t>
            </w:r>
          </w:p>
          <w:p w:rsidR="000F14B4" w:rsidRDefault="00786C08">
            <w:pPr>
              <w:spacing w:after="0" w:line="240" w:lineRule="auto"/>
              <w:rPr>
                <w:rFonts w:eastAsia="Times New Roman"/>
                <w:sz w:val="22"/>
                <w:lang w:eastAsia="lv-LV"/>
              </w:rPr>
            </w:pPr>
            <w:r>
              <w:rPr>
                <w:sz w:val="22"/>
              </w:rPr>
              <w:t>3) Gāzes un elektroenerģijas infrastruktūras energoefektivitātes potenciāla izvērtējums Latvijas Republikā (Iesniegts Eiropas Komisijā 06.07.2015.)</w:t>
            </w:r>
          </w:p>
        </w:tc>
        <w:tc>
          <w:tcPr>
            <w:tcW w:w="1660" w:type="dxa"/>
            <w:shd w:val="clear" w:color="auto" w:fill="auto"/>
            <w:tcMar>
              <w:left w:w="108" w:type="dxa"/>
            </w:tcMar>
          </w:tcPr>
          <w:p w:rsidR="000F14B4" w:rsidRDefault="00786C08">
            <w:pPr>
              <w:spacing w:after="0" w:line="240" w:lineRule="auto"/>
              <w:rPr>
                <w:sz w:val="22"/>
                <w:shd w:val="clear" w:color="auto" w:fill="00FFFF"/>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2. punkta b)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r>
              <w:rPr>
                <w:rFonts w:eastAsia="Times New Roman"/>
                <w:sz w:val="22"/>
                <w:lang w:eastAsia="lv-LV"/>
              </w:rPr>
              <w:br/>
              <w:t>1) Elektroenerģijas tirgus likuma 15. pantu;</w:t>
            </w:r>
          </w:p>
          <w:p w:rsidR="000F14B4" w:rsidRDefault="00786C08">
            <w:pPr>
              <w:spacing w:after="0" w:line="240" w:lineRule="auto"/>
              <w:rPr>
                <w:rFonts w:eastAsia="Times New Roman"/>
                <w:sz w:val="22"/>
                <w:lang w:eastAsia="lv-LV"/>
              </w:rPr>
            </w:pPr>
            <w:r>
              <w:rPr>
                <w:rFonts w:eastAsia="Times New Roman"/>
                <w:sz w:val="22"/>
                <w:lang w:eastAsia="lv-LV"/>
              </w:rPr>
              <w:t xml:space="preserve">2) Sabiedrisko pakalpojumu regulēšanas komisijas </w:t>
            </w:r>
            <w:r>
              <w:rPr>
                <w:rFonts w:eastAsia="Times New Roman"/>
                <w:bCs/>
                <w:sz w:val="22"/>
                <w:lang w:eastAsia="lv-LV"/>
              </w:rPr>
              <w:t xml:space="preserve">padomes </w:t>
            </w:r>
            <w:r>
              <w:rPr>
                <w:rFonts w:eastAsia="Times New Roman"/>
                <w:sz w:val="22"/>
                <w:lang w:eastAsia="lv-LV"/>
              </w:rPr>
              <w:t>2013. gada 26. jūnija lēmuma Nr. 1/4 „Tīkla kodekss” 27. – 30. punktu;</w:t>
            </w:r>
          </w:p>
          <w:p w:rsidR="000F14B4" w:rsidRDefault="00786C08">
            <w:pPr>
              <w:spacing w:after="0" w:line="240" w:lineRule="auto"/>
              <w:rPr>
                <w:rFonts w:eastAsia="Times New Roman"/>
                <w:b/>
                <w:sz w:val="22"/>
                <w:lang w:eastAsia="lv-LV"/>
              </w:rPr>
            </w:pPr>
            <w:r>
              <w:rPr>
                <w:sz w:val="22"/>
              </w:rPr>
              <w:t xml:space="preserve">3) Gāzes un elektroenerģijas infrastruktūras energoefektivitātes potenciāla izvērtējums </w:t>
            </w:r>
            <w:r>
              <w:rPr>
                <w:sz w:val="22"/>
              </w:rPr>
              <w:lastRenderedPageBreak/>
              <w:t>Latvijas Republikā (Iesniegts Eiropas Komisijā 06.07.2015.)</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shd w:val="clear" w:color="auto" w:fill="FF00FF"/>
                <w:lang w:eastAsia="lv-LV"/>
              </w:rPr>
            </w:pPr>
            <w:r>
              <w:rPr>
                <w:sz w:val="22"/>
              </w:rPr>
              <w:t xml:space="preserve">Direktīvas 2012/27/ES </w:t>
            </w:r>
            <w:r>
              <w:rPr>
                <w:rFonts w:eastAsia="Times New Roman"/>
                <w:sz w:val="22"/>
                <w:lang w:eastAsia="lv-LV"/>
              </w:rPr>
              <w:t>15.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Likuma „Par sabiedrisko pakalpojumu regulatoriem” 20. pants;</w:t>
            </w:r>
          </w:p>
          <w:p w:rsidR="000F14B4" w:rsidRDefault="00786C08">
            <w:pPr>
              <w:spacing w:after="0" w:line="240" w:lineRule="auto"/>
              <w:rPr>
                <w:rFonts w:eastAsia="Times New Roman"/>
                <w:sz w:val="22"/>
                <w:lang w:eastAsia="lv-LV"/>
              </w:rPr>
            </w:pPr>
            <w:r>
              <w:rPr>
                <w:rFonts w:eastAsia="Times New Roman"/>
                <w:sz w:val="22"/>
                <w:lang w:eastAsia="lv-LV"/>
              </w:rPr>
              <w:t xml:space="preserve">2) Sabiedrisko pakalpojumu regulēšanas komisijas </w:t>
            </w:r>
            <w:r>
              <w:rPr>
                <w:rFonts w:eastAsia="Times New Roman"/>
                <w:bCs/>
                <w:sz w:val="22"/>
                <w:lang w:eastAsia="lv-LV"/>
              </w:rPr>
              <w:t xml:space="preserve">padomes </w:t>
            </w:r>
            <w:r>
              <w:rPr>
                <w:rFonts w:eastAsia="Times New Roman"/>
                <w:sz w:val="22"/>
                <w:lang w:eastAsia="lv-LV"/>
              </w:rPr>
              <w:t>2015. gada 26. februāra lēmuma Nr. 1/6 „Elektroenerģijas pārvades sistēmas pakalpojumu tarifu aprēķināšanas metodika” 3. un 18. punkts;</w:t>
            </w:r>
          </w:p>
          <w:p w:rsidR="000F14B4" w:rsidRDefault="00786C08">
            <w:pPr>
              <w:spacing w:after="0" w:line="240" w:lineRule="auto"/>
              <w:rPr>
                <w:rFonts w:eastAsia="Times New Roman"/>
                <w:sz w:val="22"/>
                <w:lang w:eastAsia="lv-LV"/>
              </w:rPr>
            </w:pPr>
            <w:r>
              <w:rPr>
                <w:rFonts w:eastAsia="Times New Roman"/>
                <w:sz w:val="22"/>
                <w:lang w:eastAsia="lv-LV"/>
              </w:rPr>
              <w:t xml:space="preserve">3) Sabiedrisko pakalpojumu regulēšanas komisijas </w:t>
            </w:r>
            <w:r>
              <w:rPr>
                <w:rFonts w:eastAsia="Times New Roman"/>
                <w:bCs/>
                <w:sz w:val="22"/>
                <w:lang w:eastAsia="lv-LV"/>
              </w:rPr>
              <w:t xml:space="preserve">padomes </w:t>
            </w:r>
            <w:r>
              <w:rPr>
                <w:rFonts w:eastAsia="Times New Roman"/>
                <w:sz w:val="22"/>
                <w:lang w:eastAsia="lv-LV"/>
              </w:rPr>
              <w:t>2011. gada 15. decembra lēmuma Nr. 1/32 „Elektroenerģijas sadales sistēmas pakalpojumu tarifu aprēķināšanas metodika” 4. un 19. punkts;</w:t>
            </w:r>
          </w:p>
          <w:p w:rsidR="000F14B4" w:rsidRDefault="00786C08">
            <w:pPr>
              <w:spacing w:after="0" w:line="240" w:lineRule="auto"/>
              <w:rPr>
                <w:rFonts w:eastAsia="Times New Roman"/>
                <w:sz w:val="22"/>
                <w:lang w:eastAsia="lv-LV"/>
              </w:rPr>
            </w:pPr>
            <w:r>
              <w:rPr>
                <w:rFonts w:eastAsia="Times New Roman"/>
                <w:sz w:val="22"/>
                <w:lang w:eastAsia="lv-LV"/>
              </w:rPr>
              <w:t>4) Elektroenerģijas tirgus likuma 33.</w:t>
            </w:r>
            <w:r>
              <w:rPr>
                <w:rFonts w:eastAsia="Times New Roman"/>
                <w:sz w:val="22"/>
                <w:vertAlign w:val="superscript"/>
                <w:lang w:eastAsia="lv-LV"/>
              </w:rPr>
              <w:t>1</w:t>
            </w:r>
            <w:r>
              <w:rPr>
                <w:rFonts w:eastAsia="Times New Roman"/>
                <w:sz w:val="22"/>
                <w:lang w:eastAsia="lv-LV"/>
              </w:rPr>
              <w:t> pants;</w:t>
            </w:r>
          </w:p>
          <w:p w:rsidR="000F14B4" w:rsidRDefault="00786C08">
            <w:pPr>
              <w:spacing w:after="0" w:line="240" w:lineRule="auto"/>
              <w:rPr>
                <w:rFonts w:eastAsia="Times New Roman"/>
                <w:sz w:val="22"/>
                <w:lang w:eastAsia="lv-LV"/>
              </w:rPr>
            </w:pPr>
            <w:r>
              <w:rPr>
                <w:rFonts w:eastAsia="Times New Roman"/>
                <w:sz w:val="22"/>
                <w:lang w:eastAsia="lv-LV"/>
              </w:rPr>
              <w:t>5) Likuma “Par pašvaldībām” 43. panta trešā daļa;</w:t>
            </w:r>
          </w:p>
          <w:p w:rsidR="000F14B4" w:rsidRDefault="00786C08">
            <w:pPr>
              <w:spacing w:after="0" w:line="240" w:lineRule="auto"/>
              <w:rPr>
                <w:rFonts w:eastAsia="Times New Roman"/>
                <w:sz w:val="22"/>
                <w:lang w:eastAsia="lv-LV"/>
              </w:rPr>
            </w:pPr>
            <w:r>
              <w:rPr>
                <w:rFonts w:eastAsia="Times New Roman"/>
                <w:sz w:val="22"/>
                <w:lang w:eastAsia="lv-LV"/>
              </w:rPr>
              <w:t>6) Sociālo pakalpojumu un sociālās palīdzības likuma 35. panta ceturtā un piektā daļa.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4. punkts</w:t>
            </w:r>
          </w:p>
          <w:p w:rsidR="000F14B4" w:rsidRDefault="000F14B4">
            <w:pPr>
              <w:spacing w:after="0" w:line="240" w:lineRule="auto"/>
              <w:rPr>
                <w:rFonts w:eastAsia="Times New Roman"/>
                <w:sz w:val="22"/>
                <w:shd w:val="clear" w:color="auto" w:fill="FF00FF"/>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sz w:val="22"/>
              </w:rPr>
            </w:pPr>
            <w:r>
              <w:rPr>
                <w:sz w:val="22"/>
              </w:rPr>
              <w:t>1) Elektroenerģijas tirgus likuma 16. un 20. pants;</w:t>
            </w:r>
          </w:p>
          <w:p w:rsidR="000F14B4" w:rsidRDefault="00786C08">
            <w:pPr>
              <w:spacing w:after="0" w:line="240" w:lineRule="auto"/>
              <w:rPr>
                <w:sz w:val="22"/>
              </w:rPr>
            </w:pPr>
            <w:r>
              <w:rPr>
                <w:sz w:val="22"/>
              </w:rPr>
              <w:t>2) Likuma „Par sabiedrisko pakalpojumu regulatoriem” 20. pants;</w:t>
            </w:r>
          </w:p>
          <w:p w:rsidR="000F14B4" w:rsidRDefault="00786C08">
            <w:pPr>
              <w:spacing w:after="0" w:line="240" w:lineRule="auto"/>
              <w:rPr>
                <w:rFonts w:eastAsia="Times New Roman"/>
                <w:sz w:val="22"/>
                <w:lang w:eastAsia="lv-LV"/>
              </w:rPr>
            </w:pPr>
            <w:r>
              <w:rPr>
                <w:sz w:val="22"/>
              </w:rPr>
              <w:t>3)</w:t>
            </w:r>
            <w:r>
              <w:rPr>
                <w:rFonts w:eastAsia="Times New Roman"/>
                <w:color w:val="FF0000"/>
                <w:sz w:val="22"/>
                <w:lang w:eastAsia="lv-LV"/>
              </w:rPr>
              <w:t xml:space="preserve"> </w:t>
            </w:r>
            <w:r>
              <w:rPr>
                <w:rFonts w:eastAsia="Times New Roman"/>
                <w:bCs/>
                <w:sz w:val="22"/>
                <w:lang w:eastAsia="lv-LV"/>
              </w:rPr>
              <w:t>Sabiedrisko pakalpojumu regulēšanas komisijas 2015. gada 26. februāra lēmuma Nr. 1/6</w:t>
            </w:r>
            <w:r>
              <w:rPr>
                <w:rFonts w:eastAsia="Times New Roman"/>
                <w:sz w:val="22"/>
                <w:lang w:eastAsia="lv-LV"/>
              </w:rPr>
              <w:t xml:space="preserve"> „Elektroenerģijas pārvades sistēmas pakalpojumu tarifu aprēķināšanas metodika” 1., 3., 83. un 90. punkts;</w:t>
            </w:r>
          </w:p>
          <w:p w:rsidR="000F14B4" w:rsidRDefault="00786C08">
            <w:pPr>
              <w:spacing w:after="0" w:line="240" w:lineRule="auto"/>
              <w:rPr>
                <w:sz w:val="22"/>
              </w:rPr>
            </w:pPr>
            <w:r>
              <w:rPr>
                <w:rFonts w:eastAsia="Times New Roman"/>
                <w:sz w:val="22"/>
                <w:lang w:eastAsia="lv-LV"/>
              </w:rPr>
              <w:t xml:space="preserve">4) </w:t>
            </w:r>
            <w:r>
              <w:rPr>
                <w:rFonts w:eastAsia="Times New Roman"/>
                <w:bCs/>
                <w:sz w:val="22"/>
                <w:lang w:eastAsia="lv-LV"/>
              </w:rPr>
              <w:t>Sabiedrisko pakalpojumu regulēšanas komisijas 2010. gada 14. aprīļa padomes lēmuma Nr. 1/7</w:t>
            </w:r>
            <w:r>
              <w:rPr>
                <w:rFonts w:eastAsia="Times New Roman"/>
                <w:sz w:val="22"/>
                <w:lang w:eastAsia="lv-LV"/>
              </w:rPr>
              <w:t xml:space="preserve"> „Siltumenerģijas apgādes pakalpojumu tarifu aprēķināšanas metodika” 1., 3., 7., 14. un 21. punkts</w:t>
            </w:r>
            <w:r>
              <w:rPr>
                <w:sz w:val="22"/>
              </w:rPr>
              <w:t>;</w:t>
            </w:r>
          </w:p>
          <w:p w:rsidR="000F14B4" w:rsidRDefault="00786C08">
            <w:pPr>
              <w:spacing w:after="0" w:line="240" w:lineRule="auto"/>
              <w:rPr>
                <w:rFonts w:eastAsia="Times New Roman"/>
                <w:b/>
                <w:sz w:val="22"/>
                <w:lang w:eastAsia="lv-LV"/>
              </w:rPr>
            </w:pPr>
            <w:r>
              <w:rPr>
                <w:sz w:val="22"/>
              </w:rPr>
              <w:t xml:space="preserve">5) </w:t>
            </w:r>
            <w:r>
              <w:rPr>
                <w:rFonts w:eastAsia="Times New Roman"/>
                <w:bCs/>
                <w:sz w:val="22"/>
                <w:lang w:eastAsia="lv-LV"/>
              </w:rPr>
              <w:t>Sabiedrisko pakalpojumu regulēšanas komisijas padomes lēmuma Nr. 1/32</w:t>
            </w:r>
            <w:r>
              <w:rPr>
                <w:rFonts w:eastAsia="Times New Roman"/>
                <w:sz w:val="22"/>
                <w:lang w:eastAsia="lv-LV"/>
              </w:rPr>
              <w:t xml:space="preserve"> „Elektroenerģijas sadales sistēmas pakalpojumu tarifu aprēķināšanas metodika” 51.2. un 59.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5. punkts a)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Enerģētikas likuma 6. pants.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5. punkts b)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 xml:space="preserve">1) Elektroenerģijas tirgus likuma 8. panta otrā un ceturtā daļa, 9. panta ceturtā un piektā daļa; </w:t>
            </w:r>
          </w:p>
          <w:p w:rsidR="000F14B4" w:rsidRDefault="00786C08">
            <w:pPr>
              <w:spacing w:after="0" w:line="240" w:lineRule="auto"/>
              <w:rPr>
                <w:rFonts w:eastAsia="Times New Roman"/>
                <w:b/>
                <w:sz w:val="22"/>
                <w:lang w:eastAsia="lv-LV"/>
              </w:rPr>
            </w:pPr>
            <w:r>
              <w:rPr>
                <w:rFonts w:eastAsia="Times New Roman"/>
                <w:sz w:val="22"/>
                <w:lang w:eastAsia="lv-LV"/>
              </w:rPr>
              <w:t>2) Enerģētikas likuma 6. pants.</w:t>
            </w:r>
          </w:p>
        </w:tc>
        <w:tc>
          <w:tcPr>
            <w:tcW w:w="1660" w:type="dxa"/>
            <w:shd w:val="clear" w:color="auto" w:fill="auto"/>
            <w:tcMar>
              <w:left w:w="108" w:type="dxa"/>
            </w:tcMar>
          </w:tcPr>
          <w:p w:rsidR="000F14B4" w:rsidRDefault="00786C08">
            <w:pPr>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15. panta 5. punkts c)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rPr>
            </w:pPr>
            <w:r>
              <w:rPr>
                <w:rFonts w:eastAsia="Times New Roman"/>
                <w:sz w:val="22"/>
                <w:lang w:eastAsia="lv-LV"/>
              </w:rPr>
              <w:t>1)</w:t>
            </w:r>
            <w:r>
              <w:rPr>
                <w:rFonts w:eastAsia="Times New Roman"/>
                <w:sz w:val="22"/>
              </w:rPr>
              <w:t xml:space="preserve"> Elektroenerģijas tirgus likuma 8. pants;</w:t>
            </w:r>
          </w:p>
          <w:p w:rsidR="000F14B4" w:rsidRDefault="00786C08">
            <w:pPr>
              <w:spacing w:after="0" w:line="240" w:lineRule="auto"/>
              <w:rPr>
                <w:rFonts w:eastAsia="Times New Roman"/>
                <w:sz w:val="22"/>
              </w:rPr>
            </w:pPr>
            <w:r>
              <w:rPr>
                <w:rFonts w:eastAsia="Times New Roman"/>
                <w:sz w:val="22"/>
              </w:rPr>
              <w:t>2) Sabiedrisko pakalpojumu regulēšanas komisijas padomes 2013. gada 26. jūnija lēmuma Nr. 1/4 „Tīkla kodekss” 2. sadaļa;</w:t>
            </w:r>
          </w:p>
          <w:p w:rsidR="000F14B4" w:rsidRDefault="00786C08">
            <w:pPr>
              <w:spacing w:after="0" w:line="240" w:lineRule="auto"/>
              <w:rPr>
                <w:rFonts w:eastAsia="Times New Roman"/>
                <w:sz w:val="22"/>
              </w:rPr>
            </w:pPr>
            <w:r>
              <w:rPr>
                <w:rFonts w:eastAsia="Times New Roman"/>
                <w:sz w:val="22"/>
              </w:rPr>
              <w:t>3) Pārvades un sadales operatoru mājas lapa</w:t>
            </w:r>
            <w:r>
              <w:rPr>
                <w:rStyle w:val="FootnoteAnchor"/>
                <w:rFonts w:eastAsia="Times New Roman"/>
                <w:sz w:val="22"/>
              </w:rPr>
              <w:footnoteReference w:id="28"/>
            </w:r>
            <w:r>
              <w:rPr>
                <w:rFonts w:eastAsia="Times New Roman"/>
                <w:sz w:val="22"/>
              </w:rPr>
              <w:t>.</w:t>
            </w:r>
          </w:p>
        </w:tc>
        <w:tc>
          <w:tcPr>
            <w:tcW w:w="1660" w:type="dxa"/>
            <w:shd w:val="clear" w:color="auto" w:fill="auto"/>
            <w:tcMar>
              <w:left w:w="108" w:type="dxa"/>
            </w:tcMar>
          </w:tcPr>
          <w:p w:rsidR="000F14B4" w:rsidRDefault="00786C08">
            <w:pPr>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5. punkta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Elektroenerģijas tirgus likuma 13. un 22. pants.</w:t>
            </w:r>
          </w:p>
        </w:tc>
        <w:tc>
          <w:tcPr>
            <w:tcW w:w="1660" w:type="dxa"/>
            <w:shd w:val="clear" w:color="auto" w:fill="auto"/>
            <w:tcMar>
              <w:left w:w="108" w:type="dxa"/>
            </w:tcMar>
          </w:tcPr>
          <w:p w:rsidR="000F14B4" w:rsidRDefault="00786C08">
            <w:pPr>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5. punkta trešā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
                <w:sz w:val="22"/>
                <w:lang w:eastAsia="lv-LV"/>
              </w:rPr>
            </w:pPr>
            <w:r>
              <w:rPr>
                <w:rFonts w:eastAsia="Times New Roman"/>
                <w:bCs/>
                <w:sz w:val="22"/>
                <w:lang w:eastAsia="lv-LV"/>
              </w:rPr>
              <w:t>Sabiedrisko pakalpojumu regulēšanas komisijas 2012. gada 22. februāra lēmuma Nr. 1/5 „Sistēmas pieslēguma noteikumi elektroenerģijas sistēmas dalībniekiem” 4., 7., 8. un 40. punkts.</w:t>
            </w:r>
          </w:p>
        </w:tc>
        <w:tc>
          <w:tcPr>
            <w:tcW w:w="1660" w:type="dxa"/>
            <w:shd w:val="clear" w:color="auto" w:fill="auto"/>
            <w:tcMar>
              <w:left w:w="108" w:type="dxa"/>
            </w:tcMar>
          </w:tcPr>
          <w:p w:rsidR="000F14B4" w:rsidRDefault="00786C08">
            <w:pPr>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5. punkta ceturtā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color w:val="000000"/>
                <w:sz w:val="22"/>
              </w:rPr>
              <w:t>Norma nesatur dalībvalstij saistošus pienākumus</w:t>
            </w:r>
          </w:p>
        </w:tc>
        <w:tc>
          <w:tcPr>
            <w:tcW w:w="1660" w:type="dxa"/>
            <w:shd w:val="clear" w:color="auto" w:fill="auto"/>
            <w:tcMar>
              <w:left w:w="108" w:type="dxa"/>
            </w:tcMar>
          </w:tcPr>
          <w:p w:rsidR="000F14B4" w:rsidRDefault="00786C08">
            <w:pPr>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6. punkts</w:t>
            </w:r>
          </w:p>
          <w:p w:rsidR="000F14B4" w:rsidRDefault="000F14B4">
            <w:pPr>
              <w:spacing w:after="0" w:line="240" w:lineRule="auto"/>
              <w:rPr>
                <w:rFonts w:eastAsia="Times New Roman"/>
                <w:sz w:val="22"/>
                <w:shd w:val="clear" w:color="auto" w:fill="FF00FF"/>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Elektroenerģijas tirgus likuma 36. pants;</w:t>
            </w:r>
          </w:p>
          <w:p w:rsidR="000F14B4" w:rsidRDefault="00786C08">
            <w:pPr>
              <w:spacing w:after="0" w:line="240" w:lineRule="auto"/>
              <w:rPr>
                <w:rFonts w:eastAsia="Times New Roman"/>
                <w:b/>
                <w:sz w:val="22"/>
                <w:lang w:eastAsia="lv-LV"/>
              </w:rPr>
            </w:pPr>
            <w:r>
              <w:rPr>
                <w:rFonts w:eastAsia="Times New Roman"/>
                <w:sz w:val="22"/>
                <w:lang w:eastAsia="lv-LV"/>
              </w:rPr>
              <w:t>2) Sabiedrisko pakalpojumu regulēšanas komisijas 2013. gada 26. jūnija lēmuma Nr. 1/4 „Tīkla kodekss” 74. punkts.</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shd w:val="clear" w:color="auto" w:fill="FF00FF"/>
                <w:lang w:eastAsia="lv-LV"/>
              </w:rPr>
            </w:pPr>
            <w:r>
              <w:rPr>
                <w:sz w:val="22"/>
              </w:rPr>
              <w:t xml:space="preserve">Direktīvas 2012/27/ES </w:t>
            </w:r>
            <w:r>
              <w:rPr>
                <w:rFonts w:eastAsia="Times New Roman"/>
                <w:sz w:val="22"/>
                <w:lang w:eastAsia="lv-LV"/>
              </w:rPr>
              <w:t>15. panta 7.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Direktīvas 2012/27/ES</w:t>
            </w:r>
          </w:p>
          <w:p w:rsidR="000F14B4" w:rsidRDefault="00786C08">
            <w:pPr>
              <w:spacing w:after="0" w:line="240" w:lineRule="auto"/>
              <w:rPr>
                <w:rFonts w:eastAsia="Times New Roman"/>
                <w:sz w:val="22"/>
                <w:shd w:val="clear" w:color="auto" w:fill="FF00FF"/>
                <w:lang w:eastAsia="lv-LV"/>
              </w:rPr>
            </w:pPr>
            <w:r>
              <w:rPr>
                <w:rFonts w:eastAsia="Times New Roman"/>
                <w:sz w:val="22"/>
                <w:lang w:eastAsia="lv-LV"/>
              </w:rPr>
              <w:t>15. panta 8. punkta pirmā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Likuma „Par sabiedrisko pakalpojumu regulatoriem” 22. panta ceturto daļa.</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Direktīvas 2012/27/ES</w:t>
            </w:r>
          </w:p>
          <w:p w:rsidR="000F14B4" w:rsidRDefault="00786C08">
            <w:pPr>
              <w:spacing w:after="0" w:line="240" w:lineRule="auto"/>
              <w:rPr>
                <w:rFonts w:eastAsia="Times New Roman"/>
                <w:sz w:val="22"/>
                <w:lang w:eastAsia="lv-LV"/>
              </w:rPr>
            </w:pPr>
            <w:r>
              <w:rPr>
                <w:rFonts w:eastAsia="Times New Roman"/>
                <w:sz w:val="22"/>
                <w:lang w:eastAsia="lv-LV"/>
              </w:rPr>
              <w:t>15. panta 8. punkta otrā daļa</w:t>
            </w:r>
          </w:p>
          <w:p w:rsidR="000F14B4" w:rsidRDefault="000F14B4">
            <w:pPr>
              <w:spacing w:after="0" w:line="240" w:lineRule="auto"/>
              <w:rPr>
                <w:sz w:val="22"/>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 xml:space="preserve">1) Elektroenerģijas tirgus likuma 13. panta pirmā un otrā daļu un 36. pants; </w:t>
            </w:r>
          </w:p>
          <w:p w:rsidR="000F14B4" w:rsidRDefault="00786C08">
            <w:pPr>
              <w:spacing w:after="0" w:line="240" w:lineRule="auto"/>
              <w:rPr>
                <w:rFonts w:eastAsia="Times New Roman"/>
                <w:sz w:val="22"/>
                <w:lang w:eastAsia="lv-LV"/>
              </w:rPr>
            </w:pPr>
            <w:r>
              <w:rPr>
                <w:rFonts w:eastAsia="Times New Roman"/>
                <w:sz w:val="22"/>
                <w:lang w:eastAsia="lv-LV"/>
              </w:rPr>
              <w:t>2) Sabiedrisko pakalpojumu regulēšanas komisijas 2013. gada 26. jūnija lēmuma Nr. 1/4 „Tīkla kodekss” 74.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Direktīvas 2012/27/ES</w:t>
            </w:r>
          </w:p>
          <w:p w:rsidR="000F14B4" w:rsidRDefault="00786C08">
            <w:pPr>
              <w:spacing w:after="0" w:line="240" w:lineRule="auto"/>
              <w:rPr>
                <w:rFonts w:eastAsia="Times New Roman"/>
                <w:sz w:val="22"/>
                <w:lang w:eastAsia="lv-LV"/>
              </w:rPr>
            </w:pPr>
            <w:r>
              <w:rPr>
                <w:rFonts w:eastAsia="Times New Roman"/>
                <w:sz w:val="22"/>
                <w:lang w:eastAsia="lv-LV"/>
              </w:rPr>
              <w:lastRenderedPageBreak/>
              <w:t>15. panta 8. punkta trešā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daļēji</w:t>
            </w:r>
          </w:p>
          <w:p w:rsidR="000F14B4" w:rsidRDefault="00786C08">
            <w:pPr>
              <w:spacing w:after="0" w:line="240" w:lineRule="auto"/>
              <w:rPr>
                <w:rFonts w:eastAsia="Times New Roman"/>
                <w:sz w:val="22"/>
                <w:lang w:eastAsia="lv-LV"/>
              </w:rPr>
            </w:pPr>
            <w:r>
              <w:rPr>
                <w:rFonts w:eastAsia="Times New Roman"/>
                <w:sz w:val="22"/>
                <w:lang w:eastAsia="lv-LV"/>
              </w:rPr>
              <w:t>Elektroenerģijas tirgus likuma 14. pants.</w:t>
            </w:r>
          </w:p>
          <w:p w:rsidR="000F14B4" w:rsidRDefault="00786C08">
            <w:pPr>
              <w:spacing w:after="0" w:line="240" w:lineRule="auto"/>
              <w:rPr>
                <w:rFonts w:eastAsia="Times New Roman"/>
                <w:i/>
                <w:sz w:val="22"/>
                <w:lang w:eastAsia="lv-LV"/>
              </w:rPr>
            </w:pPr>
            <w:r>
              <w:rPr>
                <w:rFonts w:eastAsia="Times New Roman"/>
                <w:i/>
                <w:sz w:val="22"/>
                <w:lang w:eastAsia="lv-LV"/>
              </w:rPr>
              <w:t>Papildus:</w:t>
            </w:r>
          </w:p>
          <w:p w:rsidR="000F14B4" w:rsidRDefault="00786C08">
            <w:pPr>
              <w:spacing w:after="0" w:line="240" w:lineRule="auto"/>
              <w:rPr>
                <w:rFonts w:eastAsia="Times New Roman"/>
                <w:sz w:val="22"/>
                <w:lang w:eastAsia="lv-LV"/>
              </w:rPr>
            </w:pPr>
            <w:r>
              <w:rPr>
                <w:rFonts w:eastAsia="Times New Roman"/>
                <w:sz w:val="22"/>
                <w:lang w:eastAsia="lv-LV"/>
              </w:rPr>
              <w:lastRenderedPageBreak/>
              <w:t xml:space="preserve">Prasība pilnībā tiks pārņemta ar </w:t>
            </w:r>
            <w:r>
              <w:rPr>
                <w:rFonts w:eastAsia="Times New Roman"/>
                <w:bCs/>
                <w:sz w:val="22"/>
                <w:lang w:eastAsia="lv-LV"/>
              </w:rPr>
              <w:t>likumprojektu „</w:t>
            </w:r>
            <w:r>
              <w:rPr>
                <w:rFonts w:eastAsia="Times New Roman"/>
                <w:sz w:val="22"/>
                <w:lang w:eastAsia="lv-LV"/>
              </w:rPr>
              <w:t>Grozījumi Elektroenerģijas tirgus likumā”.</w:t>
            </w:r>
          </w:p>
          <w:p w:rsidR="000F14B4" w:rsidRDefault="00786C08">
            <w:pPr>
              <w:spacing w:after="0" w:line="240" w:lineRule="auto"/>
              <w:rPr>
                <w:rFonts w:eastAsia="Times New Roman"/>
                <w:b/>
                <w:sz w:val="22"/>
                <w:lang w:eastAsia="lv-LV"/>
              </w:rPr>
            </w:pPr>
            <w:r>
              <w:rPr>
                <w:rFonts w:eastAsia="Times New Roman"/>
                <w:sz w:val="22"/>
                <w:lang w:eastAsia="lv-LV"/>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15. panta 9.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Latvija nav izvēlējusies iespēju ieviest Direktīvas 2012/27/ES 15. panta 9. punkta prasības un tas nenozīmē dalībvalstij stingrāku prasību noteikšanu, nekā paredz Direktīva 2012/27/ES.</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16.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Energoefektivitātes likuma 9. panta piekto daļu;</w:t>
            </w:r>
          </w:p>
          <w:p w:rsidR="000F14B4" w:rsidRDefault="00786C08">
            <w:pPr>
              <w:spacing w:after="0" w:line="240" w:lineRule="auto"/>
              <w:rPr>
                <w:rFonts w:eastAsia="Times New Roman"/>
                <w:sz w:val="22"/>
                <w:lang w:eastAsia="lv-LV"/>
              </w:rPr>
            </w:pPr>
            <w:r>
              <w:rPr>
                <w:rFonts w:eastAsia="Times New Roman"/>
                <w:sz w:val="22"/>
                <w:lang w:eastAsia="lv-LV"/>
              </w:rPr>
              <w:t>2) Likuma „Par atbilstības novērtēšanu” 1. panta 4. un 9. punktu, 6. panta otrā daļu, 7. panta pirmo daļu, 14. panta pirmās daļas 1. punktu un otro daļu;</w:t>
            </w:r>
          </w:p>
          <w:p w:rsidR="000F14B4" w:rsidRDefault="00786C08">
            <w:pPr>
              <w:spacing w:after="0" w:line="240" w:lineRule="auto"/>
              <w:rPr>
                <w:rFonts w:eastAsia="Times New Roman"/>
                <w:sz w:val="22"/>
                <w:lang w:eastAsia="lv-LV"/>
              </w:rPr>
            </w:pPr>
            <w:r>
              <w:rPr>
                <w:rFonts w:eastAsia="Times New Roman"/>
                <w:sz w:val="22"/>
                <w:lang w:eastAsia="lv-LV"/>
              </w:rPr>
              <w:t>3) Ministru kabineta 2010. gada 18. maija noteikumu Nr. 445 „Noteikumi par nacionālo akreditācijas institūciju” 2. punktu;</w:t>
            </w:r>
          </w:p>
          <w:p w:rsidR="000F14B4" w:rsidRDefault="00786C08">
            <w:pPr>
              <w:spacing w:after="0" w:line="240" w:lineRule="auto"/>
              <w:rPr>
                <w:rFonts w:eastAsia="Times New Roman"/>
                <w:sz w:val="22"/>
                <w:lang w:eastAsia="lv-LV"/>
              </w:rPr>
            </w:pPr>
            <w:r>
              <w:rPr>
                <w:rFonts w:eastAsia="Times New Roman"/>
                <w:sz w:val="22"/>
                <w:lang w:eastAsia="lv-LV"/>
              </w:rPr>
              <w:t>4) Ministru kabineta 2008. gada 16. decembra noteikumu Nr. 1059 „Noteikumi par atbilstības novērtēšanas institūciju novērtēšanu, akreditāciju un uzraudzību” 2. punktu;</w:t>
            </w:r>
          </w:p>
          <w:p w:rsidR="000F14B4" w:rsidRDefault="00786C08">
            <w:pPr>
              <w:spacing w:after="0" w:line="240" w:lineRule="auto"/>
              <w:rPr>
                <w:rFonts w:eastAsia="Times New Roman"/>
                <w:sz w:val="22"/>
                <w:lang w:eastAsia="lv-LV"/>
              </w:rPr>
            </w:pPr>
            <w:r>
              <w:rPr>
                <w:rFonts w:eastAsia="Times New Roman"/>
                <w:sz w:val="22"/>
                <w:lang w:eastAsia="lv-LV"/>
              </w:rPr>
              <w:t>5) LATAK-D.030-13/01.2015 „LATAK akreditācijas kritēriji un</w:t>
            </w:r>
          </w:p>
          <w:p w:rsidR="000F14B4" w:rsidRDefault="00786C08">
            <w:pPr>
              <w:spacing w:after="0" w:line="240" w:lineRule="auto"/>
              <w:rPr>
                <w:rFonts w:eastAsia="Times New Roman"/>
                <w:sz w:val="22"/>
                <w:lang w:eastAsia="lv-LV"/>
              </w:rPr>
            </w:pPr>
            <w:r>
              <w:rPr>
                <w:rFonts w:eastAsia="Times New Roman"/>
                <w:sz w:val="22"/>
                <w:lang w:eastAsia="lv-LV"/>
              </w:rPr>
              <w:t>piemērojamo dokumentu saraksts” publiski pieejams sadaļā „Dokumenti”</w:t>
            </w:r>
            <w:r>
              <w:rPr>
                <w:rStyle w:val="FootnoteAnchor"/>
                <w:rFonts w:eastAsia="Times New Roman"/>
                <w:sz w:val="22"/>
                <w:lang w:eastAsia="lv-LV"/>
              </w:rPr>
              <w:footnoteReference w:id="29"/>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6) LATAK-D.008-13/01.2014 „Akreditācijas procedūras”</w:t>
            </w:r>
            <w:r>
              <w:rPr>
                <w:rStyle w:val="FootnoteAnchor"/>
                <w:rFonts w:eastAsia="Times New Roman"/>
                <w:sz w:val="22"/>
                <w:lang w:eastAsia="lv-LV"/>
              </w:rPr>
              <w:footnoteReference w:id="30"/>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7) LATAK-D.009-08/07.2013 „Akreditēto institūciju uzraudzība un atkārtota novērtēšana”</w:t>
            </w:r>
            <w:r>
              <w:rPr>
                <w:rStyle w:val="FootnoteAnchor"/>
                <w:rFonts w:eastAsia="Times New Roman"/>
                <w:sz w:val="22"/>
                <w:lang w:eastAsia="lv-LV"/>
              </w:rPr>
              <w:footnoteReference w:id="31"/>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8) Ministru kabineta 2013. gada 18. jūlija noteikumiem Nr. 382 „Noteikumi par neatkarīgiem ekspertiem ēku energoefektivitātes jomā”;</w:t>
            </w:r>
          </w:p>
          <w:p w:rsidR="000F14B4" w:rsidRDefault="00786C08">
            <w:pPr>
              <w:spacing w:after="0" w:line="240" w:lineRule="auto"/>
              <w:rPr>
                <w:rFonts w:eastAsia="Times New Roman"/>
                <w:sz w:val="22"/>
                <w:lang w:eastAsia="lv-LV"/>
              </w:rPr>
            </w:pPr>
            <w:r>
              <w:rPr>
                <w:rFonts w:eastAsia="Times New Roman"/>
                <w:sz w:val="22"/>
                <w:lang w:eastAsia="lv-LV"/>
              </w:rPr>
              <w:t>9) Dzīvojamo māju pārvaldīšanas likuma 13. panta pirmo, otro, piekto daļu, pārejas noteikumu 6. un 6.(prim) punktiem;</w:t>
            </w:r>
          </w:p>
          <w:p w:rsidR="000F14B4" w:rsidRDefault="00786C08">
            <w:pPr>
              <w:spacing w:after="0" w:line="240" w:lineRule="auto"/>
              <w:rPr>
                <w:rFonts w:eastAsia="Times New Roman"/>
                <w:sz w:val="22"/>
                <w:lang w:eastAsia="lv-LV"/>
              </w:rPr>
            </w:pPr>
            <w:r>
              <w:rPr>
                <w:rFonts w:eastAsia="Times New Roman"/>
                <w:sz w:val="22"/>
                <w:lang w:eastAsia="lv-LV"/>
              </w:rPr>
              <w:t>10) Namu pārvaldnieka profesijas standarta ceturtās daļas 15. punktu</w:t>
            </w:r>
            <w:r>
              <w:rPr>
                <w:rStyle w:val="FootnoteAnchor"/>
                <w:rFonts w:eastAsia="Times New Roman"/>
                <w:sz w:val="22"/>
                <w:lang w:eastAsia="lv-LV"/>
              </w:rPr>
              <w:footnoteReference w:id="32"/>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11) Nekustamā īpašuma pārvaldnieka profesijas standarta</w:t>
            </w:r>
          </w:p>
          <w:p w:rsidR="000F14B4" w:rsidRDefault="00786C08">
            <w:pPr>
              <w:spacing w:after="0" w:line="240" w:lineRule="auto"/>
              <w:rPr>
                <w:rFonts w:eastAsia="Times New Roman"/>
                <w:sz w:val="22"/>
                <w:lang w:eastAsia="lv-LV"/>
              </w:rPr>
            </w:pPr>
            <w:r>
              <w:rPr>
                <w:rFonts w:eastAsia="Times New Roman"/>
                <w:sz w:val="22"/>
                <w:lang w:eastAsia="lv-LV"/>
              </w:rPr>
              <w:t>piektās daļas 3.20 apakšpunktu</w:t>
            </w:r>
            <w:r>
              <w:rPr>
                <w:rStyle w:val="FootnoteAnchor"/>
                <w:rFonts w:eastAsia="Times New Roman"/>
                <w:sz w:val="22"/>
                <w:lang w:eastAsia="lv-LV"/>
              </w:rPr>
              <w:footnoteReference w:id="33"/>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 xml:space="preserve">12) Izglītības iestāžu sarakstu, kurās iespējams iegūt dzīvojamo māju pārvaldīšanai </w:t>
            </w:r>
            <w:r>
              <w:rPr>
                <w:rFonts w:eastAsia="Times New Roman"/>
                <w:sz w:val="22"/>
                <w:lang w:eastAsia="lv-LV"/>
              </w:rPr>
              <w:lastRenderedPageBreak/>
              <w:t>nepieciešamo profesionālo izglītību un kvalifikāciju</w:t>
            </w:r>
            <w:r>
              <w:rPr>
                <w:rStyle w:val="FootnoteAnchor"/>
                <w:rFonts w:eastAsia="Times New Roman"/>
                <w:sz w:val="22"/>
                <w:lang w:eastAsia="lv-LV"/>
              </w:rPr>
              <w:footnoteReference w:id="34"/>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13) Ministru kabineta 2014. gada 7. oktobra noteikumiem Nr. 610 „Būvspeciālistu kompetences novērtēšanas un patstāvīgās prakses uzraudzības noteikumi”;</w:t>
            </w:r>
          </w:p>
          <w:p w:rsidR="000F14B4" w:rsidRDefault="00786C08">
            <w:pPr>
              <w:spacing w:after="0" w:line="240" w:lineRule="auto"/>
              <w:rPr>
                <w:rFonts w:eastAsia="Times New Roman"/>
                <w:sz w:val="22"/>
                <w:lang w:eastAsia="lv-LV"/>
              </w:rPr>
            </w:pPr>
            <w:r>
              <w:rPr>
                <w:rFonts w:eastAsia="Times New Roman"/>
                <w:sz w:val="22"/>
                <w:lang w:eastAsia="lv-LV"/>
              </w:rPr>
              <w:t>14) Administratīvo procesa likumu.</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16.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color w:val="000000"/>
                <w:sz w:val="22"/>
              </w:rPr>
            </w:pPr>
            <w:r>
              <w:rPr>
                <w:color w:val="000000"/>
                <w:sz w:val="22"/>
              </w:rPr>
              <w:t>1) Energoefektivitātes likuma 9. panta piekto daļu;</w:t>
            </w:r>
          </w:p>
          <w:p w:rsidR="000F14B4" w:rsidRDefault="00786C08">
            <w:pPr>
              <w:spacing w:after="0" w:line="240" w:lineRule="auto"/>
              <w:rPr>
                <w:color w:val="000000"/>
                <w:sz w:val="22"/>
              </w:rPr>
            </w:pPr>
            <w:r>
              <w:rPr>
                <w:color w:val="000000"/>
                <w:sz w:val="22"/>
              </w:rPr>
              <w:t>2) Ēku energoefektivitātes likuma 15. pantu;</w:t>
            </w:r>
          </w:p>
          <w:p w:rsidR="000F14B4" w:rsidRDefault="00786C08">
            <w:pPr>
              <w:spacing w:after="0" w:line="240" w:lineRule="auto"/>
              <w:rPr>
                <w:color w:val="000000"/>
                <w:sz w:val="22"/>
              </w:rPr>
            </w:pPr>
            <w:r>
              <w:rPr>
                <w:color w:val="000000"/>
                <w:sz w:val="22"/>
              </w:rPr>
              <w:t>3) Dzīvojamo māju pārvaldīšanas likuma 18. pantu;</w:t>
            </w:r>
          </w:p>
          <w:p w:rsidR="000F14B4" w:rsidRDefault="00786C08">
            <w:pPr>
              <w:spacing w:after="0" w:line="240" w:lineRule="auto"/>
              <w:rPr>
                <w:rFonts w:eastAsia="Times New Roman"/>
                <w:sz w:val="22"/>
                <w:lang w:eastAsia="lv-LV"/>
              </w:rPr>
            </w:pPr>
            <w:r>
              <w:rPr>
                <w:color w:val="000000"/>
                <w:sz w:val="22"/>
              </w:rPr>
              <w:t>4) Ekonomikas ministrijas uzturēto Dzīvojamo māju pārvaldnieku reģistrs</w:t>
            </w:r>
            <w:r>
              <w:rPr>
                <w:rStyle w:val="FootnoteAnchor"/>
                <w:color w:val="000000"/>
                <w:sz w:val="22"/>
              </w:rPr>
              <w:footnoteReference w:id="35"/>
            </w:r>
            <w:r>
              <w:rPr>
                <w:color w:val="000000"/>
                <w:sz w:val="22"/>
              </w:rPr>
              <w:t>.</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16.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color w:val="000000"/>
                <w:sz w:val="22"/>
              </w:rPr>
              <w:t>Standartizācijas likuma 13. panta otrā daļa.</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17.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Ēku energoefektivitātes likuma 15. panta otrās daļas 3.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17.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Energoefektivitātes likuma 4. panta sesto daļu;</w:t>
            </w:r>
          </w:p>
          <w:p w:rsidR="000F14B4" w:rsidRDefault="00786C08">
            <w:pPr>
              <w:spacing w:after="0" w:line="240" w:lineRule="auto"/>
              <w:rPr>
                <w:rFonts w:eastAsia="Times New Roman"/>
                <w:sz w:val="22"/>
                <w:lang w:eastAsia="lv-LV"/>
              </w:rPr>
            </w:pPr>
            <w:r>
              <w:rPr>
                <w:rFonts w:eastAsia="Times New Roman"/>
                <w:sz w:val="22"/>
                <w:lang w:eastAsia="lv-LV"/>
              </w:rPr>
              <w:t>2) AS Latvenergo Energoefektivitātes centru</w:t>
            </w:r>
            <w:r>
              <w:rPr>
                <w:rStyle w:val="FootnoteAnchor"/>
                <w:rFonts w:eastAsia="Times New Roman"/>
                <w:sz w:val="22"/>
                <w:lang w:eastAsia="lv-LV"/>
              </w:rPr>
              <w:footnoteReference w:id="36"/>
            </w:r>
            <w:r>
              <w:rPr>
                <w:rFonts w:eastAsia="Times New Roman"/>
                <w:sz w:val="22"/>
                <w:lang w:eastAsia="lv-LV"/>
              </w:rPr>
              <w:t>;</w:t>
            </w:r>
          </w:p>
          <w:p w:rsidR="000F14B4" w:rsidRDefault="00786C08">
            <w:pPr>
              <w:spacing w:after="0" w:line="240" w:lineRule="auto"/>
              <w:rPr>
                <w:rFonts w:eastAsia="Times New Roman"/>
                <w:b/>
                <w:sz w:val="22"/>
                <w:lang w:eastAsia="lv-LV"/>
              </w:rPr>
            </w:pPr>
            <w:r>
              <w:rPr>
                <w:rFonts w:eastAsia="Times New Roman"/>
                <w:sz w:val="22"/>
                <w:lang w:eastAsia="lv-LV"/>
              </w:rPr>
              <w:t>3) AS “Latvijas gāze” Klientu apkalpošanas centru un kontaktu centrs</w:t>
            </w:r>
            <w:r>
              <w:rPr>
                <w:rStyle w:val="FootnoteAnchor"/>
                <w:rFonts w:eastAsia="Times New Roman"/>
                <w:sz w:val="22"/>
                <w:lang w:eastAsia="lv-LV"/>
              </w:rPr>
              <w:footnoteReference w:id="37"/>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17.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17. panta 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Energoefektivitātes likuma 4.panta sesto daļu;</w:t>
            </w:r>
          </w:p>
          <w:p w:rsidR="000F14B4" w:rsidRDefault="00786C08">
            <w:pPr>
              <w:spacing w:after="0" w:line="240" w:lineRule="auto"/>
              <w:rPr>
                <w:rFonts w:eastAsia="Times New Roman"/>
                <w:sz w:val="22"/>
                <w:lang w:eastAsia="lv-LV"/>
              </w:rPr>
            </w:pPr>
            <w:r>
              <w:rPr>
                <w:rFonts w:eastAsia="Times New Roman"/>
                <w:sz w:val="22"/>
                <w:lang w:eastAsia="lv-LV"/>
              </w:rPr>
              <w:t>2) Ekonomikas ministrijas pastāvīgā informatīvā kampaņu “Dzīvo siltāk”</w:t>
            </w:r>
            <w:r>
              <w:rPr>
                <w:rStyle w:val="FootnoteAnchor"/>
                <w:rFonts w:eastAsia="Times New Roman"/>
                <w:sz w:val="22"/>
                <w:lang w:eastAsia="lv-LV"/>
              </w:rPr>
              <w:footnoteReference w:id="38"/>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3) Rīgas Domes 2007. gada 23. janvāra lēmumu „Par Rīgas pašvaldības aģentūras „Rīgas enerģētikas aģentūra” izveidošanu”</w:t>
            </w:r>
            <w:r>
              <w:rPr>
                <w:rStyle w:val="FootnoteAnchor"/>
                <w:rFonts w:eastAsia="Times New Roman"/>
                <w:sz w:val="22"/>
                <w:lang w:eastAsia="lv-LV"/>
              </w:rPr>
              <w:footnoteReference w:id="39"/>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4) Zemgales reģionālā enerģētikas aģentūru</w:t>
            </w:r>
            <w:r>
              <w:rPr>
                <w:rStyle w:val="FootnoteAnchor"/>
                <w:rFonts w:eastAsia="Times New Roman"/>
                <w:sz w:val="22"/>
                <w:lang w:eastAsia="lv-LV"/>
              </w:rPr>
              <w:footnoteReference w:id="40"/>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17. panta 5.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18. panta 1. punkta a)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Energoefektivitātes likuma 4. panta septīto daļu;</w:t>
            </w:r>
          </w:p>
          <w:p w:rsidR="000F14B4" w:rsidRDefault="00786C08">
            <w:pPr>
              <w:spacing w:after="0" w:line="240" w:lineRule="auto"/>
              <w:rPr>
                <w:rFonts w:eastAsia="Times New Roman"/>
                <w:sz w:val="22"/>
                <w:lang w:eastAsia="lv-LV"/>
              </w:rPr>
            </w:pPr>
            <w:r>
              <w:rPr>
                <w:rFonts w:eastAsia="Times New Roman"/>
                <w:sz w:val="22"/>
                <w:lang w:eastAsia="lv-LV"/>
              </w:rPr>
              <w:t xml:space="preserve">2) Ministru kabineta 2015. gada 4. februāra rīkojumu Nr. 62 (prot. Nr. 5., 66.§) </w:t>
            </w:r>
          </w:p>
          <w:p w:rsidR="000F14B4" w:rsidRDefault="00786C08">
            <w:pPr>
              <w:spacing w:after="0" w:line="240" w:lineRule="auto"/>
              <w:rPr>
                <w:rFonts w:eastAsia="Times New Roman"/>
                <w:sz w:val="22"/>
                <w:lang w:eastAsia="lv-LV"/>
              </w:rPr>
            </w:pPr>
            <w:r>
              <w:rPr>
                <w:rFonts w:eastAsia="Times New Roman"/>
                <w:sz w:val="22"/>
                <w:lang w:eastAsia="lv-LV"/>
              </w:rPr>
              <w:t>„Par Eiropas Savienības struktūrfondu un Kohēzijas fonda 2014.-2020.gada plānošanas perioda darbības programmu “Izaugsme un nodarbinātība”” nodarbinātība”</w:t>
            </w:r>
            <w:r>
              <w:rPr>
                <w:rStyle w:val="FootnoteAnchor"/>
                <w:rFonts w:eastAsia="Times New Roman"/>
                <w:sz w:val="22"/>
                <w:lang w:eastAsia="lv-LV"/>
              </w:rPr>
              <w:footnoteReference w:id="41"/>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18. panta 1. punkta b) un c) apakšpunkti</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color w:val="000000"/>
                <w:sz w:val="22"/>
              </w:rPr>
            </w:pPr>
            <w:r>
              <w:rPr>
                <w:color w:val="000000"/>
                <w:sz w:val="22"/>
              </w:rPr>
              <w:t>Norma nesatur dalībvalstij saistošus pienākumus.</w:t>
            </w:r>
          </w:p>
          <w:p w:rsidR="000F14B4" w:rsidRDefault="00786C08">
            <w:pPr>
              <w:spacing w:after="0" w:line="240" w:lineRule="auto"/>
              <w:rPr>
                <w:color w:val="000000"/>
                <w:sz w:val="22"/>
              </w:rPr>
            </w:pPr>
            <w:r>
              <w:rPr>
                <w:color w:val="000000"/>
                <w:sz w:val="22"/>
              </w:rPr>
              <w:t>Energopakalpojumu tirgus veicināšanai tiek izmantoti esošie Eiropas Savienības un starptautiskie kvalitātes marķējumi.</w:t>
            </w:r>
          </w:p>
          <w:p w:rsidR="000F14B4" w:rsidRDefault="00786C08">
            <w:pPr>
              <w:spacing w:after="0" w:line="240" w:lineRule="auto"/>
              <w:rPr>
                <w:rFonts w:eastAsia="Times New Roman"/>
                <w:sz w:val="22"/>
                <w:lang w:eastAsia="lv-LV"/>
              </w:rPr>
            </w:pPr>
            <w:r>
              <w:rPr>
                <w:color w:val="000000"/>
                <w:sz w:val="22"/>
              </w:rPr>
              <w:t>Ekonomikas ministrijas tīmekļa vietnē norādīta informācija par energoefektivitātes pakalpojumu sniedzējiem</w:t>
            </w:r>
            <w:r>
              <w:rPr>
                <w:rStyle w:val="FootnoteAnchor"/>
                <w:color w:val="000000"/>
                <w:sz w:val="22"/>
              </w:rPr>
              <w:footnoteReference w:id="42"/>
            </w:r>
            <w:r>
              <w:rPr>
                <w:color w:val="000000"/>
                <w:sz w:val="22"/>
              </w:rPr>
              <w:t>.</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18. panta 1. punkta d)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Vides un reģionālās attīstības ministrijas izstrādāto energoefektivitātes pakalpojuma līguma paraugu pašvaldībām un valsts tiešās pārvaldes iestādēm</w:t>
            </w:r>
            <w:r>
              <w:rPr>
                <w:rStyle w:val="FootnoteAnchor"/>
                <w:rFonts w:eastAsia="Times New Roman"/>
                <w:sz w:val="22"/>
                <w:lang w:eastAsia="lv-LV"/>
              </w:rPr>
              <w:footnoteReference w:id="43"/>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2) Vides un reģionālās attīstības ministrijas izstrādātajiem metodiskajiem norādījumiem pašvaldībām un valsts tiešās pārvaldes iestādēm energoefektivitātes pakalpojuma iepirkumam</w:t>
            </w:r>
            <w:r>
              <w:rPr>
                <w:rStyle w:val="FootnoteAnchor"/>
                <w:rFonts w:eastAsia="Times New Roman"/>
                <w:sz w:val="22"/>
                <w:lang w:eastAsia="lv-LV"/>
              </w:rPr>
              <w:footnoteReference w:id="44"/>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3) Informatīvais ziņojumu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Pr>
                <w:rStyle w:val="FootnoteTextChar"/>
                <w:rFonts w:eastAsia="Calibri"/>
                <w:sz w:val="22"/>
              </w:rPr>
              <w:t xml:space="preserve"> </w:t>
            </w:r>
            <w:r>
              <w:rPr>
                <w:rStyle w:val="FootnoteAnchor"/>
                <w:sz w:val="22"/>
              </w:rPr>
              <w:footnoteReference w:id="45"/>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18. panta </w:t>
            </w:r>
            <w:r>
              <w:rPr>
                <w:rFonts w:eastAsia="Times New Roman"/>
                <w:sz w:val="22"/>
                <w:lang w:eastAsia="lv-LV"/>
              </w:rPr>
              <w:lastRenderedPageBreak/>
              <w:t>1. punkta e)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Prasība pārņemta ar informatīvā ziņojuma “</w:t>
            </w:r>
            <w:r>
              <w:rPr>
                <w:sz w:val="22"/>
              </w:rPr>
              <w:t xml:space="preserve">Par virzību uz indikatīvo valsts energoefektivitātes mērķi 2014. – 2016. gadā saskaņā ar </w:t>
            </w:r>
            <w:r>
              <w:rPr>
                <w:bCs/>
                <w:color w:val="000000"/>
                <w:sz w:val="22"/>
              </w:rPr>
              <w:t xml:space="preserve">Eiropas </w:t>
            </w:r>
            <w:r>
              <w:rPr>
                <w:bCs/>
                <w:color w:val="000000"/>
                <w:sz w:val="22"/>
              </w:rPr>
              <w:lastRenderedPageBreak/>
              <w:t xml:space="preserve">Parlamenta un Padomes 2012. gada 25. oktobra Direktīvu 2012/27/ES par energoefektivitāti, ar ko groza Direktīvas 2009/125/EK un 2010/30/ES un atceļ Direktīvas 2004/8/EK un 2006/32/EK” (iesniegts Eiropas Komisijā </w:t>
            </w:r>
            <w:r>
              <w:rPr>
                <w:bCs/>
                <w:color w:val="000000"/>
                <w:sz w:val="22"/>
                <w:u w:val="single"/>
              </w:rPr>
              <w:t>2014. gada 9. jūnijā)  3.1.11.apakšpunktu.</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18.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rFonts w:eastAsia="Times New Roman"/>
                <w:sz w:val="22"/>
                <w:lang w:eastAsia="lv-LV"/>
              </w:rPr>
            </w:pPr>
            <w:r>
              <w:rPr>
                <w:rFonts w:eastAsia="Times New Roman"/>
                <w:sz w:val="22"/>
                <w:lang w:eastAsia="lv-LV"/>
              </w:rPr>
              <w:t>Prasības pārņemtas ar Energoefektivitātes likuma 14. panta pirmo, otro, trešo, ceturto un piekto daļu.</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18.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Prasības pārņemtas ar Energoefektivitātes likuma 14. panta sesto daļu. </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19. panta 1. punkta a)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rPr>
                <w:rFonts w:eastAsia="Times New Roman"/>
                <w:sz w:val="22"/>
                <w:lang w:eastAsia="lv-LV"/>
              </w:rPr>
            </w:pPr>
            <w:r>
              <w:rPr>
                <w:rFonts w:eastAsia="Times New Roman"/>
                <w:sz w:val="22"/>
                <w:lang w:eastAsia="lv-LV"/>
              </w:rPr>
              <w:t>1) Dzīvojamo māju pārvaldīšanas likuma 6. panta otrās daļas 1. punkta f) apakšpunktu;</w:t>
            </w:r>
          </w:p>
          <w:p w:rsidR="000F14B4" w:rsidRDefault="00786C08">
            <w:pPr>
              <w:spacing w:after="0" w:line="240" w:lineRule="auto"/>
              <w:rPr>
                <w:rFonts w:eastAsia="Times New Roman"/>
                <w:sz w:val="22"/>
                <w:lang w:eastAsia="lv-LV"/>
              </w:rPr>
            </w:pPr>
            <w:r>
              <w:rPr>
                <w:rFonts w:eastAsia="Times New Roman"/>
                <w:sz w:val="22"/>
                <w:lang w:eastAsia="lv-LV"/>
              </w:rPr>
              <w:t>2) Dzīvokļa īpašuma likuma 13. pantu.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19. panta 1. punkta b)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w:t>
            </w:r>
          </w:p>
          <w:p w:rsidR="000F14B4" w:rsidRDefault="00786C08">
            <w:pPr>
              <w:spacing w:after="0" w:line="240" w:lineRule="auto"/>
            </w:pPr>
            <w:r>
              <w:rPr>
                <w:sz w:val="22"/>
              </w:rPr>
              <w:t>1) Ekonomikas ministrijas dokumentu „Ieteikumi enerģijas sektora plānošanai pašvaldībās”</w:t>
            </w:r>
            <w:r>
              <w:rPr>
                <w:rStyle w:val="FootnoteAnchor"/>
                <w:sz w:val="22"/>
              </w:rPr>
              <w:footnoteReference w:id="46"/>
            </w:r>
            <w:r>
              <w:rPr>
                <w:sz w:val="22"/>
              </w:rPr>
              <w:t>;</w:t>
            </w:r>
            <w:hyperlink r:id="rId8">
              <w:r>
                <w:rPr>
                  <w:sz w:val="22"/>
                </w:rPr>
                <w:t xml:space="preserve"> </w:t>
              </w:r>
            </w:hyperlink>
          </w:p>
          <w:p w:rsidR="000F14B4" w:rsidRDefault="00786C08">
            <w:pPr>
              <w:spacing w:after="0" w:line="240" w:lineRule="auto"/>
              <w:rPr>
                <w:sz w:val="22"/>
              </w:rPr>
            </w:pPr>
            <w:r>
              <w:rPr>
                <w:sz w:val="22"/>
              </w:rPr>
              <w:t>2) Zaļā iepirkuma veicināšanas plānu 2015.-2017. gadam, apstiprināts Ministru kabinetā 2015. gada 17. februārī (Protokols Nr.9, 24.§)</w:t>
            </w:r>
            <w:r>
              <w:rPr>
                <w:rStyle w:val="FootnoteAnchor"/>
                <w:sz w:val="22"/>
              </w:rPr>
              <w:footnoteReference w:id="47"/>
            </w:r>
            <w:r>
              <w:rPr>
                <w:sz w:val="22"/>
              </w:rPr>
              <w:t>;</w:t>
            </w:r>
          </w:p>
          <w:p w:rsidR="000F14B4" w:rsidRDefault="00786C08">
            <w:pPr>
              <w:spacing w:after="0" w:line="240" w:lineRule="auto"/>
              <w:rPr>
                <w:sz w:val="22"/>
              </w:rPr>
            </w:pPr>
            <w:r>
              <w:rPr>
                <w:sz w:val="22"/>
              </w:rPr>
              <w:t>3) Vides aizsardzības un reģionālās attīstības ministrijas dokumentu „Metodiskie ieteikumi attīstības programmu izstrādei reģionālā un vietējā līmenī” un tā 1. pielikumu „Nozaru politiku vadlīnijas, kas būtu jāņem vērā izstrādājot pašvaldību attīstības programmas 2014.-2020. gadam”</w:t>
            </w:r>
            <w:r>
              <w:rPr>
                <w:rStyle w:val="FootnoteAnchor"/>
                <w:sz w:val="22"/>
              </w:rPr>
              <w:footnoteReference w:id="48"/>
            </w:r>
            <w:r>
              <w:rPr>
                <w:sz w:val="22"/>
              </w:rPr>
              <w:t>;</w:t>
            </w:r>
          </w:p>
          <w:p w:rsidR="000F14B4" w:rsidRDefault="00786C08">
            <w:pPr>
              <w:spacing w:after="0" w:line="240" w:lineRule="auto"/>
              <w:rPr>
                <w:sz w:val="22"/>
              </w:rPr>
            </w:pPr>
            <w:r>
              <w:rPr>
                <w:sz w:val="22"/>
              </w:rPr>
              <w:t>4) Vides aizsardzības un reģionālās attīstības ministrijas un Iepirkumu uzraudzības biroja ”Ieteikumos videi draudzīgas būvniecības veicināšanai”</w:t>
            </w:r>
            <w:r>
              <w:rPr>
                <w:rStyle w:val="FootnoteAnchor"/>
                <w:sz w:val="22"/>
              </w:rPr>
              <w:footnoteReference w:id="49"/>
            </w:r>
            <w:r>
              <w:rPr>
                <w:sz w:val="22"/>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19.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Informatīvais ziņojums “Par virzību uz indikatīvo valsts energoefektivitātes mērķi 2014. – 2016. gadā saskaņā ar Eiropas Parlamenta un Padomes 2012. gada 25. oktobra Direktīvu 2012/27/ES par energoefektivitāti, ar ko groza </w:t>
            </w:r>
            <w:r>
              <w:rPr>
                <w:rFonts w:eastAsia="Times New Roman"/>
                <w:sz w:val="22"/>
                <w:lang w:eastAsia="lv-LV"/>
              </w:rPr>
              <w:lastRenderedPageBreak/>
              <w:t>Direktīvas 2009/125/EK un 2010/30/ES un atceļ Direktīvas 2004/8/EK un 2006/32/EK”</w:t>
            </w:r>
            <w:r>
              <w:rPr>
                <w:rStyle w:val="FootnoteAnchor"/>
                <w:rFonts w:eastAsia="Times New Roman"/>
                <w:sz w:val="22"/>
                <w:lang w:eastAsia="lv-LV"/>
              </w:rPr>
              <w:footnoteReference w:id="50"/>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20.panta 1.punkts</w:t>
            </w:r>
          </w:p>
          <w:p w:rsidR="000F14B4" w:rsidRDefault="000F14B4">
            <w:pPr>
              <w:spacing w:after="0" w:line="240" w:lineRule="auto"/>
              <w:rPr>
                <w:rFonts w:eastAsia="Times New Roman"/>
                <w:sz w:val="22"/>
                <w:lang w:eastAsia="lv-LV"/>
              </w:rPr>
            </w:pP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sz w:val="22"/>
              </w:rPr>
            </w:pPr>
            <w:r>
              <w:rPr>
                <w:b/>
                <w:sz w:val="22"/>
              </w:rPr>
              <w:t>Pārņemts pilnībā</w:t>
            </w:r>
          </w:p>
          <w:p w:rsidR="000F14B4" w:rsidRDefault="00786C08">
            <w:pPr>
              <w:spacing w:after="0" w:line="240" w:lineRule="auto"/>
              <w:rPr>
                <w:sz w:val="22"/>
              </w:rPr>
            </w:pPr>
            <w:r>
              <w:rPr>
                <w:sz w:val="22"/>
              </w:rPr>
              <w:t>1)</w:t>
            </w:r>
            <w:r>
              <w:rPr>
                <w:rFonts w:eastAsia="Times New Roman"/>
                <w:color w:val="FF0000"/>
                <w:sz w:val="22"/>
                <w:lang w:eastAsia="lv-LV"/>
              </w:rPr>
              <w:t xml:space="preserve"> </w:t>
            </w:r>
            <w:r>
              <w:rPr>
                <w:sz w:val="22"/>
              </w:rPr>
              <w:t>Latvijas Nacionālā attīstības plāna 2014. – 2020. gadam (apstiprināts 2012. gada 20. decembrī) 123. tabulas 5. punkts;</w:t>
            </w:r>
          </w:p>
          <w:p w:rsidR="000F14B4" w:rsidRDefault="00786C08">
            <w:pPr>
              <w:spacing w:after="0" w:line="240" w:lineRule="auto"/>
              <w:rPr>
                <w:rFonts w:eastAsia="Times New Roman"/>
                <w:sz w:val="22"/>
                <w:lang w:eastAsia="lv-LV"/>
              </w:rPr>
            </w:pPr>
            <w:r>
              <w:rPr>
                <w:sz w:val="22"/>
              </w:rPr>
              <w:t>2) Ministru kabineta 2013. gada 17. decembra rīkojums Nr. 643 “Par akciju sabiedrības “Attīstības finanšu institūcija” dibināšanu””</w:t>
            </w:r>
            <w:r>
              <w:rPr>
                <w:rStyle w:val="FootnoteAnchor"/>
                <w:sz w:val="22"/>
              </w:rPr>
              <w:footnoteReference w:id="51"/>
            </w:r>
            <w:r>
              <w:rPr>
                <w:sz w:val="22"/>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20. panta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20. panta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20.panta 4.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nesatur dalībvalstij saistošus pienākumus</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20. panta 5.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 xml:space="preserve">Norma nesatur dalībvalstij saistošus pienākumus </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20. panta 6.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nesatur dalībvalstij saistošus pienākumus</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20. panta 7.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nesatur dalībvalstij saistošus pienākumus</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21. pants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Pārrēķina koeficienti Teradžoulos (TJ) pieejami Centrālās statistikas pārvaldes datu bāzē </w:t>
            </w:r>
            <w:r>
              <w:rPr>
                <w:sz w:val="22"/>
              </w:rPr>
              <w:t>ENG02. ENERGOBILANCE, TJ, tūkst.toe (NACE 2.red.)</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22. pants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23. pants </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24. panta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Latvijas nacionālā reformu programma „Eiropa 2020” stratēģijas īstenošanai.</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 xml:space="preserve">24. panta 2. punkts </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Energoefektivitātes likuma 4. panta otrā daļa.</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24. panta 3.,4. un 5.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24. panta 6.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Prasības pārņemtas ar Energoefektivitātes likuma 4. panta piekto daļu.</w:t>
            </w:r>
          </w:p>
          <w:p w:rsidR="000F14B4" w:rsidRDefault="000F14B4">
            <w:pPr>
              <w:spacing w:after="0" w:line="240" w:lineRule="auto"/>
              <w:rPr>
                <w:rFonts w:eastAsia="Times New Roman"/>
                <w:sz w:val="22"/>
                <w:lang w:eastAsia="lv-LV"/>
              </w:rPr>
            </w:pP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24. panta 7. - 11.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25. - 28. panta 1. punkts</w:t>
            </w:r>
          </w:p>
        </w:tc>
        <w:tc>
          <w:tcPr>
            <w:tcW w:w="1295"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Noteikumu projektā iekļauta informatīva atsauce uz Eiropas savienības direktīvu</w:t>
            </w: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b/>
                <w:sz w:val="22"/>
              </w:rPr>
              <w:t>Pārņemts pilnībā</w:t>
            </w:r>
            <w:r>
              <w:rPr>
                <w:color w:val="000000"/>
                <w:sz w:val="22"/>
              </w:rPr>
              <w:t xml:space="preserve"> </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jc w:val="both"/>
              <w:rPr>
                <w:sz w:val="22"/>
              </w:rPr>
            </w:pPr>
            <w:r>
              <w:rPr>
                <w:sz w:val="22"/>
              </w:rPr>
              <w:t>Direktīvas 2012/27/ES 28. panta 2. punkts</w:t>
            </w:r>
          </w:p>
        </w:tc>
        <w:tc>
          <w:tcPr>
            <w:tcW w:w="1295" w:type="dxa"/>
            <w:shd w:val="clear" w:color="auto" w:fill="auto"/>
            <w:tcMar>
              <w:left w:w="108" w:type="dxa"/>
            </w:tcMar>
          </w:tcPr>
          <w:p w:rsidR="000F14B4" w:rsidRDefault="00786C08">
            <w:pPr>
              <w:spacing w:after="0" w:line="240" w:lineRule="auto"/>
              <w:jc w:val="both"/>
              <w:rPr>
                <w:sz w:val="22"/>
              </w:rPr>
            </w:pPr>
            <w:r>
              <w:rPr>
                <w:rFonts w:eastAsia="Times New Roman"/>
                <w:sz w:val="22"/>
                <w:lang w:eastAsia="lv-LV"/>
              </w:rPr>
              <w:t>Noteikumu projektā iekļauta informatīva atsauce uz Eiropas savienības direktīvu</w:t>
            </w:r>
          </w:p>
        </w:tc>
        <w:tc>
          <w:tcPr>
            <w:tcW w:w="4577" w:type="dxa"/>
            <w:shd w:val="clear" w:color="auto" w:fill="auto"/>
            <w:tcMar>
              <w:left w:w="108" w:type="dxa"/>
            </w:tcMar>
          </w:tcPr>
          <w:p w:rsidR="000F14B4" w:rsidRDefault="00786C08">
            <w:pPr>
              <w:spacing w:after="0" w:line="240" w:lineRule="auto"/>
              <w:jc w:val="both"/>
              <w:rPr>
                <w:b/>
                <w:sz w:val="22"/>
              </w:rPr>
            </w:pPr>
            <w:r>
              <w:rPr>
                <w:b/>
                <w:sz w:val="22"/>
              </w:rPr>
              <w:t>Pārņemts pilnībā</w:t>
            </w:r>
          </w:p>
        </w:tc>
        <w:tc>
          <w:tcPr>
            <w:tcW w:w="1660" w:type="dxa"/>
            <w:shd w:val="clear" w:color="auto" w:fill="auto"/>
            <w:tcMar>
              <w:left w:w="108" w:type="dxa"/>
            </w:tcMar>
          </w:tcPr>
          <w:p w:rsidR="000F14B4" w:rsidRDefault="000F14B4">
            <w:pPr>
              <w:spacing w:after="0" w:line="240" w:lineRule="auto"/>
              <w:jc w:val="both"/>
              <w:rPr>
                <w:sz w:val="22"/>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29. - 30. pants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sz w:val="22"/>
                <w:lang w:eastAsia="lv-LV"/>
              </w:rPr>
            </w:pPr>
            <w:r>
              <w:rPr>
                <w:color w:val="000000"/>
                <w:sz w:val="22"/>
              </w:rPr>
              <w:t>Norma noteic pienākumu Eiropas Komisijai</w:t>
            </w:r>
          </w:p>
        </w:tc>
        <w:tc>
          <w:tcPr>
            <w:tcW w:w="1660" w:type="dxa"/>
            <w:shd w:val="clear" w:color="auto" w:fill="auto"/>
            <w:tcMar>
              <w:left w:w="108" w:type="dxa"/>
            </w:tcMar>
          </w:tcPr>
          <w:p w:rsidR="000F14B4" w:rsidRDefault="000F14B4">
            <w:pPr>
              <w:spacing w:after="0" w:line="240" w:lineRule="auto"/>
              <w:rPr>
                <w:rFonts w:eastAsia="Times New Roman"/>
                <w:sz w:val="22"/>
                <w:lang w:eastAsia="lv-LV"/>
              </w:rPr>
            </w:pP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 pielikuma I daļas a)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color w:val="000000"/>
                <w:sz w:val="22"/>
              </w:rPr>
            </w:pPr>
            <w:r>
              <w:rPr>
                <w:color w:val="000000"/>
                <w:sz w:val="22"/>
              </w:rPr>
              <w:t xml:space="preserve">Ministru kabineta </w:t>
            </w:r>
            <w:r>
              <w:rPr>
                <w:rFonts w:eastAsia="Times New Roman"/>
                <w:sz w:val="22"/>
                <w:lang w:eastAsia="lv-LV"/>
              </w:rPr>
              <w:t xml:space="preserve">2009. gada 10. marta </w:t>
            </w:r>
            <w:r>
              <w:rPr>
                <w:color w:val="000000"/>
                <w:sz w:val="22"/>
              </w:rPr>
              <w:t>noteikumu Nr. 221 „Noteikumi par elektroenerģijas ražošanu un cenu noteikšanu, ražojot elektroenerģiju koģenerācijā” 29.2. apakšpunkts.</w:t>
            </w:r>
          </w:p>
        </w:tc>
        <w:tc>
          <w:tcPr>
            <w:tcW w:w="1660" w:type="dxa"/>
            <w:shd w:val="clear" w:color="auto" w:fill="auto"/>
            <w:tcMar>
              <w:left w:w="108" w:type="dxa"/>
            </w:tcMar>
          </w:tcPr>
          <w:p w:rsidR="000F14B4" w:rsidRDefault="00786C08">
            <w:pPr>
              <w:spacing w:after="0" w:line="240" w:lineRule="auto"/>
              <w:rPr>
                <w:rFonts w:eastAsia="Times New Roman"/>
                <w:sz w:val="22"/>
                <w:lang w:eastAsia="lv-LV"/>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 pielikuma I daļas b)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color w:val="000000"/>
                <w:sz w:val="22"/>
              </w:rPr>
            </w:pPr>
            <w:r>
              <w:rPr>
                <w:b/>
                <w:sz w:val="22"/>
              </w:rPr>
              <w:t xml:space="preserve">Pārņemts </w:t>
            </w:r>
            <w:r>
              <w:rPr>
                <w:b/>
                <w:color w:val="000000"/>
                <w:sz w:val="22"/>
              </w:rPr>
              <w:t>pilnībā</w:t>
            </w:r>
            <w:r>
              <w:rPr>
                <w:color w:val="000000"/>
                <w:sz w:val="22"/>
              </w:rPr>
              <w:t xml:space="preserve"> </w:t>
            </w:r>
          </w:p>
          <w:p w:rsidR="000F14B4" w:rsidRDefault="00786C08">
            <w:pPr>
              <w:spacing w:after="0" w:line="240" w:lineRule="auto"/>
              <w:rPr>
                <w:color w:val="000000"/>
                <w:sz w:val="22"/>
              </w:rPr>
            </w:pPr>
            <w:r>
              <w:rPr>
                <w:color w:val="000000"/>
                <w:sz w:val="22"/>
              </w:rPr>
              <w:t xml:space="preserve">Ministru kabineta </w:t>
            </w:r>
            <w:r>
              <w:rPr>
                <w:rFonts w:eastAsia="Times New Roman"/>
                <w:sz w:val="22"/>
                <w:lang w:eastAsia="lv-LV"/>
              </w:rPr>
              <w:t xml:space="preserve">2009. gada 10. marta </w:t>
            </w:r>
            <w:r>
              <w:rPr>
                <w:color w:val="000000"/>
                <w:sz w:val="22"/>
              </w:rPr>
              <w:t>noteikumu Nr. 221 „Noteikumi par elektroenerģijas ražošanu un cenu noteikšanu, ražojot elektroenerģiju koģenerācijā” 29.3. apakšpunkts un 4. pielikums.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 pielikuma I daļas c), d), e) apakšpunkti</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color w:val="000000"/>
                <w:sz w:val="22"/>
              </w:rPr>
            </w:pPr>
            <w:r>
              <w:rPr>
                <w:b/>
                <w:sz w:val="22"/>
              </w:rPr>
              <w:t xml:space="preserve">Pārņemts </w:t>
            </w:r>
            <w:r>
              <w:rPr>
                <w:b/>
                <w:color w:val="000000"/>
                <w:sz w:val="22"/>
              </w:rPr>
              <w:t>pilnībā</w:t>
            </w:r>
            <w:r>
              <w:rPr>
                <w:color w:val="000000"/>
                <w:sz w:val="22"/>
              </w:rPr>
              <w:t xml:space="preserve"> </w:t>
            </w:r>
          </w:p>
          <w:p w:rsidR="000F14B4" w:rsidRDefault="00786C08">
            <w:pPr>
              <w:spacing w:after="0" w:line="240" w:lineRule="auto"/>
              <w:rPr>
                <w:b/>
                <w:color w:val="000000"/>
                <w:sz w:val="22"/>
              </w:rPr>
            </w:pPr>
            <w:r>
              <w:rPr>
                <w:color w:val="000000"/>
                <w:sz w:val="22"/>
              </w:rPr>
              <w:t xml:space="preserve">Ministru kabineta </w:t>
            </w:r>
            <w:r>
              <w:rPr>
                <w:rFonts w:eastAsia="Times New Roman"/>
                <w:sz w:val="22"/>
                <w:lang w:eastAsia="lv-LV"/>
              </w:rPr>
              <w:t xml:space="preserve">2009. gada 10. marta </w:t>
            </w:r>
            <w:r>
              <w:rPr>
                <w:color w:val="000000"/>
                <w:sz w:val="22"/>
              </w:rPr>
              <w:t>noteikumu Nr. 221 „Noteikumi par elektroenerģijas ražošanu un cenu noteikšanu, ražojot elektroenerģiju koģenerācijā” 29.3. apakšpunkts un 4. pielikums.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I pielikuma II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 xml:space="preserve">Pārņemts pilnībā </w:t>
            </w:r>
          </w:p>
          <w:p w:rsidR="000F14B4" w:rsidRDefault="00786C08">
            <w:pPr>
              <w:spacing w:after="0" w:line="240" w:lineRule="auto"/>
              <w:rPr>
                <w:sz w:val="22"/>
              </w:rPr>
            </w:pPr>
            <w:r>
              <w:rPr>
                <w:rFonts w:eastAsiaTheme="minorHAnsi"/>
                <w:bCs/>
                <w:color w:val="000000"/>
                <w:sz w:val="22"/>
              </w:rPr>
              <w:t>Ministru kabineta 2009. gada 10. marta noteikumu Nr. 221 „Noteikumi par elektroenerģijas ražošanu un cenu noteikšanu, ražojot elektroenerģiju koģenerācijā” 4.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II pielikuma a) apakšpunkts</w:t>
            </w:r>
          </w:p>
        </w:tc>
        <w:tc>
          <w:tcPr>
            <w:tcW w:w="1295" w:type="dxa"/>
            <w:shd w:val="clear" w:color="auto" w:fill="auto"/>
            <w:tcMar>
              <w:left w:w="108" w:type="dxa"/>
            </w:tcMar>
          </w:tcPr>
          <w:p w:rsidR="000F14B4" w:rsidRDefault="000F14B4">
            <w:pPr>
              <w:rPr>
                <w:rFonts w:eastAsia="Times New Roman"/>
                <w:sz w:val="22"/>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color w:val="000000"/>
                <w:sz w:val="22"/>
              </w:rPr>
            </w:pPr>
            <w:r>
              <w:rPr>
                <w:color w:val="000000"/>
                <w:sz w:val="22"/>
              </w:rPr>
              <w:t xml:space="preserve">Ministru kabineta </w:t>
            </w:r>
            <w:r>
              <w:rPr>
                <w:bCs/>
                <w:color w:val="000000"/>
                <w:sz w:val="22"/>
              </w:rPr>
              <w:t>2009. gada 10. marta</w:t>
            </w:r>
            <w:r>
              <w:rPr>
                <w:color w:val="000000"/>
                <w:sz w:val="22"/>
              </w:rPr>
              <w:t xml:space="preserve"> noteikumu Nr. 221 „Noteikumi par elektroenerģijas ražošanu un cenu noteikšanu, ražojot elektroenerģiju koģenerācijā” 6.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II pielikuma b) apakšpunkts</w:t>
            </w:r>
          </w:p>
        </w:tc>
        <w:tc>
          <w:tcPr>
            <w:tcW w:w="1295" w:type="dxa"/>
            <w:shd w:val="clear" w:color="auto" w:fill="auto"/>
            <w:tcMar>
              <w:left w:w="108" w:type="dxa"/>
            </w:tcMar>
          </w:tcPr>
          <w:p w:rsidR="000F14B4" w:rsidRDefault="000F14B4">
            <w:pPr>
              <w:rPr>
                <w:rFonts w:eastAsia="Times New Roman"/>
                <w:sz w:val="22"/>
              </w:rPr>
            </w:pPr>
          </w:p>
        </w:tc>
        <w:tc>
          <w:tcPr>
            <w:tcW w:w="4577" w:type="dxa"/>
            <w:shd w:val="clear" w:color="auto" w:fill="auto"/>
            <w:tcMar>
              <w:left w:w="108" w:type="dxa"/>
            </w:tcMar>
          </w:tcPr>
          <w:p w:rsidR="000F14B4" w:rsidRDefault="00786C08">
            <w:pPr>
              <w:spacing w:after="0" w:line="240" w:lineRule="auto"/>
              <w:rPr>
                <w:b/>
                <w:sz w:val="22"/>
              </w:rPr>
            </w:pPr>
            <w:r>
              <w:rPr>
                <w:b/>
                <w:sz w:val="22"/>
              </w:rPr>
              <w:t xml:space="preserve">Pārņemts pilnībā </w:t>
            </w:r>
          </w:p>
          <w:p w:rsidR="000F14B4" w:rsidRDefault="00786C08">
            <w:pPr>
              <w:spacing w:after="0" w:line="240" w:lineRule="auto"/>
              <w:rPr>
                <w:color w:val="000000"/>
                <w:sz w:val="22"/>
              </w:rPr>
            </w:pPr>
            <w:r>
              <w:rPr>
                <w:color w:val="000000"/>
                <w:sz w:val="22"/>
              </w:rPr>
              <w:t xml:space="preserve">Ministru kabineta </w:t>
            </w:r>
            <w:r>
              <w:rPr>
                <w:bCs/>
                <w:color w:val="000000"/>
                <w:sz w:val="22"/>
              </w:rPr>
              <w:t>2009. gada 10. marta</w:t>
            </w:r>
            <w:r>
              <w:rPr>
                <w:color w:val="000000"/>
                <w:sz w:val="22"/>
              </w:rPr>
              <w:t xml:space="preserve"> noteikumu Nr. 221 „Noteikumi par elektroenerģijas ražošanu un cenu noteikšanu, ražojot elektroenerģiju koģenerācijā” 5.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II pielikuma c)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Nav pārņemts</w:t>
            </w:r>
          </w:p>
          <w:p w:rsidR="000F14B4" w:rsidRDefault="00786C08">
            <w:pPr>
              <w:spacing w:after="0" w:line="240" w:lineRule="auto"/>
              <w:rPr>
                <w:sz w:val="22"/>
              </w:rPr>
            </w:pPr>
            <w:r>
              <w:rPr>
                <w:sz w:val="22"/>
              </w:rPr>
              <w:t xml:space="preserve">Prasības </w:t>
            </w:r>
            <w:r>
              <w:rPr>
                <w:rFonts w:eastAsia="Times New Roman"/>
                <w:sz w:val="22"/>
                <w:lang w:eastAsia="lv-LV"/>
              </w:rPr>
              <w:t xml:space="preserve">tiks pārņemtas ar </w:t>
            </w:r>
            <w:r>
              <w:rPr>
                <w:sz w:val="22"/>
              </w:rPr>
              <w:t>Ministru kabineta noteikumu projektu</w:t>
            </w:r>
            <w:r>
              <w:t xml:space="preserve"> </w:t>
            </w:r>
            <w:r>
              <w:rPr>
                <w:sz w:val="22"/>
              </w:rPr>
              <w:t>“Primārās enerģijas ietaupījuma aprēķināšanas metodika koģenerācijas stacijām”.</w:t>
            </w:r>
          </w:p>
          <w:p w:rsidR="000F14B4" w:rsidRDefault="00786C08">
            <w:pPr>
              <w:spacing w:after="0" w:line="240" w:lineRule="auto"/>
              <w:rPr>
                <w:color w:val="000000"/>
                <w:sz w:val="22"/>
              </w:rPr>
            </w:pPr>
            <w:r>
              <w:rPr>
                <w:sz w:val="22"/>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II pielikuma d) apakšpunkts</w:t>
            </w:r>
          </w:p>
        </w:tc>
        <w:tc>
          <w:tcPr>
            <w:tcW w:w="1295" w:type="dxa"/>
            <w:shd w:val="clear" w:color="auto" w:fill="auto"/>
            <w:tcMar>
              <w:left w:w="108" w:type="dxa"/>
            </w:tcMar>
          </w:tcPr>
          <w:p w:rsidR="000F14B4" w:rsidRDefault="000F14B4">
            <w:pPr>
              <w:rPr>
                <w:rFonts w:eastAsia="Times New Roman"/>
                <w:sz w:val="22"/>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Nav pārņemts</w:t>
            </w:r>
          </w:p>
          <w:p w:rsidR="000F14B4" w:rsidRDefault="00786C08">
            <w:pPr>
              <w:spacing w:after="0" w:line="240" w:lineRule="auto"/>
              <w:rPr>
                <w:sz w:val="22"/>
              </w:rPr>
            </w:pPr>
            <w:r>
              <w:rPr>
                <w:sz w:val="22"/>
              </w:rPr>
              <w:t xml:space="preserve">Prasības </w:t>
            </w:r>
            <w:r>
              <w:rPr>
                <w:rFonts w:eastAsia="Times New Roman"/>
                <w:sz w:val="22"/>
                <w:lang w:eastAsia="lv-LV"/>
              </w:rPr>
              <w:t xml:space="preserve">tiks pārņemtas ar </w:t>
            </w:r>
            <w:r>
              <w:rPr>
                <w:sz w:val="22"/>
              </w:rPr>
              <w:t>Ministru kabineta noteikumu projektu</w:t>
            </w:r>
            <w:r>
              <w:t xml:space="preserve"> </w:t>
            </w:r>
            <w:r>
              <w:rPr>
                <w:sz w:val="22"/>
              </w:rPr>
              <w:t>“Primārās enerģijas ietaupījuma aprēķināšanas metodika koģenerācijas stacijām”.</w:t>
            </w:r>
          </w:p>
          <w:p w:rsidR="000F14B4" w:rsidRDefault="00786C08">
            <w:pPr>
              <w:spacing w:after="0" w:line="240" w:lineRule="auto"/>
              <w:rPr>
                <w:b/>
                <w:color w:val="000000"/>
                <w:sz w:val="22"/>
              </w:rPr>
            </w:pPr>
            <w:r>
              <w:rPr>
                <w:sz w:val="22"/>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rPr>
          <w:trHeight w:val="1663"/>
        </w:trPr>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II pielikuma e) apakšpunkts</w:t>
            </w:r>
          </w:p>
        </w:tc>
        <w:tc>
          <w:tcPr>
            <w:tcW w:w="1295" w:type="dxa"/>
            <w:shd w:val="clear" w:color="auto" w:fill="auto"/>
            <w:tcMar>
              <w:left w:w="108" w:type="dxa"/>
            </w:tcMar>
          </w:tcPr>
          <w:p w:rsidR="000F14B4" w:rsidRDefault="000F14B4">
            <w:pPr>
              <w:rPr>
                <w:rFonts w:eastAsia="Times New Roman"/>
                <w:sz w:val="22"/>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Nav pārņemts</w:t>
            </w:r>
          </w:p>
          <w:p w:rsidR="000F14B4" w:rsidRDefault="00786C08">
            <w:pPr>
              <w:spacing w:after="0" w:line="240" w:lineRule="auto"/>
              <w:rPr>
                <w:sz w:val="22"/>
              </w:rPr>
            </w:pPr>
            <w:r>
              <w:rPr>
                <w:sz w:val="22"/>
              </w:rPr>
              <w:t xml:space="preserve">Prasības </w:t>
            </w:r>
            <w:r>
              <w:rPr>
                <w:rFonts w:eastAsia="Times New Roman"/>
                <w:sz w:val="22"/>
                <w:lang w:eastAsia="lv-LV"/>
              </w:rPr>
              <w:t xml:space="preserve">tiks pārņemtas ar </w:t>
            </w:r>
            <w:r>
              <w:rPr>
                <w:sz w:val="22"/>
              </w:rPr>
              <w:t>Ministru kabineta noteikumu projektu</w:t>
            </w:r>
            <w:r>
              <w:t xml:space="preserve"> </w:t>
            </w:r>
            <w:r>
              <w:rPr>
                <w:sz w:val="22"/>
              </w:rPr>
              <w:t>“Primārās enerģijas ietaupījuma aprēķināšanas metodika koģenerācijas stacijām”.</w:t>
            </w:r>
          </w:p>
          <w:p w:rsidR="000F14B4" w:rsidRDefault="00786C08">
            <w:pPr>
              <w:spacing w:after="0" w:line="240" w:lineRule="auto"/>
              <w:rPr>
                <w:b/>
                <w:color w:val="000000"/>
                <w:sz w:val="22"/>
              </w:rPr>
            </w:pPr>
            <w:r>
              <w:rPr>
                <w:sz w:val="22"/>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II pielikuma f) apakšpunkts</w:t>
            </w:r>
          </w:p>
        </w:tc>
        <w:tc>
          <w:tcPr>
            <w:tcW w:w="1295" w:type="dxa"/>
            <w:shd w:val="clear" w:color="auto" w:fill="auto"/>
            <w:tcMar>
              <w:left w:w="108" w:type="dxa"/>
            </w:tcMar>
          </w:tcPr>
          <w:p w:rsidR="000F14B4" w:rsidRDefault="000F14B4">
            <w:pPr>
              <w:rPr>
                <w:rFonts w:eastAsia="Times New Roman"/>
                <w:sz w:val="22"/>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Nav pārņemts</w:t>
            </w:r>
          </w:p>
          <w:p w:rsidR="000F14B4" w:rsidRDefault="00786C08">
            <w:pPr>
              <w:spacing w:after="0" w:line="240" w:lineRule="auto"/>
              <w:rPr>
                <w:color w:val="000000"/>
                <w:sz w:val="22"/>
              </w:rPr>
            </w:pPr>
            <w:r>
              <w:rPr>
                <w:color w:val="000000"/>
                <w:sz w:val="22"/>
              </w:rPr>
              <w:t>Prasības tiks pārņemtas ar Ministru kabineta noteikumu projektu “Primārās enerģijas ietaupījuma aprēķināšanas metodika koģenerācijas stacijām”.</w:t>
            </w:r>
          </w:p>
          <w:p w:rsidR="000F14B4" w:rsidRDefault="00786C08">
            <w:pPr>
              <w:spacing w:after="0" w:line="240" w:lineRule="auto"/>
              <w:rPr>
                <w:color w:val="000000"/>
                <w:sz w:val="22"/>
              </w:rPr>
            </w:pPr>
            <w:r>
              <w:rPr>
                <w:color w:val="000000"/>
                <w:sz w:val="22"/>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III pielikums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color w:val="000000"/>
                <w:sz w:val="22"/>
              </w:rPr>
            </w:pPr>
            <w:r>
              <w:rPr>
                <w:color w:val="000000"/>
                <w:sz w:val="22"/>
              </w:rPr>
              <w:t>Prasības pārņemtas ar 2016. gada 3. marta „Grozījumiem Publisko iepirkumu likumā 46.</w:t>
            </w:r>
            <w:r>
              <w:rPr>
                <w:color w:val="000000"/>
                <w:sz w:val="22"/>
                <w:vertAlign w:val="superscript"/>
              </w:rPr>
              <w:t>2 </w:t>
            </w:r>
            <w:r>
              <w:rPr>
                <w:color w:val="000000"/>
                <w:sz w:val="22"/>
              </w:rPr>
              <w:t>pantu.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IV pielikums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sz w:val="22"/>
              </w:rPr>
            </w:pPr>
            <w:r>
              <w:rPr>
                <w:rFonts w:eastAsia="Times New Roman"/>
                <w:sz w:val="22"/>
                <w:lang w:eastAsia="lv-LV"/>
              </w:rPr>
              <w:t xml:space="preserve">1) Pārrēķina koeficienti TJ pieejami Centrālās statistikas pārvaldes datu bāzē </w:t>
            </w:r>
            <w:r>
              <w:rPr>
                <w:sz w:val="22"/>
              </w:rPr>
              <w:t>ENG02. ENERGOBILANCE, TJ, tūkst.toe (NACE 2.red.)</w:t>
            </w:r>
            <w:r>
              <w:rPr>
                <w:rStyle w:val="FootnoteAnchor"/>
                <w:sz w:val="22"/>
              </w:rPr>
              <w:footnoteReference w:id="52"/>
            </w:r>
            <w:r>
              <w:rPr>
                <w:sz w:val="22"/>
              </w:rPr>
              <w:t>;</w:t>
            </w:r>
          </w:p>
          <w:p w:rsidR="000F14B4" w:rsidRDefault="00786C08">
            <w:pPr>
              <w:spacing w:after="0" w:line="240" w:lineRule="auto"/>
              <w:rPr>
                <w:sz w:val="22"/>
                <w:shd w:val="clear" w:color="auto" w:fill="FFFFFF"/>
              </w:rPr>
            </w:pPr>
            <w:r>
              <w:rPr>
                <w:rFonts w:eastAsia="Times New Roman"/>
                <w:sz w:val="22"/>
                <w:lang w:eastAsia="lv-LV"/>
              </w:rPr>
              <w:t>2) Pārrēķina koeficienti TJ Centrālās statistikas pārvaldes datu bāzē</w:t>
            </w:r>
            <w:r>
              <w:rPr>
                <w:sz w:val="22"/>
                <w:shd w:val="clear" w:color="auto" w:fill="FFFFFF"/>
              </w:rPr>
              <w:t xml:space="preserve"> ENG04. </w:t>
            </w:r>
            <w:r>
              <w:rPr>
                <w:sz w:val="22"/>
                <w:shd w:val="clear" w:color="auto" w:fill="FFFFFF"/>
              </w:rPr>
              <w:lastRenderedPageBreak/>
              <w:t>ENERGOBILANCE, TJ, tūkst.toe (NACE 1.1.red.)</w:t>
            </w:r>
            <w:r>
              <w:rPr>
                <w:rStyle w:val="FootnoteAnchor"/>
                <w:sz w:val="22"/>
                <w:shd w:val="clear" w:color="auto" w:fill="FFFFFF"/>
              </w:rPr>
              <w:footnoteReference w:id="53"/>
            </w:r>
            <w:r>
              <w:rPr>
                <w:sz w:val="22"/>
                <w:shd w:val="clear" w:color="auto" w:fill="FFFFFF"/>
              </w:rPr>
              <w:t>;</w:t>
            </w:r>
          </w:p>
          <w:p w:rsidR="000F14B4" w:rsidRDefault="00786C08">
            <w:pPr>
              <w:spacing w:after="0" w:line="240" w:lineRule="auto"/>
              <w:rPr>
                <w:color w:val="000000"/>
                <w:sz w:val="22"/>
              </w:rPr>
            </w:pPr>
            <w:r>
              <w:rPr>
                <w:color w:val="000000"/>
                <w:sz w:val="22"/>
              </w:rPr>
              <w:t>3) Ekonomikas ministrijas un Centrālās statistikas pārvaldes kopīgajā izdevumā „Latvijas enerģētikas skaitļos”</w:t>
            </w:r>
            <w:r>
              <w:rPr>
                <w:rStyle w:val="FootnoteAnchor"/>
                <w:color w:val="000000"/>
                <w:sz w:val="22"/>
              </w:rPr>
              <w:footnoteReference w:id="54"/>
            </w:r>
            <w:r>
              <w:rPr>
                <w:sz w:val="22"/>
                <w:lang w:eastAsia="lv-LV"/>
              </w:rPr>
              <w:t>.</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V pielikums</w:t>
            </w:r>
          </w:p>
        </w:tc>
        <w:tc>
          <w:tcPr>
            <w:tcW w:w="1295"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 xml:space="preserve">Noteikumu projekta 2., 4. , 5., 7., 10. punkts </w:t>
            </w: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color w:val="000000"/>
                <w:sz w:val="22"/>
              </w:rPr>
            </w:pPr>
            <w:r>
              <w:rPr>
                <w:color w:val="000000"/>
                <w:sz w:val="22"/>
              </w:rPr>
              <w:t>Pārņemts arī ar :</w:t>
            </w:r>
          </w:p>
          <w:p w:rsidR="000F14B4" w:rsidRDefault="00786C08">
            <w:pPr>
              <w:spacing w:after="0" w:line="240" w:lineRule="auto"/>
              <w:rPr>
                <w:color w:val="000000"/>
                <w:sz w:val="22"/>
              </w:rPr>
            </w:pPr>
            <w:r>
              <w:rPr>
                <w:color w:val="000000"/>
                <w:sz w:val="22"/>
              </w:rPr>
              <w:t>1) Preču un pakalpojumu drošuma likumu</w:t>
            </w:r>
          </w:p>
          <w:p w:rsidR="000F14B4" w:rsidRDefault="00786C08">
            <w:pPr>
              <w:spacing w:after="0" w:line="240" w:lineRule="auto"/>
              <w:rPr>
                <w:color w:val="000000"/>
                <w:sz w:val="22"/>
              </w:rPr>
            </w:pPr>
            <w:r>
              <w:rPr>
                <w:color w:val="000000"/>
                <w:sz w:val="22"/>
              </w:rPr>
              <w:t>2) Standartizācijas likumu</w:t>
            </w:r>
          </w:p>
          <w:p w:rsidR="000F14B4" w:rsidRDefault="00786C08">
            <w:pPr>
              <w:spacing w:after="0" w:line="240" w:lineRule="auto"/>
              <w:rPr>
                <w:color w:val="000000"/>
                <w:sz w:val="22"/>
              </w:rPr>
            </w:pPr>
            <w:r>
              <w:rPr>
                <w:color w:val="000000"/>
                <w:sz w:val="22"/>
              </w:rPr>
              <w:t xml:space="preserve">3) Latvijas ziņojums “Ziņojums par Eiropas Parlamenta un padomes Direktīvas 2012/27/ES (2012. gada 25. oktobris) par energoefektivitāti, ar ko groza Direktīvas 2009/125/EK un 2010/30/ES un atceļ Direktīvas 2004/8/EK un 2006/32/EK  7.panta prasību izpildi”, paziņots sistēmā ESTAPIKS 2013.gada 3.decembrī. </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VI pielikums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sz w:val="22"/>
              </w:rPr>
            </w:pPr>
            <w:r>
              <w:rPr>
                <w:bCs/>
                <w:sz w:val="22"/>
              </w:rPr>
              <w:t>1) Ministru kabineta 2013. gada 25. jūnija noteikumi Nr. 348</w:t>
            </w:r>
            <w:r>
              <w:rPr>
                <w:sz w:val="22"/>
              </w:rPr>
              <w:t xml:space="preserve"> “Ēkas energoefektivitātes aprēķina metode”;</w:t>
            </w:r>
          </w:p>
          <w:p w:rsidR="000F14B4" w:rsidRDefault="00786C08">
            <w:pPr>
              <w:spacing w:after="0" w:line="240" w:lineRule="auto"/>
              <w:rPr>
                <w:sz w:val="22"/>
              </w:rPr>
            </w:pPr>
            <w:r>
              <w:rPr>
                <w:bCs/>
                <w:sz w:val="22"/>
              </w:rPr>
              <w:t>2) Ministru kabineta 2013. gada 9. jūlija noteikumu Nr. 383</w:t>
            </w:r>
            <w:r>
              <w:rPr>
                <w:sz w:val="22"/>
              </w:rPr>
              <w:t xml:space="preserve"> “Noteikumi par ēku energosertifikāciju”;</w:t>
            </w:r>
          </w:p>
          <w:p w:rsidR="000F14B4" w:rsidRDefault="00786C08">
            <w:pPr>
              <w:spacing w:after="0" w:line="240" w:lineRule="auto"/>
              <w:rPr>
                <w:color w:val="000000"/>
                <w:sz w:val="22"/>
              </w:rPr>
            </w:pPr>
            <w:r>
              <w:rPr>
                <w:sz w:val="22"/>
              </w:rPr>
              <w:t>3</w:t>
            </w:r>
            <w:r>
              <w:rPr>
                <w:color w:val="000000"/>
                <w:sz w:val="22"/>
              </w:rPr>
              <w:t xml:space="preserve">) Ekonomikas ministrijas publicētie </w:t>
            </w:r>
            <w:r>
              <w:rPr>
                <w:sz w:val="22"/>
              </w:rPr>
              <w:t>Ieteikumi obligāto energoauditu veikšanai lielajiem uzņēmumiem</w:t>
            </w:r>
            <w:r>
              <w:rPr>
                <w:rStyle w:val="FootnoteAnchor"/>
                <w:sz w:val="22"/>
              </w:rPr>
              <w:footnoteReference w:id="55"/>
            </w:r>
            <w:r>
              <w:rPr>
                <w:sz w:val="22"/>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VII pielikuma 1.1. apakšpunkts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noteikumu Nr. 85 “Dabasgāzes piegādes un lietošanas noteikumi” 27., 59., 69.3., 83., 84. un 88. punkts;</w:t>
            </w:r>
          </w:p>
          <w:p w:rsidR="000F14B4" w:rsidRDefault="00786C08">
            <w:pPr>
              <w:spacing w:after="0" w:line="240" w:lineRule="auto"/>
              <w:rPr>
                <w:color w:val="000000"/>
                <w:sz w:val="22"/>
              </w:rPr>
            </w:pPr>
            <w:r>
              <w:rPr>
                <w:color w:val="000000"/>
                <w:sz w:val="22"/>
              </w:rPr>
              <w:t>2) Ministru kabineta 2014. gada 21. janvāra noteikumu Nr. 50 “Elektroenerģijas tirdzniecības un lietošanas noteikumi” 1.2., 17., 22., 25. un 115. punkts;</w:t>
            </w:r>
          </w:p>
          <w:p w:rsidR="000F14B4" w:rsidRDefault="00786C08">
            <w:pPr>
              <w:spacing w:after="0" w:line="240" w:lineRule="auto"/>
              <w:rPr>
                <w:color w:val="000000"/>
                <w:sz w:val="22"/>
              </w:rPr>
            </w:pPr>
            <w:r>
              <w:rPr>
                <w:color w:val="000000"/>
                <w:sz w:val="22"/>
              </w:rPr>
              <w:t>3) Ministru kabineta 2008. gada 9. decembra noteikumu Nr. 1013 “Kārtība, kādā dzīvokļa īpašnieks daudzdzīvokļu dzīvojamā mājā norēķinās par pakalpojumiem, kas saistīti ar dzīvokļa īpašuma lietošanu” 7.</w:t>
            </w:r>
            <w:r>
              <w:rPr>
                <w:color w:val="000000"/>
                <w:sz w:val="22"/>
                <w:vertAlign w:val="superscript"/>
              </w:rPr>
              <w:t>1</w:t>
            </w:r>
            <w:r>
              <w:rPr>
                <w:color w:val="000000"/>
                <w:sz w:val="22"/>
              </w:rPr>
              <w:t xml:space="preserve"> un 8. punkts;</w:t>
            </w:r>
          </w:p>
          <w:p w:rsidR="000F14B4" w:rsidRDefault="00786C08">
            <w:pPr>
              <w:spacing w:after="0" w:line="240" w:lineRule="auto"/>
              <w:rPr>
                <w:color w:val="000000"/>
                <w:sz w:val="22"/>
              </w:rPr>
            </w:pPr>
            <w:r>
              <w:rPr>
                <w:color w:val="000000"/>
                <w:sz w:val="22"/>
              </w:rPr>
              <w:t xml:space="preserve">4) Ministru kabineta 2008. gada 21. oktobra noteikumi Nr. 876 “Siltumenerģijas piegādes un lietošanas noteikumi”. </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 xml:space="preserve">VII pielikuma </w:t>
            </w:r>
            <w:r>
              <w:rPr>
                <w:rFonts w:eastAsia="Times New Roman"/>
                <w:sz w:val="22"/>
                <w:lang w:eastAsia="lv-LV"/>
              </w:rPr>
              <w:lastRenderedPageBreak/>
              <w:t>1.2. a) apakšpunkts</w:t>
            </w:r>
          </w:p>
        </w:tc>
        <w:tc>
          <w:tcPr>
            <w:tcW w:w="1295" w:type="dxa"/>
            <w:shd w:val="clear" w:color="auto" w:fill="auto"/>
            <w:tcMar>
              <w:left w:w="108" w:type="dxa"/>
            </w:tcMar>
          </w:tcPr>
          <w:p w:rsidR="000F14B4" w:rsidRDefault="000F14B4">
            <w:pPr>
              <w:rPr>
                <w:sz w:val="22"/>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 xml:space="preserve">Ministru kabineta 2016. gada 9. februāra noteikumu Nr. 85 “Dabasgāzes piegādes un </w:t>
            </w:r>
            <w:r>
              <w:rPr>
                <w:rFonts w:eastAsia="Times New Roman"/>
                <w:color w:val="000000" w:themeColor="text1"/>
                <w:sz w:val="22"/>
                <w:lang w:eastAsia="lv-LV"/>
              </w:rPr>
              <w:lastRenderedPageBreak/>
              <w:t>lietošanas noteikumi” 27., 59., 69.3., 83., 84. un 88. punkts;</w:t>
            </w:r>
          </w:p>
          <w:p w:rsidR="000F14B4" w:rsidRDefault="00786C08">
            <w:pPr>
              <w:spacing w:after="0" w:line="240" w:lineRule="auto"/>
              <w:rPr>
                <w:color w:val="000000"/>
                <w:sz w:val="22"/>
              </w:rPr>
            </w:pPr>
            <w:r>
              <w:rPr>
                <w:color w:val="000000"/>
                <w:sz w:val="22"/>
              </w:rPr>
              <w:t>2) Ministru kabineta 2014. gada 21. janvāra noteikumu Nr. 50 “Elektroenerģijas tirdzniecības un lietošanas noteikumi” 1.2., 17., 22., 25. un 115. punkts;</w:t>
            </w:r>
          </w:p>
          <w:p w:rsidR="000F14B4" w:rsidRDefault="00786C08">
            <w:pPr>
              <w:spacing w:after="0" w:line="240" w:lineRule="auto"/>
              <w:rPr>
                <w:color w:val="000000"/>
                <w:sz w:val="22"/>
              </w:rPr>
            </w:pPr>
            <w:r>
              <w:rPr>
                <w:color w:val="000000"/>
                <w:sz w:val="22"/>
              </w:rPr>
              <w:t>3) Ministru kabineta 2008. gada 9. decembra noteikumu Nr. 1013 “Kārtība, kādā dzīvokļa īpašnieks daudzdzīvokļu dzīvojamā mājā norēķinās par pakalpojumiem, kas saistīti ar dzīvokļa īpašuma lietošanu” 7.</w:t>
            </w:r>
            <w:r>
              <w:rPr>
                <w:color w:val="000000"/>
                <w:sz w:val="22"/>
                <w:vertAlign w:val="superscript"/>
              </w:rPr>
              <w:t>1</w:t>
            </w:r>
            <w:r>
              <w:rPr>
                <w:color w:val="000000"/>
                <w:sz w:val="22"/>
              </w:rPr>
              <w:t xml:space="preserve"> un 8. punkts;</w:t>
            </w:r>
          </w:p>
          <w:p w:rsidR="000F14B4" w:rsidRDefault="00786C08">
            <w:pPr>
              <w:spacing w:after="0" w:line="240" w:lineRule="auto"/>
              <w:rPr>
                <w:color w:val="000000"/>
                <w:sz w:val="22"/>
              </w:rPr>
            </w:pPr>
            <w:r>
              <w:rPr>
                <w:color w:val="000000"/>
                <w:sz w:val="22"/>
              </w:rPr>
              <w:t>4) Ministru kabineta 2008. gada 21. oktobra noteikumi Nr. 876 “Siltumenerģijas piegādes un lietošanas noteikumi”.</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VII pielikuma 1.2. b) apakšpunkts</w:t>
            </w:r>
          </w:p>
        </w:tc>
        <w:tc>
          <w:tcPr>
            <w:tcW w:w="1295" w:type="dxa"/>
            <w:shd w:val="clear" w:color="auto" w:fill="auto"/>
            <w:tcMar>
              <w:left w:w="108" w:type="dxa"/>
            </w:tcMar>
          </w:tcPr>
          <w:p w:rsidR="000F14B4" w:rsidRDefault="000F14B4">
            <w:pPr>
              <w:rPr>
                <w:sz w:val="22"/>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noteikumu Nr. 85 “Dabasgāzes piegādes un lietošanas noteikumi” 27., 59., 69.3., 83., 84. un 88. punkts;</w:t>
            </w:r>
          </w:p>
          <w:p w:rsidR="000F14B4" w:rsidRDefault="00786C08">
            <w:pPr>
              <w:spacing w:after="0" w:line="240" w:lineRule="auto"/>
              <w:rPr>
                <w:color w:val="000000"/>
                <w:sz w:val="22"/>
              </w:rPr>
            </w:pPr>
            <w:r>
              <w:rPr>
                <w:color w:val="000000"/>
                <w:sz w:val="22"/>
              </w:rPr>
              <w:t>2) Ministru kabineta 2014. gada 21. janvāra noteikumu Nr. 50 “Elektroenerģijas tirdzniecības un lietošanas noteikumi” 1.2., 17., 22., 25. un 115. punkts;</w:t>
            </w:r>
          </w:p>
          <w:p w:rsidR="000F14B4" w:rsidRDefault="00786C08">
            <w:pPr>
              <w:spacing w:after="0" w:line="240" w:lineRule="auto"/>
              <w:rPr>
                <w:color w:val="000000"/>
                <w:sz w:val="22"/>
              </w:rPr>
            </w:pPr>
            <w:r>
              <w:rPr>
                <w:color w:val="000000"/>
                <w:sz w:val="22"/>
              </w:rPr>
              <w:t>3) Ministru kabineta 2008. gada 9. decembra noteikumu Nr. 1013 “Kārtība, kādā dzīvokļa īpašnieks daudzdzīvokļu dzīvojamā mājā norēķinās par pakalpojumiem, kas saistīti ar dzīvokļa īpašuma lietošanu” 7.</w:t>
            </w:r>
            <w:r>
              <w:rPr>
                <w:color w:val="000000"/>
                <w:sz w:val="22"/>
                <w:vertAlign w:val="superscript"/>
              </w:rPr>
              <w:t>1</w:t>
            </w:r>
            <w:r>
              <w:rPr>
                <w:color w:val="000000"/>
                <w:sz w:val="22"/>
              </w:rPr>
              <w:t xml:space="preserve"> un 8. punkts;</w:t>
            </w:r>
          </w:p>
          <w:p w:rsidR="000F14B4" w:rsidRDefault="00786C08">
            <w:pPr>
              <w:spacing w:after="0" w:line="240" w:lineRule="auto"/>
              <w:rPr>
                <w:color w:val="000000"/>
                <w:sz w:val="22"/>
              </w:rPr>
            </w:pPr>
            <w:r>
              <w:rPr>
                <w:color w:val="000000"/>
                <w:sz w:val="22"/>
              </w:rPr>
              <w:t>4) Ministru kabineta 2008. gada 21. oktobra noteikumi Nr. 876 “Siltumenerģijas piegādes un lietošanas noteikumi”.</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VII pielikuma 1.2. c) apakšpunkts</w:t>
            </w:r>
          </w:p>
        </w:tc>
        <w:tc>
          <w:tcPr>
            <w:tcW w:w="1295" w:type="dxa"/>
            <w:shd w:val="clear" w:color="auto" w:fill="auto"/>
            <w:tcMar>
              <w:left w:w="108" w:type="dxa"/>
            </w:tcMar>
          </w:tcPr>
          <w:p w:rsidR="000F14B4" w:rsidRDefault="000F14B4">
            <w:pPr>
              <w:rPr>
                <w:sz w:val="22"/>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noteikumu Nr. 85 “Dabasgāzes piegādes un lietošanas noteikumi” 27., 59., 69.3., 83., 84. un 88. punkts;</w:t>
            </w:r>
          </w:p>
          <w:p w:rsidR="000F14B4" w:rsidRDefault="00786C08">
            <w:pPr>
              <w:spacing w:after="0" w:line="240" w:lineRule="auto"/>
              <w:rPr>
                <w:color w:val="000000"/>
                <w:sz w:val="22"/>
              </w:rPr>
            </w:pPr>
            <w:r>
              <w:rPr>
                <w:color w:val="000000"/>
                <w:sz w:val="22"/>
              </w:rPr>
              <w:t>2) Ministru kabineta 2014. gada 21. janvāra noteikumu Nr. 50 “Elektroenerģijas tirdzniecības un lietošanas noteikumi” 1.2., 17., 22., 25. un 115. punkts;</w:t>
            </w:r>
          </w:p>
          <w:p w:rsidR="000F14B4" w:rsidRDefault="00786C08">
            <w:pPr>
              <w:spacing w:after="0" w:line="240" w:lineRule="auto"/>
              <w:rPr>
                <w:color w:val="000000"/>
                <w:sz w:val="22"/>
              </w:rPr>
            </w:pPr>
            <w:r>
              <w:rPr>
                <w:color w:val="000000"/>
                <w:sz w:val="22"/>
              </w:rPr>
              <w:t>3) Ministru kabineta 2008. gada 9. decembra noteikumu Nr. 1013 “Kārtība, kādā dzīvokļa īpašnieks daudzdzīvokļu dzīvojamā mājā norēķinās par pakalpojumiem, kas saistīti ar dzīvokļa īpašuma lietošanu” 7.</w:t>
            </w:r>
            <w:r>
              <w:rPr>
                <w:color w:val="000000"/>
                <w:sz w:val="22"/>
                <w:vertAlign w:val="superscript"/>
              </w:rPr>
              <w:t>1</w:t>
            </w:r>
            <w:r>
              <w:rPr>
                <w:color w:val="000000"/>
                <w:sz w:val="22"/>
              </w:rPr>
              <w:t xml:space="preserve"> un 8. punkts;</w:t>
            </w:r>
          </w:p>
          <w:p w:rsidR="000F14B4" w:rsidRDefault="00786C08">
            <w:pPr>
              <w:spacing w:after="0" w:line="240" w:lineRule="auto"/>
              <w:rPr>
                <w:color w:val="000000"/>
                <w:sz w:val="22"/>
              </w:rPr>
            </w:pPr>
            <w:r>
              <w:rPr>
                <w:color w:val="000000"/>
                <w:sz w:val="22"/>
              </w:rPr>
              <w:t>4) Ministru kabineta 2008. gada 21. oktobra noteikumi Nr. 876 “Siltumenerģijas piegādes un lietošanas noteikumi”.</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VII pielikuma 1.3. apakšpunkts</w:t>
            </w:r>
          </w:p>
        </w:tc>
        <w:tc>
          <w:tcPr>
            <w:tcW w:w="1295" w:type="dxa"/>
            <w:shd w:val="clear" w:color="auto" w:fill="auto"/>
            <w:tcMar>
              <w:left w:w="108" w:type="dxa"/>
            </w:tcMar>
          </w:tcPr>
          <w:p w:rsidR="000F14B4" w:rsidRDefault="000F14B4">
            <w:pPr>
              <w:rPr>
                <w:sz w:val="22"/>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 xml:space="preserve">1) </w:t>
            </w:r>
            <w:r>
              <w:rPr>
                <w:rFonts w:eastAsia="Times New Roman"/>
                <w:color w:val="000000" w:themeColor="text1"/>
                <w:sz w:val="22"/>
                <w:lang w:eastAsia="lv-LV"/>
              </w:rPr>
              <w:t>Ministru kabineta 2016. gada 9. februāra noteikumu Nr. 85 “Dabasgāzes piegādes un lietošanas noteikumi” 27., 59., 69.3., 83., 84. un 88. punkts;</w:t>
            </w:r>
          </w:p>
          <w:p w:rsidR="000F14B4" w:rsidRDefault="00786C08">
            <w:pPr>
              <w:spacing w:after="0" w:line="240" w:lineRule="auto"/>
              <w:rPr>
                <w:color w:val="000000"/>
                <w:sz w:val="22"/>
              </w:rPr>
            </w:pPr>
            <w:r>
              <w:rPr>
                <w:color w:val="000000"/>
                <w:sz w:val="22"/>
              </w:rPr>
              <w:t xml:space="preserve">2) Ministru kabineta 2014. gada 21. janvāra noteikumu Nr. 50 “Elektroenerģijas tirdzniecības </w:t>
            </w:r>
            <w:r>
              <w:rPr>
                <w:color w:val="000000"/>
                <w:sz w:val="22"/>
              </w:rPr>
              <w:lastRenderedPageBreak/>
              <w:t>un lietošanas noteikumi” 1.2., 17., 22., 25. un 115. punkts;</w:t>
            </w:r>
          </w:p>
          <w:p w:rsidR="000F14B4" w:rsidRDefault="00786C08">
            <w:pPr>
              <w:spacing w:after="0" w:line="240" w:lineRule="auto"/>
              <w:rPr>
                <w:color w:val="000000"/>
                <w:sz w:val="22"/>
              </w:rPr>
            </w:pPr>
            <w:r>
              <w:rPr>
                <w:color w:val="000000"/>
                <w:sz w:val="22"/>
              </w:rPr>
              <w:t>3) Ministru kabineta 2008. gada 9. decembra noteikumu Nr. 1013 “Kārtība, kādā dzīvokļa īpašnieks daudzdzīvokļu dzīvojamā mājā norēķinās par pakalpojumiem, kas saistīti ar dzīvokļa īpašuma lietošanu” 7.</w:t>
            </w:r>
            <w:r>
              <w:rPr>
                <w:color w:val="000000"/>
                <w:sz w:val="22"/>
                <w:vertAlign w:val="superscript"/>
              </w:rPr>
              <w:t>1</w:t>
            </w:r>
            <w:r>
              <w:rPr>
                <w:color w:val="000000"/>
                <w:sz w:val="22"/>
              </w:rPr>
              <w:t xml:space="preserve"> un 8. punkts;</w:t>
            </w:r>
          </w:p>
          <w:p w:rsidR="000F14B4" w:rsidRDefault="00786C08">
            <w:pPr>
              <w:spacing w:after="0" w:line="240" w:lineRule="auto"/>
              <w:rPr>
                <w:color w:val="000000"/>
                <w:sz w:val="22"/>
              </w:rPr>
            </w:pPr>
            <w:r>
              <w:rPr>
                <w:color w:val="000000"/>
                <w:sz w:val="22"/>
              </w:rPr>
              <w:t>4) Ministru kabineta 2008. gada 21. oktobra noteikumu Nr. 876 “Siltumenerģijas piegādes un lietošanas noteikumi”.</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VIII pielikums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sz w:val="22"/>
                <w:lang w:eastAsia="lv-LV"/>
              </w:rPr>
            </w:pPr>
            <w:r>
              <w:rPr>
                <w:rFonts w:eastAsia="Times New Roman"/>
                <w:sz w:val="22"/>
                <w:lang w:eastAsia="lv-LV"/>
              </w:rPr>
              <w:t>1) Vides un reģionālās attīstības ministrijas izstrādātais energoefektivitātes pakalpojuma līguma paraugs pašvaldībām un valsts tiešās pārvaldes iestādēm</w:t>
            </w:r>
            <w:r>
              <w:rPr>
                <w:rStyle w:val="FootnoteAnchor"/>
                <w:rFonts w:eastAsia="Times New Roman"/>
                <w:sz w:val="22"/>
                <w:lang w:eastAsia="lv-LV"/>
              </w:rPr>
              <w:footnoteReference w:id="56"/>
            </w:r>
            <w:r>
              <w:rPr>
                <w:rFonts w:eastAsia="Times New Roman"/>
                <w:sz w:val="22"/>
                <w:lang w:eastAsia="lv-LV"/>
              </w:rPr>
              <w:t>;</w:t>
            </w:r>
          </w:p>
          <w:p w:rsidR="000F14B4" w:rsidRDefault="00786C08">
            <w:pPr>
              <w:spacing w:after="0" w:line="240" w:lineRule="auto"/>
              <w:rPr>
                <w:rFonts w:eastAsia="Times New Roman"/>
                <w:sz w:val="22"/>
                <w:lang w:eastAsia="lv-LV"/>
              </w:rPr>
            </w:pPr>
            <w:r>
              <w:rPr>
                <w:rFonts w:eastAsia="Times New Roman"/>
                <w:sz w:val="22"/>
                <w:lang w:eastAsia="lv-LV"/>
              </w:rPr>
              <w:t>2) Vides un reģionālās attīstības ministrijas izstrādātie metodiskie norādījumi pašvaldībām un valsts tiešās pārvaldes iestādēm energoefektivitātes pakalpojuma iepirkumam</w:t>
            </w:r>
            <w:r>
              <w:rPr>
                <w:rStyle w:val="FootnoteAnchor"/>
                <w:rFonts w:eastAsia="Times New Roman"/>
                <w:sz w:val="22"/>
                <w:lang w:eastAsia="lv-LV"/>
              </w:rPr>
              <w:footnoteReference w:id="57"/>
            </w:r>
            <w:r>
              <w:rPr>
                <w:rFonts w:eastAsia="Times New Roman"/>
                <w:sz w:val="22"/>
                <w:lang w:eastAsia="lv-LV"/>
              </w:rPr>
              <w:t>.</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IX pielikuma pirmā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sz w:val="22"/>
              </w:rPr>
            </w:pPr>
            <w:r>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IX pielikuma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sz w:val="22"/>
              </w:rPr>
            </w:pPr>
            <w:r>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shd w:val="clear" w:color="auto" w:fill="FF0000"/>
                <w:lang w:eastAsia="lv-LV"/>
              </w:rPr>
            </w:pPr>
            <w:r>
              <w:rPr>
                <w:sz w:val="22"/>
              </w:rPr>
              <w:t xml:space="preserve">Direktīvas 2012/27/ES </w:t>
            </w:r>
            <w:r>
              <w:rPr>
                <w:rFonts w:eastAsia="Times New Roman"/>
                <w:sz w:val="22"/>
                <w:lang w:eastAsia="lv-LV"/>
              </w:rPr>
              <w:t>X pielikums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daļēji</w:t>
            </w:r>
          </w:p>
          <w:p w:rsidR="000F14B4" w:rsidRDefault="00786C08">
            <w:pPr>
              <w:spacing w:after="0" w:line="240" w:lineRule="auto"/>
              <w:rPr>
                <w:color w:val="000000"/>
                <w:sz w:val="22"/>
              </w:rPr>
            </w:pPr>
            <w:r>
              <w:rPr>
                <w:color w:val="000000"/>
                <w:sz w:val="22"/>
              </w:rPr>
              <w:t xml:space="preserve">Prasības daļēji pārņemtas ar Ministru kabineta noteikumu </w:t>
            </w:r>
            <w:r>
              <w:rPr>
                <w:bCs/>
                <w:color w:val="000000"/>
                <w:sz w:val="22"/>
              </w:rPr>
              <w:t>Nr. 221</w:t>
            </w:r>
            <w:r>
              <w:rPr>
                <w:color w:val="000000"/>
                <w:sz w:val="22"/>
              </w:rPr>
              <w:t xml:space="preserve"> „Noteikumi par elektroenerģijas ražošanu un cenu noteikšanu, ražojot elektroenerģiju koģenerācijā” V. nodaļu un Ministru kabineta 2011. gada 22. novembra noteikumu Nr. 900 „Noteikumi par izcelsmes apliecinājuma saņemšanu elektroenerģijai, kas </w:t>
            </w:r>
            <w:r>
              <w:rPr>
                <w:color w:val="000000"/>
                <w:sz w:val="22"/>
              </w:rPr>
              <w:lastRenderedPageBreak/>
              <w:t xml:space="preserve">ražota, izmantojot atjaunojamos </w:t>
            </w:r>
            <w:r>
              <w:rPr>
                <w:bCs/>
                <w:color w:val="000000"/>
                <w:sz w:val="22"/>
              </w:rPr>
              <w:t>energoresursus” pielikumu</w:t>
            </w:r>
            <w:r>
              <w:rPr>
                <w:color w:val="000000"/>
                <w:sz w:val="22"/>
              </w:rPr>
              <w:t xml:space="preserve">. </w:t>
            </w:r>
          </w:p>
          <w:p w:rsidR="000F14B4" w:rsidRDefault="00786C08">
            <w:pPr>
              <w:spacing w:after="0" w:line="240" w:lineRule="auto"/>
              <w:rPr>
                <w:i/>
                <w:color w:val="000000"/>
                <w:sz w:val="22"/>
              </w:rPr>
            </w:pPr>
            <w:r>
              <w:rPr>
                <w:i/>
                <w:color w:val="000000"/>
                <w:sz w:val="22"/>
              </w:rPr>
              <w:t>Papildus:</w:t>
            </w:r>
          </w:p>
          <w:p w:rsidR="000F14B4" w:rsidRDefault="00786C08">
            <w:pPr>
              <w:spacing w:after="0" w:line="240" w:lineRule="auto"/>
              <w:rPr>
                <w:bCs/>
                <w:color w:val="000000"/>
                <w:sz w:val="22"/>
              </w:rPr>
            </w:pPr>
            <w:r>
              <w:rPr>
                <w:color w:val="000000"/>
                <w:sz w:val="22"/>
              </w:rPr>
              <w:t xml:space="preserve">Prasība pilnībā tiks pārņemta ar likumprojektu „Grozījumi Elektroenerģijas tirgus likumā” un </w:t>
            </w:r>
            <w:r>
              <w:rPr>
                <w:sz w:val="22"/>
              </w:rPr>
              <w:t>Ministru kabineta noteikumu projektu “Noteikumi par izcelsmes apliecinājuma saņemšanu elektroenerģijai, kas ražota, izmantojot atjaunojamos energoresursus, vai augstas efektivitātes koģenerācijas režīmā”.</w:t>
            </w:r>
          </w:p>
          <w:p w:rsidR="000F14B4" w:rsidRDefault="00786C08">
            <w:pPr>
              <w:spacing w:after="0" w:line="240" w:lineRule="auto"/>
              <w:rPr>
                <w:color w:val="000000"/>
                <w:sz w:val="22"/>
              </w:rPr>
            </w:pPr>
            <w:r>
              <w:rPr>
                <w:color w:val="000000"/>
                <w:sz w:val="22"/>
              </w:rPr>
              <w:t>Atbildīgā Ekonomikas ministrija</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XI pielikums 1.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sz w:val="22"/>
              </w:rPr>
            </w:pPr>
            <w:r>
              <w:rPr>
                <w:sz w:val="22"/>
              </w:rPr>
              <w:t>1) Likuma „Par sabiedrisko pakalpojumu regulatoriem” 1. pants, 19. panta 1. punkts, 20. pants;</w:t>
            </w:r>
          </w:p>
          <w:p w:rsidR="000F14B4" w:rsidRDefault="00786C08">
            <w:pPr>
              <w:spacing w:after="0" w:line="240" w:lineRule="auto"/>
              <w:rPr>
                <w:sz w:val="22"/>
              </w:rPr>
            </w:pPr>
            <w:r>
              <w:rPr>
                <w:sz w:val="22"/>
              </w:rPr>
              <w:t>2) Sabiedrisko pakalpojumu komisijas 2011. gada 15. decembra lēmums Nr.1/32 „Elektroenerģijas sadales sistēmas pakalpojumu tarifu aprēķināšanas metodika”;</w:t>
            </w:r>
          </w:p>
          <w:p w:rsidR="000F14B4" w:rsidRDefault="00786C08">
            <w:pPr>
              <w:spacing w:after="0" w:line="240" w:lineRule="auto"/>
              <w:rPr>
                <w:sz w:val="22"/>
              </w:rPr>
            </w:pPr>
            <w:r>
              <w:rPr>
                <w:sz w:val="22"/>
              </w:rPr>
              <w:t>3)</w:t>
            </w:r>
            <w:r>
              <w:rPr>
                <w:rFonts w:eastAsia="Times New Roman"/>
                <w:color w:val="FF0000"/>
                <w:sz w:val="22"/>
                <w:lang w:eastAsia="lv-LV"/>
              </w:rPr>
              <w:t xml:space="preserve"> </w:t>
            </w:r>
            <w:r>
              <w:rPr>
                <w:sz w:val="22"/>
              </w:rPr>
              <w:t>Sabiedrisko pakalpojumu komisijas 2014. gada 16. jūlija lēmums Nr. 200 „ Par akciju sabiedrības „Sadales tīkls” kārtību par nosacījumiem efektīvai atļautās slodzes izmantošanai”;</w:t>
            </w:r>
          </w:p>
          <w:p w:rsidR="000F14B4" w:rsidRDefault="00786C08">
            <w:pPr>
              <w:spacing w:after="0" w:line="240" w:lineRule="auto"/>
              <w:rPr>
                <w:sz w:val="22"/>
              </w:rPr>
            </w:pPr>
            <w:r>
              <w:rPr>
                <w:sz w:val="22"/>
              </w:rPr>
              <w:t>4) AS „Sadales tīkls” pieejama elektroniskā karte par iespējamām pieslēguma vietām un piedāvā optimālo pieslēguma vietu, balstoties uz pieejamajām jaudām</w:t>
            </w:r>
            <w:r>
              <w:rPr>
                <w:rStyle w:val="FootnoteAnchor"/>
                <w:sz w:val="22"/>
              </w:rPr>
              <w:footnoteReference w:id="58"/>
            </w:r>
            <w:r>
              <w:rPr>
                <w:sz w:val="22"/>
              </w:rPr>
              <w:t>;</w:t>
            </w:r>
          </w:p>
          <w:p w:rsidR="000F14B4" w:rsidRDefault="00786C08">
            <w:pPr>
              <w:spacing w:after="0" w:line="240" w:lineRule="auto"/>
              <w:rPr>
                <w:sz w:val="22"/>
              </w:rPr>
            </w:pPr>
            <w:r>
              <w:rPr>
                <w:sz w:val="22"/>
              </w:rPr>
              <w:t>5)</w:t>
            </w:r>
            <w:r>
              <w:rPr>
                <w:color w:val="FFFFFF"/>
                <w:sz w:val="22"/>
              </w:rPr>
              <w:t xml:space="preserve"> </w:t>
            </w:r>
            <w:r>
              <w:rPr>
                <w:sz w:val="22"/>
              </w:rPr>
              <w:t>Sabiedrisko pakalpojumu komisijas 2011. gada 12. janvāra lēmums Nr. 16</w:t>
            </w:r>
            <w:r>
              <w:rPr>
                <w:b/>
                <w:bCs/>
                <w:sz w:val="22"/>
              </w:rPr>
              <w:t xml:space="preserve"> </w:t>
            </w:r>
            <w:r>
              <w:rPr>
                <w:sz w:val="22"/>
              </w:rPr>
              <w:t>„Par akciju sabiedrības „Sadales tīkls” elektroenerģijas sadales sistēmas pakalpojumu tarifiem”;</w:t>
            </w:r>
          </w:p>
          <w:p w:rsidR="000F14B4" w:rsidRDefault="00786C08">
            <w:pPr>
              <w:spacing w:after="0" w:line="240" w:lineRule="auto"/>
              <w:rPr>
                <w:color w:val="000000"/>
                <w:sz w:val="22"/>
              </w:rPr>
            </w:pPr>
            <w:r>
              <w:rPr>
                <w:sz w:val="22"/>
              </w:rPr>
              <w:t>6)</w:t>
            </w:r>
            <w:r>
              <w:rPr>
                <w:rFonts w:eastAsia="Times New Roman"/>
                <w:color w:val="FF0000"/>
                <w:sz w:val="22"/>
                <w:lang w:eastAsia="lv-LV"/>
              </w:rPr>
              <w:t xml:space="preserve"> </w:t>
            </w:r>
            <w:r>
              <w:rPr>
                <w:sz w:val="22"/>
              </w:rPr>
              <w:t>Sabiedrisko pakalpojumu regulēšanas komisijas 2015. gada 26. februāra lēmums Nr. 1/6 „Elektroenerģijas pārvades sistēmas pakalpojumu tarifu aprēķināšanas metodika”.</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sz w:val="22"/>
              </w:rPr>
            </w:pPr>
            <w:r>
              <w:rPr>
                <w:sz w:val="22"/>
              </w:rPr>
              <w:t xml:space="preserve">Direktīvas 2012/27/ES </w:t>
            </w:r>
            <w:r>
              <w:rPr>
                <w:rFonts w:eastAsia="Times New Roman"/>
                <w:sz w:val="22"/>
                <w:lang w:eastAsia="lv-LV"/>
              </w:rPr>
              <w:t>XI pielikums 2.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color w:val="000000"/>
                <w:sz w:val="22"/>
              </w:rPr>
            </w:pPr>
            <w:r>
              <w:rPr>
                <w:color w:val="000000"/>
                <w:sz w:val="22"/>
              </w:rPr>
              <w:t>1) Elektroenerģijas tirgus likuma 20. un 27. pants;</w:t>
            </w:r>
          </w:p>
          <w:p w:rsidR="000F14B4" w:rsidRDefault="00786C08">
            <w:pPr>
              <w:spacing w:after="0" w:line="240" w:lineRule="auto"/>
              <w:rPr>
                <w:color w:val="000000"/>
                <w:sz w:val="22"/>
              </w:rPr>
            </w:pPr>
            <w:r>
              <w:rPr>
                <w:color w:val="000000"/>
                <w:sz w:val="22"/>
              </w:rPr>
              <w:t>2) Likuma „Par sabiedrisko pakalpojumu regulatoriem” 19. panta pirmā daļa un 20. pants;</w:t>
            </w:r>
          </w:p>
          <w:p w:rsidR="000F14B4" w:rsidRDefault="00786C08">
            <w:pPr>
              <w:spacing w:after="0" w:line="240" w:lineRule="auto"/>
              <w:rPr>
                <w:color w:val="000000"/>
                <w:sz w:val="22"/>
              </w:rPr>
            </w:pPr>
            <w:r>
              <w:rPr>
                <w:color w:val="000000"/>
                <w:sz w:val="22"/>
              </w:rPr>
              <w:t>3)</w:t>
            </w:r>
            <w:r>
              <w:rPr>
                <w:rFonts w:eastAsia="Times New Roman"/>
                <w:color w:val="FF0000"/>
                <w:sz w:val="22"/>
                <w:lang w:eastAsia="lv-LV"/>
              </w:rPr>
              <w:t xml:space="preserve"> </w:t>
            </w:r>
            <w:r>
              <w:rPr>
                <w:color w:val="000000"/>
                <w:sz w:val="22"/>
              </w:rPr>
              <w:t>AS „Sadales tīkls” Elektroenerģijas sadales sistēmas pakalpojumu diferencēto tarifu pielietošanas kārtību</w:t>
            </w:r>
            <w:r>
              <w:rPr>
                <w:rStyle w:val="FootnoteAnchor"/>
                <w:color w:val="000000"/>
                <w:sz w:val="22"/>
              </w:rPr>
              <w:footnoteReference w:id="59"/>
            </w:r>
            <w:r>
              <w:rPr>
                <w:color w:val="000000"/>
                <w:sz w:val="22"/>
              </w:rPr>
              <w:t>;</w:t>
            </w:r>
          </w:p>
          <w:p w:rsidR="000F14B4" w:rsidRDefault="00786C08">
            <w:pPr>
              <w:spacing w:after="0" w:line="240" w:lineRule="auto"/>
              <w:rPr>
                <w:rFonts w:eastAsia="Times New Roman"/>
                <w:sz w:val="22"/>
                <w:lang w:eastAsia="lv-LV"/>
              </w:rPr>
            </w:pPr>
            <w:r>
              <w:rPr>
                <w:sz w:val="22"/>
              </w:rPr>
              <w:t xml:space="preserve">4) </w:t>
            </w:r>
            <w:r>
              <w:rPr>
                <w:rFonts w:eastAsia="Times New Roman"/>
                <w:bCs/>
                <w:sz w:val="22"/>
                <w:lang w:eastAsia="lv-LV"/>
              </w:rPr>
              <w:t>Sabiedrisko pakalpojumu regulēšanas komisijas 2015. gada 26. februāra lēmuma Nr. 1/6</w:t>
            </w:r>
            <w:r>
              <w:rPr>
                <w:rFonts w:eastAsia="Times New Roman"/>
                <w:sz w:val="22"/>
                <w:lang w:eastAsia="lv-LV"/>
              </w:rPr>
              <w:t xml:space="preserve"> „Elektroenerģijas pārvades sistēmas pakalpojumu tarifu aprēķināšanas metodika” 1., 3., 83. un 90. punkts;</w:t>
            </w:r>
          </w:p>
          <w:p w:rsidR="000F14B4" w:rsidRDefault="00786C08">
            <w:pPr>
              <w:spacing w:after="0" w:line="240" w:lineRule="auto"/>
              <w:rPr>
                <w:sz w:val="22"/>
              </w:rPr>
            </w:pPr>
            <w:r>
              <w:rPr>
                <w:rFonts w:eastAsia="Times New Roman"/>
                <w:sz w:val="22"/>
                <w:lang w:eastAsia="lv-LV"/>
              </w:rPr>
              <w:lastRenderedPageBreak/>
              <w:t xml:space="preserve">5) </w:t>
            </w:r>
            <w:r>
              <w:rPr>
                <w:rFonts w:eastAsia="Times New Roman"/>
                <w:bCs/>
                <w:sz w:val="22"/>
                <w:lang w:eastAsia="lv-LV"/>
              </w:rPr>
              <w:t>Sabiedrisko pakalpojumu regulēšanas komisijas 2010. gada 14. aprīļa padomes lēmuma Nr. 1/7</w:t>
            </w:r>
            <w:r>
              <w:rPr>
                <w:rFonts w:eastAsia="Times New Roman"/>
                <w:sz w:val="22"/>
                <w:lang w:eastAsia="lv-LV"/>
              </w:rPr>
              <w:t xml:space="preserve"> „Siltumenerģijas apgādes pakalpojumu tarifu aprēķināšanas metodika” 1., 3., 7., 14. un 21. punkts</w:t>
            </w:r>
            <w:r>
              <w:rPr>
                <w:sz w:val="22"/>
              </w:rPr>
              <w:t>;</w:t>
            </w:r>
          </w:p>
          <w:p w:rsidR="000F14B4" w:rsidRDefault="00786C08">
            <w:pPr>
              <w:spacing w:after="0" w:line="240" w:lineRule="auto"/>
              <w:rPr>
                <w:b/>
                <w:color w:val="000000"/>
                <w:sz w:val="22"/>
              </w:rPr>
            </w:pPr>
            <w:r>
              <w:rPr>
                <w:sz w:val="22"/>
              </w:rPr>
              <w:t xml:space="preserve">6) </w:t>
            </w:r>
            <w:r>
              <w:rPr>
                <w:rFonts w:eastAsia="Times New Roman"/>
                <w:bCs/>
                <w:sz w:val="22"/>
                <w:lang w:eastAsia="lv-LV"/>
              </w:rPr>
              <w:t>Sabiedrisko pakalpojumu regulēšanas komisijas padomes lēmuma Nr. 1/32</w:t>
            </w:r>
            <w:r>
              <w:rPr>
                <w:rFonts w:eastAsia="Times New Roman"/>
                <w:sz w:val="22"/>
                <w:lang w:eastAsia="lv-LV"/>
              </w:rPr>
              <w:t xml:space="preserve"> „Elektroenerģijas sadales sistēmas pakalpojumu tarifu aprēķināšanas metodika” 51.2. un 59. punkts.</w:t>
            </w:r>
          </w:p>
        </w:tc>
        <w:tc>
          <w:tcPr>
            <w:tcW w:w="1660" w:type="dxa"/>
            <w:shd w:val="clear" w:color="auto" w:fill="auto"/>
            <w:tcMar>
              <w:left w:w="108" w:type="dxa"/>
            </w:tcMar>
          </w:tcPr>
          <w:p w:rsidR="000F14B4" w:rsidRDefault="00786C08">
            <w:pPr>
              <w:spacing w:after="0" w:line="240" w:lineRule="auto"/>
              <w:rPr>
                <w:sz w:val="22"/>
              </w:rPr>
            </w:pPr>
            <w:r>
              <w:rPr>
                <w:sz w:val="22"/>
              </w:rPr>
              <w:lastRenderedPageBreak/>
              <w:t>Neparedz stingrākas prasības</w:t>
            </w:r>
          </w:p>
        </w:tc>
      </w:tr>
      <w:tr w:rsidR="000F14B4">
        <w:tc>
          <w:tcPr>
            <w:tcW w:w="1538" w:type="dxa"/>
            <w:shd w:val="clear" w:color="auto" w:fill="auto"/>
            <w:tcMar>
              <w:left w:w="108" w:type="dxa"/>
            </w:tcMar>
          </w:tcPr>
          <w:p w:rsidR="000F14B4" w:rsidRDefault="00786C08">
            <w:pPr>
              <w:spacing w:after="0" w:line="240" w:lineRule="auto"/>
              <w:rPr>
                <w:sz w:val="22"/>
              </w:rPr>
            </w:pPr>
            <w:r>
              <w:rPr>
                <w:sz w:val="22"/>
              </w:rPr>
              <w:t xml:space="preserve">Direktīvas 2012/27/ES </w:t>
            </w:r>
            <w:r>
              <w:rPr>
                <w:rFonts w:eastAsia="Times New Roman"/>
                <w:sz w:val="22"/>
                <w:lang w:eastAsia="lv-LV"/>
              </w:rPr>
              <w:t>XI pielikums 3. punkts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color w:val="000000"/>
                <w:sz w:val="22"/>
              </w:rPr>
            </w:pPr>
            <w:r>
              <w:rPr>
                <w:color w:val="000000"/>
                <w:sz w:val="22"/>
              </w:rPr>
              <w:t>1) Elektroenerģijas tirgus likuma 20. un 27. pants;</w:t>
            </w:r>
          </w:p>
          <w:p w:rsidR="000F14B4" w:rsidRDefault="00786C08">
            <w:pPr>
              <w:spacing w:after="0" w:line="240" w:lineRule="auto"/>
              <w:rPr>
                <w:color w:val="000000"/>
                <w:sz w:val="22"/>
              </w:rPr>
            </w:pPr>
            <w:r>
              <w:rPr>
                <w:color w:val="000000"/>
                <w:sz w:val="22"/>
              </w:rPr>
              <w:t>2) Likuma „Par sabiedrisko pakalpojumu regulatoriem” 19. panta pirmā daļa un 20. pants;</w:t>
            </w:r>
          </w:p>
          <w:p w:rsidR="000F14B4" w:rsidRDefault="00786C08">
            <w:pPr>
              <w:spacing w:after="0" w:line="240" w:lineRule="auto"/>
              <w:rPr>
                <w:color w:val="000000"/>
                <w:sz w:val="22"/>
              </w:rPr>
            </w:pPr>
            <w:r>
              <w:rPr>
                <w:color w:val="000000"/>
                <w:sz w:val="22"/>
              </w:rPr>
              <w:t>3)</w:t>
            </w:r>
            <w:r>
              <w:rPr>
                <w:rFonts w:eastAsia="Times New Roman"/>
                <w:color w:val="FF0000"/>
                <w:sz w:val="22"/>
                <w:lang w:eastAsia="lv-LV"/>
              </w:rPr>
              <w:t xml:space="preserve"> </w:t>
            </w:r>
            <w:r>
              <w:rPr>
                <w:color w:val="000000"/>
                <w:sz w:val="22"/>
              </w:rPr>
              <w:t>AS „Sadales tīkls” Elektroenerģijas sadales sistēmas pakalpojumu diferencēto tarifu pielietošanas kārtību</w:t>
            </w:r>
            <w:r>
              <w:rPr>
                <w:rStyle w:val="FootnoteAnchor"/>
                <w:color w:val="000000"/>
                <w:sz w:val="22"/>
              </w:rPr>
              <w:footnoteReference w:id="60"/>
            </w:r>
            <w:r>
              <w:rPr>
                <w:color w:val="000000"/>
                <w:sz w:val="22"/>
              </w:rPr>
              <w:t>;</w:t>
            </w:r>
          </w:p>
          <w:p w:rsidR="000F14B4" w:rsidRDefault="00786C08">
            <w:pPr>
              <w:spacing w:after="0" w:line="240" w:lineRule="auto"/>
              <w:rPr>
                <w:rFonts w:eastAsia="Times New Roman"/>
                <w:sz w:val="22"/>
                <w:lang w:eastAsia="lv-LV"/>
              </w:rPr>
            </w:pPr>
            <w:r>
              <w:rPr>
                <w:sz w:val="22"/>
              </w:rPr>
              <w:t xml:space="preserve">4) </w:t>
            </w:r>
            <w:r>
              <w:rPr>
                <w:rFonts w:eastAsia="Times New Roman"/>
                <w:bCs/>
                <w:sz w:val="22"/>
                <w:lang w:eastAsia="lv-LV"/>
              </w:rPr>
              <w:t>Sabiedrisko pakalpojumu regulēšanas komisijas 2015. gada 26. februāra lēmuma Nr. 1/6</w:t>
            </w:r>
            <w:r>
              <w:rPr>
                <w:rFonts w:eastAsia="Times New Roman"/>
                <w:sz w:val="22"/>
                <w:lang w:eastAsia="lv-LV"/>
              </w:rPr>
              <w:t xml:space="preserve"> „Elektroenerģijas pārvades sistēmas pakalpojumu tarifu aprēķināšanas metodika” 1., 3., 83. un 90. punkts;</w:t>
            </w:r>
          </w:p>
          <w:p w:rsidR="000F14B4" w:rsidRDefault="00786C08">
            <w:pPr>
              <w:spacing w:after="0" w:line="240" w:lineRule="auto"/>
              <w:rPr>
                <w:sz w:val="22"/>
              </w:rPr>
            </w:pPr>
            <w:r>
              <w:rPr>
                <w:rFonts w:eastAsia="Times New Roman"/>
                <w:sz w:val="22"/>
                <w:lang w:eastAsia="lv-LV"/>
              </w:rPr>
              <w:t xml:space="preserve">5) </w:t>
            </w:r>
            <w:r>
              <w:rPr>
                <w:rFonts w:eastAsia="Times New Roman"/>
                <w:bCs/>
                <w:sz w:val="22"/>
                <w:lang w:eastAsia="lv-LV"/>
              </w:rPr>
              <w:t>Sabiedrisko pakalpojumu regulēšanas komisijas 2010. gada 14. aprīļa padomes lēmuma Nr. 1/7</w:t>
            </w:r>
            <w:r>
              <w:rPr>
                <w:rFonts w:eastAsia="Times New Roman"/>
                <w:sz w:val="22"/>
                <w:lang w:eastAsia="lv-LV"/>
              </w:rPr>
              <w:t xml:space="preserve"> „Siltumenerģijas apgādes pakalpojumu tarifu aprēķināšanas metodika” 1., 3., 7., 14. un 21. punkts</w:t>
            </w:r>
            <w:r>
              <w:rPr>
                <w:sz w:val="22"/>
              </w:rPr>
              <w:t>;</w:t>
            </w:r>
          </w:p>
          <w:p w:rsidR="000F14B4" w:rsidRDefault="00786C08">
            <w:pPr>
              <w:spacing w:after="0" w:line="240" w:lineRule="auto"/>
              <w:rPr>
                <w:b/>
                <w:color w:val="000000"/>
                <w:sz w:val="22"/>
              </w:rPr>
            </w:pPr>
            <w:r>
              <w:rPr>
                <w:sz w:val="22"/>
              </w:rPr>
              <w:t xml:space="preserve">6) </w:t>
            </w:r>
            <w:r>
              <w:rPr>
                <w:rFonts w:eastAsia="Times New Roman"/>
                <w:bCs/>
                <w:sz w:val="22"/>
                <w:lang w:eastAsia="lv-LV"/>
              </w:rPr>
              <w:t>Sabiedrisko pakalpojumu regulēšanas komisijas padomes lēmuma Nr. 1/32</w:t>
            </w:r>
            <w:r>
              <w:rPr>
                <w:rFonts w:eastAsia="Times New Roman"/>
                <w:sz w:val="22"/>
                <w:lang w:eastAsia="lv-LV"/>
              </w:rPr>
              <w:t xml:space="preserve"> „Elektroenerģijas sadales sistēmas pakalpojumu tarifu aprēķināšanas metodika” 51.2. un 59.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XII pielikums 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Cs/>
                <w:sz w:val="22"/>
                <w:lang w:eastAsia="lv-LV"/>
              </w:rPr>
            </w:pPr>
            <w:r>
              <w:rPr>
                <w:rFonts w:eastAsia="Times New Roman"/>
                <w:bCs/>
                <w:sz w:val="22"/>
                <w:lang w:eastAsia="lv-LV"/>
              </w:rPr>
              <w:t>Sabiedrisko pakalpojumu regulēšanas komisijas 2012. gada 22. februāra lēmuma Nr. 1/5 „Sistēmas pieslēguma noteikumi elektroenerģijas sistēmas dalībniekiem” 7. un 40.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sz w:val="22"/>
              </w:rPr>
            </w:pPr>
            <w:r>
              <w:rPr>
                <w:sz w:val="22"/>
              </w:rPr>
              <w:t xml:space="preserve">Direktīvas 2012/27/ES </w:t>
            </w:r>
            <w:r>
              <w:rPr>
                <w:rFonts w:eastAsia="Times New Roman"/>
                <w:sz w:val="22"/>
                <w:lang w:eastAsia="lv-LV"/>
              </w:rPr>
              <w:t>XII pielikums b)</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Cs/>
                <w:sz w:val="22"/>
                <w:lang w:eastAsia="lv-LV"/>
              </w:rPr>
            </w:pPr>
            <w:r>
              <w:rPr>
                <w:rFonts w:eastAsia="Times New Roman"/>
                <w:sz w:val="22"/>
                <w:lang w:eastAsia="lv-LV"/>
              </w:rPr>
              <w:t xml:space="preserve">Prasības pārņemtas ar </w:t>
            </w:r>
            <w:r>
              <w:rPr>
                <w:rFonts w:eastAsia="Times New Roman"/>
                <w:bCs/>
                <w:sz w:val="22"/>
                <w:lang w:eastAsia="lv-LV"/>
              </w:rPr>
              <w:t>Sabiedrisko pakalpojumu regulēšanas komisijas 2012. gada 22. februāra lēmuma Nr. 1/5 „Sistēmas pieslēguma noteikumi elektroenerģijas sistēmas dalībniekiem” 8. un 40.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sz w:val="22"/>
              </w:rPr>
            </w:pPr>
            <w:r>
              <w:rPr>
                <w:sz w:val="22"/>
              </w:rPr>
              <w:t xml:space="preserve">Direktīvas 2012/27/ES </w:t>
            </w:r>
            <w:r>
              <w:rPr>
                <w:rFonts w:eastAsia="Times New Roman"/>
                <w:sz w:val="22"/>
                <w:lang w:eastAsia="lv-LV"/>
              </w:rPr>
              <w:t>XII pielikums c)</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Pārņemts pilnībā</w:t>
            </w:r>
          </w:p>
          <w:p w:rsidR="000F14B4" w:rsidRDefault="00786C08">
            <w:pPr>
              <w:spacing w:after="0" w:line="240" w:lineRule="auto"/>
              <w:rPr>
                <w:rFonts w:eastAsia="Times New Roman"/>
                <w:bCs/>
                <w:sz w:val="22"/>
                <w:lang w:eastAsia="lv-LV"/>
              </w:rPr>
            </w:pPr>
            <w:r>
              <w:rPr>
                <w:rFonts w:eastAsia="Times New Roman"/>
                <w:sz w:val="22"/>
                <w:lang w:eastAsia="lv-LV"/>
              </w:rPr>
              <w:t xml:space="preserve">Prasības pārņemtas ar </w:t>
            </w:r>
            <w:r>
              <w:rPr>
                <w:rFonts w:eastAsia="Times New Roman"/>
                <w:bCs/>
                <w:sz w:val="22"/>
                <w:lang w:eastAsia="lv-LV"/>
              </w:rPr>
              <w:t>Sabiedrisko pakalpojumu regulēšanas komisijas 2012. gada 22. februāra lēmuma Nr. 1/5 „Sistēmas pieslēguma noteikumi elektroenerģijas sistēmas dalībniekiem” 4. un 40. punkts.</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lastRenderedPageBreak/>
              <w:t xml:space="preserve">Direktīvas 2012/27/ES </w:t>
            </w:r>
            <w:r>
              <w:rPr>
                <w:rFonts w:eastAsia="Times New Roman"/>
                <w:sz w:val="22"/>
                <w:lang w:eastAsia="lv-LV"/>
              </w:rPr>
              <w:t>XIII pielikums</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rPr>
                <w:color w:val="000000"/>
                <w:sz w:val="22"/>
              </w:rPr>
            </w:pPr>
            <w:r>
              <w:rPr>
                <w:color w:val="000000"/>
                <w:sz w:val="22"/>
              </w:rPr>
              <w:t>Prasības pārņemtas ar Energoefektivitātes likuma  14. panta otro daļu.</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XIV pielikuma pirmā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b/>
                <w:color w:val="000000"/>
                <w:sz w:val="22"/>
              </w:rPr>
            </w:pPr>
            <w:r>
              <w:rPr>
                <w:b/>
                <w:color w:val="000000"/>
                <w:sz w:val="22"/>
              </w:rPr>
              <w:t>Pārņemts pilnībā</w:t>
            </w:r>
          </w:p>
          <w:p w:rsidR="000F14B4" w:rsidRDefault="00786C08">
            <w:pPr>
              <w:spacing w:after="0" w:line="240" w:lineRule="auto"/>
              <w:jc w:val="both"/>
              <w:rPr>
                <w:color w:val="000000"/>
                <w:sz w:val="22"/>
              </w:rPr>
            </w:pPr>
            <w:r>
              <w:rPr>
                <w:color w:val="000000"/>
                <w:sz w:val="22"/>
              </w:rPr>
              <w:t xml:space="preserve">Prasības pārņemtas ar ikgadējo ziņojumu </w:t>
            </w:r>
            <w:r>
              <w:rPr>
                <w:sz w:val="22"/>
              </w:rPr>
              <w:t>“Ziņojums par virzību uz valsts energoefektivitātes mērķu 2020. gadam izpildi par 2013. gadu, atbilstoši Direktīvas 2012/27/ES 24. panta 1.punkta un XIV pielikuma 1.daļas prasībām” (Iesniegts Eiropas Komisijai 2015.gada 2.maijā)</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sz w:val="22"/>
              </w:rPr>
              <w:t xml:space="preserve">Direktīvas 2012/27/ES </w:t>
            </w:r>
            <w:r>
              <w:rPr>
                <w:rFonts w:eastAsia="Times New Roman"/>
                <w:sz w:val="22"/>
                <w:lang w:eastAsia="lv-LV"/>
              </w:rPr>
              <w:t>XIV pielikuma otrā daļa</w:t>
            </w:r>
          </w:p>
        </w:tc>
        <w:tc>
          <w:tcPr>
            <w:tcW w:w="1295" w:type="dxa"/>
            <w:shd w:val="clear" w:color="auto" w:fill="auto"/>
            <w:tcMar>
              <w:left w:w="108" w:type="dxa"/>
            </w:tcMar>
          </w:tcPr>
          <w:p w:rsidR="000F14B4" w:rsidRDefault="000F14B4">
            <w:pPr>
              <w:spacing w:after="0" w:line="240" w:lineRule="auto"/>
              <w:rPr>
                <w:rFonts w:eastAsia="Times New Roman"/>
                <w:sz w:val="22"/>
                <w:lang w:eastAsia="lv-LV"/>
              </w:rPr>
            </w:pPr>
          </w:p>
        </w:tc>
        <w:tc>
          <w:tcPr>
            <w:tcW w:w="4577" w:type="dxa"/>
            <w:shd w:val="clear" w:color="auto" w:fill="auto"/>
            <w:tcMar>
              <w:left w:w="108" w:type="dxa"/>
            </w:tcMar>
          </w:tcPr>
          <w:p w:rsidR="000F14B4" w:rsidRDefault="00786C08">
            <w:pPr>
              <w:spacing w:after="0" w:line="240" w:lineRule="auto"/>
              <w:rPr>
                <w:rFonts w:eastAsia="Times New Roman"/>
                <w:b/>
                <w:sz w:val="22"/>
                <w:lang w:eastAsia="lv-LV"/>
              </w:rPr>
            </w:pPr>
            <w:r>
              <w:rPr>
                <w:rFonts w:eastAsia="Times New Roman"/>
                <w:b/>
                <w:sz w:val="22"/>
                <w:lang w:eastAsia="lv-LV"/>
              </w:rPr>
              <w:t xml:space="preserve">Pārņemts pilnībā </w:t>
            </w:r>
          </w:p>
          <w:p w:rsidR="000F14B4" w:rsidRDefault="00786C08">
            <w:pPr>
              <w:spacing w:after="0" w:line="240" w:lineRule="auto"/>
              <w:rPr>
                <w:color w:val="000000"/>
                <w:sz w:val="22"/>
              </w:rPr>
            </w:pPr>
            <w:r>
              <w:rPr>
                <w:rFonts w:eastAsia="Times New Roman"/>
                <w:sz w:val="22"/>
                <w:lang w:eastAsia="lv-LV"/>
              </w:rPr>
              <w:t>Prasība pārņemta ar informatīvo ziņojumu “</w:t>
            </w:r>
            <w:r>
              <w:rPr>
                <w:sz w:val="22"/>
              </w:rPr>
              <w:t xml:space="preserve">Par virzību uz indikatīvo valsts energoefektivitātes mērķi 2014. – 2016. gadā saskaņā ar </w:t>
            </w:r>
            <w:r>
              <w:rPr>
                <w:bCs/>
                <w:color w:val="000000"/>
                <w:sz w:val="22"/>
              </w:rPr>
              <w:t>Eiropas Parlamenta un Padomes 2012. gada 25. oktobra Direktīvu 2012/27/ES par energoefektivitāti, ar ko groza Direktīvas 2009/125/EK un 2010/30/ES un atceļ Direktīvas 2004/8/EK un 2006/32/EK” (iesniegts Eiropas Komisijā 2014. gada 9. jūnijā)</w:t>
            </w:r>
            <w:r>
              <w:rPr>
                <w:bCs/>
                <w:color w:val="000000"/>
                <w:sz w:val="22"/>
                <w:u w:val="single"/>
              </w:rPr>
              <w:t xml:space="preserve"> </w:t>
            </w:r>
          </w:p>
        </w:tc>
        <w:tc>
          <w:tcPr>
            <w:tcW w:w="1660" w:type="dxa"/>
            <w:shd w:val="clear" w:color="auto" w:fill="auto"/>
            <w:tcMar>
              <w:left w:w="108" w:type="dxa"/>
            </w:tcMar>
          </w:tcPr>
          <w:p w:rsidR="000F14B4" w:rsidRDefault="00786C08">
            <w:pPr>
              <w:spacing w:after="0" w:line="240" w:lineRule="auto"/>
              <w:rPr>
                <w:sz w:val="22"/>
              </w:rPr>
            </w:pPr>
            <w:r>
              <w:rPr>
                <w:sz w:val="22"/>
              </w:rPr>
              <w:t>Neparedz stingrākas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Kā ir izmantota ES tiesību aktā paredzētā rīcības brīvība dalībvalstij pārņemt vai ieviest noteiktas ES tiesību akta normas?</w:t>
            </w:r>
            <w:r>
              <w:rPr>
                <w:rFonts w:eastAsia="Times New Roman"/>
                <w:sz w:val="22"/>
                <w:lang w:eastAsia="lv-LV"/>
              </w:rPr>
              <w:br/>
              <w:t>Kādēļ?</w:t>
            </w:r>
          </w:p>
        </w:tc>
        <w:tc>
          <w:tcPr>
            <w:tcW w:w="7532" w:type="dxa"/>
            <w:gridSpan w:val="3"/>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32" w:type="dxa"/>
            <w:gridSpan w:val="3"/>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Projekts šo jomu neskar.</w:t>
            </w:r>
          </w:p>
        </w:tc>
      </w:tr>
      <w:tr w:rsidR="000F14B4">
        <w:tc>
          <w:tcPr>
            <w:tcW w:w="1538" w:type="dxa"/>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lastRenderedPageBreak/>
              <w:t>Cita informācija</w:t>
            </w:r>
          </w:p>
        </w:tc>
        <w:tc>
          <w:tcPr>
            <w:tcW w:w="7532" w:type="dxa"/>
            <w:gridSpan w:val="3"/>
            <w:shd w:val="clear" w:color="auto" w:fill="auto"/>
            <w:tcMar>
              <w:left w:w="108" w:type="dxa"/>
            </w:tcMar>
          </w:tcPr>
          <w:p w:rsidR="000F14B4" w:rsidRDefault="00786C08">
            <w:pPr>
              <w:spacing w:after="0" w:line="240" w:lineRule="auto"/>
              <w:jc w:val="both"/>
              <w:rPr>
                <w:rFonts w:eastAsia="Times New Roman"/>
                <w:sz w:val="22"/>
                <w:lang w:eastAsia="lv-LV"/>
              </w:rPr>
            </w:pPr>
            <w:r>
              <w:rPr>
                <w:rFonts w:eastAsia="Times New Roman"/>
                <w:sz w:val="22"/>
                <w:lang w:eastAsia="lv-LV"/>
              </w:rPr>
              <w:t>Lai pilnībā pārņemtu Direktīvas 2012/27/ES prasības, līdz 2016. gada 1. jūlijam Ministru kabinetā tiks pieņemti šādi noteikumu projekti vai grozījumi Ministru kabineta noteikumos:</w:t>
            </w:r>
          </w:p>
          <w:p w:rsidR="000F14B4" w:rsidRDefault="00786C08">
            <w:pPr>
              <w:spacing w:after="0" w:line="240" w:lineRule="auto"/>
              <w:jc w:val="both"/>
              <w:rPr>
                <w:rFonts w:eastAsia="Times New Roman"/>
                <w:sz w:val="22"/>
                <w:lang w:eastAsia="lv-LV"/>
              </w:rPr>
            </w:pPr>
            <w:r>
              <w:rPr>
                <w:rFonts w:eastAsia="Times New Roman"/>
                <w:sz w:val="22"/>
                <w:lang w:eastAsia="lv-LV"/>
              </w:rPr>
              <w:t>1) Ministru kabineta noteikumu projekts “Noteikumi par valsts energoefektivitātes fondu”;</w:t>
            </w:r>
          </w:p>
          <w:p w:rsidR="000F14B4" w:rsidRDefault="00786C08">
            <w:pPr>
              <w:spacing w:after="0" w:line="240" w:lineRule="auto"/>
              <w:jc w:val="both"/>
              <w:rPr>
                <w:rFonts w:eastAsia="Times New Roman"/>
                <w:sz w:val="22"/>
                <w:lang w:eastAsia="lv-LV"/>
              </w:rPr>
            </w:pPr>
            <w:r>
              <w:rPr>
                <w:rFonts w:eastAsia="Times New Roman"/>
                <w:sz w:val="22"/>
                <w:lang w:eastAsia="lv-LV"/>
              </w:rPr>
              <w:t>2) Ministru kabineta noteikumu projekts “Kārtību, kādā tiek noslēgta un pārraudzīta vienošanās par energoefektivitātes paaugstināšanu”;</w:t>
            </w:r>
          </w:p>
          <w:p w:rsidR="000F14B4" w:rsidRDefault="00786C08">
            <w:pPr>
              <w:spacing w:after="0" w:line="240" w:lineRule="auto"/>
              <w:jc w:val="both"/>
              <w:rPr>
                <w:rFonts w:eastAsia="Times New Roman"/>
                <w:sz w:val="22"/>
                <w:lang w:eastAsia="lv-LV"/>
              </w:rPr>
            </w:pPr>
            <w:r>
              <w:rPr>
                <w:rFonts w:eastAsia="Times New Roman"/>
                <w:sz w:val="22"/>
                <w:lang w:eastAsia="lv-LV"/>
              </w:rPr>
              <w:t>3) Ministru kabineta noteikumu projekts „Energoefektivitātes pienākumu shēma”;</w:t>
            </w:r>
          </w:p>
          <w:p w:rsidR="000F14B4" w:rsidRDefault="00786C08">
            <w:pPr>
              <w:spacing w:after="0" w:line="240" w:lineRule="auto"/>
              <w:jc w:val="both"/>
              <w:rPr>
                <w:rFonts w:eastAsia="Times New Roman"/>
                <w:sz w:val="22"/>
                <w:lang w:eastAsia="lv-LV"/>
              </w:rPr>
            </w:pPr>
            <w:r>
              <w:rPr>
                <w:rFonts w:eastAsia="Times New Roman"/>
                <w:sz w:val="22"/>
                <w:lang w:eastAsia="lv-LV"/>
              </w:rPr>
              <w:t>4) Ministru kabineta noteikumu projekts „Uzņēmumu energoaudita noteikumi”;</w:t>
            </w:r>
          </w:p>
          <w:p w:rsidR="000F14B4" w:rsidRDefault="00786C08">
            <w:pPr>
              <w:spacing w:after="0" w:line="240" w:lineRule="auto"/>
              <w:jc w:val="both"/>
              <w:rPr>
                <w:rFonts w:eastAsia="Times New Roman"/>
                <w:sz w:val="22"/>
                <w:lang w:eastAsia="lv-LV"/>
              </w:rPr>
            </w:pPr>
            <w:r>
              <w:rPr>
                <w:rFonts w:eastAsia="Times New Roman"/>
                <w:sz w:val="22"/>
                <w:lang w:eastAsia="lv-LV"/>
              </w:rPr>
              <w:t>5) Ministru kabineta noteikumu projekts “Noteikumi par tiešo pārvaldes iestāžu rīkotajos iepirkumos izvirzāmajām preču un pakalpojumu energoefektivitātes prasībām”</w:t>
            </w:r>
          </w:p>
          <w:p w:rsidR="000F14B4" w:rsidRDefault="00786C08">
            <w:pPr>
              <w:spacing w:after="0" w:line="240" w:lineRule="auto"/>
              <w:jc w:val="both"/>
              <w:rPr>
                <w:rFonts w:eastAsia="Times New Roman"/>
                <w:sz w:val="22"/>
                <w:lang w:eastAsia="lv-LV"/>
              </w:rPr>
            </w:pPr>
            <w:r>
              <w:rPr>
                <w:rFonts w:eastAsia="Times New Roman"/>
                <w:sz w:val="22"/>
                <w:lang w:eastAsia="lv-LV"/>
              </w:rPr>
              <w:t>6) Ministru kabineta noteikumu projekts “Grozījumi Ministru kabineta 2010. gada 8. jūnija noteikumos Nr. 519 „Noteikumi par publisko iepirkumu līgumcenas robežām””;</w:t>
            </w:r>
          </w:p>
          <w:p w:rsidR="000F14B4" w:rsidRDefault="00786C08">
            <w:pPr>
              <w:spacing w:after="0" w:line="240" w:lineRule="auto"/>
              <w:jc w:val="both"/>
              <w:rPr>
                <w:sz w:val="22"/>
              </w:rPr>
            </w:pPr>
            <w:r>
              <w:rPr>
                <w:sz w:val="22"/>
              </w:rPr>
              <w:t>7) Ministru kabineta noteikumu projekts “Energoefektivitātes nodevas noteikumi”;</w:t>
            </w:r>
          </w:p>
          <w:p w:rsidR="000F14B4" w:rsidRDefault="00786C08">
            <w:pPr>
              <w:spacing w:after="0" w:line="240" w:lineRule="auto"/>
              <w:jc w:val="both"/>
              <w:rPr>
                <w:sz w:val="22"/>
              </w:rPr>
            </w:pPr>
            <w:r>
              <w:rPr>
                <w:sz w:val="22"/>
              </w:rPr>
              <w:t>8) Ministru kabineta noteikumu projekts “Enerģijas maksas noteikšanas metodika”;</w:t>
            </w:r>
          </w:p>
          <w:p w:rsidR="000F14B4" w:rsidRDefault="00786C08">
            <w:pPr>
              <w:spacing w:after="0" w:line="240" w:lineRule="auto"/>
              <w:jc w:val="both"/>
              <w:rPr>
                <w:sz w:val="22"/>
              </w:rPr>
            </w:pPr>
            <w:r>
              <w:rPr>
                <w:sz w:val="22"/>
              </w:rPr>
              <w:t>9) Ministru kabineta noteikumu projekts “Energoefektivitātes monitoringa noteikumi”</w:t>
            </w:r>
          </w:p>
          <w:p w:rsidR="000F14B4" w:rsidRDefault="00786C08">
            <w:pPr>
              <w:spacing w:after="0" w:line="240" w:lineRule="auto"/>
              <w:jc w:val="both"/>
              <w:rPr>
                <w:rFonts w:eastAsia="Times New Roman"/>
                <w:sz w:val="22"/>
                <w:lang w:eastAsia="lv-LV"/>
              </w:rPr>
            </w:pPr>
            <w:r>
              <w:rPr>
                <w:rFonts w:eastAsia="Times New Roman"/>
                <w:sz w:val="22"/>
                <w:lang w:eastAsia="lv-LV"/>
              </w:rPr>
              <w:t>10) Ministru kabineta noteikumu projekts “Kārtība, kādā valsts iestāde vai pašvaldība paziņo par energopārvaldības sistēmas ieviešanu un tiek pārbaudīta un apstiprināta energopārvaldības sistēmas ieviešana valsts iestādē vai pašvaldībā”</w:t>
            </w:r>
          </w:p>
          <w:p w:rsidR="000F14B4" w:rsidRDefault="00786C08">
            <w:pPr>
              <w:spacing w:after="0" w:line="240" w:lineRule="auto"/>
              <w:jc w:val="both"/>
              <w:rPr>
                <w:sz w:val="22"/>
              </w:rPr>
            </w:pPr>
            <w:r>
              <w:rPr>
                <w:rFonts w:eastAsia="Times New Roman"/>
                <w:sz w:val="22"/>
                <w:lang w:eastAsia="lv-LV"/>
              </w:rPr>
              <w:t>11) N</w:t>
            </w:r>
            <w:r>
              <w:rPr>
                <w:sz w:val="22"/>
              </w:rPr>
              <w:t>epieciešamības gadījumā citi ārēji vai iekšēji normatīvo aktu projekti.</w:t>
            </w:r>
          </w:p>
          <w:p w:rsidR="000F14B4" w:rsidRDefault="00786C08">
            <w:pPr>
              <w:spacing w:after="0" w:line="240" w:lineRule="auto"/>
              <w:jc w:val="both"/>
              <w:rPr>
                <w:sz w:val="22"/>
              </w:rPr>
            </w:pPr>
            <w:r>
              <w:rPr>
                <w:bCs/>
                <w:sz w:val="22"/>
              </w:rPr>
              <w:t>K</w:t>
            </w:r>
            <w:r>
              <w:rPr>
                <w:sz w:val="22"/>
              </w:rPr>
              <w:t>ārtību, kādā sniedzami paziņojumi par Direktīvas 2012/27/ES izpildes pasākumiem,</w:t>
            </w:r>
            <w:r>
              <w:rPr>
                <w:b/>
                <w:bCs/>
                <w:sz w:val="22"/>
              </w:rPr>
              <w:t xml:space="preserve"> </w:t>
            </w:r>
            <w:r>
              <w:rPr>
                <w:bCs/>
                <w:sz w:val="22"/>
              </w:rPr>
              <w:t>nosaka Ministru kabineta 2012. gada 10. aprīļa noteikumi Nr. 255 “</w:t>
            </w:r>
            <w:r>
              <w:rPr>
                <w:sz w:val="22"/>
              </w:rPr>
              <w:t>Eiropas Savienības tiesību aktu pārņemšanas un ieviešanas kontroles un koordinācijas noteikumi</w:t>
            </w:r>
            <w:r>
              <w:rPr>
                <w:bCs/>
                <w:sz w:val="22"/>
              </w:rPr>
              <w:t>”.</w:t>
            </w:r>
          </w:p>
        </w:tc>
      </w:tr>
      <w:tr w:rsidR="000F14B4">
        <w:tc>
          <w:tcPr>
            <w:tcW w:w="9070" w:type="dxa"/>
            <w:gridSpan w:val="4"/>
            <w:shd w:val="clear" w:color="auto" w:fill="auto"/>
            <w:tcMar>
              <w:left w:w="108" w:type="dxa"/>
            </w:tcMar>
          </w:tcPr>
          <w:p w:rsidR="000F14B4" w:rsidRDefault="00786C08">
            <w:pPr>
              <w:spacing w:after="0" w:line="240" w:lineRule="auto"/>
              <w:jc w:val="center"/>
              <w:rPr>
                <w:rFonts w:eastAsia="Times New Roman"/>
                <w:b/>
                <w:bCs/>
                <w:sz w:val="22"/>
                <w:lang w:eastAsia="lv-LV"/>
              </w:rPr>
            </w:pPr>
            <w:r>
              <w:rPr>
                <w:rFonts w:eastAsia="Times New Roman"/>
                <w:b/>
                <w:bCs/>
                <w:sz w:val="22"/>
                <w:lang w:eastAsia="lv-LV"/>
              </w:rPr>
              <w:t>2. tabula</w:t>
            </w:r>
            <w:r>
              <w:rPr>
                <w:rFonts w:eastAsia="Times New Roman"/>
                <w:b/>
                <w:bCs/>
                <w:sz w:val="22"/>
                <w:lang w:eastAsia="lv-LV"/>
              </w:rPr>
              <w:br/>
              <w:t>Ar tiesību akta projektu izpildītās vai uzņemtās saistības, kas izriet no starptautiskajiem tiesību aktiem vai starptautiskas institūcijas vai organizācijas dokumentiem.</w:t>
            </w:r>
            <w:r>
              <w:rPr>
                <w:rFonts w:eastAsia="Times New Roman"/>
                <w:b/>
                <w:bCs/>
                <w:sz w:val="22"/>
                <w:lang w:eastAsia="lv-LV"/>
              </w:rPr>
              <w:br/>
              <w:t>Pasākumi šo saistību izpildei</w:t>
            </w:r>
          </w:p>
        </w:tc>
      </w:tr>
      <w:tr w:rsidR="000F14B4">
        <w:tc>
          <w:tcPr>
            <w:tcW w:w="9070" w:type="dxa"/>
            <w:gridSpan w:val="4"/>
            <w:shd w:val="clear" w:color="auto" w:fill="auto"/>
            <w:tcMar>
              <w:left w:w="108" w:type="dxa"/>
            </w:tcMar>
          </w:tcPr>
          <w:p w:rsidR="000F14B4" w:rsidRDefault="00786C08">
            <w:pPr>
              <w:spacing w:after="0" w:line="240" w:lineRule="auto"/>
              <w:rPr>
                <w:rFonts w:eastAsia="Times New Roman"/>
                <w:sz w:val="22"/>
                <w:lang w:eastAsia="lv-LV"/>
              </w:rPr>
            </w:pPr>
            <w:r>
              <w:rPr>
                <w:rFonts w:eastAsia="Times New Roman"/>
                <w:sz w:val="22"/>
                <w:lang w:eastAsia="lv-LV"/>
              </w:rPr>
              <w:t>Projekts šo jomu neskar.</w:t>
            </w:r>
          </w:p>
        </w:tc>
      </w:tr>
    </w:tbl>
    <w:p w:rsidR="000F14B4" w:rsidRDefault="000F14B4">
      <w:pPr>
        <w:spacing w:after="0" w:line="240" w:lineRule="auto"/>
        <w:rPr>
          <w:sz w:val="22"/>
        </w:rPr>
      </w:pPr>
    </w:p>
    <w:tbl>
      <w:tblPr>
        <w:tblW w:w="5000" w:type="pct"/>
        <w:tblInd w:w="-25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30" w:type="dxa"/>
          <w:left w:w="29" w:type="dxa"/>
          <w:bottom w:w="30" w:type="dxa"/>
          <w:right w:w="30" w:type="dxa"/>
        </w:tblCellMar>
        <w:tblLook w:val="04A0" w:firstRow="1" w:lastRow="0" w:firstColumn="1" w:lastColumn="0" w:noHBand="0" w:noVBand="1"/>
      </w:tblPr>
      <w:tblGrid>
        <w:gridCol w:w="9055"/>
      </w:tblGrid>
      <w:tr w:rsidR="000F14B4">
        <w:tc>
          <w:tcPr>
            <w:tcW w:w="907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center"/>
              <w:rPr>
                <w:rFonts w:eastAsia="Times New Roman"/>
                <w:b/>
                <w:bCs/>
                <w:sz w:val="22"/>
                <w:lang w:eastAsia="lv-LV"/>
              </w:rPr>
            </w:pPr>
            <w:r>
              <w:rPr>
                <w:rFonts w:eastAsia="Times New Roman"/>
                <w:b/>
                <w:bCs/>
                <w:sz w:val="22"/>
                <w:lang w:eastAsia="lv-LV"/>
              </w:rPr>
              <w:t>VI. Sabiedrības līdzdalība un komunikācijas aktivitātes</w:t>
            </w:r>
          </w:p>
        </w:tc>
      </w:tr>
      <w:tr w:rsidR="000F14B4">
        <w:tc>
          <w:tcPr>
            <w:tcW w:w="9071"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color w:val="000000"/>
                <w:sz w:val="22"/>
              </w:rPr>
              <w:t>1. Sabiedrība savu viedokli var izteikt pēc Ministru kabineta noteikumu projekta publicēšanas Ekonomikas ministrijas tīmekļa vietnē un izsludināšanas Valsts sekretāru sanāksmē.</w:t>
            </w:r>
          </w:p>
        </w:tc>
      </w:tr>
      <w:tr w:rsidR="000F14B4">
        <w:tc>
          <w:tcPr>
            <w:tcW w:w="9071" w:type="dxa"/>
            <w:tcBorders>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pPr>
            <w:r>
              <w:t>2. Ekonomikas ministrijas tīmekļa vietnē tika izteikts aicinājums izteikt priekšlikumus un iebildumus noteikumu projekta izstrādei. Ekonomikas ministrija ir konsultējusies ar REEKP pārstāvi.</w:t>
            </w:r>
          </w:p>
        </w:tc>
      </w:tr>
      <w:tr w:rsidR="000F14B4">
        <w:tc>
          <w:tcPr>
            <w:tcW w:w="9071" w:type="dxa"/>
            <w:tcBorders>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pPr>
            <w:r>
              <w:t>3. Netika izteikti nekādi būtiski, vērā ņemami priekšlikumi.</w:t>
            </w:r>
          </w:p>
        </w:tc>
      </w:tr>
    </w:tbl>
    <w:p w:rsidR="000F14B4" w:rsidRDefault="000F14B4">
      <w:pPr>
        <w:spacing w:after="0" w:line="240" w:lineRule="auto"/>
        <w:rPr>
          <w:sz w:val="22"/>
        </w:rPr>
      </w:pPr>
    </w:p>
    <w:tbl>
      <w:tblPr>
        <w:tblW w:w="5000" w:type="pct"/>
        <w:tblInd w:w="-25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30" w:type="dxa"/>
          <w:left w:w="29" w:type="dxa"/>
          <w:bottom w:w="30" w:type="dxa"/>
          <w:right w:w="30" w:type="dxa"/>
        </w:tblCellMar>
        <w:tblLook w:val="04A0" w:firstRow="1" w:lastRow="0" w:firstColumn="1" w:lastColumn="0" w:noHBand="0" w:noVBand="1"/>
      </w:tblPr>
      <w:tblGrid>
        <w:gridCol w:w="916"/>
        <w:gridCol w:w="2472"/>
        <w:gridCol w:w="5667"/>
      </w:tblGrid>
      <w:tr w:rsidR="000F14B4">
        <w:tc>
          <w:tcPr>
            <w:tcW w:w="9071" w:type="dxa"/>
            <w:gridSpan w:val="3"/>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center"/>
              <w:rPr>
                <w:rFonts w:eastAsia="Times New Roman"/>
                <w:b/>
                <w:bCs/>
                <w:sz w:val="22"/>
                <w:lang w:eastAsia="lv-LV"/>
              </w:rPr>
            </w:pPr>
            <w:r>
              <w:rPr>
                <w:rFonts w:eastAsia="Times New Roman"/>
                <w:b/>
                <w:bCs/>
                <w:sz w:val="22"/>
                <w:lang w:eastAsia="lv-LV"/>
              </w:rPr>
              <w:t>VII. Tiesību akta projekta izpildes nodrošināšana un tās ietekme uz institūcijām</w:t>
            </w:r>
          </w:p>
        </w:tc>
      </w:tr>
      <w:tr w:rsidR="000F14B4">
        <w:tc>
          <w:tcPr>
            <w:tcW w:w="917"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1.</w:t>
            </w:r>
          </w:p>
        </w:tc>
        <w:tc>
          <w:tcPr>
            <w:tcW w:w="2475"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Projekta izpildē iesaistītās institūcijas</w:t>
            </w:r>
          </w:p>
        </w:tc>
        <w:tc>
          <w:tcPr>
            <w:tcW w:w="5679"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both"/>
              <w:rPr>
                <w:rFonts w:eastAsia="Times New Roman"/>
                <w:sz w:val="22"/>
                <w:lang w:eastAsia="lv-LV"/>
              </w:rPr>
            </w:pPr>
            <w:r>
              <w:rPr>
                <w:rFonts w:eastAsia="Times New Roman"/>
                <w:sz w:val="22"/>
                <w:lang w:eastAsia="lv-LV"/>
              </w:rPr>
              <w:t>Komersanti, komersantus pārstāvošas organizācijas, pašvaldības.</w:t>
            </w:r>
          </w:p>
        </w:tc>
      </w:tr>
      <w:tr w:rsidR="000F14B4">
        <w:tc>
          <w:tcPr>
            <w:tcW w:w="917"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2.</w:t>
            </w:r>
          </w:p>
        </w:tc>
        <w:tc>
          <w:tcPr>
            <w:tcW w:w="2475"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Projekta izpildes ietekme uz pārvaldes funkcijām un institucionālo struktūru.</w:t>
            </w:r>
          </w:p>
          <w:p w:rsidR="000F14B4" w:rsidRDefault="00786C08">
            <w:pPr>
              <w:shd w:val="clear" w:color="auto" w:fill="FFFFFF"/>
              <w:spacing w:after="0" w:line="240" w:lineRule="auto"/>
              <w:rPr>
                <w:rFonts w:eastAsia="Times New Roman"/>
                <w:sz w:val="22"/>
                <w:lang w:eastAsia="lv-LV"/>
              </w:rPr>
            </w:pPr>
            <w:r>
              <w:rPr>
                <w:rFonts w:eastAsia="Times New Roman"/>
                <w:sz w:val="22"/>
                <w:lang w:eastAsia="lv-LV"/>
              </w:rPr>
              <w:t>Jaunu institūciju izveide, esošu institūciju likvidācija vai reorganizācija, to ietekme uz institūcijas cilvēkresursiem</w:t>
            </w:r>
          </w:p>
        </w:tc>
        <w:tc>
          <w:tcPr>
            <w:tcW w:w="5679"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jc w:val="both"/>
              <w:rPr>
                <w:rFonts w:eastAsia="Times New Roman"/>
                <w:sz w:val="22"/>
                <w:u w:val="single"/>
                <w:lang w:eastAsia="lv-LV"/>
              </w:rPr>
            </w:pPr>
            <w:r>
              <w:rPr>
                <w:color w:val="000000" w:themeColor="text1"/>
                <w:sz w:val="22"/>
              </w:rPr>
              <w:t>Jaunas valsts institūcijas netiks radītas, kā arī netiks paplašinātas esošo institūciju funkcijas.</w:t>
            </w:r>
          </w:p>
        </w:tc>
      </w:tr>
      <w:tr w:rsidR="000F14B4">
        <w:tc>
          <w:tcPr>
            <w:tcW w:w="917"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lastRenderedPageBreak/>
              <w:t>3.</w:t>
            </w:r>
          </w:p>
        </w:tc>
        <w:tc>
          <w:tcPr>
            <w:tcW w:w="2475"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rFonts w:eastAsia="Times New Roman"/>
                <w:sz w:val="22"/>
                <w:lang w:eastAsia="lv-LV"/>
              </w:rPr>
              <w:t>Cita informācija</w:t>
            </w:r>
          </w:p>
        </w:tc>
        <w:tc>
          <w:tcPr>
            <w:tcW w:w="5679" w:type="dxa"/>
            <w:tcBorders>
              <w:top w:val="outset" w:sz="6" w:space="0" w:color="000001"/>
              <w:left w:val="outset" w:sz="6" w:space="0" w:color="000001"/>
              <w:bottom w:val="outset" w:sz="6" w:space="0" w:color="000001"/>
              <w:right w:val="outset" w:sz="6" w:space="0" w:color="000001"/>
            </w:tcBorders>
            <w:shd w:val="clear" w:color="auto" w:fill="auto"/>
            <w:tcMar>
              <w:left w:w="29" w:type="dxa"/>
            </w:tcMar>
          </w:tcPr>
          <w:p w:rsidR="000F14B4" w:rsidRDefault="00786C08">
            <w:pPr>
              <w:spacing w:after="0" w:line="240" w:lineRule="auto"/>
              <w:rPr>
                <w:rFonts w:eastAsia="Times New Roman"/>
                <w:sz w:val="22"/>
                <w:lang w:eastAsia="lv-LV"/>
              </w:rPr>
            </w:pPr>
            <w:r>
              <w:rPr>
                <w:color w:val="000000" w:themeColor="text1"/>
                <w:sz w:val="22"/>
              </w:rPr>
              <w:t>Normatīvā akta izpilde tiks nodrošināta esošo valsts institūciju funkciju ietvaros.</w:t>
            </w:r>
          </w:p>
        </w:tc>
      </w:tr>
    </w:tbl>
    <w:p w:rsidR="000F14B4" w:rsidRDefault="00786C08">
      <w:pPr>
        <w:spacing w:after="0" w:line="240" w:lineRule="auto"/>
        <w:jc w:val="center"/>
        <w:rPr>
          <w:i/>
          <w:sz w:val="22"/>
        </w:rPr>
      </w:pPr>
      <w:r>
        <w:rPr>
          <w:i/>
          <w:sz w:val="22"/>
        </w:rPr>
        <w:t>Anotācijas IV sadaļa – projekts šo jomu neskar.</w:t>
      </w:r>
    </w:p>
    <w:p w:rsidR="000F14B4" w:rsidRDefault="000F14B4">
      <w:pPr>
        <w:suppressLineNumbers/>
        <w:spacing w:after="0" w:line="240" w:lineRule="auto"/>
        <w:rPr>
          <w:color w:val="000000"/>
          <w:sz w:val="28"/>
        </w:rPr>
      </w:pPr>
    </w:p>
    <w:p w:rsidR="000F14B4" w:rsidRDefault="000F14B4">
      <w:pPr>
        <w:spacing w:after="0" w:line="240" w:lineRule="auto"/>
        <w:jc w:val="both"/>
        <w:rPr>
          <w:rFonts w:eastAsia="Times New Roman"/>
          <w:color w:val="000000"/>
          <w:sz w:val="28"/>
          <w:szCs w:val="28"/>
          <w:lang w:eastAsia="lv-LV"/>
        </w:rPr>
      </w:pPr>
    </w:p>
    <w:p w:rsidR="000F14B4" w:rsidRDefault="00786C08">
      <w:pPr>
        <w:spacing w:after="0" w:line="240" w:lineRule="auto"/>
        <w:jc w:val="both"/>
        <w:rPr>
          <w:rFonts w:eastAsia="Times New Roman"/>
          <w:color w:val="000000"/>
          <w:sz w:val="28"/>
          <w:szCs w:val="28"/>
          <w:lang w:eastAsia="lv-LV"/>
        </w:rPr>
      </w:pPr>
      <w:r>
        <w:rPr>
          <w:rFonts w:eastAsia="Times New Roman"/>
          <w:color w:val="000000"/>
          <w:sz w:val="28"/>
          <w:szCs w:val="28"/>
          <w:lang w:eastAsia="lv-LV"/>
        </w:rPr>
        <w:t>Ministru prezidenta biedrs,</w:t>
      </w:r>
    </w:p>
    <w:p w:rsidR="000F14B4" w:rsidRDefault="00786C08">
      <w:pPr>
        <w:spacing w:after="0" w:line="240" w:lineRule="auto"/>
        <w:jc w:val="both"/>
        <w:rPr>
          <w:rFonts w:eastAsia="Times New Roman"/>
          <w:color w:val="000000"/>
          <w:sz w:val="28"/>
          <w:szCs w:val="28"/>
          <w:lang w:eastAsia="lv-LV"/>
        </w:rPr>
      </w:pPr>
      <w:r>
        <w:rPr>
          <w:rFonts w:eastAsia="Times New Roman"/>
          <w:color w:val="000000"/>
          <w:sz w:val="28"/>
          <w:szCs w:val="28"/>
          <w:lang w:eastAsia="lv-LV"/>
        </w:rPr>
        <w:t>ekonomikas ministrs</w:t>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r>
      <w:r>
        <w:rPr>
          <w:rFonts w:eastAsia="Times New Roman"/>
          <w:color w:val="000000"/>
          <w:sz w:val="28"/>
          <w:szCs w:val="28"/>
          <w:lang w:eastAsia="lv-LV"/>
        </w:rPr>
        <w:tab/>
        <w:t>A.Ašeradens</w:t>
      </w:r>
    </w:p>
    <w:p w:rsidR="000F14B4" w:rsidRDefault="000F14B4">
      <w:pPr>
        <w:spacing w:after="0" w:line="240" w:lineRule="auto"/>
        <w:rPr>
          <w:bCs/>
          <w:color w:val="000000"/>
          <w:sz w:val="28"/>
          <w:szCs w:val="28"/>
        </w:rPr>
      </w:pPr>
    </w:p>
    <w:p w:rsidR="000F14B4" w:rsidRDefault="000F14B4">
      <w:pPr>
        <w:spacing w:after="0" w:line="240" w:lineRule="auto"/>
        <w:rPr>
          <w:bCs/>
          <w:color w:val="000000"/>
          <w:sz w:val="28"/>
          <w:szCs w:val="28"/>
        </w:rPr>
      </w:pPr>
    </w:p>
    <w:p w:rsidR="000F14B4" w:rsidRDefault="00786C08">
      <w:pPr>
        <w:rPr>
          <w:color w:val="000000"/>
          <w:sz w:val="28"/>
          <w:szCs w:val="28"/>
        </w:rPr>
      </w:pPr>
      <w:r>
        <w:rPr>
          <w:bCs/>
          <w:color w:val="000000"/>
          <w:sz w:val="28"/>
          <w:szCs w:val="28"/>
        </w:rPr>
        <w:t xml:space="preserve">Vīza: </w:t>
      </w:r>
      <w:r>
        <w:rPr>
          <w:bCs/>
          <w:color w:val="000000"/>
          <w:sz w:val="28"/>
          <w:szCs w:val="28"/>
        </w:rPr>
        <w:br/>
      </w:r>
      <w:r>
        <w:rPr>
          <w:color w:val="000000"/>
          <w:sz w:val="28"/>
          <w:szCs w:val="28"/>
        </w:rPr>
        <w:t>Valsts sekretārs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J.Stinka</w:t>
      </w:r>
    </w:p>
    <w:p w:rsidR="000F14B4" w:rsidRDefault="000F14B4">
      <w:pPr>
        <w:spacing w:after="0" w:line="240" w:lineRule="auto"/>
        <w:rPr>
          <w:sz w:val="22"/>
        </w:rPr>
      </w:pPr>
    </w:p>
    <w:p w:rsidR="000F14B4" w:rsidRDefault="0067298B">
      <w:pPr>
        <w:spacing w:after="0" w:line="240" w:lineRule="auto"/>
        <w:rPr>
          <w:sz w:val="20"/>
        </w:rPr>
      </w:pPr>
      <w:r>
        <w:rPr>
          <w:sz w:val="20"/>
        </w:rPr>
        <w:t>13.09</w:t>
      </w:r>
      <w:r w:rsidR="00786C08">
        <w:rPr>
          <w:sz w:val="20"/>
        </w:rPr>
        <w:t>.2016. 1</w:t>
      </w:r>
      <w:r>
        <w:rPr>
          <w:sz w:val="20"/>
        </w:rPr>
        <w:t>1</w:t>
      </w:r>
      <w:r w:rsidR="00786C08">
        <w:rPr>
          <w:sz w:val="20"/>
        </w:rPr>
        <w:t>:</w:t>
      </w:r>
      <w:r>
        <w:rPr>
          <w:sz w:val="20"/>
        </w:rPr>
        <w:t>11</w:t>
      </w:r>
    </w:p>
    <w:p w:rsidR="000F14B4" w:rsidRDefault="00786C08">
      <w:pPr>
        <w:spacing w:after="0" w:line="240" w:lineRule="auto"/>
      </w:pPr>
      <w:r>
        <w:rPr>
          <w:sz w:val="20"/>
        </w:rPr>
        <w:fldChar w:fldCharType="begin"/>
      </w:r>
      <w:r>
        <w:instrText>NUMWORDS</w:instrText>
      </w:r>
      <w:r>
        <w:fldChar w:fldCharType="separate"/>
      </w:r>
      <w:r w:rsidR="00743A16">
        <w:rPr>
          <w:noProof/>
        </w:rPr>
        <w:t>9466</w:t>
      </w:r>
      <w:r>
        <w:fldChar w:fldCharType="end"/>
      </w:r>
      <w:bookmarkStart w:id="2" w:name="_GoBack"/>
      <w:bookmarkEnd w:id="2"/>
    </w:p>
    <w:p w:rsidR="000F14B4" w:rsidRDefault="00786C08">
      <w:pPr>
        <w:spacing w:after="0" w:line="240" w:lineRule="auto"/>
        <w:rPr>
          <w:rFonts w:eastAsia="Times New Roman"/>
          <w:sz w:val="20"/>
        </w:rPr>
      </w:pPr>
      <w:r>
        <w:rPr>
          <w:rFonts w:eastAsia="Times New Roman"/>
          <w:sz w:val="20"/>
        </w:rPr>
        <w:t xml:space="preserve">M.Doniks, </w:t>
      </w:r>
    </w:p>
    <w:p w:rsidR="000F14B4" w:rsidRDefault="00786C08">
      <w:pPr>
        <w:spacing w:after="0" w:line="240" w:lineRule="auto"/>
        <w:rPr>
          <w:rFonts w:eastAsia="Times New Roman"/>
          <w:sz w:val="20"/>
        </w:rPr>
      </w:pPr>
      <w:r>
        <w:rPr>
          <w:rFonts w:eastAsia="Times New Roman"/>
          <w:sz w:val="20"/>
        </w:rPr>
        <w:t xml:space="preserve">67013147 </w:t>
      </w:r>
    </w:p>
    <w:p w:rsidR="000F14B4" w:rsidRDefault="00743A16">
      <w:pPr>
        <w:spacing w:after="0" w:line="240" w:lineRule="auto"/>
      </w:pPr>
      <w:hyperlink r:id="rId9">
        <w:r w:rsidR="00786C08">
          <w:rPr>
            <w:rStyle w:val="InternetLink"/>
            <w:rFonts w:eastAsia="Times New Roman"/>
            <w:sz w:val="20"/>
          </w:rPr>
          <w:t>Maris.Doniks@em.gov.lv</w:t>
        </w:r>
      </w:hyperlink>
    </w:p>
    <w:p w:rsidR="000F14B4" w:rsidRDefault="000F14B4">
      <w:pPr>
        <w:spacing w:after="0" w:line="240" w:lineRule="auto"/>
      </w:pPr>
    </w:p>
    <w:sectPr w:rsidR="000F14B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701" w:header="567" w:footer="28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AF" w:rsidRDefault="00C623AF">
      <w:pPr>
        <w:spacing w:after="0" w:line="240" w:lineRule="auto"/>
      </w:pPr>
      <w:r>
        <w:separator/>
      </w:r>
    </w:p>
  </w:endnote>
  <w:endnote w:type="continuationSeparator" w:id="0">
    <w:p w:rsidR="00C623AF" w:rsidRDefault="00C6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2D" w:rsidRDefault="00BB0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96" w:rsidRPr="00786C08" w:rsidRDefault="00A46F96">
    <w:pPr>
      <w:spacing w:beforeAutospacing="1" w:afterAutospacing="1" w:line="240" w:lineRule="auto"/>
      <w:jc w:val="both"/>
      <w:outlineLvl w:val="3"/>
      <w:rPr>
        <w:sz w:val="20"/>
        <w:szCs w:val="20"/>
      </w:rPr>
    </w:pPr>
    <w:r w:rsidRPr="00786C08">
      <w:rPr>
        <w:rFonts w:eastAsia="Times New Roman"/>
        <w:sz w:val="20"/>
        <w:szCs w:val="20"/>
      </w:rPr>
      <w:fldChar w:fldCharType="begin"/>
    </w:r>
    <w:r w:rsidRPr="00786C08">
      <w:rPr>
        <w:sz w:val="20"/>
        <w:szCs w:val="20"/>
      </w:rPr>
      <w:instrText>FILENAME</w:instrText>
    </w:r>
    <w:r w:rsidRPr="00786C08">
      <w:rPr>
        <w:sz w:val="20"/>
        <w:szCs w:val="20"/>
      </w:rPr>
      <w:fldChar w:fldCharType="separate"/>
    </w:r>
    <w:r w:rsidR="00597984">
      <w:rPr>
        <w:noProof/>
        <w:sz w:val="20"/>
        <w:szCs w:val="20"/>
      </w:rPr>
      <w:t>EMAnot_13092016_vienosanas_645.docx</w:t>
    </w:r>
    <w:r w:rsidRPr="00786C08">
      <w:rPr>
        <w:sz w:val="20"/>
        <w:szCs w:val="20"/>
      </w:rPr>
      <w:fldChar w:fldCharType="end"/>
    </w:r>
    <w:r w:rsidRPr="00786C08">
      <w:rPr>
        <w:rFonts w:eastAsia="Times New Roman"/>
        <w:sz w:val="20"/>
        <w:szCs w:val="20"/>
      </w:rPr>
      <w:t>; Ministru kabineta noteikumu projekta „</w:t>
    </w:r>
    <w:r w:rsidRPr="00786C08">
      <w:rPr>
        <w:rFonts w:eastAsia="Times New Roman"/>
        <w:iCs/>
        <w:color w:val="000000"/>
        <w:sz w:val="20"/>
        <w:szCs w:val="20"/>
        <w:lang w:eastAsia="lv-LV" w:bidi="lo-LA"/>
      </w:rPr>
      <w:t>Brīvprātīgas vienošanās par energoefektivitātes uzlabošanu noslēgšanas un pārraudzīšanas kārtība</w:t>
    </w:r>
    <w:r w:rsidRPr="00786C08">
      <w:rPr>
        <w:rFonts w:eastAsia="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2D" w:rsidRDefault="00BB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AF" w:rsidRDefault="00C623AF">
      <w:r>
        <w:separator/>
      </w:r>
    </w:p>
  </w:footnote>
  <w:footnote w:type="continuationSeparator" w:id="0">
    <w:p w:rsidR="00C623AF" w:rsidRDefault="00C623AF">
      <w:r>
        <w:continuationSeparator/>
      </w:r>
    </w:p>
  </w:footnote>
  <w:footnote w:id="1">
    <w:p w:rsidR="00A46F96" w:rsidRDefault="00A46F96">
      <w:pPr>
        <w:pStyle w:val="FootnoteText"/>
      </w:pPr>
      <w:r>
        <w:rPr>
          <w:rStyle w:val="FootnoteReference"/>
        </w:rPr>
        <w:footnoteRef/>
      </w:r>
      <w:r>
        <w:rPr>
          <w:rStyle w:val="FootnoteReference"/>
        </w:rPr>
        <w:tab/>
      </w:r>
      <w:r>
        <w:t xml:space="preserve"> https://www.em.gov.lv/lv/nozares_politika/energoefektivitate_un_siltumapgade/zinojumi_eiropas_komisijai/</w:t>
      </w:r>
    </w:p>
  </w:footnote>
  <w:footnote w:id="2">
    <w:p w:rsidR="00A46F96" w:rsidRDefault="00A46F96">
      <w:pPr>
        <w:pStyle w:val="FootnoteText"/>
      </w:pPr>
      <w:r>
        <w:rPr>
          <w:rStyle w:val="FootnoteReference"/>
        </w:rPr>
        <w:footnoteRef/>
      </w:r>
      <w:r>
        <w:rPr>
          <w:rStyle w:val="FootnoteReference"/>
        </w:rPr>
        <w:tab/>
      </w:r>
      <w:r>
        <w:t xml:space="preserve"> </w:t>
      </w:r>
      <w:hyperlink r:id="rId1">
        <w:r>
          <w:rPr>
            <w:rStyle w:val="InternetLink"/>
          </w:rPr>
          <w:t>http://www.esfondi.lv/page.php?id=1149</w:t>
        </w:r>
      </w:hyperlink>
      <w:r>
        <w:t xml:space="preserve"> </w:t>
      </w:r>
    </w:p>
  </w:footnote>
  <w:footnote w:id="3">
    <w:p w:rsidR="00A46F96" w:rsidRDefault="00A46F96">
      <w:pPr>
        <w:pStyle w:val="FootnoteText"/>
      </w:pPr>
      <w:r>
        <w:rPr>
          <w:rStyle w:val="FootnoteReference"/>
        </w:rPr>
        <w:footnoteRef/>
      </w:r>
      <w:r>
        <w:rPr>
          <w:rStyle w:val="FootnoteReference"/>
        </w:rPr>
        <w:tab/>
      </w:r>
      <w:r>
        <w:t xml:space="preserve"> </w:t>
      </w:r>
      <w:hyperlink r:id="rId2">
        <w:r>
          <w:rPr>
            <w:rStyle w:val="InternetLink"/>
          </w:rPr>
          <w:t>http://likumi.lv/doc.php?id=267471</w:t>
        </w:r>
      </w:hyperlink>
      <w:r>
        <w:t xml:space="preserve"> </w:t>
      </w:r>
    </w:p>
  </w:footnote>
  <w:footnote w:id="4">
    <w:p w:rsidR="00A46F96" w:rsidRDefault="00A46F96">
      <w:pPr>
        <w:pStyle w:val="FootnoteText"/>
      </w:pPr>
      <w:r>
        <w:rPr>
          <w:rStyle w:val="FootnoteReference"/>
        </w:rPr>
        <w:footnoteRef/>
      </w:r>
      <w:r>
        <w:rPr>
          <w:rStyle w:val="FootnoteReference"/>
        </w:rPr>
        <w:tab/>
      </w:r>
      <w:r>
        <w:t xml:space="preserve"> </w:t>
      </w:r>
      <w:hyperlink r:id="rId3">
        <w:r>
          <w:rPr>
            <w:rStyle w:val="InternetLink"/>
          </w:rPr>
          <w:t>http://likumi.lv/doc.php?id=262535</w:t>
        </w:r>
      </w:hyperlink>
      <w:r>
        <w:t xml:space="preserve"> </w:t>
      </w:r>
    </w:p>
  </w:footnote>
  <w:footnote w:id="5">
    <w:p w:rsidR="00A46F96" w:rsidRDefault="00A46F96">
      <w:pPr>
        <w:pStyle w:val="FootnoteText"/>
      </w:pPr>
      <w:r>
        <w:rPr>
          <w:rStyle w:val="FootnoteReference"/>
        </w:rPr>
        <w:footnoteRef/>
      </w:r>
      <w:r>
        <w:rPr>
          <w:rStyle w:val="FootnoteReference"/>
        </w:rPr>
        <w:tab/>
      </w:r>
      <w:hyperlink r:id="rId4">
        <w:r>
          <w:rPr>
            <w:rStyle w:val="InternetLink"/>
          </w:rPr>
          <w:t>https://www.em.gov.lv/lv/nozares_politika/majokli/eku_energoefektivitate/no_direktivas_2012_27_es_par_energoefektivitati_izrietosas_prasibas/</w:t>
        </w:r>
      </w:hyperlink>
      <w:r>
        <w:t xml:space="preserve"> </w:t>
      </w:r>
    </w:p>
  </w:footnote>
  <w:footnote w:id="6">
    <w:p w:rsidR="00A46F96" w:rsidRDefault="00A46F96">
      <w:pPr>
        <w:pStyle w:val="FootnoteText"/>
      </w:pPr>
      <w:r>
        <w:rPr>
          <w:rStyle w:val="FootnoteReference"/>
        </w:rPr>
        <w:footnoteRef/>
      </w:r>
      <w:r>
        <w:rPr>
          <w:rStyle w:val="FootnoteReference"/>
        </w:rPr>
        <w:tab/>
      </w:r>
      <w:hyperlink r:id="rId5">
        <w:r>
          <w:rPr>
            <w:rStyle w:val="InternetLink"/>
          </w:rPr>
          <w:t>https://www.em.gov.lv/lv/nozares_politika/energoefektivitate_un_siltumapgade/energoefektivitate/pasvaldibu_energoplani/</w:t>
        </w:r>
      </w:hyperlink>
      <w:r>
        <w:t xml:space="preserve"> </w:t>
      </w:r>
    </w:p>
  </w:footnote>
  <w:footnote w:id="7">
    <w:p w:rsidR="00A46F96" w:rsidRDefault="00A46F96">
      <w:pPr>
        <w:pStyle w:val="FootnoteText"/>
      </w:pPr>
      <w:r>
        <w:rPr>
          <w:rStyle w:val="FootnoteReference"/>
        </w:rPr>
        <w:footnoteRef/>
      </w:r>
      <w:r>
        <w:rPr>
          <w:rStyle w:val="FootnoteReference"/>
        </w:rPr>
        <w:tab/>
      </w:r>
      <w:r>
        <w:t xml:space="preserve"> </w:t>
      </w:r>
      <w:hyperlink r:id="rId6">
        <w:r>
          <w:rPr>
            <w:rStyle w:val="InternetLink"/>
          </w:rPr>
          <w:t>http://www.varam.gov.lv/lat/darbibas_veidi/reg_att/metodika/</w:t>
        </w:r>
      </w:hyperlink>
      <w:r>
        <w:t xml:space="preserve"> </w:t>
      </w:r>
    </w:p>
  </w:footnote>
  <w:footnote w:id="8">
    <w:p w:rsidR="00A46F96" w:rsidRDefault="00A46F96">
      <w:pPr>
        <w:pStyle w:val="FootnoteText"/>
      </w:pPr>
      <w:r>
        <w:rPr>
          <w:rStyle w:val="FootnoteReference"/>
        </w:rPr>
        <w:footnoteRef/>
      </w:r>
      <w:r>
        <w:rPr>
          <w:rStyle w:val="FootnoteReference"/>
        </w:rPr>
        <w:tab/>
      </w:r>
      <w:hyperlink r:id="rId7">
        <w:r>
          <w:rPr>
            <w:rStyle w:val="InternetLink"/>
          </w:rPr>
          <w:t>https://www.em.gov.lv/lv/nozares_politika/energoefektivitate_un_siltumapgade/energoefektivitate/pasvaldibu_energoplani/</w:t>
        </w:r>
      </w:hyperlink>
      <w:r>
        <w:t xml:space="preserve"> </w:t>
      </w:r>
    </w:p>
  </w:footnote>
  <w:footnote w:id="9">
    <w:p w:rsidR="00A46F96" w:rsidRDefault="00A46F96">
      <w:pPr>
        <w:pStyle w:val="FootnoteText"/>
      </w:pPr>
      <w:r>
        <w:rPr>
          <w:rStyle w:val="FootnoteReference"/>
        </w:rPr>
        <w:footnoteRef/>
      </w:r>
      <w:r>
        <w:rPr>
          <w:rStyle w:val="FootnoteReference"/>
        </w:rPr>
        <w:tab/>
      </w:r>
      <w:r>
        <w:t xml:space="preserve"> </w:t>
      </w:r>
      <w:hyperlink r:id="rId8">
        <w:r>
          <w:rPr>
            <w:rStyle w:val="InternetLink"/>
          </w:rPr>
          <w:t>http://likumi.lv/ta/id/272295-par-zala-iepirkuma-veicinasanas-planu-2015-2017-gadam</w:t>
        </w:r>
      </w:hyperlink>
      <w:r>
        <w:t xml:space="preserve"> </w:t>
      </w:r>
    </w:p>
  </w:footnote>
  <w:footnote w:id="10">
    <w:p w:rsidR="00A46F96" w:rsidRDefault="00A46F96">
      <w:pPr>
        <w:pStyle w:val="FootnoteText"/>
      </w:pPr>
      <w:r>
        <w:rPr>
          <w:rStyle w:val="FootnoteReference"/>
        </w:rPr>
        <w:footnoteRef/>
      </w:r>
      <w:r>
        <w:rPr>
          <w:rStyle w:val="FootnoteReference"/>
        </w:rPr>
        <w:tab/>
      </w:r>
      <w:r>
        <w:t xml:space="preserve"> </w:t>
      </w:r>
      <w:hyperlink r:id="rId9">
        <w:r>
          <w:rPr>
            <w:rStyle w:val="InternetLink"/>
          </w:rPr>
          <w:t>http://www.varam.gov.lv/lat/darbibas_veidi/reg_att/metodika/</w:t>
        </w:r>
      </w:hyperlink>
      <w:r>
        <w:t xml:space="preserve"> </w:t>
      </w:r>
    </w:p>
  </w:footnote>
  <w:footnote w:id="11">
    <w:p w:rsidR="00A46F96" w:rsidRDefault="00A46F96">
      <w:pPr>
        <w:pStyle w:val="FootnoteText"/>
      </w:pPr>
      <w:r>
        <w:rPr>
          <w:rStyle w:val="FootnoteReference"/>
        </w:rPr>
        <w:footnoteRef/>
      </w:r>
      <w:r>
        <w:rPr>
          <w:rStyle w:val="FootnoteReference"/>
        </w:rPr>
        <w:tab/>
      </w:r>
      <w:r>
        <w:t xml:space="preserve"> </w:t>
      </w:r>
      <w:hyperlink r:id="rId10">
        <w:r>
          <w:rPr>
            <w:rStyle w:val="InternetLink"/>
          </w:rPr>
          <w:t>http://www.iub.gov.lv/lv/node/63</w:t>
        </w:r>
      </w:hyperlink>
      <w:r>
        <w:t xml:space="preserve"> </w:t>
      </w:r>
    </w:p>
  </w:footnote>
  <w:footnote w:id="12">
    <w:p w:rsidR="00A46F96" w:rsidRDefault="00A46F96">
      <w:pPr>
        <w:pStyle w:val="FootnoteText"/>
      </w:pPr>
      <w:r>
        <w:rPr>
          <w:rStyle w:val="FootnoteReference"/>
        </w:rPr>
        <w:footnoteRef/>
      </w:r>
      <w:r>
        <w:rPr>
          <w:rStyle w:val="FootnoteReference"/>
        </w:rPr>
        <w:tab/>
      </w:r>
      <w:hyperlink r:id="rId11">
        <w:r>
          <w:rPr>
            <w:rStyle w:val="InternetLink"/>
          </w:rPr>
          <w:t>https://www.em.gov.lv/lv/nozares_politika/energoefektivitate_un_siltumapgade/energoefektivitate/obligati_energoauditi_lielajos_uznemumos/</w:t>
        </w:r>
      </w:hyperlink>
      <w:r>
        <w:t xml:space="preserve"> </w:t>
      </w:r>
    </w:p>
  </w:footnote>
  <w:footnote w:id="13">
    <w:p w:rsidR="00A46F96" w:rsidRDefault="00A46F96">
      <w:pPr>
        <w:pStyle w:val="FootnoteText"/>
      </w:pPr>
      <w:r>
        <w:rPr>
          <w:rStyle w:val="FootnoteReference"/>
        </w:rPr>
        <w:footnoteRef/>
      </w:r>
      <w:r>
        <w:rPr>
          <w:rStyle w:val="FootnoteReference"/>
        </w:rPr>
        <w:tab/>
      </w:r>
      <w:r>
        <w:t xml:space="preserve"> </w:t>
      </w:r>
      <w:hyperlink r:id="rId12">
        <w:r>
          <w:rPr>
            <w:rStyle w:val="InternetLink"/>
          </w:rPr>
          <w:t>http://m.likumi.lv/doc.php?id=212348</w:t>
        </w:r>
      </w:hyperlink>
      <w:r>
        <w:t xml:space="preserve"> </w:t>
      </w:r>
    </w:p>
  </w:footnote>
  <w:footnote w:id="14">
    <w:p w:rsidR="00A46F96" w:rsidRDefault="00A46F96">
      <w:pPr>
        <w:pStyle w:val="FootnoteText"/>
      </w:pPr>
      <w:r>
        <w:rPr>
          <w:rStyle w:val="FootnoteReference"/>
        </w:rPr>
        <w:footnoteRef/>
      </w:r>
      <w:r>
        <w:rPr>
          <w:rStyle w:val="FootnoteReference"/>
        </w:rPr>
        <w:tab/>
      </w:r>
      <w:r>
        <w:t xml:space="preserve"> </w:t>
      </w:r>
      <w:hyperlink r:id="rId13">
        <w:r>
          <w:rPr>
            <w:rStyle w:val="InternetLink"/>
          </w:rPr>
          <w:t>http://likumi.lv/doc.php?id=257875</w:t>
        </w:r>
      </w:hyperlink>
      <w:r>
        <w:t xml:space="preserve"> </w:t>
      </w:r>
    </w:p>
  </w:footnote>
  <w:footnote w:id="15">
    <w:p w:rsidR="00A46F96" w:rsidRDefault="00A46F96">
      <w:pPr>
        <w:pStyle w:val="FootnoteText"/>
      </w:pPr>
      <w:r>
        <w:rPr>
          <w:rStyle w:val="FootnoteReference"/>
        </w:rPr>
        <w:footnoteRef/>
      </w:r>
      <w:r>
        <w:rPr>
          <w:rStyle w:val="FootnoteReference"/>
        </w:rPr>
        <w:tab/>
      </w:r>
      <w:hyperlink r:id="rId14">
        <w:r>
          <w:rPr>
            <w:rStyle w:val="InternetLink"/>
          </w:rPr>
          <w:t>http://www.rtu.lv/content/view/34/41/lang,lv/</w:t>
        </w:r>
      </w:hyperlink>
    </w:p>
  </w:footnote>
  <w:footnote w:id="16">
    <w:p w:rsidR="00A46F96" w:rsidRDefault="00A46F96">
      <w:pPr>
        <w:pStyle w:val="FootnoteText"/>
      </w:pPr>
      <w:r>
        <w:rPr>
          <w:rStyle w:val="FootnoteReference"/>
        </w:rPr>
        <w:footnoteRef/>
      </w:r>
      <w:r>
        <w:rPr>
          <w:rStyle w:val="FootnoteReference"/>
        </w:rPr>
        <w:tab/>
      </w:r>
      <w:hyperlink r:id="rId15">
        <w:r>
          <w:rPr>
            <w:rStyle w:val="InternetLink"/>
          </w:rPr>
          <w:t>https://stud.rtu.lv/rtu/vaaApp/sprpub</w:t>
        </w:r>
      </w:hyperlink>
    </w:p>
  </w:footnote>
  <w:footnote w:id="17">
    <w:p w:rsidR="00A46F96" w:rsidRDefault="00A46F96">
      <w:pPr>
        <w:pStyle w:val="FootnoteText"/>
      </w:pPr>
      <w:r>
        <w:rPr>
          <w:rStyle w:val="FootnoteReference"/>
        </w:rPr>
        <w:footnoteRef/>
      </w:r>
      <w:r>
        <w:rPr>
          <w:rStyle w:val="FootnoteReference"/>
        </w:rPr>
        <w:tab/>
      </w:r>
      <w:hyperlink r:id="rId16">
        <w:r>
          <w:rPr>
            <w:rStyle w:val="InternetLink"/>
          </w:rPr>
          <w:t>http://www.lu.lv/gribustudet/katalogs/programmu-mekletajs/?user_phpfileexecutor_pi1%5Bprogram_id%5D=21124</w:t>
        </w:r>
      </w:hyperlink>
    </w:p>
  </w:footnote>
  <w:footnote w:id="18">
    <w:p w:rsidR="00A46F96" w:rsidRDefault="00A46F96">
      <w:pPr>
        <w:pStyle w:val="FootnoteText"/>
      </w:pPr>
      <w:r>
        <w:rPr>
          <w:rStyle w:val="FootnoteReference"/>
        </w:rPr>
        <w:footnoteRef/>
      </w:r>
      <w:r>
        <w:rPr>
          <w:rStyle w:val="FootnoteReference"/>
        </w:rPr>
        <w:tab/>
      </w:r>
      <w:hyperlink r:id="rId17">
        <w:r>
          <w:rPr>
            <w:rStyle w:val="InternetLink"/>
          </w:rPr>
          <w:t>http://www.rtk.lv/?sadala=175</w:t>
        </w:r>
      </w:hyperlink>
    </w:p>
  </w:footnote>
  <w:footnote w:id="19">
    <w:p w:rsidR="00A46F96" w:rsidRDefault="00A46F96">
      <w:pPr>
        <w:pStyle w:val="FootnoteText"/>
      </w:pPr>
      <w:r>
        <w:rPr>
          <w:rStyle w:val="FootnoteReference"/>
        </w:rPr>
        <w:footnoteRef/>
      </w:r>
      <w:r>
        <w:rPr>
          <w:rStyle w:val="FootnoteReference"/>
        </w:rPr>
        <w:tab/>
      </w:r>
      <w:hyperlink r:id="rId18">
        <w:r>
          <w:rPr>
            <w:rStyle w:val="InternetLink"/>
          </w:rPr>
          <w:t>http://www.liepu.lv/lv/584/vides-un-atjaunojamo-energoresursu-parvaldiba-un-inzenierija</w:t>
        </w:r>
      </w:hyperlink>
    </w:p>
  </w:footnote>
  <w:footnote w:id="20">
    <w:p w:rsidR="00A46F96" w:rsidRDefault="00A46F96">
      <w:pPr>
        <w:pStyle w:val="FootnoteText"/>
      </w:pPr>
      <w:r>
        <w:rPr>
          <w:rStyle w:val="FootnoteReference"/>
        </w:rPr>
        <w:footnoteRef/>
      </w:r>
      <w:r>
        <w:rPr>
          <w:rStyle w:val="FootnoteReference"/>
        </w:rPr>
        <w:tab/>
      </w:r>
      <w:hyperlink r:id="rId19">
        <w:r>
          <w:rPr>
            <w:rStyle w:val="InternetLink"/>
          </w:rPr>
          <w:t>http://www.liepu.lv/lv/935/ekotehnologijas</w:t>
        </w:r>
      </w:hyperlink>
    </w:p>
  </w:footnote>
  <w:footnote w:id="21">
    <w:p w:rsidR="00A46F96" w:rsidRDefault="00A46F96">
      <w:pPr>
        <w:pStyle w:val="FootnoteText"/>
      </w:pPr>
      <w:r>
        <w:rPr>
          <w:rStyle w:val="FootnoteReference"/>
        </w:rPr>
        <w:footnoteRef/>
      </w:r>
      <w:r>
        <w:rPr>
          <w:rStyle w:val="FootnoteReference"/>
        </w:rPr>
        <w:tab/>
      </w:r>
      <w:hyperlink r:id="rId20">
        <w:r>
          <w:rPr>
            <w:rStyle w:val="InternetLink"/>
          </w:rPr>
          <w:t>http://www.lu.lv/gribustudet/katalogs/programmu-mekletajs/?user_phpfileexecutor_pi1%5Bprogram_id%5D=21106</w:t>
        </w:r>
      </w:hyperlink>
    </w:p>
  </w:footnote>
  <w:footnote w:id="22">
    <w:p w:rsidR="00A46F96" w:rsidRDefault="00A46F96">
      <w:pPr>
        <w:pStyle w:val="FootnoteText"/>
      </w:pPr>
      <w:r>
        <w:rPr>
          <w:rStyle w:val="FootnoteReference"/>
        </w:rPr>
        <w:footnoteRef/>
      </w:r>
      <w:r>
        <w:rPr>
          <w:rStyle w:val="FootnoteReference"/>
        </w:rPr>
        <w:tab/>
      </w:r>
      <w:hyperlink r:id="rId21">
        <w:r>
          <w:rPr>
            <w:rStyle w:val="InternetLink"/>
          </w:rPr>
          <w:t>http://abc.edu.lv/macibu-risinajumi/profesionalo-zinasanu-paaugstinasana/energoauditoru-kursi.html</w:t>
        </w:r>
      </w:hyperlink>
    </w:p>
  </w:footnote>
  <w:footnote w:id="23">
    <w:p w:rsidR="00A46F96" w:rsidRDefault="00A46F96">
      <w:pPr>
        <w:pStyle w:val="FootnoteText"/>
      </w:pPr>
      <w:r>
        <w:rPr>
          <w:rStyle w:val="FootnoteReference"/>
        </w:rPr>
        <w:footnoteRef/>
      </w:r>
      <w:r>
        <w:rPr>
          <w:rStyle w:val="FootnoteReference"/>
        </w:rPr>
        <w:tab/>
      </w:r>
      <w:hyperlink r:id="rId22">
        <w:r>
          <w:rPr>
            <w:rStyle w:val="InternetLink"/>
          </w:rPr>
          <w:t>http://www.inspecta.com/lv/Pakalpojumi/Apmacibas/kursi/Courses/Latvia/ku-energoefektivittes-sertifikcija-un-energoaudits-t-nepiecieamba-un-ieguvumi-resursu-efektv-izmantoan/</w:t>
        </w:r>
      </w:hyperlink>
    </w:p>
  </w:footnote>
  <w:footnote w:id="24">
    <w:p w:rsidR="00A46F96" w:rsidRDefault="00A46F96">
      <w:pPr>
        <w:pStyle w:val="FootnoteText"/>
      </w:pPr>
      <w:r>
        <w:rPr>
          <w:rStyle w:val="FootnoteReference"/>
        </w:rPr>
        <w:footnoteRef/>
      </w:r>
      <w:r>
        <w:rPr>
          <w:rStyle w:val="FootnoteReference"/>
        </w:rPr>
        <w:tab/>
      </w:r>
      <w:hyperlink r:id="rId23">
        <w:r>
          <w:rPr>
            <w:rStyle w:val="InternetLink"/>
          </w:rPr>
          <w:t>http://www.niid.lv/niid_search/program/10404?qy</w:t>
        </w:r>
      </w:hyperlink>
    </w:p>
  </w:footnote>
  <w:footnote w:id="25">
    <w:p w:rsidR="00A46F96" w:rsidRDefault="00A46F96">
      <w:pPr>
        <w:pStyle w:val="FootnoteText"/>
      </w:pPr>
      <w:r>
        <w:rPr>
          <w:rStyle w:val="FootnoteReference"/>
        </w:rPr>
        <w:footnoteRef/>
      </w:r>
      <w:r>
        <w:rPr>
          <w:rStyle w:val="FootnoteReference"/>
        </w:rPr>
        <w:tab/>
      </w:r>
      <w:hyperlink r:id="rId24">
        <w:r>
          <w:rPr>
            <w:rStyle w:val="InternetLink"/>
          </w:rPr>
          <w:t>http://www.produktivitate.lv/lv/kurss/macies-un-klusti-par-sertificetu-energoauditoru</w:t>
        </w:r>
      </w:hyperlink>
    </w:p>
  </w:footnote>
  <w:footnote w:id="26">
    <w:p w:rsidR="00A46F96" w:rsidRDefault="00A46F96">
      <w:pPr>
        <w:pStyle w:val="FootnoteText"/>
      </w:pPr>
      <w:r>
        <w:rPr>
          <w:rStyle w:val="FootnoteReference"/>
        </w:rPr>
        <w:footnoteRef/>
      </w:r>
      <w:r>
        <w:rPr>
          <w:rStyle w:val="FootnoteReference"/>
        </w:rPr>
        <w:tab/>
      </w:r>
      <w:hyperlink r:id="rId25">
        <w:r>
          <w:rPr>
            <w:rStyle w:val="InternetLink"/>
          </w:rPr>
          <w:t>https://www.em.gov.lv/lv/nozares_politika/energoefektivitate_un_siltumapgade/energoefektivitate/obligati_energoauditi_lielajos_uznemumos/</w:t>
        </w:r>
      </w:hyperlink>
      <w:r>
        <w:t xml:space="preserve"> </w:t>
      </w:r>
    </w:p>
  </w:footnote>
  <w:footnote w:id="27">
    <w:p w:rsidR="00A46F96" w:rsidRDefault="00A46F96">
      <w:pPr>
        <w:pStyle w:val="FootnoteText"/>
      </w:pPr>
      <w:r>
        <w:rPr>
          <w:rStyle w:val="FootnoteReference"/>
        </w:rPr>
        <w:footnoteRef/>
      </w:r>
      <w:r>
        <w:rPr>
          <w:rStyle w:val="FootnoteReference"/>
        </w:rPr>
        <w:tab/>
      </w:r>
      <w:r>
        <w:t xml:space="preserve"> </w:t>
      </w:r>
      <w:hyperlink r:id="rId26">
        <w:r>
          <w:rPr>
            <w:rStyle w:val="InternetLink"/>
          </w:rPr>
          <w:t>http://www.sadalestikls.lv/files/newnode/tarifieur/ST_tarifu_kartiba_2015.pdf</w:t>
        </w:r>
      </w:hyperlink>
      <w:r>
        <w:t xml:space="preserve"> </w:t>
      </w:r>
    </w:p>
  </w:footnote>
  <w:footnote w:id="28">
    <w:p w:rsidR="00A46F96" w:rsidRDefault="00A46F96">
      <w:pPr>
        <w:pStyle w:val="FootnoteText"/>
      </w:pPr>
      <w:r>
        <w:rPr>
          <w:rStyle w:val="FootnoteReference"/>
        </w:rPr>
        <w:footnoteRef/>
      </w:r>
      <w:r>
        <w:rPr>
          <w:rStyle w:val="FootnoteReference"/>
        </w:rPr>
        <w:tab/>
      </w:r>
      <w:r>
        <w:t xml:space="preserve"> </w:t>
      </w:r>
      <w:hyperlink r:id="rId27">
        <w:r>
          <w:rPr>
            <w:rStyle w:val="InternetLink"/>
          </w:rPr>
          <w:t>http://sadalestikls.lv/lat/klientiem/pieslegumi/es/</w:t>
        </w:r>
      </w:hyperlink>
      <w:r>
        <w:t xml:space="preserve"> </w:t>
      </w:r>
    </w:p>
  </w:footnote>
  <w:footnote w:id="29">
    <w:p w:rsidR="00A46F96" w:rsidRDefault="00A46F96">
      <w:pPr>
        <w:pStyle w:val="FootnoteText"/>
      </w:pPr>
      <w:r>
        <w:rPr>
          <w:rStyle w:val="FootnoteReference"/>
        </w:rPr>
        <w:footnoteRef/>
      </w:r>
      <w:r>
        <w:rPr>
          <w:rStyle w:val="FootnoteReference"/>
        </w:rPr>
        <w:tab/>
      </w:r>
      <w:r>
        <w:t xml:space="preserve"> </w:t>
      </w:r>
      <w:hyperlink r:id="rId28">
        <w:r>
          <w:rPr>
            <w:rStyle w:val="InternetLink"/>
          </w:rPr>
          <w:t>http://www.latak.lv/index.php?lang=lv</w:t>
        </w:r>
      </w:hyperlink>
      <w:r>
        <w:t xml:space="preserve"> </w:t>
      </w:r>
    </w:p>
  </w:footnote>
  <w:footnote w:id="30">
    <w:p w:rsidR="00A46F96" w:rsidRDefault="00A46F96">
      <w:pPr>
        <w:pStyle w:val="FootnoteText"/>
      </w:pPr>
      <w:r>
        <w:rPr>
          <w:rStyle w:val="FootnoteReference"/>
        </w:rPr>
        <w:footnoteRef/>
      </w:r>
      <w:r>
        <w:rPr>
          <w:rStyle w:val="FootnoteReference"/>
        </w:rPr>
        <w:tab/>
      </w:r>
      <w:r>
        <w:t xml:space="preserve"> </w:t>
      </w:r>
      <w:hyperlink r:id="rId29">
        <w:r>
          <w:rPr>
            <w:rStyle w:val="InternetLink"/>
          </w:rPr>
          <w:t>http://www.latak.lv/index.php?option=com_content&amp;view=article&amp;id=17&amp;Itemid=417&amp;lang=lv</w:t>
        </w:r>
      </w:hyperlink>
      <w:r>
        <w:t xml:space="preserve"> </w:t>
      </w:r>
    </w:p>
  </w:footnote>
  <w:footnote w:id="31">
    <w:p w:rsidR="00A46F96" w:rsidRDefault="00A46F96">
      <w:pPr>
        <w:pStyle w:val="FootnoteText"/>
      </w:pPr>
      <w:r>
        <w:rPr>
          <w:rStyle w:val="FootnoteReference"/>
        </w:rPr>
        <w:footnoteRef/>
      </w:r>
      <w:r>
        <w:rPr>
          <w:rStyle w:val="FootnoteReference"/>
        </w:rPr>
        <w:tab/>
      </w:r>
      <w:r>
        <w:t xml:space="preserve"> </w:t>
      </w:r>
      <w:hyperlink r:id="rId30">
        <w:r>
          <w:rPr>
            <w:rStyle w:val="InternetLink"/>
          </w:rPr>
          <w:t>http://www.latak.lv/index.php?option=com_content&amp;view=article&amp;id=17&amp;Itemid=417&amp;lang=lv</w:t>
        </w:r>
      </w:hyperlink>
      <w:r>
        <w:t xml:space="preserve"> </w:t>
      </w:r>
    </w:p>
  </w:footnote>
  <w:footnote w:id="32">
    <w:p w:rsidR="00A46F96" w:rsidRDefault="00A46F96">
      <w:pPr>
        <w:pStyle w:val="FootnoteText"/>
      </w:pPr>
      <w:r>
        <w:rPr>
          <w:rStyle w:val="FootnoteReference"/>
        </w:rPr>
        <w:footnoteRef/>
      </w:r>
      <w:r>
        <w:rPr>
          <w:rStyle w:val="FootnoteReference"/>
        </w:rPr>
        <w:tab/>
      </w:r>
      <w:r>
        <w:t xml:space="preserve"> </w:t>
      </w:r>
      <w:hyperlink r:id="rId31">
        <w:r>
          <w:rPr>
            <w:rStyle w:val="InternetLink"/>
          </w:rPr>
          <w:t>http://visc.gov.lv/profizglitiba/dokumenti/standarti/ps0286.pdf</w:t>
        </w:r>
      </w:hyperlink>
      <w:r>
        <w:t xml:space="preserve"> </w:t>
      </w:r>
    </w:p>
  </w:footnote>
  <w:footnote w:id="33">
    <w:p w:rsidR="00A46F96" w:rsidRDefault="00A46F96">
      <w:pPr>
        <w:pStyle w:val="FootnoteText"/>
      </w:pPr>
      <w:r>
        <w:rPr>
          <w:rStyle w:val="FootnoteReference"/>
        </w:rPr>
        <w:footnoteRef/>
      </w:r>
      <w:r>
        <w:rPr>
          <w:rStyle w:val="FootnoteReference"/>
        </w:rPr>
        <w:tab/>
      </w:r>
      <w:r>
        <w:t xml:space="preserve"> </w:t>
      </w:r>
      <w:hyperlink r:id="rId32">
        <w:r>
          <w:rPr>
            <w:rStyle w:val="InternetLink"/>
          </w:rPr>
          <w:t>http://visc.gov.lv/profizglitiba/dokumenti/standarti/ps0438.pdf</w:t>
        </w:r>
      </w:hyperlink>
      <w:r>
        <w:t xml:space="preserve"> </w:t>
      </w:r>
    </w:p>
  </w:footnote>
  <w:footnote w:id="34">
    <w:p w:rsidR="00A46F96" w:rsidRDefault="00A46F96">
      <w:pPr>
        <w:pStyle w:val="FootnoteText"/>
      </w:pPr>
      <w:r>
        <w:rPr>
          <w:rStyle w:val="FootnoteReference"/>
        </w:rPr>
        <w:footnoteRef/>
      </w:r>
      <w:r>
        <w:rPr>
          <w:rStyle w:val="FootnoteReference"/>
        </w:rPr>
        <w:tab/>
      </w:r>
      <w:r>
        <w:t xml:space="preserve"> </w:t>
      </w:r>
      <w:hyperlink r:id="rId33">
        <w:r>
          <w:rPr>
            <w:rStyle w:val="InternetLink"/>
          </w:rPr>
          <w:t>https://bis.gov.lv/bisp/registri/dzivojamo-maju-parvaldnieku-registrs/izglitibas-iestades-kuras-iespejams-iegut-dzivojamo-maju-parvaldisanai-nepieciesamo-profesionalo-izglitibu-un-kvalifikaciju</w:t>
        </w:r>
      </w:hyperlink>
      <w:r>
        <w:t xml:space="preserve"> </w:t>
      </w:r>
    </w:p>
  </w:footnote>
  <w:footnote w:id="35">
    <w:p w:rsidR="00A46F96" w:rsidRDefault="00A46F96">
      <w:pPr>
        <w:pStyle w:val="FootnoteText"/>
      </w:pPr>
      <w:r>
        <w:rPr>
          <w:rStyle w:val="FootnoteReference"/>
        </w:rPr>
        <w:footnoteRef/>
      </w:r>
      <w:r>
        <w:rPr>
          <w:rStyle w:val="FootnoteReference"/>
        </w:rPr>
        <w:tab/>
      </w:r>
      <w:r>
        <w:t xml:space="preserve"> </w:t>
      </w:r>
      <w:hyperlink r:id="rId34">
        <w:r>
          <w:rPr>
            <w:rStyle w:val="InternetLink"/>
          </w:rPr>
          <w:t>https://bis.gov.lv/bisp/lv/house_managers</w:t>
        </w:r>
      </w:hyperlink>
      <w:r>
        <w:t xml:space="preserve">. </w:t>
      </w:r>
    </w:p>
  </w:footnote>
  <w:footnote w:id="36">
    <w:p w:rsidR="00A46F96" w:rsidRDefault="00A46F96">
      <w:pPr>
        <w:pStyle w:val="FootnoteText"/>
      </w:pPr>
      <w:r>
        <w:rPr>
          <w:rStyle w:val="FootnoteReference"/>
        </w:rPr>
        <w:footnoteRef/>
      </w:r>
      <w:r>
        <w:rPr>
          <w:rStyle w:val="FootnoteReference"/>
        </w:rPr>
        <w:tab/>
      </w:r>
      <w:r>
        <w:t xml:space="preserve"> </w:t>
      </w:r>
      <w:hyperlink r:id="rId35">
        <w:r>
          <w:rPr>
            <w:rStyle w:val="InternetLink"/>
          </w:rPr>
          <w:t>http://www.latvenergo.lv/lat/klientiem/EEC/par_eec/</w:t>
        </w:r>
      </w:hyperlink>
      <w:r>
        <w:t xml:space="preserve"> </w:t>
      </w:r>
    </w:p>
  </w:footnote>
  <w:footnote w:id="37">
    <w:p w:rsidR="00A46F96" w:rsidRDefault="00A46F96">
      <w:pPr>
        <w:pStyle w:val="FootnoteText"/>
      </w:pPr>
      <w:r>
        <w:rPr>
          <w:rStyle w:val="FootnoteReference"/>
        </w:rPr>
        <w:footnoteRef/>
      </w:r>
      <w:r>
        <w:rPr>
          <w:rStyle w:val="FootnoteReference"/>
        </w:rPr>
        <w:tab/>
      </w:r>
      <w:r>
        <w:t xml:space="preserve"> </w:t>
      </w:r>
      <w:hyperlink r:id="rId36">
        <w:r>
          <w:rPr>
            <w:rStyle w:val="InternetLink"/>
          </w:rPr>
          <w:t>http://lg.lv/?id=328&amp;lang=lat</w:t>
        </w:r>
      </w:hyperlink>
      <w:r>
        <w:t xml:space="preserve"> </w:t>
      </w:r>
    </w:p>
  </w:footnote>
  <w:footnote w:id="38">
    <w:p w:rsidR="00A46F96" w:rsidRDefault="00A46F96">
      <w:pPr>
        <w:pStyle w:val="FootnoteText"/>
      </w:pPr>
      <w:r>
        <w:rPr>
          <w:rStyle w:val="FootnoteReference"/>
        </w:rPr>
        <w:footnoteRef/>
      </w:r>
      <w:r>
        <w:rPr>
          <w:rStyle w:val="FootnoteReference"/>
        </w:rPr>
        <w:tab/>
      </w:r>
      <w:r>
        <w:t xml:space="preserve"> </w:t>
      </w:r>
      <w:hyperlink r:id="rId37">
        <w:r>
          <w:rPr>
            <w:rStyle w:val="InternetLink"/>
          </w:rPr>
          <w:t>https://em.gov.lv/lv/es_fondi/dzivo_siltak/ievads/</w:t>
        </w:r>
      </w:hyperlink>
      <w:r>
        <w:t xml:space="preserve"> </w:t>
      </w:r>
    </w:p>
  </w:footnote>
  <w:footnote w:id="39">
    <w:p w:rsidR="00A46F96" w:rsidRDefault="00A46F96">
      <w:pPr>
        <w:pStyle w:val="FootnoteText"/>
      </w:pPr>
      <w:r>
        <w:rPr>
          <w:rStyle w:val="FootnoteReference"/>
        </w:rPr>
        <w:footnoteRef/>
      </w:r>
      <w:r>
        <w:rPr>
          <w:rStyle w:val="FootnoteReference"/>
        </w:rPr>
        <w:tab/>
      </w:r>
      <w:r>
        <w:t xml:space="preserve"> </w:t>
      </w:r>
      <w:hyperlink r:id="rId38">
        <w:r>
          <w:rPr>
            <w:rStyle w:val="InternetLink"/>
          </w:rPr>
          <w:t>https://www.riga.lv/LV/Channels/Riga_Municipality/Statutory_acts/default.htm</w:t>
        </w:r>
      </w:hyperlink>
      <w:r>
        <w:t xml:space="preserve"> </w:t>
      </w:r>
    </w:p>
  </w:footnote>
  <w:footnote w:id="40">
    <w:p w:rsidR="00A46F96" w:rsidRDefault="00A46F96">
      <w:pPr>
        <w:pStyle w:val="FootnoteText"/>
      </w:pPr>
      <w:r>
        <w:rPr>
          <w:rStyle w:val="FootnoteReference"/>
        </w:rPr>
        <w:footnoteRef/>
      </w:r>
      <w:r>
        <w:rPr>
          <w:rStyle w:val="FootnoteReference"/>
        </w:rPr>
        <w:tab/>
      </w:r>
      <w:r>
        <w:t xml:space="preserve"> </w:t>
      </w:r>
      <w:hyperlink r:id="rId39">
        <w:r>
          <w:rPr>
            <w:rStyle w:val="InternetLink"/>
          </w:rPr>
          <w:t>http://www.zrea.lv/</w:t>
        </w:r>
      </w:hyperlink>
      <w:r>
        <w:t xml:space="preserve"> </w:t>
      </w:r>
    </w:p>
  </w:footnote>
  <w:footnote w:id="41">
    <w:p w:rsidR="00A46F96" w:rsidRDefault="00A46F96">
      <w:pPr>
        <w:pStyle w:val="FootnoteText"/>
      </w:pPr>
      <w:r>
        <w:rPr>
          <w:rStyle w:val="FootnoteReference"/>
        </w:rPr>
        <w:footnoteRef/>
      </w:r>
      <w:r>
        <w:rPr>
          <w:rStyle w:val="FootnoteReference"/>
        </w:rPr>
        <w:tab/>
      </w:r>
      <w:r>
        <w:t xml:space="preserve"> </w:t>
      </w:r>
      <w:hyperlink r:id="rId40">
        <w:r>
          <w:rPr>
            <w:rStyle w:val="InternetLink"/>
          </w:rPr>
          <w:t>http://m.likumi.lv/doc.php?id=272012</w:t>
        </w:r>
      </w:hyperlink>
      <w:r>
        <w:t xml:space="preserve"> </w:t>
      </w:r>
    </w:p>
  </w:footnote>
  <w:footnote w:id="42">
    <w:p w:rsidR="00A46F96" w:rsidRDefault="00A46F96">
      <w:pPr>
        <w:pStyle w:val="FootnoteText"/>
      </w:pPr>
      <w:r>
        <w:rPr>
          <w:rStyle w:val="FootnoteReference"/>
        </w:rPr>
        <w:footnoteRef/>
      </w:r>
      <w:r>
        <w:rPr>
          <w:rStyle w:val="FootnoteReference"/>
        </w:rPr>
        <w:tab/>
      </w:r>
      <w:hyperlink r:id="rId41">
        <w:r>
          <w:rPr>
            <w:rStyle w:val="InternetLink"/>
          </w:rPr>
          <w:t>https://www.em.gov.lv/lv/nozares_politika/energoefektivitate_un_siltumapgade/energoefektivitate/energoefektivitates_pakalpojumi/</w:t>
        </w:r>
      </w:hyperlink>
      <w:r>
        <w:t xml:space="preserve"> </w:t>
      </w:r>
    </w:p>
  </w:footnote>
  <w:footnote w:id="43">
    <w:p w:rsidR="00A46F96" w:rsidRDefault="00A46F96">
      <w:pPr>
        <w:pStyle w:val="FootnoteText"/>
      </w:pPr>
      <w:r>
        <w:rPr>
          <w:rStyle w:val="FootnoteReference"/>
        </w:rPr>
        <w:footnoteRef/>
      </w:r>
      <w:r>
        <w:rPr>
          <w:rStyle w:val="FootnoteReference"/>
        </w:rPr>
        <w:tab/>
      </w:r>
      <w:hyperlink r:id="rId42">
        <w:r>
          <w:rPr>
            <w:rStyle w:val="InternetLink"/>
          </w:rPr>
          <w:t>http://php.lvafa.gov.lv/images/faili/projektu_materiali/petijumi/2014/382_Passive_house/ESKO%20ligums%202015_01_28%201551%20SB.pdf</w:t>
        </w:r>
      </w:hyperlink>
      <w:r>
        <w:t xml:space="preserve"> </w:t>
      </w:r>
    </w:p>
  </w:footnote>
  <w:footnote w:id="44">
    <w:p w:rsidR="00A46F96" w:rsidRDefault="00A46F96">
      <w:pPr>
        <w:pStyle w:val="FootnoteText"/>
      </w:pPr>
      <w:r>
        <w:rPr>
          <w:rStyle w:val="FootnoteReference"/>
        </w:rPr>
        <w:footnoteRef/>
      </w:r>
      <w:r>
        <w:rPr>
          <w:rStyle w:val="FootnoteReference"/>
        </w:rPr>
        <w:tab/>
      </w:r>
      <w:hyperlink r:id="rId43">
        <w:r>
          <w:rPr>
            <w:rStyle w:val="InternetLink"/>
          </w:rPr>
          <w:t>http://php.lvafa.gov.lv/images/faili/projektu_materiali/petijumi/2014/382_Passive_house/ESKO_Vadlinijas_pasvaldibam.pdf</w:t>
        </w:r>
      </w:hyperlink>
      <w:r>
        <w:t xml:space="preserve"> </w:t>
      </w:r>
    </w:p>
  </w:footnote>
  <w:footnote w:id="45">
    <w:p w:rsidR="00A46F96" w:rsidRDefault="00A46F96">
      <w:pPr>
        <w:pStyle w:val="FootnoteText"/>
      </w:pPr>
      <w:r>
        <w:rPr>
          <w:rStyle w:val="FootnoteReference"/>
        </w:rPr>
        <w:footnoteRef/>
      </w:r>
      <w:r>
        <w:rPr>
          <w:rStyle w:val="FootnoteReference"/>
        </w:rPr>
        <w:tab/>
      </w:r>
      <w:r>
        <w:t xml:space="preserve"> </w:t>
      </w:r>
      <w:hyperlink r:id="rId44">
        <w:r>
          <w:rPr>
            <w:rStyle w:val="InternetLink"/>
          </w:rPr>
          <w:t>https://ec.europa.eu/energy/sites/ener/files/documents/2014_neeap_lv_latvia.pdf</w:t>
        </w:r>
      </w:hyperlink>
      <w:r>
        <w:t xml:space="preserve"> </w:t>
      </w:r>
    </w:p>
  </w:footnote>
  <w:footnote w:id="46">
    <w:p w:rsidR="00A46F96" w:rsidRDefault="00A46F96">
      <w:pPr>
        <w:pStyle w:val="FootnoteText"/>
      </w:pPr>
      <w:r>
        <w:rPr>
          <w:rStyle w:val="FootnoteReference"/>
        </w:rPr>
        <w:footnoteRef/>
      </w:r>
      <w:r>
        <w:rPr>
          <w:rStyle w:val="FootnoteReference"/>
        </w:rPr>
        <w:tab/>
      </w:r>
      <w:hyperlink r:id="rId45">
        <w:r>
          <w:rPr>
            <w:rStyle w:val="InternetLink"/>
          </w:rPr>
          <w:t>https://www.em.gov.lv/lv/nozares_politika/energoefektivitate_un_siltumapgade/energoefektivitate/pasvaldibu_energoplani/</w:t>
        </w:r>
      </w:hyperlink>
      <w:r>
        <w:t xml:space="preserve"> </w:t>
      </w:r>
    </w:p>
  </w:footnote>
  <w:footnote w:id="47">
    <w:p w:rsidR="00A46F96" w:rsidRDefault="00A46F96">
      <w:pPr>
        <w:pStyle w:val="FootnoteText"/>
      </w:pPr>
      <w:r>
        <w:rPr>
          <w:rStyle w:val="FootnoteReference"/>
        </w:rPr>
        <w:footnoteRef/>
      </w:r>
      <w:r>
        <w:rPr>
          <w:rStyle w:val="FootnoteReference"/>
        </w:rPr>
        <w:tab/>
      </w:r>
      <w:r>
        <w:t xml:space="preserve"> </w:t>
      </w:r>
      <w:hyperlink r:id="rId46">
        <w:r>
          <w:rPr>
            <w:rStyle w:val="InternetLink"/>
          </w:rPr>
          <w:t>http://likumi.lv/ta/id/272295-par-zala-iepirkuma-veicinasanas-planu-2015-2017-gadam</w:t>
        </w:r>
      </w:hyperlink>
      <w:r>
        <w:t xml:space="preserve"> </w:t>
      </w:r>
    </w:p>
  </w:footnote>
  <w:footnote w:id="48">
    <w:p w:rsidR="00A46F96" w:rsidRDefault="00A46F96">
      <w:pPr>
        <w:pStyle w:val="FootnoteText"/>
      </w:pPr>
      <w:r>
        <w:rPr>
          <w:rStyle w:val="FootnoteReference"/>
        </w:rPr>
        <w:footnoteRef/>
      </w:r>
      <w:r>
        <w:rPr>
          <w:rStyle w:val="FootnoteReference"/>
        </w:rPr>
        <w:tab/>
      </w:r>
      <w:r>
        <w:t xml:space="preserve"> </w:t>
      </w:r>
      <w:hyperlink r:id="rId47">
        <w:r>
          <w:rPr>
            <w:rStyle w:val="InternetLink"/>
          </w:rPr>
          <w:t>http://www.varam.gov.lv/lat/darbibas_veidi/reg_att/metodika/</w:t>
        </w:r>
      </w:hyperlink>
      <w:r>
        <w:t xml:space="preserve"> </w:t>
      </w:r>
    </w:p>
  </w:footnote>
  <w:footnote w:id="49">
    <w:p w:rsidR="00A46F96" w:rsidRDefault="00A46F96">
      <w:pPr>
        <w:pStyle w:val="FootnoteText"/>
      </w:pPr>
      <w:r>
        <w:rPr>
          <w:rStyle w:val="FootnoteReference"/>
        </w:rPr>
        <w:footnoteRef/>
      </w:r>
      <w:r>
        <w:rPr>
          <w:rStyle w:val="FootnoteReference"/>
        </w:rPr>
        <w:tab/>
      </w:r>
      <w:r>
        <w:t xml:space="preserve"> </w:t>
      </w:r>
      <w:hyperlink r:id="rId48">
        <w:r>
          <w:rPr>
            <w:rStyle w:val="InternetLink"/>
          </w:rPr>
          <w:t>http://www.iub.gov.lv/lv/node/63</w:t>
        </w:r>
      </w:hyperlink>
      <w:r>
        <w:t xml:space="preserve"> </w:t>
      </w:r>
    </w:p>
  </w:footnote>
  <w:footnote w:id="50">
    <w:p w:rsidR="00A46F96" w:rsidRDefault="00A46F96">
      <w:pPr>
        <w:pStyle w:val="FootnoteText"/>
      </w:pPr>
      <w:r>
        <w:rPr>
          <w:rStyle w:val="FootnoteReference"/>
        </w:rPr>
        <w:footnoteRef/>
      </w:r>
      <w:r>
        <w:rPr>
          <w:rStyle w:val="FootnoteReference"/>
        </w:rPr>
        <w:tab/>
      </w:r>
      <w:r>
        <w:t xml:space="preserve"> Aplūkojams: </w:t>
      </w:r>
      <w:hyperlink r:id="rId49">
        <w:r>
          <w:rPr>
            <w:rStyle w:val="InternetLink"/>
          </w:rPr>
          <w:t>https://ec.europa.eu/energy/sites/ener/files/documents/2014_neeap_lv_latvia.pdf</w:t>
        </w:r>
      </w:hyperlink>
      <w:r>
        <w:t xml:space="preserve"> </w:t>
      </w:r>
    </w:p>
  </w:footnote>
  <w:footnote w:id="51">
    <w:p w:rsidR="00A46F96" w:rsidRDefault="00A46F96">
      <w:pPr>
        <w:pStyle w:val="FootnoteText"/>
      </w:pPr>
      <w:r>
        <w:rPr>
          <w:rStyle w:val="FootnoteReference"/>
        </w:rPr>
        <w:footnoteRef/>
      </w:r>
      <w:r>
        <w:rPr>
          <w:rStyle w:val="FootnoteReference"/>
        </w:rPr>
        <w:tab/>
      </w:r>
      <w:r>
        <w:t xml:space="preserve"> </w:t>
      </w:r>
      <w:hyperlink r:id="rId50">
        <w:r>
          <w:rPr>
            <w:rStyle w:val="InternetLink"/>
          </w:rPr>
          <w:t>http://likumi.lv/doc.php?id=263153</w:t>
        </w:r>
      </w:hyperlink>
      <w:r>
        <w:t xml:space="preserve"> </w:t>
      </w:r>
    </w:p>
  </w:footnote>
  <w:footnote w:id="52">
    <w:p w:rsidR="00A46F96" w:rsidRDefault="00A46F96">
      <w:pPr>
        <w:pStyle w:val="FootnoteText"/>
      </w:pPr>
      <w:r>
        <w:rPr>
          <w:rStyle w:val="FootnoteReference"/>
        </w:rPr>
        <w:footnoteRef/>
      </w:r>
      <w:r>
        <w:rPr>
          <w:rStyle w:val="FootnoteReference"/>
        </w:rPr>
        <w:tab/>
      </w:r>
      <w:r>
        <w:t xml:space="preserve"> </w:t>
      </w:r>
      <w:hyperlink r:id="rId51">
        <w:r>
          <w:rPr>
            <w:rStyle w:val="InternetLink"/>
          </w:rPr>
          <w:t>http://data.csb.gov.lv/pxweb/lv/vide/vide__ikgad__energetika/EN0020.px/?rxid=cdcb978c-22b0-416a-aacc-aa650d3e2ce0</w:t>
        </w:r>
      </w:hyperlink>
      <w:r>
        <w:t xml:space="preserve"> </w:t>
      </w:r>
    </w:p>
  </w:footnote>
  <w:footnote w:id="53">
    <w:p w:rsidR="00A46F96" w:rsidRDefault="00A46F96">
      <w:pPr>
        <w:pStyle w:val="FootnoteText"/>
      </w:pPr>
      <w:r>
        <w:rPr>
          <w:rStyle w:val="FootnoteReference"/>
        </w:rPr>
        <w:footnoteRef/>
      </w:r>
      <w:r>
        <w:rPr>
          <w:rStyle w:val="FootnoteReference"/>
        </w:rPr>
        <w:tab/>
      </w:r>
      <w:r>
        <w:t xml:space="preserve"> </w:t>
      </w:r>
      <w:hyperlink r:id="rId52">
        <w:r>
          <w:rPr>
            <w:rStyle w:val="InternetLink"/>
          </w:rPr>
          <w:t>http://data.csb.gov.lv/pxweb/lv/vide/vide__ikgad__energetika/EN0040.px/?rxid=cdcb978c-22b0-416a-aacc-aa650d3e2ce0</w:t>
        </w:r>
      </w:hyperlink>
      <w:r>
        <w:t xml:space="preserve"> </w:t>
      </w:r>
    </w:p>
  </w:footnote>
  <w:footnote w:id="54">
    <w:p w:rsidR="00A46F96" w:rsidRDefault="00A46F96">
      <w:pPr>
        <w:pStyle w:val="FootnoteText"/>
      </w:pPr>
      <w:r>
        <w:rPr>
          <w:rStyle w:val="FootnoteReference"/>
        </w:rPr>
        <w:footnoteRef/>
      </w:r>
      <w:r>
        <w:rPr>
          <w:rStyle w:val="FootnoteReference"/>
        </w:rPr>
        <w:tab/>
      </w:r>
      <w:r>
        <w:t xml:space="preserve"> </w:t>
      </w:r>
      <w:hyperlink r:id="rId53">
        <w:r>
          <w:rPr>
            <w:rStyle w:val="InternetLink"/>
          </w:rPr>
          <w:t>https://www.em.gov.lv/lv/nozares_politika/energijas_tirgus_un_infrastruktura/statistika/</w:t>
        </w:r>
      </w:hyperlink>
      <w:r>
        <w:t xml:space="preserve"> </w:t>
      </w:r>
    </w:p>
  </w:footnote>
  <w:footnote w:id="55">
    <w:p w:rsidR="00A46F96" w:rsidRDefault="00A46F96">
      <w:pPr>
        <w:pStyle w:val="FootnoteText"/>
      </w:pPr>
      <w:r>
        <w:rPr>
          <w:rStyle w:val="FootnoteReference"/>
        </w:rPr>
        <w:footnoteRef/>
      </w:r>
      <w:r>
        <w:rPr>
          <w:rStyle w:val="FootnoteReference"/>
        </w:rPr>
        <w:tab/>
      </w:r>
      <w:hyperlink r:id="rId54">
        <w:r>
          <w:rPr>
            <w:rStyle w:val="InternetLink"/>
          </w:rPr>
          <w:t>https://www.em.gov.lv/lv/nozares_politika/energoefektivitate_un_siltumapgade/energoefektivitate/obligati_energoauditi_lielajos_uznemumos/</w:t>
        </w:r>
      </w:hyperlink>
      <w:r>
        <w:t xml:space="preserve"> </w:t>
      </w:r>
    </w:p>
  </w:footnote>
  <w:footnote w:id="56">
    <w:p w:rsidR="00A46F96" w:rsidRDefault="00A46F96">
      <w:pPr>
        <w:pStyle w:val="FootnoteText"/>
      </w:pPr>
      <w:r>
        <w:rPr>
          <w:rStyle w:val="FootnoteReference"/>
        </w:rPr>
        <w:footnoteRef/>
      </w:r>
      <w:r>
        <w:rPr>
          <w:rStyle w:val="FootnoteReference"/>
        </w:rPr>
        <w:tab/>
      </w:r>
      <w:hyperlink r:id="rId55">
        <w:r>
          <w:rPr>
            <w:rStyle w:val="InternetLink"/>
          </w:rPr>
          <w:t>http://php.lvafa.gov.lv/images/faili/projektu_materiali/petijumi/2014/382_Passive_house/ESKO%20ligums%202015_01_28%201551%20SB.pdf</w:t>
        </w:r>
      </w:hyperlink>
      <w:r>
        <w:t xml:space="preserve"> </w:t>
      </w:r>
    </w:p>
  </w:footnote>
  <w:footnote w:id="57">
    <w:p w:rsidR="00A46F96" w:rsidRDefault="00A46F96">
      <w:pPr>
        <w:pStyle w:val="FootnoteText"/>
      </w:pPr>
      <w:r>
        <w:rPr>
          <w:rStyle w:val="FootnoteReference"/>
        </w:rPr>
        <w:footnoteRef/>
      </w:r>
      <w:r>
        <w:rPr>
          <w:rStyle w:val="FootnoteReference"/>
        </w:rPr>
        <w:tab/>
      </w:r>
      <w:hyperlink r:id="rId56">
        <w:r>
          <w:rPr>
            <w:rStyle w:val="InternetLink"/>
          </w:rPr>
          <w:t>http://php.lvafa.gov.lv/images/faili/projektu_materiali/petijumi/2014/382_Passive_house/ESKO_Vadlinijas_pasvaldibam.pdf</w:t>
        </w:r>
      </w:hyperlink>
      <w:r>
        <w:t xml:space="preserve"> </w:t>
      </w:r>
    </w:p>
  </w:footnote>
  <w:footnote w:id="58">
    <w:p w:rsidR="00A46F96" w:rsidRDefault="00A46F96">
      <w:pPr>
        <w:pStyle w:val="FootnoteText"/>
      </w:pPr>
      <w:r>
        <w:rPr>
          <w:rStyle w:val="FootnoteReference"/>
        </w:rPr>
        <w:footnoteRef/>
      </w:r>
      <w:r>
        <w:rPr>
          <w:rStyle w:val="FootnoteReference"/>
        </w:rPr>
        <w:tab/>
      </w:r>
      <w:r>
        <w:t xml:space="preserve"> </w:t>
      </w:r>
      <w:hyperlink r:id="rId57">
        <w:r>
          <w:rPr>
            <w:rStyle w:val="InternetLink"/>
          </w:rPr>
          <w:t>http://www.sadalestikls.lv/lat/klientiem/pieslegumi/</w:t>
        </w:r>
      </w:hyperlink>
      <w:r>
        <w:t xml:space="preserve"> </w:t>
      </w:r>
    </w:p>
  </w:footnote>
  <w:footnote w:id="59">
    <w:p w:rsidR="00A46F96" w:rsidRDefault="00A46F96">
      <w:pPr>
        <w:pStyle w:val="FootnoteText"/>
      </w:pPr>
      <w:r>
        <w:rPr>
          <w:rStyle w:val="FootnoteReference"/>
        </w:rPr>
        <w:footnoteRef/>
      </w:r>
      <w:r>
        <w:rPr>
          <w:rStyle w:val="FootnoteReference"/>
        </w:rPr>
        <w:tab/>
      </w:r>
      <w:r>
        <w:t xml:space="preserve"> </w:t>
      </w:r>
      <w:hyperlink r:id="rId58">
        <w:r>
          <w:rPr>
            <w:rStyle w:val="InternetLink"/>
          </w:rPr>
          <w:t>http://www.sadalestikls.lv/files/newnode/tarifieur/ST_tarifu_kartiba_2015.pdf</w:t>
        </w:r>
      </w:hyperlink>
      <w:r>
        <w:t xml:space="preserve"> </w:t>
      </w:r>
    </w:p>
  </w:footnote>
  <w:footnote w:id="60">
    <w:p w:rsidR="00A46F96" w:rsidRDefault="00A46F96">
      <w:pPr>
        <w:pStyle w:val="FootnoteText"/>
      </w:pPr>
      <w:r>
        <w:rPr>
          <w:rStyle w:val="FootnoteReference"/>
        </w:rPr>
        <w:footnoteRef/>
      </w:r>
      <w:r>
        <w:rPr>
          <w:rStyle w:val="FootnoteReference"/>
        </w:rPr>
        <w:tab/>
      </w:r>
      <w:r>
        <w:t xml:space="preserve"> </w:t>
      </w:r>
      <w:hyperlink r:id="rId59">
        <w:r>
          <w:rPr>
            <w:rStyle w:val="Internet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2D" w:rsidRDefault="00BB0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96" w:rsidRDefault="00A46F96">
    <w:pPr>
      <w:pStyle w:val="Header"/>
      <w:jc w:val="center"/>
    </w:pPr>
    <w:r>
      <w:fldChar w:fldCharType="begin"/>
    </w:r>
    <w:r>
      <w:instrText>PAGE</w:instrText>
    </w:r>
    <w:r>
      <w:fldChar w:fldCharType="separate"/>
    </w:r>
    <w:r w:rsidR="00743A16">
      <w:rPr>
        <w:noProof/>
      </w:rPr>
      <w:t>37</w:t>
    </w:r>
    <w:r>
      <w:fldChar w:fldCharType="end"/>
    </w:r>
  </w:p>
  <w:p w:rsidR="00A46F96" w:rsidRDefault="00A46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2D" w:rsidRDefault="00BB0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3140"/>
    <w:multiLevelType w:val="multilevel"/>
    <w:tmpl w:val="3C5E37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0B42000"/>
    <w:multiLevelType w:val="multilevel"/>
    <w:tmpl w:val="958A450C"/>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B4"/>
    <w:rsid w:val="00041B08"/>
    <w:rsid w:val="0005108E"/>
    <w:rsid w:val="000F14B4"/>
    <w:rsid w:val="002771A1"/>
    <w:rsid w:val="002C02A4"/>
    <w:rsid w:val="003C14CD"/>
    <w:rsid w:val="004B31C8"/>
    <w:rsid w:val="00597984"/>
    <w:rsid w:val="0067298B"/>
    <w:rsid w:val="00680574"/>
    <w:rsid w:val="00693F75"/>
    <w:rsid w:val="00714B49"/>
    <w:rsid w:val="00743A16"/>
    <w:rsid w:val="00786C08"/>
    <w:rsid w:val="009D572F"/>
    <w:rsid w:val="00A22D20"/>
    <w:rsid w:val="00A46F96"/>
    <w:rsid w:val="00BB002D"/>
    <w:rsid w:val="00BC5FFB"/>
    <w:rsid w:val="00C5171F"/>
    <w:rsid w:val="00C623AF"/>
    <w:rsid w:val="00D003D6"/>
    <w:rsid w:val="00D75311"/>
    <w:rsid w:val="00E17AA4"/>
    <w:rsid w:val="00EF70AB"/>
    <w:rsid w:val="00FA14BD"/>
    <w:rsid w:val="00FD604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961C649-B634-4B72-A1BA-79663AFD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BA"/>
    <w:pPr>
      <w:suppressAutoHyphens/>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sz w:val="32"/>
      <w:szCs w:val="32"/>
    </w:rPr>
  </w:style>
  <w:style w:type="paragraph" w:styleId="Heading2">
    <w:name w:val="heading 2"/>
    <w:basedOn w:val="Heading"/>
    <w:qFormat/>
    <w:pPr>
      <w:outlineLvl w:val="1"/>
    </w:p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Autospacing="1"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qFormat/>
    <w:rsid w:val="008B33AD"/>
    <w:rPr>
      <w:rFonts w:eastAsia="Times New Roman"/>
      <w:sz w:val="28"/>
      <w:lang w:val="en-US" w:eastAsia="en-US"/>
    </w:rPr>
  </w:style>
  <w:style w:type="character" w:customStyle="1" w:styleId="BodyTextIndentChar">
    <w:name w:val="Body Text Indent Char"/>
    <w:link w:val="TextBodyIndent"/>
    <w:qFormat/>
    <w:rsid w:val="008B33AD"/>
    <w:rPr>
      <w:rFonts w:eastAsia="Times New Roman"/>
      <w:sz w:val="28"/>
      <w:lang w:eastAsia="en-US"/>
    </w:rPr>
  </w:style>
  <w:style w:type="character" w:customStyle="1" w:styleId="BalloonTextChar">
    <w:name w:val="Balloon Text Char"/>
    <w:link w:val="BalloonText"/>
    <w:uiPriority w:val="99"/>
    <w:semiHidden/>
    <w:qFormat/>
    <w:rsid w:val="008B33AD"/>
    <w:rPr>
      <w:rFonts w:ascii="Tahoma" w:hAnsi="Tahoma" w:cs="Tahoma"/>
      <w:sz w:val="16"/>
      <w:szCs w:val="16"/>
      <w:lang w:eastAsia="en-US"/>
    </w:rPr>
  </w:style>
  <w:style w:type="character" w:customStyle="1" w:styleId="HeaderChar">
    <w:name w:val="Header Char"/>
    <w:link w:val="Header"/>
    <w:uiPriority w:val="99"/>
    <w:qFormat/>
    <w:rsid w:val="009B7B04"/>
    <w:rPr>
      <w:sz w:val="24"/>
      <w:szCs w:val="22"/>
      <w:lang w:eastAsia="en-US"/>
    </w:rPr>
  </w:style>
  <w:style w:type="character" w:customStyle="1" w:styleId="FooterChar">
    <w:name w:val="Footer Char"/>
    <w:link w:val="Footer"/>
    <w:uiPriority w:val="99"/>
    <w:qFormat/>
    <w:rsid w:val="009B7B04"/>
    <w:rPr>
      <w:sz w:val="24"/>
      <w:szCs w:val="22"/>
      <w:lang w:eastAsia="en-US"/>
    </w:rPr>
  </w:style>
  <w:style w:type="character" w:customStyle="1" w:styleId="Heading3Char">
    <w:name w:val="Heading 3 Char"/>
    <w:link w:val="Heading3"/>
    <w:uiPriority w:val="9"/>
    <w:qFormat/>
    <w:rsid w:val="009B7B04"/>
    <w:rPr>
      <w:rFonts w:ascii="Cambria" w:eastAsia="Times New Roman" w:hAnsi="Cambria" w:cs="Times New Roman"/>
      <w:b/>
      <w:bCs/>
      <w:sz w:val="26"/>
      <w:szCs w:val="26"/>
      <w:lang w:eastAsia="en-US"/>
    </w:rPr>
  </w:style>
  <w:style w:type="character" w:customStyle="1" w:styleId="InternetLink">
    <w:name w:val="Internet Link"/>
    <w:uiPriority w:val="99"/>
    <w:unhideWhenUsed/>
    <w:rsid w:val="00953B22"/>
    <w:rPr>
      <w:color w:val="0000FF"/>
      <w:u w:val="single"/>
    </w:rPr>
  </w:style>
  <w:style w:type="character" w:customStyle="1" w:styleId="BodyText3Char">
    <w:name w:val="Body Text 3 Char"/>
    <w:link w:val="BodyText3"/>
    <w:uiPriority w:val="99"/>
    <w:qFormat/>
    <w:rsid w:val="00097D48"/>
    <w:rPr>
      <w:sz w:val="16"/>
      <w:szCs w:val="16"/>
      <w:lang w:eastAsia="en-US"/>
    </w:rPr>
  </w:style>
  <w:style w:type="character" w:customStyle="1" w:styleId="BodyTextChar">
    <w:name w:val="Body Text Char"/>
    <w:link w:val="TextBody"/>
    <w:qFormat/>
    <w:rsid w:val="008620FE"/>
    <w:rPr>
      <w:sz w:val="24"/>
      <w:szCs w:val="22"/>
      <w:lang w:eastAsia="en-US"/>
    </w:rPr>
  </w:style>
  <w:style w:type="character" w:customStyle="1" w:styleId="BodyTextIndent3Char">
    <w:name w:val="Body Text Indent 3 Char"/>
    <w:link w:val="BodyTextIndent3"/>
    <w:qFormat/>
    <w:rsid w:val="006A5C75"/>
    <w:rPr>
      <w:sz w:val="16"/>
      <w:szCs w:val="16"/>
      <w:lang w:eastAsia="en-US"/>
    </w:rPr>
  </w:style>
  <w:style w:type="character" w:customStyle="1" w:styleId="HTMLPreformattedChar">
    <w:name w:val="HTML Preformatted Char"/>
    <w:link w:val="HTMLPreformatted"/>
    <w:qFormat/>
    <w:rsid w:val="000E3F29"/>
    <w:rPr>
      <w:rFonts w:ascii="Arial Unicode MS" w:eastAsia="Arial Unicode MS" w:hAnsi="Arial Unicode MS" w:cs="Arial Unicode MS"/>
      <w:lang w:eastAsia="en-US"/>
    </w:rPr>
  </w:style>
  <w:style w:type="character" w:customStyle="1" w:styleId="FootnoteTextChar">
    <w:name w:val="Footnote Text Char"/>
    <w:link w:val="FootnoteText"/>
    <w:qFormat/>
    <w:rsid w:val="00401350"/>
    <w:rPr>
      <w:rFonts w:eastAsia="Times New Roman"/>
      <w:lang w:eastAsia="en-US"/>
    </w:rPr>
  </w:style>
  <w:style w:type="character" w:styleId="FootnoteReference">
    <w:name w:val="footnote reference"/>
    <w:uiPriority w:val="99"/>
    <w:qFormat/>
    <w:rsid w:val="00401350"/>
    <w:rPr>
      <w:vertAlign w:val="superscript"/>
    </w:rPr>
  </w:style>
  <w:style w:type="character" w:styleId="Strong">
    <w:name w:val="Strong"/>
    <w:uiPriority w:val="22"/>
    <w:qFormat/>
    <w:rsid w:val="00401350"/>
    <w:rPr>
      <w:b/>
      <w:bCs/>
    </w:rPr>
  </w:style>
  <w:style w:type="character" w:styleId="Emphasis">
    <w:name w:val="Emphasis"/>
    <w:uiPriority w:val="99"/>
    <w:qFormat/>
    <w:rsid w:val="0090359D"/>
    <w:rPr>
      <w:i/>
      <w:iCs/>
    </w:rPr>
  </w:style>
  <w:style w:type="character" w:customStyle="1" w:styleId="PlainTextChar">
    <w:name w:val="Plain Text Char"/>
    <w:link w:val="PlainText"/>
    <w:uiPriority w:val="99"/>
    <w:qFormat/>
    <w:rsid w:val="004A19ED"/>
    <w:rPr>
      <w:rFonts w:ascii="Consolas" w:hAnsi="Consolas"/>
      <w:sz w:val="21"/>
      <w:szCs w:val="21"/>
      <w:lang w:eastAsia="en-US"/>
    </w:rPr>
  </w:style>
  <w:style w:type="character" w:customStyle="1" w:styleId="CommentTextChar">
    <w:name w:val="Comment Text Char"/>
    <w:link w:val="CommentText"/>
    <w:uiPriority w:val="99"/>
    <w:qFormat/>
    <w:rsid w:val="009B7453"/>
    <w:rPr>
      <w:lang w:eastAsia="en-US"/>
    </w:rPr>
  </w:style>
  <w:style w:type="character" w:customStyle="1" w:styleId="Heading4Char">
    <w:name w:val="Heading 4 Char"/>
    <w:link w:val="Heading4"/>
    <w:uiPriority w:val="9"/>
    <w:qFormat/>
    <w:rsid w:val="006B0FFC"/>
    <w:rPr>
      <w:rFonts w:eastAsia="Times New Roman"/>
      <w:b/>
      <w:bCs/>
      <w:sz w:val="24"/>
      <w:szCs w:val="24"/>
      <w:lang w:val="lv-LV" w:eastAsia="lv-LV"/>
    </w:rPr>
  </w:style>
  <w:style w:type="character" w:styleId="CommentReference">
    <w:name w:val="annotation reference"/>
    <w:uiPriority w:val="99"/>
    <w:unhideWhenUsed/>
    <w:qFormat/>
    <w:rsid w:val="006B0FFC"/>
    <w:rPr>
      <w:sz w:val="16"/>
      <w:szCs w:val="16"/>
    </w:rPr>
  </w:style>
  <w:style w:type="character" w:customStyle="1" w:styleId="CommentSubjectChar">
    <w:name w:val="Comment Subject Char"/>
    <w:link w:val="CommentSubject"/>
    <w:semiHidden/>
    <w:qFormat/>
    <w:rsid w:val="006B0FFC"/>
    <w:rPr>
      <w:b/>
      <w:bCs/>
      <w:lang w:val="lv-LV" w:eastAsia="en-US"/>
    </w:rPr>
  </w:style>
  <w:style w:type="character" w:customStyle="1" w:styleId="Heading1Char">
    <w:name w:val="Heading 1 Char"/>
    <w:link w:val="Heading1"/>
    <w:uiPriority w:val="9"/>
    <w:qFormat/>
    <w:rsid w:val="00040328"/>
    <w:rPr>
      <w:rFonts w:ascii="Cambria" w:eastAsia="Times New Roman" w:hAnsi="Cambria" w:cs="Times New Roman"/>
      <w:b/>
      <w:bCs/>
      <w:sz w:val="32"/>
      <w:szCs w:val="32"/>
      <w:lang w:val="lv-LV" w:eastAsia="en-US"/>
    </w:rPr>
  </w:style>
  <w:style w:type="character" w:customStyle="1" w:styleId="naisfChar">
    <w:name w:val="naisf Char"/>
    <w:basedOn w:val="DefaultParagraphFont"/>
    <w:qFormat/>
    <w:locked/>
    <w:rsid w:val="0064074A"/>
    <w:rPr>
      <w:rFonts w:eastAsia="Times New Roman"/>
      <w:sz w:val="24"/>
      <w:szCs w:val="24"/>
    </w:rPr>
  </w:style>
  <w:style w:type="character" w:customStyle="1" w:styleId="apple-converted-space">
    <w:name w:val="apple-converted-space"/>
    <w:basedOn w:val="DefaultParagraphFont"/>
    <w:qFormat/>
    <w:rsid w:val="00141035"/>
  </w:style>
  <w:style w:type="character" w:customStyle="1" w:styleId="BodyText2Char">
    <w:name w:val="Body Text 2 Char"/>
    <w:basedOn w:val="DefaultParagraphFont"/>
    <w:link w:val="BodyText2"/>
    <w:qFormat/>
    <w:rsid w:val="00C84198"/>
    <w:rPr>
      <w:rFonts w:eastAsia="Times New Roman"/>
      <w:sz w:val="24"/>
      <w:szCs w:val="24"/>
    </w:rPr>
  </w:style>
  <w:style w:type="character" w:customStyle="1" w:styleId="NormalWebChar">
    <w:name w:val="Normal (Web) Char"/>
    <w:basedOn w:val="DefaultParagraphFont"/>
    <w:link w:val="NormalWeb"/>
    <w:uiPriority w:val="99"/>
    <w:qFormat/>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qFormat/>
    <w:rsid w:val="00C84198"/>
    <w:rPr>
      <w:color w:val="800080" w:themeColor="followedHyperlink"/>
      <w:u w:val="single"/>
    </w:rPr>
  </w:style>
  <w:style w:type="character" w:customStyle="1" w:styleId="z-BottomofFormChar">
    <w:name w:val="z-Bottom of Form Char"/>
    <w:basedOn w:val="DefaultParagraphFont"/>
    <w:uiPriority w:val="99"/>
    <w:qFormat/>
    <w:rsid w:val="00C84198"/>
    <w:rPr>
      <w:rFonts w:ascii="Arial" w:eastAsia="Times New Roman" w:hAnsi="Arial" w:cs="Arial"/>
      <w:vanish/>
      <w:sz w:val="16"/>
      <w:szCs w:val="16"/>
    </w:rPr>
  </w:style>
  <w:style w:type="character" w:customStyle="1" w:styleId="spelle">
    <w:name w:val="spelle"/>
    <w:basedOn w:val="DefaultParagraphFont"/>
    <w:qFormat/>
    <w:rsid w:val="00C84198"/>
  </w:style>
  <w:style w:type="character" w:customStyle="1" w:styleId="BodyTextIndent2Char">
    <w:name w:val="Body Text Indent 2 Char"/>
    <w:basedOn w:val="DefaultParagraphFont"/>
    <w:link w:val="BodyTextIndent2"/>
    <w:uiPriority w:val="99"/>
    <w:qFormat/>
    <w:rsid w:val="00C84198"/>
    <w:rPr>
      <w:rFonts w:ascii="Calibri" w:eastAsia="Times New Roman" w:hAnsi="Calibri"/>
      <w:sz w:val="22"/>
      <w:szCs w:val="22"/>
    </w:rPr>
  </w:style>
  <w:style w:type="character" w:customStyle="1" w:styleId="st1">
    <w:name w:val="st1"/>
    <w:basedOn w:val="DefaultParagraphFont"/>
    <w:qFormat/>
    <w:rsid w:val="00C84198"/>
  </w:style>
  <w:style w:type="character" w:customStyle="1" w:styleId="head61">
    <w:name w:val="head61"/>
    <w:basedOn w:val="DefaultParagraphFont"/>
    <w:qFormat/>
    <w:rsid w:val="00C84198"/>
    <w:rPr>
      <w:rFonts w:ascii="Arial" w:hAnsi="Arial" w:cs="Arial"/>
      <w:b/>
      <w:bCs/>
      <w:color w:val="666666"/>
      <w:sz w:val="21"/>
      <w:szCs w:val="21"/>
    </w:rPr>
  </w:style>
  <w:style w:type="character" w:customStyle="1" w:styleId="hierarchicaltableinformationtitle">
    <w:name w:val="hierarchical_tableinformation_title"/>
    <w:basedOn w:val="DefaultParagraphFont"/>
    <w:qFormat/>
    <w:rsid w:val="00253DC1"/>
  </w:style>
  <w:style w:type="character" w:customStyle="1" w:styleId="c1">
    <w:name w:val="c1"/>
    <w:qFormat/>
    <w:rsid w:val="001257B1"/>
    <w:rPr>
      <w:color w:val="FF0000"/>
    </w:rPr>
  </w:style>
  <w:style w:type="character" w:customStyle="1" w:styleId="ListLabel1">
    <w:name w:val="ListLabel 1"/>
    <w:qFormat/>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2">
    <w:name w:val="ListLabel 2"/>
    <w:qFormat/>
    <w:rPr>
      <w:color w:val="00000A"/>
    </w:rPr>
  </w:style>
  <w:style w:type="character" w:customStyle="1" w:styleId="ListLabel3">
    <w:name w:val="ListLabel 3"/>
    <w:qFormat/>
    <w:rPr>
      <w:i w:val="0"/>
    </w:rPr>
  </w:style>
  <w:style w:type="character" w:customStyle="1" w:styleId="ListLabel4">
    <w:name w:val="ListLabel 4"/>
    <w:qFormat/>
    <w:rPr>
      <w:sz w:val="28"/>
      <w:szCs w:val="28"/>
    </w:rPr>
  </w:style>
  <w:style w:type="character" w:customStyle="1" w:styleId="ListLabel5">
    <w:name w:val="ListLabel 5"/>
    <w:qFormat/>
    <w:rPr>
      <w:sz w:val="20"/>
    </w:rPr>
  </w:style>
  <w:style w:type="character" w:customStyle="1" w:styleId="ListLabel6">
    <w:name w:val="ListLabel 6"/>
    <w:qFormat/>
    <w:rPr>
      <w:color w:val="000000"/>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eastAsia="Calibri"/>
      <w:sz w:val="22"/>
    </w:rPr>
  </w:style>
  <w:style w:type="character" w:customStyle="1" w:styleId="ListLabel10">
    <w:name w:val="ListLabel 10"/>
    <w:qFormat/>
    <w:rPr>
      <w:rFonts w:eastAsia="Times New Roman" w:cs="Times New Roman"/>
      <w:color w:val="00000A"/>
    </w:rPr>
  </w:style>
  <w:style w:type="character" w:customStyle="1" w:styleId="ListLabel11">
    <w:name w:val="ListLabel 11"/>
    <w:qFormat/>
    <w:rPr>
      <w:rFonts w:cs="Times New Roman"/>
    </w:rPr>
  </w:style>
  <w:style w:type="character" w:customStyle="1" w:styleId="ListLabel12">
    <w:name w:val="ListLabel 12"/>
    <w:qFormat/>
    <w:rPr>
      <w:rFonts w:cs="Times New Roman"/>
      <w:b/>
      <w:color w:val="000000"/>
    </w:rPr>
  </w:style>
  <w:style w:type="character" w:customStyle="1" w:styleId="ListLabel13">
    <w:name w:val="ListLabel 13"/>
    <w:qFormat/>
    <w:rPr>
      <w:rFonts w:eastAsia="Times New Roman"/>
    </w:rPr>
  </w:style>
  <w:style w:type="character" w:customStyle="1" w:styleId="ListLabel14">
    <w:name w:val="ListLabel 14"/>
    <w:qFormat/>
    <w:rPr>
      <w:sz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8620FE"/>
    <w:pPr>
      <w:spacing w:after="120"/>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naisc">
    <w:name w:val="naisc"/>
    <w:basedOn w:val="Normal"/>
    <w:qFormat/>
    <w:rsid w:val="00644719"/>
    <w:pPr>
      <w:spacing w:beforeAutospacing="1" w:afterAutospacing="1" w:line="240" w:lineRule="auto"/>
    </w:pPr>
    <w:rPr>
      <w:rFonts w:eastAsia="Times New Roman"/>
      <w:szCs w:val="24"/>
      <w:lang w:eastAsia="lv-LV"/>
    </w:rPr>
  </w:style>
  <w:style w:type="paragraph" w:customStyle="1" w:styleId="naisnod">
    <w:name w:val="naisnod"/>
    <w:basedOn w:val="Normal"/>
    <w:qFormat/>
    <w:rsid w:val="00644719"/>
    <w:pPr>
      <w:spacing w:beforeAutospacing="1" w:afterAutospacing="1" w:line="240" w:lineRule="auto"/>
    </w:pPr>
    <w:rPr>
      <w:rFonts w:eastAsia="Times New Roman"/>
      <w:szCs w:val="24"/>
      <w:lang w:eastAsia="lv-LV"/>
    </w:rPr>
  </w:style>
  <w:style w:type="paragraph" w:customStyle="1" w:styleId="naiskr">
    <w:name w:val="naiskr"/>
    <w:basedOn w:val="Normal"/>
    <w:qFormat/>
    <w:rsid w:val="00644719"/>
    <w:pPr>
      <w:spacing w:beforeAutospacing="1" w:afterAutospacing="1" w:line="240" w:lineRule="auto"/>
    </w:pPr>
    <w:rPr>
      <w:rFonts w:eastAsia="Times New Roman"/>
      <w:szCs w:val="24"/>
      <w:lang w:eastAsia="lv-LV"/>
    </w:rPr>
  </w:style>
  <w:style w:type="paragraph" w:customStyle="1" w:styleId="naisf">
    <w:name w:val="naisf"/>
    <w:basedOn w:val="Normal"/>
    <w:qFormat/>
    <w:rsid w:val="00644719"/>
    <w:pPr>
      <w:spacing w:beforeAutospacing="1" w:afterAutospacing="1" w:line="240" w:lineRule="auto"/>
    </w:pPr>
    <w:rPr>
      <w:rFonts w:eastAsia="Times New Roman"/>
      <w:szCs w:val="24"/>
      <w:lang w:eastAsia="lv-LV"/>
    </w:rPr>
  </w:style>
  <w:style w:type="paragraph" w:customStyle="1" w:styleId="naislab">
    <w:name w:val="naislab"/>
    <w:basedOn w:val="Normal"/>
    <w:qFormat/>
    <w:rsid w:val="00644719"/>
    <w:pPr>
      <w:spacing w:beforeAutospacing="1" w:afterAutospacing="1" w:line="240" w:lineRule="auto"/>
    </w:pPr>
    <w:rPr>
      <w:rFonts w:eastAsia="Times New Roman"/>
      <w:szCs w:val="24"/>
      <w:lang w:eastAsia="lv-LV"/>
    </w:rPr>
  </w:style>
  <w:style w:type="paragraph" w:customStyle="1" w:styleId="TextBodyIndent">
    <w:name w:val="Text Body Indent"/>
    <w:basedOn w:val="Normal"/>
    <w:link w:val="BodyTextIndentChar"/>
    <w:rsid w:val="008B33AD"/>
    <w:pPr>
      <w:spacing w:before="240" w:after="0" w:line="240" w:lineRule="auto"/>
      <w:ind w:firstLine="720"/>
    </w:pPr>
    <w:rPr>
      <w:rFonts w:eastAsia="Times New Roman"/>
      <w:sz w:val="28"/>
      <w:szCs w:val="20"/>
    </w:rPr>
  </w:style>
  <w:style w:type="paragraph" w:styleId="BalloonText">
    <w:name w:val="Balloon Text"/>
    <w:basedOn w:val="Normal"/>
    <w:link w:val="BalloonTextChar"/>
    <w:uiPriority w:val="99"/>
    <w:semiHidden/>
    <w:unhideWhenUsed/>
    <w:qFormat/>
    <w:rsid w:val="008B33AD"/>
    <w:pPr>
      <w:spacing w:after="0" w:line="240" w:lineRule="auto"/>
    </w:pPr>
    <w:rPr>
      <w:rFonts w:ascii="Tahoma" w:hAnsi="Tahoma" w:cs="Tahoma"/>
      <w:sz w:val="16"/>
      <w:szCs w:val="16"/>
    </w:rPr>
  </w:style>
  <w:style w:type="paragraph" w:styleId="Header">
    <w:name w:val="header"/>
    <w:basedOn w:val="Normal"/>
    <w:link w:val="HeaderChar"/>
    <w:uiPriority w:val="99"/>
    <w:unhideWhenUsed/>
    <w:rsid w:val="009B7B04"/>
    <w:pPr>
      <w:tabs>
        <w:tab w:val="center" w:pos="4153"/>
        <w:tab w:val="right" w:pos="8306"/>
      </w:tabs>
    </w:pPr>
  </w:style>
  <w:style w:type="paragraph" w:styleId="Footer">
    <w:name w:val="footer"/>
    <w:basedOn w:val="Normal"/>
    <w:link w:val="FooterChar"/>
    <w:uiPriority w:val="99"/>
    <w:unhideWhenUsed/>
    <w:rsid w:val="009B7B04"/>
    <w:pPr>
      <w:tabs>
        <w:tab w:val="center" w:pos="4153"/>
        <w:tab w:val="right" w:pos="8306"/>
      </w:tabs>
    </w:pPr>
  </w:style>
  <w:style w:type="paragraph" w:customStyle="1" w:styleId="Daabeznumura">
    <w:name w:val="Daļa bez numura"/>
    <w:basedOn w:val="Normal"/>
    <w:qFormat/>
    <w:rsid w:val="00E24B58"/>
    <w:pPr>
      <w:widowControl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tabs>
        <w:tab w:val="left" w:pos="1072"/>
        <w:tab w:val="left" w:pos="1418"/>
      </w:tabs>
      <w:spacing w:before="120" w:after="120" w:line="240" w:lineRule="auto"/>
      <w:ind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qFormat/>
    <w:rsid w:val="00D94EBF"/>
    <w:pPr>
      <w:spacing w:beforeAutospacing="1"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qFormat/>
    <w:rsid w:val="00D94EBF"/>
    <w:pPr>
      <w:spacing w:beforeAutospacing="1"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tabs>
        <w:tab w:val="left" w:pos="851"/>
      </w:tabs>
      <w:spacing w:after="0" w:line="240" w:lineRule="auto"/>
      <w:ind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qFormat/>
    <w:rsid w:val="00097D48"/>
    <w:pPr>
      <w:spacing w:after="120"/>
    </w:pPr>
    <w:rPr>
      <w:sz w:val="16"/>
      <w:szCs w:val="16"/>
    </w:rPr>
  </w:style>
  <w:style w:type="paragraph" w:customStyle="1" w:styleId="CharChar">
    <w:name w:val="Char Char"/>
    <w:basedOn w:val="Normal"/>
    <w:qFormat/>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qForma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qFormat/>
    <w:rsid w:val="00006EDE"/>
    <w:pPr>
      <w:spacing w:after="120"/>
      <w:ind w:left="1440" w:right="1440"/>
    </w:pPr>
  </w:style>
  <w:style w:type="paragraph" w:customStyle="1" w:styleId="normal1">
    <w:name w:val="normal1"/>
    <w:basedOn w:val="Normal"/>
    <w:qFormat/>
    <w:rsid w:val="00B234B8"/>
    <w:pPr>
      <w:widowControl w:val="0"/>
      <w:tabs>
        <w:tab w:val="left" w:pos="2520"/>
      </w:tabs>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qFormat/>
    <w:rsid w:val="006A5C75"/>
    <w:pPr>
      <w:spacing w:after="120"/>
      <w:ind w:left="283"/>
    </w:pPr>
    <w:rPr>
      <w:sz w:val="16"/>
      <w:szCs w:val="16"/>
    </w:rPr>
  </w:style>
  <w:style w:type="paragraph" w:styleId="HTMLPreformatted">
    <w:name w:val="HTML Preformatted"/>
    <w:basedOn w:val="Normal"/>
    <w:link w:val="HTMLPreformattedChar"/>
    <w:qFormat/>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qFormat/>
    <w:rsid w:val="00401350"/>
    <w:pPr>
      <w:spacing w:after="0" w:line="240" w:lineRule="auto"/>
    </w:pPr>
    <w:rPr>
      <w:rFonts w:eastAsia="Times New Roman"/>
      <w:sz w:val="20"/>
      <w:szCs w:val="20"/>
    </w:rPr>
  </w:style>
  <w:style w:type="paragraph" w:customStyle="1" w:styleId="ManualConsidrant">
    <w:name w:val="Manual Considérant"/>
    <w:basedOn w:val="Normal"/>
    <w:qFormat/>
    <w:rsid w:val="00401350"/>
    <w:pPr>
      <w:spacing w:before="120" w:after="120" w:line="240" w:lineRule="auto"/>
      <w:ind w:left="709" w:hanging="709"/>
      <w:jc w:val="both"/>
    </w:pPr>
    <w:rPr>
      <w:rFonts w:eastAsia="Times New Roman"/>
      <w:szCs w:val="24"/>
      <w:lang w:eastAsia="en-GB"/>
    </w:rPr>
  </w:style>
  <w:style w:type="paragraph" w:customStyle="1" w:styleId="Text1">
    <w:name w:val="Text 1"/>
    <w:basedOn w:val="Normal"/>
    <w:qFormat/>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qFormat/>
    <w:rsid w:val="00401350"/>
    <w:pPr>
      <w:spacing w:before="120" w:after="120" w:line="240" w:lineRule="auto"/>
      <w:jc w:val="both"/>
    </w:pPr>
    <w:rPr>
      <w:rFonts w:eastAsia="Times New Roman"/>
      <w:szCs w:val="20"/>
      <w:lang w:eastAsia="zh-CN"/>
    </w:rPr>
  </w:style>
  <w:style w:type="paragraph" w:customStyle="1" w:styleId="Point1">
    <w:name w:val="Point 1"/>
    <w:basedOn w:val="Normal"/>
    <w:qFormat/>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qFormat/>
    <w:rsid w:val="00401350"/>
    <w:pPr>
      <w:spacing w:before="120" w:after="120" w:line="240" w:lineRule="auto"/>
      <w:ind w:left="850" w:hanging="850"/>
      <w:jc w:val="both"/>
    </w:pPr>
    <w:rPr>
      <w:rFonts w:eastAsia="Times New Roman"/>
      <w:szCs w:val="20"/>
      <w:lang w:eastAsia="zh-CN"/>
    </w:rPr>
  </w:style>
  <w:style w:type="paragraph" w:styleId="PlainText">
    <w:name w:val="Plain Text"/>
    <w:basedOn w:val="Normal"/>
    <w:link w:val="PlainTextChar"/>
    <w:uiPriority w:val="99"/>
    <w:unhideWhenUsed/>
    <w:qFormat/>
    <w:rsid w:val="004A19ED"/>
    <w:pPr>
      <w:spacing w:after="0" w:line="240" w:lineRule="auto"/>
    </w:pPr>
    <w:rPr>
      <w:rFonts w:ascii="Consolas" w:hAnsi="Consolas"/>
      <w:sz w:val="21"/>
      <w:szCs w:val="21"/>
    </w:rPr>
  </w:style>
  <w:style w:type="paragraph" w:styleId="CommentText">
    <w:name w:val="annotation text"/>
    <w:basedOn w:val="Normal"/>
    <w:link w:val="CommentTextChar"/>
    <w:uiPriority w:val="99"/>
    <w:unhideWhenUsed/>
    <w:qFormat/>
    <w:rsid w:val="009B7453"/>
    <w:rPr>
      <w:sz w:val="20"/>
      <w:szCs w:val="20"/>
    </w:rPr>
  </w:style>
  <w:style w:type="paragraph" w:styleId="CommentSubject">
    <w:name w:val="annotation subject"/>
    <w:basedOn w:val="CommentText"/>
    <w:link w:val="CommentSubjectChar"/>
    <w:semiHidden/>
    <w:unhideWhenUsed/>
    <w:qFormat/>
    <w:rsid w:val="006B0FFC"/>
    <w:pPr>
      <w:spacing w:after="0" w:line="240" w:lineRule="auto"/>
    </w:pPr>
    <w:rPr>
      <w:b/>
      <w:bCs/>
    </w:rPr>
  </w:style>
  <w:style w:type="paragraph" w:customStyle="1" w:styleId="Default">
    <w:name w:val="Default"/>
    <w:qFormat/>
    <w:rsid w:val="005E13B8"/>
    <w:pPr>
      <w:suppressAutoHyphens/>
    </w:pPr>
    <w:rPr>
      <w:color w:val="000000"/>
      <w:sz w:val="24"/>
      <w:szCs w:val="24"/>
    </w:rPr>
  </w:style>
  <w:style w:type="paragraph" w:customStyle="1" w:styleId="tv2131">
    <w:name w:val="tv2131"/>
    <w:basedOn w:val="Normal"/>
    <w:qFormat/>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qFormat/>
    <w:rsid w:val="0064074A"/>
    <w:pPr>
      <w:keepLines/>
      <w:widowControl w:val="0"/>
      <w:spacing w:before="600" w:after="0" w:line="240" w:lineRule="auto"/>
    </w:pPr>
    <w:rPr>
      <w:rFonts w:eastAsia="Times New Roman"/>
      <w:sz w:val="26"/>
      <w:szCs w:val="20"/>
      <w:lang w:val="en-AU"/>
    </w:rPr>
  </w:style>
  <w:style w:type="paragraph" w:customStyle="1" w:styleId="doc-ti">
    <w:name w:val="doc-ti"/>
    <w:basedOn w:val="Normal"/>
    <w:qFormat/>
    <w:rsid w:val="0043378F"/>
    <w:pPr>
      <w:spacing w:before="240" w:after="120" w:line="240" w:lineRule="auto"/>
      <w:jc w:val="center"/>
    </w:pPr>
    <w:rPr>
      <w:rFonts w:eastAsia="Times New Roman"/>
      <w:b/>
      <w:bCs/>
      <w:sz w:val="18"/>
      <w:szCs w:val="18"/>
      <w:lang w:eastAsia="lv-LV"/>
    </w:rPr>
  </w:style>
  <w:style w:type="paragraph" w:customStyle="1" w:styleId="tvhtml">
    <w:name w:val="tv_html"/>
    <w:basedOn w:val="Normal"/>
    <w:qFormat/>
    <w:rsid w:val="008067DE"/>
    <w:pPr>
      <w:spacing w:beforeAutospacing="1" w:afterAutospacing="1" w:line="240" w:lineRule="auto"/>
    </w:pPr>
    <w:rPr>
      <w:rFonts w:eastAsia="Times New Roman"/>
      <w:szCs w:val="24"/>
      <w:lang w:eastAsia="lv-LV"/>
    </w:rPr>
  </w:style>
  <w:style w:type="paragraph" w:styleId="BodyText2">
    <w:name w:val="Body Text 2"/>
    <w:basedOn w:val="Normal"/>
    <w:link w:val="BodyText2Char"/>
    <w:qFormat/>
    <w:rsid w:val="00C84198"/>
    <w:pPr>
      <w:spacing w:after="120" w:line="480" w:lineRule="auto"/>
    </w:pPr>
    <w:rPr>
      <w:rFonts w:eastAsia="Times New Roman"/>
      <w:szCs w:val="24"/>
      <w:lang w:eastAsia="lv-LV"/>
    </w:rPr>
  </w:style>
  <w:style w:type="paragraph" w:styleId="z-BottomofForm">
    <w:name w:val="HTML Bottom of Form"/>
    <w:basedOn w:val="Normal"/>
    <w:next w:val="Normal"/>
    <w:uiPriority w:val="99"/>
    <w:qFormat/>
    <w:rsid w:val="00C84198"/>
    <w:pPr>
      <w:pBdr>
        <w:top w:val="single" w:sz="6" w:space="1" w:color="00000A"/>
      </w:pBdr>
      <w:spacing w:after="0" w:line="240" w:lineRule="auto"/>
      <w:jc w:val="center"/>
    </w:pPr>
    <w:rPr>
      <w:rFonts w:ascii="Arial" w:eastAsia="Times New Roman" w:hAnsi="Arial" w:cs="Arial"/>
      <w:vanish/>
      <w:sz w:val="16"/>
      <w:szCs w:val="16"/>
      <w:lang w:eastAsia="lv-LV"/>
    </w:rPr>
  </w:style>
  <w:style w:type="paragraph" w:customStyle="1" w:styleId="body">
    <w:name w:val="body"/>
    <w:basedOn w:val="Normal"/>
    <w:uiPriority w:val="99"/>
    <w:qFormat/>
    <w:rsid w:val="00C84198"/>
    <w:pPr>
      <w:shd w:val="clear" w:color="auto" w:fill="C9E1DF"/>
      <w:spacing w:beforeAutospacing="1" w:afterAutospacing="1" w:line="240" w:lineRule="auto"/>
    </w:pPr>
    <w:rPr>
      <w:rFonts w:ascii="Arial" w:eastAsia="Times New Roman" w:hAnsi="Arial" w:cs="Arial"/>
      <w:color w:val="333333"/>
      <w:szCs w:val="24"/>
      <w:lang w:eastAsia="lv-LV"/>
    </w:rPr>
  </w:style>
  <w:style w:type="paragraph" w:styleId="BodyTextIndent2">
    <w:name w:val="Body Text Indent 2"/>
    <w:basedOn w:val="Normal"/>
    <w:link w:val="BodyTextIndent2Char"/>
    <w:uiPriority w:val="99"/>
    <w:unhideWhenUsed/>
    <w:qFormat/>
    <w:rsid w:val="00C84198"/>
    <w:pPr>
      <w:spacing w:after="120" w:line="480" w:lineRule="auto"/>
      <w:ind w:left="283"/>
    </w:pPr>
    <w:rPr>
      <w:rFonts w:ascii="Calibri" w:eastAsia="Times New Roman" w:hAnsi="Calibri"/>
      <w:sz w:val="22"/>
      <w:lang w:eastAsia="lv-LV"/>
    </w:rPr>
  </w:style>
  <w:style w:type="paragraph" w:styleId="NoSpacing">
    <w:name w:val="No Spacing"/>
    <w:uiPriority w:val="1"/>
    <w:qFormat/>
    <w:rsid w:val="00C84198"/>
    <w:pPr>
      <w:widowControl w:val="0"/>
      <w:suppressAutoHyphens/>
      <w:ind w:firstLine="720"/>
      <w:jc w:val="both"/>
    </w:pPr>
    <w:rPr>
      <w:rFonts w:eastAsia="Times New Roman"/>
      <w:sz w:val="26"/>
      <w:szCs w:val="28"/>
      <w:lang w:val="en-AU" w:eastAsia="en-US"/>
    </w:rPr>
  </w:style>
  <w:style w:type="paragraph" w:styleId="ListBullet">
    <w:name w:val="List Bullet"/>
    <w:basedOn w:val="Normal"/>
    <w:uiPriority w:val="99"/>
    <w:unhideWhenUsed/>
    <w:qFormat/>
    <w:rsid w:val="00C84198"/>
    <w:pPr>
      <w:spacing w:after="0" w:line="240" w:lineRule="auto"/>
      <w:contextualSpacing/>
    </w:pPr>
    <w:rPr>
      <w:rFonts w:eastAsia="Times New Roman"/>
      <w:szCs w:val="24"/>
      <w:lang w:eastAsia="lv-LV"/>
    </w:rPr>
  </w:style>
  <w:style w:type="paragraph" w:customStyle="1" w:styleId="labojumupamats">
    <w:name w:val="labojumu_pamats"/>
    <w:basedOn w:val="Normal"/>
    <w:qFormat/>
    <w:rsid w:val="00C84198"/>
    <w:pPr>
      <w:spacing w:beforeAutospacing="1" w:afterAutospacing="1" w:line="240" w:lineRule="auto"/>
    </w:pPr>
    <w:rPr>
      <w:rFonts w:eastAsia="Times New Roman"/>
      <w:szCs w:val="24"/>
      <w:lang w:eastAsia="lv-LV"/>
    </w:rPr>
  </w:style>
  <w:style w:type="paragraph" w:customStyle="1" w:styleId="RakstzCharCharRakstzCharCharRakstz">
    <w:name w:val="Rakstz. Char Char Rakstz. Char Char Rakstz."/>
    <w:basedOn w:val="Normal"/>
    <w:qFormat/>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qFormat/>
    <w:rsid w:val="00253DC1"/>
    <w:pPr>
      <w:spacing w:before="40" w:after="0" w:line="240" w:lineRule="auto"/>
    </w:pPr>
    <w:rPr>
      <w:rFonts w:eastAsia="Times New Roman"/>
      <w:szCs w:val="24"/>
      <w:lang w:val="pl-PL" w:eastAsia="pl-PL"/>
    </w:rPr>
  </w:style>
  <w:style w:type="paragraph" w:customStyle="1" w:styleId="tv213">
    <w:name w:val="tv213"/>
    <w:basedOn w:val="Normal"/>
    <w:qFormat/>
    <w:rsid w:val="00232F4E"/>
    <w:pPr>
      <w:spacing w:beforeAutospacing="1" w:afterAutospacing="1" w:line="240" w:lineRule="auto"/>
    </w:pPr>
    <w:rPr>
      <w:rFonts w:eastAsia="Times New Roman"/>
      <w:szCs w:val="24"/>
      <w:lang w:eastAsia="lv-LV"/>
    </w:rPr>
  </w:style>
  <w:style w:type="paragraph" w:styleId="Revision">
    <w:name w:val="Revision"/>
    <w:uiPriority w:val="99"/>
    <w:semiHidden/>
    <w:qFormat/>
    <w:rsid w:val="00232F4E"/>
    <w:pPr>
      <w:suppressAutoHyphens/>
    </w:pPr>
    <w:rPr>
      <w:sz w:val="24"/>
      <w:szCs w:val="22"/>
      <w:lang w:eastAsia="en-US"/>
    </w:rPr>
  </w:style>
  <w:style w:type="paragraph" w:customStyle="1" w:styleId="Footnote">
    <w:name w:val="Footnote"/>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numbering" w:customStyle="1" w:styleId="NoList1">
    <w:name w:val="No List1"/>
    <w:uiPriority w:val="99"/>
    <w:semiHidden/>
    <w:unhideWhenUsed/>
    <w:rsid w:val="006B0FFC"/>
  </w:style>
  <w:style w:type="numbering" w:customStyle="1" w:styleId="NoList2">
    <w:name w:val="No List2"/>
    <w:uiPriority w:val="99"/>
    <w:semiHidden/>
    <w:unhideWhenUsed/>
    <w:rsid w:val="00253DC1"/>
  </w:style>
  <w:style w:type="numbering" w:customStyle="1" w:styleId="NoList11">
    <w:name w:val="No List11"/>
    <w:uiPriority w:val="99"/>
    <w:semiHidden/>
    <w:unhideWhenUsed/>
    <w:rsid w:val="00253DC1"/>
  </w:style>
  <w:style w:type="numbering" w:customStyle="1" w:styleId="NoList21">
    <w:name w:val="No List21"/>
    <w:uiPriority w:val="99"/>
    <w:semiHidden/>
    <w:unhideWhenUsed/>
    <w:rsid w:val="00253DC1"/>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Ozolina@e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20ligums%202015_01_28%201551%20SB.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59" Type="http://schemas.openxmlformats.org/officeDocument/2006/relationships/hyperlink" Target="http://www.sadalestikls.lv/files/newnode/tarifieur/ST_tarifu_kartiba_2015.pdf"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www.lu.lv/gribustudet/katalogs/programmu-mekletajs/?user_phpfileexecutor_pi1%5Bprogram_id%5D=21106"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s://www.em.gov.lv/lv/nozares_politika/energoefektivitate_un_siltumapgade/energoefektivitate/obligati_energoauditi_lielajos_uznemumos/"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lat/klientiem/pieslegumi/"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php.lvafa.gov.lv/images/faili/projektu_materiali/petijumi/2014/382_Passive_house/ESKO_Vadlinijas_pasvaldibam.pdf"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04A3-23FC-410F-B224-61BCEC0D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9565</Words>
  <Characters>65719</Characters>
  <Application>Microsoft Office Word</Application>
  <DocSecurity>0</DocSecurity>
  <Lines>3651</Lines>
  <Paragraphs>1344</Paragraphs>
  <ScaleCrop>false</ScaleCrop>
  <HeadingPairs>
    <vt:vector size="2" baseType="variant">
      <vt:variant>
        <vt:lpstr>Title</vt:lpstr>
      </vt:variant>
      <vt:variant>
        <vt:i4>1</vt:i4>
      </vt:variant>
    </vt:vector>
  </HeadingPairs>
  <TitlesOfParts>
    <vt:vector size="1" baseType="lpstr">
      <vt:lpstr>Likumprojekta "Grozījumi Elektroenerģijas nodokļa likumā"</vt:lpstr>
    </vt:vector>
  </TitlesOfParts>
  <Company>Finanšu ministrija</Company>
  <LinksUpToDate>false</LinksUpToDate>
  <CharactersWithSpaces>73940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Māris Doniks</cp:lastModifiedBy>
  <cp:revision>7</cp:revision>
  <cp:lastPrinted>2016-08-02T11:14:00Z</cp:lastPrinted>
  <dcterms:created xsi:type="dcterms:W3CDTF">2016-09-13T08:30:00Z</dcterms:created>
  <dcterms:modified xsi:type="dcterms:W3CDTF">2016-09-14T10:44:00Z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Finanšu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Final</vt:lpwstr>
  </property>
</Properties>
</file>