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3" w:rsidRPr="00AD1FE8" w:rsidRDefault="00170373" w:rsidP="00170373">
      <w:pPr>
        <w:pStyle w:val="BodyText3"/>
        <w:spacing w:after="120"/>
      </w:pPr>
      <w:r>
        <w:t xml:space="preserve">Ministru kabineta rīkojuma projekta „Par </w:t>
      </w:r>
      <w:r w:rsidR="00B00C60">
        <w:t xml:space="preserve">Ivaru </w:t>
      </w:r>
      <w:proofErr w:type="spellStart"/>
      <w:r w:rsidR="00B00C60">
        <w:t>Kassali</w:t>
      </w:r>
      <w:proofErr w:type="spellEnd"/>
      <w:r>
        <w:t>” sākotnējās ietekmes novērtējuma ziņojums</w:t>
      </w:r>
      <w:r w:rsidR="008F0359">
        <w:t>(anotācija)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551"/>
        <w:gridCol w:w="6217"/>
      </w:tblGrid>
      <w:tr w:rsidR="00170373" w:rsidTr="00130D2D"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Pr="00AD1FE8" w:rsidRDefault="00170373" w:rsidP="00130D2D">
            <w:pPr>
              <w:numPr>
                <w:ilvl w:val="0"/>
                <w:numId w:val="1"/>
              </w:num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170373" w:rsidTr="00130D2D">
        <w:trPr>
          <w:trHeight w:val="308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  <w:r>
              <w:t xml:space="preserve"> 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00C60" w:rsidRPr="00B00C60" w:rsidRDefault="00B00C60" w:rsidP="008F0359">
            <w:pPr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2016.gada 26.augustā pēc paša vēlēšanās amata pienākumus beidza pildīt Konkurences padomes loceklis Valentīns </w:t>
            </w:r>
            <w:proofErr w:type="spellStart"/>
            <w:r>
              <w:rPr>
                <w:szCs w:val="28"/>
              </w:rPr>
              <w:t>Hitrovs</w:t>
            </w:r>
            <w:proofErr w:type="spellEnd"/>
            <w:r>
              <w:rPr>
                <w:szCs w:val="28"/>
              </w:rPr>
              <w:t>.</w:t>
            </w:r>
            <w:r w:rsidR="00170373">
              <w:rPr>
                <w:szCs w:val="28"/>
              </w:rPr>
              <w:t xml:space="preserve"> Konkurences likuma 5.panta otrā daļa </w:t>
            </w:r>
            <w:r w:rsidR="00170373" w:rsidRPr="0025152E">
              <w:rPr>
                <w:szCs w:val="28"/>
              </w:rPr>
              <w:t xml:space="preserve">nosaka, </w:t>
            </w:r>
            <w:r w:rsidR="00170373" w:rsidRPr="00CE5044">
              <w:rPr>
                <w:szCs w:val="28"/>
              </w:rPr>
              <w:t xml:space="preserve">ka </w:t>
            </w:r>
            <w:r w:rsidR="008F0359">
              <w:rPr>
                <w:szCs w:val="28"/>
              </w:rPr>
              <w:t>K</w:t>
            </w:r>
            <w:r w:rsidR="00170373">
              <w:rPr>
                <w:szCs w:val="28"/>
              </w:rPr>
              <w:t xml:space="preserve">onkurences padomes locekļus pēc ekonomikas ministra ieteikuma amatā apstiprina Ministru kabinets. </w:t>
            </w:r>
          </w:p>
        </w:tc>
      </w:tr>
      <w:tr w:rsidR="00170373" w:rsidTr="00130D2D">
        <w:trPr>
          <w:trHeight w:val="480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6361" w:rsidRDefault="006C6361" w:rsidP="006C6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Ņemot vērā, ka Konkurences padomes sastāvā ir priekšsēdētājs un divi padomes locekļi, </w:t>
            </w:r>
            <w:r w:rsidR="00B00C60">
              <w:rPr>
                <w:szCs w:val="28"/>
              </w:rPr>
              <w:t>lai pēc iespējas neapturētu Konkurences padomes darbu,</w:t>
            </w:r>
            <w:r>
              <w:rPr>
                <w:szCs w:val="28"/>
              </w:rPr>
              <w:t xml:space="preserve"> nepieciešams apstiprināt Konkurences padomes locekli. </w:t>
            </w:r>
          </w:p>
          <w:p w:rsidR="006C6361" w:rsidRDefault="006C6361" w:rsidP="006C6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Uz Konkurences padomes locekļa amatu tika izsludināts konkurss. Konkursa komisija, izvērtējot amata pretendentus, par atbilstošāko kandidatūru Konkurences padomes locekļa amatam izvirzījusi </w:t>
            </w:r>
            <w:r w:rsidR="00B00C60">
              <w:rPr>
                <w:szCs w:val="28"/>
              </w:rPr>
              <w:t xml:space="preserve">Ivaru </w:t>
            </w:r>
            <w:proofErr w:type="spellStart"/>
            <w:r w:rsidR="00B00C60">
              <w:rPr>
                <w:szCs w:val="28"/>
              </w:rPr>
              <w:t>Kassali</w:t>
            </w:r>
            <w:proofErr w:type="spellEnd"/>
            <w:r>
              <w:rPr>
                <w:szCs w:val="28"/>
              </w:rPr>
              <w:t xml:space="preserve">, ņemot vērā viņa </w:t>
            </w:r>
            <w:r w:rsidR="00B00C60">
              <w:rPr>
                <w:szCs w:val="28"/>
              </w:rPr>
              <w:t xml:space="preserve">profesionālās zināšanas un darba pieredzi starptautiskos uzņēmumos – vadības, biznesa attīstības, klientu apkalpošanas, finanšu plānošanas un administrēšanas sfērās, </w:t>
            </w:r>
            <w:r w:rsidR="00481B5F">
              <w:rPr>
                <w:szCs w:val="28"/>
              </w:rPr>
              <w:t xml:space="preserve">kā arī </w:t>
            </w:r>
            <w:r w:rsidR="00B00C60">
              <w:rPr>
                <w:szCs w:val="28"/>
              </w:rPr>
              <w:t xml:space="preserve">atzinīgi </w:t>
            </w:r>
            <w:r w:rsidR="00481B5F">
              <w:rPr>
                <w:szCs w:val="28"/>
              </w:rPr>
              <w:t xml:space="preserve">novērtējot viņa </w:t>
            </w:r>
            <w:r w:rsidR="00B00C60">
              <w:rPr>
                <w:szCs w:val="28"/>
              </w:rPr>
              <w:t>iegūto izglītību – maģistra grādu sociālās zinātnēs un ekonomikas doktora grādu.</w:t>
            </w:r>
          </w:p>
          <w:p w:rsidR="006C6361" w:rsidRPr="00481B5F" w:rsidRDefault="006C6361" w:rsidP="008F0359">
            <w:pPr>
              <w:spacing w:after="100"/>
              <w:jc w:val="both"/>
              <w:rPr>
                <w:szCs w:val="28"/>
              </w:rPr>
            </w:pPr>
            <w:r w:rsidRPr="0025152E">
              <w:rPr>
                <w:szCs w:val="28"/>
              </w:rPr>
              <w:t xml:space="preserve">Saskaņā ar iepriekš minēto, sagatavots Ministru kabineta rīkojuma projekts ‘‘Par </w:t>
            </w:r>
            <w:r w:rsidR="008F0359">
              <w:rPr>
                <w:szCs w:val="28"/>
              </w:rPr>
              <w:t xml:space="preserve">Ivaru </w:t>
            </w:r>
            <w:proofErr w:type="spellStart"/>
            <w:r w:rsidR="008F0359">
              <w:rPr>
                <w:szCs w:val="28"/>
              </w:rPr>
              <w:t>Kassali</w:t>
            </w:r>
            <w:proofErr w:type="spellEnd"/>
            <w:r w:rsidRPr="0025152E">
              <w:rPr>
                <w:szCs w:val="28"/>
              </w:rPr>
              <w:t>’’.</w:t>
            </w:r>
          </w:p>
        </w:tc>
      </w:tr>
      <w:tr w:rsidR="00170373" w:rsidTr="00130D2D"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8F03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R="00170373" w:rsidTr="00130D2D"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8F03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170373" w:rsidRDefault="00170373" w:rsidP="00170373">
      <w:pPr>
        <w:spacing w:before="120" w:after="120"/>
        <w:rPr>
          <w:rFonts w:ascii="Times New Roman" w:hAnsi="Times New Roman"/>
          <w:b/>
        </w:rPr>
      </w:pPr>
    </w:p>
    <w:tbl>
      <w:tblPr>
        <w:tblW w:w="917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445"/>
        <w:gridCol w:w="3145"/>
        <w:gridCol w:w="5545"/>
        <w:gridCol w:w="20"/>
      </w:tblGrid>
      <w:tr w:rsidR="00170373" w:rsidTr="00481B5F"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Default="00170373" w:rsidP="00130D2D">
            <w:pPr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170373" w:rsidP="00130D2D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</w:p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 xml:space="preserve">Jaunu institūciju izveide, esošu institūciju likvidācija vai </w:t>
            </w:r>
            <w:r w:rsidRPr="00CB0258">
              <w:rPr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170373" w:rsidP="00130D2D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lastRenderedPageBreak/>
              <w:t>Projekts šo jomu neskar.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170373" w:rsidRDefault="00481B5F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A</w:t>
      </w:r>
      <w:r w:rsidRPr="006861FF">
        <w:rPr>
          <w:rFonts w:ascii="Times New Roman" w:hAnsi="Times New Roman"/>
          <w:b/>
        </w:rPr>
        <w:t xml:space="preserve">notācijas </w:t>
      </w:r>
      <w:r>
        <w:rPr>
          <w:rFonts w:ascii="Times New Roman" w:hAnsi="Times New Roman"/>
          <w:b/>
        </w:rPr>
        <w:t xml:space="preserve"> II - </w:t>
      </w:r>
      <w:r w:rsidRPr="006861FF">
        <w:rPr>
          <w:rFonts w:ascii="Times New Roman" w:hAnsi="Times New Roman"/>
          <w:b/>
        </w:rPr>
        <w:t>VI sadaļa – projekts šīs jomas neskar.</w:t>
      </w:r>
    </w:p>
    <w:p w:rsidR="00170373" w:rsidRDefault="00170373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8F0359" w:rsidRDefault="008F0359" w:rsidP="008F0359">
      <w:pPr>
        <w:ind w:right="-341"/>
        <w:rPr>
          <w:b/>
        </w:rPr>
      </w:pPr>
    </w:p>
    <w:p w:rsidR="008F0359" w:rsidRPr="000D216E" w:rsidRDefault="008F0359" w:rsidP="008F0359">
      <w:pPr>
        <w:ind w:right="-341"/>
        <w:rPr>
          <w:b/>
        </w:rPr>
      </w:pPr>
      <w:r w:rsidRPr="000D216E">
        <w:rPr>
          <w:b/>
        </w:rPr>
        <w:t>Ministru prezidenta biedrs,</w:t>
      </w:r>
    </w:p>
    <w:p w:rsidR="00170373" w:rsidRDefault="008F0359" w:rsidP="008F0359">
      <w:pPr>
        <w:jc w:val="both"/>
        <w:rPr>
          <w:rFonts w:ascii="Times New Roman" w:hAnsi="Times New Roman"/>
          <w:b/>
        </w:rPr>
      </w:pPr>
      <w:r w:rsidRPr="000D216E">
        <w:rPr>
          <w:b/>
        </w:rPr>
        <w:t>ekonomikas ministrs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D216E">
        <w:rPr>
          <w:b/>
        </w:rPr>
        <w:t>A.Ašeradens</w:t>
      </w:r>
      <w:proofErr w:type="spellEnd"/>
      <w:r w:rsidRPr="000D216E">
        <w:rPr>
          <w:b/>
        </w:rPr>
        <w:tab/>
      </w:r>
      <w:r w:rsidRPr="000D216E">
        <w:rPr>
          <w:b/>
        </w:rPr>
        <w:tab/>
      </w: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8F0359" w:rsidRPr="000D216E" w:rsidRDefault="008F0359" w:rsidP="008F0359">
      <w:pPr>
        <w:pStyle w:val="BodyText2"/>
        <w:spacing w:after="0" w:line="240" w:lineRule="auto"/>
        <w:ind w:right="-341"/>
        <w:rPr>
          <w:b/>
          <w:sz w:val="28"/>
          <w:szCs w:val="28"/>
          <w:lang w:val="lv-LV" w:eastAsia="lv-LV"/>
        </w:rPr>
      </w:pPr>
      <w:r w:rsidRPr="000D216E">
        <w:rPr>
          <w:b/>
          <w:sz w:val="28"/>
          <w:szCs w:val="28"/>
          <w:lang w:val="lv-LV"/>
        </w:rPr>
        <w:t>Valsts sekretārs</w:t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proofErr w:type="spellStart"/>
      <w:r w:rsidRPr="000D216E">
        <w:rPr>
          <w:b/>
          <w:sz w:val="28"/>
          <w:szCs w:val="28"/>
          <w:lang w:val="lv-LV"/>
        </w:rPr>
        <w:t>J.Stinka</w:t>
      </w:r>
      <w:proofErr w:type="spellEnd"/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8F035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170373" w:rsidRPr="00B90E69" w:rsidRDefault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661619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9</w:t>
      </w:r>
      <w:r w:rsidR="00661619">
        <w:rPr>
          <w:rFonts w:ascii="Times New Roman" w:hAnsi="Times New Roman"/>
          <w:sz w:val="22"/>
          <w:szCs w:val="22"/>
        </w:rPr>
        <w:t>.2016</w:t>
      </w:r>
      <w:r w:rsidR="00170373" w:rsidRPr="00B90E69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6</w:t>
      </w:r>
      <w:r w:rsidR="00170373" w:rsidRPr="00B90E69">
        <w:rPr>
          <w:rFonts w:ascii="Times New Roman" w:hAnsi="Times New Roman"/>
          <w:sz w:val="22"/>
          <w:szCs w:val="22"/>
        </w:rPr>
        <w:t>:30</w:t>
      </w:r>
    </w:p>
    <w:p w:rsidR="00170373" w:rsidRPr="00B90E69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2</w:t>
      </w:r>
      <w:r w:rsidR="00661619">
        <w:rPr>
          <w:rFonts w:ascii="Times New Roman" w:hAnsi="Times New Roman"/>
          <w:sz w:val="22"/>
          <w:szCs w:val="22"/>
        </w:rPr>
        <w:t>4</w:t>
      </w:r>
      <w:r w:rsidR="008F0359">
        <w:rPr>
          <w:rFonts w:ascii="Times New Roman" w:hAnsi="Times New Roman"/>
          <w:sz w:val="22"/>
          <w:szCs w:val="22"/>
        </w:rPr>
        <w:t>6</w:t>
      </w:r>
    </w:p>
    <w:p w:rsidR="00170373" w:rsidRPr="00B90E69" w:rsidRDefault="00170373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</w:p>
    <w:p w:rsidR="00170373" w:rsidRDefault="00170373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 xml:space="preserve">67013183, </w:t>
      </w:r>
      <w:hyperlink r:id="rId7" w:history="1">
        <w:r w:rsidR="00661619" w:rsidRPr="00957717">
          <w:rPr>
            <w:rStyle w:val="Hyperlink"/>
            <w:rFonts w:ascii="Times New Roman" w:hAnsi="Times New Roman"/>
            <w:sz w:val="22"/>
            <w:szCs w:val="22"/>
          </w:rPr>
          <w:t>Ieva.Zaharane@em.gov.lv</w:t>
        </w:r>
      </w:hyperlink>
    </w:p>
    <w:p w:rsidR="00661619" w:rsidRPr="00B90E69" w:rsidRDefault="00661619" w:rsidP="00170373">
      <w:pPr>
        <w:rPr>
          <w:rFonts w:ascii="Times New Roman" w:hAnsi="Times New Roman"/>
          <w:sz w:val="22"/>
          <w:szCs w:val="22"/>
        </w:rPr>
      </w:pPr>
    </w:p>
    <w:p w:rsidR="00170373" w:rsidRPr="00CD558F" w:rsidRDefault="00170373" w:rsidP="00170373"/>
    <w:p w:rsidR="00044147" w:rsidRDefault="000E55A4"/>
    <w:sectPr w:rsidR="00044147" w:rsidSect="00CB16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A4" w:rsidRDefault="000E55A4" w:rsidP="00481B5F">
      <w:r>
        <w:separator/>
      </w:r>
    </w:p>
  </w:endnote>
  <w:endnote w:type="continuationSeparator" w:id="0">
    <w:p w:rsidR="000E55A4" w:rsidRDefault="000E55A4" w:rsidP="004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ED3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 w:rsidRDefault="000E5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59" w:rsidRPr="0056325F" w:rsidRDefault="008F0359" w:rsidP="008F0359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140916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parI.Kassali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Ivaru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Kassali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A06DCA" w:rsidRDefault="000E55A4" w:rsidP="00A06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D6" w:rsidRPr="0056325F" w:rsidRDefault="00ED3932" w:rsidP="008F0359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8F0359">
      <w:rPr>
        <w:rFonts w:ascii="Times New Roman" w:hAnsi="Times New Roman"/>
        <w:snapToGrid w:val="0"/>
        <w:sz w:val="24"/>
        <w:szCs w:val="24"/>
        <w:lang w:eastAsia="en-US"/>
      </w:rPr>
      <w:t>14</w:t>
    </w:r>
    <w:r>
      <w:rPr>
        <w:rFonts w:ascii="Times New Roman" w:hAnsi="Times New Roman"/>
        <w:snapToGrid w:val="0"/>
        <w:sz w:val="24"/>
        <w:szCs w:val="24"/>
        <w:lang w:eastAsia="en-US"/>
      </w:rPr>
      <w:t>0</w:t>
    </w:r>
    <w:r w:rsidR="008F0359">
      <w:rPr>
        <w:rFonts w:ascii="Times New Roman" w:hAnsi="Times New Roman"/>
        <w:snapToGrid w:val="0"/>
        <w:sz w:val="24"/>
        <w:szCs w:val="24"/>
        <w:lang w:eastAsia="en-US"/>
      </w:rPr>
      <w:t>9</w:t>
    </w:r>
    <w:r>
      <w:rPr>
        <w:rFonts w:ascii="Times New Roman" w:hAnsi="Times New Roman"/>
        <w:snapToGrid w:val="0"/>
        <w:sz w:val="24"/>
        <w:szCs w:val="24"/>
        <w:lang w:eastAsia="en-US"/>
      </w:rPr>
      <w:t>1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>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8F0359">
      <w:rPr>
        <w:rFonts w:ascii="Times New Roman" w:hAnsi="Times New Roman"/>
        <w:snapToGrid w:val="0"/>
        <w:sz w:val="24"/>
        <w:szCs w:val="24"/>
        <w:lang w:eastAsia="en-US"/>
      </w:rPr>
      <w:t>I.Kassali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8F0359">
      <w:rPr>
        <w:rFonts w:ascii="Times New Roman" w:hAnsi="Times New Roman"/>
        <w:snapToGrid w:val="0"/>
        <w:sz w:val="24"/>
        <w:szCs w:val="24"/>
        <w:lang w:eastAsia="en-US"/>
      </w:rPr>
      <w:t xml:space="preserve">Ivaru </w:t>
    </w:r>
    <w:proofErr w:type="spellStart"/>
    <w:r w:rsidR="008F0359">
      <w:rPr>
        <w:rFonts w:ascii="Times New Roman" w:hAnsi="Times New Roman"/>
        <w:snapToGrid w:val="0"/>
        <w:sz w:val="24"/>
        <w:szCs w:val="24"/>
        <w:lang w:eastAsia="en-US"/>
      </w:rPr>
      <w:t>Kassali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A4" w:rsidRDefault="000E55A4" w:rsidP="00481B5F">
      <w:r>
        <w:separator/>
      </w:r>
    </w:p>
  </w:footnote>
  <w:footnote w:type="continuationSeparator" w:id="0">
    <w:p w:rsidR="000E55A4" w:rsidRDefault="000E55A4" w:rsidP="0048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ED39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230" w:rsidRDefault="000E5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Pr="009F606F" w:rsidRDefault="00ED3932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="008F0359">
      <w:rPr>
        <w:rStyle w:val="PageNumber"/>
        <w:rFonts w:ascii="Times New Roman" w:hAnsi="Times New Roman"/>
        <w:noProof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3"/>
    <w:rsid w:val="000E55A4"/>
    <w:rsid w:val="00170373"/>
    <w:rsid w:val="00481B5F"/>
    <w:rsid w:val="00661619"/>
    <w:rsid w:val="006C6361"/>
    <w:rsid w:val="00866B1D"/>
    <w:rsid w:val="008F0359"/>
    <w:rsid w:val="00B00C60"/>
    <w:rsid w:val="00ED3932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C2F0-8156-4DB0-BD34-D16B849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73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0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170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170373"/>
  </w:style>
  <w:style w:type="paragraph" w:styleId="BodyText3">
    <w:name w:val="Body Text 3"/>
    <w:basedOn w:val="Normal"/>
    <w:link w:val="BodyText3Char"/>
    <w:semiHidden/>
    <w:rsid w:val="00170373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170373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661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19"/>
    <w:rPr>
      <w:rFonts w:ascii="Segoe UI" w:eastAsia="Times New Roman" w:hAnsi="Segoe UI" w:cs="Segoe UI"/>
      <w:sz w:val="18"/>
      <w:szCs w:val="1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359"/>
    <w:rPr>
      <w:rFonts w:ascii="Dutch TL" w:eastAsia="Times New Roman" w:hAnsi="Dutch TL" w:cs="Times New Roman"/>
      <w:sz w:val="28"/>
      <w:szCs w:val="20"/>
      <w:lang w:eastAsia="zh-TW"/>
    </w:rPr>
  </w:style>
  <w:style w:type="paragraph" w:styleId="BodyText2">
    <w:name w:val="Body Text 2"/>
    <w:basedOn w:val="Normal"/>
    <w:link w:val="BodyText2Char"/>
    <w:rsid w:val="008F0359"/>
    <w:pPr>
      <w:spacing w:after="120" w:line="480" w:lineRule="auto"/>
    </w:pPr>
    <w:rPr>
      <w:rFonts w:ascii="Times New Roman" w:hAnsi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8F035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.Zaharane@e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1904</Characters>
  <Application>Microsoft Office Word</Application>
  <DocSecurity>0</DocSecurity>
  <Lines>100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2</cp:revision>
  <cp:lastPrinted>2016-09-14T13:45:00Z</cp:lastPrinted>
  <dcterms:created xsi:type="dcterms:W3CDTF">2016-02-06T14:15:00Z</dcterms:created>
  <dcterms:modified xsi:type="dcterms:W3CDTF">2016-09-14T13:46:00Z</dcterms:modified>
</cp:coreProperties>
</file>