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DD" w:rsidRPr="00C9063A" w:rsidRDefault="003048D6" w:rsidP="00D707C0">
      <w:pPr>
        <w:pStyle w:val="naisf"/>
        <w:spacing w:before="0" w:beforeAutospacing="0" w:after="0" w:afterAutospacing="0"/>
        <w:jc w:val="center"/>
        <w:rPr>
          <w:rFonts w:eastAsiaTheme="minorHAnsi"/>
          <w:b/>
          <w:bCs/>
          <w:color w:val="000000" w:themeColor="text1"/>
          <w:sz w:val="26"/>
          <w:szCs w:val="26"/>
          <w:lang w:eastAsia="x-none"/>
        </w:rPr>
      </w:pPr>
      <w:r w:rsidRPr="00C9063A">
        <w:rPr>
          <w:rFonts w:eastAsiaTheme="minorHAnsi"/>
          <w:b/>
          <w:bCs/>
          <w:color w:val="000000" w:themeColor="text1"/>
          <w:sz w:val="26"/>
          <w:szCs w:val="26"/>
          <w:lang w:eastAsia="x-none"/>
        </w:rPr>
        <w:t>Likum</w:t>
      </w:r>
      <w:r w:rsidR="00A55C80" w:rsidRPr="00C9063A">
        <w:rPr>
          <w:rFonts w:eastAsiaTheme="minorHAnsi"/>
          <w:b/>
          <w:bCs/>
          <w:color w:val="000000" w:themeColor="text1"/>
          <w:sz w:val="26"/>
          <w:szCs w:val="26"/>
          <w:lang w:eastAsia="x-none"/>
        </w:rPr>
        <w:t>projekta</w:t>
      </w:r>
      <w:r w:rsidR="00E47C73" w:rsidRPr="00C9063A">
        <w:rPr>
          <w:rFonts w:eastAsiaTheme="minorHAnsi"/>
          <w:b/>
          <w:bCs/>
          <w:color w:val="000000" w:themeColor="text1"/>
          <w:sz w:val="26"/>
          <w:szCs w:val="26"/>
          <w:lang w:eastAsia="x-none"/>
        </w:rPr>
        <w:t xml:space="preserve"> „</w:t>
      </w:r>
      <w:r w:rsidRPr="00C9063A">
        <w:rPr>
          <w:b/>
          <w:bCs/>
          <w:color w:val="000000" w:themeColor="text1"/>
          <w:sz w:val="26"/>
          <w:szCs w:val="26"/>
        </w:rPr>
        <w:t xml:space="preserve"> Jaunuzņēmumu darbības atbalsta likums</w:t>
      </w:r>
      <w:r w:rsidR="00E47C73" w:rsidRPr="00C9063A">
        <w:rPr>
          <w:rFonts w:eastAsiaTheme="minorHAnsi"/>
          <w:b/>
          <w:bCs/>
          <w:color w:val="000000" w:themeColor="text1"/>
          <w:sz w:val="26"/>
          <w:szCs w:val="26"/>
          <w:lang w:eastAsia="x-none"/>
        </w:rPr>
        <w:t>”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122"/>
        <w:gridCol w:w="6929"/>
      </w:tblGrid>
      <w:tr w:rsidR="00E4037F" w:rsidRPr="00C9063A" w:rsidTr="00EA2BCB">
        <w:trPr>
          <w:trHeight w:val="419"/>
        </w:trPr>
        <w:tc>
          <w:tcPr>
            <w:tcW w:w="5000" w:type="pct"/>
            <w:gridSpan w:val="3"/>
            <w:vAlign w:val="center"/>
          </w:tcPr>
          <w:p w:rsidR="00E47C73" w:rsidRPr="00C9063A" w:rsidRDefault="00E47C73" w:rsidP="00D707C0">
            <w:pPr>
              <w:pStyle w:val="naisnod"/>
              <w:spacing w:before="0" w:beforeAutospacing="0" w:after="0" w:afterAutospacing="0"/>
              <w:ind w:left="57" w:right="57"/>
              <w:jc w:val="center"/>
              <w:rPr>
                <w:b/>
                <w:color w:val="000000" w:themeColor="text1"/>
                <w:sz w:val="26"/>
                <w:szCs w:val="26"/>
              </w:rPr>
            </w:pPr>
            <w:r w:rsidRPr="00C9063A">
              <w:rPr>
                <w:b/>
                <w:color w:val="000000" w:themeColor="text1"/>
                <w:sz w:val="26"/>
                <w:szCs w:val="26"/>
              </w:rPr>
              <w:t>I. Tiesību akta projekta izstrādes nepieciešamība</w:t>
            </w:r>
          </w:p>
        </w:tc>
      </w:tr>
      <w:tr w:rsidR="00E4037F" w:rsidRPr="00C9063A" w:rsidTr="00431C04">
        <w:trPr>
          <w:trHeight w:val="415"/>
        </w:trPr>
        <w:tc>
          <w:tcPr>
            <w:tcW w:w="227" w:type="pct"/>
          </w:tcPr>
          <w:p w:rsidR="00E47C73" w:rsidRPr="00C9063A" w:rsidRDefault="00E47C73" w:rsidP="00D707C0">
            <w:pPr>
              <w:pStyle w:val="naiskr"/>
              <w:spacing w:before="0" w:beforeAutospacing="0" w:after="0" w:afterAutospacing="0"/>
              <w:ind w:left="57" w:right="57"/>
              <w:jc w:val="center"/>
              <w:rPr>
                <w:color w:val="000000" w:themeColor="text1"/>
                <w:sz w:val="26"/>
                <w:szCs w:val="26"/>
              </w:rPr>
            </w:pPr>
            <w:r w:rsidRPr="00C9063A">
              <w:rPr>
                <w:color w:val="000000" w:themeColor="text1"/>
                <w:sz w:val="26"/>
                <w:szCs w:val="26"/>
              </w:rPr>
              <w:t>1.</w:t>
            </w:r>
          </w:p>
        </w:tc>
        <w:tc>
          <w:tcPr>
            <w:tcW w:w="1119" w:type="pct"/>
          </w:tcPr>
          <w:p w:rsidR="00856D7C" w:rsidRPr="00C9063A" w:rsidRDefault="00E47C73" w:rsidP="00D707C0">
            <w:pPr>
              <w:pStyle w:val="naiskr"/>
              <w:spacing w:before="0" w:beforeAutospacing="0" w:after="0" w:afterAutospacing="0"/>
              <w:ind w:left="57" w:right="57"/>
              <w:jc w:val="both"/>
              <w:rPr>
                <w:color w:val="000000" w:themeColor="text1"/>
                <w:sz w:val="26"/>
                <w:szCs w:val="26"/>
              </w:rPr>
            </w:pPr>
            <w:r w:rsidRPr="00C9063A">
              <w:rPr>
                <w:color w:val="000000" w:themeColor="text1"/>
                <w:sz w:val="26"/>
                <w:szCs w:val="26"/>
              </w:rPr>
              <w:t>Pamatojums</w:t>
            </w:r>
          </w:p>
          <w:p w:rsidR="00E47C73" w:rsidRPr="00C9063A" w:rsidRDefault="00E47C73" w:rsidP="00D707C0">
            <w:pPr>
              <w:spacing w:after="0" w:line="240" w:lineRule="auto"/>
              <w:rPr>
                <w:rFonts w:ascii="Times New Roman" w:hAnsi="Times New Roman" w:cs="Times New Roman"/>
                <w:color w:val="000000" w:themeColor="text1"/>
                <w:sz w:val="26"/>
                <w:szCs w:val="26"/>
                <w:lang w:eastAsia="lv-LV"/>
              </w:rPr>
            </w:pPr>
          </w:p>
        </w:tc>
        <w:tc>
          <w:tcPr>
            <w:tcW w:w="3654" w:type="pct"/>
          </w:tcPr>
          <w:p w:rsidR="00E47C73" w:rsidRPr="00C9063A" w:rsidRDefault="00963249" w:rsidP="006C6DE6">
            <w:pPr>
              <w:spacing w:before="120" w:after="0" w:line="240" w:lineRule="auto"/>
              <w:ind w:left="142" w:right="130"/>
              <w:jc w:val="both"/>
              <w:rPr>
                <w:rFonts w:ascii="Times New Roman" w:hAnsi="Times New Roman" w:cs="Times New Roman"/>
                <w:b/>
                <w:color w:val="000000" w:themeColor="text1"/>
                <w:sz w:val="26"/>
                <w:szCs w:val="26"/>
              </w:rPr>
            </w:pPr>
            <w:r w:rsidRPr="00C9063A">
              <w:rPr>
                <w:rFonts w:ascii="Times New Roman" w:hAnsi="Times New Roman" w:cs="Times New Roman"/>
                <w:color w:val="000000" w:themeColor="text1"/>
                <w:sz w:val="26"/>
                <w:szCs w:val="26"/>
              </w:rPr>
              <w:t>Konceptuālā ziņojuma par uzņēmējdarbības uzsākšanas un mazās uzņēmējdarbības ekosistēmu un turpmāk nepieciešamajiem atbalsta stimuliem” (turpmāk – koncepcija) 5.1.1.risinājuma ieviešana (apstiprināts M</w:t>
            </w:r>
            <w:r w:rsidR="004B47DB" w:rsidRPr="00C9063A">
              <w:rPr>
                <w:rFonts w:ascii="Times New Roman" w:hAnsi="Times New Roman" w:cs="Times New Roman"/>
                <w:color w:val="000000" w:themeColor="text1"/>
                <w:sz w:val="26"/>
                <w:szCs w:val="26"/>
              </w:rPr>
              <w:t xml:space="preserve">inistru kabineta </w:t>
            </w:r>
            <w:r w:rsidRPr="00C9063A">
              <w:rPr>
                <w:rFonts w:ascii="Times New Roman" w:hAnsi="Times New Roman" w:cs="Times New Roman"/>
                <w:color w:val="000000" w:themeColor="text1"/>
                <w:sz w:val="26"/>
                <w:szCs w:val="26"/>
              </w:rPr>
              <w:t xml:space="preserve">2016.gada </w:t>
            </w:r>
            <w:r w:rsidR="004B47DB" w:rsidRPr="00C9063A">
              <w:rPr>
                <w:rFonts w:ascii="Times New Roman" w:hAnsi="Times New Roman" w:cs="Times New Roman"/>
                <w:color w:val="000000" w:themeColor="text1"/>
                <w:sz w:val="26"/>
                <w:szCs w:val="26"/>
              </w:rPr>
              <w:t>27</w:t>
            </w:r>
            <w:r w:rsidRPr="00C9063A">
              <w:rPr>
                <w:rFonts w:ascii="Times New Roman" w:hAnsi="Times New Roman" w:cs="Times New Roman"/>
                <w:color w:val="000000" w:themeColor="text1"/>
                <w:sz w:val="26"/>
                <w:szCs w:val="26"/>
              </w:rPr>
              <w:t>.septembra sēdē</w:t>
            </w:r>
            <w:r w:rsidR="00E4037F" w:rsidRPr="00C9063A">
              <w:rPr>
                <w:rFonts w:ascii="Times New Roman" w:hAnsi="Times New Roman" w:cs="Times New Roman"/>
                <w:color w:val="000000" w:themeColor="text1"/>
                <w:sz w:val="26"/>
                <w:szCs w:val="26"/>
              </w:rPr>
              <w:t xml:space="preserve"> prot.</w:t>
            </w:r>
            <w:r w:rsidR="00593EB1" w:rsidRPr="00C9063A">
              <w:rPr>
                <w:rFonts w:ascii="Times New Roman" w:hAnsi="Times New Roman" w:cs="Times New Roman"/>
                <w:color w:val="000000" w:themeColor="text1"/>
                <w:sz w:val="26"/>
                <w:szCs w:val="26"/>
              </w:rPr>
              <w:t>48</w:t>
            </w:r>
            <w:r w:rsidRPr="00C9063A">
              <w:rPr>
                <w:rFonts w:ascii="Times New Roman" w:hAnsi="Times New Roman" w:cs="Times New Roman"/>
                <w:color w:val="000000" w:themeColor="text1"/>
                <w:sz w:val="26"/>
                <w:szCs w:val="26"/>
              </w:rPr>
              <w:t>)</w:t>
            </w:r>
            <w:r w:rsidR="004B47DB" w:rsidRPr="00C9063A">
              <w:rPr>
                <w:rFonts w:ascii="Times New Roman" w:hAnsi="Times New Roman" w:cs="Times New Roman"/>
                <w:color w:val="000000" w:themeColor="text1"/>
                <w:sz w:val="26"/>
                <w:szCs w:val="26"/>
              </w:rPr>
              <w:t>.</w:t>
            </w:r>
          </w:p>
        </w:tc>
      </w:tr>
      <w:tr w:rsidR="00E4037F" w:rsidRPr="00C9063A" w:rsidTr="00431C04">
        <w:trPr>
          <w:trHeight w:val="472"/>
        </w:trPr>
        <w:tc>
          <w:tcPr>
            <w:tcW w:w="227" w:type="pct"/>
          </w:tcPr>
          <w:p w:rsidR="004B47DB" w:rsidRPr="00C9063A" w:rsidRDefault="00E47C73" w:rsidP="00D707C0">
            <w:pPr>
              <w:pStyle w:val="naiskr"/>
              <w:spacing w:before="0" w:beforeAutospacing="0" w:after="0" w:afterAutospacing="0"/>
              <w:ind w:left="57" w:right="57"/>
              <w:jc w:val="center"/>
              <w:rPr>
                <w:color w:val="000000" w:themeColor="text1"/>
                <w:sz w:val="26"/>
                <w:szCs w:val="26"/>
              </w:rPr>
            </w:pPr>
            <w:r w:rsidRPr="00C9063A">
              <w:rPr>
                <w:color w:val="000000" w:themeColor="text1"/>
                <w:sz w:val="26"/>
                <w:szCs w:val="26"/>
              </w:rPr>
              <w:t>2.</w:t>
            </w: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4B47DB" w:rsidRPr="00C9063A" w:rsidRDefault="004B47DB" w:rsidP="004B47DB">
            <w:pPr>
              <w:rPr>
                <w:rFonts w:ascii="Times New Roman" w:hAnsi="Times New Roman" w:cs="Times New Roman"/>
                <w:color w:val="000000" w:themeColor="text1"/>
                <w:sz w:val="26"/>
                <w:szCs w:val="26"/>
                <w:lang w:eastAsia="lv-LV"/>
              </w:rPr>
            </w:pPr>
          </w:p>
          <w:p w:rsidR="00E47C73" w:rsidRPr="00C9063A" w:rsidRDefault="00E47C73" w:rsidP="004B47DB">
            <w:pPr>
              <w:rPr>
                <w:rFonts w:ascii="Times New Roman" w:hAnsi="Times New Roman" w:cs="Times New Roman"/>
                <w:color w:val="000000" w:themeColor="text1"/>
                <w:sz w:val="26"/>
                <w:szCs w:val="26"/>
                <w:lang w:eastAsia="lv-LV"/>
              </w:rPr>
            </w:pPr>
          </w:p>
        </w:tc>
        <w:tc>
          <w:tcPr>
            <w:tcW w:w="1119" w:type="pct"/>
          </w:tcPr>
          <w:p w:rsidR="00E47C73" w:rsidRPr="00C9063A" w:rsidRDefault="00E47C73" w:rsidP="00D707C0">
            <w:pPr>
              <w:pStyle w:val="naiskr"/>
              <w:tabs>
                <w:tab w:val="left" w:pos="170"/>
              </w:tabs>
              <w:spacing w:before="0" w:beforeAutospacing="0" w:after="0" w:afterAutospacing="0"/>
              <w:ind w:left="57" w:right="57"/>
              <w:rPr>
                <w:color w:val="000000" w:themeColor="text1"/>
                <w:sz w:val="26"/>
                <w:szCs w:val="26"/>
              </w:rPr>
            </w:pPr>
            <w:r w:rsidRPr="00C9063A">
              <w:rPr>
                <w:color w:val="000000" w:themeColor="text1"/>
                <w:sz w:val="26"/>
                <w:szCs w:val="26"/>
              </w:rPr>
              <w:t>Pašreizējā situācija un problēmas, kuru risināšanai tiesību akta projekts izstrādāts, tiesiskā regulējuma mērķis un būtība</w:t>
            </w:r>
          </w:p>
        </w:tc>
        <w:tc>
          <w:tcPr>
            <w:tcW w:w="3654" w:type="pct"/>
          </w:tcPr>
          <w:p w:rsidR="00E94A16" w:rsidRPr="00C9063A" w:rsidRDefault="00E94A16" w:rsidP="00B4024A">
            <w:pPr>
              <w:spacing w:before="120" w:after="0" w:line="240" w:lineRule="auto"/>
              <w:ind w:left="142" w:right="27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Līdz ar likumprojekta ieviešanu paredzēts veici</w:t>
            </w:r>
            <w:r w:rsidR="004B47DB" w:rsidRPr="00C9063A">
              <w:rPr>
                <w:rFonts w:ascii="Times New Roman" w:hAnsi="Times New Roman" w:cs="Times New Roman"/>
                <w:color w:val="000000" w:themeColor="text1"/>
                <w:sz w:val="26"/>
                <w:szCs w:val="26"/>
              </w:rPr>
              <w:t xml:space="preserve">nāt koncepcijā paredzēto vīziju jaunuzņēmumu darbībai. </w:t>
            </w:r>
            <w:r w:rsidR="004B47DB" w:rsidRPr="00C9063A">
              <w:rPr>
                <w:rFonts w:ascii="Times New Roman" w:eastAsia="Times New Roman" w:hAnsi="Times New Roman" w:cs="Times New Roman"/>
                <w:bCs/>
                <w:color w:val="000000" w:themeColor="text1"/>
                <w:sz w:val="26"/>
                <w:szCs w:val="26"/>
                <w:lang w:eastAsia="lv-LV"/>
              </w:rPr>
              <w:t>Likum</w:t>
            </w:r>
            <w:r w:rsidR="00ED392B" w:rsidRPr="00C9063A">
              <w:rPr>
                <w:rFonts w:ascii="Times New Roman" w:eastAsia="Times New Roman" w:hAnsi="Times New Roman" w:cs="Times New Roman"/>
                <w:bCs/>
                <w:color w:val="000000" w:themeColor="text1"/>
                <w:sz w:val="26"/>
                <w:szCs w:val="26"/>
                <w:lang w:eastAsia="lv-LV"/>
              </w:rPr>
              <w:t>projekt</w:t>
            </w:r>
            <w:r w:rsidR="004B47DB" w:rsidRPr="00C9063A">
              <w:rPr>
                <w:rFonts w:ascii="Times New Roman" w:eastAsia="Times New Roman" w:hAnsi="Times New Roman" w:cs="Times New Roman"/>
                <w:bCs/>
                <w:color w:val="000000" w:themeColor="text1"/>
                <w:sz w:val="26"/>
                <w:szCs w:val="26"/>
                <w:lang w:eastAsia="lv-LV"/>
              </w:rPr>
              <w:t>a mērķis ir ieviest atbalsta programmas jaunuzņēmumiem un tādējādi veicināt to veidošanos Latvijā</w:t>
            </w:r>
            <w:r w:rsidRPr="00C9063A">
              <w:rPr>
                <w:rFonts w:ascii="Times New Roman" w:hAnsi="Times New Roman" w:cs="Times New Roman"/>
                <w:bCs/>
                <w:color w:val="000000" w:themeColor="text1"/>
                <w:sz w:val="26"/>
                <w:szCs w:val="26"/>
              </w:rPr>
              <w:t xml:space="preserve">. </w:t>
            </w:r>
            <w:r w:rsidR="004B47DB" w:rsidRPr="00C9063A">
              <w:rPr>
                <w:rFonts w:ascii="Times New Roman" w:hAnsi="Times New Roman" w:cs="Times New Roman"/>
                <w:bCs/>
                <w:color w:val="000000" w:themeColor="text1"/>
                <w:sz w:val="26"/>
                <w:szCs w:val="26"/>
              </w:rPr>
              <w:t>Koncepcijā norādītais s</w:t>
            </w:r>
            <w:r w:rsidRPr="00C9063A">
              <w:rPr>
                <w:rFonts w:ascii="Times New Roman" w:hAnsi="Times New Roman" w:cs="Times New Roman"/>
                <w:bCs/>
                <w:color w:val="000000" w:themeColor="text1"/>
                <w:sz w:val="26"/>
                <w:szCs w:val="26"/>
              </w:rPr>
              <w:t>asniedzamais mērķis: 20 + uzņēmumi ik gadu (piesaistīti 120 augsti kvalificēti darbinieki)</w:t>
            </w:r>
            <w:r w:rsidRPr="00C9063A">
              <w:rPr>
                <w:rFonts w:ascii="Times New Roman" w:hAnsi="Times New Roman" w:cs="Times New Roman"/>
                <w:color w:val="000000" w:themeColor="text1"/>
                <w:sz w:val="26"/>
                <w:szCs w:val="26"/>
              </w:rPr>
              <w:t>.</w:t>
            </w:r>
          </w:p>
          <w:p w:rsidR="00963249" w:rsidRPr="00C9063A" w:rsidRDefault="00963249" w:rsidP="00B4024A">
            <w:pPr>
              <w:spacing w:before="120" w:after="0" w:line="240" w:lineRule="auto"/>
              <w:ind w:left="142" w:right="272"/>
              <w:jc w:val="both"/>
              <w:rPr>
                <w:rFonts w:ascii="Times New Roman" w:hAnsi="Times New Roman" w:cs="Times New Roman"/>
                <w:b/>
                <w:iCs/>
                <w:color w:val="000000" w:themeColor="text1"/>
                <w:sz w:val="26"/>
                <w:szCs w:val="26"/>
              </w:rPr>
            </w:pPr>
            <w:r w:rsidRPr="00C9063A">
              <w:rPr>
                <w:rFonts w:ascii="Times New Roman" w:hAnsi="Times New Roman" w:cs="Times New Roman"/>
                <w:b/>
                <w:iCs/>
                <w:color w:val="000000" w:themeColor="text1"/>
                <w:sz w:val="26"/>
                <w:szCs w:val="26"/>
              </w:rPr>
              <w:t>Likum</w:t>
            </w:r>
            <w:r w:rsidR="00EA2BCB" w:rsidRPr="00C9063A">
              <w:rPr>
                <w:rFonts w:ascii="Times New Roman" w:hAnsi="Times New Roman" w:cs="Times New Roman"/>
                <w:b/>
                <w:iCs/>
                <w:color w:val="000000" w:themeColor="text1"/>
                <w:sz w:val="26"/>
                <w:szCs w:val="26"/>
              </w:rPr>
              <w:t>projekts ir izstrādāts, l</w:t>
            </w:r>
            <w:r w:rsidR="008E0BA7" w:rsidRPr="00C9063A">
              <w:rPr>
                <w:rFonts w:ascii="Times New Roman" w:hAnsi="Times New Roman" w:cs="Times New Roman"/>
                <w:b/>
                <w:iCs/>
                <w:color w:val="000000" w:themeColor="text1"/>
                <w:sz w:val="26"/>
                <w:szCs w:val="26"/>
              </w:rPr>
              <w:t xml:space="preserve">ai </w:t>
            </w:r>
            <w:r w:rsidRPr="00C9063A">
              <w:rPr>
                <w:rFonts w:ascii="Times New Roman" w:hAnsi="Times New Roman" w:cs="Times New Roman"/>
                <w:b/>
                <w:iCs/>
                <w:color w:val="000000" w:themeColor="text1"/>
                <w:sz w:val="26"/>
                <w:szCs w:val="26"/>
              </w:rPr>
              <w:t>ar</w:t>
            </w:r>
            <w:r w:rsidR="008E0BA7" w:rsidRPr="00C9063A">
              <w:rPr>
                <w:rFonts w:ascii="Times New Roman" w:hAnsi="Times New Roman" w:cs="Times New Roman"/>
                <w:b/>
                <w:iCs/>
                <w:color w:val="000000" w:themeColor="text1"/>
                <w:sz w:val="26"/>
                <w:szCs w:val="26"/>
              </w:rPr>
              <w:t xml:space="preserve"> normatīvo aktu </w:t>
            </w:r>
            <w:r w:rsidRPr="00C9063A">
              <w:rPr>
                <w:rFonts w:ascii="Times New Roman" w:hAnsi="Times New Roman" w:cs="Times New Roman"/>
                <w:b/>
                <w:iCs/>
                <w:color w:val="000000" w:themeColor="text1"/>
                <w:sz w:val="26"/>
                <w:szCs w:val="26"/>
              </w:rPr>
              <w:t>noteiktu:</w:t>
            </w:r>
          </w:p>
          <w:p w:rsidR="00963249" w:rsidRPr="00C9063A" w:rsidRDefault="00963249" w:rsidP="00B4024A">
            <w:pPr>
              <w:pStyle w:val="ListParagraph"/>
              <w:numPr>
                <w:ilvl w:val="0"/>
                <w:numId w:val="9"/>
              </w:numPr>
              <w:spacing w:before="120" w:after="0" w:line="240" w:lineRule="auto"/>
              <w:ind w:left="142" w:right="272" w:firstLine="0"/>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iCs/>
                <w:color w:val="000000" w:themeColor="text1"/>
                <w:sz w:val="26"/>
                <w:szCs w:val="26"/>
              </w:rPr>
              <w:t>kas ir jaunuzņēmums un kādas ir tā pazīmes</w:t>
            </w:r>
            <w:r w:rsidRPr="00C9063A">
              <w:rPr>
                <w:rFonts w:ascii="Times New Roman" w:hAnsi="Times New Roman" w:cs="Times New Roman"/>
                <w:b/>
                <w:color w:val="000000" w:themeColor="text1"/>
                <w:sz w:val="26"/>
                <w:szCs w:val="26"/>
              </w:rPr>
              <w:t xml:space="preserve"> </w:t>
            </w:r>
          </w:p>
          <w:p w:rsidR="00C06176" w:rsidRPr="00C9063A" w:rsidRDefault="00C06176"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Likumprojekts nosaka jaunuzņēmuma definīciju, vienlaikus nosakot pazīmes šādiem uzņēmumiem</w:t>
            </w:r>
            <w:r w:rsidR="006B57A9" w:rsidRPr="00C9063A">
              <w:rPr>
                <w:rFonts w:ascii="Times New Roman" w:hAnsi="Times New Roman" w:cs="Times New Roman"/>
                <w:iCs/>
                <w:color w:val="000000" w:themeColor="text1"/>
                <w:sz w:val="26"/>
                <w:szCs w:val="26"/>
              </w:rPr>
              <w:t xml:space="preserve"> jeb nosacījumus</w:t>
            </w:r>
            <w:r w:rsidRPr="00C9063A">
              <w:rPr>
                <w:rFonts w:ascii="Times New Roman" w:hAnsi="Times New Roman" w:cs="Times New Roman"/>
                <w:iCs/>
                <w:color w:val="000000" w:themeColor="text1"/>
                <w:sz w:val="26"/>
                <w:szCs w:val="26"/>
              </w:rPr>
              <w:t xml:space="preserve"> ar mērķ</w:t>
            </w:r>
            <w:r w:rsidR="00815A41" w:rsidRPr="00C9063A">
              <w:rPr>
                <w:rFonts w:ascii="Times New Roman" w:hAnsi="Times New Roman" w:cs="Times New Roman"/>
                <w:iCs/>
                <w:color w:val="000000" w:themeColor="text1"/>
                <w:sz w:val="26"/>
                <w:szCs w:val="26"/>
              </w:rPr>
              <w:t>i</w:t>
            </w:r>
            <w:r w:rsidRPr="00C9063A">
              <w:rPr>
                <w:rFonts w:ascii="Times New Roman" w:hAnsi="Times New Roman" w:cs="Times New Roman"/>
                <w:iCs/>
                <w:color w:val="000000" w:themeColor="text1"/>
                <w:sz w:val="26"/>
                <w:szCs w:val="26"/>
              </w:rPr>
              <w:t xml:space="preserve"> piešķirt tiem tiesības piedalīties likumā noteiktajās valsts atbalsta programmās.</w:t>
            </w:r>
          </w:p>
          <w:p w:rsidR="004B47DB" w:rsidRPr="00C9063A" w:rsidRDefault="004B47DB"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Jāatzīmē, ka strauji augošu uzņēmumu </w:t>
            </w:r>
            <w:r w:rsidR="00E4037F" w:rsidRPr="00C9063A">
              <w:rPr>
                <w:rFonts w:ascii="Times New Roman" w:hAnsi="Times New Roman" w:cs="Times New Roman"/>
                <w:iCs/>
                <w:color w:val="000000" w:themeColor="text1"/>
                <w:sz w:val="26"/>
                <w:szCs w:val="26"/>
              </w:rPr>
              <w:t xml:space="preserve">(konceptā lietotais termins) </w:t>
            </w:r>
            <w:r w:rsidRPr="00C9063A">
              <w:rPr>
                <w:rFonts w:ascii="Times New Roman" w:hAnsi="Times New Roman" w:cs="Times New Roman"/>
                <w:iCs/>
                <w:color w:val="000000" w:themeColor="text1"/>
                <w:sz w:val="26"/>
                <w:szCs w:val="26"/>
              </w:rPr>
              <w:t xml:space="preserve">jeb jaunuzņēmumu </w:t>
            </w:r>
            <w:r w:rsidR="00ED392B" w:rsidRPr="00C9063A">
              <w:rPr>
                <w:rFonts w:ascii="Times New Roman" w:hAnsi="Times New Roman" w:cs="Times New Roman"/>
                <w:iCs/>
                <w:color w:val="000000" w:themeColor="text1"/>
                <w:sz w:val="26"/>
                <w:szCs w:val="26"/>
              </w:rPr>
              <w:t>termins</w:t>
            </w:r>
            <w:r w:rsidRPr="00C9063A">
              <w:rPr>
                <w:rFonts w:ascii="Times New Roman" w:hAnsi="Times New Roman" w:cs="Times New Roman"/>
                <w:iCs/>
                <w:color w:val="000000" w:themeColor="text1"/>
                <w:sz w:val="26"/>
                <w:szCs w:val="26"/>
              </w:rPr>
              <w:t xml:space="preserve"> ir </w:t>
            </w:r>
            <w:r w:rsidR="00ED392B" w:rsidRPr="00C9063A">
              <w:rPr>
                <w:rFonts w:ascii="Times New Roman" w:hAnsi="Times New Roman" w:cs="Times New Roman"/>
                <w:iCs/>
                <w:color w:val="000000" w:themeColor="text1"/>
                <w:sz w:val="26"/>
                <w:szCs w:val="26"/>
              </w:rPr>
              <w:t>pieņemts</w:t>
            </w:r>
            <w:r w:rsidRPr="00C9063A">
              <w:rPr>
                <w:rFonts w:ascii="Times New Roman" w:hAnsi="Times New Roman" w:cs="Times New Roman"/>
                <w:iCs/>
                <w:color w:val="000000" w:themeColor="text1"/>
                <w:sz w:val="26"/>
                <w:szCs w:val="26"/>
              </w:rPr>
              <w:t xml:space="preserve"> La</w:t>
            </w:r>
            <w:r w:rsidR="00ED392B" w:rsidRPr="00C9063A">
              <w:rPr>
                <w:rFonts w:ascii="Times New Roman" w:hAnsi="Times New Roman" w:cs="Times New Roman"/>
                <w:iCs/>
                <w:color w:val="000000" w:themeColor="text1"/>
                <w:sz w:val="26"/>
                <w:szCs w:val="26"/>
              </w:rPr>
              <w:t>t</w:t>
            </w:r>
            <w:r w:rsidRPr="00C9063A">
              <w:rPr>
                <w:rFonts w:ascii="Times New Roman" w:hAnsi="Times New Roman" w:cs="Times New Roman"/>
                <w:iCs/>
                <w:color w:val="000000" w:themeColor="text1"/>
                <w:sz w:val="26"/>
                <w:szCs w:val="26"/>
              </w:rPr>
              <w:t>vijas Zinātņu Akadēmijas</w:t>
            </w:r>
            <w:r w:rsidR="00E4037F" w:rsidRPr="00C9063A">
              <w:rPr>
                <w:rFonts w:ascii="Times New Roman" w:hAnsi="Times New Roman" w:cs="Times New Roman"/>
                <w:iCs/>
                <w:color w:val="000000" w:themeColor="text1"/>
                <w:sz w:val="26"/>
                <w:szCs w:val="26"/>
              </w:rPr>
              <w:t xml:space="preserve"> Terminoloģijas komisijas 2016.gada</w:t>
            </w:r>
            <w:r w:rsidRPr="00C9063A">
              <w:rPr>
                <w:rFonts w:ascii="Times New Roman" w:hAnsi="Times New Roman" w:cs="Times New Roman"/>
                <w:iCs/>
                <w:color w:val="000000" w:themeColor="text1"/>
                <w:sz w:val="26"/>
                <w:szCs w:val="26"/>
              </w:rPr>
              <w:t xml:space="preserve"> 2.februāra sēdē</w:t>
            </w:r>
            <w:r w:rsidR="00E4037F" w:rsidRPr="00C9063A">
              <w:rPr>
                <w:rFonts w:ascii="Times New Roman" w:hAnsi="Times New Roman" w:cs="Times New Roman"/>
                <w:iCs/>
                <w:color w:val="000000" w:themeColor="text1"/>
                <w:sz w:val="26"/>
                <w:szCs w:val="26"/>
              </w:rPr>
              <w:t xml:space="preserve"> ar prot. Nr.1/1125</w:t>
            </w:r>
            <w:r w:rsidRPr="00C9063A">
              <w:rPr>
                <w:rStyle w:val="FootnoteReference"/>
                <w:rFonts w:ascii="Times New Roman" w:hAnsi="Times New Roman" w:cs="Times New Roman"/>
                <w:iCs/>
                <w:color w:val="000000" w:themeColor="text1"/>
                <w:sz w:val="26"/>
                <w:szCs w:val="26"/>
              </w:rPr>
              <w:footnoteReference w:id="1"/>
            </w:r>
            <w:r w:rsidR="00ED392B" w:rsidRPr="00C9063A">
              <w:rPr>
                <w:rFonts w:ascii="Times New Roman" w:hAnsi="Times New Roman" w:cs="Times New Roman"/>
                <w:iCs/>
                <w:color w:val="000000" w:themeColor="text1"/>
                <w:sz w:val="26"/>
                <w:szCs w:val="26"/>
              </w:rPr>
              <w:t>. Vienlaikus, lai noteiktu skaidru priekšstatu par šiem uzņēmumiem izvirzāmajām prasībām, lai iegūtu tiesības izmantot šajā likumā noteiktās atbalsta programmas, likumprojekts nosaka jaunuzņēmuma pazīmes.</w:t>
            </w:r>
          </w:p>
          <w:p w:rsidR="00ED392B" w:rsidRPr="00C9063A" w:rsidRDefault="00ED392B"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Galvenā pazīme jaunuzņēmumam – tā ir </w:t>
            </w:r>
            <w:r w:rsidRPr="00C9063A">
              <w:rPr>
                <w:rFonts w:ascii="Times New Roman" w:hAnsi="Times New Roman" w:cs="Times New Roman"/>
                <w:color w:val="000000" w:themeColor="text1"/>
                <w:sz w:val="26"/>
                <w:szCs w:val="26"/>
              </w:rPr>
              <w:t>kapitālsabiedrība, kas piesaistījusi kvalificēta riska kapitāla investoru vismaz 30 000 euro ieguldījumu tās pamatkapitālā katrā atbalsta pieteikuma iesniegšanas gadā, tādējādi apliecinot pieteiktās biznesa idejas dzīvotspēju. Minētais ieguldījums ir piesaistīts pieteiktās biznesa idejas īstenošanai.</w:t>
            </w:r>
          </w:p>
          <w:p w:rsidR="00963249" w:rsidRPr="00C9063A" w:rsidRDefault="00963249" w:rsidP="00B4024A">
            <w:pPr>
              <w:pStyle w:val="ListParagraph"/>
              <w:numPr>
                <w:ilvl w:val="0"/>
                <w:numId w:val="9"/>
              </w:numPr>
              <w:spacing w:before="120" w:after="0" w:line="240" w:lineRule="auto"/>
              <w:ind w:left="142" w:right="272" w:firstLine="0"/>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color w:val="000000" w:themeColor="text1"/>
                <w:sz w:val="26"/>
                <w:szCs w:val="26"/>
              </w:rPr>
              <w:t>jaunuzņēmu</w:t>
            </w:r>
            <w:r w:rsidR="00815A41" w:rsidRPr="00C9063A">
              <w:rPr>
                <w:rFonts w:ascii="Times New Roman" w:hAnsi="Times New Roman" w:cs="Times New Roman"/>
                <w:b/>
                <w:color w:val="000000" w:themeColor="text1"/>
                <w:sz w:val="26"/>
                <w:szCs w:val="26"/>
              </w:rPr>
              <w:t xml:space="preserve">mu </w:t>
            </w:r>
            <w:r w:rsidRPr="00C9063A">
              <w:rPr>
                <w:rFonts w:ascii="Times New Roman" w:hAnsi="Times New Roman" w:cs="Times New Roman"/>
                <w:b/>
                <w:color w:val="000000" w:themeColor="text1"/>
                <w:sz w:val="26"/>
                <w:szCs w:val="26"/>
              </w:rPr>
              <w:t>atbalsta programmas</w:t>
            </w:r>
          </w:p>
          <w:p w:rsidR="00C06176" w:rsidRPr="00C9063A" w:rsidRDefault="00C06176" w:rsidP="00B4024A">
            <w:pPr>
              <w:spacing w:before="120" w:after="0" w:line="240" w:lineRule="auto"/>
              <w:ind w:left="142" w:right="27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Likumprojekts paredz divu veidu atbalsta pasākumus</w:t>
            </w:r>
            <w:r w:rsidR="00ED392B" w:rsidRPr="00C9063A">
              <w:rPr>
                <w:rFonts w:ascii="Times New Roman" w:hAnsi="Times New Roman" w:cs="Times New Roman"/>
                <w:color w:val="000000" w:themeColor="text1"/>
                <w:sz w:val="26"/>
                <w:szCs w:val="26"/>
              </w:rPr>
              <w:t>, kurus jaunuzņēmums var pieteikt izmantot  pirmos piecus  komercdarbības gadus kopš tā reģistrēšanas komercreģistrā.</w:t>
            </w:r>
          </w:p>
          <w:p w:rsidR="00ED392B" w:rsidRPr="00C9063A" w:rsidRDefault="00ED392B" w:rsidP="00B4024A">
            <w:pPr>
              <w:spacing w:before="120" w:after="0" w:line="240" w:lineRule="auto"/>
              <w:ind w:left="142" w:right="27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Likumprojektā paredzētie atbalsta pasākumi:</w:t>
            </w:r>
          </w:p>
          <w:p w:rsidR="00E4037F" w:rsidRPr="00C9063A" w:rsidRDefault="00C06176" w:rsidP="00B4024A">
            <w:pPr>
              <w:pStyle w:val="ListParagraph"/>
              <w:numPr>
                <w:ilvl w:val="0"/>
                <w:numId w:val="8"/>
              </w:numPr>
              <w:spacing w:before="120" w:after="0" w:line="240" w:lineRule="auto"/>
              <w:ind w:left="142" w:right="272" w:firstLine="0"/>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b/>
                <w:color w:val="000000" w:themeColor="text1"/>
                <w:sz w:val="26"/>
                <w:szCs w:val="26"/>
              </w:rPr>
              <w:lastRenderedPageBreak/>
              <w:t>fiksēt</w:t>
            </w:r>
            <w:r w:rsidR="0063783D" w:rsidRPr="00C9063A">
              <w:rPr>
                <w:rFonts w:ascii="Times New Roman" w:hAnsi="Times New Roman" w:cs="Times New Roman"/>
                <w:b/>
                <w:color w:val="000000" w:themeColor="text1"/>
                <w:sz w:val="26"/>
                <w:szCs w:val="26"/>
              </w:rPr>
              <w:t>s</w:t>
            </w:r>
            <w:r w:rsidRPr="00C9063A">
              <w:rPr>
                <w:rFonts w:ascii="Times New Roman" w:hAnsi="Times New Roman" w:cs="Times New Roman"/>
                <w:b/>
                <w:color w:val="000000" w:themeColor="text1"/>
                <w:sz w:val="26"/>
                <w:szCs w:val="26"/>
              </w:rPr>
              <w:t xml:space="preserve"> maksājum</w:t>
            </w:r>
            <w:r w:rsidR="0063783D" w:rsidRPr="00C9063A">
              <w:rPr>
                <w:rFonts w:ascii="Times New Roman" w:hAnsi="Times New Roman" w:cs="Times New Roman"/>
                <w:b/>
                <w:color w:val="000000" w:themeColor="text1"/>
                <w:sz w:val="26"/>
                <w:szCs w:val="26"/>
              </w:rPr>
              <w:t>s</w:t>
            </w:r>
            <w:r w:rsidRPr="00C9063A">
              <w:rPr>
                <w:rFonts w:ascii="Times New Roman" w:hAnsi="Times New Roman" w:cs="Times New Roman"/>
                <w:b/>
                <w:color w:val="000000" w:themeColor="text1"/>
                <w:sz w:val="26"/>
                <w:szCs w:val="26"/>
              </w:rPr>
              <w:t xml:space="preserve"> </w:t>
            </w:r>
            <w:r w:rsidRPr="00C9063A">
              <w:rPr>
                <w:rFonts w:ascii="Times New Roman" w:eastAsia="Times New Roman" w:hAnsi="Times New Roman" w:cs="Times New Roman"/>
                <w:bCs/>
                <w:color w:val="000000" w:themeColor="text1"/>
                <w:sz w:val="26"/>
                <w:szCs w:val="26"/>
                <w:lang w:eastAsia="lv-LV"/>
              </w:rPr>
              <w:t xml:space="preserve">– </w:t>
            </w:r>
            <w:r w:rsidR="0063783D" w:rsidRPr="00C9063A">
              <w:rPr>
                <w:rFonts w:ascii="Times New Roman" w:eastAsia="Times New Roman" w:hAnsi="Times New Roman" w:cs="Times New Roman"/>
                <w:bCs/>
                <w:color w:val="000000" w:themeColor="text1"/>
                <w:sz w:val="26"/>
                <w:szCs w:val="26"/>
                <w:lang w:eastAsia="lv-LV"/>
              </w:rPr>
              <w:t xml:space="preserve"> valsts sociālās apdrošināšanas obligāto iemaksu (turpmāk – obligātās iemaksas) mēneša galīgs maksājums, ko darba devējs veic par darba ņēmēju valsts sociālās apdrošināšanas speciālajā budžetā</w:t>
            </w:r>
            <w:r w:rsidRPr="00C9063A">
              <w:rPr>
                <w:rFonts w:ascii="Times New Roman" w:eastAsia="Times New Roman" w:hAnsi="Times New Roman" w:cs="Times New Roman"/>
                <w:bCs/>
                <w:color w:val="000000" w:themeColor="text1"/>
                <w:sz w:val="26"/>
                <w:szCs w:val="26"/>
                <w:lang w:eastAsia="lv-LV"/>
              </w:rPr>
              <w:t xml:space="preserve">. T.i., </w:t>
            </w:r>
            <w:r w:rsidRPr="00C9063A">
              <w:rPr>
                <w:rFonts w:ascii="Times New Roman" w:hAnsi="Times New Roman" w:cs="Times New Roman"/>
                <w:color w:val="000000" w:themeColor="text1"/>
                <w:sz w:val="26"/>
                <w:szCs w:val="26"/>
              </w:rPr>
              <w:t xml:space="preserve">maksājums 2 minimālo </w:t>
            </w:r>
            <w:r w:rsidRPr="00C9063A">
              <w:rPr>
                <w:rFonts w:ascii="Times New Roman" w:eastAsia="Times New Roman" w:hAnsi="Times New Roman" w:cs="Times New Roman"/>
                <w:bCs/>
                <w:color w:val="000000" w:themeColor="text1"/>
                <w:sz w:val="26"/>
                <w:szCs w:val="26"/>
                <w:lang w:eastAsia="lv-LV"/>
              </w:rPr>
              <w:t>obligāto iemaksu</w:t>
            </w:r>
            <w:r w:rsidRPr="00C9063A">
              <w:rPr>
                <w:rFonts w:ascii="Times New Roman" w:hAnsi="Times New Roman" w:cs="Times New Roman"/>
                <w:color w:val="000000" w:themeColor="text1"/>
                <w:sz w:val="26"/>
                <w:szCs w:val="26"/>
              </w:rPr>
              <w:t xml:space="preserve"> apmērā (</w:t>
            </w:r>
            <w:r w:rsidR="0063783D" w:rsidRPr="00C9063A">
              <w:rPr>
                <w:rFonts w:ascii="Times New Roman" w:hAnsi="Times New Roman" w:cs="Times New Roman"/>
                <w:color w:val="000000" w:themeColor="text1"/>
                <w:sz w:val="26"/>
                <w:szCs w:val="26"/>
              </w:rPr>
              <w:t>2016.gadā tas ir</w:t>
            </w:r>
            <w:r w:rsidRPr="00C9063A">
              <w:rPr>
                <w:rFonts w:ascii="Times New Roman" w:hAnsi="Times New Roman" w:cs="Times New Roman"/>
                <w:color w:val="000000" w:themeColor="text1"/>
                <w:sz w:val="26"/>
                <w:szCs w:val="26"/>
              </w:rPr>
              <w:t xml:space="preserve"> 252,26 euro), algas apmēram nepārsniedzot 4050 euro mēnesī (alga virs 48 600 euro gadā). Gadījumā, ja nodarbinātā alga pārsniedz 4050 euro mēnesī, papildus tiek</w:t>
            </w:r>
            <w:r w:rsidR="0063783D" w:rsidRPr="00C9063A">
              <w:rPr>
                <w:rFonts w:ascii="Times New Roman" w:hAnsi="Times New Roman" w:cs="Times New Roman"/>
                <w:color w:val="000000" w:themeColor="text1"/>
                <w:sz w:val="26"/>
                <w:szCs w:val="26"/>
              </w:rPr>
              <w:t xml:space="preserve"> maksāts solidaritātes nodoklis</w:t>
            </w:r>
            <w:r w:rsidRPr="00C9063A">
              <w:rPr>
                <w:rFonts w:ascii="Times New Roman" w:hAnsi="Times New Roman" w:cs="Times New Roman"/>
                <w:color w:val="000000" w:themeColor="text1"/>
                <w:sz w:val="26"/>
                <w:szCs w:val="26"/>
              </w:rPr>
              <w:t>.</w:t>
            </w:r>
            <w:r w:rsidR="0063783D" w:rsidRPr="00C9063A">
              <w:rPr>
                <w:rFonts w:ascii="Times New Roman" w:hAnsi="Times New Roman" w:cs="Times New Roman"/>
                <w:color w:val="000000" w:themeColor="text1"/>
                <w:sz w:val="26"/>
                <w:szCs w:val="26"/>
              </w:rPr>
              <w:t xml:space="preserve">  Fiksētais maksājums aizstāj </w:t>
            </w:r>
            <w:r w:rsidR="0063783D" w:rsidRPr="00C9063A">
              <w:rPr>
                <w:rFonts w:ascii="Times New Roman" w:eastAsia="Times New Roman" w:hAnsi="Times New Roman" w:cs="Times New Roman"/>
                <w:bCs/>
                <w:color w:val="000000" w:themeColor="text1"/>
                <w:sz w:val="26"/>
                <w:szCs w:val="26"/>
                <w:lang w:eastAsia="lv-LV"/>
              </w:rPr>
              <w:t xml:space="preserve">obligātās iemaksas </w:t>
            </w:r>
            <w:r w:rsidR="0063783D" w:rsidRPr="00C9063A">
              <w:rPr>
                <w:rFonts w:ascii="Times New Roman" w:hAnsi="Times New Roman" w:cs="Times New Roman"/>
                <w:color w:val="000000" w:themeColor="text1"/>
                <w:sz w:val="26"/>
                <w:szCs w:val="26"/>
              </w:rPr>
              <w:t>un iedzīvotāju ienākuma nodokli par konkrēto darba ņēmēju.</w:t>
            </w:r>
          </w:p>
          <w:p w:rsidR="00010F63" w:rsidRPr="00C9063A" w:rsidRDefault="00E4037F" w:rsidP="00010F63">
            <w:pPr>
              <w:pStyle w:val="ListParagraph"/>
              <w:spacing w:before="120" w:after="0" w:line="240" w:lineRule="auto"/>
              <w:ind w:left="142" w:right="272"/>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Papildus, darba ņēmējam plānots pienākums ar darba devēja starpniecību</w:t>
            </w:r>
            <w:r w:rsidR="0063783D" w:rsidRPr="00C9063A">
              <w:rPr>
                <w:rFonts w:ascii="Times New Roman" w:hAnsi="Times New Roman" w:cs="Times New Roman"/>
                <w:color w:val="000000" w:themeColor="text1"/>
                <w:sz w:val="26"/>
                <w:szCs w:val="26"/>
              </w:rPr>
              <w:t xml:space="preserve"> </w:t>
            </w:r>
            <w:r w:rsidR="00010F63" w:rsidRPr="00C9063A">
              <w:rPr>
                <w:rFonts w:ascii="Times New Roman" w:hAnsi="Times New Roman" w:cs="Times New Roman"/>
                <w:color w:val="000000" w:themeColor="text1"/>
                <w:sz w:val="26"/>
                <w:szCs w:val="26"/>
              </w:rPr>
              <w:t xml:space="preserve">veikt  papildus obligātās  iemaksas  valsts  pensiju  apdrošināšanai  vai  veikt iemaksas  privātajā brīvprātīgajā  pensiju  shēmā  (jeb </w:t>
            </w:r>
            <w:r w:rsidR="00CA6F4F" w:rsidRPr="00C9063A">
              <w:rPr>
                <w:rFonts w:ascii="Times New Roman" w:hAnsi="Times New Roman" w:cs="Times New Roman"/>
                <w:color w:val="000000" w:themeColor="text1"/>
                <w:sz w:val="26"/>
                <w:szCs w:val="26"/>
              </w:rPr>
              <w:t xml:space="preserve"> pensiju sistēmas </w:t>
            </w:r>
            <w:r w:rsidR="00010F63" w:rsidRPr="00C9063A">
              <w:rPr>
                <w:rFonts w:ascii="Times New Roman" w:hAnsi="Times New Roman" w:cs="Times New Roman"/>
                <w:color w:val="000000" w:themeColor="text1"/>
                <w:sz w:val="26"/>
                <w:szCs w:val="26"/>
              </w:rPr>
              <w:t>3.līmenī), kas tiek aprēķināts kā starpība starp darba ņēmēja algotā darbā aprēķināto bruto ienākumu algas aprēķināto obligāto iemaksu objektu un veikto fiksēto maksājuma objektu un solidaritātes nodokļa maksājumu minētajam darba ņēmējam (starpībai noteikts ne mazāk kā 10 procentu apmērs).</w:t>
            </w:r>
            <w:r w:rsidR="00C06176" w:rsidRPr="00C9063A">
              <w:rPr>
                <w:rFonts w:ascii="Times New Roman" w:hAnsi="Times New Roman" w:cs="Times New Roman"/>
                <w:color w:val="000000" w:themeColor="text1"/>
                <w:sz w:val="26"/>
                <w:szCs w:val="26"/>
              </w:rPr>
              <w:t xml:space="preserve"> </w:t>
            </w:r>
            <w:r w:rsidR="00010F63" w:rsidRPr="00C9063A">
              <w:rPr>
                <w:rFonts w:ascii="Times New Roman" w:hAnsi="Times New Roman" w:cs="Times New Roman"/>
                <w:color w:val="000000" w:themeColor="text1"/>
                <w:sz w:val="26"/>
                <w:szCs w:val="26"/>
              </w:rPr>
              <w:t>Minētais pienākums iestājas, ja darbinieks piekrīt, ka par to tiek veikts fiksētais maksājums.</w:t>
            </w:r>
          </w:p>
          <w:p w:rsidR="00815A41" w:rsidRPr="00C9063A" w:rsidRDefault="00A10898" w:rsidP="00145D6C">
            <w:pPr>
              <w:pStyle w:val="ListParagraph"/>
              <w:numPr>
                <w:ilvl w:val="0"/>
                <w:numId w:val="8"/>
              </w:numPr>
              <w:spacing w:before="120" w:after="0" w:line="240" w:lineRule="auto"/>
              <w:ind w:left="142" w:right="272" w:firstLine="0"/>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b/>
                <w:color w:val="000000" w:themeColor="text1"/>
                <w:sz w:val="26"/>
                <w:szCs w:val="26"/>
              </w:rPr>
              <w:t>atbalsta programm</w:t>
            </w:r>
            <w:r w:rsidR="0063783D" w:rsidRPr="00C9063A">
              <w:rPr>
                <w:rFonts w:ascii="Times New Roman" w:hAnsi="Times New Roman" w:cs="Times New Roman"/>
                <w:b/>
                <w:color w:val="000000" w:themeColor="text1"/>
                <w:sz w:val="26"/>
                <w:szCs w:val="26"/>
              </w:rPr>
              <w:t>a</w:t>
            </w:r>
            <w:r w:rsidRPr="00C9063A">
              <w:rPr>
                <w:rFonts w:ascii="Times New Roman" w:hAnsi="Times New Roman" w:cs="Times New Roman"/>
                <w:b/>
                <w:color w:val="000000" w:themeColor="text1"/>
                <w:sz w:val="26"/>
                <w:szCs w:val="26"/>
              </w:rPr>
              <w:t xml:space="preserve"> augsti kvalificētu darba ņēmēju piesaistei</w:t>
            </w:r>
            <w:r w:rsidR="0063783D" w:rsidRPr="00C9063A">
              <w:rPr>
                <w:rFonts w:ascii="Times New Roman" w:hAnsi="Times New Roman" w:cs="Times New Roman"/>
                <w:b/>
                <w:color w:val="000000" w:themeColor="text1"/>
                <w:sz w:val="26"/>
                <w:szCs w:val="26"/>
              </w:rPr>
              <w:t xml:space="preserve"> - </w:t>
            </w:r>
            <w:r w:rsidR="00145D6C" w:rsidRPr="00C9063A">
              <w:rPr>
                <w:rFonts w:ascii="Times New Roman" w:hAnsi="Times New Roman" w:cs="Times New Roman"/>
                <w:color w:val="000000" w:themeColor="text1"/>
                <w:sz w:val="26"/>
                <w:szCs w:val="26"/>
              </w:rPr>
              <w:t>g</w:t>
            </w:r>
            <w:r w:rsidRPr="00C9063A">
              <w:rPr>
                <w:rFonts w:ascii="Times New Roman" w:hAnsi="Times New Roman" w:cs="Times New Roman"/>
                <w:color w:val="000000" w:themeColor="text1"/>
                <w:sz w:val="26"/>
                <w:szCs w:val="26"/>
              </w:rPr>
              <w:t xml:space="preserve">adījumos, kad darba ņēmējs nepiekrīt, ka par viņu tiek veikts fiksēts maksājums, paredzēts </w:t>
            </w:r>
            <w:r w:rsidR="0063783D" w:rsidRPr="00C9063A">
              <w:rPr>
                <w:rFonts w:ascii="Times New Roman" w:hAnsi="Times New Roman" w:cs="Times New Roman"/>
                <w:color w:val="000000" w:themeColor="text1"/>
                <w:sz w:val="26"/>
                <w:szCs w:val="26"/>
              </w:rPr>
              <w:t xml:space="preserve"> jaunuzņēmumam </w:t>
            </w:r>
            <w:r w:rsidR="00C06176" w:rsidRPr="00C9063A">
              <w:rPr>
                <w:rFonts w:ascii="Times New Roman" w:hAnsi="Times New Roman" w:cs="Times New Roman"/>
                <w:color w:val="000000" w:themeColor="text1"/>
                <w:sz w:val="26"/>
                <w:szCs w:val="26"/>
              </w:rPr>
              <w:t xml:space="preserve">nodrošināt </w:t>
            </w:r>
            <w:r w:rsidR="0063783D" w:rsidRPr="00C9063A">
              <w:rPr>
                <w:rFonts w:ascii="Times New Roman" w:hAnsi="Times New Roman" w:cs="Times New Roman"/>
                <w:color w:val="000000" w:themeColor="text1"/>
                <w:sz w:val="26"/>
                <w:szCs w:val="26"/>
              </w:rPr>
              <w:t xml:space="preserve"> atbalstu augsti kvalificētu darba ņēmēju piesaistei gadījumos, kad jaunuzņēmuma darba ņēmējs nepiekrīt, ka par viņu tiek veikts fiksēts maksājums</w:t>
            </w:r>
            <w:r w:rsidR="00815A41" w:rsidRPr="00C9063A">
              <w:rPr>
                <w:rFonts w:ascii="Times New Roman" w:hAnsi="Times New Roman" w:cs="Times New Roman"/>
                <w:color w:val="000000" w:themeColor="text1"/>
                <w:sz w:val="26"/>
                <w:szCs w:val="26"/>
              </w:rPr>
              <w:t xml:space="preserve">. </w:t>
            </w:r>
            <w:r w:rsidR="001612B0" w:rsidRPr="00C9063A">
              <w:rPr>
                <w:rFonts w:ascii="Times New Roman" w:hAnsi="Times New Roman" w:cs="Times New Roman"/>
                <w:color w:val="000000" w:themeColor="text1"/>
                <w:sz w:val="26"/>
                <w:szCs w:val="26"/>
              </w:rPr>
              <w:t xml:space="preserve">Šobrīd atbalstu </w:t>
            </w:r>
            <w:r w:rsidR="00815A41" w:rsidRPr="00C9063A">
              <w:rPr>
                <w:rFonts w:ascii="Times New Roman" w:hAnsi="Times New Roman" w:cs="Times New Roman"/>
                <w:color w:val="000000" w:themeColor="text1"/>
                <w:sz w:val="26"/>
                <w:szCs w:val="26"/>
              </w:rPr>
              <w:t xml:space="preserve">paredzēt piešķirt </w:t>
            </w:r>
            <w:r w:rsidR="003D5ACB" w:rsidRPr="00C9063A">
              <w:rPr>
                <w:rFonts w:ascii="Times New Roman" w:hAnsi="Times New Roman" w:cs="Times New Roman"/>
                <w:color w:val="000000" w:themeColor="text1"/>
                <w:sz w:val="26"/>
                <w:szCs w:val="26"/>
              </w:rPr>
              <w:t>jaunuzņēmumam</w:t>
            </w:r>
            <w:r w:rsidR="00815A41" w:rsidRPr="00C9063A">
              <w:rPr>
                <w:rFonts w:ascii="Times New Roman" w:hAnsi="Times New Roman" w:cs="Times New Roman"/>
                <w:color w:val="000000" w:themeColor="text1"/>
                <w:sz w:val="26"/>
                <w:szCs w:val="26"/>
              </w:rPr>
              <w:t xml:space="preserve">, kas atbilst noteiktām pazīmēm, </w:t>
            </w:r>
            <w:r w:rsidR="001612B0" w:rsidRPr="00C9063A">
              <w:rPr>
                <w:rFonts w:ascii="Times New Roman" w:hAnsi="Times New Roman" w:cs="Times New Roman"/>
                <w:color w:val="000000" w:themeColor="text1"/>
                <w:sz w:val="26"/>
                <w:szCs w:val="26"/>
              </w:rPr>
              <w:t>plānotās grantu programmas augstas kvalifikācijas darbinieku piesaistei  ietvaros (</w:t>
            </w:r>
            <w:r w:rsidR="00815A41" w:rsidRPr="00C9063A">
              <w:rPr>
                <w:rFonts w:ascii="Times New Roman" w:hAnsi="Times New Roman" w:cs="Times New Roman"/>
                <w:color w:val="000000" w:themeColor="text1"/>
                <w:sz w:val="26"/>
                <w:szCs w:val="26"/>
              </w:rPr>
              <w:t>darbības programmas „Izaugsme un nodarbinātība” 1.2.1.specifiskā atbalsta mērķa „Palielināt privātā sektora investīcijas pētniecībai un attīstībai” 1.2.1.2.pasākuma „Atbalsts tehnoloģiju pārneses sistēmas pilnveidošanai” ietvaros</w:t>
            </w:r>
            <w:r w:rsidR="00E4037F" w:rsidRPr="00C9063A">
              <w:rPr>
                <w:rFonts w:ascii="Times New Roman" w:hAnsi="Times New Roman" w:cs="Times New Roman"/>
                <w:color w:val="000000" w:themeColor="text1"/>
                <w:sz w:val="26"/>
                <w:szCs w:val="26"/>
              </w:rPr>
              <w:t>, pēc finansējuma izmantošanas ir virzāms lēmums Ministru kabinetā par turpmāku rīcību</w:t>
            </w:r>
            <w:r w:rsidR="001612B0" w:rsidRPr="00C9063A">
              <w:rPr>
                <w:rFonts w:ascii="Times New Roman" w:hAnsi="Times New Roman" w:cs="Times New Roman"/>
                <w:color w:val="000000" w:themeColor="text1"/>
                <w:sz w:val="26"/>
                <w:szCs w:val="26"/>
              </w:rPr>
              <w:t>)</w:t>
            </w:r>
            <w:r w:rsidR="00815A41" w:rsidRPr="00C9063A">
              <w:rPr>
                <w:rFonts w:ascii="Times New Roman" w:hAnsi="Times New Roman" w:cs="Times New Roman"/>
                <w:color w:val="000000" w:themeColor="text1"/>
                <w:sz w:val="26"/>
                <w:szCs w:val="26"/>
              </w:rPr>
              <w:t xml:space="preserve">. </w:t>
            </w:r>
          </w:p>
          <w:p w:rsidR="00815A41" w:rsidRPr="00C9063A" w:rsidRDefault="00E4037F" w:rsidP="00B4024A">
            <w:pPr>
              <w:spacing w:before="120" w:after="0" w:line="240" w:lineRule="auto"/>
              <w:ind w:left="142" w:right="27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 xml:space="preserve">Atbalsta pasākumi tiek īstenoti kā </w:t>
            </w:r>
            <w:proofErr w:type="spellStart"/>
            <w:r w:rsidRPr="00C9063A">
              <w:rPr>
                <w:rFonts w:ascii="Times New Roman" w:hAnsi="Times New Roman" w:cs="Times New Roman"/>
                <w:i/>
                <w:color w:val="000000" w:themeColor="text1"/>
                <w:sz w:val="26"/>
                <w:szCs w:val="26"/>
              </w:rPr>
              <w:t>de</w:t>
            </w:r>
            <w:proofErr w:type="spellEnd"/>
            <w:r w:rsidRPr="00C9063A">
              <w:rPr>
                <w:rFonts w:ascii="Times New Roman" w:hAnsi="Times New Roman" w:cs="Times New Roman"/>
                <w:i/>
                <w:color w:val="000000" w:themeColor="text1"/>
                <w:sz w:val="26"/>
                <w:szCs w:val="26"/>
              </w:rPr>
              <w:t xml:space="preserve"> </w:t>
            </w:r>
            <w:proofErr w:type="spellStart"/>
            <w:r w:rsidRPr="00C9063A">
              <w:rPr>
                <w:rFonts w:ascii="Times New Roman" w:hAnsi="Times New Roman" w:cs="Times New Roman"/>
                <w:i/>
                <w:color w:val="000000" w:themeColor="text1"/>
                <w:sz w:val="26"/>
                <w:szCs w:val="26"/>
              </w:rPr>
              <w:t>minimis</w:t>
            </w:r>
            <w:proofErr w:type="spellEnd"/>
            <w:r w:rsidRPr="00C9063A">
              <w:rPr>
                <w:rFonts w:ascii="Times New Roman" w:hAnsi="Times New Roman" w:cs="Times New Roman"/>
                <w:color w:val="000000" w:themeColor="text1"/>
                <w:sz w:val="26"/>
                <w:szCs w:val="26"/>
              </w:rPr>
              <w:t xml:space="preserve"> atbalsts saskaņā ar Komisijas (ES) 2013.gada 18.decembra regulu Nr. 1407/2013 </w:t>
            </w:r>
            <w:r w:rsidRPr="00C9063A">
              <w:rPr>
                <w:rFonts w:ascii="Times New Roman" w:eastAsia="Times New Roman" w:hAnsi="Times New Roman" w:cs="Times New Roman"/>
                <w:color w:val="000000" w:themeColor="text1"/>
                <w:sz w:val="26"/>
                <w:szCs w:val="26"/>
              </w:rPr>
              <w:t xml:space="preserve">par līguma par ES darbību 107. un 108.panta piemērošanu </w:t>
            </w:r>
            <w:proofErr w:type="spellStart"/>
            <w:r w:rsidRPr="00C9063A">
              <w:rPr>
                <w:rFonts w:ascii="Times New Roman" w:eastAsia="Times New Roman" w:hAnsi="Times New Roman" w:cs="Times New Roman"/>
                <w:i/>
                <w:color w:val="000000" w:themeColor="text1"/>
                <w:sz w:val="26"/>
                <w:szCs w:val="26"/>
              </w:rPr>
              <w:t>de</w:t>
            </w:r>
            <w:proofErr w:type="spellEnd"/>
            <w:r w:rsidRPr="00C9063A">
              <w:rPr>
                <w:rFonts w:ascii="Times New Roman" w:eastAsia="Times New Roman" w:hAnsi="Times New Roman" w:cs="Times New Roman"/>
                <w:i/>
                <w:color w:val="000000" w:themeColor="text1"/>
                <w:sz w:val="26"/>
                <w:szCs w:val="26"/>
              </w:rPr>
              <w:t xml:space="preserve"> </w:t>
            </w:r>
            <w:proofErr w:type="spellStart"/>
            <w:r w:rsidRPr="00C9063A">
              <w:rPr>
                <w:rFonts w:ascii="Times New Roman" w:eastAsia="Times New Roman" w:hAnsi="Times New Roman" w:cs="Times New Roman"/>
                <w:i/>
                <w:color w:val="000000" w:themeColor="text1"/>
                <w:sz w:val="26"/>
                <w:szCs w:val="26"/>
              </w:rPr>
              <w:t>minimis</w:t>
            </w:r>
            <w:proofErr w:type="spellEnd"/>
            <w:r w:rsidRPr="00C9063A">
              <w:rPr>
                <w:rFonts w:ascii="Times New Roman" w:eastAsia="Times New Roman" w:hAnsi="Times New Roman" w:cs="Times New Roman"/>
                <w:color w:val="000000" w:themeColor="text1"/>
                <w:sz w:val="26"/>
                <w:szCs w:val="26"/>
              </w:rPr>
              <w:t xml:space="preserve"> atbalstam (dokuments attiecas uz EEZ) (Eiropas Savienības Oficiālais Vēstnesis, 2013.gada 24.decembris, Nr.L352/1)” un normatīvajiem aktiem par </w:t>
            </w:r>
            <w:proofErr w:type="spellStart"/>
            <w:r w:rsidRPr="00C9063A">
              <w:rPr>
                <w:rFonts w:ascii="Times New Roman" w:eastAsia="Times New Roman" w:hAnsi="Times New Roman" w:cs="Times New Roman"/>
                <w:i/>
                <w:color w:val="000000" w:themeColor="text1"/>
                <w:sz w:val="26"/>
                <w:szCs w:val="26"/>
              </w:rPr>
              <w:t>de</w:t>
            </w:r>
            <w:proofErr w:type="spellEnd"/>
            <w:r w:rsidRPr="00C9063A">
              <w:rPr>
                <w:rFonts w:ascii="Times New Roman" w:eastAsia="Times New Roman" w:hAnsi="Times New Roman" w:cs="Times New Roman"/>
                <w:i/>
                <w:color w:val="000000" w:themeColor="text1"/>
                <w:sz w:val="26"/>
                <w:szCs w:val="26"/>
              </w:rPr>
              <w:t xml:space="preserve"> </w:t>
            </w:r>
            <w:proofErr w:type="spellStart"/>
            <w:r w:rsidRPr="00C9063A">
              <w:rPr>
                <w:rFonts w:ascii="Times New Roman" w:eastAsia="Times New Roman" w:hAnsi="Times New Roman" w:cs="Times New Roman"/>
                <w:i/>
                <w:color w:val="000000" w:themeColor="text1"/>
                <w:sz w:val="26"/>
                <w:szCs w:val="26"/>
              </w:rPr>
              <w:t>minimis</w:t>
            </w:r>
            <w:proofErr w:type="spellEnd"/>
            <w:r w:rsidRPr="00C9063A">
              <w:rPr>
                <w:rFonts w:ascii="Times New Roman" w:eastAsia="Times New Roman" w:hAnsi="Times New Roman" w:cs="Times New Roman"/>
                <w:color w:val="000000" w:themeColor="text1"/>
                <w:sz w:val="26"/>
                <w:szCs w:val="26"/>
              </w:rPr>
              <w:t xml:space="preserve"> atbalsta uzskaites un piešķiršanas kārtību. Atbalsts </w:t>
            </w:r>
            <w:r w:rsidR="00BD0DD6" w:rsidRPr="00C9063A">
              <w:rPr>
                <w:rFonts w:ascii="Times New Roman" w:hAnsi="Times New Roman" w:cs="Times New Roman"/>
                <w:color w:val="000000" w:themeColor="text1"/>
                <w:sz w:val="26"/>
                <w:szCs w:val="26"/>
              </w:rPr>
              <w:t>tiek uzskaitīts komersantam</w:t>
            </w:r>
            <w:r w:rsidR="00815A41" w:rsidRPr="00C9063A">
              <w:rPr>
                <w:rFonts w:ascii="Times New Roman" w:hAnsi="Times New Roman" w:cs="Times New Roman"/>
                <w:color w:val="000000" w:themeColor="text1"/>
                <w:sz w:val="26"/>
                <w:szCs w:val="26"/>
              </w:rPr>
              <w:t>. Būtisks nosacījums tiek noteikts, ka abu programmu atbalstu, komersants nevar apvienot par vienu un to pašu darba ņēmēju</w:t>
            </w:r>
            <w:r w:rsidR="00BD0DD6" w:rsidRPr="00C9063A">
              <w:rPr>
                <w:rFonts w:ascii="Times New Roman" w:hAnsi="Times New Roman" w:cs="Times New Roman"/>
                <w:color w:val="000000" w:themeColor="text1"/>
                <w:sz w:val="26"/>
                <w:szCs w:val="26"/>
              </w:rPr>
              <w:t>.</w:t>
            </w:r>
          </w:p>
          <w:p w:rsidR="0063783D" w:rsidRPr="00C9063A" w:rsidRDefault="0063783D" w:rsidP="00B4024A">
            <w:pPr>
              <w:spacing w:before="120" w:after="0" w:line="240" w:lineRule="auto"/>
              <w:ind w:left="142" w:right="27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lastRenderedPageBreak/>
              <w:t xml:space="preserve">Atbalstu var saņemt, ja </w:t>
            </w:r>
            <w:r w:rsidRPr="00C9063A">
              <w:rPr>
                <w:rFonts w:ascii="Times New Roman" w:eastAsia="Times New Roman" w:hAnsi="Times New Roman" w:cs="Times New Roman"/>
                <w:color w:val="000000" w:themeColor="text1"/>
                <w:sz w:val="26"/>
                <w:szCs w:val="26"/>
                <w:lang w:eastAsia="lv-LV"/>
              </w:rPr>
              <w:t xml:space="preserve"> </w:t>
            </w:r>
            <w:r w:rsidRPr="00C9063A">
              <w:rPr>
                <w:rFonts w:ascii="Times New Roman" w:hAnsi="Times New Roman" w:cs="Times New Roman"/>
                <w:color w:val="000000" w:themeColor="text1"/>
                <w:sz w:val="26"/>
                <w:szCs w:val="26"/>
              </w:rPr>
              <w:t xml:space="preserve">jaunuzņēmumam </w:t>
            </w:r>
            <w:r w:rsidRPr="00C9063A">
              <w:rPr>
                <w:rFonts w:ascii="Times New Roman" w:eastAsia="Times New Roman" w:hAnsi="Times New Roman" w:cs="Times New Roman"/>
                <w:color w:val="000000" w:themeColor="text1"/>
                <w:sz w:val="26"/>
                <w:szCs w:val="26"/>
                <w:lang w:eastAsia="lv-LV"/>
              </w:rPr>
              <w:t>ir izpildīti visi šajā likumprojektā minētie nosacījumi.</w:t>
            </w:r>
          </w:p>
          <w:p w:rsidR="00815A41" w:rsidRPr="00C9063A" w:rsidRDefault="00010F63" w:rsidP="00B4024A">
            <w:pPr>
              <w:pStyle w:val="ListParagraph"/>
              <w:numPr>
                <w:ilvl w:val="0"/>
                <w:numId w:val="8"/>
              </w:numPr>
              <w:spacing w:before="120" w:after="0" w:line="240" w:lineRule="auto"/>
              <w:ind w:left="142" w:right="272" w:firstLine="0"/>
              <w:jc w:val="both"/>
              <w:rPr>
                <w:rFonts w:ascii="Times New Roman" w:hAnsi="Times New Roman" w:cs="Times New Roman"/>
                <w:b/>
                <w:color w:val="000000" w:themeColor="text1"/>
                <w:sz w:val="26"/>
                <w:szCs w:val="26"/>
              </w:rPr>
            </w:pPr>
            <w:r w:rsidRPr="00C9063A">
              <w:rPr>
                <w:rFonts w:ascii="Times New Roman" w:hAnsi="Times New Roman" w:cs="Times New Roman"/>
                <w:b/>
                <w:color w:val="000000" w:themeColor="text1"/>
                <w:sz w:val="26"/>
                <w:szCs w:val="26"/>
              </w:rPr>
              <w:t>p</w:t>
            </w:r>
            <w:r w:rsidR="0063783D" w:rsidRPr="00C9063A">
              <w:rPr>
                <w:rFonts w:ascii="Times New Roman" w:hAnsi="Times New Roman" w:cs="Times New Roman"/>
                <w:b/>
                <w:color w:val="000000" w:themeColor="text1"/>
                <w:sz w:val="26"/>
                <w:szCs w:val="26"/>
              </w:rPr>
              <w:t>apildus</w:t>
            </w:r>
            <w:r w:rsidR="000524E3" w:rsidRPr="00C9063A">
              <w:rPr>
                <w:rFonts w:ascii="Times New Roman" w:hAnsi="Times New Roman" w:cs="Times New Roman"/>
                <w:b/>
                <w:color w:val="000000" w:themeColor="text1"/>
                <w:sz w:val="26"/>
                <w:szCs w:val="26"/>
              </w:rPr>
              <w:t>,</w:t>
            </w:r>
            <w:r w:rsidR="0063783D" w:rsidRPr="00C9063A">
              <w:rPr>
                <w:rFonts w:ascii="Times New Roman" w:hAnsi="Times New Roman" w:cs="Times New Roman"/>
                <w:b/>
                <w:color w:val="000000" w:themeColor="text1"/>
                <w:sz w:val="26"/>
                <w:szCs w:val="26"/>
              </w:rPr>
              <w:t xml:space="preserve"> </w:t>
            </w:r>
            <w:r w:rsidRPr="00C9063A">
              <w:rPr>
                <w:rFonts w:ascii="Times New Roman" w:hAnsi="Times New Roman" w:cs="Times New Roman"/>
                <w:b/>
                <w:color w:val="000000" w:themeColor="text1"/>
                <w:sz w:val="26"/>
                <w:szCs w:val="26"/>
              </w:rPr>
              <w:t xml:space="preserve"> pie noteiktiem nosacījumiem </w:t>
            </w:r>
            <w:r w:rsidR="0063783D" w:rsidRPr="00C9063A">
              <w:rPr>
                <w:rFonts w:ascii="Times New Roman" w:hAnsi="Times New Roman" w:cs="Times New Roman"/>
                <w:b/>
                <w:color w:val="000000" w:themeColor="text1"/>
                <w:sz w:val="26"/>
                <w:szCs w:val="26"/>
              </w:rPr>
              <w:t>paredz</w:t>
            </w:r>
            <w:r w:rsidRPr="00C9063A">
              <w:rPr>
                <w:rFonts w:ascii="Times New Roman" w:hAnsi="Times New Roman" w:cs="Times New Roman"/>
                <w:b/>
                <w:color w:val="000000" w:themeColor="text1"/>
                <w:sz w:val="26"/>
                <w:szCs w:val="26"/>
              </w:rPr>
              <w:t>ēta</w:t>
            </w:r>
            <w:r w:rsidR="0063783D" w:rsidRPr="00C9063A">
              <w:rPr>
                <w:rFonts w:ascii="Times New Roman" w:hAnsi="Times New Roman" w:cs="Times New Roman"/>
                <w:b/>
                <w:color w:val="000000" w:themeColor="text1"/>
                <w:sz w:val="26"/>
                <w:szCs w:val="26"/>
              </w:rPr>
              <w:t xml:space="preserve"> </w:t>
            </w:r>
            <w:r w:rsidR="00815A41" w:rsidRPr="00C9063A">
              <w:rPr>
                <w:rFonts w:ascii="Times New Roman" w:hAnsi="Times New Roman" w:cs="Times New Roman"/>
                <w:b/>
                <w:color w:val="000000" w:themeColor="text1"/>
                <w:sz w:val="26"/>
                <w:szCs w:val="26"/>
              </w:rPr>
              <w:t xml:space="preserve">uzņēmumu ienākuma nodokļa </w:t>
            </w:r>
            <w:r w:rsidRPr="00C9063A">
              <w:rPr>
                <w:rFonts w:ascii="Times New Roman" w:hAnsi="Times New Roman" w:cs="Times New Roman"/>
                <w:b/>
                <w:color w:val="000000" w:themeColor="text1"/>
                <w:sz w:val="26"/>
                <w:szCs w:val="26"/>
              </w:rPr>
              <w:t xml:space="preserve"> atlaide </w:t>
            </w:r>
            <w:r w:rsidR="00815A41" w:rsidRPr="00C9063A">
              <w:rPr>
                <w:rFonts w:ascii="Times New Roman" w:hAnsi="Times New Roman" w:cs="Times New Roman"/>
                <w:b/>
                <w:color w:val="000000" w:themeColor="text1"/>
                <w:sz w:val="26"/>
                <w:szCs w:val="26"/>
              </w:rPr>
              <w:t>un iedzīvotāju ienākuma nodokļa</w:t>
            </w:r>
            <w:r w:rsidRPr="00C9063A">
              <w:rPr>
                <w:rFonts w:ascii="Times New Roman" w:hAnsi="Times New Roman" w:cs="Times New Roman"/>
                <w:b/>
                <w:color w:val="000000" w:themeColor="text1"/>
                <w:sz w:val="26"/>
                <w:szCs w:val="26"/>
              </w:rPr>
              <w:t xml:space="preserve"> atlaide</w:t>
            </w:r>
          </w:p>
          <w:p w:rsidR="00010F63" w:rsidRPr="00C9063A" w:rsidRDefault="00815A41" w:rsidP="000524E3">
            <w:pPr>
              <w:shd w:val="clear" w:color="auto" w:fill="FFFFFF"/>
              <w:spacing w:before="120" w:after="0" w:line="240" w:lineRule="auto"/>
              <w:ind w:left="137"/>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P</w:t>
            </w:r>
            <w:r w:rsidR="00A10898" w:rsidRPr="00C9063A">
              <w:rPr>
                <w:rFonts w:ascii="Times New Roman" w:hAnsi="Times New Roman" w:cs="Times New Roman"/>
                <w:color w:val="000000" w:themeColor="text1"/>
                <w:sz w:val="26"/>
                <w:szCs w:val="26"/>
              </w:rPr>
              <w:t xml:space="preserve">aredzēts, </w:t>
            </w:r>
            <w:r w:rsidR="00010F63" w:rsidRPr="00C9063A">
              <w:rPr>
                <w:rFonts w:ascii="Times New Roman" w:hAnsi="Times New Roman" w:cs="Times New Roman"/>
                <w:color w:val="000000" w:themeColor="text1"/>
                <w:sz w:val="26"/>
                <w:szCs w:val="26"/>
              </w:rPr>
              <w:t>tak</w:t>
            </w:r>
            <w:r w:rsidR="000524E3" w:rsidRPr="00C9063A">
              <w:rPr>
                <w:rFonts w:ascii="Times New Roman" w:hAnsi="Times New Roman" w:cs="Times New Roman"/>
                <w:color w:val="000000" w:themeColor="text1"/>
                <w:sz w:val="26"/>
                <w:szCs w:val="26"/>
              </w:rPr>
              <w:t>sācijas gadā, kad tiek izmantot</w:t>
            </w:r>
            <w:r w:rsidR="00010F63" w:rsidRPr="00C9063A">
              <w:rPr>
                <w:rFonts w:ascii="Times New Roman" w:hAnsi="Times New Roman" w:cs="Times New Roman"/>
                <w:color w:val="000000" w:themeColor="text1"/>
                <w:sz w:val="26"/>
                <w:szCs w:val="26"/>
              </w:rPr>
              <w:t>s atbalst</w:t>
            </w:r>
            <w:r w:rsidR="000524E3" w:rsidRPr="00C9063A">
              <w:rPr>
                <w:rFonts w:ascii="Times New Roman" w:hAnsi="Times New Roman" w:cs="Times New Roman"/>
                <w:color w:val="000000" w:themeColor="text1"/>
                <w:sz w:val="26"/>
                <w:szCs w:val="26"/>
              </w:rPr>
              <w:t>s</w:t>
            </w:r>
            <w:r w:rsidR="00010F63" w:rsidRPr="00C9063A">
              <w:rPr>
                <w:rFonts w:ascii="Times New Roman" w:hAnsi="Times New Roman" w:cs="Times New Roman"/>
                <w:color w:val="000000" w:themeColor="text1"/>
                <w:sz w:val="26"/>
                <w:szCs w:val="26"/>
              </w:rPr>
              <w:t>:</w:t>
            </w:r>
          </w:p>
          <w:p w:rsidR="00010F63" w:rsidRPr="00C9063A" w:rsidRDefault="00010F63" w:rsidP="000524E3">
            <w:pPr>
              <w:pStyle w:val="ListParagraph"/>
              <w:numPr>
                <w:ilvl w:val="0"/>
                <w:numId w:val="10"/>
              </w:numPr>
              <w:shd w:val="clear" w:color="auto" w:fill="FFFFFF"/>
              <w:spacing w:before="120" w:after="0" w:line="240" w:lineRule="auto"/>
              <w:ind w:left="137" w:firstLine="0"/>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jaunuzņēmuma darba ņēmējs ir tiesīgs nemaksāt iedzīvotāju ienākuma nodokli;</w:t>
            </w:r>
          </w:p>
          <w:p w:rsidR="00946A6D" w:rsidRPr="00C9063A" w:rsidRDefault="00010F63" w:rsidP="00946A6D">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color w:val="000000" w:themeColor="text1"/>
                <w:sz w:val="26"/>
                <w:szCs w:val="26"/>
              </w:rPr>
              <w:t xml:space="preserve">jaunuzņēmums piemēro uzņēmumu ienākuma nodokļa atlaidi līdz 100% apmēram (atlaidi 100 % apmērā piemēro, ja netiek sasniegts </w:t>
            </w:r>
            <w:proofErr w:type="spellStart"/>
            <w:r w:rsidRPr="00C9063A">
              <w:rPr>
                <w:rFonts w:ascii="Times New Roman" w:hAnsi="Times New Roman" w:cs="Times New Roman"/>
                <w:i/>
                <w:color w:val="000000" w:themeColor="text1"/>
                <w:sz w:val="26"/>
                <w:szCs w:val="26"/>
              </w:rPr>
              <w:t>de</w:t>
            </w:r>
            <w:proofErr w:type="spellEnd"/>
            <w:r w:rsidRPr="00C9063A">
              <w:rPr>
                <w:rFonts w:ascii="Times New Roman" w:hAnsi="Times New Roman" w:cs="Times New Roman"/>
                <w:i/>
                <w:color w:val="000000" w:themeColor="text1"/>
                <w:sz w:val="26"/>
                <w:szCs w:val="26"/>
              </w:rPr>
              <w:t xml:space="preserve"> </w:t>
            </w:r>
            <w:proofErr w:type="spellStart"/>
            <w:r w:rsidRPr="00C9063A">
              <w:rPr>
                <w:rFonts w:ascii="Times New Roman" w:hAnsi="Times New Roman" w:cs="Times New Roman"/>
                <w:i/>
                <w:color w:val="000000" w:themeColor="text1"/>
                <w:sz w:val="26"/>
                <w:szCs w:val="26"/>
              </w:rPr>
              <w:t>minimis</w:t>
            </w:r>
            <w:proofErr w:type="spellEnd"/>
            <w:r w:rsidRPr="00C9063A">
              <w:rPr>
                <w:rFonts w:ascii="Times New Roman" w:hAnsi="Times New Roman" w:cs="Times New Roman"/>
                <w:color w:val="000000" w:themeColor="text1"/>
                <w:sz w:val="26"/>
                <w:szCs w:val="26"/>
              </w:rPr>
              <w:t xml:space="preserve"> slieksnis)</w:t>
            </w:r>
            <w:r w:rsidR="000524E3" w:rsidRPr="00C9063A">
              <w:rPr>
                <w:rFonts w:ascii="Times New Roman" w:hAnsi="Times New Roman" w:cs="Times New Roman"/>
                <w:color w:val="000000" w:themeColor="text1"/>
                <w:sz w:val="26"/>
                <w:szCs w:val="26"/>
              </w:rPr>
              <w:t xml:space="preserve"> - l</w:t>
            </w:r>
            <w:r w:rsidRPr="00C9063A">
              <w:rPr>
                <w:rFonts w:ascii="Times New Roman" w:hAnsi="Times New Roman" w:cs="Times New Roman"/>
                <w:color w:val="000000" w:themeColor="text1"/>
                <w:sz w:val="26"/>
                <w:szCs w:val="26"/>
              </w:rPr>
              <w:t xml:space="preserve">ai saņemtu </w:t>
            </w:r>
            <w:r w:rsidR="000524E3" w:rsidRPr="00C9063A">
              <w:rPr>
                <w:rFonts w:ascii="Times New Roman" w:hAnsi="Times New Roman" w:cs="Times New Roman"/>
                <w:color w:val="000000" w:themeColor="text1"/>
                <w:sz w:val="26"/>
                <w:szCs w:val="26"/>
              </w:rPr>
              <w:t>šo</w:t>
            </w:r>
            <w:r w:rsidRPr="00C9063A">
              <w:rPr>
                <w:rFonts w:ascii="Times New Roman" w:hAnsi="Times New Roman" w:cs="Times New Roman"/>
                <w:color w:val="000000" w:themeColor="text1"/>
                <w:sz w:val="26"/>
                <w:szCs w:val="26"/>
              </w:rPr>
              <w:t xml:space="preserve"> atlaidi, likumprojekt</w:t>
            </w:r>
            <w:r w:rsidR="00946A6D" w:rsidRPr="00C9063A">
              <w:rPr>
                <w:rFonts w:ascii="Times New Roman" w:hAnsi="Times New Roman" w:cs="Times New Roman"/>
                <w:color w:val="000000" w:themeColor="text1"/>
                <w:sz w:val="26"/>
                <w:szCs w:val="26"/>
              </w:rPr>
              <w:t>s</w:t>
            </w:r>
            <w:r w:rsidR="000524E3" w:rsidRPr="00C9063A">
              <w:rPr>
                <w:rFonts w:ascii="Times New Roman" w:hAnsi="Times New Roman" w:cs="Times New Roman"/>
                <w:color w:val="000000" w:themeColor="text1"/>
                <w:sz w:val="26"/>
                <w:szCs w:val="26"/>
              </w:rPr>
              <w:t xml:space="preserve"> </w:t>
            </w:r>
            <w:r w:rsidR="00946A6D" w:rsidRPr="00C9063A">
              <w:rPr>
                <w:rFonts w:ascii="Times New Roman" w:hAnsi="Times New Roman" w:cs="Times New Roman"/>
                <w:color w:val="000000" w:themeColor="text1"/>
                <w:sz w:val="26"/>
                <w:szCs w:val="26"/>
              </w:rPr>
              <w:t>(</w:t>
            </w:r>
            <w:r w:rsidR="000524E3" w:rsidRPr="00C9063A">
              <w:rPr>
                <w:rFonts w:ascii="Times New Roman" w:hAnsi="Times New Roman" w:cs="Times New Roman"/>
                <w:color w:val="000000" w:themeColor="text1"/>
                <w:sz w:val="26"/>
                <w:szCs w:val="26"/>
              </w:rPr>
              <w:t>8.pant</w:t>
            </w:r>
            <w:r w:rsidRPr="00C9063A">
              <w:rPr>
                <w:rFonts w:ascii="Times New Roman" w:hAnsi="Times New Roman" w:cs="Times New Roman"/>
                <w:color w:val="000000" w:themeColor="text1"/>
                <w:sz w:val="26"/>
                <w:szCs w:val="26"/>
              </w:rPr>
              <w:t>s</w:t>
            </w:r>
            <w:r w:rsidR="00946A6D" w:rsidRPr="00C9063A">
              <w:rPr>
                <w:rFonts w:ascii="Times New Roman" w:hAnsi="Times New Roman" w:cs="Times New Roman"/>
                <w:color w:val="000000" w:themeColor="text1"/>
                <w:sz w:val="26"/>
                <w:szCs w:val="26"/>
              </w:rPr>
              <w:t>)</w:t>
            </w:r>
            <w:r w:rsidRPr="00C9063A">
              <w:rPr>
                <w:rFonts w:ascii="Times New Roman" w:hAnsi="Times New Roman" w:cs="Times New Roman"/>
                <w:color w:val="000000" w:themeColor="text1"/>
                <w:sz w:val="26"/>
                <w:szCs w:val="26"/>
              </w:rPr>
              <w:t xml:space="preserve"> paredz </w:t>
            </w:r>
            <w:r w:rsidR="000524E3" w:rsidRPr="00C9063A">
              <w:rPr>
                <w:rFonts w:ascii="Times New Roman" w:hAnsi="Times New Roman" w:cs="Times New Roman"/>
                <w:color w:val="000000" w:themeColor="text1"/>
                <w:sz w:val="26"/>
                <w:szCs w:val="26"/>
              </w:rPr>
              <w:t>atsevišķus ierobežojumus</w:t>
            </w:r>
            <w:r w:rsidRPr="00C9063A">
              <w:rPr>
                <w:rFonts w:ascii="Times New Roman" w:hAnsi="Times New Roman" w:cs="Times New Roman"/>
                <w:color w:val="000000" w:themeColor="text1"/>
                <w:sz w:val="26"/>
                <w:szCs w:val="26"/>
              </w:rPr>
              <w:t>.</w:t>
            </w:r>
            <w:r w:rsidR="00946A6D" w:rsidRPr="00C9063A">
              <w:rPr>
                <w:rFonts w:ascii="Times New Roman" w:hAnsi="Times New Roman" w:cs="Times New Roman"/>
                <w:iCs/>
                <w:color w:val="000000" w:themeColor="text1"/>
                <w:sz w:val="26"/>
                <w:szCs w:val="26"/>
              </w:rPr>
              <w:t xml:space="preserve"> </w:t>
            </w:r>
          </w:p>
          <w:p w:rsidR="00010F63" w:rsidRPr="00C9063A" w:rsidRDefault="00946A6D" w:rsidP="00946A6D">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Jāņem vērā, ka piemērotais atbalsts nav piemērojams retro aktīvi – t.i., atbalsts tiek piešķirts par periodu no Komisijas lēmuma pieņemšanas brīža.</w:t>
            </w:r>
          </w:p>
          <w:p w:rsidR="00963249" w:rsidRPr="00C9063A" w:rsidRDefault="00963249" w:rsidP="00B4024A">
            <w:pPr>
              <w:pStyle w:val="ListParagraph"/>
              <w:numPr>
                <w:ilvl w:val="0"/>
                <w:numId w:val="9"/>
              </w:numPr>
              <w:spacing w:before="120" w:after="0" w:line="240" w:lineRule="auto"/>
              <w:ind w:left="142" w:right="272" w:firstLine="0"/>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color w:val="000000" w:themeColor="text1"/>
                <w:sz w:val="26"/>
                <w:szCs w:val="26"/>
              </w:rPr>
              <w:t xml:space="preserve">jaunuzņēmumu pieteikšanās kārtību </w:t>
            </w:r>
            <w:r w:rsidR="00E94A16" w:rsidRPr="00C9063A">
              <w:rPr>
                <w:rFonts w:ascii="Times New Roman" w:hAnsi="Times New Roman" w:cs="Times New Roman"/>
                <w:b/>
                <w:color w:val="000000" w:themeColor="text1"/>
                <w:sz w:val="26"/>
                <w:szCs w:val="26"/>
              </w:rPr>
              <w:t>minētajām</w:t>
            </w:r>
            <w:r w:rsidRPr="00C9063A">
              <w:rPr>
                <w:rFonts w:ascii="Times New Roman" w:hAnsi="Times New Roman" w:cs="Times New Roman"/>
                <w:b/>
                <w:color w:val="000000" w:themeColor="text1"/>
                <w:sz w:val="26"/>
                <w:szCs w:val="26"/>
              </w:rPr>
              <w:t xml:space="preserve"> atbalsta programmām</w:t>
            </w:r>
          </w:p>
          <w:p w:rsidR="00A10898" w:rsidRPr="00C9063A" w:rsidRDefault="006B57A9"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Paredzēts, ka jaunuzņēmums, kas vēlas</w:t>
            </w:r>
            <w:r w:rsidR="000524E3" w:rsidRPr="00C9063A">
              <w:rPr>
                <w:rFonts w:ascii="Times New Roman" w:hAnsi="Times New Roman" w:cs="Times New Roman"/>
                <w:iCs/>
                <w:color w:val="000000" w:themeColor="text1"/>
                <w:sz w:val="26"/>
                <w:szCs w:val="26"/>
              </w:rPr>
              <w:t xml:space="preserve"> izmantot tiesības</w:t>
            </w:r>
            <w:r w:rsidRPr="00C9063A">
              <w:rPr>
                <w:rFonts w:ascii="Times New Roman" w:hAnsi="Times New Roman" w:cs="Times New Roman"/>
                <w:iCs/>
                <w:color w:val="000000" w:themeColor="text1"/>
                <w:sz w:val="26"/>
                <w:szCs w:val="26"/>
              </w:rPr>
              <w:t xml:space="preserve"> piedalīties atbalsta programmās, </w:t>
            </w:r>
            <w:r w:rsidR="000524E3" w:rsidRPr="00C9063A">
              <w:rPr>
                <w:rFonts w:ascii="Times New Roman" w:hAnsi="Times New Roman" w:cs="Times New Roman"/>
                <w:iCs/>
                <w:color w:val="000000" w:themeColor="text1"/>
                <w:sz w:val="26"/>
                <w:szCs w:val="26"/>
              </w:rPr>
              <w:t xml:space="preserve">aizpilda ar Ministru kabinetu apstiprinātās veidlapas un </w:t>
            </w:r>
            <w:r w:rsidRPr="00C9063A">
              <w:rPr>
                <w:rFonts w:ascii="Times New Roman" w:hAnsi="Times New Roman" w:cs="Times New Roman"/>
                <w:iCs/>
                <w:color w:val="000000" w:themeColor="text1"/>
                <w:sz w:val="26"/>
                <w:szCs w:val="26"/>
              </w:rPr>
              <w:t xml:space="preserve">piesakās Komisijai, kas izvērtējot jaunuzņēmuma pazīmes un iesniegto informāciju pieņem lēmumu par tā dalību attiecīgajā atbalsta programmā. </w:t>
            </w:r>
          </w:p>
          <w:p w:rsidR="002E16A0" w:rsidRPr="00C9063A" w:rsidRDefault="002E16A0"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eastAsia="Times New Roman" w:hAnsi="Times New Roman" w:cs="Times New Roman"/>
                <w:bCs/>
                <w:color w:val="000000" w:themeColor="text1"/>
                <w:sz w:val="26"/>
                <w:szCs w:val="26"/>
                <w:lang w:eastAsia="lv-LV"/>
              </w:rPr>
              <w:t>Atbalstu (fiksēto maksājuma programmu un nodokļa atlaides) piemēro uz vienu taksācijas gadu, pēc kura lēmums ir atkārtoti pārskatāms šajā likumprojektā noteiktajā kārtībā</w:t>
            </w:r>
            <w:r w:rsidRPr="00C9063A">
              <w:rPr>
                <w:rFonts w:ascii="Times New Roman" w:hAnsi="Times New Roman" w:cs="Times New Roman"/>
                <w:iCs/>
                <w:color w:val="000000" w:themeColor="text1"/>
                <w:sz w:val="26"/>
                <w:szCs w:val="26"/>
              </w:rPr>
              <w:t xml:space="preserve">. </w:t>
            </w:r>
          </w:p>
          <w:p w:rsidR="00145D6C" w:rsidRPr="00C9063A" w:rsidRDefault="00145D6C" w:rsidP="00B4024A">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Atbalsta</w:t>
            </w:r>
            <w:r w:rsidR="00946A6D" w:rsidRPr="00C9063A">
              <w:rPr>
                <w:rFonts w:ascii="Times New Roman" w:hAnsi="Times New Roman" w:cs="Times New Roman"/>
                <w:iCs/>
                <w:color w:val="000000" w:themeColor="text1"/>
                <w:sz w:val="26"/>
                <w:szCs w:val="26"/>
              </w:rPr>
              <w:t xml:space="preserve"> sākotnējo summu nosaka, līdz ar jaunuzņēmuma pieteikumā norādīto informāciju par plānotajiem ieņēmumiem un darba algām darba ņēmējiem, savukārt</w:t>
            </w:r>
            <w:r w:rsidRPr="00C9063A">
              <w:rPr>
                <w:rFonts w:ascii="Times New Roman" w:hAnsi="Times New Roman" w:cs="Times New Roman"/>
                <w:iCs/>
                <w:color w:val="000000" w:themeColor="text1"/>
                <w:sz w:val="26"/>
                <w:szCs w:val="26"/>
              </w:rPr>
              <w:t xml:space="preserve"> izmantošanas</w:t>
            </w:r>
            <w:r w:rsidR="002E16A0" w:rsidRPr="00C9063A">
              <w:rPr>
                <w:rFonts w:ascii="Times New Roman" w:hAnsi="Times New Roman" w:cs="Times New Roman"/>
                <w:iCs/>
                <w:color w:val="000000" w:themeColor="text1"/>
                <w:sz w:val="26"/>
                <w:szCs w:val="26"/>
              </w:rPr>
              <w:t xml:space="preserve"> perioda</w:t>
            </w:r>
            <w:r w:rsidRPr="00C9063A">
              <w:rPr>
                <w:rFonts w:ascii="Times New Roman" w:hAnsi="Times New Roman" w:cs="Times New Roman"/>
                <w:iCs/>
                <w:color w:val="000000" w:themeColor="text1"/>
                <w:sz w:val="26"/>
                <w:szCs w:val="26"/>
              </w:rPr>
              <w:t xml:space="preserve"> beigās</w:t>
            </w:r>
            <w:r w:rsidR="002E16A0" w:rsidRPr="00C9063A">
              <w:rPr>
                <w:rFonts w:ascii="Times New Roman" w:hAnsi="Times New Roman" w:cs="Times New Roman"/>
                <w:iCs/>
                <w:color w:val="000000" w:themeColor="text1"/>
                <w:sz w:val="26"/>
                <w:szCs w:val="26"/>
              </w:rPr>
              <w:t xml:space="preserve"> (norādīts pieteikumā)</w:t>
            </w:r>
            <w:r w:rsidRPr="00C9063A">
              <w:rPr>
                <w:rFonts w:ascii="Times New Roman" w:hAnsi="Times New Roman" w:cs="Times New Roman"/>
                <w:iCs/>
                <w:color w:val="000000" w:themeColor="text1"/>
                <w:sz w:val="26"/>
                <w:szCs w:val="26"/>
              </w:rPr>
              <w:t>, Komisija, ņemot vērā jaunuzņēmuma iesniegto informāciju par tā komercdarbību un tās rīcībā esošo informāciju par šo jaunuzņēmumu, pārrēķina un pieņem gala lēmumu par atbalsta apmēru.</w:t>
            </w:r>
          </w:p>
          <w:p w:rsidR="00946A6D" w:rsidRPr="00C9063A" w:rsidRDefault="006B57A9" w:rsidP="00946A6D">
            <w:pPr>
              <w:spacing w:before="120" w:after="0" w:line="240" w:lineRule="auto"/>
              <w:ind w:left="142"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L</w:t>
            </w:r>
            <w:r w:rsidR="003D5ACB" w:rsidRPr="00C9063A">
              <w:rPr>
                <w:rFonts w:ascii="Times New Roman" w:hAnsi="Times New Roman" w:cs="Times New Roman"/>
                <w:iCs/>
                <w:color w:val="000000" w:themeColor="text1"/>
                <w:sz w:val="26"/>
                <w:szCs w:val="26"/>
              </w:rPr>
              <w:t>ē</w:t>
            </w:r>
            <w:r w:rsidRPr="00C9063A">
              <w:rPr>
                <w:rFonts w:ascii="Times New Roman" w:hAnsi="Times New Roman" w:cs="Times New Roman"/>
                <w:iCs/>
                <w:color w:val="000000" w:themeColor="text1"/>
                <w:sz w:val="26"/>
                <w:szCs w:val="26"/>
              </w:rPr>
              <w:t xml:space="preserve">mumi, kas paredz apstiprināt konkrēta </w:t>
            </w:r>
            <w:r w:rsidR="00D917D6" w:rsidRPr="00C9063A">
              <w:rPr>
                <w:rFonts w:ascii="Times New Roman" w:hAnsi="Times New Roman" w:cs="Times New Roman"/>
                <w:iCs/>
                <w:color w:val="000000" w:themeColor="text1"/>
                <w:sz w:val="26"/>
                <w:szCs w:val="26"/>
              </w:rPr>
              <w:t>jaunuzņēmuma</w:t>
            </w:r>
            <w:r w:rsidRPr="00C9063A">
              <w:rPr>
                <w:rFonts w:ascii="Times New Roman" w:hAnsi="Times New Roman" w:cs="Times New Roman"/>
                <w:iCs/>
                <w:color w:val="000000" w:themeColor="text1"/>
                <w:sz w:val="26"/>
                <w:szCs w:val="26"/>
              </w:rPr>
              <w:t xml:space="preserve"> dalību </w:t>
            </w:r>
            <w:r w:rsidR="00D917D6" w:rsidRPr="00C9063A">
              <w:rPr>
                <w:rFonts w:ascii="Times New Roman" w:hAnsi="Times New Roman" w:cs="Times New Roman"/>
                <w:iCs/>
                <w:color w:val="000000" w:themeColor="text1"/>
                <w:sz w:val="26"/>
                <w:szCs w:val="26"/>
              </w:rPr>
              <w:t xml:space="preserve">atbalsta </w:t>
            </w:r>
            <w:r w:rsidRPr="00C9063A">
              <w:rPr>
                <w:rFonts w:ascii="Times New Roman" w:hAnsi="Times New Roman" w:cs="Times New Roman"/>
                <w:iCs/>
                <w:color w:val="000000" w:themeColor="text1"/>
                <w:sz w:val="26"/>
                <w:szCs w:val="26"/>
              </w:rPr>
              <w:t xml:space="preserve">programmā tiek </w:t>
            </w:r>
            <w:r w:rsidR="00E94A16" w:rsidRPr="00C9063A">
              <w:rPr>
                <w:rFonts w:ascii="Times New Roman" w:hAnsi="Times New Roman" w:cs="Times New Roman"/>
                <w:iCs/>
                <w:color w:val="000000" w:themeColor="text1"/>
                <w:sz w:val="26"/>
                <w:szCs w:val="26"/>
              </w:rPr>
              <w:t>publicēt</w:t>
            </w:r>
            <w:r w:rsidR="00145D6C" w:rsidRPr="00C9063A">
              <w:rPr>
                <w:rFonts w:ascii="Times New Roman" w:hAnsi="Times New Roman" w:cs="Times New Roman"/>
                <w:iCs/>
                <w:color w:val="000000" w:themeColor="text1"/>
                <w:sz w:val="26"/>
                <w:szCs w:val="26"/>
              </w:rPr>
              <w:t>i</w:t>
            </w:r>
            <w:r w:rsidR="00CA6F4F" w:rsidRPr="00C9063A">
              <w:rPr>
                <w:rFonts w:ascii="Times New Roman" w:hAnsi="Times New Roman" w:cs="Times New Roman"/>
                <w:iCs/>
                <w:color w:val="000000" w:themeColor="text1"/>
                <w:sz w:val="26"/>
                <w:szCs w:val="26"/>
              </w:rPr>
              <w:t xml:space="preserve"> </w:t>
            </w:r>
            <w:r w:rsidR="00E94A16" w:rsidRPr="00C9063A">
              <w:rPr>
                <w:rFonts w:ascii="Times New Roman" w:hAnsi="Times New Roman" w:cs="Times New Roman"/>
                <w:iCs/>
                <w:color w:val="000000" w:themeColor="text1"/>
                <w:sz w:val="26"/>
                <w:szCs w:val="26"/>
              </w:rPr>
              <w:t xml:space="preserve">Latvijas Investīciju un attīstības aģentūras </w:t>
            </w:r>
            <w:r w:rsidR="00145D6C" w:rsidRPr="00C9063A">
              <w:rPr>
                <w:rFonts w:ascii="Times New Roman" w:hAnsi="Times New Roman" w:cs="Times New Roman"/>
                <w:iCs/>
                <w:color w:val="000000" w:themeColor="text1"/>
                <w:sz w:val="26"/>
                <w:szCs w:val="26"/>
              </w:rPr>
              <w:t>mājas lapas</w:t>
            </w:r>
            <w:r w:rsidRPr="00C9063A">
              <w:rPr>
                <w:rFonts w:ascii="Times New Roman" w:hAnsi="Times New Roman" w:cs="Times New Roman"/>
                <w:iCs/>
                <w:color w:val="000000" w:themeColor="text1"/>
                <w:sz w:val="26"/>
                <w:szCs w:val="26"/>
              </w:rPr>
              <w:t xml:space="preserve"> interneta vietnē</w:t>
            </w:r>
            <w:r w:rsidR="003D5ACB" w:rsidRPr="00C9063A">
              <w:rPr>
                <w:rFonts w:ascii="Times New Roman" w:hAnsi="Times New Roman" w:cs="Times New Roman"/>
                <w:iCs/>
                <w:color w:val="000000" w:themeColor="text1"/>
                <w:sz w:val="26"/>
                <w:szCs w:val="26"/>
              </w:rPr>
              <w:t xml:space="preserve">. </w:t>
            </w:r>
            <w:r w:rsidRPr="00C9063A">
              <w:rPr>
                <w:rFonts w:ascii="Times New Roman" w:hAnsi="Times New Roman" w:cs="Times New Roman"/>
                <w:iCs/>
                <w:color w:val="000000" w:themeColor="text1"/>
                <w:sz w:val="26"/>
                <w:szCs w:val="26"/>
              </w:rPr>
              <w:t xml:space="preserve"> </w:t>
            </w:r>
          </w:p>
          <w:p w:rsidR="00E94A16" w:rsidRPr="00C9063A" w:rsidRDefault="00E94A16" w:rsidP="00E94A16">
            <w:pPr>
              <w:pStyle w:val="ListParagraph"/>
              <w:numPr>
                <w:ilvl w:val="0"/>
                <w:numId w:val="9"/>
              </w:numPr>
              <w:spacing w:before="120" w:after="0" w:line="240" w:lineRule="auto"/>
              <w:ind w:left="142" w:right="272" w:firstLine="0"/>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color w:val="000000" w:themeColor="text1"/>
                <w:sz w:val="26"/>
                <w:szCs w:val="26"/>
              </w:rPr>
              <w:t>nosacījumus, kas ir un kā tiek piesaistīti kvalificēti riska kapitāla investori</w:t>
            </w:r>
          </w:p>
          <w:p w:rsidR="00145D6C" w:rsidRPr="00C9063A" w:rsidRDefault="00145D6C" w:rsidP="00E94A16">
            <w:pPr>
              <w:pStyle w:val="ListParagraph"/>
              <w:spacing w:before="120" w:after="0" w:line="240" w:lineRule="auto"/>
              <w:ind w:left="142" w:right="272"/>
              <w:contextualSpacing w:val="0"/>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Likumprojekts paredz riska kapitāla investoru kvalifikācijas nosacījumus ar mērķi veicināt tādu atbalsta programmas darbību, kas specifiski mērķēta uz jaunuzņēmumu veidošanos.</w:t>
            </w:r>
          </w:p>
          <w:p w:rsidR="00145D6C" w:rsidRPr="00C9063A" w:rsidRDefault="002E16A0" w:rsidP="00E94A16">
            <w:pPr>
              <w:pStyle w:val="ListParagraph"/>
              <w:spacing w:before="120" w:after="0" w:line="240" w:lineRule="auto"/>
              <w:ind w:left="142" w:right="272"/>
              <w:contextualSpacing w:val="0"/>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Galvenais nosacījums kvalifikācijai ir, ka likumā noteiktās personas </w:t>
            </w:r>
            <w:r w:rsidRPr="00C9063A">
              <w:rPr>
                <w:rFonts w:ascii="Times New Roman" w:hAnsi="Times New Roman" w:cs="Times New Roman"/>
                <w:color w:val="000000" w:themeColor="text1"/>
                <w:sz w:val="26"/>
                <w:szCs w:val="26"/>
              </w:rPr>
              <w:t xml:space="preserve">pēdējo trīs gadu laikā veikušas ieguldījumu vismaz </w:t>
            </w:r>
            <w:r w:rsidRPr="00C9063A">
              <w:rPr>
                <w:rFonts w:ascii="Times New Roman" w:hAnsi="Times New Roman" w:cs="Times New Roman"/>
                <w:color w:val="000000" w:themeColor="text1"/>
                <w:sz w:val="26"/>
                <w:szCs w:val="26"/>
              </w:rPr>
              <w:lastRenderedPageBreak/>
              <w:t xml:space="preserve">trīs jaunuzņēmumu pamatkapitālā 30 000 euro apmērā katrā, bet ne vairāk par 200 000 euro katrā, kas nepārsniedz 20% uzņēmuma pamatkapitāla apjoma. Tāpat kā kvalifikāciju paredzēts atzīt  pasaules vadošiem sēklas </w:t>
            </w:r>
            <w:r w:rsidR="0022375C" w:rsidRPr="00C9063A">
              <w:rPr>
                <w:rFonts w:ascii="Times New Roman" w:hAnsi="Times New Roman" w:cs="Times New Roman"/>
                <w:color w:val="000000" w:themeColor="text1"/>
                <w:sz w:val="26"/>
                <w:szCs w:val="26"/>
              </w:rPr>
              <w:t xml:space="preserve">vai sākuma </w:t>
            </w:r>
            <w:r w:rsidRPr="00C9063A">
              <w:rPr>
                <w:rFonts w:ascii="Times New Roman" w:hAnsi="Times New Roman" w:cs="Times New Roman"/>
                <w:color w:val="000000" w:themeColor="text1"/>
                <w:sz w:val="26"/>
                <w:szCs w:val="26"/>
              </w:rPr>
              <w:t xml:space="preserve"> riska kapitāla fondiem un investoriem, kuriem tas ir pamatdarbības veids un kuru starptautiskā reputācija riska kapitāla jomā ir ticami nosakāma pēc publiski pieejamas informācijas</w:t>
            </w:r>
            <w:r w:rsidR="0022375C" w:rsidRPr="00C9063A">
              <w:rPr>
                <w:rFonts w:ascii="Times New Roman" w:hAnsi="Times New Roman" w:cs="Times New Roman"/>
                <w:color w:val="000000" w:themeColor="text1"/>
                <w:sz w:val="26"/>
                <w:szCs w:val="26"/>
              </w:rPr>
              <w:t>.</w:t>
            </w:r>
          </w:p>
          <w:p w:rsidR="00E94A16" w:rsidRPr="00C9063A" w:rsidRDefault="00E94A16" w:rsidP="00E94A16">
            <w:pPr>
              <w:pStyle w:val="ListParagraph"/>
              <w:spacing w:before="120" w:after="0" w:line="240" w:lineRule="auto"/>
              <w:ind w:left="142" w:right="272"/>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iCs/>
                <w:color w:val="000000" w:themeColor="text1"/>
                <w:sz w:val="26"/>
                <w:szCs w:val="26"/>
              </w:rPr>
              <w:t xml:space="preserve">Paredzēts, ka </w:t>
            </w:r>
            <w:r w:rsidRPr="00C9063A">
              <w:rPr>
                <w:rFonts w:ascii="Times New Roman" w:eastAsia="Times New Roman" w:hAnsi="Times New Roman" w:cs="Times New Roman"/>
                <w:bCs/>
                <w:color w:val="000000" w:themeColor="text1"/>
                <w:sz w:val="26"/>
                <w:szCs w:val="26"/>
                <w:lang w:eastAsia="lv-LV"/>
              </w:rPr>
              <w:t xml:space="preserve">persona vēlas iegūt tiesības tās iekļaušanai kvalificēto riska kapitāla investoru sarakstā, tā iesniedz </w:t>
            </w:r>
            <w:r w:rsidRPr="00C9063A">
              <w:rPr>
                <w:rFonts w:ascii="Times New Roman" w:hAnsi="Times New Roman" w:cs="Times New Roman"/>
                <w:color w:val="000000" w:themeColor="text1"/>
                <w:sz w:val="26"/>
                <w:szCs w:val="26"/>
              </w:rPr>
              <w:t>pieteikumu Komisijai,</w:t>
            </w:r>
            <w:r w:rsidRPr="00C9063A">
              <w:rPr>
                <w:rFonts w:ascii="Times New Roman" w:hAnsi="Times New Roman" w:cs="Times New Roman"/>
                <w:iCs/>
                <w:color w:val="000000" w:themeColor="text1"/>
                <w:sz w:val="26"/>
                <w:szCs w:val="26"/>
              </w:rPr>
              <w:t xml:space="preserve"> kas izvērtējot jaunuzņēmuma pazīmes un iesniegto informāciju pieņem lēmumu par tā dalību attiecīgajā atbalsta programmā. Minētais lēmums tiek </w:t>
            </w:r>
            <w:r w:rsidR="00D917D6" w:rsidRPr="00C9063A">
              <w:rPr>
                <w:rFonts w:ascii="Times New Roman" w:hAnsi="Times New Roman" w:cs="Times New Roman"/>
                <w:iCs/>
                <w:color w:val="000000" w:themeColor="text1"/>
                <w:sz w:val="26"/>
                <w:szCs w:val="26"/>
              </w:rPr>
              <w:t>publicēts</w:t>
            </w:r>
            <w:r w:rsidRPr="00C9063A">
              <w:rPr>
                <w:rFonts w:ascii="Times New Roman" w:hAnsi="Times New Roman" w:cs="Times New Roman"/>
                <w:iCs/>
                <w:color w:val="000000" w:themeColor="text1"/>
                <w:sz w:val="26"/>
                <w:szCs w:val="26"/>
              </w:rPr>
              <w:t xml:space="preserve"> </w:t>
            </w:r>
            <w:r w:rsidRPr="00C9063A">
              <w:rPr>
                <w:rFonts w:ascii="Times New Roman" w:eastAsia="Times New Roman" w:hAnsi="Times New Roman" w:cs="Times New Roman"/>
                <w:bCs/>
                <w:color w:val="000000" w:themeColor="text1"/>
                <w:sz w:val="26"/>
                <w:szCs w:val="26"/>
                <w:lang w:eastAsia="lv-LV"/>
              </w:rPr>
              <w:t>kvalificēto riska kapitāla investoru sarakstā</w:t>
            </w:r>
            <w:r w:rsidRPr="00C9063A">
              <w:rPr>
                <w:rFonts w:ascii="Times New Roman" w:hAnsi="Times New Roman" w:cs="Times New Roman"/>
                <w:iCs/>
                <w:color w:val="000000" w:themeColor="text1"/>
                <w:sz w:val="26"/>
                <w:szCs w:val="26"/>
              </w:rPr>
              <w:t xml:space="preserve">, kas </w:t>
            </w:r>
            <w:r w:rsidR="00D917D6" w:rsidRPr="00C9063A">
              <w:rPr>
                <w:rFonts w:ascii="Times New Roman" w:hAnsi="Times New Roman" w:cs="Times New Roman"/>
                <w:iCs/>
                <w:color w:val="000000" w:themeColor="text1"/>
                <w:sz w:val="26"/>
                <w:szCs w:val="26"/>
              </w:rPr>
              <w:t>atrodas</w:t>
            </w:r>
            <w:r w:rsidRPr="00C9063A">
              <w:rPr>
                <w:rFonts w:ascii="Times New Roman" w:hAnsi="Times New Roman" w:cs="Times New Roman"/>
                <w:iCs/>
                <w:color w:val="000000" w:themeColor="text1"/>
                <w:sz w:val="26"/>
                <w:szCs w:val="26"/>
              </w:rPr>
              <w:t xml:space="preserve"> Latvijas Investīciju un attīstības aģentūras </w:t>
            </w:r>
            <w:r w:rsidR="00D917D6" w:rsidRPr="00C9063A">
              <w:rPr>
                <w:rFonts w:ascii="Times New Roman" w:hAnsi="Times New Roman" w:cs="Times New Roman"/>
                <w:iCs/>
                <w:color w:val="000000" w:themeColor="text1"/>
                <w:sz w:val="26"/>
                <w:szCs w:val="26"/>
              </w:rPr>
              <w:t>mājas lapas</w:t>
            </w:r>
            <w:r w:rsidRPr="00C9063A">
              <w:rPr>
                <w:rFonts w:ascii="Times New Roman" w:hAnsi="Times New Roman" w:cs="Times New Roman"/>
                <w:iCs/>
                <w:color w:val="000000" w:themeColor="text1"/>
                <w:sz w:val="26"/>
                <w:szCs w:val="26"/>
              </w:rPr>
              <w:t xml:space="preserve"> interneta vietnē</w:t>
            </w:r>
            <w:r w:rsidR="00D917D6" w:rsidRPr="00C9063A">
              <w:rPr>
                <w:rFonts w:ascii="Times New Roman" w:hAnsi="Times New Roman" w:cs="Times New Roman"/>
                <w:iCs/>
                <w:color w:val="000000" w:themeColor="text1"/>
                <w:sz w:val="26"/>
                <w:szCs w:val="26"/>
              </w:rPr>
              <w:t>.</w:t>
            </w:r>
          </w:p>
          <w:p w:rsidR="00B4024A" w:rsidRPr="00C9063A" w:rsidRDefault="00B4024A" w:rsidP="00E94A16">
            <w:pPr>
              <w:pStyle w:val="ListParagraph"/>
              <w:numPr>
                <w:ilvl w:val="0"/>
                <w:numId w:val="9"/>
              </w:numPr>
              <w:spacing w:before="120" w:after="0" w:line="240" w:lineRule="auto"/>
              <w:ind w:left="142" w:right="272" w:firstLine="0"/>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color w:val="000000" w:themeColor="text1"/>
                <w:sz w:val="26"/>
                <w:szCs w:val="26"/>
              </w:rPr>
              <w:t xml:space="preserve">jaunuzņēmumu atbalsta programmu uzraudzības kārtību, t.sk., Komisijas </w:t>
            </w:r>
            <w:r w:rsidR="00E94A16" w:rsidRPr="00C9063A">
              <w:rPr>
                <w:rFonts w:ascii="Times New Roman" w:hAnsi="Times New Roman" w:cs="Times New Roman"/>
                <w:b/>
                <w:color w:val="000000" w:themeColor="text1"/>
                <w:sz w:val="26"/>
                <w:szCs w:val="26"/>
              </w:rPr>
              <w:t>tiesības un pienākumus</w:t>
            </w:r>
          </w:p>
          <w:p w:rsidR="007B1A49" w:rsidRPr="00C9063A" w:rsidRDefault="003D5ACB" w:rsidP="007B1A49">
            <w:pPr>
              <w:pStyle w:val="ListParagraph"/>
              <w:spacing w:before="120" w:after="0" w:line="240" w:lineRule="auto"/>
              <w:ind w:left="142" w:right="272"/>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Plānots, ka Komisijas darbība norit Ekonomikas ministrijas resora ietvaros</w:t>
            </w:r>
            <w:r w:rsidR="007B1A49" w:rsidRPr="00C9063A">
              <w:rPr>
                <w:rFonts w:ascii="Times New Roman" w:hAnsi="Times New Roman" w:cs="Times New Roman"/>
                <w:color w:val="000000" w:themeColor="text1"/>
                <w:sz w:val="26"/>
                <w:szCs w:val="26"/>
              </w:rPr>
              <w:t xml:space="preserve"> – Latvijas Investīciju un attīstības aģentūrā, kas pildīs gan  sekretariāta funkciju, gan ar Komisijas lēmuma starpniecību būs </w:t>
            </w:r>
            <w:proofErr w:type="spellStart"/>
            <w:r w:rsidR="007B1A49" w:rsidRPr="00C9063A">
              <w:rPr>
                <w:rFonts w:ascii="Times New Roman" w:hAnsi="Times New Roman" w:cs="Times New Roman"/>
                <w:i/>
                <w:color w:val="000000" w:themeColor="text1"/>
                <w:sz w:val="26"/>
                <w:szCs w:val="26"/>
              </w:rPr>
              <w:t>de</w:t>
            </w:r>
            <w:proofErr w:type="spellEnd"/>
            <w:r w:rsidR="007B1A49" w:rsidRPr="00C9063A">
              <w:rPr>
                <w:rFonts w:ascii="Times New Roman" w:hAnsi="Times New Roman" w:cs="Times New Roman"/>
                <w:i/>
                <w:color w:val="000000" w:themeColor="text1"/>
                <w:sz w:val="26"/>
                <w:szCs w:val="26"/>
              </w:rPr>
              <w:t xml:space="preserve"> </w:t>
            </w:r>
            <w:proofErr w:type="spellStart"/>
            <w:r w:rsidR="007B1A49" w:rsidRPr="00C9063A">
              <w:rPr>
                <w:rFonts w:ascii="Times New Roman" w:hAnsi="Times New Roman" w:cs="Times New Roman"/>
                <w:i/>
                <w:color w:val="000000" w:themeColor="text1"/>
                <w:sz w:val="26"/>
                <w:szCs w:val="26"/>
              </w:rPr>
              <w:t>minimis</w:t>
            </w:r>
            <w:proofErr w:type="spellEnd"/>
            <w:r w:rsidR="007B1A49" w:rsidRPr="00C9063A">
              <w:rPr>
                <w:rFonts w:ascii="Times New Roman" w:hAnsi="Times New Roman" w:cs="Times New Roman"/>
                <w:color w:val="000000" w:themeColor="text1"/>
                <w:sz w:val="26"/>
                <w:szCs w:val="26"/>
              </w:rPr>
              <w:t xml:space="preserve"> atbalsta sniedzējs un atbalsta apmēra noteicējs.</w:t>
            </w:r>
          </w:p>
          <w:p w:rsidR="007B1A49" w:rsidRPr="00C9063A" w:rsidRDefault="007B1A49" w:rsidP="007B1A49">
            <w:pPr>
              <w:pStyle w:val="ListParagraph"/>
              <w:spacing w:before="120" w:after="0" w:line="240" w:lineRule="auto"/>
              <w:ind w:left="142" w:right="272"/>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Ar likumprojektu tiek noteikts, ka atbildīgā iestāde par Komisijas sastāva un tās darbības nolikuma apstiprināšanu ir Ekonomikas ministrija.</w:t>
            </w:r>
            <w:r w:rsidR="00145D6C" w:rsidRPr="00C9063A">
              <w:rPr>
                <w:rFonts w:ascii="Times New Roman" w:hAnsi="Times New Roman" w:cs="Times New Roman"/>
                <w:color w:val="000000" w:themeColor="text1"/>
                <w:sz w:val="26"/>
                <w:szCs w:val="26"/>
              </w:rPr>
              <w:t xml:space="preserve"> Attiecīgi precīzu kārtību, kā Komisija pārliecinās par jaunuzņēmuma pazīmēm un likumā izpildāmajiem nosacījumiem, plānots noteikt ar Ministru kabineta noteikumiem vai iekšējiem normatīvajiem aktiem.</w:t>
            </w:r>
          </w:p>
          <w:p w:rsidR="007B1A49" w:rsidRPr="00C9063A" w:rsidRDefault="007B1A49" w:rsidP="007B1A49">
            <w:pPr>
              <w:pStyle w:val="ListParagraph"/>
              <w:spacing w:before="120" w:after="0" w:line="240" w:lineRule="auto"/>
              <w:ind w:left="142" w:right="272"/>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Komisijas galvenie pienākumi būs šādi:</w:t>
            </w:r>
          </w:p>
          <w:p w:rsidR="007B1A49" w:rsidRPr="00C9063A" w:rsidRDefault="007B1A49" w:rsidP="00593EB1">
            <w:pPr>
              <w:shd w:val="clear" w:color="auto" w:fill="FFFFFF"/>
              <w:tabs>
                <w:tab w:val="left" w:pos="6515"/>
              </w:tabs>
              <w:spacing w:before="120" w:after="0" w:line="240" w:lineRule="auto"/>
              <w:ind w:left="420" w:right="130" w:hanging="284"/>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1) pieņem lēmumu par jaunuzņēmuma atbalstīšanu vai atteikumu, vai tiesību zaudēšanu dalībai atbalsta programmās;</w:t>
            </w:r>
          </w:p>
          <w:p w:rsidR="007B1A49" w:rsidRPr="00C9063A" w:rsidRDefault="007B1A49" w:rsidP="00593EB1">
            <w:pPr>
              <w:pStyle w:val="ListParagraph"/>
              <w:tabs>
                <w:tab w:val="left" w:pos="6515"/>
              </w:tabs>
              <w:spacing w:before="120" w:after="0" w:line="240" w:lineRule="auto"/>
              <w:ind w:left="420" w:right="130" w:hanging="284"/>
              <w:contextualSpacing w:val="0"/>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2) pieņemt lēmumu par personas atbilstību šā likumprojekta noteiktajiem nosacījumiem un tā iekļaušanu vai noraidīšanu, vai izslēgšanu kvalificēto riska kapitāla investoru sarakstā.</w:t>
            </w:r>
          </w:p>
          <w:p w:rsidR="001612B0" w:rsidRPr="00C9063A" w:rsidRDefault="000524E3" w:rsidP="001612B0">
            <w:pPr>
              <w:pStyle w:val="ListParagraph"/>
              <w:spacing w:before="120" w:after="0" w:line="240" w:lineRule="auto"/>
              <w:ind w:left="142" w:right="272"/>
              <w:contextualSpacing w:val="0"/>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Komisijas lēmums būs pārsūdzami Ekonomikas ministrijā.</w:t>
            </w:r>
          </w:p>
          <w:p w:rsidR="000524E3" w:rsidRPr="00C9063A" w:rsidRDefault="004B7692" w:rsidP="004B7692">
            <w:pPr>
              <w:pStyle w:val="ListParagraph"/>
              <w:numPr>
                <w:ilvl w:val="0"/>
                <w:numId w:val="9"/>
              </w:numPr>
              <w:spacing w:before="120" w:after="0" w:line="240" w:lineRule="auto"/>
              <w:ind w:right="272"/>
              <w:contextualSpacing w:val="0"/>
              <w:jc w:val="both"/>
              <w:rPr>
                <w:rFonts w:ascii="Times New Roman" w:hAnsi="Times New Roman" w:cs="Times New Roman"/>
                <w:b/>
                <w:iCs/>
                <w:color w:val="000000" w:themeColor="text1"/>
                <w:sz w:val="26"/>
                <w:szCs w:val="26"/>
              </w:rPr>
            </w:pPr>
            <w:r w:rsidRPr="00C9063A">
              <w:rPr>
                <w:rFonts w:ascii="Times New Roman" w:hAnsi="Times New Roman" w:cs="Times New Roman"/>
                <w:b/>
                <w:color w:val="000000" w:themeColor="text1"/>
                <w:sz w:val="26"/>
                <w:szCs w:val="26"/>
              </w:rPr>
              <w:t>j</w:t>
            </w:r>
            <w:r w:rsidR="000524E3" w:rsidRPr="00C9063A">
              <w:rPr>
                <w:rFonts w:ascii="Times New Roman" w:hAnsi="Times New Roman" w:cs="Times New Roman"/>
                <w:b/>
                <w:color w:val="000000" w:themeColor="text1"/>
                <w:sz w:val="26"/>
                <w:szCs w:val="26"/>
              </w:rPr>
              <w:t>aunuzņēmuma pienākum</w:t>
            </w:r>
            <w:r w:rsidRPr="00C9063A">
              <w:rPr>
                <w:rFonts w:ascii="Times New Roman" w:hAnsi="Times New Roman" w:cs="Times New Roman"/>
                <w:b/>
                <w:color w:val="000000" w:themeColor="text1"/>
                <w:sz w:val="26"/>
                <w:szCs w:val="26"/>
              </w:rPr>
              <w:t>us</w:t>
            </w:r>
            <w:r w:rsidR="00145D6C" w:rsidRPr="00C9063A">
              <w:rPr>
                <w:rFonts w:ascii="Times New Roman" w:hAnsi="Times New Roman" w:cs="Times New Roman"/>
                <w:b/>
                <w:color w:val="000000" w:themeColor="text1"/>
                <w:sz w:val="26"/>
                <w:szCs w:val="26"/>
              </w:rPr>
              <w:t xml:space="preserve">, t.sk., </w:t>
            </w:r>
            <w:r w:rsidRPr="00C9063A">
              <w:rPr>
                <w:rFonts w:ascii="Times New Roman" w:hAnsi="Times New Roman" w:cs="Times New Roman"/>
                <w:b/>
                <w:color w:val="000000" w:themeColor="text1"/>
                <w:sz w:val="26"/>
                <w:szCs w:val="26"/>
              </w:rPr>
              <w:t>tiesību zaudēšana</w:t>
            </w:r>
            <w:r w:rsidR="00145D6C" w:rsidRPr="00C9063A">
              <w:rPr>
                <w:rFonts w:ascii="Times New Roman" w:hAnsi="Times New Roman" w:cs="Times New Roman"/>
                <w:b/>
                <w:color w:val="000000" w:themeColor="text1"/>
                <w:sz w:val="26"/>
                <w:szCs w:val="26"/>
              </w:rPr>
              <w:t>s gadījumā</w:t>
            </w:r>
          </w:p>
          <w:p w:rsidR="00D917D6" w:rsidRPr="00C9063A" w:rsidRDefault="004B7692" w:rsidP="004B7692">
            <w:pPr>
              <w:spacing w:before="120" w:after="0" w:line="240" w:lineRule="auto"/>
              <w:ind w:left="137"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Likumprojekts paredz jaunuzņēmumam </w:t>
            </w:r>
            <w:r w:rsidR="006C3AB1" w:rsidRPr="00C9063A">
              <w:rPr>
                <w:rFonts w:ascii="Times New Roman" w:hAnsi="Times New Roman" w:cs="Times New Roman"/>
                <w:iCs/>
                <w:color w:val="000000" w:themeColor="text1"/>
                <w:sz w:val="26"/>
                <w:szCs w:val="26"/>
              </w:rPr>
              <w:t xml:space="preserve">par tās veikto komercdarbību </w:t>
            </w:r>
            <w:r w:rsidRPr="00C9063A">
              <w:rPr>
                <w:rFonts w:ascii="Times New Roman" w:hAnsi="Times New Roman" w:cs="Times New Roman"/>
                <w:iCs/>
                <w:color w:val="000000" w:themeColor="text1"/>
                <w:sz w:val="26"/>
                <w:szCs w:val="26"/>
              </w:rPr>
              <w:t xml:space="preserve">sniegt Komisijai nepieciešamo informāciju, kas nodrošina lēmuma pieņemšanu. </w:t>
            </w:r>
          </w:p>
          <w:p w:rsidR="00D917D6" w:rsidRPr="00C9063A" w:rsidRDefault="00D917D6" w:rsidP="004B7692">
            <w:pPr>
              <w:spacing w:before="120" w:after="0" w:line="240" w:lineRule="auto"/>
              <w:ind w:left="137" w:right="272"/>
              <w:jc w:val="both"/>
              <w:rPr>
                <w:rFonts w:ascii="Times New Roman" w:hAnsi="Times New Roman" w:cs="Times New Roman"/>
                <w:iCs/>
                <w:color w:val="000000" w:themeColor="text1"/>
                <w:sz w:val="26"/>
                <w:szCs w:val="26"/>
              </w:rPr>
            </w:pPr>
            <w:r w:rsidRPr="00C9063A">
              <w:rPr>
                <w:rFonts w:ascii="Times New Roman" w:hAnsi="Times New Roman" w:cs="Times New Roman"/>
                <w:color w:val="000000" w:themeColor="text1"/>
                <w:sz w:val="26"/>
                <w:szCs w:val="26"/>
              </w:rPr>
              <w:t>Paredzēts, ka gadījum</w:t>
            </w:r>
            <w:r w:rsidR="006C3AB1" w:rsidRPr="00C9063A">
              <w:rPr>
                <w:rFonts w:ascii="Times New Roman" w:hAnsi="Times New Roman" w:cs="Times New Roman"/>
                <w:color w:val="000000" w:themeColor="text1"/>
                <w:sz w:val="26"/>
                <w:szCs w:val="26"/>
              </w:rPr>
              <w:t>o</w:t>
            </w:r>
            <w:r w:rsidRPr="00C9063A">
              <w:rPr>
                <w:rFonts w:ascii="Times New Roman" w:hAnsi="Times New Roman" w:cs="Times New Roman"/>
                <w:color w:val="000000" w:themeColor="text1"/>
                <w:sz w:val="26"/>
                <w:szCs w:val="26"/>
              </w:rPr>
              <w:t>s, kad Komisijas lēmuma par jaunuzņēmuma atbalstīšanu pieņemšanas datums nesakrīt ar nodokļu maksātāja taksācijas perioda sākumu, lai nodrošinātu</w:t>
            </w:r>
            <w:r w:rsidR="006C3AB1" w:rsidRPr="00C9063A">
              <w:rPr>
                <w:rFonts w:ascii="Times New Roman" w:hAnsi="Times New Roman" w:cs="Times New Roman"/>
                <w:color w:val="000000" w:themeColor="text1"/>
                <w:sz w:val="26"/>
                <w:szCs w:val="26"/>
              </w:rPr>
              <w:t xml:space="preserve"> </w:t>
            </w:r>
            <w:r w:rsidR="006C3AB1" w:rsidRPr="00C9063A">
              <w:rPr>
                <w:rFonts w:ascii="Times New Roman" w:hAnsi="Times New Roman" w:cs="Times New Roman"/>
                <w:color w:val="000000" w:themeColor="text1"/>
                <w:sz w:val="26"/>
                <w:szCs w:val="26"/>
              </w:rPr>
              <w:lastRenderedPageBreak/>
              <w:t>paredzēto</w:t>
            </w:r>
            <w:r w:rsidRPr="00C9063A">
              <w:rPr>
                <w:rFonts w:ascii="Times New Roman" w:hAnsi="Times New Roman" w:cs="Times New Roman"/>
                <w:color w:val="000000" w:themeColor="text1"/>
                <w:sz w:val="26"/>
                <w:szCs w:val="26"/>
              </w:rPr>
              <w:t xml:space="preserve"> </w:t>
            </w:r>
            <w:r w:rsidR="006C3AB1" w:rsidRPr="00C9063A">
              <w:rPr>
                <w:rFonts w:ascii="Times New Roman" w:hAnsi="Times New Roman" w:cs="Times New Roman"/>
                <w:color w:val="000000" w:themeColor="text1"/>
                <w:sz w:val="26"/>
                <w:szCs w:val="26"/>
              </w:rPr>
              <w:t>uzņēmuma ienākuma nodokļa atlaidi</w:t>
            </w:r>
            <w:r w:rsidRPr="00C9063A">
              <w:rPr>
                <w:rFonts w:ascii="Times New Roman" w:hAnsi="Times New Roman" w:cs="Times New Roman"/>
                <w:color w:val="000000" w:themeColor="text1"/>
                <w:sz w:val="26"/>
                <w:szCs w:val="26"/>
              </w:rPr>
              <w:t>, jaunuzņēmums uzņēmumu ienākuma nodokļa aprēķināšanas mērķim sagatavo gada pārskatu un uzņēmumu ienākuma nodokļa deklarāciju par taksācijas periodu, kurā jaunuzņēmumam nav tiesības piemērot atbalstu un gada pārskatu un uzņēmumu ienākuma nodokļa deklarāciju par taksācijas periodu</w:t>
            </w:r>
            <w:r w:rsidR="006C3AB1" w:rsidRPr="00C9063A">
              <w:rPr>
                <w:rFonts w:ascii="Times New Roman" w:hAnsi="Times New Roman" w:cs="Times New Roman"/>
                <w:color w:val="000000" w:themeColor="text1"/>
                <w:sz w:val="26"/>
                <w:szCs w:val="26"/>
              </w:rPr>
              <w:t>,</w:t>
            </w:r>
            <w:r w:rsidRPr="00C9063A">
              <w:rPr>
                <w:rFonts w:ascii="Times New Roman" w:hAnsi="Times New Roman" w:cs="Times New Roman"/>
                <w:color w:val="000000" w:themeColor="text1"/>
                <w:sz w:val="26"/>
                <w:szCs w:val="26"/>
              </w:rPr>
              <w:t xml:space="preserve"> par kuru jaunuzņēmumam ir tiesības saņemt atbalstu.</w:t>
            </w:r>
          </w:p>
          <w:p w:rsidR="004B7692" w:rsidRPr="00C9063A" w:rsidRDefault="004B7692" w:rsidP="004B7692">
            <w:pPr>
              <w:spacing w:before="120" w:after="0" w:line="240" w:lineRule="auto"/>
              <w:ind w:left="137" w:right="272"/>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Tāpat Likumprojekts paredz gadījumus, kad jaunuzņēmums zaudē savas tiesības izmantot atbalstu, attiecīgi tam uzliekot pienākumu veikt nodokļu nomaksu vispārīgajā kārtībā.</w:t>
            </w:r>
          </w:p>
        </w:tc>
      </w:tr>
      <w:tr w:rsidR="00E4037F" w:rsidRPr="00C9063A" w:rsidTr="003004BB">
        <w:trPr>
          <w:trHeight w:val="476"/>
        </w:trPr>
        <w:tc>
          <w:tcPr>
            <w:tcW w:w="227" w:type="pct"/>
            <w:tcBorders>
              <w:bottom w:val="single" w:sz="4" w:space="0" w:color="auto"/>
            </w:tcBorders>
          </w:tcPr>
          <w:p w:rsidR="00E47C73" w:rsidRPr="00C9063A" w:rsidRDefault="00E4037F" w:rsidP="00D707C0">
            <w:pPr>
              <w:pStyle w:val="naiskr"/>
              <w:spacing w:before="0" w:beforeAutospacing="0" w:after="0" w:afterAutospacing="0"/>
              <w:ind w:left="57" w:right="57"/>
              <w:jc w:val="center"/>
              <w:rPr>
                <w:color w:val="000000" w:themeColor="text1"/>
                <w:sz w:val="26"/>
                <w:szCs w:val="26"/>
              </w:rPr>
            </w:pPr>
            <w:r w:rsidRPr="00C9063A">
              <w:rPr>
                <w:color w:val="000000" w:themeColor="text1"/>
                <w:sz w:val="26"/>
                <w:szCs w:val="26"/>
              </w:rPr>
              <w:lastRenderedPageBreak/>
              <w:t>A</w:t>
            </w:r>
          </w:p>
        </w:tc>
        <w:tc>
          <w:tcPr>
            <w:tcW w:w="1119" w:type="pct"/>
            <w:tcBorders>
              <w:bottom w:val="single" w:sz="4" w:space="0" w:color="auto"/>
            </w:tcBorders>
          </w:tcPr>
          <w:p w:rsidR="00E47C73" w:rsidRPr="00C9063A" w:rsidRDefault="00E47C73" w:rsidP="00D707C0">
            <w:pPr>
              <w:pStyle w:val="naiskr"/>
              <w:spacing w:before="0" w:beforeAutospacing="0" w:after="0" w:afterAutospacing="0"/>
              <w:ind w:left="57" w:right="57"/>
              <w:rPr>
                <w:color w:val="000000" w:themeColor="text1"/>
                <w:sz w:val="26"/>
                <w:szCs w:val="26"/>
              </w:rPr>
            </w:pPr>
            <w:r w:rsidRPr="00C9063A">
              <w:rPr>
                <w:color w:val="000000" w:themeColor="text1"/>
                <w:sz w:val="26"/>
                <w:szCs w:val="26"/>
              </w:rPr>
              <w:t>Projekta izstrādē iesaistītās institūcijas</w:t>
            </w:r>
          </w:p>
        </w:tc>
        <w:tc>
          <w:tcPr>
            <w:tcW w:w="3654" w:type="pct"/>
            <w:tcBorders>
              <w:bottom w:val="single" w:sz="4" w:space="0" w:color="auto"/>
            </w:tcBorders>
          </w:tcPr>
          <w:p w:rsidR="00E47C73" w:rsidRPr="00C9063A" w:rsidRDefault="00454514" w:rsidP="00F3748B">
            <w:pPr>
              <w:spacing w:after="0" w:line="240" w:lineRule="auto"/>
              <w:ind w:left="143" w:right="57"/>
              <w:jc w:val="both"/>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Ekonomikas ministrija</w:t>
            </w:r>
            <w:r w:rsidR="00F3748B" w:rsidRPr="00C9063A">
              <w:rPr>
                <w:rFonts w:ascii="Times New Roman" w:hAnsi="Times New Roman" w:cs="Times New Roman"/>
                <w:iCs/>
                <w:color w:val="000000" w:themeColor="text1"/>
                <w:sz w:val="26"/>
                <w:szCs w:val="26"/>
              </w:rPr>
              <w:t xml:space="preserve"> gatavojot likumprojektu ir konsultējusies ar Finanšu ministriju, Labklājības ministriju, </w:t>
            </w:r>
            <w:proofErr w:type="spellStart"/>
            <w:r w:rsidR="00F3748B" w:rsidRPr="00C9063A">
              <w:rPr>
                <w:rFonts w:ascii="Times New Roman" w:hAnsi="Times New Roman" w:cs="Times New Roman"/>
                <w:i/>
                <w:iCs/>
                <w:color w:val="000000" w:themeColor="text1"/>
                <w:sz w:val="26"/>
                <w:szCs w:val="26"/>
              </w:rPr>
              <w:t>Sart-up</w:t>
            </w:r>
            <w:proofErr w:type="spellEnd"/>
            <w:r w:rsidR="00F3748B" w:rsidRPr="00C9063A">
              <w:rPr>
                <w:rFonts w:ascii="Times New Roman" w:hAnsi="Times New Roman" w:cs="Times New Roman"/>
                <w:iCs/>
                <w:color w:val="000000" w:themeColor="text1"/>
                <w:sz w:val="26"/>
                <w:szCs w:val="26"/>
              </w:rPr>
              <w:t xml:space="preserve"> asociāciju, Latvijas Tirdzniecības un </w:t>
            </w:r>
            <w:r w:rsidR="0023551F" w:rsidRPr="00C9063A">
              <w:rPr>
                <w:rFonts w:ascii="Times New Roman" w:hAnsi="Times New Roman" w:cs="Times New Roman"/>
                <w:iCs/>
                <w:color w:val="000000" w:themeColor="text1"/>
                <w:sz w:val="26"/>
                <w:szCs w:val="26"/>
              </w:rPr>
              <w:t>rūpniecības</w:t>
            </w:r>
            <w:r w:rsidR="0014458A" w:rsidRPr="00C9063A">
              <w:rPr>
                <w:rFonts w:ascii="Times New Roman" w:hAnsi="Times New Roman" w:cs="Times New Roman"/>
                <w:iCs/>
                <w:color w:val="000000" w:themeColor="text1"/>
                <w:sz w:val="26"/>
                <w:szCs w:val="26"/>
              </w:rPr>
              <w:t xml:space="preserve"> kameru</w:t>
            </w:r>
            <w:r w:rsidR="00F3748B" w:rsidRPr="00C9063A">
              <w:rPr>
                <w:rFonts w:ascii="Times New Roman" w:hAnsi="Times New Roman" w:cs="Times New Roman"/>
                <w:iCs/>
                <w:color w:val="000000" w:themeColor="text1"/>
                <w:sz w:val="26"/>
                <w:szCs w:val="26"/>
              </w:rPr>
              <w:t>.</w:t>
            </w:r>
          </w:p>
        </w:tc>
      </w:tr>
      <w:tr w:rsidR="00E4037F" w:rsidRPr="00C9063A" w:rsidTr="003004BB">
        <w:trPr>
          <w:trHeight w:val="691"/>
        </w:trPr>
        <w:tc>
          <w:tcPr>
            <w:tcW w:w="227" w:type="pct"/>
            <w:tcBorders>
              <w:top w:val="single" w:sz="4" w:space="0" w:color="auto"/>
              <w:left w:val="single" w:sz="4" w:space="0" w:color="auto"/>
              <w:bottom w:val="single" w:sz="4" w:space="0" w:color="auto"/>
              <w:right w:val="single" w:sz="4" w:space="0" w:color="auto"/>
            </w:tcBorders>
          </w:tcPr>
          <w:p w:rsidR="00E47C73" w:rsidRPr="00C9063A" w:rsidRDefault="00E47C73" w:rsidP="00D707C0">
            <w:pPr>
              <w:pStyle w:val="naiskr"/>
              <w:spacing w:before="0" w:beforeAutospacing="0" w:after="0" w:afterAutospacing="0"/>
              <w:ind w:left="57" w:right="57"/>
              <w:jc w:val="center"/>
              <w:rPr>
                <w:color w:val="000000" w:themeColor="text1"/>
                <w:sz w:val="26"/>
                <w:szCs w:val="26"/>
              </w:rPr>
            </w:pPr>
            <w:r w:rsidRPr="00C9063A">
              <w:rPr>
                <w:color w:val="000000" w:themeColor="text1"/>
                <w:sz w:val="26"/>
                <w:szCs w:val="26"/>
              </w:rPr>
              <w:t>4.</w:t>
            </w:r>
          </w:p>
        </w:tc>
        <w:tc>
          <w:tcPr>
            <w:tcW w:w="1119" w:type="pct"/>
            <w:tcBorders>
              <w:top w:val="single" w:sz="4" w:space="0" w:color="auto"/>
              <w:left w:val="single" w:sz="4" w:space="0" w:color="auto"/>
              <w:bottom w:val="single" w:sz="4" w:space="0" w:color="auto"/>
              <w:right w:val="single" w:sz="4" w:space="0" w:color="auto"/>
            </w:tcBorders>
          </w:tcPr>
          <w:p w:rsidR="00E47C73" w:rsidRPr="00C9063A" w:rsidRDefault="00E47C73" w:rsidP="00D707C0">
            <w:pPr>
              <w:pStyle w:val="naiskr"/>
              <w:spacing w:before="0" w:beforeAutospacing="0" w:after="0" w:afterAutospacing="0"/>
              <w:ind w:left="57" w:right="57"/>
              <w:rPr>
                <w:color w:val="000000" w:themeColor="text1"/>
                <w:sz w:val="26"/>
                <w:szCs w:val="26"/>
              </w:rPr>
            </w:pPr>
            <w:r w:rsidRPr="00C9063A">
              <w:rPr>
                <w:color w:val="000000" w:themeColor="text1"/>
                <w:sz w:val="26"/>
                <w:szCs w:val="26"/>
              </w:rPr>
              <w:t>Cita informācija</w:t>
            </w:r>
          </w:p>
        </w:tc>
        <w:tc>
          <w:tcPr>
            <w:tcW w:w="3654" w:type="pct"/>
            <w:tcBorders>
              <w:top w:val="single" w:sz="4" w:space="0" w:color="auto"/>
              <w:left w:val="single" w:sz="4" w:space="0" w:color="auto"/>
              <w:bottom w:val="single" w:sz="4" w:space="0" w:color="auto"/>
              <w:right w:val="single" w:sz="4" w:space="0" w:color="auto"/>
            </w:tcBorders>
          </w:tcPr>
          <w:p w:rsidR="00E47C73" w:rsidRPr="00C9063A" w:rsidRDefault="00CB6CE5" w:rsidP="00D707C0">
            <w:pPr>
              <w:pStyle w:val="naiskr"/>
              <w:spacing w:before="0" w:beforeAutospacing="0" w:after="0" w:afterAutospacing="0"/>
              <w:ind w:left="142"/>
              <w:rPr>
                <w:color w:val="000000" w:themeColor="text1"/>
                <w:sz w:val="26"/>
                <w:szCs w:val="26"/>
              </w:rPr>
            </w:pPr>
            <w:r w:rsidRPr="00C9063A">
              <w:rPr>
                <w:color w:val="000000" w:themeColor="text1"/>
                <w:sz w:val="26"/>
                <w:szCs w:val="26"/>
              </w:rPr>
              <w:t>Nav.</w:t>
            </w:r>
          </w:p>
        </w:tc>
      </w:tr>
    </w:tbl>
    <w:p w:rsidR="003446EB" w:rsidRPr="00C9063A" w:rsidRDefault="003446EB" w:rsidP="00D707C0">
      <w:pPr>
        <w:spacing w:after="0" w:line="240" w:lineRule="auto"/>
        <w:rPr>
          <w:rFonts w:ascii="Times New Roman" w:hAnsi="Times New Roman" w:cs="Times New Roman"/>
          <w:color w:val="000000" w:themeColor="text1"/>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E4037F" w:rsidRPr="00C9063A" w:rsidTr="00EA2BCB">
        <w:trPr>
          <w:trHeight w:val="419"/>
        </w:trPr>
        <w:tc>
          <w:tcPr>
            <w:tcW w:w="5000" w:type="pct"/>
            <w:gridSpan w:val="3"/>
            <w:vAlign w:val="center"/>
          </w:tcPr>
          <w:p w:rsidR="00E47C73" w:rsidRPr="00C9063A" w:rsidRDefault="00E47C73" w:rsidP="00D707C0">
            <w:pPr>
              <w:spacing w:after="0" w:line="240" w:lineRule="auto"/>
              <w:jc w:val="center"/>
              <w:rPr>
                <w:rFonts w:ascii="Times New Roman" w:hAnsi="Times New Roman" w:cs="Times New Roman"/>
                <w:b/>
                <w:color w:val="000000" w:themeColor="text1"/>
                <w:sz w:val="26"/>
                <w:szCs w:val="26"/>
              </w:rPr>
            </w:pPr>
            <w:r w:rsidRPr="00C9063A">
              <w:rPr>
                <w:rFonts w:ascii="Times New Roman" w:hAnsi="Times New Roman" w:cs="Times New Roman"/>
                <w:b/>
                <w:bCs/>
                <w:color w:val="000000" w:themeColor="text1"/>
                <w:sz w:val="26"/>
                <w:szCs w:val="26"/>
              </w:rPr>
              <w:t>II. Tiesību akta projekta ietekme uz sabiedrību, tautsaimniecības attīstību un administratīvo slogu</w:t>
            </w:r>
          </w:p>
        </w:tc>
      </w:tr>
      <w:tr w:rsidR="00E4037F" w:rsidRPr="00C9063A" w:rsidTr="00EA2BCB">
        <w:trPr>
          <w:trHeight w:val="415"/>
        </w:trPr>
        <w:tc>
          <w:tcPr>
            <w:tcW w:w="227"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1.</w:t>
            </w:r>
          </w:p>
        </w:tc>
        <w:tc>
          <w:tcPr>
            <w:tcW w:w="1566"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Sabiedrības mērķgrupas, kuras tiesiskais regulējums ietekmē vai varētu ietekmēt</w:t>
            </w:r>
          </w:p>
        </w:tc>
        <w:tc>
          <w:tcPr>
            <w:tcW w:w="3207" w:type="pct"/>
          </w:tcPr>
          <w:p w:rsidR="00E47C73" w:rsidRPr="00C9063A" w:rsidRDefault="00F3748B" w:rsidP="00F3748B">
            <w:pPr>
              <w:spacing w:after="0" w:line="240" w:lineRule="auto"/>
              <w:ind w:left="142" w:right="142"/>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Likum</w:t>
            </w:r>
            <w:r w:rsidR="0062784D" w:rsidRPr="00C9063A">
              <w:rPr>
                <w:rFonts w:ascii="Times New Roman" w:hAnsi="Times New Roman" w:cs="Times New Roman"/>
                <w:color w:val="000000" w:themeColor="text1"/>
                <w:sz w:val="26"/>
                <w:szCs w:val="26"/>
              </w:rPr>
              <w:t>projekts</w:t>
            </w:r>
            <w:r w:rsidR="00E47C73" w:rsidRPr="00C9063A">
              <w:rPr>
                <w:rFonts w:ascii="Times New Roman" w:hAnsi="Times New Roman" w:cs="Times New Roman"/>
                <w:color w:val="000000" w:themeColor="text1"/>
                <w:sz w:val="26"/>
                <w:szCs w:val="26"/>
              </w:rPr>
              <w:t xml:space="preserve"> ietekmēs</w:t>
            </w:r>
            <w:r w:rsidRPr="00C9063A">
              <w:rPr>
                <w:rFonts w:ascii="Times New Roman" w:hAnsi="Times New Roman" w:cs="Times New Roman"/>
                <w:color w:val="000000" w:themeColor="text1"/>
                <w:sz w:val="26"/>
                <w:szCs w:val="26"/>
              </w:rPr>
              <w:t xml:space="preserve"> nodokļu maksātājus – komersantus, kas vēlēsies saņemt šajā likumā noteikto atbalstu</w:t>
            </w:r>
            <w:r w:rsidR="002108C8" w:rsidRPr="00C9063A">
              <w:rPr>
                <w:rFonts w:ascii="Times New Roman" w:hAnsi="Times New Roman" w:cs="Times New Roman"/>
                <w:color w:val="000000" w:themeColor="text1"/>
                <w:sz w:val="26"/>
                <w:szCs w:val="26"/>
              </w:rPr>
              <w:t xml:space="preserve">. </w:t>
            </w:r>
            <w:r w:rsidRPr="00C9063A">
              <w:rPr>
                <w:rFonts w:ascii="Times New Roman" w:hAnsi="Times New Roman" w:cs="Times New Roman"/>
                <w:color w:val="000000" w:themeColor="text1"/>
                <w:sz w:val="26"/>
                <w:szCs w:val="26"/>
              </w:rPr>
              <w:t>Plānots aptuveni – 20 uzņēmumi</w:t>
            </w:r>
            <w:r w:rsidR="00F0207A" w:rsidRPr="00C9063A">
              <w:rPr>
                <w:rFonts w:ascii="Times New Roman" w:hAnsi="Times New Roman" w:cs="Times New Roman"/>
                <w:color w:val="000000" w:themeColor="text1"/>
                <w:sz w:val="26"/>
                <w:szCs w:val="26"/>
              </w:rPr>
              <w:t xml:space="preserve"> gadā</w:t>
            </w:r>
            <w:r w:rsidR="002108C8" w:rsidRPr="00C9063A">
              <w:rPr>
                <w:rFonts w:ascii="Times New Roman" w:hAnsi="Times New Roman" w:cs="Times New Roman"/>
                <w:color w:val="000000" w:themeColor="text1"/>
                <w:sz w:val="26"/>
                <w:szCs w:val="26"/>
              </w:rPr>
              <w:t>.</w:t>
            </w:r>
          </w:p>
        </w:tc>
      </w:tr>
      <w:tr w:rsidR="00E4037F" w:rsidRPr="00C9063A" w:rsidTr="00EA2BCB">
        <w:trPr>
          <w:trHeight w:val="472"/>
        </w:trPr>
        <w:tc>
          <w:tcPr>
            <w:tcW w:w="227"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2.</w:t>
            </w:r>
          </w:p>
        </w:tc>
        <w:tc>
          <w:tcPr>
            <w:tcW w:w="1566"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Tiesiskā regulējuma ietekme uz tautsaimniecību un administratīvo slogu</w:t>
            </w:r>
          </w:p>
        </w:tc>
        <w:tc>
          <w:tcPr>
            <w:tcW w:w="3207" w:type="pct"/>
          </w:tcPr>
          <w:p w:rsidR="00AB4DE4" w:rsidRPr="00C9063A" w:rsidRDefault="00185E73" w:rsidP="0066534F">
            <w:pPr>
              <w:spacing w:before="120" w:after="0" w:line="240" w:lineRule="auto"/>
              <w:ind w:left="142" w:right="141"/>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 xml:space="preserve">Potenciālajiem atbalsta saņēmējiem </w:t>
            </w:r>
            <w:r w:rsidR="00F3748B" w:rsidRPr="00C9063A">
              <w:rPr>
                <w:rFonts w:ascii="Times New Roman" w:eastAsia="Times New Roman" w:hAnsi="Times New Roman" w:cs="Times New Roman"/>
                <w:color w:val="000000" w:themeColor="text1"/>
                <w:sz w:val="26"/>
                <w:szCs w:val="26"/>
                <w:lang w:eastAsia="lv-LV"/>
              </w:rPr>
              <w:t>likum</w:t>
            </w:r>
            <w:r w:rsidRPr="00C9063A">
              <w:rPr>
                <w:rFonts w:ascii="Times New Roman" w:eastAsia="Times New Roman" w:hAnsi="Times New Roman" w:cs="Times New Roman"/>
                <w:color w:val="000000" w:themeColor="text1"/>
                <w:sz w:val="26"/>
                <w:szCs w:val="26"/>
                <w:lang w:eastAsia="lv-LV"/>
              </w:rPr>
              <w:t xml:space="preserve">projekts nerada papildu </w:t>
            </w:r>
            <w:r w:rsidR="006C3AB1" w:rsidRPr="00C9063A">
              <w:rPr>
                <w:rFonts w:ascii="Times New Roman" w:eastAsia="Times New Roman" w:hAnsi="Times New Roman" w:cs="Times New Roman"/>
                <w:color w:val="000000" w:themeColor="text1"/>
                <w:sz w:val="26"/>
                <w:szCs w:val="26"/>
                <w:lang w:eastAsia="lv-LV"/>
              </w:rPr>
              <w:t xml:space="preserve">būtisku </w:t>
            </w:r>
            <w:r w:rsidRPr="00C9063A">
              <w:rPr>
                <w:rFonts w:ascii="Times New Roman" w:eastAsia="Times New Roman" w:hAnsi="Times New Roman" w:cs="Times New Roman"/>
                <w:color w:val="000000" w:themeColor="text1"/>
                <w:sz w:val="26"/>
                <w:szCs w:val="26"/>
                <w:lang w:eastAsia="lv-LV"/>
              </w:rPr>
              <w:t>administratīvo slogu</w:t>
            </w:r>
            <w:r w:rsidR="006C3AB1" w:rsidRPr="00C9063A">
              <w:rPr>
                <w:rFonts w:ascii="Times New Roman" w:eastAsia="Times New Roman" w:hAnsi="Times New Roman" w:cs="Times New Roman"/>
                <w:color w:val="000000" w:themeColor="text1"/>
                <w:sz w:val="26"/>
                <w:szCs w:val="26"/>
                <w:lang w:eastAsia="lv-LV"/>
              </w:rPr>
              <w:t xml:space="preserve"> – jaunuzņēmumam ir jāaizpilda pieteikuma veidlapas, kā arī gada pārskats, ja </w:t>
            </w:r>
            <w:r w:rsidR="006C3AB1" w:rsidRPr="00C9063A">
              <w:rPr>
                <w:rFonts w:ascii="Times New Roman" w:hAnsi="Times New Roman" w:cs="Times New Roman"/>
                <w:color w:val="000000" w:themeColor="text1"/>
                <w:sz w:val="26"/>
                <w:szCs w:val="26"/>
              </w:rPr>
              <w:t xml:space="preserve"> kad Komisijas lēmuma par jaunuzņēmuma atbalstīšanu pieņemšanas datums nesakrīt ar nodokļu maksātāja taksācijas perioda sākumu</w:t>
            </w:r>
            <w:r w:rsidRPr="00C9063A">
              <w:rPr>
                <w:rFonts w:ascii="Times New Roman" w:eastAsia="Times New Roman" w:hAnsi="Times New Roman" w:cs="Times New Roman"/>
                <w:color w:val="000000" w:themeColor="text1"/>
                <w:sz w:val="26"/>
                <w:szCs w:val="26"/>
                <w:lang w:eastAsia="lv-LV"/>
              </w:rPr>
              <w:t>.</w:t>
            </w:r>
            <w:r w:rsidR="004C6C83" w:rsidRPr="00C9063A">
              <w:rPr>
                <w:rFonts w:ascii="Times New Roman" w:eastAsia="Times New Roman" w:hAnsi="Times New Roman" w:cs="Times New Roman"/>
                <w:color w:val="000000" w:themeColor="text1"/>
                <w:sz w:val="26"/>
                <w:szCs w:val="26"/>
                <w:lang w:eastAsia="lv-LV"/>
              </w:rPr>
              <w:t xml:space="preserve"> </w:t>
            </w:r>
          </w:p>
          <w:p w:rsidR="00F0207A" w:rsidRPr="00C9063A" w:rsidRDefault="00F0207A" w:rsidP="0066534F">
            <w:pPr>
              <w:spacing w:before="120" w:after="0" w:line="240" w:lineRule="auto"/>
              <w:ind w:left="142" w:right="141"/>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Lai nodrošinātu vienkāršotu pieteikšanās procesu gan fiksētam maksājumam, gan atbalsta programmai augsti kvalificētu darbinieku piesaistei, paredzēts, ka jaunuzņēmums iesniedz vienu pieteikumu, kurā ir uzrādīta visa Komisijai nepieciešamā informācija lēmuma pieņemšanai. Vienotais pieteikums ir attiecināms arī gadījumā, kad jaunuzņēmums pieteiksies atbalsta programmai augsti kvalificētu darbinieku piesaistei, jo būs jāizpilda pienākumi, kas saistīti ar jaunuzņēmuma tiesību apstiprināšanu, gan Ministru kabineta līmenī noteiktie atbalsta programmas nosacījumi augsti kvalificētu darbinieku piesaistei.</w:t>
            </w:r>
          </w:p>
          <w:p w:rsidR="00AB4DE4" w:rsidRPr="00C9063A" w:rsidRDefault="00F3748B" w:rsidP="0066534F">
            <w:pPr>
              <w:spacing w:before="120" w:after="0" w:line="240" w:lineRule="auto"/>
              <w:ind w:left="142" w:right="141"/>
              <w:jc w:val="both"/>
              <w:rPr>
                <w:rFonts w:ascii="Times New Roman" w:hAnsi="Times New Roman" w:cs="Times New Roman"/>
                <w:color w:val="000000" w:themeColor="text1"/>
                <w:sz w:val="26"/>
                <w:szCs w:val="26"/>
              </w:rPr>
            </w:pPr>
            <w:r w:rsidRPr="00C9063A">
              <w:rPr>
                <w:rFonts w:ascii="Times New Roman" w:eastAsia="Times New Roman" w:hAnsi="Times New Roman" w:cs="Times New Roman"/>
                <w:color w:val="000000" w:themeColor="text1"/>
                <w:sz w:val="26"/>
                <w:szCs w:val="26"/>
                <w:lang w:eastAsia="lv-LV"/>
              </w:rPr>
              <w:t xml:space="preserve">Papildus administratīvais darbs </w:t>
            </w:r>
            <w:r w:rsidR="00AB4DE4" w:rsidRPr="00C9063A">
              <w:rPr>
                <w:rFonts w:ascii="Times New Roman" w:eastAsia="Times New Roman" w:hAnsi="Times New Roman" w:cs="Times New Roman"/>
                <w:color w:val="000000" w:themeColor="text1"/>
                <w:sz w:val="26"/>
                <w:szCs w:val="26"/>
                <w:lang w:eastAsia="lv-LV"/>
              </w:rPr>
              <w:t>paredzēts</w:t>
            </w:r>
            <w:r w:rsidRPr="00C9063A">
              <w:rPr>
                <w:rFonts w:ascii="Times New Roman" w:eastAsia="Times New Roman" w:hAnsi="Times New Roman" w:cs="Times New Roman"/>
                <w:color w:val="000000" w:themeColor="text1"/>
                <w:sz w:val="26"/>
                <w:szCs w:val="26"/>
                <w:lang w:eastAsia="lv-LV"/>
              </w:rPr>
              <w:t xml:space="preserve"> Komisijai </w:t>
            </w:r>
            <w:r w:rsidR="00AB4DE4" w:rsidRPr="00C9063A">
              <w:rPr>
                <w:rFonts w:ascii="Times New Roman" w:eastAsia="Times New Roman" w:hAnsi="Times New Roman" w:cs="Times New Roman"/>
                <w:color w:val="000000" w:themeColor="text1"/>
                <w:sz w:val="26"/>
                <w:szCs w:val="26"/>
                <w:lang w:eastAsia="lv-LV"/>
              </w:rPr>
              <w:t xml:space="preserve">pie </w:t>
            </w:r>
            <w:r w:rsidRPr="00C9063A">
              <w:rPr>
                <w:rFonts w:ascii="Times New Roman" w:eastAsia="Times New Roman" w:hAnsi="Times New Roman" w:cs="Times New Roman"/>
                <w:color w:val="000000" w:themeColor="text1"/>
                <w:sz w:val="26"/>
                <w:szCs w:val="26"/>
                <w:lang w:eastAsia="lv-LV"/>
              </w:rPr>
              <w:t>jaunuzņēmumu</w:t>
            </w:r>
            <w:r w:rsidR="00AB4DE4" w:rsidRPr="00C9063A">
              <w:rPr>
                <w:rFonts w:ascii="Times New Roman" w:eastAsia="Times New Roman" w:hAnsi="Times New Roman" w:cs="Times New Roman"/>
                <w:color w:val="000000" w:themeColor="text1"/>
                <w:sz w:val="26"/>
                <w:szCs w:val="26"/>
                <w:lang w:eastAsia="lv-LV"/>
              </w:rPr>
              <w:t xml:space="preserve"> izvērtēšanas</w:t>
            </w:r>
            <w:r w:rsidR="00CE5829" w:rsidRPr="00C9063A">
              <w:rPr>
                <w:rFonts w:ascii="Times New Roman" w:eastAsia="Times New Roman" w:hAnsi="Times New Roman" w:cs="Times New Roman"/>
                <w:color w:val="000000" w:themeColor="text1"/>
                <w:sz w:val="26"/>
                <w:szCs w:val="26"/>
                <w:lang w:eastAsia="lv-LV"/>
              </w:rPr>
              <w:t xml:space="preserve">, paredzēts, ka būs nepieciešama pilna laika amata vieta Komisijas sekretariāta darba nodrošināšanai, kas veiks saistītos </w:t>
            </w:r>
            <w:r w:rsidR="00CE5829" w:rsidRPr="00C9063A">
              <w:rPr>
                <w:rFonts w:ascii="Times New Roman" w:eastAsia="Times New Roman" w:hAnsi="Times New Roman" w:cs="Times New Roman"/>
                <w:color w:val="000000" w:themeColor="text1"/>
                <w:sz w:val="26"/>
                <w:szCs w:val="26"/>
                <w:lang w:eastAsia="lv-LV"/>
              </w:rPr>
              <w:lastRenderedPageBreak/>
              <w:t>darbus ar novērtējuma sagatavošanu un uzraudzības funkciju nodrošināšanu</w:t>
            </w:r>
            <w:r w:rsidR="00185E73" w:rsidRPr="00C9063A">
              <w:rPr>
                <w:rFonts w:ascii="Times New Roman" w:eastAsia="Times New Roman" w:hAnsi="Times New Roman" w:cs="Times New Roman"/>
                <w:color w:val="000000" w:themeColor="text1"/>
                <w:sz w:val="26"/>
                <w:szCs w:val="26"/>
                <w:lang w:eastAsia="lv-LV"/>
              </w:rPr>
              <w:t>.</w:t>
            </w:r>
            <w:r w:rsidR="00CE5390" w:rsidRPr="00C9063A">
              <w:rPr>
                <w:rFonts w:ascii="Times New Roman" w:hAnsi="Times New Roman" w:cs="Times New Roman"/>
                <w:color w:val="000000" w:themeColor="text1"/>
                <w:sz w:val="26"/>
                <w:szCs w:val="26"/>
              </w:rPr>
              <w:t xml:space="preserve"> </w:t>
            </w:r>
          </w:p>
        </w:tc>
      </w:tr>
      <w:tr w:rsidR="00E4037F" w:rsidRPr="00C9063A" w:rsidTr="00EA2BCB">
        <w:trPr>
          <w:trHeight w:val="476"/>
        </w:trPr>
        <w:tc>
          <w:tcPr>
            <w:tcW w:w="227"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lastRenderedPageBreak/>
              <w:t>3.</w:t>
            </w:r>
          </w:p>
        </w:tc>
        <w:tc>
          <w:tcPr>
            <w:tcW w:w="1566"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Administratīvo izmaksu monetārs novērtējums</w:t>
            </w:r>
          </w:p>
        </w:tc>
        <w:tc>
          <w:tcPr>
            <w:tcW w:w="3207" w:type="pct"/>
          </w:tcPr>
          <w:p w:rsidR="00E34D84" w:rsidRPr="00C9063A" w:rsidRDefault="00CE5829" w:rsidP="009166C9">
            <w:pPr>
              <w:spacing w:before="120" w:after="0" w:line="240" w:lineRule="auto"/>
              <w:ind w:left="142"/>
              <w:jc w:val="both"/>
              <w:rPr>
                <w:rFonts w:ascii="Times New Roman" w:hAnsi="Times New Roman" w:cs="Times New Roman"/>
                <w:color w:val="000000" w:themeColor="text1"/>
                <w:sz w:val="26"/>
                <w:szCs w:val="26"/>
              </w:rPr>
            </w:pPr>
            <w:r w:rsidRPr="00C9063A">
              <w:rPr>
                <w:rFonts w:ascii="Times New Roman" w:eastAsia="Times New Roman" w:hAnsi="Times New Roman" w:cs="Times New Roman"/>
                <w:color w:val="000000" w:themeColor="text1"/>
                <w:sz w:val="26"/>
                <w:szCs w:val="26"/>
                <w:lang w:eastAsia="lv-LV"/>
              </w:rPr>
              <w:t xml:space="preserve">Komisijas sekretariāta </w:t>
            </w:r>
            <w:r w:rsidR="009166C9" w:rsidRPr="00C9063A">
              <w:rPr>
                <w:rFonts w:ascii="Times New Roman" w:eastAsia="Times New Roman" w:hAnsi="Times New Roman" w:cs="Times New Roman"/>
                <w:color w:val="000000" w:themeColor="text1"/>
                <w:sz w:val="26"/>
                <w:szCs w:val="26"/>
                <w:lang w:eastAsia="lv-LV"/>
              </w:rPr>
              <w:t>darbības</w:t>
            </w:r>
            <w:r w:rsidRPr="00C9063A">
              <w:rPr>
                <w:rFonts w:ascii="Times New Roman" w:eastAsia="Times New Roman" w:hAnsi="Times New Roman" w:cs="Times New Roman"/>
                <w:color w:val="000000" w:themeColor="text1"/>
                <w:sz w:val="26"/>
                <w:szCs w:val="26"/>
                <w:lang w:eastAsia="lv-LV"/>
              </w:rPr>
              <w:t xml:space="preserve"> </w:t>
            </w:r>
            <w:r w:rsidR="009166C9" w:rsidRPr="00C9063A">
              <w:rPr>
                <w:rFonts w:ascii="Times New Roman" w:eastAsia="Times New Roman" w:hAnsi="Times New Roman" w:cs="Times New Roman"/>
                <w:color w:val="000000" w:themeColor="text1"/>
                <w:sz w:val="26"/>
                <w:szCs w:val="26"/>
                <w:lang w:eastAsia="lv-LV"/>
              </w:rPr>
              <w:t>izmaksas lēšamas</w:t>
            </w:r>
            <w:r w:rsidRPr="00C9063A">
              <w:rPr>
                <w:rFonts w:ascii="Times New Roman" w:hAnsi="Times New Roman" w:cs="Times New Roman"/>
                <w:color w:val="000000" w:themeColor="text1"/>
                <w:sz w:val="26"/>
                <w:szCs w:val="26"/>
              </w:rPr>
              <w:t xml:space="preserve"> 25 000 </w:t>
            </w:r>
            <w:r w:rsidR="001C6291" w:rsidRPr="00C9063A">
              <w:rPr>
                <w:rFonts w:ascii="Times New Roman" w:hAnsi="Times New Roman" w:cs="Times New Roman"/>
                <w:color w:val="000000" w:themeColor="text1"/>
                <w:sz w:val="26"/>
                <w:szCs w:val="26"/>
              </w:rPr>
              <w:t xml:space="preserve"> euro</w:t>
            </w:r>
            <w:r w:rsidR="009166C9" w:rsidRPr="00C9063A">
              <w:rPr>
                <w:rFonts w:ascii="Times New Roman" w:hAnsi="Times New Roman" w:cs="Times New Roman"/>
                <w:color w:val="000000" w:themeColor="text1"/>
                <w:sz w:val="26"/>
                <w:szCs w:val="26"/>
              </w:rPr>
              <w:t xml:space="preserve"> gadā</w:t>
            </w:r>
            <w:r w:rsidR="001C6291" w:rsidRPr="00C9063A">
              <w:rPr>
                <w:rFonts w:ascii="Times New Roman" w:hAnsi="Times New Roman" w:cs="Times New Roman"/>
                <w:color w:val="000000" w:themeColor="text1"/>
                <w:sz w:val="26"/>
                <w:szCs w:val="26"/>
              </w:rPr>
              <w:t>.</w:t>
            </w:r>
          </w:p>
        </w:tc>
      </w:tr>
      <w:tr w:rsidR="00E4037F" w:rsidRPr="00C9063A" w:rsidTr="00EA2BCB">
        <w:tc>
          <w:tcPr>
            <w:tcW w:w="227"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4.</w:t>
            </w:r>
          </w:p>
        </w:tc>
        <w:tc>
          <w:tcPr>
            <w:tcW w:w="1566" w:type="pct"/>
          </w:tcPr>
          <w:p w:rsidR="00E47C73" w:rsidRPr="00C9063A" w:rsidRDefault="00E47C73" w:rsidP="00D707C0">
            <w:pPr>
              <w:spacing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Cita informācija</w:t>
            </w:r>
          </w:p>
        </w:tc>
        <w:tc>
          <w:tcPr>
            <w:tcW w:w="3207" w:type="pct"/>
          </w:tcPr>
          <w:p w:rsidR="00E47C73" w:rsidRPr="00C9063A" w:rsidRDefault="00E47C73" w:rsidP="00D707C0">
            <w:pPr>
              <w:spacing w:after="0" w:line="240" w:lineRule="auto"/>
              <w:ind w:left="142"/>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Nav.</w:t>
            </w:r>
          </w:p>
        </w:tc>
      </w:tr>
    </w:tbl>
    <w:p w:rsidR="00E47C73" w:rsidRPr="00C9063A" w:rsidRDefault="00E47C73" w:rsidP="00D707C0">
      <w:pPr>
        <w:spacing w:after="0" w:line="240" w:lineRule="auto"/>
        <w:rPr>
          <w:rFonts w:ascii="Times New Roman" w:eastAsia="Times New Roman" w:hAnsi="Times New Roman" w:cs="Times New Roman"/>
          <w:i/>
          <w:color w:val="000000" w:themeColor="text1"/>
          <w:sz w:val="26"/>
          <w:szCs w:val="26"/>
          <w:lang w:eastAsia="lv-LV"/>
        </w:rPr>
      </w:pPr>
    </w:p>
    <w:tbl>
      <w:tblPr>
        <w:tblW w:w="5103" w:type="pct"/>
        <w:tblInd w:w="-3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329"/>
        <w:gridCol w:w="1197"/>
        <w:gridCol w:w="1470"/>
        <w:gridCol w:w="22"/>
        <w:gridCol w:w="1493"/>
        <w:gridCol w:w="44"/>
        <w:gridCol w:w="1417"/>
        <w:gridCol w:w="31"/>
        <w:gridCol w:w="1245"/>
      </w:tblGrid>
      <w:tr w:rsidR="0083202B" w:rsidRPr="00C9063A" w:rsidTr="0083202B">
        <w:tc>
          <w:tcPr>
            <w:tcW w:w="5000" w:type="pct"/>
            <w:gridSpan w:val="9"/>
            <w:tcBorders>
              <w:top w:val="single" w:sz="4" w:space="0" w:color="auto"/>
              <w:left w:val="single" w:sz="4" w:space="0" w:color="auto"/>
              <w:bottom w:val="single" w:sz="4" w:space="0" w:color="auto"/>
              <w:right w:val="single" w:sz="4" w:space="0" w:color="auto"/>
            </w:tcBorders>
            <w:vAlign w:val="center"/>
          </w:tcPr>
          <w:p w:rsidR="0083202B" w:rsidRPr="00C9063A" w:rsidRDefault="0083202B" w:rsidP="0083202B">
            <w:pPr>
              <w:spacing w:after="0" w:line="240" w:lineRule="auto"/>
              <w:jc w:val="center"/>
              <w:rPr>
                <w:rFonts w:ascii="Times New Roman" w:hAnsi="Times New Roman" w:cs="Times New Roman"/>
                <w:b/>
                <w:sz w:val="26"/>
                <w:szCs w:val="26"/>
              </w:rPr>
            </w:pPr>
            <w:r w:rsidRPr="00C9063A">
              <w:rPr>
                <w:rFonts w:ascii="Times New Roman" w:hAnsi="Times New Roman" w:cs="Times New Roman"/>
                <w:b/>
                <w:sz w:val="26"/>
                <w:szCs w:val="26"/>
              </w:rPr>
              <w:br w:type="page"/>
              <w:t>III. Tiesību akta projekta ietekme uz valsts budžetu un pašvaldību budžetiem</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val="restart"/>
            <w:vAlign w:val="center"/>
          </w:tcPr>
          <w:p w:rsidR="0083202B" w:rsidRPr="00C9063A" w:rsidRDefault="0083202B" w:rsidP="0083202B">
            <w:pPr>
              <w:pStyle w:val="naisf"/>
              <w:spacing w:before="0" w:beforeAutospacing="0" w:after="0" w:afterAutospacing="0"/>
              <w:jc w:val="center"/>
              <w:rPr>
                <w:b/>
                <w:sz w:val="26"/>
                <w:szCs w:val="26"/>
              </w:rPr>
            </w:pPr>
            <w:r w:rsidRPr="00C9063A">
              <w:rPr>
                <w:b/>
                <w:sz w:val="26"/>
                <w:szCs w:val="26"/>
              </w:rPr>
              <w:t>Rādītāji</w:t>
            </w:r>
          </w:p>
        </w:tc>
        <w:tc>
          <w:tcPr>
            <w:tcW w:w="1442" w:type="pct"/>
            <w:gridSpan w:val="2"/>
            <w:vMerge w:val="restart"/>
            <w:vAlign w:val="center"/>
          </w:tcPr>
          <w:p w:rsidR="0083202B" w:rsidRPr="00C9063A" w:rsidRDefault="0083202B" w:rsidP="0083202B">
            <w:pPr>
              <w:pStyle w:val="naisf"/>
              <w:spacing w:before="0" w:beforeAutospacing="0" w:after="0" w:afterAutospacing="0"/>
              <w:jc w:val="center"/>
              <w:rPr>
                <w:b/>
                <w:sz w:val="26"/>
                <w:szCs w:val="26"/>
              </w:rPr>
            </w:pPr>
            <w:r w:rsidRPr="00C9063A">
              <w:rPr>
                <w:b/>
                <w:sz w:val="26"/>
                <w:szCs w:val="26"/>
              </w:rPr>
              <w:t>2016.</w:t>
            </w:r>
          </w:p>
        </w:tc>
        <w:tc>
          <w:tcPr>
            <w:tcW w:w="2299" w:type="pct"/>
            <w:gridSpan w:val="6"/>
            <w:vAlign w:val="center"/>
          </w:tcPr>
          <w:p w:rsidR="0083202B" w:rsidRPr="00C9063A" w:rsidRDefault="0083202B" w:rsidP="0083202B">
            <w:pPr>
              <w:pStyle w:val="naisf"/>
              <w:spacing w:before="0" w:beforeAutospacing="0" w:after="0" w:afterAutospacing="0"/>
              <w:jc w:val="center"/>
              <w:rPr>
                <w:b/>
                <w:i/>
                <w:sz w:val="26"/>
                <w:szCs w:val="26"/>
              </w:rPr>
            </w:pPr>
            <w:r w:rsidRPr="00C9063A">
              <w:rPr>
                <w:sz w:val="26"/>
                <w:szCs w:val="26"/>
              </w:rPr>
              <w:t xml:space="preserve">Turpmākie trīs gadi </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vAlign w:val="center"/>
          </w:tcPr>
          <w:p w:rsidR="0083202B" w:rsidRPr="00C9063A" w:rsidRDefault="0083202B" w:rsidP="0083202B">
            <w:pPr>
              <w:pStyle w:val="naisf"/>
              <w:spacing w:before="0" w:beforeAutospacing="0" w:after="0" w:afterAutospacing="0"/>
              <w:jc w:val="center"/>
              <w:rPr>
                <w:b/>
                <w:i/>
                <w:sz w:val="26"/>
                <w:szCs w:val="26"/>
              </w:rPr>
            </w:pPr>
          </w:p>
        </w:tc>
        <w:tc>
          <w:tcPr>
            <w:tcW w:w="1442" w:type="pct"/>
            <w:gridSpan w:val="2"/>
            <w:vMerge/>
            <w:vAlign w:val="center"/>
          </w:tcPr>
          <w:p w:rsidR="0083202B" w:rsidRPr="00C9063A" w:rsidRDefault="0083202B" w:rsidP="0083202B">
            <w:pPr>
              <w:pStyle w:val="naisf"/>
              <w:spacing w:before="0" w:beforeAutospacing="0" w:after="0" w:afterAutospacing="0"/>
              <w:jc w:val="center"/>
              <w:rPr>
                <w:b/>
                <w:i/>
                <w:sz w:val="26"/>
                <w:szCs w:val="26"/>
              </w:rPr>
            </w:pPr>
          </w:p>
        </w:tc>
        <w:tc>
          <w:tcPr>
            <w:tcW w:w="843" w:type="pct"/>
            <w:gridSpan w:val="3"/>
            <w:vAlign w:val="center"/>
          </w:tcPr>
          <w:p w:rsidR="0083202B" w:rsidRPr="00C9063A" w:rsidRDefault="0083202B" w:rsidP="0083202B">
            <w:pPr>
              <w:pStyle w:val="naisf"/>
              <w:spacing w:before="0" w:beforeAutospacing="0" w:after="0" w:afterAutospacing="0"/>
              <w:jc w:val="center"/>
              <w:rPr>
                <w:b/>
                <w:i/>
                <w:sz w:val="26"/>
                <w:szCs w:val="26"/>
              </w:rPr>
            </w:pPr>
            <w:r w:rsidRPr="00C9063A">
              <w:rPr>
                <w:b/>
                <w:bCs/>
                <w:sz w:val="26"/>
                <w:szCs w:val="26"/>
              </w:rPr>
              <w:t>2017.</w:t>
            </w:r>
          </w:p>
        </w:tc>
        <w:tc>
          <w:tcPr>
            <w:tcW w:w="766" w:type="pct"/>
            <w:vAlign w:val="center"/>
          </w:tcPr>
          <w:p w:rsidR="0083202B" w:rsidRPr="00C9063A" w:rsidRDefault="0083202B" w:rsidP="0083202B">
            <w:pPr>
              <w:pStyle w:val="naisf"/>
              <w:spacing w:before="0" w:beforeAutospacing="0" w:after="0" w:afterAutospacing="0"/>
              <w:jc w:val="center"/>
              <w:rPr>
                <w:b/>
                <w:i/>
                <w:sz w:val="26"/>
                <w:szCs w:val="26"/>
              </w:rPr>
            </w:pPr>
            <w:r w:rsidRPr="00C9063A">
              <w:rPr>
                <w:b/>
                <w:bCs/>
                <w:sz w:val="26"/>
                <w:szCs w:val="26"/>
              </w:rPr>
              <w:t>2018.</w:t>
            </w:r>
          </w:p>
        </w:tc>
        <w:tc>
          <w:tcPr>
            <w:tcW w:w="690" w:type="pct"/>
            <w:gridSpan w:val="2"/>
            <w:vAlign w:val="center"/>
          </w:tcPr>
          <w:p w:rsidR="0083202B" w:rsidRPr="00C9063A" w:rsidRDefault="0083202B" w:rsidP="0083202B">
            <w:pPr>
              <w:pStyle w:val="naisf"/>
              <w:spacing w:before="0" w:beforeAutospacing="0" w:after="0" w:afterAutospacing="0"/>
              <w:jc w:val="center"/>
              <w:rPr>
                <w:b/>
                <w:i/>
                <w:sz w:val="26"/>
                <w:szCs w:val="26"/>
              </w:rPr>
            </w:pPr>
            <w:r w:rsidRPr="00C9063A">
              <w:rPr>
                <w:b/>
                <w:bCs/>
                <w:sz w:val="26"/>
                <w:szCs w:val="26"/>
              </w:rPr>
              <w:t>2019.</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vAlign w:val="center"/>
          </w:tcPr>
          <w:p w:rsidR="0083202B" w:rsidRPr="00C9063A" w:rsidRDefault="0083202B" w:rsidP="0083202B">
            <w:pPr>
              <w:pStyle w:val="naisf"/>
              <w:spacing w:before="0" w:beforeAutospacing="0" w:after="0" w:afterAutospacing="0"/>
              <w:jc w:val="center"/>
              <w:rPr>
                <w:b/>
                <w:i/>
                <w:sz w:val="26"/>
                <w:szCs w:val="26"/>
              </w:rPr>
            </w:pPr>
          </w:p>
        </w:tc>
        <w:tc>
          <w:tcPr>
            <w:tcW w:w="647" w:type="pct"/>
            <w:vAlign w:val="center"/>
          </w:tcPr>
          <w:p w:rsidR="0083202B" w:rsidRPr="00C9063A" w:rsidRDefault="0083202B" w:rsidP="0083202B">
            <w:pPr>
              <w:pStyle w:val="naisf"/>
              <w:spacing w:before="0" w:beforeAutospacing="0" w:after="0" w:afterAutospacing="0"/>
              <w:jc w:val="center"/>
              <w:rPr>
                <w:b/>
                <w:i/>
                <w:sz w:val="26"/>
                <w:szCs w:val="26"/>
              </w:rPr>
            </w:pPr>
            <w:r w:rsidRPr="00C9063A">
              <w:rPr>
                <w:sz w:val="26"/>
                <w:szCs w:val="26"/>
              </w:rPr>
              <w:t>Saskaņā ar valsts budžetu kārtējam gadam</w:t>
            </w:r>
          </w:p>
        </w:tc>
        <w:tc>
          <w:tcPr>
            <w:tcW w:w="807" w:type="pct"/>
            <w:gridSpan w:val="2"/>
            <w:vAlign w:val="center"/>
          </w:tcPr>
          <w:p w:rsidR="0083202B" w:rsidRPr="00C9063A" w:rsidRDefault="0083202B" w:rsidP="0083202B">
            <w:pPr>
              <w:pStyle w:val="naisf"/>
              <w:spacing w:before="0" w:beforeAutospacing="0" w:after="0" w:afterAutospacing="0"/>
              <w:jc w:val="center"/>
              <w:rPr>
                <w:b/>
                <w:i/>
                <w:sz w:val="26"/>
                <w:szCs w:val="26"/>
              </w:rPr>
            </w:pPr>
            <w:r w:rsidRPr="00C9063A">
              <w:rPr>
                <w:sz w:val="26"/>
                <w:szCs w:val="26"/>
              </w:rPr>
              <w:t>Izmaiņas kārtējā gadā, salīdzinot ar budžetu kārtējam gadam</w:t>
            </w:r>
          </w:p>
        </w:tc>
        <w:tc>
          <w:tcPr>
            <w:tcW w:w="807" w:type="pct"/>
            <w:vAlign w:val="center"/>
          </w:tcPr>
          <w:p w:rsidR="0083202B" w:rsidRPr="00C9063A" w:rsidRDefault="0083202B" w:rsidP="0083202B">
            <w:pPr>
              <w:pStyle w:val="naisf"/>
              <w:spacing w:before="0" w:beforeAutospacing="0" w:after="0" w:afterAutospacing="0"/>
              <w:jc w:val="center"/>
              <w:rPr>
                <w:b/>
                <w:i/>
                <w:sz w:val="26"/>
                <w:szCs w:val="26"/>
              </w:rPr>
            </w:pPr>
            <w:r w:rsidRPr="00C9063A">
              <w:rPr>
                <w:sz w:val="26"/>
                <w:szCs w:val="26"/>
              </w:rPr>
              <w:t>Izmaiņas, salīdzinot ar kārtējo (n) gadu</w:t>
            </w:r>
          </w:p>
        </w:tc>
        <w:tc>
          <w:tcPr>
            <w:tcW w:w="807" w:type="pct"/>
            <w:gridSpan w:val="3"/>
            <w:vAlign w:val="center"/>
          </w:tcPr>
          <w:p w:rsidR="0083202B" w:rsidRPr="00C9063A" w:rsidRDefault="0083202B" w:rsidP="0083202B">
            <w:pPr>
              <w:pStyle w:val="naisf"/>
              <w:spacing w:before="0" w:beforeAutospacing="0" w:after="0" w:afterAutospacing="0"/>
              <w:jc w:val="center"/>
              <w:rPr>
                <w:b/>
                <w:i/>
                <w:sz w:val="26"/>
                <w:szCs w:val="26"/>
              </w:rPr>
            </w:pPr>
            <w:r w:rsidRPr="00C9063A">
              <w:rPr>
                <w:sz w:val="26"/>
                <w:szCs w:val="26"/>
              </w:rPr>
              <w:t>Izmaiņas, salīdzinot ar kārtējo (n) gadu</w:t>
            </w:r>
          </w:p>
        </w:tc>
        <w:tc>
          <w:tcPr>
            <w:tcW w:w="673" w:type="pct"/>
            <w:vAlign w:val="center"/>
          </w:tcPr>
          <w:p w:rsidR="0083202B" w:rsidRPr="00C9063A" w:rsidRDefault="0083202B" w:rsidP="00990A9A">
            <w:pPr>
              <w:pStyle w:val="naisf"/>
              <w:spacing w:before="0" w:beforeAutospacing="0" w:after="0" w:afterAutospacing="0"/>
              <w:jc w:val="center"/>
              <w:rPr>
                <w:b/>
                <w:i/>
                <w:sz w:val="26"/>
                <w:szCs w:val="26"/>
              </w:rPr>
            </w:pPr>
            <w:r w:rsidRPr="00C9063A">
              <w:rPr>
                <w:sz w:val="26"/>
                <w:szCs w:val="26"/>
              </w:rPr>
              <w:t>Izmaiņas</w:t>
            </w:r>
            <w:r w:rsidR="00990A9A" w:rsidRPr="00C9063A">
              <w:rPr>
                <w:sz w:val="26"/>
                <w:szCs w:val="26"/>
              </w:rPr>
              <w:t>,</w:t>
            </w:r>
            <w:r w:rsidRPr="00C9063A">
              <w:rPr>
                <w:sz w:val="26"/>
                <w:szCs w:val="26"/>
              </w:rPr>
              <w:t xml:space="preserve"> salīdzinot ar kārtējo (n) gadu</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1</w:t>
            </w:r>
          </w:p>
        </w:tc>
        <w:tc>
          <w:tcPr>
            <w:tcW w:w="647" w:type="pct"/>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2</w:t>
            </w:r>
          </w:p>
        </w:tc>
        <w:tc>
          <w:tcPr>
            <w:tcW w:w="807" w:type="pct"/>
            <w:gridSpan w:val="2"/>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3</w:t>
            </w:r>
          </w:p>
        </w:tc>
        <w:tc>
          <w:tcPr>
            <w:tcW w:w="807" w:type="pct"/>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4</w:t>
            </w:r>
          </w:p>
        </w:tc>
        <w:tc>
          <w:tcPr>
            <w:tcW w:w="807" w:type="pct"/>
            <w:gridSpan w:val="3"/>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5</w:t>
            </w:r>
          </w:p>
        </w:tc>
        <w:tc>
          <w:tcPr>
            <w:tcW w:w="673" w:type="pct"/>
            <w:vAlign w:val="center"/>
          </w:tcPr>
          <w:p w:rsidR="0083202B" w:rsidRPr="00C9063A" w:rsidRDefault="0083202B" w:rsidP="0083202B">
            <w:pPr>
              <w:pStyle w:val="naisf"/>
              <w:spacing w:before="0" w:beforeAutospacing="0" w:after="0" w:afterAutospacing="0"/>
              <w:jc w:val="center"/>
              <w:rPr>
                <w:bCs/>
                <w:sz w:val="26"/>
                <w:szCs w:val="26"/>
              </w:rPr>
            </w:pPr>
            <w:r w:rsidRPr="00C9063A">
              <w:rPr>
                <w:bCs/>
                <w:sz w:val="26"/>
                <w:szCs w:val="26"/>
              </w:rPr>
              <w:t>6</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pStyle w:val="naisf"/>
              <w:spacing w:before="0" w:beforeAutospacing="0" w:after="0" w:afterAutospacing="0"/>
              <w:rPr>
                <w:i/>
                <w:sz w:val="26"/>
                <w:szCs w:val="26"/>
              </w:rPr>
            </w:pPr>
            <w:r w:rsidRPr="00C9063A">
              <w:rPr>
                <w:sz w:val="26"/>
                <w:szCs w:val="26"/>
              </w:rPr>
              <w:t>1. Budžeta ieņēmumi:</w:t>
            </w:r>
          </w:p>
        </w:tc>
        <w:tc>
          <w:tcPr>
            <w:tcW w:w="64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pStyle w:val="naisf"/>
              <w:spacing w:before="0" w:beforeAutospacing="0" w:after="0" w:afterAutospacing="0"/>
              <w:rPr>
                <w:i/>
                <w:sz w:val="26"/>
                <w:szCs w:val="26"/>
              </w:rPr>
            </w:pPr>
            <w:r w:rsidRPr="00C9063A">
              <w:rPr>
                <w:sz w:val="26"/>
                <w:szCs w:val="26"/>
              </w:rPr>
              <w:t>1.1. valsts pamatbudžets, tai skaitā ieņēmumi no maksas pakalpojumiem un citi pašu ieņēmumi</w:t>
            </w:r>
          </w:p>
        </w:tc>
        <w:tc>
          <w:tcPr>
            <w:tcW w:w="647" w:type="pct"/>
          </w:tcPr>
          <w:p w:rsidR="0083202B" w:rsidRPr="00C9063A" w:rsidRDefault="0083202B" w:rsidP="00D418FB">
            <w:pPr>
              <w:pStyle w:val="naisf"/>
              <w:spacing w:before="0" w:beforeAutospacing="0" w:after="0" w:afterAutospacing="0"/>
              <w:rPr>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pStyle w:val="naisf"/>
              <w:spacing w:before="0" w:beforeAutospacing="0" w:after="0" w:afterAutospacing="0"/>
              <w:rPr>
                <w:i/>
                <w:sz w:val="26"/>
                <w:szCs w:val="26"/>
              </w:rPr>
            </w:pPr>
            <w:r w:rsidRPr="00C9063A">
              <w:rPr>
                <w:sz w:val="26"/>
                <w:szCs w:val="26"/>
              </w:rPr>
              <w:t>1.2. valsts speciālais budžets</w:t>
            </w:r>
          </w:p>
        </w:tc>
        <w:tc>
          <w:tcPr>
            <w:tcW w:w="64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pStyle w:val="naisf"/>
              <w:spacing w:before="0" w:beforeAutospacing="0" w:after="0" w:afterAutospacing="0"/>
              <w:rPr>
                <w:i/>
                <w:sz w:val="26"/>
                <w:szCs w:val="26"/>
              </w:rPr>
            </w:pPr>
            <w:r w:rsidRPr="00C9063A">
              <w:rPr>
                <w:sz w:val="26"/>
                <w:szCs w:val="26"/>
              </w:rPr>
              <w:t>1.3. pašvaldību budžets</w:t>
            </w:r>
          </w:p>
        </w:tc>
        <w:tc>
          <w:tcPr>
            <w:tcW w:w="64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2. Budžeta izdevumi:</w:t>
            </w:r>
          </w:p>
        </w:tc>
        <w:tc>
          <w:tcPr>
            <w:tcW w:w="647" w:type="pct"/>
          </w:tcPr>
          <w:p w:rsidR="0083202B" w:rsidRPr="00C9063A" w:rsidRDefault="0083202B" w:rsidP="00D418FB">
            <w:pPr>
              <w:pStyle w:val="naisf"/>
              <w:spacing w:before="0" w:beforeAutospacing="0" w:after="0" w:afterAutospacing="0"/>
              <w:rPr>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2.1. valsts pamatbudžets</w:t>
            </w:r>
          </w:p>
        </w:tc>
        <w:tc>
          <w:tcPr>
            <w:tcW w:w="647" w:type="pct"/>
          </w:tcPr>
          <w:p w:rsidR="0083202B" w:rsidRPr="00C9063A" w:rsidRDefault="0083202B" w:rsidP="00D418FB">
            <w:pPr>
              <w:pStyle w:val="naisf"/>
              <w:spacing w:before="0" w:beforeAutospacing="0" w:after="0" w:afterAutospacing="0"/>
              <w:rPr>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2.2. valsts speciālais budžets</w:t>
            </w:r>
          </w:p>
        </w:tc>
        <w:tc>
          <w:tcPr>
            <w:tcW w:w="64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 xml:space="preserve">2.3. pašvaldību budžets </w:t>
            </w:r>
          </w:p>
        </w:tc>
        <w:tc>
          <w:tcPr>
            <w:tcW w:w="64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3. Finansiālā ietekme:</w:t>
            </w:r>
          </w:p>
        </w:tc>
        <w:tc>
          <w:tcPr>
            <w:tcW w:w="647" w:type="pct"/>
            <w:shd w:val="clear" w:color="auto" w:fill="auto"/>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3.1. valsts pamatbudžets</w:t>
            </w:r>
          </w:p>
        </w:tc>
        <w:tc>
          <w:tcPr>
            <w:tcW w:w="647" w:type="pct"/>
            <w:shd w:val="clear" w:color="auto" w:fill="auto"/>
          </w:tcPr>
          <w:p w:rsidR="0083202B" w:rsidRPr="00C9063A" w:rsidRDefault="0083202B" w:rsidP="0083202B">
            <w:pPr>
              <w:pStyle w:val="naisf"/>
              <w:spacing w:before="0" w:beforeAutospacing="0" w:after="0" w:afterAutospacing="0"/>
              <w:rPr>
                <w:i/>
                <w:sz w:val="26"/>
                <w:szCs w:val="26"/>
              </w:rPr>
            </w:pPr>
            <w:r w:rsidRPr="00C9063A">
              <w:rPr>
                <w:b/>
                <w:i/>
                <w:sz w:val="26"/>
                <w:szCs w:val="26"/>
              </w:rPr>
              <w:t>-</w:t>
            </w:r>
          </w:p>
        </w:tc>
        <w:tc>
          <w:tcPr>
            <w:tcW w:w="807" w:type="pct"/>
            <w:gridSpan w:val="2"/>
          </w:tcPr>
          <w:p w:rsidR="0083202B" w:rsidRPr="00C9063A" w:rsidRDefault="0083202B" w:rsidP="0083202B">
            <w:pPr>
              <w:spacing w:after="0" w:line="240" w:lineRule="auto"/>
              <w:rPr>
                <w:rFonts w:ascii="Times New Roman" w:hAnsi="Times New Roman" w:cs="Times New Roman"/>
                <w:sz w:val="26"/>
                <w:szCs w:val="26"/>
                <w:vertAlign w:val="subscript"/>
              </w:rPr>
            </w:pPr>
            <w:r w:rsidRPr="00C9063A">
              <w:rPr>
                <w:rFonts w:ascii="Times New Roman" w:hAnsi="Times New Roman" w:cs="Times New Roman"/>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3.2. speciālais budžets</w:t>
            </w:r>
          </w:p>
        </w:tc>
        <w:tc>
          <w:tcPr>
            <w:tcW w:w="647" w:type="pct"/>
            <w:shd w:val="clear" w:color="auto" w:fill="auto"/>
          </w:tcPr>
          <w:p w:rsidR="0083202B" w:rsidRPr="00C9063A" w:rsidRDefault="0083202B" w:rsidP="0083202B">
            <w:pPr>
              <w:pStyle w:val="naisf"/>
              <w:spacing w:before="0" w:beforeAutospacing="0" w:after="0" w:afterAutospacing="0"/>
              <w:rPr>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 xml:space="preserve">3.3. pašvaldību budžets </w:t>
            </w:r>
          </w:p>
        </w:tc>
        <w:tc>
          <w:tcPr>
            <w:tcW w:w="647" w:type="pct"/>
            <w:shd w:val="clear" w:color="auto" w:fill="auto"/>
          </w:tcPr>
          <w:p w:rsidR="0083202B" w:rsidRPr="00C9063A" w:rsidRDefault="0083202B" w:rsidP="0083202B">
            <w:pPr>
              <w:pStyle w:val="naisf"/>
              <w:spacing w:before="0" w:beforeAutospacing="0" w:after="0" w:afterAutospacing="0"/>
              <w:rPr>
                <w:i/>
                <w:sz w:val="26"/>
                <w:szCs w:val="26"/>
              </w:rPr>
            </w:pPr>
            <w:r w:rsidRPr="00C9063A">
              <w:rPr>
                <w:b/>
                <w:i/>
                <w:sz w:val="26"/>
                <w:szCs w:val="26"/>
              </w:rPr>
              <w:t>-</w:t>
            </w:r>
          </w:p>
        </w:tc>
        <w:tc>
          <w:tcPr>
            <w:tcW w:w="807" w:type="pct"/>
            <w:gridSpan w:val="2"/>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i/>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val="restar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lastRenderedPageBreak/>
              <w:t>4. Finanšu līdzekļi papildu izde</w:t>
            </w:r>
            <w:r w:rsidRPr="00C9063A">
              <w:rPr>
                <w:rFonts w:ascii="Times New Roman" w:hAnsi="Times New Roman" w:cs="Times New Roman"/>
                <w:sz w:val="26"/>
                <w:szCs w:val="26"/>
              </w:rPr>
              <w:softHyphen/>
              <w:t>vumu finansēšanai (kompensējošu izdevumu samazinājumu norāda ar "+" zīmi)</w:t>
            </w:r>
          </w:p>
        </w:tc>
        <w:tc>
          <w:tcPr>
            <w:tcW w:w="647" w:type="pct"/>
            <w:vMerge w:val="restart"/>
            <w:vAlign w:val="center"/>
          </w:tcPr>
          <w:p w:rsidR="0083202B" w:rsidRPr="00C9063A" w:rsidRDefault="0083202B" w:rsidP="0083202B">
            <w:pPr>
              <w:pStyle w:val="naisf"/>
              <w:spacing w:before="0" w:beforeAutospacing="0" w:after="0" w:afterAutospacing="0"/>
              <w:rPr>
                <w:sz w:val="26"/>
                <w:szCs w:val="26"/>
              </w:rPr>
            </w:pPr>
            <w:r w:rsidRPr="00C9063A">
              <w:rPr>
                <w:sz w:val="26"/>
                <w:szCs w:val="26"/>
              </w:rPr>
              <w:t>X</w:t>
            </w:r>
          </w:p>
          <w:p w:rsidR="0083202B" w:rsidRPr="00C9063A" w:rsidRDefault="0083202B" w:rsidP="0083202B">
            <w:pPr>
              <w:spacing w:after="0" w:line="240" w:lineRule="auto"/>
              <w:rPr>
                <w:rFonts w:ascii="Times New Roman" w:hAnsi="Times New Roman" w:cs="Times New Roman"/>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673"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tcPr>
          <w:p w:rsidR="0083202B" w:rsidRPr="00C9063A" w:rsidRDefault="0083202B" w:rsidP="0083202B">
            <w:pPr>
              <w:spacing w:after="0" w:line="240" w:lineRule="auto"/>
              <w:jc w:val="both"/>
              <w:rPr>
                <w:rFonts w:ascii="Times New Roman" w:hAnsi="Times New Roman" w:cs="Times New Roman"/>
                <w:sz w:val="26"/>
                <w:szCs w:val="26"/>
              </w:rPr>
            </w:pPr>
          </w:p>
        </w:tc>
        <w:tc>
          <w:tcPr>
            <w:tcW w:w="647" w:type="pct"/>
            <w:vMerge/>
            <w:vAlign w:val="center"/>
          </w:tcPr>
          <w:p w:rsidR="0083202B" w:rsidRPr="00C9063A" w:rsidRDefault="0083202B" w:rsidP="0083202B">
            <w:pPr>
              <w:pStyle w:val="naisf"/>
              <w:spacing w:before="0" w:beforeAutospacing="0" w:after="0" w:afterAutospacing="0"/>
              <w:jc w:val="center"/>
              <w:rPr>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673"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vMerge/>
          </w:tcPr>
          <w:p w:rsidR="0083202B" w:rsidRPr="00C9063A" w:rsidRDefault="0083202B" w:rsidP="0083202B">
            <w:pPr>
              <w:spacing w:after="0" w:line="240" w:lineRule="auto"/>
              <w:jc w:val="both"/>
              <w:rPr>
                <w:rFonts w:ascii="Times New Roman" w:hAnsi="Times New Roman" w:cs="Times New Roman"/>
                <w:sz w:val="26"/>
                <w:szCs w:val="26"/>
              </w:rPr>
            </w:pPr>
          </w:p>
        </w:tc>
        <w:tc>
          <w:tcPr>
            <w:tcW w:w="647" w:type="pct"/>
            <w:vMerge/>
            <w:vAlign w:val="center"/>
          </w:tcPr>
          <w:p w:rsidR="0083202B" w:rsidRPr="00C9063A" w:rsidRDefault="0083202B" w:rsidP="0083202B">
            <w:pPr>
              <w:pStyle w:val="naisf"/>
              <w:spacing w:before="0" w:beforeAutospacing="0" w:after="0" w:afterAutospacing="0"/>
              <w:jc w:val="center"/>
              <w:rPr>
                <w:i/>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c>
          <w:tcPr>
            <w:tcW w:w="673" w:type="pct"/>
          </w:tcPr>
          <w:p w:rsidR="0083202B" w:rsidRPr="00C9063A" w:rsidRDefault="0083202B" w:rsidP="0083202B">
            <w:pPr>
              <w:pStyle w:val="naisf"/>
              <w:spacing w:before="0" w:beforeAutospacing="0" w:after="0" w:afterAutospacing="0"/>
              <w:rPr>
                <w:b/>
                <w:sz w:val="26"/>
                <w:szCs w:val="26"/>
              </w:rPr>
            </w:pPr>
            <w:r w:rsidRPr="00C9063A">
              <w:rPr>
                <w:sz w:val="26"/>
                <w:szCs w:val="26"/>
              </w:rPr>
              <w:t>Nav attiecināms</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5. Precizēta finansiālā ietekme:</w:t>
            </w:r>
          </w:p>
        </w:tc>
        <w:tc>
          <w:tcPr>
            <w:tcW w:w="647" w:type="pct"/>
            <w:vMerge w:val="restart"/>
            <w:vAlign w:val="center"/>
          </w:tcPr>
          <w:p w:rsidR="0083202B" w:rsidRPr="00C9063A" w:rsidRDefault="0083202B" w:rsidP="0083202B">
            <w:pPr>
              <w:pStyle w:val="naisf"/>
              <w:spacing w:before="0" w:beforeAutospacing="0" w:after="0" w:afterAutospacing="0"/>
              <w:rPr>
                <w:sz w:val="26"/>
                <w:szCs w:val="26"/>
              </w:rPr>
            </w:pPr>
            <w:r w:rsidRPr="00C9063A">
              <w:rPr>
                <w:sz w:val="26"/>
                <w:szCs w:val="26"/>
              </w:rPr>
              <w:t>X</w:t>
            </w:r>
          </w:p>
          <w:p w:rsidR="0083202B" w:rsidRPr="00C9063A" w:rsidRDefault="0083202B" w:rsidP="0083202B">
            <w:pPr>
              <w:pStyle w:val="naisf"/>
              <w:spacing w:before="0" w:beforeAutospacing="0" w:after="0" w:afterAutospacing="0"/>
              <w:jc w:val="center"/>
              <w:rPr>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5.1. valsts pamatbudžets</w:t>
            </w:r>
          </w:p>
        </w:tc>
        <w:tc>
          <w:tcPr>
            <w:tcW w:w="647" w:type="pct"/>
            <w:vMerge/>
            <w:vAlign w:val="center"/>
          </w:tcPr>
          <w:p w:rsidR="0083202B" w:rsidRPr="00C9063A" w:rsidRDefault="0083202B" w:rsidP="0083202B">
            <w:pPr>
              <w:pStyle w:val="naisf"/>
              <w:spacing w:before="0" w:beforeAutospacing="0" w:after="0" w:afterAutospacing="0"/>
              <w:jc w:val="center"/>
              <w:rPr>
                <w:i/>
                <w:sz w:val="26"/>
                <w:szCs w:val="26"/>
              </w:rPr>
            </w:pPr>
          </w:p>
        </w:tc>
        <w:tc>
          <w:tcPr>
            <w:tcW w:w="807" w:type="pct"/>
            <w:gridSpan w:val="2"/>
          </w:tcPr>
          <w:p w:rsidR="0083202B" w:rsidRPr="00C9063A" w:rsidRDefault="0083202B" w:rsidP="0083202B">
            <w:pPr>
              <w:spacing w:after="0" w:line="240" w:lineRule="auto"/>
              <w:rPr>
                <w:rFonts w:ascii="Times New Roman" w:hAnsi="Times New Roman" w:cs="Times New Roman"/>
                <w:sz w:val="26"/>
                <w:szCs w:val="26"/>
                <w:vertAlign w:val="subscript"/>
              </w:rPr>
            </w:pPr>
            <w:r w:rsidRPr="00C9063A">
              <w:rPr>
                <w:rFonts w:ascii="Times New Roman" w:hAnsi="Times New Roman" w:cs="Times New Roman"/>
                <w:b/>
                <w:i/>
                <w:sz w:val="26"/>
                <w:szCs w:val="26"/>
              </w:rPr>
              <w:t>-</w:t>
            </w:r>
          </w:p>
        </w:tc>
        <w:tc>
          <w:tcPr>
            <w:tcW w:w="807"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5.2. speciālais budžets</w:t>
            </w:r>
          </w:p>
        </w:tc>
        <w:tc>
          <w:tcPr>
            <w:tcW w:w="647" w:type="pct"/>
            <w:vMerge/>
            <w:vAlign w:val="center"/>
          </w:tcPr>
          <w:p w:rsidR="0083202B" w:rsidRPr="00C9063A" w:rsidRDefault="0083202B" w:rsidP="0083202B">
            <w:pPr>
              <w:pStyle w:val="naisf"/>
              <w:spacing w:before="0" w:beforeAutospacing="0" w:after="0" w:afterAutospacing="0"/>
              <w:jc w:val="center"/>
              <w:rPr>
                <w:i/>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 xml:space="preserve">5.3. pašvaldību budžets </w:t>
            </w:r>
          </w:p>
        </w:tc>
        <w:tc>
          <w:tcPr>
            <w:tcW w:w="647" w:type="pct"/>
            <w:vMerge/>
            <w:vAlign w:val="center"/>
          </w:tcPr>
          <w:p w:rsidR="0083202B" w:rsidRPr="00C9063A" w:rsidRDefault="0083202B" w:rsidP="0083202B">
            <w:pPr>
              <w:pStyle w:val="naisf"/>
              <w:spacing w:before="0" w:beforeAutospacing="0" w:after="0" w:afterAutospacing="0"/>
              <w:jc w:val="center"/>
              <w:rPr>
                <w:i/>
                <w:sz w:val="26"/>
                <w:szCs w:val="26"/>
              </w:rPr>
            </w:pPr>
          </w:p>
        </w:tc>
        <w:tc>
          <w:tcPr>
            <w:tcW w:w="807" w:type="pct"/>
            <w:gridSpan w:val="2"/>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807" w:type="pct"/>
            <w:gridSpan w:val="3"/>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c>
          <w:tcPr>
            <w:tcW w:w="673" w:type="pct"/>
          </w:tcPr>
          <w:p w:rsidR="0083202B" w:rsidRPr="00C9063A" w:rsidRDefault="0083202B" w:rsidP="0083202B">
            <w:pPr>
              <w:pStyle w:val="naisf"/>
              <w:spacing w:before="0" w:beforeAutospacing="0" w:after="0" w:afterAutospacing="0"/>
              <w:rPr>
                <w:b/>
                <w:sz w:val="26"/>
                <w:szCs w:val="26"/>
              </w:rPr>
            </w:pPr>
            <w:r w:rsidRPr="00C9063A">
              <w:rPr>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6. Detalizēts ieņēmumu un izdevu</w:t>
            </w:r>
            <w:r w:rsidRPr="00C9063A">
              <w:rPr>
                <w:rFonts w:ascii="Times New Roman" w:hAnsi="Times New Roman" w:cs="Times New Roman"/>
                <w:sz w:val="26"/>
                <w:szCs w:val="26"/>
              </w:rPr>
              <w:softHyphen/>
              <w:t>mu aprēķins (ja nepieciešams, detalizētu ieņēmumu un izdevumu aprēķinu var pievienot anotācijas pielikumā):</w:t>
            </w:r>
          </w:p>
        </w:tc>
        <w:tc>
          <w:tcPr>
            <w:tcW w:w="3741" w:type="pct"/>
            <w:gridSpan w:val="8"/>
            <w:vMerge w:val="restart"/>
            <w:vAlign w:val="center"/>
          </w:tcPr>
          <w:p w:rsidR="0083202B" w:rsidRPr="00C9063A" w:rsidRDefault="0083202B" w:rsidP="0083202B">
            <w:pPr>
              <w:spacing w:after="0" w:line="240" w:lineRule="auto"/>
              <w:rPr>
                <w:rFonts w:ascii="Times New Roman" w:hAnsi="Times New Roman" w:cs="Times New Roman"/>
                <w:b/>
                <w:sz w:val="26"/>
                <w:szCs w:val="26"/>
              </w:rPr>
            </w:pPr>
            <w:r w:rsidRPr="00C9063A">
              <w:rPr>
                <w:rFonts w:ascii="Times New Roman" w:hAnsi="Times New Roman" w:cs="Times New Roman"/>
                <w:b/>
                <w:i/>
                <w:sz w:val="26"/>
                <w:szCs w:val="26"/>
              </w:rPr>
              <w:t>-</w:t>
            </w: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89"/>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6.1. detalizēts ieņēmumu aprēķins</w:t>
            </w:r>
          </w:p>
        </w:tc>
        <w:tc>
          <w:tcPr>
            <w:tcW w:w="3741" w:type="pct"/>
            <w:gridSpan w:val="8"/>
            <w:vMerge/>
          </w:tcPr>
          <w:p w:rsidR="0083202B" w:rsidRPr="00C9063A" w:rsidRDefault="0083202B" w:rsidP="0083202B">
            <w:pPr>
              <w:pStyle w:val="naisf"/>
              <w:spacing w:before="0" w:beforeAutospacing="0" w:after="0" w:afterAutospacing="0"/>
              <w:rPr>
                <w:b/>
                <w:i/>
                <w:sz w:val="26"/>
                <w:szCs w:val="26"/>
              </w:rPr>
            </w:pP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6.2.detalizēts izdevumu aprēķins</w:t>
            </w:r>
          </w:p>
        </w:tc>
        <w:tc>
          <w:tcPr>
            <w:tcW w:w="3741" w:type="pct"/>
            <w:gridSpan w:val="8"/>
            <w:vMerge/>
          </w:tcPr>
          <w:p w:rsidR="0083202B" w:rsidRPr="00C9063A" w:rsidRDefault="0083202B" w:rsidP="0083202B">
            <w:pPr>
              <w:pStyle w:val="naisf"/>
              <w:spacing w:before="0" w:beforeAutospacing="0" w:after="0" w:afterAutospacing="0"/>
              <w:rPr>
                <w:b/>
                <w:i/>
                <w:sz w:val="26"/>
                <w:szCs w:val="26"/>
              </w:rPr>
            </w:pPr>
          </w:p>
        </w:tc>
      </w:tr>
      <w:tr w:rsidR="0083202B" w:rsidRPr="00C9063A" w:rsidTr="008320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259" w:type="pct"/>
          </w:tcPr>
          <w:p w:rsidR="0083202B" w:rsidRPr="00C9063A" w:rsidRDefault="0083202B" w:rsidP="0083202B">
            <w:pPr>
              <w:spacing w:after="0" w:line="240" w:lineRule="auto"/>
              <w:jc w:val="both"/>
              <w:rPr>
                <w:rFonts w:ascii="Times New Roman" w:hAnsi="Times New Roman" w:cs="Times New Roman"/>
                <w:sz w:val="26"/>
                <w:szCs w:val="26"/>
              </w:rPr>
            </w:pPr>
            <w:r w:rsidRPr="00C9063A">
              <w:rPr>
                <w:rFonts w:ascii="Times New Roman" w:hAnsi="Times New Roman" w:cs="Times New Roman"/>
                <w:sz w:val="26"/>
                <w:szCs w:val="26"/>
              </w:rPr>
              <w:t>7. Cita informācija</w:t>
            </w:r>
          </w:p>
        </w:tc>
        <w:tc>
          <w:tcPr>
            <w:tcW w:w="3741" w:type="pct"/>
            <w:gridSpan w:val="8"/>
          </w:tcPr>
          <w:p w:rsidR="008D69B4" w:rsidRPr="00C9063A" w:rsidRDefault="008D69B4" w:rsidP="008D69B4">
            <w:pPr>
              <w:spacing w:after="0" w:line="240" w:lineRule="auto"/>
              <w:jc w:val="both"/>
              <w:rPr>
                <w:rFonts w:ascii="Times New Roman" w:hAnsi="Times New Roman" w:cs="Times New Roman"/>
                <w:sz w:val="26"/>
                <w:szCs w:val="26"/>
                <w:u w:val="single"/>
                <w:lang w:eastAsia="lv-LV"/>
              </w:rPr>
            </w:pPr>
            <w:r w:rsidRPr="00C9063A">
              <w:rPr>
                <w:rFonts w:ascii="Times New Roman" w:hAnsi="Times New Roman" w:cs="Times New Roman"/>
                <w:sz w:val="26"/>
                <w:szCs w:val="26"/>
                <w:u w:val="single"/>
                <w:lang w:eastAsia="lv-LV"/>
              </w:rPr>
              <w:t>Fiksētā nodokļa maksājuma veicēji</w:t>
            </w:r>
          </w:p>
          <w:p w:rsidR="008D69B4" w:rsidRPr="00C9063A" w:rsidRDefault="008D69B4" w:rsidP="008D69B4">
            <w:pPr>
              <w:spacing w:after="0" w:line="240" w:lineRule="auto"/>
              <w:jc w:val="both"/>
              <w:rPr>
                <w:rFonts w:ascii="Times New Roman" w:hAnsi="Times New Roman" w:cs="Times New Roman"/>
                <w:sz w:val="26"/>
                <w:szCs w:val="26"/>
                <w:lang w:eastAsia="lv-LV"/>
              </w:rPr>
            </w:pPr>
            <w:r w:rsidRPr="00C9063A">
              <w:rPr>
                <w:rFonts w:ascii="Times New Roman" w:hAnsi="Times New Roman" w:cs="Times New Roman"/>
                <w:sz w:val="26"/>
                <w:szCs w:val="26"/>
                <w:lang w:eastAsia="lv-LV"/>
              </w:rPr>
              <w:t>Izstrādājot koncepciju Ekonomikas ministrija ir veikusi  aplēses, ka  ik gadu aptuveni 80 uzņēmumi būtu ieinteresēti fiksētā nodokļa maksājuma veikšanā. Aprēķinos izmantotais pieņēmums – jaunajā uzņēmumā strādā vismaz 2 darbinieki, uz kuriem varētu attiecināt nodokļa maksājumu 252.26 euro mēnesī. Tas nozīmē, ka par 160 darbiniekiem 1 gada laikā valsts budžetā plānoti ieņēmumi 483840 euro apmērā.</w:t>
            </w:r>
          </w:p>
          <w:p w:rsidR="008D69B4" w:rsidRPr="00C9063A" w:rsidRDefault="008D69B4" w:rsidP="008D69B4">
            <w:pPr>
              <w:spacing w:after="0" w:line="240" w:lineRule="auto"/>
              <w:jc w:val="both"/>
              <w:rPr>
                <w:rFonts w:ascii="Times New Roman" w:hAnsi="Times New Roman" w:cs="Times New Roman"/>
                <w:sz w:val="26"/>
                <w:szCs w:val="26"/>
                <w:lang w:eastAsia="lv-LV"/>
              </w:rPr>
            </w:pPr>
          </w:p>
          <w:p w:rsidR="008D69B4" w:rsidRPr="00C9063A" w:rsidRDefault="008D69B4" w:rsidP="008D69B4">
            <w:pPr>
              <w:spacing w:after="0" w:line="240" w:lineRule="auto"/>
              <w:jc w:val="both"/>
              <w:rPr>
                <w:rFonts w:ascii="Times New Roman" w:hAnsi="Times New Roman" w:cs="Times New Roman"/>
                <w:sz w:val="26"/>
                <w:szCs w:val="26"/>
                <w:u w:val="single"/>
                <w:lang w:eastAsia="lv-LV"/>
              </w:rPr>
            </w:pPr>
            <w:r w:rsidRPr="00C9063A">
              <w:rPr>
                <w:rFonts w:ascii="Times New Roman" w:hAnsi="Times New Roman" w:cs="Times New Roman"/>
                <w:sz w:val="26"/>
                <w:szCs w:val="26"/>
                <w:u w:val="single"/>
                <w:lang w:eastAsia="lv-LV"/>
              </w:rPr>
              <w:t xml:space="preserve">Atbalsta programma augsti kvalificētu darbinieku piesaistei </w:t>
            </w:r>
          </w:p>
          <w:p w:rsidR="008D69B4" w:rsidRPr="00C9063A" w:rsidRDefault="008D69B4" w:rsidP="008D69B4">
            <w:pPr>
              <w:spacing w:after="0" w:line="240" w:lineRule="auto"/>
              <w:jc w:val="both"/>
              <w:rPr>
                <w:rFonts w:ascii="Times New Roman" w:hAnsi="Times New Roman" w:cs="Times New Roman"/>
                <w:sz w:val="26"/>
                <w:szCs w:val="26"/>
                <w:lang w:eastAsia="lv-LV"/>
              </w:rPr>
            </w:pPr>
            <w:r w:rsidRPr="00C9063A">
              <w:rPr>
                <w:rFonts w:ascii="Times New Roman" w:hAnsi="Times New Roman" w:cs="Times New Roman"/>
                <w:sz w:val="26"/>
                <w:szCs w:val="26"/>
                <w:lang w:eastAsia="lv-LV"/>
              </w:rPr>
              <w:t xml:space="preserve">Atbalsta programmas augsti kvalificētu darbinieku piesaistei ietvaros ir plānots atbalstīt tikai tos strauji augošos uzņēmumus, kas maksā virs vidējās algas valstī. Koncepcijas izstrādes gaitā no 75 identificētajiem strauji augošiem uzņēmumiem tika identificēti 20 uzņēmumos, kuros vidējā alga uzņēmumā augsti kvalificētajam darbaspēkam pārsniedz vidējo algu valstī un </w:t>
            </w:r>
            <w:r w:rsidRPr="00C9063A">
              <w:rPr>
                <w:rFonts w:ascii="Times New Roman" w:hAnsi="Times New Roman" w:cs="Times New Roman"/>
                <w:sz w:val="26"/>
                <w:szCs w:val="26"/>
                <w:lang w:eastAsia="lv-LV"/>
              </w:rPr>
              <w:lastRenderedPageBreak/>
              <w:t>vienlaikus tie atbilst 5 gadu darbības termiņam. Vidējā alga šajos 20 uzņēmumos ir 1 600 euro. Šo uzņēmumu nomaksātais IIN  vidēji ir 980 tūkst. euro un VSAOI vidēji ir 1,4 milj. euro, kas veido no 80% no visu apskatīto start-</w:t>
            </w:r>
            <w:proofErr w:type="spellStart"/>
            <w:r w:rsidRPr="00C9063A">
              <w:rPr>
                <w:rFonts w:ascii="Times New Roman" w:hAnsi="Times New Roman" w:cs="Times New Roman"/>
                <w:sz w:val="26"/>
                <w:szCs w:val="26"/>
                <w:lang w:eastAsia="lv-LV"/>
              </w:rPr>
              <w:t>up</w:t>
            </w:r>
            <w:proofErr w:type="spellEnd"/>
            <w:r w:rsidRPr="00C9063A">
              <w:rPr>
                <w:rFonts w:ascii="Times New Roman" w:hAnsi="Times New Roman" w:cs="Times New Roman"/>
                <w:sz w:val="26"/>
                <w:szCs w:val="26"/>
                <w:lang w:eastAsia="lv-LV"/>
              </w:rPr>
              <w:t xml:space="preserve"> nomaksātajiem darba spēka nodokļiem.</w:t>
            </w:r>
          </w:p>
          <w:p w:rsidR="008D69B4" w:rsidRPr="00C9063A" w:rsidRDefault="008D69B4" w:rsidP="008D69B4">
            <w:pPr>
              <w:spacing w:after="0" w:line="240" w:lineRule="auto"/>
              <w:jc w:val="both"/>
              <w:rPr>
                <w:rFonts w:ascii="Times New Roman" w:hAnsi="Times New Roman" w:cs="Times New Roman"/>
                <w:sz w:val="26"/>
                <w:szCs w:val="26"/>
                <w:lang w:eastAsia="lv-LV"/>
              </w:rPr>
            </w:pPr>
          </w:p>
          <w:p w:rsidR="0083202B" w:rsidRPr="00C9063A" w:rsidRDefault="0083202B" w:rsidP="00D418FB">
            <w:pPr>
              <w:spacing w:after="0" w:line="240" w:lineRule="auto"/>
              <w:jc w:val="both"/>
              <w:rPr>
                <w:rFonts w:ascii="Times New Roman" w:hAnsi="Times New Roman" w:cs="Times New Roman"/>
                <w:color w:val="000000" w:themeColor="text1"/>
                <w:sz w:val="26"/>
                <w:szCs w:val="26"/>
                <w:u w:val="single"/>
              </w:rPr>
            </w:pPr>
            <w:r w:rsidRPr="00C9063A">
              <w:rPr>
                <w:rFonts w:ascii="Times New Roman" w:hAnsi="Times New Roman" w:cs="Times New Roman"/>
                <w:sz w:val="26"/>
                <w:szCs w:val="26"/>
                <w:lang w:eastAsia="lv-LV"/>
              </w:rPr>
              <w:t xml:space="preserve">Ietekme uz valsts budžetu ir atspoguļota koncepcijā. Paredzēts, ka </w:t>
            </w:r>
            <w:r w:rsidRPr="00C9063A">
              <w:rPr>
                <w:rFonts w:ascii="Times New Roman" w:hAnsi="Times New Roman" w:cs="Times New Roman"/>
                <w:color w:val="000000" w:themeColor="text1"/>
                <w:sz w:val="26"/>
                <w:szCs w:val="26"/>
              </w:rPr>
              <w:t xml:space="preserve">1 gada laikā valsts budžetā plānoti ieņēmumi 483840 euro apmērā par jaunuzņēmuma 160 darba ņēmējiem. </w:t>
            </w:r>
            <w:r w:rsidRPr="00C9063A">
              <w:rPr>
                <w:rFonts w:ascii="Times New Roman" w:hAnsi="Times New Roman" w:cs="Times New Roman"/>
                <w:color w:val="000000" w:themeColor="text1"/>
                <w:sz w:val="26"/>
                <w:szCs w:val="26"/>
                <w:u w:val="single"/>
              </w:rPr>
              <w:t>Vienlaikus plānojams, ka 2020.gadā valsts budžetā tiks samaksāti papildus 2,5 milj. euro no jaunajiem strauji augošajiem uzņēmumiem.</w:t>
            </w:r>
          </w:p>
        </w:tc>
      </w:tr>
    </w:tbl>
    <w:p w:rsidR="0083202B" w:rsidRPr="00C9063A" w:rsidRDefault="0083202B" w:rsidP="00D707C0">
      <w:pPr>
        <w:spacing w:after="0" w:line="240" w:lineRule="auto"/>
        <w:rPr>
          <w:rFonts w:ascii="Times New Roman" w:eastAsia="Times New Roman" w:hAnsi="Times New Roman" w:cs="Times New Roman"/>
          <w:i/>
          <w:color w:val="000000" w:themeColor="text1"/>
          <w:sz w:val="26"/>
          <w:szCs w:val="26"/>
          <w:lang w:eastAsia="lv-LV"/>
        </w:rPr>
      </w:pPr>
    </w:p>
    <w:p w:rsidR="0083202B" w:rsidRPr="00C9063A" w:rsidRDefault="0083202B" w:rsidP="00D707C0">
      <w:pPr>
        <w:spacing w:after="0" w:line="240" w:lineRule="auto"/>
        <w:rPr>
          <w:rFonts w:ascii="Times New Roman" w:eastAsia="Times New Roman" w:hAnsi="Times New Roman" w:cs="Times New Roman"/>
          <w:i/>
          <w:color w:val="000000" w:themeColor="text1"/>
          <w:sz w:val="26"/>
          <w:szCs w:val="26"/>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CD1687" w:rsidRPr="00C9063A" w:rsidTr="00CD1687">
        <w:trPr>
          <w:trHeight w:val="381"/>
          <w:jc w:val="center"/>
        </w:trPr>
        <w:tc>
          <w:tcPr>
            <w:tcW w:w="9518" w:type="dxa"/>
            <w:gridSpan w:val="3"/>
            <w:tcBorders>
              <w:top w:val="single" w:sz="4" w:space="0" w:color="auto"/>
              <w:left w:val="single" w:sz="4" w:space="0" w:color="auto"/>
              <w:bottom w:val="single" w:sz="4" w:space="0" w:color="auto"/>
              <w:right w:val="single" w:sz="4" w:space="0" w:color="auto"/>
            </w:tcBorders>
            <w:vAlign w:val="center"/>
          </w:tcPr>
          <w:p w:rsidR="00CD1687" w:rsidRPr="00C9063A" w:rsidRDefault="00CD1687" w:rsidP="00AA6F2A">
            <w:pPr>
              <w:pStyle w:val="naisnod"/>
              <w:spacing w:before="0" w:beforeAutospacing="0" w:after="0" w:afterAutospacing="0"/>
              <w:ind w:left="57" w:right="57"/>
              <w:jc w:val="center"/>
              <w:rPr>
                <w:b/>
                <w:color w:val="000000" w:themeColor="text1"/>
                <w:sz w:val="26"/>
                <w:szCs w:val="26"/>
              </w:rPr>
            </w:pPr>
            <w:r w:rsidRPr="00C9063A">
              <w:rPr>
                <w:b/>
                <w:color w:val="000000" w:themeColor="text1"/>
                <w:sz w:val="26"/>
                <w:szCs w:val="26"/>
              </w:rPr>
              <w:t>IV. Tiesību akta projekta ietekme uz spēkā esošo tiesību normu sistēmu</w:t>
            </w:r>
          </w:p>
        </w:tc>
      </w:tr>
      <w:tr w:rsidR="00CD1687" w:rsidRPr="00C9063A" w:rsidTr="00AA6F2A">
        <w:trPr>
          <w:trHeight w:val="427"/>
          <w:jc w:val="center"/>
        </w:trPr>
        <w:tc>
          <w:tcPr>
            <w:tcW w:w="437" w:type="dxa"/>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1.</w:t>
            </w:r>
          </w:p>
        </w:tc>
        <w:tc>
          <w:tcPr>
            <w:tcW w:w="2906" w:type="dxa"/>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Nepieciešamie saistītie tiesību aktu projekti</w:t>
            </w:r>
          </w:p>
        </w:tc>
        <w:tc>
          <w:tcPr>
            <w:tcW w:w="6175" w:type="dxa"/>
          </w:tcPr>
          <w:p w:rsidR="00CD1687" w:rsidRPr="00C9063A" w:rsidRDefault="00CD1687" w:rsidP="00AA6F2A">
            <w:pPr>
              <w:spacing w:before="120" w:after="0" w:line="240" w:lineRule="auto"/>
              <w:ind w:left="168" w:right="281"/>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Nepieciešami grozījumi “Uzņēmumu ienākuma nodokļa likumā,, likumā “</w:t>
            </w:r>
            <w:r w:rsidRPr="00C9063A">
              <w:rPr>
                <w:rFonts w:ascii="Times New Roman" w:hAnsi="Times New Roman" w:cs="Times New Roman"/>
                <w:bCs/>
                <w:color w:val="000000" w:themeColor="text1"/>
                <w:sz w:val="26"/>
                <w:szCs w:val="26"/>
                <w:shd w:val="clear" w:color="auto" w:fill="FFFFFF"/>
              </w:rPr>
              <w:t xml:space="preserve">Par iedzīvotāju ienākuma nodokli”, </w:t>
            </w:r>
            <w:r w:rsidRPr="00C9063A">
              <w:rPr>
                <w:rFonts w:ascii="Times New Roman" w:hAnsi="Times New Roman" w:cs="Times New Roman"/>
                <w:color w:val="000000" w:themeColor="text1"/>
                <w:sz w:val="26"/>
                <w:szCs w:val="26"/>
              </w:rPr>
              <w:t>likumā „Par valsts sociālo apdrošināšanu” un Valsts fondēto pensiju likumā, kas paredz noteikt iespēju jaunuzņēmumiem par katru nodarbināto, veikt minimālo fiksēto maksājumu – valsts sociālās apdrošināšanas obligātās iemaksas</w:t>
            </w:r>
            <w:r w:rsidRPr="00C9063A">
              <w:rPr>
                <w:rFonts w:ascii="Times New Roman" w:eastAsia="Times New Roman" w:hAnsi="Times New Roman" w:cs="Times New Roman"/>
                <w:color w:val="000000" w:themeColor="text1"/>
                <w:sz w:val="26"/>
                <w:szCs w:val="26"/>
                <w:lang w:eastAsia="lv-LV"/>
              </w:rPr>
              <w:t xml:space="preserve">. </w:t>
            </w:r>
          </w:p>
          <w:p w:rsidR="00CD1687" w:rsidRPr="00C9063A" w:rsidRDefault="00CD1687" w:rsidP="00AA6F2A">
            <w:pPr>
              <w:spacing w:before="120" w:after="0" w:line="240" w:lineRule="auto"/>
              <w:ind w:left="168" w:right="281"/>
              <w:jc w:val="both"/>
              <w:rPr>
                <w:rFonts w:ascii="Times New Roman" w:hAnsi="Times New Roman" w:cs="Times New Roman"/>
                <w:color w:val="000000" w:themeColor="text1"/>
                <w:sz w:val="26"/>
                <w:szCs w:val="26"/>
              </w:rPr>
            </w:pPr>
            <w:r w:rsidRPr="00C9063A">
              <w:rPr>
                <w:rFonts w:ascii="Times New Roman" w:eastAsia="Times New Roman" w:hAnsi="Times New Roman" w:cs="Times New Roman"/>
                <w:color w:val="000000" w:themeColor="text1"/>
                <w:sz w:val="26"/>
                <w:szCs w:val="26"/>
                <w:lang w:eastAsia="lv-LV"/>
              </w:rPr>
              <w:t xml:space="preserve">Tāpat nepieciešams izstrādāt šajā likumā noteiktos Ministru kabineta noteikumus, t.sk., izstrādāt </w:t>
            </w:r>
            <w:r w:rsidRPr="00C9063A">
              <w:rPr>
                <w:rFonts w:ascii="Times New Roman" w:hAnsi="Times New Roman" w:cs="Times New Roman"/>
                <w:color w:val="000000" w:themeColor="text1"/>
                <w:sz w:val="26"/>
                <w:szCs w:val="26"/>
              </w:rPr>
              <w:t>Ministru kabineta noteikumu projektu, kas paredz grantu programmu augsti kvalificētu darbinieku piesaistei.</w:t>
            </w:r>
          </w:p>
        </w:tc>
      </w:tr>
      <w:tr w:rsidR="00CD1687" w:rsidRPr="00C9063A" w:rsidTr="00AA6F2A">
        <w:trPr>
          <w:trHeight w:val="463"/>
          <w:jc w:val="center"/>
        </w:trPr>
        <w:tc>
          <w:tcPr>
            <w:tcW w:w="437" w:type="dxa"/>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2.</w:t>
            </w:r>
          </w:p>
        </w:tc>
        <w:tc>
          <w:tcPr>
            <w:tcW w:w="2906" w:type="dxa"/>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Atbildīgā institūcija</w:t>
            </w:r>
          </w:p>
        </w:tc>
        <w:tc>
          <w:tcPr>
            <w:tcW w:w="6175" w:type="dxa"/>
          </w:tcPr>
          <w:p w:rsidR="00CD1687" w:rsidRPr="00C9063A" w:rsidRDefault="00CD1687" w:rsidP="00CD1687">
            <w:pPr>
              <w:spacing w:after="0" w:line="240" w:lineRule="auto"/>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Ekonomikas ministrija par likumprojekta virzību. Par grozījumu virzību Uzņēmumu ienākuma nodokļa likumā un likumā “</w:t>
            </w:r>
            <w:r w:rsidRPr="00C9063A">
              <w:rPr>
                <w:rFonts w:ascii="Times New Roman" w:hAnsi="Times New Roman" w:cs="Times New Roman"/>
                <w:bCs/>
                <w:color w:val="000000" w:themeColor="text1"/>
                <w:sz w:val="26"/>
                <w:szCs w:val="26"/>
                <w:shd w:val="clear" w:color="auto" w:fill="FFFFFF"/>
              </w:rPr>
              <w:t xml:space="preserve">Par iedzīvotāju ienākuma nodokli”, un </w:t>
            </w:r>
            <w:r w:rsidRPr="00C9063A">
              <w:rPr>
                <w:rFonts w:ascii="Times New Roman" w:hAnsi="Times New Roman" w:cs="Times New Roman"/>
                <w:color w:val="000000" w:themeColor="text1"/>
                <w:sz w:val="26"/>
                <w:szCs w:val="26"/>
              </w:rPr>
              <w:t xml:space="preserve">likumā „Par valsts sociālo apdrošināšanu” </w:t>
            </w:r>
            <w:r w:rsidRPr="00C9063A">
              <w:rPr>
                <w:rFonts w:ascii="Times New Roman" w:hAnsi="Times New Roman" w:cs="Times New Roman"/>
                <w:bCs/>
                <w:color w:val="000000" w:themeColor="text1"/>
                <w:sz w:val="26"/>
                <w:szCs w:val="26"/>
                <w:shd w:val="clear" w:color="auto" w:fill="FFFFFF"/>
              </w:rPr>
              <w:t xml:space="preserve">ir atbildīga </w:t>
            </w:r>
            <w:r w:rsidRPr="00C9063A">
              <w:rPr>
                <w:rFonts w:ascii="Times New Roman" w:eastAsia="Times New Roman" w:hAnsi="Times New Roman" w:cs="Times New Roman"/>
                <w:color w:val="000000" w:themeColor="text1"/>
                <w:sz w:val="26"/>
                <w:szCs w:val="26"/>
                <w:lang w:eastAsia="lv-LV"/>
              </w:rPr>
              <w:t>Ekonomikas ministrija sadarbībā ar Finanšu ministriju un Labklājības ministriju.</w:t>
            </w:r>
          </w:p>
        </w:tc>
      </w:tr>
      <w:tr w:rsidR="00CD1687" w:rsidRPr="00C9063A" w:rsidTr="00AA6F2A">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3.</w:t>
            </w:r>
          </w:p>
        </w:tc>
        <w:tc>
          <w:tcPr>
            <w:tcW w:w="2906" w:type="dxa"/>
            <w:tcBorders>
              <w:top w:val="single" w:sz="4" w:space="0" w:color="auto"/>
              <w:left w:val="single" w:sz="4" w:space="0" w:color="auto"/>
              <w:bottom w:val="single" w:sz="4" w:space="0" w:color="auto"/>
              <w:right w:val="single" w:sz="4" w:space="0" w:color="auto"/>
            </w:tcBorders>
          </w:tcPr>
          <w:p w:rsidR="00CD1687" w:rsidRPr="00C9063A" w:rsidRDefault="00CD1687" w:rsidP="00AA6F2A">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rsidR="00CD1687" w:rsidRPr="00C9063A" w:rsidRDefault="00CD1687" w:rsidP="00AA6F2A">
            <w:pPr>
              <w:pStyle w:val="naisnod"/>
              <w:spacing w:before="0" w:beforeAutospacing="0" w:after="0" w:afterAutospacing="0"/>
              <w:ind w:right="57"/>
              <w:rPr>
                <w:color w:val="000000" w:themeColor="text1"/>
                <w:sz w:val="26"/>
                <w:szCs w:val="26"/>
              </w:rPr>
            </w:pPr>
            <w:r w:rsidRPr="00C9063A">
              <w:rPr>
                <w:color w:val="000000" w:themeColor="text1"/>
                <w:sz w:val="26"/>
                <w:szCs w:val="26"/>
              </w:rPr>
              <w:t>Nav</w:t>
            </w:r>
          </w:p>
        </w:tc>
      </w:tr>
      <w:tr w:rsidR="00E4037F" w:rsidRPr="00C9063A" w:rsidTr="00EA2BCB">
        <w:trPr>
          <w:trHeight w:val="381"/>
          <w:jc w:val="center"/>
        </w:trPr>
        <w:tc>
          <w:tcPr>
            <w:tcW w:w="9518" w:type="dxa"/>
            <w:gridSpan w:val="3"/>
            <w:vAlign w:val="center"/>
          </w:tcPr>
          <w:p w:rsidR="00E47C73" w:rsidRPr="00C9063A" w:rsidRDefault="00E47C73" w:rsidP="00D707C0">
            <w:pPr>
              <w:pStyle w:val="naisnod"/>
              <w:spacing w:before="0" w:beforeAutospacing="0" w:after="0" w:afterAutospacing="0"/>
              <w:ind w:left="57" w:right="57"/>
              <w:jc w:val="center"/>
              <w:rPr>
                <w:i/>
                <w:color w:val="000000" w:themeColor="text1"/>
                <w:sz w:val="26"/>
                <w:szCs w:val="26"/>
              </w:rPr>
            </w:pPr>
            <w:r w:rsidRPr="00C9063A">
              <w:rPr>
                <w:b/>
                <w:color w:val="000000" w:themeColor="text1"/>
                <w:sz w:val="26"/>
                <w:szCs w:val="26"/>
              </w:rPr>
              <w:t>V. Tiesību akta projekta atbilstība Latvijas Republikas starptautiskajām saistībām</w:t>
            </w:r>
          </w:p>
        </w:tc>
      </w:tr>
      <w:tr w:rsidR="00E4037F" w:rsidRPr="00C9063A" w:rsidTr="00EA2BCB">
        <w:trPr>
          <w:trHeight w:val="427"/>
          <w:jc w:val="center"/>
        </w:trPr>
        <w:tc>
          <w:tcPr>
            <w:tcW w:w="437" w:type="dxa"/>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1.</w:t>
            </w:r>
          </w:p>
        </w:tc>
        <w:tc>
          <w:tcPr>
            <w:tcW w:w="2906" w:type="dxa"/>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Saistības pret Eiropas Savienību</w:t>
            </w:r>
          </w:p>
        </w:tc>
        <w:tc>
          <w:tcPr>
            <w:tcW w:w="6175" w:type="dxa"/>
          </w:tcPr>
          <w:p w:rsidR="00E47C73" w:rsidRPr="00C9063A" w:rsidRDefault="00990A9A" w:rsidP="00D707C0">
            <w:pPr>
              <w:spacing w:after="0" w:line="240" w:lineRule="auto"/>
              <w:contextualSpacing/>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 xml:space="preserve">Komisijas 2013. gada 18. decembra Regulas (EK) Nr. 1407/2013 par Līguma par Eiropas Savienības darbību 107. un 108. panta piemērošanu </w:t>
            </w:r>
            <w:proofErr w:type="spellStart"/>
            <w:r w:rsidRPr="00C9063A">
              <w:rPr>
                <w:rFonts w:ascii="Times New Roman" w:eastAsia="Times New Roman" w:hAnsi="Times New Roman" w:cs="Times New Roman"/>
                <w:i/>
                <w:color w:val="000000" w:themeColor="text1"/>
                <w:sz w:val="26"/>
                <w:szCs w:val="26"/>
                <w:lang w:eastAsia="lv-LV"/>
              </w:rPr>
              <w:t>de</w:t>
            </w:r>
            <w:proofErr w:type="spellEnd"/>
            <w:r w:rsidRPr="00C9063A">
              <w:rPr>
                <w:rFonts w:ascii="Times New Roman" w:eastAsia="Times New Roman" w:hAnsi="Times New Roman" w:cs="Times New Roman"/>
                <w:i/>
                <w:color w:val="000000" w:themeColor="text1"/>
                <w:sz w:val="26"/>
                <w:szCs w:val="26"/>
                <w:lang w:eastAsia="lv-LV"/>
              </w:rPr>
              <w:t xml:space="preserve"> </w:t>
            </w:r>
            <w:proofErr w:type="spellStart"/>
            <w:r w:rsidRPr="00C9063A">
              <w:rPr>
                <w:rFonts w:ascii="Times New Roman" w:eastAsia="Times New Roman" w:hAnsi="Times New Roman" w:cs="Times New Roman"/>
                <w:i/>
                <w:color w:val="000000" w:themeColor="text1"/>
                <w:sz w:val="26"/>
                <w:szCs w:val="26"/>
                <w:lang w:eastAsia="lv-LV"/>
              </w:rPr>
              <w:t>minimis</w:t>
            </w:r>
            <w:proofErr w:type="spellEnd"/>
            <w:r w:rsidRPr="00C9063A">
              <w:rPr>
                <w:rFonts w:ascii="Times New Roman" w:eastAsia="Times New Roman" w:hAnsi="Times New Roman" w:cs="Times New Roman"/>
                <w:color w:val="000000" w:themeColor="text1"/>
                <w:sz w:val="26"/>
                <w:szCs w:val="26"/>
                <w:lang w:eastAsia="lv-LV"/>
              </w:rPr>
              <w:t xml:space="preserve"> atbalstam (turpmāk – Komisijas regula Nr. 1407/2013)</w:t>
            </w:r>
            <w:r w:rsidR="008A2420" w:rsidRPr="00C9063A">
              <w:rPr>
                <w:rFonts w:ascii="Times New Roman" w:eastAsia="Times New Roman" w:hAnsi="Times New Roman" w:cs="Times New Roman"/>
                <w:color w:val="000000" w:themeColor="text1"/>
                <w:sz w:val="26"/>
                <w:szCs w:val="26"/>
                <w:lang w:eastAsia="lv-LV"/>
              </w:rPr>
              <w:t>.</w:t>
            </w:r>
          </w:p>
        </w:tc>
      </w:tr>
      <w:tr w:rsidR="00E4037F" w:rsidRPr="00C9063A" w:rsidTr="00EA2BCB">
        <w:trPr>
          <w:trHeight w:val="463"/>
          <w:jc w:val="center"/>
        </w:trPr>
        <w:tc>
          <w:tcPr>
            <w:tcW w:w="437" w:type="dxa"/>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2.</w:t>
            </w:r>
          </w:p>
        </w:tc>
        <w:tc>
          <w:tcPr>
            <w:tcW w:w="2906" w:type="dxa"/>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Citas starptautiskās saistības</w:t>
            </w:r>
          </w:p>
        </w:tc>
        <w:tc>
          <w:tcPr>
            <w:tcW w:w="6175" w:type="dxa"/>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 xml:space="preserve">Projekts šo jomu neskar. </w:t>
            </w:r>
          </w:p>
        </w:tc>
      </w:tr>
      <w:tr w:rsidR="00E47C73" w:rsidRPr="00C9063A"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3.</w:t>
            </w:r>
          </w:p>
        </w:tc>
        <w:tc>
          <w:tcPr>
            <w:tcW w:w="2906"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spacing w:after="0" w:line="240" w:lineRule="auto"/>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 xml:space="preserve">Projekts šo jomu neskar. </w:t>
            </w:r>
          </w:p>
        </w:tc>
      </w:tr>
    </w:tbl>
    <w:p w:rsidR="00E47C73" w:rsidRPr="00C9063A" w:rsidRDefault="00E47C73" w:rsidP="00D707C0">
      <w:pPr>
        <w:spacing w:after="0" w:line="240" w:lineRule="auto"/>
        <w:rPr>
          <w:rFonts w:ascii="Times New Roman" w:eastAsia="Times New Roman" w:hAnsi="Times New Roman" w:cs="Times New Roman"/>
          <w:i/>
          <w:color w:val="000000" w:themeColor="text1"/>
          <w:sz w:val="26"/>
          <w:szCs w:val="26"/>
          <w:lang w:eastAsia="lv-LV"/>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077"/>
        <w:gridCol w:w="2105"/>
        <w:gridCol w:w="2472"/>
      </w:tblGrid>
      <w:tr w:rsidR="00E4037F" w:rsidRPr="00C9063A" w:rsidTr="00593EB1">
        <w:tc>
          <w:tcPr>
            <w:tcW w:w="9640" w:type="dxa"/>
            <w:gridSpan w:val="4"/>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pStyle w:val="naisnod"/>
              <w:spacing w:before="120" w:beforeAutospacing="0" w:after="0" w:afterAutospacing="0"/>
              <w:jc w:val="center"/>
              <w:rPr>
                <w:color w:val="000000" w:themeColor="text1"/>
                <w:sz w:val="26"/>
                <w:szCs w:val="26"/>
                <w:lang w:eastAsia="en-US"/>
              </w:rPr>
            </w:pPr>
            <w:r w:rsidRPr="00C9063A">
              <w:rPr>
                <w:b/>
                <w:color w:val="000000" w:themeColor="text1"/>
                <w:sz w:val="26"/>
                <w:szCs w:val="26"/>
                <w:lang w:eastAsia="en-US"/>
              </w:rPr>
              <w:t>1.tabula. Tiesību akta projekta atbilstība ES tiesību aktiem</w:t>
            </w:r>
          </w:p>
        </w:tc>
      </w:tr>
      <w:tr w:rsidR="00E4037F" w:rsidRPr="00C9063A" w:rsidTr="00593EB1">
        <w:tc>
          <w:tcPr>
            <w:tcW w:w="2986"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lastRenderedPageBreak/>
              <w:t>Attiecīgā ES tiesību akta datums, numurs un nosaukums</w:t>
            </w:r>
          </w:p>
        </w:tc>
        <w:tc>
          <w:tcPr>
            <w:tcW w:w="6654" w:type="dxa"/>
            <w:gridSpan w:val="3"/>
            <w:tcBorders>
              <w:top w:val="single" w:sz="4" w:space="0" w:color="auto"/>
              <w:left w:val="single" w:sz="4" w:space="0" w:color="auto"/>
              <w:bottom w:val="single" w:sz="4" w:space="0" w:color="auto"/>
              <w:right w:val="single" w:sz="4" w:space="0" w:color="auto"/>
            </w:tcBorders>
            <w:hideMark/>
          </w:tcPr>
          <w:p w:rsidR="0023551F" w:rsidRPr="00C9063A" w:rsidRDefault="0023551F" w:rsidP="00593EB1">
            <w:pPr>
              <w:pStyle w:val="naiskr"/>
              <w:spacing w:before="120" w:beforeAutospacing="0" w:after="0" w:afterAutospacing="0"/>
              <w:jc w:val="both"/>
              <w:rPr>
                <w:color w:val="000000" w:themeColor="text1"/>
                <w:sz w:val="26"/>
                <w:szCs w:val="26"/>
              </w:rPr>
            </w:pPr>
            <w:r w:rsidRPr="00C9063A">
              <w:rPr>
                <w:color w:val="000000" w:themeColor="text1"/>
                <w:sz w:val="26"/>
                <w:szCs w:val="26"/>
              </w:rPr>
              <w:t>Ar normatīvo aktu tiek ieviestas šādas Eiropas Sa</w:t>
            </w:r>
            <w:r w:rsidR="00593EB1" w:rsidRPr="00C9063A">
              <w:rPr>
                <w:color w:val="000000" w:themeColor="text1"/>
                <w:sz w:val="26"/>
                <w:szCs w:val="26"/>
              </w:rPr>
              <w:t xml:space="preserve">vienības tiesību aktu prasības </w:t>
            </w:r>
            <w:r w:rsidR="00EE0748" w:rsidRPr="00C9063A">
              <w:rPr>
                <w:color w:val="000000" w:themeColor="text1"/>
                <w:sz w:val="26"/>
                <w:szCs w:val="26"/>
              </w:rPr>
              <w:t>Komisijas regula Nr. 1407/2013</w:t>
            </w:r>
            <w:r w:rsidR="00593EB1" w:rsidRPr="00C9063A">
              <w:rPr>
                <w:color w:val="000000" w:themeColor="text1"/>
                <w:sz w:val="26"/>
                <w:szCs w:val="26"/>
              </w:rPr>
              <w:t>.</w:t>
            </w:r>
          </w:p>
        </w:tc>
      </w:tr>
      <w:tr w:rsidR="00E4037F" w:rsidRPr="00C9063A" w:rsidTr="00593EB1">
        <w:tc>
          <w:tcPr>
            <w:tcW w:w="2986"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jc w:val="center"/>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A</w:t>
            </w:r>
          </w:p>
        </w:tc>
        <w:tc>
          <w:tcPr>
            <w:tcW w:w="2077"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jc w:val="center"/>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B</w:t>
            </w:r>
          </w:p>
        </w:tc>
        <w:tc>
          <w:tcPr>
            <w:tcW w:w="2105"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jc w:val="center"/>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C</w:t>
            </w:r>
          </w:p>
        </w:tc>
        <w:tc>
          <w:tcPr>
            <w:tcW w:w="2472"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jc w:val="center"/>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D</w:t>
            </w:r>
          </w:p>
        </w:tc>
      </w:tr>
      <w:tr w:rsidR="00E4037F" w:rsidRPr="00C9063A" w:rsidTr="00593EB1">
        <w:tc>
          <w:tcPr>
            <w:tcW w:w="2986"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 xml:space="preserve">Attiecīgā ES tiesību akta panta numurs (uzskaitot katru tiesību akta </w:t>
            </w:r>
            <w:r w:rsidRPr="00C9063A">
              <w:rPr>
                <w:rFonts w:ascii="Times New Roman" w:hAnsi="Times New Roman" w:cs="Times New Roman"/>
                <w:color w:val="000000" w:themeColor="text1"/>
                <w:sz w:val="26"/>
                <w:szCs w:val="26"/>
              </w:rPr>
              <w:br/>
              <w:t>vienību – pantu, daļu, punktu, apakšpunktu)</w:t>
            </w:r>
          </w:p>
        </w:tc>
        <w:tc>
          <w:tcPr>
            <w:tcW w:w="2077"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Projekta vienība, kas pārņem vai ievieš katru šīs tabulas A ailē minēto ES tiesību akta vienību, vai tiesību akts, kur attiecīgā ES tiesību akta vienība pārņemta vai ieviesta</w:t>
            </w:r>
          </w:p>
        </w:tc>
        <w:tc>
          <w:tcPr>
            <w:tcW w:w="2105"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Informācija par to, vai šīs tabulas A ailē minētās ES tiesību akta vienības tiek pārņemtas vai ieviestas pilnībā vai daļēji.</w:t>
            </w:r>
          </w:p>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Ja attiecīgā ES tiesību akta vienība tiek pārņemta vai ieviesta daļēji, – sniedz attiecīgu skaidrojumu, kā arī precīzi norāda, kad un kādā veidā ES tiesību akta vienība tiks pārņemta vai ieviesta pilnībā.</w:t>
            </w:r>
          </w:p>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Norāda institūciju, kas ir atbildīga par šo saistību izpildi pilnībā</w:t>
            </w:r>
          </w:p>
        </w:tc>
        <w:tc>
          <w:tcPr>
            <w:tcW w:w="2472" w:type="dxa"/>
            <w:tcBorders>
              <w:top w:val="single" w:sz="4" w:space="0" w:color="auto"/>
              <w:left w:val="single" w:sz="4" w:space="0" w:color="auto"/>
              <w:bottom w:val="single" w:sz="4" w:space="0" w:color="auto"/>
              <w:right w:val="single" w:sz="4" w:space="0" w:color="auto"/>
            </w:tcBorders>
            <w:hideMark/>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Informācija par to, vai šīs tabulas B ailē minētās projekta vienības paredz stingrākas prasības nekā šīs tabulas A ailē minētās ES tiesību akta vienības.</w:t>
            </w:r>
          </w:p>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Ja projekts satur stingrākas prasības nekā attiecīgais ES tiesību akts, – norāda pamatojumu un samērīgumu.</w:t>
            </w:r>
          </w:p>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E4037F" w:rsidRPr="00C9063A" w:rsidTr="00593EB1">
        <w:tc>
          <w:tcPr>
            <w:tcW w:w="2986" w:type="dxa"/>
            <w:tcBorders>
              <w:top w:val="single" w:sz="4" w:space="0" w:color="auto"/>
              <w:left w:val="single" w:sz="4" w:space="0" w:color="auto"/>
              <w:bottom w:val="single" w:sz="4" w:space="0" w:color="auto"/>
              <w:right w:val="single" w:sz="4" w:space="0" w:color="auto"/>
            </w:tcBorders>
          </w:tcPr>
          <w:p w:rsidR="0023551F" w:rsidRPr="00C9063A" w:rsidRDefault="0023551F" w:rsidP="0066534F">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Komisijas regulas 1407/2013 1.panta 1.punkts</w:t>
            </w:r>
            <w:r w:rsidR="00990A9A" w:rsidRPr="00C9063A">
              <w:rPr>
                <w:rFonts w:ascii="Times New Roman" w:hAnsi="Times New Roman" w:cs="Times New Roman"/>
                <w:color w:val="000000" w:themeColor="text1"/>
                <w:sz w:val="26"/>
                <w:szCs w:val="26"/>
              </w:rPr>
              <w:t xml:space="preserve"> un 2.punkts</w:t>
            </w:r>
          </w:p>
        </w:tc>
        <w:tc>
          <w:tcPr>
            <w:tcW w:w="2077" w:type="dxa"/>
            <w:tcBorders>
              <w:top w:val="single" w:sz="4" w:space="0" w:color="auto"/>
              <w:left w:val="single" w:sz="4" w:space="0" w:color="auto"/>
              <w:bottom w:val="single" w:sz="4" w:space="0" w:color="auto"/>
              <w:right w:val="single" w:sz="4" w:space="0" w:color="auto"/>
            </w:tcBorders>
          </w:tcPr>
          <w:p w:rsidR="0023551F" w:rsidRPr="00C9063A" w:rsidRDefault="0023551F" w:rsidP="0014458A">
            <w:pPr>
              <w:spacing w:before="120" w:after="0" w:line="240" w:lineRule="auto"/>
              <w:jc w:val="center"/>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 xml:space="preserve">Likumprojekta </w:t>
            </w:r>
            <w:r w:rsidR="0014458A" w:rsidRPr="00C9063A">
              <w:rPr>
                <w:rFonts w:ascii="Times New Roman" w:hAnsi="Times New Roman" w:cs="Times New Roman"/>
                <w:color w:val="000000" w:themeColor="text1"/>
                <w:sz w:val="26"/>
                <w:szCs w:val="26"/>
              </w:rPr>
              <w:t>9</w:t>
            </w:r>
            <w:r w:rsidRPr="00C9063A">
              <w:rPr>
                <w:rFonts w:ascii="Times New Roman" w:hAnsi="Times New Roman" w:cs="Times New Roman"/>
                <w:color w:val="000000" w:themeColor="text1"/>
                <w:sz w:val="26"/>
                <w:szCs w:val="26"/>
              </w:rPr>
              <w:t>.pant</w:t>
            </w:r>
            <w:r w:rsidR="0014458A" w:rsidRPr="00C9063A">
              <w:rPr>
                <w:rFonts w:ascii="Times New Roman" w:hAnsi="Times New Roman" w:cs="Times New Roman"/>
                <w:color w:val="000000" w:themeColor="text1"/>
                <w:sz w:val="26"/>
                <w:szCs w:val="26"/>
              </w:rPr>
              <w:t>s</w:t>
            </w:r>
            <w:r w:rsidRPr="00C9063A">
              <w:rPr>
                <w:rFonts w:ascii="Times New Roman" w:hAnsi="Times New Roman" w:cs="Times New Roman"/>
                <w:color w:val="000000" w:themeColor="text1"/>
                <w:sz w:val="26"/>
                <w:szCs w:val="26"/>
              </w:rPr>
              <w:t xml:space="preserve"> </w:t>
            </w:r>
          </w:p>
        </w:tc>
        <w:tc>
          <w:tcPr>
            <w:tcW w:w="2105" w:type="dxa"/>
            <w:tcBorders>
              <w:top w:val="single" w:sz="4" w:space="0" w:color="auto"/>
              <w:left w:val="single" w:sz="4" w:space="0" w:color="auto"/>
              <w:bottom w:val="single" w:sz="4" w:space="0" w:color="auto"/>
              <w:right w:val="single" w:sz="4" w:space="0" w:color="auto"/>
            </w:tcBorders>
          </w:tcPr>
          <w:p w:rsidR="0023551F" w:rsidRPr="00C9063A" w:rsidRDefault="0023551F" w:rsidP="0066534F">
            <w:pPr>
              <w:spacing w:before="120" w:after="0" w:line="240" w:lineRule="auto"/>
              <w:jc w:val="center"/>
              <w:rPr>
                <w:rFonts w:ascii="Times New Roman" w:hAnsi="Times New Roman" w:cs="Times New Roman"/>
                <w:i/>
                <w:color w:val="000000" w:themeColor="text1"/>
                <w:sz w:val="26"/>
                <w:szCs w:val="26"/>
              </w:rPr>
            </w:pPr>
            <w:r w:rsidRPr="00C9063A">
              <w:rPr>
                <w:rFonts w:ascii="Times New Roman" w:hAnsi="Times New Roman" w:cs="Times New Roman"/>
                <w:i/>
                <w:color w:val="000000" w:themeColor="text1"/>
                <w:sz w:val="26"/>
                <w:szCs w:val="26"/>
              </w:rPr>
              <w:t>Ieviesta pilnībā</w:t>
            </w:r>
          </w:p>
        </w:tc>
        <w:tc>
          <w:tcPr>
            <w:tcW w:w="2472" w:type="dxa"/>
            <w:tcBorders>
              <w:top w:val="single" w:sz="4" w:space="0" w:color="auto"/>
              <w:left w:val="single" w:sz="4" w:space="0" w:color="auto"/>
              <w:bottom w:val="single" w:sz="4" w:space="0" w:color="auto"/>
              <w:right w:val="single" w:sz="4" w:space="0" w:color="auto"/>
            </w:tcBorders>
          </w:tcPr>
          <w:p w:rsidR="0023551F" w:rsidRPr="00C9063A" w:rsidRDefault="0023551F" w:rsidP="0066534F">
            <w:pPr>
              <w:spacing w:before="120" w:after="0" w:line="240" w:lineRule="auto"/>
              <w:jc w:val="center"/>
              <w:rPr>
                <w:rFonts w:ascii="Times New Roman" w:hAnsi="Times New Roman" w:cs="Times New Roman"/>
                <w:i/>
                <w:color w:val="000000" w:themeColor="text1"/>
                <w:sz w:val="26"/>
                <w:szCs w:val="26"/>
              </w:rPr>
            </w:pPr>
            <w:r w:rsidRPr="00C9063A">
              <w:rPr>
                <w:rFonts w:ascii="Times New Roman" w:hAnsi="Times New Roman" w:cs="Times New Roman"/>
                <w:i/>
                <w:color w:val="000000" w:themeColor="text1"/>
                <w:sz w:val="26"/>
                <w:szCs w:val="26"/>
              </w:rPr>
              <w:t>Neparedz stingrākas prasības</w:t>
            </w:r>
          </w:p>
        </w:tc>
      </w:tr>
      <w:tr w:rsidR="00E4037F" w:rsidRPr="00C9063A" w:rsidTr="00593EB1">
        <w:tc>
          <w:tcPr>
            <w:tcW w:w="2986" w:type="dxa"/>
            <w:tcBorders>
              <w:top w:val="single" w:sz="4" w:space="0" w:color="auto"/>
              <w:left w:val="single" w:sz="4" w:space="0" w:color="auto"/>
              <w:bottom w:val="single" w:sz="4" w:space="0" w:color="auto"/>
              <w:right w:val="single" w:sz="4" w:space="0" w:color="auto"/>
            </w:tcBorders>
          </w:tcPr>
          <w:p w:rsidR="0023551F" w:rsidRPr="00C9063A" w:rsidRDefault="0023551F"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 xml:space="preserve">Komisijas regulas 1407/2013 </w:t>
            </w:r>
            <w:r w:rsidR="00990A9A" w:rsidRPr="00C9063A">
              <w:rPr>
                <w:rFonts w:ascii="Times New Roman" w:hAnsi="Times New Roman" w:cs="Times New Roman"/>
                <w:color w:val="000000" w:themeColor="text1"/>
                <w:sz w:val="26"/>
                <w:szCs w:val="26"/>
              </w:rPr>
              <w:t>2</w:t>
            </w:r>
            <w:r w:rsidRPr="00C9063A">
              <w:rPr>
                <w:rFonts w:ascii="Times New Roman" w:hAnsi="Times New Roman" w:cs="Times New Roman"/>
                <w:color w:val="000000" w:themeColor="text1"/>
                <w:sz w:val="26"/>
                <w:szCs w:val="26"/>
              </w:rPr>
              <w:t>.pants</w:t>
            </w:r>
          </w:p>
        </w:tc>
        <w:tc>
          <w:tcPr>
            <w:tcW w:w="2077" w:type="dxa"/>
            <w:tcBorders>
              <w:top w:val="single" w:sz="4" w:space="0" w:color="auto"/>
              <w:left w:val="single" w:sz="4" w:space="0" w:color="auto"/>
              <w:bottom w:val="single" w:sz="4" w:space="0" w:color="auto"/>
              <w:right w:val="single" w:sz="4" w:space="0" w:color="auto"/>
            </w:tcBorders>
          </w:tcPr>
          <w:p w:rsidR="0023551F" w:rsidRPr="00C9063A" w:rsidRDefault="0023551F">
            <w:pPr>
              <w:spacing w:before="120" w:after="0" w:line="240" w:lineRule="auto"/>
              <w:jc w:val="center"/>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Likumprojekta </w:t>
            </w:r>
            <w:r w:rsidR="0014458A" w:rsidRPr="00C9063A">
              <w:rPr>
                <w:rFonts w:ascii="Times New Roman" w:hAnsi="Times New Roman" w:cs="Times New Roman"/>
                <w:color w:val="000000" w:themeColor="text1"/>
                <w:sz w:val="26"/>
                <w:szCs w:val="26"/>
              </w:rPr>
              <w:t>9.pants</w:t>
            </w:r>
          </w:p>
        </w:tc>
        <w:tc>
          <w:tcPr>
            <w:tcW w:w="2105" w:type="dxa"/>
            <w:tcBorders>
              <w:top w:val="single" w:sz="4" w:space="0" w:color="auto"/>
              <w:left w:val="single" w:sz="4" w:space="0" w:color="auto"/>
              <w:bottom w:val="single" w:sz="4" w:space="0" w:color="auto"/>
              <w:right w:val="single" w:sz="4" w:space="0" w:color="auto"/>
            </w:tcBorders>
          </w:tcPr>
          <w:p w:rsidR="0023551F" w:rsidRPr="00C9063A" w:rsidRDefault="0023551F" w:rsidP="0066534F">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Ieviesta pilnībā</w:t>
            </w:r>
          </w:p>
        </w:tc>
        <w:tc>
          <w:tcPr>
            <w:tcW w:w="2472" w:type="dxa"/>
            <w:tcBorders>
              <w:top w:val="single" w:sz="4" w:space="0" w:color="auto"/>
              <w:left w:val="single" w:sz="4" w:space="0" w:color="auto"/>
              <w:bottom w:val="single" w:sz="4" w:space="0" w:color="auto"/>
              <w:right w:val="single" w:sz="4" w:space="0" w:color="auto"/>
            </w:tcBorders>
          </w:tcPr>
          <w:p w:rsidR="0023551F" w:rsidRPr="00C9063A" w:rsidRDefault="0023551F" w:rsidP="0066534F">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Neparedz stingrākas prasības</w:t>
            </w:r>
          </w:p>
        </w:tc>
      </w:tr>
      <w:tr w:rsidR="00990A9A" w:rsidRPr="00C9063A" w:rsidTr="00593EB1">
        <w:tc>
          <w:tcPr>
            <w:tcW w:w="2986"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Komisijas regulas 1407/2013 3.pants</w:t>
            </w:r>
          </w:p>
        </w:tc>
        <w:tc>
          <w:tcPr>
            <w:tcW w:w="2077"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Likumprojekta </w:t>
            </w:r>
            <w:r w:rsidRPr="00C9063A">
              <w:rPr>
                <w:rFonts w:ascii="Times New Roman" w:hAnsi="Times New Roman" w:cs="Times New Roman"/>
                <w:color w:val="000000" w:themeColor="text1"/>
                <w:sz w:val="26"/>
                <w:szCs w:val="26"/>
              </w:rPr>
              <w:t>9.pants</w:t>
            </w:r>
          </w:p>
        </w:tc>
        <w:tc>
          <w:tcPr>
            <w:tcW w:w="2105"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Ieviesta pilnībā</w:t>
            </w:r>
          </w:p>
        </w:tc>
        <w:tc>
          <w:tcPr>
            <w:tcW w:w="2472"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Neparedz stingrākas prasības</w:t>
            </w:r>
          </w:p>
        </w:tc>
      </w:tr>
      <w:tr w:rsidR="00990A9A" w:rsidRPr="00C9063A" w:rsidTr="00593EB1">
        <w:tc>
          <w:tcPr>
            <w:tcW w:w="2986"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Komisijas regulas 1407/2013 5.pants 1. un 2.punkts</w:t>
            </w:r>
          </w:p>
        </w:tc>
        <w:tc>
          <w:tcPr>
            <w:tcW w:w="2077"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Cs/>
                <w:color w:val="000000" w:themeColor="text1"/>
                <w:sz w:val="26"/>
                <w:szCs w:val="26"/>
              </w:rPr>
            </w:pPr>
            <w:r w:rsidRPr="00C9063A">
              <w:rPr>
                <w:rFonts w:ascii="Times New Roman" w:hAnsi="Times New Roman" w:cs="Times New Roman"/>
                <w:iCs/>
                <w:color w:val="000000" w:themeColor="text1"/>
                <w:sz w:val="26"/>
                <w:szCs w:val="26"/>
              </w:rPr>
              <w:t xml:space="preserve">Likumprojekta </w:t>
            </w:r>
            <w:r w:rsidRPr="00C9063A">
              <w:rPr>
                <w:rFonts w:ascii="Times New Roman" w:hAnsi="Times New Roman" w:cs="Times New Roman"/>
                <w:color w:val="000000" w:themeColor="text1"/>
                <w:sz w:val="26"/>
                <w:szCs w:val="26"/>
              </w:rPr>
              <w:t>9.pants</w:t>
            </w:r>
          </w:p>
        </w:tc>
        <w:tc>
          <w:tcPr>
            <w:tcW w:w="2105"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Ieviesta pilnībā</w:t>
            </w:r>
          </w:p>
        </w:tc>
        <w:tc>
          <w:tcPr>
            <w:tcW w:w="2472" w:type="dxa"/>
            <w:tcBorders>
              <w:top w:val="single" w:sz="4" w:space="0" w:color="auto"/>
              <w:left w:val="single" w:sz="4" w:space="0" w:color="auto"/>
              <w:bottom w:val="single" w:sz="4" w:space="0" w:color="auto"/>
              <w:right w:val="single" w:sz="4" w:space="0" w:color="auto"/>
            </w:tcBorders>
          </w:tcPr>
          <w:p w:rsidR="00990A9A" w:rsidRPr="00C9063A" w:rsidRDefault="00990A9A" w:rsidP="00990A9A">
            <w:pPr>
              <w:spacing w:before="120" w:after="0" w:line="240" w:lineRule="auto"/>
              <w:jc w:val="center"/>
              <w:rPr>
                <w:rFonts w:ascii="Times New Roman" w:hAnsi="Times New Roman" w:cs="Times New Roman"/>
                <w:i/>
                <w:iCs/>
                <w:color w:val="000000" w:themeColor="text1"/>
                <w:sz w:val="26"/>
                <w:szCs w:val="26"/>
              </w:rPr>
            </w:pPr>
            <w:r w:rsidRPr="00C9063A">
              <w:rPr>
                <w:rFonts w:ascii="Times New Roman" w:hAnsi="Times New Roman" w:cs="Times New Roman"/>
                <w:i/>
                <w:iCs/>
                <w:color w:val="000000" w:themeColor="text1"/>
                <w:sz w:val="26"/>
                <w:szCs w:val="26"/>
              </w:rPr>
              <w:t>Neparedz stingrākas prasības</w:t>
            </w:r>
          </w:p>
        </w:tc>
      </w:tr>
      <w:tr w:rsidR="00990A9A" w:rsidRPr="00C9063A" w:rsidTr="00593EB1">
        <w:tc>
          <w:tcPr>
            <w:tcW w:w="5063"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Kā ir izmantota ES tiesību aktā paredzētā rīcības brīvība dalībvalstij pārņemt vai ieviest noteiktas ES tiesību akta normas?</w:t>
            </w:r>
          </w:p>
          <w:p w:rsidR="00990A9A" w:rsidRPr="00C9063A" w:rsidRDefault="00990A9A" w:rsidP="00990A9A">
            <w:pPr>
              <w:spacing w:before="120" w:after="0" w:line="240" w:lineRule="auto"/>
              <w:rPr>
                <w:rFonts w:ascii="Times New Roman" w:hAnsi="Times New Roman" w:cs="Times New Roman"/>
                <w:i/>
                <w:color w:val="000000" w:themeColor="text1"/>
                <w:sz w:val="26"/>
                <w:szCs w:val="26"/>
              </w:rPr>
            </w:pPr>
            <w:r w:rsidRPr="00C9063A">
              <w:rPr>
                <w:rFonts w:ascii="Times New Roman" w:hAnsi="Times New Roman" w:cs="Times New Roman"/>
                <w:color w:val="000000" w:themeColor="text1"/>
                <w:sz w:val="26"/>
                <w:szCs w:val="26"/>
              </w:rPr>
              <w:lastRenderedPageBreak/>
              <w:t>Kādēļ?</w:t>
            </w:r>
          </w:p>
        </w:tc>
        <w:tc>
          <w:tcPr>
            <w:tcW w:w="4577"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iCs/>
                <w:color w:val="000000" w:themeColor="text1"/>
                <w:sz w:val="26"/>
                <w:szCs w:val="26"/>
              </w:rPr>
              <w:lastRenderedPageBreak/>
              <w:t>Rīcības brīvība netiek paredzēta</w:t>
            </w:r>
          </w:p>
        </w:tc>
      </w:tr>
      <w:tr w:rsidR="00990A9A" w:rsidRPr="00C9063A" w:rsidTr="00593EB1">
        <w:tc>
          <w:tcPr>
            <w:tcW w:w="5063"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spacing w:before="120" w:after="0" w:line="240" w:lineRule="auto"/>
              <w:rPr>
                <w:rFonts w:ascii="Times New Roman" w:hAnsi="Times New Roman" w:cs="Times New Roman"/>
                <w:i/>
                <w:color w:val="000000" w:themeColor="text1"/>
                <w:sz w:val="26"/>
                <w:szCs w:val="26"/>
              </w:rPr>
            </w:pPr>
            <w:r w:rsidRPr="00C9063A">
              <w:rPr>
                <w:rFonts w:ascii="Times New Roman" w:hAnsi="Times New Roman" w:cs="Times New Roman"/>
                <w:color w:val="000000" w:themeColor="text1"/>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77"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spacing w:before="120" w:after="0" w:line="240" w:lineRule="auto"/>
              <w:jc w:val="both"/>
              <w:rPr>
                <w:rFonts w:ascii="Times New Roman" w:hAnsi="Times New Roman" w:cs="Times New Roman"/>
                <w:color w:val="000000" w:themeColor="text1"/>
                <w:sz w:val="26"/>
                <w:szCs w:val="26"/>
              </w:rPr>
            </w:pPr>
            <w:r w:rsidRPr="00C9063A">
              <w:rPr>
                <w:rFonts w:ascii="Times New Roman" w:eastAsia="Times New Roman" w:hAnsi="Times New Roman" w:cs="Times New Roman"/>
                <w:color w:val="000000" w:themeColor="text1"/>
                <w:sz w:val="26"/>
                <w:szCs w:val="26"/>
              </w:rPr>
              <w:t>Nav.</w:t>
            </w:r>
          </w:p>
        </w:tc>
      </w:tr>
      <w:tr w:rsidR="00990A9A" w:rsidRPr="00C9063A" w:rsidTr="00593EB1">
        <w:tc>
          <w:tcPr>
            <w:tcW w:w="5063"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pStyle w:val="naiskr"/>
              <w:spacing w:before="120" w:beforeAutospacing="0" w:after="0" w:afterAutospacing="0"/>
              <w:rPr>
                <w:i/>
                <w:color w:val="000000" w:themeColor="text1"/>
                <w:sz w:val="26"/>
                <w:szCs w:val="26"/>
                <w:lang w:eastAsia="en-US"/>
              </w:rPr>
            </w:pPr>
            <w:r w:rsidRPr="00C9063A">
              <w:rPr>
                <w:color w:val="000000" w:themeColor="text1"/>
                <w:sz w:val="26"/>
                <w:szCs w:val="26"/>
                <w:lang w:eastAsia="en-US"/>
              </w:rPr>
              <w:t>Cita informācija</w:t>
            </w:r>
          </w:p>
        </w:tc>
        <w:tc>
          <w:tcPr>
            <w:tcW w:w="4577" w:type="dxa"/>
            <w:gridSpan w:val="2"/>
            <w:tcBorders>
              <w:top w:val="single" w:sz="4" w:space="0" w:color="auto"/>
              <w:left w:val="single" w:sz="4" w:space="0" w:color="auto"/>
              <w:bottom w:val="single" w:sz="4" w:space="0" w:color="auto"/>
              <w:right w:val="single" w:sz="4" w:space="0" w:color="auto"/>
            </w:tcBorders>
            <w:hideMark/>
          </w:tcPr>
          <w:p w:rsidR="00990A9A" w:rsidRPr="00C9063A" w:rsidRDefault="00990A9A" w:rsidP="00990A9A">
            <w:pPr>
              <w:spacing w:before="120" w:after="0" w:line="240" w:lineRule="auto"/>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Nav.</w:t>
            </w:r>
          </w:p>
        </w:tc>
      </w:tr>
    </w:tbl>
    <w:p w:rsidR="0023551F" w:rsidRPr="00C9063A" w:rsidRDefault="0023551F" w:rsidP="00D707C0">
      <w:pPr>
        <w:spacing w:after="0" w:line="240" w:lineRule="auto"/>
        <w:rPr>
          <w:rFonts w:ascii="Times New Roman" w:eastAsia="Times New Roman" w:hAnsi="Times New Roman" w:cs="Times New Roman"/>
          <w:i/>
          <w:color w:val="000000" w:themeColor="text1"/>
          <w:sz w:val="26"/>
          <w:szCs w:val="26"/>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037F" w:rsidRPr="00C9063A" w:rsidTr="00525496">
        <w:trPr>
          <w:trHeight w:val="381"/>
          <w:jc w:val="center"/>
        </w:trPr>
        <w:tc>
          <w:tcPr>
            <w:tcW w:w="9518" w:type="dxa"/>
            <w:gridSpan w:val="3"/>
            <w:vAlign w:val="center"/>
          </w:tcPr>
          <w:p w:rsidR="009815DD" w:rsidRPr="00C9063A" w:rsidRDefault="009815DD" w:rsidP="00D707C0">
            <w:pPr>
              <w:pStyle w:val="naisnod"/>
              <w:spacing w:before="0" w:beforeAutospacing="0" w:after="0" w:afterAutospacing="0"/>
              <w:ind w:left="57" w:right="57"/>
              <w:jc w:val="center"/>
              <w:rPr>
                <w:color w:val="000000" w:themeColor="text1"/>
                <w:sz w:val="26"/>
                <w:szCs w:val="26"/>
              </w:rPr>
            </w:pPr>
            <w:r w:rsidRPr="00C9063A">
              <w:rPr>
                <w:b/>
                <w:color w:val="000000" w:themeColor="text1"/>
                <w:sz w:val="26"/>
                <w:szCs w:val="26"/>
              </w:rPr>
              <w:t>VI. Sabiedrības līdzdalība un komunikācijas aktivitātes</w:t>
            </w:r>
          </w:p>
        </w:tc>
      </w:tr>
      <w:tr w:rsidR="00E4037F" w:rsidRPr="00C9063A" w:rsidTr="00525496">
        <w:trPr>
          <w:trHeight w:val="427"/>
          <w:jc w:val="center"/>
        </w:trPr>
        <w:tc>
          <w:tcPr>
            <w:tcW w:w="437" w:type="dxa"/>
          </w:tcPr>
          <w:p w:rsidR="009815DD" w:rsidRPr="00C9063A" w:rsidRDefault="009815DD"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1.</w:t>
            </w:r>
          </w:p>
        </w:tc>
        <w:tc>
          <w:tcPr>
            <w:tcW w:w="2481" w:type="dxa"/>
          </w:tcPr>
          <w:p w:rsidR="009815DD" w:rsidRPr="00C9063A" w:rsidRDefault="009815DD"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Plānotās sabiedrības līdzdalības un komunikācijas aktivitātes saistībā ar projektu</w:t>
            </w:r>
          </w:p>
        </w:tc>
        <w:tc>
          <w:tcPr>
            <w:tcW w:w="6600" w:type="dxa"/>
          </w:tcPr>
          <w:p w:rsidR="0023551F" w:rsidRPr="00C9063A" w:rsidRDefault="0023551F" w:rsidP="00D707C0">
            <w:pPr>
              <w:shd w:val="clear" w:color="auto" w:fill="FFFFFF"/>
              <w:spacing w:after="0" w:line="240" w:lineRule="auto"/>
              <w:ind w:left="113" w:right="52"/>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No likumprojekta izrietošais koncepts skaņots</w:t>
            </w:r>
            <w:r w:rsidRPr="00C9063A">
              <w:rPr>
                <w:rFonts w:ascii="Times New Roman" w:hAnsi="Times New Roman" w:cs="Times New Roman"/>
                <w:color w:val="000000" w:themeColor="text1"/>
                <w:sz w:val="26"/>
                <w:szCs w:val="26"/>
              </w:rPr>
              <w:t xml:space="preserve"> koncepcijas ietv</w:t>
            </w:r>
            <w:r w:rsidR="00B5661C" w:rsidRPr="00C9063A">
              <w:rPr>
                <w:rFonts w:ascii="Times New Roman" w:hAnsi="Times New Roman" w:cs="Times New Roman"/>
                <w:color w:val="000000" w:themeColor="text1"/>
                <w:sz w:val="26"/>
                <w:szCs w:val="26"/>
              </w:rPr>
              <w:t>a</w:t>
            </w:r>
            <w:r w:rsidRPr="00C9063A">
              <w:rPr>
                <w:rFonts w:ascii="Times New Roman" w:hAnsi="Times New Roman" w:cs="Times New Roman"/>
                <w:color w:val="000000" w:themeColor="text1"/>
                <w:sz w:val="26"/>
                <w:szCs w:val="26"/>
              </w:rPr>
              <w:t>ros (apstiprināts M</w:t>
            </w:r>
            <w:r w:rsidR="00B5661C" w:rsidRPr="00C9063A">
              <w:rPr>
                <w:rFonts w:ascii="Times New Roman" w:hAnsi="Times New Roman" w:cs="Times New Roman"/>
                <w:color w:val="000000" w:themeColor="text1"/>
                <w:sz w:val="26"/>
                <w:szCs w:val="26"/>
              </w:rPr>
              <w:t>inistru kabineta komitejas</w:t>
            </w:r>
            <w:r w:rsidRPr="00C9063A">
              <w:rPr>
                <w:rFonts w:ascii="Times New Roman" w:hAnsi="Times New Roman" w:cs="Times New Roman"/>
                <w:color w:val="000000" w:themeColor="text1"/>
                <w:sz w:val="26"/>
                <w:szCs w:val="26"/>
              </w:rPr>
              <w:t xml:space="preserve"> 2016.gada 19.septembra</w:t>
            </w:r>
            <w:r w:rsidR="00B5661C" w:rsidRPr="00C9063A">
              <w:rPr>
                <w:rFonts w:ascii="Times New Roman" w:hAnsi="Times New Roman" w:cs="Times New Roman"/>
                <w:color w:val="000000" w:themeColor="text1"/>
                <w:sz w:val="26"/>
                <w:szCs w:val="26"/>
              </w:rPr>
              <w:t xml:space="preserve"> un</w:t>
            </w:r>
            <w:r w:rsidRPr="00C9063A">
              <w:rPr>
                <w:rFonts w:ascii="Times New Roman" w:hAnsi="Times New Roman" w:cs="Times New Roman"/>
                <w:color w:val="000000" w:themeColor="text1"/>
                <w:sz w:val="26"/>
                <w:szCs w:val="26"/>
              </w:rPr>
              <w:t xml:space="preserve"> </w:t>
            </w:r>
            <w:r w:rsidR="00B5661C" w:rsidRPr="00C9063A">
              <w:rPr>
                <w:rFonts w:ascii="Times New Roman" w:hAnsi="Times New Roman" w:cs="Times New Roman"/>
                <w:color w:val="000000" w:themeColor="text1"/>
                <w:sz w:val="26"/>
                <w:szCs w:val="26"/>
                <w:lang w:eastAsia="lv-LV"/>
              </w:rPr>
              <w:t xml:space="preserve">Ministru kabineta 2016.gada 27.septembra </w:t>
            </w:r>
            <w:r w:rsidR="00B5661C" w:rsidRPr="00C9063A">
              <w:rPr>
                <w:rFonts w:ascii="Times New Roman" w:hAnsi="Times New Roman" w:cs="Times New Roman"/>
                <w:color w:val="000000" w:themeColor="text1"/>
                <w:sz w:val="26"/>
                <w:szCs w:val="26"/>
              </w:rPr>
              <w:t>sēdē</w:t>
            </w:r>
            <w:r w:rsidRPr="00C9063A">
              <w:rPr>
                <w:rFonts w:ascii="Times New Roman" w:hAnsi="Times New Roman" w:cs="Times New Roman"/>
                <w:color w:val="000000" w:themeColor="text1"/>
                <w:sz w:val="26"/>
                <w:szCs w:val="26"/>
              </w:rPr>
              <w:t>)</w:t>
            </w:r>
            <w:r w:rsidR="008A2420" w:rsidRPr="00C9063A">
              <w:rPr>
                <w:rFonts w:ascii="Times New Roman" w:hAnsi="Times New Roman" w:cs="Times New Roman"/>
                <w:color w:val="000000" w:themeColor="text1"/>
                <w:sz w:val="26"/>
                <w:szCs w:val="26"/>
              </w:rPr>
              <w:t>.</w:t>
            </w:r>
          </w:p>
          <w:p w:rsidR="00E97043" w:rsidRPr="00C9063A" w:rsidRDefault="0023551F" w:rsidP="0023551F">
            <w:pPr>
              <w:shd w:val="clear" w:color="auto" w:fill="FFFFFF"/>
              <w:spacing w:after="0" w:line="240" w:lineRule="auto"/>
              <w:ind w:left="113" w:right="52"/>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Likum</w:t>
            </w:r>
            <w:r w:rsidR="002130F0" w:rsidRPr="00C9063A">
              <w:rPr>
                <w:rFonts w:ascii="Times New Roman" w:hAnsi="Times New Roman" w:cs="Times New Roman"/>
                <w:color w:val="000000" w:themeColor="text1"/>
                <w:sz w:val="26"/>
                <w:szCs w:val="26"/>
                <w:lang w:eastAsia="lv-LV"/>
              </w:rPr>
              <w:t xml:space="preserve">projekts </w:t>
            </w:r>
            <w:r w:rsidRPr="00C9063A">
              <w:rPr>
                <w:rFonts w:ascii="Times New Roman" w:hAnsi="Times New Roman" w:cs="Times New Roman"/>
                <w:color w:val="000000" w:themeColor="text1"/>
                <w:sz w:val="26"/>
                <w:szCs w:val="26"/>
                <w:lang w:eastAsia="lv-LV"/>
              </w:rPr>
              <w:t>izskatīts Ekonomikas ministrijas organizētajā tikšanās</w:t>
            </w:r>
            <w:r w:rsidR="002130F0" w:rsidRPr="00C9063A">
              <w:rPr>
                <w:rFonts w:ascii="Times New Roman" w:hAnsi="Times New Roman" w:cs="Times New Roman"/>
                <w:color w:val="000000" w:themeColor="text1"/>
                <w:sz w:val="26"/>
                <w:szCs w:val="26"/>
                <w:lang w:eastAsia="lv-LV"/>
              </w:rPr>
              <w:t xml:space="preserve"> </w:t>
            </w:r>
            <w:r w:rsidR="00B5661C" w:rsidRPr="00C9063A">
              <w:rPr>
                <w:rFonts w:ascii="Times New Roman" w:hAnsi="Times New Roman" w:cs="Times New Roman"/>
                <w:color w:val="000000" w:themeColor="text1"/>
                <w:sz w:val="26"/>
                <w:szCs w:val="26"/>
                <w:lang w:eastAsia="lv-LV"/>
              </w:rPr>
              <w:t>ar Finanšu ministrijas nodokļu sektora un valsts atbalsta sektora pārstāvjiem</w:t>
            </w:r>
            <w:r w:rsidR="006C3AB1" w:rsidRPr="00C9063A">
              <w:rPr>
                <w:rFonts w:ascii="Times New Roman" w:hAnsi="Times New Roman" w:cs="Times New Roman"/>
                <w:color w:val="000000" w:themeColor="text1"/>
                <w:sz w:val="26"/>
                <w:szCs w:val="26"/>
                <w:lang w:eastAsia="lv-LV"/>
              </w:rPr>
              <w:t xml:space="preserve">, </w:t>
            </w:r>
            <w:proofErr w:type="spellStart"/>
            <w:r w:rsidR="006C3AB1" w:rsidRPr="00C9063A">
              <w:rPr>
                <w:rFonts w:ascii="Times New Roman" w:hAnsi="Times New Roman" w:cs="Times New Roman"/>
                <w:i/>
                <w:iCs/>
                <w:color w:val="000000" w:themeColor="text1"/>
                <w:sz w:val="26"/>
                <w:szCs w:val="26"/>
              </w:rPr>
              <w:t>Sart-up</w:t>
            </w:r>
            <w:proofErr w:type="spellEnd"/>
            <w:r w:rsidR="006C3AB1" w:rsidRPr="00C9063A">
              <w:rPr>
                <w:rFonts w:ascii="Times New Roman" w:hAnsi="Times New Roman" w:cs="Times New Roman"/>
                <w:iCs/>
                <w:color w:val="000000" w:themeColor="text1"/>
                <w:sz w:val="26"/>
                <w:szCs w:val="26"/>
              </w:rPr>
              <w:t xml:space="preserve"> asociācijas, Latvijas Tirdzniecības un rūpniecības kameras un Latvijas Darba devēju konfederācijas pārstāvjiem</w:t>
            </w:r>
            <w:r w:rsidR="00B5661C" w:rsidRPr="00C9063A">
              <w:rPr>
                <w:rFonts w:ascii="Times New Roman" w:hAnsi="Times New Roman" w:cs="Times New Roman"/>
                <w:color w:val="000000" w:themeColor="text1"/>
                <w:sz w:val="26"/>
                <w:szCs w:val="26"/>
                <w:lang w:eastAsia="lv-LV"/>
              </w:rPr>
              <w:t xml:space="preserve"> </w:t>
            </w:r>
            <w:r w:rsidR="00D707C0" w:rsidRPr="00C9063A">
              <w:rPr>
                <w:rFonts w:ascii="Times New Roman" w:hAnsi="Times New Roman" w:cs="Times New Roman"/>
                <w:color w:val="000000" w:themeColor="text1"/>
                <w:sz w:val="26"/>
                <w:szCs w:val="26"/>
                <w:lang w:eastAsia="lv-LV"/>
              </w:rPr>
              <w:t xml:space="preserve">2016.gada </w:t>
            </w:r>
            <w:r w:rsidRPr="00C9063A">
              <w:rPr>
                <w:rFonts w:ascii="Times New Roman" w:hAnsi="Times New Roman" w:cs="Times New Roman"/>
                <w:color w:val="000000" w:themeColor="text1"/>
                <w:sz w:val="26"/>
                <w:szCs w:val="26"/>
                <w:lang w:eastAsia="lv-LV"/>
              </w:rPr>
              <w:t>23.</w:t>
            </w:r>
            <w:r w:rsidR="002B69A0" w:rsidRPr="00C9063A">
              <w:rPr>
                <w:rFonts w:ascii="Times New Roman" w:hAnsi="Times New Roman" w:cs="Times New Roman"/>
                <w:color w:val="000000" w:themeColor="text1"/>
                <w:sz w:val="26"/>
                <w:szCs w:val="26"/>
                <w:lang w:eastAsia="lv-LV"/>
              </w:rPr>
              <w:t>septembrī</w:t>
            </w:r>
            <w:r w:rsidR="004B7692" w:rsidRPr="00C9063A">
              <w:rPr>
                <w:rFonts w:ascii="Times New Roman" w:hAnsi="Times New Roman" w:cs="Times New Roman"/>
                <w:color w:val="000000" w:themeColor="text1"/>
                <w:sz w:val="26"/>
                <w:szCs w:val="26"/>
                <w:lang w:eastAsia="lv-LV"/>
              </w:rPr>
              <w:t xml:space="preserve"> (attiecīgi saņemti rakstiski komentāri precizējumiem)</w:t>
            </w:r>
            <w:r w:rsidR="00B5661C" w:rsidRPr="00C9063A">
              <w:rPr>
                <w:rFonts w:ascii="Times New Roman" w:hAnsi="Times New Roman" w:cs="Times New Roman"/>
                <w:color w:val="000000" w:themeColor="text1"/>
                <w:sz w:val="26"/>
                <w:szCs w:val="26"/>
                <w:lang w:eastAsia="lv-LV"/>
              </w:rPr>
              <w:t xml:space="preserve"> un pārrunāts ar Labklājības ministrij</w:t>
            </w:r>
            <w:r w:rsidR="006C3AB1" w:rsidRPr="00C9063A">
              <w:rPr>
                <w:rFonts w:ascii="Times New Roman" w:hAnsi="Times New Roman" w:cs="Times New Roman"/>
                <w:color w:val="000000" w:themeColor="text1"/>
                <w:sz w:val="26"/>
                <w:szCs w:val="26"/>
                <w:lang w:eastAsia="lv-LV"/>
              </w:rPr>
              <w:t>as pārstāvjiem</w:t>
            </w:r>
            <w:r w:rsidR="00B5661C" w:rsidRPr="00C9063A">
              <w:rPr>
                <w:rFonts w:ascii="Times New Roman" w:hAnsi="Times New Roman" w:cs="Times New Roman"/>
                <w:color w:val="000000" w:themeColor="text1"/>
                <w:sz w:val="26"/>
                <w:szCs w:val="26"/>
                <w:lang w:eastAsia="lv-LV"/>
              </w:rPr>
              <w:t xml:space="preserve"> 2016.gada 26.septembra tikšanās laikā</w:t>
            </w:r>
            <w:r w:rsidR="004B7692" w:rsidRPr="00C9063A">
              <w:rPr>
                <w:rFonts w:ascii="Times New Roman" w:hAnsi="Times New Roman" w:cs="Times New Roman"/>
                <w:color w:val="000000" w:themeColor="text1"/>
                <w:sz w:val="26"/>
                <w:szCs w:val="26"/>
                <w:lang w:eastAsia="lv-LV"/>
              </w:rPr>
              <w:t xml:space="preserve"> (attiecīgi saņemti rakstiski komentāri precizējumiem)</w:t>
            </w:r>
            <w:r w:rsidR="00B5661C" w:rsidRPr="00C9063A">
              <w:rPr>
                <w:rFonts w:ascii="Times New Roman" w:hAnsi="Times New Roman" w:cs="Times New Roman"/>
                <w:color w:val="000000" w:themeColor="text1"/>
                <w:sz w:val="26"/>
                <w:szCs w:val="26"/>
                <w:lang w:eastAsia="lv-LV"/>
              </w:rPr>
              <w:t>, kā arī pirmreizējā redakcija skaņota ar Tieslietu ministriju</w:t>
            </w:r>
            <w:r w:rsidR="004B7692" w:rsidRPr="00C9063A">
              <w:rPr>
                <w:rFonts w:ascii="Times New Roman" w:hAnsi="Times New Roman" w:cs="Times New Roman"/>
                <w:color w:val="000000" w:themeColor="text1"/>
                <w:sz w:val="26"/>
                <w:szCs w:val="26"/>
                <w:lang w:eastAsia="lv-LV"/>
              </w:rPr>
              <w:t xml:space="preserve"> (arī saņemti rakstiski komentāri precizējumiem)</w:t>
            </w:r>
            <w:r w:rsidRPr="00C9063A">
              <w:rPr>
                <w:rFonts w:ascii="Times New Roman" w:hAnsi="Times New Roman" w:cs="Times New Roman"/>
                <w:color w:val="000000" w:themeColor="text1"/>
                <w:sz w:val="26"/>
                <w:szCs w:val="26"/>
                <w:lang w:eastAsia="lv-LV"/>
              </w:rPr>
              <w:t>.</w:t>
            </w:r>
            <w:r w:rsidR="004B7692" w:rsidRPr="00C9063A">
              <w:rPr>
                <w:rFonts w:ascii="Times New Roman" w:hAnsi="Times New Roman" w:cs="Times New Roman"/>
                <w:color w:val="000000" w:themeColor="text1"/>
                <w:sz w:val="26"/>
                <w:szCs w:val="26"/>
                <w:lang w:eastAsia="lv-LV"/>
              </w:rPr>
              <w:t xml:space="preserve"> </w:t>
            </w:r>
          </w:p>
          <w:p w:rsidR="0023551F" w:rsidRPr="00C9063A" w:rsidRDefault="0023551F" w:rsidP="00B5661C">
            <w:pPr>
              <w:shd w:val="clear" w:color="auto" w:fill="FFFFFF"/>
              <w:spacing w:after="0" w:line="240" w:lineRule="auto"/>
              <w:ind w:left="113" w:right="52"/>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Likumprojekts pieejams Ekonomikas ministrijas mājas lapā no 2016.gada 2</w:t>
            </w:r>
            <w:r w:rsidR="00B5661C" w:rsidRPr="00C9063A">
              <w:rPr>
                <w:rFonts w:ascii="Times New Roman" w:hAnsi="Times New Roman" w:cs="Times New Roman"/>
                <w:color w:val="000000" w:themeColor="text1"/>
                <w:sz w:val="26"/>
                <w:szCs w:val="26"/>
                <w:lang w:eastAsia="lv-LV"/>
              </w:rPr>
              <w:t>8</w:t>
            </w:r>
            <w:r w:rsidRPr="00C9063A">
              <w:rPr>
                <w:rFonts w:ascii="Times New Roman" w:hAnsi="Times New Roman" w:cs="Times New Roman"/>
                <w:color w:val="000000" w:themeColor="text1"/>
                <w:sz w:val="26"/>
                <w:szCs w:val="26"/>
                <w:lang w:eastAsia="lv-LV"/>
              </w:rPr>
              <w:t>.septembra.</w:t>
            </w:r>
          </w:p>
        </w:tc>
      </w:tr>
      <w:tr w:rsidR="00E4037F" w:rsidRPr="00C9063A" w:rsidTr="00525496">
        <w:trPr>
          <w:trHeight w:val="463"/>
          <w:jc w:val="center"/>
        </w:trPr>
        <w:tc>
          <w:tcPr>
            <w:tcW w:w="437" w:type="dxa"/>
          </w:tcPr>
          <w:p w:rsidR="009815DD" w:rsidRPr="00C9063A" w:rsidRDefault="009815DD"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2.</w:t>
            </w:r>
          </w:p>
        </w:tc>
        <w:tc>
          <w:tcPr>
            <w:tcW w:w="2481" w:type="dxa"/>
          </w:tcPr>
          <w:p w:rsidR="009815DD" w:rsidRPr="00C9063A" w:rsidRDefault="009815DD"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Sabiedrības līdzdalība projekta izstrādē</w:t>
            </w:r>
          </w:p>
        </w:tc>
        <w:tc>
          <w:tcPr>
            <w:tcW w:w="6600" w:type="dxa"/>
          </w:tcPr>
          <w:p w:rsidR="0023551F" w:rsidRPr="00C9063A" w:rsidRDefault="0023551F" w:rsidP="0023551F">
            <w:pPr>
              <w:shd w:val="clear" w:color="auto" w:fill="FFFFFF"/>
              <w:spacing w:after="0" w:line="240" w:lineRule="auto"/>
              <w:ind w:left="113" w:right="52"/>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Ņemot vērā, ka minētais likumprojekts tiek iekļauts 2017.gada valsts budžeta likumprojektu paketē un attiecīgi īso laiku projekta izstrādei - likumprojekts sagatavots un izskatīts Ekonomikas ministrijas organizētajā tikšanās 2016.gada 23.</w:t>
            </w:r>
            <w:r w:rsidR="002B69A0" w:rsidRPr="00C9063A">
              <w:rPr>
                <w:rFonts w:ascii="Times New Roman" w:hAnsi="Times New Roman" w:cs="Times New Roman"/>
                <w:color w:val="000000" w:themeColor="text1"/>
                <w:sz w:val="26"/>
                <w:szCs w:val="26"/>
                <w:lang w:eastAsia="lv-LV"/>
              </w:rPr>
              <w:t>septembrī</w:t>
            </w:r>
            <w:r w:rsidRPr="00C9063A">
              <w:rPr>
                <w:rFonts w:ascii="Times New Roman" w:hAnsi="Times New Roman" w:cs="Times New Roman"/>
                <w:color w:val="000000" w:themeColor="text1"/>
                <w:sz w:val="26"/>
                <w:szCs w:val="26"/>
                <w:lang w:eastAsia="lv-LV"/>
              </w:rPr>
              <w:t xml:space="preserve"> ar </w:t>
            </w:r>
            <w:r w:rsidRPr="00C9063A">
              <w:rPr>
                <w:rFonts w:ascii="Times New Roman" w:hAnsi="Times New Roman" w:cs="Times New Roman"/>
                <w:iCs/>
                <w:color w:val="000000" w:themeColor="text1"/>
                <w:sz w:val="26"/>
                <w:szCs w:val="26"/>
              </w:rPr>
              <w:t xml:space="preserve">Finanšu ministriju, Labklājības ministriju, </w:t>
            </w:r>
            <w:proofErr w:type="spellStart"/>
            <w:r w:rsidRPr="00C9063A">
              <w:rPr>
                <w:rFonts w:ascii="Times New Roman" w:hAnsi="Times New Roman" w:cs="Times New Roman"/>
                <w:i/>
                <w:iCs/>
                <w:color w:val="000000" w:themeColor="text1"/>
                <w:sz w:val="26"/>
                <w:szCs w:val="26"/>
              </w:rPr>
              <w:t>Sart-up</w:t>
            </w:r>
            <w:proofErr w:type="spellEnd"/>
            <w:r w:rsidRPr="00C9063A">
              <w:rPr>
                <w:rFonts w:ascii="Times New Roman" w:hAnsi="Times New Roman" w:cs="Times New Roman"/>
                <w:iCs/>
                <w:color w:val="000000" w:themeColor="text1"/>
                <w:sz w:val="26"/>
                <w:szCs w:val="26"/>
              </w:rPr>
              <w:t xml:space="preserve"> asociāciju, Latvijas Tirdzniecības un rūpniecības kameru</w:t>
            </w:r>
            <w:r w:rsidR="004B7692" w:rsidRPr="00C9063A">
              <w:rPr>
                <w:rFonts w:ascii="Times New Roman" w:hAnsi="Times New Roman" w:cs="Times New Roman"/>
                <w:iCs/>
                <w:color w:val="000000" w:themeColor="text1"/>
                <w:sz w:val="26"/>
                <w:szCs w:val="26"/>
              </w:rPr>
              <w:t xml:space="preserve"> un Latvijas Darba devēju konfederāciju, kā arī </w:t>
            </w:r>
            <w:r w:rsidR="004B7692" w:rsidRPr="00C9063A">
              <w:rPr>
                <w:rFonts w:ascii="Times New Roman" w:hAnsi="Times New Roman" w:cs="Times New Roman"/>
                <w:color w:val="000000" w:themeColor="text1"/>
                <w:sz w:val="26"/>
                <w:szCs w:val="26"/>
                <w:lang w:eastAsia="lv-LV"/>
              </w:rPr>
              <w:t>pārrunāts ar Labklājības ministriju 2016.gada 26.septembra tikšanās laikā</w:t>
            </w:r>
            <w:r w:rsidRPr="00C9063A">
              <w:rPr>
                <w:rFonts w:ascii="Times New Roman" w:hAnsi="Times New Roman" w:cs="Times New Roman"/>
                <w:color w:val="000000" w:themeColor="text1"/>
                <w:sz w:val="26"/>
                <w:szCs w:val="26"/>
                <w:lang w:eastAsia="lv-LV"/>
              </w:rPr>
              <w:t>.</w:t>
            </w:r>
          </w:p>
          <w:p w:rsidR="009815DD" w:rsidRPr="00C9063A" w:rsidRDefault="0023551F" w:rsidP="004B7692">
            <w:pPr>
              <w:shd w:val="clear" w:color="auto" w:fill="FFFFFF"/>
              <w:spacing w:after="0" w:line="240" w:lineRule="auto"/>
              <w:ind w:left="113"/>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Likumprojekts pieejams Ekonomikas ministrijas mājas lapā no 2016.gada 2</w:t>
            </w:r>
            <w:r w:rsidR="004B7692" w:rsidRPr="00C9063A">
              <w:rPr>
                <w:rFonts w:ascii="Times New Roman" w:hAnsi="Times New Roman" w:cs="Times New Roman"/>
                <w:color w:val="000000" w:themeColor="text1"/>
                <w:sz w:val="26"/>
                <w:szCs w:val="26"/>
                <w:lang w:eastAsia="lv-LV"/>
              </w:rPr>
              <w:t>8</w:t>
            </w:r>
            <w:r w:rsidRPr="00C9063A">
              <w:rPr>
                <w:rFonts w:ascii="Times New Roman" w:hAnsi="Times New Roman" w:cs="Times New Roman"/>
                <w:color w:val="000000" w:themeColor="text1"/>
                <w:sz w:val="26"/>
                <w:szCs w:val="26"/>
                <w:lang w:eastAsia="lv-LV"/>
              </w:rPr>
              <w:t>.septembra</w:t>
            </w:r>
            <w:r w:rsidR="00E97043" w:rsidRPr="00C9063A">
              <w:rPr>
                <w:rFonts w:ascii="Times New Roman" w:hAnsi="Times New Roman" w:cs="Times New Roman"/>
                <w:color w:val="000000" w:themeColor="text1"/>
                <w:sz w:val="26"/>
                <w:szCs w:val="26"/>
                <w:lang w:eastAsia="lv-LV"/>
              </w:rPr>
              <w:t>.</w:t>
            </w:r>
          </w:p>
        </w:tc>
      </w:tr>
      <w:tr w:rsidR="00E4037F" w:rsidRPr="00C9063A"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9815DD" w:rsidRPr="00C9063A" w:rsidRDefault="009815DD"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3.</w:t>
            </w:r>
          </w:p>
        </w:tc>
        <w:tc>
          <w:tcPr>
            <w:tcW w:w="2481" w:type="dxa"/>
            <w:tcBorders>
              <w:top w:val="single" w:sz="4" w:space="0" w:color="auto"/>
              <w:left w:val="single" w:sz="4" w:space="0" w:color="auto"/>
              <w:bottom w:val="single" w:sz="4" w:space="0" w:color="auto"/>
              <w:right w:val="single" w:sz="4" w:space="0" w:color="auto"/>
            </w:tcBorders>
          </w:tcPr>
          <w:p w:rsidR="009815DD" w:rsidRPr="00C9063A" w:rsidRDefault="009815DD"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9815DD" w:rsidRPr="00C9063A" w:rsidRDefault="00B5661C" w:rsidP="0023551F">
            <w:pPr>
              <w:spacing w:after="0" w:line="240" w:lineRule="auto"/>
              <w:ind w:left="113" w:right="57"/>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Nozaru ministrijas un uzņēmējus pārstāvošās organizācijas ir izteikušas konceptuālu atbalstu likumprojekta virzībai (t.sk., Ministru kabineta 2016.gada 27.septembra sēdes laikā).</w:t>
            </w:r>
          </w:p>
        </w:tc>
      </w:tr>
      <w:tr w:rsidR="009815DD" w:rsidRPr="00C9063A"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9815DD" w:rsidRPr="00C9063A" w:rsidRDefault="009815DD"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4.</w:t>
            </w:r>
          </w:p>
        </w:tc>
        <w:tc>
          <w:tcPr>
            <w:tcW w:w="2481" w:type="dxa"/>
            <w:tcBorders>
              <w:top w:val="single" w:sz="4" w:space="0" w:color="auto"/>
              <w:left w:val="single" w:sz="4" w:space="0" w:color="auto"/>
              <w:bottom w:val="single" w:sz="4" w:space="0" w:color="auto"/>
              <w:right w:val="single" w:sz="4" w:space="0" w:color="auto"/>
            </w:tcBorders>
          </w:tcPr>
          <w:p w:rsidR="009815DD" w:rsidRPr="00C9063A" w:rsidRDefault="009815DD"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Cita informācija</w:t>
            </w:r>
          </w:p>
        </w:tc>
        <w:tc>
          <w:tcPr>
            <w:tcW w:w="6600" w:type="dxa"/>
            <w:tcBorders>
              <w:top w:val="single" w:sz="4" w:space="0" w:color="auto"/>
              <w:left w:val="single" w:sz="4" w:space="0" w:color="auto"/>
              <w:bottom w:val="single" w:sz="4" w:space="0" w:color="auto"/>
              <w:right w:val="single" w:sz="4" w:space="0" w:color="auto"/>
            </w:tcBorders>
          </w:tcPr>
          <w:p w:rsidR="009815DD" w:rsidRPr="00C9063A" w:rsidRDefault="00B5661C" w:rsidP="004B7692">
            <w:pPr>
              <w:spacing w:after="0" w:line="240" w:lineRule="auto"/>
              <w:ind w:left="113" w:right="57"/>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lang w:eastAsia="lv-LV"/>
              </w:rPr>
              <w:t xml:space="preserve">Likumprojektu plānots </w:t>
            </w:r>
            <w:r w:rsidR="004B7692" w:rsidRPr="00C9063A">
              <w:rPr>
                <w:rFonts w:ascii="Times New Roman" w:hAnsi="Times New Roman" w:cs="Times New Roman"/>
                <w:color w:val="000000" w:themeColor="text1"/>
                <w:sz w:val="26"/>
                <w:szCs w:val="26"/>
                <w:lang w:eastAsia="lv-LV"/>
              </w:rPr>
              <w:t>skatīt</w:t>
            </w:r>
            <w:r w:rsidRPr="00C9063A">
              <w:rPr>
                <w:rFonts w:ascii="Times New Roman" w:hAnsi="Times New Roman" w:cs="Times New Roman"/>
                <w:color w:val="000000" w:themeColor="text1"/>
                <w:sz w:val="26"/>
                <w:szCs w:val="26"/>
                <w:lang w:eastAsia="lv-LV"/>
              </w:rPr>
              <w:t xml:space="preserve"> </w:t>
            </w:r>
            <w:r w:rsidR="004B7692" w:rsidRPr="00C9063A">
              <w:rPr>
                <w:rFonts w:ascii="Times New Roman" w:hAnsi="Times New Roman" w:cs="Times New Roman"/>
                <w:color w:val="000000" w:themeColor="text1"/>
                <w:sz w:val="26"/>
                <w:szCs w:val="26"/>
                <w:lang w:eastAsia="lv-LV"/>
              </w:rPr>
              <w:t>tuvākajā</w:t>
            </w:r>
            <w:r w:rsidRPr="00C9063A">
              <w:rPr>
                <w:rFonts w:ascii="Times New Roman" w:hAnsi="Times New Roman" w:cs="Times New Roman"/>
                <w:color w:val="000000" w:themeColor="text1"/>
                <w:sz w:val="26"/>
                <w:szCs w:val="26"/>
                <w:lang w:eastAsia="lv-LV"/>
              </w:rPr>
              <w:t xml:space="preserve"> Ministru kabineta sēdē</w:t>
            </w:r>
            <w:r w:rsidR="004B7692" w:rsidRPr="00C9063A">
              <w:rPr>
                <w:rFonts w:ascii="Times New Roman" w:hAnsi="Times New Roman" w:cs="Times New Roman"/>
                <w:color w:val="000000" w:themeColor="text1"/>
                <w:sz w:val="26"/>
                <w:szCs w:val="26"/>
                <w:lang w:eastAsia="lv-LV"/>
              </w:rPr>
              <w:t xml:space="preserve"> (2016.gada 29.septembra ārkārtas sēdē, bet ne vēlāk kā 2016.gada 4.oktobra sēdē)</w:t>
            </w:r>
            <w:r w:rsidRPr="00C9063A">
              <w:rPr>
                <w:rFonts w:ascii="Times New Roman" w:hAnsi="Times New Roman" w:cs="Times New Roman"/>
                <w:color w:val="000000" w:themeColor="text1"/>
                <w:sz w:val="26"/>
                <w:szCs w:val="26"/>
                <w:lang w:eastAsia="lv-LV"/>
              </w:rPr>
              <w:t xml:space="preserve">.   </w:t>
            </w:r>
          </w:p>
        </w:tc>
      </w:tr>
    </w:tbl>
    <w:p w:rsidR="009815DD" w:rsidRPr="00C9063A" w:rsidRDefault="009815DD" w:rsidP="00D707C0">
      <w:pPr>
        <w:spacing w:after="0" w:line="240" w:lineRule="auto"/>
        <w:rPr>
          <w:rFonts w:ascii="Times New Roman" w:eastAsia="Times New Roman" w:hAnsi="Times New Roman" w:cs="Times New Roman"/>
          <w:i/>
          <w:color w:val="000000" w:themeColor="text1"/>
          <w:sz w:val="26"/>
          <w:szCs w:val="26"/>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037F" w:rsidRPr="00C9063A" w:rsidTr="00EA2BCB">
        <w:trPr>
          <w:trHeight w:val="381"/>
          <w:jc w:val="center"/>
        </w:trPr>
        <w:tc>
          <w:tcPr>
            <w:tcW w:w="9518" w:type="dxa"/>
            <w:gridSpan w:val="3"/>
            <w:vAlign w:val="center"/>
          </w:tcPr>
          <w:p w:rsidR="00E47C73" w:rsidRPr="00C9063A" w:rsidRDefault="00E47C73" w:rsidP="00D707C0">
            <w:pPr>
              <w:pStyle w:val="naisnod"/>
              <w:spacing w:before="0" w:beforeAutospacing="0" w:after="0" w:afterAutospacing="0"/>
              <w:ind w:left="57" w:right="57"/>
              <w:jc w:val="center"/>
              <w:rPr>
                <w:color w:val="000000" w:themeColor="text1"/>
                <w:sz w:val="26"/>
                <w:szCs w:val="26"/>
              </w:rPr>
            </w:pPr>
            <w:r w:rsidRPr="00C9063A">
              <w:rPr>
                <w:b/>
                <w:color w:val="000000" w:themeColor="text1"/>
                <w:sz w:val="26"/>
                <w:szCs w:val="26"/>
              </w:rPr>
              <w:lastRenderedPageBreak/>
              <w:t>VII. Tiesību akta projekta izpildes nodrošināšana un tās ietekme uz institūcijām</w:t>
            </w:r>
          </w:p>
        </w:tc>
      </w:tr>
      <w:tr w:rsidR="00E4037F" w:rsidRPr="00C9063A" w:rsidTr="00EA2BCB">
        <w:trPr>
          <w:trHeight w:val="427"/>
          <w:jc w:val="center"/>
        </w:trPr>
        <w:tc>
          <w:tcPr>
            <w:tcW w:w="437" w:type="dxa"/>
          </w:tcPr>
          <w:p w:rsidR="00E47C73" w:rsidRPr="00C9063A" w:rsidRDefault="00E47C73"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1.</w:t>
            </w:r>
          </w:p>
        </w:tc>
        <w:tc>
          <w:tcPr>
            <w:tcW w:w="2481" w:type="dxa"/>
          </w:tcPr>
          <w:p w:rsidR="00E47C73" w:rsidRPr="00C9063A" w:rsidRDefault="00E47C73"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Projekta izpildē iesaistītās institūcijas</w:t>
            </w:r>
          </w:p>
        </w:tc>
        <w:tc>
          <w:tcPr>
            <w:tcW w:w="6600" w:type="dxa"/>
          </w:tcPr>
          <w:p w:rsidR="00E47C73" w:rsidRPr="00C9063A" w:rsidRDefault="009815DD" w:rsidP="00D707C0">
            <w:pPr>
              <w:shd w:val="clear" w:color="auto" w:fill="FFFFFF"/>
              <w:spacing w:after="0" w:line="240" w:lineRule="auto"/>
              <w:ind w:left="113"/>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Ekonomikas ministrija</w:t>
            </w:r>
            <w:r w:rsidR="0023551F" w:rsidRPr="00C9063A">
              <w:rPr>
                <w:rFonts w:ascii="Times New Roman" w:hAnsi="Times New Roman" w:cs="Times New Roman"/>
                <w:color w:val="000000" w:themeColor="text1"/>
                <w:sz w:val="26"/>
                <w:szCs w:val="26"/>
                <w:lang w:eastAsia="lv-LV"/>
              </w:rPr>
              <w:t>s resors</w:t>
            </w:r>
            <w:r w:rsidRPr="00C9063A">
              <w:rPr>
                <w:rFonts w:ascii="Times New Roman" w:hAnsi="Times New Roman" w:cs="Times New Roman"/>
                <w:color w:val="000000" w:themeColor="text1"/>
                <w:sz w:val="26"/>
                <w:szCs w:val="26"/>
                <w:lang w:eastAsia="lv-LV"/>
              </w:rPr>
              <w:t xml:space="preserve"> un Valsts ieņēmumu dienests</w:t>
            </w:r>
            <w:r w:rsidR="00F0207A" w:rsidRPr="00C9063A">
              <w:rPr>
                <w:rFonts w:ascii="Times New Roman" w:hAnsi="Times New Roman" w:cs="Times New Roman"/>
                <w:color w:val="000000" w:themeColor="text1"/>
                <w:sz w:val="26"/>
                <w:szCs w:val="26"/>
                <w:lang w:eastAsia="lv-LV"/>
              </w:rPr>
              <w:t xml:space="preserve"> nodokļu nomaksas kontrolei, kā arī nozaru pārstāvji kā Komisijas locekļi</w:t>
            </w:r>
            <w:r w:rsidRPr="00C9063A">
              <w:rPr>
                <w:rFonts w:ascii="Times New Roman" w:hAnsi="Times New Roman" w:cs="Times New Roman"/>
                <w:color w:val="000000" w:themeColor="text1"/>
                <w:sz w:val="26"/>
                <w:szCs w:val="26"/>
                <w:lang w:eastAsia="lv-LV"/>
              </w:rPr>
              <w:t>.</w:t>
            </w:r>
          </w:p>
        </w:tc>
      </w:tr>
      <w:tr w:rsidR="00E4037F" w:rsidRPr="00C9063A" w:rsidTr="00EA2BCB">
        <w:trPr>
          <w:trHeight w:val="463"/>
          <w:jc w:val="center"/>
        </w:trPr>
        <w:tc>
          <w:tcPr>
            <w:tcW w:w="437" w:type="dxa"/>
          </w:tcPr>
          <w:p w:rsidR="00E47C73" w:rsidRPr="00C9063A" w:rsidRDefault="00E47C73"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2.</w:t>
            </w:r>
          </w:p>
        </w:tc>
        <w:tc>
          <w:tcPr>
            <w:tcW w:w="2481" w:type="dxa"/>
          </w:tcPr>
          <w:p w:rsidR="00E47C73" w:rsidRPr="00C9063A" w:rsidRDefault="00E47C73"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P</w:t>
            </w:r>
            <w:r w:rsidR="009815DD" w:rsidRPr="00C9063A">
              <w:rPr>
                <w:color w:val="000000" w:themeColor="text1"/>
                <w:sz w:val="26"/>
                <w:szCs w:val="26"/>
              </w:rPr>
              <w:t>rojekta izpildes ietekme uz pār</w:t>
            </w:r>
            <w:r w:rsidRPr="00C9063A">
              <w:rPr>
                <w:color w:val="000000" w:themeColor="text1"/>
                <w:sz w:val="26"/>
                <w:szCs w:val="26"/>
              </w:rPr>
              <w:t>valdes funkcijām un institucionālo struktūru.</w:t>
            </w:r>
          </w:p>
          <w:p w:rsidR="00E47C73" w:rsidRPr="00C9063A" w:rsidRDefault="00E47C73"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Jaunu institūciju izveide, esošu institūciju likvidācija vai reorga</w:t>
            </w:r>
            <w:r w:rsidRPr="00C9063A">
              <w:rPr>
                <w:color w:val="000000" w:themeColor="text1"/>
                <w:sz w:val="26"/>
                <w:szCs w:val="26"/>
              </w:rPr>
              <w:softHyphen/>
              <w:t>nizācija, to ietekme uz institūcijas cilvēkresursiem</w:t>
            </w:r>
          </w:p>
        </w:tc>
        <w:tc>
          <w:tcPr>
            <w:tcW w:w="6600" w:type="dxa"/>
          </w:tcPr>
          <w:p w:rsidR="00B5661C" w:rsidRPr="00C9063A" w:rsidRDefault="00C83BFA" w:rsidP="00B5661C">
            <w:pPr>
              <w:shd w:val="clear" w:color="auto" w:fill="FFFFFF"/>
              <w:spacing w:before="120" w:after="0" w:line="240" w:lineRule="auto"/>
              <w:ind w:left="113" w:right="142"/>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Paredzams cilvēkresursu noslodzes palielinājums</w:t>
            </w:r>
            <w:r w:rsidR="0066534F" w:rsidRPr="00C9063A">
              <w:rPr>
                <w:rFonts w:ascii="Times New Roman" w:eastAsia="Times New Roman" w:hAnsi="Times New Roman" w:cs="Times New Roman"/>
                <w:color w:val="000000" w:themeColor="text1"/>
                <w:sz w:val="26"/>
                <w:szCs w:val="26"/>
                <w:lang w:eastAsia="lv-LV"/>
              </w:rPr>
              <w:t xml:space="preserve"> saistībā ar Komisijas darbu</w:t>
            </w:r>
            <w:r w:rsidRPr="00C9063A">
              <w:rPr>
                <w:rFonts w:ascii="Times New Roman" w:eastAsia="Times New Roman" w:hAnsi="Times New Roman" w:cs="Times New Roman"/>
                <w:color w:val="000000" w:themeColor="text1"/>
                <w:sz w:val="26"/>
                <w:szCs w:val="26"/>
                <w:lang w:eastAsia="lv-LV"/>
              </w:rPr>
              <w:t xml:space="preserve">. </w:t>
            </w:r>
          </w:p>
          <w:p w:rsidR="009815DD" w:rsidRPr="00C9063A" w:rsidRDefault="0066534F" w:rsidP="00B5661C">
            <w:pPr>
              <w:shd w:val="clear" w:color="auto" w:fill="FFFFFF"/>
              <w:spacing w:before="120" w:after="0" w:line="240" w:lineRule="auto"/>
              <w:ind w:left="113" w:right="142"/>
              <w:jc w:val="both"/>
              <w:rPr>
                <w:rFonts w:ascii="Times New Roman" w:eastAsia="Times New Roman" w:hAnsi="Times New Roman" w:cs="Times New Roman"/>
                <w:color w:val="000000" w:themeColor="text1"/>
                <w:sz w:val="26"/>
                <w:szCs w:val="26"/>
                <w:lang w:eastAsia="lv-LV"/>
              </w:rPr>
            </w:pPr>
            <w:r w:rsidRPr="00C9063A">
              <w:rPr>
                <w:rFonts w:ascii="Times New Roman" w:eastAsia="Times New Roman" w:hAnsi="Times New Roman" w:cs="Times New Roman"/>
                <w:color w:val="000000" w:themeColor="text1"/>
                <w:sz w:val="26"/>
                <w:szCs w:val="26"/>
                <w:lang w:eastAsia="lv-LV"/>
              </w:rPr>
              <w:t xml:space="preserve">Tāpat </w:t>
            </w:r>
            <w:r w:rsidR="00B5661C" w:rsidRPr="00C9063A">
              <w:rPr>
                <w:rFonts w:ascii="Times New Roman" w:eastAsia="Times New Roman" w:hAnsi="Times New Roman" w:cs="Times New Roman"/>
                <w:color w:val="000000" w:themeColor="text1"/>
                <w:sz w:val="26"/>
                <w:szCs w:val="26"/>
                <w:lang w:eastAsia="lv-LV"/>
              </w:rPr>
              <w:t>plānojams</w:t>
            </w:r>
            <w:r w:rsidRPr="00C9063A">
              <w:rPr>
                <w:rFonts w:ascii="Times New Roman" w:eastAsia="Times New Roman" w:hAnsi="Times New Roman" w:cs="Times New Roman"/>
                <w:color w:val="000000" w:themeColor="text1"/>
                <w:sz w:val="26"/>
                <w:szCs w:val="26"/>
                <w:lang w:eastAsia="lv-LV"/>
              </w:rPr>
              <w:t>, ka būs nepieciešama pilna laika amata vieta Komisijas sekretariāta darba nodrošināšanai, kas veiks saistītos darbus ar novērtējuma sagatavošanu un uzraudzības funkciju nodrošināšanu</w:t>
            </w:r>
            <w:r w:rsidR="00B5661C" w:rsidRPr="00C9063A">
              <w:rPr>
                <w:rFonts w:ascii="Times New Roman" w:eastAsia="Times New Roman" w:hAnsi="Times New Roman" w:cs="Times New Roman"/>
                <w:color w:val="000000" w:themeColor="text1"/>
                <w:sz w:val="26"/>
                <w:szCs w:val="26"/>
                <w:lang w:eastAsia="lv-LV"/>
              </w:rPr>
              <w:t>, un atbalsta administrēšanu</w:t>
            </w:r>
            <w:r w:rsidR="00386793" w:rsidRPr="00C9063A">
              <w:rPr>
                <w:rFonts w:ascii="Times New Roman" w:eastAsia="Times New Roman" w:hAnsi="Times New Roman" w:cs="Times New Roman"/>
                <w:color w:val="000000" w:themeColor="text1"/>
                <w:sz w:val="26"/>
                <w:szCs w:val="26"/>
                <w:lang w:eastAsia="lv-LV"/>
              </w:rPr>
              <w:t>.</w:t>
            </w:r>
          </w:p>
          <w:p w:rsidR="00B5661C" w:rsidRPr="00C9063A" w:rsidRDefault="00B5661C" w:rsidP="00B5661C">
            <w:pPr>
              <w:spacing w:before="120" w:after="0" w:line="240" w:lineRule="auto"/>
              <w:ind w:left="168" w:right="142"/>
              <w:jc w:val="both"/>
              <w:rPr>
                <w:rFonts w:ascii="Times New Roman" w:hAnsi="Times New Roman" w:cs="Times New Roman"/>
                <w:color w:val="000000" w:themeColor="text1"/>
                <w:sz w:val="26"/>
                <w:szCs w:val="26"/>
              </w:rPr>
            </w:pPr>
            <w:r w:rsidRPr="00C9063A">
              <w:rPr>
                <w:rFonts w:ascii="Times New Roman" w:hAnsi="Times New Roman" w:cs="Times New Roman"/>
                <w:sz w:val="26"/>
                <w:szCs w:val="26"/>
              </w:rPr>
              <w:t>Paredzami izdevumi, kuri saistīti ar atbilstošām izmaiņām VID informācijas sistēmās un nepieciešamajiem cilvēkresursiem, bet to apmēru novērtēt varēs tikai Ministru kabineta noteikumu izstrādes laikā.</w:t>
            </w:r>
          </w:p>
        </w:tc>
      </w:tr>
      <w:tr w:rsidR="00E47C73" w:rsidRPr="00C9063A"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pStyle w:val="naisnod"/>
              <w:spacing w:before="0" w:beforeAutospacing="0" w:after="0" w:afterAutospacing="0"/>
              <w:ind w:left="57" w:right="57"/>
              <w:jc w:val="both"/>
              <w:rPr>
                <w:color w:val="000000" w:themeColor="text1"/>
                <w:sz w:val="26"/>
                <w:szCs w:val="26"/>
              </w:rPr>
            </w:pPr>
            <w:r w:rsidRPr="00C9063A">
              <w:rPr>
                <w:color w:val="000000" w:themeColor="text1"/>
                <w:sz w:val="26"/>
                <w:szCs w:val="26"/>
              </w:rPr>
              <w:t>3.</w:t>
            </w:r>
          </w:p>
        </w:tc>
        <w:tc>
          <w:tcPr>
            <w:tcW w:w="2481"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pStyle w:val="naisf"/>
              <w:spacing w:before="0" w:beforeAutospacing="0" w:after="0" w:afterAutospacing="0"/>
              <w:ind w:left="57" w:right="57"/>
              <w:jc w:val="both"/>
              <w:rPr>
                <w:color w:val="000000" w:themeColor="text1"/>
                <w:sz w:val="26"/>
                <w:szCs w:val="26"/>
              </w:rPr>
            </w:pPr>
            <w:r w:rsidRPr="00C9063A">
              <w:rPr>
                <w:color w:val="000000" w:themeColor="text1"/>
                <w:sz w:val="26"/>
                <w:szCs w:val="26"/>
              </w:rPr>
              <w:t>Cita informācija</w:t>
            </w:r>
          </w:p>
        </w:tc>
        <w:tc>
          <w:tcPr>
            <w:tcW w:w="6600" w:type="dxa"/>
            <w:tcBorders>
              <w:top w:val="single" w:sz="4" w:space="0" w:color="auto"/>
              <w:left w:val="single" w:sz="4" w:space="0" w:color="auto"/>
              <w:bottom w:val="single" w:sz="4" w:space="0" w:color="auto"/>
              <w:right w:val="single" w:sz="4" w:space="0" w:color="auto"/>
            </w:tcBorders>
          </w:tcPr>
          <w:p w:rsidR="00E47C73" w:rsidRPr="00C9063A" w:rsidRDefault="00E47C73" w:rsidP="00D707C0">
            <w:pPr>
              <w:shd w:val="clear" w:color="auto" w:fill="FFFFFF"/>
              <w:spacing w:after="0" w:line="240" w:lineRule="auto"/>
              <w:ind w:left="113"/>
              <w:jc w:val="both"/>
              <w:rPr>
                <w:rFonts w:ascii="Times New Roman" w:hAnsi="Times New Roman" w:cs="Times New Roman"/>
                <w:color w:val="000000" w:themeColor="text1"/>
                <w:sz w:val="26"/>
                <w:szCs w:val="26"/>
                <w:lang w:eastAsia="lv-LV"/>
              </w:rPr>
            </w:pPr>
            <w:r w:rsidRPr="00C9063A">
              <w:rPr>
                <w:rFonts w:ascii="Times New Roman" w:hAnsi="Times New Roman" w:cs="Times New Roman"/>
                <w:color w:val="000000" w:themeColor="text1"/>
                <w:sz w:val="26"/>
                <w:szCs w:val="26"/>
                <w:lang w:eastAsia="lv-LV"/>
              </w:rPr>
              <w:t>Nav.</w:t>
            </w:r>
          </w:p>
        </w:tc>
      </w:tr>
    </w:tbl>
    <w:p w:rsidR="0035044A" w:rsidRPr="00C9063A" w:rsidRDefault="0035044A" w:rsidP="00D707C0">
      <w:pPr>
        <w:spacing w:after="0" w:line="240" w:lineRule="auto"/>
        <w:jc w:val="both"/>
        <w:rPr>
          <w:rFonts w:ascii="Times New Roman" w:hAnsi="Times New Roman" w:cs="Times New Roman"/>
          <w:i/>
          <w:iCs/>
          <w:color w:val="000000" w:themeColor="text1"/>
          <w:sz w:val="26"/>
          <w:szCs w:val="26"/>
        </w:rPr>
      </w:pPr>
    </w:p>
    <w:p w:rsidR="00E47C73" w:rsidRPr="00C9063A" w:rsidRDefault="00E47C73" w:rsidP="00D707C0">
      <w:pPr>
        <w:spacing w:after="0" w:line="240" w:lineRule="auto"/>
        <w:jc w:val="both"/>
        <w:rPr>
          <w:rFonts w:ascii="Times New Roman" w:eastAsia="Times New Roman" w:hAnsi="Times New Roman" w:cs="Times New Roman"/>
          <w:color w:val="000000" w:themeColor="text1"/>
          <w:sz w:val="26"/>
          <w:szCs w:val="26"/>
          <w:lang w:eastAsia="lv-LV"/>
        </w:rPr>
      </w:pPr>
    </w:p>
    <w:p w:rsidR="0066534F" w:rsidRPr="00C9063A" w:rsidRDefault="0066534F" w:rsidP="0066534F">
      <w:pPr>
        <w:spacing w:after="0" w:line="240" w:lineRule="auto"/>
        <w:jc w:val="both"/>
        <w:rPr>
          <w:rFonts w:ascii="Times New Roman" w:hAnsi="Times New Roman" w:cs="Times New Roman"/>
          <w:color w:val="000000" w:themeColor="text1"/>
          <w:sz w:val="26"/>
          <w:szCs w:val="26"/>
        </w:rPr>
      </w:pPr>
    </w:p>
    <w:p w:rsidR="0066534F" w:rsidRPr="00C9063A" w:rsidRDefault="0066534F" w:rsidP="0066534F">
      <w:pPr>
        <w:pStyle w:val="NoSpacing"/>
        <w:rPr>
          <w:b/>
          <w:color w:val="000000" w:themeColor="text1"/>
          <w:sz w:val="26"/>
          <w:szCs w:val="26"/>
        </w:rPr>
      </w:pPr>
      <w:r w:rsidRPr="00C9063A">
        <w:rPr>
          <w:b/>
          <w:color w:val="000000" w:themeColor="text1"/>
          <w:sz w:val="26"/>
          <w:szCs w:val="26"/>
        </w:rPr>
        <w:t xml:space="preserve">Iesniedzējs: </w:t>
      </w:r>
    </w:p>
    <w:p w:rsidR="0066534F" w:rsidRPr="00C9063A" w:rsidRDefault="0066534F" w:rsidP="0066534F">
      <w:pPr>
        <w:spacing w:after="0" w:line="240" w:lineRule="auto"/>
        <w:jc w:val="both"/>
        <w:rPr>
          <w:rFonts w:ascii="Times New Roman" w:hAnsi="Times New Roman" w:cs="Times New Roman"/>
          <w:color w:val="000000" w:themeColor="text1"/>
          <w:sz w:val="26"/>
          <w:szCs w:val="26"/>
        </w:rPr>
      </w:pPr>
      <w:r w:rsidRPr="00C9063A">
        <w:rPr>
          <w:rFonts w:ascii="Times New Roman" w:hAnsi="Times New Roman" w:cs="Times New Roman"/>
          <w:color w:val="000000" w:themeColor="text1"/>
          <w:sz w:val="26"/>
          <w:szCs w:val="26"/>
        </w:rPr>
        <w:t>Ministru prezidenta biedrs,</w:t>
      </w:r>
    </w:p>
    <w:p w:rsidR="0066534F" w:rsidRPr="00C9063A" w:rsidRDefault="0066534F" w:rsidP="0066534F">
      <w:pPr>
        <w:spacing w:after="0" w:line="240" w:lineRule="auto"/>
        <w:jc w:val="both"/>
        <w:rPr>
          <w:rFonts w:ascii="Times New Roman" w:hAnsi="Times New Roman" w:cs="Times New Roman"/>
          <w:bCs/>
          <w:iCs/>
          <w:color w:val="000000" w:themeColor="text1"/>
          <w:sz w:val="26"/>
          <w:szCs w:val="26"/>
          <w:lang w:eastAsia="lv-LV"/>
        </w:rPr>
      </w:pPr>
      <w:r w:rsidRPr="00C9063A">
        <w:rPr>
          <w:rFonts w:ascii="Times New Roman" w:hAnsi="Times New Roman" w:cs="Times New Roman"/>
          <w:color w:val="000000" w:themeColor="text1"/>
          <w:sz w:val="26"/>
          <w:szCs w:val="26"/>
        </w:rPr>
        <w:t>ekonomikas ministrs</w:t>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r>
      <w:r w:rsidRPr="00C9063A">
        <w:rPr>
          <w:rFonts w:ascii="Times New Roman" w:hAnsi="Times New Roman" w:cs="Times New Roman"/>
          <w:color w:val="000000" w:themeColor="text1"/>
          <w:sz w:val="26"/>
          <w:szCs w:val="26"/>
        </w:rPr>
        <w:tab/>
        <w:t>A.Ašeradens</w:t>
      </w:r>
    </w:p>
    <w:p w:rsidR="0047194A" w:rsidRPr="00C9063A" w:rsidRDefault="0047194A" w:rsidP="0066534F">
      <w:pPr>
        <w:spacing w:before="120" w:after="0" w:line="240" w:lineRule="auto"/>
        <w:jc w:val="both"/>
        <w:rPr>
          <w:rFonts w:ascii="Times New Roman" w:hAnsi="Times New Roman" w:cs="Times New Roman"/>
          <w:b/>
          <w:bCs/>
          <w:color w:val="000000" w:themeColor="text1"/>
          <w:sz w:val="26"/>
          <w:szCs w:val="26"/>
        </w:rPr>
      </w:pPr>
    </w:p>
    <w:p w:rsidR="0066534F" w:rsidRPr="00C9063A" w:rsidRDefault="0066534F" w:rsidP="0066534F">
      <w:pPr>
        <w:spacing w:before="120" w:after="0" w:line="240" w:lineRule="auto"/>
        <w:jc w:val="both"/>
        <w:rPr>
          <w:rFonts w:ascii="Times New Roman" w:hAnsi="Times New Roman" w:cs="Times New Roman"/>
          <w:b/>
          <w:bCs/>
          <w:color w:val="000000" w:themeColor="text1"/>
          <w:sz w:val="26"/>
          <w:szCs w:val="26"/>
        </w:rPr>
      </w:pPr>
      <w:r w:rsidRPr="00C9063A">
        <w:rPr>
          <w:rFonts w:ascii="Times New Roman" w:hAnsi="Times New Roman" w:cs="Times New Roman"/>
          <w:b/>
          <w:bCs/>
          <w:color w:val="000000" w:themeColor="text1"/>
          <w:sz w:val="26"/>
          <w:szCs w:val="26"/>
        </w:rPr>
        <w:t xml:space="preserve">Vīza: </w:t>
      </w:r>
    </w:p>
    <w:p w:rsidR="00D418FB" w:rsidRPr="00C9063A" w:rsidRDefault="00D418FB" w:rsidP="00D418FB">
      <w:pPr>
        <w:spacing w:after="0" w:line="240" w:lineRule="auto"/>
        <w:jc w:val="both"/>
        <w:rPr>
          <w:rFonts w:ascii="Times New Roman" w:hAnsi="Times New Roman" w:cs="Times New Roman"/>
          <w:bCs/>
          <w:sz w:val="26"/>
          <w:szCs w:val="26"/>
        </w:rPr>
      </w:pPr>
      <w:r w:rsidRPr="00C9063A">
        <w:rPr>
          <w:rFonts w:ascii="Times New Roman" w:hAnsi="Times New Roman" w:cs="Times New Roman"/>
          <w:bCs/>
          <w:sz w:val="26"/>
          <w:szCs w:val="26"/>
        </w:rPr>
        <w:t xml:space="preserve">Valsts sekretāra </w:t>
      </w:r>
    </w:p>
    <w:p w:rsidR="00D418FB" w:rsidRPr="00C9063A" w:rsidRDefault="00D418FB" w:rsidP="00D418FB">
      <w:pPr>
        <w:spacing w:after="0" w:line="240" w:lineRule="auto"/>
        <w:jc w:val="both"/>
        <w:rPr>
          <w:rFonts w:ascii="Times New Roman" w:hAnsi="Times New Roman" w:cs="Times New Roman"/>
          <w:bCs/>
          <w:sz w:val="26"/>
          <w:szCs w:val="26"/>
        </w:rPr>
      </w:pPr>
      <w:r w:rsidRPr="00C9063A">
        <w:rPr>
          <w:rFonts w:ascii="Times New Roman" w:hAnsi="Times New Roman" w:cs="Times New Roman"/>
          <w:bCs/>
          <w:sz w:val="26"/>
          <w:szCs w:val="26"/>
        </w:rPr>
        <w:t>pienākumu izpildītāja,</w:t>
      </w:r>
    </w:p>
    <w:p w:rsidR="0066534F" w:rsidRPr="00C9063A" w:rsidRDefault="00D418FB" w:rsidP="00D418FB">
      <w:pPr>
        <w:spacing w:after="0" w:line="240" w:lineRule="auto"/>
        <w:jc w:val="both"/>
        <w:rPr>
          <w:rFonts w:ascii="Times New Roman" w:hAnsi="Times New Roman" w:cs="Times New Roman"/>
          <w:color w:val="000000" w:themeColor="text1"/>
          <w:sz w:val="26"/>
          <w:szCs w:val="26"/>
        </w:rPr>
      </w:pPr>
      <w:r w:rsidRPr="00C9063A">
        <w:rPr>
          <w:rFonts w:ascii="Times New Roman" w:hAnsi="Times New Roman" w:cs="Times New Roman"/>
          <w:bCs/>
          <w:sz w:val="26"/>
          <w:szCs w:val="26"/>
        </w:rPr>
        <w:t>Administrācijas vadītāja</w:t>
      </w:r>
      <w:r w:rsidRPr="00C9063A">
        <w:rPr>
          <w:rFonts w:ascii="Times New Roman" w:hAnsi="Times New Roman" w:cs="Times New Roman"/>
          <w:bCs/>
          <w:sz w:val="26"/>
          <w:szCs w:val="26"/>
        </w:rPr>
        <w:tab/>
      </w:r>
      <w:r w:rsidRPr="00C9063A">
        <w:rPr>
          <w:rFonts w:ascii="Times New Roman" w:hAnsi="Times New Roman" w:cs="Times New Roman"/>
          <w:bCs/>
          <w:sz w:val="26"/>
          <w:szCs w:val="26"/>
        </w:rPr>
        <w:tab/>
      </w:r>
      <w:r w:rsidRPr="00C9063A">
        <w:rPr>
          <w:rFonts w:ascii="Times New Roman" w:hAnsi="Times New Roman" w:cs="Times New Roman"/>
          <w:bCs/>
          <w:sz w:val="26"/>
          <w:szCs w:val="26"/>
        </w:rPr>
        <w:tab/>
      </w:r>
      <w:r w:rsidRPr="00C9063A">
        <w:rPr>
          <w:rFonts w:ascii="Times New Roman" w:hAnsi="Times New Roman" w:cs="Times New Roman"/>
          <w:bCs/>
          <w:sz w:val="26"/>
          <w:szCs w:val="26"/>
        </w:rPr>
        <w:tab/>
      </w:r>
      <w:r w:rsidRPr="00C9063A">
        <w:rPr>
          <w:rFonts w:ascii="Times New Roman" w:hAnsi="Times New Roman" w:cs="Times New Roman"/>
          <w:bCs/>
          <w:sz w:val="26"/>
          <w:szCs w:val="26"/>
        </w:rPr>
        <w:tab/>
      </w:r>
      <w:r w:rsidRPr="00C9063A">
        <w:rPr>
          <w:rFonts w:ascii="Times New Roman" w:hAnsi="Times New Roman" w:cs="Times New Roman"/>
          <w:bCs/>
          <w:sz w:val="26"/>
          <w:szCs w:val="26"/>
        </w:rPr>
        <w:tab/>
      </w:r>
      <w:proofErr w:type="spellStart"/>
      <w:r w:rsidRPr="00C9063A">
        <w:rPr>
          <w:rFonts w:ascii="Times New Roman" w:hAnsi="Times New Roman" w:cs="Times New Roman"/>
          <w:bCs/>
          <w:sz w:val="26"/>
          <w:szCs w:val="26"/>
        </w:rPr>
        <w:t>I.Jaunzeme</w:t>
      </w:r>
      <w:proofErr w:type="spellEnd"/>
    </w:p>
    <w:p w:rsidR="0066534F" w:rsidRPr="00E4037F" w:rsidRDefault="0066534F" w:rsidP="0066534F">
      <w:pPr>
        <w:suppressAutoHyphens/>
        <w:spacing w:after="0" w:line="240" w:lineRule="auto"/>
        <w:rPr>
          <w:rFonts w:ascii="Times New Roman" w:hAnsi="Times New Roman" w:cs="Times New Roman"/>
          <w:color w:val="000000" w:themeColor="text1"/>
          <w:sz w:val="28"/>
          <w:szCs w:val="28"/>
        </w:rPr>
      </w:pPr>
    </w:p>
    <w:p w:rsidR="0066534F" w:rsidRPr="00E4037F" w:rsidRDefault="0066534F" w:rsidP="0066534F">
      <w:pPr>
        <w:suppressAutoHyphens/>
        <w:spacing w:after="0" w:line="240" w:lineRule="auto"/>
        <w:rPr>
          <w:rFonts w:ascii="Times New Roman" w:hAnsi="Times New Roman" w:cs="Times New Roman"/>
          <w:color w:val="000000" w:themeColor="text1"/>
          <w:sz w:val="28"/>
          <w:szCs w:val="28"/>
        </w:rPr>
      </w:pPr>
    </w:p>
    <w:p w:rsidR="0066534F" w:rsidRDefault="0066534F"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Default="00C9063A" w:rsidP="0066534F">
      <w:pPr>
        <w:suppressAutoHyphens/>
        <w:spacing w:after="0" w:line="240" w:lineRule="auto"/>
        <w:rPr>
          <w:rFonts w:ascii="Times New Roman" w:hAnsi="Times New Roman" w:cs="Times New Roman"/>
          <w:color w:val="000000" w:themeColor="text1"/>
          <w:sz w:val="28"/>
          <w:szCs w:val="28"/>
        </w:rPr>
      </w:pPr>
      <w:bookmarkStart w:id="0" w:name="_GoBack"/>
      <w:bookmarkEnd w:id="0"/>
    </w:p>
    <w:p w:rsidR="00C9063A" w:rsidRDefault="00C9063A" w:rsidP="0066534F">
      <w:pPr>
        <w:suppressAutoHyphens/>
        <w:spacing w:after="0" w:line="240" w:lineRule="auto"/>
        <w:rPr>
          <w:rFonts w:ascii="Times New Roman" w:hAnsi="Times New Roman" w:cs="Times New Roman"/>
          <w:color w:val="000000" w:themeColor="text1"/>
          <w:sz w:val="28"/>
          <w:szCs w:val="28"/>
        </w:rPr>
      </w:pPr>
    </w:p>
    <w:p w:rsidR="00C9063A" w:rsidRPr="00E4037F" w:rsidRDefault="00C9063A" w:rsidP="0066534F">
      <w:pPr>
        <w:suppressAutoHyphens/>
        <w:spacing w:after="0" w:line="240" w:lineRule="auto"/>
        <w:rPr>
          <w:rFonts w:ascii="Times New Roman" w:hAnsi="Times New Roman" w:cs="Times New Roman"/>
          <w:color w:val="000000" w:themeColor="text1"/>
          <w:sz w:val="28"/>
          <w:szCs w:val="28"/>
        </w:rPr>
      </w:pPr>
    </w:p>
    <w:p w:rsidR="0066534F" w:rsidRPr="00C9063A" w:rsidRDefault="0066534F" w:rsidP="0066534F">
      <w:pPr>
        <w:suppressAutoHyphens/>
        <w:spacing w:after="0" w:line="240" w:lineRule="auto"/>
        <w:rPr>
          <w:rFonts w:ascii="Times New Roman" w:hAnsi="Times New Roman" w:cs="Times New Roman"/>
          <w:color w:val="000000" w:themeColor="text1"/>
          <w:sz w:val="20"/>
          <w:szCs w:val="20"/>
        </w:rPr>
      </w:pPr>
      <w:r w:rsidRPr="00C9063A">
        <w:rPr>
          <w:rFonts w:ascii="Times New Roman" w:hAnsi="Times New Roman" w:cs="Times New Roman"/>
          <w:color w:val="000000" w:themeColor="text1"/>
          <w:sz w:val="20"/>
          <w:szCs w:val="20"/>
        </w:rPr>
        <w:t>2</w:t>
      </w:r>
      <w:r w:rsidR="00593EB1" w:rsidRPr="00C9063A">
        <w:rPr>
          <w:rFonts w:ascii="Times New Roman" w:hAnsi="Times New Roman" w:cs="Times New Roman"/>
          <w:color w:val="000000" w:themeColor="text1"/>
          <w:sz w:val="20"/>
          <w:szCs w:val="20"/>
        </w:rPr>
        <w:t>9</w:t>
      </w:r>
      <w:r w:rsidRPr="00C9063A">
        <w:rPr>
          <w:rFonts w:ascii="Times New Roman" w:hAnsi="Times New Roman" w:cs="Times New Roman"/>
          <w:color w:val="000000" w:themeColor="text1"/>
          <w:sz w:val="20"/>
          <w:szCs w:val="20"/>
        </w:rPr>
        <w:t xml:space="preserve">.09.2016. </w:t>
      </w:r>
      <w:r w:rsidR="002B69A0" w:rsidRPr="00C9063A">
        <w:rPr>
          <w:rFonts w:ascii="Times New Roman" w:hAnsi="Times New Roman" w:cs="Times New Roman"/>
          <w:color w:val="000000" w:themeColor="text1"/>
          <w:sz w:val="20"/>
          <w:szCs w:val="20"/>
        </w:rPr>
        <w:t>1</w:t>
      </w:r>
      <w:r w:rsidR="006C3AB1" w:rsidRPr="00C9063A">
        <w:rPr>
          <w:rFonts w:ascii="Times New Roman" w:hAnsi="Times New Roman" w:cs="Times New Roman"/>
          <w:color w:val="000000" w:themeColor="text1"/>
          <w:sz w:val="20"/>
          <w:szCs w:val="20"/>
        </w:rPr>
        <w:t>2</w:t>
      </w:r>
      <w:r w:rsidR="002B69A0" w:rsidRPr="00C9063A">
        <w:rPr>
          <w:rFonts w:ascii="Times New Roman" w:hAnsi="Times New Roman" w:cs="Times New Roman"/>
          <w:color w:val="000000" w:themeColor="text1"/>
          <w:sz w:val="20"/>
          <w:szCs w:val="20"/>
        </w:rPr>
        <w:t>:15</w:t>
      </w:r>
    </w:p>
    <w:p w:rsidR="0066534F" w:rsidRPr="00C9063A" w:rsidRDefault="00D418FB" w:rsidP="0066534F">
      <w:pPr>
        <w:tabs>
          <w:tab w:val="left" w:pos="6000"/>
        </w:tabs>
        <w:suppressAutoHyphens/>
        <w:spacing w:after="0" w:line="240" w:lineRule="auto"/>
        <w:rPr>
          <w:rFonts w:ascii="Times New Roman" w:hAnsi="Times New Roman" w:cs="Times New Roman"/>
          <w:color w:val="000000" w:themeColor="text1"/>
          <w:sz w:val="20"/>
          <w:szCs w:val="20"/>
        </w:rPr>
      </w:pPr>
      <w:r w:rsidRPr="00C9063A">
        <w:rPr>
          <w:rFonts w:ascii="Times New Roman" w:hAnsi="Times New Roman" w:cs="Times New Roman"/>
          <w:color w:val="000000" w:themeColor="text1"/>
          <w:sz w:val="20"/>
          <w:szCs w:val="20"/>
        </w:rPr>
        <w:t>2</w:t>
      </w:r>
      <w:r w:rsidR="00593EB1" w:rsidRPr="00C9063A">
        <w:rPr>
          <w:rFonts w:ascii="Times New Roman" w:hAnsi="Times New Roman" w:cs="Times New Roman"/>
          <w:color w:val="000000" w:themeColor="text1"/>
          <w:sz w:val="20"/>
          <w:szCs w:val="20"/>
        </w:rPr>
        <w:t>7</w:t>
      </w:r>
      <w:r w:rsidR="00EB7738">
        <w:rPr>
          <w:rFonts w:ascii="Times New Roman" w:hAnsi="Times New Roman" w:cs="Times New Roman"/>
          <w:color w:val="000000" w:themeColor="text1"/>
          <w:sz w:val="20"/>
          <w:szCs w:val="20"/>
        </w:rPr>
        <w:t>29</w:t>
      </w:r>
      <w:r w:rsidR="0066534F" w:rsidRPr="00C9063A">
        <w:rPr>
          <w:rFonts w:ascii="Times New Roman" w:hAnsi="Times New Roman" w:cs="Times New Roman"/>
          <w:color w:val="000000" w:themeColor="text1"/>
          <w:sz w:val="20"/>
          <w:szCs w:val="20"/>
        </w:rPr>
        <w:tab/>
      </w:r>
    </w:p>
    <w:p w:rsidR="0066534F" w:rsidRPr="00C9063A" w:rsidRDefault="0066534F" w:rsidP="0066534F">
      <w:pPr>
        <w:spacing w:after="0" w:line="240" w:lineRule="auto"/>
        <w:rPr>
          <w:rFonts w:ascii="Times New Roman" w:hAnsi="Times New Roman" w:cs="Times New Roman"/>
          <w:color w:val="000000" w:themeColor="text1"/>
          <w:sz w:val="20"/>
          <w:szCs w:val="20"/>
        </w:rPr>
      </w:pPr>
      <w:r w:rsidRPr="00C9063A">
        <w:rPr>
          <w:rFonts w:ascii="Times New Roman" w:hAnsi="Times New Roman" w:cs="Times New Roman"/>
          <w:color w:val="000000" w:themeColor="text1"/>
          <w:sz w:val="20"/>
          <w:szCs w:val="20"/>
        </w:rPr>
        <w:t>I.Lore</w:t>
      </w:r>
    </w:p>
    <w:p w:rsidR="0066534F" w:rsidRPr="00C9063A" w:rsidRDefault="0066534F" w:rsidP="0066534F">
      <w:pPr>
        <w:tabs>
          <w:tab w:val="left" w:pos="6804"/>
        </w:tabs>
        <w:spacing w:after="0" w:line="240" w:lineRule="auto"/>
        <w:rPr>
          <w:rStyle w:val="Hyperlink"/>
          <w:rFonts w:ascii="Times New Roman" w:hAnsi="Times New Roman" w:cs="Times New Roman"/>
          <w:color w:val="000000" w:themeColor="text1"/>
          <w:sz w:val="20"/>
          <w:szCs w:val="20"/>
          <w:lang w:val="en-US"/>
        </w:rPr>
      </w:pPr>
      <w:r w:rsidRPr="00C9063A">
        <w:rPr>
          <w:rFonts w:ascii="Times New Roman" w:hAnsi="Times New Roman" w:cs="Times New Roman"/>
          <w:color w:val="000000" w:themeColor="text1"/>
          <w:sz w:val="20"/>
          <w:szCs w:val="20"/>
        </w:rPr>
        <w:t xml:space="preserve">67013099, </w:t>
      </w:r>
      <w:hyperlink r:id="rId8" w:history="1">
        <w:r w:rsidRPr="00C9063A">
          <w:rPr>
            <w:rStyle w:val="Hyperlink"/>
            <w:rFonts w:ascii="Times New Roman" w:hAnsi="Times New Roman" w:cs="Times New Roman"/>
            <w:color w:val="000000" w:themeColor="text1"/>
            <w:sz w:val="20"/>
            <w:szCs w:val="20"/>
            <w:lang w:val="en-US"/>
          </w:rPr>
          <w:t>Ilze.Lore@em.gov.lv</w:t>
        </w:r>
      </w:hyperlink>
    </w:p>
    <w:p w:rsidR="009815DD" w:rsidRPr="00E4037F" w:rsidRDefault="009815DD" w:rsidP="00D707C0">
      <w:pPr>
        <w:spacing w:after="0" w:line="240" w:lineRule="auto"/>
        <w:ind w:right="42"/>
        <w:rPr>
          <w:rFonts w:ascii="Times New Roman" w:eastAsia="Times New Roman" w:hAnsi="Times New Roman" w:cs="Times New Roman"/>
          <w:color w:val="000000" w:themeColor="text1"/>
          <w:sz w:val="28"/>
          <w:szCs w:val="28"/>
          <w:lang w:eastAsia="lv-LV"/>
        </w:rPr>
      </w:pPr>
    </w:p>
    <w:sectPr w:rsidR="009815DD" w:rsidRPr="00E4037F" w:rsidSect="004B47DB">
      <w:headerReference w:type="default" r:id="rId9"/>
      <w:footerReference w:type="default" r:id="rId10"/>
      <w:footerReference w:type="first" r:id="rId11"/>
      <w:pgSz w:w="11906" w:h="16838" w:code="9"/>
      <w:pgMar w:top="993"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D0" w:rsidRDefault="00792AD0" w:rsidP="006F2C1C">
      <w:pPr>
        <w:spacing w:after="0" w:line="240" w:lineRule="auto"/>
      </w:pPr>
      <w:r>
        <w:separator/>
      </w:r>
    </w:p>
  </w:endnote>
  <w:endnote w:type="continuationSeparator" w:id="0">
    <w:p w:rsidR="00792AD0" w:rsidRDefault="00792AD0" w:rsidP="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6C" w:rsidRPr="00AB2504" w:rsidRDefault="00145D6C" w:rsidP="00AB2504">
    <w:pPr>
      <w:pStyle w:val="Footer"/>
      <w:rPr>
        <w:rFonts w:ascii="Times New Roman" w:hAnsi="Times New Roman" w:cs="Times New Roman"/>
        <w:sz w:val="20"/>
        <w:szCs w:val="20"/>
      </w:rPr>
    </w:pPr>
    <w:r w:rsidRPr="009815DD">
      <w:rPr>
        <w:rFonts w:ascii="Times New Roman" w:eastAsia="Times New Roman" w:hAnsi="Times New Roman" w:cs="Times New Roman"/>
        <w:sz w:val="20"/>
        <w:szCs w:val="20"/>
        <w:lang w:eastAsia="lv-LV"/>
      </w:rPr>
      <w:t>EMAnot_</w:t>
    </w:r>
    <w:r w:rsidR="00593EB1">
      <w:rPr>
        <w:rFonts w:ascii="Times New Roman" w:eastAsia="Times New Roman" w:hAnsi="Times New Roman" w:cs="Times New Roman"/>
        <w:sz w:val="20"/>
        <w:szCs w:val="20"/>
        <w:lang w:eastAsia="lv-LV"/>
      </w:rPr>
      <w:t>29</w:t>
    </w:r>
    <w:r>
      <w:rPr>
        <w:rFonts w:ascii="Times New Roman" w:eastAsia="Times New Roman" w:hAnsi="Times New Roman" w:cs="Times New Roman"/>
        <w:sz w:val="20"/>
        <w:szCs w:val="20"/>
        <w:lang w:eastAsia="lv-LV"/>
      </w:rPr>
      <w:t>0916_Jaun</w:t>
    </w:r>
    <w:r w:rsidR="00CA6F4F">
      <w:rPr>
        <w:rFonts w:ascii="Times New Roman" w:eastAsia="Times New Roman" w:hAnsi="Times New Roman" w:cs="Times New Roman"/>
        <w:sz w:val="20"/>
        <w:szCs w:val="20"/>
        <w:lang w:eastAsia="lv-LV"/>
      </w:rPr>
      <w:t>U</w:t>
    </w:r>
    <w:r>
      <w:rPr>
        <w:rFonts w:ascii="Times New Roman" w:eastAsia="Times New Roman" w:hAnsi="Times New Roman" w:cs="Times New Roman"/>
        <w:sz w:val="20"/>
        <w:szCs w:val="20"/>
        <w:lang w:eastAsia="lv-LV"/>
      </w:rPr>
      <w:t>znLik</w:t>
    </w:r>
    <w:r w:rsidR="00AB2504" w:rsidRPr="00AB2504">
      <w:rPr>
        <w:rFonts w:ascii="Times New Roman" w:eastAsia="Times New Roman" w:hAnsi="Times New Roman" w:cs="Times New Roman"/>
        <w:sz w:val="20"/>
        <w:szCs w:val="20"/>
        <w:lang w:eastAsia="lv-LV"/>
      </w:rPr>
      <w:t xml:space="preserve">; Sākotnējās ietekmes novērtējums </w:t>
    </w:r>
    <w:r w:rsidR="00AB2504" w:rsidRPr="00AB2504">
      <w:rPr>
        <w:rFonts w:ascii="Times New Roman" w:hAnsi="Times New Roman" w:cs="Times New Roman"/>
        <w:sz w:val="20"/>
        <w:szCs w:val="20"/>
      </w:rPr>
      <w:t>likumprojektam “</w:t>
    </w:r>
    <w:r w:rsidR="00AB2504" w:rsidRPr="00AB2504">
      <w:rPr>
        <w:rFonts w:ascii="Times New Roman" w:eastAsia="Times New Roman" w:hAnsi="Times New Roman" w:cs="Times New Roman"/>
        <w:bCs/>
        <w:color w:val="000000" w:themeColor="text1"/>
        <w:sz w:val="20"/>
        <w:szCs w:val="20"/>
        <w:lang w:eastAsia="lv-LV"/>
      </w:rPr>
      <w:t>Jaunuzņēmumu darbības atbalsta likums</w:t>
    </w:r>
    <w:r w:rsidR="00AB2504" w:rsidRPr="00AB2504">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6C" w:rsidRPr="00AB2504" w:rsidRDefault="00145D6C" w:rsidP="004B47DB">
    <w:pPr>
      <w:pStyle w:val="Footer"/>
      <w:rPr>
        <w:rFonts w:ascii="Times New Roman" w:hAnsi="Times New Roman" w:cs="Times New Roman"/>
        <w:sz w:val="20"/>
        <w:szCs w:val="20"/>
      </w:rPr>
    </w:pPr>
    <w:r w:rsidRPr="00AB2504">
      <w:rPr>
        <w:rFonts w:ascii="Times New Roman" w:eastAsia="Times New Roman" w:hAnsi="Times New Roman" w:cs="Times New Roman"/>
        <w:sz w:val="20"/>
        <w:szCs w:val="20"/>
        <w:lang w:eastAsia="lv-LV"/>
      </w:rPr>
      <w:t>EMAnot_</w:t>
    </w:r>
    <w:r w:rsidR="00593EB1">
      <w:rPr>
        <w:rFonts w:ascii="Times New Roman" w:eastAsia="Times New Roman" w:hAnsi="Times New Roman" w:cs="Times New Roman"/>
        <w:sz w:val="20"/>
        <w:szCs w:val="20"/>
        <w:lang w:eastAsia="lv-LV"/>
      </w:rPr>
      <w:t>29</w:t>
    </w:r>
    <w:r w:rsidRPr="00AB2504">
      <w:rPr>
        <w:rFonts w:ascii="Times New Roman" w:eastAsia="Times New Roman" w:hAnsi="Times New Roman" w:cs="Times New Roman"/>
        <w:sz w:val="20"/>
        <w:szCs w:val="20"/>
        <w:lang w:eastAsia="lv-LV"/>
      </w:rPr>
      <w:t>0916_Jaun</w:t>
    </w:r>
    <w:r w:rsidR="00CA6F4F" w:rsidRPr="00AB2504">
      <w:rPr>
        <w:rFonts w:ascii="Times New Roman" w:eastAsia="Times New Roman" w:hAnsi="Times New Roman" w:cs="Times New Roman"/>
        <w:sz w:val="20"/>
        <w:szCs w:val="20"/>
        <w:lang w:eastAsia="lv-LV"/>
      </w:rPr>
      <w:t>U</w:t>
    </w:r>
    <w:r w:rsidRPr="00AB2504">
      <w:rPr>
        <w:rFonts w:ascii="Times New Roman" w:eastAsia="Times New Roman" w:hAnsi="Times New Roman" w:cs="Times New Roman"/>
        <w:sz w:val="20"/>
        <w:szCs w:val="20"/>
        <w:lang w:eastAsia="lv-LV"/>
      </w:rPr>
      <w:t>znLik</w:t>
    </w:r>
    <w:r w:rsidR="00AB2504" w:rsidRPr="00AB2504">
      <w:rPr>
        <w:rFonts w:ascii="Times New Roman" w:eastAsia="Times New Roman" w:hAnsi="Times New Roman" w:cs="Times New Roman"/>
        <w:sz w:val="20"/>
        <w:szCs w:val="20"/>
        <w:lang w:eastAsia="lv-LV"/>
      </w:rPr>
      <w:t xml:space="preserve">; Sākotnējās ietekmes novērtējums </w:t>
    </w:r>
    <w:r w:rsidR="00AB2504" w:rsidRPr="00AB2504">
      <w:rPr>
        <w:rFonts w:ascii="Times New Roman" w:hAnsi="Times New Roman" w:cs="Times New Roman"/>
        <w:sz w:val="20"/>
        <w:szCs w:val="20"/>
      </w:rPr>
      <w:t>likumprojektam “</w:t>
    </w:r>
    <w:r w:rsidR="00AB2504" w:rsidRPr="00AB2504">
      <w:rPr>
        <w:rFonts w:ascii="Times New Roman" w:eastAsia="Times New Roman" w:hAnsi="Times New Roman" w:cs="Times New Roman"/>
        <w:bCs/>
        <w:color w:val="000000" w:themeColor="text1"/>
        <w:sz w:val="20"/>
        <w:szCs w:val="20"/>
        <w:lang w:eastAsia="lv-LV"/>
      </w:rPr>
      <w:t>Jaunuzņēmumu darbības atbalsta likums</w:t>
    </w:r>
    <w:r w:rsidR="00AB2504" w:rsidRPr="00AB2504">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D0" w:rsidRDefault="00792AD0" w:rsidP="006F2C1C">
      <w:pPr>
        <w:spacing w:after="0" w:line="240" w:lineRule="auto"/>
      </w:pPr>
      <w:r>
        <w:separator/>
      </w:r>
    </w:p>
  </w:footnote>
  <w:footnote w:type="continuationSeparator" w:id="0">
    <w:p w:rsidR="00792AD0" w:rsidRDefault="00792AD0" w:rsidP="006F2C1C">
      <w:pPr>
        <w:spacing w:after="0" w:line="240" w:lineRule="auto"/>
      </w:pPr>
      <w:r>
        <w:continuationSeparator/>
      </w:r>
    </w:p>
  </w:footnote>
  <w:footnote w:id="1">
    <w:p w:rsidR="00145D6C" w:rsidRPr="004B47DB" w:rsidRDefault="00145D6C" w:rsidP="004B47DB">
      <w:pPr>
        <w:spacing w:after="0" w:line="240" w:lineRule="auto"/>
        <w:jc w:val="both"/>
        <w:rPr>
          <w:rFonts w:ascii="Arial" w:eastAsia="Times New Roman" w:hAnsi="Arial" w:cs="Arial"/>
          <w:color w:val="000000"/>
          <w:sz w:val="20"/>
          <w:szCs w:val="20"/>
        </w:rPr>
      </w:pPr>
      <w:r>
        <w:rPr>
          <w:rStyle w:val="FootnoteReference"/>
        </w:rPr>
        <w:footnoteRef/>
      </w:r>
      <w:r>
        <w:t xml:space="preserve"> </w:t>
      </w:r>
      <w:r w:rsidRPr="004B47DB">
        <w:rPr>
          <w:rFonts w:ascii="Times New Roman" w:hAnsi="Times New Roman" w:cs="Times New Roman"/>
          <w:sz w:val="20"/>
          <w:szCs w:val="20"/>
        </w:rPr>
        <w:t xml:space="preserve">Latvijas Zinātņu akadēmijas lēmums pieejams tās mājas lapas interneta vietnē: </w:t>
      </w:r>
      <w:hyperlink r:id="rId1" w:history="1">
        <w:r w:rsidRPr="004B47DB">
          <w:rPr>
            <w:rStyle w:val="Hyperlink"/>
            <w:rFonts w:ascii="Times New Roman" w:eastAsia="Times New Roman" w:hAnsi="Times New Roman" w:cs="Times New Roman"/>
            <w:sz w:val="20"/>
            <w:szCs w:val="20"/>
          </w:rPr>
          <w:t>http://termini.lza.lv/article.php?id=346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78964"/>
      <w:docPartObj>
        <w:docPartGallery w:val="Page Numbers (Top of Page)"/>
        <w:docPartUnique/>
      </w:docPartObj>
    </w:sdtPr>
    <w:sdtEndPr>
      <w:rPr>
        <w:rFonts w:asciiTheme="majorBidi" w:hAnsiTheme="majorBidi" w:cstheme="majorBidi"/>
        <w:noProof/>
        <w:sz w:val="24"/>
        <w:szCs w:val="24"/>
      </w:rPr>
    </w:sdtEndPr>
    <w:sdtContent>
      <w:p w:rsidR="00145D6C" w:rsidRPr="009815DD" w:rsidRDefault="00145D6C">
        <w:pPr>
          <w:pStyle w:val="Header"/>
          <w:jc w:val="center"/>
          <w:rPr>
            <w:rFonts w:asciiTheme="majorBidi" w:hAnsiTheme="majorBidi" w:cstheme="majorBidi"/>
            <w:sz w:val="24"/>
            <w:szCs w:val="24"/>
          </w:rPr>
        </w:pPr>
        <w:r w:rsidRPr="009815DD">
          <w:rPr>
            <w:rFonts w:asciiTheme="majorBidi" w:hAnsiTheme="majorBidi" w:cstheme="majorBidi"/>
            <w:sz w:val="24"/>
            <w:szCs w:val="24"/>
          </w:rPr>
          <w:fldChar w:fldCharType="begin"/>
        </w:r>
        <w:r w:rsidRPr="009815DD">
          <w:rPr>
            <w:rFonts w:asciiTheme="majorBidi" w:hAnsiTheme="majorBidi" w:cstheme="majorBidi"/>
            <w:sz w:val="24"/>
            <w:szCs w:val="24"/>
          </w:rPr>
          <w:instrText xml:space="preserve"> PAGE   \* MERGEFORMAT </w:instrText>
        </w:r>
        <w:r w:rsidRPr="009815DD">
          <w:rPr>
            <w:rFonts w:asciiTheme="majorBidi" w:hAnsiTheme="majorBidi" w:cstheme="majorBidi"/>
            <w:sz w:val="24"/>
            <w:szCs w:val="24"/>
          </w:rPr>
          <w:fldChar w:fldCharType="separate"/>
        </w:r>
        <w:r w:rsidR="006C6DE6">
          <w:rPr>
            <w:rFonts w:asciiTheme="majorBidi" w:hAnsiTheme="majorBidi" w:cstheme="majorBidi"/>
            <w:noProof/>
            <w:sz w:val="24"/>
            <w:szCs w:val="24"/>
          </w:rPr>
          <w:t>10</w:t>
        </w:r>
        <w:r w:rsidRPr="009815DD">
          <w:rPr>
            <w:rFonts w:asciiTheme="majorBidi" w:hAnsiTheme="majorBidi" w:cstheme="majorBidi"/>
            <w:noProof/>
            <w:sz w:val="24"/>
            <w:szCs w:val="24"/>
          </w:rPr>
          <w:fldChar w:fldCharType="end"/>
        </w:r>
      </w:p>
    </w:sdtContent>
  </w:sdt>
  <w:p w:rsidR="00145D6C" w:rsidRDefault="0014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2EB"/>
    <w:multiLevelType w:val="hybridMultilevel"/>
    <w:tmpl w:val="A1E0A70C"/>
    <w:lvl w:ilvl="0" w:tplc="04260001">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1" w15:restartNumberingAfterBreak="0">
    <w:nsid w:val="172928D6"/>
    <w:multiLevelType w:val="hybridMultilevel"/>
    <w:tmpl w:val="E800DCF4"/>
    <w:lvl w:ilvl="0" w:tplc="F52E76A6">
      <w:start w:val="1"/>
      <w:numFmt w:val="decimal"/>
      <w:lvlText w:val="%1."/>
      <w:lvlJc w:val="left"/>
      <w:pPr>
        <w:ind w:left="862" w:hanging="360"/>
      </w:pPr>
      <w:rPr>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20B03E6F"/>
    <w:multiLevelType w:val="hybridMultilevel"/>
    <w:tmpl w:val="9F224560"/>
    <w:lvl w:ilvl="0" w:tplc="DED8AB48">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2FBD158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EA61AF"/>
    <w:multiLevelType w:val="hybridMultilevel"/>
    <w:tmpl w:val="528E750E"/>
    <w:lvl w:ilvl="0" w:tplc="0426000F">
      <w:start w:val="1"/>
      <w:numFmt w:val="decimal"/>
      <w:lvlText w:val="%1."/>
      <w:lvlJc w:val="left"/>
      <w:pPr>
        <w:ind w:left="502" w:hanging="360"/>
      </w:pPr>
      <w:rPr>
        <w:rFonts w:hint="default"/>
        <w:u w:val="singl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FBF2777"/>
    <w:multiLevelType w:val="hybridMultilevel"/>
    <w:tmpl w:val="5A3E9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C54E2E"/>
    <w:multiLevelType w:val="hybridMultilevel"/>
    <w:tmpl w:val="C50E677A"/>
    <w:lvl w:ilvl="0" w:tplc="A9B62E70">
      <w:start w:val="1"/>
      <w:numFmt w:val="bullet"/>
      <w:lvlText w:val="-"/>
      <w:lvlJc w:val="left"/>
      <w:pPr>
        <w:ind w:left="927" w:hanging="360"/>
      </w:pPr>
      <w:rPr>
        <w:rFonts w:ascii="Times New Roman" w:eastAsiaTheme="minorHAnsi" w:hAnsi="Times New Roman" w:cs="Times New Roman" w:hint="default"/>
      </w:rPr>
    </w:lvl>
    <w:lvl w:ilvl="1" w:tplc="3EA0F22A">
      <w:start w:val="1"/>
      <w:numFmt w:val="bullet"/>
      <w:lvlText w:val="-"/>
      <w:lvlJc w:val="left"/>
      <w:pPr>
        <w:ind w:left="1647" w:hanging="360"/>
      </w:pPr>
      <w:rPr>
        <w:rFonts w:ascii="Courier New" w:hAnsi="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5D1C3C5F"/>
    <w:multiLevelType w:val="hybridMultilevel"/>
    <w:tmpl w:val="7C44A5FE"/>
    <w:lvl w:ilvl="0" w:tplc="584AAB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F656EFC"/>
    <w:multiLevelType w:val="hybridMultilevel"/>
    <w:tmpl w:val="9676A582"/>
    <w:lvl w:ilvl="0" w:tplc="1D8256BA">
      <w:start w:val="1"/>
      <w:numFmt w:val="decimal"/>
      <w:lvlText w:val="%1)"/>
      <w:lvlJc w:val="left"/>
      <w:pPr>
        <w:ind w:left="927" w:hanging="360"/>
      </w:pPr>
      <w:rPr>
        <w:rFonts w:hint="default"/>
      </w:r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abstractNum w:abstractNumId="9" w15:restartNumberingAfterBreak="0">
    <w:nsid w:val="627C7A17"/>
    <w:multiLevelType w:val="hybridMultilevel"/>
    <w:tmpl w:val="3B8A833E"/>
    <w:lvl w:ilvl="0" w:tplc="E60AB662">
      <w:start w:val="1"/>
      <w:numFmt w:val="decimal"/>
      <w:lvlText w:val="%1)"/>
      <w:lvlJc w:val="left"/>
      <w:pPr>
        <w:ind w:left="660" w:hanging="36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73"/>
    <w:rsid w:val="00005789"/>
    <w:rsid w:val="00010F63"/>
    <w:rsid w:val="00024597"/>
    <w:rsid w:val="000524E3"/>
    <w:rsid w:val="0005434C"/>
    <w:rsid w:val="00056713"/>
    <w:rsid w:val="00061547"/>
    <w:rsid w:val="00072E31"/>
    <w:rsid w:val="00083ADB"/>
    <w:rsid w:val="00093EBA"/>
    <w:rsid w:val="000A39B6"/>
    <w:rsid w:val="000B0AD3"/>
    <w:rsid w:val="000B0C0D"/>
    <w:rsid w:val="000B3C43"/>
    <w:rsid w:val="000C1FCF"/>
    <w:rsid w:val="000C6E5B"/>
    <w:rsid w:val="000E388B"/>
    <w:rsid w:val="000E58EC"/>
    <w:rsid w:val="000E64B0"/>
    <w:rsid w:val="000F16D0"/>
    <w:rsid w:val="000F59A2"/>
    <w:rsid w:val="00110096"/>
    <w:rsid w:val="001200DD"/>
    <w:rsid w:val="001202A4"/>
    <w:rsid w:val="00123103"/>
    <w:rsid w:val="001276E6"/>
    <w:rsid w:val="0013062A"/>
    <w:rsid w:val="0014458A"/>
    <w:rsid w:val="00145D6C"/>
    <w:rsid w:val="001612B0"/>
    <w:rsid w:val="001653C9"/>
    <w:rsid w:val="00165BEF"/>
    <w:rsid w:val="00171159"/>
    <w:rsid w:val="00180284"/>
    <w:rsid w:val="00185E73"/>
    <w:rsid w:val="00186D9B"/>
    <w:rsid w:val="00197C19"/>
    <w:rsid w:val="001A4184"/>
    <w:rsid w:val="001C6291"/>
    <w:rsid w:val="001D1C96"/>
    <w:rsid w:val="001D249D"/>
    <w:rsid w:val="001D4979"/>
    <w:rsid w:val="001D64E0"/>
    <w:rsid w:val="001E75D3"/>
    <w:rsid w:val="001F1DD4"/>
    <w:rsid w:val="001F2526"/>
    <w:rsid w:val="002108C8"/>
    <w:rsid w:val="002130F0"/>
    <w:rsid w:val="00217A33"/>
    <w:rsid w:val="002224EE"/>
    <w:rsid w:val="0022375C"/>
    <w:rsid w:val="00225924"/>
    <w:rsid w:val="002308CA"/>
    <w:rsid w:val="00233F53"/>
    <w:rsid w:val="0023551F"/>
    <w:rsid w:val="00235FBF"/>
    <w:rsid w:val="002629DC"/>
    <w:rsid w:val="00265A04"/>
    <w:rsid w:val="00270DBB"/>
    <w:rsid w:val="00277B91"/>
    <w:rsid w:val="00277B96"/>
    <w:rsid w:val="00284C82"/>
    <w:rsid w:val="002A07B7"/>
    <w:rsid w:val="002A5EB8"/>
    <w:rsid w:val="002B1166"/>
    <w:rsid w:val="002B1387"/>
    <w:rsid w:val="002B69A0"/>
    <w:rsid w:val="002B717F"/>
    <w:rsid w:val="002C4C54"/>
    <w:rsid w:val="002D13BF"/>
    <w:rsid w:val="002D5554"/>
    <w:rsid w:val="002E16A0"/>
    <w:rsid w:val="002E1B29"/>
    <w:rsid w:val="002E234A"/>
    <w:rsid w:val="002F0FEA"/>
    <w:rsid w:val="002F1C9D"/>
    <w:rsid w:val="003004BB"/>
    <w:rsid w:val="003048D6"/>
    <w:rsid w:val="00310CB4"/>
    <w:rsid w:val="0031327C"/>
    <w:rsid w:val="003235D6"/>
    <w:rsid w:val="003239D2"/>
    <w:rsid w:val="003251AF"/>
    <w:rsid w:val="0032561B"/>
    <w:rsid w:val="00327DAC"/>
    <w:rsid w:val="0033013C"/>
    <w:rsid w:val="003446EB"/>
    <w:rsid w:val="0035044A"/>
    <w:rsid w:val="003549C0"/>
    <w:rsid w:val="00357069"/>
    <w:rsid w:val="00357E7E"/>
    <w:rsid w:val="00360EE0"/>
    <w:rsid w:val="0036160F"/>
    <w:rsid w:val="00367359"/>
    <w:rsid w:val="00381E5D"/>
    <w:rsid w:val="00386793"/>
    <w:rsid w:val="00397451"/>
    <w:rsid w:val="003A1641"/>
    <w:rsid w:val="003A2123"/>
    <w:rsid w:val="003A5285"/>
    <w:rsid w:val="003B3DD9"/>
    <w:rsid w:val="003D5ACB"/>
    <w:rsid w:val="003F3FD4"/>
    <w:rsid w:val="003F5C27"/>
    <w:rsid w:val="003F6610"/>
    <w:rsid w:val="00403CA8"/>
    <w:rsid w:val="004044FB"/>
    <w:rsid w:val="00407007"/>
    <w:rsid w:val="00407D27"/>
    <w:rsid w:val="0042129E"/>
    <w:rsid w:val="0042254E"/>
    <w:rsid w:val="00423E7B"/>
    <w:rsid w:val="0042515D"/>
    <w:rsid w:val="00427C5B"/>
    <w:rsid w:val="00431C04"/>
    <w:rsid w:val="0043469E"/>
    <w:rsid w:val="00434B5B"/>
    <w:rsid w:val="004363B7"/>
    <w:rsid w:val="004426D7"/>
    <w:rsid w:val="00454514"/>
    <w:rsid w:val="0045672C"/>
    <w:rsid w:val="0046192C"/>
    <w:rsid w:val="0046388F"/>
    <w:rsid w:val="00466D0B"/>
    <w:rsid w:val="00467190"/>
    <w:rsid w:val="0047194A"/>
    <w:rsid w:val="00475134"/>
    <w:rsid w:val="00476353"/>
    <w:rsid w:val="00477CF8"/>
    <w:rsid w:val="0048078C"/>
    <w:rsid w:val="0048335B"/>
    <w:rsid w:val="00486A64"/>
    <w:rsid w:val="004872D5"/>
    <w:rsid w:val="00490055"/>
    <w:rsid w:val="004914A9"/>
    <w:rsid w:val="00492132"/>
    <w:rsid w:val="004B2877"/>
    <w:rsid w:val="004B3EFC"/>
    <w:rsid w:val="004B4206"/>
    <w:rsid w:val="004B47DB"/>
    <w:rsid w:val="004B7692"/>
    <w:rsid w:val="004C6C83"/>
    <w:rsid w:val="004D10E1"/>
    <w:rsid w:val="004D3CE7"/>
    <w:rsid w:val="004E039F"/>
    <w:rsid w:val="004E37E0"/>
    <w:rsid w:val="004E46F7"/>
    <w:rsid w:val="004E7E71"/>
    <w:rsid w:val="004F2FFB"/>
    <w:rsid w:val="004F55B6"/>
    <w:rsid w:val="005034E7"/>
    <w:rsid w:val="00506D31"/>
    <w:rsid w:val="00512D41"/>
    <w:rsid w:val="005134A3"/>
    <w:rsid w:val="0052191D"/>
    <w:rsid w:val="00525496"/>
    <w:rsid w:val="0052630F"/>
    <w:rsid w:val="005372A0"/>
    <w:rsid w:val="00541030"/>
    <w:rsid w:val="005506CB"/>
    <w:rsid w:val="00551669"/>
    <w:rsid w:val="00551D20"/>
    <w:rsid w:val="005533B1"/>
    <w:rsid w:val="005534BA"/>
    <w:rsid w:val="005619B9"/>
    <w:rsid w:val="0056313B"/>
    <w:rsid w:val="00571519"/>
    <w:rsid w:val="005767CD"/>
    <w:rsid w:val="00581590"/>
    <w:rsid w:val="00582566"/>
    <w:rsid w:val="00587151"/>
    <w:rsid w:val="00591033"/>
    <w:rsid w:val="00593EB1"/>
    <w:rsid w:val="005A2C33"/>
    <w:rsid w:val="005A3DE1"/>
    <w:rsid w:val="005B2D24"/>
    <w:rsid w:val="005B5F50"/>
    <w:rsid w:val="005B6394"/>
    <w:rsid w:val="005D6352"/>
    <w:rsid w:val="005E1130"/>
    <w:rsid w:val="005F3CA5"/>
    <w:rsid w:val="005F578A"/>
    <w:rsid w:val="00601E94"/>
    <w:rsid w:val="00603BA1"/>
    <w:rsid w:val="006052DC"/>
    <w:rsid w:val="00607919"/>
    <w:rsid w:val="00613683"/>
    <w:rsid w:val="006141B4"/>
    <w:rsid w:val="0062239F"/>
    <w:rsid w:val="00622B43"/>
    <w:rsid w:val="0062784D"/>
    <w:rsid w:val="00635748"/>
    <w:rsid w:val="006359F4"/>
    <w:rsid w:val="00637548"/>
    <w:rsid w:val="0063783D"/>
    <w:rsid w:val="00646B7D"/>
    <w:rsid w:val="00650118"/>
    <w:rsid w:val="0065575C"/>
    <w:rsid w:val="00663411"/>
    <w:rsid w:val="0066454C"/>
    <w:rsid w:val="0066534F"/>
    <w:rsid w:val="006674A7"/>
    <w:rsid w:val="00670779"/>
    <w:rsid w:val="00670810"/>
    <w:rsid w:val="00690229"/>
    <w:rsid w:val="006955D5"/>
    <w:rsid w:val="00695614"/>
    <w:rsid w:val="006A5A7C"/>
    <w:rsid w:val="006A6EF0"/>
    <w:rsid w:val="006A76BB"/>
    <w:rsid w:val="006B57A9"/>
    <w:rsid w:val="006C3AB1"/>
    <w:rsid w:val="006C4BB5"/>
    <w:rsid w:val="006C6DE6"/>
    <w:rsid w:val="006E34C8"/>
    <w:rsid w:val="006F25EB"/>
    <w:rsid w:val="006F2C1C"/>
    <w:rsid w:val="006F43AD"/>
    <w:rsid w:val="00712296"/>
    <w:rsid w:val="00713543"/>
    <w:rsid w:val="00714501"/>
    <w:rsid w:val="00722CAD"/>
    <w:rsid w:val="00730838"/>
    <w:rsid w:val="007328D2"/>
    <w:rsid w:val="0074732B"/>
    <w:rsid w:val="00747CC5"/>
    <w:rsid w:val="00751C68"/>
    <w:rsid w:val="00752845"/>
    <w:rsid w:val="0076186D"/>
    <w:rsid w:val="00763599"/>
    <w:rsid w:val="007667A5"/>
    <w:rsid w:val="00767A3B"/>
    <w:rsid w:val="007765EC"/>
    <w:rsid w:val="00777E2C"/>
    <w:rsid w:val="007809EA"/>
    <w:rsid w:val="007869E6"/>
    <w:rsid w:val="00792AD0"/>
    <w:rsid w:val="007969D4"/>
    <w:rsid w:val="007A1FCA"/>
    <w:rsid w:val="007A733E"/>
    <w:rsid w:val="007B1A49"/>
    <w:rsid w:val="007C6341"/>
    <w:rsid w:val="007C635B"/>
    <w:rsid w:val="007D5506"/>
    <w:rsid w:val="007E257D"/>
    <w:rsid w:val="007E2DBB"/>
    <w:rsid w:val="007E7380"/>
    <w:rsid w:val="007E792E"/>
    <w:rsid w:val="007F3EDB"/>
    <w:rsid w:val="00815A41"/>
    <w:rsid w:val="00821628"/>
    <w:rsid w:val="00822E35"/>
    <w:rsid w:val="008241FD"/>
    <w:rsid w:val="00824EE4"/>
    <w:rsid w:val="0083202B"/>
    <w:rsid w:val="008348EE"/>
    <w:rsid w:val="0084729C"/>
    <w:rsid w:val="00850DF0"/>
    <w:rsid w:val="00852457"/>
    <w:rsid w:val="00854D98"/>
    <w:rsid w:val="008563C3"/>
    <w:rsid w:val="00856D7C"/>
    <w:rsid w:val="0086346B"/>
    <w:rsid w:val="00864D16"/>
    <w:rsid w:val="00870DA3"/>
    <w:rsid w:val="00876A46"/>
    <w:rsid w:val="00881E8A"/>
    <w:rsid w:val="00887D0F"/>
    <w:rsid w:val="008A14D4"/>
    <w:rsid w:val="008A2420"/>
    <w:rsid w:val="008A6B4D"/>
    <w:rsid w:val="008A7F0E"/>
    <w:rsid w:val="008B1367"/>
    <w:rsid w:val="008B5340"/>
    <w:rsid w:val="008B5FBC"/>
    <w:rsid w:val="008C0173"/>
    <w:rsid w:val="008C6266"/>
    <w:rsid w:val="008C6CA1"/>
    <w:rsid w:val="008C7ED3"/>
    <w:rsid w:val="008C7F4A"/>
    <w:rsid w:val="008D3027"/>
    <w:rsid w:val="008D69B4"/>
    <w:rsid w:val="008E0BA7"/>
    <w:rsid w:val="008E4E45"/>
    <w:rsid w:val="008E7C41"/>
    <w:rsid w:val="00905273"/>
    <w:rsid w:val="009137C1"/>
    <w:rsid w:val="0091453E"/>
    <w:rsid w:val="009166C9"/>
    <w:rsid w:val="00925B15"/>
    <w:rsid w:val="00926C8E"/>
    <w:rsid w:val="00943DA7"/>
    <w:rsid w:val="00946A6D"/>
    <w:rsid w:val="00961704"/>
    <w:rsid w:val="00963249"/>
    <w:rsid w:val="00963642"/>
    <w:rsid w:val="009650B9"/>
    <w:rsid w:val="009748C1"/>
    <w:rsid w:val="009815DD"/>
    <w:rsid w:val="00990A9A"/>
    <w:rsid w:val="00991633"/>
    <w:rsid w:val="00991E39"/>
    <w:rsid w:val="0099358A"/>
    <w:rsid w:val="00994054"/>
    <w:rsid w:val="00994876"/>
    <w:rsid w:val="009A5A87"/>
    <w:rsid w:val="009A5DD7"/>
    <w:rsid w:val="009C36CE"/>
    <w:rsid w:val="009D0F53"/>
    <w:rsid w:val="009D48A2"/>
    <w:rsid w:val="009E084E"/>
    <w:rsid w:val="009E29DE"/>
    <w:rsid w:val="009E69B4"/>
    <w:rsid w:val="009E7C5F"/>
    <w:rsid w:val="00A1069C"/>
    <w:rsid w:val="00A10898"/>
    <w:rsid w:val="00A13653"/>
    <w:rsid w:val="00A177E3"/>
    <w:rsid w:val="00A328F5"/>
    <w:rsid w:val="00A332BC"/>
    <w:rsid w:val="00A36A96"/>
    <w:rsid w:val="00A40A22"/>
    <w:rsid w:val="00A47404"/>
    <w:rsid w:val="00A5285B"/>
    <w:rsid w:val="00A55C80"/>
    <w:rsid w:val="00A61EF8"/>
    <w:rsid w:val="00A67E6F"/>
    <w:rsid w:val="00A70013"/>
    <w:rsid w:val="00A7024E"/>
    <w:rsid w:val="00A76141"/>
    <w:rsid w:val="00A76302"/>
    <w:rsid w:val="00A84A40"/>
    <w:rsid w:val="00A9550A"/>
    <w:rsid w:val="00A97028"/>
    <w:rsid w:val="00AA22E0"/>
    <w:rsid w:val="00AA427A"/>
    <w:rsid w:val="00AA4926"/>
    <w:rsid w:val="00AB2504"/>
    <w:rsid w:val="00AB4DE4"/>
    <w:rsid w:val="00AC2E67"/>
    <w:rsid w:val="00AD494C"/>
    <w:rsid w:val="00B016BA"/>
    <w:rsid w:val="00B03FA5"/>
    <w:rsid w:val="00B25043"/>
    <w:rsid w:val="00B27F02"/>
    <w:rsid w:val="00B36244"/>
    <w:rsid w:val="00B4024A"/>
    <w:rsid w:val="00B403F3"/>
    <w:rsid w:val="00B40AB6"/>
    <w:rsid w:val="00B5407E"/>
    <w:rsid w:val="00B5659A"/>
    <w:rsid w:val="00B5661C"/>
    <w:rsid w:val="00B6187F"/>
    <w:rsid w:val="00B756C3"/>
    <w:rsid w:val="00B801F7"/>
    <w:rsid w:val="00B91325"/>
    <w:rsid w:val="00BA7C79"/>
    <w:rsid w:val="00BA7F6E"/>
    <w:rsid w:val="00BB3685"/>
    <w:rsid w:val="00BB4455"/>
    <w:rsid w:val="00BC23C1"/>
    <w:rsid w:val="00BC628F"/>
    <w:rsid w:val="00BD0DD6"/>
    <w:rsid w:val="00BD590E"/>
    <w:rsid w:val="00BE3576"/>
    <w:rsid w:val="00C039B3"/>
    <w:rsid w:val="00C05A1C"/>
    <w:rsid w:val="00C06176"/>
    <w:rsid w:val="00C14A0B"/>
    <w:rsid w:val="00C177AE"/>
    <w:rsid w:val="00C20BB7"/>
    <w:rsid w:val="00C25E5B"/>
    <w:rsid w:val="00C34CAC"/>
    <w:rsid w:val="00C3571E"/>
    <w:rsid w:val="00C42338"/>
    <w:rsid w:val="00C60B08"/>
    <w:rsid w:val="00C61B55"/>
    <w:rsid w:val="00C61E57"/>
    <w:rsid w:val="00C70A88"/>
    <w:rsid w:val="00C70F02"/>
    <w:rsid w:val="00C7193E"/>
    <w:rsid w:val="00C72609"/>
    <w:rsid w:val="00C74EDC"/>
    <w:rsid w:val="00C76FFE"/>
    <w:rsid w:val="00C77A47"/>
    <w:rsid w:val="00C81F0D"/>
    <w:rsid w:val="00C83BFA"/>
    <w:rsid w:val="00C83F2F"/>
    <w:rsid w:val="00C859D2"/>
    <w:rsid w:val="00C87604"/>
    <w:rsid w:val="00C9063A"/>
    <w:rsid w:val="00CA6389"/>
    <w:rsid w:val="00CA6F4F"/>
    <w:rsid w:val="00CB1B79"/>
    <w:rsid w:val="00CB478D"/>
    <w:rsid w:val="00CB6CE5"/>
    <w:rsid w:val="00CD037A"/>
    <w:rsid w:val="00CD1687"/>
    <w:rsid w:val="00CD3736"/>
    <w:rsid w:val="00CD5E2F"/>
    <w:rsid w:val="00CE5390"/>
    <w:rsid w:val="00CE5829"/>
    <w:rsid w:val="00CE5CE6"/>
    <w:rsid w:val="00CE681E"/>
    <w:rsid w:val="00CF6157"/>
    <w:rsid w:val="00D05969"/>
    <w:rsid w:val="00D17082"/>
    <w:rsid w:val="00D22985"/>
    <w:rsid w:val="00D36061"/>
    <w:rsid w:val="00D37D3F"/>
    <w:rsid w:val="00D40952"/>
    <w:rsid w:val="00D418FB"/>
    <w:rsid w:val="00D5426D"/>
    <w:rsid w:val="00D707C0"/>
    <w:rsid w:val="00D828ED"/>
    <w:rsid w:val="00D8397B"/>
    <w:rsid w:val="00D917D6"/>
    <w:rsid w:val="00D93315"/>
    <w:rsid w:val="00D942C5"/>
    <w:rsid w:val="00D94E87"/>
    <w:rsid w:val="00D96F73"/>
    <w:rsid w:val="00DA07D3"/>
    <w:rsid w:val="00DA76C9"/>
    <w:rsid w:val="00DB7C28"/>
    <w:rsid w:val="00DE561B"/>
    <w:rsid w:val="00DF4F5D"/>
    <w:rsid w:val="00E002C7"/>
    <w:rsid w:val="00E05026"/>
    <w:rsid w:val="00E05B52"/>
    <w:rsid w:val="00E05FD7"/>
    <w:rsid w:val="00E26E19"/>
    <w:rsid w:val="00E301BC"/>
    <w:rsid w:val="00E306CD"/>
    <w:rsid w:val="00E324DA"/>
    <w:rsid w:val="00E34D84"/>
    <w:rsid w:val="00E36AB3"/>
    <w:rsid w:val="00E4037F"/>
    <w:rsid w:val="00E47C73"/>
    <w:rsid w:val="00E5409E"/>
    <w:rsid w:val="00E6226A"/>
    <w:rsid w:val="00E71394"/>
    <w:rsid w:val="00E72402"/>
    <w:rsid w:val="00E85997"/>
    <w:rsid w:val="00E90E73"/>
    <w:rsid w:val="00E9345F"/>
    <w:rsid w:val="00E94A16"/>
    <w:rsid w:val="00E95763"/>
    <w:rsid w:val="00E97043"/>
    <w:rsid w:val="00EA2BCB"/>
    <w:rsid w:val="00EA3E58"/>
    <w:rsid w:val="00EA7E1A"/>
    <w:rsid w:val="00EB7738"/>
    <w:rsid w:val="00EC220B"/>
    <w:rsid w:val="00EC580A"/>
    <w:rsid w:val="00ED2E30"/>
    <w:rsid w:val="00ED392B"/>
    <w:rsid w:val="00EE0748"/>
    <w:rsid w:val="00EF3D8C"/>
    <w:rsid w:val="00F0135B"/>
    <w:rsid w:val="00F0207A"/>
    <w:rsid w:val="00F03C46"/>
    <w:rsid w:val="00F073A8"/>
    <w:rsid w:val="00F107A4"/>
    <w:rsid w:val="00F1568F"/>
    <w:rsid w:val="00F219F8"/>
    <w:rsid w:val="00F2435A"/>
    <w:rsid w:val="00F26C10"/>
    <w:rsid w:val="00F26DED"/>
    <w:rsid w:val="00F3748B"/>
    <w:rsid w:val="00F377F6"/>
    <w:rsid w:val="00F47E4B"/>
    <w:rsid w:val="00F50525"/>
    <w:rsid w:val="00F50BD1"/>
    <w:rsid w:val="00F56BD4"/>
    <w:rsid w:val="00F56E3E"/>
    <w:rsid w:val="00F73BB9"/>
    <w:rsid w:val="00F7413A"/>
    <w:rsid w:val="00F90E22"/>
    <w:rsid w:val="00F9193C"/>
    <w:rsid w:val="00F95409"/>
    <w:rsid w:val="00FA53CB"/>
    <w:rsid w:val="00FA72F8"/>
    <w:rsid w:val="00FB3C12"/>
    <w:rsid w:val="00FB605A"/>
    <w:rsid w:val="00FC055C"/>
    <w:rsid w:val="00FC2A90"/>
    <w:rsid w:val="00FC6DBF"/>
    <w:rsid w:val="00FD36AA"/>
    <w:rsid w:val="00FE0ECB"/>
    <w:rsid w:val="00FE1438"/>
    <w:rsid w:val="00FE4C8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A9F4A-0B12-4D9A-8819-BA699A14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aliases w:val="2"/>
    <w:basedOn w:val="Normal"/>
    <w:link w:val="ListParagraphChar"/>
    <w:uiPriority w:val="34"/>
    <w:qFormat/>
    <w:rsid w:val="00A55C80"/>
    <w:pPr>
      <w:ind w:left="720"/>
      <w:contextualSpacing/>
    </w:pPr>
  </w:style>
  <w:style w:type="paragraph" w:customStyle="1" w:styleId="tvhtml">
    <w:name w:val="tv_html"/>
    <w:basedOn w:val="Normal"/>
    <w:rsid w:val="00F073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3048D6"/>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8D6"/>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
    <w:link w:val="ListParagraph"/>
    <w:uiPriority w:val="34"/>
    <w:locked/>
    <w:rsid w:val="00C06176"/>
  </w:style>
  <w:style w:type="paragraph" w:styleId="NoSpacing">
    <w:name w:val="No Spacing"/>
    <w:basedOn w:val="Normal"/>
    <w:uiPriority w:val="99"/>
    <w:qFormat/>
    <w:rsid w:val="0066534F"/>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B4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7DB"/>
    <w:rPr>
      <w:sz w:val="20"/>
      <w:szCs w:val="20"/>
    </w:rPr>
  </w:style>
  <w:style w:type="character" w:styleId="FootnoteReference">
    <w:name w:val="footnote reference"/>
    <w:basedOn w:val="DefaultParagraphFont"/>
    <w:uiPriority w:val="99"/>
    <w:semiHidden/>
    <w:unhideWhenUsed/>
    <w:rsid w:val="004B47DB"/>
    <w:rPr>
      <w:vertAlign w:val="superscript"/>
    </w:rPr>
  </w:style>
  <w:style w:type="paragraph" w:styleId="BodyTextIndent">
    <w:name w:val="Body Text Indent"/>
    <w:basedOn w:val="Normal"/>
    <w:link w:val="BodyTextIndentChar"/>
    <w:uiPriority w:val="99"/>
    <w:unhideWhenUsed/>
    <w:rsid w:val="0083202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83202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4603">
      <w:bodyDiv w:val="1"/>
      <w:marLeft w:val="0"/>
      <w:marRight w:val="0"/>
      <w:marTop w:val="0"/>
      <w:marBottom w:val="0"/>
      <w:divBdr>
        <w:top w:val="none" w:sz="0" w:space="0" w:color="auto"/>
        <w:left w:val="none" w:sz="0" w:space="0" w:color="auto"/>
        <w:bottom w:val="none" w:sz="0" w:space="0" w:color="auto"/>
        <w:right w:val="none" w:sz="0" w:space="0" w:color="auto"/>
      </w:divBdr>
    </w:div>
    <w:div w:id="809902985">
      <w:bodyDiv w:val="1"/>
      <w:marLeft w:val="0"/>
      <w:marRight w:val="0"/>
      <w:marTop w:val="0"/>
      <w:marBottom w:val="0"/>
      <w:divBdr>
        <w:top w:val="none" w:sz="0" w:space="0" w:color="auto"/>
        <w:left w:val="none" w:sz="0" w:space="0" w:color="auto"/>
        <w:bottom w:val="none" w:sz="0" w:space="0" w:color="auto"/>
        <w:right w:val="none" w:sz="0" w:space="0" w:color="auto"/>
      </w:divBdr>
    </w:div>
    <w:div w:id="831916941">
      <w:bodyDiv w:val="1"/>
      <w:marLeft w:val="0"/>
      <w:marRight w:val="0"/>
      <w:marTop w:val="0"/>
      <w:marBottom w:val="0"/>
      <w:divBdr>
        <w:top w:val="none" w:sz="0" w:space="0" w:color="auto"/>
        <w:left w:val="none" w:sz="0" w:space="0" w:color="auto"/>
        <w:bottom w:val="none" w:sz="0" w:space="0" w:color="auto"/>
        <w:right w:val="none" w:sz="0" w:space="0" w:color="auto"/>
      </w:divBdr>
    </w:div>
    <w:div w:id="881674878">
      <w:bodyDiv w:val="1"/>
      <w:marLeft w:val="0"/>
      <w:marRight w:val="0"/>
      <w:marTop w:val="0"/>
      <w:marBottom w:val="0"/>
      <w:divBdr>
        <w:top w:val="none" w:sz="0" w:space="0" w:color="auto"/>
        <w:left w:val="none" w:sz="0" w:space="0" w:color="auto"/>
        <w:bottom w:val="none" w:sz="0" w:space="0" w:color="auto"/>
        <w:right w:val="none" w:sz="0" w:space="0" w:color="auto"/>
      </w:divBdr>
    </w:div>
    <w:div w:id="1408267437">
      <w:bodyDiv w:val="1"/>
      <w:marLeft w:val="0"/>
      <w:marRight w:val="0"/>
      <w:marTop w:val="0"/>
      <w:marBottom w:val="0"/>
      <w:divBdr>
        <w:top w:val="none" w:sz="0" w:space="0" w:color="auto"/>
        <w:left w:val="none" w:sz="0" w:space="0" w:color="auto"/>
        <w:bottom w:val="none" w:sz="0" w:space="0" w:color="auto"/>
        <w:right w:val="none" w:sz="0" w:space="0" w:color="auto"/>
      </w:divBdr>
    </w:div>
    <w:div w:id="1827086634">
      <w:bodyDiv w:val="1"/>
      <w:marLeft w:val="0"/>
      <w:marRight w:val="0"/>
      <w:marTop w:val="0"/>
      <w:marBottom w:val="0"/>
      <w:divBdr>
        <w:top w:val="none" w:sz="0" w:space="0" w:color="auto"/>
        <w:left w:val="none" w:sz="0" w:space="0" w:color="auto"/>
        <w:bottom w:val="none" w:sz="0" w:space="0" w:color="auto"/>
        <w:right w:val="none" w:sz="0" w:space="0" w:color="auto"/>
      </w:divBdr>
    </w:div>
    <w:div w:id="2007122478">
      <w:bodyDiv w:val="1"/>
      <w:marLeft w:val="0"/>
      <w:marRight w:val="0"/>
      <w:marTop w:val="0"/>
      <w:marBottom w:val="0"/>
      <w:divBdr>
        <w:top w:val="none" w:sz="0" w:space="0" w:color="auto"/>
        <w:left w:val="none" w:sz="0" w:space="0" w:color="auto"/>
        <w:bottom w:val="none" w:sz="0" w:space="0" w:color="auto"/>
        <w:right w:val="none" w:sz="0" w:space="0" w:color="auto"/>
      </w:divBdr>
    </w:div>
    <w:div w:id="20345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Lor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ermini.lza.lv/article.php?id=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1FEC-D036-4627-9ACD-E3359DC8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13876</Words>
  <Characters>7910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sākotnējās ietekmes novērtējuma ziņojums (anotācija)</vt:lpstr>
    </vt:vector>
  </TitlesOfParts>
  <Company/>
  <LinksUpToDate>false</LinksUpToDate>
  <CharactersWithSpaces>21743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Anotācija</dc:subject>
  <dc:creator>Linda Aršauska</dc:creator>
  <dc:description>Edmunds.Fernats@em.gov.lv</dc:description>
  <cp:lastModifiedBy>Ilze Lore</cp:lastModifiedBy>
  <cp:revision>18</cp:revision>
  <cp:lastPrinted>2016-09-29T07:34:00Z</cp:lastPrinted>
  <dcterms:created xsi:type="dcterms:W3CDTF">2016-09-28T09:18:00Z</dcterms:created>
  <dcterms:modified xsi:type="dcterms:W3CDTF">2016-09-29T07:54:00Z</dcterms:modified>
</cp:coreProperties>
</file>