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3BBD7" w14:textId="77777777" w:rsidR="00C53B43" w:rsidRPr="006B03AD" w:rsidRDefault="00716F4C" w:rsidP="00716F4C">
      <w:pPr>
        <w:jc w:val="right"/>
        <w:rPr>
          <w:rFonts w:ascii="Times New Roman" w:hAnsi="Times New Roman" w:cs="Times New Roman"/>
          <w:i/>
          <w:sz w:val="26"/>
          <w:szCs w:val="26"/>
        </w:rPr>
      </w:pPr>
      <w:r w:rsidRPr="006B03AD">
        <w:rPr>
          <w:rFonts w:ascii="Times New Roman" w:hAnsi="Times New Roman" w:cs="Times New Roman"/>
          <w:i/>
          <w:sz w:val="26"/>
          <w:szCs w:val="26"/>
        </w:rPr>
        <w:t>Projekts</w:t>
      </w:r>
    </w:p>
    <w:p w14:paraId="065A1122" w14:textId="77777777" w:rsidR="00716F4C" w:rsidRPr="006B03AD" w:rsidRDefault="00716F4C" w:rsidP="00716F4C">
      <w:pPr>
        <w:jc w:val="right"/>
        <w:rPr>
          <w:rFonts w:ascii="Times New Roman" w:hAnsi="Times New Roman" w:cs="Times New Roman"/>
          <w:i/>
          <w:sz w:val="26"/>
          <w:szCs w:val="26"/>
        </w:rPr>
      </w:pPr>
    </w:p>
    <w:p w14:paraId="484FF9BA" w14:textId="77777777" w:rsidR="00706BAC" w:rsidRPr="009A1A1E" w:rsidRDefault="00706BAC" w:rsidP="00706BAC">
      <w:pPr>
        <w:jc w:val="right"/>
        <w:rPr>
          <w:rFonts w:ascii="Times New Roman" w:eastAsia="Calibri" w:hAnsi="Times New Roman" w:cs="Times New Roman"/>
          <w:sz w:val="26"/>
          <w:szCs w:val="26"/>
        </w:rPr>
      </w:pPr>
      <w:r w:rsidRPr="009A1A1E">
        <w:rPr>
          <w:rFonts w:ascii="Times New Roman" w:eastAsia="Calibri" w:hAnsi="Times New Roman" w:cs="Times New Roman"/>
          <w:sz w:val="26"/>
          <w:szCs w:val="26"/>
        </w:rPr>
        <w:t>Apstiprināts ar</w:t>
      </w:r>
    </w:p>
    <w:p w14:paraId="3F2C2D23" w14:textId="77777777" w:rsidR="00706BAC" w:rsidRPr="009A1A1E" w:rsidRDefault="00706BAC" w:rsidP="00706BAC">
      <w:pPr>
        <w:jc w:val="right"/>
        <w:rPr>
          <w:rFonts w:ascii="Times New Roman" w:eastAsia="Calibri" w:hAnsi="Times New Roman" w:cs="Times New Roman"/>
          <w:sz w:val="26"/>
          <w:szCs w:val="26"/>
        </w:rPr>
      </w:pPr>
      <w:r w:rsidRPr="009A1A1E">
        <w:rPr>
          <w:rFonts w:ascii="Times New Roman" w:eastAsia="Calibri" w:hAnsi="Times New Roman" w:cs="Times New Roman"/>
          <w:sz w:val="26"/>
          <w:szCs w:val="26"/>
        </w:rPr>
        <w:t xml:space="preserve">Ministru kabineta </w:t>
      </w:r>
    </w:p>
    <w:p w14:paraId="1CCC6604" w14:textId="77777777" w:rsidR="00706BAC" w:rsidRPr="009A1A1E" w:rsidRDefault="00706BAC" w:rsidP="00706BAC">
      <w:pPr>
        <w:jc w:val="right"/>
        <w:rPr>
          <w:rFonts w:ascii="Times New Roman" w:eastAsia="Calibri" w:hAnsi="Times New Roman" w:cs="Times New Roman"/>
          <w:sz w:val="26"/>
          <w:szCs w:val="26"/>
        </w:rPr>
      </w:pPr>
      <w:r w:rsidRPr="009A1A1E">
        <w:rPr>
          <w:rFonts w:ascii="Times New Roman" w:eastAsia="Calibri" w:hAnsi="Times New Roman" w:cs="Times New Roman"/>
          <w:sz w:val="26"/>
          <w:szCs w:val="26"/>
        </w:rPr>
        <w:t>2016.gada __.____ rīkojumu Nr.____</w:t>
      </w:r>
    </w:p>
    <w:p w14:paraId="68727A2C" w14:textId="77777777" w:rsidR="00716F4C" w:rsidRPr="006B03AD" w:rsidRDefault="00716F4C" w:rsidP="00716F4C">
      <w:pPr>
        <w:jc w:val="center"/>
        <w:rPr>
          <w:rFonts w:ascii="Times New Roman" w:hAnsi="Times New Roman" w:cs="Times New Roman"/>
          <w:sz w:val="26"/>
          <w:szCs w:val="26"/>
        </w:rPr>
      </w:pPr>
    </w:p>
    <w:p w14:paraId="0AC5D835" w14:textId="77777777" w:rsidR="00716F4C" w:rsidRPr="006B03AD" w:rsidRDefault="00716F4C" w:rsidP="00716F4C">
      <w:pPr>
        <w:jc w:val="center"/>
        <w:rPr>
          <w:rFonts w:ascii="Times New Roman" w:hAnsi="Times New Roman" w:cs="Times New Roman"/>
          <w:sz w:val="26"/>
          <w:szCs w:val="26"/>
        </w:rPr>
      </w:pPr>
    </w:p>
    <w:p w14:paraId="63042425" w14:textId="77777777" w:rsidR="00716F4C" w:rsidRPr="006B03AD" w:rsidRDefault="00716F4C" w:rsidP="00716F4C">
      <w:pPr>
        <w:jc w:val="center"/>
        <w:rPr>
          <w:rFonts w:ascii="Times New Roman" w:hAnsi="Times New Roman" w:cs="Times New Roman"/>
          <w:sz w:val="26"/>
          <w:szCs w:val="26"/>
        </w:rPr>
      </w:pPr>
    </w:p>
    <w:p w14:paraId="30EB96CE" w14:textId="77777777" w:rsidR="00716F4C" w:rsidRPr="006B03AD" w:rsidRDefault="00716F4C" w:rsidP="00716F4C">
      <w:pPr>
        <w:jc w:val="center"/>
        <w:rPr>
          <w:rFonts w:ascii="Times New Roman" w:hAnsi="Times New Roman" w:cs="Times New Roman"/>
          <w:sz w:val="26"/>
          <w:szCs w:val="26"/>
        </w:rPr>
      </w:pPr>
    </w:p>
    <w:p w14:paraId="59051DDF" w14:textId="77777777" w:rsidR="00716F4C" w:rsidRPr="006B03AD" w:rsidRDefault="00716F4C" w:rsidP="00716F4C">
      <w:pPr>
        <w:jc w:val="center"/>
        <w:rPr>
          <w:rFonts w:ascii="Times New Roman" w:hAnsi="Times New Roman" w:cs="Times New Roman"/>
          <w:sz w:val="26"/>
          <w:szCs w:val="26"/>
        </w:rPr>
      </w:pPr>
    </w:p>
    <w:p w14:paraId="3457E754" w14:textId="77777777" w:rsidR="00716F4C" w:rsidRPr="006B03AD" w:rsidRDefault="00716F4C" w:rsidP="00716F4C">
      <w:pPr>
        <w:jc w:val="center"/>
        <w:rPr>
          <w:rFonts w:ascii="Times New Roman" w:hAnsi="Times New Roman" w:cs="Times New Roman"/>
          <w:sz w:val="26"/>
          <w:szCs w:val="26"/>
        </w:rPr>
      </w:pPr>
    </w:p>
    <w:p w14:paraId="2B5249E6" w14:textId="77777777" w:rsidR="00716F4C" w:rsidRPr="006B03AD" w:rsidRDefault="00716F4C" w:rsidP="00716F4C">
      <w:pPr>
        <w:jc w:val="center"/>
        <w:rPr>
          <w:rFonts w:ascii="Times New Roman" w:hAnsi="Times New Roman" w:cs="Times New Roman"/>
          <w:sz w:val="26"/>
          <w:szCs w:val="26"/>
        </w:rPr>
      </w:pPr>
    </w:p>
    <w:p w14:paraId="0EE9C1DE" w14:textId="77777777" w:rsidR="00716F4C" w:rsidRPr="006B03AD" w:rsidRDefault="00716F4C" w:rsidP="00716F4C">
      <w:pPr>
        <w:jc w:val="center"/>
        <w:rPr>
          <w:rFonts w:ascii="Times New Roman" w:hAnsi="Times New Roman" w:cs="Times New Roman"/>
          <w:sz w:val="26"/>
          <w:szCs w:val="26"/>
        </w:rPr>
      </w:pPr>
    </w:p>
    <w:p w14:paraId="38BF15CD" w14:textId="77777777" w:rsidR="00716F4C" w:rsidRPr="006B03AD" w:rsidRDefault="00716F4C" w:rsidP="00716F4C">
      <w:pPr>
        <w:jc w:val="center"/>
        <w:rPr>
          <w:rFonts w:ascii="Times New Roman" w:hAnsi="Times New Roman" w:cs="Times New Roman"/>
          <w:sz w:val="26"/>
          <w:szCs w:val="26"/>
        </w:rPr>
      </w:pPr>
    </w:p>
    <w:p w14:paraId="15B41D23" w14:textId="77777777" w:rsidR="00716F4C" w:rsidRPr="006B03AD" w:rsidRDefault="00716F4C" w:rsidP="00716F4C">
      <w:pPr>
        <w:jc w:val="center"/>
        <w:rPr>
          <w:rFonts w:ascii="Times New Roman" w:hAnsi="Times New Roman" w:cs="Times New Roman"/>
          <w:sz w:val="26"/>
          <w:szCs w:val="26"/>
        </w:rPr>
      </w:pPr>
    </w:p>
    <w:p w14:paraId="39CE7C04" w14:textId="77777777" w:rsidR="00716F4C" w:rsidRPr="006B03AD" w:rsidRDefault="00716F4C" w:rsidP="00716F4C">
      <w:pPr>
        <w:jc w:val="center"/>
        <w:rPr>
          <w:rFonts w:ascii="Times New Roman" w:hAnsi="Times New Roman" w:cs="Times New Roman"/>
          <w:sz w:val="26"/>
          <w:szCs w:val="26"/>
        </w:rPr>
      </w:pPr>
    </w:p>
    <w:p w14:paraId="4178770D" w14:textId="77777777" w:rsidR="00716F4C" w:rsidRPr="006B03AD" w:rsidRDefault="00716F4C" w:rsidP="00716F4C">
      <w:pPr>
        <w:jc w:val="center"/>
        <w:rPr>
          <w:rFonts w:ascii="Times New Roman" w:hAnsi="Times New Roman" w:cs="Times New Roman"/>
          <w:sz w:val="26"/>
          <w:szCs w:val="26"/>
        </w:rPr>
      </w:pPr>
    </w:p>
    <w:p w14:paraId="457C0025" w14:textId="77777777" w:rsidR="00716F4C" w:rsidRPr="006B03AD" w:rsidRDefault="00716F4C" w:rsidP="00716F4C">
      <w:pPr>
        <w:jc w:val="center"/>
        <w:rPr>
          <w:rFonts w:ascii="Times New Roman" w:hAnsi="Times New Roman" w:cs="Times New Roman"/>
          <w:sz w:val="26"/>
          <w:szCs w:val="26"/>
        </w:rPr>
      </w:pPr>
    </w:p>
    <w:p w14:paraId="411E5DCA" w14:textId="77777777" w:rsidR="00716F4C" w:rsidRPr="006B03AD" w:rsidRDefault="00716F4C" w:rsidP="00716F4C">
      <w:pPr>
        <w:jc w:val="center"/>
        <w:rPr>
          <w:rFonts w:ascii="Times New Roman" w:hAnsi="Times New Roman" w:cs="Times New Roman"/>
          <w:sz w:val="26"/>
          <w:szCs w:val="26"/>
        </w:rPr>
      </w:pPr>
    </w:p>
    <w:p w14:paraId="4500D9C3" w14:textId="77777777" w:rsidR="00716F4C" w:rsidRPr="006B03AD" w:rsidRDefault="00716F4C" w:rsidP="00716F4C">
      <w:pPr>
        <w:jc w:val="center"/>
        <w:rPr>
          <w:rFonts w:ascii="Times New Roman" w:hAnsi="Times New Roman" w:cs="Times New Roman"/>
          <w:sz w:val="26"/>
          <w:szCs w:val="26"/>
        </w:rPr>
      </w:pPr>
    </w:p>
    <w:p w14:paraId="4CAEDD57" w14:textId="77777777" w:rsidR="00716F4C" w:rsidRPr="006B03AD" w:rsidRDefault="00716F4C" w:rsidP="00716F4C">
      <w:pPr>
        <w:jc w:val="center"/>
        <w:rPr>
          <w:rFonts w:ascii="Times New Roman" w:hAnsi="Times New Roman" w:cs="Times New Roman"/>
          <w:b/>
          <w:sz w:val="28"/>
          <w:szCs w:val="28"/>
        </w:rPr>
      </w:pPr>
      <w:r w:rsidRPr="006B03AD">
        <w:rPr>
          <w:rFonts w:ascii="Times New Roman" w:hAnsi="Times New Roman" w:cs="Times New Roman"/>
          <w:b/>
          <w:sz w:val="28"/>
          <w:szCs w:val="28"/>
        </w:rPr>
        <w:t>KONCEPTUĀLAIS ZIŅOJUMS</w:t>
      </w:r>
    </w:p>
    <w:p w14:paraId="6B6E21BA" w14:textId="77777777" w:rsidR="00716F4C" w:rsidRPr="006B03AD" w:rsidRDefault="00716F4C" w:rsidP="00716F4C">
      <w:pPr>
        <w:jc w:val="center"/>
        <w:rPr>
          <w:rFonts w:ascii="Times New Roman" w:hAnsi="Times New Roman" w:cs="Times New Roman"/>
          <w:i/>
          <w:sz w:val="28"/>
          <w:szCs w:val="28"/>
        </w:rPr>
      </w:pPr>
      <w:r w:rsidRPr="006B03AD">
        <w:rPr>
          <w:rFonts w:ascii="Times New Roman" w:hAnsi="Times New Roman" w:cs="Times New Roman"/>
          <w:i/>
          <w:sz w:val="28"/>
          <w:szCs w:val="28"/>
        </w:rPr>
        <w:t>Par Latvijas nacionālās standartizācijas sistēmas pilnveidošanu</w:t>
      </w:r>
    </w:p>
    <w:p w14:paraId="7B10D594" w14:textId="77777777" w:rsidR="00716F4C" w:rsidRPr="006B03AD" w:rsidRDefault="00716F4C" w:rsidP="00716F4C">
      <w:pPr>
        <w:jc w:val="center"/>
        <w:rPr>
          <w:rFonts w:ascii="Times New Roman" w:hAnsi="Times New Roman" w:cs="Times New Roman"/>
          <w:i/>
          <w:sz w:val="28"/>
          <w:szCs w:val="28"/>
        </w:rPr>
      </w:pPr>
    </w:p>
    <w:p w14:paraId="4FDE7617" w14:textId="77777777" w:rsidR="00716F4C" w:rsidRPr="006B03AD" w:rsidRDefault="00716F4C" w:rsidP="00716F4C">
      <w:pPr>
        <w:jc w:val="center"/>
        <w:rPr>
          <w:rFonts w:ascii="Times New Roman" w:hAnsi="Times New Roman" w:cs="Times New Roman"/>
          <w:i/>
          <w:sz w:val="28"/>
          <w:szCs w:val="28"/>
        </w:rPr>
      </w:pPr>
    </w:p>
    <w:p w14:paraId="24653CC7" w14:textId="77777777" w:rsidR="00716F4C" w:rsidRPr="006B03AD" w:rsidRDefault="00716F4C" w:rsidP="00716F4C">
      <w:pPr>
        <w:jc w:val="center"/>
        <w:rPr>
          <w:rFonts w:ascii="Times New Roman" w:hAnsi="Times New Roman" w:cs="Times New Roman"/>
          <w:i/>
          <w:sz w:val="28"/>
          <w:szCs w:val="28"/>
        </w:rPr>
      </w:pPr>
    </w:p>
    <w:p w14:paraId="5AD971C3" w14:textId="77777777" w:rsidR="00716F4C" w:rsidRPr="006B03AD" w:rsidRDefault="00716F4C" w:rsidP="00716F4C">
      <w:pPr>
        <w:jc w:val="center"/>
        <w:rPr>
          <w:rFonts w:ascii="Times New Roman" w:hAnsi="Times New Roman" w:cs="Times New Roman"/>
          <w:i/>
          <w:sz w:val="28"/>
          <w:szCs w:val="28"/>
        </w:rPr>
      </w:pPr>
    </w:p>
    <w:p w14:paraId="62EE2D04" w14:textId="77777777" w:rsidR="00716F4C" w:rsidRPr="006B03AD" w:rsidRDefault="00716F4C" w:rsidP="00716F4C">
      <w:pPr>
        <w:jc w:val="center"/>
        <w:rPr>
          <w:rFonts w:ascii="Times New Roman" w:hAnsi="Times New Roman" w:cs="Times New Roman"/>
          <w:i/>
          <w:sz w:val="28"/>
          <w:szCs w:val="28"/>
        </w:rPr>
      </w:pPr>
    </w:p>
    <w:p w14:paraId="6641D0DC" w14:textId="77777777" w:rsidR="00716F4C" w:rsidRPr="006B03AD" w:rsidRDefault="00716F4C" w:rsidP="00716F4C">
      <w:pPr>
        <w:jc w:val="center"/>
        <w:rPr>
          <w:rFonts w:ascii="Times New Roman" w:hAnsi="Times New Roman" w:cs="Times New Roman"/>
          <w:i/>
          <w:sz w:val="28"/>
          <w:szCs w:val="28"/>
        </w:rPr>
      </w:pPr>
    </w:p>
    <w:p w14:paraId="05F68308" w14:textId="77777777" w:rsidR="00716F4C" w:rsidRPr="006B03AD" w:rsidRDefault="00716F4C" w:rsidP="00716F4C">
      <w:pPr>
        <w:jc w:val="center"/>
        <w:rPr>
          <w:rFonts w:ascii="Times New Roman" w:hAnsi="Times New Roman" w:cs="Times New Roman"/>
          <w:i/>
          <w:sz w:val="28"/>
          <w:szCs w:val="28"/>
        </w:rPr>
      </w:pPr>
    </w:p>
    <w:p w14:paraId="5D0D8E17" w14:textId="77777777" w:rsidR="00716F4C" w:rsidRPr="006B03AD" w:rsidRDefault="00716F4C" w:rsidP="00716F4C">
      <w:pPr>
        <w:jc w:val="center"/>
        <w:rPr>
          <w:rFonts w:ascii="Times New Roman" w:hAnsi="Times New Roman" w:cs="Times New Roman"/>
          <w:i/>
          <w:sz w:val="28"/>
          <w:szCs w:val="28"/>
        </w:rPr>
      </w:pPr>
    </w:p>
    <w:p w14:paraId="6C10ED6E" w14:textId="77777777" w:rsidR="00716F4C" w:rsidRPr="006B03AD" w:rsidRDefault="00716F4C" w:rsidP="00716F4C">
      <w:pPr>
        <w:jc w:val="center"/>
        <w:rPr>
          <w:rFonts w:ascii="Times New Roman" w:hAnsi="Times New Roman" w:cs="Times New Roman"/>
          <w:i/>
          <w:sz w:val="28"/>
          <w:szCs w:val="28"/>
        </w:rPr>
      </w:pPr>
    </w:p>
    <w:p w14:paraId="6071966F" w14:textId="77777777" w:rsidR="00716F4C" w:rsidRPr="006B03AD" w:rsidRDefault="00716F4C" w:rsidP="00716F4C">
      <w:pPr>
        <w:jc w:val="center"/>
        <w:rPr>
          <w:rFonts w:ascii="Times New Roman" w:hAnsi="Times New Roman" w:cs="Times New Roman"/>
          <w:i/>
          <w:sz w:val="28"/>
          <w:szCs w:val="28"/>
        </w:rPr>
      </w:pPr>
    </w:p>
    <w:p w14:paraId="00A51BBC" w14:textId="77777777" w:rsidR="00716F4C" w:rsidRPr="006B03AD" w:rsidRDefault="00716F4C" w:rsidP="00716F4C">
      <w:pPr>
        <w:jc w:val="center"/>
        <w:rPr>
          <w:rFonts w:ascii="Times New Roman" w:hAnsi="Times New Roman" w:cs="Times New Roman"/>
          <w:i/>
          <w:sz w:val="28"/>
          <w:szCs w:val="28"/>
        </w:rPr>
      </w:pPr>
    </w:p>
    <w:p w14:paraId="5925B4FE" w14:textId="77777777" w:rsidR="00716F4C" w:rsidRPr="006B03AD" w:rsidRDefault="00716F4C" w:rsidP="00716F4C">
      <w:pPr>
        <w:jc w:val="center"/>
        <w:rPr>
          <w:rFonts w:ascii="Times New Roman" w:hAnsi="Times New Roman" w:cs="Times New Roman"/>
          <w:i/>
          <w:sz w:val="28"/>
          <w:szCs w:val="28"/>
        </w:rPr>
      </w:pPr>
    </w:p>
    <w:p w14:paraId="169D48DF" w14:textId="77777777" w:rsidR="00716F4C" w:rsidRPr="006B03AD" w:rsidRDefault="00716F4C" w:rsidP="00716F4C">
      <w:pPr>
        <w:jc w:val="center"/>
        <w:rPr>
          <w:rFonts w:ascii="Times New Roman" w:hAnsi="Times New Roman" w:cs="Times New Roman"/>
          <w:i/>
          <w:sz w:val="28"/>
          <w:szCs w:val="28"/>
        </w:rPr>
      </w:pPr>
    </w:p>
    <w:p w14:paraId="2B0154BA" w14:textId="77777777" w:rsidR="00716F4C" w:rsidRPr="006B03AD" w:rsidRDefault="00716F4C" w:rsidP="00716F4C">
      <w:pPr>
        <w:jc w:val="center"/>
        <w:rPr>
          <w:rFonts w:ascii="Times New Roman" w:hAnsi="Times New Roman" w:cs="Times New Roman"/>
          <w:i/>
          <w:sz w:val="28"/>
          <w:szCs w:val="28"/>
        </w:rPr>
      </w:pPr>
    </w:p>
    <w:p w14:paraId="6D1C2282" w14:textId="77777777" w:rsidR="00716F4C" w:rsidRPr="006B03AD" w:rsidRDefault="00716F4C" w:rsidP="00716F4C">
      <w:pPr>
        <w:jc w:val="center"/>
        <w:rPr>
          <w:rFonts w:ascii="Times New Roman" w:hAnsi="Times New Roman" w:cs="Times New Roman"/>
          <w:i/>
          <w:sz w:val="28"/>
          <w:szCs w:val="28"/>
        </w:rPr>
      </w:pPr>
    </w:p>
    <w:p w14:paraId="6B64C53E" w14:textId="77777777" w:rsidR="00716F4C" w:rsidRPr="006B03AD" w:rsidRDefault="00716F4C" w:rsidP="00716F4C">
      <w:pPr>
        <w:jc w:val="center"/>
        <w:rPr>
          <w:rFonts w:ascii="Times New Roman" w:hAnsi="Times New Roman" w:cs="Times New Roman"/>
          <w:i/>
          <w:sz w:val="28"/>
          <w:szCs w:val="28"/>
        </w:rPr>
      </w:pPr>
    </w:p>
    <w:p w14:paraId="13EFCAA5" w14:textId="77777777" w:rsidR="00716F4C" w:rsidRPr="006B03AD" w:rsidRDefault="00716F4C" w:rsidP="00716F4C">
      <w:pPr>
        <w:jc w:val="center"/>
        <w:rPr>
          <w:rFonts w:ascii="Times New Roman" w:hAnsi="Times New Roman" w:cs="Times New Roman"/>
          <w:i/>
          <w:sz w:val="28"/>
          <w:szCs w:val="28"/>
        </w:rPr>
      </w:pPr>
    </w:p>
    <w:p w14:paraId="713DDDCD" w14:textId="77777777" w:rsidR="00716F4C" w:rsidRPr="006B03AD" w:rsidRDefault="00716F4C" w:rsidP="00716F4C">
      <w:pPr>
        <w:jc w:val="center"/>
        <w:rPr>
          <w:rFonts w:ascii="Times New Roman" w:hAnsi="Times New Roman" w:cs="Times New Roman"/>
          <w:i/>
          <w:sz w:val="28"/>
          <w:szCs w:val="28"/>
        </w:rPr>
      </w:pPr>
    </w:p>
    <w:p w14:paraId="6D72F4B6" w14:textId="77777777" w:rsidR="00716F4C" w:rsidRPr="006B03AD" w:rsidRDefault="00716F4C" w:rsidP="00716F4C">
      <w:pPr>
        <w:jc w:val="center"/>
        <w:rPr>
          <w:rFonts w:ascii="Times New Roman" w:hAnsi="Times New Roman" w:cs="Times New Roman"/>
          <w:i/>
          <w:sz w:val="28"/>
          <w:szCs w:val="28"/>
        </w:rPr>
      </w:pPr>
    </w:p>
    <w:p w14:paraId="6E22D20A" w14:textId="77777777" w:rsidR="00716F4C" w:rsidRPr="006B03AD" w:rsidRDefault="00716F4C" w:rsidP="00716F4C">
      <w:pPr>
        <w:jc w:val="center"/>
        <w:rPr>
          <w:rFonts w:ascii="Times New Roman" w:hAnsi="Times New Roman" w:cs="Times New Roman"/>
          <w:i/>
          <w:sz w:val="28"/>
          <w:szCs w:val="28"/>
        </w:rPr>
      </w:pPr>
    </w:p>
    <w:p w14:paraId="48E0C770" w14:textId="77777777" w:rsidR="00716F4C" w:rsidRPr="006B03AD" w:rsidRDefault="00716F4C" w:rsidP="00716F4C">
      <w:pPr>
        <w:jc w:val="center"/>
        <w:rPr>
          <w:rFonts w:ascii="Times New Roman" w:hAnsi="Times New Roman" w:cs="Times New Roman"/>
          <w:i/>
          <w:sz w:val="28"/>
          <w:szCs w:val="28"/>
        </w:rPr>
      </w:pPr>
    </w:p>
    <w:p w14:paraId="724FECA0" w14:textId="77777777" w:rsidR="00B972E0" w:rsidRPr="006B03AD" w:rsidRDefault="00716F4C" w:rsidP="00716F4C">
      <w:pPr>
        <w:jc w:val="center"/>
        <w:rPr>
          <w:rFonts w:ascii="Times New Roman" w:hAnsi="Times New Roman" w:cs="Times New Roman"/>
          <w:sz w:val="26"/>
          <w:szCs w:val="26"/>
        </w:rPr>
      </w:pPr>
      <w:r w:rsidRPr="006B03AD">
        <w:rPr>
          <w:rFonts w:ascii="Times New Roman" w:hAnsi="Times New Roman" w:cs="Times New Roman"/>
          <w:sz w:val="26"/>
          <w:szCs w:val="26"/>
        </w:rPr>
        <w:t>Rīgā, 2016.gads</w:t>
      </w:r>
    </w:p>
    <w:p w14:paraId="7F35A743" w14:textId="77777777" w:rsidR="00B972E0" w:rsidRPr="006B03AD" w:rsidRDefault="00B972E0" w:rsidP="00B972E0">
      <w:pPr>
        <w:pStyle w:val="TOCHeading"/>
        <w:jc w:val="center"/>
        <w:rPr>
          <w:rFonts w:ascii="Times New Roman" w:hAnsi="Times New Roman" w:cs="Times New Roman"/>
          <w:sz w:val="26"/>
          <w:szCs w:val="26"/>
          <w:lang w:val="lv-LV"/>
        </w:rPr>
      </w:pPr>
      <w:r w:rsidRPr="006B03AD">
        <w:rPr>
          <w:rFonts w:ascii="Times New Roman" w:hAnsi="Times New Roman" w:cs="Times New Roman"/>
          <w:sz w:val="26"/>
          <w:szCs w:val="26"/>
          <w:lang w:val="lv-LV"/>
        </w:rPr>
        <w:br w:type="page"/>
      </w:r>
      <w:r w:rsidRPr="006B03AD">
        <w:rPr>
          <w:rFonts w:ascii="Times New Roman" w:hAnsi="Times New Roman" w:cs="Times New Roman"/>
          <w:color w:val="auto"/>
          <w:sz w:val="26"/>
          <w:szCs w:val="26"/>
          <w:lang w:val="lv-LV"/>
        </w:rPr>
        <w:lastRenderedPageBreak/>
        <w:t>SATURA RĀDĪTĀJS</w:t>
      </w:r>
    </w:p>
    <w:sdt>
      <w:sdtPr>
        <w:id w:val="52200920"/>
        <w:docPartObj>
          <w:docPartGallery w:val="Table of Contents"/>
          <w:docPartUnique/>
        </w:docPartObj>
      </w:sdtPr>
      <w:sdtEndPr>
        <w:rPr>
          <w:b/>
          <w:bCs/>
          <w:noProof/>
        </w:rPr>
      </w:sdtEndPr>
      <w:sdtContent>
        <w:p w14:paraId="485EC055" w14:textId="77777777" w:rsidR="00B972E0" w:rsidRPr="00226850" w:rsidRDefault="00B972E0" w:rsidP="00B972E0">
          <w:pPr>
            <w:jc w:val="center"/>
            <w:rPr>
              <w:rFonts w:ascii="Times New Roman" w:hAnsi="Times New Roman" w:cs="Times New Roman"/>
            </w:rPr>
          </w:pPr>
        </w:p>
        <w:p w14:paraId="00E10486" w14:textId="77777777" w:rsidR="00C65959" w:rsidRPr="00226850" w:rsidRDefault="00B972E0">
          <w:pPr>
            <w:pStyle w:val="TOC1"/>
            <w:tabs>
              <w:tab w:val="left" w:pos="480"/>
              <w:tab w:val="right" w:leader="dot" w:pos="9010"/>
            </w:tabs>
            <w:rPr>
              <w:rFonts w:ascii="Times New Roman" w:eastAsiaTheme="minorEastAsia" w:hAnsi="Times New Roman" w:cs="Times New Roman"/>
              <w:b w:val="0"/>
              <w:noProof/>
              <w:lang w:val="en-US"/>
            </w:rPr>
          </w:pPr>
          <w:r w:rsidRPr="00226850">
            <w:rPr>
              <w:rFonts w:ascii="Times New Roman" w:hAnsi="Times New Roman" w:cs="Times New Roman"/>
              <w:b w:val="0"/>
            </w:rPr>
            <w:fldChar w:fldCharType="begin"/>
          </w:r>
          <w:r w:rsidRPr="00226850">
            <w:rPr>
              <w:rFonts w:ascii="Times New Roman" w:hAnsi="Times New Roman" w:cs="Times New Roman"/>
            </w:rPr>
            <w:instrText xml:space="preserve"> TOC \o "1-3" \h \z \u </w:instrText>
          </w:r>
          <w:r w:rsidRPr="00226850">
            <w:rPr>
              <w:rFonts w:ascii="Times New Roman" w:hAnsi="Times New Roman" w:cs="Times New Roman"/>
              <w:b w:val="0"/>
            </w:rPr>
            <w:fldChar w:fldCharType="separate"/>
          </w:r>
          <w:hyperlink w:anchor="_Toc451859993" w:history="1">
            <w:r w:rsidR="00C65959" w:rsidRPr="00226850">
              <w:rPr>
                <w:rStyle w:val="Hyperlink"/>
                <w:rFonts w:ascii="Times New Roman" w:hAnsi="Times New Roman" w:cs="Times New Roman"/>
                <w:noProof/>
              </w:rPr>
              <w:t>I.</w:t>
            </w:r>
            <w:r w:rsidR="00C65959" w:rsidRPr="00226850">
              <w:rPr>
                <w:rFonts w:ascii="Times New Roman" w:eastAsiaTheme="minorEastAsia" w:hAnsi="Times New Roman" w:cs="Times New Roman"/>
                <w:b w:val="0"/>
                <w:noProof/>
                <w:lang w:val="en-US"/>
              </w:rPr>
              <w:tab/>
            </w:r>
            <w:r w:rsidR="00C65959" w:rsidRPr="00226850">
              <w:rPr>
                <w:rStyle w:val="Hyperlink"/>
                <w:rFonts w:ascii="Times New Roman" w:hAnsi="Times New Roman" w:cs="Times New Roman"/>
                <w:noProof/>
              </w:rPr>
              <w:t>KOPSAVILKUMS</w:t>
            </w:r>
            <w:r w:rsidR="00C65959" w:rsidRPr="00226850">
              <w:rPr>
                <w:rFonts w:ascii="Times New Roman" w:hAnsi="Times New Roman" w:cs="Times New Roman"/>
                <w:noProof/>
                <w:webHidden/>
              </w:rPr>
              <w:tab/>
            </w:r>
            <w:r w:rsidR="00C65959" w:rsidRPr="00226850">
              <w:rPr>
                <w:rFonts w:ascii="Times New Roman" w:hAnsi="Times New Roman" w:cs="Times New Roman"/>
                <w:noProof/>
                <w:webHidden/>
              </w:rPr>
              <w:fldChar w:fldCharType="begin"/>
            </w:r>
            <w:r w:rsidR="00C65959" w:rsidRPr="00226850">
              <w:rPr>
                <w:rFonts w:ascii="Times New Roman" w:hAnsi="Times New Roman" w:cs="Times New Roman"/>
                <w:noProof/>
                <w:webHidden/>
              </w:rPr>
              <w:instrText xml:space="preserve"> PAGEREF _Toc451859993 \h </w:instrText>
            </w:r>
            <w:r w:rsidR="00C65959" w:rsidRPr="00226850">
              <w:rPr>
                <w:rFonts w:ascii="Times New Roman" w:hAnsi="Times New Roman" w:cs="Times New Roman"/>
                <w:noProof/>
                <w:webHidden/>
              </w:rPr>
            </w:r>
            <w:r w:rsidR="00C65959" w:rsidRPr="00226850">
              <w:rPr>
                <w:rFonts w:ascii="Times New Roman" w:hAnsi="Times New Roman" w:cs="Times New Roman"/>
                <w:noProof/>
                <w:webHidden/>
              </w:rPr>
              <w:fldChar w:fldCharType="separate"/>
            </w:r>
            <w:r w:rsidR="000C084F">
              <w:rPr>
                <w:rFonts w:ascii="Times New Roman" w:hAnsi="Times New Roman" w:cs="Times New Roman"/>
                <w:noProof/>
                <w:webHidden/>
              </w:rPr>
              <w:t>3</w:t>
            </w:r>
            <w:r w:rsidR="00C65959" w:rsidRPr="00226850">
              <w:rPr>
                <w:rFonts w:ascii="Times New Roman" w:hAnsi="Times New Roman" w:cs="Times New Roman"/>
                <w:noProof/>
                <w:webHidden/>
              </w:rPr>
              <w:fldChar w:fldCharType="end"/>
            </w:r>
          </w:hyperlink>
        </w:p>
        <w:p w14:paraId="53773C4E" w14:textId="77777777" w:rsidR="00C65959" w:rsidRPr="00226850" w:rsidRDefault="009A1A1E">
          <w:pPr>
            <w:pStyle w:val="TOC1"/>
            <w:tabs>
              <w:tab w:val="left" w:pos="480"/>
              <w:tab w:val="right" w:leader="dot" w:pos="9010"/>
            </w:tabs>
            <w:rPr>
              <w:rFonts w:ascii="Times New Roman" w:eastAsiaTheme="minorEastAsia" w:hAnsi="Times New Roman" w:cs="Times New Roman"/>
              <w:b w:val="0"/>
              <w:noProof/>
              <w:lang w:val="en-US"/>
            </w:rPr>
          </w:pPr>
          <w:hyperlink w:anchor="_Toc451859994" w:history="1">
            <w:r w:rsidR="00C65959" w:rsidRPr="00226850">
              <w:rPr>
                <w:rStyle w:val="Hyperlink"/>
                <w:rFonts w:ascii="Times New Roman" w:hAnsi="Times New Roman" w:cs="Times New Roman"/>
                <w:noProof/>
              </w:rPr>
              <w:t>II.</w:t>
            </w:r>
            <w:r w:rsidR="00C65959" w:rsidRPr="00226850">
              <w:rPr>
                <w:rFonts w:ascii="Times New Roman" w:eastAsiaTheme="minorEastAsia" w:hAnsi="Times New Roman" w:cs="Times New Roman"/>
                <w:b w:val="0"/>
                <w:noProof/>
                <w:lang w:val="en-US"/>
              </w:rPr>
              <w:tab/>
            </w:r>
            <w:r w:rsidR="00C65959" w:rsidRPr="00226850">
              <w:rPr>
                <w:rStyle w:val="Hyperlink"/>
                <w:rFonts w:ascii="Times New Roman" w:hAnsi="Times New Roman" w:cs="Times New Roman"/>
                <w:noProof/>
              </w:rPr>
              <w:t>SITUĀCIJAS APRAKSTS</w:t>
            </w:r>
            <w:r w:rsidR="00C65959" w:rsidRPr="00226850">
              <w:rPr>
                <w:rFonts w:ascii="Times New Roman" w:hAnsi="Times New Roman" w:cs="Times New Roman"/>
                <w:noProof/>
                <w:webHidden/>
              </w:rPr>
              <w:tab/>
            </w:r>
            <w:r w:rsidR="00C65959" w:rsidRPr="00226850">
              <w:rPr>
                <w:rFonts w:ascii="Times New Roman" w:hAnsi="Times New Roman" w:cs="Times New Roman"/>
                <w:noProof/>
                <w:webHidden/>
              </w:rPr>
              <w:fldChar w:fldCharType="begin"/>
            </w:r>
            <w:r w:rsidR="00C65959" w:rsidRPr="00226850">
              <w:rPr>
                <w:rFonts w:ascii="Times New Roman" w:hAnsi="Times New Roman" w:cs="Times New Roman"/>
                <w:noProof/>
                <w:webHidden/>
              </w:rPr>
              <w:instrText xml:space="preserve"> PAGEREF _Toc451859994 \h </w:instrText>
            </w:r>
            <w:r w:rsidR="00C65959" w:rsidRPr="00226850">
              <w:rPr>
                <w:rFonts w:ascii="Times New Roman" w:hAnsi="Times New Roman" w:cs="Times New Roman"/>
                <w:noProof/>
                <w:webHidden/>
              </w:rPr>
            </w:r>
            <w:r w:rsidR="00C65959" w:rsidRPr="00226850">
              <w:rPr>
                <w:rFonts w:ascii="Times New Roman" w:hAnsi="Times New Roman" w:cs="Times New Roman"/>
                <w:noProof/>
                <w:webHidden/>
              </w:rPr>
              <w:fldChar w:fldCharType="separate"/>
            </w:r>
            <w:r w:rsidR="000C084F">
              <w:rPr>
                <w:rFonts w:ascii="Times New Roman" w:hAnsi="Times New Roman" w:cs="Times New Roman"/>
                <w:noProof/>
                <w:webHidden/>
              </w:rPr>
              <w:t>6</w:t>
            </w:r>
            <w:r w:rsidR="00C65959" w:rsidRPr="00226850">
              <w:rPr>
                <w:rFonts w:ascii="Times New Roman" w:hAnsi="Times New Roman" w:cs="Times New Roman"/>
                <w:noProof/>
                <w:webHidden/>
              </w:rPr>
              <w:fldChar w:fldCharType="end"/>
            </w:r>
          </w:hyperlink>
        </w:p>
        <w:p w14:paraId="20515BF3" w14:textId="77777777" w:rsidR="00C65959" w:rsidRPr="00226850" w:rsidRDefault="009A1A1E">
          <w:pPr>
            <w:pStyle w:val="TOC2"/>
            <w:tabs>
              <w:tab w:val="left" w:pos="720"/>
              <w:tab w:val="right" w:leader="dot" w:pos="9010"/>
            </w:tabs>
            <w:rPr>
              <w:rFonts w:ascii="Times New Roman" w:eastAsiaTheme="minorEastAsia" w:hAnsi="Times New Roman" w:cs="Times New Roman"/>
              <w:b w:val="0"/>
              <w:noProof/>
              <w:sz w:val="24"/>
              <w:szCs w:val="24"/>
              <w:lang w:val="en-US"/>
            </w:rPr>
          </w:pPr>
          <w:hyperlink w:anchor="_Toc451859995" w:history="1">
            <w:r w:rsidR="00C65959" w:rsidRPr="00226850">
              <w:rPr>
                <w:rStyle w:val="Hyperlink"/>
                <w:rFonts w:ascii="Times New Roman" w:hAnsi="Times New Roman" w:cs="Times New Roman"/>
                <w:noProof/>
              </w:rPr>
              <w:t>1.</w:t>
            </w:r>
            <w:r w:rsidR="00C65959" w:rsidRPr="00226850">
              <w:rPr>
                <w:rFonts w:ascii="Times New Roman" w:eastAsiaTheme="minorEastAsia" w:hAnsi="Times New Roman" w:cs="Times New Roman"/>
                <w:b w:val="0"/>
                <w:noProof/>
                <w:sz w:val="24"/>
                <w:szCs w:val="24"/>
                <w:lang w:val="en-US"/>
              </w:rPr>
              <w:tab/>
            </w:r>
            <w:r w:rsidR="00C65959" w:rsidRPr="00226850">
              <w:rPr>
                <w:rStyle w:val="Hyperlink"/>
                <w:rFonts w:ascii="Times New Roman" w:hAnsi="Times New Roman" w:cs="Times New Roman"/>
                <w:noProof/>
              </w:rPr>
              <w:t>Citu valstu un organizāciju pieredze</w:t>
            </w:r>
            <w:r w:rsidR="00C65959" w:rsidRPr="00226850">
              <w:rPr>
                <w:rFonts w:ascii="Times New Roman" w:hAnsi="Times New Roman" w:cs="Times New Roman"/>
                <w:noProof/>
                <w:webHidden/>
              </w:rPr>
              <w:tab/>
            </w:r>
            <w:r w:rsidR="00C65959" w:rsidRPr="00226850">
              <w:rPr>
                <w:rFonts w:ascii="Times New Roman" w:hAnsi="Times New Roman" w:cs="Times New Roman"/>
                <w:noProof/>
                <w:webHidden/>
              </w:rPr>
              <w:fldChar w:fldCharType="begin"/>
            </w:r>
            <w:r w:rsidR="00C65959" w:rsidRPr="00226850">
              <w:rPr>
                <w:rFonts w:ascii="Times New Roman" w:hAnsi="Times New Roman" w:cs="Times New Roman"/>
                <w:noProof/>
                <w:webHidden/>
              </w:rPr>
              <w:instrText xml:space="preserve"> PAGEREF _Toc451859995 \h </w:instrText>
            </w:r>
            <w:r w:rsidR="00C65959" w:rsidRPr="00226850">
              <w:rPr>
                <w:rFonts w:ascii="Times New Roman" w:hAnsi="Times New Roman" w:cs="Times New Roman"/>
                <w:noProof/>
                <w:webHidden/>
              </w:rPr>
            </w:r>
            <w:r w:rsidR="00C65959" w:rsidRPr="00226850">
              <w:rPr>
                <w:rFonts w:ascii="Times New Roman" w:hAnsi="Times New Roman" w:cs="Times New Roman"/>
                <w:noProof/>
                <w:webHidden/>
              </w:rPr>
              <w:fldChar w:fldCharType="separate"/>
            </w:r>
            <w:r w:rsidR="000C084F">
              <w:rPr>
                <w:rFonts w:ascii="Times New Roman" w:hAnsi="Times New Roman" w:cs="Times New Roman"/>
                <w:noProof/>
                <w:webHidden/>
              </w:rPr>
              <w:t>9</w:t>
            </w:r>
            <w:r w:rsidR="00C65959" w:rsidRPr="00226850">
              <w:rPr>
                <w:rFonts w:ascii="Times New Roman" w:hAnsi="Times New Roman" w:cs="Times New Roman"/>
                <w:noProof/>
                <w:webHidden/>
              </w:rPr>
              <w:fldChar w:fldCharType="end"/>
            </w:r>
          </w:hyperlink>
        </w:p>
        <w:p w14:paraId="6C412F86" w14:textId="77777777" w:rsidR="00C65959" w:rsidRPr="00226850" w:rsidRDefault="009A1A1E">
          <w:pPr>
            <w:pStyle w:val="TOC3"/>
            <w:tabs>
              <w:tab w:val="left" w:pos="1200"/>
              <w:tab w:val="right" w:leader="dot" w:pos="9010"/>
            </w:tabs>
            <w:rPr>
              <w:rFonts w:ascii="Times New Roman" w:eastAsiaTheme="minorEastAsia" w:hAnsi="Times New Roman" w:cs="Times New Roman"/>
              <w:noProof/>
              <w:sz w:val="24"/>
              <w:szCs w:val="24"/>
              <w:lang w:val="en-US"/>
            </w:rPr>
          </w:pPr>
          <w:hyperlink w:anchor="_Toc451859996" w:history="1">
            <w:r w:rsidR="00C65959" w:rsidRPr="00226850">
              <w:rPr>
                <w:rStyle w:val="Hyperlink"/>
                <w:rFonts w:ascii="Times New Roman" w:hAnsi="Times New Roman" w:cs="Times New Roman"/>
                <w:noProof/>
              </w:rPr>
              <w:t>1.1.</w:t>
            </w:r>
            <w:r w:rsidR="00C65959" w:rsidRPr="00226850">
              <w:rPr>
                <w:rFonts w:ascii="Times New Roman" w:eastAsiaTheme="minorEastAsia" w:hAnsi="Times New Roman" w:cs="Times New Roman"/>
                <w:noProof/>
                <w:sz w:val="24"/>
                <w:szCs w:val="24"/>
                <w:lang w:val="en-US"/>
              </w:rPr>
              <w:tab/>
            </w:r>
            <w:r w:rsidR="00C65959" w:rsidRPr="00226850">
              <w:rPr>
                <w:rStyle w:val="Hyperlink"/>
                <w:rFonts w:ascii="Times New Roman" w:hAnsi="Times New Roman" w:cs="Times New Roman"/>
                <w:noProof/>
              </w:rPr>
              <w:t>Eiropas Savienība</w:t>
            </w:r>
            <w:r w:rsidR="00C65959" w:rsidRPr="00226850">
              <w:rPr>
                <w:rFonts w:ascii="Times New Roman" w:hAnsi="Times New Roman" w:cs="Times New Roman"/>
                <w:noProof/>
                <w:webHidden/>
              </w:rPr>
              <w:tab/>
            </w:r>
            <w:r w:rsidR="00C65959" w:rsidRPr="00226850">
              <w:rPr>
                <w:rFonts w:ascii="Times New Roman" w:hAnsi="Times New Roman" w:cs="Times New Roman"/>
                <w:noProof/>
                <w:webHidden/>
              </w:rPr>
              <w:fldChar w:fldCharType="begin"/>
            </w:r>
            <w:r w:rsidR="00C65959" w:rsidRPr="00226850">
              <w:rPr>
                <w:rFonts w:ascii="Times New Roman" w:hAnsi="Times New Roman" w:cs="Times New Roman"/>
                <w:noProof/>
                <w:webHidden/>
              </w:rPr>
              <w:instrText xml:space="preserve"> PAGEREF _Toc451859996 \h </w:instrText>
            </w:r>
            <w:r w:rsidR="00C65959" w:rsidRPr="00226850">
              <w:rPr>
                <w:rFonts w:ascii="Times New Roman" w:hAnsi="Times New Roman" w:cs="Times New Roman"/>
                <w:noProof/>
                <w:webHidden/>
              </w:rPr>
            </w:r>
            <w:r w:rsidR="00C65959" w:rsidRPr="00226850">
              <w:rPr>
                <w:rFonts w:ascii="Times New Roman" w:hAnsi="Times New Roman" w:cs="Times New Roman"/>
                <w:noProof/>
                <w:webHidden/>
              </w:rPr>
              <w:fldChar w:fldCharType="separate"/>
            </w:r>
            <w:r w:rsidR="000C084F">
              <w:rPr>
                <w:rFonts w:ascii="Times New Roman" w:hAnsi="Times New Roman" w:cs="Times New Roman"/>
                <w:noProof/>
                <w:webHidden/>
              </w:rPr>
              <w:t>9</w:t>
            </w:r>
            <w:r w:rsidR="00C65959" w:rsidRPr="00226850">
              <w:rPr>
                <w:rFonts w:ascii="Times New Roman" w:hAnsi="Times New Roman" w:cs="Times New Roman"/>
                <w:noProof/>
                <w:webHidden/>
              </w:rPr>
              <w:fldChar w:fldCharType="end"/>
            </w:r>
          </w:hyperlink>
        </w:p>
        <w:p w14:paraId="1BC91501" w14:textId="77777777" w:rsidR="00C65959" w:rsidRPr="00226850" w:rsidRDefault="009A1A1E">
          <w:pPr>
            <w:pStyle w:val="TOC3"/>
            <w:tabs>
              <w:tab w:val="left" w:pos="1200"/>
              <w:tab w:val="right" w:leader="dot" w:pos="9010"/>
            </w:tabs>
            <w:rPr>
              <w:rFonts w:ascii="Times New Roman" w:eastAsiaTheme="minorEastAsia" w:hAnsi="Times New Roman" w:cs="Times New Roman"/>
              <w:noProof/>
              <w:sz w:val="24"/>
              <w:szCs w:val="24"/>
              <w:lang w:val="en-US"/>
            </w:rPr>
          </w:pPr>
          <w:hyperlink w:anchor="_Toc451859997" w:history="1">
            <w:r w:rsidR="00C65959" w:rsidRPr="00226850">
              <w:rPr>
                <w:rStyle w:val="Hyperlink"/>
                <w:rFonts w:ascii="Times New Roman" w:hAnsi="Times New Roman" w:cs="Times New Roman"/>
                <w:noProof/>
              </w:rPr>
              <w:t>1.2.</w:t>
            </w:r>
            <w:r w:rsidR="00C65959" w:rsidRPr="00226850">
              <w:rPr>
                <w:rFonts w:ascii="Times New Roman" w:eastAsiaTheme="minorEastAsia" w:hAnsi="Times New Roman" w:cs="Times New Roman"/>
                <w:noProof/>
                <w:sz w:val="24"/>
                <w:szCs w:val="24"/>
                <w:lang w:val="en-US"/>
              </w:rPr>
              <w:tab/>
            </w:r>
            <w:r w:rsidR="00C65959" w:rsidRPr="00226850">
              <w:rPr>
                <w:rStyle w:val="Hyperlink"/>
                <w:rFonts w:ascii="Times New Roman" w:hAnsi="Times New Roman" w:cs="Times New Roman"/>
                <w:noProof/>
              </w:rPr>
              <w:t>Apvienoto Nāciju Organizācija</w:t>
            </w:r>
            <w:r w:rsidR="00C65959" w:rsidRPr="00226850">
              <w:rPr>
                <w:rFonts w:ascii="Times New Roman" w:hAnsi="Times New Roman" w:cs="Times New Roman"/>
                <w:noProof/>
                <w:webHidden/>
              </w:rPr>
              <w:tab/>
            </w:r>
            <w:r w:rsidR="00C65959" w:rsidRPr="00226850">
              <w:rPr>
                <w:rFonts w:ascii="Times New Roman" w:hAnsi="Times New Roman" w:cs="Times New Roman"/>
                <w:noProof/>
                <w:webHidden/>
              </w:rPr>
              <w:fldChar w:fldCharType="begin"/>
            </w:r>
            <w:r w:rsidR="00C65959" w:rsidRPr="00226850">
              <w:rPr>
                <w:rFonts w:ascii="Times New Roman" w:hAnsi="Times New Roman" w:cs="Times New Roman"/>
                <w:noProof/>
                <w:webHidden/>
              </w:rPr>
              <w:instrText xml:space="preserve"> PAGEREF _Toc451859997 \h </w:instrText>
            </w:r>
            <w:r w:rsidR="00C65959" w:rsidRPr="00226850">
              <w:rPr>
                <w:rFonts w:ascii="Times New Roman" w:hAnsi="Times New Roman" w:cs="Times New Roman"/>
                <w:noProof/>
                <w:webHidden/>
              </w:rPr>
            </w:r>
            <w:r w:rsidR="00C65959" w:rsidRPr="00226850">
              <w:rPr>
                <w:rFonts w:ascii="Times New Roman" w:hAnsi="Times New Roman" w:cs="Times New Roman"/>
                <w:noProof/>
                <w:webHidden/>
              </w:rPr>
              <w:fldChar w:fldCharType="separate"/>
            </w:r>
            <w:r w:rsidR="000C084F">
              <w:rPr>
                <w:rFonts w:ascii="Times New Roman" w:hAnsi="Times New Roman" w:cs="Times New Roman"/>
                <w:noProof/>
                <w:webHidden/>
              </w:rPr>
              <w:t>13</w:t>
            </w:r>
            <w:r w:rsidR="00C65959" w:rsidRPr="00226850">
              <w:rPr>
                <w:rFonts w:ascii="Times New Roman" w:hAnsi="Times New Roman" w:cs="Times New Roman"/>
                <w:noProof/>
                <w:webHidden/>
              </w:rPr>
              <w:fldChar w:fldCharType="end"/>
            </w:r>
          </w:hyperlink>
        </w:p>
        <w:p w14:paraId="0C377B71" w14:textId="77777777" w:rsidR="00C65959" w:rsidRPr="00226850" w:rsidRDefault="009A1A1E">
          <w:pPr>
            <w:pStyle w:val="TOC3"/>
            <w:tabs>
              <w:tab w:val="left" w:pos="1200"/>
              <w:tab w:val="right" w:leader="dot" w:pos="9010"/>
            </w:tabs>
            <w:rPr>
              <w:rFonts w:ascii="Times New Roman" w:eastAsiaTheme="minorEastAsia" w:hAnsi="Times New Roman" w:cs="Times New Roman"/>
              <w:noProof/>
              <w:sz w:val="24"/>
              <w:szCs w:val="24"/>
              <w:lang w:val="en-US"/>
            </w:rPr>
          </w:pPr>
          <w:hyperlink w:anchor="_Toc451859998" w:history="1">
            <w:r w:rsidR="00C65959" w:rsidRPr="00226850">
              <w:rPr>
                <w:rStyle w:val="Hyperlink"/>
                <w:rFonts w:ascii="Times New Roman" w:hAnsi="Times New Roman" w:cs="Times New Roman"/>
                <w:noProof/>
              </w:rPr>
              <w:t>1.3.</w:t>
            </w:r>
            <w:r w:rsidR="00C65959" w:rsidRPr="00226850">
              <w:rPr>
                <w:rFonts w:ascii="Times New Roman" w:eastAsiaTheme="minorEastAsia" w:hAnsi="Times New Roman" w:cs="Times New Roman"/>
                <w:noProof/>
                <w:sz w:val="24"/>
                <w:szCs w:val="24"/>
                <w:lang w:val="en-US"/>
              </w:rPr>
              <w:tab/>
            </w:r>
            <w:r w:rsidR="00C65959" w:rsidRPr="00226850">
              <w:rPr>
                <w:rStyle w:val="Hyperlink"/>
                <w:rFonts w:ascii="Times New Roman" w:hAnsi="Times New Roman" w:cs="Times New Roman"/>
                <w:noProof/>
              </w:rPr>
              <w:t>Citu ne Eiropas Savienības valstu pieredze</w:t>
            </w:r>
            <w:r w:rsidR="00C65959" w:rsidRPr="00226850">
              <w:rPr>
                <w:rFonts w:ascii="Times New Roman" w:hAnsi="Times New Roman" w:cs="Times New Roman"/>
                <w:noProof/>
                <w:webHidden/>
              </w:rPr>
              <w:tab/>
            </w:r>
            <w:r w:rsidR="00C65959" w:rsidRPr="00226850">
              <w:rPr>
                <w:rFonts w:ascii="Times New Roman" w:hAnsi="Times New Roman" w:cs="Times New Roman"/>
                <w:noProof/>
                <w:webHidden/>
              </w:rPr>
              <w:fldChar w:fldCharType="begin"/>
            </w:r>
            <w:r w:rsidR="00C65959" w:rsidRPr="00226850">
              <w:rPr>
                <w:rFonts w:ascii="Times New Roman" w:hAnsi="Times New Roman" w:cs="Times New Roman"/>
                <w:noProof/>
                <w:webHidden/>
              </w:rPr>
              <w:instrText xml:space="preserve"> PAGEREF _Toc451859998 \h </w:instrText>
            </w:r>
            <w:r w:rsidR="00C65959" w:rsidRPr="00226850">
              <w:rPr>
                <w:rFonts w:ascii="Times New Roman" w:hAnsi="Times New Roman" w:cs="Times New Roman"/>
                <w:noProof/>
                <w:webHidden/>
              </w:rPr>
            </w:r>
            <w:r w:rsidR="00C65959" w:rsidRPr="00226850">
              <w:rPr>
                <w:rFonts w:ascii="Times New Roman" w:hAnsi="Times New Roman" w:cs="Times New Roman"/>
                <w:noProof/>
                <w:webHidden/>
              </w:rPr>
              <w:fldChar w:fldCharType="separate"/>
            </w:r>
            <w:r w:rsidR="000C084F">
              <w:rPr>
                <w:rFonts w:ascii="Times New Roman" w:hAnsi="Times New Roman" w:cs="Times New Roman"/>
                <w:noProof/>
                <w:webHidden/>
              </w:rPr>
              <w:t>14</w:t>
            </w:r>
            <w:r w:rsidR="00C65959" w:rsidRPr="00226850">
              <w:rPr>
                <w:rFonts w:ascii="Times New Roman" w:hAnsi="Times New Roman" w:cs="Times New Roman"/>
                <w:noProof/>
                <w:webHidden/>
              </w:rPr>
              <w:fldChar w:fldCharType="end"/>
            </w:r>
          </w:hyperlink>
        </w:p>
        <w:p w14:paraId="47875ABE" w14:textId="77777777" w:rsidR="00C65959" w:rsidRPr="00226850" w:rsidRDefault="009A1A1E">
          <w:pPr>
            <w:pStyle w:val="TOC2"/>
            <w:tabs>
              <w:tab w:val="left" w:pos="720"/>
              <w:tab w:val="right" w:leader="dot" w:pos="9010"/>
            </w:tabs>
            <w:rPr>
              <w:rFonts w:ascii="Times New Roman" w:eastAsiaTheme="minorEastAsia" w:hAnsi="Times New Roman" w:cs="Times New Roman"/>
              <w:b w:val="0"/>
              <w:noProof/>
              <w:sz w:val="24"/>
              <w:szCs w:val="24"/>
              <w:lang w:val="en-US"/>
            </w:rPr>
          </w:pPr>
          <w:hyperlink w:anchor="_Toc451859999" w:history="1">
            <w:r w:rsidR="00C65959" w:rsidRPr="00226850">
              <w:rPr>
                <w:rStyle w:val="Hyperlink"/>
                <w:rFonts w:ascii="Times New Roman" w:hAnsi="Times New Roman" w:cs="Times New Roman"/>
                <w:noProof/>
              </w:rPr>
              <w:t>2.</w:t>
            </w:r>
            <w:r w:rsidR="00C65959" w:rsidRPr="00226850">
              <w:rPr>
                <w:rFonts w:ascii="Times New Roman" w:eastAsiaTheme="minorEastAsia" w:hAnsi="Times New Roman" w:cs="Times New Roman"/>
                <w:b w:val="0"/>
                <w:noProof/>
                <w:sz w:val="24"/>
                <w:szCs w:val="24"/>
                <w:lang w:val="en-US"/>
              </w:rPr>
              <w:tab/>
            </w:r>
            <w:r w:rsidR="00C65959" w:rsidRPr="00226850">
              <w:rPr>
                <w:rStyle w:val="Hyperlink"/>
                <w:rFonts w:ascii="Times New Roman" w:hAnsi="Times New Roman" w:cs="Times New Roman"/>
                <w:noProof/>
              </w:rPr>
              <w:t>Risināmie problēmjautājumi</w:t>
            </w:r>
            <w:r w:rsidR="00C65959" w:rsidRPr="00226850">
              <w:rPr>
                <w:rFonts w:ascii="Times New Roman" w:hAnsi="Times New Roman" w:cs="Times New Roman"/>
                <w:noProof/>
                <w:webHidden/>
              </w:rPr>
              <w:tab/>
            </w:r>
            <w:r w:rsidR="00C65959" w:rsidRPr="00226850">
              <w:rPr>
                <w:rFonts w:ascii="Times New Roman" w:hAnsi="Times New Roman" w:cs="Times New Roman"/>
                <w:noProof/>
                <w:webHidden/>
              </w:rPr>
              <w:fldChar w:fldCharType="begin"/>
            </w:r>
            <w:r w:rsidR="00C65959" w:rsidRPr="00226850">
              <w:rPr>
                <w:rFonts w:ascii="Times New Roman" w:hAnsi="Times New Roman" w:cs="Times New Roman"/>
                <w:noProof/>
                <w:webHidden/>
              </w:rPr>
              <w:instrText xml:space="preserve"> PAGEREF _Toc451859999 \h </w:instrText>
            </w:r>
            <w:r w:rsidR="00C65959" w:rsidRPr="00226850">
              <w:rPr>
                <w:rFonts w:ascii="Times New Roman" w:hAnsi="Times New Roman" w:cs="Times New Roman"/>
                <w:noProof/>
                <w:webHidden/>
              </w:rPr>
            </w:r>
            <w:r w:rsidR="00C65959" w:rsidRPr="00226850">
              <w:rPr>
                <w:rFonts w:ascii="Times New Roman" w:hAnsi="Times New Roman" w:cs="Times New Roman"/>
                <w:noProof/>
                <w:webHidden/>
              </w:rPr>
              <w:fldChar w:fldCharType="separate"/>
            </w:r>
            <w:r w:rsidR="000C084F">
              <w:rPr>
                <w:rFonts w:ascii="Times New Roman" w:hAnsi="Times New Roman" w:cs="Times New Roman"/>
                <w:noProof/>
                <w:webHidden/>
              </w:rPr>
              <w:t>14</w:t>
            </w:r>
            <w:r w:rsidR="00C65959" w:rsidRPr="00226850">
              <w:rPr>
                <w:rFonts w:ascii="Times New Roman" w:hAnsi="Times New Roman" w:cs="Times New Roman"/>
                <w:noProof/>
                <w:webHidden/>
              </w:rPr>
              <w:fldChar w:fldCharType="end"/>
            </w:r>
          </w:hyperlink>
        </w:p>
        <w:p w14:paraId="2EB109CF" w14:textId="77777777" w:rsidR="00C65959" w:rsidRPr="00226850" w:rsidRDefault="009A1A1E">
          <w:pPr>
            <w:pStyle w:val="TOC3"/>
            <w:tabs>
              <w:tab w:val="left" w:pos="1200"/>
              <w:tab w:val="right" w:leader="dot" w:pos="9010"/>
            </w:tabs>
            <w:rPr>
              <w:rFonts w:ascii="Times New Roman" w:eastAsiaTheme="minorEastAsia" w:hAnsi="Times New Roman" w:cs="Times New Roman"/>
              <w:noProof/>
              <w:sz w:val="24"/>
              <w:szCs w:val="24"/>
              <w:lang w:val="en-US"/>
            </w:rPr>
          </w:pPr>
          <w:hyperlink w:anchor="_Toc451860000" w:history="1">
            <w:r w:rsidR="00C65959" w:rsidRPr="00226850">
              <w:rPr>
                <w:rStyle w:val="Hyperlink"/>
                <w:rFonts w:ascii="Times New Roman" w:hAnsi="Times New Roman" w:cs="Times New Roman"/>
                <w:noProof/>
              </w:rPr>
              <w:t>2.1.</w:t>
            </w:r>
            <w:r w:rsidR="00C65959" w:rsidRPr="00226850">
              <w:rPr>
                <w:rFonts w:ascii="Times New Roman" w:eastAsiaTheme="minorEastAsia" w:hAnsi="Times New Roman" w:cs="Times New Roman"/>
                <w:noProof/>
                <w:sz w:val="24"/>
                <w:szCs w:val="24"/>
                <w:lang w:val="en-US"/>
              </w:rPr>
              <w:tab/>
            </w:r>
            <w:r w:rsidR="00C65959" w:rsidRPr="00226850">
              <w:rPr>
                <w:rStyle w:val="Hyperlink"/>
                <w:rFonts w:ascii="Times New Roman" w:hAnsi="Times New Roman" w:cs="Times New Roman"/>
                <w:noProof/>
              </w:rPr>
              <w:t>Standartu loma tiesību sistēmā</w:t>
            </w:r>
            <w:r w:rsidR="00C65959" w:rsidRPr="00226850">
              <w:rPr>
                <w:rFonts w:ascii="Times New Roman" w:hAnsi="Times New Roman" w:cs="Times New Roman"/>
                <w:noProof/>
                <w:webHidden/>
              </w:rPr>
              <w:tab/>
            </w:r>
            <w:r w:rsidR="00C65959" w:rsidRPr="00226850">
              <w:rPr>
                <w:rFonts w:ascii="Times New Roman" w:hAnsi="Times New Roman" w:cs="Times New Roman"/>
                <w:noProof/>
                <w:webHidden/>
              </w:rPr>
              <w:fldChar w:fldCharType="begin"/>
            </w:r>
            <w:r w:rsidR="00C65959" w:rsidRPr="00226850">
              <w:rPr>
                <w:rFonts w:ascii="Times New Roman" w:hAnsi="Times New Roman" w:cs="Times New Roman"/>
                <w:noProof/>
                <w:webHidden/>
              </w:rPr>
              <w:instrText xml:space="preserve"> PAGEREF _Toc451860000 \h </w:instrText>
            </w:r>
            <w:r w:rsidR="00C65959" w:rsidRPr="00226850">
              <w:rPr>
                <w:rFonts w:ascii="Times New Roman" w:hAnsi="Times New Roman" w:cs="Times New Roman"/>
                <w:noProof/>
                <w:webHidden/>
              </w:rPr>
            </w:r>
            <w:r w:rsidR="00C65959" w:rsidRPr="00226850">
              <w:rPr>
                <w:rFonts w:ascii="Times New Roman" w:hAnsi="Times New Roman" w:cs="Times New Roman"/>
                <w:noProof/>
                <w:webHidden/>
              </w:rPr>
              <w:fldChar w:fldCharType="separate"/>
            </w:r>
            <w:r w:rsidR="000C084F">
              <w:rPr>
                <w:rFonts w:ascii="Times New Roman" w:hAnsi="Times New Roman" w:cs="Times New Roman"/>
                <w:noProof/>
                <w:webHidden/>
              </w:rPr>
              <w:t>14</w:t>
            </w:r>
            <w:r w:rsidR="00C65959" w:rsidRPr="00226850">
              <w:rPr>
                <w:rFonts w:ascii="Times New Roman" w:hAnsi="Times New Roman" w:cs="Times New Roman"/>
                <w:noProof/>
                <w:webHidden/>
              </w:rPr>
              <w:fldChar w:fldCharType="end"/>
            </w:r>
          </w:hyperlink>
        </w:p>
        <w:p w14:paraId="58D21B6C" w14:textId="77777777" w:rsidR="00C65959" w:rsidRPr="00226850" w:rsidRDefault="009A1A1E">
          <w:pPr>
            <w:pStyle w:val="TOC3"/>
            <w:tabs>
              <w:tab w:val="left" w:pos="1200"/>
              <w:tab w:val="right" w:leader="dot" w:pos="9010"/>
            </w:tabs>
            <w:rPr>
              <w:rFonts w:ascii="Times New Roman" w:eastAsiaTheme="minorEastAsia" w:hAnsi="Times New Roman" w:cs="Times New Roman"/>
              <w:noProof/>
              <w:sz w:val="24"/>
              <w:szCs w:val="24"/>
              <w:lang w:val="en-US"/>
            </w:rPr>
          </w:pPr>
          <w:hyperlink w:anchor="_Toc451860001" w:history="1">
            <w:r w:rsidR="00C65959" w:rsidRPr="00226850">
              <w:rPr>
                <w:rStyle w:val="Hyperlink"/>
                <w:rFonts w:ascii="Times New Roman" w:hAnsi="Times New Roman" w:cs="Times New Roman"/>
                <w:noProof/>
              </w:rPr>
              <w:t>2.2.</w:t>
            </w:r>
            <w:r w:rsidR="00C65959" w:rsidRPr="00226850">
              <w:rPr>
                <w:rFonts w:ascii="Times New Roman" w:eastAsiaTheme="minorEastAsia" w:hAnsi="Times New Roman" w:cs="Times New Roman"/>
                <w:noProof/>
                <w:sz w:val="24"/>
                <w:szCs w:val="24"/>
                <w:lang w:val="en-US"/>
              </w:rPr>
              <w:tab/>
            </w:r>
            <w:r w:rsidR="00C65959" w:rsidRPr="00226850">
              <w:rPr>
                <w:rStyle w:val="Hyperlink"/>
                <w:rFonts w:ascii="Times New Roman" w:hAnsi="Times New Roman" w:cs="Times New Roman"/>
                <w:noProof/>
              </w:rPr>
              <w:t>Nacionālās standartizācijas institūcijas statuss un finansējums</w:t>
            </w:r>
            <w:r w:rsidR="00C65959" w:rsidRPr="00226850">
              <w:rPr>
                <w:rFonts w:ascii="Times New Roman" w:hAnsi="Times New Roman" w:cs="Times New Roman"/>
                <w:noProof/>
                <w:webHidden/>
              </w:rPr>
              <w:tab/>
            </w:r>
            <w:r w:rsidR="00C65959" w:rsidRPr="00226850">
              <w:rPr>
                <w:rFonts w:ascii="Times New Roman" w:hAnsi="Times New Roman" w:cs="Times New Roman"/>
                <w:noProof/>
                <w:webHidden/>
              </w:rPr>
              <w:fldChar w:fldCharType="begin"/>
            </w:r>
            <w:r w:rsidR="00C65959" w:rsidRPr="00226850">
              <w:rPr>
                <w:rFonts w:ascii="Times New Roman" w:hAnsi="Times New Roman" w:cs="Times New Roman"/>
                <w:noProof/>
                <w:webHidden/>
              </w:rPr>
              <w:instrText xml:space="preserve"> PAGEREF _Toc451860001 \h </w:instrText>
            </w:r>
            <w:r w:rsidR="00C65959" w:rsidRPr="00226850">
              <w:rPr>
                <w:rFonts w:ascii="Times New Roman" w:hAnsi="Times New Roman" w:cs="Times New Roman"/>
                <w:noProof/>
                <w:webHidden/>
              </w:rPr>
            </w:r>
            <w:r w:rsidR="00C65959" w:rsidRPr="00226850">
              <w:rPr>
                <w:rFonts w:ascii="Times New Roman" w:hAnsi="Times New Roman" w:cs="Times New Roman"/>
                <w:noProof/>
                <w:webHidden/>
              </w:rPr>
              <w:fldChar w:fldCharType="separate"/>
            </w:r>
            <w:r w:rsidR="000C084F">
              <w:rPr>
                <w:rFonts w:ascii="Times New Roman" w:hAnsi="Times New Roman" w:cs="Times New Roman"/>
                <w:noProof/>
                <w:webHidden/>
              </w:rPr>
              <w:t>15</w:t>
            </w:r>
            <w:r w:rsidR="00C65959" w:rsidRPr="00226850">
              <w:rPr>
                <w:rFonts w:ascii="Times New Roman" w:hAnsi="Times New Roman" w:cs="Times New Roman"/>
                <w:noProof/>
                <w:webHidden/>
              </w:rPr>
              <w:fldChar w:fldCharType="end"/>
            </w:r>
          </w:hyperlink>
        </w:p>
        <w:p w14:paraId="0F72D42E" w14:textId="77777777" w:rsidR="00C65959" w:rsidRPr="00226850" w:rsidRDefault="009A1A1E">
          <w:pPr>
            <w:pStyle w:val="TOC3"/>
            <w:tabs>
              <w:tab w:val="left" w:pos="1200"/>
              <w:tab w:val="right" w:leader="dot" w:pos="9010"/>
            </w:tabs>
            <w:rPr>
              <w:rFonts w:ascii="Times New Roman" w:eastAsiaTheme="minorEastAsia" w:hAnsi="Times New Roman" w:cs="Times New Roman"/>
              <w:noProof/>
              <w:sz w:val="24"/>
              <w:szCs w:val="24"/>
              <w:lang w:val="en-US"/>
            </w:rPr>
          </w:pPr>
          <w:hyperlink w:anchor="_Toc451860002" w:history="1">
            <w:r w:rsidR="00C65959" w:rsidRPr="00226850">
              <w:rPr>
                <w:rStyle w:val="Hyperlink"/>
                <w:rFonts w:ascii="Times New Roman" w:hAnsi="Times New Roman" w:cs="Times New Roman"/>
                <w:noProof/>
              </w:rPr>
              <w:t>2.3.</w:t>
            </w:r>
            <w:r w:rsidR="00C65959" w:rsidRPr="00226850">
              <w:rPr>
                <w:rFonts w:ascii="Times New Roman" w:eastAsiaTheme="minorEastAsia" w:hAnsi="Times New Roman" w:cs="Times New Roman"/>
                <w:noProof/>
                <w:sz w:val="24"/>
                <w:szCs w:val="24"/>
                <w:lang w:val="en-US"/>
              </w:rPr>
              <w:tab/>
            </w:r>
            <w:r w:rsidR="00C65959" w:rsidRPr="00226850">
              <w:rPr>
                <w:rStyle w:val="Hyperlink"/>
                <w:rFonts w:ascii="Times New Roman" w:hAnsi="Times New Roman" w:cs="Times New Roman"/>
                <w:noProof/>
              </w:rPr>
              <w:t>Standartu tulkošana un tās finansēšana</w:t>
            </w:r>
            <w:r w:rsidR="00C65959" w:rsidRPr="00226850">
              <w:rPr>
                <w:rFonts w:ascii="Times New Roman" w:hAnsi="Times New Roman" w:cs="Times New Roman"/>
                <w:noProof/>
                <w:webHidden/>
              </w:rPr>
              <w:tab/>
            </w:r>
            <w:r w:rsidR="00C65959" w:rsidRPr="00226850">
              <w:rPr>
                <w:rFonts w:ascii="Times New Roman" w:hAnsi="Times New Roman" w:cs="Times New Roman"/>
                <w:noProof/>
                <w:webHidden/>
              </w:rPr>
              <w:fldChar w:fldCharType="begin"/>
            </w:r>
            <w:r w:rsidR="00C65959" w:rsidRPr="00226850">
              <w:rPr>
                <w:rFonts w:ascii="Times New Roman" w:hAnsi="Times New Roman" w:cs="Times New Roman"/>
                <w:noProof/>
                <w:webHidden/>
              </w:rPr>
              <w:instrText xml:space="preserve"> PAGEREF _Toc451860002 \h </w:instrText>
            </w:r>
            <w:r w:rsidR="00C65959" w:rsidRPr="00226850">
              <w:rPr>
                <w:rFonts w:ascii="Times New Roman" w:hAnsi="Times New Roman" w:cs="Times New Roman"/>
                <w:noProof/>
                <w:webHidden/>
              </w:rPr>
            </w:r>
            <w:r w:rsidR="00C65959" w:rsidRPr="00226850">
              <w:rPr>
                <w:rFonts w:ascii="Times New Roman" w:hAnsi="Times New Roman" w:cs="Times New Roman"/>
                <w:noProof/>
                <w:webHidden/>
              </w:rPr>
              <w:fldChar w:fldCharType="separate"/>
            </w:r>
            <w:r w:rsidR="000C084F">
              <w:rPr>
                <w:rFonts w:ascii="Times New Roman" w:hAnsi="Times New Roman" w:cs="Times New Roman"/>
                <w:noProof/>
                <w:webHidden/>
              </w:rPr>
              <w:t>17</w:t>
            </w:r>
            <w:r w:rsidR="00C65959" w:rsidRPr="00226850">
              <w:rPr>
                <w:rFonts w:ascii="Times New Roman" w:hAnsi="Times New Roman" w:cs="Times New Roman"/>
                <w:noProof/>
                <w:webHidden/>
              </w:rPr>
              <w:fldChar w:fldCharType="end"/>
            </w:r>
          </w:hyperlink>
        </w:p>
        <w:p w14:paraId="4342A94D" w14:textId="77777777" w:rsidR="00C65959" w:rsidRPr="00226850" w:rsidRDefault="009A1A1E">
          <w:pPr>
            <w:pStyle w:val="TOC1"/>
            <w:tabs>
              <w:tab w:val="left" w:pos="720"/>
              <w:tab w:val="right" w:leader="dot" w:pos="9010"/>
            </w:tabs>
            <w:rPr>
              <w:rFonts w:ascii="Times New Roman" w:eastAsiaTheme="minorEastAsia" w:hAnsi="Times New Roman" w:cs="Times New Roman"/>
              <w:b w:val="0"/>
              <w:noProof/>
              <w:lang w:val="en-US"/>
            </w:rPr>
          </w:pPr>
          <w:hyperlink w:anchor="_Toc451860003" w:history="1">
            <w:r w:rsidR="00C65959" w:rsidRPr="00226850">
              <w:rPr>
                <w:rStyle w:val="Hyperlink"/>
                <w:rFonts w:ascii="Times New Roman" w:hAnsi="Times New Roman" w:cs="Times New Roman"/>
                <w:noProof/>
              </w:rPr>
              <w:t>III.</w:t>
            </w:r>
            <w:r w:rsidR="00C65959" w:rsidRPr="00226850">
              <w:rPr>
                <w:rFonts w:ascii="Times New Roman" w:eastAsiaTheme="minorEastAsia" w:hAnsi="Times New Roman" w:cs="Times New Roman"/>
                <w:b w:val="0"/>
                <w:noProof/>
                <w:lang w:val="en-US"/>
              </w:rPr>
              <w:tab/>
            </w:r>
            <w:r w:rsidR="00C65959" w:rsidRPr="00226850">
              <w:rPr>
                <w:rStyle w:val="Hyperlink"/>
                <w:rFonts w:ascii="Times New Roman" w:hAnsi="Times New Roman" w:cs="Times New Roman"/>
                <w:noProof/>
              </w:rPr>
              <w:t>RISINĀJUMS</w:t>
            </w:r>
            <w:r w:rsidR="00C65959" w:rsidRPr="00226850">
              <w:rPr>
                <w:rFonts w:ascii="Times New Roman" w:hAnsi="Times New Roman" w:cs="Times New Roman"/>
                <w:noProof/>
                <w:webHidden/>
              </w:rPr>
              <w:tab/>
            </w:r>
            <w:r w:rsidR="00C65959" w:rsidRPr="00226850">
              <w:rPr>
                <w:rFonts w:ascii="Times New Roman" w:hAnsi="Times New Roman" w:cs="Times New Roman"/>
                <w:noProof/>
                <w:webHidden/>
              </w:rPr>
              <w:fldChar w:fldCharType="begin"/>
            </w:r>
            <w:r w:rsidR="00C65959" w:rsidRPr="00226850">
              <w:rPr>
                <w:rFonts w:ascii="Times New Roman" w:hAnsi="Times New Roman" w:cs="Times New Roman"/>
                <w:noProof/>
                <w:webHidden/>
              </w:rPr>
              <w:instrText xml:space="preserve"> PAGEREF _Toc451860003 \h </w:instrText>
            </w:r>
            <w:r w:rsidR="00C65959" w:rsidRPr="00226850">
              <w:rPr>
                <w:rFonts w:ascii="Times New Roman" w:hAnsi="Times New Roman" w:cs="Times New Roman"/>
                <w:noProof/>
                <w:webHidden/>
              </w:rPr>
            </w:r>
            <w:r w:rsidR="00C65959" w:rsidRPr="00226850">
              <w:rPr>
                <w:rFonts w:ascii="Times New Roman" w:hAnsi="Times New Roman" w:cs="Times New Roman"/>
                <w:noProof/>
                <w:webHidden/>
              </w:rPr>
              <w:fldChar w:fldCharType="separate"/>
            </w:r>
            <w:r w:rsidR="000C084F">
              <w:rPr>
                <w:rFonts w:ascii="Times New Roman" w:hAnsi="Times New Roman" w:cs="Times New Roman"/>
                <w:noProof/>
                <w:webHidden/>
              </w:rPr>
              <w:t>20</w:t>
            </w:r>
            <w:r w:rsidR="00C65959" w:rsidRPr="00226850">
              <w:rPr>
                <w:rFonts w:ascii="Times New Roman" w:hAnsi="Times New Roman" w:cs="Times New Roman"/>
                <w:noProof/>
                <w:webHidden/>
              </w:rPr>
              <w:fldChar w:fldCharType="end"/>
            </w:r>
          </w:hyperlink>
        </w:p>
        <w:p w14:paraId="6F65B87A" w14:textId="77777777" w:rsidR="00C65959" w:rsidRPr="00226850" w:rsidRDefault="009A1A1E">
          <w:pPr>
            <w:pStyle w:val="TOC1"/>
            <w:tabs>
              <w:tab w:val="left" w:pos="720"/>
              <w:tab w:val="right" w:leader="dot" w:pos="9010"/>
            </w:tabs>
            <w:rPr>
              <w:rFonts w:ascii="Times New Roman" w:eastAsiaTheme="minorEastAsia" w:hAnsi="Times New Roman" w:cs="Times New Roman"/>
              <w:b w:val="0"/>
              <w:noProof/>
              <w:lang w:val="en-US"/>
            </w:rPr>
          </w:pPr>
          <w:hyperlink w:anchor="_Toc451860004" w:history="1">
            <w:r w:rsidR="00C65959" w:rsidRPr="00226850">
              <w:rPr>
                <w:rStyle w:val="Hyperlink"/>
                <w:rFonts w:ascii="Times New Roman" w:hAnsi="Times New Roman" w:cs="Times New Roman"/>
                <w:noProof/>
              </w:rPr>
              <w:t>IV.</w:t>
            </w:r>
            <w:r w:rsidR="00C65959" w:rsidRPr="00226850">
              <w:rPr>
                <w:rFonts w:ascii="Times New Roman" w:eastAsiaTheme="minorEastAsia" w:hAnsi="Times New Roman" w:cs="Times New Roman"/>
                <w:b w:val="0"/>
                <w:noProof/>
                <w:lang w:val="en-US"/>
              </w:rPr>
              <w:tab/>
            </w:r>
            <w:r w:rsidR="00C65959" w:rsidRPr="00226850">
              <w:rPr>
                <w:rStyle w:val="Hyperlink"/>
                <w:rFonts w:ascii="Times New Roman" w:hAnsi="Times New Roman" w:cs="Times New Roman"/>
                <w:noProof/>
              </w:rPr>
              <w:t>PIEDĀVĀTĀ RISINĀJUMA SNIEGTIE IEGUVUMI</w:t>
            </w:r>
            <w:r w:rsidR="00C65959" w:rsidRPr="00226850">
              <w:rPr>
                <w:rFonts w:ascii="Times New Roman" w:hAnsi="Times New Roman" w:cs="Times New Roman"/>
                <w:noProof/>
                <w:webHidden/>
              </w:rPr>
              <w:tab/>
            </w:r>
            <w:r w:rsidR="00C65959" w:rsidRPr="00226850">
              <w:rPr>
                <w:rFonts w:ascii="Times New Roman" w:hAnsi="Times New Roman" w:cs="Times New Roman"/>
                <w:noProof/>
                <w:webHidden/>
              </w:rPr>
              <w:fldChar w:fldCharType="begin"/>
            </w:r>
            <w:r w:rsidR="00C65959" w:rsidRPr="00226850">
              <w:rPr>
                <w:rFonts w:ascii="Times New Roman" w:hAnsi="Times New Roman" w:cs="Times New Roman"/>
                <w:noProof/>
                <w:webHidden/>
              </w:rPr>
              <w:instrText xml:space="preserve"> PAGEREF _Toc451860004 \h </w:instrText>
            </w:r>
            <w:r w:rsidR="00C65959" w:rsidRPr="00226850">
              <w:rPr>
                <w:rFonts w:ascii="Times New Roman" w:hAnsi="Times New Roman" w:cs="Times New Roman"/>
                <w:noProof/>
                <w:webHidden/>
              </w:rPr>
            </w:r>
            <w:r w:rsidR="00C65959" w:rsidRPr="00226850">
              <w:rPr>
                <w:rFonts w:ascii="Times New Roman" w:hAnsi="Times New Roman" w:cs="Times New Roman"/>
                <w:noProof/>
                <w:webHidden/>
              </w:rPr>
              <w:fldChar w:fldCharType="separate"/>
            </w:r>
            <w:r w:rsidR="000C084F">
              <w:rPr>
                <w:rFonts w:ascii="Times New Roman" w:hAnsi="Times New Roman" w:cs="Times New Roman"/>
                <w:noProof/>
                <w:webHidden/>
              </w:rPr>
              <w:t>28</w:t>
            </w:r>
            <w:r w:rsidR="00C65959" w:rsidRPr="00226850">
              <w:rPr>
                <w:rFonts w:ascii="Times New Roman" w:hAnsi="Times New Roman" w:cs="Times New Roman"/>
                <w:noProof/>
                <w:webHidden/>
              </w:rPr>
              <w:fldChar w:fldCharType="end"/>
            </w:r>
          </w:hyperlink>
        </w:p>
        <w:p w14:paraId="2C63016E" w14:textId="77777777" w:rsidR="00C65959" w:rsidRPr="00226850" w:rsidRDefault="009A1A1E">
          <w:pPr>
            <w:pStyle w:val="TOC1"/>
            <w:tabs>
              <w:tab w:val="left" w:pos="480"/>
              <w:tab w:val="right" w:leader="dot" w:pos="9010"/>
            </w:tabs>
            <w:rPr>
              <w:rFonts w:ascii="Times New Roman" w:eastAsiaTheme="minorEastAsia" w:hAnsi="Times New Roman" w:cs="Times New Roman"/>
              <w:b w:val="0"/>
              <w:noProof/>
              <w:lang w:val="en-US"/>
            </w:rPr>
          </w:pPr>
          <w:hyperlink w:anchor="_Toc451860005" w:history="1">
            <w:r w:rsidR="00C65959" w:rsidRPr="00226850">
              <w:rPr>
                <w:rStyle w:val="Hyperlink"/>
                <w:rFonts w:ascii="Times New Roman" w:hAnsi="Times New Roman" w:cs="Times New Roman"/>
                <w:noProof/>
              </w:rPr>
              <w:t>V.</w:t>
            </w:r>
            <w:r w:rsidR="00C65959" w:rsidRPr="00226850">
              <w:rPr>
                <w:rFonts w:ascii="Times New Roman" w:eastAsiaTheme="minorEastAsia" w:hAnsi="Times New Roman" w:cs="Times New Roman"/>
                <w:b w:val="0"/>
                <w:noProof/>
                <w:lang w:val="en-US"/>
              </w:rPr>
              <w:tab/>
            </w:r>
            <w:r w:rsidR="00C65959" w:rsidRPr="00226850">
              <w:rPr>
                <w:rStyle w:val="Hyperlink"/>
                <w:rFonts w:ascii="Times New Roman" w:hAnsi="Times New Roman" w:cs="Times New Roman"/>
                <w:noProof/>
              </w:rPr>
              <w:t>IETEKME UZ BUDŽETU</w:t>
            </w:r>
            <w:r w:rsidR="00C65959" w:rsidRPr="00226850">
              <w:rPr>
                <w:rFonts w:ascii="Times New Roman" w:hAnsi="Times New Roman" w:cs="Times New Roman"/>
                <w:noProof/>
                <w:webHidden/>
              </w:rPr>
              <w:tab/>
            </w:r>
            <w:r w:rsidR="00C65959" w:rsidRPr="00226850">
              <w:rPr>
                <w:rFonts w:ascii="Times New Roman" w:hAnsi="Times New Roman" w:cs="Times New Roman"/>
                <w:noProof/>
                <w:webHidden/>
              </w:rPr>
              <w:fldChar w:fldCharType="begin"/>
            </w:r>
            <w:r w:rsidR="00C65959" w:rsidRPr="00226850">
              <w:rPr>
                <w:rFonts w:ascii="Times New Roman" w:hAnsi="Times New Roman" w:cs="Times New Roman"/>
                <w:noProof/>
                <w:webHidden/>
              </w:rPr>
              <w:instrText xml:space="preserve"> PAGEREF _Toc451860005 \h </w:instrText>
            </w:r>
            <w:r w:rsidR="00C65959" w:rsidRPr="00226850">
              <w:rPr>
                <w:rFonts w:ascii="Times New Roman" w:hAnsi="Times New Roman" w:cs="Times New Roman"/>
                <w:noProof/>
                <w:webHidden/>
              </w:rPr>
            </w:r>
            <w:r w:rsidR="00C65959" w:rsidRPr="00226850">
              <w:rPr>
                <w:rFonts w:ascii="Times New Roman" w:hAnsi="Times New Roman" w:cs="Times New Roman"/>
                <w:noProof/>
                <w:webHidden/>
              </w:rPr>
              <w:fldChar w:fldCharType="separate"/>
            </w:r>
            <w:r w:rsidR="000C084F">
              <w:rPr>
                <w:rFonts w:ascii="Times New Roman" w:hAnsi="Times New Roman" w:cs="Times New Roman"/>
                <w:noProof/>
                <w:webHidden/>
              </w:rPr>
              <w:t>31</w:t>
            </w:r>
            <w:r w:rsidR="00C65959" w:rsidRPr="00226850">
              <w:rPr>
                <w:rFonts w:ascii="Times New Roman" w:hAnsi="Times New Roman" w:cs="Times New Roman"/>
                <w:noProof/>
                <w:webHidden/>
              </w:rPr>
              <w:fldChar w:fldCharType="end"/>
            </w:r>
          </w:hyperlink>
        </w:p>
        <w:p w14:paraId="5861A514" w14:textId="77777777" w:rsidR="00B972E0" w:rsidRPr="006B03AD" w:rsidRDefault="00B972E0" w:rsidP="00B972E0">
          <w:r w:rsidRPr="00226850">
            <w:rPr>
              <w:rFonts w:ascii="Times New Roman" w:hAnsi="Times New Roman" w:cs="Times New Roman"/>
              <w:b/>
              <w:bCs/>
              <w:noProof/>
            </w:rPr>
            <w:fldChar w:fldCharType="end"/>
          </w:r>
        </w:p>
      </w:sdtContent>
    </w:sdt>
    <w:p w14:paraId="3506CFE0" w14:textId="77777777" w:rsidR="00716F4C" w:rsidRPr="006B03AD" w:rsidRDefault="00716F4C" w:rsidP="00716F4C">
      <w:pPr>
        <w:jc w:val="center"/>
        <w:rPr>
          <w:rFonts w:ascii="Times New Roman" w:hAnsi="Times New Roman" w:cs="Times New Roman"/>
          <w:sz w:val="26"/>
          <w:szCs w:val="26"/>
        </w:rPr>
      </w:pPr>
    </w:p>
    <w:p w14:paraId="30504FCD" w14:textId="686EB1F1" w:rsidR="00226850" w:rsidRDefault="00226850" w:rsidP="00226850">
      <w:pPr>
        <w:pStyle w:val="Heading1"/>
        <w:numPr>
          <w:ilvl w:val="0"/>
          <w:numId w:val="0"/>
        </w:numPr>
        <w:jc w:val="left"/>
      </w:pPr>
    </w:p>
    <w:p w14:paraId="79AD5A57" w14:textId="77777777" w:rsidR="006A1F65" w:rsidRPr="006B03AD" w:rsidRDefault="00716F4C" w:rsidP="00B972E0">
      <w:pPr>
        <w:pStyle w:val="Heading1"/>
      </w:pPr>
      <w:r w:rsidRPr="00226850">
        <w:br w:type="page"/>
      </w:r>
      <w:bookmarkStart w:id="0" w:name="_Toc451859770"/>
      <w:bookmarkStart w:id="1" w:name="_Toc451859993"/>
      <w:r w:rsidR="006A1F65" w:rsidRPr="006B03AD">
        <w:lastRenderedPageBreak/>
        <w:t>KOPSAVILKUMS</w:t>
      </w:r>
      <w:bookmarkEnd w:id="0"/>
      <w:bookmarkEnd w:id="1"/>
    </w:p>
    <w:p w14:paraId="77B204A7" w14:textId="77777777" w:rsidR="006A1F65" w:rsidRPr="006B03AD" w:rsidRDefault="006A1F65" w:rsidP="006A1F65">
      <w:pPr>
        <w:jc w:val="center"/>
        <w:rPr>
          <w:rFonts w:ascii="Times New Roman" w:hAnsi="Times New Roman" w:cs="Times New Roman"/>
          <w:sz w:val="26"/>
          <w:szCs w:val="26"/>
        </w:rPr>
      </w:pPr>
    </w:p>
    <w:p w14:paraId="036965BF" w14:textId="77777777" w:rsidR="006A1F65" w:rsidRPr="006B03AD" w:rsidRDefault="006A1F65" w:rsidP="006A1F65">
      <w:pPr>
        <w:ind w:firstLine="360"/>
        <w:jc w:val="both"/>
        <w:rPr>
          <w:rFonts w:ascii="Times New Roman" w:hAnsi="Times New Roman" w:cs="Times New Roman"/>
          <w:sz w:val="26"/>
          <w:szCs w:val="26"/>
        </w:rPr>
      </w:pPr>
      <w:r w:rsidRPr="006B03AD">
        <w:rPr>
          <w:rFonts w:ascii="Times New Roman" w:hAnsi="Times New Roman" w:cs="Times New Roman"/>
          <w:sz w:val="26"/>
          <w:szCs w:val="26"/>
        </w:rPr>
        <w:t>Starptautiskā līmenī tiek atzīts fakts, ka standartizācija un standarti dod nozīmīgu ieguvu</w:t>
      </w:r>
      <w:r w:rsidR="005834B6" w:rsidRPr="006B03AD">
        <w:rPr>
          <w:rFonts w:ascii="Times New Roman" w:hAnsi="Times New Roman" w:cs="Times New Roman"/>
          <w:sz w:val="26"/>
          <w:szCs w:val="26"/>
        </w:rPr>
        <w:t>mu</w:t>
      </w:r>
      <w:r w:rsidRPr="006B03AD">
        <w:rPr>
          <w:rFonts w:ascii="Times New Roman" w:hAnsi="Times New Roman" w:cs="Times New Roman"/>
          <w:sz w:val="26"/>
          <w:szCs w:val="26"/>
        </w:rPr>
        <w:t xml:space="preserve"> ne tikai preču ražotājiem un pakalpojumu sniedzējiem, bet arī patērētājiem, valsts pārvaldei, vides organizācijām un citiem subjektiem. Kā būtiskākos standartizācijas ieguvumus var minēt</w:t>
      </w:r>
      <w:r w:rsidR="00637844" w:rsidRPr="006B03AD">
        <w:rPr>
          <w:rFonts w:ascii="Times New Roman" w:hAnsi="Times New Roman" w:cs="Times New Roman"/>
          <w:sz w:val="26"/>
          <w:szCs w:val="26"/>
        </w:rPr>
        <w:t xml:space="preserve"> tirdzniecības un pakalpojumu sniegšanas tehnisko barjeru novēršanu,</w:t>
      </w:r>
      <w:r w:rsidRPr="006B03AD">
        <w:rPr>
          <w:rFonts w:ascii="Times New Roman" w:hAnsi="Times New Roman" w:cs="Times New Roman"/>
          <w:sz w:val="26"/>
          <w:szCs w:val="26"/>
        </w:rPr>
        <w:t xml:space="preserve"> g</w:t>
      </w:r>
      <w:r w:rsidR="00637844" w:rsidRPr="006B03AD">
        <w:rPr>
          <w:rFonts w:ascii="Times New Roman" w:hAnsi="Times New Roman" w:cs="Times New Roman"/>
          <w:sz w:val="26"/>
          <w:szCs w:val="26"/>
        </w:rPr>
        <w:t>odīgas konkurences nodrošināšanu</w:t>
      </w:r>
      <w:r w:rsidRPr="006B03AD">
        <w:rPr>
          <w:rFonts w:ascii="Times New Roman" w:hAnsi="Times New Roman" w:cs="Times New Roman"/>
          <w:sz w:val="26"/>
          <w:szCs w:val="26"/>
        </w:rPr>
        <w:t>, aug</w:t>
      </w:r>
      <w:r w:rsidR="005834B6" w:rsidRPr="006B03AD">
        <w:rPr>
          <w:rFonts w:ascii="Times New Roman" w:hAnsi="Times New Roman" w:cs="Times New Roman"/>
          <w:sz w:val="26"/>
          <w:szCs w:val="26"/>
        </w:rPr>
        <w:t>stāka</w:t>
      </w:r>
      <w:r w:rsidRPr="006B03AD">
        <w:rPr>
          <w:rFonts w:ascii="Times New Roman" w:hAnsi="Times New Roman" w:cs="Times New Roman"/>
          <w:sz w:val="26"/>
          <w:szCs w:val="26"/>
        </w:rPr>
        <w:t xml:space="preserve"> produktu, procesu un pakalpojumu kvalitātes, drošības un klientu apmierinātības sas</w:t>
      </w:r>
      <w:r w:rsidR="00637844" w:rsidRPr="006B03AD">
        <w:rPr>
          <w:rFonts w:ascii="Times New Roman" w:hAnsi="Times New Roman" w:cs="Times New Roman"/>
          <w:sz w:val="26"/>
          <w:szCs w:val="26"/>
        </w:rPr>
        <w:t>niegšanu, eksporta veicināšanu, dažādu procesu optimizāciju</w:t>
      </w:r>
      <w:r w:rsidRPr="006B03AD">
        <w:rPr>
          <w:rFonts w:ascii="Times New Roman" w:hAnsi="Times New Roman" w:cs="Times New Roman"/>
          <w:sz w:val="26"/>
          <w:szCs w:val="26"/>
        </w:rPr>
        <w:t>, te</w:t>
      </w:r>
      <w:r w:rsidR="00637844" w:rsidRPr="006B03AD">
        <w:rPr>
          <w:rFonts w:ascii="Times New Roman" w:hAnsi="Times New Roman" w:cs="Times New Roman"/>
          <w:sz w:val="26"/>
          <w:szCs w:val="26"/>
        </w:rPr>
        <w:t>hnoloģiju pārneses nodrošināšanu</w:t>
      </w:r>
      <w:r w:rsidRPr="006B03AD">
        <w:rPr>
          <w:rFonts w:ascii="Times New Roman" w:hAnsi="Times New Roman" w:cs="Times New Roman"/>
          <w:sz w:val="26"/>
          <w:szCs w:val="26"/>
        </w:rPr>
        <w:t>, vienotas te</w:t>
      </w:r>
      <w:r w:rsidR="00637844" w:rsidRPr="006B03AD">
        <w:rPr>
          <w:rFonts w:ascii="Times New Roman" w:hAnsi="Times New Roman" w:cs="Times New Roman"/>
          <w:sz w:val="26"/>
          <w:szCs w:val="26"/>
        </w:rPr>
        <w:t>hniskās terminoloģijas ieviešanu</w:t>
      </w:r>
      <w:r w:rsidRPr="006B03AD">
        <w:rPr>
          <w:rFonts w:ascii="Times New Roman" w:hAnsi="Times New Roman" w:cs="Times New Roman"/>
          <w:sz w:val="26"/>
          <w:szCs w:val="26"/>
        </w:rPr>
        <w:t>, skaidru un precīzu metožu, raks</w:t>
      </w:r>
      <w:r w:rsidR="00637844" w:rsidRPr="006B03AD">
        <w:rPr>
          <w:rFonts w:ascii="Times New Roman" w:hAnsi="Times New Roman" w:cs="Times New Roman"/>
          <w:sz w:val="26"/>
          <w:szCs w:val="26"/>
        </w:rPr>
        <w:t>turlielumu un procesu definēšanu</w:t>
      </w:r>
      <w:r w:rsidRPr="006B03AD">
        <w:rPr>
          <w:rFonts w:ascii="Times New Roman" w:hAnsi="Times New Roman" w:cs="Times New Roman"/>
          <w:sz w:val="26"/>
          <w:szCs w:val="26"/>
        </w:rPr>
        <w:t>.</w:t>
      </w:r>
    </w:p>
    <w:p w14:paraId="7D70F33A" w14:textId="576C8E3A" w:rsidR="006A1F65" w:rsidRPr="006B03AD" w:rsidRDefault="005834B6" w:rsidP="004F3A93">
      <w:pPr>
        <w:ind w:firstLine="360"/>
        <w:jc w:val="both"/>
        <w:rPr>
          <w:rFonts w:ascii="Times New Roman" w:hAnsi="Times New Roman" w:cs="Times New Roman"/>
          <w:b/>
          <w:sz w:val="26"/>
          <w:szCs w:val="26"/>
        </w:rPr>
      </w:pPr>
      <w:r w:rsidRPr="006B03AD">
        <w:rPr>
          <w:rFonts w:ascii="Times New Roman" w:hAnsi="Times New Roman" w:cs="Times New Roman"/>
          <w:b/>
          <w:sz w:val="26"/>
          <w:szCs w:val="26"/>
        </w:rPr>
        <w:t xml:space="preserve">Šī konceptuālā ziņojuma mērķis ir piedāvāt uzlabojumus un veidot vienotu izpratni par standartu izmantošanas veidiem konkrētu valsts politiku ieviešanā. </w:t>
      </w:r>
      <w:r w:rsidRPr="006B03AD">
        <w:rPr>
          <w:rFonts w:ascii="Times New Roman" w:hAnsi="Times New Roman" w:cs="Times New Roman"/>
          <w:sz w:val="26"/>
          <w:szCs w:val="26"/>
        </w:rPr>
        <w:t>Konceptuālajā ziņojumā</w:t>
      </w:r>
      <w:r w:rsidR="006A1F65" w:rsidRPr="006B03AD">
        <w:rPr>
          <w:rFonts w:ascii="Times New Roman" w:hAnsi="Times New Roman" w:cs="Times New Roman"/>
          <w:sz w:val="26"/>
          <w:szCs w:val="26"/>
        </w:rPr>
        <w:t xml:space="preserve"> izklāstīti Latvijas nacionālās standartizācijas sistēmā identificētie problēmjautājumi, kā arī ir sniegts to apraksts. Visbeidzot, ņemot vērā starptautisko pieredzi, tiek piedāvāt</w:t>
      </w:r>
      <w:r w:rsidR="00900965">
        <w:rPr>
          <w:rFonts w:ascii="Times New Roman" w:hAnsi="Times New Roman" w:cs="Times New Roman"/>
          <w:sz w:val="26"/>
          <w:szCs w:val="26"/>
        </w:rPr>
        <w:t>s</w:t>
      </w:r>
      <w:r w:rsidR="006A1F65" w:rsidRPr="006B03AD">
        <w:rPr>
          <w:rFonts w:ascii="Times New Roman" w:hAnsi="Times New Roman" w:cs="Times New Roman"/>
          <w:sz w:val="26"/>
          <w:szCs w:val="26"/>
        </w:rPr>
        <w:t xml:space="preserve"> šād</w:t>
      </w:r>
      <w:r w:rsidR="00900965">
        <w:rPr>
          <w:rFonts w:ascii="Times New Roman" w:hAnsi="Times New Roman" w:cs="Times New Roman"/>
          <w:sz w:val="26"/>
          <w:szCs w:val="26"/>
        </w:rPr>
        <w:t>s</w:t>
      </w:r>
      <w:r w:rsidR="006A1F65" w:rsidRPr="006B03AD">
        <w:rPr>
          <w:rFonts w:ascii="Times New Roman" w:hAnsi="Times New Roman" w:cs="Times New Roman"/>
          <w:sz w:val="26"/>
          <w:szCs w:val="26"/>
        </w:rPr>
        <w:t xml:space="preserve"> iespējam</w:t>
      </w:r>
      <w:r w:rsidR="00900965">
        <w:rPr>
          <w:rFonts w:ascii="Times New Roman" w:hAnsi="Times New Roman" w:cs="Times New Roman"/>
          <w:sz w:val="26"/>
          <w:szCs w:val="26"/>
        </w:rPr>
        <w:t>ais</w:t>
      </w:r>
      <w:r w:rsidR="006A1F65" w:rsidRPr="006B03AD">
        <w:rPr>
          <w:rFonts w:ascii="Times New Roman" w:hAnsi="Times New Roman" w:cs="Times New Roman"/>
          <w:sz w:val="26"/>
          <w:szCs w:val="26"/>
        </w:rPr>
        <w:t xml:space="preserve"> identificēto problēmjautājumu risinājum</w:t>
      </w:r>
      <w:r w:rsidR="00900965">
        <w:rPr>
          <w:rFonts w:ascii="Times New Roman" w:hAnsi="Times New Roman" w:cs="Times New Roman"/>
          <w:sz w:val="26"/>
          <w:szCs w:val="26"/>
        </w:rPr>
        <w:t>s, kurš aptver šādus rīcības virzienus</w:t>
      </w:r>
      <w:r w:rsidR="006A1F65" w:rsidRPr="006B03AD">
        <w:rPr>
          <w:rFonts w:ascii="Times New Roman" w:hAnsi="Times New Roman" w:cs="Times New Roman"/>
          <w:sz w:val="26"/>
          <w:szCs w:val="26"/>
        </w:rPr>
        <w:t>:</w:t>
      </w:r>
    </w:p>
    <w:p w14:paraId="712FE3AA" w14:textId="77777777" w:rsidR="006A1F65" w:rsidRPr="006B03AD" w:rsidRDefault="005834B6" w:rsidP="006A1F65">
      <w:pPr>
        <w:pStyle w:val="ListParagraph"/>
        <w:numPr>
          <w:ilvl w:val="0"/>
          <w:numId w:val="16"/>
        </w:numPr>
        <w:jc w:val="both"/>
        <w:rPr>
          <w:rFonts w:ascii="Times New Roman" w:hAnsi="Times New Roman" w:cs="Times New Roman"/>
          <w:sz w:val="26"/>
          <w:szCs w:val="26"/>
          <w:u w:val="single"/>
        </w:rPr>
      </w:pPr>
      <w:r w:rsidRPr="006B03AD">
        <w:rPr>
          <w:rFonts w:ascii="Times New Roman" w:hAnsi="Times New Roman" w:cs="Times New Roman"/>
          <w:sz w:val="26"/>
          <w:szCs w:val="26"/>
          <w:u w:val="single"/>
        </w:rPr>
        <w:t>Standartu vieta un loma</w:t>
      </w:r>
    </w:p>
    <w:p w14:paraId="553DEAAA" w14:textId="713780AA" w:rsidR="006A1F65" w:rsidRPr="006B03AD" w:rsidRDefault="006A1F65" w:rsidP="006A1F65">
      <w:pPr>
        <w:jc w:val="both"/>
        <w:rPr>
          <w:rFonts w:ascii="Times New Roman" w:hAnsi="Times New Roman" w:cs="Times New Roman"/>
          <w:sz w:val="26"/>
          <w:szCs w:val="26"/>
        </w:rPr>
      </w:pPr>
      <w:r w:rsidRPr="006B03AD">
        <w:rPr>
          <w:rFonts w:ascii="Times New Roman" w:hAnsi="Times New Roman" w:cs="Times New Roman"/>
          <w:sz w:val="26"/>
          <w:szCs w:val="26"/>
        </w:rPr>
        <w:t>Tiesiskajā regulējumā ir skaidri jānosaka, ka standarts ir tehniska specifikācija, ko pieņēmusi atzīta standartizācijas iestāde</w:t>
      </w:r>
      <w:r w:rsidR="00304678">
        <w:rPr>
          <w:rFonts w:ascii="Times New Roman" w:hAnsi="Times New Roman" w:cs="Times New Roman"/>
          <w:sz w:val="26"/>
          <w:szCs w:val="26"/>
        </w:rPr>
        <w:t xml:space="preserve"> privāto tiesību jomā</w:t>
      </w:r>
      <w:r w:rsidRPr="006B03AD">
        <w:rPr>
          <w:rFonts w:ascii="Times New Roman" w:hAnsi="Times New Roman" w:cs="Times New Roman"/>
          <w:sz w:val="26"/>
          <w:szCs w:val="26"/>
        </w:rPr>
        <w:t>, atkārtotai vai ilgstošai piemērošanai. Standarti tiek izmantot</w:t>
      </w:r>
      <w:r w:rsidR="007955B7">
        <w:rPr>
          <w:rFonts w:ascii="Times New Roman" w:hAnsi="Times New Roman" w:cs="Times New Roman"/>
          <w:sz w:val="26"/>
          <w:szCs w:val="26"/>
        </w:rPr>
        <w:t>i</w:t>
      </w:r>
      <w:r w:rsidRPr="006B03AD">
        <w:rPr>
          <w:rFonts w:ascii="Times New Roman" w:hAnsi="Times New Roman" w:cs="Times New Roman"/>
          <w:sz w:val="26"/>
          <w:szCs w:val="26"/>
        </w:rPr>
        <w:t xml:space="preserve"> kā viens </w:t>
      </w:r>
      <w:r w:rsidR="007955B7">
        <w:rPr>
          <w:rFonts w:ascii="Times New Roman" w:hAnsi="Times New Roman" w:cs="Times New Roman"/>
          <w:sz w:val="26"/>
          <w:szCs w:val="26"/>
        </w:rPr>
        <w:t xml:space="preserve">no </w:t>
      </w:r>
      <w:r w:rsidRPr="006B03AD">
        <w:rPr>
          <w:rFonts w:ascii="Times New Roman" w:hAnsi="Times New Roman" w:cs="Times New Roman"/>
          <w:sz w:val="26"/>
          <w:szCs w:val="26"/>
        </w:rPr>
        <w:t>politikas atbalsta instrumentiem, taču tie nav uzskatāmi par tiesību aktiem, jo tie pēc savas būtības, izstrādes un pieņemšanas procedūras konceptuāli atšķirīgi no tiesību aktiem. Kā galvenās atšķirības starp normatīvajiem aktiem un standartiem var minēt:</w:t>
      </w:r>
    </w:p>
    <w:p w14:paraId="436069FA" w14:textId="77777777" w:rsidR="006A1F65" w:rsidRPr="006B03AD" w:rsidRDefault="006A1F65" w:rsidP="006A1F65">
      <w:pPr>
        <w:pStyle w:val="ListParagraph"/>
        <w:numPr>
          <w:ilvl w:val="0"/>
          <w:numId w:val="17"/>
        </w:numPr>
        <w:jc w:val="both"/>
        <w:rPr>
          <w:rFonts w:ascii="Times New Roman" w:hAnsi="Times New Roman" w:cs="Times New Roman"/>
          <w:sz w:val="26"/>
          <w:szCs w:val="26"/>
        </w:rPr>
      </w:pPr>
      <w:r w:rsidRPr="006B03AD">
        <w:rPr>
          <w:rFonts w:ascii="Times New Roman" w:hAnsi="Times New Roman" w:cs="Times New Roman"/>
          <w:sz w:val="26"/>
          <w:szCs w:val="26"/>
        </w:rPr>
        <w:t>Pretstatā tiesību aktam, kas regulē valstī pastāvošo tiesisko attiecību moduli, standarti ir dokumenti, kuros tiek</w:t>
      </w:r>
      <w:r w:rsidR="00637844" w:rsidRPr="006B03AD">
        <w:rPr>
          <w:rFonts w:ascii="Times New Roman" w:hAnsi="Times New Roman" w:cs="Times New Roman"/>
          <w:sz w:val="26"/>
          <w:szCs w:val="26"/>
        </w:rPr>
        <w:t xml:space="preserve"> paredzētas tehniskās prasības </w:t>
      </w:r>
      <w:r w:rsidRPr="006B03AD">
        <w:rPr>
          <w:rFonts w:ascii="Times New Roman" w:hAnsi="Times New Roman" w:cs="Times New Roman"/>
          <w:sz w:val="26"/>
          <w:szCs w:val="26"/>
        </w:rPr>
        <w:t>attiecīgajam ražojumam, procesam, pakalpojumam vai sistēmai. Tajos tiek atspoguļots zinātnes, jaunrades un tehniskās attīstības līmenis attiecīgajā sektorā, kurš ir atzīstams par vēlamu.</w:t>
      </w:r>
    </w:p>
    <w:p w14:paraId="64CE7D13" w14:textId="77777777" w:rsidR="006A1F65" w:rsidRPr="006B03AD" w:rsidRDefault="006A1F65" w:rsidP="006A1F65">
      <w:pPr>
        <w:pStyle w:val="ListParagraph"/>
        <w:numPr>
          <w:ilvl w:val="0"/>
          <w:numId w:val="17"/>
        </w:numPr>
        <w:jc w:val="both"/>
        <w:rPr>
          <w:rFonts w:ascii="Times New Roman" w:hAnsi="Times New Roman" w:cs="Times New Roman"/>
          <w:sz w:val="26"/>
          <w:szCs w:val="26"/>
        </w:rPr>
      </w:pPr>
      <w:r w:rsidRPr="006B03AD">
        <w:rPr>
          <w:rFonts w:ascii="Times New Roman" w:hAnsi="Times New Roman" w:cs="Times New Roman"/>
          <w:sz w:val="26"/>
          <w:szCs w:val="26"/>
        </w:rPr>
        <w:t>Standartus atšķirībā no tiesību aktiem, kurus pieņem attiecīgi tam pilnvarota publiskā persona un tas kļūst saistošs tā adresātiem, apstiprina institūcija, kurai nepiemīt likumdevēja tiesības.</w:t>
      </w:r>
    </w:p>
    <w:p w14:paraId="60A13943" w14:textId="77777777" w:rsidR="006A1F65" w:rsidRPr="006B03AD" w:rsidRDefault="006A1F65" w:rsidP="006A1F65">
      <w:pPr>
        <w:pStyle w:val="ListParagraph"/>
        <w:numPr>
          <w:ilvl w:val="0"/>
          <w:numId w:val="17"/>
        </w:numPr>
        <w:jc w:val="both"/>
        <w:rPr>
          <w:rFonts w:ascii="Times New Roman" w:hAnsi="Times New Roman" w:cs="Times New Roman"/>
          <w:sz w:val="26"/>
          <w:szCs w:val="26"/>
        </w:rPr>
      </w:pPr>
      <w:r w:rsidRPr="006B03AD">
        <w:rPr>
          <w:rFonts w:ascii="Times New Roman" w:hAnsi="Times New Roman" w:cs="Times New Roman"/>
          <w:sz w:val="26"/>
          <w:szCs w:val="26"/>
        </w:rPr>
        <w:t>Standarti tiek pieņemti</w:t>
      </w:r>
      <w:r w:rsidR="001E7163">
        <w:rPr>
          <w:rFonts w:ascii="Times New Roman" w:hAnsi="Times New Roman" w:cs="Times New Roman"/>
          <w:sz w:val="26"/>
          <w:szCs w:val="26"/>
        </w:rPr>
        <w:t>,</w:t>
      </w:r>
      <w:r w:rsidRPr="006B03AD">
        <w:rPr>
          <w:rFonts w:ascii="Times New Roman" w:hAnsi="Times New Roman" w:cs="Times New Roman"/>
          <w:sz w:val="26"/>
          <w:szCs w:val="26"/>
        </w:rPr>
        <w:t xml:space="preserve"> ievērojot konsensa principu, iesaistot šajā procesā ieinteresētās puses – produktu ražotāj</w:t>
      </w:r>
      <w:r w:rsidR="00640ECF">
        <w:rPr>
          <w:rFonts w:ascii="Times New Roman" w:hAnsi="Times New Roman" w:cs="Times New Roman"/>
          <w:sz w:val="26"/>
          <w:szCs w:val="26"/>
        </w:rPr>
        <w:t>us</w:t>
      </w:r>
      <w:r w:rsidRPr="006B03AD">
        <w:rPr>
          <w:rFonts w:ascii="Times New Roman" w:hAnsi="Times New Roman" w:cs="Times New Roman"/>
          <w:sz w:val="26"/>
          <w:szCs w:val="26"/>
        </w:rPr>
        <w:t>, pakalpojumu sniedzēj</w:t>
      </w:r>
      <w:r w:rsidR="00640ECF">
        <w:rPr>
          <w:rFonts w:ascii="Times New Roman" w:hAnsi="Times New Roman" w:cs="Times New Roman"/>
          <w:sz w:val="26"/>
          <w:szCs w:val="26"/>
        </w:rPr>
        <w:t>us</w:t>
      </w:r>
      <w:r w:rsidRPr="006B03AD">
        <w:rPr>
          <w:rFonts w:ascii="Times New Roman" w:hAnsi="Times New Roman" w:cs="Times New Roman"/>
          <w:sz w:val="26"/>
          <w:szCs w:val="26"/>
        </w:rPr>
        <w:t>, lietotāj</w:t>
      </w:r>
      <w:r w:rsidR="00640ECF">
        <w:rPr>
          <w:rFonts w:ascii="Times New Roman" w:hAnsi="Times New Roman" w:cs="Times New Roman"/>
          <w:sz w:val="26"/>
          <w:szCs w:val="26"/>
        </w:rPr>
        <w:t>us</w:t>
      </w:r>
      <w:r w:rsidRPr="006B03AD">
        <w:rPr>
          <w:rFonts w:ascii="Times New Roman" w:hAnsi="Times New Roman" w:cs="Times New Roman"/>
          <w:sz w:val="26"/>
          <w:szCs w:val="26"/>
        </w:rPr>
        <w:t>, patērētāju interešu aizsardzības organizācijas, sertifikācijas, testēšanas, akreditācijas, akadēmiskās vides pārstāvj</w:t>
      </w:r>
      <w:r w:rsidR="00640ECF">
        <w:rPr>
          <w:rFonts w:ascii="Times New Roman" w:hAnsi="Times New Roman" w:cs="Times New Roman"/>
          <w:sz w:val="26"/>
          <w:szCs w:val="26"/>
        </w:rPr>
        <w:t>us</w:t>
      </w:r>
      <w:r w:rsidRPr="006B03AD">
        <w:rPr>
          <w:rFonts w:ascii="Times New Roman" w:hAnsi="Times New Roman" w:cs="Times New Roman"/>
          <w:sz w:val="26"/>
          <w:szCs w:val="26"/>
        </w:rPr>
        <w:t>, kontroles un uzraudzības organizācijas. Savukārt tiesību aktu rada valsts institūcijas, lai definēt</w:t>
      </w:r>
      <w:r w:rsidR="005834B6" w:rsidRPr="006B03AD">
        <w:rPr>
          <w:rFonts w:ascii="Times New Roman" w:hAnsi="Times New Roman" w:cs="Times New Roman"/>
          <w:sz w:val="26"/>
          <w:szCs w:val="26"/>
        </w:rPr>
        <w:t>u</w:t>
      </w:r>
      <w:r w:rsidRPr="006B03AD">
        <w:rPr>
          <w:rFonts w:ascii="Times New Roman" w:hAnsi="Times New Roman" w:cs="Times New Roman"/>
          <w:sz w:val="26"/>
          <w:szCs w:val="26"/>
        </w:rPr>
        <w:t xml:space="preserve"> attiecīgo personu vai personu grupu uzvedības priekšrakstus.</w:t>
      </w:r>
    </w:p>
    <w:p w14:paraId="241EA6BE" w14:textId="77777777" w:rsidR="006A1F65" w:rsidRPr="006B03AD" w:rsidRDefault="006A1F65" w:rsidP="006A1F65">
      <w:pPr>
        <w:pStyle w:val="ListParagraph"/>
        <w:numPr>
          <w:ilvl w:val="0"/>
          <w:numId w:val="17"/>
        </w:numPr>
        <w:jc w:val="both"/>
        <w:rPr>
          <w:rFonts w:ascii="Times New Roman" w:hAnsi="Times New Roman" w:cs="Times New Roman"/>
          <w:sz w:val="26"/>
          <w:szCs w:val="26"/>
        </w:rPr>
      </w:pPr>
      <w:r w:rsidRPr="006B03AD">
        <w:rPr>
          <w:rFonts w:ascii="Times New Roman" w:hAnsi="Times New Roman" w:cs="Times New Roman"/>
          <w:sz w:val="26"/>
          <w:szCs w:val="26"/>
        </w:rPr>
        <w:t>Standarti ir autortiesību objekti, kuri ir pieejami par maksu, savukārt pieeju tiesību aktiem valsts nodrošina brīvi un bezmaksas.</w:t>
      </w:r>
    </w:p>
    <w:p w14:paraId="46EF93FA" w14:textId="77777777" w:rsidR="006A1F65" w:rsidRPr="006B03AD" w:rsidRDefault="006A1F65" w:rsidP="006A1F65">
      <w:pPr>
        <w:pStyle w:val="ListParagraph"/>
        <w:numPr>
          <w:ilvl w:val="0"/>
          <w:numId w:val="17"/>
        </w:numPr>
        <w:jc w:val="both"/>
        <w:rPr>
          <w:rFonts w:ascii="Times New Roman" w:hAnsi="Times New Roman" w:cs="Times New Roman"/>
          <w:sz w:val="26"/>
          <w:szCs w:val="26"/>
        </w:rPr>
      </w:pPr>
      <w:r w:rsidRPr="006B03AD">
        <w:rPr>
          <w:rFonts w:ascii="Times New Roman" w:hAnsi="Times New Roman" w:cs="Times New Roman"/>
          <w:sz w:val="26"/>
          <w:szCs w:val="26"/>
        </w:rPr>
        <w:t xml:space="preserve">Normatīvais akts ir obligāts rīcības priekšraksts, savukārt atbilstība standartiem vispārīgi nav obligāta, izņemot </w:t>
      </w:r>
      <w:r w:rsidR="00B07036">
        <w:rPr>
          <w:rFonts w:ascii="Times New Roman" w:hAnsi="Times New Roman" w:cs="Times New Roman"/>
          <w:sz w:val="26"/>
          <w:szCs w:val="26"/>
        </w:rPr>
        <w:t>atsevišķus</w:t>
      </w:r>
      <w:r w:rsidRPr="006B03AD">
        <w:rPr>
          <w:rFonts w:ascii="Times New Roman" w:hAnsi="Times New Roman" w:cs="Times New Roman"/>
          <w:sz w:val="26"/>
          <w:szCs w:val="26"/>
        </w:rPr>
        <w:t xml:space="preserve"> gadījumus. </w:t>
      </w:r>
    </w:p>
    <w:p w14:paraId="700CA633" w14:textId="77777777" w:rsidR="006A1F65" w:rsidRPr="006B03AD" w:rsidRDefault="006A1F65" w:rsidP="006A1F65">
      <w:pPr>
        <w:jc w:val="both"/>
        <w:rPr>
          <w:rFonts w:ascii="Times New Roman" w:hAnsi="Times New Roman" w:cs="Times New Roman"/>
          <w:sz w:val="26"/>
          <w:szCs w:val="26"/>
        </w:rPr>
      </w:pPr>
    </w:p>
    <w:p w14:paraId="3C5D655A" w14:textId="5EC7237F" w:rsidR="007F3CEE" w:rsidRDefault="006A1F65" w:rsidP="006A1F65">
      <w:pPr>
        <w:jc w:val="both"/>
        <w:rPr>
          <w:rFonts w:ascii="Times New Roman" w:hAnsi="Times New Roman" w:cs="Times New Roman"/>
          <w:sz w:val="26"/>
          <w:szCs w:val="26"/>
        </w:rPr>
      </w:pPr>
      <w:r w:rsidRPr="006B03AD">
        <w:rPr>
          <w:rFonts w:ascii="Times New Roman" w:hAnsi="Times New Roman" w:cs="Times New Roman"/>
          <w:sz w:val="26"/>
          <w:szCs w:val="26"/>
        </w:rPr>
        <w:tab/>
        <w:t>Apkopojot minēto, ir konstatējama pietiekoši skaidra robežšķirtne starp tiesību aktu un standartu. Tādējādi uz standartiem nav attiecināmi tie paši principi, kas tiek piemēroti normatīvajiem aktiem, tai skaitā nepieciešamību nodrošināt brīvu un bezmaksas pieeju to redakcijām valsts valodā.</w:t>
      </w:r>
      <w:r w:rsidR="008D49B6">
        <w:rPr>
          <w:rFonts w:ascii="Times New Roman" w:hAnsi="Times New Roman" w:cs="Times New Roman"/>
          <w:sz w:val="26"/>
          <w:szCs w:val="26"/>
        </w:rPr>
        <w:t xml:space="preserve"> Neskatoties uz minēto, obligāti </w:t>
      </w:r>
      <w:r w:rsidR="008D49B6">
        <w:rPr>
          <w:rFonts w:ascii="Times New Roman" w:hAnsi="Times New Roman" w:cs="Times New Roman"/>
          <w:sz w:val="26"/>
          <w:szCs w:val="26"/>
        </w:rPr>
        <w:lastRenderedPageBreak/>
        <w:t>piemērojamo standartu gadījumā valstij jānodrošina mazāk ierobežojoša pieejam</w:t>
      </w:r>
      <w:r w:rsidR="00A9377F">
        <w:rPr>
          <w:rFonts w:ascii="Times New Roman" w:hAnsi="Times New Roman" w:cs="Times New Roman"/>
          <w:sz w:val="26"/>
          <w:szCs w:val="26"/>
        </w:rPr>
        <w:t xml:space="preserve">ība to redakcijām valsts valodā. Šāds mērķis būtu sasniegts, ja sabiedrībai tiktu nodrošināta bezmaksas pieeja standartu tekstiem </w:t>
      </w:r>
      <w:r w:rsidR="00C505FB">
        <w:rPr>
          <w:rFonts w:ascii="Times New Roman" w:hAnsi="Times New Roman" w:cs="Times New Roman"/>
          <w:sz w:val="26"/>
          <w:szCs w:val="26"/>
        </w:rPr>
        <w:t xml:space="preserve">gan valsts, gan pašvaldību </w:t>
      </w:r>
      <w:r w:rsidR="00A9377F">
        <w:rPr>
          <w:rFonts w:ascii="Times New Roman" w:hAnsi="Times New Roman" w:cs="Times New Roman"/>
          <w:sz w:val="26"/>
          <w:szCs w:val="26"/>
        </w:rPr>
        <w:t>bibliotēkās</w:t>
      </w:r>
      <w:r w:rsidR="00C505FB">
        <w:rPr>
          <w:rFonts w:ascii="Times New Roman" w:hAnsi="Times New Roman" w:cs="Times New Roman"/>
          <w:sz w:val="26"/>
          <w:szCs w:val="26"/>
        </w:rPr>
        <w:t xml:space="preserve">, tādējādi </w:t>
      </w:r>
      <w:r w:rsidR="0085670A">
        <w:rPr>
          <w:rFonts w:ascii="Times New Roman" w:hAnsi="Times New Roman" w:cs="Times New Roman"/>
          <w:sz w:val="26"/>
          <w:szCs w:val="26"/>
        </w:rPr>
        <w:t>nodrošinot plašu pieejamību standartiem arī dažādos Latvijas reģionos</w:t>
      </w:r>
      <w:r w:rsidR="00A9377F">
        <w:rPr>
          <w:rFonts w:ascii="Times New Roman" w:hAnsi="Times New Roman" w:cs="Times New Roman"/>
          <w:sz w:val="26"/>
          <w:szCs w:val="26"/>
        </w:rPr>
        <w:t>.</w:t>
      </w:r>
      <w:r w:rsidR="00ED2692">
        <w:rPr>
          <w:rFonts w:ascii="Times New Roman" w:hAnsi="Times New Roman" w:cs="Times New Roman"/>
          <w:sz w:val="26"/>
          <w:szCs w:val="26"/>
        </w:rPr>
        <w:t xml:space="preserve"> Vienlaikus tiek paredzēts, ka standartu pieejamība tiek paplašināta arī uz </w:t>
      </w:r>
      <w:r w:rsidR="00A00792">
        <w:rPr>
          <w:rFonts w:ascii="Times New Roman" w:hAnsi="Times New Roman" w:cs="Times New Roman"/>
          <w:sz w:val="26"/>
          <w:szCs w:val="26"/>
        </w:rPr>
        <w:t xml:space="preserve">tiešās </w:t>
      </w:r>
      <w:r w:rsidR="00ED2692">
        <w:rPr>
          <w:rFonts w:ascii="Times New Roman" w:hAnsi="Times New Roman" w:cs="Times New Roman"/>
          <w:sz w:val="26"/>
          <w:szCs w:val="26"/>
        </w:rPr>
        <w:t>valsts pārvaldes iestādēm, īpaši uzraudzības iestādēm, kam standartu pielietošana ir nepieciešama savu funkciju realizēšanā</w:t>
      </w:r>
      <w:r w:rsidR="00C871F6">
        <w:rPr>
          <w:rFonts w:ascii="Times New Roman" w:hAnsi="Times New Roman" w:cs="Times New Roman"/>
          <w:sz w:val="26"/>
          <w:szCs w:val="26"/>
        </w:rPr>
        <w:t>.</w:t>
      </w:r>
      <w:r w:rsidR="00A00792">
        <w:rPr>
          <w:rFonts w:ascii="Times New Roman" w:hAnsi="Times New Roman" w:cs="Times New Roman"/>
          <w:sz w:val="26"/>
          <w:szCs w:val="26"/>
        </w:rPr>
        <w:t xml:space="preserve"> Izmaksas, kas saistītas ar standartu pieejamības nodrošināšanu gan sabiedrībai, gan arī tiešās valsts pārvaldes iestādēm, </w:t>
      </w:r>
      <w:r w:rsidR="0081797B">
        <w:rPr>
          <w:rFonts w:ascii="Times New Roman" w:hAnsi="Times New Roman" w:cs="Times New Roman"/>
          <w:sz w:val="26"/>
          <w:szCs w:val="26"/>
        </w:rPr>
        <w:t>tiks</w:t>
      </w:r>
      <w:r w:rsidR="00A00792">
        <w:rPr>
          <w:rFonts w:ascii="Times New Roman" w:hAnsi="Times New Roman" w:cs="Times New Roman"/>
          <w:sz w:val="26"/>
          <w:szCs w:val="26"/>
        </w:rPr>
        <w:t xml:space="preserve"> </w:t>
      </w:r>
      <w:r w:rsidR="007F3CEE">
        <w:rPr>
          <w:rFonts w:ascii="Times New Roman" w:hAnsi="Times New Roman" w:cs="Times New Roman"/>
          <w:sz w:val="26"/>
          <w:szCs w:val="26"/>
        </w:rPr>
        <w:t>segtas centralizēti no Ekonomikas ministrijai piešķirtā finansējuma, kas aptver šajā konceptuālajā ziņojumā piedāvātā risinājuma īstenošanu.</w:t>
      </w:r>
    </w:p>
    <w:p w14:paraId="2969251E" w14:textId="77777777" w:rsidR="008D49B6" w:rsidRDefault="008D49B6" w:rsidP="006A1F65">
      <w:pPr>
        <w:jc w:val="both"/>
        <w:rPr>
          <w:rFonts w:ascii="Times New Roman" w:hAnsi="Times New Roman" w:cs="Times New Roman"/>
          <w:sz w:val="26"/>
          <w:szCs w:val="26"/>
        </w:rPr>
      </w:pPr>
    </w:p>
    <w:p w14:paraId="41C1BA87" w14:textId="77777777" w:rsidR="006A1F65" w:rsidRPr="006B03AD" w:rsidRDefault="006A1F65" w:rsidP="006A1F65">
      <w:pPr>
        <w:pStyle w:val="ListParagraph"/>
        <w:numPr>
          <w:ilvl w:val="0"/>
          <w:numId w:val="16"/>
        </w:numPr>
        <w:jc w:val="both"/>
        <w:rPr>
          <w:rFonts w:ascii="Times New Roman" w:hAnsi="Times New Roman" w:cs="Times New Roman"/>
          <w:sz w:val="26"/>
          <w:szCs w:val="26"/>
          <w:u w:val="single"/>
        </w:rPr>
      </w:pPr>
      <w:r w:rsidRPr="006B03AD">
        <w:rPr>
          <w:rFonts w:ascii="Times New Roman" w:hAnsi="Times New Roman" w:cs="Times New Roman"/>
          <w:sz w:val="26"/>
          <w:szCs w:val="26"/>
          <w:u w:val="single"/>
        </w:rPr>
        <w:t>„Jaunās pieeja</w:t>
      </w:r>
      <w:r w:rsidR="00BA02E1" w:rsidRPr="006B03AD">
        <w:rPr>
          <w:rFonts w:ascii="Times New Roman" w:hAnsi="Times New Roman" w:cs="Times New Roman"/>
          <w:sz w:val="26"/>
          <w:szCs w:val="26"/>
          <w:u w:val="single"/>
        </w:rPr>
        <w:t>s” ieviešana nacionālajā līmenī</w:t>
      </w:r>
    </w:p>
    <w:p w14:paraId="401DA396" w14:textId="7BCF1908" w:rsidR="006A1F65" w:rsidRPr="006B03AD" w:rsidRDefault="00240C00" w:rsidP="006A1F65">
      <w:pPr>
        <w:jc w:val="both"/>
        <w:rPr>
          <w:rFonts w:ascii="Times New Roman" w:hAnsi="Times New Roman" w:cs="Times New Roman"/>
          <w:sz w:val="26"/>
          <w:szCs w:val="26"/>
        </w:rPr>
      </w:pPr>
      <w:r>
        <w:rPr>
          <w:rFonts w:ascii="Times New Roman" w:hAnsi="Times New Roman" w:cs="Times New Roman"/>
          <w:sz w:val="26"/>
          <w:szCs w:val="26"/>
        </w:rPr>
        <w:t>Tiesību aktos jānosaka</w:t>
      </w:r>
      <w:r w:rsidR="006A1F65" w:rsidRPr="006B03AD">
        <w:rPr>
          <w:rFonts w:ascii="Times New Roman" w:hAnsi="Times New Roman" w:cs="Times New Roman"/>
          <w:sz w:val="26"/>
          <w:szCs w:val="26"/>
        </w:rPr>
        <w:t xml:space="preserve"> nepieciešamība maksimāli veicināt Eiropas Savienībā izmantotās „jaunās pieejas” ieviešanu nacionālajā līmenī. Tādējādi lielākoties atsakoties no tiešo atsauču iekļaušanu tiesību aktos un nodrošinot, ka tiesību aktos pēc iespējas tiek izmantotas netiešās atsauces uz standartiem, proti, </w:t>
      </w:r>
      <w:r w:rsidR="003435E7">
        <w:rPr>
          <w:rFonts w:ascii="Times New Roman" w:hAnsi="Times New Roman" w:cs="Times New Roman"/>
          <w:sz w:val="26"/>
          <w:szCs w:val="26"/>
        </w:rPr>
        <w:t xml:space="preserve">vispirms tiesību aktos tiek noteiktas </w:t>
      </w:r>
      <w:r w:rsidR="006A1F65" w:rsidRPr="006B03AD">
        <w:rPr>
          <w:rFonts w:ascii="Times New Roman" w:hAnsi="Times New Roman" w:cs="Times New Roman"/>
          <w:sz w:val="26"/>
          <w:szCs w:val="26"/>
        </w:rPr>
        <w:t xml:space="preserve">būtiskās prasības, </w:t>
      </w:r>
      <w:r w:rsidR="003435E7">
        <w:rPr>
          <w:rFonts w:ascii="Times New Roman" w:hAnsi="Times New Roman" w:cs="Times New Roman"/>
          <w:sz w:val="26"/>
          <w:szCs w:val="26"/>
        </w:rPr>
        <w:t xml:space="preserve">un pēc tam standartos tiek noteikts </w:t>
      </w:r>
      <w:r w:rsidR="006A1F65" w:rsidRPr="006B03AD">
        <w:rPr>
          <w:rFonts w:ascii="Times New Roman" w:hAnsi="Times New Roman" w:cs="Times New Roman"/>
          <w:sz w:val="26"/>
          <w:szCs w:val="26"/>
        </w:rPr>
        <w:t>veids, metode un raksturlielumi</w:t>
      </w:r>
      <w:r w:rsidR="00765942">
        <w:rPr>
          <w:rFonts w:ascii="Times New Roman" w:hAnsi="Times New Roman" w:cs="Times New Roman"/>
          <w:sz w:val="26"/>
          <w:szCs w:val="26"/>
        </w:rPr>
        <w:t>,</w:t>
      </w:r>
      <w:r w:rsidR="006A1F65" w:rsidRPr="006B03AD">
        <w:rPr>
          <w:rFonts w:ascii="Times New Roman" w:hAnsi="Times New Roman" w:cs="Times New Roman"/>
          <w:sz w:val="26"/>
          <w:szCs w:val="26"/>
        </w:rPr>
        <w:t xml:space="preserve"> kā izpildīt būtiskās prasības. Šīs sistēmas ietvaros standartu izmantošana dod atbilstības prezumpciju būtiskajām prasībām, bet tie netiek noteikti par obligātiem. Gadījumā, ja standarti netiek piemēroti, attiecīgajai personai, kas izvēlējusies izmantot alternatīvu risinājumu, ir jāpierāda, ka tās tehniskais izpildījuma rezultāts nav sliktāks </w:t>
      </w:r>
      <w:r w:rsidR="00765942">
        <w:rPr>
          <w:rFonts w:ascii="Times New Roman" w:hAnsi="Times New Roman" w:cs="Times New Roman"/>
          <w:sz w:val="26"/>
          <w:szCs w:val="26"/>
        </w:rPr>
        <w:t xml:space="preserve">par to, kas </w:t>
      </w:r>
      <w:r w:rsidR="006A1F65" w:rsidRPr="006B03AD">
        <w:rPr>
          <w:rFonts w:ascii="Times New Roman" w:hAnsi="Times New Roman" w:cs="Times New Roman"/>
          <w:sz w:val="26"/>
          <w:szCs w:val="26"/>
        </w:rPr>
        <w:t>ir noteikts standartā, proti, ļauj izpildīt būtiskās prasības. Standartu piemērošana šajā gadījumā ir gan ekonomiski, gan tehniski daudz izdevīgāka un lietderīgāka nekā alternatīvu risinājumu meklēšana. „Jaunās pieejas” gadījumā s</w:t>
      </w:r>
      <w:r w:rsidR="00637844" w:rsidRPr="006B03AD">
        <w:rPr>
          <w:rFonts w:ascii="Times New Roman" w:hAnsi="Times New Roman" w:cs="Times New Roman"/>
          <w:sz w:val="26"/>
          <w:szCs w:val="26"/>
        </w:rPr>
        <w:t>tandarti ir brīvprātīgi piemērojami</w:t>
      </w:r>
      <w:r w:rsidR="006A1F65" w:rsidRPr="006B03AD">
        <w:rPr>
          <w:rFonts w:ascii="Times New Roman" w:hAnsi="Times New Roman" w:cs="Times New Roman"/>
          <w:sz w:val="26"/>
          <w:szCs w:val="26"/>
        </w:rPr>
        <w:t>. Tādējādi nozaru ministrijām</w:t>
      </w:r>
      <w:r w:rsidR="00F9553B">
        <w:rPr>
          <w:rFonts w:ascii="Times New Roman" w:hAnsi="Times New Roman" w:cs="Times New Roman"/>
          <w:sz w:val="26"/>
          <w:szCs w:val="26"/>
        </w:rPr>
        <w:t>,</w:t>
      </w:r>
      <w:r w:rsidR="006A1F65" w:rsidRPr="006B03AD">
        <w:rPr>
          <w:rFonts w:ascii="Times New Roman" w:hAnsi="Times New Roman" w:cs="Times New Roman"/>
          <w:sz w:val="26"/>
          <w:szCs w:val="26"/>
        </w:rPr>
        <w:t xml:space="preserve"> </w:t>
      </w:r>
      <w:r>
        <w:rPr>
          <w:rFonts w:ascii="Times New Roman" w:hAnsi="Times New Roman" w:cs="Times New Roman"/>
          <w:sz w:val="26"/>
          <w:szCs w:val="26"/>
        </w:rPr>
        <w:t xml:space="preserve">izstrādājot normatīvos aktos vai veicot grozījumus </w:t>
      </w:r>
      <w:r w:rsidR="00F9553B">
        <w:rPr>
          <w:rFonts w:ascii="Times New Roman" w:hAnsi="Times New Roman" w:cs="Times New Roman"/>
          <w:sz w:val="26"/>
          <w:szCs w:val="26"/>
        </w:rPr>
        <w:t xml:space="preserve">spēkā esošajos </w:t>
      </w:r>
      <w:r>
        <w:rPr>
          <w:rFonts w:ascii="Times New Roman" w:hAnsi="Times New Roman" w:cs="Times New Roman"/>
          <w:sz w:val="26"/>
          <w:szCs w:val="26"/>
        </w:rPr>
        <w:t xml:space="preserve">normatīvajos aktos, kuros tiek izmantotas </w:t>
      </w:r>
      <w:r w:rsidR="00F9553B">
        <w:rPr>
          <w:rFonts w:ascii="Times New Roman" w:hAnsi="Times New Roman" w:cs="Times New Roman"/>
          <w:sz w:val="26"/>
          <w:szCs w:val="26"/>
        </w:rPr>
        <w:t xml:space="preserve">tiešās atsauces uz standartiem, būtu jāizvērtē iespējas </w:t>
      </w:r>
      <w:r w:rsidR="006A1F65" w:rsidRPr="006B03AD">
        <w:rPr>
          <w:rFonts w:ascii="Times New Roman" w:hAnsi="Times New Roman" w:cs="Times New Roman"/>
          <w:sz w:val="26"/>
          <w:szCs w:val="26"/>
        </w:rPr>
        <w:t>atteikties tajos no tiešo atsauču uz standartiem izmantošanas, aizstājot tās ar netiešajām atsaucēm.</w:t>
      </w:r>
    </w:p>
    <w:p w14:paraId="4C198377" w14:textId="77777777" w:rsidR="006A1F65" w:rsidRPr="006B03AD" w:rsidRDefault="006A1F65" w:rsidP="006A1F65">
      <w:pPr>
        <w:jc w:val="both"/>
        <w:rPr>
          <w:rFonts w:ascii="Times New Roman" w:hAnsi="Times New Roman" w:cs="Times New Roman"/>
          <w:sz w:val="26"/>
          <w:szCs w:val="26"/>
        </w:rPr>
      </w:pPr>
    </w:p>
    <w:p w14:paraId="09D53B22" w14:textId="77777777" w:rsidR="006A1F65" w:rsidRPr="006B03AD" w:rsidRDefault="006A1F65" w:rsidP="006A1F65">
      <w:pPr>
        <w:pStyle w:val="ListParagraph"/>
        <w:numPr>
          <w:ilvl w:val="0"/>
          <w:numId w:val="16"/>
        </w:numPr>
        <w:jc w:val="both"/>
        <w:rPr>
          <w:rFonts w:ascii="Times New Roman" w:hAnsi="Times New Roman" w:cs="Times New Roman"/>
          <w:sz w:val="26"/>
          <w:szCs w:val="26"/>
          <w:u w:val="single"/>
        </w:rPr>
      </w:pPr>
      <w:r w:rsidRPr="006B03AD">
        <w:rPr>
          <w:rFonts w:ascii="Times New Roman" w:hAnsi="Times New Roman" w:cs="Times New Roman"/>
          <w:sz w:val="26"/>
          <w:szCs w:val="26"/>
          <w:u w:val="single"/>
        </w:rPr>
        <w:t>Tiešo atsauču lietošana</w:t>
      </w:r>
    </w:p>
    <w:p w14:paraId="544A4517" w14:textId="7A953587" w:rsidR="006A1F65" w:rsidRPr="006B03AD" w:rsidRDefault="006A1F65" w:rsidP="006A1F65">
      <w:pPr>
        <w:jc w:val="both"/>
        <w:rPr>
          <w:rFonts w:ascii="Times New Roman" w:hAnsi="Times New Roman" w:cs="Times New Roman"/>
          <w:sz w:val="26"/>
          <w:szCs w:val="26"/>
        </w:rPr>
      </w:pPr>
      <w:r w:rsidRPr="006B03AD">
        <w:rPr>
          <w:rFonts w:ascii="Times New Roman" w:hAnsi="Times New Roman" w:cs="Times New Roman"/>
          <w:sz w:val="26"/>
          <w:szCs w:val="26"/>
        </w:rPr>
        <w:t xml:space="preserve">Vienlaikus likumdevējam būtu jāsaglabā izņēmuma gadījumos, kad attiecīgās jomas regulēšanā nav iespējams ieviest „jauno pieeju” vai, ja tiešā atsauce jau ir izdarīta Eiropas Savienības tiesību aktos, kas ir jātransponē Latvija tiesību aktos, tiesības noteikt tiešās atsauces uz standartiem, tādējādi padarot tos par obligātiem. Taču gadījumos, kad tie tiek padarīti par obligātiem, tie nebūt nav pielīdzināmi ne normatīvajiem aktiem, ne arī to daļai, bet gan tas būtu nosacījumus, kuru attiecīgā normatīvā akta adresātam būtu jāizpilda. Šādā gadījumā </w:t>
      </w:r>
      <w:r w:rsidR="00BE4EE5">
        <w:rPr>
          <w:rFonts w:ascii="Times New Roman" w:hAnsi="Times New Roman" w:cs="Times New Roman"/>
          <w:sz w:val="26"/>
          <w:szCs w:val="26"/>
        </w:rPr>
        <w:t>nozaru ministrijām, ievērojot mandātu sistēmā noteikto kārtību, būtu pienākums Ekonomikas ministrijai savlaicīgi sniegt informāciju par standartiem</w:t>
      </w:r>
      <w:r w:rsidRPr="006B03AD">
        <w:rPr>
          <w:rFonts w:ascii="Times New Roman" w:hAnsi="Times New Roman" w:cs="Times New Roman"/>
          <w:sz w:val="26"/>
          <w:szCs w:val="26"/>
        </w:rPr>
        <w:t>, uz kuriem normatīvajā aktā tiek veidotas tiešās atsauces</w:t>
      </w:r>
      <w:r w:rsidR="00BE4EE5">
        <w:rPr>
          <w:rFonts w:ascii="Times New Roman" w:hAnsi="Times New Roman" w:cs="Times New Roman"/>
          <w:sz w:val="26"/>
          <w:szCs w:val="26"/>
        </w:rPr>
        <w:t>.</w:t>
      </w:r>
      <w:r w:rsidRPr="006B03AD">
        <w:rPr>
          <w:rFonts w:ascii="Times New Roman" w:hAnsi="Times New Roman" w:cs="Times New Roman"/>
          <w:sz w:val="26"/>
          <w:szCs w:val="26"/>
        </w:rPr>
        <w:t xml:space="preserve"> Tādējādi, ievērojot standartu dabu un to autortiesību objekta statusu, normatīvo aktu adresātiem nacionālās standartizācijas institūcijas lasītavās būtu iespēja ar obligāti piemērojamajiem standartiem iepazīties valsts valodā, savukārt ja persona vēlētos</w:t>
      </w:r>
      <w:r w:rsidR="00637844" w:rsidRPr="006B03AD">
        <w:rPr>
          <w:rFonts w:ascii="Times New Roman" w:hAnsi="Times New Roman" w:cs="Times New Roman"/>
          <w:sz w:val="26"/>
          <w:szCs w:val="26"/>
        </w:rPr>
        <w:t xml:space="preserve"> iegūt sev </w:t>
      </w:r>
      <w:r w:rsidRPr="006B03AD">
        <w:rPr>
          <w:rFonts w:ascii="Times New Roman" w:hAnsi="Times New Roman" w:cs="Times New Roman"/>
          <w:sz w:val="26"/>
          <w:szCs w:val="26"/>
        </w:rPr>
        <w:t>standarta kopiju, par to būtu maksājama autoratlīdzība. Tādējādi normatīvā akta adresātiem tiktu nodrošinātas tiesības zināt savas tiesības, savukārt standarta autoram tiktu nodrošinātas autortiesības par savu darbu, kas būtu samērīgs un proporcionāls risinājums.</w:t>
      </w:r>
    </w:p>
    <w:p w14:paraId="404976F8" w14:textId="77777777" w:rsidR="006A1F65" w:rsidRPr="006B03AD" w:rsidRDefault="006A1F65" w:rsidP="006A1F65">
      <w:pPr>
        <w:jc w:val="both"/>
        <w:rPr>
          <w:rFonts w:ascii="Times New Roman" w:hAnsi="Times New Roman" w:cs="Times New Roman"/>
          <w:sz w:val="26"/>
          <w:szCs w:val="26"/>
        </w:rPr>
      </w:pPr>
    </w:p>
    <w:p w14:paraId="5D65EC59" w14:textId="3667D764" w:rsidR="006A1F65" w:rsidRPr="006B03AD" w:rsidRDefault="006A1F65" w:rsidP="006A1F65">
      <w:pPr>
        <w:pStyle w:val="ListParagraph"/>
        <w:numPr>
          <w:ilvl w:val="0"/>
          <w:numId w:val="16"/>
        </w:numPr>
        <w:jc w:val="both"/>
        <w:rPr>
          <w:rFonts w:ascii="Times New Roman" w:hAnsi="Times New Roman" w:cs="Times New Roman"/>
          <w:sz w:val="26"/>
          <w:szCs w:val="26"/>
          <w:u w:val="single"/>
        </w:rPr>
      </w:pPr>
      <w:r w:rsidRPr="006B03AD">
        <w:rPr>
          <w:rFonts w:ascii="Times New Roman" w:hAnsi="Times New Roman" w:cs="Times New Roman"/>
          <w:sz w:val="26"/>
          <w:szCs w:val="26"/>
          <w:u w:val="single"/>
        </w:rPr>
        <w:lastRenderedPageBreak/>
        <w:t>Mandātu sistēmas ieviešana</w:t>
      </w:r>
      <w:r w:rsidR="00FB1EC1">
        <w:rPr>
          <w:rFonts w:ascii="Times New Roman" w:hAnsi="Times New Roman" w:cs="Times New Roman"/>
          <w:sz w:val="26"/>
          <w:szCs w:val="26"/>
          <w:u w:val="single"/>
        </w:rPr>
        <w:t xml:space="preserve"> un centralizētas standartu tulkošanas </w:t>
      </w:r>
      <w:r w:rsidR="00052ECB">
        <w:rPr>
          <w:rFonts w:ascii="Times New Roman" w:hAnsi="Times New Roman" w:cs="Times New Roman"/>
          <w:sz w:val="26"/>
          <w:szCs w:val="26"/>
          <w:u w:val="single"/>
        </w:rPr>
        <w:t>nodrošināšana</w:t>
      </w:r>
    </w:p>
    <w:p w14:paraId="2A28ED85" w14:textId="02F7BC51" w:rsidR="006A1F65" w:rsidRPr="006B03AD" w:rsidRDefault="00F9553B" w:rsidP="006A1F65">
      <w:pPr>
        <w:jc w:val="both"/>
        <w:rPr>
          <w:rFonts w:ascii="Times New Roman" w:hAnsi="Times New Roman" w:cs="Times New Roman"/>
          <w:sz w:val="26"/>
          <w:szCs w:val="26"/>
        </w:rPr>
      </w:pPr>
      <w:r>
        <w:rPr>
          <w:rFonts w:ascii="Times New Roman" w:hAnsi="Times New Roman" w:cs="Times New Roman"/>
          <w:sz w:val="26"/>
          <w:szCs w:val="26"/>
        </w:rPr>
        <w:t xml:space="preserve">Tiesiskajā regulējumā jāievieš mandātu sistēma, kas </w:t>
      </w:r>
      <w:r w:rsidR="006A1F65" w:rsidRPr="006B03AD">
        <w:rPr>
          <w:rFonts w:ascii="Times New Roman" w:hAnsi="Times New Roman" w:cs="Times New Roman"/>
          <w:sz w:val="26"/>
          <w:szCs w:val="26"/>
        </w:rPr>
        <w:t xml:space="preserve">noteiks centralizētu modeli </w:t>
      </w:r>
      <w:r w:rsidR="000D0801">
        <w:rPr>
          <w:rFonts w:ascii="Times New Roman" w:hAnsi="Times New Roman" w:cs="Times New Roman"/>
          <w:sz w:val="26"/>
          <w:szCs w:val="26"/>
        </w:rPr>
        <w:t xml:space="preserve">visu </w:t>
      </w:r>
      <w:r w:rsidR="006A1F65" w:rsidRPr="006B03AD">
        <w:rPr>
          <w:rFonts w:ascii="Times New Roman" w:hAnsi="Times New Roman" w:cs="Times New Roman"/>
          <w:sz w:val="26"/>
          <w:szCs w:val="26"/>
        </w:rPr>
        <w:t>standartu izstrādei un tulkošanai nacionālajā līmenī. Mandātu sistēmas ietvaros ministrijas ar mandātiem dos uzdevumu nacionālajai standartizācijas institūcijai izstrādāt nacionālos standartus, lai nodrošinātu tehnisko prasību noteikšanu dažādās tautsaimniecības jomās, kurās nav harmonizēto Eiropas standartu</w:t>
      </w:r>
      <w:r w:rsidR="006B014F">
        <w:rPr>
          <w:rFonts w:ascii="Times New Roman" w:hAnsi="Times New Roman" w:cs="Times New Roman"/>
          <w:sz w:val="26"/>
          <w:szCs w:val="26"/>
        </w:rPr>
        <w:t xml:space="preserve">, kā arī veikt </w:t>
      </w:r>
      <w:r w:rsidR="000D0801">
        <w:rPr>
          <w:rFonts w:ascii="Times New Roman" w:hAnsi="Times New Roman" w:cs="Times New Roman"/>
          <w:sz w:val="26"/>
          <w:szCs w:val="26"/>
        </w:rPr>
        <w:t>gan obligāt</w:t>
      </w:r>
      <w:r w:rsidR="00F937D8">
        <w:rPr>
          <w:rFonts w:ascii="Times New Roman" w:hAnsi="Times New Roman" w:cs="Times New Roman"/>
          <w:sz w:val="26"/>
          <w:szCs w:val="26"/>
        </w:rPr>
        <w:t>i piemērojamo</w:t>
      </w:r>
      <w:r w:rsidR="004A5C52">
        <w:rPr>
          <w:rFonts w:ascii="Times New Roman" w:hAnsi="Times New Roman" w:cs="Times New Roman"/>
          <w:sz w:val="26"/>
          <w:szCs w:val="26"/>
        </w:rPr>
        <w:t xml:space="preserve"> </w:t>
      </w:r>
      <w:r w:rsidR="000D0801">
        <w:rPr>
          <w:rFonts w:ascii="Times New Roman" w:hAnsi="Times New Roman" w:cs="Times New Roman"/>
          <w:sz w:val="26"/>
          <w:szCs w:val="26"/>
        </w:rPr>
        <w:t xml:space="preserve">standartu tulkošanu, gan arī </w:t>
      </w:r>
      <w:r w:rsidR="006B014F">
        <w:rPr>
          <w:rFonts w:ascii="Times New Roman" w:hAnsi="Times New Roman" w:cs="Times New Roman"/>
          <w:sz w:val="26"/>
          <w:szCs w:val="26"/>
        </w:rPr>
        <w:t>piemērojamo standartu tulkošanu atbilstoši apstiprinātajiem kritērijiem</w:t>
      </w:r>
      <w:r w:rsidR="006A1F65" w:rsidRPr="006B03AD">
        <w:rPr>
          <w:rFonts w:ascii="Times New Roman" w:hAnsi="Times New Roman" w:cs="Times New Roman"/>
          <w:sz w:val="26"/>
          <w:szCs w:val="26"/>
        </w:rPr>
        <w:t>.</w:t>
      </w:r>
    </w:p>
    <w:p w14:paraId="7F2CE353" w14:textId="77777777" w:rsidR="006A1F65" w:rsidRDefault="006A1F65" w:rsidP="006A1F65">
      <w:pPr>
        <w:jc w:val="both"/>
        <w:rPr>
          <w:rFonts w:ascii="Times New Roman" w:hAnsi="Times New Roman" w:cs="Times New Roman"/>
          <w:sz w:val="26"/>
          <w:szCs w:val="26"/>
        </w:rPr>
      </w:pPr>
    </w:p>
    <w:p w14:paraId="5AF23622" w14:textId="2054EE5C" w:rsidR="00F9299E" w:rsidRPr="00226850" w:rsidRDefault="00F9299E" w:rsidP="00226850">
      <w:pPr>
        <w:pStyle w:val="ListParagraph"/>
        <w:numPr>
          <w:ilvl w:val="0"/>
          <w:numId w:val="16"/>
        </w:numPr>
        <w:jc w:val="both"/>
        <w:rPr>
          <w:rFonts w:ascii="Times New Roman" w:hAnsi="Times New Roman" w:cs="Times New Roman"/>
          <w:sz w:val="26"/>
          <w:szCs w:val="26"/>
          <w:u w:val="single"/>
        </w:rPr>
      </w:pPr>
      <w:r w:rsidRPr="00226850">
        <w:rPr>
          <w:rFonts w:ascii="Times New Roman" w:hAnsi="Times New Roman" w:cs="Times New Roman"/>
          <w:sz w:val="26"/>
          <w:szCs w:val="26"/>
          <w:u w:val="single"/>
        </w:rPr>
        <w:t xml:space="preserve">Standartu tulkošanas fonda izveide </w:t>
      </w:r>
    </w:p>
    <w:p w14:paraId="26D3A45B" w14:textId="19BA63E8" w:rsidR="00F9299E" w:rsidRDefault="00F9299E" w:rsidP="00F9299E">
      <w:pPr>
        <w:jc w:val="both"/>
        <w:rPr>
          <w:rFonts w:ascii="Times New Roman" w:hAnsi="Times New Roman" w:cs="Times New Roman"/>
          <w:sz w:val="26"/>
          <w:szCs w:val="26"/>
        </w:rPr>
      </w:pPr>
      <w:r>
        <w:rPr>
          <w:rFonts w:ascii="Times New Roman" w:hAnsi="Times New Roman" w:cs="Times New Roman"/>
          <w:sz w:val="26"/>
          <w:szCs w:val="26"/>
        </w:rPr>
        <w:t xml:space="preserve">Paredzēts veidot standartu tulkošanas fondu, kurā tiktu </w:t>
      </w:r>
      <w:r w:rsidR="00D92578">
        <w:rPr>
          <w:rFonts w:ascii="Times New Roman" w:hAnsi="Times New Roman" w:cs="Times New Roman"/>
          <w:sz w:val="26"/>
          <w:szCs w:val="26"/>
        </w:rPr>
        <w:t>iekļauta</w:t>
      </w:r>
      <w:r>
        <w:rPr>
          <w:rFonts w:ascii="Times New Roman" w:hAnsi="Times New Roman" w:cs="Times New Roman"/>
          <w:sz w:val="26"/>
          <w:szCs w:val="26"/>
        </w:rPr>
        <w:t xml:space="preserve"> daļa</w:t>
      </w:r>
      <w:r w:rsidR="00D92578">
        <w:rPr>
          <w:rFonts w:ascii="Times New Roman" w:hAnsi="Times New Roman" w:cs="Times New Roman"/>
          <w:sz w:val="26"/>
          <w:szCs w:val="26"/>
        </w:rPr>
        <w:t xml:space="preserve"> </w:t>
      </w:r>
      <w:r w:rsidR="003E7EC1">
        <w:rPr>
          <w:rFonts w:ascii="Times New Roman" w:hAnsi="Times New Roman" w:cs="Times New Roman"/>
          <w:sz w:val="26"/>
          <w:szCs w:val="26"/>
        </w:rPr>
        <w:t xml:space="preserve">no </w:t>
      </w:r>
      <w:r w:rsidR="00D92578">
        <w:rPr>
          <w:rFonts w:ascii="Times New Roman" w:hAnsi="Times New Roman" w:cs="Times New Roman"/>
          <w:sz w:val="26"/>
          <w:szCs w:val="26"/>
        </w:rPr>
        <w:t>summas</w:t>
      </w:r>
      <w:r>
        <w:rPr>
          <w:rFonts w:ascii="Times New Roman" w:hAnsi="Times New Roman" w:cs="Times New Roman"/>
          <w:sz w:val="26"/>
          <w:szCs w:val="26"/>
        </w:rPr>
        <w:t xml:space="preserve"> par valsts budžeta līdzekļiem tulkoto standartu pārdošanas. Šie līdzekļi tiktu izmantoti nākošā gada standartu tulkošanas plāna izpildei, kas dotu iespēju palielināt tulkojamo standartu apjomu</w:t>
      </w:r>
      <w:r w:rsidR="003B0B97">
        <w:rPr>
          <w:rFonts w:ascii="Times New Roman" w:hAnsi="Times New Roman" w:cs="Times New Roman"/>
          <w:sz w:val="26"/>
          <w:szCs w:val="26"/>
        </w:rPr>
        <w:t xml:space="preserve"> vai arī ilgtermiņā samazināt standartu tulkošanai paredzētos valsts budžeta līdzekļus</w:t>
      </w:r>
      <w:r>
        <w:rPr>
          <w:rFonts w:ascii="Times New Roman" w:hAnsi="Times New Roman" w:cs="Times New Roman"/>
          <w:sz w:val="26"/>
          <w:szCs w:val="26"/>
        </w:rPr>
        <w:t>.</w:t>
      </w:r>
    </w:p>
    <w:p w14:paraId="1C80A2A0" w14:textId="77777777" w:rsidR="00F9299E" w:rsidRPr="00226850" w:rsidRDefault="00F9299E" w:rsidP="00F9299E">
      <w:pPr>
        <w:jc w:val="both"/>
        <w:rPr>
          <w:rFonts w:ascii="Times New Roman" w:hAnsi="Times New Roman" w:cs="Times New Roman"/>
          <w:sz w:val="26"/>
          <w:szCs w:val="26"/>
        </w:rPr>
      </w:pPr>
    </w:p>
    <w:p w14:paraId="7819E973" w14:textId="77777777" w:rsidR="006A1F65" w:rsidRPr="006B03AD" w:rsidRDefault="006A1F65" w:rsidP="006A1F65">
      <w:pPr>
        <w:pStyle w:val="ListParagraph"/>
        <w:numPr>
          <w:ilvl w:val="0"/>
          <w:numId w:val="16"/>
        </w:numPr>
        <w:jc w:val="both"/>
        <w:rPr>
          <w:rFonts w:ascii="Times New Roman" w:hAnsi="Times New Roman" w:cs="Times New Roman"/>
          <w:sz w:val="26"/>
          <w:szCs w:val="26"/>
          <w:u w:val="single"/>
        </w:rPr>
      </w:pPr>
      <w:r w:rsidRPr="006B03AD">
        <w:rPr>
          <w:rFonts w:ascii="Times New Roman" w:hAnsi="Times New Roman" w:cs="Times New Roman"/>
          <w:sz w:val="26"/>
          <w:szCs w:val="26"/>
          <w:u w:val="single"/>
        </w:rPr>
        <w:t>Nacionālās standartizācijas institūcijas darbības modeļa pilnveidošana</w:t>
      </w:r>
    </w:p>
    <w:p w14:paraId="151DDC30" w14:textId="23A08E91" w:rsidR="006A1F65" w:rsidRPr="006B03AD" w:rsidRDefault="006A1F65" w:rsidP="006A1F65">
      <w:pPr>
        <w:jc w:val="both"/>
        <w:rPr>
          <w:rFonts w:ascii="Times New Roman" w:hAnsi="Times New Roman" w:cs="Times New Roman"/>
          <w:sz w:val="26"/>
          <w:szCs w:val="26"/>
        </w:rPr>
      </w:pPr>
      <w:r w:rsidRPr="006B03AD">
        <w:rPr>
          <w:rFonts w:ascii="Times New Roman" w:hAnsi="Times New Roman" w:cs="Times New Roman"/>
          <w:sz w:val="26"/>
          <w:szCs w:val="26"/>
        </w:rPr>
        <w:t>Ievērojot apstākli, ka standartizācija pēc savas būtības nav valsts pārvaldes uzdevumus</w:t>
      </w:r>
      <w:r w:rsidR="004F3A93" w:rsidRPr="006B03AD">
        <w:rPr>
          <w:rFonts w:ascii="Times New Roman" w:hAnsi="Times New Roman" w:cs="Times New Roman"/>
          <w:sz w:val="26"/>
          <w:szCs w:val="26"/>
        </w:rPr>
        <w:t xml:space="preserve">, konceptuālajā </w:t>
      </w:r>
      <w:r w:rsidRPr="006B03AD">
        <w:rPr>
          <w:rFonts w:ascii="Times New Roman" w:hAnsi="Times New Roman" w:cs="Times New Roman"/>
          <w:sz w:val="26"/>
          <w:szCs w:val="26"/>
        </w:rPr>
        <w:t>ziņojumā tiek noteikts, ka ir nepieciešams veicināt standartizācijas darbību nodošanu privātpersonu pārziņā, tādējādi veicināt plašāku sabiedrības iesaisti šajā procesā un tuvinot šo procesu tā būtībai. Ievērojot dominējošo starptautisko praksi, nacionālā standartizācijas institūcija būtu veidojama kā biedru organizācija, kura būtu atvērta ikvienam interesentam. Ņemot vērā valsts pienākumu nozīmēt un paziņot Eiropas Komisijai atzīto nacionālās standartizācijas institūciju, un apstākli, ka valstīs, kurās standartizācijas sistēma nav pietiekoši attīstīta, nacionālās standartizācijas institūcijas nav spējīgas sevi patstāvīgi uzturēt, ir nepieciešams saglabāt valsts atbalsta mehānismu nacionālās standartizācijas institūcijas darbības nodrošināšanai tādā līmenī, lai nodrošinu visas sabiedrības interešu ievērošanu, kas galvenokārt būtu saistītas ar šādām darbībām:</w:t>
      </w:r>
    </w:p>
    <w:p w14:paraId="3594D735" w14:textId="5A08475E" w:rsidR="006A1F65" w:rsidRPr="006B03AD" w:rsidRDefault="006A1F65" w:rsidP="00E75CE4">
      <w:pPr>
        <w:pStyle w:val="ListParagraph"/>
        <w:numPr>
          <w:ilvl w:val="0"/>
          <w:numId w:val="20"/>
        </w:numPr>
        <w:jc w:val="both"/>
        <w:rPr>
          <w:rFonts w:ascii="Times New Roman" w:hAnsi="Times New Roman" w:cs="Times New Roman"/>
          <w:sz w:val="26"/>
          <w:szCs w:val="26"/>
        </w:rPr>
      </w:pPr>
      <w:r w:rsidRPr="006B03AD">
        <w:rPr>
          <w:rFonts w:ascii="Times New Roman" w:hAnsi="Times New Roman" w:cs="Times New Roman"/>
          <w:sz w:val="26"/>
          <w:szCs w:val="26"/>
        </w:rPr>
        <w:t>piemērojamo standartu izstrāde</w:t>
      </w:r>
      <w:r w:rsidR="000D0801">
        <w:rPr>
          <w:rFonts w:ascii="Times New Roman" w:hAnsi="Times New Roman" w:cs="Times New Roman"/>
          <w:sz w:val="26"/>
          <w:szCs w:val="26"/>
        </w:rPr>
        <w:t xml:space="preserve"> un </w:t>
      </w:r>
      <w:r w:rsidRPr="006B03AD">
        <w:rPr>
          <w:rFonts w:ascii="Times New Roman" w:hAnsi="Times New Roman" w:cs="Times New Roman"/>
          <w:sz w:val="26"/>
          <w:szCs w:val="26"/>
        </w:rPr>
        <w:t>pārskatīšana</w:t>
      </w:r>
      <w:r w:rsidR="000D0801">
        <w:rPr>
          <w:rFonts w:ascii="Times New Roman" w:hAnsi="Times New Roman" w:cs="Times New Roman"/>
          <w:sz w:val="26"/>
          <w:szCs w:val="26"/>
        </w:rPr>
        <w:t xml:space="preserve">, kā arī </w:t>
      </w:r>
      <w:r w:rsidR="00CE45C8">
        <w:rPr>
          <w:rFonts w:ascii="Times New Roman" w:hAnsi="Times New Roman" w:cs="Times New Roman"/>
          <w:sz w:val="26"/>
          <w:szCs w:val="26"/>
        </w:rPr>
        <w:t>visu</w:t>
      </w:r>
      <w:r w:rsidR="000D0801">
        <w:rPr>
          <w:rFonts w:ascii="Times New Roman" w:hAnsi="Times New Roman" w:cs="Times New Roman"/>
          <w:sz w:val="26"/>
          <w:szCs w:val="26"/>
        </w:rPr>
        <w:t xml:space="preserve"> standartu </w:t>
      </w:r>
      <w:r w:rsidRPr="006B03AD">
        <w:rPr>
          <w:rFonts w:ascii="Times New Roman" w:hAnsi="Times New Roman" w:cs="Times New Roman"/>
          <w:sz w:val="26"/>
          <w:szCs w:val="26"/>
        </w:rPr>
        <w:t>tulkošana</w:t>
      </w:r>
      <w:r w:rsidR="00637844" w:rsidRPr="006B03AD">
        <w:rPr>
          <w:rFonts w:ascii="Times New Roman" w:hAnsi="Times New Roman" w:cs="Times New Roman"/>
          <w:sz w:val="26"/>
          <w:szCs w:val="26"/>
        </w:rPr>
        <w:t xml:space="preserve">, tai skaitā </w:t>
      </w:r>
      <w:r w:rsidR="00302D1B" w:rsidRPr="006B03AD">
        <w:rPr>
          <w:rFonts w:ascii="Times New Roman" w:hAnsi="Times New Roman" w:cs="Times New Roman"/>
          <w:sz w:val="26"/>
          <w:szCs w:val="26"/>
        </w:rPr>
        <w:t xml:space="preserve">nevalstisko organizāciju, kā arī mazo un vidējo uzņēmumu iesaistīšana </w:t>
      </w:r>
      <w:r w:rsidR="00A83D65" w:rsidRPr="006B03AD">
        <w:rPr>
          <w:rFonts w:ascii="Times New Roman" w:hAnsi="Times New Roman" w:cs="Times New Roman"/>
          <w:sz w:val="26"/>
          <w:szCs w:val="26"/>
        </w:rPr>
        <w:t>šajā procesā</w:t>
      </w:r>
      <w:r w:rsidRPr="006B03AD">
        <w:rPr>
          <w:rFonts w:ascii="Times New Roman" w:hAnsi="Times New Roman" w:cs="Times New Roman"/>
          <w:sz w:val="26"/>
          <w:szCs w:val="26"/>
        </w:rPr>
        <w:t>;</w:t>
      </w:r>
    </w:p>
    <w:p w14:paraId="2A10E7D1" w14:textId="77777777" w:rsidR="004F3A93" w:rsidRPr="006B03AD" w:rsidRDefault="006A1F65" w:rsidP="004F3A93">
      <w:pPr>
        <w:pStyle w:val="ListParagraph"/>
        <w:numPr>
          <w:ilvl w:val="0"/>
          <w:numId w:val="20"/>
        </w:numPr>
        <w:jc w:val="both"/>
        <w:rPr>
          <w:rFonts w:ascii="Times New Roman" w:hAnsi="Times New Roman" w:cs="Times New Roman"/>
          <w:sz w:val="26"/>
          <w:szCs w:val="26"/>
        </w:rPr>
      </w:pPr>
      <w:r w:rsidRPr="006B03AD">
        <w:rPr>
          <w:rFonts w:ascii="Times New Roman" w:hAnsi="Times New Roman" w:cs="Times New Roman"/>
          <w:sz w:val="26"/>
          <w:szCs w:val="26"/>
        </w:rPr>
        <w:t>attiecīgo standartu būtības un atbilstības attiecīgajos normatīvajos aktos noteiktajām prasībām un politikas jomai izvērtējums;</w:t>
      </w:r>
    </w:p>
    <w:p w14:paraId="659A156A" w14:textId="77777777" w:rsidR="004F3A93" w:rsidRPr="006B03AD" w:rsidRDefault="006A1F65" w:rsidP="001D421D">
      <w:pPr>
        <w:pStyle w:val="ListParagraph"/>
        <w:numPr>
          <w:ilvl w:val="0"/>
          <w:numId w:val="20"/>
        </w:numPr>
        <w:ind w:hanging="720"/>
        <w:jc w:val="both"/>
        <w:rPr>
          <w:sz w:val="26"/>
          <w:szCs w:val="26"/>
        </w:rPr>
      </w:pPr>
      <w:r w:rsidRPr="006B03AD">
        <w:rPr>
          <w:rFonts w:ascii="Times New Roman" w:hAnsi="Times New Roman" w:cs="Times New Roman"/>
          <w:sz w:val="26"/>
          <w:szCs w:val="26"/>
        </w:rPr>
        <w:t>nacionālās standartizācijas institūcijas sekretariāta darbības nodrošināšanai;</w:t>
      </w:r>
    </w:p>
    <w:p w14:paraId="63347133" w14:textId="77777777" w:rsidR="003110F0" w:rsidRPr="006B03AD" w:rsidRDefault="006A1F65" w:rsidP="001D421D">
      <w:pPr>
        <w:pStyle w:val="ListParagraph"/>
        <w:numPr>
          <w:ilvl w:val="0"/>
          <w:numId w:val="20"/>
        </w:numPr>
        <w:ind w:hanging="720"/>
        <w:jc w:val="both"/>
        <w:rPr>
          <w:sz w:val="26"/>
          <w:szCs w:val="26"/>
        </w:rPr>
      </w:pPr>
      <w:r w:rsidRPr="006B03AD">
        <w:rPr>
          <w:rFonts w:ascii="Times New Roman" w:hAnsi="Times New Roman" w:cs="Times New Roman"/>
          <w:sz w:val="26"/>
          <w:szCs w:val="26"/>
        </w:rPr>
        <w:t>informatīvajiem pasākumiem, kas saistīti ar standartizācijas jautājumu popularizēšanu un skaidrošanu.</w:t>
      </w:r>
    </w:p>
    <w:p w14:paraId="6DE7AEBB" w14:textId="77777777" w:rsidR="003110F0" w:rsidRPr="006B03AD" w:rsidRDefault="003110F0">
      <w:pPr>
        <w:rPr>
          <w:rFonts w:ascii="Times New Roman" w:hAnsi="Times New Roman" w:cs="Times New Roman"/>
          <w:sz w:val="26"/>
          <w:szCs w:val="26"/>
        </w:rPr>
      </w:pPr>
      <w:r w:rsidRPr="006B03AD">
        <w:rPr>
          <w:rFonts w:ascii="Times New Roman" w:hAnsi="Times New Roman" w:cs="Times New Roman"/>
          <w:sz w:val="26"/>
          <w:szCs w:val="26"/>
        </w:rPr>
        <w:br w:type="page"/>
      </w:r>
    </w:p>
    <w:p w14:paraId="6C2729C7" w14:textId="77777777" w:rsidR="003110F0" w:rsidRPr="006B03AD" w:rsidRDefault="0032355E" w:rsidP="00B972E0">
      <w:pPr>
        <w:pStyle w:val="Heading1"/>
      </w:pPr>
      <w:bookmarkStart w:id="2" w:name="_Toc451859771"/>
      <w:bookmarkStart w:id="3" w:name="_Toc451859994"/>
      <w:r w:rsidRPr="006B03AD">
        <w:lastRenderedPageBreak/>
        <w:t>SITUĀCIJAS APRAKSTS</w:t>
      </w:r>
      <w:bookmarkEnd w:id="2"/>
      <w:bookmarkEnd w:id="3"/>
    </w:p>
    <w:p w14:paraId="357A9C39" w14:textId="77777777" w:rsidR="003110F0" w:rsidRPr="006B03AD" w:rsidRDefault="003110F0" w:rsidP="003110F0">
      <w:pPr>
        <w:jc w:val="center"/>
        <w:rPr>
          <w:rFonts w:ascii="Times New Roman" w:hAnsi="Times New Roman" w:cs="Times New Roman"/>
          <w:sz w:val="26"/>
          <w:szCs w:val="26"/>
        </w:rPr>
      </w:pPr>
    </w:p>
    <w:p w14:paraId="3BC803F5" w14:textId="77777777" w:rsidR="005128A2" w:rsidRPr="006B03AD" w:rsidRDefault="00C61775" w:rsidP="002269CF">
      <w:pPr>
        <w:ind w:firstLine="360"/>
        <w:jc w:val="both"/>
        <w:rPr>
          <w:rFonts w:ascii="Times New Roman" w:hAnsi="Times New Roman" w:cs="Times New Roman"/>
          <w:sz w:val="26"/>
          <w:szCs w:val="26"/>
        </w:rPr>
      </w:pPr>
      <w:r w:rsidRPr="006B03AD">
        <w:rPr>
          <w:rFonts w:ascii="Times New Roman" w:hAnsi="Times New Roman" w:cs="Times New Roman"/>
          <w:sz w:val="26"/>
          <w:szCs w:val="26"/>
        </w:rPr>
        <w:t>A</w:t>
      </w:r>
      <w:r w:rsidR="005128A2" w:rsidRPr="006B03AD">
        <w:rPr>
          <w:rFonts w:ascii="Times New Roman" w:hAnsi="Times New Roman" w:cs="Times New Roman"/>
          <w:sz w:val="26"/>
          <w:szCs w:val="26"/>
        </w:rPr>
        <w:t xml:space="preserve">r Ministru kabineta 2011.gada 15.decembra rīkojumu Nr.658 „Grozījums Ministru kabineta 2011.gada 25.maija rīkojumā Nr.217 „Par obligāti piemērojamo Latvijas nacionālo standartu tulkošanu”” (protokola Nr.74, 6.§) tika atbalstīta koncepcijas projekta izstrāde par Latvijas nacionālās standartizācijas sistēmas pilnveidošanu, nosakot standartu lomu Latvijas tiesību sistēmā un nepieciešamos uzlabojumus normatīvajā regulējumā standartizācijas jomā. Vienlaikus Ekonomikas ministrijai tika uzdots koncepcijas ietvaros risināt jautājumu par obligāti piemērojamo standartu tulkošanu, kā vienu no variantiem izvērtējot iespēju iekļaut standartu tulkošanas izmaksas standartu iegādes cenā. </w:t>
      </w:r>
    </w:p>
    <w:p w14:paraId="034CB243" w14:textId="77777777" w:rsidR="005128A2" w:rsidRPr="006B03AD" w:rsidRDefault="005128A2" w:rsidP="005128A2">
      <w:pPr>
        <w:jc w:val="both"/>
        <w:rPr>
          <w:rFonts w:ascii="Times New Roman" w:hAnsi="Times New Roman" w:cs="Times New Roman"/>
          <w:sz w:val="26"/>
          <w:szCs w:val="26"/>
        </w:rPr>
      </w:pPr>
    </w:p>
    <w:p w14:paraId="305F692A" w14:textId="77777777" w:rsidR="00794AC4" w:rsidRPr="006B03AD" w:rsidRDefault="002269CF" w:rsidP="00F922CB">
      <w:pPr>
        <w:ind w:firstLine="360"/>
        <w:jc w:val="both"/>
        <w:rPr>
          <w:rFonts w:ascii="Times New Roman" w:hAnsi="Times New Roman" w:cs="Times New Roman"/>
          <w:sz w:val="26"/>
          <w:szCs w:val="26"/>
        </w:rPr>
      </w:pPr>
      <w:r w:rsidRPr="006B03AD">
        <w:rPr>
          <w:rFonts w:ascii="Times New Roman" w:hAnsi="Times New Roman" w:cs="Times New Roman"/>
          <w:sz w:val="26"/>
          <w:szCs w:val="26"/>
        </w:rPr>
        <w:t>Latvijas standartizācijas sistēma ir izveidota uz Eiropas standartizācijas sistēmas bāzes, kura</w:t>
      </w:r>
      <w:r w:rsidR="002303F5" w:rsidRPr="006B03AD">
        <w:rPr>
          <w:rFonts w:ascii="Times New Roman" w:hAnsi="Times New Roman" w:cs="Times New Roman"/>
          <w:sz w:val="26"/>
          <w:szCs w:val="26"/>
        </w:rPr>
        <w:t>s</w:t>
      </w:r>
      <w:r w:rsidRPr="006B03AD">
        <w:rPr>
          <w:rFonts w:ascii="Times New Roman" w:hAnsi="Times New Roman" w:cs="Times New Roman"/>
          <w:sz w:val="26"/>
          <w:szCs w:val="26"/>
        </w:rPr>
        <w:t xml:space="preserve"> izveidē savukārt ir piemēroti </w:t>
      </w:r>
      <w:r w:rsidR="00F922CB" w:rsidRPr="006B03AD">
        <w:rPr>
          <w:rFonts w:ascii="Times New Roman" w:hAnsi="Times New Roman" w:cs="Times New Roman"/>
          <w:sz w:val="26"/>
          <w:szCs w:val="26"/>
        </w:rPr>
        <w:t>starptautiskās standartizācijas galvenie pamatprincipi</w:t>
      </w:r>
      <w:r w:rsidRPr="006B03AD">
        <w:rPr>
          <w:rFonts w:ascii="Times New Roman" w:hAnsi="Times New Roman" w:cs="Times New Roman"/>
          <w:sz w:val="26"/>
          <w:szCs w:val="26"/>
        </w:rPr>
        <w:t xml:space="preserve"> - </w:t>
      </w:r>
      <w:r w:rsidRPr="006B03AD">
        <w:rPr>
          <w:rFonts w:ascii="Times New Roman" w:hAnsi="Times New Roman" w:cs="Times New Roman"/>
          <w:b/>
          <w:sz w:val="26"/>
          <w:szCs w:val="26"/>
        </w:rPr>
        <w:t>saskaņotība, caurspīdīgums, atklātība, vienprātība, brīvprātīga dalība, neatkarība no īpašām interesēm un efektivitāte</w:t>
      </w:r>
      <w:r w:rsidRPr="006B03AD">
        <w:rPr>
          <w:rFonts w:ascii="Times New Roman" w:hAnsi="Times New Roman" w:cs="Times New Roman"/>
          <w:sz w:val="26"/>
          <w:szCs w:val="26"/>
        </w:rPr>
        <w:t xml:space="preserve">. Atbilstoši </w:t>
      </w:r>
      <w:r w:rsidR="00F922CB" w:rsidRPr="006B03AD">
        <w:rPr>
          <w:rFonts w:ascii="Times New Roman" w:hAnsi="Times New Roman" w:cs="Times New Roman"/>
          <w:sz w:val="26"/>
          <w:szCs w:val="26"/>
        </w:rPr>
        <w:t xml:space="preserve">Pasaules tirdzniecības organizācijas (turpmāk - </w:t>
      </w:r>
      <w:r w:rsidR="00C61775" w:rsidRPr="006B03AD">
        <w:rPr>
          <w:rFonts w:ascii="Times New Roman" w:hAnsi="Times New Roman" w:cs="Times New Roman"/>
          <w:sz w:val="26"/>
          <w:szCs w:val="26"/>
        </w:rPr>
        <w:t>P</w:t>
      </w:r>
      <w:r w:rsidR="00F922CB" w:rsidRPr="006B03AD">
        <w:rPr>
          <w:rFonts w:ascii="Times New Roman" w:hAnsi="Times New Roman" w:cs="Times New Roman"/>
          <w:sz w:val="26"/>
          <w:szCs w:val="26"/>
        </w:rPr>
        <w:t>TO)</w:t>
      </w:r>
      <w:r w:rsidRPr="006B03AD">
        <w:rPr>
          <w:rFonts w:ascii="Times New Roman" w:hAnsi="Times New Roman" w:cs="Times New Roman"/>
          <w:sz w:val="26"/>
          <w:szCs w:val="26"/>
        </w:rPr>
        <w:t xml:space="preserve"> vienošanās par tirdzniecības tehniskajām barjerām (turpmāk - TBT) nosacījumiem valsts pārvaldes iestādēm </w:t>
      </w:r>
      <w:r w:rsidRPr="006B03AD">
        <w:rPr>
          <w:rFonts w:ascii="Times New Roman" w:hAnsi="Times New Roman" w:cs="Times New Roman"/>
          <w:sz w:val="26"/>
          <w:szCs w:val="26"/>
          <w:u w:val="single"/>
        </w:rPr>
        <w:t>visos iespējamajos gadījumos jācenšas izmantot starptautiskos, reģionālos un nacionālos standartus likumdošanas darbā</w:t>
      </w:r>
      <w:r w:rsidR="002303F5" w:rsidRPr="006B03AD">
        <w:rPr>
          <w:rFonts w:ascii="Times New Roman" w:hAnsi="Times New Roman" w:cs="Times New Roman"/>
          <w:sz w:val="26"/>
          <w:szCs w:val="26"/>
        </w:rPr>
        <w:t xml:space="preserve">, lai mazinātu </w:t>
      </w:r>
      <w:proofErr w:type="spellStart"/>
      <w:r w:rsidR="002303F5" w:rsidRPr="006B03AD">
        <w:rPr>
          <w:rFonts w:ascii="Times New Roman" w:hAnsi="Times New Roman" w:cs="Times New Roman"/>
          <w:sz w:val="26"/>
          <w:szCs w:val="26"/>
        </w:rPr>
        <w:t>netarifu</w:t>
      </w:r>
      <w:proofErr w:type="spellEnd"/>
      <w:r w:rsidR="002303F5" w:rsidRPr="006B03AD">
        <w:rPr>
          <w:rFonts w:ascii="Times New Roman" w:hAnsi="Times New Roman" w:cs="Times New Roman"/>
          <w:sz w:val="26"/>
          <w:szCs w:val="26"/>
        </w:rPr>
        <w:t xml:space="preserve"> barjeras starptautiskajā tirdzniecībā</w:t>
      </w:r>
      <w:r w:rsidRPr="006B03AD">
        <w:rPr>
          <w:rFonts w:ascii="Times New Roman" w:hAnsi="Times New Roman" w:cs="Times New Roman"/>
          <w:sz w:val="26"/>
          <w:szCs w:val="26"/>
        </w:rPr>
        <w:t>. Tāpēc standarti arvien vairāk tiek izmantoti kā normatīvo aktu izstrādes atbalsta instruments</w:t>
      </w:r>
      <w:r w:rsidR="00C61775" w:rsidRPr="006B03AD">
        <w:rPr>
          <w:rFonts w:ascii="Times New Roman" w:hAnsi="Times New Roman" w:cs="Times New Roman"/>
          <w:sz w:val="26"/>
          <w:szCs w:val="26"/>
        </w:rPr>
        <w:t xml:space="preserve"> un</w:t>
      </w:r>
      <w:r w:rsidRPr="006B03AD">
        <w:rPr>
          <w:rFonts w:ascii="Times New Roman" w:hAnsi="Times New Roman" w:cs="Times New Roman"/>
          <w:sz w:val="26"/>
          <w:szCs w:val="26"/>
        </w:rPr>
        <w:t xml:space="preserve"> </w:t>
      </w:r>
      <w:r w:rsidR="00C61775" w:rsidRPr="006B03AD">
        <w:rPr>
          <w:rFonts w:ascii="Times New Roman" w:hAnsi="Times New Roman" w:cs="Times New Roman"/>
          <w:sz w:val="26"/>
          <w:szCs w:val="26"/>
        </w:rPr>
        <w:t>s</w:t>
      </w:r>
      <w:r w:rsidRPr="006B03AD">
        <w:rPr>
          <w:rFonts w:ascii="Times New Roman" w:hAnsi="Times New Roman" w:cs="Times New Roman"/>
          <w:sz w:val="26"/>
          <w:szCs w:val="26"/>
        </w:rPr>
        <w:t xml:space="preserve">tandartu nozīme normatīvo aktu izstrādāšanas procesā pakāpeniski pieaug. </w:t>
      </w:r>
    </w:p>
    <w:p w14:paraId="57524C45" w14:textId="77777777" w:rsidR="003A50D6" w:rsidRDefault="003A50D6" w:rsidP="003A50D6">
      <w:pPr>
        <w:spacing w:after="120"/>
        <w:ind w:firstLine="709"/>
        <w:jc w:val="both"/>
        <w:rPr>
          <w:rFonts w:ascii="Times New Roman" w:hAnsi="Times New Roman"/>
          <w:color w:val="000000"/>
          <w:sz w:val="26"/>
          <w:szCs w:val="26"/>
        </w:rPr>
      </w:pPr>
    </w:p>
    <w:p w14:paraId="0B44E603" w14:textId="77777777" w:rsidR="008D49B6" w:rsidRDefault="008D49B6" w:rsidP="003A50D6">
      <w:pPr>
        <w:spacing w:after="120"/>
        <w:ind w:firstLine="709"/>
        <w:jc w:val="both"/>
        <w:rPr>
          <w:rFonts w:ascii="Times New Roman" w:hAnsi="Times New Roman"/>
          <w:color w:val="000000"/>
          <w:sz w:val="26"/>
          <w:szCs w:val="26"/>
        </w:rPr>
      </w:pPr>
      <w:r w:rsidRPr="00F10507">
        <w:rPr>
          <w:rFonts w:ascii="Times New Roman" w:hAnsi="Times New Roman"/>
          <w:color w:val="000000"/>
          <w:sz w:val="26"/>
          <w:szCs w:val="26"/>
        </w:rPr>
        <w:t xml:space="preserve">Līdz 2016.gada 1.janvārim nacionālajā standartizācijas institūcijā reģistrēti </w:t>
      </w:r>
      <w:r w:rsidR="00F10507" w:rsidRPr="00F10507">
        <w:rPr>
          <w:rFonts w:ascii="Times New Roman" w:hAnsi="Times New Roman"/>
          <w:color w:val="000000"/>
          <w:sz w:val="26"/>
          <w:szCs w:val="26"/>
        </w:rPr>
        <w:t>37853</w:t>
      </w:r>
      <w:r w:rsidRPr="00F10507">
        <w:rPr>
          <w:rFonts w:ascii="Times New Roman" w:hAnsi="Times New Roman"/>
          <w:color w:val="000000"/>
          <w:sz w:val="26"/>
          <w:szCs w:val="26"/>
        </w:rPr>
        <w:t xml:space="preserve"> standartizācijas dokumenti, </w:t>
      </w:r>
      <w:r w:rsidR="00F10507" w:rsidRPr="00F10507">
        <w:rPr>
          <w:rFonts w:ascii="Times New Roman" w:hAnsi="Times New Roman"/>
          <w:color w:val="000000"/>
          <w:sz w:val="26"/>
          <w:szCs w:val="26"/>
        </w:rPr>
        <w:t>no kuriem 587 ir nacionālie standarti</w:t>
      </w:r>
      <w:r w:rsidRPr="00F10507">
        <w:rPr>
          <w:rFonts w:ascii="Times New Roman" w:hAnsi="Times New Roman"/>
          <w:color w:val="000000"/>
          <w:sz w:val="26"/>
          <w:szCs w:val="26"/>
        </w:rPr>
        <w:t xml:space="preserve">. Nacionālajā standartizācijas institūcijā ir izveidotas </w:t>
      </w:r>
      <w:r w:rsidR="00F10507" w:rsidRPr="00F10507">
        <w:rPr>
          <w:rFonts w:ascii="Times New Roman" w:hAnsi="Times New Roman"/>
          <w:color w:val="000000"/>
          <w:sz w:val="26"/>
          <w:szCs w:val="26"/>
        </w:rPr>
        <w:t>56</w:t>
      </w:r>
      <w:r w:rsidRPr="00F10507">
        <w:rPr>
          <w:rFonts w:ascii="Times New Roman" w:hAnsi="Times New Roman"/>
          <w:color w:val="000000"/>
          <w:sz w:val="26"/>
          <w:szCs w:val="26"/>
        </w:rPr>
        <w:t xml:space="preserve"> Standartizācijas tehniskās komitejas, kuras 2015.gadā adaptējuša</w:t>
      </w:r>
      <w:r w:rsidR="00422FCE" w:rsidRPr="00F10507">
        <w:rPr>
          <w:rFonts w:ascii="Times New Roman" w:hAnsi="Times New Roman"/>
          <w:color w:val="000000"/>
          <w:sz w:val="26"/>
          <w:szCs w:val="26"/>
        </w:rPr>
        <w:t>s 1363</w:t>
      </w:r>
      <w:r w:rsidRPr="00F10507">
        <w:rPr>
          <w:rFonts w:ascii="Times New Roman" w:hAnsi="Times New Roman"/>
          <w:color w:val="000000"/>
          <w:sz w:val="26"/>
          <w:szCs w:val="26"/>
        </w:rPr>
        <w:t xml:space="preserve"> Eiropas standartus, kā arī </w:t>
      </w:r>
      <w:r w:rsidR="005B5056" w:rsidRPr="00F10507">
        <w:rPr>
          <w:rFonts w:ascii="Times New Roman" w:hAnsi="Times New Roman"/>
          <w:color w:val="000000"/>
          <w:sz w:val="26"/>
          <w:szCs w:val="26"/>
        </w:rPr>
        <w:t>apstiprinājušas 23 standartu</w:t>
      </w:r>
      <w:r w:rsidR="00422FCE" w:rsidRPr="00422FCE">
        <w:rPr>
          <w:rFonts w:ascii="Times New Roman" w:hAnsi="Times New Roman"/>
          <w:color w:val="000000"/>
          <w:sz w:val="26"/>
          <w:szCs w:val="26"/>
        </w:rPr>
        <w:t xml:space="preserve"> tulkojumus valsts valodā.</w:t>
      </w:r>
    </w:p>
    <w:p w14:paraId="162B4AB9" w14:textId="090AC3AB" w:rsidR="001A2BCE" w:rsidRDefault="00FA07D4" w:rsidP="00226850">
      <w:pPr>
        <w:ind w:firstLine="709"/>
        <w:jc w:val="both"/>
        <w:rPr>
          <w:rFonts w:ascii="Times New Roman" w:hAnsi="Times New Roman"/>
          <w:color w:val="000000"/>
          <w:sz w:val="26"/>
          <w:szCs w:val="26"/>
        </w:rPr>
      </w:pPr>
      <w:r>
        <w:rPr>
          <w:rFonts w:ascii="Times New Roman" w:hAnsi="Times New Roman"/>
          <w:color w:val="000000"/>
          <w:sz w:val="26"/>
          <w:szCs w:val="26"/>
        </w:rPr>
        <w:t>Lai nodrošin</w:t>
      </w:r>
      <w:r w:rsidR="00E14CAC">
        <w:rPr>
          <w:rFonts w:ascii="Times New Roman" w:hAnsi="Times New Roman"/>
          <w:color w:val="000000"/>
          <w:sz w:val="26"/>
          <w:szCs w:val="26"/>
        </w:rPr>
        <w:t>ātu sabiedrības pieejamību standartiem, š</w:t>
      </w:r>
      <w:r w:rsidR="008A5A17">
        <w:rPr>
          <w:rFonts w:ascii="Times New Roman" w:hAnsi="Times New Roman"/>
          <w:color w:val="000000"/>
          <w:sz w:val="26"/>
          <w:szCs w:val="26"/>
        </w:rPr>
        <w:t>obrī</w:t>
      </w:r>
      <w:r>
        <w:rPr>
          <w:rFonts w:ascii="Times New Roman" w:hAnsi="Times New Roman"/>
          <w:color w:val="000000"/>
          <w:sz w:val="26"/>
          <w:szCs w:val="26"/>
        </w:rPr>
        <w:t xml:space="preserve">d </w:t>
      </w:r>
      <w:r w:rsidR="008A5A17">
        <w:rPr>
          <w:rFonts w:ascii="Times New Roman" w:hAnsi="Times New Roman"/>
          <w:color w:val="000000"/>
          <w:sz w:val="26"/>
          <w:szCs w:val="26"/>
        </w:rPr>
        <w:t>standart</w:t>
      </w:r>
      <w:r>
        <w:rPr>
          <w:rFonts w:ascii="Times New Roman" w:hAnsi="Times New Roman"/>
          <w:color w:val="000000"/>
          <w:sz w:val="26"/>
          <w:szCs w:val="26"/>
        </w:rPr>
        <w:t xml:space="preserve">us </w:t>
      </w:r>
      <w:r w:rsidR="00E14CAC">
        <w:rPr>
          <w:rFonts w:ascii="Times New Roman" w:hAnsi="Times New Roman"/>
          <w:color w:val="000000"/>
          <w:sz w:val="26"/>
          <w:szCs w:val="26"/>
        </w:rPr>
        <w:t xml:space="preserve">bezmaksas ir iespējams </w:t>
      </w:r>
      <w:r w:rsidR="00BB4588">
        <w:rPr>
          <w:rFonts w:ascii="Times New Roman" w:hAnsi="Times New Roman"/>
          <w:color w:val="000000"/>
          <w:sz w:val="26"/>
          <w:szCs w:val="26"/>
        </w:rPr>
        <w:t>lasīt n</w:t>
      </w:r>
      <w:r w:rsidR="000D05E2">
        <w:rPr>
          <w:rFonts w:ascii="Times New Roman" w:hAnsi="Times New Roman"/>
          <w:color w:val="000000"/>
          <w:sz w:val="26"/>
          <w:szCs w:val="26"/>
        </w:rPr>
        <w:t>acionālā</w:t>
      </w:r>
      <w:r w:rsidR="00BB4588">
        <w:rPr>
          <w:rFonts w:ascii="Times New Roman" w:hAnsi="Times New Roman"/>
          <w:color w:val="000000"/>
          <w:sz w:val="26"/>
          <w:szCs w:val="26"/>
        </w:rPr>
        <w:t>s</w:t>
      </w:r>
      <w:r w:rsidR="000D05E2">
        <w:rPr>
          <w:rFonts w:ascii="Times New Roman" w:hAnsi="Times New Roman"/>
          <w:color w:val="000000"/>
          <w:sz w:val="26"/>
          <w:szCs w:val="26"/>
        </w:rPr>
        <w:t xml:space="preserve"> standartizācijas institū</w:t>
      </w:r>
      <w:r w:rsidR="00605F50">
        <w:rPr>
          <w:rFonts w:ascii="Times New Roman" w:hAnsi="Times New Roman"/>
          <w:color w:val="000000"/>
          <w:sz w:val="26"/>
          <w:szCs w:val="26"/>
        </w:rPr>
        <w:t>cija</w:t>
      </w:r>
      <w:r w:rsidR="00BB4588">
        <w:rPr>
          <w:rFonts w:ascii="Times New Roman" w:hAnsi="Times New Roman"/>
          <w:color w:val="000000"/>
          <w:sz w:val="26"/>
          <w:szCs w:val="26"/>
        </w:rPr>
        <w:t xml:space="preserve">s standartu lasītavā. Papildus, ievērojot </w:t>
      </w:r>
      <w:r w:rsidR="00A67FBA">
        <w:rPr>
          <w:rFonts w:ascii="Times New Roman" w:hAnsi="Times New Roman"/>
          <w:color w:val="000000"/>
          <w:sz w:val="26"/>
          <w:szCs w:val="26"/>
        </w:rPr>
        <w:t>Obligāto eks</w:t>
      </w:r>
      <w:r w:rsidR="006D0AB8">
        <w:rPr>
          <w:rFonts w:ascii="Times New Roman" w:hAnsi="Times New Roman"/>
          <w:color w:val="000000"/>
          <w:sz w:val="26"/>
          <w:szCs w:val="26"/>
        </w:rPr>
        <w:t>em</w:t>
      </w:r>
      <w:r w:rsidR="008268C6">
        <w:rPr>
          <w:rFonts w:ascii="Times New Roman" w:hAnsi="Times New Roman"/>
          <w:color w:val="000000"/>
          <w:sz w:val="26"/>
          <w:szCs w:val="26"/>
        </w:rPr>
        <w:t>pl</w:t>
      </w:r>
      <w:r w:rsidR="00A67FBA">
        <w:rPr>
          <w:rFonts w:ascii="Times New Roman" w:hAnsi="Times New Roman"/>
          <w:color w:val="000000"/>
          <w:sz w:val="26"/>
          <w:szCs w:val="26"/>
        </w:rPr>
        <w:t xml:space="preserve">āru likuma </w:t>
      </w:r>
      <w:r w:rsidR="00CA277E">
        <w:rPr>
          <w:rFonts w:ascii="Times New Roman" w:hAnsi="Times New Roman"/>
          <w:color w:val="000000"/>
          <w:sz w:val="26"/>
          <w:szCs w:val="26"/>
        </w:rPr>
        <w:t>normas, bezmaksas pieejamība standartiem ir nodro</w:t>
      </w:r>
      <w:r w:rsidR="00117CC6">
        <w:rPr>
          <w:rFonts w:ascii="Times New Roman" w:hAnsi="Times New Roman"/>
          <w:color w:val="000000"/>
          <w:sz w:val="26"/>
          <w:szCs w:val="26"/>
        </w:rPr>
        <w:t>šināta arī Latvijas N</w:t>
      </w:r>
      <w:r w:rsidR="00CA277E">
        <w:rPr>
          <w:rFonts w:ascii="Times New Roman" w:hAnsi="Times New Roman"/>
          <w:color w:val="000000"/>
          <w:sz w:val="26"/>
          <w:szCs w:val="26"/>
        </w:rPr>
        <w:t xml:space="preserve">acionālajā bibliotēkā. </w:t>
      </w:r>
      <w:r w:rsidR="0068319F">
        <w:rPr>
          <w:rFonts w:ascii="Times New Roman" w:hAnsi="Times New Roman"/>
          <w:color w:val="000000"/>
          <w:sz w:val="26"/>
          <w:szCs w:val="26"/>
        </w:rPr>
        <w:t>Savukā</w:t>
      </w:r>
      <w:r w:rsidR="004E2491">
        <w:rPr>
          <w:rFonts w:ascii="Times New Roman" w:hAnsi="Times New Roman"/>
          <w:color w:val="000000"/>
          <w:sz w:val="26"/>
          <w:szCs w:val="26"/>
        </w:rPr>
        <w:t>rt</w:t>
      </w:r>
      <w:r w:rsidR="00D33323">
        <w:rPr>
          <w:rFonts w:ascii="Times New Roman" w:hAnsi="Times New Roman"/>
          <w:color w:val="000000"/>
          <w:sz w:val="26"/>
          <w:szCs w:val="26"/>
        </w:rPr>
        <w:t xml:space="preserve">, lai </w:t>
      </w:r>
      <w:r w:rsidR="0099029C">
        <w:rPr>
          <w:rFonts w:ascii="Times New Roman" w:hAnsi="Times New Roman"/>
          <w:color w:val="000000"/>
          <w:sz w:val="26"/>
          <w:szCs w:val="26"/>
        </w:rPr>
        <w:t xml:space="preserve">sekmētu studentu zināšanu līmeņa attīstību un tās atbilstību starptautiski un reģionāli atzītajai praksei, nacionālā standartizācijas institūcija </w:t>
      </w:r>
      <w:r w:rsidR="004E2491">
        <w:rPr>
          <w:rFonts w:ascii="Times New Roman" w:hAnsi="Times New Roman"/>
          <w:color w:val="000000"/>
          <w:sz w:val="26"/>
          <w:szCs w:val="26"/>
        </w:rPr>
        <w:t xml:space="preserve">uz </w:t>
      </w:r>
      <w:r w:rsidR="003D5FFB">
        <w:rPr>
          <w:rFonts w:ascii="Times New Roman" w:hAnsi="Times New Roman"/>
          <w:color w:val="000000"/>
          <w:sz w:val="26"/>
          <w:szCs w:val="26"/>
        </w:rPr>
        <w:t xml:space="preserve">atvieglotiem nosacījumiem un samazinātu </w:t>
      </w:r>
      <w:r w:rsidR="00AA75B9">
        <w:rPr>
          <w:rFonts w:ascii="Times New Roman" w:hAnsi="Times New Roman"/>
          <w:color w:val="000000"/>
          <w:sz w:val="26"/>
          <w:szCs w:val="26"/>
        </w:rPr>
        <w:t>gada abonenta maksu standartu lasītavas</w:t>
      </w:r>
      <w:r w:rsidR="0099029C">
        <w:rPr>
          <w:rFonts w:ascii="Times New Roman" w:hAnsi="Times New Roman"/>
          <w:color w:val="000000"/>
          <w:sz w:val="26"/>
          <w:szCs w:val="26"/>
        </w:rPr>
        <w:t xml:space="preserve"> ir izvietojusi</w:t>
      </w:r>
      <w:r w:rsidR="00AA75B9">
        <w:rPr>
          <w:rFonts w:ascii="Times New Roman" w:hAnsi="Times New Roman"/>
          <w:color w:val="000000"/>
          <w:sz w:val="26"/>
          <w:szCs w:val="26"/>
        </w:rPr>
        <w:t xml:space="preserve"> arī </w:t>
      </w:r>
      <w:r w:rsidR="003D5FFB" w:rsidRPr="003D5FFB">
        <w:rPr>
          <w:rFonts w:ascii="Times New Roman" w:hAnsi="Times New Roman"/>
          <w:color w:val="000000"/>
          <w:sz w:val="26"/>
          <w:szCs w:val="26"/>
        </w:rPr>
        <w:t>R</w:t>
      </w:r>
      <w:r w:rsidR="00AA75B9">
        <w:rPr>
          <w:rFonts w:ascii="Times New Roman" w:hAnsi="Times New Roman"/>
          <w:color w:val="000000"/>
          <w:sz w:val="26"/>
          <w:szCs w:val="26"/>
        </w:rPr>
        <w:t>ī</w:t>
      </w:r>
      <w:r w:rsidR="007D16E4">
        <w:rPr>
          <w:rFonts w:ascii="Times New Roman" w:hAnsi="Times New Roman"/>
          <w:color w:val="000000"/>
          <w:sz w:val="26"/>
          <w:szCs w:val="26"/>
        </w:rPr>
        <w:t>gas T</w:t>
      </w:r>
      <w:r w:rsidR="00F42A04">
        <w:rPr>
          <w:rFonts w:ascii="Times New Roman" w:hAnsi="Times New Roman"/>
          <w:color w:val="000000"/>
          <w:sz w:val="26"/>
          <w:szCs w:val="26"/>
        </w:rPr>
        <w:t>ehniskās</w:t>
      </w:r>
      <w:r w:rsidR="00AA75B9">
        <w:rPr>
          <w:rFonts w:ascii="Times New Roman" w:hAnsi="Times New Roman"/>
          <w:color w:val="000000"/>
          <w:sz w:val="26"/>
          <w:szCs w:val="26"/>
        </w:rPr>
        <w:t xml:space="preserve"> universitāt</w:t>
      </w:r>
      <w:r w:rsidR="00D378A1">
        <w:rPr>
          <w:rFonts w:ascii="Times New Roman" w:hAnsi="Times New Roman"/>
          <w:color w:val="000000"/>
          <w:sz w:val="26"/>
          <w:szCs w:val="26"/>
        </w:rPr>
        <w:t>es</w:t>
      </w:r>
      <w:r w:rsidR="00AA75B9">
        <w:rPr>
          <w:rFonts w:ascii="Times New Roman" w:hAnsi="Times New Roman"/>
          <w:color w:val="000000"/>
          <w:sz w:val="26"/>
          <w:szCs w:val="26"/>
        </w:rPr>
        <w:t xml:space="preserve">, </w:t>
      </w:r>
      <w:r w:rsidR="003D5FFB" w:rsidRPr="003D5FFB">
        <w:rPr>
          <w:rFonts w:ascii="Times New Roman" w:hAnsi="Times New Roman"/>
          <w:color w:val="000000"/>
          <w:sz w:val="26"/>
          <w:szCs w:val="26"/>
        </w:rPr>
        <w:t xml:space="preserve">Rēzeknes </w:t>
      </w:r>
      <w:r w:rsidR="007D16E4">
        <w:rPr>
          <w:rFonts w:ascii="Times New Roman" w:hAnsi="Times New Roman"/>
          <w:color w:val="000000"/>
          <w:sz w:val="26"/>
          <w:szCs w:val="26"/>
        </w:rPr>
        <w:t>Tehnoloģiju augstskolas, Rīgas C</w:t>
      </w:r>
      <w:r w:rsidR="003D5FFB" w:rsidRPr="003D5FFB">
        <w:rPr>
          <w:rFonts w:ascii="Times New Roman" w:hAnsi="Times New Roman"/>
          <w:color w:val="000000"/>
          <w:sz w:val="26"/>
          <w:szCs w:val="26"/>
        </w:rPr>
        <w:t>eltniecības koledžas un Ugunsdrošības un civilās aizsardzības koledžas bibliotēkās</w:t>
      </w:r>
      <w:r w:rsidR="00811A73">
        <w:rPr>
          <w:rFonts w:ascii="Times New Roman" w:hAnsi="Times New Roman"/>
          <w:color w:val="000000"/>
          <w:sz w:val="26"/>
          <w:szCs w:val="26"/>
        </w:rPr>
        <w:t>.</w:t>
      </w:r>
    </w:p>
    <w:p w14:paraId="15DE513C" w14:textId="77777777" w:rsidR="001A2BCE" w:rsidRPr="006B03AD" w:rsidRDefault="001A2BCE" w:rsidP="00117A9D">
      <w:pPr>
        <w:spacing w:after="120"/>
        <w:ind w:firstLine="709"/>
        <w:jc w:val="both"/>
        <w:rPr>
          <w:rFonts w:ascii="Times New Roman" w:hAnsi="Times New Roman"/>
          <w:color w:val="000000"/>
          <w:sz w:val="26"/>
          <w:szCs w:val="26"/>
        </w:rPr>
      </w:pPr>
    </w:p>
    <w:p w14:paraId="315D4867" w14:textId="77777777" w:rsidR="00F922CB" w:rsidRPr="006B03AD" w:rsidRDefault="00794AC4" w:rsidP="00AE2B2C">
      <w:pPr>
        <w:ind w:firstLine="360"/>
        <w:jc w:val="both"/>
        <w:rPr>
          <w:rFonts w:ascii="Times New Roman" w:hAnsi="Times New Roman" w:cs="Times New Roman"/>
          <w:b/>
          <w:sz w:val="26"/>
          <w:szCs w:val="26"/>
        </w:rPr>
      </w:pPr>
      <w:r w:rsidRPr="006B03AD">
        <w:rPr>
          <w:rFonts w:ascii="Times New Roman" w:hAnsi="Times New Roman" w:cs="Times New Roman"/>
          <w:b/>
          <w:sz w:val="26"/>
          <w:szCs w:val="26"/>
        </w:rPr>
        <w:t xml:space="preserve">Šī konceptuālā ziņojuma mērķis ir piedāvāt uzlabojumus un veidot vienotu izpratni par standartu izmantošanas veidiem konkrētu valsts politiku ieviešanā. </w:t>
      </w:r>
      <w:r w:rsidRPr="006B03AD">
        <w:rPr>
          <w:rFonts w:ascii="Times New Roman" w:hAnsi="Times New Roman" w:cs="Times New Roman"/>
          <w:sz w:val="26"/>
          <w:szCs w:val="26"/>
        </w:rPr>
        <w:t>I</w:t>
      </w:r>
      <w:r w:rsidR="002269CF" w:rsidRPr="006B03AD">
        <w:rPr>
          <w:rFonts w:ascii="Times New Roman" w:hAnsi="Times New Roman" w:cs="Times New Roman"/>
          <w:sz w:val="26"/>
          <w:szCs w:val="26"/>
        </w:rPr>
        <w:t>dentificējot veidus un kārtību, kādā standartus var izmantot normatīvo aktu izstrādes procesā, lai sasniegtu izvirzāmos politikas mērķus, svarīgi ir ņemt vērā paša standarta būtību</w:t>
      </w:r>
      <w:r w:rsidR="00F922CB" w:rsidRPr="006B03AD">
        <w:rPr>
          <w:rFonts w:ascii="Times New Roman" w:hAnsi="Times New Roman" w:cs="Times New Roman"/>
          <w:sz w:val="26"/>
          <w:szCs w:val="26"/>
        </w:rPr>
        <w:t xml:space="preserve"> un tā </w:t>
      </w:r>
      <w:r w:rsidRPr="006B03AD">
        <w:rPr>
          <w:rFonts w:ascii="Times New Roman" w:hAnsi="Times New Roman" w:cs="Times New Roman"/>
          <w:sz w:val="26"/>
          <w:szCs w:val="26"/>
        </w:rPr>
        <w:t xml:space="preserve">lomu </w:t>
      </w:r>
      <w:r w:rsidR="00F922CB" w:rsidRPr="006B03AD">
        <w:rPr>
          <w:rFonts w:ascii="Times New Roman" w:hAnsi="Times New Roman" w:cs="Times New Roman"/>
          <w:sz w:val="26"/>
          <w:szCs w:val="26"/>
        </w:rPr>
        <w:t>tiesību sistēmā.</w:t>
      </w:r>
    </w:p>
    <w:p w14:paraId="62AF700E" w14:textId="77777777" w:rsidR="006E3488" w:rsidRPr="006B03AD" w:rsidRDefault="00746F3E" w:rsidP="006E3488">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Saskaņā ar starptautiskajiem standartizācijas principiem, kas ir ietverti arī </w:t>
      </w:r>
      <w:r w:rsidR="00C61775" w:rsidRPr="006B03AD">
        <w:rPr>
          <w:rFonts w:ascii="Times New Roman" w:hAnsi="Times New Roman" w:cs="Times New Roman"/>
          <w:sz w:val="26"/>
          <w:szCs w:val="26"/>
        </w:rPr>
        <w:t xml:space="preserve">Eiropas Parlamenta un Padomes </w:t>
      </w:r>
      <w:r w:rsidR="00F9553B">
        <w:rPr>
          <w:rFonts w:ascii="Times New Roman" w:hAnsi="Times New Roman" w:cs="Times New Roman"/>
          <w:sz w:val="26"/>
          <w:szCs w:val="26"/>
        </w:rPr>
        <w:t xml:space="preserve">2012.gada 25.oktobra </w:t>
      </w:r>
      <w:r w:rsidR="00C61775" w:rsidRPr="006B03AD">
        <w:rPr>
          <w:rFonts w:ascii="Times New Roman" w:hAnsi="Times New Roman" w:cs="Times New Roman"/>
          <w:sz w:val="26"/>
          <w:szCs w:val="26"/>
        </w:rPr>
        <w:t xml:space="preserve">Regulā (ES) Nr.1025/2012 </w:t>
      </w:r>
      <w:r w:rsidR="00C61775" w:rsidRPr="006B03AD">
        <w:rPr>
          <w:rFonts w:ascii="Times New Roman" w:hAnsi="Times New Roman" w:cs="Times New Roman"/>
          <w:i/>
          <w:sz w:val="26"/>
          <w:szCs w:val="26"/>
        </w:rPr>
        <w:t xml:space="preserve">par Eiropas Standartizāciju, ar ko groza Padomes Direktīvas 89/686/EEK un 93/15/EEK un </w:t>
      </w:r>
      <w:r w:rsidR="00C61775" w:rsidRPr="006B03AD">
        <w:rPr>
          <w:rFonts w:ascii="Times New Roman" w:hAnsi="Times New Roman" w:cs="Times New Roman"/>
          <w:i/>
          <w:sz w:val="26"/>
          <w:szCs w:val="26"/>
        </w:rPr>
        <w:lastRenderedPageBreak/>
        <w:t>Eiropas Parlamenta un Padomes Direktīvas 94/9/EK, 94/25/EK, 95/16/EK, 97/23/EK, 98/34/EK, 2004/22/EK, 2007/23/EK, 2009/23/EK un 2009/105/EK, un ar ko atceļ Padomes Lēmumu 87/95/EEK un Eiropas Parlamenta un Padomes Lēmumu Nr.1673/2006/EK</w:t>
      </w:r>
      <w:r w:rsidR="00C61775" w:rsidRPr="006B03AD">
        <w:rPr>
          <w:rFonts w:ascii="Times New Roman" w:hAnsi="Times New Roman" w:cs="Times New Roman"/>
          <w:sz w:val="26"/>
          <w:szCs w:val="26"/>
        </w:rPr>
        <w:t xml:space="preserve"> (turpmāk – Standartizācijas Regula (ES) Nr.1025/2012)</w:t>
      </w:r>
      <w:r w:rsidRPr="006B03AD">
        <w:rPr>
          <w:rFonts w:ascii="Times New Roman" w:hAnsi="Times New Roman" w:cs="Times New Roman"/>
          <w:sz w:val="26"/>
          <w:szCs w:val="26"/>
        </w:rPr>
        <w:t xml:space="preserve">, </w:t>
      </w:r>
      <w:r w:rsidR="00761A01" w:rsidRPr="006B03AD">
        <w:rPr>
          <w:rFonts w:ascii="Times New Roman" w:hAnsi="Times New Roman" w:cs="Times New Roman"/>
          <w:sz w:val="26"/>
          <w:szCs w:val="26"/>
        </w:rPr>
        <w:t>standarts ir tehniskā specifikācija, ko pieņēmusi atzīta standartizācijas iestāde, atkārtotai vai ilgstošai piemērošanai, atbilstība tam nav obligāta</w:t>
      </w:r>
      <w:r w:rsidR="00794AC4" w:rsidRPr="006B03AD">
        <w:rPr>
          <w:rFonts w:ascii="Times New Roman" w:hAnsi="Times New Roman" w:cs="Times New Roman"/>
          <w:sz w:val="26"/>
          <w:szCs w:val="26"/>
        </w:rPr>
        <w:t>.</w:t>
      </w:r>
      <w:r w:rsidR="00761A01" w:rsidRPr="006B03AD">
        <w:rPr>
          <w:rFonts w:ascii="Times New Roman" w:hAnsi="Times New Roman" w:cs="Times New Roman"/>
          <w:sz w:val="26"/>
          <w:szCs w:val="26"/>
        </w:rPr>
        <w:t xml:space="preserve"> Lai standartu izstrādē un noteikšanā tiktu sabalansētas visu pušu interese</w:t>
      </w:r>
      <w:r w:rsidR="00113A63" w:rsidRPr="006B03AD">
        <w:rPr>
          <w:rFonts w:ascii="Times New Roman" w:hAnsi="Times New Roman" w:cs="Times New Roman"/>
          <w:sz w:val="26"/>
          <w:szCs w:val="26"/>
        </w:rPr>
        <w:t>s</w:t>
      </w:r>
      <w:r w:rsidR="00761A01" w:rsidRPr="006B03AD">
        <w:rPr>
          <w:rFonts w:ascii="Times New Roman" w:hAnsi="Times New Roman" w:cs="Times New Roman"/>
          <w:sz w:val="26"/>
          <w:szCs w:val="26"/>
        </w:rPr>
        <w:t>, v</w:t>
      </w:r>
      <w:r w:rsidRPr="006B03AD">
        <w:rPr>
          <w:rFonts w:ascii="Times New Roman" w:hAnsi="Times New Roman" w:cs="Times New Roman"/>
          <w:sz w:val="26"/>
          <w:szCs w:val="26"/>
        </w:rPr>
        <w:t>iens no standartizācijas institūciju uzdevumiem ir veicināt pl</w:t>
      </w:r>
      <w:r w:rsidR="00761A01" w:rsidRPr="006B03AD">
        <w:rPr>
          <w:rFonts w:ascii="Times New Roman" w:hAnsi="Times New Roman" w:cs="Times New Roman"/>
          <w:sz w:val="26"/>
          <w:szCs w:val="26"/>
        </w:rPr>
        <w:t>a</w:t>
      </w:r>
      <w:r w:rsidRPr="006B03AD">
        <w:rPr>
          <w:rFonts w:ascii="Times New Roman" w:hAnsi="Times New Roman" w:cs="Times New Roman"/>
          <w:sz w:val="26"/>
          <w:szCs w:val="26"/>
        </w:rPr>
        <w:t>šu ieinteresēto personu loka, kas sevī ietver gan uzņēmumus, tostarp arī mazos un vidējos, gan patērētāju aizsardzības organizācijas, gan vides aizsardzības organizāc</w:t>
      </w:r>
      <w:r w:rsidR="006E3488" w:rsidRPr="006B03AD">
        <w:rPr>
          <w:rFonts w:ascii="Times New Roman" w:hAnsi="Times New Roman" w:cs="Times New Roman"/>
          <w:sz w:val="26"/>
          <w:szCs w:val="26"/>
        </w:rPr>
        <w:t>ijas, kā</w:t>
      </w:r>
      <w:r w:rsidRPr="006B03AD">
        <w:rPr>
          <w:rFonts w:ascii="Times New Roman" w:hAnsi="Times New Roman" w:cs="Times New Roman"/>
          <w:sz w:val="26"/>
          <w:szCs w:val="26"/>
        </w:rPr>
        <w:t xml:space="preserve"> arī citas sabiedriskās un nevalstiskās organizācijas, iesaisti standartizācijas darbā. </w:t>
      </w:r>
      <w:r w:rsidR="002269CF" w:rsidRPr="006B03AD">
        <w:rPr>
          <w:rFonts w:ascii="Times New Roman" w:hAnsi="Times New Roman" w:cs="Times New Roman"/>
          <w:sz w:val="26"/>
          <w:szCs w:val="26"/>
        </w:rPr>
        <w:t xml:space="preserve">Tāpēc </w:t>
      </w:r>
      <w:r w:rsidR="006E3488" w:rsidRPr="006B03AD">
        <w:rPr>
          <w:rFonts w:ascii="Times New Roman" w:hAnsi="Times New Roman" w:cs="Times New Roman"/>
          <w:sz w:val="26"/>
          <w:szCs w:val="26"/>
        </w:rPr>
        <w:t xml:space="preserve">pašā </w:t>
      </w:r>
      <w:r w:rsidR="002269CF" w:rsidRPr="006B03AD">
        <w:rPr>
          <w:rFonts w:ascii="Times New Roman" w:hAnsi="Times New Roman" w:cs="Times New Roman"/>
          <w:sz w:val="26"/>
          <w:szCs w:val="26"/>
        </w:rPr>
        <w:t xml:space="preserve">pamatā standarts kā dokumenta veids ir brīvprātīgi pielietojams, </w:t>
      </w:r>
      <w:r w:rsidR="00113A63" w:rsidRPr="006B03AD">
        <w:rPr>
          <w:rFonts w:ascii="Times New Roman" w:hAnsi="Times New Roman" w:cs="Times New Roman"/>
          <w:sz w:val="26"/>
          <w:szCs w:val="26"/>
        </w:rPr>
        <w:t xml:space="preserve">to ir </w:t>
      </w:r>
      <w:r w:rsidR="002269CF" w:rsidRPr="006B03AD">
        <w:rPr>
          <w:rFonts w:ascii="Times New Roman" w:hAnsi="Times New Roman" w:cs="Times New Roman"/>
          <w:sz w:val="26"/>
          <w:szCs w:val="26"/>
        </w:rPr>
        <w:t>radījušas ieinteresētās puses</w:t>
      </w:r>
      <w:r w:rsidR="006E3488" w:rsidRPr="006B03AD">
        <w:rPr>
          <w:rFonts w:ascii="Times New Roman" w:hAnsi="Times New Roman" w:cs="Times New Roman"/>
          <w:sz w:val="26"/>
          <w:szCs w:val="26"/>
        </w:rPr>
        <w:t xml:space="preserve"> uz konsensa pamata</w:t>
      </w:r>
      <w:r w:rsidR="002269CF" w:rsidRPr="006B03AD">
        <w:rPr>
          <w:rFonts w:ascii="Times New Roman" w:hAnsi="Times New Roman" w:cs="Times New Roman"/>
          <w:sz w:val="26"/>
          <w:szCs w:val="26"/>
        </w:rPr>
        <w:t xml:space="preserve"> </w:t>
      </w:r>
      <w:r w:rsidR="006E3488" w:rsidRPr="006B03AD">
        <w:rPr>
          <w:rFonts w:ascii="Times New Roman" w:hAnsi="Times New Roman" w:cs="Times New Roman"/>
          <w:sz w:val="26"/>
          <w:szCs w:val="26"/>
        </w:rPr>
        <w:t xml:space="preserve">attiecīgās nozares </w:t>
      </w:r>
      <w:r w:rsidR="002269CF" w:rsidRPr="006B03AD">
        <w:rPr>
          <w:rFonts w:ascii="Times New Roman" w:hAnsi="Times New Roman" w:cs="Times New Roman"/>
          <w:sz w:val="26"/>
          <w:szCs w:val="26"/>
        </w:rPr>
        <w:t xml:space="preserve">biznesa procesu sakārtošanai. </w:t>
      </w:r>
      <w:r w:rsidR="006E3488" w:rsidRPr="006B03AD">
        <w:rPr>
          <w:rFonts w:ascii="Times New Roman" w:hAnsi="Times New Roman" w:cs="Times New Roman"/>
          <w:sz w:val="26"/>
          <w:szCs w:val="26"/>
        </w:rPr>
        <w:t>Standarti pēc būtības ir uzskatāmi par biznesa pašregulācijas instrumentu.</w:t>
      </w:r>
    </w:p>
    <w:p w14:paraId="7F6AC4B7" w14:textId="77777777" w:rsidR="00113A63" w:rsidRPr="006B03AD" w:rsidRDefault="00D45359" w:rsidP="002A694C">
      <w:pPr>
        <w:ind w:firstLine="360"/>
        <w:jc w:val="both"/>
        <w:rPr>
          <w:rFonts w:ascii="Times New Roman" w:hAnsi="Times New Roman" w:cs="Times New Roman"/>
          <w:sz w:val="26"/>
          <w:szCs w:val="26"/>
        </w:rPr>
      </w:pPr>
      <w:r w:rsidRPr="006B03AD">
        <w:rPr>
          <w:rFonts w:ascii="Times New Roman" w:hAnsi="Times New Roman" w:cs="Times New Roman"/>
          <w:sz w:val="26"/>
          <w:szCs w:val="26"/>
        </w:rPr>
        <w:t>Standartizācija un standarti ir viens no efektīviem politikas instrumentiem, kas stimulē virzību uz modernu valsts pārvald</w:t>
      </w:r>
      <w:r w:rsidR="00761A01" w:rsidRPr="006B03AD">
        <w:rPr>
          <w:rFonts w:ascii="Times New Roman" w:hAnsi="Times New Roman" w:cs="Times New Roman"/>
          <w:sz w:val="26"/>
          <w:szCs w:val="26"/>
        </w:rPr>
        <w:t>i</w:t>
      </w:r>
      <w:r w:rsidRPr="006B03AD">
        <w:rPr>
          <w:rFonts w:ascii="Times New Roman" w:hAnsi="Times New Roman" w:cs="Times New Roman"/>
          <w:sz w:val="26"/>
          <w:szCs w:val="26"/>
        </w:rPr>
        <w:t xml:space="preserve">. </w:t>
      </w:r>
      <w:r w:rsidR="00160DC1" w:rsidRPr="006B03AD">
        <w:rPr>
          <w:rFonts w:ascii="Times New Roman" w:hAnsi="Times New Roman" w:cs="Times New Roman"/>
          <w:sz w:val="26"/>
          <w:szCs w:val="26"/>
        </w:rPr>
        <w:t>Aizvien lielāka standartu izmantošana likumdošanas procesā liecina par pieaugošo uzticību starp likumdevēju un nozari, kā rezultātā likumdevējs paļaujas uz nozares spēju sakārtoties ar pašregulācijas instrumentiem</w:t>
      </w:r>
      <w:r w:rsidR="002A694C" w:rsidRPr="006B03AD">
        <w:rPr>
          <w:rFonts w:ascii="Times New Roman" w:hAnsi="Times New Roman" w:cs="Times New Roman"/>
          <w:sz w:val="26"/>
          <w:szCs w:val="26"/>
        </w:rPr>
        <w:t xml:space="preserve">. </w:t>
      </w:r>
    </w:p>
    <w:p w14:paraId="3E099572" w14:textId="77777777" w:rsidR="00113A63" w:rsidRPr="006B03AD" w:rsidRDefault="00113A63" w:rsidP="002A694C">
      <w:pPr>
        <w:ind w:firstLine="360"/>
        <w:jc w:val="both"/>
        <w:rPr>
          <w:rFonts w:ascii="Times New Roman" w:hAnsi="Times New Roman" w:cs="Times New Roman"/>
          <w:sz w:val="26"/>
          <w:szCs w:val="26"/>
        </w:rPr>
      </w:pPr>
    </w:p>
    <w:p w14:paraId="10B6FEB9" w14:textId="77777777" w:rsidR="006E3488" w:rsidRPr="006B03AD" w:rsidRDefault="00113A63" w:rsidP="002A694C">
      <w:pPr>
        <w:ind w:firstLine="360"/>
        <w:jc w:val="both"/>
        <w:rPr>
          <w:rFonts w:ascii="Times New Roman" w:hAnsi="Times New Roman" w:cs="Times New Roman"/>
          <w:sz w:val="26"/>
          <w:szCs w:val="26"/>
        </w:rPr>
      </w:pPr>
      <w:r w:rsidRPr="006B03AD">
        <w:rPr>
          <w:rFonts w:ascii="Times New Roman" w:hAnsi="Times New Roman" w:cs="Times New Roman"/>
          <w:sz w:val="26"/>
          <w:szCs w:val="26"/>
        </w:rPr>
        <w:t>Likumdošanas p</w:t>
      </w:r>
      <w:r w:rsidR="002A694C" w:rsidRPr="006B03AD">
        <w:rPr>
          <w:rFonts w:ascii="Times New Roman" w:hAnsi="Times New Roman" w:cs="Times New Roman"/>
          <w:sz w:val="26"/>
          <w:szCs w:val="26"/>
        </w:rPr>
        <w:t>raksē pastāv divi veidi</w:t>
      </w:r>
      <w:r w:rsidR="00761A01" w:rsidRPr="006B03AD">
        <w:rPr>
          <w:rFonts w:ascii="Times New Roman" w:hAnsi="Times New Roman" w:cs="Times New Roman"/>
          <w:sz w:val="26"/>
          <w:szCs w:val="26"/>
        </w:rPr>
        <w:t>,</w:t>
      </w:r>
      <w:r w:rsidR="002A694C" w:rsidRPr="006B03AD">
        <w:rPr>
          <w:rFonts w:ascii="Times New Roman" w:hAnsi="Times New Roman" w:cs="Times New Roman"/>
          <w:sz w:val="26"/>
          <w:szCs w:val="26"/>
        </w:rPr>
        <w:t xml:space="preserve"> kā normatīvajos aktos veidot atsauces uz standartiem:</w:t>
      </w:r>
    </w:p>
    <w:p w14:paraId="5756BD8C" w14:textId="70D27DB5" w:rsidR="002A694C" w:rsidRPr="006B03AD" w:rsidRDefault="00113A63" w:rsidP="002269CF">
      <w:pPr>
        <w:pStyle w:val="ListParagraph"/>
        <w:numPr>
          <w:ilvl w:val="0"/>
          <w:numId w:val="3"/>
        </w:numPr>
        <w:jc w:val="both"/>
        <w:rPr>
          <w:rFonts w:ascii="Times New Roman" w:hAnsi="Times New Roman" w:cs="Times New Roman"/>
          <w:sz w:val="26"/>
          <w:szCs w:val="26"/>
        </w:rPr>
      </w:pPr>
      <w:r w:rsidRPr="006B03AD">
        <w:rPr>
          <w:rFonts w:ascii="Times New Roman" w:hAnsi="Times New Roman" w:cs="Times New Roman"/>
          <w:b/>
          <w:sz w:val="26"/>
          <w:szCs w:val="26"/>
        </w:rPr>
        <w:t>n</w:t>
      </w:r>
      <w:r w:rsidR="002269CF" w:rsidRPr="006B03AD">
        <w:rPr>
          <w:rFonts w:ascii="Times New Roman" w:hAnsi="Times New Roman" w:cs="Times New Roman"/>
          <w:b/>
          <w:sz w:val="26"/>
          <w:szCs w:val="26"/>
        </w:rPr>
        <w:t>etieš</w:t>
      </w:r>
      <w:r w:rsidRPr="006B03AD">
        <w:rPr>
          <w:rFonts w:ascii="Times New Roman" w:hAnsi="Times New Roman" w:cs="Times New Roman"/>
          <w:b/>
          <w:sz w:val="26"/>
          <w:szCs w:val="26"/>
        </w:rPr>
        <w:t>ā</w:t>
      </w:r>
      <w:r w:rsidR="002269CF" w:rsidRPr="006B03AD">
        <w:rPr>
          <w:rFonts w:ascii="Times New Roman" w:hAnsi="Times New Roman" w:cs="Times New Roman"/>
          <w:b/>
          <w:sz w:val="26"/>
          <w:szCs w:val="26"/>
        </w:rPr>
        <w:t xml:space="preserve"> atsau</w:t>
      </w:r>
      <w:r w:rsidRPr="006B03AD">
        <w:rPr>
          <w:rFonts w:ascii="Times New Roman" w:hAnsi="Times New Roman" w:cs="Times New Roman"/>
          <w:b/>
          <w:sz w:val="26"/>
          <w:szCs w:val="26"/>
        </w:rPr>
        <w:t>ce</w:t>
      </w:r>
      <w:r w:rsidR="002269CF" w:rsidRPr="006B03AD">
        <w:rPr>
          <w:rFonts w:ascii="Times New Roman" w:hAnsi="Times New Roman" w:cs="Times New Roman"/>
          <w:sz w:val="26"/>
          <w:szCs w:val="26"/>
        </w:rPr>
        <w:t xml:space="preserve"> uz standartiem, proti, nosakot standartos mi</w:t>
      </w:r>
      <w:r w:rsidR="002A694C" w:rsidRPr="006B03AD">
        <w:rPr>
          <w:rFonts w:ascii="Times New Roman" w:hAnsi="Times New Roman" w:cs="Times New Roman"/>
          <w:sz w:val="26"/>
          <w:szCs w:val="26"/>
        </w:rPr>
        <w:t>nētos risinājumus kā iespējamos</w:t>
      </w:r>
      <w:r w:rsidR="00A76363">
        <w:rPr>
          <w:rFonts w:ascii="Times New Roman" w:hAnsi="Times New Roman" w:cs="Times New Roman"/>
          <w:sz w:val="26"/>
          <w:szCs w:val="26"/>
        </w:rPr>
        <w:t xml:space="preserve"> (piemērojamie standarti)</w:t>
      </w:r>
      <w:r w:rsidR="002A694C" w:rsidRPr="006B03AD">
        <w:rPr>
          <w:rFonts w:ascii="Times New Roman" w:hAnsi="Times New Roman" w:cs="Times New Roman"/>
          <w:sz w:val="26"/>
          <w:szCs w:val="26"/>
        </w:rPr>
        <w:t>;</w:t>
      </w:r>
    </w:p>
    <w:p w14:paraId="35B2827F" w14:textId="39D22A4E" w:rsidR="002269CF" w:rsidRPr="006B03AD" w:rsidRDefault="002269CF" w:rsidP="002269CF">
      <w:pPr>
        <w:pStyle w:val="ListParagraph"/>
        <w:numPr>
          <w:ilvl w:val="0"/>
          <w:numId w:val="3"/>
        </w:numPr>
        <w:jc w:val="both"/>
        <w:rPr>
          <w:rFonts w:ascii="Times New Roman" w:hAnsi="Times New Roman" w:cs="Times New Roman"/>
          <w:sz w:val="26"/>
          <w:szCs w:val="26"/>
        </w:rPr>
      </w:pPr>
      <w:r w:rsidRPr="006B03AD">
        <w:rPr>
          <w:rFonts w:ascii="Times New Roman" w:hAnsi="Times New Roman" w:cs="Times New Roman"/>
          <w:b/>
          <w:sz w:val="26"/>
          <w:szCs w:val="26"/>
        </w:rPr>
        <w:t>tieš</w:t>
      </w:r>
      <w:r w:rsidR="00113A63" w:rsidRPr="006B03AD">
        <w:rPr>
          <w:rFonts w:ascii="Times New Roman" w:hAnsi="Times New Roman" w:cs="Times New Roman"/>
          <w:b/>
          <w:sz w:val="26"/>
          <w:szCs w:val="26"/>
        </w:rPr>
        <w:t xml:space="preserve">ā </w:t>
      </w:r>
      <w:r w:rsidRPr="006B03AD">
        <w:rPr>
          <w:rFonts w:ascii="Times New Roman" w:hAnsi="Times New Roman" w:cs="Times New Roman"/>
          <w:b/>
          <w:sz w:val="26"/>
          <w:szCs w:val="26"/>
        </w:rPr>
        <w:t>atsau</w:t>
      </w:r>
      <w:r w:rsidR="00113A63" w:rsidRPr="006B03AD">
        <w:rPr>
          <w:rFonts w:ascii="Times New Roman" w:hAnsi="Times New Roman" w:cs="Times New Roman"/>
          <w:b/>
          <w:sz w:val="26"/>
          <w:szCs w:val="26"/>
        </w:rPr>
        <w:t>ce</w:t>
      </w:r>
      <w:r w:rsidRPr="006B03AD">
        <w:rPr>
          <w:rFonts w:ascii="Times New Roman" w:hAnsi="Times New Roman" w:cs="Times New Roman"/>
          <w:sz w:val="26"/>
          <w:szCs w:val="26"/>
        </w:rPr>
        <w:t xml:space="preserve"> uz standartiem, proti, nosakot, ka šo standartu izmantošana ir vienīgā iespējamā</w:t>
      </w:r>
      <w:r w:rsidR="00A76363">
        <w:rPr>
          <w:rFonts w:ascii="Times New Roman" w:hAnsi="Times New Roman" w:cs="Times New Roman"/>
          <w:sz w:val="26"/>
          <w:szCs w:val="26"/>
        </w:rPr>
        <w:t xml:space="preserve"> (obligāti piemērojamie standarti)</w:t>
      </w:r>
      <w:r w:rsidRPr="006B03AD">
        <w:rPr>
          <w:rFonts w:ascii="Times New Roman" w:hAnsi="Times New Roman" w:cs="Times New Roman"/>
          <w:sz w:val="26"/>
          <w:szCs w:val="26"/>
        </w:rPr>
        <w:t>.</w:t>
      </w:r>
      <w:r w:rsidR="005D7F2D" w:rsidRPr="006B03AD">
        <w:rPr>
          <w:rFonts w:ascii="Times New Roman" w:hAnsi="Times New Roman" w:cs="Times New Roman"/>
          <w:sz w:val="26"/>
          <w:szCs w:val="26"/>
        </w:rPr>
        <w:t xml:space="preserve"> Šīs atsauces iedalās divās apakšgrupās:</w:t>
      </w:r>
    </w:p>
    <w:p w14:paraId="1C45056D" w14:textId="77777777" w:rsidR="005D7F2D" w:rsidRPr="006B03AD" w:rsidRDefault="005D7F2D" w:rsidP="005D7F2D">
      <w:pPr>
        <w:pStyle w:val="ListParagraph"/>
        <w:numPr>
          <w:ilvl w:val="1"/>
          <w:numId w:val="3"/>
        </w:numPr>
        <w:jc w:val="both"/>
        <w:rPr>
          <w:rFonts w:ascii="Times New Roman" w:hAnsi="Times New Roman" w:cs="Times New Roman"/>
          <w:sz w:val="26"/>
          <w:szCs w:val="26"/>
        </w:rPr>
      </w:pPr>
      <w:r w:rsidRPr="006B03AD">
        <w:rPr>
          <w:rFonts w:ascii="Times New Roman" w:hAnsi="Times New Roman" w:cs="Times New Roman"/>
          <w:sz w:val="26"/>
          <w:szCs w:val="26"/>
        </w:rPr>
        <w:t>tiešās atsauces b</w:t>
      </w:r>
      <w:r w:rsidR="00545CD9" w:rsidRPr="006B03AD">
        <w:rPr>
          <w:rFonts w:ascii="Times New Roman" w:hAnsi="Times New Roman" w:cs="Times New Roman"/>
          <w:sz w:val="26"/>
          <w:szCs w:val="26"/>
        </w:rPr>
        <w:t>ez</w:t>
      </w:r>
      <w:r w:rsidRPr="006B03AD">
        <w:rPr>
          <w:rFonts w:ascii="Times New Roman" w:hAnsi="Times New Roman" w:cs="Times New Roman"/>
          <w:sz w:val="26"/>
          <w:szCs w:val="26"/>
        </w:rPr>
        <w:t xml:space="preserve"> reģistrācijas gada. Šajā gadījumā attiecīgās nozares regulācija pilnībā tiek nodota nozarei un likumdevējs praktiski zaudē nozares pārraudzības iespējas;</w:t>
      </w:r>
    </w:p>
    <w:p w14:paraId="1EEDDE6C" w14:textId="77777777" w:rsidR="005D7F2D" w:rsidRPr="006B03AD" w:rsidRDefault="005D7F2D" w:rsidP="005D7F2D">
      <w:pPr>
        <w:pStyle w:val="ListParagraph"/>
        <w:numPr>
          <w:ilvl w:val="1"/>
          <w:numId w:val="3"/>
        </w:numPr>
        <w:jc w:val="both"/>
        <w:rPr>
          <w:rFonts w:ascii="Times New Roman" w:hAnsi="Times New Roman" w:cs="Times New Roman"/>
          <w:sz w:val="26"/>
          <w:szCs w:val="26"/>
        </w:rPr>
      </w:pPr>
      <w:r w:rsidRPr="006B03AD">
        <w:rPr>
          <w:rFonts w:ascii="Times New Roman" w:hAnsi="Times New Roman" w:cs="Times New Roman"/>
          <w:sz w:val="26"/>
          <w:szCs w:val="26"/>
        </w:rPr>
        <w:t>tiešās atsauces ar reģistrācijas gadu. Izmantojot šo atsauču veidu likumdevējs kaut gan ir nodevis attiecībās nozares regulēšanas iespējas pašai nozarei, taču patur sev uzraudzības iespējas, jo patur tiesības noteikt obligāti piemērojamos standartus.</w:t>
      </w:r>
    </w:p>
    <w:p w14:paraId="267A9513" w14:textId="77777777" w:rsidR="00510EC8" w:rsidRPr="006B03AD" w:rsidRDefault="002269CF" w:rsidP="00510EC8">
      <w:pPr>
        <w:ind w:firstLine="360"/>
        <w:jc w:val="both"/>
        <w:rPr>
          <w:rFonts w:ascii="Times New Roman" w:hAnsi="Times New Roman" w:cs="Times New Roman"/>
          <w:sz w:val="26"/>
          <w:szCs w:val="26"/>
        </w:rPr>
      </w:pPr>
      <w:r w:rsidRPr="006B03AD">
        <w:rPr>
          <w:rFonts w:ascii="Times New Roman" w:hAnsi="Times New Roman" w:cs="Times New Roman"/>
          <w:b/>
          <w:sz w:val="26"/>
          <w:szCs w:val="26"/>
        </w:rPr>
        <w:t>Netiešo atsauču uz standartiem</w:t>
      </w:r>
      <w:r w:rsidRPr="006B03AD">
        <w:rPr>
          <w:rFonts w:ascii="Times New Roman" w:hAnsi="Times New Roman" w:cs="Times New Roman"/>
          <w:sz w:val="26"/>
          <w:szCs w:val="26"/>
        </w:rPr>
        <w:t xml:space="preserve"> izmantošana normatīvajos aktos starptautiskajā</w:t>
      </w:r>
      <w:r w:rsidR="00FC1E1D" w:rsidRPr="006B03AD">
        <w:rPr>
          <w:rFonts w:ascii="Times New Roman" w:hAnsi="Times New Roman" w:cs="Times New Roman"/>
          <w:sz w:val="26"/>
          <w:szCs w:val="26"/>
        </w:rPr>
        <w:t xml:space="preserve"> </w:t>
      </w:r>
      <w:r w:rsidRPr="006B03AD">
        <w:rPr>
          <w:rFonts w:ascii="Times New Roman" w:hAnsi="Times New Roman" w:cs="Times New Roman"/>
          <w:sz w:val="26"/>
          <w:szCs w:val="26"/>
        </w:rPr>
        <w:t xml:space="preserve">līmenī </w:t>
      </w:r>
      <w:r w:rsidR="00FC1E1D" w:rsidRPr="006B03AD">
        <w:rPr>
          <w:rFonts w:ascii="Times New Roman" w:hAnsi="Times New Roman" w:cs="Times New Roman"/>
          <w:sz w:val="26"/>
          <w:szCs w:val="26"/>
        </w:rPr>
        <w:t>tiek bieži izmantota</w:t>
      </w:r>
      <w:r w:rsidRPr="006B03AD">
        <w:rPr>
          <w:rFonts w:ascii="Times New Roman" w:hAnsi="Times New Roman" w:cs="Times New Roman"/>
          <w:sz w:val="26"/>
          <w:szCs w:val="26"/>
        </w:rPr>
        <w:t xml:space="preserve">, jo šādā veidā likumdevējs norāda veidu, kādā ir iespējams izpildīt normatīvajos aktos noteiktās </w:t>
      </w:r>
      <w:r w:rsidR="00FC1E1D" w:rsidRPr="006B03AD">
        <w:rPr>
          <w:rFonts w:ascii="Times New Roman" w:hAnsi="Times New Roman" w:cs="Times New Roman"/>
          <w:sz w:val="26"/>
          <w:szCs w:val="26"/>
        </w:rPr>
        <w:t xml:space="preserve">būtiskās </w:t>
      </w:r>
      <w:r w:rsidRPr="006B03AD">
        <w:rPr>
          <w:rFonts w:ascii="Times New Roman" w:hAnsi="Times New Roman" w:cs="Times New Roman"/>
          <w:sz w:val="26"/>
          <w:szCs w:val="26"/>
        </w:rPr>
        <w:t>prasības, vienlaikus nepadarot standartus</w:t>
      </w:r>
      <w:r w:rsidR="00FC1E1D" w:rsidRPr="006B03AD">
        <w:rPr>
          <w:rFonts w:ascii="Times New Roman" w:hAnsi="Times New Roman" w:cs="Times New Roman"/>
          <w:sz w:val="26"/>
          <w:szCs w:val="26"/>
        </w:rPr>
        <w:t xml:space="preserve">, uz kuriem tiek veidota atsauce, </w:t>
      </w:r>
      <w:r w:rsidRPr="006B03AD">
        <w:rPr>
          <w:rFonts w:ascii="Times New Roman" w:hAnsi="Times New Roman" w:cs="Times New Roman"/>
          <w:sz w:val="26"/>
          <w:szCs w:val="26"/>
        </w:rPr>
        <w:t xml:space="preserve"> par obligātiem un saistošiem. </w:t>
      </w:r>
      <w:r w:rsidR="00FC1E1D" w:rsidRPr="006B03AD">
        <w:rPr>
          <w:rFonts w:ascii="Times New Roman" w:hAnsi="Times New Roman" w:cs="Times New Roman"/>
          <w:sz w:val="26"/>
          <w:szCs w:val="26"/>
        </w:rPr>
        <w:t>Š</w:t>
      </w:r>
      <w:r w:rsidRPr="006B03AD">
        <w:rPr>
          <w:rFonts w:ascii="Times New Roman" w:hAnsi="Times New Roman" w:cs="Times New Roman"/>
          <w:sz w:val="26"/>
          <w:szCs w:val="26"/>
        </w:rPr>
        <w:t xml:space="preserve">o standartu izmantošana nodrošina to normatīvajos aktos noteikto </w:t>
      </w:r>
      <w:r w:rsidR="00FC1E1D" w:rsidRPr="006B03AD">
        <w:rPr>
          <w:rFonts w:ascii="Times New Roman" w:hAnsi="Times New Roman" w:cs="Times New Roman"/>
          <w:sz w:val="26"/>
          <w:szCs w:val="26"/>
        </w:rPr>
        <w:t xml:space="preserve">būtisko </w:t>
      </w:r>
      <w:r w:rsidRPr="006B03AD">
        <w:rPr>
          <w:rFonts w:ascii="Times New Roman" w:hAnsi="Times New Roman" w:cs="Times New Roman"/>
          <w:sz w:val="26"/>
          <w:szCs w:val="26"/>
        </w:rPr>
        <w:t>prasību izpildi, kur</w:t>
      </w:r>
      <w:r w:rsidR="002A694C" w:rsidRPr="006B03AD">
        <w:rPr>
          <w:rFonts w:ascii="Times New Roman" w:hAnsi="Times New Roman" w:cs="Times New Roman"/>
          <w:sz w:val="26"/>
          <w:szCs w:val="26"/>
        </w:rPr>
        <w:t>as aptver attiecīgie standarti.</w:t>
      </w:r>
      <w:r w:rsidR="005D7F2D" w:rsidRPr="006B03AD">
        <w:rPr>
          <w:rFonts w:ascii="Times New Roman" w:hAnsi="Times New Roman" w:cs="Times New Roman"/>
          <w:sz w:val="26"/>
          <w:szCs w:val="26"/>
        </w:rPr>
        <w:t xml:space="preserve"> Šāda atsauču metode</w:t>
      </w:r>
      <w:r w:rsidR="00B54055" w:rsidRPr="006B03AD">
        <w:rPr>
          <w:rFonts w:ascii="Times New Roman" w:hAnsi="Times New Roman" w:cs="Times New Roman"/>
          <w:sz w:val="26"/>
          <w:szCs w:val="26"/>
        </w:rPr>
        <w:t>, kas nodrošina saikni starp standartizāciju un normatīvo regulējumu,</w:t>
      </w:r>
      <w:r w:rsidR="005D7F2D" w:rsidRPr="006B03AD">
        <w:rPr>
          <w:rFonts w:ascii="Times New Roman" w:hAnsi="Times New Roman" w:cs="Times New Roman"/>
          <w:sz w:val="26"/>
          <w:szCs w:val="26"/>
        </w:rPr>
        <w:t xml:space="preserve"> jau 30 gadus </w:t>
      </w:r>
      <w:r w:rsidR="00B54055" w:rsidRPr="006B03AD">
        <w:rPr>
          <w:rFonts w:ascii="Times New Roman" w:hAnsi="Times New Roman" w:cs="Times New Roman"/>
          <w:sz w:val="26"/>
          <w:szCs w:val="26"/>
        </w:rPr>
        <w:t xml:space="preserve">tiek pielietota Eiropā un tiek balstīta uz tehniskās harmonizācijas un standartizācijas jauno pieeju, kas tika </w:t>
      </w:r>
      <w:r w:rsidR="005D7F2D" w:rsidRPr="006B03AD">
        <w:rPr>
          <w:rFonts w:ascii="Times New Roman" w:hAnsi="Times New Roman" w:cs="Times New Roman"/>
          <w:sz w:val="26"/>
          <w:szCs w:val="26"/>
        </w:rPr>
        <w:t>apstiprināta ar Padomes 1985.gada 7.maija rezolūciju par jauno pieeju attiecībā uz tehnis</w:t>
      </w:r>
      <w:r w:rsidR="00B54055" w:rsidRPr="006B03AD">
        <w:rPr>
          <w:rFonts w:ascii="Times New Roman" w:hAnsi="Times New Roman" w:cs="Times New Roman"/>
          <w:sz w:val="26"/>
          <w:szCs w:val="26"/>
        </w:rPr>
        <w:t>ko harmonizāciju un standartiem (turpmāk – Jaunā pieeja)</w:t>
      </w:r>
      <w:r w:rsidR="00B54055" w:rsidRPr="006B03AD">
        <w:rPr>
          <w:rStyle w:val="FootnoteReference"/>
          <w:rFonts w:ascii="Times New Roman" w:hAnsi="Times New Roman" w:cs="Times New Roman"/>
          <w:sz w:val="26"/>
          <w:szCs w:val="26"/>
        </w:rPr>
        <w:footnoteReference w:id="1"/>
      </w:r>
      <w:r w:rsidR="005D7F2D" w:rsidRPr="006B03AD">
        <w:rPr>
          <w:rFonts w:ascii="Times New Roman" w:hAnsi="Times New Roman" w:cs="Times New Roman"/>
          <w:sz w:val="26"/>
          <w:szCs w:val="26"/>
        </w:rPr>
        <w:t xml:space="preserve">. </w:t>
      </w:r>
      <w:r w:rsidR="00B54055" w:rsidRPr="006B03AD">
        <w:rPr>
          <w:rFonts w:ascii="Times New Roman" w:hAnsi="Times New Roman" w:cs="Times New Roman"/>
          <w:sz w:val="26"/>
          <w:szCs w:val="26"/>
        </w:rPr>
        <w:t>Atbilstoši Jaunajai pieejai</w:t>
      </w:r>
      <w:r w:rsidR="005D7F2D" w:rsidRPr="006B03AD">
        <w:rPr>
          <w:rFonts w:ascii="Times New Roman" w:hAnsi="Times New Roman" w:cs="Times New Roman"/>
          <w:sz w:val="26"/>
          <w:szCs w:val="26"/>
        </w:rPr>
        <w:t xml:space="preserve"> Eiropas Savienības tiesību aktos tiek veidotas netiešās atsauces uz standartiem, proti, Eiropas Savienības normatīvajos aktos tiek noteiktas būtiskās prasības, savukārt harmonizētie standarti ir </w:t>
      </w:r>
      <w:r w:rsidR="005D7F2D" w:rsidRPr="006B03AD">
        <w:rPr>
          <w:rFonts w:ascii="Times New Roman" w:hAnsi="Times New Roman" w:cs="Times New Roman"/>
          <w:sz w:val="26"/>
          <w:szCs w:val="26"/>
        </w:rPr>
        <w:lastRenderedPageBreak/>
        <w:t>attiecīgā normatīvā akta atbalsta instruments, kas nosaka būtisko prasību atbilstības nosacījumus</w:t>
      </w:r>
      <w:r w:rsidR="00352880" w:rsidRPr="006B03AD">
        <w:rPr>
          <w:rFonts w:ascii="Times New Roman" w:hAnsi="Times New Roman" w:cs="Times New Roman"/>
          <w:sz w:val="26"/>
          <w:szCs w:val="26"/>
        </w:rPr>
        <w:t xml:space="preserve"> un tehnisko risinājumu</w:t>
      </w:r>
      <w:r w:rsidR="005D7F2D" w:rsidRPr="006B03AD">
        <w:rPr>
          <w:rFonts w:ascii="Times New Roman" w:hAnsi="Times New Roman" w:cs="Times New Roman"/>
          <w:sz w:val="26"/>
          <w:szCs w:val="26"/>
        </w:rPr>
        <w:t xml:space="preserve">. </w:t>
      </w:r>
      <w:r w:rsidR="00510EC8" w:rsidRPr="006B03AD">
        <w:rPr>
          <w:rFonts w:ascii="Times New Roman" w:hAnsi="Times New Roman" w:cs="Times New Roman"/>
          <w:sz w:val="26"/>
          <w:szCs w:val="26"/>
        </w:rPr>
        <w:t>T</w:t>
      </w:r>
      <w:r w:rsidR="00604EBE" w:rsidRPr="006B03AD">
        <w:rPr>
          <w:rFonts w:ascii="Times New Roman" w:hAnsi="Times New Roman" w:cs="Times New Roman"/>
          <w:sz w:val="26"/>
          <w:szCs w:val="26"/>
        </w:rPr>
        <w:t>as nozīmē, ka gadījumā</w:t>
      </w:r>
      <w:r w:rsidR="00510EC8" w:rsidRPr="006B03AD">
        <w:rPr>
          <w:rFonts w:ascii="Times New Roman" w:hAnsi="Times New Roman" w:cs="Times New Roman"/>
          <w:sz w:val="26"/>
          <w:szCs w:val="26"/>
        </w:rPr>
        <w:t xml:space="preserve">, ja produkts vai pakalpojums </w:t>
      </w:r>
      <w:r w:rsidR="00352880" w:rsidRPr="006B03AD">
        <w:rPr>
          <w:rFonts w:ascii="Times New Roman" w:hAnsi="Times New Roman" w:cs="Times New Roman"/>
          <w:sz w:val="26"/>
          <w:szCs w:val="26"/>
        </w:rPr>
        <w:t xml:space="preserve">ir ražots vai tiek sniegts </w:t>
      </w:r>
      <w:r w:rsidR="00510EC8" w:rsidRPr="006B03AD">
        <w:rPr>
          <w:rFonts w:ascii="Times New Roman" w:hAnsi="Times New Roman" w:cs="Times New Roman"/>
          <w:sz w:val="26"/>
          <w:szCs w:val="26"/>
        </w:rPr>
        <w:t>atbilst</w:t>
      </w:r>
      <w:r w:rsidR="00352880" w:rsidRPr="006B03AD">
        <w:rPr>
          <w:rFonts w:ascii="Times New Roman" w:hAnsi="Times New Roman" w:cs="Times New Roman"/>
          <w:sz w:val="26"/>
          <w:szCs w:val="26"/>
        </w:rPr>
        <w:t>oši</w:t>
      </w:r>
      <w:r w:rsidR="00510EC8" w:rsidRPr="006B03AD">
        <w:rPr>
          <w:rFonts w:ascii="Times New Roman" w:hAnsi="Times New Roman" w:cs="Times New Roman"/>
          <w:sz w:val="26"/>
          <w:szCs w:val="26"/>
        </w:rPr>
        <w:t xml:space="preserve"> </w:t>
      </w:r>
      <w:r w:rsidR="00352880" w:rsidRPr="006B03AD">
        <w:rPr>
          <w:rFonts w:ascii="Times New Roman" w:hAnsi="Times New Roman" w:cs="Times New Roman"/>
          <w:sz w:val="26"/>
          <w:szCs w:val="26"/>
        </w:rPr>
        <w:t xml:space="preserve">piemērojamo </w:t>
      </w:r>
      <w:r w:rsidR="00510EC8" w:rsidRPr="006B03AD">
        <w:rPr>
          <w:rFonts w:ascii="Times New Roman" w:hAnsi="Times New Roman" w:cs="Times New Roman"/>
          <w:sz w:val="26"/>
          <w:szCs w:val="26"/>
        </w:rPr>
        <w:t>standartu prasībām, tad tiek uzskatīts, ka</w:t>
      </w:r>
      <w:r w:rsidR="00352880" w:rsidRPr="006B03AD">
        <w:rPr>
          <w:rFonts w:ascii="Times New Roman" w:hAnsi="Times New Roman" w:cs="Times New Roman"/>
          <w:sz w:val="26"/>
          <w:szCs w:val="26"/>
        </w:rPr>
        <w:t xml:space="preserve"> produkts</w:t>
      </w:r>
      <w:r w:rsidR="00510EC8" w:rsidRPr="006B03AD">
        <w:rPr>
          <w:rFonts w:ascii="Times New Roman" w:hAnsi="Times New Roman" w:cs="Times New Roman"/>
          <w:sz w:val="26"/>
          <w:szCs w:val="26"/>
        </w:rPr>
        <w:t xml:space="preserve"> </w:t>
      </w:r>
      <w:r w:rsidR="00352880" w:rsidRPr="006B03AD">
        <w:rPr>
          <w:rFonts w:ascii="Times New Roman" w:hAnsi="Times New Roman" w:cs="Times New Roman"/>
          <w:sz w:val="26"/>
          <w:szCs w:val="26"/>
        </w:rPr>
        <w:t xml:space="preserve">vai pakalpojums </w:t>
      </w:r>
      <w:r w:rsidR="00510EC8" w:rsidRPr="006B03AD">
        <w:rPr>
          <w:rFonts w:ascii="Times New Roman" w:hAnsi="Times New Roman" w:cs="Times New Roman"/>
          <w:sz w:val="26"/>
          <w:szCs w:val="26"/>
        </w:rPr>
        <w:t>atbilst direktīvā izvirzāmām būtiskajām prasībām</w:t>
      </w:r>
      <w:r w:rsidR="00352880" w:rsidRPr="006B03AD">
        <w:rPr>
          <w:rFonts w:ascii="Times New Roman" w:hAnsi="Times New Roman" w:cs="Times New Roman"/>
          <w:sz w:val="26"/>
          <w:szCs w:val="26"/>
        </w:rPr>
        <w:t xml:space="preserve"> (atbilstības prezumpcija).</w:t>
      </w:r>
      <w:r w:rsidR="00510EC8" w:rsidRPr="006B03AD">
        <w:rPr>
          <w:rFonts w:ascii="Times New Roman" w:hAnsi="Times New Roman" w:cs="Times New Roman"/>
          <w:sz w:val="26"/>
          <w:szCs w:val="26"/>
        </w:rPr>
        <w:t xml:space="preserve"> </w:t>
      </w:r>
      <w:r w:rsidR="005D7F2D" w:rsidRPr="006B03AD">
        <w:rPr>
          <w:rFonts w:ascii="Times New Roman" w:hAnsi="Times New Roman" w:cs="Times New Roman"/>
          <w:sz w:val="26"/>
          <w:szCs w:val="26"/>
        </w:rPr>
        <w:t xml:space="preserve">Taču </w:t>
      </w:r>
      <w:r w:rsidR="00352880" w:rsidRPr="006B03AD">
        <w:rPr>
          <w:rFonts w:ascii="Times New Roman" w:hAnsi="Times New Roman" w:cs="Times New Roman"/>
          <w:sz w:val="26"/>
          <w:szCs w:val="26"/>
        </w:rPr>
        <w:t xml:space="preserve">piemērojamo </w:t>
      </w:r>
      <w:r w:rsidR="005D7F2D" w:rsidRPr="006B03AD">
        <w:rPr>
          <w:rFonts w:ascii="Times New Roman" w:hAnsi="Times New Roman" w:cs="Times New Roman"/>
          <w:sz w:val="26"/>
          <w:szCs w:val="26"/>
        </w:rPr>
        <w:t>standartu pielietošana ir brīvprātīga.</w:t>
      </w:r>
      <w:r w:rsidR="00510EC8" w:rsidRPr="006B03AD">
        <w:rPr>
          <w:rFonts w:ascii="Times New Roman" w:hAnsi="Times New Roman" w:cs="Times New Roman"/>
          <w:sz w:val="26"/>
          <w:szCs w:val="26"/>
        </w:rPr>
        <w:t xml:space="preserve"> </w:t>
      </w:r>
      <w:r w:rsidR="005D7F2D" w:rsidRPr="006B03AD">
        <w:rPr>
          <w:rFonts w:ascii="Times New Roman" w:hAnsi="Times New Roman" w:cs="Times New Roman"/>
          <w:sz w:val="26"/>
          <w:szCs w:val="26"/>
        </w:rPr>
        <w:t xml:space="preserve">Eiropas Komisija, kā arī citas ES dalībvalstis atzīst šādu praksi par pietiekamu un, galvenais, efektīvu instrumentu sabiedrības būtisko interešu aizsardzībā, ņemot vērā strauju zinātnes un tehnoloģiju attīstību, kas būtiski ietekmē uzņēmējdarbības vidi, preču un pakalpojumu klāstu un pieejamību, kā arī ar to lietošanu saistītus riskus. Netiešā atsauce ļauj vieglāk izsekot līdzi zinātniski tehniskajai attīstībai konkrētajā regulējumā, kā arī standartu pārskatīšanas gadījumā nav jāveic grozījumi normatīvajā aktā. </w:t>
      </w:r>
    </w:p>
    <w:p w14:paraId="47B5CA73" w14:textId="77777777" w:rsidR="00510EC8" w:rsidRPr="006B03AD" w:rsidRDefault="005D7F2D" w:rsidP="005D7F2D">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Latvijā šādas pieejas sniegtās priekšrocības šobrīd netiek pilnā mērā izmantotas. Netiešās atsauces ir sastopamas, piemēram, </w:t>
      </w:r>
      <w:r w:rsidR="00352880" w:rsidRPr="006B03AD">
        <w:rPr>
          <w:rFonts w:ascii="Times New Roman" w:hAnsi="Times New Roman" w:cs="Times New Roman"/>
          <w:sz w:val="26"/>
          <w:szCs w:val="26"/>
        </w:rPr>
        <w:t xml:space="preserve">pārņemot ES direktīvu prasības, </w:t>
      </w:r>
      <w:r w:rsidR="00604EBE" w:rsidRPr="006B03AD">
        <w:rPr>
          <w:rFonts w:ascii="Times New Roman" w:hAnsi="Times New Roman" w:cs="Times New Roman"/>
          <w:sz w:val="26"/>
          <w:szCs w:val="26"/>
        </w:rPr>
        <w:t xml:space="preserve">kurās ir ietverti “jaunās pieejas “principi, </w:t>
      </w:r>
      <w:r w:rsidR="00352880" w:rsidRPr="006B03AD">
        <w:rPr>
          <w:rFonts w:ascii="Times New Roman" w:hAnsi="Times New Roman" w:cs="Times New Roman"/>
          <w:sz w:val="26"/>
          <w:szCs w:val="26"/>
        </w:rPr>
        <w:t>kā arī kā nacionāl</w:t>
      </w:r>
      <w:r w:rsidR="00604EBE" w:rsidRPr="006B03AD">
        <w:rPr>
          <w:rFonts w:ascii="Times New Roman" w:hAnsi="Times New Roman" w:cs="Times New Roman"/>
          <w:sz w:val="26"/>
          <w:szCs w:val="26"/>
        </w:rPr>
        <w:t>ajā</w:t>
      </w:r>
      <w:r w:rsidR="00352880" w:rsidRPr="006B03AD">
        <w:rPr>
          <w:rFonts w:ascii="Times New Roman" w:hAnsi="Times New Roman" w:cs="Times New Roman"/>
          <w:sz w:val="26"/>
          <w:szCs w:val="26"/>
        </w:rPr>
        <w:t xml:space="preserve"> regulējum</w:t>
      </w:r>
      <w:r w:rsidR="00604EBE" w:rsidRPr="006B03AD">
        <w:rPr>
          <w:rFonts w:ascii="Times New Roman" w:hAnsi="Times New Roman" w:cs="Times New Roman"/>
          <w:sz w:val="26"/>
          <w:szCs w:val="26"/>
        </w:rPr>
        <w:t>ā</w:t>
      </w:r>
      <w:r w:rsidR="00352880" w:rsidRPr="006B03AD">
        <w:rPr>
          <w:rFonts w:ascii="Times New Roman" w:hAnsi="Times New Roman" w:cs="Times New Roman"/>
          <w:sz w:val="26"/>
          <w:szCs w:val="26"/>
        </w:rPr>
        <w:t xml:space="preserve"> </w:t>
      </w:r>
      <w:r w:rsidR="00510EC8" w:rsidRPr="006B03AD">
        <w:rPr>
          <w:rFonts w:ascii="Times New Roman" w:hAnsi="Times New Roman" w:cs="Times New Roman"/>
          <w:sz w:val="26"/>
          <w:szCs w:val="26"/>
        </w:rPr>
        <w:t xml:space="preserve">normatīvajos aktos, kas nosaka prasības attiecībā uz bīstamo iekārtu tehnisko uzraudzību. Taču šādas pieejas </w:t>
      </w:r>
      <w:r w:rsidR="00352880" w:rsidRPr="006B03AD">
        <w:rPr>
          <w:rFonts w:ascii="Times New Roman" w:hAnsi="Times New Roman" w:cs="Times New Roman"/>
          <w:sz w:val="26"/>
          <w:szCs w:val="26"/>
        </w:rPr>
        <w:t xml:space="preserve">plašāka izmantošana </w:t>
      </w:r>
      <w:r w:rsidR="00510EC8" w:rsidRPr="006B03AD">
        <w:rPr>
          <w:rFonts w:ascii="Times New Roman" w:hAnsi="Times New Roman" w:cs="Times New Roman"/>
          <w:sz w:val="26"/>
          <w:szCs w:val="26"/>
        </w:rPr>
        <w:t>ir iespējama arī citās nozarēs.</w:t>
      </w:r>
    </w:p>
    <w:p w14:paraId="242481BC" w14:textId="77777777" w:rsidR="002A694C" w:rsidRPr="006B03AD" w:rsidRDefault="002A694C" w:rsidP="002269CF">
      <w:pPr>
        <w:jc w:val="both"/>
        <w:rPr>
          <w:rFonts w:ascii="Times New Roman" w:hAnsi="Times New Roman" w:cs="Times New Roman"/>
          <w:sz w:val="26"/>
          <w:szCs w:val="26"/>
        </w:rPr>
      </w:pPr>
    </w:p>
    <w:p w14:paraId="2791C89D" w14:textId="77777777" w:rsidR="002269CF" w:rsidRPr="006B03AD" w:rsidRDefault="00E22361" w:rsidP="009D1237">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Veidojot normatīvajos aktos </w:t>
      </w:r>
      <w:r w:rsidRPr="006B03AD">
        <w:rPr>
          <w:rFonts w:ascii="Times New Roman" w:hAnsi="Times New Roman" w:cs="Times New Roman"/>
          <w:b/>
          <w:sz w:val="26"/>
          <w:szCs w:val="26"/>
        </w:rPr>
        <w:t>tiešās atsauces uz standartiem</w:t>
      </w:r>
      <w:r w:rsidRPr="006B03AD">
        <w:rPr>
          <w:rFonts w:ascii="Times New Roman" w:hAnsi="Times New Roman" w:cs="Times New Roman"/>
          <w:sz w:val="26"/>
          <w:szCs w:val="26"/>
        </w:rPr>
        <w:t>, rodas</w:t>
      </w:r>
      <w:r w:rsidR="002269CF" w:rsidRPr="006B03AD">
        <w:rPr>
          <w:rFonts w:ascii="Times New Roman" w:hAnsi="Times New Roman" w:cs="Times New Roman"/>
          <w:sz w:val="26"/>
          <w:szCs w:val="26"/>
        </w:rPr>
        <w:t xml:space="preserve"> </w:t>
      </w:r>
      <w:r w:rsidRPr="006B03AD">
        <w:rPr>
          <w:rFonts w:ascii="Times New Roman" w:hAnsi="Times New Roman" w:cs="Times New Roman"/>
          <w:sz w:val="26"/>
          <w:szCs w:val="26"/>
        </w:rPr>
        <w:t xml:space="preserve">zināma </w:t>
      </w:r>
      <w:r w:rsidR="002269CF" w:rsidRPr="006B03AD">
        <w:rPr>
          <w:rFonts w:ascii="Times New Roman" w:hAnsi="Times New Roman" w:cs="Times New Roman"/>
          <w:sz w:val="26"/>
          <w:szCs w:val="26"/>
        </w:rPr>
        <w:t>atkāpe no standartu būtības un tie tiek padarīti par obligāti piemērojamajiem</w:t>
      </w:r>
      <w:r w:rsidR="001C0939" w:rsidRPr="006B03AD">
        <w:rPr>
          <w:rFonts w:ascii="Times New Roman" w:hAnsi="Times New Roman" w:cs="Times New Roman"/>
          <w:sz w:val="26"/>
          <w:szCs w:val="26"/>
        </w:rPr>
        <w:t xml:space="preserve"> un</w:t>
      </w:r>
      <w:r w:rsidR="002269CF" w:rsidRPr="006B03AD">
        <w:rPr>
          <w:rFonts w:ascii="Times New Roman" w:hAnsi="Times New Roman" w:cs="Times New Roman"/>
          <w:sz w:val="26"/>
          <w:szCs w:val="26"/>
        </w:rPr>
        <w:t xml:space="preserve"> saistoši</w:t>
      </w:r>
      <w:r w:rsidR="001C0939" w:rsidRPr="006B03AD">
        <w:rPr>
          <w:rFonts w:ascii="Times New Roman" w:hAnsi="Times New Roman" w:cs="Times New Roman"/>
          <w:sz w:val="26"/>
          <w:szCs w:val="26"/>
        </w:rPr>
        <w:t>em</w:t>
      </w:r>
      <w:r w:rsidRPr="006B03AD">
        <w:rPr>
          <w:rFonts w:ascii="Times New Roman" w:hAnsi="Times New Roman" w:cs="Times New Roman"/>
          <w:sz w:val="26"/>
          <w:szCs w:val="26"/>
        </w:rPr>
        <w:t>.</w:t>
      </w:r>
      <w:r w:rsidR="002269CF" w:rsidRPr="006B03AD">
        <w:rPr>
          <w:rFonts w:ascii="Times New Roman" w:hAnsi="Times New Roman" w:cs="Times New Roman"/>
          <w:sz w:val="26"/>
          <w:szCs w:val="26"/>
        </w:rPr>
        <w:t xml:space="preserve"> </w:t>
      </w:r>
      <w:r w:rsidR="001C0939" w:rsidRPr="006B03AD">
        <w:rPr>
          <w:rFonts w:ascii="Times New Roman" w:hAnsi="Times New Roman" w:cs="Times New Roman"/>
          <w:sz w:val="26"/>
          <w:szCs w:val="26"/>
        </w:rPr>
        <w:t xml:space="preserve">Tas </w:t>
      </w:r>
      <w:r w:rsidR="002269CF" w:rsidRPr="006B03AD">
        <w:rPr>
          <w:rFonts w:ascii="Times New Roman" w:hAnsi="Times New Roman" w:cs="Times New Roman"/>
          <w:sz w:val="26"/>
          <w:szCs w:val="26"/>
        </w:rPr>
        <w:t xml:space="preserve"> aktualizē jautājumu </w:t>
      </w:r>
      <w:r w:rsidR="001C0939" w:rsidRPr="006B03AD">
        <w:rPr>
          <w:rFonts w:ascii="Times New Roman" w:hAnsi="Times New Roman" w:cs="Times New Roman"/>
          <w:sz w:val="26"/>
          <w:szCs w:val="26"/>
        </w:rPr>
        <w:t xml:space="preserve">par </w:t>
      </w:r>
      <w:r w:rsidR="002269CF" w:rsidRPr="006B03AD">
        <w:rPr>
          <w:rFonts w:ascii="Times New Roman" w:hAnsi="Times New Roman" w:cs="Times New Roman"/>
          <w:sz w:val="26"/>
          <w:szCs w:val="26"/>
        </w:rPr>
        <w:t>standartu pieejamīb</w:t>
      </w:r>
      <w:r w:rsidR="001C0939" w:rsidRPr="006B03AD">
        <w:rPr>
          <w:rFonts w:ascii="Times New Roman" w:hAnsi="Times New Roman" w:cs="Times New Roman"/>
          <w:sz w:val="26"/>
          <w:szCs w:val="26"/>
        </w:rPr>
        <w:t>u</w:t>
      </w:r>
      <w:r w:rsidR="002269CF" w:rsidRPr="006B03AD">
        <w:rPr>
          <w:rFonts w:ascii="Times New Roman" w:hAnsi="Times New Roman" w:cs="Times New Roman"/>
          <w:sz w:val="26"/>
          <w:szCs w:val="26"/>
        </w:rPr>
        <w:t xml:space="preserve"> un </w:t>
      </w:r>
      <w:r w:rsidR="001C0939" w:rsidRPr="006B03AD">
        <w:rPr>
          <w:rFonts w:ascii="Times New Roman" w:hAnsi="Times New Roman" w:cs="Times New Roman"/>
          <w:sz w:val="26"/>
          <w:szCs w:val="26"/>
        </w:rPr>
        <w:t xml:space="preserve">tulkošanu </w:t>
      </w:r>
      <w:r w:rsidR="007D272C" w:rsidRPr="006B03AD">
        <w:rPr>
          <w:rFonts w:ascii="Times New Roman" w:hAnsi="Times New Roman" w:cs="Times New Roman"/>
          <w:sz w:val="26"/>
          <w:szCs w:val="26"/>
        </w:rPr>
        <w:t xml:space="preserve">valsts </w:t>
      </w:r>
      <w:r w:rsidR="002269CF" w:rsidRPr="006B03AD">
        <w:rPr>
          <w:rFonts w:ascii="Times New Roman" w:hAnsi="Times New Roman" w:cs="Times New Roman"/>
          <w:sz w:val="26"/>
          <w:szCs w:val="26"/>
        </w:rPr>
        <w:t>valod</w:t>
      </w:r>
      <w:r w:rsidR="001C0939" w:rsidRPr="006B03AD">
        <w:rPr>
          <w:rFonts w:ascii="Times New Roman" w:hAnsi="Times New Roman" w:cs="Times New Roman"/>
          <w:sz w:val="26"/>
          <w:szCs w:val="26"/>
        </w:rPr>
        <w:t>ā</w:t>
      </w:r>
      <w:r w:rsidR="002269CF" w:rsidRPr="006B03AD">
        <w:rPr>
          <w:rFonts w:ascii="Times New Roman" w:hAnsi="Times New Roman" w:cs="Times New Roman"/>
          <w:sz w:val="26"/>
          <w:szCs w:val="26"/>
        </w:rPr>
        <w:t xml:space="preserve">. </w:t>
      </w:r>
    </w:p>
    <w:p w14:paraId="1EC9F52C" w14:textId="2C022807" w:rsidR="00F922CB" w:rsidRPr="006B03AD" w:rsidRDefault="009D1237" w:rsidP="00F06A42">
      <w:pPr>
        <w:ind w:firstLine="360"/>
        <w:jc w:val="both"/>
        <w:rPr>
          <w:rFonts w:ascii="Times New Roman" w:hAnsi="Times New Roman" w:cs="Times New Roman"/>
          <w:sz w:val="26"/>
          <w:szCs w:val="26"/>
        </w:rPr>
      </w:pPr>
      <w:r w:rsidRPr="006B03AD">
        <w:rPr>
          <w:rFonts w:ascii="Times New Roman" w:hAnsi="Times New Roman" w:cs="Times New Roman"/>
          <w:sz w:val="26"/>
          <w:szCs w:val="26"/>
        </w:rPr>
        <w:t>Veidojot tieš</w:t>
      </w:r>
      <w:r w:rsidR="001C0939" w:rsidRPr="006B03AD">
        <w:rPr>
          <w:rFonts w:ascii="Times New Roman" w:hAnsi="Times New Roman" w:cs="Times New Roman"/>
          <w:sz w:val="26"/>
          <w:szCs w:val="26"/>
        </w:rPr>
        <w:t>o</w:t>
      </w:r>
      <w:r w:rsidRPr="006B03AD">
        <w:rPr>
          <w:rFonts w:ascii="Times New Roman" w:hAnsi="Times New Roman" w:cs="Times New Roman"/>
          <w:sz w:val="26"/>
          <w:szCs w:val="26"/>
        </w:rPr>
        <w:t xml:space="preserve"> atsauc</w:t>
      </w:r>
      <w:r w:rsidR="001C0939" w:rsidRPr="006B03AD">
        <w:rPr>
          <w:rFonts w:ascii="Times New Roman" w:hAnsi="Times New Roman" w:cs="Times New Roman"/>
          <w:sz w:val="26"/>
          <w:szCs w:val="26"/>
        </w:rPr>
        <w:t>i</w:t>
      </w:r>
      <w:r w:rsidRPr="006B03AD">
        <w:rPr>
          <w:rFonts w:ascii="Times New Roman" w:hAnsi="Times New Roman" w:cs="Times New Roman"/>
          <w:sz w:val="26"/>
          <w:szCs w:val="26"/>
        </w:rPr>
        <w:t xml:space="preserve"> uz standartiem ar reģistrācijas datumu likumdevējs ir skaidri un nepārprotami norādījis to tehnisko risinājumu, kas noteikts pašreiz spēkā esošā standartā, un kas jāievēro normatīvā akta adresātam, lai izpildītu konkrētas tiesību normas. Tādējādi, neskatoties uz to, ka likumdevējs dot iespēju nozarei pašregulēties, tas arī saglabā kontroles iespēju par attiecīgā standarta versija</w:t>
      </w:r>
      <w:r w:rsidR="00D238F6">
        <w:rPr>
          <w:rFonts w:ascii="Times New Roman" w:hAnsi="Times New Roman" w:cs="Times New Roman"/>
          <w:sz w:val="26"/>
          <w:szCs w:val="26"/>
        </w:rPr>
        <w:t>s</w:t>
      </w:r>
      <w:r w:rsidRPr="006B03AD">
        <w:rPr>
          <w:rFonts w:ascii="Times New Roman" w:hAnsi="Times New Roman" w:cs="Times New Roman"/>
          <w:sz w:val="26"/>
          <w:szCs w:val="26"/>
        </w:rPr>
        <w:t xml:space="preserve"> obligātās piemērošanas noteikšanu. </w:t>
      </w:r>
      <w:r w:rsidR="00F06A42" w:rsidRPr="006B03AD">
        <w:rPr>
          <w:rFonts w:ascii="Times New Roman" w:hAnsi="Times New Roman" w:cs="Times New Roman"/>
          <w:sz w:val="26"/>
          <w:szCs w:val="26"/>
        </w:rPr>
        <w:t>Taču arī šādu atsauču izmantošana</w:t>
      </w:r>
      <w:r w:rsidR="00091C47">
        <w:rPr>
          <w:rFonts w:ascii="Times New Roman" w:hAnsi="Times New Roman" w:cs="Times New Roman"/>
          <w:sz w:val="26"/>
          <w:szCs w:val="26"/>
        </w:rPr>
        <w:t>i</w:t>
      </w:r>
      <w:r w:rsidR="00F06A42" w:rsidRPr="006B03AD">
        <w:rPr>
          <w:rFonts w:ascii="Times New Roman" w:hAnsi="Times New Roman" w:cs="Times New Roman"/>
          <w:sz w:val="26"/>
          <w:szCs w:val="26"/>
        </w:rPr>
        <w:t xml:space="preserve"> </w:t>
      </w:r>
      <w:r w:rsidR="001C0939" w:rsidRPr="006B03AD">
        <w:rPr>
          <w:rFonts w:ascii="Times New Roman" w:hAnsi="Times New Roman" w:cs="Times New Roman"/>
          <w:sz w:val="26"/>
          <w:szCs w:val="26"/>
        </w:rPr>
        <w:t xml:space="preserve">ir  </w:t>
      </w:r>
      <w:r w:rsidR="00F06A42" w:rsidRPr="006B03AD">
        <w:rPr>
          <w:rFonts w:ascii="Times New Roman" w:hAnsi="Times New Roman" w:cs="Times New Roman"/>
          <w:sz w:val="26"/>
          <w:szCs w:val="26"/>
        </w:rPr>
        <w:t>negatīv</w:t>
      </w:r>
      <w:r w:rsidR="001C0939" w:rsidRPr="006B03AD">
        <w:rPr>
          <w:rFonts w:ascii="Times New Roman" w:hAnsi="Times New Roman" w:cs="Times New Roman"/>
          <w:sz w:val="26"/>
          <w:szCs w:val="26"/>
        </w:rPr>
        <w:t>i aspekti.</w:t>
      </w:r>
      <w:r w:rsidR="00F06A42" w:rsidRPr="006B03AD">
        <w:rPr>
          <w:rFonts w:ascii="Times New Roman" w:hAnsi="Times New Roman" w:cs="Times New Roman"/>
          <w:sz w:val="26"/>
          <w:szCs w:val="26"/>
        </w:rPr>
        <w:t xml:space="preserve"> </w:t>
      </w:r>
      <w:r w:rsidR="001C0939" w:rsidRPr="006B03AD">
        <w:rPr>
          <w:rFonts w:ascii="Times New Roman" w:hAnsi="Times New Roman" w:cs="Times New Roman"/>
          <w:sz w:val="26"/>
          <w:szCs w:val="26"/>
        </w:rPr>
        <w:t>S</w:t>
      </w:r>
      <w:r w:rsidR="00F06A42" w:rsidRPr="006B03AD">
        <w:rPr>
          <w:rFonts w:ascii="Times New Roman" w:hAnsi="Times New Roman" w:cs="Times New Roman"/>
          <w:sz w:val="26"/>
          <w:szCs w:val="26"/>
        </w:rPr>
        <w:t>tandarti regulāri ti</w:t>
      </w:r>
      <w:r w:rsidR="00A44CA6">
        <w:rPr>
          <w:rFonts w:ascii="Times New Roman" w:hAnsi="Times New Roman" w:cs="Times New Roman"/>
          <w:sz w:val="26"/>
          <w:szCs w:val="26"/>
        </w:rPr>
        <w:t>e</w:t>
      </w:r>
      <w:r w:rsidR="00F06A42" w:rsidRPr="006B03AD">
        <w:rPr>
          <w:rFonts w:ascii="Times New Roman" w:hAnsi="Times New Roman" w:cs="Times New Roman"/>
          <w:sz w:val="26"/>
          <w:szCs w:val="26"/>
        </w:rPr>
        <w:t>k pārskatīti, lai tie atbilstu aktuālākajiem zinātniskajiem un tehniskajiem sasniegumiem</w:t>
      </w:r>
      <w:r w:rsidR="001C0939" w:rsidRPr="006B03AD">
        <w:rPr>
          <w:rFonts w:ascii="Times New Roman" w:hAnsi="Times New Roman" w:cs="Times New Roman"/>
          <w:sz w:val="26"/>
          <w:szCs w:val="26"/>
        </w:rPr>
        <w:t>, t</w:t>
      </w:r>
      <w:r w:rsidRPr="006B03AD">
        <w:rPr>
          <w:rFonts w:ascii="Times New Roman" w:hAnsi="Times New Roman" w:cs="Times New Roman"/>
          <w:sz w:val="26"/>
          <w:szCs w:val="26"/>
        </w:rPr>
        <w:t>ādēļ likumdevējam, kas piešķīra standartam obligāti piemērojamā standarta statusu, ir jāseko līdzi izmaiņām standartizācijas procesā un nepieciešamības gadījuma jāveic atsauces uz standartu aktualizācija tiesību aktā</w:t>
      </w:r>
      <w:r w:rsidR="00F06A42" w:rsidRPr="006B03AD">
        <w:rPr>
          <w:rFonts w:ascii="Times New Roman" w:hAnsi="Times New Roman" w:cs="Times New Roman"/>
          <w:sz w:val="26"/>
          <w:szCs w:val="26"/>
        </w:rPr>
        <w:t>, kas rezultējās pietiekoši lielā administratīvajā slogā uz valsts pārvaldi.</w:t>
      </w:r>
    </w:p>
    <w:p w14:paraId="44CF4D0F" w14:textId="77777777" w:rsidR="00F06A42" w:rsidRPr="006B03AD" w:rsidRDefault="00A30B91" w:rsidP="00F06A42">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Tiešās atsauces uz standartiem bez reģistrācijas gada ir </w:t>
      </w:r>
      <w:r w:rsidR="001C0939" w:rsidRPr="006B03AD">
        <w:rPr>
          <w:rFonts w:ascii="Times New Roman" w:hAnsi="Times New Roman" w:cs="Times New Roman"/>
          <w:sz w:val="26"/>
          <w:szCs w:val="26"/>
        </w:rPr>
        <w:t>elastīgāks risinājums</w:t>
      </w:r>
      <w:r w:rsidRPr="006B03AD">
        <w:rPr>
          <w:rFonts w:ascii="Times New Roman" w:hAnsi="Times New Roman" w:cs="Times New Roman"/>
          <w:sz w:val="26"/>
          <w:szCs w:val="26"/>
        </w:rPr>
        <w:t xml:space="preserve"> un dod vairāk manevra iespējas nozarei </w:t>
      </w:r>
      <w:r w:rsidR="001C0939" w:rsidRPr="006B03AD">
        <w:rPr>
          <w:rFonts w:ascii="Times New Roman" w:hAnsi="Times New Roman" w:cs="Times New Roman"/>
          <w:sz w:val="26"/>
          <w:szCs w:val="26"/>
        </w:rPr>
        <w:t>pašregulēties</w:t>
      </w:r>
      <w:r w:rsidRPr="006B03AD">
        <w:rPr>
          <w:rFonts w:ascii="Times New Roman" w:hAnsi="Times New Roman" w:cs="Times New Roman"/>
          <w:sz w:val="26"/>
          <w:szCs w:val="26"/>
        </w:rPr>
        <w:t xml:space="preserve">. Turklāt </w:t>
      </w:r>
      <w:r w:rsidR="001C0939" w:rsidRPr="006B03AD">
        <w:rPr>
          <w:rFonts w:ascii="Times New Roman" w:hAnsi="Times New Roman" w:cs="Times New Roman"/>
          <w:sz w:val="26"/>
          <w:szCs w:val="26"/>
        </w:rPr>
        <w:t>šādu atsauču uz standartiem izmantošana neliek</w:t>
      </w:r>
      <w:r w:rsidRPr="006B03AD">
        <w:rPr>
          <w:rFonts w:ascii="Times New Roman" w:hAnsi="Times New Roman" w:cs="Times New Roman"/>
          <w:sz w:val="26"/>
          <w:szCs w:val="26"/>
        </w:rPr>
        <w:t xml:space="preserve"> izstrādāt normatīvo aktu grozījumus katru reizi, kad tiek apstiprināt</w:t>
      </w:r>
      <w:r w:rsidR="001C0939" w:rsidRPr="006B03AD">
        <w:rPr>
          <w:rFonts w:ascii="Times New Roman" w:hAnsi="Times New Roman" w:cs="Times New Roman"/>
          <w:sz w:val="26"/>
          <w:szCs w:val="26"/>
        </w:rPr>
        <w:t>a</w:t>
      </w:r>
      <w:r w:rsidRPr="006B03AD">
        <w:rPr>
          <w:rFonts w:ascii="Times New Roman" w:hAnsi="Times New Roman" w:cs="Times New Roman"/>
          <w:sz w:val="26"/>
          <w:szCs w:val="26"/>
        </w:rPr>
        <w:t xml:space="preserve"> jaunāka standarta versija. Vienlaikus ar ieguvumiem šim atsauču veidam ir arī savi </w:t>
      </w:r>
      <w:r w:rsidR="00604EBE" w:rsidRPr="006B03AD">
        <w:rPr>
          <w:rFonts w:ascii="Times New Roman" w:hAnsi="Times New Roman" w:cs="Times New Roman"/>
          <w:sz w:val="26"/>
          <w:szCs w:val="26"/>
        </w:rPr>
        <w:t xml:space="preserve">būtiski </w:t>
      </w:r>
      <w:r w:rsidRPr="006B03AD">
        <w:rPr>
          <w:rFonts w:ascii="Times New Roman" w:hAnsi="Times New Roman" w:cs="Times New Roman"/>
          <w:sz w:val="26"/>
          <w:szCs w:val="26"/>
        </w:rPr>
        <w:t xml:space="preserve">trūkumi, proti, šo atsauču izmantošana samazina likumdevēja kontroli pār attiecīgo nozari, pilnībā nododot attiecīgās nozares regulāciju pašas nozares rokās. </w:t>
      </w:r>
    </w:p>
    <w:p w14:paraId="5FCC1B81" w14:textId="77777777" w:rsidR="00DA1EAC" w:rsidRPr="006B03AD" w:rsidRDefault="00604EBE" w:rsidP="00545CD9">
      <w:pPr>
        <w:ind w:firstLine="360"/>
        <w:jc w:val="both"/>
        <w:rPr>
          <w:rFonts w:ascii="Times New Roman" w:hAnsi="Times New Roman" w:cs="Times New Roman"/>
          <w:sz w:val="26"/>
          <w:szCs w:val="26"/>
        </w:rPr>
      </w:pPr>
      <w:r w:rsidRPr="006B03AD">
        <w:rPr>
          <w:rFonts w:ascii="Times New Roman" w:hAnsi="Times New Roman" w:cs="Times New Roman"/>
          <w:sz w:val="26"/>
          <w:szCs w:val="26"/>
        </w:rPr>
        <w:t>K</w:t>
      </w:r>
      <w:r w:rsidR="00DA1EAC" w:rsidRPr="006B03AD">
        <w:rPr>
          <w:rFonts w:ascii="Times New Roman" w:hAnsi="Times New Roman" w:cs="Times New Roman"/>
          <w:sz w:val="26"/>
          <w:szCs w:val="26"/>
        </w:rPr>
        <w:t xml:space="preserve">ārtību, kādā ir izdarāmas atsauces uz standartiem, ir noteikta Ministru kabineta 2009.gada 3.februāra noteikumu Nr.108 „Normatīvo aktu projektu sagatavošanas noteikumi” 5.nodaļā, proti, veidojot tiešās atsauces uz standartiem </w:t>
      </w:r>
      <w:r w:rsidR="00545CD9" w:rsidRPr="006B03AD">
        <w:rPr>
          <w:rFonts w:ascii="Times New Roman" w:hAnsi="Times New Roman" w:cs="Times New Roman"/>
          <w:sz w:val="26"/>
          <w:szCs w:val="26"/>
        </w:rPr>
        <w:t xml:space="preserve">ir jāpielieto </w:t>
      </w:r>
      <w:r w:rsidR="00DA1EAC" w:rsidRPr="006B03AD">
        <w:rPr>
          <w:rFonts w:ascii="Times New Roman" w:hAnsi="Times New Roman" w:cs="Times New Roman"/>
          <w:sz w:val="26"/>
          <w:szCs w:val="26"/>
        </w:rPr>
        <w:t>tiešā</w:t>
      </w:r>
      <w:r w:rsidR="00545CD9" w:rsidRPr="006B03AD">
        <w:rPr>
          <w:rFonts w:ascii="Times New Roman" w:hAnsi="Times New Roman" w:cs="Times New Roman"/>
          <w:sz w:val="26"/>
          <w:szCs w:val="26"/>
        </w:rPr>
        <w:t>s</w:t>
      </w:r>
      <w:r w:rsidR="00DA1EAC" w:rsidRPr="006B03AD">
        <w:rPr>
          <w:rFonts w:ascii="Times New Roman" w:hAnsi="Times New Roman" w:cs="Times New Roman"/>
          <w:sz w:val="26"/>
          <w:szCs w:val="26"/>
        </w:rPr>
        <w:t xml:space="preserve"> atsauce</w:t>
      </w:r>
      <w:r w:rsidR="00545CD9" w:rsidRPr="006B03AD">
        <w:rPr>
          <w:rFonts w:ascii="Times New Roman" w:hAnsi="Times New Roman" w:cs="Times New Roman"/>
          <w:sz w:val="26"/>
          <w:szCs w:val="26"/>
        </w:rPr>
        <w:t>s</w:t>
      </w:r>
      <w:r w:rsidR="00DA1EAC" w:rsidRPr="006B03AD">
        <w:rPr>
          <w:rFonts w:ascii="Times New Roman" w:hAnsi="Times New Roman" w:cs="Times New Roman"/>
          <w:sz w:val="26"/>
          <w:szCs w:val="26"/>
        </w:rPr>
        <w:t xml:space="preserve"> ar norādi uz standarta reģistrācijas</w:t>
      </w:r>
      <w:r w:rsidR="00545CD9" w:rsidRPr="006B03AD">
        <w:rPr>
          <w:rFonts w:ascii="Times New Roman" w:hAnsi="Times New Roman" w:cs="Times New Roman"/>
          <w:sz w:val="26"/>
          <w:szCs w:val="26"/>
        </w:rPr>
        <w:t xml:space="preserve"> datumu un standarta nosaukumu, </w:t>
      </w:r>
      <w:r w:rsidR="00DA1EAC" w:rsidRPr="006B03AD">
        <w:rPr>
          <w:rFonts w:ascii="Times New Roman" w:hAnsi="Times New Roman" w:cs="Times New Roman"/>
          <w:sz w:val="26"/>
          <w:szCs w:val="26"/>
        </w:rPr>
        <w:t>piemēram, LVS EN ISO/IEC 17025:2005 “Testēšanas un kalibrēšanas laboratoriju k</w:t>
      </w:r>
      <w:r w:rsidR="00545CD9" w:rsidRPr="006B03AD">
        <w:rPr>
          <w:rFonts w:ascii="Times New Roman" w:hAnsi="Times New Roman" w:cs="Times New Roman"/>
          <w:sz w:val="26"/>
          <w:szCs w:val="26"/>
        </w:rPr>
        <w:t>ompetences vispārīgās prasības”</w:t>
      </w:r>
      <w:r w:rsidR="00DA1EAC" w:rsidRPr="006B03AD">
        <w:rPr>
          <w:rFonts w:ascii="Times New Roman" w:hAnsi="Times New Roman" w:cs="Times New Roman"/>
          <w:sz w:val="26"/>
          <w:szCs w:val="26"/>
        </w:rPr>
        <w:t>.</w:t>
      </w:r>
      <w:r w:rsidR="00545CD9" w:rsidRPr="006B03AD">
        <w:rPr>
          <w:rFonts w:ascii="Times New Roman" w:hAnsi="Times New Roman" w:cs="Times New Roman"/>
          <w:sz w:val="26"/>
          <w:szCs w:val="26"/>
        </w:rPr>
        <w:t xml:space="preserve"> Tādējādi normatīvie akti šobrīd nepieļauj iespēju izmantot tiešās atsauces uz standartiem bez reģistrācijas gadiem.</w:t>
      </w:r>
    </w:p>
    <w:p w14:paraId="344802A6" w14:textId="77777777" w:rsidR="005315FA" w:rsidRDefault="005315FA" w:rsidP="00545CD9">
      <w:pPr>
        <w:ind w:firstLine="360"/>
        <w:jc w:val="both"/>
        <w:rPr>
          <w:rFonts w:ascii="Times New Roman" w:hAnsi="Times New Roman" w:cs="Times New Roman"/>
          <w:sz w:val="26"/>
          <w:szCs w:val="26"/>
        </w:rPr>
      </w:pPr>
    </w:p>
    <w:p w14:paraId="4F350737" w14:textId="77777777" w:rsidR="00226850" w:rsidRPr="006B03AD" w:rsidRDefault="00226850" w:rsidP="00545CD9">
      <w:pPr>
        <w:ind w:firstLine="360"/>
        <w:jc w:val="both"/>
        <w:rPr>
          <w:rFonts w:ascii="Times New Roman" w:hAnsi="Times New Roman" w:cs="Times New Roman"/>
          <w:sz w:val="26"/>
          <w:szCs w:val="26"/>
        </w:rPr>
      </w:pPr>
    </w:p>
    <w:p w14:paraId="499A6B87" w14:textId="77777777" w:rsidR="00545CD9" w:rsidRPr="006B03AD" w:rsidRDefault="00D92B78" w:rsidP="00B972E0">
      <w:pPr>
        <w:pStyle w:val="Heading2"/>
      </w:pPr>
      <w:bookmarkStart w:id="4" w:name="_Toc451859772"/>
      <w:bookmarkStart w:id="5" w:name="_Toc451859995"/>
      <w:r w:rsidRPr="006B03AD">
        <w:lastRenderedPageBreak/>
        <w:t xml:space="preserve">Citu valstu un </w:t>
      </w:r>
      <w:r w:rsidR="00E15EB6" w:rsidRPr="006B03AD">
        <w:t xml:space="preserve">organizāciju </w:t>
      </w:r>
      <w:r w:rsidRPr="006B03AD">
        <w:t>pieredze</w:t>
      </w:r>
      <w:bookmarkEnd w:id="4"/>
      <w:bookmarkEnd w:id="5"/>
    </w:p>
    <w:p w14:paraId="441BEFFC" w14:textId="77777777" w:rsidR="004E57AC" w:rsidRPr="006B03AD" w:rsidRDefault="004E57AC" w:rsidP="00E75CE4">
      <w:pPr>
        <w:pStyle w:val="ListParagraph"/>
        <w:ind w:left="360"/>
        <w:rPr>
          <w:rFonts w:ascii="Times New Roman" w:hAnsi="Times New Roman" w:cs="Times New Roman"/>
          <w:sz w:val="26"/>
          <w:szCs w:val="26"/>
        </w:rPr>
      </w:pPr>
    </w:p>
    <w:p w14:paraId="7ED27D7F" w14:textId="77777777" w:rsidR="004E57AC" w:rsidRPr="006B03AD" w:rsidRDefault="004E57AC" w:rsidP="00E75CE4">
      <w:pPr>
        <w:ind w:firstLine="360"/>
        <w:jc w:val="both"/>
        <w:rPr>
          <w:rFonts w:ascii="Times New Roman" w:hAnsi="Times New Roman" w:cs="Times New Roman"/>
          <w:sz w:val="26"/>
          <w:szCs w:val="26"/>
        </w:rPr>
      </w:pPr>
      <w:r w:rsidRPr="006B03AD">
        <w:rPr>
          <w:rFonts w:ascii="Times New Roman" w:hAnsi="Times New Roman" w:cs="Times New Roman"/>
          <w:sz w:val="26"/>
          <w:szCs w:val="26"/>
        </w:rPr>
        <w:t>Lai piedāvātu uzlabojumus standartu pielietojumam likumdošanā</w:t>
      </w:r>
      <w:r w:rsidR="000F0443" w:rsidRPr="006B03AD">
        <w:rPr>
          <w:rFonts w:ascii="Times New Roman" w:hAnsi="Times New Roman" w:cs="Times New Roman"/>
          <w:sz w:val="26"/>
          <w:szCs w:val="26"/>
        </w:rPr>
        <w:t xml:space="preserve"> un standartizācijas darba organizēšanā</w:t>
      </w:r>
      <w:r w:rsidRPr="006B03AD">
        <w:rPr>
          <w:rFonts w:ascii="Times New Roman" w:hAnsi="Times New Roman" w:cs="Times New Roman"/>
          <w:sz w:val="26"/>
          <w:szCs w:val="26"/>
        </w:rPr>
        <w:t>, tika izpētīta arī citu valstu  pieredze īpaši attiecībā uz standartu pieejamības jautājumu</w:t>
      </w:r>
      <w:r w:rsidR="000F0443" w:rsidRPr="006B03AD">
        <w:rPr>
          <w:rFonts w:ascii="Times New Roman" w:hAnsi="Times New Roman" w:cs="Times New Roman"/>
          <w:sz w:val="26"/>
          <w:szCs w:val="26"/>
        </w:rPr>
        <w:t xml:space="preserve"> un tulkošanu valsts valodā, kā arī attiecībā uz </w:t>
      </w:r>
      <w:r w:rsidRPr="006B03AD">
        <w:rPr>
          <w:rFonts w:ascii="Times New Roman" w:hAnsi="Times New Roman" w:cs="Times New Roman"/>
          <w:sz w:val="26"/>
          <w:szCs w:val="26"/>
        </w:rPr>
        <w:t>autortiesīb</w:t>
      </w:r>
      <w:r w:rsidR="000F0443" w:rsidRPr="006B03AD">
        <w:rPr>
          <w:rFonts w:ascii="Times New Roman" w:hAnsi="Times New Roman" w:cs="Times New Roman"/>
          <w:sz w:val="26"/>
          <w:szCs w:val="26"/>
        </w:rPr>
        <w:t>ām</w:t>
      </w:r>
      <w:r w:rsidRPr="006B03AD">
        <w:rPr>
          <w:rFonts w:ascii="Times New Roman" w:hAnsi="Times New Roman" w:cs="Times New Roman"/>
          <w:sz w:val="26"/>
          <w:szCs w:val="26"/>
        </w:rPr>
        <w:t>, kas ir visbiežāk radījuši diskusijas un atšķirīgus viedokļus.</w:t>
      </w:r>
    </w:p>
    <w:p w14:paraId="6C256101" w14:textId="77777777" w:rsidR="001A1797" w:rsidRPr="006B03AD" w:rsidRDefault="001A1797" w:rsidP="001A1797">
      <w:pPr>
        <w:ind w:firstLine="709"/>
        <w:jc w:val="both"/>
        <w:rPr>
          <w:rFonts w:ascii="Times New Roman" w:hAnsi="Times New Roman"/>
          <w:color w:val="000000"/>
          <w:sz w:val="26"/>
          <w:szCs w:val="26"/>
          <w:u w:val="single"/>
        </w:rPr>
      </w:pPr>
    </w:p>
    <w:p w14:paraId="7107448B" w14:textId="77777777" w:rsidR="001A1797" w:rsidRPr="006B03AD" w:rsidRDefault="001A1797" w:rsidP="001A1797">
      <w:pPr>
        <w:ind w:firstLine="709"/>
        <w:jc w:val="both"/>
        <w:rPr>
          <w:rFonts w:ascii="Times New Roman" w:hAnsi="Times New Roman"/>
          <w:color w:val="000000"/>
          <w:sz w:val="26"/>
          <w:szCs w:val="26"/>
          <w:u w:val="single"/>
        </w:rPr>
      </w:pPr>
      <w:r w:rsidRPr="006B03AD">
        <w:rPr>
          <w:rFonts w:ascii="Times New Roman" w:hAnsi="Times New Roman"/>
          <w:color w:val="000000"/>
          <w:sz w:val="26"/>
          <w:szCs w:val="26"/>
          <w:u w:val="single"/>
        </w:rPr>
        <w:t>Standartu ietekme</w:t>
      </w:r>
    </w:p>
    <w:p w14:paraId="3EDD78F7" w14:textId="77777777" w:rsidR="001A1797" w:rsidRPr="006B03AD" w:rsidRDefault="001A1797" w:rsidP="001A1797">
      <w:pPr>
        <w:spacing w:after="120"/>
        <w:ind w:firstLine="709"/>
        <w:jc w:val="both"/>
        <w:rPr>
          <w:rFonts w:ascii="Times New Roman" w:hAnsi="Times New Roman"/>
          <w:color w:val="000000"/>
          <w:sz w:val="26"/>
          <w:szCs w:val="26"/>
        </w:rPr>
      </w:pPr>
      <w:r w:rsidRPr="006B03AD">
        <w:rPr>
          <w:rFonts w:ascii="Times New Roman" w:hAnsi="Times New Roman"/>
          <w:color w:val="000000"/>
          <w:sz w:val="26"/>
          <w:szCs w:val="26"/>
        </w:rPr>
        <w:t>Publiski pieejamie dati par Vācijā veikto pētījumu rezultātiem par standartu ekonomisko ieguvumu un to kopējo pienesumu valsts tautsaimniecības izaugsmei liecina par to, ka standartizācija šīs valsts iekšzemes kopproduktu (IKP) palielina par 1 procentpunktu (%). Vienlaikus pētījumos secināts, ka standartu kopējais pienesums tautsaimniecības izaugsmei ir lielāks, nekā patentiem un licencēm.</w:t>
      </w:r>
    </w:p>
    <w:p w14:paraId="517667EF" w14:textId="77777777" w:rsidR="001A1797" w:rsidRPr="006B03AD" w:rsidRDefault="001A1797" w:rsidP="001A1797">
      <w:pPr>
        <w:spacing w:after="120"/>
        <w:ind w:firstLine="709"/>
        <w:jc w:val="both"/>
        <w:rPr>
          <w:rFonts w:ascii="Times New Roman" w:hAnsi="Times New Roman"/>
          <w:color w:val="000000"/>
          <w:sz w:val="26"/>
          <w:szCs w:val="26"/>
        </w:rPr>
      </w:pPr>
      <w:r w:rsidRPr="006B03AD">
        <w:rPr>
          <w:rFonts w:ascii="Times New Roman" w:hAnsi="Times New Roman"/>
          <w:color w:val="000000"/>
          <w:sz w:val="26"/>
          <w:szCs w:val="26"/>
        </w:rPr>
        <w:t>Savukārt Apvienotajā Karalistē standartu kopējais ieguldījums tautsaimniecības attīstībā ir lēšams aptuveni 2,5 miljardu sterliņu mārciņu apmērā. Vienlaikus 13% liels pieaugums darbaspēka produktivitātē tiek attiecināts tieš</w:t>
      </w:r>
      <w:r w:rsidR="009B5B05">
        <w:rPr>
          <w:rFonts w:ascii="Times New Roman" w:hAnsi="Times New Roman"/>
          <w:color w:val="000000"/>
          <w:sz w:val="26"/>
          <w:szCs w:val="26"/>
        </w:rPr>
        <w:t>i</w:t>
      </w:r>
      <w:r w:rsidRPr="006B03AD">
        <w:rPr>
          <w:rFonts w:ascii="Times New Roman" w:hAnsi="Times New Roman"/>
          <w:color w:val="000000"/>
          <w:sz w:val="26"/>
          <w:szCs w:val="26"/>
        </w:rPr>
        <w:t xml:space="preserve"> uz ražotāju sekošanu standartu prasībām ražošanas procesos un to vadībā. Mūsdienās Lielbritānijā standarti tiek plaši atzīti par inovāciju virzītājspēku, kā arī tehnoloģisko pārmaiņu veicinātājiem.</w:t>
      </w:r>
    </w:p>
    <w:p w14:paraId="467E0B40" w14:textId="77777777" w:rsidR="005315FA" w:rsidRPr="006B03AD" w:rsidRDefault="005315FA" w:rsidP="001A1797">
      <w:pPr>
        <w:spacing w:after="120"/>
        <w:ind w:firstLine="709"/>
        <w:jc w:val="both"/>
        <w:rPr>
          <w:rFonts w:ascii="Times New Roman" w:hAnsi="Times New Roman"/>
          <w:color w:val="000000"/>
          <w:sz w:val="26"/>
          <w:szCs w:val="26"/>
        </w:rPr>
      </w:pPr>
    </w:p>
    <w:p w14:paraId="6C825E67" w14:textId="77777777" w:rsidR="00E15EB6" w:rsidRPr="006B03AD" w:rsidRDefault="00E15EB6" w:rsidP="00B972E0">
      <w:pPr>
        <w:pStyle w:val="Heading3"/>
      </w:pPr>
      <w:bookmarkStart w:id="6" w:name="_Toc451859773"/>
      <w:bookmarkStart w:id="7" w:name="_Toc451859996"/>
      <w:r w:rsidRPr="006B03AD">
        <w:t>Eiropas Savienība</w:t>
      </w:r>
      <w:bookmarkEnd w:id="6"/>
      <w:bookmarkEnd w:id="7"/>
    </w:p>
    <w:p w14:paraId="606C928C" w14:textId="77777777" w:rsidR="00E15EB6" w:rsidRPr="006B03AD" w:rsidRDefault="00E15EB6" w:rsidP="00E15EB6">
      <w:pPr>
        <w:jc w:val="center"/>
        <w:rPr>
          <w:rFonts w:ascii="Times New Roman" w:hAnsi="Times New Roman" w:cs="Times New Roman"/>
          <w:sz w:val="26"/>
          <w:szCs w:val="26"/>
        </w:rPr>
      </w:pPr>
    </w:p>
    <w:p w14:paraId="403EEBE3" w14:textId="77777777" w:rsidR="00E15EB6" w:rsidRPr="006B03AD" w:rsidRDefault="00E15EB6" w:rsidP="00E15EB6">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Neskatoties uz to, ka Eiropas Savienības līmenī ļoti plaši tiek izmantota Jaunā pieeja, uz kuras pamatiem tika izstrādāta Standartizācijas Regula (ES) Nr.1025/2012, tas neizslēdz gadījumus, kad Eiropas Savienības normatīvajā regulējumā tiek izmantotas arī tiešās atsauces uz standartiem. </w:t>
      </w:r>
      <w:r w:rsidR="005315FA" w:rsidRPr="006B03AD">
        <w:rPr>
          <w:rFonts w:ascii="Times New Roman" w:hAnsi="Times New Roman" w:cs="Times New Roman"/>
          <w:sz w:val="26"/>
          <w:szCs w:val="26"/>
        </w:rPr>
        <w:t xml:space="preserve">Šīs atsauces </w:t>
      </w:r>
      <w:r w:rsidRPr="006B03AD">
        <w:rPr>
          <w:rFonts w:ascii="Times New Roman" w:hAnsi="Times New Roman" w:cs="Times New Roman"/>
          <w:sz w:val="26"/>
          <w:szCs w:val="26"/>
        </w:rPr>
        <w:t>pēc būtības padara attiecīgo standartu izmantošanu kā obligātu nosacījumu. Faktu, ka normatīvajos aktos tiek veidotas gan tiešās, gan arī netiešās atsauces uz standartiem, apliecina arī Eiropas</w:t>
      </w:r>
      <w:r w:rsidR="00C46A35" w:rsidRPr="006B03AD">
        <w:rPr>
          <w:rFonts w:ascii="Times New Roman" w:hAnsi="Times New Roman" w:cs="Times New Roman"/>
          <w:sz w:val="26"/>
          <w:szCs w:val="26"/>
        </w:rPr>
        <w:t xml:space="preserve"> Komisijas 2002.gada vadlīnijās</w:t>
      </w:r>
      <w:r w:rsidR="00C46A35" w:rsidRPr="006B03AD">
        <w:rPr>
          <w:rStyle w:val="FootnoteReference"/>
          <w:rFonts w:ascii="Times New Roman" w:hAnsi="Times New Roman" w:cs="Times New Roman"/>
          <w:sz w:val="26"/>
          <w:szCs w:val="26"/>
        </w:rPr>
        <w:footnoteReference w:id="2"/>
      </w:r>
      <w:r w:rsidRPr="006B03AD">
        <w:rPr>
          <w:rFonts w:ascii="Times New Roman" w:hAnsi="Times New Roman" w:cs="Times New Roman"/>
          <w:sz w:val="26"/>
          <w:szCs w:val="26"/>
        </w:rPr>
        <w:t xml:space="preserve"> norādītā informācija.</w:t>
      </w:r>
    </w:p>
    <w:p w14:paraId="48EC33F0" w14:textId="77777777" w:rsidR="00C46A35" w:rsidRPr="006B03AD" w:rsidRDefault="00C46A35" w:rsidP="00C46A35">
      <w:pPr>
        <w:ind w:firstLine="360"/>
        <w:jc w:val="both"/>
        <w:rPr>
          <w:rFonts w:ascii="Times New Roman" w:hAnsi="Times New Roman" w:cs="Times New Roman"/>
          <w:i/>
          <w:sz w:val="26"/>
          <w:szCs w:val="26"/>
        </w:rPr>
      </w:pPr>
      <w:r w:rsidRPr="006B03AD">
        <w:rPr>
          <w:rFonts w:ascii="Times New Roman" w:hAnsi="Times New Roman" w:cs="Times New Roman"/>
          <w:sz w:val="26"/>
          <w:szCs w:val="26"/>
        </w:rPr>
        <w:t xml:space="preserve">Eiropas Savienības ietvaros pastāv </w:t>
      </w:r>
      <w:r w:rsidR="008A51FD" w:rsidRPr="006B03AD">
        <w:rPr>
          <w:rFonts w:ascii="Times New Roman" w:hAnsi="Times New Roman" w:cs="Times New Roman"/>
          <w:sz w:val="26"/>
          <w:szCs w:val="26"/>
        </w:rPr>
        <w:t>atšķirīgi viedokļi</w:t>
      </w:r>
      <w:r w:rsidRPr="006B03AD">
        <w:rPr>
          <w:rFonts w:ascii="Times New Roman" w:hAnsi="Times New Roman" w:cs="Times New Roman"/>
          <w:sz w:val="26"/>
          <w:szCs w:val="26"/>
        </w:rPr>
        <w:t xml:space="preserve"> par </w:t>
      </w:r>
      <w:r w:rsidR="008A51FD" w:rsidRPr="006B03AD">
        <w:rPr>
          <w:rFonts w:ascii="Times New Roman" w:hAnsi="Times New Roman" w:cs="Times New Roman"/>
          <w:sz w:val="26"/>
          <w:szCs w:val="26"/>
        </w:rPr>
        <w:t xml:space="preserve">standartu obligātās piemērošanas būtību. </w:t>
      </w:r>
      <w:r w:rsidRPr="006B03AD">
        <w:rPr>
          <w:rFonts w:ascii="Times New Roman" w:hAnsi="Times New Roman" w:cs="Times New Roman"/>
          <w:sz w:val="26"/>
          <w:szCs w:val="26"/>
        </w:rPr>
        <w:t>Taču neapšaubāms ir fakts, ka gadījumos, kad normatīvajos tiek izmantotas tiešās atsauces uz standartiem</w:t>
      </w:r>
      <w:r w:rsidR="006418EC">
        <w:rPr>
          <w:rFonts w:ascii="Times New Roman" w:hAnsi="Times New Roman" w:cs="Times New Roman"/>
          <w:sz w:val="26"/>
          <w:szCs w:val="26"/>
        </w:rPr>
        <w:t>,</w:t>
      </w:r>
      <w:r w:rsidRPr="006B03AD">
        <w:rPr>
          <w:rFonts w:ascii="Times New Roman" w:hAnsi="Times New Roman" w:cs="Times New Roman"/>
          <w:sz w:val="26"/>
          <w:szCs w:val="26"/>
        </w:rPr>
        <w:t xml:space="preserve"> tie kļūst par obligātu nosacījumu, kas jāizpilda attiecīgā normatīvā akta adresātam. Tiešās atsauces uz standartiem ir atrodamas, piemēram, Eiropas Parlamenta un Padomes 2014.gada  3.aprīļa direktīvā 2014/40/ES </w:t>
      </w:r>
      <w:r w:rsidRPr="006B03AD">
        <w:rPr>
          <w:rFonts w:ascii="Times New Roman" w:hAnsi="Times New Roman" w:cs="Times New Roman"/>
          <w:i/>
          <w:sz w:val="26"/>
          <w:szCs w:val="26"/>
        </w:rPr>
        <w:t>par dalībvalstu normatīvo un administratīvo aktu tuvināšanu attiecībā uz tabakas un saistīto izstrādājumu ražošanu, noformēšanu un pārdošanu un ar ko atceļ Direktīvu 2001/37/EK</w:t>
      </w:r>
      <w:r w:rsidRPr="006B03AD">
        <w:rPr>
          <w:rFonts w:ascii="Times New Roman" w:hAnsi="Times New Roman" w:cs="Times New Roman"/>
          <w:sz w:val="26"/>
          <w:szCs w:val="26"/>
        </w:rPr>
        <w:t xml:space="preserve"> un Eiropas Parlamenta un Padomes 2013.gada 20.novembra direktīva 2013/53/ES </w:t>
      </w:r>
      <w:r w:rsidRPr="006B03AD">
        <w:rPr>
          <w:rFonts w:ascii="Times New Roman" w:hAnsi="Times New Roman" w:cs="Times New Roman"/>
          <w:i/>
          <w:sz w:val="26"/>
          <w:szCs w:val="26"/>
        </w:rPr>
        <w:t xml:space="preserve">par </w:t>
      </w:r>
      <w:proofErr w:type="spellStart"/>
      <w:r w:rsidRPr="006B03AD">
        <w:rPr>
          <w:rFonts w:ascii="Times New Roman" w:hAnsi="Times New Roman" w:cs="Times New Roman"/>
          <w:i/>
          <w:sz w:val="26"/>
          <w:szCs w:val="26"/>
        </w:rPr>
        <w:t>atpūtas</w:t>
      </w:r>
      <w:proofErr w:type="spellEnd"/>
      <w:r w:rsidRPr="006B03AD">
        <w:rPr>
          <w:rFonts w:ascii="Times New Roman" w:hAnsi="Times New Roman" w:cs="Times New Roman"/>
          <w:i/>
          <w:sz w:val="26"/>
          <w:szCs w:val="26"/>
        </w:rPr>
        <w:t xml:space="preserve"> </w:t>
      </w:r>
      <w:proofErr w:type="spellStart"/>
      <w:r w:rsidRPr="006B03AD">
        <w:rPr>
          <w:rFonts w:ascii="Times New Roman" w:hAnsi="Times New Roman" w:cs="Times New Roman"/>
          <w:i/>
          <w:sz w:val="26"/>
          <w:szCs w:val="26"/>
        </w:rPr>
        <w:t>kuģiem</w:t>
      </w:r>
      <w:proofErr w:type="spellEnd"/>
      <w:r w:rsidRPr="006B03AD">
        <w:rPr>
          <w:rFonts w:ascii="Times New Roman" w:hAnsi="Times New Roman" w:cs="Times New Roman"/>
          <w:i/>
          <w:sz w:val="26"/>
          <w:szCs w:val="26"/>
        </w:rPr>
        <w:t xml:space="preserve"> un </w:t>
      </w:r>
      <w:proofErr w:type="spellStart"/>
      <w:r w:rsidRPr="006B03AD">
        <w:rPr>
          <w:rFonts w:ascii="Times New Roman" w:hAnsi="Times New Roman" w:cs="Times New Roman"/>
          <w:i/>
          <w:sz w:val="26"/>
          <w:szCs w:val="26"/>
        </w:rPr>
        <w:t>ūdens</w:t>
      </w:r>
      <w:proofErr w:type="spellEnd"/>
      <w:r w:rsidRPr="006B03AD">
        <w:rPr>
          <w:rFonts w:ascii="Times New Roman" w:hAnsi="Times New Roman" w:cs="Times New Roman"/>
          <w:i/>
          <w:sz w:val="26"/>
          <w:szCs w:val="26"/>
        </w:rPr>
        <w:t xml:space="preserve"> motocikliem un ar ko atceļ </w:t>
      </w:r>
      <w:proofErr w:type="spellStart"/>
      <w:r w:rsidRPr="006B03AD">
        <w:rPr>
          <w:rFonts w:ascii="Times New Roman" w:hAnsi="Times New Roman" w:cs="Times New Roman"/>
          <w:i/>
          <w:sz w:val="26"/>
          <w:szCs w:val="26"/>
        </w:rPr>
        <w:t>Direktīvu</w:t>
      </w:r>
      <w:proofErr w:type="spellEnd"/>
      <w:r w:rsidRPr="006B03AD">
        <w:rPr>
          <w:rFonts w:ascii="Times New Roman" w:hAnsi="Times New Roman" w:cs="Times New Roman"/>
          <w:i/>
          <w:sz w:val="26"/>
          <w:szCs w:val="26"/>
        </w:rPr>
        <w:t xml:space="preserve"> 94/25/EK par </w:t>
      </w:r>
      <w:proofErr w:type="spellStart"/>
      <w:r w:rsidRPr="006B03AD">
        <w:rPr>
          <w:rFonts w:ascii="Times New Roman" w:hAnsi="Times New Roman" w:cs="Times New Roman"/>
          <w:i/>
          <w:sz w:val="26"/>
          <w:szCs w:val="26"/>
        </w:rPr>
        <w:t>atpūtas</w:t>
      </w:r>
      <w:proofErr w:type="spellEnd"/>
      <w:r w:rsidRPr="006B03AD">
        <w:rPr>
          <w:rFonts w:ascii="Times New Roman" w:hAnsi="Times New Roman" w:cs="Times New Roman"/>
          <w:i/>
          <w:sz w:val="26"/>
          <w:szCs w:val="26"/>
        </w:rPr>
        <w:t xml:space="preserve"> </w:t>
      </w:r>
      <w:proofErr w:type="spellStart"/>
      <w:r w:rsidRPr="006B03AD">
        <w:rPr>
          <w:rFonts w:ascii="Times New Roman" w:hAnsi="Times New Roman" w:cs="Times New Roman"/>
          <w:i/>
          <w:sz w:val="26"/>
          <w:szCs w:val="26"/>
        </w:rPr>
        <w:t>kuģiem</w:t>
      </w:r>
      <w:proofErr w:type="spellEnd"/>
      <w:r w:rsidRPr="006B03AD">
        <w:rPr>
          <w:rFonts w:ascii="Times New Roman" w:hAnsi="Times New Roman" w:cs="Times New Roman"/>
          <w:i/>
          <w:sz w:val="26"/>
          <w:szCs w:val="26"/>
        </w:rPr>
        <w:t xml:space="preserve"> un </w:t>
      </w:r>
      <w:proofErr w:type="spellStart"/>
      <w:r w:rsidRPr="006B03AD">
        <w:rPr>
          <w:rFonts w:ascii="Times New Roman" w:hAnsi="Times New Roman" w:cs="Times New Roman"/>
          <w:i/>
          <w:sz w:val="26"/>
          <w:szCs w:val="26"/>
        </w:rPr>
        <w:t>ūdens</w:t>
      </w:r>
      <w:proofErr w:type="spellEnd"/>
      <w:r w:rsidRPr="006B03AD">
        <w:rPr>
          <w:rFonts w:ascii="Times New Roman" w:hAnsi="Times New Roman" w:cs="Times New Roman"/>
          <w:i/>
          <w:sz w:val="26"/>
          <w:szCs w:val="26"/>
        </w:rPr>
        <w:t xml:space="preserve"> motocikliem un ar ko atceļ </w:t>
      </w:r>
      <w:proofErr w:type="spellStart"/>
      <w:r w:rsidRPr="006B03AD">
        <w:rPr>
          <w:rFonts w:ascii="Times New Roman" w:hAnsi="Times New Roman" w:cs="Times New Roman"/>
          <w:i/>
          <w:sz w:val="26"/>
          <w:szCs w:val="26"/>
        </w:rPr>
        <w:t>Direktīvu</w:t>
      </w:r>
      <w:proofErr w:type="spellEnd"/>
      <w:r w:rsidRPr="006B03AD">
        <w:rPr>
          <w:rFonts w:ascii="Times New Roman" w:hAnsi="Times New Roman" w:cs="Times New Roman"/>
          <w:i/>
          <w:sz w:val="26"/>
          <w:szCs w:val="26"/>
        </w:rPr>
        <w:t xml:space="preserve"> 94/25/EK.</w:t>
      </w:r>
    </w:p>
    <w:p w14:paraId="28915B2D" w14:textId="77777777" w:rsidR="00C46A35" w:rsidRPr="006B03AD" w:rsidRDefault="009C22F3" w:rsidP="00C46A35">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Pēdējo lielāko </w:t>
      </w:r>
      <w:r w:rsidR="004E57AC" w:rsidRPr="006B03AD">
        <w:rPr>
          <w:rFonts w:ascii="Times New Roman" w:hAnsi="Times New Roman" w:cs="Times New Roman"/>
          <w:sz w:val="26"/>
          <w:szCs w:val="26"/>
        </w:rPr>
        <w:t xml:space="preserve">diskusiju </w:t>
      </w:r>
      <w:r w:rsidRPr="006B03AD">
        <w:rPr>
          <w:rFonts w:ascii="Times New Roman" w:hAnsi="Times New Roman" w:cs="Times New Roman"/>
          <w:sz w:val="26"/>
          <w:szCs w:val="26"/>
        </w:rPr>
        <w:t>j</w:t>
      </w:r>
      <w:r w:rsidR="00C46A35" w:rsidRPr="006B03AD">
        <w:rPr>
          <w:rFonts w:ascii="Times New Roman" w:hAnsi="Times New Roman" w:cs="Times New Roman"/>
          <w:sz w:val="26"/>
          <w:szCs w:val="26"/>
        </w:rPr>
        <w:t xml:space="preserve">autājums par standartu pieejamību un valsts valodu </w:t>
      </w:r>
      <w:r w:rsidRPr="006B03AD">
        <w:rPr>
          <w:rFonts w:ascii="Times New Roman" w:hAnsi="Times New Roman" w:cs="Times New Roman"/>
          <w:sz w:val="26"/>
          <w:szCs w:val="26"/>
        </w:rPr>
        <w:t xml:space="preserve">Eiropas Savienības līmenī ieguva 2013.gada nogalē, kad Somijas </w:t>
      </w:r>
      <w:proofErr w:type="spellStart"/>
      <w:r w:rsidRPr="006B03AD">
        <w:rPr>
          <w:rFonts w:ascii="Times New Roman" w:hAnsi="Times New Roman" w:cs="Times New Roman"/>
          <w:sz w:val="26"/>
          <w:szCs w:val="26"/>
        </w:rPr>
        <w:t>tiesībsargs</w:t>
      </w:r>
      <w:proofErr w:type="spellEnd"/>
      <w:r w:rsidRPr="006B03AD">
        <w:rPr>
          <w:rFonts w:ascii="Times New Roman" w:hAnsi="Times New Roman" w:cs="Times New Roman"/>
          <w:sz w:val="26"/>
          <w:szCs w:val="26"/>
        </w:rPr>
        <w:t xml:space="preserve"> ar šādu jautājumu vērsās pie Eiropas </w:t>
      </w:r>
      <w:proofErr w:type="spellStart"/>
      <w:r w:rsidRPr="006B03AD">
        <w:rPr>
          <w:rFonts w:ascii="Times New Roman" w:hAnsi="Times New Roman" w:cs="Times New Roman"/>
          <w:sz w:val="26"/>
          <w:szCs w:val="26"/>
        </w:rPr>
        <w:t>Ombuda</w:t>
      </w:r>
      <w:proofErr w:type="spellEnd"/>
      <w:r w:rsidRPr="006B03AD">
        <w:rPr>
          <w:rFonts w:ascii="Times New Roman" w:hAnsi="Times New Roman" w:cs="Times New Roman"/>
          <w:sz w:val="26"/>
          <w:szCs w:val="26"/>
        </w:rPr>
        <w:t xml:space="preserve">, kurš savukārt lūdza Eiropas Komisiju sniegt atbildes uz Somijas tiesībsarga uzdotajiem jautājumiem būvizstrādājumu regulas kontekstā. 2014.gadā Eiropas Komisija sniedza atbildi Eiropas </w:t>
      </w:r>
      <w:proofErr w:type="spellStart"/>
      <w:r w:rsidRPr="006B03AD">
        <w:rPr>
          <w:rFonts w:ascii="Times New Roman" w:hAnsi="Times New Roman" w:cs="Times New Roman"/>
          <w:sz w:val="26"/>
          <w:szCs w:val="26"/>
        </w:rPr>
        <w:t>Ombudam</w:t>
      </w:r>
      <w:proofErr w:type="spellEnd"/>
      <w:r w:rsidRPr="006B03AD">
        <w:rPr>
          <w:rFonts w:ascii="Times New Roman" w:hAnsi="Times New Roman" w:cs="Times New Roman"/>
          <w:sz w:val="26"/>
          <w:szCs w:val="26"/>
        </w:rPr>
        <w:t xml:space="preserve">, no kuras izriet šādi Eiropas Komisijas </w:t>
      </w:r>
      <w:r w:rsidR="008A51FD" w:rsidRPr="006B03AD">
        <w:rPr>
          <w:rFonts w:ascii="Times New Roman" w:hAnsi="Times New Roman" w:cs="Times New Roman"/>
          <w:sz w:val="26"/>
          <w:szCs w:val="26"/>
        </w:rPr>
        <w:t>skaidrojumi</w:t>
      </w:r>
      <w:r w:rsidRPr="006B03AD">
        <w:rPr>
          <w:rFonts w:ascii="Times New Roman" w:hAnsi="Times New Roman" w:cs="Times New Roman"/>
          <w:sz w:val="26"/>
          <w:szCs w:val="26"/>
        </w:rPr>
        <w:t>:</w:t>
      </w:r>
    </w:p>
    <w:p w14:paraId="6B6390C8" w14:textId="77777777" w:rsidR="009C22F3" w:rsidRPr="006B03AD" w:rsidRDefault="009C22F3" w:rsidP="009C22F3">
      <w:pPr>
        <w:pStyle w:val="ListParagraph"/>
        <w:numPr>
          <w:ilvl w:val="0"/>
          <w:numId w:val="5"/>
        </w:numPr>
        <w:jc w:val="both"/>
        <w:rPr>
          <w:rFonts w:ascii="Times New Roman" w:hAnsi="Times New Roman" w:cs="Times New Roman"/>
          <w:sz w:val="26"/>
          <w:szCs w:val="26"/>
        </w:rPr>
      </w:pPr>
      <w:r w:rsidRPr="006B03AD">
        <w:rPr>
          <w:rFonts w:ascii="Times New Roman" w:hAnsi="Times New Roman" w:cs="Times New Roman"/>
          <w:sz w:val="26"/>
          <w:szCs w:val="26"/>
        </w:rPr>
        <w:lastRenderedPageBreak/>
        <w:t>standartizācijas institūcijas nav valsts struktūras, bet gan ir neatkarīgas privātās struktūras, kuras tikai daļēji tiek finansētas no Eiropas Savienības dotācijām;</w:t>
      </w:r>
    </w:p>
    <w:p w14:paraId="65B634C7" w14:textId="77777777" w:rsidR="009C22F3" w:rsidRPr="006B03AD" w:rsidRDefault="009C22F3" w:rsidP="009C22F3">
      <w:pPr>
        <w:pStyle w:val="ListParagraph"/>
        <w:numPr>
          <w:ilvl w:val="0"/>
          <w:numId w:val="5"/>
        </w:numPr>
        <w:jc w:val="both"/>
        <w:rPr>
          <w:rFonts w:ascii="Times New Roman" w:hAnsi="Times New Roman" w:cs="Times New Roman"/>
          <w:sz w:val="26"/>
          <w:szCs w:val="26"/>
        </w:rPr>
      </w:pPr>
      <w:r w:rsidRPr="006B03AD">
        <w:rPr>
          <w:rFonts w:ascii="Times New Roman" w:hAnsi="Times New Roman" w:cs="Times New Roman"/>
          <w:sz w:val="26"/>
          <w:szCs w:val="26"/>
        </w:rPr>
        <w:t>atsauces uz standartiem tiek publicētas visās Eiropas Savienības oficiālajās valodās;</w:t>
      </w:r>
    </w:p>
    <w:p w14:paraId="1A139455" w14:textId="77777777" w:rsidR="009C22F3" w:rsidRPr="006B03AD" w:rsidRDefault="009C22F3" w:rsidP="009C22F3">
      <w:pPr>
        <w:pStyle w:val="ListParagraph"/>
        <w:numPr>
          <w:ilvl w:val="0"/>
          <w:numId w:val="5"/>
        </w:numPr>
        <w:jc w:val="both"/>
        <w:rPr>
          <w:rFonts w:ascii="Times New Roman" w:hAnsi="Times New Roman" w:cs="Times New Roman"/>
          <w:sz w:val="26"/>
          <w:szCs w:val="26"/>
        </w:rPr>
      </w:pPr>
      <w:r w:rsidRPr="006B03AD">
        <w:rPr>
          <w:rFonts w:ascii="Times New Roman" w:hAnsi="Times New Roman" w:cs="Times New Roman"/>
          <w:sz w:val="26"/>
          <w:szCs w:val="26"/>
        </w:rPr>
        <w:t>standarti tiek izstrādāti standartizācijas institūciju iekšējos noteikumos noteiktajās valodās. Eiropas standartizācijas organizāciju – Eiropas Standartizācijas komiteja</w:t>
      </w:r>
      <w:r w:rsidR="00AF73A4" w:rsidRPr="006B03AD">
        <w:rPr>
          <w:rFonts w:ascii="Times New Roman" w:hAnsi="Times New Roman" w:cs="Times New Roman"/>
          <w:sz w:val="26"/>
          <w:szCs w:val="26"/>
        </w:rPr>
        <w:t xml:space="preserve">s (turpmāk – </w:t>
      </w:r>
      <w:r w:rsidRPr="006B03AD">
        <w:rPr>
          <w:rFonts w:ascii="Times New Roman" w:hAnsi="Times New Roman" w:cs="Times New Roman"/>
          <w:sz w:val="26"/>
          <w:szCs w:val="26"/>
        </w:rPr>
        <w:t>CEN</w:t>
      </w:r>
      <w:r w:rsidR="00AF73A4" w:rsidRPr="006B03AD">
        <w:rPr>
          <w:rFonts w:ascii="Times New Roman" w:hAnsi="Times New Roman" w:cs="Times New Roman"/>
          <w:sz w:val="26"/>
          <w:szCs w:val="26"/>
        </w:rPr>
        <w:t>)</w:t>
      </w:r>
      <w:r w:rsidRPr="006B03AD">
        <w:rPr>
          <w:rFonts w:ascii="Times New Roman" w:hAnsi="Times New Roman" w:cs="Times New Roman"/>
          <w:sz w:val="26"/>
          <w:szCs w:val="26"/>
        </w:rPr>
        <w:t xml:space="preserve"> un </w:t>
      </w:r>
      <w:r w:rsidR="00AF73A4" w:rsidRPr="006B03AD">
        <w:rPr>
          <w:rFonts w:ascii="Times New Roman" w:hAnsi="Times New Roman" w:cs="Times New Roman"/>
          <w:sz w:val="26"/>
          <w:szCs w:val="26"/>
        </w:rPr>
        <w:t xml:space="preserve">Eiropas Elektrotehniskās standartizācijas komitejas (turpmāk – </w:t>
      </w:r>
      <w:r w:rsidRPr="006B03AD">
        <w:rPr>
          <w:rFonts w:ascii="Times New Roman" w:hAnsi="Times New Roman" w:cs="Times New Roman"/>
          <w:sz w:val="26"/>
          <w:szCs w:val="26"/>
        </w:rPr>
        <w:t>CENELEC</w:t>
      </w:r>
      <w:r w:rsidR="00AF73A4" w:rsidRPr="006B03AD">
        <w:rPr>
          <w:rFonts w:ascii="Times New Roman" w:hAnsi="Times New Roman" w:cs="Times New Roman"/>
          <w:sz w:val="26"/>
          <w:szCs w:val="26"/>
        </w:rPr>
        <w:t>)</w:t>
      </w:r>
      <w:r w:rsidRPr="006B03AD">
        <w:rPr>
          <w:rFonts w:ascii="Times New Roman" w:hAnsi="Times New Roman" w:cs="Times New Roman"/>
          <w:sz w:val="26"/>
          <w:szCs w:val="26"/>
        </w:rPr>
        <w:t xml:space="preserve">, gadījumā tās ir </w:t>
      </w:r>
      <w:r w:rsidR="008A51FD" w:rsidRPr="006B03AD">
        <w:rPr>
          <w:rFonts w:ascii="Times New Roman" w:hAnsi="Times New Roman" w:cs="Times New Roman"/>
          <w:sz w:val="26"/>
          <w:szCs w:val="26"/>
        </w:rPr>
        <w:t>a</w:t>
      </w:r>
      <w:r w:rsidRPr="006B03AD">
        <w:rPr>
          <w:rFonts w:ascii="Times New Roman" w:hAnsi="Times New Roman" w:cs="Times New Roman"/>
          <w:sz w:val="26"/>
          <w:szCs w:val="26"/>
        </w:rPr>
        <w:t xml:space="preserve">ngļu, </w:t>
      </w:r>
      <w:r w:rsidR="008A51FD" w:rsidRPr="006B03AD">
        <w:rPr>
          <w:rFonts w:ascii="Times New Roman" w:hAnsi="Times New Roman" w:cs="Times New Roman"/>
          <w:sz w:val="26"/>
          <w:szCs w:val="26"/>
        </w:rPr>
        <w:t>f</w:t>
      </w:r>
      <w:r w:rsidRPr="006B03AD">
        <w:rPr>
          <w:rFonts w:ascii="Times New Roman" w:hAnsi="Times New Roman" w:cs="Times New Roman"/>
          <w:sz w:val="26"/>
          <w:szCs w:val="26"/>
        </w:rPr>
        <w:t xml:space="preserve">ranču un </w:t>
      </w:r>
      <w:r w:rsidR="008A51FD" w:rsidRPr="006B03AD">
        <w:rPr>
          <w:rFonts w:ascii="Times New Roman" w:hAnsi="Times New Roman" w:cs="Times New Roman"/>
          <w:sz w:val="26"/>
          <w:szCs w:val="26"/>
        </w:rPr>
        <w:t>v</w:t>
      </w:r>
      <w:r w:rsidRPr="006B03AD">
        <w:rPr>
          <w:rFonts w:ascii="Times New Roman" w:hAnsi="Times New Roman" w:cs="Times New Roman"/>
          <w:sz w:val="26"/>
          <w:szCs w:val="26"/>
        </w:rPr>
        <w:t>ācu</w:t>
      </w:r>
      <w:r w:rsidR="008A51FD" w:rsidRPr="006B03AD">
        <w:rPr>
          <w:rFonts w:ascii="Times New Roman" w:hAnsi="Times New Roman" w:cs="Times New Roman"/>
          <w:sz w:val="26"/>
          <w:szCs w:val="26"/>
        </w:rPr>
        <w:t xml:space="preserve"> valoda</w:t>
      </w:r>
      <w:r w:rsidRPr="006B03AD">
        <w:rPr>
          <w:rFonts w:ascii="Times New Roman" w:hAnsi="Times New Roman" w:cs="Times New Roman"/>
          <w:sz w:val="26"/>
          <w:szCs w:val="26"/>
        </w:rPr>
        <w:t>;</w:t>
      </w:r>
    </w:p>
    <w:p w14:paraId="7C2E32C7" w14:textId="77777777" w:rsidR="009C22F3" w:rsidRPr="006B03AD" w:rsidRDefault="009C22F3" w:rsidP="009C22F3">
      <w:pPr>
        <w:pStyle w:val="ListParagraph"/>
        <w:numPr>
          <w:ilvl w:val="0"/>
          <w:numId w:val="5"/>
        </w:numPr>
        <w:jc w:val="both"/>
        <w:rPr>
          <w:rFonts w:ascii="Times New Roman" w:hAnsi="Times New Roman" w:cs="Times New Roman"/>
          <w:sz w:val="26"/>
          <w:szCs w:val="26"/>
        </w:rPr>
      </w:pPr>
      <w:r w:rsidRPr="006B03AD">
        <w:rPr>
          <w:rFonts w:ascii="Times New Roman" w:hAnsi="Times New Roman" w:cs="Times New Roman"/>
          <w:sz w:val="26"/>
          <w:szCs w:val="26"/>
        </w:rPr>
        <w:t xml:space="preserve">CEN un CENELEC biedriem ir jāpārņem visi Eiropas standarti nacionālo  standartu statusā, kas sevī var ietvert arī tulkošanu valsts valodā; </w:t>
      </w:r>
    </w:p>
    <w:p w14:paraId="135EFB73" w14:textId="77777777" w:rsidR="009C22F3" w:rsidRPr="006B03AD" w:rsidRDefault="00AF73A4" w:rsidP="009C22F3">
      <w:pPr>
        <w:pStyle w:val="ListParagraph"/>
        <w:numPr>
          <w:ilvl w:val="0"/>
          <w:numId w:val="5"/>
        </w:numPr>
        <w:jc w:val="both"/>
        <w:rPr>
          <w:rFonts w:ascii="Times New Roman" w:hAnsi="Times New Roman" w:cs="Times New Roman"/>
          <w:sz w:val="26"/>
          <w:szCs w:val="26"/>
        </w:rPr>
      </w:pPr>
      <w:r w:rsidRPr="006B03AD">
        <w:rPr>
          <w:rFonts w:ascii="Times New Roman" w:hAnsi="Times New Roman" w:cs="Times New Roman"/>
          <w:sz w:val="26"/>
          <w:szCs w:val="26"/>
        </w:rPr>
        <w:t>a</w:t>
      </w:r>
      <w:r w:rsidR="009C22F3" w:rsidRPr="006B03AD">
        <w:rPr>
          <w:rFonts w:ascii="Times New Roman" w:hAnsi="Times New Roman" w:cs="Times New Roman"/>
          <w:sz w:val="26"/>
          <w:szCs w:val="26"/>
        </w:rPr>
        <w:t xml:space="preserve">ttiecībā uz harmonizēto </w:t>
      </w:r>
      <w:r w:rsidR="008A51FD" w:rsidRPr="006B03AD">
        <w:rPr>
          <w:rFonts w:ascii="Times New Roman" w:hAnsi="Times New Roman" w:cs="Times New Roman"/>
          <w:sz w:val="26"/>
          <w:szCs w:val="26"/>
        </w:rPr>
        <w:t xml:space="preserve">(piemērojamo) </w:t>
      </w:r>
      <w:r w:rsidR="009C22F3" w:rsidRPr="006B03AD">
        <w:rPr>
          <w:rFonts w:ascii="Times New Roman" w:hAnsi="Times New Roman" w:cs="Times New Roman"/>
          <w:sz w:val="26"/>
          <w:szCs w:val="26"/>
        </w:rPr>
        <w:t>standartu tulkošanu Eiropas Savienībā ir pieejams finansējums;</w:t>
      </w:r>
    </w:p>
    <w:p w14:paraId="3DE127B2" w14:textId="77777777" w:rsidR="009C22F3" w:rsidRPr="006B03AD" w:rsidRDefault="00AF73A4" w:rsidP="009C22F3">
      <w:pPr>
        <w:pStyle w:val="ListParagraph"/>
        <w:numPr>
          <w:ilvl w:val="0"/>
          <w:numId w:val="5"/>
        </w:numPr>
        <w:jc w:val="both"/>
        <w:rPr>
          <w:rFonts w:ascii="Times New Roman" w:hAnsi="Times New Roman" w:cs="Times New Roman"/>
          <w:sz w:val="26"/>
          <w:szCs w:val="26"/>
        </w:rPr>
      </w:pPr>
      <w:r w:rsidRPr="006B03AD">
        <w:rPr>
          <w:rFonts w:ascii="Times New Roman" w:hAnsi="Times New Roman" w:cs="Times New Roman"/>
          <w:sz w:val="26"/>
          <w:szCs w:val="26"/>
        </w:rPr>
        <w:t>p</w:t>
      </w:r>
      <w:r w:rsidR="009C22F3" w:rsidRPr="006B03AD">
        <w:rPr>
          <w:rFonts w:ascii="Times New Roman" w:hAnsi="Times New Roman" w:cs="Times New Roman"/>
          <w:sz w:val="26"/>
          <w:szCs w:val="26"/>
        </w:rPr>
        <w:t>ilni Eiropas standartu teksti ir pieejami tikai kā nacionāl</w:t>
      </w:r>
      <w:r w:rsidR="004E57AC" w:rsidRPr="006B03AD">
        <w:rPr>
          <w:rFonts w:ascii="Times New Roman" w:hAnsi="Times New Roman" w:cs="Times New Roman"/>
          <w:sz w:val="26"/>
          <w:szCs w:val="26"/>
        </w:rPr>
        <w:t xml:space="preserve">o standartizācijas institūciju darba rezultātā radīta starptautiskā standarta nacionāla </w:t>
      </w:r>
      <w:r w:rsidR="009C22F3" w:rsidRPr="006B03AD">
        <w:rPr>
          <w:rFonts w:ascii="Times New Roman" w:hAnsi="Times New Roman" w:cs="Times New Roman"/>
          <w:sz w:val="26"/>
          <w:szCs w:val="26"/>
        </w:rPr>
        <w:t xml:space="preserve">adaptācija, </w:t>
      </w:r>
      <w:r w:rsidR="000F0443" w:rsidRPr="006B03AD">
        <w:rPr>
          <w:rFonts w:ascii="Times New Roman" w:hAnsi="Times New Roman" w:cs="Times New Roman"/>
          <w:sz w:val="26"/>
          <w:szCs w:val="26"/>
        </w:rPr>
        <w:t>jo</w:t>
      </w:r>
      <w:r w:rsidR="009C22F3" w:rsidRPr="006B03AD">
        <w:rPr>
          <w:rFonts w:ascii="Times New Roman" w:hAnsi="Times New Roman" w:cs="Times New Roman"/>
          <w:sz w:val="26"/>
          <w:szCs w:val="26"/>
        </w:rPr>
        <w:t xml:space="preserve"> standarti ir autortiesību </w:t>
      </w:r>
      <w:r w:rsidR="00E06E75">
        <w:rPr>
          <w:rFonts w:ascii="Times New Roman" w:hAnsi="Times New Roman" w:cs="Times New Roman"/>
          <w:sz w:val="26"/>
          <w:szCs w:val="26"/>
        </w:rPr>
        <w:t>objekti</w:t>
      </w:r>
      <w:r w:rsidR="009C22F3" w:rsidRPr="006B03AD">
        <w:rPr>
          <w:rFonts w:ascii="Times New Roman" w:hAnsi="Times New Roman" w:cs="Times New Roman"/>
          <w:sz w:val="26"/>
          <w:szCs w:val="26"/>
        </w:rPr>
        <w:t xml:space="preserve"> un to autortiesības pieder attiecīgajām standartizācijas institūcijām;</w:t>
      </w:r>
    </w:p>
    <w:p w14:paraId="01BCA4FF" w14:textId="77777777" w:rsidR="009C22F3" w:rsidRPr="006B03AD" w:rsidRDefault="00AF73A4" w:rsidP="009C22F3">
      <w:pPr>
        <w:pStyle w:val="ListParagraph"/>
        <w:numPr>
          <w:ilvl w:val="0"/>
          <w:numId w:val="5"/>
        </w:numPr>
        <w:jc w:val="both"/>
        <w:rPr>
          <w:rFonts w:ascii="Times New Roman" w:hAnsi="Times New Roman" w:cs="Times New Roman"/>
          <w:sz w:val="26"/>
          <w:szCs w:val="26"/>
        </w:rPr>
      </w:pPr>
      <w:r w:rsidRPr="006B03AD">
        <w:rPr>
          <w:rFonts w:ascii="Times New Roman" w:hAnsi="Times New Roman" w:cs="Times New Roman"/>
          <w:sz w:val="26"/>
          <w:szCs w:val="26"/>
        </w:rPr>
        <w:t>a</w:t>
      </w:r>
      <w:r w:rsidR="009C22F3" w:rsidRPr="006B03AD">
        <w:rPr>
          <w:rFonts w:ascii="Times New Roman" w:hAnsi="Times New Roman" w:cs="Times New Roman"/>
          <w:sz w:val="26"/>
          <w:szCs w:val="26"/>
        </w:rPr>
        <w:t xml:space="preserve">tbilstoši Eiropas Savienības Tiesas judikatūrai, piemēram, lietā </w:t>
      </w:r>
      <w:r w:rsidR="00AB63EA" w:rsidRPr="006B03AD">
        <w:rPr>
          <w:rFonts w:ascii="Times New Roman" w:hAnsi="Times New Roman" w:cs="Times New Roman"/>
          <w:sz w:val="26"/>
          <w:szCs w:val="26"/>
        </w:rPr>
        <w:t>Nr.C</w:t>
      </w:r>
      <w:r w:rsidR="00AB63EA">
        <w:rPr>
          <w:rFonts w:ascii="Times New Roman" w:hAnsi="Times New Roman" w:cs="Times New Roman"/>
          <w:sz w:val="26"/>
          <w:szCs w:val="26"/>
        </w:rPr>
        <w:t>-</w:t>
      </w:r>
      <w:r w:rsidR="00AB63EA" w:rsidRPr="006B03AD">
        <w:rPr>
          <w:rFonts w:ascii="Times New Roman" w:hAnsi="Times New Roman" w:cs="Times New Roman"/>
          <w:sz w:val="26"/>
          <w:szCs w:val="26"/>
        </w:rPr>
        <w:t>361/01P</w:t>
      </w:r>
      <w:r w:rsidR="003D48A2">
        <w:rPr>
          <w:rFonts w:ascii="Times New Roman" w:hAnsi="Times New Roman" w:cs="Times New Roman"/>
          <w:sz w:val="26"/>
          <w:szCs w:val="26"/>
        </w:rPr>
        <w:t>,</w:t>
      </w:r>
      <w:r w:rsidR="00AB63EA">
        <w:rPr>
          <w:rFonts w:ascii="Times New Roman" w:hAnsi="Times New Roman" w:cs="Times New Roman"/>
          <w:sz w:val="26"/>
          <w:szCs w:val="26"/>
        </w:rPr>
        <w:t xml:space="preserve"> </w:t>
      </w:r>
      <w:r w:rsidR="009C22F3" w:rsidRPr="006B03AD">
        <w:rPr>
          <w:rFonts w:ascii="Times New Roman" w:hAnsi="Times New Roman" w:cs="Times New Roman"/>
          <w:sz w:val="26"/>
          <w:szCs w:val="26"/>
        </w:rPr>
        <w:t>Eiropas Savienības tiesiskajā regulējumā nav ietverts tāds vispārējs princips, kas katram pilsonim piešķirtu tiesības saņemt jebko, kas var ietekmēt tā intereses, viņam saprotamā valodā jebkuros apstākļos.</w:t>
      </w:r>
    </w:p>
    <w:p w14:paraId="3D126922" w14:textId="77777777" w:rsidR="00B768E3" w:rsidRPr="006B03AD" w:rsidRDefault="00B768E3" w:rsidP="00B768E3">
      <w:pPr>
        <w:pStyle w:val="ListParagraph"/>
        <w:ind w:left="1080"/>
        <w:jc w:val="both"/>
        <w:rPr>
          <w:rFonts w:ascii="Times New Roman" w:hAnsi="Times New Roman" w:cs="Times New Roman"/>
          <w:sz w:val="26"/>
          <w:szCs w:val="26"/>
        </w:rPr>
      </w:pPr>
    </w:p>
    <w:p w14:paraId="0658146D" w14:textId="77777777" w:rsidR="00E154CB" w:rsidRPr="006B03AD" w:rsidRDefault="00E154CB" w:rsidP="00B972E0">
      <w:pPr>
        <w:pStyle w:val="Heading4"/>
      </w:pPr>
      <w:r w:rsidRPr="006B03AD">
        <w:t xml:space="preserve">Latvijas kaimiņvalstis: </w:t>
      </w:r>
      <w:r w:rsidR="0023266D">
        <w:t>Lietuva</w:t>
      </w:r>
      <w:r w:rsidRPr="006B03AD">
        <w:t xml:space="preserve"> un Igaunija</w:t>
      </w:r>
    </w:p>
    <w:p w14:paraId="7C144042" w14:textId="77777777" w:rsidR="005315FA" w:rsidRPr="006B03AD" w:rsidRDefault="005315FA" w:rsidP="005315FA">
      <w:pPr>
        <w:jc w:val="center"/>
        <w:rPr>
          <w:rFonts w:ascii="Times New Roman" w:hAnsi="Times New Roman" w:cs="Times New Roman"/>
          <w:sz w:val="26"/>
          <w:szCs w:val="26"/>
        </w:rPr>
      </w:pPr>
    </w:p>
    <w:p w14:paraId="2FF219B1" w14:textId="77777777" w:rsidR="00E154CB" w:rsidRPr="006B03AD" w:rsidRDefault="00E154CB" w:rsidP="000734EC">
      <w:pPr>
        <w:ind w:firstLine="360"/>
        <w:jc w:val="both"/>
        <w:rPr>
          <w:rFonts w:ascii="Times New Roman" w:hAnsi="Times New Roman" w:cs="Times New Roman"/>
          <w:sz w:val="26"/>
          <w:szCs w:val="26"/>
        </w:rPr>
      </w:pPr>
      <w:r w:rsidRPr="006B03AD">
        <w:rPr>
          <w:rFonts w:ascii="Times New Roman" w:hAnsi="Times New Roman" w:cs="Times New Roman"/>
          <w:sz w:val="26"/>
          <w:szCs w:val="26"/>
        </w:rPr>
        <w:t>Latvijas kaimiņvalstu pieredze liecina par pragmatisku pieeju standartu tulkošanas un tulkojumu pieejamības nodrošināšanā komersantiem un iedzīvotājiem. Igaunijā un Lietuvā tiek tulkoti tikai tādi standarti, kas atzīti par valstij stratēģisku svarīgu nozaru attīstībai nepieciešamiem vai arī pēc kuriem ir būtisks sabiedrības (komersantu) pieprasījums. Lēmums par standartu tulkošanu nav atkarīgs no fakta, vai tulkojamais standarts ir noteikts kā obligāti piemērojams vai arī tas saglabā brīvprātīgi piemērojamā standarta statusu. Salīdzinot Latvijas kaimiņvalstu standartizācijas sistēmas institucionālo uzbūvi, kā arī analizējot pastāvošo kārtību lēmumu pieņemšanai par standartu tulkošanu, ir konstatējamas vairākas konceptuālas atšķirības pieejā.</w:t>
      </w:r>
    </w:p>
    <w:p w14:paraId="75D05C8F" w14:textId="7F80254D" w:rsidR="00E154CB" w:rsidRPr="006B03AD" w:rsidRDefault="00E154CB" w:rsidP="000734EC">
      <w:pPr>
        <w:ind w:firstLine="360"/>
        <w:jc w:val="both"/>
        <w:rPr>
          <w:rFonts w:ascii="Times New Roman" w:hAnsi="Times New Roman" w:cs="Times New Roman"/>
          <w:sz w:val="26"/>
          <w:szCs w:val="26"/>
        </w:rPr>
      </w:pPr>
      <w:r w:rsidRPr="006B03AD">
        <w:rPr>
          <w:rFonts w:ascii="Times New Roman" w:hAnsi="Times New Roman" w:cs="Times New Roman"/>
          <w:sz w:val="26"/>
          <w:szCs w:val="26"/>
        </w:rPr>
        <w:t>Igaunijas nacionālā</w:t>
      </w:r>
      <w:r w:rsidR="00986521">
        <w:rPr>
          <w:rFonts w:ascii="Times New Roman" w:hAnsi="Times New Roman" w:cs="Times New Roman"/>
          <w:sz w:val="26"/>
          <w:szCs w:val="26"/>
        </w:rPr>
        <w:t>s</w:t>
      </w:r>
      <w:r w:rsidRPr="006B03AD">
        <w:rPr>
          <w:rFonts w:ascii="Times New Roman" w:hAnsi="Times New Roman" w:cs="Times New Roman"/>
          <w:sz w:val="26"/>
          <w:szCs w:val="26"/>
        </w:rPr>
        <w:t xml:space="preserve"> standartizācijas institūcijas juridisk</w:t>
      </w:r>
      <w:r w:rsidR="00986521">
        <w:rPr>
          <w:rFonts w:ascii="Times New Roman" w:hAnsi="Times New Roman" w:cs="Times New Roman"/>
          <w:sz w:val="26"/>
          <w:szCs w:val="26"/>
        </w:rPr>
        <w:t>ais</w:t>
      </w:r>
      <w:r w:rsidRPr="006B03AD">
        <w:rPr>
          <w:rFonts w:ascii="Times New Roman" w:hAnsi="Times New Roman" w:cs="Times New Roman"/>
          <w:sz w:val="26"/>
          <w:szCs w:val="26"/>
        </w:rPr>
        <w:t xml:space="preserve"> statuss ir biedrība</w:t>
      </w:r>
      <w:r w:rsidRPr="006B03AD">
        <w:rPr>
          <w:rStyle w:val="FootnoteReference"/>
          <w:rFonts w:ascii="Times New Roman" w:hAnsi="Times New Roman" w:cs="Times New Roman"/>
          <w:sz w:val="26"/>
          <w:szCs w:val="26"/>
        </w:rPr>
        <w:footnoteReference w:id="3"/>
      </w:r>
      <w:r w:rsidRPr="006B03AD">
        <w:rPr>
          <w:rFonts w:ascii="Times New Roman" w:hAnsi="Times New Roman" w:cs="Times New Roman"/>
          <w:sz w:val="26"/>
          <w:szCs w:val="26"/>
        </w:rPr>
        <w:t>, kurai ir bezpeļņas organizācijas statuss. Biedrības dibinātāju starpā ir gan valsts (Igaunijas Ekonomikas un komunikāciju lietu ministrija), gan arī valdības sociālie partneri – Igaunijas tirdzniecības un rūpniecības kamera</w:t>
      </w:r>
      <w:r w:rsidRPr="006B03AD">
        <w:rPr>
          <w:rStyle w:val="FootnoteReference"/>
          <w:rFonts w:ascii="Times New Roman" w:hAnsi="Times New Roman" w:cs="Times New Roman"/>
          <w:sz w:val="26"/>
          <w:szCs w:val="26"/>
        </w:rPr>
        <w:footnoteReference w:id="4"/>
      </w:r>
      <w:r w:rsidRPr="006B03AD">
        <w:rPr>
          <w:rFonts w:ascii="Times New Roman" w:hAnsi="Times New Roman" w:cs="Times New Roman"/>
          <w:sz w:val="26"/>
          <w:szCs w:val="26"/>
        </w:rPr>
        <w:t xml:space="preserve"> un Igaunijas Darba devēju konfederācija</w:t>
      </w:r>
      <w:r w:rsidRPr="006B03AD">
        <w:rPr>
          <w:rStyle w:val="FootnoteReference"/>
          <w:rFonts w:ascii="Times New Roman" w:hAnsi="Times New Roman" w:cs="Times New Roman"/>
          <w:sz w:val="26"/>
          <w:szCs w:val="26"/>
        </w:rPr>
        <w:footnoteReference w:id="5"/>
      </w:r>
      <w:r w:rsidRPr="006B03AD">
        <w:rPr>
          <w:rFonts w:ascii="Times New Roman" w:hAnsi="Times New Roman" w:cs="Times New Roman"/>
          <w:sz w:val="26"/>
          <w:szCs w:val="26"/>
        </w:rPr>
        <w:t xml:space="preserve">. Lēmums par tulkojamo </w:t>
      </w:r>
      <w:r w:rsidR="00DB2FF2">
        <w:rPr>
          <w:rFonts w:ascii="Times New Roman" w:hAnsi="Times New Roman" w:cs="Times New Roman"/>
          <w:sz w:val="26"/>
          <w:szCs w:val="26"/>
        </w:rPr>
        <w:t xml:space="preserve">piemērojamo </w:t>
      </w:r>
      <w:r w:rsidRPr="006B03AD">
        <w:rPr>
          <w:rFonts w:ascii="Times New Roman" w:hAnsi="Times New Roman" w:cs="Times New Roman"/>
          <w:sz w:val="26"/>
          <w:szCs w:val="26"/>
        </w:rPr>
        <w:t xml:space="preserve">standartu sarakstu tiek pieņemts </w:t>
      </w:r>
      <w:r w:rsidR="00170FEB" w:rsidRPr="006B03AD">
        <w:rPr>
          <w:rFonts w:ascii="Times New Roman" w:hAnsi="Times New Roman" w:cs="Times New Roman"/>
          <w:sz w:val="26"/>
          <w:szCs w:val="26"/>
        </w:rPr>
        <w:t>trīspusēj</w:t>
      </w:r>
      <w:r w:rsidR="00170FEB">
        <w:rPr>
          <w:rFonts w:ascii="Times New Roman" w:hAnsi="Times New Roman" w:cs="Times New Roman"/>
          <w:sz w:val="26"/>
          <w:szCs w:val="26"/>
        </w:rPr>
        <w:t>u</w:t>
      </w:r>
      <w:r w:rsidR="00170FEB" w:rsidRPr="006B03AD">
        <w:rPr>
          <w:rFonts w:ascii="Times New Roman" w:hAnsi="Times New Roman" w:cs="Times New Roman"/>
          <w:sz w:val="26"/>
          <w:szCs w:val="26"/>
        </w:rPr>
        <w:t xml:space="preserve"> </w:t>
      </w:r>
      <w:r w:rsidR="00170FEB">
        <w:rPr>
          <w:rFonts w:ascii="Times New Roman" w:hAnsi="Times New Roman" w:cs="Times New Roman"/>
          <w:sz w:val="26"/>
          <w:szCs w:val="26"/>
        </w:rPr>
        <w:t xml:space="preserve">sarunu </w:t>
      </w:r>
      <w:r w:rsidR="00170FEB" w:rsidRPr="006B03AD">
        <w:rPr>
          <w:rFonts w:ascii="Times New Roman" w:hAnsi="Times New Roman" w:cs="Times New Roman"/>
          <w:sz w:val="26"/>
          <w:szCs w:val="26"/>
        </w:rPr>
        <w:t>rezultāt</w:t>
      </w:r>
      <w:r w:rsidR="00170FEB">
        <w:rPr>
          <w:rFonts w:ascii="Times New Roman" w:hAnsi="Times New Roman" w:cs="Times New Roman"/>
          <w:sz w:val="26"/>
          <w:szCs w:val="26"/>
        </w:rPr>
        <w:t>ā</w:t>
      </w:r>
      <w:r w:rsidRPr="006B03AD">
        <w:rPr>
          <w:rFonts w:ascii="Times New Roman" w:hAnsi="Times New Roman" w:cs="Times New Roman"/>
          <w:sz w:val="26"/>
          <w:szCs w:val="26"/>
        </w:rPr>
        <w:t>, pusēm savstarpēji vienojoties par tulkojamiem standartiem, kā arī standartu tulkošanai piešķiramo līdzfinansējumu. Igaunijā valsts budžeta piešķirtais finansējums pilnībā nesedz</w:t>
      </w:r>
      <w:r w:rsidR="000734EC" w:rsidRPr="006B03AD">
        <w:rPr>
          <w:rFonts w:ascii="Times New Roman" w:hAnsi="Times New Roman" w:cs="Times New Roman"/>
          <w:sz w:val="26"/>
          <w:szCs w:val="26"/>
        </w:rPr>
        <w:t xml:space="preserve"> ar standartu tulkošanu saistītās izmaksas. Sociālie partneri piedalās </w:t>
      </w:r>
      <w:r w:rsidR="008E3AE6">
        <w:rPr>
          <w:rFonts w:ascii="Times New Roman" w:hAnsi="Times New Roman" w:cs="Times New Roman"/>
          <w:sz w:val="26"/>
          <w:szCs w:val="26"/>
        </w:rPr>
        <w:t xml:space="preserve">piemērojamo </w:t>
      </w:r>
      <w:r w:rsidR="000734EC" w:rsidRPr="006B03AD">
        <w:rPr>
          <w:rFonts w:ascii="Times New Roman" w:hAnsi="Times New Roman" w:cs="Times New Roman"/>
          <w:sz w:val="26"/>
          <w:szCs w:val="26"/>
        </w:rPr>
        <w:t xml:space="preserve">standartu tulkošanā ar savu līdzfinansējumu, tādējādi apliecinot savu biedru ieinteresētību konkrētu standartu tekstu iegūšanā valsts </w:t>
      </w:r>
      <w:r w:rsidR="000734EC" w:rsidRPr="006B03AD">
        <w:rPr>
          <w:rFonts w:ascii="Times New Roman" w:hAnsi="Times New Roman" w:cs="Times New Roman"/>
          <w:sz w:val="26"/>
          <w:szCs w:val="26"/>
        </w:rPr>
        <w:lastRenderedPageBreak/>
        <w:t>valodā. Igaunijas pieeja tiek pamatota ar vienu no valsts pārvaldes darbības pamatprincipiem, kas nosaka, ka valsts pārvalde darbojas sabiedrības interesēs, pie kurām, tajā skaitā, pieder samērīga privātpersonas tiesību un tiesisko interešu ievērošana.</w:t>
      </w:r>
    </w:p>
    <w:p w14:paraId="557BE22B" w14:textId="77777777" w:rsidR="000734EC" w:rsidRPr="006B03AD" w:rsidRDefault="000734EC" w:rsidP="000734EC">
      <w:pPr>
        <w:ind w:firstLine="360"/>
        <w:jc w:val="both"/>
        <w:rPr>
          <w:rFonts w:ascii="Times New Roman" w:hAnsi="Times New Roman" w:cs="Times New Roman"/>
          <w:sz w:val="26"/>
          <w:szCs w:val="26"/>
        </w:rPr>
      </w:pPr>
      <w:r w:rsidRPr="006B03AD">
        <w:rPr>
          <w:rFonts w:ascii="Times New Roman" w:hAnsi="Times New Roman" w:cs="Times New Roman"/>
          <w:sz w:val="26"/>
          <w:szCs w:val="26"/>
        </w:rPr>
        <w:t>Savukārt Lietuvas standartizācijas institūcija ir valsts budžeta finansēta institūcija</w:t>
      </w:r>
      <w:r w:rsidRPr="006B03AD">
        <w:rPr>
          <w:rStyle w:val="FootnoteReference"/>
          <w:rFonts w:ascii="Times New Roman" w:hAnsi="Times New Roman" w:cs="Times New Roman"/>
          <w:sz w:val="26"/>
          <w:szCs w:val="26"/>
        </w:rPr>
        <w:footnoteReference w:id="6"/>
      </w:r>
      <w:r w:rsidRPr="006B03AD">
        <w:rPr>
          <w:rFonts w:ascii="Times New Roman" w:hAnsi="Times New Roman" w:cs="Times New Roman"/>
          <w:sz w:val="26"/>
          <w:szCs w:val="26"/>
        </w:rPr>
        <w:t xml:space="preserve">, kura sadarbībā ar Nacionālo standartizācijas padomi sagatavo sarakstus ar prioritāri tulkojamiem standartiem, ņemot vērā piešķirto valsts budžeta finansējumu kārtējam gadam. Gadījumos, kad valsts budžeta piešķirtā finansējuma nepietiek visu prioritāro standartu sarakstā esošo standartu tulkošanai, attiecīgie standarti tiek iekļauti nākamā kalendārā gada tulkojamo standartu sarakstā. Lietuvas prakse un pieredze kopumā atbilst Latvijā savulaik pastāvošai standartizācijas sistēmai (no 2007.gada 1.janvāra līdz 2010.gada 18.februārim Ekonomikas ministrija, pamatojoties uz ministriju iesniegtajiem pieprasījumiem un atbilstoši gadskārtējā valsts budžeta likumā piešķirtajiem līdzekļiem standartu tulkošanai, nodrošināja standartu tulkošanu), tomēr šādai sistēmai ir būtisks trūkums – tā nenodrošina standarta lietotājam tūlītēju standartu tekstu pieejamību valsts valodā par maksu vai bez tās. Analizējot Lietuvas pieredzi, secināms, ka standartu tulkojumu pieejamības jautājums netiek saistīts ar valsts iedzīvotāju konstitucionāli nostiprinātajām </w:t>
      </w:r>
      <w:proofErr w:type="spellStart"/>
      <w:r w:rsidRPr="006B03AD">
        <w:rPr>
          <w:rFonts w:ascii="Times New Roman" w:hAnsi="Times New Roman" w:cs="Times New Roman"/>
          <w:sz w:val="26"/>
          <w:szCs w:val="26"/>
        </w:rPr>
        <w:t>pamattiesībām</w:t>
      </w:r>
      <w:proofErr w:type="spellEnd"/>
      <w:r w:rsidRPr="006B03AD">
        <w:rPr>
          <w:rFonts w:ascii="Times New Roman" w:hAnsi="Times New Roman" w:cs="Times New Roman"/>
          <w:sz w:val="26"/>
          <w:szCs w:val="26"/>
        </w:rPr>
        <w:t xml:space="preserve"> uz informācijas pieejamību.</w:t>
      </w:r>
    </w:p>
    <w:p w14:paraId="239E4FD7" w14:textId="77777777" w:rsidR="00AB144A" w:rsidRPr="006B03AD" w:rsidRDefault="00AB144A" w:rsidP="00E154CB">
      <w:pPr>
        <w:ind w:left="360" w:firstLine="360"/>
        <w:jc w:val="both"/>
        <w:rPr>
          <w:rFonts w:ascii="Times New Roman" w:hAnsi="Times New Roman" w:cs="Times New Roman"/>
          <w:sz w:val="26"/>
          <w:szCs w:val="26"/>
        </w:rPr>
      </w:pPr>
    </w:p>
    <w:p w14:paraId="0B69BE6E" w14:textId="77777777" w:rsidR="000734EC" w:rsidRPr="006B03AD" w:rsidRDefault="000734EC" w:rsidP="00B972E0">
      <w:pPr>
        <w:pStyle w:val="Heading4"/>
      </w:pPr>
      <w:r w:rsidRPr="006B03AD">
        <w:t>Nīderlande</w:t>
      </w:r>
    </w:p>
    <w:p w14:paraId="72BB4BD6" w14:textId="77777777" w:rsidR="000734EC" w:rsidRPr="006B03AD" w:rsidRDefault="000734EC" w:rsidP="000734EC">
      <w:pPr>
        <w:jc w:val="center"/>
        <w:rPr>
          <w:rFonts w:ascii="Times New Roman" w:hAnsi="Times New Roman" w:cs="Times New Roman"/>
          <w:sz w:val="26"/>
          <w:szCs w:val="26"/>
        </w:rPr>
      </w:pPr>
    </w:p>
    <w:p w14:paraId="165954B2" w14:textId="77777777" w:rsidR="000734EC" w:rsidRPr="006B03AD" w:rsidRDefault="000734EC" w:rsidP="000734EC">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Redzamākais piemērs saistībā ar neskaidrībām par standartu juridisko statusu un to brīvu pieejamību Nīderlandē aizsākās jau 2008.gadā, kad Nīderlandes kompānija </w:t>
      </w:r>
      <w:proofErr w:type="spellStart"/>
      <w:r w:rsidRPr="006B03AD">
        <w:rPr>
          <w:rFonts w:ascii="Times New Roman" w:hAnsi="Times New Roman" w:cs="Times New Roman"/>
          <w:sz w:val="26"/>
          <w:szCs w:val="26"/>
        </w:rPr>
        <w:t>Knooble</w:t>
      </w:r>
      <w:proofErr w:type="spellEnd"/>
      <w:r w:rsidRPr="006B03AD">
        <w:rPr>
          <w:rFonts w:ascii="Times New Roman" w:hAnsi="Times New Roman" w:cs="Times New Roman"/>
          <w:sz w:val="26"/>
          <w:szCs w:val="26"/>
        </w:rPr>
        <w:t xml:space="preserve"> iesniedza Nīderlandes rajona tiesā prasību pret nacionālo standartizācijas institūciju un valsti, kurā, cita starpā, lūdza, lai tiesa atzīst, ka Nīderlandes nacionālajiem standartiem ir jābūt publiski brīvi pieejamiem par samaksu, kas nav lielāka par to pavairošanas izmaksām, kā arī atzīt, ka uz tiem neattiecās autortiesību tiesiskais regulējums.</w:t>
      </w:r>
    </w:p>
    <w:p w14:paraId="7C12DF31" w14:textId="77777777" w:rsidR="008A60D0" w:rsidRPr="006B03AD" w:rsidRDefault="00997F39" w:rsidP="00AB144A">
      <w:pPr>
        <w:ind w:firstLine="360"/>
        <w:jc w:val="both"/>
        <w:rPr>
          <w:rFonts w:ascii="Times New Roman" w:hAnsi="Times New Roman" w:cs="Times New Roman"/>
          <w:sz w:val="26"/>
          <w:szCs w:val="26"/>
        </w:rPr>
      </w:pPr>
      <w:r w:rsidRPr="006B03AD">
        <w:rPr>
          <w:rFonts w:ascii="Times New Roman" w:hAnsi="Times New Roman" w:cs="Times New Roman"/>
          <w:sz w:val="26"/>
          <w:szCs w:val="26"/>
        </w:rPr>
        <w:t>Ar Hāgas rajona tiesas 2008.gada 31.decembra nolēmumu</w:t>
      </w:r>
      <w:r w:rsidR="008A60D0" w:rsidRPr="006B03AD">
        <w:rPr>
          <w:rStyle w:val="FootnoteReference"/>
          <w:rFonts w:ascii="Times New Roman" w:hAnsi="Times New Roman" w:cs="Times New Roman"/>
          <w:sz w:val="26"/>
          <w:szCs w:val="26"/>
        </w:rPr>
        <w:footnoteReference w:id="7"/>
      </w:r>
      <w:r w:rsidRPr="006B03AD">
        <w:rPr>
          <w:rFonts w:ascii="Times New Roman" w:hAnsi="Times New Roman" w:cs="Times New Roman"/>
          <w:sz w:val="26"/>
          <w:szCs w:val="26"/>
        </w:rPr>
        <w:t xml:space="preserve"> </w:t>
      </w:r>
      <w:proofErr w:type="spellStart"/>
      <w:r w:rsidRPr="006B03AD">
        <w:rPr>
          <w:rFonts w:ascii="Times New Roman" w:hAnsi="Times New Roman" w:cs="Times New Roman"/>
          <w:sz w:val="26"/>
          <w:szCs w:val="26"/>
        </w:rPr>
        <w:t>Knooble</w:t>
      </w:r>
      <w:proofErr w:type="spellEnd"/>
      <w:r w:rsidRPr="006B03AD">
        <w:rPr>
          <w:rFonts w:ascii="Times New Roman" w:hAnsi="Times New Roman" w:cs="Times New Roman"/>
          <w:sz w:val="26"/>
          <w:szCs w:val="26"/>
        </w:rPr>
        <w:t xml:space="preserve"> prasība pēc būtības tika apmierināta, proti, tiesa savu</w:t>
      </w:r>
      <w:r w:rsidR="008A60D0" w:rsidRPr="006B03AD">
        <w:rPr>
          <w:rFonts w:ascii="Times New Roman" w:hAnsi="Times New Roman" w:cs="Times New Roman"/>
          <w:sz w:val="26"/>
          <w:szCs w:val="26"/>
        </w:rPr>
        <w:t xml:space="preserve"> nolēmumu balstīja uz faktu, ka</w:t>
      </w:r>
      <w:r w:rsidRPr="006B03AD">
        <w:rPr>
          <w:rFonts w:ascii="Times New Roman" w:hAnsi="Times New Roman" w:cs="Times New Roman"/>
          <w:sz w:val="26"/>
          <w:szCs w:val="26"/>
        </w:rPr>
        <w:t xml:space="preserve"> likumdevējs</w:t>
      </w:r>
      <w:r w:rsidR="000B59F2">
        <w:rPr>
          <w:rFonts w:ascii="Times New Roman" w:hAnsi="Times New Roman" w:cs="Times New Roman"/>
          <w:sz w:val="26"/>
          <w:szCs w:val="26"/>
        </w:rPr>
        <w:t>,</w:t>
      </w:r>
      <w:r w:rsidRPr="006B03AD">
        <w:rPr>
          <w:rFonts w:ascii="Times New Roman" w:hAnsi="Times New Roman" w:cs="Times New Roman"/>
          <w:sz w:val="26"/>
          <w:szCs w:val="26"/>
        </w:rPr>
        <w:t xml:space="preserve"> iestrādājo</w:t>
      </w:r>
      <w:r w:rsidR="000B59F2">
        <w:rPr>
          <w:rFonts w:ascii="Times New Roman" w:hAnsi="Times New Roman" w:cs="Times New Roman"/>
          <w:sz w:val="26"/>
          <w:szCs w:val="26"/>
        </w:rPr>
        <w:t>t</w:t>
      </w:r>
      <w:r w:rsidRPr="006B03AD">
        <w:rPr>
          <w:rFonts w:ascii="Times New Roman" w:hAnsi="Times New Roman" w:cs="Times New Roman"/>
          <w:sz w:val="26"/>
          <w:szCs w:val="26"/>
        </w:rPr>
        <w:t xml:space="preserve"> normatīvajā aktā tiešās atsauces uz standartiem</w:t>
      </w:r>
      <w:r w:rsidR="000B59F2">
        <w:rPr>
          <w:rFonts w:ascii="Times New Roman" w:hAnsi="Times New Roman" w:cs="Times New Roman"/>
          <w:sz w:val="26"/>
          <w:szCs w:val="26"/>
        </w:rPr>
        <w:t>,</w:t>
      </w:r>
      <w:r w:rsidRPr="006B03AD">
        <w:rPr>
          <w:rFonts w:ascii="Times New Roman" w:hAnsi="Times New Roman" w:cs="Times New Roman"/>
          <w:sz w:val="26"/>
          <w:szCs w:val="26"/>
        </w:rPr>
        <w:t xml:space="preserve"> faktiski atzīst šo standartu būtību un saturu, tādējādi inkorporējot tos  vispārīgi saistošos normatīvajos aktos. Nolēmuma spēkā stāšanās rezultātā tiktu radīta konsekvence, ka standarti, uz kuriem normatīvajos aktos tiek veidotas tiešās atsauces, zaudētu autortiesību </w:t>
      </w:r>
      <w:r w:rsidR="00E06E75">
        <w:rPr>
          <w:rFonts w:ascii="Times New Roman" w:hAnsi="Times New Roman" w:cs="Times New Roman"/>
          <w:sz w:val="26"/>
          <w:szCs w:val="26"/>
        </w:rPr>
        <w:t>objekta</w:t>
      </w:r>
      <w:r w:rsidRPr="006B03AD">
        <w:rPr>
          <w:rFonts w:ascii="Times New Roman" w:hAnsi="Times New Roman" w:cs="Times New Roman"/>
          <w:sz w:val="26"/>
          <w:szCs w:val="26"/>
        </w:rPr>
        <w:t xml:space="preserve"> statusu.</w:t>
      </w:r>
      <w:r w:rsidR="008A60D0" w:rsidRPr="006B03AD">
        <w:rPr>
          <w:rFonts w:ascii="Times New Roman" w:hAnsi="Times New Roman" w:cs="Times New Roman"/>
          <w:sz w:val="26"/>
          <w:szCs w:val="26"/>
        </w:rPr>
        <w:t xml:space="preserve"> Taču šāds scenārijs nerealizējās, jo apelācijas instances tiesa</w:t>
      </w:r>
      <w:r w:rsidR="008A60D0" w:rsidRPr="006B03AD">
        <w:rPr>
          <w:rStyle w:val="FootnoteReference"/>
          <w:rFonts w:ascii="Times New Roman" w:hAnsi="Times New Roman" w:cs="Times New Roman"/>
          <w:sz w:val="26"/>
          <w:szCs w:val="26"/>
        </w:rPr>
        <w:footnoteReference w:id="8"/>
      </w:r>
      <w:r w:rsidR="008A60D0" w:rsidRPr="006B03AD">
        <w:rPr>
          <w:rFonts w:ascii="Times New Roman" w:hAnsi="Times New Roman" w:cs="Times New Roman"/>
          <w:sz w:val="26"/>
          <w:szCs w:val="26"/>
        </w:rPr>
        <w:t xml:space="preserve"> </w:t>
      </w:r>
      <w:r w:rsidR="00AB144A" w:rsidRPr="006B03AD">
        <w:rPr>
          <w:rFonts w:ascii="Times New Roman" w:hAnsi="Times New Roman" w:cs="Times New Roman"/>
          <w:sz w:val="26"/>
          <w:szCs w:val="26"/>
        </w:rPr>
        <w:t xml:space="preserve">atcēla rajona tiesas spriedumu un izlēma lietu pēc būtības, noraidot </w:t>
      </w:r>
      <w:proofErr w:type="spellStart"/>
      <w:r w:rsidR="00AB144A" w:rsidRPr="006B03AD">
        <w:rPr>
          <w:rFonts w:ascii="Times New Roman" w:hAnsi="Times New Roman" w:cs="Times New Roman"/>
          <w:sz w:val="26"/>
          <w:szCs w:val="26"/>
        </w:rPr>
        <w:t>Knooble</w:t>
      </w:r>
      <w:proofErr w:type="spellEnd"/>
      <w:r w:rsidR="00AB144A" w:rsidRPr="006B03AD">
        <w:rPr>
          <w:rFonts w:ascii="Times New Roman" w:hAnsi="Times New Roman" w:cs="Times New Roman"/>
          <w:sz w:val="26"/>
          <w:szCs w:val="26"/>
        </w:rPr>
        <w:t xml:space="preserve"> prasību. Arī </w:t>
      </w:r>
      <w:r w:rsidR="008A60D0" w:rsidRPr="006B03AD">
        <w:rPr>
          <w:rFonts w:ascii="Times New Roman" w:hAnsi="Times New Roman" w:cs="Times New Roman"/>
          <w:sz w:val="26"/>
          <w:szCs w:val="26"/>
        </w:rPr>
        <w:t>Nīderlandes augstākā tiesa</w:t>
      </w:r>
      <w:r w:rsidR="008A60D0" w:rsidRPr="006B03AD">
        <w:rPr>
          <w:rStyle w:val="FootnoteReference"/>
          <w:rFonts w:ascii="Times New Roman" w:hAnsi="Times New Roman" w:cs="Times New Roman"/>
          <w:sz w:val="26"/>
          <w:szCs w:val="26"/>
        </w:rPr>
        <w:footnoteReference w:id="9"/>
      </w:r>
      <w:r w:rsidR="008A60D0" w:rsidRPr="006B03AD">
        <w:rPr>
          <w:rFonts w:ascii="Times New Roman" w:hAnsi="Times New Roman" w:cs="Times New Roman"/>
          <w:sz w:val="26"/>
          <w:szCs w:val="26"/>
        </w:rPr>
        <w:t xml:space="preserve"> </w:t>
      </w:r>
      <w:r w:rsidR="00AB144A" w:rsidRPr="006B03AD">
        <w:rPr>
          <w:rFonts w:ascii="Times New Roman" w:hAnsi="Times New Roman" w:cs="Times New Roman"/>
          <w:sz w:val="26"/>
          <w:szCs w:val="26"/>
        </w:rPr>
        <w:t xml:space="preserve">noraidīja </w:t>
      </w:r>
      <w:proofErr w:type="spellStart"/>
      <w:r w:rsidR="00AB144A" w:rsidRPr="006B03AD">
        <w:rPr>
          <w:rFonts w:ascii="Times New Roman" w:hAnsi="Times New Roman" w:cs="Times New Roman"/>
          <w:sz w:val="26"/>
          <w:szCs w:val="26"/>
        </w:rPr>
        <w:t>Knooble</w:t>
      </w:r>
      <w:proofErr w:type="spellEnd"/>
      <w:r w:rsidR="00AB144A" w:rsidRPr="006B03AD">
        <w:rPr>
          <w:rFonts w:ascii="Times New Roman" w:hAnsi="Times New Roman" w:cs="Times New Roman"/>
          <w:sz w:val="26"/>
          <w:szCs w:val="26"/>
        </w:rPr>
        <w:t xml:space="preserve"> kasācijas sūdzību, no kuras nolēmuma </w:t>
      </w:r>
      <w:r w:rsidR="008A60D0" w:rsidRPr="006B03AD">
        <w:rPr>
          <w:rFonts w:ascii="Times New Roman" w:hAnsi="Times New Roman" w:cs="Times New Roman"/>
          <w:sz w:val="26"/>
          <w:szCs w:val="26"/>
        </w:rPr>
        <w:t>izriet šāda būtiska atziņa:</w:t>
      </w:r>
    </w:p>
    <w:p w14:paraId="7B095348" w14:textId="77777777" w:rsidR="008A60D0" w:rsidRPr="006B03AD" w:rsidRDefault="008A60D0" w:rsidP="008A60D0">
      <w:pPr>
        <w:ind w:firstLine="360"/>
        <w:jc w:val="both"/>
        <w:rPr>
          <w:rFonts w:ascii="Times New Roman" w:hAnsi="Times New Roman" w:cs="Times New Roman"/>
          <w:sz w:val="26"/>
          <w:szCs w:val="26"/>
        </w:rPr>
      </w:pPr>
      <w:r w:rsidRPr="006B03AD">
        <w:rPr>
          <w:rFonts w:ascii="Times New Roman" w:hAnsi="Times New Roman" w:cs="Times New Roman"/>
          <w:i/>
          <w:sz w:val="26"/>
          <w:szCs w:val="26"/>
        </w:rPr>
        <w:t>tiešo atsauču uz standartiem izmantošanas gadījumā attiecīgie standarti faktiski tiek ietverti publisko tiesību regulējumā un padara to</w:t>
      </w:r>
      <w:r w:rsidR="00867122">
        <w:rPr>
          <w:rFonts w:ascii="Times New Roman" w:hAnsi="Times New Roman" w:cs="Times New Roman"/>
          <w:i/>
          <w:sz w:val="26"/>
          <w:szCs w:val="26"/>
        </w:rPr>
        <w:t>s</w:t>
      </w:r>
      <w:r w:rsidRPr="006B03AD">
        <w:rPr>
          <w:rFonts w:ascii="Times New Roman" w:hAnsi="Times New Roman" w:cs="Times New Roman"/>
          <w:i/>
          <w:sz w:val="26"/>
          <w:szCs w:val="26"/>
        </w:rPr>
        <w:t xml:space="preserve"> vispārīgi pielietojamus, taču tas nepārvērš standartus normatīvajos aktos.</w:t>
      </w:r>
      <w:r w:rsidRPr="006B03AD">
        <w:rPr>
          <w:rFonts w:ascii="Times New Roman" w:hAnsi="Times New Roman" w:cs="Times New Roman"/>
          <w:sz w:val="26"/>
          <w:szCs w:val="26"/>
        </w:rPr>
        <w:t xml:space="preserve"> </w:t>
      </w:r>
    </w:p>
    <w:p w14:paraId="2FCCF45B" w14:textId="77777777" w:rsidR="008A60D0" w:rsidRPr="006B03AD" w:rsidRDefault="008A60D0" w:rsidP="00C871B5">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Šādu atziņu augstākā tiesa pamatoja ar to, ka standarti netiek izstrādāti uz valsts pārvaldes iestādēm deleģēto normatīvo aktu izstrādes pilnvaru pamata, bet gan paļaujas tikai uz privātas dabas savstarpējām vienošanām, kas atspoguļo ieinteresēto pušu vēlmi </w:t>
      </w:r>
      <w:r w:rsidRPr="006B03AD">
        <w:rPr>
          <w:rFonts w:ascii="Times New Roman" w:hAnsi="Times New Roman" w:cs="Times New Roman"/>
          <w:sz w:val="26"/>
          <w:szCs w:val="26"/>
        </w:rPr>
        <w:lastRenderedPageBreak/>
        <w:t xml:space="preserve">panākt konkrēta vispārējā standarta lietošanu specifiska jautājuma noregulējumam komerciālās vai sabiedrības interesēs. </w:t>
      </w:r>
      <w:r w:rsidR="00C871B5" w:rsidRPr="006B03AD">
        <w:rPr>
          <w:rFonts w:ascii="Times New Roman" w:hAnsi="Times New Roman" w:cs="Times New Roman"/>
          <w:sz w:val="26"/>
          <w:szCs w:val="26"/>
        </w:rPr>
        <w:t xml:space="preserve">Tāpēc </w:t>
      </w:r>
      <w:r w:rsidRPr="006B03AD">
        <w:rPr>
          <w:rFonts w:ascii="Times New Roman" w:hAnsi="Times New Roman" w:cs="Times New Roman"/>
          <w:sz w:val="26"/>
          <w:szCs w:val="26"/>
        </w:rPr>
        <w:t xml:space="preserve">uz tiem neattiecās </w:t>
      </w:r>
      <w:r w:rsidR="00C871B5" w:rsidRPr="006B03AD">
        <w:rPr>
          <w:rFonts w:ascii="Times New Roman" w:hAnsi="Times New Roman" w:cs="Times New Roman"/>
          <w:sz w:val="26"/>
          <w:szCs w:val="26"/>
        </w:rPr>
        <w:t xml:space="preserve">tiesību aktu oficiālās publicēšanas nosacījums, līdz ar to tiem nav </w:t>
      </w:r>
      <w:r w:rsidRPr="006B03AD">
        <w:rPr>
          <w:rFonts w:ascii="Times New Roman" w:hAnsi="Times New Roman" w:cs="Times New Roman"/>
          <w:sz w:val="26"/>
          <w:szCs w:val="26"/>
        </w:rPr>
        <w:t xml:space="preserve">jābūt publiski pieejamiem bez maksas. Visbeidzot augstākā tiesa apstiprināja, ka </w:t>
      </w:r>
      <w:r w:rsidR="00C871B5" w:rsidRPr="006B03AD">
        <w:rPr>
          <w:rFonts w:ascii="Times New Roman" w:hAnsi="Times New Roman" w:cs="Times New Roman"/>
          <w:sz w:val="26"/>
          <w:szCs w:val="26"/>
        </w:rPr>
        <w:t>arī gadījumos, kad</w:t>
      </w:r>
      <w:r w:rsidRPr="006B03AD">
        <w:rPr>
          <w:rFonts w:ascii="Times New Roman" w:hAnsi="Times New Roman" w:cs="Times New Roman"/>
          <w:sz w:val="26"/>
          <w:szCs w:val="26"/>
        </w:rPr>
        <w:t xml:space="preserve"> normatīvajos aktos tiek izmantotas tiešās atsauces uz standartiem, </w:t>
      </w:r>
      <w:r w:rsidR="00C871B5" w:rsidRPr="006B03AD">
        <w:rPr>
          <w:rFonts w:ascii="Times New Roman" w:hAnsi="Times New Roman" w:cs="Times New Roman"/>
          <w:sz w:val="26"/>
          <w:szCs w:val="26"/>
        </w:rPr>
        <w:t>tiek respektētas standarta kā autortiesību objekta aizsardzība</w:t>
      </w:r>
      <w:r w:rsidRPr="006B03AD">
        <w:rPr>
          <w:rFonts w:ascii="Times New Roman" w:hAnsi="Times New Roman" w:cs="Times New Roman"/>
          <w:sz w:val="26"/>
          <w:szCs w:val="26"/>
        </w:rPr>
        <w:t>.</w:t>
      </w:r>
    </w:p>
    <w:p w14:paraId="4696659B" w14:textId="77777777" w:rsidR="00FB3F41" w:rsidRPr="006B03AD" w:rsidRDefault="00FB3F41" w:rsidP="00C871B5">
      <w:pPr>
        <w:ind w:firstLine="360"/>
        <w:jc w:val="both"/>
        <w:rPr>
          <w:rFonts w:ascii="Times New Roman" w:hAnsi="Times New Roman" w:cs="Times New Roman"/>
          <w:sz w:val="26"/>
          <w:szCs w:val="26"/>
        </w:rPr>
      </w:pPr>
    </w:p>
    <w:p w14:paraId="12C4C467" w14:textId="77777777" w:rsidR="00C871B5" w:rsidRPr="006B03AD" w:rsidRDefault="00C871B5" w:rsidP="00B972E0">
      <w:pPr>
        <w:pStyle w:val="Heading4"/>
      </w:pPr>
      <w:r w:rsidRPr="006B03AD">
        <w:t>Vācija</w:t>
      </w:r>
    </w:p>
    <w:p w14:paraId="21AF55C6" w14:textId="77777777" w:rsidR="00C871B5" w:rsidRPr="006B03AD" w:rsidRDefault="00C871B5" w:rsidP="00C871B5">
      <w:pPr>
        <w:jc w:val="center"/>
        <w:rPr>
          <w:rFonts w:ascii="Times New Roman" w:hAnsi="Times New Roman" w:cs="Times New Roman"/>
          <w:sz w:val="26"/>
          <w:szCs w:val="26"/>
        </w:rPr>
      </w:pPr>
    </w:p>
    <w:p w14:paraId="5E7A42CD" w14:textId="7D4D308B" w:rsidR="00C871B5" w:rsidRPr="006B03AD" w:rsidRDefault="008D6430" w:rsidP="008D6430">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Arī Vācijā ir bijuši mēģinājumi, iesaistot tiesas, panākt, lai standarti tiek atzīti par normatīvajiem aktiem, tādējādi izslēdzot tos no autortiesību </w:t>
      </w:r>
      <w:r w:rsidR="005152D7">
        <w:rPr>
          <w:rFonts w:ascii="Times New Roman" w:hAnsi="Times New Roman" w:cs="Times New Roman"/>
          <w:sz w:val="26"/>
          <w:szCs w:val="26"/>
        </w:rPr>
        <w:t>objektu</w:t>
      </w:r>
      <w:r w:rsidRPr="006B03AD">
        <w:rPr>
          <w:rFonts w:ascii="Times New Roman" w:hAnsi="Times New Roman" w:cs="Times New Roman"/>
          <w:sz w:val="26"/>
          <w:szCs w:val="26"/>
        </w:rPr>
        <w:t xml:space="preserve"> loka. Aktuālākais no tiesu nolēmumiem saistībā ar standartu autortiesību jautājumu ir Hamburgas reģionālā tiesas 2015.gada 31.marta nolēmums, kurā ir norādīts, ka standartu autortiesības ir aizsargātas un tie var tikt tirgoti par samērīgu samaksu, kas ir standartizācijas darba finansējuma </w:t>
      </w:r>
      <w:proofErr w:type="spellStart"/>
      <w:r w:rsidRPr="006B03AD">
        <w:rPr>
          <w:rFonts w:ascii="Times New Roman" w:hAnsi="Times New Roman" w:cs="Times New Roman"/>
          <w:sz w:val="26"/>
          <w:szCs w:val="26"/>
        </w:rPr>
        <w:t>pamatavots</w:t>
      </w:r>
      <w:proofErr w:type="spellEnd"/>
      <w:r w:rsidRPr="006B03AD">
        <w:rPr>
          <w:rFonts w:ascii="Times New Roman" w:hAnsi="Times New Roman" w:cs="Times New Roman"/>
          <w:sz w:val="26"/>
          <w:szCs w:val="26"/>
        </w:rPr>
        <w:t>. Tas pēc būtības noslēdz diskusijas par to, ka privāto struktūru izstrādātie dokumenti, šajā gadījumā standarti, uz kuriem tiek veidotas atsauces normatīvajos aktos</w:t>
      </w:r>
      <w:r w:rsidR="00CA7CDB">
        <w:rPr>
          <w:rFonts w:ascii="Times New Roman" w:hAnsi="Times New Roman" w:cs="Times New Roman"/>
          <w:sz w:val="26"/>
          <w:szCs w:val="26"/>
        </w:rPr>
        <w:t>,</w:t>
      </w:r>
      <w:r w:rsidRPr="006B03AD">
        <w:rPr>
          <w:rFonts w:ascii="Times New Roman" w:hAnsi="Times New Roman" w:cs="Times New Roman"/>
          <w:sz w:val="26"/>
          <w:szCs w:val="26"/>
        </w:rPr>
        <w:t xml:space="preserve"> ir vai nav dodami trešajām pusēm bez maksas. Šis Hamburgas reģionālās tiesas nolēmums atbilst Vācijas federālās administratīvās tiesas 2013.gada 27.jūnija nolēmumā</w:t>
      </w:r>
      <w:r w:rsidRPr="006B03AD">
        <w:rPr>
          <w:rStyle w:val="FootnoteReference"/>
          <w:rFonts w:ascii="Times New Roman" w:hAnsi="Times New Roman" w:cs="Times New Roman"/>
          <w:sz w:val="26"/>
          <w:szCs w:val="26"/>
        </w:rPr>
        <w:footnoteReference w:id="10"/>
      </w:r>
      <w:r w:rsidRPr="006B03AD">
        <w:rPr>
          <w:rFonts w:ascii="Times New Roman" w:hAnsi="Times New Roman" w:cs="Times New Roman"/>
          <w:sz w:val="26"/>
          <w:szCs w:val="26"/>
        </w:rPr>
        <w:t xml:space="preserve"> ietvertajām atziņām, proti:</w:t>
      </w:r>
    </w:p>
    <w:p w14:paraId="1361A351" w14:textId="77777777" w:rsidR="008D6430" w:rsidRPr="006B03AD" w:rsidRDefault="008D6430" w:rsidP="008D6430">
      <w:pPr>
        <w:pStyle w:val="ListParagraph"/>
        <w:numPr>
          <w:ilvl w:val="0"/>
          <w:numId w:val="6"/>
        </w:numPr>
        <w:jc w:val="both"/>
        <w:rPr>
          <w:rFonts w:ascii="Times New Roman" w:hAnsi="Times New Roman" w:cs="Times New Roman"/>
          <w:sz w:val="26"/>
          <w:szCs w:val="26"/>
        </w:rPr>
      </w:pPr>
      <w:r w:rsidRPr="006B03AD">
        <w:rPr>
          <w:rFonts w:ascii="Times New Roman" w:hAnsi="Times New Roman" w:cs="Times New Roman"/>
          <w:sz w:val="26"/>
          <w:szCs w:val="26"/>
        </w:rPr>
        <w:t>maksas noteikšana par standartiem nerada būtisku ierobežojumu personas tiesībām piekļūt tiesību normām, tādējādi šāds ierobežojums nav konstitucionāli apstrīdams. Vienlaikus federālā administratīvā tiesa, tāpat kā abas zemākās instances tiesas,  nepārprotami apstiprināja, ka tehnisko standartu izstrādes finansēšana no standartu pārdošanas ir absolūti  pieņemams risinājums;</w:t>
      </w:r>
    </w:p>
    <w:p w14:paraId="23C32309" w14:textId="77777777" w:rsidR="008D6430" w:rsidRPr="006B03AD" w:rsidRDefault="008D6430" w:rsidP="008D6430">
      <w:pPr>
        <w:pStyle w:val="ListParagraph"/>
        <w:numPr>
          <w:ilvl w:val="0"/>
          <w:numId w:val="6"/>
        </w:numPr>
        <w:jc w:val="both"/>
        <w:rPr>
          <w:rFonts w:ascii="Times New Roman" w:hAnsi="Times New Roman" w:cs="Times New Roman"/>
          <w:sz w:val="26"/>
          <w:szCs w:val="26"/>
        </w:rPr>
      </w:pPr>
      <w:r w:rsidRPr="006B03AD">
        <w:rPr>
          <w:rFonts w:ascii="Times New Roman" w:hAnsi="Times New Roman" w:cs="Times New Roman"/>
          <w:sz w:val="26"/>
          <w:szCs w:val="26"/>
        </w:rPr>
        <w:t>tiesas ieskatā standartu pieejamības nodrošināšanas prasība tiek izpildīta, jo standarti tiek darīti pieejami publikai standartu lasītavās, kas ir izvietotas saprātīgā attālumā;</w:t>
      </w:r>
    </w:p>
    <w:p w14:paraId="1023C420" w14:textId="77777777" w:rsidR="008D6430" w:rsidRPr="006B03AD" w:rsidRDefault="008D6430" w:rsidP="008D6430">
      <w:pPr>
        <w:pStyle w:val="ListParagraph"/>
        <w:numPr>
          <w:ilvl w:val="0"/>
          <w:numId w:val="6"/>
        </w:numPr>
        <w:jc w:val="both"/>
        <w:rPr>
          <w:rFonts w:ascii="Times New Roman" w:hAnsi="Times New Roman" w:cs="Times New Roman"/>
          <w:sz w:val="26"/>
          <w:szCs w:val="26"/>
        </w:rPr>
      </w:pPr>
      <w:r w:rsidRPr="006B03AD">
        <w:rPr>
          <w:rFonts w:ascii="Times New Roman" w:hAnsi="Times New Roman" w:cs="Times New Roman"/>
          <w:sz w:val="26"/>
          <w:szCs w:val="26"/>
        </w:rPr>
        <w:t>Fakts, ka tehniskie standarti, kas aizsargāti ar autortiesībām, ir jāpērk</w:t>
      </w:r>
      <w:r w:rsidR="009B5E3C">
        <w:rPr>
          <w:rFonts w:ascii="Times New Roman" w:hAnsi="Times New Roman" w:cs="Times New Roman"/>
          <w:sz w:val="26"/>
          <w:szCs w:val="26"/>
        </w:rPr>
        <w:t>,</w:t>
      </w:r>
      <w:r w:rsidRPr="006B03AD">
        <w:rPr>
          <w:rFonts w:ascii="Times New Roman" w:hAnsi="Times New Roman" w:cs="Times New Roman"/>
          <w:sz w:val="26"/>
          <w:szCs w:val="26"/>
        </w:rPr>
        <w:t xml:space="preserve"> pats par sevi nenozīmē būtisku to pieejamības ierobežošanu, jo personām tiek pieprasīta arī maksa par drukātas normatīvo aktu versijas iegūšanu, ja attiecīgā persona uzskata, ka to apskatīšana elektroniski vai publiskās bibliotēkās ir nepietiekoša;</w:t>
      </w:r>
    </w:p>
    <w:p w14:paraId="4727A769" w14:textId="77777777" w:rsidR="008D6430" w:rsidRPr="006B03AD" w:rsidRDefault="008D6430" w:rsidP="008D6430">
      <w:pPr>
        <w:pStyle w:val="ListParagraph"/>
        <w:numPr>
          <w:ilvl w:val="0"/>
          <w:numId w:val="6"/>
        </w:numPr>
        <w:jc w:val="both"/>
        <w:rPr>
          <w:rFonts w:ascii="Times New Roman" w:hAnsi="Times New Roman" w:cs="Times New Roman"/>
          <w:sz w:val="26"/>
          <w:szCs w:val="26"/>
        </w:rPr>
      </w:pPr>
      <w:r w:rsidRPr="006B03AD">
        <w:rPr>
          <w:rFonts w:ascii="Times New Roman" w:hAnsi="Times New Roman" w:cs="Times New Roman"/>
          <w:sz w:val="26"/>
          <w:szCs w:val="26"/>
        </w:rPr>
        <w:t>Atsaucoties uz tehniskajiem standartiem vai citām līdzīgām tehniskām prasībām, likumdevējs pēc būtības izmanto privāto ekspertīzi. Savukārt privātās standartizācijas struktūras,  izmantojot ar autortiesībām aizsargātu darbu izplatīšanu, kompensē būtisku standartu izstrādes izdevumu daļu.</w:t>
      </w:r>
    </w:p>
    <w:p w14:paraId="574E524A" w14:textId="77777777" w:rsidR="00C871B5" w:rsidRPr="006B03AD" w:rsidRDefault="008D6430" w:rsidP="008D6430">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Taču jānorāda, ka Vācijā normatīvais regulējums attiecībā uz standartiem kā autortiesību </w:t>
      </w:r>
      <w:r w:rsidR="00E06E75">
        <w:rPr>
          <w:rFonts w:ascii="Times New Roman" w:hAnsi="Times New Roman" w:cs="Times New Roman"/>
          <w:sz w:val="26"/>
          <w:szCs w:val="26"/>
        </w:rPr>
        <w:t xml:space="preserve">objektiem </w:t>
      </w:r>
      <w:r w:rsidRPr="006B03AD">
        <w:rPr>
          <w:rFonts w:ascii="Times New Roman" w:hAnsi="Times New Roman" w:cs="Times New Roman"/>
          <w:sz w:val="26"/>
          <w:szCs w:val="26"/>
        </w:rPr>
        <w:t xml:space="preserve">ir daudz skaidrāks nekā Nīderlandē, jo Vācijas autortiesību likumā ir vērsts uzsvars uz to, ka privāto struktūru radītie darbi ir uzskatāmi par autortiesību </w:t>
      </w:r>
      <w:r w:rsidR="00E06E75">
        <w:rPr>
          <w:rFonts w:ascii="Times New Roman" w:hAnsi="Times New Roman" w:cs="Times New Roman"/>
          <w:sz w:val="26"/>
          <w:szCs w:val="26"/>
        </w:rPr>
        <w:t>objektu</w:t>
      </w:r>
      <w:r w:rsidRPr="006B03AD">
        <w:rPr>
          <w:rFonts w:ascii="Times New Roman" w:hAnsi="Times New Roman" w:cs="Times New Roman"/>
          <w:sz w:val="26"/>
          <w:szCs w:val="26"/>
        </w:rPr>
        <w:t xml:space="preserve"> un to autortiesības netiek ierobežotas arī gadījumos, ja uz tiem ir veidotas atsauces normatīvajos aktos. Šajā gadījumā autoram ir pienākums uz taisnīgiem un vienlīdzīgiem nosacījumiem nodrošināt šo darbu reproducēšanu un izplatīšanu.</w:t>
      </w:r>
    </w:p>
    <w:p w14:paraId="72B7D757" w14:textId="77777777" w:rsidR="008D6430" w:rsidRDefault="008D6430" w:rsidP="008D6430">
      <w:pPr>
        <w:ind w:firstLine="360"/>
        <w:jc w:val="both"/>
        <w:rPr>
          <w:rFonts w:ascii="Times New Roman" w:hAnsi="Times New Roman" w:cs="Times New Roman"/>
          <w:sz w:val="26"/>
          <w:szCs w:val="26"/>
        </w:rPr>
      </w:pPr>
    </w:p>
    <w:p w14:paraId="40629914" w14:textId="77777777" w:rsidR="00226850" w:rsidRDefault="00226850" w:rsidP="008D6430">
      <w:pPr>
        <w:ind w:firstLine="360"/>
        <w:jc w:val="both"/>
        <w:rPr>
          <w:rFonts w:ascii="Times New Roman" w:hAnsi="Times New Roman" w:cs="Times New Roman"/>
          <w:sz w:val="26"/>
          <w:szCs w:val="26"/>
        </w:rPr>
      </w:pPr>
    </w:p>
    <w:p w14:paraId="219774C7" w14:textId="77777777" w:rsidR="00226850" w:rsidRDefault="00226850" w:rsidP="008D6430">
      <w:pPr>
        <w:ind w:firstLine="360"/>
        <w:jc w:val="both"/>
        <w:rPr>
          <w:rFonts w:ascii="Times New Roman" w:hAnsi="Times New Roman" w:cs="Times New Roman"/>
          <w:sz w:val="26"/>
          <w:szCs w:val="26"/>
        </w:rPr>
      </w:pPr>
    </w:p>
    <w:p w14:paraId="4A67A7F8" w14:textId="77777777" w:rsidR="00226850" w:rsidRPr="006B03AD" w:rsidRDefault="00226850" w:rsidP="008D6430">
      <w:pPr>
        <w:ind w:firstLine="360"/>
        <w:jc w:val="both"/>
        <w:rPr>
          <w:rFonts w:ascii="Times New Roman" w:hAnsi="Times New Roman" w:cs="Times New Roman"/>
          <w:sz w:val="26"/>
          <w:szCs w:val="26"/>
        </w:rPr>
      </w:pPr>
    </w:p>
    <w:p w14:paraId="11CD2B7B" w14:textId="77777777" w:rsidR="008D6430" w:rsidRPr="006B03AD" w:rsidRDefault="008D6430" w:rsidP="00B972E0">
      <w:pPr>
        <w:pStyle w:val="Heading4"/>
      </w:pPr>
      <w:r w:rsidRPr="006B03AD">
        <w:lastRenderedPageBreak/>
        <w:t>Francija</w:t>
      </w:r>
    </w:p>
    <w:p w14:paraId="0709BF5D" w14:textId="77777777" w:rsidR="008D6430" w:rsidRPr="006B03AD" w:rsidRDefault="008D6430" w:rsidP="008D6430">
      <w:pPr>
        <w:jc w:val="center"/>
        <w:rPr>
          <w:rFonts w:ascii="Times New Roman" w:hAnsi="Times New Roman" w:cs="Times New Roman"/>
          <w:sz w:val="26"/>
          <w:szCs w:val="26"/>
        </w:rPr>
      </w:pPr>
    </w:p>
    <w:p w14:paraId="1BFF16AC" w14:textId="77777777" w:rsidR="008D6430" w:rsidRPr="006B03AD" w:rsidRDefault="008D6430" w:rsidP="008D6430">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Arī Francijā ir bijis neveiksmīgs mēģinājums ar normatīvajiem aktiem </w:t>
      </w:r>
      <w:r w:rsidR="009A0B61" w:rsidRPr="006B03AD">
        <w:rPr>
          <w:rFonts w:ascii="Times New Roman" w:hAnsi="Times New Roman" w:cs="Times New Roman"/>
          <w:sz w:val="26"/>
          <w:szCs w:val="26"/>
        </w:rPr>
        <w:t xml:space="preserve">noteikt obligātu pienākumu publicēt visus obligātos standartus bez maksas. Šāds pienākums atbilstoši valdības 2009.gada 16.jūnijā pieņemtā Standartizācijas dekrēta Nr.2009-697 17.pantam tika noteikts Francijas nacionālajai standartizācijas institūcijai – Association </w:t>
      </w:r>
      <w:proofErr w:type="spellStart"/>
      <w:r w:rsidR="009A0B61" w:rsidRPr="006B03AD">
        <w:rPr>
          <w:rFonts w:ascii="Times New Roman" w:hAnsi="Times New Roman" w:cs="Times New Roman"/>
          <w:sz w:val="26"/>
          <w:szCs w:val="26"/>
        </w:rPr>
        <w:t>Française</w:t>
      </w:r>
      <w:proofErr w:type="spellEnd"/>
      <w:r w:rsidR="009A0B61" w:rsidRPr="006B03AD">
        <w:rPr>
          <w:rFonts w:ascii="Times New Roman" w:hAnsi="Times New Roman" w:cs="Times New Roman"/>
          <w:sz w:val="26"/>
          <w:szCs w:val="26"/>
        </w:rPr>
        <w:t xml:space="preserve"> </w:t>
      </w:r>
      <w:proofErr w:type="spellStart"/>
      <w:r w:rsidR="009A0B61" w:rsidRPr="006B03AD">
        <w:rPr>
          <w:rFonts w:ascii="Times New Roman" w:hAnsi="Times New Roman" w:cs="Times New Roman"/>
          <w:sz w:val="26"/>
          <w:szCs w:val="26"/>
        </w:rPr>
        <w:t>de</w:t>
      </w:r>
      <w:proofErr w:type="spellEnd"/>
      <w:r w:rsidR="009A0B61" w:rsidRPr="006B03AD">
        <w:rPr>
          <w:rFonts w:ascii="Times New Roman" w:hAnsi="Times New Roman" w:cs="Times New Roman"/>
          <w:sz w:val="26"/>
          <w:szCs w:val="26"/>
        </w:rPr>
        <w:t xml:space="preserve"> </w:t>
      </w:r>
      <w:proofErr w:type="spellStart"/>
      <w:r w:rsidR="009A0B61" w:rsidRPr="006B03AD">
        <w:rPr>
          <w:rFonts w:ascii="Times New Roman" w:hAnsi="Times New Roman" w:cs="Times New Roman"/>
          <w:sz w:val="26"/>
          <w:szCs w:val="26"/>
        </w:rPr>
        <w:t>Normalisation</w:t>
      </w:r>
      <w:proofErr w:type="spellEnd"/>
      <w:r w:rsidR="009A0B61" w:rsidRPr="006B03AD">
        <w:rPr>
          <w:rFonts w:ascii="Times New Roman" w:hAnsi="Times New Roman" w:cs="Times New Roman"/>
          <w:sz w:val="26"/>
          <w:szCs w:val="26"/>
        </w:rPr>
        <w:t xml:space="preserve"> (turpmāk - AFNOR).</w:t>
      </w:r>
      <w:r w:rsidR="00FC2896" w:rsidRPr="006B03AD">
        <w:rPr>
          <w:rFonts w:ascii="Times New Roman" w:hAnsi="Times New Roman" w:cs="Times New Roman"/>
          <w:sz w:val="26"/>
          <w:szCs w:val="26"/>
        </w:rPr>
        <w:t xml:space="preserve"> Taču pēc CEN un CENELEC iebildumiem </w:t>
      </w:r>
      <w:r w:rsidR="00BB7611" w:rsidRPr="006B03AD">
        <w:rPr>
          <w:rFonts w:ascii="Times New Roman" w:hAnsi="Times New Roman" w:cs="Times New Roman"/>
          <w:sz w:val="26"/>
          <w:szCs w:val="26"/>
        </w:rPr>
        <w:t>par autortiesību aizsardzību un ņemot vērā arī Nīderlandes augstākās tiesas spriedumu</w:t>
      </w:r>
      <w:r w:rsidR="00191679">
        <w:rPr>
          <w:rFonts w:ascii="Times New Roman" w:hAnsi="Times New Roman" w:cs="Times New Roman"/>
          <w:sz w:val="26"/>
          <w:szCs w:val="26"/>
        </w:rPr>
        <w:t>,</w:t>
      </w:r>
      <w:r w:rsidR="00BB7611" w:rsidRPr="006B03AD">
        <w:rPr>
          <w:rFonts w:ascii="Times New Roman" w:hAnsi="Times New Roman" w:cs="Times New Roman"/>
          <w:sz w:val="26"/>
          <w:szCs w:val="26"/>
        </w:rPr>
        <w:t xml:space="preserve"> 2010.gadā starp AFNOR un Francijas Rūpniecības ministriju tika panākta vienošanās</w:t>
      </w:r>
      <w:r w:rsidR="008E1765">
        <w:rPr>
          <w:rFonts w:ascii="Times New Roman" w:hAnsi="Times New Roman" w:cs="Times New Roman"/>
          <w:sz w:val="26"/>
          <w:szCs w:val="26"/>
        </w:rPr>
        <w:t>,</w:t>
      </w:r>
      <w:r w:rsidR="00BB7611" w:rsidRPr="006B03AD">
        <w:rPr>
          <w:rFonts w:ascii="Times New Roman" w:hAnsi="Times New Roman" w:cs="Times New Roman"/>
          <w:sz w:val="26"/>
          <w:szCs w:val="26"/>
        </w:rPr>
        <w:t xml:space="preserve"> saskaņā ar kuru Eiropas standarti, kuriem Francija nosaka obligāti piemērojamo standartu status</w:t>
      </w:r>
      <w:r w:rsidR="00685D74">
        <w:rPr>
          <w:rFonts w:ascii="Times New Roman" w:hAnsi="Times New Roman" w:cs="Times New Roman"/>
          <w:sz w:val="26"/>
          <w:szCs w:val="26"/>
        </w:rPr>
        <w:t>u</w:t>
      </w:r>
      <w:r w:rsidR="00BB7611" w:rsidRPr="006B03AD">
        <w:rPr>
          <w:rFonts w:ascii="Times New Roman" w:hAnsi="Times New Roman" w:cs="Times New Roman"/>
          <w:sz w:val="26"/>
          <w:szCs w:val="26"/>
        </w:rPr>
        <w:t xml:space="preserve"> savā normatīvo tiesību aktu sistēmā, vairs netiek publicēti AFNOR tīmekļa vietnē tādā veidā, kas nodrošina publisku piekļuvi to tekstiem par brīvu. Tā vietā tiek piedāvāti alternatīvi risinājumi standartu tekstu pieejamības uzlabošanai, proti, tiek publicēti savstarpēji saskaņoti standartu kopsavilkumi, rezumējumi un bibliogrāfiskie sarak</w:t>
      </w:r>
      <w:r w:rsidR="001E5E98" w:rsidRPr="006B03AD">
        <w:rPr>
          <w:rFonts w:ascii="Times New Roman" w:hAnsi="Times New Roman" w:cs="Times New Roman"/>
          <w:sz w:val="26"/>
          <w:szCs w:val="26"/>
        </w:rPr>
        <w:t>sti. Papildus, ievērojot CEN-</w:t>
      </w:r>
      <w:r w:rsidR="00BB7611" w:rsidRPr="006B03AD">
        <w:rPr>
          <w:rFonts w:ascii="Times New Roman" w:hAnsi="Times New Roman" w:cs="Times New Roman"/>
          <w:sz w:val="26"/>
          <w:szCs w:val="26"/>
        </w:rPr>
        <w:t>CENELEC Vadlīnijās Nr.10</w:t>
      </w:r>
      <w:r w:rsidR="00BB7611" w:rsidRPr="006B03AD">
        <w:rPr>
          <w:rStyle w:val="FootnoteReference"/>
          <w:rFonts w:ascii="Times New Roman" w:hAnsi="Times New Roman" w:cs="Times New Roman"/>
          <w:sz w:val="26"/>
          <w:szCs w:val="26"/>
        </w:rPr>
        <w:footnoteReference w:id="11"/>
      </w:r>
      <w:r w:rsidR="00BB7611" w:rsidRPr="006B03AD">
        <w:rPr>
          <w:rFonts w:ascii="Times New Roman" w:hAnsi="Times New Roman" w:cs="Times New Roman"/>
          <w:sz w:val="26"/>
          <w:szCs w:val="26"/>
        </w:rPr>
        <w:t xml:space="preserve"> noteikto “</w:t>
      </w:r>
      <w:proofErr w:type="spellStart"/>
      <w:r w:rsidR="00BB7611" w:rsidRPr="006B03AD">
        <w:rPr>
          <w:rFonts w:ascii="Times New Roman" w:hAnsi="Times New Roman" w:cs="Times New Roman"/>
          <w:sz w:val="26"/>
          <w:szCs w:val="26"/>
        </w:rPr>
        <w:t>fair</w:t>
      </w:r>
      <w:proofErr w:type="spellEnd"/>
      <w:r w:rsidR="00BB7611" w:rsidRPr="006B03AD">
        <w:rPr>
          <w:rFonts w:ascii="Times New Roman" w:hAnsi="Times New Roman" w:cs="Times New Roman"/>
          <w:sz w:val="26"/>
          <w:szCs w:val="26"/>
        </w:rPr>
        <w:t xml:space="preserve"> </w:t>
      </w:r>
      <w:proofErr w:type="spellStart"/>
      <w:r w:rsidR="00BB7611" w:rsidRPr="006B03AD">
        <w:rPr>
          <w:rFonts w:ascii="Times New Roman" w:hAnsi="Times New Roman" w:cs="Times New Roman"/>
          <w:sz w:val="26"/>
          <w:szCs w:val="26"/>
        </w:rPr>
        <w:t>use</w:t>
      </w:r>
      <w:proofErr w:type="spellEnd"/>
      <w:r w:rsidR="00BB7611" w:rsidRPr="006B03AD">
        <w:rPr>
          <w:rFonts w:ascii="Times New Roman" w:hAnsi="Times New Roman" w:cs="Times New Roman"/>
          <w:sz w:val="26"/>
          <w:szCs w:val="26"/>
        </w:rPr>
        <w:t>” principu, tiek publicētas konkrētas standartu daļas, kā arī izveidots “karstās līnijas” (“</w:t>
      </w:r>
      <w:proofErr w:type="spellStart"/>
      <w:r w:rsidR="00BB7611" w:rsidRPr="006B03AD">
        <w:rPr>
          <w:rFonts w:ascii="Times New Roman" w:hAnsi="Times New Roman" w:cs="Times New Roman"/>
          <w:sz w:val="26"/>
          <w:szCs w:val="26"/>
        </w:rPr>
        <w:t>hot</w:t>
      </w:r>
      <w:proofErr w:type="spellEnd"/>
      <w:r w:rsidR="00BB7611" w:rsidRPr="006B03AD">
        <w:rPr>
          <w:rFonts w:ascii="Times New Roman" w:hAnsi="Times New Roman" w:cs="Times New Roman"/>
          <w:sz w:val="26"/>
          <w:szCs w:val="26"/>
        </w:rPr>
        <w:t xml:space="preserve"> </w:t>
      </w:r>
      <w:proofErr w:type="spellStart"/>
      <w:r w:rsidR="00BB7611" w:rsidRPr="006B03AD">
        <w:rPr>
          <w:rFonts w:ascii="Times New Roman" w:hAnsi="Times New Roman" w:cs="Times New Roman"/>
          <w:sz w:val="26"/>
          <w:szCs w:val="26"/>
        </w:rPr>
        <w:t>line</w:t>
      </w:r>
      <w:proofErr w:type="spellEnd"/>
      <w:r w:rsidR="00BB7611" w:rsidRPr="006B03AD">
        <w:rPr>
          <w:rFonts w:ascii="Times New Roman" w:hAnsi="Times New Roman" w:cs="Times New Roman"/>
          <w:sz w:val="26"/>
          <w:szCs w:val="26"/>
        </w:rPr>
        <w:t xml:space="preserve">” </w:t>
      </w:r>
      <w:proofErr w:type="spellStart"/>
      <w:r w:rsidR="00BB7611" w:rsidRPr="006B03AD">
        <w:rPr>
          <w:rFonts w:ascii="Times New Roman" w:hAnsi="Times New Roman" w:cs="Times New Roman"/>
          <w:sz w:val="26"/>
          <w:szCs w:val="26"/>
        </w:rPr>
        <w:t>service</w:t>
      </w:r>
      <w:proofErr w:type="spellEnd"/>
      <w:r w:rsidR="00BB7611" w:rsidRPr="006B03AD">
        <w:rPr>
          <w:rFonts w:ascii="Times New Roman" w:hAnsi="Times New Roman" w:cs="Times New Roman"/>
          <w:sz w:val="26"/>
          <w:szCs w:val="26"/>
        </w:rPr>
        <w:t>) pakalpojums, lai nodrošinātu standartu lietotājiem operatīvu pieeju informācijai par standartiem un sniegtu tiem atbildes uz interesējošiem jautājumiem</w:t>
      </w:r>
      <w:r w:rsidR="001E5E98" w:rsidRPr="006B03AD">
        <w:rPr>
          <w:rFonts w:ascii="Times New Roman" w:hAnsi="Times New Roman" w:cs="Times New Roman"/>
          <w:sz w:val="26"/>
          <w:szCs w:val="26"/>
        </w:rPr>
        <w:t>.</w:t>
      </w:r>
    </w:p>
    <w:p w14:paraId="24158DB1" w14:textId="77777777" w:rsidR="001E5E98" w:rsidRPr="006B03AD" w:rsidRDefault="001E5E98" w:rsidP="008D6430">
      <w:pPr>
        <w:ind w:firstLine="360"/>
        <w:jc w:val="both"/>
        <w:rPr>
          <w:rFonts w:ascii="Times New Roman" w:hAnsi="Times New Roman" w:cs="Times New Roman"/>
          <w:sz w:val="26"/>
          <w:szCs w:val="26"/>
        </w:rPr>
      </w:pPr>
      <w:r w:rsidRPr="006B03AD">
        <w:rPr>
          <w:rFonts w:ascii="Times New Roman" w:hAnsi="Times New Roman" w:cs="Times New Roman"/>
          <w:sz w:val="26"/>
          <w:szCs w:val="26"/>
        </w:rPr>
        <w:t>Minētais piemērs apliecina, ka arī Francija pēc neveiksmīga mēģinājuma publicēt obligātos standartus un darīt tos sabiedrībai pieejamus bez maksas ir atzinusi, ka respektē standarta kā autortiesību objekta aizsardzību. Standarta teksti netiek publiskoti, tāpēc valsts būtisku uzmanību piešķir standartu satura izskaidrošanai, veidojot dažādus skaidrojošos materiālus.</w:t>
      </w:r>
    </w:p>
    <w:p w14:paraId="69E98488" w14:textId="77777777" w:rsidR="001E5E98" w:rsidRPr="006B03AD" w:rsidRDefault="001E5E98" w:rsidP="008D6430">
      <w:pPr>
        <w:ind w:firstLine="360"/>
        <w:jc w:val="both"/>
        <w:rPr>
          <w:rFonts w:ascii="Times New Roman" w:hAnsi="Times New Roman" w:cs="Times New Roman"/>
          <w:sz w:val="26"/>
          <w:szCs w:val="26"/>
        </w:rPr>
      </w:pPr>
    </w:p>
    <w:p w14:paraId="3E8E4F51" w14:textId="77777777" w:rsidR="001E5E98" w:rsidRPr="006B03AD" w:rsidRDefault="001E5E98" w:rsidP="00B972E0">
      <w:pPr>
        <w:pStyle w:val="Heading3"/>
      </w:pPr>
      <w:bookmarkStart w:id="8" w:name="_Toc451859774"/>
      <w:bookmarkStart w:id="9" w:name="_Toc451859997"/>
      <w:r w:rsidRPr="006B03AD">
        <w:t xml:space="preserve">Apvienoto </w:t>
      </w:r>
      <w:r w:rsidR="00716233" w:rsidRPr="006B03AD">
        <w:t>N</w:t>
      </w:r>
      <w:r w:rsidRPr="006B03AD">
        <w:t xml:space="preserve">āciju </w:t>
      </w:r>
      <w:r w:rsidR="00716233" w:rsidRPr="006B03AD">
        <w:t>O</w:t>
      </w:r>
      <w:r w:rsidRPr="006B03AD">
        <w:t>rganizācija</w:t>
      </w:r>
      <w:bookmarkEnd w:id="8"/>
      <w:bookmarkEnd w:id="9"/>
    </w:p>
    <w:p w14:paraId="74859E34" w14:textId="77777777" w:rsidR="00F47A60" w:rsidRPr="006B03AD" w:rsidRDefault="00F47A60" w:rsidP="00F47A60">
      <w:pPr>
        <w:jc w:val="center"/>
        <w:rPr>
          <w:rFonts w:ascii="Times New Roman" w:hAnsi="Times New Roman" w:cs="Times New Roman"/>
          <w:sz w:val="26"/>
          <w:szCs w:val="26"/>
        </w:rPr>
      </w:pPr>
    </w:p>
    <w:p w14:paraId="4513318B" w14:textId="77777777" w:rsidR="00F47A60" w:rsidRPr="006B03AD" w:rsidRDefault="00F47A60" w:rsidP="00F47A60">
      <w:pPr>
        <w:ind w:firstLine="360"/>
        <w:jc w:val="both"/>
        <w:rPr>
          <w:rFonts w:ascii="Times New Roman" w:hAnsi="Times New Roman" w:cs="Times New Roman"/>
          <w:sz w:val="26"/>
          <w:szCs w:val="26"/>
        </w:rPr>
      </w:pPr>
      <w:r w:rsidRPr="006B03AD">
        <w:rPr>
          <w:rFonts w:ascii="Times New Roman" w:hAnsi="Times New Roman" w:cs="Times New Roman"/>
          <w:sz w:val="26"/>
          <w:szCs w:val="26"/>
        </w:rPr>
        <w:t>Jautājum</w:t>
      </w:r>
      <w:r w:rsidR="00371E8A">
        <w:rPr>
          <w:rFonts w:ascii="Times New Roman" w:hAnsi="Times New Roman" w:cs="Times New Roman"/>
          <w:sz w:val="26"/>
          <w:szCs w:val="26"/>
        </w:rPr>
        <w:t>s</w:t>
      </w:r>
      <w:r w:rsidRPr="006B03AD">
        <w:rPr>
          <w:rFonts w:ascii="Times New Roman" w:hAnsi="Times New Roman" w:cs="Times New Roman"/>
          <w:sz w:val="26"/>
          <w:szCs w:val="26"/>
        </w:rPr>
        <w:t xml:space="preserve"> saistībā ar atsauču uz standartiem izmantošanu normatīvajos aktos tika izskatīts Apvienoto </w:t>
      </w:r>
      <w:r w:rsidR="00716233" w:rsidRPr="006B03AD">
        <w:rPr>
          <w:rFonts w:ascii="Times New Roman" w:hAnsi="Times New Roman" w:cs="Times New Roman"/>
          <w:sz w:val="26"/>
          <w:szCs w:val="26"/>
        </w:rPr>
        <w:t>N</w:t>
      </w:r>
      <w:r w:rsidRPr="006B03AD">
        <w:rPr>
          <w:rFonts w:ascii="Times New Roman" w:hAnsi="Times New Roman" w:cs="Times New Roman"/>
          <w:sz w:val="26"/>
          <w:szCs w:val="26"/>
        </w:rPr>
        <w:t xml:space="preserve">āciju </w:t>
      </w:r>
      <w:r w:rsidR="00716233" w:rsidRPr="006B03AD">
        <w:rPr>
          <w:rFonts w:ascii="Times New Roman" w:hAnsi="Times New Roman" w:cs="Times New Roman"/>
          <w:sz w:val="26"/>
          <w:szCs w:val="26"/>
        </w:rPr>
        <w:t>O</w:t>
      </w:r>
      <w:r w:rsidRPr="006B03AD">
        <w:rPr>
          <w:rFonts w:ascii="Times New Roman" w:hAnsi="Times New Roman" w:cs="Times New Roman"/>
          <w:sz w:val="26"/>
          <w:szCs w:val="26"/>
        </w:rPr>
        <w:t>rganizācijas Ekonomikas un sociālo lietu padomes Eiropas ekonomiskās komisijas  Tirdzniecības komitejas darba grupā par normatīvā regulējuma un standartizācijas politikas sadarbību, kas norisinājās Ženēvā no 2013.gada 18.novembra līdz 20.novembrim. Viens no darba kārtības jautājumiem bija pārskatītās rekomendācijas D “Atsauces uz standartiem” projekta apstiprināšana</w:t>
      </w:r>
      <w:r w:rsidRPr="006B03AD">
        <w:rPr>
          <w:rStyle w:val="FootnoteReference"/>
          <w:rFonts w:ascii="Times New Roman" w:hAnsi="Times New Roman" w:cs="Times New Roman"/>
          <w:sz w:val="26"/>
          <w:szCs w:val="26"/>
        </w:rPr>
        <w:footnoteReference w:id="12"/>
      </w:r>
      <w:r w:rsidRPr="006B03AD">
        <w:rPr>
          <w:rFonts w:ascii="Times New Roman" w:hAnsi="Times New Roman" w:cs="Times New Roman"/>
          <w:sz w:val="26"/>
          <w:szCs w:val="26"/>
        </w:rPr>
        <w:t>. Atbilstoši minētajā rekomendācijā norādītajai informācijai darba grupa atzina būtisku ieguvumu, ko dod metodes “Atsauce uz standartiem” izmantošana, līdz ar to ierosināja šādas rekomendācijas:</w:t>
      </w:r>
    </w:p>
    <w:p w14:paraId="0C6076B1" w14:textId="77777777" w:rsidR="00F47A60" w:rsidRPr="006B03AD" w:rsidRDefault="00F47A60" w:rsidP="00F47A60">
      <w:pPr>
        <w:pStyle w:val="ListParagraph"/>
        <w:numPr>
          <w:ilvl w:val="0"/>
          <w:numId w:val="7"/>
        </w:numPr>
        <w:jc w:val="both"/>
        <w:rPr>
          <w:rFonts w:ascii="Times New Roman" w:hAnsi="Times New Roman" w:cs="Times New Roman"/>
          <w:sz w:val="26"/>
          <w:szCs w:val="26"/>
        </w:rPr>
      </w:pPr>
      <w:r w:rsidRPr="006B03AD">
        <w:rPr>
          <w:rFonts w:ascii="Times New Roman" w:hAnsi="Times New Roman" w:cs="Times New Roman"/>
          <w:sz w:val="26"/>
          <w:szCs w:val="26"/>
        </w:rPr>
        <w:t xml:space="preserve">Valsts pārvaldes iestādēm, ievērojot </w:t>
      </w:r>
      <w:r w:rsidR="00E22361" w:rsidRPr="006B03AD">
        <w:rPr>
          <w:rFonts w:ascii="Times New Roman" w:hAnsi="Times New Roman" w:cs="Times New Roman"/>
          <w:sz w:val="26"/>
          <w:szCs w:val="26"/>
        </w:rPr>
        <w:t>P</w:t>
      </w:r>
      <w:r w:rsidRPr="006B03AD">
        <w:rPr>
          <w:rFonts w:ascii="Times New Roman" w:hAnsi="Times New Roman" w:cs="Times New Roman"/>
          <w:sz w:val="26"/>
          <w:szCs w:val="26"/>
        </w:rPr>
        <w:t xml:space="preserve">TO TBT noteiktos principus un </w:t>
      </w:r>
      <w:r w:rsidR="00E22361" w:rsidRPr="006B03AD">
        <w:rPr>
          <w:rFonts w:ascii="Times New Roman" w:hAnsi="Times New Roman" w:cs="Times New Roman"/>
          <w:sz w:val="26"/>
          <w:szCs w:val="26"/>
        </w:rPr>
        <w:t>P</w:t>
      </w:r>
      <w:r w:rsidRPr="006B03AD">
        <w:rPr>
          <w:rFonts w:ascii="Times New Roman" w:hAnsi="Times New Roman" w:cs="Times New Roman"/>
          <w:sz w:val="26"/>
          <w:szCs w:val="26"/>
        </w:rPr>
        <w:t>TO Tirdzniecības tehnisko barjeru komitejas lēmumus, kur ies</w:t>
      </w:r>
      <w:r w:rsidR="00043B71" w:rsidRPr="006B03AD">
        <w:rPr>
          <w:rFonts w:ascii="Times New Roman" w:hAnsi="Times New Roman" w:cs="Times New Roman"/>
          <w:sz w:val="26"/>
          <w:szCs w:val="26"/>
        </w:rPr>
        <w:t>pējams jāizmanto starptautiskie</w:t>
      </w:r>
      <w:r w:rsidRPr="006B03AD">
        <w:rPr>
          <w:rFonts w:ascii="Times New Roman" w:hAnsi="Times New Roman" w:cs="Times New Roman"/>
          <w:sz w:val="26"/>
          <w:szCs w:val="26"/>
        </w:rPr>
        <w:t>, reģionālie un nacionālie standarti likumdošanas darbā;</w:t>
      </w:r>
    </w:p>
    <w:p w14:paraId="6BB62BEE" w14:textId="77777777" w:rsidR="00F47A60" w:rsidRPr="006B03AD" w:rsidRDefault="00F47A60" w:rsidP="00F47A60">
      <w:pPr>
        <w:pStyle w:val="ListParagraph"/>
        <w:numPr>
          <w:ilvl w:val="0"/>
          <w:numId w:val="7"/>
        </w:numPr>
        <w:jc w:val="both"/>
        <w:rPr>
          <w:rFonts w:ascii="Times New Roman" w:hAnsi="Times New Roman" w:cs="Times New Roman"/>
          <w:sz w:val="26"/>
          <w:szCs w:val="26"/>
        </w:rPr>
      </w:pPr>
      <w:r w:rsidRPr="006B03AD">
        <w:rPr>
          <w:rFonts w:ascii="Times New Roman" w:hAnsi="Times New Roman" w:cs="Times New Roman"/>
          <w:sz w:val="26"/>
          <w:szCs w:val="26"/>
        </w:rPr>
        <w:t xml:space="preserve">Valsts pārvaldes iestādēm jācenšas izmantot tādas atsauces uz standartiem normatīvajos aktos, kas saglabā standartu brīvprātīgās pielietošanas dabu, proti, izmantojot netiešās atsauces uz standartiem. Vienīgi gadījumos, kad netiešo atsauču izmantošana nav piemērojama, valsts pārvaldes iestādes normatīvajos </w:t>
      </w:r>
      <w:r w:rsidRPr="006B03AD">
        <w:rPr>
          <w:rFonts w:ascii="Times New Roman" w:hAnsi="Times New Roman" w:cs="Times New Roman"/>
          <w:sz w:val="26"/>
          <w:szCs w:val="26"/>
        </w:rPr>
        <w:lastRenderedPageBreak/>
        <w:t>aktos izmanto tiešās atsauces uz standartiem, tādējādi padarot to prasības par obligātām;</w:t>
      </w:r>
    </w:p>
    <w:p w14:paraId="46C03C2D" w14:textId="77777777" w:rsidR="00F47A60" w:rsidRPr="006B03AD" w:rsidRDefault="00F47A60" w:rsidP="00F47A60">
      <w:pPr>
        <w:pStyle w:val="ListParagraph"/>
        <w:numPr>
          <w:ilvl w:val="0"/>
          <w:numId w:val="7"/>
        </w:numPr>
        <w:jc w:val="both"/>
        <w:rPr>
          <w:rFonts w:ascii="Times New Roman" w:hAnsi="Times New Roman" w:cs="Times New Roman"/>
          <w:sz w:val="26"/>
          <w:szCs w:val="26"/>
        </w:rPr>
      </w:pPr>
      <w:r w:rsidRPr="006B03AD">
        <w:rPr>
          <w:rFonts w:ascii="Times New Roman" w:hAnsi="Times New Roman" w:cs="Times New Roman"/>
          <w:sz w:val="26"/>
          <w:szCs w:val="26"/>
        </w:rPr>
        <w:t>Valsts pārvaldes iestādēm ir jāpilnveido un jāveicina sadarbība ar standartizācijas organizācijām. Cita starpā valsts pārvaldes iestādēm un standartizācijas institūcijām ir jāvienojas par veidiem, kādos standarti, uz kuriem normatīvajos aktos tiek veidotas atsauces, tiek darīti pieejami interesantiem mazāk ierobežojošā veidā. Vērtējot iespējas palielināt standartu pieejamību, valsts pārvaldes iestādēm ir jāievēro intelektuālā īpašuma tiesības un standartizācijas struktūru autortiesības attiecībā uz standartiem.</w:t>
      </w:r>
    </w:p>
    <w:p w14:paraId="57D167C8" w14:textId="77777777" w:rsidR="00E00652" w:rsidRPr="006B03AD" w:rsidRDefault="00E00652" w:rsidP="00E00652">
      <w:pPr>
        <w:jc w:val="both"/>
        <w:rPr>
          <w:rFonts w:ascii="Times New Roman" w:hAnsi="Times New Roman" w:cs="Times New Roman"/>
          <w:sz w:val="26"/>
          <w:szCs w:val="26"/>
        </w:rPr>
      </w:pPr>
    </w:p>
    <w:p w14:paraId="178750E8" w14:textId="77777777" w:rsidR="00043B71" w:rsidRPr="006B03AD" w:rsidRDefault="00043B71" w:rsidP="00B972E0">
      <w:pPr>
        <w:pStyle w:val="Heading3"/>
      </w:pPr>
      <w:bookmarkStart w:id="10" w:name="_Toc451859775"/>
      <w:bookmarkStart w:id="11" w:name="_Toc451859998"/>
      <w:r w:rsidRPr="006B03AD">
        <w:t>Citu ne Eiropas Savienības valstu pieredze</w:t>
      </w:r>
      <w:bookmarkEnd w:id="10"/>
      <w:bookmarkEnd w:id="11"/>
    </w:p>
    <w:p w14:paraId="3D378150" w14:textId="77777777" w:rsidR="00AF7CE8" w:rsidRPr="006B03AD" w:rsidRDefault="00AF7CE8" w:rsidP="00AF7CE8">
      <w:pPr>
        <w:jc w:val="center"/>
        <w:rPr>
          <w:rFonts w:ascii="Times New Roman" w:hAnsi="Times New Roman" w:cs="Times New Roman"/>
          <w:sz w:val="26"/>
          <w:szCs w:val="26"/>
        </w:rPr>
      </w:pPr>
    </w:p>
    <w:p w14:paraId="1568BA46" w14:textId="77777777" w:rsidR="00AF7CE8" w:rsidRPr="006B03AD" w:rsidRDefault="00043B71" w:rsidP="00E75CE4">
      <w:pPr>
        <w:ind w:firstLine="360"/>
        <w:jc w:val="both"/>
        <w:rPr>
          <w:rFonts w:ascii="Times New Roman" w:hAnsi="Times New Roman" w:cs="Times New Roman"/>
          <w:sz w:val="26"/>
          <w:szCs w:val="26"/>
        </w:rPr>
      </w:pPr>
      <w:r w:rsidRPr="006B03AD">
        <w:rPr>
          <w:rFonts w:ascii="Times New Roman" w:hAnsi="Times New Roman" w:cs="Times New Roman"/>
          <w:sz w:val="26"/>
          <w:szCs w:val="26"/>
        </w:rPr>
        <w:t>Ievērojot apstākli, ka Eiropas Standartizācijas sistēma tiek balstīta uz starptautisk</w:t>
      </w:r>
      <w:r w:rsidR="00D47E7F">
        <w:rPr>
          <w:rFonts w:ascii="Times New Roman" w:hAnsi="Times New Roman" w:cs="Times New Roman"/>
          <w:sz w:val="26"/>
          <w:szCs w:val="26"/>
        </w:rPr>
        <w:t>i</w:t>
      </w:r>
      <w:r w:rsidRPr="006B03AD">
        <w:rPr>
          <w:rFonts w:ascii="Times New Roman" w:hAnsi="Times New Roman" w:cs="Times New Roman"/>
          <w:sz w:val="26"/>
          <w:szCs w:val="26"/>
        </w:rPr>
        <w:t xml:space="preserve"> atzītiem standartizācijas principiem, vērtējot citu valstu pieredzi</w:t>
      </w:r>
      <w:r w:rsidR="00F22C8C">
        <w:rPr>
          <w:rFonts w:ascii="Times New Roman" w:hAnsi="Times New Roman" w:cs="Times New Roman"/>
          <w:sz w:val="26"/>
          <w:szCs w:val="26"/>
        </w:rPr>
        <w:t>,</w:t>
      </w:r>
      <w:r w:rsidRPr="006B03AD">
        <w:rPr>
          <w:rFonts w:ascii="Times New Roman" w:hAnsi="Times New Roman" w:cs="Times New Roman"/>
          <w:sz w:val="26"/>
          <w:szCs w:val="26"/>
        </w:rPr>
        <w:t xml:space="preserve"> tika apskatīta Amerikas Savienoto Valstu (turpmāk - ASV) un Jaunzēlandes standartizācijas sistēmu funkcionēšana. Pēc būtības abu minēto valstu standartizācijas sistēmas ir līdzvērtīgas Eiropas Standartizācijas sistēmai. Pretēji Eiropas Savienībai, piemēram, ASV jau normatīvajos aktos un politikas dokumentos ir norādīti kritēriji atsauču uz standartiem izmantošanai. Taču kopumā, tāpat kā Eiropas Savienībā, arī ASV un Jaunzēlandes normatīvajos aktos tiek veidotas gan tiešā</w:t>
      </w:r>
      <w:r w:rsidR="00A45096">
        <w:rPr>
          <w:rFonts w:ascii="Times New Roman" w:hAnsi="Times New Roman" w:cs="Times New Roman"/>
          <w:sz w:val="26"/>
          <w:szCs w:val="26"/>
        </w:rPr>
        <w:t>s</w:t>
      </w:r>
      <w:r w:rsidRPr="006B03AD">
        <w:rPr>
          <w:rFonts w:ascii="Times New Roman" w:hAnsi="Times New Roman" w:cs="Times New Roman"/>
          <w:sz w:val="26"/>
          <w:szCs w:val="26"/>
        </w:rPr>
        <w:t>, gan arī netiešās atsauces uz standartiem. Standartiem, uz kuriem normatīvajos tiek veidotas atsauces, tiesa gan ir jābūt  pieejamiem jebkurai personai uz godīgiem un caurskatāmiem nosacījumiem saprātīgā attālumā. Taču pieejamība nebūt nenozīmē, ka jebkurai personai ir tiesības iegūt standartu eksemplārus. Jebkurā gadījumā, arī gadījumos, kad normatīvajos aktos tiek veidotas atsauces uz standartiem, standartu izstrādātājiem tiek nodrošināta autortiesību aizsardzība par to izstrādātajiem oriģināldarbiem.</w:t>
      </w:r>
      <w:r w:rsidRPr="006B03AD">
        <w:rPr>
          <w:rStyle w:val="FootnoteReference"/>
          <w:rFonts w:ascii="Times New Roman" w:hAnsi="Times New Roman" w:cs="Times New Roman"/>
          <w:sz w:val="26"/>
          <w:szCs w:val="26"/>
        </w:rPr>
        <w:footnoteReference w:id="13"/>
      </w:r>
      <w:r w:rsidRPr="006B03AD">
        <w:rPr>
          <w:rStyle w:val="FootnoteReference"/>
          <w:rFonts w:ascii="Times New Roman" w:hAnsi="Times New Roman" w:cs="Times New Roman"/>
          <w:sz w:val="26"/>
          <w:szCs w:val="26"/>
        </w:rPr>
        <w:footnoteReference w:id="14"/>
      </w:r>
    </w:p>
    <w:p w14:paraId="6DBECB98" w14:textId="77777777" w:rsidR="00E00652" w:rsidRPr="006B03AD" w:rsidRDefault="00E00652" w:rsidP="00E75CE4">
      <w:pPr>
        <w:ind w:firstLine="360"/>
        <w:jc w:val="both"/>
        <w:rPr>
          <w:rFonts w:ascii="Times New Roman" w:hAnsi="Times New Roman" w:cs="Times New Roman"/>
          <w:sz w:val="26"/>
          <w:szCs w:val="26"/>
        </w:rPr>
      </w:pPr>
    </w:p>
    <w:p w14:paraId="4B9580F3" w14:textId="77777777" w:rsidR="00A076A1" w:rsidRPr="006B03AD" w:rsidRDefault="00A076A1" w:rsidP="00B972E0">
      <w:pPr>
        <w:pStyle w:val="Heading2"/>
      </w:pPr>
      <w:bookmarkStart w:id="12" w:name="_Toc451859776"/>
      <w:bookmarkStart w:id="13" w:name="_Toc451859999"/>
      <w:r w:rsidRPr="006B03AD">
        <w:t>Risināmie problēmjautājumi</w:t>
      </w:r>
      <w:bookmarkEnd w:id="12"/>
      <w:bookmarkEnd w:id="13"/>
    </w:p>
    <w:p w14:paraId="4180D87F" w14:textId="77777777" w:rsidR="0027227A" w:rsidRPr="006B03AD" w:rsidRDefault="0027227A" w:rsidP="00E75CE4">
      <w:pPr>
        <w:pStyle w:val="ListParagraph"/>
        <w:ind w:left="360"/>
        <w:rPr>
          <w:rFonts w:ascii="Times New Roman" w:hAnsi="Times New Roman" w:cs="Times New Roman"/>
          <w:sz w:val="26"/>
          <w:szCs w:val="26"/>
        </w:rPr>
      </w:pPr>
    </w:p>
    <w:p w14:paraId="06FE6166" w14:textId="77777777" w:rsidR="00A076A1" w:rsidRPr="006B03AD" w:rsidRDefault="00A076A1" w:rsidP="00B972E0">
      <w:pPr>
        <w:pStyle w:val="Heading3"/>
      </w:pPr>
      <w:bookmarkStart w:id="14" w:name="_Toc451859777"/>
      <w:bookmarkStart w:id="15" w:name="_Toc451860000"/>
      <w:r w:rsidRPr="006B03AD">
        <w:t>Standartu loma tiesību sistēmā</w:t>
      </w:r>
      <w:bookmarkEnd w:id="14"/>
      <w:bookmarkEnd w:id="15"/>
    </w:p>
    <w:p w14:paraId="67EB30B0" w14:textId="77777777" w:rsidR="00A076A1" w:rsidRPr="006B03AD" w:rsidRDefault="00A076A1" w:rsidP="00A076A1">
      <w:pPr>
        <w:jc w:val="center"/>
        <w:rPr>
          <w:rFonts w:ascii="Times New Roman" w:hAnsi="Times New Roman" w:cs="Times New Roman"/>
          <w:sz w:val="26"/>
          <w:szCs w:val="26"/>
        </w:rPr>
      </w:pPr>
    </w:p>
    <w:p w14:paraId="690A268C" w14:textId="2B644839" w:rsidR="00375BF1"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Atbilstoši Standartizācijas Regula</w:t>
      </w:r>
      <w:r w:rsidR="0027227A" w:rsidRPr="006B03AD">
        <w:rPr>
          <w:rFonts w:ascii="Times New Roman" w:hAnsi="Times New Roman" w:cs="Times New Roman"/>
          <w:sz w:val="26"/>
          <w:szCs w:val="26"/>
        </w:rPr>
        <w:t>s</w:t>
      </w:r>
      <w:r w:rsidRPr="006B03AD">
        <w:rPr>
          <w:rFonts w:ascii="Times New Roman" w:hAnsi="Times New Roman" w:cs="Times New Roman"/>
          <w:sz w:val="26"/>
          <w:szCs w:val="26"/>
        </w:rPr>
        <w:t xml:space="preserve"> (ES) Nr.1025/2012 2.panta </w:t>
      </w:r>
      <w:r w:rsidR="00DF65E4">
        <w:rPr>
          <w:rFonts w:ascii="Times New Roman" w:hAnsi="Times New Roman" w:cs="Times New Roman"/>
          <w:sz w:val="26"/>
          <w:szCs w:val="26"/>
        </w:rPr>
        <w:t>1.</w:t>
      </w:r>
      <w:r w:rsidRPr="006B03AD">
        <w:rPr>
          <w:rFonts w:ascii="Times New Roman" w:hAnsi="Times New Roman" w:cs="Times New Roman"/>
          <w:sz w:val="26"/>
          <w:szCs w:val="26"/>
        </w:rPr>
        <w:t>punktam standarts ir tehniskā specifikācija</w:t>
      </w:r>
      <w:r w:rsidR="0027227A" w:rsidRPr="006B03AD">
        <w:rPr>
          <w:rFonts w:ascii="Times New Roman" w:hAnsi="Times New Roman" w:cs="Times New Roman"/>
          <w:sz w:val="26"/>
          <w:szCs w:val="26"/>
        </w:rPr>
        <w:t>,</w:t>
      </w:r>
      <w:r w:rsidRPr="006B03AD">
        <w:rPr>
          <w:rFonts w:ascii="Times New Roman" w:hAnsi="Times New Roman" w:cs="Times New Roman"/>
          <w:sz w:val="26"/>
          <w:szCs w:val="26"/>
        </w:rPr>
        <w:t xml:space="preserve"> ko pieņēmusi atzīta standartizācijas iestāde atkārtotai vai ilgstošai piemērošanai</w:t>
      </w:r>
      <w:r w:rsidR="00425B38">
        <w:rPr>
          <w:rFonts w:ascii="Times New Roman" w:hAnsi="Times New Roman" w:cs="Times New Roman"/>
          <w:sz w:val="26"/>
          <w:szCs w:val="26"/>
        </w:rPr>
        <w:t>,</w:t>
      </w:r>
      <w:r w:rsidRPr="006B03AD">
        <w:rPr>
          <w:rFonts w:ascii="Times New Roman" w:hAnsi="Times New Roman" w:cs="Times New Roman"/>
          <w:sz w:val="26"/>
          <w:szCs w:val="26"/>
        </w:rPr>
        <w:t xml:space="preserve"> atbilstība kuram nav obligāta. Minētā standarta definīcija pēc būtības atbilst Standartizācijas likuma 12.panta pirmajā daļā un 13.panta pirmajā daļā noteiktajiem nosacījumiem, taču Standartizācijas likuma tiesību normas nepietiekoši atspoguļo standartu </w:t>
      </w:r>
      <w:r w:rsidR="00F44B64">
        <w:rPr>
          <w:rFonts w:ascii="Times New Roman" w:hAnsi="Times New Roman" w:cs="Times New Roman"/>
          <w:sz w:val="26"/>
          <w:szCs w:val="26"/>
        </w:rPr>
        <w:t xml:space="preserve">tiesisko dabu, kā arī to vietu un lomu tiesību </w:t>
      </w:r>
      <w:r w:rsidR="00FC07C4">
        <w:rPr>
          <w:rFonts w:ascii="Times New Roman" w:hAnsi="Times New Roman" w:cs="Times New Roman"/>
          <w:sz w:val="26"/>
          <w:szCs w:val="26"/>
        </w:rPr>
        <w:t>sistēmā.</w:t>
      </w:r>
      <w:r w:rsidRPr="006B03AD">
        <w:rPr>
          <w:rFonts w:ascii="Times New Roman" w:hAnsi="Times New Roman" w:cs="Times New Roman"/>
          <w:sz w:val="26"/>
          <w:szCs w:val="26"/>
        </w:rPr>
        <w:t xml:space="preserve"> Ievērojot minēto kopsakarā ar apstākli, ka standartu izstrādes procesa organizēšanu un apstiprināšanu veic nacionālā standartizācijas institūcija, kuras funkcijas veic sabiedrība ar ierobežotu atbildību “Standartizācijas, akreditācijas un metroloģijas centrs”</w:t>
      </w:r>
      <w:r w:rsidR="009E1D87">
        <w:rPr>
          <w:rFonts w:ascii="Times New Roman" w:hAnsi="Times New Roman" w:cs="Times New Roman"/>
          <w:sz w:val="26"/>
          <w:szCs w:val="26"/>
        </w:rPr>
        <w:t xml:space="preserve"> (turpmāk – SAMC)</w:t>
      </w:r>
      <w:r w:rsidRPr="006B03AD">
        <w:rPr>
          <w:rFonts w:ascii="Times New Roman" w:hAnsi="Times New Roman" w:cs="Times New Roman"/>
          <w:sz w:val="26"/>
          <w:szCs w:val="26"/>
        </w:rPr>
        <w:t xml:space="preserve">, var rasties priekšstats, ka standartu izstrāde un apstiprināšana notiek deleģētā valsts pārvaldes uzdevuma ietvaros. </w:t>
      </w:r>
      <w:r w:rsidR="00DD6F10">
        <w:rPr>
          <w:rFonts w:ascii="Times New Roman" w:hAnsi="Times New Roman" w:cs="Times New Roman"/>
          <w:sz w:val="26"/>
          <w:szCs w:val="26"/>
        </w:rPr>
        <w:t xml:space="preserve">Tāpēc šobrīd ļoti bieži notiek nelietderīgas diskusijas par standarta dabu. Nereti standartus mēģina </w:t>
      </w:r>
      <w:r w:rsidR="00DD6F10">
        <w:rPr>
          <w:rFonts w:ascii="Times New Roman" w:hAnsi="Times New Roman" w:cs="Times New Roman"/>
          <w:sz w:val="26"/>
          <w:szCs w:val="26"/>
        </w:rPr>
        <w:lastRenderedPageBreak/>
        <w:t xml:space="preserve">pielīdzināt normatīvajiem aktiem, īpaši gadījumos, kad normatīvajos aktos uz tiem tiek veidotas tiešās atsauces, proti, šie standarti kļūst par obligāti piemērojamajiem. Rezultātā nepamatoti tiek pieņemts, ka </w:t>
      </w:r>
      <w:r w:rsidR="00872D09">
        <w:rPr>
          <w:rFonts w:ascii="Times New Roman" w:hAnsi="Times New Roman" w:cs="Times New Roman"/>
          <w:sz w:val="26"/>
          <w:szCs w:val="26"/>
        </w:rPr>
        <w:t>standartus</w:t>
      </w:r>
      <w:r w:rsidR="00375BF1">
        <w:rPr>
          <w:rFonts w:ascii="Times New Roman" w:hAnsi="Times New Roman" w:cs="Times New Roman"/>
          <w:sz w:val="26"/>
          <w:szCs w:val="26"/>
        </w:rPr>
        <w:t xml:space="preserve"> neaizsargā autortiesības un ikvienam</w:t>
      </w:r>
      <w:r w:rsidR="00872D09">
        <w:rPr>
          <w:rFonts w:ascii="Times New Roman" w:hAnsi="Times New Roman" w:cs="Times New Roman"/>
          <w:sz w:val="26"/>
          <w:szCs w:val="26"/>
        </w:rPr>
        <w:t xml:space="preserve"> ir tiesības uz</w:t>
      </w:r>
      <w:r w:rsidR="00375BF1">
        <w:rPr>
          <w:rFonts w:ascii="Times New Roman" w:hAnsi="Times New Roman" w:cs="Times New Roman"/>
          <w:sz w:val="26"/>
          <w:szCs w:val="26"/>
        </w:rPr>
        <w:t xml:space="preserve"> brī</w:t>
      </w:r>
      <w:r w:rsidR="00872D09">
        <w:rPr>
          <w:rFonts w:ascii="Times New Roman" w:hAnsi="Times New Roman" w:cs="Times New Roman"/>
          <w:sz w:val="26"/>
          <w:szCs w:val="26"/>
        </w:rPr>
        <w:t>vu un bezmaksas pieeju</w:t>
      </w:r>
      <w:r w:rsidR="00375BF1">
        <w:rPr>
          <w:rFonts w:ascii="Times New Roman" w:hAnsi="Times New Roman" w:cs="Times New Roman"/>
          <w:sz w:val="26"/>
          <w:szCs w:val="26"/>
        </w:rPr>
        <w:t xml:space="preserve"> standartiem valsts valodā. </w:t>
      </w:r>
      <w:r w:rsidR="00A76363">
        <w:rPr>
          <w:rFonts w:ascii="Times New Roman" w:hAnsi="Times New Roman" w:cs="Times New Roman"/>
          <w:sz w:val="26"/>
          <w:szCs w:val="26"/>
        </w:rPr>
        <w:t>Tāpēc</w:t>
      </w:r>
      <w:r w:rsidR="00375BF1">
        <w:rPr>
          <w:rFonts w:ascii="Times New Roman" w:hAnsi="Times New Roman" w:cs="Times New Roman"/>
          <w:sz w:val="26"/>
          <w:szCs w:val="26"/>
        </w:rPr>
        <w:t xml:space="preserve"> b</w:t>
      </w:r>
      <w:r w:rsidR="00A76363">
        <w:rPr>
          <w:rFonts w:ascii="Times New Roman" w:hAnsi="Times New Roman" w:cs="Times New Roman"/>
          <w:sz w:val="26"/>
          <w:szCs w:val="26"/>
        </w:rPr>
        <w:t xml:space="preserve">ūtu nepieciešams </w:t>
      </w:r>
      <w:r w:rsidR="00375BF1">
        <w:rPr>
          <w:rFonts w:ascii="Times New Roman" w:hAnsi="Times New Roman" w:cs="Times New Roman"/>
          <w:sz w:val="26"/>
          <w:szCs w:val="26"/>
        </w:rPr>
        <w:t>padarīt standartizācijas tiesisko regulējumu skaidru un saprotamu, tādējādi novēršot jebkādas bažas nākotnē par standartu vietu un lomu tiesību sistēmā.</w:t>
      </w:r>
    </w:p>
    <w:p w14:paraId="5701518E" w14:textId="77777777" w:rsidR="00A076A1" w:rsidRPr="006B03AD" w:rsidRDefault="00A076A1" w:rsidP="00226850">
      <w:pPr>
        <w:jc w:val="both"/>
        <w:rPr>
          <w:rFonts w:ascii="Times New Roman" w:hAnsi="Times New Roman" w:cs="Times New Roman"/>
          <w:sz w:val="26"/>
          <w:szCs w:val="26"/>
        </w:rPr>
      </w:pPr>
    </w:p>
    <w:p w14:paraId="68A2A354" w14:textId="77777777" w:rsidR="00A076A1" w:rsidRPr="006B03AD" w:rsidRDefault="00A076A1" w:rsidP="00E75CE4">
      <w:pPr>
        <w:pStyle w:val="ListParagraph"/>
        <w:numPr>
          <w:ilvl w:val="0"/>
          <w:numId w:val="3"/>
        </w:numPr>
        <w:rPr>
          <w:rFonts w:ascii="Times New Roman" w:hAnsi="Times New Roman" w:cs="Times New Roman"/>
          <w:sz w:val="26"/>
          <w:szCs w:val="26"/>
        </w:rPr>
      </w:pPr>
      <w:r w:rsidRPr="006B03AD">
        <w:rPr>
          <w:rFonts w:ascii="Times New Roman" w:hAnsi="Times New Roman" w:cs="Times New Roman"/>
          <w:sz w:val="26"/>
          <w:szCs w:val="26"/>
        </w:rPr>
        <w:t>Pārmērīga tiešo atsauču uz standartiem izmantošana normatīvajos aktos</w:t>
      </w:r>
    </w:p>
    <w:p w14:paraId="4260B930" w14:textId="77777777" w:rsidR="00A076A1" w:rsidRPr="006B03AD" w:rsidRDefault="00A076A1" w:rsidP="00A076A1">
      <w:pPr>
        <w:jc w:val="center"/>
        <w:rPr>
          <w:rFonts w:ascii="Times New Roman" w:hAnsi="Times New Roman" w:cs="Times New Roman"/>
          <w:sz w:val="26"/>
          <w:szCs w:val="26"/>
        </w:rPr>
      </w:pPr>
    </w:p>
    <w:p w14:paraId="13AD40F4" w14:textId="77777777" w:rsidR="00A076A1" w:rsidRPr="006B03AD"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Latvijas normatīvajā regulējumā galvenokārt tiek izmantotas tiešās atsauces uz standartiem, padarot standartu izmantošanu par obligātu, kas pēc būtības ir pretrunā ar standartu brīvprātīgās izmantošanas principu. </w:t>
      </w:r>
      <w:r w:rsidR="006F2E1C" w:rsidRPr="006B03AD">
        <w:rPr>
          <w:rFonts w:ascii="Times New Roman" w:hAnsi="Times New Roman" w:cs="Times New Roman"/>
          <w:sz w:val="26"/>
          <w:szCs w:val="26"/>
        </w:rPr>
        <w:t>T</w:t>
      </w:r>
      <w:r w:rsidRPr="006B03AD">
        <w:rPr>
          <w:rFonts w:ascii="Times New Roman" w:hAnsi="Times New Roman" w:cs="Times New Roman"/>
          <w:sz w:val="26"/>
          <w:szCs w:val="26"/>
        </w:rPr>
        <w:t xml:space="preserve">iešo atsauču uz standartiem izmantošana normatīvajos aktos atbilstoši starptautiski atzītai praksei un norādēm, kas regulē standartizāciju un standartu izmantošanu, ir pieļaujama kā viena no iespējām, taču šī atsauču metode ir izmantojama tikai kā izņēmuma variants, dodot priekšroku netiešajām atsaucēm. Līdzšinējā prakse un likumdevēja radītā neskaidrība, primāri lietojot </w:t>
      </w:r>
      <w:r w:rsidR="006F2E1C" w:rsidRPr="006B03AD">
        <w:rPr>
          <w:rFonts w:ascii="Times New Roman" w:hAnsi="Times New Roman" w:cs="Times New Roman"/>
          <w:sz w:val="26"/>
          <w:szCs w:val="26"/>
        </w:rPr>
        <w:t xml:space="preserve">standartus </w:t>
      </w:r>
      <w:r w:rsidRPr="006B03AD">
        <w:rPr>
          <w:rFonts w:ascii="Times New Roman" w:hAnsi="Times New Roman" w:cs="Times New Roman"/>
          <w:sz w:val="26"/>
          <w:szCs w:val="26"/>
        </w:rPr>
        <w:t>nevis kā politikas atbalsta instrumentu, bet gan kā normatīvā akta neatņemamu sastāvdaļu, rada šaubas gan sabiedrībai, gan arī uzņēmējiem par standartu brīvprātīgumu.</w:t>
      </w:r>
    </w:p>
    <w:p w14:paraId="78A1944C" w14:textId="77777777" w:rsidR="00A076A1" w:rsidRPr="006B03AD"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Tiešo atsauču uz standartiem izmantošana normatīvajos aktos rada arī nevajadzīgu apgrūtinājumu valsts pārvaldei, jo attiecīgajai nozares ministrijai ir jāseko līdzi standartu attīstības gaitai un nepieciešamības gadījumā jāveic attiecīgie grozījumu normatīvajā regulējumā, kas savukārt ir saistīts ar ievērojamu laika resursu. Apstākļos, kad standartizācijas tempi pasaulē pieaug, sekošana pēdējām izmaiņām standartos, kā arī operatīva normatīvo aktu regulējuma aktualizācija kļūst problemātiska. Rezultātā normatīvais regulējums bieži vien neatbilst attīstības tendencēm nozarē, kā arī tiek kavēta inovatīvu tehnoloģiju ieviešana. Acīmredzami, ka pašreizējā prakse standartu lietošanā normatīvajā regulējumā nevar tikt uzskatīt</w:t>
      </w:r>
      <w:r w:rsidR="00BB13D2">
        <w:rPr>
          <w:rFonts w:ascii="Times New Roman" w:hAnsi="Times New Roman" w:cs="Times New Roman"/>
          <w:sz w:val="26"/>
          <w:szCs w:val="26"/>
        </w:rPr>
        <w:t>a</w:t>
      </w:r>
      <w:r w:rsidRPr="006B03AD">
        <w:rPr>
          <w:rFonts w:ascii="Times New Roman" w:hAnsi="Times New Roman" w:cs="Times New Roman"/>
          <w:sz w:val="26"/>
          <w:szCs w:val="26"/>
        </w:rPr>
        <w:t xml:space="preserve"> par optimālu, jo nākas secināt, ka normatīvā regulējuma aktualizācija nenotiek nepieciešamajā laikā, lai saglabātu standartus kā efektīvu politikas atbalsta instrumentu.</w:t>
      </w:r>
    </w:p>
    <w:p w14:paraId="69C328A2" w14:textId="77777777" w:rsidR="00A076A1" w:rsidRPr="006B03AD" w:rsidRDefault="00A076A1" w:rsidP="00A076A1">
      <w:pPr>
        <w:jc w:val="both"/>
        <w:rPr>
          <w:rFonts w:ascii="Times New Roman" w:hAnsi="Times New Roman" w:cs="Times New Roman"/>
          <w:sz w:val="26"/>
          <w:szCs w:val="26"/>
        </w:rPr>
      </w:pPr>
    </w:p>
    <w:p w14:paraId="7EFAC6F5" w14:textId="7526202F" w:rsidR="00A076A1" w:rsidRPr="006B03AD" w:rsidRDefault="00A076A1" w:rsidP="00B972E0">
      <w:pPr>
        <w:pStyle w:val="Heading3"/>
      </w:pPr>
      <w:bookmarkStart w:id="16" w:name="_Toc451859778"/>
      <w:bookmarkStart w:id="17" w:name="_Toc451860001"/>
      <w:r w:rsidRPr="006B03AD">
        <w:t>Nacionālās standartizācijas institūcija</w:t>
      </w:r>
      <w:r w:rsidR="00362A6F" w:rsidRPr="006B03AD">
        <w:t xml:space="preserve">s statuss </w:t>
      </w:r>
      <w:r w:rsidR="0091672E">
        <w:t>un finansējums</w:t>
      </w:r>
      <w:bookmarkEnd w:id="16"/>
      <w:bookmarkEnd w:id="17"/>
    </w:p>
    <w:p w14:paraId="75AFABB9" w14:textId="77777777" w:rsidR="00A076A1" w:rsidRPr="006B03AD" w:rsidRDefault="00A076A1" w:rsidP="00A076A1">
      <w:pPr>
        <w:jc w:val="center"/>
        <w:rPr>
          <w:rFonts w:ascii="Times New Roman" w:hAnsi="Times New Roman" w:cs="Times New Roman"/>
          <w:sz w:val="26"/>
          <w:szCs w:val="26"/>
        </w:rPr>
      </w:pPr>
    </w:p>
    <w:p w14:paraId="61454F99" w14:textId="15403857" w:rsidR="00394920"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Atbilstoši Standartizācijas likuma 7.panta pirmajai daļai </w:t>
      </w:r>
      <w:r w:rsidR="004C1043">
        <w:rPr>
          <w:rFonts w:ascii="Times New Roman" w:hAnsi="Times New Roman" w:cs="Times New Roman"/>
          <w:sz w:val="26"/>
          <w:szCs w:val="26"/>
        </w:rPr>
        <w:t xml:space="preserve">par </w:t>
      </w:r>
      <w:r w:rsidRPr="006B03AD">
        <w:rPr>
          <w:rFonts w:ascii="Times New Roman" w:hAnsi="Times New Roman" w:cs="Times New Roman"/>
          <w:sz w:val="26"/>
          <w:szCs w:val="26"/>
        </w:rPr>
        <w:t>nacionāl</w:t>
      </w:r>
      <w:r w:rsidR="004C1043">
        <w:rPr>
          <w:rFonts w:ascii="Times New Roman" w:hAnsi="Times New Roman" w:cs="Times New Roman"/>
          <w:sz w:val="26"/>
          <w:szCs w:val="26"/>
        </w:rPr>
        <w:t>o</w:t>
      </w:r>
      <w:r w:rsidRPr="006B03AD">
        <w:rPr>
          <w:rFonts w:ascii="Times New Roman" w:hAnsi="Times New Roman" w:cs="Times New Roman"/>
          <w:sz w:val="26"/>
          <w:szCs w:val="26"/>
        </w:rPr>
        <w:t xml:space="preserve"> standartizācijas institūcij</w:t>
      </w:r>
      <w:r w:rsidR="00E72557">
        <w:rPr>
          <w:rFonts w:ascii="Times New Roman" w:hAnsi="Times New Roman" w:cs="Times New Roman"/>
          <w:sz w:val="26"/>
          <w:szCs w:val="26"/>
        </w:rPr>
        <w:t xml:space="preserve">u tiek atzīta </w:t>
      </w:r>
      <w:r w:rsidR="009E1D87">
        <w:rPr>
          <w:rFonts w:ascii="Times New Roman" w:hAnsi="Times New Roman" w:cs="Times New Roman"/>
          <w:sz w:val="26"/>
          <w:szCs w:val="26"/>
        </w:rPr>
        <w:t>SAMC</w:t>
      </w:r>
      <w:r w:rsidR="00E72557">
        <w:rPr>
          <w:rFonts w:ascii="Times New Roman" w:hAnsi="Times New Roman" w:cs="Times New Roman"/>
          <w:sz w:val="26"/>
          <w:szCs w:val="26"/>
        </w:rPr>
        <w:t>, kura pamatfunkcijas savukārt ir noteiktas 9.pantā</w:t>
      </w:r>
      <w:r w:rsidRPr="006B03AD">
        <w:rPr>
          <w:rFonts w:ascii="Times New Roman" w:hAnsi="Times New Roman" w:cs="Times New Roman"/>
          <w:sz w:val="26"/>
          <w:szCs w:val="26"/>
        </w:rPr>
        <w:t>. Nevērtējot standartizācijas būtību, minēt</w:t>
      </w:r>
      <w:r w:rsidR="00E72557">
        <w:rPr>
          <w:rFonts w:ascii="Times New Roman" w:hAnsi="Times New Roman" w:cs="Times New Roman"/>
          <w:sz w:val="26"/>
          <w:szCs w:val="26"/>
        </w:rPr>
        <w:t>ā</w:t>
      </w:r>
      <w:r w:rsidRPr="006B03AD">
        <w:rPr>
          <w:rFonts w:ascii="Times New Roman" w:hAnsi="Times New Roman" w:cs="Times New Roman"/>
          <w:sz w:val="26"/>
          <w:szCs w:val="26"/>
        </w:rPr>
        <w:t xml:space="preserve">s </w:t>
      </w:r>
      <w:r w:rsidR="00E72557">
        <w:rPr>
          <w:rFonts w:ascii="Times New Roman" w:hAnsi="Times New Roman" w:cs="Times New Roman"/>
          <w:sz w:val="26"/>
          <w:szCs w:val="26"/>
        </w:rPr>
        <w:t>tiesību normas</w:t>
      </w:r>
      <w:r w:rsidRPr="006B03AD">
        <w:rPr>
          <w:rFonts w:ascii="Times New Roman" w:hAnsi="Times New Roman" w:cs="Times New Roman"/>
          <w:sz w:val="26"/>
          <w:szCs w:val="26"/>
        </w:rPr>
        <w:t xml:space="preserve"> rada maldīgu priekšstatu, ka standartizācija ir valsts pārvaldes uzdevums un apstiprinātie standarti ir šīs darbības rezultāts. Turklāt minētās kapitālsabiedrības 100% kapitāla daļas pieder valstij. Tādējādi rodas iespaids, ka standartus izstrādā valsts, kas pēc būtības ir pretrunā ar starptautiski atzītiem standartizācijas principiem. Svarīgi norādīt, ka standartizācijas darbības pēc definīcijas nav uzskatāmas par komercdarbību, bet gan vairāk kvalificēj</w:t>
      </w:r>
      <w:r w:rsidR="004377F5">
        <w:rPr>
          <w:rFonts w:ascii="Times New Roman" w:hAnsi="Times New Roman" w:cs="Times New Roman"/>
          <w:sz w:val="26"/>
          <w:szCs w:val="26"/>
        </w:rPr>
        <w:t>a</w:t>
      </w:r>
      <w:r w:rsidRPr="006B03AD">
        <w:rPr>
          <w:rFonts w:ascii="Times New Roman" w:hAnsi="Times New Roman" w:cs="Times New Roman"/>
          <w:sz w:val="26"/>
          <w:szCs w:val="26"/>
        </w:rPr>
        <w:t>s kā darbība sabiedrības kopējo interešu sasniegšanai</w:t>
      </w:r>
      <w:r w:rsidR="00E72557">
        <w:rPr>
          <w:rFonts w:ascii="Times New Roman" w:hAnsi="Times New Roman" w:cs="Times New Roman"/>
          <w:sz w:val="26"/>
          <w:szCs w:val="26"/>
        </w:rPr>
        <w:t xml:space="preserve"> </w:t>
      </w:r>
      <w:r w:rsidR="00F329AE">
        <w:rPr>
          <w:rFonts w:ascii="Times New Roman" w:hAnsi="Times New Roman" w:cs="Times New Roman"/>
          <w:sz w:val="26"/>
          <w:szCs w:val="26"/>
        </w:rPr>
        <w:t xml:space="preserve">nozares </w:t>
      </w:r>
      <w:r w:rsidR="00E72557">
        <w:rPr>
          <w:rFonts w:ascii="Times New Roman" w:hAnsi="Times New Roman" w:cs="Times New Roman"/>
          <w:sz w:val="26"/>
          <w:szCs w:val="26"/>
        </w:rPr>
        <w:t>pašregulācijas ceļā</w:t>
      </w:r>
      <w:r w:rsidRPr="006B03AD">
        <w:rPr>
          <w:rFonts w:ascii="Times New Roman" w:hAnsi="Times New Roman" w:cs="Times New Roman"/>
          <w:sz w:val="26"/>
          <w:szCs w:val="26"/>
        </w:rPr>
        <w:t xml:space="preserve">, kurai primārais mērķis ir sabiedrības </w:t>
      </w:r>
      <w:r w:rsidR="00E72557">
        <w:rPr>
          <w:rFonts w:ascii="Times New Roman" w:hAnsi="Times New Roman" w:cs="Times New Roman"/>
          <w:sz w:val="26"/>
          <w:szCs w:val="26"/>
        </w:rPr>
        <w:t>interešu ievērošana, lai konsekventi sakārtotu attiecī</w:t>
      </w:r>
      <w:r w:rsidR="00F329AE">
        <w:rPr>
          <w:rFonts w:ascii="Times New Roman" w:hAnsi="Times New Roman" w:cs="Times New Roman"/>
          <w:sz w:val="26"/>
          <w:szCs w:val="26"/>
        </w:rPr>
        <w:t>go jomu</w:t>
      </w:r>
      <w:r w:rsidRPr="006B03AD">
        <w:rPr>
          <w:rFonts w:ascii="Times New Roman" w:hAnsi="Times New Roman" w:cs="Times New Roman"/>
          <w:sz w:val="26"/>
          <w:szCs w:val="26"/>
        </w:rPr>
        <w:t>, bet ne peļņas gūšana. Tāpēc nacionālās standartizācijas institūcijas juridiskais statuss – sabiedrība ar ierobežotu atbildību, nav atbilstošs šīs institūcijas veicamajiem uzdevumiem. Turklāt tas nav optimāls, lai nodrošinātu visu ieinteresēt</w:t>
      </w:r>
      <w:r w:rsidR="0027227A" w:rsidRPr="006B03AD">
        <w:rPr>
          <w:rFonts w:ascii="Times New Roman" w:hAnsi="Times New Roman" w:cs="Times New Roman"/>
          <w:sz w:val="26"/>
          <w:szCs w:val="26"/>
        </w:rPr>
        <w:t>o</w:t>
      </w:r>
      <w:r w:rsidRPr="006B03AD">
        <w:rPr>
          <w:rFonts w:ascii="Times New Roman" w:hAnsi="Times New Roman" w:cs="Times New Roman"/>
          <w:sz w:val="26"/>
          <w:szCs w:val="26"/>
        </w:rPr>
        <w:t xml:space="preserve"> pušu līdzdalību st</w:t>
      </w:r>
      <w:r w:rsidR="00E00652" w:rsidRPr="006B03AD">
        <w:rPr>
          <w:rFonts w:ascii="Times New Roman" w:hAnsi="Times New Roman" w:cs="Times New Roman"/>
          <w:sz w:val="26"/>
          <w:szCs w:val="26"/>
        </w:rPr>
        <w:t>andartizācijas procesā. E</w:t>
      </w:r>
      <w:r w:rsidRPr="006B03AD">
        <w:rPr>
          <w:rFonts w:ascii="Times New Roman" w:hAnsi="Times New Roman" w:cs="Times New Roman"/>
          <w:sz w:val="26"/>
          <w:szCs w:val="26"/>
        </w:rPr>
        <w:t xml:space="preserve">sošais juridiskais statuss ir uzskatāms arī par zināma veida </w:t>
      </w:r>
      <w:r w:rsidRPr="006B03AD">
        <w:rPr>
          <w:rFonts w:ascii="Times New Roman" w:hAnsi="Times New Roman" w:cs="Times New Roman"/>
          <w:sz w:val="26"/>
          <w:szCs w:val="26"/>
        </w:rPr>
        <w:lastRenderedPageBreak/>
        <w:t>barjeru uzņēmē</w:t>
      </w:r>
      <w:r w:rsidR="00362A6F" w:rsidRPr="006B03AD">
        <w:rPr>
          <w:rFonts w:ascii="Times New Roman" w:hAnsi="Times New Roman" w:cs="Times New Roman"/>
          <w:sz w:val="26"/>
          <w:szCs w:val="26"/>
        </w:rPr>
        <w:t>jiem</w:t>
      </w:r>
      <w:r w:rsidRPr="006B03AD">
        <w:rPr>
          <w:rFonts w:ascii="Times New Roman" w:hAnsi="Times New Roman" w:cs="Times New Roman"/>
          <w:sz w:val="26"/>
          <w:szCs w:val="26"/>
        </w:rPr>
        <w:t>, kas neveicina privāto tiesību subjektu un plašas sabiedrības iesaisti standartizācijas darbībā.</w:t>
      </w:r>
      <w:r w:rsidR="00E72557">
        <w:rPr>
          <w:rFonts w:ascii="Times New Roman" w:hAnsi="Times New Roman" w:cs="Times New Roman"/>
          <w:sz w:val="26"/>
          <w:szCs w:val="26"/>
        </w:rPr>
        <w:t xml:space="preserve"> </w:t>
      </w:r>
      <w:r w:rsidR="00F329AE">
        <w:rPr>
          <w:rFonts w:ascii="Times New Roman" w:hAnsi="Times New Roman" w:cs="Times New Roman"/>
          <w:sz w:val="26"/>
          <w:szCs w:val="26"/>
        </w:rPr>
        <w:t>Turklāt būtiski ir uzsvērt, ka valstij, lai izpildītu starptautiskās un reģionālās saistības, ir jānodrošina platforma jeb standartizācijas sistēmas uzturēšana, kas ļauj ieinteresētajām pusēm veikt nepieciešamās standartizācijas aktivitātes, taču tās uzdevums nav pašu standartizācijas darbību veikšana. Lai gan valsts, ja uzskata par nepieciešamu, var iesaistīties standartizācijas darbā kā viena no ieinteresētajām pusēm uz vienlīdzīgiem un līdzvērtīgiem nosacījumiem kā citas puses.</w:t>
      </w:r>
      <w:r w:rsidR="00394920">
        <w:rPr>
          <w:rFonts w:ascii="Times New Roman" w:hAnsi="Times New Roman" w:cs="Times New Roman"/>
          <w:sz w:val="26"/>
          <w:szCs w:val="26"/>
        </w:rPr>
        <w:t xml:space="preserve"> Tāpēc pienākumu sadalījums star</w:t>
      </w:r>
      <w:r w:rsidR="00BE64F8">
        <w:rPr>
          <w:rFonts w:ascii="Times New Roman" w:hAnsi="Times New Roman" w:cs="Times New Roman"/>
          <w:sz w:val="26"/>
          <w:szCs w:val="26"/>
        </w:rPr>
        <w:t xml:space="preserve">p publisko un privāto sektoru standartizācijas sistēmā pēc būtības ir </w:t>
      </w:r>
      <w:r w:rsidR="00563A7E">
        <w:rPr>
          <w:rFonts w:ascii="Times New Roman" w:hAnsi="Times New Roman" w:cs="Times New Roman"/>
          <w:sz w:val="26"/>
          <w:szCs w:val="26"/>
        </w:rPr>
        <w:t xml:space="preserve">iedalāms </w:t>
      </w:r>
      <w:r w:rsidR="00BE64F8">
        <w:rPr>
          <w:rFonts w:ascii="Times New Roman" w:hAnsi="Times New Roman" w:cs="Times New Roman"/>
          <w:sz w:val="26"/>
          <w:szCs w:val="26"/>
        </w:rPr>
        <w:t>šād</w:t>
      </w:r>
      <w:r w:rsidR="00563A7E">
        <w:rPr>
          <w:rFonts w:ascii="Times New Roman" w:hAnsi="Times New Roman" w:cs="Times New Roman"/>
          <w:sz w:val="26"/>
          <w:szCs w:val="26"/>
        </w:rPr>
        <w:t>o</w:t>
      </w:r>
      <w:r w:rsidR="00BE64F8">
        <w:rPr>
          <w:rFonts w:ascii="Times New Roman" w:hAnsi="Times New Roman" w:cs="Times New Roman"/>
          <w:sz w:val="26"/>
          <w:szCs w:val="26"/>
        </w:rPr>
        <w:t>s</w:t>
      </w:r>
      <w:r w:rsidR="00563A7E">
        <w:rPr>
          <w:rFonts w:ascii="Times New Roman" w:hAnsi="Times New Roman" w:cs="Times New Roman"/>
          <w:sz w:val="26"/>
          <w:szCs w:val="26"/>
        </w:rPr>
        <w:t xml:space="preserve"> blokos</w:t>
      </w:r>
      <w:r w:rsidR="00BE64F8">
        <w:rPr>
          <w:rFonts w:ascii="Times New Roman" w:hAnsi="Times New Roman" w:cs="Times New Roman"/>
          <w:sz w:val="26"/>
          <w:szCs w:val="26"/>
        </w:rPr>
        <w:t>:</w:t>
      </w:r>
    </w:p>
    <w:p w14:paraId="3B853C44" w14:textId="70BFDB2E" w:rsidR="001D276A" w:rsidRDefault="00BE64F8" w:rsidP="00226850">
      <w:pPr>
        <w:pStyle w:val="ListParagraph"/>
        <w:numPr>
          <w:ilvl w:val="0"/>
          <w:numId w:val="32"/>
        </w:numPr>
        <w:jc w:val="both"/>
        <w:rPr>
          <w:rFonts w:ascii="Times New Roman" w:hAnsi="Times New Roman" w:cs="Times New Roman"/>
          <w:sz w:val="26"/>
          <w:szCs w:val="26"/>
        </w:rPr>
      </w:pPr>
      <w:r>
        <w:rPr>
          <w:rFonts w:ascii="Times New Roman" w:hAnsi="Times New Roman" w:cs="Times New Roman"/>
          <w:sz w:val="26"/>
          <w:szCs w:val="26"/>
        </w:rPr>
        <w:t>Valsts pienākums ir nodrošināt</w:t>
      </w:r>
      <w:r w:rsidR="00941A32">
        <w:rPr>
          <w:rFonts w:ascii="Times New Roman" w:hAnsi="Times New Roman" w:cs="Times New Roman"/>
          <w:sz w:val="26"/>
          <w:szCs w:val="26"/>
        </w:rPr>
        <w:t xml:space="preserve">, ka valstī </w:t>
      </w:r>
      <w:r w:rsidR="001D276A">
        <w:rPr>
          <w:rFonts w:ascii="Times New Roman" w:hAnsi="Times New Roman" w:cs="Times New Roman"/>
          <w:sz w:val="26"/>
          <w:szCs w:val="26"/>
        </w:rPr>
        <w:t xml:space="preserve">eksistē standartizācijas sistēma un </w:t>
      </w:r>
      <w:r w:rsidR="00941A32">
        <w:rPr>
          <w:rFonts w:ascii="Times New Roman" w:hAnsi="Times New Roman" w:cs="Times New Roman"/>
          <w:sz w:val="26"/>
          <w:szCs w:val="26"/>
        </w:rPr>
        <w:t xml:space="preserve">ir </w:t>
      </w:r>
      <w:r w:rsidR="00563A7E">
        <w:rPr>
          <w:rFonts w:ascii="Times New Roman" w:hAnsi="Times New Roman" w:cs="Times New Roman"/>
          <w:sz w:val="26"/>
          <w:szCs w:val="26"/>
        </w:rPr>
        <w:t>nacionālā standartizācijas institūcija</w:t>
      </w:r>
      <w:r w:rsidR="001D276A">
        <w:rPr>
          <w:rFonts w:ascii="Times New Roman" w:hAnsi="Times New Roman" w:cs="Times New Roman"/>
          <w:sz w:val="26"/>
          <w:szCs w:val="26"/>
        </w:rPr>
        <w:t>, kas dod iespēju ieinteresētajām pusēm piedalīties standartizācijas aktivitātēs gan nacionālajā līmenī, gan Eiropas, gan arī starptautiskajā līmenī.</w:t>
      </w:r>
    </w:p>
    <w:p w14:paraId="11E79ADD" w14:textId="5BAE9EA7" w:rsidR="00394920" w:rsidRPr="00226850" w:rsidRDefault="001D276A" w:rsidP="00226850">
      <w:pPr>
        <w:pStyle w:val="ListParagraph"/>
        <w:numPr>
          <w:ilvl w:val="0"/>
          <w:numId w:val="32"/>
        </w:numPr>
        <w:jc w:val="both"/>
        <w:rPr>
          <w:rFonts w:ascii="Times New Roman" w:hAnsi="Times New Roman" w:cs="Times New Roman"/>
          <w:sz w:val="26"/>
          <w:szCs w:val="26"/>
        </w:rPr>
      </w:pPr>
      <w:r>
        <w:rPr>
          <w:rFonts w:ascii="Times New Roman" w:hAnsi="Times New Roman" w:cs="Times New Roman"/>
          <w:sz w:val="26"/>
          <w:szCs w:val="26"/>
        </w:rPr>
        <w:t>Standartizācijas darbības</w:t>
      </w:r>
      <w:r w:rsidR="00AB677F">
        <w:rPr>
          <w:rFonts w:ascii="Times New Roman" w:hAnsi="Times New Roman" w:cs="Times New Roman"/>
          <w:sz w:val="26"/>
          <w:szCs w:val="26"/>
        </w:rPr>
        <w:t>, proti, standartu izstrādi,</w:t>
      </w:r>
      <w:r>
        <w:rPr>
          <w:rFonts w:ascii="Times New Roman" w:hAnsi="Times New Roman" w:cs="Times New Roman"/>
          <w:sz w:val="26"/>
          <w:szCs w:val="26"/>
        </w:rPr>
        <w:t xml:space="preserve"> veic ieinteresētās puses privāto tiesību jomā.</w:t>
      </w:r>
      <w:r w:rsidR="00563A7E">
        <w:rPr>
          <w:rFonts w:ascii="Times New Roman" w:hAnsi="Times New Roman" w:cs="Times New Roman"/>
          <w:sz w:val="26"/>
          <w:szCs w:val="26"/>
        </w:rPr>
        <w:t xml:space="preserve"> </w:t>
      </w:r>
    </w:p>
    <w:p w14:paraId="2F3420CB" w14:textId="77777777" w:rsidR="00A076A1" w:rsidRPr="006B03AD" w:rsidRDefault="00A076A1" w:rsidP="00A076A1">
      <w:pPr>
        <w:ind w:firstLine="360"/>
        <w:jc w:val="both"/>
        <w:rPr>
          <w:rFonts w:ascii="Times New Roman" w:hAnsi="Times New Roman" w:cs="Times New Roman"/>
          <w:sz w:val="26"/>
          <w:szCs w:val="26"/>
        </w:rPr>
      </w:pPr>
    </w:p>
    <w:p w14:paraId="7DDAD300" w14:textId="77777777" w:rsidR="00A076A1"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Šobrīd nacionālās standartizācijas sistēmas darbība tiek nodrošināta no valsts dotācijām un nacionālās standartizācijas institūcijas pašu ienākumiem, galvenokārt, no standartu tirdzniecības. Uzņēmēji šobrīd nav gatavi iesaistīties standartizācijas darbā ar savu finansējumu, jo </w:t>
      </w:r>
      <w:r w:rsidR="00362A6F" w:rsidRPr="006B03AD">
        <w:rPr>
          <w:rFonts w:ascii="Times New Roman" w:hAnsi="Times New Roman" w:cs="Times New Roman"/>
          <w:sz w:val="26"/>
          <w:szCs w:val="26"/>
        </w:rPr>
        <w:t xml:space="preserve">nesaskata iespējas ietekmēt stratēģisko lēmumu pieņemšanu standartizācijas jomā. </w:t>
      </w:r>
    </w:p>
    <w:p w14:paraId="40E45E66" w14:textId="30B5024A" w:rsidR="009339BE" w:rsidRDefault="00961492" w:rsidP="00A076A1">
      <w:pPr>
        <w:ind w:firstLine="360"/>
        <w:jc w:val="both"/>
        <w:rPr>
          <w:rFonts w:ascii="Times New Roman" w:hAnsi="Times New Roman" w:cs="Times New Roman"/>
          <w:sz w:val="26"/>
          <w:szCs w:val="26"/>
        </w:rPr>
      </w:pPr>
      <w:r>
        <w:rPr>
          <w:rFonts w:ascii="Times New Roman" w:hAnsi="Times New Roman" w:cs="Times New Roman"/>
          <w:sz w:val="26"/>
          <w:szCs w:val="26"/>
        </w:rPr>
        <w:t>Valsts budžeta finansējums standartizācijas, akreditācijas un metroloģijas funkciju realizēšanai pēc krīzes periodā tika samazināts divas reizes un šobrīd tas veido tikai aptuveni pusi no 2009.gada valsts finansējuma. Tāpēc nacionālā s</w:t>
      </w:r>
      <w:r w:rsidR="007D16E4">
        <w:rPr>
          <w:rFonts w:ascii="Times New Roman" w:hAnsi="Times New Roman" w:cs="Times New Roman"/>
          <w:sz w:val="26"/>
          <w:szCs w:val="26"/>
        </w:rPr>
        <w:t>tandartizācijas institūcija savu</w:t>
      </w:r>
      <w:r>
        <w:rPr>
          <w:rFonts w:ascii="Times New Roman" w:hAnsi="Times New Roman" w:cs="Times New Roman"/>
          <w:sz w:val="26"/>
          <w:szCs w:val="26"/>
        </w:rPr>
        <w:t>s pienākumus realizē minimālā līmenī</w:t>
      </w:r>
      <w:r w:rsidR="009339BE">
        <w:rPr>
          <w:rFonts w:ascii="Times New Roman" w:hAnsi="Times New Roman" w:cs="Times New Roman"/>
          <w:sz w:val="26"/>
          <w:szCs w:val="26"/>
        </w:rPr>
        <w:t>, kas ir liedzis</w:t>
      </w:r>
      <w:r w:rsidR="007C6B1C">
        <w:rPr>
          <w:rFonts w:ascii="Times New Roman" w:hAnsi="Times New Roman" w:cs="Times New Roman"/>
          <w:sz w:val="26"/>
          <w:szCs w:val="26"/>
        </w:rPr>
        <w:t xml:space="preserve"> būtiski</w:t>
      </w:r>
      <w:r w:rsidR="009339BE">
        <w:rPr>
          <w:rFonts w:ascii="Times New Roman" w:hAnsi="Times New Roman" w:cs="Times New Roman"/>
          <w:sz w:val="26"/>
          <w:szCs w:val="26"/>
        </w:rPr>
        <w:t xml:space="preserve"> pilnveidot un attīstīt standartizācijas sistēmu. Rezultātā valstī netiek izmantotas standartu dotās iespējas un priekšrocības kopējai tautsaimniecības attīstībai, eksportspējas veicināšanai, starptautiskās tirdzniecības pieaugumam, produktu un procesu kvalitātes uzlabošanai, uzņēmumu darbības efektivitātes uzlabošanai, kā arī dažādu nozaru politiku ieviešanai.</w:t>
      </w:r>
    </w:p>
    <w:p w14:paraId="6B2B4080" w14:textId="592F9E3B" w:rsidR="009E1D87" w:rsidRDefault="009339BE" w:rsidP="00A076A1">
      <w:pPr>
        <w:ind w:firstLine="360"/>
        <w:jc w:val="both"/>
        <w:rPr>
          <w:rFonts w:ascii="Times New Roman" w:hAnsi="Times New Roman" w:cs="Times New Roman"/>
          <w:sz w:val="26"/>
          <w:szCs w:val="26"/>
        </w:rPr>
      </w:pPr>
      <w:r>
        <w:rPr>
          <w:rFonts w:ascii="Times New Roman" w:hAnsi="Times New Roman" w:cs="Times New Roman"/>
          <w:sz w:val="26"/>
          <w:szCs w:val="26"/>
        </w:rPr>
        <w:t xml:space="preserve">Šobrīd nacionālās standartizācijas institūcijas finansējums ir kritiski nepietiekošs, proti, </w:t>
      </w:r>
      <w:r w:rsidR="009E1D87">
        <w:rPr>
          <w:rFonts w:ascii="Times New Roman" w:hAnsi="Times New Roman" w:cs="Times New Roman"/>
          <w:sz w:val="26"/>
          <w:szCs w:val="26"/>
        </w:rPr>
        <w:t xml:space="preserve">kopējais valsts finansējums standartizācijas, akreditācijas un metroloģijas funkciju realizēšanai 2016.gada ir 433383 </w:t>
      </w:r>
      <w:proofErr w:type="spellStart"/>
      <w:r w:rsidR="009E1D87" w:rsidRPr="00226850">
        <w:rPr>
          <w:rFonts w:ascii="Times New Roman" w:hAnsi="Times New Roman" w:cs="Times New Roman"/>
          <w:i/>
          <w:sz w:val="26"/>
          <w:szCs w:val="26"/>
        </w:rPr>
        <w:t>euro</w:t>
      </w:r>
      <w:proofErr w:type="spellEnd"/>
      <w:r w:rsidR="009E1D87">
        <w:rPr>
          <w:rFonts w:ascii="Times New Roman" w:hAnsi="Times New Roman" w:cs="Times New Roman"/>
          <w:sz w:val="26"/>
          <w:szCs w:val="26"/>
        </w:rPr>
        <w:t xml:space="preserve">. No tiem 282083 </w:t>
      </w:r>
      <w:proofErr w:type="spellStart"/>
      <w:r w:rsidR="009E1D87" w:rsidRPr="00226850">
        <w:rPr>
          <w:rFonts w:ascii="Times New Roman" w:hAnsi="Times New Roman" w:cs="Times New Roman"/>
          <w:i/>
          <w:sz w:val="26"/>
          <w:szCs w:val="26"/>
        </w:rPr>
        <w:t>euro</w:t>
      </w:r>
      <w:proofErr w:type="spellEnd"/>
      <w:r w:rsidR="009E1D87">
        <w:rPr>
          <w:rFonts w:ascii="Times New Roman" w:hAnsi="Times New Roman" w:cs="Times New Roman"/>
          <w:sz w:val="26"/>
          <w:szCs w:val="26"/>
        </w:rPr>
        <w:t xml:space="preserve"> paredzēti standartizācijas un akreditācijas funkciju realizēšanai, kuras pilda SAMC. </w:t>
      </w:r>
      <w:r w:rsidR="00C9405E">
        <w:rPr>
          <w:rFonts w:ascii="Times New Roman" w:hAnsi="Times New Roman" w:cs="Times New Roman"/>
          <w:sz w:val="26"/>
          <w:szCs w:val="26"/>
        </w:rPr>
        <w:t xml:space="preserve">Taču no minētās summas nav iespējams atsevišķi izdalīt katras funkcijas finansējumu, jo tas </w:t>
      </w:r>
      <w:r w:rsidR="00D8527F">
        <w:rPr>
          <w:rFonts w:ascii="Times New Roman" w:hAnsi="Times New Roman" w:cs="Times New Roman"/>
          <w:sz w:val="26"/>
          <w:szCs w:val="26"/>
        </w:rPr>
        <w:t>pēc būtības ir sadalīts 3 daļās:</w:t>
      </w:r>
    </w:p>
    <w:p w14:paraId="542CFC80" w14:textId="43F0A0DE" w:rsidR="00D8527F" w:rsidRDefault="00D8527F" w:rsidP="00226850">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Standartizācijas birojam;</w:t>
      </w:r>
    </w:p>
    <w:p w14:paraId="210F70FF" w14:textId="5E250DCF" w:rsidR="00D8527F" w:rsidRDefault="00D8527F" w:rsidP="00226850">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Latvijas Nacionālajam akreditācijas birojam;</w:t>
      </w:r>
    </w:p>
    <w:p w14:paraId="0AF999BB" w14:textId="72C08FEF" w:rsidR="009E1D87" w:rsidRDefault="00D8527F" w:rsidP="00226850">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SAMC administrācijai, kas nodrošina administratīvās funkcijas gan nacionālajam standartizācijas birojam, gan arī nacionālajam akreditācijas birojam.</w:t>
      </w:r>
    </w:p>
    <w:p w14:paraId="6761AF71" w14:textId="3C4B235A" w:rsidR="00C9405E" w:rsidRPr="00226850" w:rsidRDefault="00C9405E" w:rsidP="00226850">
      <w:pPr>
        <w:jc w:val="both"/>
        <w:rPr>
          <w:rFonts w:ascii="Times New Roman" w:hAnsi="Times New Roman" w:cs="Times New Roman"/>
          <w:sz w:val="26"/>
          <w:szCs w:val="26"/>
        </w:rPr>
      </w:pPr>
      <w:r>
        <w:rPr>
          <w:rFonts w:ascii="Times New Roman" w:hAnsi="Times New Roman" w:cs="Times New Roman"/>
          <w:sz w:val="26"/>
          <w:szCs w:val="26"/>
        </w:rPr>
        <w:t>Tieši SAMC administrācijai paredzētais finansējums veido lielāko daļu, taču tā sadalīšana un attiecināšana attiecībā uz katru no funkcijām nav iespējama.</w:t>
      </w:r>
    </w:p>
    <w:p w14:paraId="4EDD9D3C" w14:textId="77777777" w:rsidR="00A076A1" w:rsidRPr="006B03AD" w:rsidRDefault="00A076A1" w:rsidP="00A076A1">
      <w:pPr>
        <w:ind w:firstLine="360"/>
        <w:jc w:val="both"/>
        <w:rPr>
          <w:rFonts w:ascii="Times New Roman" w:hAnsi="Times New Roman" w:cs="Times New Roman"/>
          <w:sz w:val="26"/>
          <w:szCs w:val="26"/>
        </w:rPr>
      </w:pPr>
    </w:p>
    <w:p w14:paraId="26E5F8EA" w14:textId="77777777" w:rsidR="00A076A1" w:rsidRPr="006B03AD" w:rsidRDefault="00A076A1" w:rsidP="00E75CE4">
      <w:pPr>
        <w:pStyle w:val="ListParagraph"/>
        <w:numPr>
          <w:ilvl w:val="0"/>
          <w:numId w:val="3"/>
        </w:numPr>
        <w:rPr>
          <w:rFonts w:ascii="Times New Roman" w:hAnsi="Times New Roman" w:cs="Times New Roman"/>
          <w:sz w:val="26"/>
          <w:szCs w:val="26"/>
        </w:rPr>
      </w:pPr>
      <w:r w:rsidRPr="006B03AD">
        <w:rPr>
          <w:rFonts w:ascii="Times New Roman" w:hAnsi="Times New Roman" w:cs="Times New Roman"/>
          <w:sz w:val="26"/>
          <w:szCs w:val="26"/>
        </w:rPr>
        <w:t>Standartu izstrāde pēc valsts pasūtījuma</w:t>
      </w:r>
    </w:p>
    <w:p w14:paraId="5F8AF4FC" w14:textId="77777777" w:rsidR="00A076A1" w:rsidRPr="006B03AD" w:rsidRDefault="00A076A1" w:rsidP="00A076A1">
      <w:pPr>
        <w:jc w:val="center"/>
        <w:rPr>
          <w:rFonts w:ascii="Times New Roman" w:hAnsi="Times New Roman" w:cs="Times New Roman"/>
          <w:sz w:val="26"/>
          <w:szCs w:val="26"/>
        </w:rPr>
      </w:pPr>
    </w:p>
    <w:p w14:paraId="3299D416" w14:textId="3139DC70" w:rsidR="00CC5B9D" w:rsidRDefault="00A076A1" w:rsidP="00CC5B9D">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Standartizācijas institūcija būtu jāuztver </w:t>
      </w:r>
      <w:r w:rsidR="0027227A" w:rsidRPr="006B03AD">
        <w:rPr>
          <w:rFonts w:ascii="Times New Roman" w:hAnsi="Times New Roman" w:cs="Times New Roman"/>
          <w:sz w:val="26"/>
          <w:szCs w:val="26"/>
        </w:rPr>
        <w:t xml:space="preserve">kā </w:t>
      </w:r>
      <w:r w:rsidRPr="006B03AD">
        <w:rPr>
          <w:rFonts w:ascii="Times New Roman" w:hAnsi="Times New Roman" w:cs="Times New Roman"/>
          <w:sz w:val="26"/>
          <w:szCs w:val="26"/>
        </w:rPr>
        <w:t>privātais kompetences centrs, kura ekspertīzi valsts noteiktos gadījumos v</w:t>
      </w:r>
      <w:r w:rsidR="00E00652" w:rsidRPr="006B03AD">
        <w:rPr>
          <w:rFonts w:ascii="Times New Roman" w:hAnsi="Times New Roman" w:cs="Times New Roman"/>
          <w:sz w:val="26"/>
          <w:szCs w:val="26"/>
        </w:rPr>
        <w:t xml:space="preserve">ar pasūtīt, jo tajā </w:t>
      </w:r>
      <w:r w:rsidRPr="006B03AD">
        <w:rPr>
          <w:rFonts w:ascii="Times New Roman" w:hAnsi="Times New Roman" w:cs="Times New Roman"/>
          <w:sz w:val="26"/>
          <w:szCs w:val="26"/>
        </w:rPr>
        <w:t xml:space="preserve">būtu jābūt pārstāvētam plašam </w:t>
      </w:r>
      <w:r w:rsidRPr="006B03AD">
        <w:rPr>
          <w:rFonts w:ascii="Times New Roman" w:hAnsi="Times New Roman" w:cs="Times New Roman"/>
          <w:sz w:val="26"/>
          <w:szCs w:val="26"/>
        </w:rPr>
        <w:lastRenderedPageBreak/>
        <w:t>sabiedrības lokam, kas aptver lielāko daļu ieinteresēto pušu. Tomēr šobrīd šād</w:t>
      </w:r>
      <w:r w:rsidR="00E00652" w:rsidRPr="006B03AD">
        <w:rPr>
          <w:rFonts w:ascii="Times New Roman" w:hAnsi="Times New Roman" w:cs="Times New Roman"/>
          <w:sz w:val="26"/>
          <w:szCs w:val="26"/>
        </w:rPr>
        <w:t xml:space="preserve">s valsts pasūtījums </w:t>
      </w:r>
      <w:r w:rsidRPr="006B03AD">
        <w:rPr>
          <w:rFonts w:ascii="Times New Roman" w:hAnsi="Times New Roman" w:cs="Times New Roman"/>
          <w:sz w:val="26"/>
          <w:szCs w:val="26"/>
        </w:rPr>
        <w:t>nav iespējams, jo spēkā esošais standartizācijas tiesiskais regulējums neparedz šādu kārtību. Līdz ar to</w:t>
      </w:r>
      <w:r w:rsidR="00A41D17">
        <w:rPr>
          <w:rFonts w:ascii="Times New Roman" w:hAnsi="Times New Roman" w:cs="Times New Roman"/>
          <w:sz w:val="26"/>
          <w:szCs w:val="26"/>
        </w:rPr>
        <w:t xml:space="preserve"> šobrīd valsts rīcībā nav instrumenta, kā izmantot nacionālo standartizācijas institūciju, lai izstrādātu nepieciešamos standartus, konkrētās nozares politikas īstenošanā.</w:t>
      </w:r>
      <w:r w:rsidRPr="006B03AD">
        <w:rPr>
          <w:rFonts w:ascii="Times New Roman" w:hAnsi="Times New Roman" w:cs="Times New Roman"/>
          <w:sz w:val="26"/>
          <w:szCs w:val="26"/>
        </w:rPr>
        <w:t xml:space="preserve"> </w:t>
      </w:r>
      <w:r w:rsidR="00A41D17">
        <w:rPr>
          <w:rFonts w:ascii="Times New Roman" w:hAnsi="Times New Roman" w:cs="Times New Roman"/>
          <w:sz w:val="26"/>
          <w:szCs w:val="26"/>
        </w:rPr>
        <w:t>Ņ</w:t>
      </w:r>
      <w:r w:rsidRPr="006B03AD">
        <w:rPr>
          <w:rFonts w:ascii="Times New Roman" w:hAnsi="Times New Roman" w:cs="Times New Roman"/>
          <w:sz w:val="26"/>
          <w:szCs w:val="26"/>
        </w:rPr>
        <w:t>emot vērā Eiropas standartizācijas praksi</w:t>
      </w:r>
      <w:r w:rsidR="00354E59">
        <w:rPr>
          <w:rFonts w:ascii="Times New Roman" w:hAnsi="Times New Roman" w:cs="Times New Roman"/>
          <w:sz w:val="26"/>
          <w:szCs w:val="26"/>
        </w:rPr>
        <w:t>,</w:t>
      </w:r>
      <w:r w:rsidRPr="006B03AD">
        <w:rPr>
          <w:rFonts w:ascii="Times New Roman" w:hAnsi="Times New Roman" w:cs="Times New Roman"/>
          <w:sz w:val="26"/>
          <w:szCs w:val="26"/>
        </w:rPr>
        <w:t xml:space="preserve"> būtu nepieciešams paredzēt valstij iespēju pieprasīt nacionālajai standartizācijas institūcijai noteiktā termiņā izstrādāt standartu</w:t>
      </w:r>
      <w:r w:rsidR="00E06E75">
        <w:rPr>
          <w:rFonts w:ascii="Times New Roman" w:hAnsi="Times New Roman" w:cs="Times New Roman"/>
          <w:sz w:val="26"/>
          <w:szCs w:val="26"/>
        </w:rPr>
        <w:t>s</w:t>
      </w:r>
      <w:r w:rsidRPr="006B03AD">
        <w:rPr>
          <w:rFonts w:ascii="Times New Roman" w:hAnsi="Times New Roman" w:cs="Times New Roman"/>
          <w:sz w:val="26"/>
          <w:szCs w:val="26"/>
        </w:rPr>
        <w:t>, kuriem jābūt tirgus virzītiem un kuriem jāaptver plašas sabiedrības intereses un valsts definētie mērķi</w:t>
      </w:r>
      <w:r w:rsidR="00362A6F" w:rsidRPr="006B03AD">
        <w:rPr>
          <w:rFonts w:ascii="Times New Roman" w:hAnsi="Times New Roman" w:cs="Times New Roman"/>
          <w:sz w:val="26"/>
          <w:szCs w:val="26"/>
        </w:rPr>
        <w:t>.</w:t>
      </w:r>
      <w:r w:rsidR="00C5375C">
        <w:rPr>
          <w:rFonts w:ascii="Times New Roman" w:hAnsi="Times New Roman" w:cs="Times New Roman"/>
          <w:sz w:val="26"/>
          <w:szCs w:val="26"/>
        </w:rPr>
        <w:t xml:space="preserve"> Tādējādi no vienas puses tiktu stimulē</w:t>
      </w:r>
      <w:r w:rsidR="00CC5B9D">
        <w:rPr>
          <w:rFonts w:ascii="Times New Roman" w:hAnsi="Times New Roman" w:cs="Times New Roman"/>
          <w:sz w:val="26"/>
          <w:szCs w:val="26"/>
        </w:rPr>
        <w:t xml:space="preserve">ta publiskā un privātā sektora sadarbība un savstarpējā uzticība, kā arī </w:t>
      </w:r>
      <w:r w:rsidR="009C0962">
        <w:rPr>
          <w:rFonts w:ascii="Times New Roman" w:hAnsi="Times New Roman" w:cs="Times New Roman"/>
          <w:sz w:val="26"/>
          <w:szCs w:val="26"/>
        </w:rPr>
        <w:t xml:space="preserve">nozarei </w:t>
      </w:r>
      <w:r w:rsidR="00CC5B9D">
        <w:rPr>
          <w:rFonts w:ascii="Times New Roman" w:hAnsi="Times New Roman" w:cs="Times New Roman"/>
          <w:sz w:val="26"/>
          <w:szCs w:val="26"/>
        </w:rPr>
        <w:t xml:space="preserve">tiktu dota iespēja pašregulēties, ievērojot aktuālo nozares attīstības līmeni, savukārt no otras puses </w:t>
      </w:r>
      <w:r w:rsidR="009C0962">
        <w:rPr>
          <w:rFonts w:ascii="Times New Roman" w:hAnsi="Times New Roman" w:cs="Times New Roman"/>
          <w:sz w:val="26"/>
          <w:szCs w:val="26"/>
        </w:rPr>
        <w:t>tiktu samazināta slodze uz valsts pārvaldi, jo valstij zustu</w:t>
      </w:r>
      <w:r w:rsidR="00CC5B9D">
        <w:rPr>
          <w:rFonts w:ascii="Times New Roman" w:hAnsi="Times New Roman" w:cs="Times New Roman"/>
          <w:sz w:val="26"/>
          <w:szCs w:val="26"/>
        </w:rPr>
        <w:t xml:space="preserve"> nepieciešamība ieguldīt apjomīgus resursus</w:t>
      </w:r>
      <w:r w:rsidR="009C0962">
        <w:rPr>
          <w:rFonts w:ascii="Times New Roman" w:hAnsi="Times New Roman" w:cs="Times New Roman"/>
          <w:sz w:val="26"/>
          <w:szCs w:val="26"/>
        </w:rPr>
        <w:t>, tajā skaitā piesaistīt tās pašas nozares tehniskos ekspertus</w:t>
      </w:r>
      <w:r w:rsidR="00CC5B9D">
        <w:rPr>
          <w:rFonts w:ascii="Times New Roman" w:hAnsi="Times New Roman" w:cs="Times New Roman"/>
          <w:sz w:val="26"/>
          <w:szCs w:val="26"/>
        </w:rPr>
        <w:t>, lai izstrādātu tehniski sarežģītu tiesisko regulējumu, kas lielā</w:t>
      </w:r>
      <w:r w:rsidR="009C0962">
        <w:rPr>
          <w:rFonts w:ascii="Times New Roman" w:hAnsi="Times New Roman" w:cs="Times New Roman"/>
          <w:sz w:val="26"/>
          <w:szCs w:val="26"/>
        </w:rPr>
        <w:t>koties ir</w:t>
      </w:r>
      <w:r w:rsidR="00CC5B9D">
        <w:rPr>
          <w:rFonts w:ascii="Times New Roman" w:hAnsi="Times New Roman" w:cs="Times New Roman"/>
          <w:sz w:val="26"/>
          <w:szCs w:val="26"/>
        </w:rPr>
        <w:t xml:space="preserve"> grūti uztverams un smagnējs</w:t>
      </w:r>
      <w:r w:rsidR="00A41D17">
        <w:rPr>
          <w:rFonts w:ascii="Times New Roman" w:hAnsi="Times New Roman" w:cs="Times New Roman"/>
          <w:sz w:val="26"/>
          <w:szCs w:val="26"/>
        </w:rPr>
        <w:t>, turklāt bieži ir pretrunā ar konkrētās nozares līdzšinējo praksi.</w:t>
      </w:r>
    </w:p>
    <w:p w14:paraId="2718787B" w14:textId="77777777" w:rsidR="00A076A1" w:rsidRPr="006B03AD" w:rsidRDefault="00A076A1" w:rsidP="00A076A1">
      <w:pPr>
        <w:jc w:val="center"/>
        <w:rPr>
          <w:rFonts w:ascii="Times New Roman" w:hAnsi="Times New Roman" w:cs="Times New Roman"/>
          <w:sz w:val="26"/>
          <w:szCs w:val="26"/>
        </w:rPr>
      </w:pPr>
    </w:p>
    <w:p w14:paraId="70D2DC53" w14:textId="77777777" w:rsidR="00A076A1" w:rsidRPr="006B03AD" w:rsidRDefault="00A076A1" w:rsidP="00B972E0">
      <w:pPr>
        <w:pStyle w:val="Heading3"/>
      </w:pPr>
      <w:bookmarkStart w:id="18" w:name="_Toc451859779"/>
      <w:bookmarkStart w:id="19" w:name="_Toc451860002"/>
      <w:r w:rsidRPr="006B03AD">
        <w:t>Standartu tulkošana un tās finansēšana</w:t>
      </w:r>
      <w:bookmarkEnd w:id="18"/>
      <w:bookmarkEnd w:id="19"/>
    </w:p>
    <w:p w14:paraId="645B4D98" w14:textId="77777777" w:rsidR="00A076A1" w:rsidRPr="006B03AD" w:rsidRDefault="00A076A1" w:rsidP="00A076A1">
      <w:pPr>
        <w:jc w:val="both"/>
        <w:rPr>
          <w:rFonts w:ascii="Times New Roman" w:hAnsi="Times New Roman" w:cs="Times New Roman"/>
          <w:sz w:val="26"/>
          <w:szCs w:val="26"/>
        </w:rPr>
      </w:pPr>
    </w:p>
    <w:p w14:paraId="1DBC9A5C" w14:textId="77777777" w:rsidR="00A076A1" w:rsidRPr="006B03AD"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Problēmjautājumi, kas saistīti ar standartu tulkošanu un tās finansēšanu</w:t>
      </w:r>
      <w:r w:rsidR="000F0C79">
        <w:rPr>
          <w:rFonts w:ascii="Times New Roman" w:hAnsi="Times New Roman" w:cs="Times New Roman"/>
          <w:sz w:val="26"/>
          <w:szCs w:val="26"/>
        </w:rPr>
        <w:t>,</w:t>
      </w:r>
      <w:r w:rsidRPr="006B03AD">
        <w:rPr>
          <w:rFonts w:ascii="Times New Roman" w:hAnsi="Times New Roman" w:cs="Times New Roman"/>
          <w:sz w:val="26"/>
          <w:szCs w:val="26"/>
        </w:rPr>
        <w:t xml:space="preserve"> pēc būtības ir iedalāmi divās grupās:</w:t>
      </w:r>
    </w:p>
    <w:p w14:paraId="677A829A" w14:textId="77777777" w:rsidR="00A076A1" w:rsidRPr="006B03AD" w:rsidRDefault="00A076A1" w:rsidP="00A076A1">
      <w:pPr>
        <w:pStyle w:val="ListParagraph"/>
        <w:numPr>
          <w:ilvl w:val="0"/>
          <w:numId w:val="8"/>
        </w:numPr>
        <w:jc w:val="both"/>
        <w:rPr>
          <w:rFonts w:ascii="Times New Roman" w:hAnsi="Times New Roman" w:cs="Times New Roman"/>
          <w:sz w:val="26"/>
          <w:szCs w:val="26"/>
        </w:rPr>
      </w:pPr>
      <w:r w:rsidRPr="006B03AD">
        <w:rPr>
          <w:rFonts w:ascii="Times New Roman" w:hAnsi="Times New Roman" w:cs="Times New Roman"/>
          <w:sz w:val="26"/>
          <w:szCs w:val="26"/>
        </w:rPr>
        <w:t>Standarti, uz kuriem normatīvajos aktos ir veidotas netiešās atsauces, proti, standarti, kuri ir brīvprātīgi;</w:t>
      </w:r>
    </w:p>
    <w:p w14:paraId="61F13D36" w14:textId="77777777" w:rsidR="00A076A1" w:rsidRPr="006B03AD" w:rsidRDefault="00A076A1" w:rsidP="00A076A1">
      <w:pPr>
        <w:pStyle w:val="ListParagraph"/>
        <w:numPr>
          <w:ilvl w:val="0"/>
          <w:numId w:val="8"/>
        </w:numPr>
        <w:jc w:val="both"/>
        <w:rPr>
          <w:rFonts w:ascii="Times New Roman" w:hAnsi="Times New Roman" w:cs="Times New Roman"/>
          <w:sz w:val="26"/>
          <w:szCs w:val="26"/>
        </w:rPr>
      </w:pPr>
      <w:r w:rsidRPr="006B03AD">
        <w:rPr>
          <w:rFonts w:ascii="Times New Roman" w:hAnsi="Times New Roman" w:cs="Times New Roman"/>
          <w:sz w:val="26"/>
          <w:szCs w:val="26"/>
        </w:rPr>
        <w:t>Standarti, uz kuriem normatīvajos aktos ir veidotas tiešās atsauces, proti, standarti, kuri ir obligāti piemērojami.</w:t>
      </w:r>
    </w:p>
    <w:p w14:paraId="7EC636B3" w14:textId="77777777" w:rsidR="00A076A1" w:rsidRPr="006B03AD"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Neskatoties uz to, ka abu iepriekš minēto grupu standarti ir izstrādāti pēc vienotiem pamatprincipiem</w:t>
      </w:r>
      <w:r w:rsidR="000F0C79">
        <w:rPr>
          <w:rFonts w:ascii="Times New Roman" w:hAnsi="Times New Roman" w:cs="Times New Roman"/>
          <w:sz w:val="26"/>
          <w:szCs w:val="26"/>
        </w:rPr>
        <w:t>,</w:t>
      </w:r>
      <w:r w:rsidRPr="006B03AD">
        <w:rPr>
          <w:rFonts w:ascii="Times New Roman" w:hAnsi="Times New Roman" w:cs="Times New Roman"/>
          <w:sz w:val="26"/>
          <w:szCs w:val="26"/>
        </w:rPr>
        <w:t xml:space="preserve"> attiecībā uz tulkošanas jautājumiem ir piemērojamas dažādas sistēmas.</w:t>
      </w:r>
    </w:p>
    <w:p w14:paraId="152D7B6C" w14:textId="5DCA7734" w:rsidR="00A076A1" w:rsidRPr="006B03AD"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 xml:space="preserve">Attiecībā uz piemērojamo standartu grupu šī brīža tiesiskais regulējums neregulē tulkošanas kārtību, kas faktiski nozīmē, ka šie standarti netiek tulkoti vai arī tiek tulkoti ļoti nelielā skaitā pēc standartizācijas darbā iesaistīto personu iniciatīvas. Šādu pieeju nevar nosaukt par veiksmīgu, jo valstī ir tādas tautsaimniecības nozares, kur kaut gan standartu izmantošana ir brīvprātīga, tie tiek ļoti plaši izmantoti un sabiedrības interešu nodrošināšanai būtu vēlams šos standartus iztulkot. Tāpēc fakts, ka tiesiskajā regulējumā ir robs attiecībā uz piemērojamo standartu tulkošanas kārtību, negatīvi iespaido gan tautsaimniecības attīstību, gan arī standartu piemērošanu. </w:t>
      </w:r>
    </w:p>
    <w:p w14:paraId="0CE4A498" w14:textId="3B4BF024" w:rsidR="00A076A1"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Savukārt obligātu piemērojamu standartu gadījumā Standartizācijas likuma 14.panta otrā un trešā da</w:t>
      </w:r>
      <w:r w:rsidR="00296040">
        <w:rPr>
          <w:rFonts w:ascii="Times New Roman" w:hAnsi="Times New Roman" w:cs="Times New Roman"/>
          <w:sz w:val="26"/>
          <w:szCs w:val="26"/>
        </w:rPr>
        <w:t>ļ</w:t>
      </w:r>
      <w:r w:rsidRPr="006B03AD">
        <w:rPr>
          <w:rFonts w:ascii="Times New Roman" w:hAnsi="Times New Roman" w:cs="Times New Roman"/>
          <w:sz w:val="26"/>
          <w:szCs w:val="26"/>
        </w:rPr>
        <w:t>a nosaka, ka tiem ir jābūt tulkotiem valsts valodā un ar tulkošanu saistītās izmaksas sedz no attiecīgās ministrijas budžeta līdzekļiem. Kaut gan pretstatā brīvprātīgi piemērojamajiem standartiem, attiecībā uz šiem likumdevējs ir nepārprotami norādījis nepieciešamību tos tulkot, spēkā esošais regulējums neprecizē tulkošanas organizēšanas kārtību. Tas faktiski ir novedis pie tā, ka nepieciešamos standartu tulkošanas darbus veic pakalpojumu sniedzējs, kuru publiskā iepirkuma rezultātā ir izvēlējusies attiecīgā ministrija. Līdzšinējā</w:t>
      </w:r>
      <w:r w:rsidR="00F26468">
        <w:rPr>
          <w:rFonts w:ascii="Times New Roman" w:hAnsi="Times New Roman" w:cs="Times New Roman"/>
          <w:sz w:val="26"/>
          <w:szCs w:val="26"/>
        </w:rPr>
        <w:t>s</w:t>
      </w:r>
      <w:r w:rsidRPr="006B03AD">
        <w:rPr>
          <w:rFonts w:ascii="Times New Roman" w:hAnsi="Times New Roman" w:cs="Times New Roman"/>
          <w:sz w:val="26"/>
          <w:szCs w:val="26"/>
        </w:rPr>
        <w:t xml:space="preserve"> standartu tulkošanas kārtības rezultātā parasti tiek izvēlēts pakalpojumu sniedzējs, kurš piedāvājis zemāko cenu, līdz ar to rezultātā tiek iegūts tehnisks standarta tulkojums, neņemot vērā standartu specifiku. Tas noved pie gadījumiem, kad formāli iztulkots teksts neatbilst šī standarta oriģinālvalodas teksta būtībai, līdz ar to radot situāciju, ka attiecīgie standarti tiek nepareizi pielietoti. Vienlaikus līdzšinējā prakse pēc būtības neņem vērā apstākli, ka </w:t>
      </w:r>
      <w:r w:rsidRPr="006B03AD">
        <w:rPr>
          <w:rFonts w:ascii="Times New Roman" w:hAnsi="Times New Roman" w:cs="Times New Roman"/>
          <w:sz w:val="26"/>
          <w:szCs w:val="26"/>
        </w:rPr>
        <w:lastRenderedPageBreak/>
        <w:t>standarti ir autortiesību objekti, kuru autortiesības pieder attiecīgajām standartizācijas institūcijām, līdz ar to standartu tulkošana</w:t>
      </w:r>
      <w:r w:rsidR="007A0A51">
        <w:rPr>
          <w:rFonts w:ascii="Times New Roman" w:hAnsi="Times New Roman" w:cs="Times New Roman"/>
          <w:sz w:val="26"/>
          <w:szCs w:val="26"/>
        </w:rPr>
        <w:t>s</w:t>
      </w:r>
      <w:r w:rsidRPr="006B03AD">
        <w:rPr>
          <w:rFonts w:ascii="Times New Roman" w:hAnsi="Times New Roman" w:cs="Times New Roman"/>
          <w:sz w:val="26"/>
          <w:szCs w:val="26"/>
        </w:rPr>
        <w:t xml:space="preserve"> tiesības pieder tikai pašam attiecīgā standarta autoram, kurš tās var nodot trešajā</w:t>
      </w:r>
      <w:r w:rsidR="007A0A51">
        <w:rPr>
          <w:rFonts w:ascii="Times New Roman" w:hAnsi="Times New Roman" w:cs="Times New Roman"/>
          <w:sz w:val="26"/>
          <w:szCs w:val="26"/>
        </w:rPr>
        <w:t>m</w:t>
      </w:r>
      <w:r w:rsidRPr="006B03AD">
        <w:rPr>
          <w:rFonts w:ascii="Times New Roman" w:hAnsi="Times New Roman" w:cs="Times New Roman"/>
          <w:sz w:val="26"/>
          <w:szCs w:val="26"/>
        </w:rPr>
        <w:t xml:space="preserve"> personām.</w:t>
      </w:r>
    </w:p>
    <w:p w14:paraId="0DC247C4" w14:textId="6B485E48" w:rsidR="00D044A3" w:rsidRDefault="001F2DFE" w:rsidP="00226850">
      <w:pPr>
        <w:ind w:firstLine="360"/>
        <w:jc w:val="both"/>
        <w:rPr>
          <w:rFonts w:ascii="Times New Roman" w:hAnsi="Times New Roman" w:cs="Times New Roman"/>
          <w:sz w:val="26"/>
          <w:szCs w:val="26"/>
        </w:rPr>
      </w:pPr>
      <w:r>
        <w:rPr>
          <w:rFonts w:ascii="Times New Roman" w:hAnsi="Times New Roman" w:cs="Times New Roman"/>
          <w:sz w:val="26"/>
          <w:szCs w:val="26"/>
        </w:rPr>
        <w:t>Neskatoties uz to, ka spēkā esošais tiesiskais regulējums nosaka obligātu nosacījumu, ka obligāti piemērojamajiem standartiem ir jābūt tulkotiem valsts valodā, praksē aizvi</w:t>
      </w:r>
      <w:r w:rsidR="00B963F6">
        <w:rPr>
          <w:rFonts w:ascii="Times New Roman" w:hAnsi="Times New Roman" w:cs="Times New Roman"/>
          <w:sz w:val="26"/>
          <w:szCs w:val="26"/>
        </w:rPr>
        <w:t>en ir pietiekoši liels skaits</w:t>
      </w:r>
      <w:r>
        <w:rPr>
          <w:rFonts w:ascii="Times New Roman" w:hAnsi="Times New Roman" w:cs="Times New Roman"/>
          <w:sz w:val="26"/>
          <w:szCs w:val="26"/>
        </w:rPr>
        <w:t xml:space="preserve"> obligāti piemērojam</w:t>
      </w:r>
      <w:r w:rsidR="00B963F6">
        <w:rPr>
          <w:rFonts w:ascii="Times New Roman" w:hAnsi="Times New Roman" w:cs="Times New Roman"/>
          <w:sz w:val="26"/>
          <w:szCs w:val="26"/>
        </w:rPr>
        <w:t>o</w:t>
      </w:r>
      <w:r>
        <w:rPr>
          <w:rFonts w:ascii="Times New Roman" w:hAnsi="Times New Roman" w:cs="Times New Roman"/>
          <w:sz w:val="26"/>
          <w:szCs w:val="26"/>
        </w:rPr>
        <w:t xml:space="preserve"> standart</w:t>
      </w:r>
      <w:r w:rsidR="00B963F6">
        <w:rPr>
          <w:rFonts w:ascii="Times New Roman" w:hAnsi="Times New Roman" w:cs="Times New Roman"/>
          <w:sz w:val="26"/>
          <w:szCs w:val="26"/>
        </w:rPr>
        <w:t>u</w:t>
      </w:r>
      <w:r>
        <w:rPr>
          <w:rFonts w:ascii="Times New Roman" w:hAnsi="Times New Roman" w:cs="Times New Roman"/>
          <w:sz w:val="26"/>
          <w:szCs w:val="26"/>
        </w:rPr>
        <w:t>, kas nav tulkoti valsts valodā. Tādējādi veiktā analīze ļauj izdarīt pieņēmumu ar augstu ticamības pakāpi, ka esošā sistēma nefunkcionē pilnvērtīgi</w:t>
      </w:r>
      <w:r w:rsidR="00F17936">
        <w:rPr>
          <w:rFonts w:ascii="Times New Roman" w:hAnsi="Times New Roman" w:cs="Times New Roman"/>
          <w:sz w:val="26"/>
          <w:szCs w:val="26"/>
        </w:rPr>
        <w:t xml:space="preserve">. Lielā mērā tas ir saistīts </w:t>
      </w:r>
      <w:r w:rsidR="00B963F6">
        <w:rPr>
          <w:rFonts w:ascii="Times New Roman" w:hAnsi="Times New Roman" w:cs="Times New Roman"/>
          <w:sz w:val="26"/>
          <w:szCs w:val="26"/>
        </w:rPr>
        <w:t>gan ar finansējuma trūkumu standartu tulkošanai, gan arī ar ministriju novēlotu standartu tulkošanas plānošanu, kuras rezultātā standarti netiek iztulkoti līdz uz tiem tiek veidotas atsauces normatī</w:t>
      </w:r>
      <w:r w:rsidR="0033693A">
        <w:rPr>
          <w:rFonts w:ascii="Times New Roman" w:hAnsi="Times New Roman" w:cs="Times New Roman"/>
          <w:sz w:val="26"/>
          <w:szCs w:val="26"/>
        </w:rPr>
        <w:t>vajos aktos, kā arī ar faktu, ka normatīvajos aktos tiek izmantotas nepamatoti daudz tiešās atsauces uz standartiem, padarot tos par obligāti piemērojamiem.</w:t>
      </w:r>
    </w:p>
    <w:p w14:paraId="53B38790" w14:textId="17A18BCA" w:rsidR="00D044A3" w:rsidRDefault="00D044A3" w:rsidP="00785A08">
      <w:pPr>
        <w:ind w:firstLine="360"/>
        <w:jc w:val="both"/>
        <w:rPr>
          <w:rFonts w:ascii="Times New Roman" w:hAnsi="Times New Roman" w:cs="Times New Roman"/>
          <w:sz w:val="26"/>
          <w:szCs w:val="26"/>
        </w:rPr>
      </w:pPr>
      <w:r>
        <w:rPr>
          <w:rFonts w:ascii="Times New Roman" w:hAnsi="Times New Roman" w:cs="Times New Roman"/>
          <w:sz w:val="26"/>
          <w:szCs w:val="26"/>
        </w:rPr>
        <w:t>Vienlaikus</w:t>
      </w:r>
      <w:r w:rsidR="0041472C">
        <w:rPr>
          <w:rFonts w:ascii="Times New Roman" w:hAnsi="Times New Roman" w:cs="Times New Roman"/>
          <w:sz w:val="26"/>
          <w:szCs w:val="26"/>
        </w:rPr>
        <w:t>,</w:t>
      </w:r>
      <w:r>
        <w:rPr>
          <w:rFonts w:ascii="Times New Roman" w:hAnsi="Times New Roman" w:cs="Times New Roman"/>
          <w:sz w:val="26"/>
          <w:szCs w:val="26"/>
        </w:rPr>
        <w:t xml:space="preserve"> apzinot </w:t>
      </w:r>
      <w:r w:rsidR="0041472C">
        <w:rPr>
          <w:rFonts w:ascii="Times New Roman" w:hAnsi="Times New Roman" w:cs="Times New Roman"/>
          <w:sz w:val="26"/>
          <w:szCs w:val="26"/>
        </w:rPr>
        <w:t xml:space="preserve">pastāvošās problēmas </w:t>
      </w:r>
      <w:r w:rsidR="00B24ECE">
        <w:rPr>
          <w:rFonts w:ascii="Times New Roman" w:hAnsi="Times New Roman" w:cs="Times New Roman"/>
          <w:sz w:val="26"/>
          <w:szCs w:val="26"/>
        </w:rPr>
        <w:t xml:space="preserve">un vērtējot iespējamos risinājumus </w:t>
      </w:r>
      <w:r w:rsidR="00785A08">
        <w:rPr>
          <w:rFonts w:ascii="Times New Roman" w:hAnsi="Times New Roman" w:cs="Times New Roman"/>
          <w:sz w:val="26"/>
          <w:szCs w:val="26"/>
        </w:rPr>
        <w:t>saistībā ar standar</w:t>
      </w:r>
      <w:r w:rsidR="00A76363">
        <w:rPr>
          <w:rFonts w:ascii="Times New Roman" w:hAnsi="Times New Roman" w:cs="Times New Roman"/>
          <w:sz w:val="26"/>
          <w:szCs w:val="26"/>
        </w:rPr>
        <w:t>tu tulkošanas izmaksu jautājumu</w:t>
      </w:r>
      <w:r w:rsidR="00785A08">
        <w:rPr>
          <w:rFonts w:ascii="Times New Roman" w:hAnsi="Times New Roman" w:cs="Times New Roman"/>
          <w:sz w:val="26"/>
          <w:szCs w:val="26"/>
        </w:rPr>
        <w:t xml:space="preserve">, tika </w:t>
      </w:r>
      <w:r w:rsidR="0041472C">
        <w:rPr>
          <w:rFonts w:ascii="Times New Roman" w:hAnsi="Times New Roman" w:cs="Times New Roman"/>
          <w:sz w:val="26"/>
          <w:szCs w:val="26"/>
        </w:rPr>
        <w:t xml:space="preserve">izvērtēta iespēja standartu tulkošanas izmaksas </w:t>
      </w:r>
      <w:r w:rsidR="006A6345">
        <w:rPr>
          <w:rFonts w:ascii="Times New Roman" w:hAnsi="Times New Roman" w:cs="Times New Roman"/>
          <w:sz w:val="26"/>
          <w:szCs w:val="26"/>
        </w:rPr>
        <w:t xml:space="preserve">iekļaut </w:t>
      </w:r>
      <w:r w:rsidR="0041472C">
        <w:rPr>
          <w:rFonts w:ascii="Times New Roman" w:hAnsi="Times New Roman" w:cs="Times New Roman"/>
          <w:sz w:val="26"/>
          <w:szCs w:val="26"/>
        </w:rPr>
        <w:t xml:space="preserve">standartu cenā. Taču izvērtējuma rezultātā secināts, ka </w:t>
      </w:r>
      <w:r w:rsidR="00630074">
        <w:rPr>
          <w:rFonts w:ascii="Times New Roman" w:hAnsi="Times New Roman" w:cs="Times New Roman"/>
          <w:sz w:val="26"/>
          <w:szCs w:val="26"/>
        </w:rPr>
        <w:t xml:space="preserve">arī </w:t>
      </w:r>
      <w:r w:rsidR="0041472C">
        <w:rPr>
          <w:rFonts w:ascii="Times New Roman" w:hAnsi="Times New Roman" w:cs="Times New Roman"/>
          <w:sz w:val="26"/>
          <w:szCs w:val="26"/>
        </w:rPr>
        <w:t>šāda iespēja nav īstenojama</w:t>
      </w:r>
      <w:r w:rsidR="00785A08">
        <w:rPr>
          <w:rFonts w:ascii="Times New Roman" w:hAnsi="Times New Roman" w:cs="Times New Roman"/>
          <w:sz w:val="26"/>
          <w:szCs w:val="26"/>
        </w:rPr>
        <w:t>, jo taj</w:t>
      </w:r>
      <w:r w:rsidR="00B93F9E">
        <w:rPr>
          <w:rFonts w:ascii="Times New Roman" w:hAnsi="Times New Roman" w:cs="Times New Roman"/>
          <w:sz w:val="26"/>
          <w:szCs w:val="26"/>
        </w:rPr>
        <w:t>ā ir saskatāmi šādi</w:t>
      </w:r>
      <w:r w:rsidR="00785A08">
        <w:rPr>
          <w:rFonts w:ascii="Times New Roman" w:hAnsi="Times New Roman" w:cs="Times New Roman"/>
          <w:sz w:val="26"/>
          <w:szCs w:val="26"/>
        </w:rPr>
        <w:t xml:space="preserve"> būtiski šķērš</w:t>
      </w:r>
      <w:r w:rsidR="00D238F6">
        <w:rPr>
          <w:rFonts w:ascii="Times New Roman" w:hAnsi="Times New Roman" w:cs="Times New Roman"/>
          <w:sz w:val="26"/>
          <w:szCs w:val="26"/>
        </w:rPr>
        <w:t>ļ</w:t>
      </w:r>
      <w:r w:rsidR="00785A08">
        <w:rPr>
          <w:rFonts w:ascii="Times New Roman" w:hAnsi="Times New Roman" w:cs="Times New Roman"/>
          <w:sz w:val="26"/>
          <w:szCs w:val="26"/>
        </w:rPr>
        <w:t>i:</w:t>
      </w:r>
    </w:p>
    <w:p w14:paraId="41F5D894" w14:textId="7AF30960" w:rsidR="00B7267C" w:rsidRPr="00226850" w:rsidRDefault="00785A08" w:rsidP="00226850">
      <w:pPr>
        <w:pStyle w:val="ListParagraph"/>
        <w:numPr>
          <w:ilvl w:val="0"/>
          <w:numId w:val="24"/>
        </w:numPr>
        <w:jc w:val="both"/>
        <w:rPr>
          <w:rFonts w:ascii="Times New Roman" w:hAnsi="Times New Roman" w:cs="Times New Roman"/>
          <w:sz w:val="26"/>
          <w:szCs w:val="26"/>
        </w:rPr>
      </w:pPr>
      <w:r w:rsidRPr="000D69DF">
        <w:rPr>
          <w:rFonts w:ascii="Times New Roman" w:hAnsi="Times New Roman" w:cs="Times New Roman"/>
          <w:sz w:val="26"/>
          <w:szCs w:val="26"/>
        </w:rPr>
        <w:t>Kā jau minēts</w:t>
      </w:r>
      <w:r w:rsidR="00636A4A" w:rsidRPr="000D69DF">
        <w:rPr>
          <w:rFonts w:ascii="Times New Roman" w:hAnsi="Times New Roman" w:cs="Times New Roman"/>
          <w:sz w:val="26"/>
          <w:szCs w:val="26"/>
        </w:rPr>
        <w:t xml:space="preserve"> iepriekš</w:t>
      </w:r>
      <w:r w:rsidRPr="000D69DF">
        <w:rPr>
          <w:rFonts w:ascii="Times New Roman" w:hAnsi="Times New Roman" w:cs="Times New Roman"/>
          <w:sz w:val="26"/>
          <w:szCs w:val="26"/>
        </w:rPr>
        <w:t>, tad standarti ir autortiesību objekts un to autoram šajā gadījumā attiecīgajām standartizācijas in</w:t>
      </w:r>
      <w:r w:rsidRPr="00BB086B">
        <w:rPr>
          <w:rFonts w:ascii="Times New Roman" w:hAnsi="Times New Roman" w:cs="Times New Roman"/>
          <w:sz w:val="26"/>
          <w:szCs w:val="26"/>
        </w:rPr>
        <w:t xml:space="preserve">stitūcijām </w:t>
      </w:r>
      <w:r w:rsidR="00D238F6">
        <w:rPr>
          <w:rFonts w:ascii="Times New Roman" w:hAnsi="Times New Roman" w:cs="Times New Roman"/>
          <w:sz w:val="26"/>
          <w:szCs w:val="26"/>
        </w:rPr>
        <w:t>ir ekskluzīvas tiesības noteikt</w:t>
      </w:r>
      <w:r w:rsidRPr="00BB086B">
        <w:rPr>
          <w:rFonts w:ascii="Times New Roman" w:hAnsi="Times New Roman" w:cs="Times New Roman"/>
          <w:sz w:val="26"/>
          <w:szCs w:val="26"/>
        </w:rPr>
        <w:t xml:space="preserve"> cenu par sava darba reproducēšanu, izplat</w:t>
      </w:r>
      <w:r w:rsidRPr="00F9299E">
        <w:rPr>
          <w:rFonts w:ascii="Times New Roman" w:hAnsi="Times New Roman" w:cs="Times New Roman"/>
          <w:sz w:val="26"/>
          <w:szCs w:val="26"/>
        </w:rPr>
        <w:t xml:space="preserve">īšanu, kā arī </w:t>
      </w:r>
      <w:r w:rsidR="00636A4A" w:rsidRPr="00F9299E">
        <w:rPr>
          <w:rFonts w:ascii="Times New Roman" w:hAnsi="Times New Roman" w:cs="Times New Roman"/>
          <w:sz w:val="26"/>
          <w:szCs w:val="26"/>
        </w:rPr>
        <w:t xml:space="preserve">veikt attiecīgā darba </w:t>
      </w:r>
      <w:r w:rsidRPr="00F9299E">
        <w:rPr>
          <w:rFonts w:ascii="Times New Roman" w:hAnsi="Times New Roman" w:cs="Times New Roman"/>
          <w:sz w:val="26"/>
          <w:szCs w:val="26"/>
        </w:rPr>
        <w:t xml:space="preserve">tulkošanu. </w:t>
      </w:r>
      <w:r w:rsidR="00B7267C" w:rsidRPr="000D69DF">
        <w:rPr>
          <w:rFonts w:ascii="Times New Roman" w:hAnsi="Times New Roman" w:cs="Times New Roman"/>
          <w:sz w:val="26"/>
          <w:szCs w:val="26"/>
        </w:rPr>
        <w:t xml:space="preserve">Valstij nebūtu jāiejaucas standartu cenu noteikšanas politikā. </w:t>
      </w:r>
      <w:r w:rsidRPr="000D69DF">
        <w:rPr>
          <w:rFonts w:ascii="Times New Roman" w:hAnsi="Times New Roman" w:cs="Times New Roman"/>
          <w:sz w:val="26"/>
          <w:szCs w:val="26"/>
        </w:rPr>
        <w:t>Tāpēc</w:t>
      </w:r>
      <w:r w:rsidR="00B7267C" w:rsidRPr="000D69DF">
        <w:rPr>
          <w:rFonts w:ascii="Times New Roman" w:hAnsi="Times New Roman" w:cs="Times New Roman"/>
          <w:sz w:val="26"/>
          <w:szCs w:val="26"/>
        </w:rPr>
        <w:t>,</w:t>
      </w:r>
      <w:r w:rsidRPr="000D69DF">
        <w:rPr>
          <w:rFonts w:ascii="Times New Roman" w:hAnsi="Times New Roman" w:cs="Times New Roman"/>
          <w:sz w:val="26"/>
          <w:szCs w:val="26"/>
        </w:rPr>
        <w:t xml:space="preserve"> skatoties no standartizācijas institūciju interešu prizmas, tad tās nosaka standartu cenu, kas nav balstīta valodās</w:t>
      </w:r>
      <w:r w:rsidR="00636A4A" w:rsidRPr="000D69DF">
        <w:rPr>
          <w:rFonts w:ascii="Times New Roman" w:hAnsi="Times New Roman" w:cs="Times New Roman"/>
          <w:sz w:val="26"/>
          <w:szCs w:val="26"/>
        </w:rPr>
        <w:t xml:space="preserve">, bet gan ir vairāk atkarīga no sabiedrības pirktspējas un kaimiņvalstu standartizācijas institūciju piedāvājumiem, jo jebkura persona ir tiesīga iegādāties standartus jebkuras citas valsts nacionālajā standartizācijas institūcijā. Turklāt </w:t>
      </w:r>
      <w:r w:rsidR="003E7EC1">
        <w:rPr>
          <w:rFonts w:ascii="Times New Roman" w:hAnsi="Times New Roman" w:cs="Times New Roman"/>
          <w:sz w:val="26"/>
          <w:szCs w:val="26"/>
        </w:rPr>
        <w:t xml:space="preserve">pastāv risks, ka iztulkoto </w:t>
      </w:r>
      <w:r w:rsidR="00636A4A" w:rsidRPr="000D69DF">
        <w:rPr>
          <w:rFonts w:ascii="Times New Roman" w:hAnsi="Times New Roman" w:cs="Times New Roman"/>
          <w:sz w:val="26"/>
          <w:szCs w:val="26"/>
        </w:rPr>
        <w:t xml:space="preserve">standartu teksts var atšķirties no standartu oriģinālvalodas teksta, līdz ar to potenciāli nākotnē var rasties situācija, ka standarts tiek nekorekti pielietots praksē. Standartu tulkošanas prasība pēc būtības ir </w:t>
      </w:r>
      <w:r w:rsidR="000D69DF" w:rsidRPr="000D69DF">
        <w:rPr>
          <w:rFonts w:ascii="Times New Roman" w:hAnsi="Times New Roman" w:cs="Times New Roman"/>
          <w:sz w:val="26"/>
          <w:szCs w:val="26"/>
        </w:rPr>
        <w:t xml:space="preserve">aktuāla tikai tāpēc, ka valsts pārvaldes institūcijas, izstrādājot nozaru politikas, izmantojot tiešās atsauces uz standartiem, padara tos par obligāti saistošiem. Tāpēc valsts pārvaldei, ja tā vēlas </w:t>
      </w:r>
      <w:r w:rsidR="00B93F9E" w:rsidRPr="00226850">
        <w:rPr>
          <w:rFonts w:ascii="Times New Roman" w:hAnsi="Times New Roman" w:cs="Times New Roman"/>
          <w:sz w:val="26"/>
          <w:szCs w:val="26"/>
        </w:rPr>
        <w:t>izmanto</w:t>
      </w:r>
      <w:r w:rsidR="000D69DF" w:rsidRPr="000D69DF">
        <w:rPr>
          <w:rFonts w:ascii="Times New Roman" w:hAnsi="Times New Roman" w:cs="Times New Roman"/>
          <w:sz w:val="26"/>
          <w:szCs w:val="26"/>
        </w:rPr>
        <w:t>t</w:t>
      </w:r>
      <w:r w:rsidR="00B93F9E" w:rsidRPr="00226850">
        <w:rPr>
          <w:rFonts w:ascii="Times New Roman" w:hAnsi="Times New Roman" w:cs="Times New Roman"/>
          <w:sz w:val="26"/>
          <w:szCs w:val="26"/>
        </w:rPr>
        <w:t xml:space="preserve"> privātās ekspertīzes rezultātā radītos produktus, lai sasniegtu savus mērķus, vienlaikus samazinot valsts resursu ieguldījumu regulējuma izstrādē</w:t>
      </w:r>
      <w:r w:rsidR="000D69DF">
        <w:rPr>
          <w:rFonts w:ascii="Times New Roman" w:hAnsi="Times New Roman" w:cs="Times New Roman"/>
          <w:sz w:val="26"/>
          <w:szCs w:val="26"/>
        </w:rPr>
        <w:t>, ir pienākums nodrošināt standartu tulkošanu.</w:t>
      </w:r>
    </w:p>
    <w:p w14:paraId="6579806B" w14:textId="038679AA" w:rsidR="00D25331" w:rsidRDefault="000D69DF" w:rsidP="00226850">
      <w:pPr>
        <w:pStyle w:val="ListParagraph"/>
        <w:numPr>
          <w:ilvl w:val="0"/>
          <w:numId w:val="24"/>
        </w:numPr>
        <w:jc w:val="both"/>
        <w:rPr>
          <w:rFonts w:ascii="Times New Roman" w:hAnsi="Times New Roman" w:cs="Times New Roman"/>
          <w:sz w:val="26"/>
          <w:szCs w:val="26"/>
        </w:rPr>
      </w:pPr>
      <w:r>
        <w:rPr>
          <w:rFonts w:ascii="Times New Roman" w:hAnsi="Times New Roman" w:cs="Times New Roman"/>
          <w:sz w:val="26"/>
          <w:szCs w:val="26"/>
        </w:rPr>
        <w:t>Esošo datu analīze apliecina, ka līdzšinējais obligāto standartu, kas iztulkoti latviešu valodā, iegādes apjoms nav būtisks, tāpē</w:t>
      </w:r>
      <w:r w:rsidR="00370158">
        <w:rPr>
          <w:rFonts w:ascii="Times New Roman" w:hAnsi="Times New Roman" w:cs="Times New Roman"/>
          <w:sz w:val="26"/>
          <w:szCs w:val="26"/>
        </w:rPr>
        <w:t>c, ja minēto standartu tulkošanas izmaksas iekļautu standartu iegādes cenā, attiecīgā standarta cena</w:t>
      </w:r>
      <w:r w:rsidR="00537247">
        <w:rPr>
          <w:rFonts w:ascii="Times New Roman" w:hAnsi="Times New Roman" w:cs="Times New Roman"/>
          <w:sz w:val="26"/>
          <w:szCs w:val="26"/>
        </w:rPr>
        <w:t>s pieaug</w:t>
      </w:r>
      <w:r w:rsidR="00370158">
        <w:rPr>
          <w:rFonts w:ascii="Times New Roman" w:hAnsi="Times New Roman" w:cs="Times New Roman"/>
          <w:sz w:val="26"/>
          <w:szCs w:val="26"/>
        </w:rPr>
        <w:t>u</w:t>
      </w:r>
      <w:r w:rsidR="00537247">
        <w:rPr>
          <w:rFonts w:ascii="Times New Roman" w:hAnsi="Times New Roman" w:cs="Times New Roman"/>
          <w:sz w:val="26"/>
          <w:szCs w:val="26"/>
        </w:rPr>
        <w:t>ms būtu nesamērīgi liels</w:t>
      </w:r>
      <w:r w:rsidR="00630074">
        <w:rPr>
          <w:rFonts w:ascii="Times New Roman" w:hAnsi="Times New Roman" w:cs="Times New Roman"/>
          <w:sz w:val="26"/>
          <w:szCs w:val="26"/>
        </w:rPr>
        <w:t>, tādējādi</w:t>
      </w:r>
      <w:r w:rsidR="00370158">
        <w:rPr>
          <w:rFonts w:ascii="Times New Roman" w:hAnsi="Times New Roman" w:cs="Times New Roman"/>
          <w:sz w:val="26"/>
          <w:szCs w:val="26"/>
        </w:rPr>
        <w:t xml:space="preserve"> būtiski samazin</w:t>
      </w:r>
      <w:r w:rsidR="00630074">
        <w:rPr>
          <w:rFonts w:ascii="Times New Roman" w:hAnsi="Times New Roman" w:cs="Times New Roman"/>
          <w:sz w:val="26"/>
          <w:szCs w:val="26"/>
        </w:rPr>
        <w:t>ot</w:t>
      </w:r>
      <w:r w:rsidR="00370158">
        <w:rPr>
          <w:rFonts w:ascii="Times New Roman" w:hAnsi="Times New Roman" w:cs="Times New Roman"/>
          <w:sz w:val="26"/>
          <w:szCs w:val="26"/>
        </w:rPr>
        <w:t xml:space="preserve"> sabiedrības pieejamību standartiem</w:t>
      </w:r>
      <w:r w:rsidR="00630074">
        <w:rPr>
          <w:rFonts w:ascii="Times New Roman" w:hAnsi="Times New Roman" w:cs="Times New Roman"/>
          <w:sz w:val="26"/>
          <w:szCs w:val="26"/>
        </w:rPr>
        <w:t>, kas būtu pretrunā šī konceptuālā ziņojuma mērķim un nacionālās standartizācijas sistēmas pilnveidošanas jēgai</w:t>
      </w:r>
      <w:r w:rsidR="00370158">
        <w:rPr>
          <w:rFonts w:ascii="Times New Roman" w:hAnsi="Times New Roman" w:cs="Times New Roman"/>
          <w:sz w:val="26"/>
          <w:szCs w:val="26"/>
        </w:rPr>
        <w:t>.</w:t>
      </w:r>
      <w:r w:rsidR="00B16CE5">
        <w:rPr>
          <w:rFonts w:ascii="Times New Roman" w:hAnsi="Times New Roman" w:cs="Times New Roman"/>
          <w:sz w:val="26"/>
          <w:szCs w:val="26"/>
        </w:rPr>
        <w:t xml:space="preserve"> Minētais apgalvojums pamatots ar šādiem faktiem</w:t>
      </w:r>
      <w:r w:rsidR="00537247">
        <w:rPr>
          <w:rFonts w:ascii="Times New Roman" w:hAnsi="Times New Roman" w:cs="Times New Roman"/>
          <w:sz w:val="26"/>
          <w:szCs w:val="26"/>
        </w:rPr>
        <w:t>, kas izriet no datiem</w:t>
      </w:r>
      <w:r w:rsidR="00B16CE5">
        <w:rPr>
          <w:rFonts w:ascii="Times New Roman" w:hAnsi="Times New Roman" w:cs="Times New Roman"/>
          <w:sz w:val="26"/>
          <w:szCs w:val="26"/>
        </w:rPr>
        <w:t xml:space="preserve"> par 2015.gadu:</w:t>
      </w:r>
    </w:p>
    <w:p w14:paraId="7FB78EED" w14:textId="58F62CB9" w:rsidR="00B16CE5" w:rsidRDefault="00B16CE5" w:rsidP="00226850">
      <w:pPr>
        <w:pStyle w:val="ListParagraph"/>
        <w:numPr>
          <w:ilvl w:val="2"/>
          <w:numId w:val="24"/>
        </w:numPr>
        <w:jc w:val="both"/>
        <w:rPr>
          <w:rFonts w:ascii="Times New Roman" w:hAnsi="Times New Roman" w:cs="Times New Roman"/>
          <w:sz w:val="26"/>
          <w:szCs w:val="26"/>
        </w:rPr>
      </w:pPr>
      <w:r>
        <w:rPr>
          <w:rFonts w:ascii="Times New Roman" w:hAnsi="Times New Roman" w:cs="Times New Roman"/>
          <w:sz w:val="26"/>
          <w:szCs w:val="26"/>
        </w:rPr>
        <w:t>Kopumā 575 standarti normatīvajos aktos ir noteikti kā obligāti piemērojami</w:t>
      </w:r>
      <w:r w:rsidR="00537247">
        <w:rPr>
          <w:rFonts w:ascii="Times New Roman" w:hAnsi="Times New Roman" w:cs="Times New Roman"/>
          <w:sz w:val="26"/>
          <w:szCs w:val="26"/>
        </w:rPr>
        <w:t>e</w:t>
      </w:r>
      <w:r>
        <w:rPr>
          <w:rFonts w:ascii="Times New Roman" w:hAnsi="Times New Roman" w:cs="Times New Roman"/>
          <w:sz w:val="26"/>
          <w:szCs w:val="26"/>
        </w:rPr>
        <w:t xml:space="preserve">. No tiem 81 ir Latvijas nacionālie standarti, savukārt atlikušie 494 ir Latvijas nacionālo standartu statusā adaptētie </w:t>
      </w:r>
      <w:r w:rsidR="00D5739F">
        <w:rPr>
          <w:rFonts w:ascii="Times New Roman" w:hAnsi="Times New Roman" w:cs="Times New Roman"/>
          <w:sz w:val="26"/>
          <w:szCs w:val="26"/>
        </w:rPr>
        <w:t xml:space="preserve">starptautisko vai reģionālo standartizācijas organizāciju </w:t>
      </w:r>
      <w:r>
        <w:rPr>
          <w:rFonts w:ascii="Times New Roman" w:hAnsi="Times New Roman" w:cs="Times New Roman"/>
          <w:sz w:val="26"/>
          <w:szCs w:val="26"/>
        </w:rPr>
        <w:t>standarti.</w:t>
      </w:r>
    </w:p>
    <w:p w14:paraId="55A75B56" w14:textId="67EE7C70" w:rsidR="00D5739F" w:rsidRDefault="00537247" w:rsidP="00226850">
      <w:pPr>
        <w:pStyle w:val="ListParagraph"/>
        <w:numPr>
          <w:ilvl w:val="2"/>
          <w:numId w:val="24"/>
        </w:numPr>
        <w:jc w:val="both"/>
        <w:rPr>
          <w:rFonts w:ascii="Times New Roman" w:hAnsi="Times New Roman" w:cs="Times New Roman"/>
          <w:sz w:val="26"/>
          <w:szCs w:val="26"/>
        </w:rPr>
      </w:pPr>
      <w:r>
        <w:rPr>
          <w:rFonts w:ascii="Times New Roman" w:hAnsi="Times New Roman" w:cs="Times New Roman"/>
          <w:sz w:val="26"/>
          <w:szCs w:val="26"/>
        </w:rPr>
        <w:t>K</w:t>
      </w:r>
      <w:r w:rsidR="00D5739F">
        <w:rPr>
          <w:rFonts w:ascii="Times New Roman" w:hAnsi="Times New Roman" w:cs="Times New Roman"/>
          <w:sz w:val="26"/>
          <w:szCs w:val="26"/>
        </w:rPr>
        <w:t xml:space="preserve">opējie ieņēmumi no </w:t>
      </w:r>
      <w:r w:rsidR="00C27343">
        <w:rPr>
          <w:rFonts w:ascii="Times New Roman" w:hAnsi="Times New Roman" w:cs="Times New Roman"/>
          <w:sz w:val="26"/>
          <w:szCs w:val="26"/>
        </w:rPr>
        <w:t>iztulkoto</w:t>
      </w:r>
      <w:r w:rsidR="00D5739F">
        <w:rPr>
          <w:rFonts w:ascii="Times New Roman" w:hAnsi="Times New Roman" w:cs="Times New Roman"/>
          <w:sz w:val="26"/>
          <w:szCs w:val="26"/>
        </w:rPr>
        <w:t xml:space="preserve"> standartu </w:t>
      </w:r>
      <w:r>
        <w:rPr>
          <w:rFonts w:ascii="Times New Roman" w:hAnsi="Times New Roman" w:cs="Times New Roman"/>
          <w:sz w:val="26"/>
          <w:szCs w:val="26"/>
        </w:rPr>
        <w:t>pārdošanas</w:t>
      </w:r>
      <w:r w:rsidR="00D5739F">
        <w:rPr>
          <w:rFonts w:ascii="Times New Roman" w:hAnsi="Times New Roman" w:cs="Times New Roman"/>
          <w:sz w:val="26"/>
          <w:szCs w:val="26"/>
        </w:rPr>
        <w:t xml:space="preserve"> veidoja 6756 </w:t>
      </w:r>
      <w:proofErr w:type="spellStart"/>
      <w:r w:rsidR="00D5739F" w:rsidRPr="00226850">
        <w:rPr>
          <w:rFonts w:ascii="Times New Roman" w:hAnsi="Times New Roman" w:cs="Times New Roman"/>
          <w:i/>
          <w:sz w:val="26"/>
          <w:szCs w:val="26"/>
        </w:rPr>
        <w:t>euro</w:t>
      </w:r>
      <w:proofErr w:type="spellEnd"/>
      <w:r w:rsidR="00D5739F">
        <w:rPr>
          <w:rFonts w:ascii="Times New Roman" w:hAnsi="Times New Roman" w:cs="Times New Roman"/>
          <w:sz w:val="26"/>
          <w:szCs w:val="26"/>
        </w:rPr>
        <w:t xml:space="preserve">. </w:t>
      </w:r>
      <w:r>
        <w:rPr>
          <w:rFonts w:ascii="Times New Roman" w:hAnsi="Times New Roman" w:cs="Times New Roman"/>
          <w:sz w:val="26"/>
          <w:szCs w:val="26"/>
        </w:rPr>
        <w:t>Tas nozīmē, ka v</w:t>
      </w:r>
      <w:r w:rsidR="00D5739F">
        <w:rPr>
          <w:rFonts w:ascii="Times New Roman" w:hAnsi="Times New Roman" w:cs="Times New Roman"/>
          <w:sz w:val="26"/>
          <w:szCs w:val="26"/>
        </w:rPr>
        <w:t xml:space="preserve">idējā viena standarta cena </w:t>
      </w:r>
      <w:r>
        <w:rPr>
          <w:rFonts w:ascii="Times New Roman" w:hAnsi="Times New Roman" w:cs="Times New Roman"/>
          <w:sz w:val="26"/>
          <w:szCs w:val="26"/>
        </w:rPr>
        <w:t>ir</w:t>
      </w:r>
      <w:r w:rsidR="00D5739F">
        <w:rPr>
          <w:rFonts w:ascii="Times New Roman" w:hAnsi="Times New Roman" w:cs="Times New Roman"/>
          <w:sz w:val="26"/>
          <w:szCs w:val="26"/>
        </w:rPr>
        <w:t xml:space="preserve"> 26 </w:t>
      </w:r>
      <w:proofErr w:type="spellStart"/>
      <w:r w:rsidR="00D5739F" w:rsidRPr="00226850">
        <w:rPr>
          <w:rFonts w:ascii="Times New Roman" w:hAnsi="Times New Roman" w:cs="Times New Roman"/>
          <w:i/>
          <w:sz w:val="26"/>
          <w:szCs w:val="26"/>
        </w:rPr>
        <w:t>euro</w:t>
      </w:r>
      <w:proofErr w:type="spellEnd"/>
      <w:r w:rsidR="00D5739F">
        <w:rPr>
          <w:rFonts w:ascii="Times New Roman" w:hAnsi="Times New Roman" w:cs="Times New Roman"/>
          <w:sz w:val="26"/>
          <w:szCs w:val="26"/>
        </w:rPr>
        <w:t>.</w:t>
      </w:r>
    </w:p>
    <w:p w14:paraId="73FBAD3B" w14:textId="67541E8A" w:rsidR="00D5739F" w:rsidRDefault="00D5739F" w:rsidP="00226850">
      <w:pPr>
        <w:pStyle w:val="ListParagraph"/>
        <w:numPr>
          <w:ilvl w:val="2"/>
          <w:numId w:val="24"/>
        </w:numPr>
        <w:jc w:val="both"/>
        <w:rPr>
          <w:rFonts w:ascii="Times New Roman" w:hAnsi="Times New Roman" w:cs="Times New Roman"/>
          <w:sz w:val="26"/>
          <w:szCs w:val="26"/>
        </w:rPr>
      </w:pPr>
      <w:r>
        <w:rPr>
          <w:rFonts w:ascii="Times New Roman" w:hAnsi="Times New Roman" w:cs="Times New Roman"/>
          <w:sz w:val="26"/>
          <w:szCs w:val="26"/>
        </w:rPr>
        <w:lastRenderedPageBreak/>
        <w:t xml:space="preserve">Tiek pieņemts, ka vidēji standartā ir 25 lapaspuses un vienas lapaspuses tulkošanas izmaksas pie labvēlīgākā scenārija veido </w:t>
      </w:r>
      <w:r w:rsidRPr="00226850">
        <w:rPr>
          <w:rFonts w:ascii="Times New Roman" w:hAnsi="Times New Roman" w:cs="Times New Roman"/>
          <w:sz w:val="26"/>
          <w:szCs w:val="26"/>
        </w:rPr>
        <w:t xml:space="preserve">25 </w:t>
      </w:r>
      <w:proofErr w:type="spellStart"/>
      <w:r w:rsidRPr="00226850">
        <w:rPr>
          <w:rFonts w:ascii="Times New Roman" w:hAnsi="Times New Roman" w:cs="Times New Roman"/>
          <w:i/>
          <w:sz w:val="26"/>
          <w:szCs w:val="26"/>
        </w:rPr>
        <w:t>euro</w:t>
      </w:r>
      <w:proofErr w:type="spellEnd"/>
      <w:r w:rsidRPr="00226850">
        <w:rPr>
          <w:rFonts w:ascii="Times New Roman" w:hAnsi="Times New Roman" w:cs="Times New Roman"/>
          <w:sz w:val="26"/>
          <w:szCs w:val="26"/>
        </w:rPr>
        <w:t>.</w:t>
      </w:r>
      <w:r>
        <w:rPr>
          <w:rFonts w:ascii="Times New Roman" w:hAnsi="Times New Roman" w:cs="Times New Roman"/>
          <w:sz w:val="26"/>
          <w:szCs w:val="26"/>
        </w:rPr>
        <w:t xml:space="preserve"> Tāpēc lai iztulkotu visus obligāti piemērojamos standartus  būtu bijis nepieciešami </w:t>
      </w:r>
      <w:r w:rsidR="00537247">
        <w:rPr>
          <w:rFonts w:ascii="Times New Roman" w:hAnsi="Times New Roman" w:cs="Times New Roman"/>
          <w:sz w:val="26"/>
          <w:szCs w:val="26"/>
        </w:rPr>
        <w:t xml:space="preserve">308 750 </w:t>
      </w:r>
      <w:proofErr w:type="spellStart"/>
      <w:r w:rsidR="00537247" w:rsidRPr="00226850">
        <w:rPr>
          <w:rFonts w:ascii="Times New Roman" w:hAnsi="Times New Roman" w:cs="Times New Roman"/>
          <w:i/>
          <w:sz w:val="26"/>
          <w:szCs w:val="26"/>
        </w:rPr>
        <w:t>euro</w:t>
      </w:r>
      <w:proofErr w:type="spellEnd"/>
      <w:r w:rsidR="00537247">
        <w:rPr>
          <w:rFonts w:ascii="Times New Roman" w:hAnsi="Times New Roman" w:cs="Times New Roman"/>
          <w:sz w:val="26"/>
          <w:szCs w:val="26"/>
        </w:rPr>
        <w:t>.</w:t>
      </w:r>
    </w:p>
    <w:p w14:paraId="212480DB" w14:textId="27FCEC7B" w:rsidR="00537247" w:rsidRDefault="00537247" w:rsidP="00226850">
      <w:pPr>
        <w:pStyle w:val="ListParagraph"/>
        <w:numPr>
          <w:ilvl w:val="2"/>
          <w:numId w:val="24"/>
        </w:numPr>
        <w:jc w:val="both"/>
        <w:rPr>
          <w:rFonts w:ascii="Times New Roman" w:hAnsi="Times New Roman" w:cs="Times New Roman"/>
          <w:sz w:val="26"/>
          <w:szCs w:val="26"/>
        </w:rPr>
      </w:pPr>
      <w:r>
        <w:rPr>
          <w:rFonts w:ascii="Times New Roman" w:hAnsi="Times New Roman" w:cs="Times New Roman"/>
          <w:sz w:val="26"/>
          <w:szCs w:val="26"/>
        </w:rPr>
        <w:t xml:space="preserve">Šīs izmaksas būtu jāsedz no kopēji pārdotajiem iztulkotajiem standartiem. Tādējādi viena standarta cena pieaugtu par aptuveni 1192 </w:t>
      </w:r>
      <w:proofErr w:type="spellStart"/>
      <w:r w:rsidRPr="00226850">
        <w:rPr>
          <w:rFonts w:ascii="Times New Roman" w:hAnsi="Times New Roman" w:cs="Times New Roman"/>
          <w:i/>
          <w:sz w:val="26"/>
          <w:szCs w:val="26"/>
        </w:rPr>
        <w:t>euro</w:t>
      </w:r>
      <w:proofErr w:type="spellEnd"/>
      <w:r>
        <w:rPr>
          <w:rFonts w:ascii="Times New Roman" w:hAnsi="Times New Roman" w:cs="Times New Roman"/>
          <w:sz w:val="26"/>
          <w:szCs w:val="26"/>
        </w:rPr>
        <w:t>.</w:t>
      </w:r>
    </w:p>
    <w:p w14:paraId="5B430971" w14:textId="6B313922" w:rsidR="00537247" w:rsidRPr="00226850" w:rsidRDefault="00537247" w:rsidP="00226850">
      <w:pPr>
        <w:pStyle w:val="ListParagraph"/>
        <w:numPr>
          <w:ilvl w:val="2"/>
          <w:numId w:val="24"/>
        </w:numPr>
        <w:jc w:val="both"/>
        <w:rPr>
          <w:rFonts w:ascii="Times New Roman" w:hAnsi="Times New Roman" w:cs="Times New Roman"/>
          <w:sz w:val="26"/>
          <w:szCs w:val="26"/>
        </w:rPr>
      </w:pPr>
      <w:r>
        <w:rPr>
          <w:rFonts w:ascii="Times New Roman" w:hAnsi="Times New Roman" w:cs="Times New Roman"/>
          <w:sz w:val="26"/>
          <w:szCs w:val="26"/>
        </w:rPr>
        <w:t xml:space="preserve">Rezultātā viena iztulkotā standarta cena būtu: 26+1192=1218 </w:t>
      </w:r>
      <w:proofErr w:type="spellStart"/>
      <w:r>
        <w:rPr>
          <w:rFonts w:ascii="Times New Roman" w:hAnsi="Times New Roman" w:cs="Times New Roman"/>
          <w:i/>
          <w:sz w:val="26"/>
          <w:szCs w:val="26"/>
        </w:rPr>
        <w:t>euro</w:t>
      </w:r>
      <w:proofErr w:type="spellEnd"/>
      <w:r>
        <w:rPr>
          <w:rFonts w:ascii="Times New Roman" w:hAnsi="Times New Roman" w:cs="Times New Roman"/>
          <w:sz w:val="26"/>
          <w:szCs w:val="26"/>
        </w:rPr>
        <w:t xml:space="preserve">. Tādējādi standarta cenas pieaugums pret oriģinālvalodas standartu būtu </w:t>
      </w:r>
      <w:r w:rsidRPr="00226850">
        <w:rPr>
          <w:rFonts w:ascii="Times New Roman" w:hAnsi="Times New Roman" w:cs="Times New Roman"/>
          <w:b/>
          <w:sz w:val="26"/>
          <w:szCs w:val="26"/>
        </w:rPr>
        <w:t>4685%</w:t>
      </w:r>
      <w:r>
        <w:rPr>
          <w:rFonts w:ascii="Times New Roman" w:hAnsi="Times New Roman" w:cs="Times New Roman"/>
          <w:sz w:val="26"/>
          <w:szCs w:val="26"/>
        </w:rPr>
        <w:t>.</w:t>
      </w:r>
    </w:p>
    <w:p w14:paraId="04C256DF" w14:textId="386CF1F1" w:rsidR="00636A4A" w:rsidRDefault="00370158" w:rsidP="00226850">
      <w:pPr>
        <w:pStyle w:val="ListParagraph"/>
        <w:numPr>
          <w:ilvl w:val="0"/>
          <w:numId w:val="24"/>
        </w:numPr>
        <w:jc w:val="both"/>
        <w:rPr>
          <w:rFonts w:ascii="Times New Roman" w:hAnsi="Times New Roman" w:cs="Times New Roman"/>
          <w:sz w:val="26"/>
          <w:szCs w:val="26"/>
        </w:rPr>
      </w:pPr>
      <w:r>
        <w:rPr>
          <w:rFonts w:ascii="Times New Roman" w:hAnsi="Times New Roman" w:cs="Times New Roman"/>
          <w:sz w:val="26"/>
          <w:szCs w:val="26"/>
        </w:rPr>
        <w:t>Priekšlaicīgi nav iespējams prognozēt, tulkoto obligāti piemērojamo standartu iegādes apjomu, it īpaši ņemot vērā</w:t>
      </w:r>
      <w:r w:rsidR="00630074">
        <w:rPr>
          <w:rFonts w:ascii="Times New Roman" w:hAnsi="Times New Roman" w:cs="Times New Roman"/>
          <w:sz w:val="26"/>
          <w:szCs w:val="26"/>
        </w:rPr>
        <w:t xml:space="preserve"> šo standartu būtisko cenas pieaugumu</w:t>
      </w:r>
      <w:r w:rsidR="005E0B59">
        <w:rPr>
          <w:rFonts w:ascii="Times New Roman" w:hAnsi="Times New Roman" w:cs="Times New Roman"/>
          <w:sz w:val="26"/>
          <w:szCs w:val="26"/>
        </w:rPr>
        <w:t>.</w:t>
      </w:r>
    </w:p>
    <w:p w14:paraId="3A8B2433" w14:textId="77777777" w:rsidR="00A076A1" w:rsidRPr="006B03AD" w:rsidRDefault="00A076A1" w:rsidP="00630074">
      <w:pPr>
        <w:jc w:val="both"/>
        <w:rPr>
          <w:rFonts w:ascii="Times New Roman" w:hAnsi="Times New Roman" w:cs="Times New Roman"/>
          <w:sz w:val="26"/>
          <w:szCs w:val="26"/>
        </w:rPr>
      </w:pPr>
    </w:p>
    <w:p w14:paraId="06F88F39" w14:textId="77777777" w:rsidR="00A076A1" w:rsidRPr="006B03AD" w:rsidRDefault="00A076A1" w:rsidP="00B972E0">
      <w:pPr>
        <w:pStyle w:val="Heading1"/>
      </w:pPr>
      <w:r w:rsidRPr="006B03AD">
        <w:br w:type="page"/>
      </w:r>
      <w:bookmarkStart w:id="20" w:name="_Toc451859780"/>
      <w:bookmarkStart w:id="21" w:name="_Toc451860003"/>
      <w:r w:rsidRPr="006B03AD">
        <w:lastRenderedPageBreak/>
        <w:t>RISINĀJUMS</w:t>
      </w:r>
      <w:bookmarkEnd w:id="20"/>
      <w:bookmarkEnd w:id="21"/>
    </w:p>
    <w:p w14:paraId="089B3741" w14:textId="77777777" w:rsidR="00A076A1" w:rsidRPr="006B03AD" w:rsidRDefault="00A076A1" w:rsidP="00A076A1">
      <w:pPr>
        <w:jc w:val="center"/>
        <w:rPr>
          <w:rFonts w:ascii="Times New Roman" w:hAnsi="Times New Roman" w:cs="Times New Roman"/>
          <w:sz w:val="26"/>
          <w:szCs w:val="26"/>
        </w:rPr>
      </w:pPr>
    </w:p>
    <w:p w14:paraId="45A37F45" w14:textId="77777777" w:rsidR="00A076A1" w:rsidRPr="006B03AD"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Apkopojot reģionālo un starptautisko institūciju viedokļus, kā arī citu valstu pieredzi, Latvijas nacionāl</w:t>
      </w:r>
      <w:r w:rsidR="00B00ED2">
        <w:rPr>
          <w:rFonts w:ascii="Times New Roman" w:hAnsi="Times New Roman" w:cs="Times New Roman"/>
          <w:sz w:val="26"/>
          <w:szCs w:val="26"/>
        </w:rPr>
        <w:t>ās</w:t>
      </w:r>
      <w:r w:rsidRPr="006B03AD">
        <w:rPr>
          <w:rFonts w:ascii="Times New Roman" w:hAnsi="Times New Roman" w:cs="Times New Roman"/>
          <w:sz w:val="26"/>
          <w:szCs w:val="26"/>
        </w:rPr>
        <w:t xml:space="preserve"> standartizācijas sistēmas pilnveidošanas nolūkā ir nepieciešams veikt vairākus uzdevumu</w:t>
      </w:r>
      <w:r w:rsidR="00B00ED2">
        <w:rPr>
          <w:rFonts w:ascii="Times New Roman" w:hAnsi="Times New Roman" w:cs="Times New Roman"/>
          <w:sz w:val="26"/>
          <w:szCs w:val="26"/>
        </w:rPr>
        <w:t>s</w:t>
      </w:r>
      <w:r w:rsidRPr="006B03AD">
        <w:rPr>
          <w:rFonts w:ascii="Times New Roman" w:hAnsi="Times New Roman" w:cs="Times New Roman"/>
          <w:sz w:val="26"/>
          <w:szCs w:val="26"/>
        </w:rPr>
        <w:t>, kas ļautu novērst Latvijas nacionāl</w:t>
      </w:r>
      <w:r w:rsidR="00B00ED2">
        <w:rPr>
          <w:rFonts w:ascii="Times New Roman" w:hAnsi="Times New Roman" w:cs="Times New Roman"/>
          <w:sz w:val="26"/>
          <w:szCs w:val="26"/>
        </w:rPr>
        <w:t>ajā</w:t>
      </w:r>
      <w:r w:rsidRPr="006B03AD">
        <w:rPr>
          <w:rFonts w:ascii="Times New Roman" w:hAnsi="Times New Roman" w:cs="Times New Roman"/>
          <w:sz w:val="26"/>
          <w:szCs w:val="26"/>
        </w:rPr>
        <w:t xml:space="preserve"> standartizācijas sistēmā pastāvošos problēmjautājumus. </w:t>
      </w:r>
    </w:p>
    <w:p w14:paraId="2C565EEC" w14:textId="77777777" w:rsidR="00A076A1" w:rsidRPr="006B03AD" w:rsidRDefault="00A076A1" w:rsidP="00A076A1">
      <w:pPr>
        <w:jc w:val="center"/>
        <w:rPr>
          <w:rFonts w:ascii="Times New Roman" w:hAnsi="Times New Roman" w:cs="Times New Roman"/>
          <w:sz w:val="26"/>
          <w:szCs w:val="26"/>
        </w:rPr>
      </w:pPr>
    </w:p>
    <w:p w14:paraId="088449F2" w14:textId="77777777" w:rsidR="00A076A1" w:rsidRPr="006B03AD" w:rsidRDefault="00A076A1" w:rsidP="00A076A1">
      <w:pPr>
        <w:pStyle w:val="ListParagraph"/>
        <w:numPr>
          <w:ilvl w:val="0"/>
          <w:numId w:val="9"/>
        </w:numPr>
        <w:jc w:val="both"/>
        <w:rPr>
          <w:rFonts w:ascii="Times New Roman" w:hAnsi="Times New Roman" w:cs="Times New Roman"/>
          <w:sz w:val="26"/>
          <w:szCs w:val="26"/>
          <w:u w:val="single"/>
        </w:rPr>
      </w:pPr>
      <w:r w:rsidRPr="006B03AD">
        <w:rPr>
          <w:rFonts w:ascii="Times New Roman" w:hAnsi="Times New Roman" w:cs="Times New Roman"/>
          <w:sz w:val="26"/>
          <w:szCs w:val="26"/>
          <w:u w:val="single"/>
        </w:rPr>
        <w:t>Standartu būtība, vieta un loma tiesību sistēmā</w:t>
      </w:r>
    </w:p>
    <w:p w14:paraId="561583F5" w14:textId="5255DBC1" w:rsidR="00A076A1"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Standartus, atšķirībā no normatīvajiem aktiem, kurus pieņem vai apstiprina publiskā persona vai tās atvasināta persona un kas kļūst saistoši to adresātiem, apstiprina standartu izstrādājusi institūcija, kurai ir privātas struktūras daba un kas veic savu darbību privāto tiesību jomā. Standartu izstrāde notiek, ievērojot standartizācijas principus, nevis normatīvo aktu projektu izstrādes un juridiskās tehnikas prasības. Savā būtībā standarti tikai izklāsta tehniskās specifikācijas vai procedūras, par kurām ir vienojusies pati nozare, iesaistot visas interesētās puses, proti, produktu ražotājus, pakalpojumu sniedzējus, lietotājus, patērētāju interešu aizsardzības organizācijas, sertifikācijas, testēšanas, akreditācijas, akadēmiskās vides pārstāvjus, kontroles un uzraudzības organizācijas, utt. Standarti no vispāratzītu standartizācijas principu viedokļa būtu viennozīmīgi atzīstami par brīvprātīgi piemērojamiem, kas nav uzskatāmi par normatīvajiem aktiem. Arī gadījumos, kad likumdevējs padara standartus par obligāti piemērojamiem, veidojot uz tiem tiešās atsauces normatīvajos aktos, standarti nav atzīstami par normatīvajiem aktiem. Likumdevējs, izmantojot tiešās atsauces uz standartiem normatīvajos aktos, pēc būtības uzticas nozares pašregulācijas spējām un atzīst standartos ietvertos nosacījumus par atbilstoš</w:t>
      </w:r>
      <w:r w:rsidR="000A22A8">
        <w:rPr>
          <w:rFonts w:ascii="Times New Roman" w:hAnsi="Times New Roman" w:cs="Times New Roman"/>
          <w:sz w:val="26"/>
          <w:szCs w:val="26"/>
        </w:rPr>
        <w:t>iem</w:t>
      </w:r>
      <w:r w:rsidRPr="006B03AD">
        <w:rPr>
          <w:rFonts w:ascii="Times New Roman" w:hAnsi="Times New Roman" w:cs="Times New Roman"/>
          <w:sz w:val="26"/>
          <w:szCs w:val="26"/>
        </w:rPr>
        <w:t xml:space="preserve">, lai sakārtotu attiecīgo jomu vai nozari. Vienlaikus likumdevējam ir jāapzinās, ka šādu atsauču gadījumā ir nepieciešams izpildīt zināmus pienākumus, proti, nodrošināt, ka minētie </w:t>
      </w:r>
      <w:r w:rsidR="00B80ED9">
        <w:rPr>
          <w:rFonts w:ascii="Times New Roman" w:hAnsi="Times New Roman" w:cs="Times New Roman"/>
          <w:sz w:val="26"/>
          <w:szCs w:val="26"/>
        </w:rPr>
        <w:t>standarti</w:t>
      </w:r>
      <w:r w:rsidRPr="006B03AD">
        <w:rPr>
          <w:rFonts w:ascii="Times New Roman" w:hAnsi="Times New Roman" w:cs="Times New Roman"/>
          <w:sz w:val="26"/>
          <w:szCs w:val="26"/>
        </w:rPr>
        <w:t xml:space="preserve"> ir pieejami sabiedrībai un saprotamā valodā. Taču pieejamības standartiem nodrošināšana nenozīmē, ka attiecīgā standarta autoram, kurš ir ieguldījis laiku un resursus attiecīgās specifikācijas izstrādei, netiek aizsargātas autortiesības. Līdz ar to likumdevējam ir nepieciešams nodrošināt pieejamību standartiem u</w:t>
      </w:r>
      <w:r w:rsidR="00405E2D">
        <w:rPr>
          <w:rFonts w:ascii="Times New Roman" w:hAnsi="Times New Roman" w:cs="Times New Roman"/>
          <w:sz w:val="26"/>
          <w:szCs w:val="26"/>
        </w:rPr>
        <w:t>z</w:t>
      </w:r>
      <w:r w:rsidRPr="006B03AD">
        <w:rPr>
          <w:rFonts w:ascii="Times New Roman" w:hAnsi="Times New Roman" w:cs="Times New Roman"/>
          <w:sz w:val="26"/>
          <w:szCs w:val="26"/>
        </w:rPr>
        <w:t xml:space="preserve"> saprātīgiem un caurskatāmiem nosacījumiem un vienlaikus nodrošināt standartu autortiesību aizsardzību.</w:t>
      </w:r>
      <w:r w:rsidR="00A9377F">
        <w:rPr>
          <w:rFonts w:ascii="Times New Roman" w:hAnsi="Times New Roman" w:cs="Times New Roman"/>
          <w:sz w:val="26"/>
          <w:szCs w:val="26"/>
        </w:rPr>
        <w:t xml:space="preserve"> Šāds mērķis ir sasniedzams, ja valsts</w:t>
      </w:r>
      <w:r w:rsidR="00DD729E">
        <w:rPr>
          <w:rFonts w:ascii="Times New Roman" w:hAnsi="Times New Roman" w:cs="Times New Roman"/>
          <w:sz w:val="26"/>
          <w:szCs w:val="26"/>
        </w:rPr>
        <w:t xml:space="preserve"> sadarbībā ar pašvaldībām</w:t>
      </w:r>
      <w:r w:rsidR="00A9377F">
        <w:rPr>
          <w:rFonts w:ascii="Times New Roman" w:hAnsi="Times New Roman" w:cs="Times New Roman"/>
          <w:sz w:val="26"/>
          <w:szCs w:val="26"/>
        </w:rPr>
        <w:t xml:space="preserve"> nodrošinātu sabiedrībai pieejamību standartu tekstiem </w:t>
      </w:r>
      <w:r w:rsidR="00DD729E">
        <w:rPr>
          <w:rFonts w:ascii="Times New Roman" w:hAnsi="Times New Roman" w:cs="Times New Roman"/>
          <w:sz w:val="26"/>
          <w:szCs w:val="26"/>
        </w:rPr>
        <w:t xml:space="preserve">valsts  un reģionu galvenajās </w:t>
      </w:r>
      <w:r w:rsidR="00A9377F">
        <w:rPr>
          <w:rFonts w:ascii="Times New Roman" w:hAnsi="Times New Roman" w:cs="Times New Roman"/>
          <w:sz w:val="26"/>
          <w:szCs w:val="26"/>
        </w:rPr>
        <w:t>bibliotēkā</w:t>
      </w:r>
      <w:r w:rsidR="00DD729E">
        <w:rPr>
          <w:rFonts w:ascii="Times New Roman" w:hAnsi="Times New Roman" w:cs="Times New Roman"/>
          <w:sz w:val="26"/>
          <w:szCs w:val="26"/>
        </w:rPr>
        <w:t>s.</w:t>
      </w:r>
      <w:r w:rsidR="00557B6F">
        <w:rPr>
          <w:rFonts w:ascii="Times New Roman" w:hAnsi="Times New Roman" w:cs="Times New Roman"/>
          <w:sz w:val="26"/>
          <w:szCs w:val="26"/>
        </w:rPr>
        <w:t xml:space="preserve"> Vienlaikus pieejamība standartiem ir jānodrošina valsts pārvaldes institūcijām, īpaši uzraudzības iestādēm, kuru darbā standartu pielietošana ir neizbēgama.</w:t>
      </w:r>
    </w:p>
    <w:p w14:paraId="12742CF1" w14:textId="77777777" w:rsidR="00A9377F" w:rsidRPr="006B03AD" w:rsidRDefault="00A9377F" w:rsidP="00A076A1">
      <w:pPr>
        <w:ind w:firstLine="360"/>
        <w:jc w:val="both"/>
        <w:rPr>
          <w:rFonts w:ascii="Times New Roman" w:hAnsi="Times New Roman" w:cs="Times New Roman"/>
          <w:sz w:val="26"/>
          <w:szCs w:val="26"/>
        </w:rPr>
      </w:pPr>
    </w:p>
    <w:p w14:paraId="0DECD25A" w14:textId="77777777" w:rsidR="00A076A1" w:rsidRPr="006B03AD"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Tāpēc būtu pilnveidojams tiesiskais regulējums, ņemot vērā šādus nosacījumus:</w:t>
      </w:r>
    </w:p>
    <w:p w14:paraId="514E6E08" w14:textId="77777777" w:rsidR="00A076A1" w:rsidRPr="006B03AD" w:rsidRDefault="00A076A1" w:rsidP="00A076A1">
      <w:pPr>
        <w:pStyle w:val="ListParagraph"/>
        <w:numPr>
          <w:ilvl w:val="0"/>
          <w:numId w:val="10"/>
        </w:numPr>
        <w:jc w:val="both"/>
        <w:rPr>
          <w:rFonts w:ascii="Times New Roman" w:hAnsi="Times New Roman" w:cs="Times New Roman"/>
          <w:sz w:val="26"/>
          <w:szCs w:val="26"/>
        </w:rPr>
      </w:pPr>
      <w:r w:rsidRPr="006B03AD">
        <w:rPr>
          <w:rFonts w:ascii="Times New Roman" w:hAnsi="Times New Roman" w:cs="Times New Roman"/>
          <w:sz w:val="26"/>
          <w:szCs w:val="26"/>
        </w:rPr>
        <w:t xml:space="preserve">Standartizācija ir biznesa pašregulācijas instruments, kura nepieciešamību galvenokārt </w:t>
      </w:r>
      <w:r w:rsidR="002A64F9">
        <w:rPr>
          <w:rFonts w:ascii="Times New Roman" w:hAnsi="Times New Roman" w:cs="Times New Roman"/>
          <w:sz w:val="26"/>
          <w:szCs w:val="26"/>
        </w:rPr>
        <w:t>nosaka</w:t>
      </w:r>
      <w:r w:rsidRPr="006B03AD">
        <w:rPr>
          <w:rFonts w:ascii="Times New Roman" w:hAnsi="Times New Roman" w:cs="Times New Roman"/>
          <w:sz w:val="26"/>
          <w:szCs w:val="26"/>
        </w:rPr>
        <w:t xml:space="preserve"> tirgus vai sabiedrības vajadzības. Standartizācija nav atkarīga no likumdevēja, lai gan atsevišķos gadījumos likumdevējs var uzstāties standarta izstrādes iniciatora lomā. Standartizācijas procesu nodrošina eksperti, kuri šim darbam brīvprātīgi piesakās. Uz vispārējā pamata vai pēc savas iniciatīvas ekspertu darbā var piedalīties valsts institūciju pārstāvji.</w:t>
      </w:r>
    </w:p>
    <w:p w14:paraId="48E0109B" w14:textId="77777777" w:rsidR="00A076A1" w:rsidRPr="006B03AD" w:rsidRDefault="00A076A1" w:rsidP="00A076A1">
      <w:pPr>
        <w:pStyle w:val="ListParagraph"/>
        <w:numPr>
          <w:ilvl w:val="0"/>
          <w:numId w:val="10"/>
        </w:numPr>
        <w:jc w:val="both"/>
        <w:rPr>
          <w:rFonts w:ascii="Times New Roman" w:hAnsi="Times New Roman" w:cs="Times New Roman"/>
          <w:sz w:val="26"/>
          <w:szCs w:val="26"/>
        </w:rPr>
      </w:pPr>
      <w:r w:rsidRPr="006B03AD">
        <w:rPr>
          <w:rFonts w:ascii="Times New Roman" w:hAnsi="Times New Roman" w:cs="Times New Roman"/>
          <w:sz w:val="26"/>
          <w:szCs w:val="26"/>
        </w:rPr>
        <w:t>Standarts ir standartizācijas institūciju apstiprināts dokuments, kurš izstrādāts privāto tiesību jomā</w:t>
      </w:r>
      <w:r w:rsidR="009E2249">
        <w:rPr>
          <w:rFonts w:ascii="Times New Roman" w:hAnsi="Times New Roman" w:cs="Times New Roman"/>
          <w:sz w:val="26"/>
          <w:szCs w:val="26"/>
        </w:rPr>
        <w:t>,</w:t>
      </w:r>
      <w:r w:rsidRPr="006B03AD">
        <w:rPr>
          <w:rFonts w:ascii="Times New Roman" w:hAnsi="Times New Roman" w:cs="Times New Roman"/>
          <w:sz w:val="26"/>
          <w:szCs w:val="26"/>
        </w:rPr>
        <w:t xml:space="preserve"> atbilstība kuram nav obligāta.</w:t>
      </w:r>
    </w:p>
    <w:p w14:paraId="56E9F322" w14:textId="77777777" w:rsidR="00A076A1" w:rsidRPr="006B03AD" w:rsidRDefault="00A076A1" w:rsidP="00A076A1">
      <w:pPr>
        <w:pStyle w:val="ListParagraph"/>
        <w:numPr>
          <w:ilvl w:val="0"/>
          <w:numId w:val="10"/>
        </w:numPr>
        <w:jc w:val="both"/>
        <w:rPr>
          <w:rFonts w:ascii="Times New Roman" w:hAnsi="Times New Roman" w:cs="Times New Roman"/>
          <w:sz w:val="26"/>
          <w:szCs w:val="26"/>
        </w:rPr>
      </w:pPr>
      <w:r w:rsidRPr="006B03AD">
        <w:rPr>
          <w:rFonts w:ascii="Times New Roman" w:hAnsi="Times New Roman" w:cs="Times New Roman"/>
          <w:sz w:val="26"/>
          <w:szCs w:val="26"/>
        </w:rPr>
        <w:lastRenderedPageBreak/>
        <w:t>Standarti ir autortiesību objekti un to autortiesības pieder attiecīgajai standartizācijas institūcijai.</w:t>
      </w:r>
    </w:p>
    <w:p w14:paraId="68213D9C" w14:textId="77777777" w:rsidR="00A076A1" w:rsidRPr="006B03AD" w:rsidRDefault="00A076A1" w:rsidP="00A076A1">
      <w:pPr>
        <w:pStyle w:val="ListParagraph"/>
        <w:numPr>
          <w:ilvl w:val="0"/>
          <w:numId w:val="10"/>
        </w:numPr>
        <w:jc w:val="both"/>
        <w:rPr>
          <w:rFonts w:ascii="Times New Roman" w:hAnsi="Times New Roman" w:cs="Times New Roman"/>
          <w:sz w:val="26"/>
          <w:szCs w:val="26"/>
        </w:rPr>
      </w:pPr>
      <w:r w:rsidRPr="006B03AD">
        <w:rPr>
          <w:rFonts w:ascii="Times New Roman" w:hAnsi="Times New Roman" w:cs="Times New Roman"/>
          <w:sz w:val="26"/>
          <w:szCs w:val="26"/>
        </w:rPr>
        <w:t>Arī tiešo atsauču uz standartiem izmantošanas gadījumā attiecīgie standarti faktiski tiek ietverti publisko tiesību regulējumā un padarīti par vispārīgi pielietojamiem, taču tas nepārvērš standartus normatīvajos aktos</w:t>
      </w:r>
      <w:r w:rsidRPr="006B03AD">
        <w:rPr>
          <w:sz w:val="26"/>
          <w:szCs w:val="26"/>
        </w:rPr>
        <w:t xml:space="preserve">, </w:t>
      </w:r>
      <w:r w:rsidRPr="006B03AD">
        <w:rPr>
          <w:rFonts w:ascii="Times New Roman" w:hAnsi="Times New Roman" w:cs="Times New Roman"/>
          <w:sz w:val="26"/>
          <w:szCs w:val="26"/>
        </w:rPr>
        <w:t>jo tos ir izdevusi struktūra, kurai nav likumdevēja pilnvaru.</w:t>
      </w:r>
    </w:p>
    <w:p w14:paraId="5E4576D7" w14:textId="77777777" w:rsidR="00A076A1" w:rsidRPr="006B03AD" w:rsidRDefault="00A076A1" w:rsidP="00A076A1">
      <w:pPr>
        <w:jc w:val="both"/>
        <w:rPr>
          <w:rFonts w:ascii="Times New Roman" w:hAnsi="Times New Roman" w:cs="Times New Roman"/>
          <w:sz w:val="26"/>
          <w:szCs w:val="26"/>
        </w:rPr>
      </w:pPr>
    </w:p>
    <w:p w14:paraId="29ED08E6" w14:textId="77777777" w:rsidR="00A076A1" w:rsidRPr="006B03AD" w:rsidRDefault="00A076A1" w:rsidP="00A076A1">
      <w:pPr>
        <w:pStyle w:val="ListParagraph"/>
        <w:numPr>
          <w:ilvl w:val="0"/>
          <w:numId w:val="9"/>
        </w:numPr>
        <w:jc w:val="both"/>
        <w:rPr>
          <w:rFonts w:ascii="Times New Roman" w:hAnsi="Times New Roman" w:cs="Times New Roman"/>
          <w:sz w:val="26"/>
          <w:szCs w:val="26"/>
          <w:u w:val="single"/>
        </w:rPr>
      </w:pPr>
      <w:r w:rsidRPr="006B03AD">
        <w:rPr>
          <w:rFonts w:ascii="Times New Roman" w:hAnsi="Times New Roman" w:cs="Times New Roman"/>
          <w:sz w:val="26"/>
          <w:szCs w:val="26"/>
          <w:u w:val="single"/>
        </w:rPr>
        <w:t>Jaunās pieejas ieviešana nacionālajā līmenī</w:t>
      </w:r>
    </w:p>
    <w:p w14:paraId="057B1D86" w14:textId="77777777" w:rsidR="00A076A1" w:rsidRPr="006B03AD"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Maksimāli jāveicina Jaunās pieejas ieviešan</w:t>
      </w:r>
      <w:r w:rsidR="003F2FF4">
        <w:rPr>
          <w:rFonts w:ascii="Times New Roman" w:hAnsi="Times New Roman" w:cs="Times New Roman"/>
          <w:sz w:val="26"/>
          <w:szCs w:val="26"/>
        </w:rPr>
        <w:t>a</w:t>
      </w:r>
      <w:r w:rsidRPr="006B03AD">
        <w:rPr>
          <w:rFonts w:ascii="Times New Roman" w:hAnsi="Times New Roman" w:cs="Times New Roman"/>
          <w:sz w:val="26"/>
          <w:szCs w:val="26"/>
        </w:rPr>
        <w:t xml:space="preserve"> nacionālajā līmenī</w:t>
      </w:r>
      <w:r w:rsidR="003F2FF4">
        <w:rPr>
          <w:rFonts w:ascii="Times New Roman" w:hAnsi="Times New Roman" w:cs="Times New Roman"/>
          <w:sz w:val="26"/>
          <w:szCs w:val="26"/>
        </w:rPr>
        <w:t>,</w:t>
      </w:r>
      <w:r w:rsidRPr="006B03AD">
        <w:rPr>
          <w:rFonts w:ascii="Times New Roman" w:hAnsi="Times New Roman" w:cs="Times New Roman"/>
          <w:sz w:val="26"/>
          <w:szCs w:val="26"/>
        </w:rPr>
        <w:t xml:space="preserve"> par pamatu ņemot Eiropas Savienības praksi. Šī pieeja balstās uz šādiem fundamentāliem principiem:</w:t>
      </w:r>
    </w:p>
    <w:p w14:paraId="5F285979" w14:textId="77777777" w:rsidR="00A076A1" w:rsidRPr="006B03AD" w:rsidRDefault="00A076A1" w:rsidP="00A076A1">
      <w:pPr>
        <w:pStyle w:val="ListParagraph"/>
        <w:numPr>
          <w:ilvl w:val="0"/>
          <w:numId w:val="11"/>
        </w:numPr>
        <w:ind w:left="720"/>
        <w:jc w:val="both"/>
        <w:rPr>
          <w:rFonts w:ascii="Times New Roman" w:hAnsi="Times New Roman" w:cs="Times New Roman"/>
          <w:sz w:val="26"/>
          <w:szCs w:val="26"/>
        </w:rPr>
      </w:pPr>
      <w:r w:rsidRPr="006B03AD">
        <w:rPr>
          <w:rFonts w:ascii="Times New Roman" w:hAnsi="Times New Roman" w:cs="Times New Roman"/>
          <w:sz w:val="26"/>
          <w:szCs w:val="26"/>
        </w:rPr>
        <w:t>Tiesību aktos tiek ietvertas tikai būtiskās drošuma prasības vai citas galvenās prasības, lai nodrošinātu sabiedrības interešu nodrošināšanu;</w:t>
      </w:r>
    </w:p>
    <w:p w14:paraId="29FD4ED9" w14:textId="77777777" w:rsidR="00A076A1" w:rsidRPr="006B03AD" w:rsidRDefault="00A076A1" w:rsidP="00A076A1">
      <w:pPr>
        <w:pStyle w:val="ListParagraph"/>
        <w:numPr>
          <w:ilvl w:val="0"/>
          <w:numId w:val="11"/>
        </w:numPr>
        <w:ind w:left="720"/>
        <w:jc w:val="both"/>
        <w:rPr>
          <w:rFonts w:ascii="Times New Roman" w:hAnsi="Times New Roman" w:cs="Times New Roman"/>
          <w:sz w:val="26"/>
          <w:szCs w:val="26"/>
        </w:rPr>
      </w:pPr>
      <w:r w:rsidRPr="006B03AD">
        <w:rPr>
          <w:rFonts w:ascii="Times New Roman" w:hAnsi="Times New Roman" w:cs="Times New Roman"/>
          <w:sz w:val="26"/>
          <w:szCs w:val="26"/>
        </w:rPr>
        <w:t>Tehnisko specifikāciju, kas nepieciešamas, lai izpildītu būtiskās drošuma prasības vai citas galvenās prasības, izstrādāšanas pienākums tiek uzticēts nacionālajai standartizācijas institūcijai;</w:t>
      </w:r>
    </w:p>
    <w:p w14:paraId="75C6B724" w14:textId="77777777" w:rsidR="00A076A1" w:rsidRPr="006B03AD" w:rsidRDefault="00A076A1" w:rsidP="00A076A1">
      <w:pPr>
        <w:pStyle w:val="ListParagraph"/>
        <w:numPr>
          <w:ilvl w:val="0"/>
          <w:numId w:val="11"/>
        </w:numPr>
        <w:ind w:left="720"/>
        <w:jc w:val="both"/>
        <w:rPr>
          <w:rFonts w:ascii="Times New Roman" w:hAnsi="Times New Roman" w:cs="Times New Roman"/>
          <w:sz w:val="26"/>
          <w:szCs w:val="26"/>
        </w:rPr>
      </w:pPr>
      <w:r w:rsidRPr="006B03AD">
        <w:rPr>
          <w:rFonts w:ascii="Times New Roman" w:hAnsi="Times New Roman" w:cs="Times New Roman"/>
          <w:sz w:val="26"/>
          <w:szCs w:val="26"/>
        </w:rPr>
        <w:t>Šīs tehniskās specifikācijas nav obligātas un saglabā savu brīvprātīgās piemērošanas statusu;</w:t>
      </w:r>
    </w:p>
    <w:p w14:paraId="636CD7E3" w14:textId="77777777" w:rsidR="00A076A1" w:rsidRPr="006B03AD" w:rsidRDefault="00A076A1" w:rsidP="00A076A1">
      <w:pPr>
        <w:pStyle w:val="ListParagraph"/>
        <w:numPr>
          <w:ilvl w:val="0"/>
          <w:numId w:val="11"/>
        </w:numPr>
        <w:ind w:left="720"/>
        <w:jc w:val="both"/>
        <w:rPr>
          <w:rFonts w:ascii="Times New Roman" w:hAnsi="Times New Roman" w:cs="Times New Roman"/>
          <w:sz w:val="26"/>
          <w:szCs w:val="26"/>
        </w:rPr>
      </w:pPr>
      <w:r w:rsidRPr="006B03AD">
        <w:rPr>
          <w:rFonts w:ascii="Times New Roman" w:hAnsi="Times New Roman" w:cs="Times New Roman"/>
          <w:sz w:val="26"/>
          <w:szCs w:val="26"/>
        </w:rPr>
        <w:t xml:space="preserve">Valsts pārvaldes institūcijām ir pienākums </w:t>
      </w:r>
      <w:proofErr w:type="spellStart"/>
      <w:r w:rsidRPr="006B03AD">
        <w:rPr>
          <w:rFonts w:ascii="Times New Roman" w:hAnsi="Times New Roman" w:cs="Times New Roman"/>
          <w:sz w:val="26"/>
          <w:szCs w:val="26"/>
        </w:rPr>
        <w:t>prezumēt</w:t>
      </w:r>
      <w:proofErr w:type="spellEnd"/>
      <w:r w:rsidRPr="006B03AD">
        <w:rPr>
          <w:rFonts w:ascii="Times New Roman" w:hAnsi="Times New Roman" w:cs="Times New Roman"/>
          <w:sz w:val="26"/>
          <w:szCs w:val="26"/>
        </w:rPr>
        <w:t xml:space="preserve"> attiecīgā produkta, procesa vai pakalpojuma, kurš atbilst piemērojamo standartu prasībām, atbilstību normatīvajos aktos noteiktajām prasībām. Vienlaikus attiecīgajai personai ir tiesības nepiemērot standartus, taču tādā gadījumā attiecīgajai personai ir pienākums pierādīt, ka produkts, process vai pakalpojums atbilst normatīvajos aktos noteiktajām prasībām līdzvērtīgā līmenī kā tas ir noteikts tehniskajās specifikācijās.</w:t>
      </w:r>
    </w:p>
    <w:p w14:paraId="61A30A63" w14:textId="77777777" w:rsidR="00A076A1" w:rsidRPr="006B03AD"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Ieviešot Jauno pieeju nacionālajā līmenī</w:t>
      </w:r>
      <w:r w:rsidR="00F44C47">
        <w:rPr>
          <w:rFonts w:ascii="Times New Roman" w:hAnsi="Times New Roman" w:cs="Times New Roman"/>
          <w:sz w:val="26"/>
          <w:szCs w:val="26"/>
        </w:rPr>
        <w:t>,</w:t>
      </w:r>
      <w:r w:rsidRPr="006B03AD">
        <w:rPr>
          <w:rFonts w:ascii="Times New Roman" w:hAnsi="Times New Roman" w:cs="Times New Roman"/>
          <w:sz w:val="26"/>
          <w:szCs w:val="26"/>
        </w:rPr>
        <w:t xml:space="preserve"> valstij no vienas puses nebūtu nepieciešams normatīvajos aktos iekļaut tehniskas un specifiskas normas, kas prasa plašu tehnisko ekspertīzi, jo šādu specifikāciju izstrādē valsts paļautos uz nozares pašregulācijas mehānismu – standartiem, kuri tiktu pieskaņot</w:t>
      </w:r>
      <w:r w:rsidR="00872F4B">
        <w:rPr>
          <w:rFonts w:ascii="Times New Roman" w:hAnsi="Times New Roman" w:cs="Times New Roman"/>
          <w:sz w:val="26"/>
          <w:szCs w:val="26"/>
        </w:rPr>
        <w:t>i</w:t>
      </w:r>
      <w:r w:rsidRPr="006B03AD">
        <w:rPr>
          <w:rFonts w:ascii="Times New Roman" w:hAnsi="Times New Roman" w:cs="Times New Roman"/>
          <w:sz w:val="26"/>
          <w:szCs w:val="26"/>
        </w:rPr>
        <w:t xml:space="preserve"> jaunākaja</w:t>
      </w:r>
      <w:r w:rsidR="00872F4B">
        <w:rPr>
          <w:rFonts w:ascii="Times New Roman" w:hAnsi="Times New Roman" w:cs="Times New Roman"/>
          <w:sz w:val="26"/>
          <w:szCs w:val="26"/>
        </w:rPr>
        <w:t>m</w:t>
      </w:r>
      <w:r w:rsidRPr="006B03AD">
        <w:rPr>
          <w:rFonts w:ascii="Times New Roman" w:hAnsi="Times New Roman" w:cs="Times New Roman"/>
          <w:sz w:val="26"/>
          <w:szCs w:val="26"/>
        </w:rPr>
        <w:t xml:space="preserve"> tehnoloģiskās un zinātniskās attīstības līmenim un sabiedrības kopējām interesēm, bet no otras puses tiktu veicināta standartizācijas attīstība un standartu plašāka pielietošana dažādu politikas nozar</w:t>
      </w:r>
      <w:r w:rsidR="00872F4B">
        <w:rPr>
          <w:rFonts w:ascii="Times New Roman" w:hAnsi="Times New Roman" w:cs="Times New Roman"/>
          <w:sz w:val="26"/>
          <w:szCs w:val="26"/>
        </w:rPr>
        <w:t>u</w:t>
      </w:r>
      <w:r w:rsidRPr="006B03AD">
        <w:rPr>
          <w:rFonts w:ascii="Times New Roman" w:hAnsi="Times New Roman" w:cs="Times New Roman"/>
          <w:sz w:val="26"/>
          <w:szCs w:val="26"/>
        </w:rPr>
        <w:t xml:space="preserve"> ieviešanas procesā.</w:t>
      </w:r>
    </w:p>
    <w:p w14:paraId="46D25985" w14:textId="77777777" w:rsidR="00A076A1" w:rsidRPr="006B03AD" w:rsidRDefault="00A076A1" w:rsidP="00A076A1">
      <w:pPr>
        <w:ind w:firstLine="360"/>
        <w:jc w:val="both"/>
        <w:rPr>
          <w:rFonts w:ascii="Times New Roman" w:hAnsi="Times New Roman" w:cs="Times New Roman"/>
          <w:sz w:val="26"/>
          <w:szCs w:val="26"/>
        </w:rPr>
      </w:pPr>
      <w:r w:rsidRPr="006B03AD">
        <w:rPr>
          <w:rFonts w:ascii="Times New Roman" w:hAnsi="Times New Roman" w:cs="Times New Roman"/>
          <w:sz w:val="26"/>
          <w:szCs w:val="26"/>
        </w:rPr>
        <w:t>Lai ieviestu Jauno pieeju nacionālajā tiesiskajā regulējumā un nodrošinātu tās sekmīgu funkcionēšanu, normatīvajos aktos, kas tiek izstrādāti, balstoties uz Jauno pieeju, ir iekļaujami šādi būtiski elementi:</w:t>
      </w:r>
    </w:p>
    <w:p w14:paraId="0EC13031" w14:textId="77777777" w:rsidR="00A076A1" w:rsidRPr="006B03AD" w:rsidRDefault="00A076A1" w:rsidP="00A076A1">
      <w:pPr>
        <w:pStyle w:val="ListParagraph"/>
        <w:numPr>
          <w:ilvl w:val="0"/>
          <w:numId w:val="12"/>
        </w:numPr>
        <w:jc w:val="both"/>
        <w:rPr>
          <w:rFonts w:ascii="Times New Roman" w:hAnsi="Times New Roman" w:cs="Times New Roman"/>
          <w:sz w:val="26"/>
          <w:szCs w:val="26"/>
        </w:rPr>
      </w:pPr>
      <w:r w:rsidRPr="006B03AD">
        <w:rPr>
          <w:rFonts w:ascii="Times New Roman" w:hAnsi="Times New Roman" w:cs="Times New Roman"/>
          <w:sz w:val="26"/>
          <w:szCs w:val="26"/>
        </w:rPr>
        <w:t>Būtisko prasību uzskaitījums</w:t>
      </w:r>
    </w:p>
    <w:p w14:paraId="2462785B" w14:textId="77777777" w:rsidR="00A076A1" w:rsidRPr="006B03AD"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Būtiskajām prasībām normatīvajos aktos ir jābūt precīzi un skaidri definētām, lai personām, kurām ir jāapliecina to izpilde, būtu iespēja izpildīt attiecīgās prasības arī gadījumā, ja piemērojamo standartu nav vai esošie nea</w:t>
      </w:r>
      <w:r w:rsidR="00E06E75">
        <w:rPr>
          <w:rFonts w:ascii="Times New Roman" w:hAnsi="Times New Roman" w:cs="Times New Roman"/>
          <w:sz w:val="26"/>
          <w:szCs w:val="26"/>
        </w:rPr>
        <w:t>p</w:t>
      </w:r>
      <w:r w:rsidRPr="006B03AD">
        <w:rPr>
          <w:rFonts w:ascii="Times New Roman" w:hAnsi="Times New Roman" w:cs="Times New Roman"/>
          <w:sz w:val="26"/>
          <w:szCs w:val="26"/>
        </w:rPr>
        <w:t>tver šo prasību izpildi pilnībā.</w:t>
      </w:r>
    </w:p>
    <w:p w14:paraId="70B00982" w14:textId="77777777" w:rsidR="00A076A1" w:rsidRPr="006B03AD" w:rsidRDefault="00A076A1" w:rsidP="00A076A1">
      <w:pPr>
        <w:pStyle w:val="ListParagraph"/>
        <w:numPr>
          <w:ilvl w:val="0"/>
          <w:numId w:val="12"/>
        </w:numPr>
        <w:jc w:val="both"/>
        <w:rPr>
          <w:rFonts w:ascii="Times New Roman" w:hAnsi="Times New Roman" w:cs="Times New Roman"/>
          <w:sz w:val="26"/>
          <w:szCs w:val="26"/>
        </w:rPr>
      </w:pPr>
      <w:r w:rsidRPr="006B03AD">
        <w:rPr>
          <w:rFonts w:ascii="Times New Roman" w:hAnsi="Times New Roman" w:cs="Times New Roman"/>
          <w:sz w:val="26"/>
          <w:szCs w:val="26"/>
        </w:rPr>
        <w:t>Piemērojamo standartu publicēšanas kārtība</w:t>
      </w:r>
    </w:p>
    <w:p w14:paraId="2C69A0E3" w14:textId="77777777" w:rsidR="00A076A1" w:rsidRPr="006B03AD"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Piemērojamo standartu apkopošanas un saraksta sastādīšanas pienākuma izpild</w:t>
      </w:r>
      <w:r w:rsidR="003C69B2">
        <w:rPr>
          <w:rFonts w:ascii="Times New Roman" w:hAnsi="Times New Roman" w:cs="Times New Roman"/>
          <w:sz w:val="26"/>
          <w:szCs w:val="26"/>
        </w:rPr>
        <w:t>e</w:t>
      </w:r>
      <w:r w:rsidRPr="006B03AD">
        <w:rPr>
          <w:rFonts w:ascii="Times New Roman" w:hAnsi="Times New Roman" w:cs="Times New Roman"/>
          <w:sz w:val="26"/>
          <w:szCs w:val="26"/>
        </w:rPr>
        <w:t xml:space="preserve"> ir jānodrošina attiecīgās nozares ministrijai, ņemot vērā nozares viedokli, kura minēto piemērojamo standartu sarakstu nosūta publicēšanai nacionālajai standartizācijas institūcijai savā interneta vietnē kā piemērojamos standartus zem attiecīgajiem normatīvajiem aktiem. Normatīvajos aktos iekļaujamo tiesību normu, kas nosaka piemērojamo standartu publicēšanas kārtību, piemērs:</w:t>
      </w:r>
    </w:p>
    <w:p w14:paraId="6B4DE43A" w14:textId="77777777" w:rsidR="00A076A1" w:rsidRPr="006B03AD" w:rsidRDefault="00A076A1" w:rsidP="00A076A1">
      <w:pPr>
        <w:ind w:firstLine="720"/>
        <w:jc w:val="both"/>
        <w:rPr>
          <w:rFonts w:ascii="Times New Roman" w:hAnsi="Times New Roman" w:cs="Times New Roman"/>
          <w:i/>
          <w:sz w:val="26"/>
          <w:szCs w:val="26"/>
        </w:rPr>
      </w:pPr>
      <w:r w:rsidRPr="006B03AD">
        <w:rPr>
          <w:rFonts w:ascii="Times New Roman" w:hAnsi="Times New Roman" w:cs="Times New Roman"/>
          <w:i/>
          <w:sz w:val="26"/>
          <w:szCs w:val="26"/>
        </w:rPr>
        <w:lastRenderedPageBreak/>
        <w:t>“1. Ekonomikas ministrija sadarbībā ar attiecīgo standartizācijas tehnisko komiteju iesaka nacionālajai standartizācijas institūcijai to standartu sarakstu, kurus var piemērot šo noteikumu prasību izpildei (turpmāk – piemērojamie standarti).</w:t>
      </w:r>
    </w:p>
    <w:p w14:paraId="26397504" w14:textId="77777777" w:rsidR="00A076A1" w:rsidRPr="006B03AD" w:rsidRDefault="00A076A1" w:rsidP="00A076A1">
      <w:pPr>
        <w:ind w:firstLine="720"/>
        <w:jc w:val="both"/>
        <w:rPr>
          <w:rFonts w:ascii="Times New Roman" w:hAnsi="Times New Roman" w:cs="Times New Roman"/>
          <w:i/>
          <w:sz w:val="26"/>
          <w:szCs w:val="26"/>
        </w:rPr>
      </w:pPr>
      <w:r w:rsidRPr="006B03AD">
        <w:rPr>
          <w:rFonts w:ascii="Times New Roman" w:hAnsi="Times New Roman" w:cs="Times New Roman"/>
          <w:i/>
          <w:sz w:val="26"/>
          <w:szCs w:val="26"/>
        </w:rPr>
        <w:t>2. Nacionālā standartizācijas ins</w:t>
      </w:r>
      <w:r w:rsidR="008D0CFA">
        <w:rPr>
          <w:rFonts w:ascii="Times New Roman" w:hAnsi="Times New Roman" w:cs="Times New Roman"/>
          <w:i/>
          <w:sz w:val="26"/>
          <w:szCs w:val="26"/>
        </w:rPr>
        <w:t>titūcija piemērojamos standartu sarakstu</w:t>
      </w:r>
      <w:r w:rsidRPr="006B03AD">
        <w:rPr>
          <w:rFonts w:ascii="Times New Roman" w:hAnsi="Times New Roman" w:cs="Times New Roman"/>
          <w:i/>
          <w:sz w:val="26"/>
          <w:szCs w:val="26"/>
        </w:rPr>
        <w:t xml:space="preserve"> publicē savā oficiālajā tīmekļa vietnē.”</w:t>
      </w:r>
    </w:p>
    <w:p w14:paraId="054ADC52" w14:textId="77777777" w:rsidR="00A076A1" w:rsidRPr="006B03AD" w:rsidRDefault="00A076A1" w:rsidP="00A076A1">
      <w:pPr>
        <w:pStyle w:val="ListParagraph"/>
        <w:numPr>
          <w:ilvl w:val="0"/>
          <w:numId w:val="12"/>
        </w:numPr>
        <w:jc w:val="both"/>
        <w:rPr>
          <w:rFonts w:ascii="Times New Roman" w:hAnsi="Times New Roman" w:cs="Times New Roman"/>
          <w:sz w:val="26"/>
          <w:szCs w:val="26"/>
        </w:rPr>
      </w:pPr>
      <w:r w:rsidRPr="006B03AD">
        <w:rPr>
          <w:rFonts w:ascii="Times New Roman" w:hAnsi="Times New Roman" w:cs="Times New Roman"/>
          <w:sz w:val="26"/>
          <w:szCs w:val="26"/>
        </w:rPr>
        <w:t>Atbilstības prezumpcijas klauzula un atbilstības apliecināšana</w:t>
      </w:r>
    </w:p>
    <w:p w14:paraId="23F2DC4E" w14:textId="77777777" w:rsidR="00A076A1" w:rsidRPr="006B03AD"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 xml:space="preserve">Viens no Jaunās pieejas pamatprincipiem ietver nosacījumu, ka piemērojamo standartu piemērošanas gadījumā tiek </w:t>
      </w:r>
      <w:proofErr w:type="spellStart"/>
      <w:r w:rsidR="00F926B7">
        <w:rPr>
          <w:rFonts w:ascii="Times New Roman" w:hAnsi="Times New Roman" w:cs="Times New Roman"/>
          <w:sz w:val="26"/>
          <w:szCs w:val="26"/>
        </w:rPr>
        <w:t>prezumēts</w:t>
      </w:r>
      <w:proofErr w:type="spellEnd"/>
      <w:r w:rsidR="00F926B7">
        <w:rPr>
          <w:rFonts w:ascii="Times New Roman" w:hAnsi="Times New Roman" w:cs="Times New Roman"/>
          <w:sz w:val="26"/>
          <w:szCs w:val="26"/>
        </w:rPr>
        <w:t>, ka attiecīgā prece, pakalpojums vai process atbilst</w:t>
      </w:r>
      <w:r w:rsidRPr="006B03AD">
        <w:rPr>
          <w:rFonts w:ascii="Times New Roman" w:hAnsi="Times New Roman" w:cs="Times New Roman"/>
          <w:sz w:val="26"/>
          <w:szCs w:val="26"/>
        </w:rPr>
        <w:t xml:space="preserve"> normatīvajos aktos noteiktajām prasībām. Vienlaikus svarīgi uzsvērt, ka atbilstības pieņēmums pats par sevi nav absolūts, jo paša standarta atbilstība var tikt apšaubīta. Līdz ar to prece, pakalpojums vai process tiek uzskatīts par atbilstošu noteiktajām prasībām, ja netiek pierādīts pretējais. Tādējādi piemērojam</w:t>
      </w:r>
      <w:r w:rsidR="009914BD">
        <w:rPr>
          <w:rFonts w:ascii="Times New Roman" w:hAnsi="Times New Roman" w:cs="Times New Roman"/>
          <w:sz w:val="26"/>
          <w:szCs w:val="26"/>
        </w:rPr>
        <w:t>ā</w:t>
      </w:r>
      <w:r w:rsidRPr="006B03AD">
        <w:rPr>
          <w:rFonts w:ascii="Times New Roman" w:hAnsi="Times New Roman" w:cs="Times New Roman"/>
          <w:sz w:val="26"/>
          <w:szCs w:val="26"/>
        </w:rPr>
        <w:t xml:space="preserve"> standarta izmantošanas gadījumā tā piemērotājam tiek nodrošināta tiesiskā noteiktība, jo tam nav pienākuma pierādīt preces, pakalpojuma vai procesa atbilstību normatīvajos aktos izvirzītajām prasībām. Līdz ar to normatīvajos aktos būtu ietverama atbilstības prezumpcijas klauzula, kuras piemērs varētu būt šāds: </w:t>
      </w:r>
    </w:p>
    <w:p w14:paraId="36FA5DC0" w14:textId="77777777" w:rsidR="00A076A1" w:rsidRPr="006B03AD" w:rsidRDefault="00A076A1" w:rsidP="00A076A1">
      <w:pPr>
        <w:ind w:firstLine="720"/>
        <w:jc w:val="both"/>
        <w:rPr>
          <w:rFonts w:ascii="Times New Roman" w:hAnsi="Times New Roman" w:cs="Times New Roman"/>
          <w:i/>
          <w:sz w:val="26"/>
          <w:szCs w:val="26"/>
        </w:rPr>
      </w:pPr>
      <w:r w:rsidRPr="006B03AD">
        <w:rPr>
          <w:rFonts w:ascii="Times New Roman" w:hAnsi="Times New Roman" w:cs="Times New Roman"/>
          <w:i/>
          <w:sz w:val="26"/>
          <w:szCs w:val="26"/>
        </w:rPr>
        <w:t>“1. Ja attiecīgā prece/pakalpojums/process</w:t>
      </w:r>
      <w:r w:rsidR="00624B4D">
        <w:rPr>
          <w:rFonts w:ascii="Times New Roman" w:hAnsi="Times New Roman" w:cs="Times New Roman"/>
          <w:i/>
          <w:sz w:val="26"/>
          <w:szCs w:val="26"/>
        </w:rPr>
        <w:t xml:space="preserve"> </w:t>
      </w:r>
      <w:r w:rsidRPr="006B03AD">
        <w:rPr>
          <w:rFonts w:ascii="Times New Roman" w:hAnsi="Times New Roman" w:cs="Times New Roman"/>
          <w:i/>
          <w:sz w:val="26"/>
          <w:szCs w:val="26"/>
        </w:rPr>
        <w:t xml:space="preserve">(norāda attiecīgo nosaukumu) atbilst piemērojamo standartu vai </w:t>
      </w:r>
      <w:r w:rsidR="00592927">
        <w:rPr>
          <w:rFonts w:ascii="Times New Roman" w:hAnsi="Times New Roman" w:cs="Times New Roman"/>
          <w:i/>
          <w:sz w:val="26"/>
          <w:szCs w:val="26"/>
        </w:rPr>
        <w:t>to</w:t>
      </w:r>
      <w:r w:rsidRPr="006B03AD">
        <w:rPr>
          <w:rFonts w:ascii="Times New Roman" w:hAnsi="Times New Roman" w:cs="Times New Roman"/>
          <w:i/>
          <w:sz w:val="26"/>
          <w:szCs w:val="26"/>
        </w:rPr>
        <w:t xml:space="preserve"> daļu prasībām, uzskatāms, ka tas/tā atbilst šo noteikumu X punktā/nodaļā noteiktajām būtiskajām prasībām, kuras aptver šie standarti</w:t>
      </w:r>
      <w:r w:rsidR="00F926B7">
        <w:rPr>
          <w:rFonts w:ascii="Times New Roman" w:hAnsi="Times New Roman" w:cs="Times New Roman"/>
          <w:i/>
          <w:sz w:val="26"/>
          <w:szCs w:val="26"/>
        </w:rPr>
        <w:t xml:space="preserve"> vai to daļas</w:t>
      </w:r>
      <w:r w:rsidRPr="006B03AD">
        <w:rPr>
          <w:rFonts w:ascii="Times New Roman" w:hAnsi="Times New Roman" w:cs="Times New Roman"/>
          <w:i/>
          <w:sz w:val="26"/>
          <w:szCs w:val="26"/>
        </w:rPr>
        <w:t>.”</w:t>
      </w:r>
    </w:p>
    <w:p w14:paraId="3DEB582E" w14:textId="77777777" w:rsidR="00A076A1" w:rsidRPr="006B03AD" w:rsidRDefault="00A076A1" w:rsidP="00A076A1">
      <w:pPr>
        <w:ind w:firstLine="720"/>
        <w:jc w:val="both"/>
        <w:rPr>
          <w:rFonts w:ascii="Times New Roman" w:hAnsi="Times New Roman" w:cs="Times New Roman"/>
          <w:sz w:val="26"/>
          <w:szCs w:val="26"/>
        </w:rPr>
      </w:pPr>
      <w:r w:rsidRPr="006B03AD">
        <w:rPr>
          <w:rFonts w:ascii="Times New Roman" w:hAnsi="Times New Roman" w:cs="Times New Roman"/>
          <w:sz w:val="26"/>
          <w:szCs w:val="26"/>
        </w:rPr>
        <w:t>Vienlaikus, ņemot vērā attiecīgās nozares specifiku un paredzamās neatbilstošās preces, pakalpojuma vai procesa radītās sekas, normatīvajā aktā ir nosakāma kārtība, kādā tiek apliecināta preces, pakalpojuma vai procesa atbilstība piemērojamo standartu prasībām vai normatīvajos aktos noteiktajām būtiskajām prasībām, ja piemērojamo standartu nav vai tie netiek piemēroti. Iespējamie atbilstības apliecināšanas veidi:</w:t>
      </w:r>
    </w:p>
    <w:p w14:paraId="08A2B6DA" w14:textId="77777777" w:rsidR="00A076A1" w:rsidRPr="006B03AD" w:rsidRDefault="00A076A1" w:rsidP="00A076A1">
      <w:pPr>
        <w:pStyle w:val="ListParagraph"/>
        <w:numPr>
          <w:ilvl w:val="0"/>
          <w:numId w:val="13"/>
        </w:numPr>
        <w:ind w:left="709"/>
        <w:jc w:val="both"/>
        <w:rPr>
          <w:rFonts w:ascii="Times New Roman" w:hAnsi="Times New Roman" w:cs="Times New Roman"/>
          <w:sz w:val="26"/>
          <w:szCs w:val="26"/>
        </w:rPr>
      </w:pPr>
      <w:proofErr w:type="spellStart"/>
      <w:r w:rsidRPr="006B03AD">
        <w:rPr>
          <w:rFonts w:ascii="Times New Roman" w:hAnsi="Times New Roman" w:cs="Times New Roman"/>
          <w:sz w:val="26"/>
          <w:szCs w:val="26"/>
        </w:rPr>
        <w:t>Pašsertifikācija</w:t>
      </w:r>
      <w:proofErr w:type="spellEnd"/>
      <w:r w:rsidRPr="006B03AD">
        <w:rPr>
          <w:rFonts w:ascii="Times New Roman" w:hAnsi="Times New Roman" w:cs="Times New Roman"/>
          <w:sz w:val="26"/>
          <w:szCs w:val="26"/>
        </w:rPr>
        <w:t xml:space="preserve"> – process, kurā preces ražotājs, pakalpojuma sniedzējs vai atbildīgais par attiecīgo procesu apliecina attiecīgā objekta atbilstību izvirzītajām prasībām, neiesaistot trešo pusi, proti, atbilstības novērtēšanas institūciju;</w:t>
      </w:r>
    </w:p>
    <w:p w14:paraId="654D9060" w14:textId="77777777" w:rsidR="00A076A1" w:rsidRPr="006B03AD" w:rsidRDefault="00A076A1" w:rsidP="00A076A1">
      <w:pPr>
        <w:pStyle w:val="ListParagraph"/>
        <w:numPr>
          <w:ilvl w:val="0"/>
          <w:numId w:val="13"/>
        </w:numPr>
        <w:ind w:left="709"/>
        <w:jc w:val="both"/>
        <w:rPr>
          <w:rFonts w:ascii="Times New Roman" w:hAnsi="Times New Roman" w:cs="Times New Roman"/>
          <w:sz w:val="26"/>
          <w:szCs w:val="26"/>
        </w:rPr>
      </w:pPr>
      <w:r w:rsidRPr="006B03AD">
        <w:rPr>
          <w:rFonts w:ascii="Times New Roman" w:hAnsi="Times New Roman" w:cs="Times New Roman"/>
          <w:sz w:val="26"/>
          <w:szCs w:val="26"/>
        </w:rPr>
        <w:t>Trešās puses novērtējums – process, kurā preces, pakalpojumu vai procesa atbilstības novērtēšanas procesā (testēšana, sertifikācija) tiek iesaistīta atbilstības novērtēšanas institūcija;</w:t>
      </w:r>
    </w:p>
    <w:p w14:paraId="6BA8A224" w14:textId="77777777" w:rsidR="00A076A1" w:rsidRPr="006B03AD" w:rsidRDefault="00A076A1" w:rsidP="00A076A1">
      <w:pPr>
        <w:pStyle w:val="ListParagraph"/>
        <w:numPr>
          <w:ilvl w:val="0"/>
          <w:numId w:val="13"/>
        </w:numPr>
        <w:ind w:left="709"/>
        <w:jc w:val="both"/>
        <w:rPr>
          <w:rFonts w:ascii="Times New Roman" w:hAnsi="Times New Roman" w:cs="Times New Roman"/>
          <w:sz w:val="26"/>
          <w:szCs w:val="26"/>
        </w:rPr>
      </w:pPr>
      <w:r w:rsidRPr="006B03AD">
        <w:rPr>
          <w:rFonts w:ascii="Times New Roman" w:hAnsi="Times New Roman" w:cs="Times New Roman"/>
          <w:sz w:val="26"/>
          <w:szCs w:val="26"/>
        </w:rPr>
        <w:t>Cita novērtēšanas metode, kas noteikta specifiskajā normatīvajā aktā, piemēram, valsts institūciju novērtējums, izsniegtās atļaujas, utt., par preces, pakalpojuma vai procesa atbilstību izvirzītajām prasībām.</w:t>
      </w:r>
    </w:p>
    <w:p w14:paraId="3F61352A" w14:textId="77777777" w:rsidR="00A076A1" w:rsidRPr="006B03AD" w:rsidRDefault="00A076A1" w:rsidP="00A076A1">
      <w:pPr>
        <w:jc w:val="both"/>
        <w:rPr>
          <w:rFonts w:ascii="Times New Roman" w:hAnsi="Times New Roman" w:cs="Times New Roman"/>
          <w:sz w:val="26"/>
          <w:szCs w:val="26"/>
        </w:rPr>
      </w:pPr>
    </w:p>
    <w:p w14:paraId="0F41704A" w14:textId="77777777" w:rsidR="00A076A1" w:rsidRDefault="00A076A1" w:rsidP="00A076A1">
      <w:pPr>
        <w:ind w:firstLine="349"/>
        <w:jc w:val="both"/>
        <w:rPr>
          <w:rFonts w:ascii="Times New Roman" w:hAnsi="Times New Roman" w:cs="Times New Roman"/>
          <w:sz w:val="26"/>
          <w:szCs w:val="26"/>
        </w:rPr>
      </w:pPr>
      <w:r w:rsidRPr="006B03AD">
        <w:rPr>
          <w:rFonts w:ascii="Times New Roman" w:hAnsi="Times New Roman" w:cs="Times New Roman"/>
          <w:sz w:val="26"/>
          <w:szCs w:val="26"/>
        </w:rPr>
        <w:t>Vienlaikus likumdevējam būtu jāsaglabā iespējas noteikt noteiktus standartu</w:t>
      </w:r>
      <w:r w:rsidR="005D5D31">
        <w:rPr>
          <w:rFonts w:ascii="Times New Roman" w:hAnsi="Times New Roman" w:cs="Times New Roman"/>
          <w:sz w:val="26"/>
          <w:szCs w:val="26"/>
        </w:rPr>
        <w:t>s</w:t>
      </w:r>
      <w:r w:rsidRPr="006B03AD">
        <w:rPr>
          <w:rFonts w:ascii="Times New Roman" w:hAnsi="Times New Roman" w:cs="Times New Roman"/>
          <w:sz w:val="26"/>
          <w:szCs w:val="26"/>
        </w:rPr>
        <w:t xml:space="preserve"> par obligāti piemērojamiem. Neskatoties uz to, ka šāds rīcības modelis nav atzīstams par labu praksi, šāda iespēja likumdevējam būtu jāizmanto izņēmuma gadījumos, kad attiecīgā jautājuma noregulēšana, ņemot vērā faktisko apstākļu kopumu, nav iespēja</w:t>
      </w:r>
      <w:r w:rsidR="00E13E3D">
        <w:rPr>
          <w:rFonts w:ascii="Times New Roman" w:hAnsi="Times New Roman" w:cs="Times New Roman"/>
          <w:sz w:val="26"/>
          <w:szCs w:val="26"/>
        </w:rPr>
        <w:t>ma,</w:t>
      </w:r>
      <w:r w:rsidRPr="006B03AD">
        <w:rPr>
          <w:rFonts w:ascii="Times New Roman" w:hAnsi="Times New Roman" w:cs="Times New Roman"/>
          <w:sz w:val="26"/>
          <w:szCs w:val="26"/>
        </w:rPr>
        <w:t xml:space="preserve"> izmantojot Jauno pieeju. Taču arī šādā gadījumā </w:t>
      </w:r>
      <w:r w:rsidR="00F47133">
        <w:rPr>
          <w:rFonts w:ascii="Times New Roman" w:hAnsi="Times New Roman" w:cs="Times New Roman"/>
          <w:sz w:val="26"/>
          <w:szCs w:val="26"/>
        </w:rPr>
        <w:t xml:space="preserve">standarts </w:t>
      </w:r>
      <w:r w:rsidRPr="006B03AD">
        <w:rPr>
          <w:rFonts w:ascii="Times New Roman" w:hAnsi="Times New Roman" w:cs="Times New Roman"/>
          <w:sz w:val="26"/>
          <w:szCs w:val="26"/>
        </w:rPr>
        <w:t>saglabā savu autortiesību objekta statusu</w:t>
      </w:r>
      <w:r w:rsidR="00F47133">
        <w:rPr>
          <w:rFonts w:ascii="Times New Roman" w:hAnsi="Times New Roman" w:cs="Times New Roman"/>
          <w:sz w:val="26"/>
          <w:szCs w:val="26"/>
        </w:rPr>
        <w:t>,</w:t>
      </w:r>
      <w:r w:rsidRPr="006B03AD">
        <w:rPr>
          <w:rFonts w:ascii="Times New Roman" w:hAnsi="Times New Roman" w:cs="Times New Roman"/>
          <w:sz w:val="26"/>
          <w:szCs w:val="26"/>
        </w:rPr>
        <w:t xml:space="preserve"> netiek mainīta standarta būtība un standarti nekļūst par normatīvo aktu. Ar standarta noteikšanu par obligāti piemērojamu likumdevējs atzīst nozares pašas izstrādāto risinājumu par atbilstošu un efektīvu līdzekli sabiedrības kopēju interešu īstenošanai. Vienlaikus likumdevējs saglabā kontroli par turpmākajām standartos veicamajām izmaiņām, proti, veic izvērtējumu</w:t>
      </w:r>
      <w:r w:rsidR="009F09A6">
        <w:rPr>
          <w:rFonts w:ascii="Times New Roman" w:hAnsi="Times New Roman" w:cs="Times New Roman"/>
          <w:sz w:val="26"/>
          <w:szCs w:val="26"/>
        </w:rPr>
        <w:t>,</w:t>
      </w:r>
      <w:r w:rsidRPr="006B03AD">
        <w:rPr>
          <w:rFonts w:ascii="Times New Roman" w:hAnsi="Times New Roman" w:cs="Times New Roman"/>
          <w:sz w:val="26"/>
          <w:szCs w:val="26"/>
        </w:rPr>
        <w:t xml:space="preserve"> vai veiktās izmaiņas joprojām atbilst tam mērķim, kas nepieciešams sabiedrības interešu ievērošanai un nepieciešamības gadījumā veic izmaiņas normatīvajā regulējumā, koriģējot atsauci uz laboto standartu. </w:t>
      </w:r>
      <w:r w:rsidRPr="006B03AD">
        <w:rPr>
          <w:rFonts w:ascii="Times New Roman" w:hAnsi="Times New Roman" w:cs="Times New Roman"/>
          <w:sz w:val="26"/>
          <w:szCs w:val="26"/>
        </w:rPr>
        <w:lastRenderedPageBreak/>
        <w:t>Kā uzskatām</w:t>
      </w:r>
      <w:r w:rsidR="009F09A6">
        <w:rPr>
          <w:rFonts w:ascii="Times New Roman" w:hAnsi="Times New Roman" w:cs="Times New Roman"/>
          <w:sz w:val="26"/>
          <w:szCs w:val="26"/>
        </w:rPr>
        <w:t>s</w:t>
      </w:r>
      <w:r w:rsidRPr="006B03AD">
        <w:rPr>
          <w:rFonts w:ascii="Times New Roman" w:hAnsi="Times New Roman" w:cs="Times New Roman"/>
          <w:sz w:val="26"/>
          <w:szCs w:val="26"/>
        </w:rPr>
        <w:t xml:space="preserve"> piemērs tiešo atsauču uz standartiem izmantošanai normatīvajos aktos ir gadījumi, kad šādas atsauces jau tiek veidotas Eiropas Savienības tiesiskajā regulējumā, līdz ar to tiešo atsauču uz standartiem lietošana arī nacionālajā tiesiskajā regulējuma ir neizbēgama.</w:t>
      </w:r>
    </w:p>
    <w:p w14:paraId="48AFB85D" w14:textId="741D1835" w:rsidR="00851950" w:rsidRPr="006B03AD" w:rsidRDefault="00851950" w:rsidP="00A076A1">
      <w:pPr>
        <w:ind w:firstLine="349"/>
        <w:jc w:val="both"/>
        <w:rPr>
          <w:rFonts w:ascii="Times New Roman" w:hAnsi="Times New Roman" w:cs="Times New Roman"/>
          <w:sz w:val="26"/>
          <w:szCs w:val="26"/>
        </w:rPr>
      </w:pPr>
      <w:r w:rsidRPr="006B03AD">
        <w:rPr>
          <w:rFonts w:ascii="Times New Roman" w:hAnsi="Times New Roman" w:cs="Times New Roman"/>
          <w:sz w:val="26"/>
          <w:szCs w:val="26"/>
        </w:rPr>
        <w:t>Tādējādi nozaru ministrijām</w:t>
      </w:r>
      <w:r>
        <w:rPr>
          <w:rFonts w:ascii="Times New Roman" w:hAnsi="Times New Roman" w:cs="Times New Roman"/>
          <w:sz w:val="26"/>
          <w:szCs w:val="26"/>
        </w:rPr>
        <w:t>,</w:t>
      </w:r>
      <w:r w:rsidRPr="006B03AD">
        <w:rPr>
          <w:rFonts w:ascii="Times New Roman" w:hAnsi="Times New Roman" w:cs="Times New Roman"/>
          <w:sz w:val="26"/>
          <w:szCs w:val="26"/>
        </w:rPr>
        <w:t xml:space="preserve"> </w:t>
      </w:r>
      <w:r>
        <w:rPr>
          <w:rFonts w:ascii="Times New Roman" w:hAnsi="Times New Roman" w:cs="Times New Roman"/>
          <w:sz w:val="26"/>
          <w:szCs w:val="26"/>
        </w:rPr>
        <w:t xml:space="preserve">izstrādājot normatīvos aktos vai veicot grozījumus spēkā esošajos normatīvajos aktos, kuros tiek izmantotas tiešās atsauces uz standartiem, būtu jāizvērtē iespējas </w:t>
      </w:r>
      <w:r w:rsidRPr="006B03AD">
        <w:rPr>
          <w:rFonts w:ascii="Times New Roman" w:hAnsi="Times New Roman" w:cs="Times New Roman"/>
          <w:sz w:val="26"/>
          <w:szCs w:val="26"/>
        </w:rPr>
        <w:t>atteikties tajos no tiešo atsauču uz standartiem izmantošanas, aizstājot tās ar netiešajām atsaucēm.</w:t>
      </w:r>
    </w:p>
    <w:p w14:paraId="579D6CA2" w14:textId="77777777" w:rsidR="00A076A1" w:rsidRPr="006B03AD" w:rsidRDefault="00A076A1" w:rsidP="00A076A1">
      <w:pPr>
        <w:jc w:val="both"/>
        <w:rPr>
          <w:rFonts w:ascii="Times New Roman" w:hAnsi="Times New Roman" w:cs="Times New Roman"/>
          <w:sz w:val="26"/>
          <w:szCs w:val="26"/>
        </w:rPr>
      </w:pPr>
    </w:p>
    <w:p w14:paraId="4D5D5DAA" w14:textId="77777777" w:rsidR="00A076A1" w:rsidRPr="00226850" w:rsidRDefault="00A076A1" w:rsidP="00A076A1">
      <w:pPr>
        <w:pStyle w:val="ListParagraph"/>
        <w:numPr>
          <w:ilvl w:val="0"/>
          <w:numId w:val="9"/>
        </w:numPr>
        <w:jc w:val="both"/>
        <w:rPr>
          <w:rFonts w:ascii="Times New Roman" w:hAnsi="Times New Roman" w:cs="Times New Roman"/>
          <w:sz w:val="26"/>
          <w:szCs w:val="26"/>
          <w:u w:val="single"/>
        </w:rPr>
      </w:pPr>
      <w:r w:rsidRPr="00226850">
        <w:rPr>
          <w:rFonts w:ascii="Times New Roman" w:hAnsi="Times New Roman" w:cs="Times New Roman"/>
          <w:sz w:val="26"/>
          <w:szCs w:val="26"/>
          <w:u w:val="single"/>
        </w:rPr>
        <w:t>Mandātu sistēmas ieviešana</w:t>
      </w:r>
    </w:p>
    <w:p w14:paraId="11DF224B" w14:textId="77777777" w:rsidR="00A076A1" w:rsidRPr="006B03AD"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Būtisks nosacījums sekmīgai Jaunās pieejas funkcionēšanai nacionālajā līmenī ir standartu esamība un to pieejamība. Abus minētos jautājumus iespējamais risinājums ir mandātu sistēmas ieviešana attiecībā uz šādiem aspektiem:</w:t>
      </w:r>
    </w:p>
    <w:p w14:paraId="3833616D" w14:textId="77777777" w:rsidR="00A076A1" w:rsidRPr="006B03AD" w:rsidRDefault="00A076A1" w:rsidP="00A076A1">
      <w:pPr>
        <w:pStyle w:val="ListParagraph"/>
        <w:numPr>
          <w:ilvl w:val="0"/>
          <w:numId w:val="14"/>
        </w:numPr>
        <w:jc w:val="both"/>
        <w:rPr>
          <w:rFonts w:ascii="Times New Roman" w:hAnsi="Times New Roman" w:cs="Times New Roman"/>
          <w:sz w:val="26"/>
          <w:szCs w:val="26"/>
        </w:rPr>
      </w:pPr>
      <w:r w:rsidRPr="006B03AD">
        <w:rPr>
          <w:rFonts w:ascii="Times New Roman" w:hAnsi="Times New Roman" w:cs="Times New Roman"/>
          <w:sz w:val="26"/>
          <w:szCs w:val="26"/>
        </w:rPr>
        <w:t>Nepieciešamo Latvijas nacionālo standartu izstrāde jomās, kurās nav reģionālo vai starptautisko standartu;</w:t>
      </w:r>
    </w:p>
    <w:p w14:paraId="262D65B2" w14:textId="50D1B1C3" w:rsidR="00A076A1" w:rsidRPr="006B03AD" w:rsidRDefault="00A076A1" w:rsidP="00A076A1">
      <w:pPr>
        <w:pStyle w:val="ListParagraph"/>
        <w:numPr>
          <w:ilvl w:val="0"/>
          <w:numId w:val="14"/>
        </w:numPr>
        <w:jc w:val="both"/>
        <w:rPr>
          <w:rFonts w:ascii="Times New Roman" w:hAnsi="Times New Roman" w:cs="Times New Roman"/>
          <w:sz w:val="26"/>
          <w:szCs w:val="26"/>
        </w:rPr>
      </w:pPr>
      <w:r w:rsidRPr="006B03AD">
        <w:rPr>
          <w:rFonts w:ascii="Times New Roman" w:hAnsi="Times New Roman" w:cs="Times New Roman"/>
          <w:sz w:val="26"/>
          <w:szCs w:val="26"/>
        </w:rPr>
        <w:t>Latvijas nacionālo standartu statusā adaptēto un noteiktā kārtībā reģistrēto reģionālo un starptautisko standartizācijas organizācijas standartu tulkošana valsts valodā.</w:t>
      </w:r>
    </w:p>
    <w:p w14:paraId="0C9E599C" w14:textId="0203D6C2" w:rsidR="002C66CA"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 xml:space="preserve">Tādējādi tiktu izveidota sistēma, ka gan uz standartu izstrādi, gan arī uz </w:t>
      </w:r>
      <w:r w:rsidR="004A5C52">
        <w:rPr>
          <w:rFonts w:ascii="Times New Roman" w:hAnsi="Times New Roman" w:cs="Times New Roman"/>
          <w:sz w:val="26"/>
          <w:szCs w:val="26"/>
        </w:rPr>
        <w:t>obligāt</w:t>
      </w:r>
      <w:r w:rsidR="005646CE">
        <w:rPr>
          <w:rFonts w:ascii="Times New Roman" w:hAnsi="Times New Roman" w:cs="Times New Roman"/>
          <w:sz w:val="26"/>
          <w:szCs w:val="26"/>
        </w:rPr>
        <w:t xml:space="preserve">i </w:t>
      </w:r>
      <w:proofErr w:type="spellStart"/>
      <w:r w:rsidR="005646CE">
        <w:rPr>
          <w:rFonts w:ascii="Times New Roman" w:hAnsi="Times New Roman" w:cs="Times New Roman"/>
          <w:sz w:val="26"/>
          <w:szCs w:val="26"/>
        </w:rPr>
        <w:t>piemēroajmo</w:t>
      </w:r>
      <w:proofErr w:type="spellEnd"/>
      <w:r w:rsidR="004A5C52">
        <w:rPr>
          <w:rFonts w:ascii="Times New Roman" w:hAnsi="Times New Roman" w:cs="Times New Roman"/>
          <w:sz w:val="26"/>
          <w:szCs w:val="26"/>
        </w:rPr>
        <w:t xml:space="preserve"> un piemērojamo </w:t>
      </w:r>
      <w:r w:rsidRPr="006B03AD">
        <w:rPr>
          <w:rFonts w:ascii="Times New Roman" w:hAnsi="Times New Roman" w:cs="Times New Roman"/>
          <w:sz w:val="26"/>
          <w:szCs w:val="26"/>
        </w:rPr>
        <w:t xml:space="preserve">standartu tulkošanu tiktu piemērota vienota pieeja un šo darbu izpildi nodrošinātu nacionālā standartizācijas institūcija. Rezultātā ne tikai standartu izstrādes, bet arī to tulkošanas procesā tiktu veicināta nozares speciālistu iesaiste, kas būtiski samazinātu standartu tulkošanas neprecizitātes, samazinot arī standartu kļūdainas piemērošanas gadījumus un interpretācijas jautājumus. </w:t>
      </w:r>
      <w:r w:rsidR="00490AB9">
        <w:rPr>
          <w:rFonts w:ascii="Times New Roman" w:hAnsi="Times New Roman" w:cs="Times New Roman"/>
          <w:sz w:val="26"/>
          <w:szCs w:val="26"/>
        </w:rPr>
        <w:t xml:space="preserve">Ievērojot, ka Ekonomikas ministrija ir vadošā valsts pārvaldes institūcija </w:t>
      </w:r>
      <w:r w:rsidR="002C66CA">
        <w:rPr>
          <w:rFonts w:ascii="Times New Roman" w:hAnsi="Times New Roman" w:cs="Times New Roman"/>
          <w:sz w:val="26"/>
          <w:szCs w:val="26"/>
        </w:rPr>
        <w:t>standartizācijas politikas izstrādē, nākošā gada darba plāns attiecībā uz nepieciešamo standartu tulkošanu un izstrādi būtu jāsagatavo Ekonomikas ministrijai, balstoties uz nozares ministriju iesniegto informāciju</w:t>
      </w:r>
      <w:r w:rsidR="00AB773C">
        <w:rPr>
          <w:rFonts w:ascii="Times New Roman" w:hAnsi="Times New Roman" w:cs="Times New Roman"/>
          <w:sz w:val="26"/>
          <w:szCs w:val="26"/>
        </w:rPr>
        <w:t>, kas sagatavot</w:t>
      </w:r>
      <w:r w:rsidR="007D16E4">
        <w:rPr>
          <w:rFonts w:ascii="Times New Roman" w:hAnsi="Times New Roman" w:cs="Times New Roman"/>
          <w:sz w:val="26"/>
          <w:szCs w:val="26"/>
        </w:rPr>
        <w:t>a</w:t>
      </w:r>
      <w:r w:rsidR="00AB773C">
        <w:rPr>
          <w:rFonts w:ascii="Times New Roman" w:hAnsi="Times New Roman" w:cs="Times New Roman"/>
          <w:sz w:val="26"/>
          <w:szCs w:val="26"/>
        </w:rPr>
        <w:t xml:space="preserve"> pēc konsultācijām ar attiecīgajām standartizācijas tehniskajām komitejām</w:t>
      </w:r>
      <w:r w:rsidR="0020259F">
        <w:rPr>
          <w:rFonts w:ascii="Times New Roman" w:hAnsi="Times New Roman" w:cs="Times New Roman"/>
          <w:sz w:val="26"/>
          <w:szCs w:val="26"/>
        </w:rPr>
        <w:t>. Darba plān</w:t>
      </w:r>
      <w:r w:rsidR="00C83F97">
        <w:rPr>
          <w:rFonts w:ascii="Times New Roman" w:hAnsi="Times New Roman" w:cs="Times New Roman"/>
          <w:sz w:val="26"/>
          <w:szCs w:val="26"/>
        </w:rPr>
        <w:t>s būtu sadalāms divās daļās: 1) standarti, kurus nepieciešams izstrādāt; 2) tulkojamie standarti, no kuriem prioritāte būtu obligāti piemērojamie standarti. Pēc darba plāna izstrā</w:t>
      </w:r>
      <w:r w:rsidR="00387C36">
        <w:rPr>
          <w:rFonts w:ascii="Times New Roman" w:hAnsi="Times New Roman" w:cs="Times New Roman"/>
          <w:sz w:val="26"/>
          <w:szCs w:val="26"/>
        </w:rPr>
        <w:t>des Ekonomikas ministrija virzītu to apstiprināšanai Nacionālajā standartizācijas padomē.</w:t>
      </w:r>
    </w:p>
    <w:p w14:paraId="2B5C26A7" w14:textId="77777777" w:rsidR="00CC22F8" w:rsidRPr="006B03AD" w:rsidRDefault="00CC22F8" w:rsidP="00A076A1">
      <w:pPr>
        <w:jc w:val="both"/>
        <w:rPr>
          <w:rFonts w:ascii="Times New Roman" w:hAnsi="Times New Roman" w:cs="Times New Roman"/>
          <w:sz w:val="26"/>
          <w:szCs w:val="26"/>
        </w:rPr>
      </w:pPr>
    </w:p>
    <w:p w14:paraId="5A521E48" w14:textId="77777777" w:rsidR="00571886" w:rsidRDefault="00571886" w:rsidP="00A076A1">
      <w:pPr>
        <w:jc w:val="center"/>
        <w:rPr>
          <w:rFonts w:ascii="Times New Roman" w:hAnsi="Times New Roman" w:cs="Times New Roman"/>
          <w:b/>
        </w:rPr>
      </w:pPr>
    </w:p>
    <w:p w14:paraId="1B609D7B" w14:textId="77777777" w:rsidR="00571886" w:rsidRDefault="00571886" w:rsidP="00A076A1">
      <w:pPr>
        <w:jc w:val="center"/>
        <w:rPr>
          <w:rFonts w:ascii="Times New Roman" w:hAnsi="Times New Roman" w:cs="Times New Roman"/>
          <w:b/>
        </w:rPr>
      </w:pPr>
    </w:p>
    <w:p w14:paraId="64862BAF" w14:textId="77777777" w:rsidR="00571886" w:rsidRDefault="00571886" w:rsidP="00A076A1">
      <w:pPr>
        <w:jc w:val="center"/>
        <w:rPr>
          <w:rFonts w:ascii="Times New Roman" w:hAnsi="Times New Roman" w:cs="Times New Roman"/>
          <w:b/>
        </w:rPr>
      </w:pPr>
    </w:p>
    <w:p w14:paraId="0A46B4AA" w14:textId="77777777" w:rsidR="00571886" w:rsidRDefault="00571886" w:rsidP="00A076A1">
      <w:pPr>
        <w:jc w:val="center"/>
        <w:rPr>
          <w:rFonts w:ascii="Times New Roman" w:hAnsi="Times New Roman" w:cs="Times New Roman"/>
          <w:b/>
        </w:rPr>
      </w:pPr>
    </w:p>
    <w:p w14:paraId="558D9A4D" w14:textId="77777777" w:rsidR="00571886" w:rsidRDefault="00571886" w:rsidP="00A076A1">
      <w:pPr>
        <w:jc w:val="center"/>
        <w:rPr>
          <w:rFonts w:ascii="Times New Roman" w:hAnsi="Times New Roman" w:cs="Times New Roman"/>
          <w:b/>
        </w:rPr>
      </w:pPr>
    </w:p>
    <w:p w14:paraId="34654CD2" w14:textId="77777777" w:rsidR="00571886" w:rsidRDefault="00571886" w:rsidP="00A076A1">
      <w:pPr>
        <w:jc w:val="center"/>
        <w:rPr>
          <w:rFonts w:ascii="Times New Roman" w:hAnsi="Times New Roman" w:cs="Times New Roman"/>
          <w:b/>
        </w:rPr>
      </w:pPr>
    </w:p>
    <w:p w14:paraId="2D40EDC1" w14:textId="77777777" w:rsidR="00571886" w:rsidRDefault="00571886" w:rsidP="00A076A1">
      <w:pPr>
        <w:jc w:val="center"/>
        <w:rPr>
          <w:rFonts w:ascii="Times New Roman" w:hAnsi="Times New Roman" w:cs="Times New Roman"/>
          <w:b/>
        </w:rPr>
      </w:pPr>
    </w:p>
    <w:p w14:paraId="2EEDDA4F" w14:textId="77777777" w:rsidR="00571886" w:rsidRDefault="00571886" w:rsidP="00A076A1">
      <w:pPr>
        <w:jc w:val="center"/>
        <w:rPr>
          <w:rFonts w:ascii="Times New Roman" w:hAnsi="Times New Roman" w:cs="Times New Roman"/>
          <w:b/>
        </w:rPr>
      </w:pPr>
    </w:p>
    <w:p w14:paraId="75DCD054" w14:textId="77777777" w:rsidR="00571886" w:rsidRDefault="00571886" w:rsidP="00A076A1">
      <w:pPr>
        <w:jc w:val="center"/>
        <w:rPr>
          <w:rFonts w:ascii="Times New Roman" w:hAnsi="Times New Roman" w:cs="Times New Roman"/>
          <w:b/>
        </w:rPr>
      </w:pPr>
    </w:p>
    <w:p w14:paraId="3331193B" w14:textId="77777777" w:rsidR="00571886" w:rsidRDefault="00571886" w:rsidP="00A076A1">
      <w:pPr>
        <w:jc w:val="center"/>
        <w:rPr>
          <w:rFonts w:ascii="Times New Roman" w:hAnsi="Times New Roman" w:cs="Times New Roman"/>
          <w:b/>
        </w:rPr>
      </w:pPr>
    </w:p>
    <w:p w14:paraId="7DA1C9DE" w14:textId="77777777" w:rsidR="00571886" w:rsidRDefault="00571886" w:rsidP="00A076A1">
      <w:pPr>
        <w:jc w:val="center"/>
        <w:rPr>
          <w:rFonts w:ascii="Times New Roman" w:hAnsi="Times New Roman" w:cs="Times New Roman"/>
          <w:b/>
        </w:rPr>
      </w:pPr>
    </w:p>
    <w:p w14:paraId="42CA36E5" w14:textId="77777777" w:rsidR="00571886" w:rsidRDefault="00571886" w:rsidP="00A076A1">
      <w:pPr>
        <w:jc w:val="center"/>
        <w:rPr>
          <w:rFonts w:ascii="Times New Roman" w:hAnsi="Times New Roman" w:cs="Times New Roman"/>
          <w:b/>
        </w:rPr>
      </w:pPr>
    </w:p>
    <w:p w14:paraId="62A8C2BC" w14:textId="77777777" w:rsidR="00571886" w:rsidRDefault="00571886" w:rsidP="00A076A1">
      <w:pPr>
        <w:jc w:val="center"/>
        <w:rPr>
          <w:rFonts w:ascii="Times New Roman" w:hAnsi="Times New Roman" w:cs="Times New Roman"/>
          <w:b/>
        </w:rPr>
      </w:pPr>
    </w:p>
    <w:p w14:paraId="7F439470" w14:textId="77777777" w:rsidR="00571886" w:rsidRDefault="00571886" w:rsidP="00A076A1">
      <w:pPr>
        <w:jc w:val="center"/>
        <w:rPr>
          <w:rFonts w:ascii="Times New Roman" w:hAnsi="Times New Roman" w:cs="Times New Roman"/>
          <w:b/>
        </w:rPr>
      </w:pPr>
    </w:p>
    <w:p w14:paraId="5EA28D56" w14:textId="77777777" w:rsidR="00571886" w:rsidRDefault="00571886" w:rsidP="00A076A1">
      <w:pPr>
        <w:jc w:val="center"/>
        <w:rPr>
          <w:rFonts w:ascii="Times New Roman" w:hAnsi="Times New Roman" w:cs="Times New Roman"/>
          <w:b/>
        </w:rPr>
      </w:pPr>
    </w:p>
    <w:p w14:paraId="1D1517CD" w14:textId="77777777" w:rsidR="00571886" w:rsidRDefault="00571886" w:rsidP="00A076A1">
      <w:pPr>
        <w:jc w:val="center"/>
        <w:rPr>
          <w:rFonts w:ascii="Times New Roman" w:hAnsi="Times New Roman" w:cs="Times New Roman"/>
          <w:b/>
        </w:rPr>
      </w:pPr>
    </w:p>
    <w:p w14:paraId="4D3EDB1B" w14:textId="77777777" w:rsidR="00571886" w:rsidRDefault="00571886" w:rsidP="00A076A1">
      <w:pPr>
        <w:jc w:val="center"/>
        <w:rPr>
          <w:rFonts w:ascii="Times New Roman" w:hAnsi="Times New Roman" w:cs="Times New Roman"/>
          <w:b/>
        </w:rPr>
      </w:pPr>
    </w:p>
    <w:p w14:paraId="0943A78B" w14:textId="77777777" w:rsidR="00A076A1" w:rsidRPr="006B03AD" w:rsidRDefault="00A076A1" w:rsidP="00A076A1">
      <w:pPr>
        <w:jc w:val="center"/>
        <w:rPr>
          <w:rFonts w:ascii="Times New Roman" w:hAnsi="Times New Roman" w:cs="Times New Roman"/>
          <w:b/>
        </w:rPr>
      </w:pPr>
      <w:r w:rsidRPr="006B03AD">
        <w:rPr>
          <w:rFonts w:ascii="Times New Roman" w:hAnsi="Times New Roman" w:cs="Times New Roman"/>
          <w:b/>
        </w:rPr>
        <w:t>Mandātu sagatavošana un izpildes process</w:t>
      </w:r>
    </w:p>
    <w:p w14:paraId="037F2EEE" w14:textId="77777777" w:rsidR="00A076A1" w:rsidRPr="006B03AD" w:rsidRDefault="00A076A1" w:rsidP="00A076A1">
      <w:pPr>
        <w:jc w:val="both"/>
        <w:rPr>
          <w:rFonts w:ascii="Times New Roman" w:hAnsi="Times New Roman" w:cs="Times New Roman"/>
        </w:rPr>
      </w:pPr>
      <w:r w:rsidRPr="006B03AD">
        <w:rPr>
          <w:rFonts w:ascii="Times New Roman" w:hAnsi="Times New Roman" w:cs="Times New Roman"/>
          <w:noProof/>
          <w:lang w:val="en-US"/>
        </w:rPr>
        <w:drawing>
          <wp:inline distT="0" distB="0" distL="0" distR="0" wp14:anchorId="6976241D" wp14:editId="74544C37">
            <wp:extent cx="5486400" cy="3200400"/>
            <wp:effectExtent l="5080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138131D" w14:textId="77777777" w:rsidR="00A076A1" w:rsidRPr="006B03AD" w:rsidRDefault="00A076A1" w:rsidP="00A076A1">
      <w:pPr>
        <w:jc w:val="both"/>
        <w:rPr>
          <w:rFonts w:ascii="Times New Roman" w:hAnsi="Times New Roman" w:cs="Times New Roman"/>
        </w:rPr>
      </w:pPr>
    </w:p>
    <w:p w14:paraId="1F421149" w14:textId="77777777" w:rsidR="00A076A1" w:rsidRPr="006B03AD" w:rsidRDefault="00A076A1" w:rsidP="00A076A1">
      <w:pPr>
        <w:jc w:val="both"/>
        <w:rPr>
          <w:rFonts w:ascii="Times New Roman" w:hAnsi="Times New Roman" w:cs="Times New Roman"/>
        </w:rPr>
      </w:pPr>
    </w:p>
    <w:p w14:paraId="449DD784" w14:textId="77777777" w:rsidR="00A076A1" w:rsidRPr="006B03AD" w:rsidRDefault="00A076A1" w:rsidP="00A076A1">
      <w:pPr>
        <w:jc w:val="both"/>
        <w:rPr>
          <w:rFonts w:ascii="Times New Roman" w:hAnsi="Times New Roman" w:cs="Times New Roman"/>
          <w:sz w:val="26"/>
          <w:szCs w:val="26"/>
          <w:u w:val="single"/>
        </w:rPr>
      </w:pPr>
      <w:r w:rsidRPr="006B03AD">
        <w:rPr>
          <w:rFonts w:ascii="Times New Roman" w:hAnsi="Times New Roman" w:cs="Times New Roman"/>
          <w:sz w:val="26"/>
          <w:szCs w:val="26"/>
          <w:u w:val="single"/>
        </w:rPr>
        <w:t>I. Mandātu sagatavošana</w:t>
      </w:r>
    </w:p>
    <w:p w14:paraId="7661AD0E" w14:textId="4115B3E2" w:rsidR="00A076A1"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 xml:space="preserve">Attiecīgā nozares ministrija </w:t>
      </w:r>
      <w:r w:rsidR="002C66CA">
        <w:rPr>
          <w:rFonts w:ascii="Times New Roman" w:hAnsi="Times New Roman" w:cs="Times New Roman"/>
          <w:sz w:val="26"/>
          <w:szCs w:val="26"/>
        </w:rPr>
        <w:t xml:space="preserve">atbilstoši apstiprinātajam standartu izstrādes un tulkošanas darba plānam sadarbībā ar Ekonomikas ministriju </w:t>
      </w:r>
      <w:r w:rsidRPr="006B03AD">
        <w:rPr>
          <w:rFonts w:ascii="Times New Roman" w:hAnsi="Times New Roman" w:cs="Times New Roman"/>
          <w:sz w:val="26"/>
          <w:szCs w:val="26"/>
        </w:rPr>
        <w:t>sagatavo mandātu nacionālajai standartizācijas institūcijai, kurā norāda veicamo uzdevumu un tā izpildes termiņu, darba plāna sagatavošanas termiņu, veicamo darbu robežas, mandāta spēkā esamības termiņu, atskaitīšan</w:t>
      </w:r>
      <w:r w:rsidR="00472089">
        <w:rPr>
          <w:rFonts w:ascii="Times New Roman" w:hAnsi="Times New Roman" w:cs="Times New Roman"/>
          <w:sz w:val="26"/>
          <w:szCs w:val="26"/>
        </w:rPr>
        <w:t>o</w:t>
      </w:r>
      <w:r w:rsidRPr="006B03AD">
        <w:rPr>
          <w:rFonts w:ascii="Times New Roman" w:hAnsi="Times New Roman" w:cs="Times New Roman"/>
          <w:sz w:val="26"/>
          <w:szCs w:val="26"/>
        </w:rPr>
        <w:t>s par dotā uzdevuma izpildi, u.c. nosacījumus, kurus uzskata par nepieciešamiem attiecīgā mandāta kontekstā.</w:t>
      </w:r>
    </w:p>
    <w:p w14:paraId="56D043EE" w14:textId="77777777" w:rsidR="004A5C52" w:rsidRPr="006B03AD" w:rsidRDefault="004A5C52" w:rsidP="00A076A1">
      <w:pPr>
        <w:jc w:val="both"/>
        <w:rPr>
          <w:rFonts w:ascii="Times New Roman" w:hAnsi="Times New Roman" w:cs="Times New Roman"/>
          <w:sz w:val="26"/>
          <w:szCs w:val="26"/>
        </w:rPr>
      </w:pPr>
    </w:p>
    <w:p w14:paraId="1C38E494" w14:textId="77777777" w:rsidR="00A076A1" w:rsidRPr="006B03AD" w:rsidRDefault="00A076A1" w:rsidP="00A076A1">
      <w:pPr>
        <w:jc w:val="both"/>
        <w:rPr>
          <w:rFonts w:ascii="Times New Roman" w:hAnsi="Times New Roman" w:cs="Times New Roman"/>
          <w:sz w:val="26"/>
          <w:szCs w:val="26"/>
          <w:u w:val="single"/>
        </w:rPr>
      </w:pPr>
      <w:r w:rsidRPr="006B03AD">
        <w:rPr>
          <w:rFonts w:ascii="Times New Roman" w:hAnsi="Times New Roman" w:cs="Times New Roman"/>
          <w:sz w:val="26"/>
          <w:szCs w:val="26"/>
          <w:u w:val="single"/>
        </w:rPr>
        <w:t>II. Darba plāna sagatavošana un saskaņošana</w:t>
      </w:r>
    </w:p>
    <w:p w14:paraId="4DA5CA39" w14:textId="493CA182" w:rsidR="00A076A1" w:rsidRPr="006B03AD"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Saņemot mandātu, nacionālā standartizācijas institūcija izvērtē savas iespējas un resursus veikt attiecīgos uzdevumus. Mandāt</w:t>
      </w:r>
      <w:r w:rsidR="00472089">
        <w:rPr>
          <w:rFonts w:ascii="Times New Roman" w:hAnsi="Times New Roman" w:cs="Times New Roman"/>
          <w:sz w:val="26"/>
          <w:szCs w:val="26"/>
        </w:rPr>
        <w:t>ā</w:t>
      </w:r>
      <w:r w:rsidRPr="006B03AD">
        <w:rPr>
          <w:rFonts w:ascii="Times New Roman" w:hAnsi="Times New Roman" w:cs="Times New Roman"/>
          <w:sz w:val="26"/>
          <w:szCs w:val="26"/>
        </w:rPr>
        <w:t xml:space="preserve"> doto uzdevumu pieņemšanas gadījumā nacionālā standartizācijas institūcija izstrādā darba plānu atbilstoši mandātā ietvertajiem nosacījumiem un veicamajiem uzdevumiem</w:t>
      </w:r>
      <w:r w:rsidR="000E0001">
        <w:rPr>
          <w:rFonts w:ascii="Times New Roman" w:hAnsi="Times New Roman" w:cs="Times New Roman"/>
          <w:sz w:val="26"/>
          <w:szCs w:val="26"/>
        </w:rPr>
        <w:t>, cita starpā norādot arī, vai ir nepieciešams standarta izstrādē iesaistīt zinātnisko potenciālu</w:t>
      </w:r>
      <w:r w:rsidRPr="006B03AD">
        <w:rPr>
          <w:rFonts w:ascii="Times New Roman" w:hAnsi="Times New Roman" w:cs="Times New Roman"/>
          <w:sz w:val="26"/>
          <w:szCs w:val="26"/>
        </w:rPr>
        <w:t xml:space="preserve">, kuru saskaņo ar attiecīgās nozares </w:t>
      </w:r>
      <w:r w:rsidR="00966D52">
        <w:rPr>
          <w:rFonts w:ascii="Times New Roman" w:hAnsi="Times New Roman" w:cs="Times New Roman"/>
          <w:sz w:val="26"/>
          <w:szCs w:val="26"/>
        </w:rPr>
        <w:t xml:space="preserve">ministriju </w:t>
      </w:r>
      <w:r w:rsidR="002C66CA">
        <w:rPr>
          <w:rFonts w:ascii="Times New Roman" w:hAnsi="Times New Roman" w:cs="Times New Roman"/>
          <w:sz w:val="26"/>
          <w:szCs w:val="26"/>
        </w:rPr>
        <w:t xml:space="preserve">un Ekonomikas </w:t>
      </w:r>
      <w:r w:rsidRPr="006B03AD">
        <w:rPr>
          <w:rFonts w:ascii="Times New Roman" w:hAnsi="Times New Roman" w:cs="Times New Roman"/>
          <w:sz w:val="26"/>
          <w:szCs w:val="26"/>
        </w:rPr>
        <w:t>ministriju, vienojoties par veicamajam uzdevumam nepieciešamo finansējumu.</w:t>
      </w:r>
    </w:p>
    <w:p w14:paraId="6C4BB8FB" w14:textId="77777777" w:rsidR="0090509D" w:rsidRPr="006B03AD" w:rsidRDefault="0090509D" w:rsidP="00A076A1">
      <w:pPr>
        <w:jc w:val="both"/>
        <w:rPr>
          <w:rFonts w:ascii="Times New Roman" w:hAnsi="Times New Roman" w:cs="Times New Roman"/>
          <w:sz w:val="26"/>
          <w:szCs w:val="26"/>
          <w:u w:val="single"/>
        </w:rPr>
      </w:pPr>
    </w:p>
    <w:p w14:paraId="300471F1" w14:textId="77777777" w:rsidR="00A076A1" w:rsidRPr="006B03AD" w:rsidRDefault="00A076A1" w:rsidP="00A076A1">
      <w:pPr>
        <w:jc w:val="both"/>
        <w:rPr>
          <w:rFonts w:ascii="Times New Roman" w:hAnsi="Times New Roman" w:cs="Times New Roman"/>
          <w:sz w:val="26"/>
          <w:szCs w:val="26"/>
          <w:u w:val="single"/>
        </w:rPr>
      </w:pPr>
      <w:r w:rsidRPr="006B03AD">
        <w:rPr>
          <w:rFonts w:ascii="Times New Roman" w:hAnsi="Times New Roman" w:cs="Times New Roman"/>
          <w:sz w:val="26"/>
          <w:szCs w:val="26"/>
          <w:u w:val="single"/>
        </w:rPr>
        <w:t>III. Darbu izpilde</w:t>
      </w:r>
    </w:p>
    <w:p w14:paraId="3593EEA9" w14:textId="3D7A9AAA" w:rsidR="00A076A1"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 xml:space="preserve">Mandāta izpildes rezultātā sagatavotos dokumentus nacionālā standartizācijas institūcija saskaņo ar nozares </w:t>
      </w:r>
      <w:r w:rsidR="002C66CA">
        <w:rPr>
          <w:rFonts w:ascii="Times New Roman" w:hAnsi="Times New Roman" w:cs="Times New Roman"/>
          <w:sz w:val="26"/>
          <w:szCs w:val="26"/>
        </w:rPr>
        <w:t xml:space="preserve">un Ekonomikas </w:t>
      </w:r>
      <w:r w:rsidRPr="006B03AD">
        <w:rPr>
          <w:rFonts w:ascii="Times New Roman" w:hAnsi="Times New Roman" w:cs="Times New Roman"/>
          <w:sz w:val="26"/>
          <w:szCs w:val="26"/>
        </w:rPr>
        <w:t xml:space="preserve">ministriju un veic to reģistrāciju. Vienlaikus nacionālā standartizācijas institūcija mandātā noteiktajā termiņā sagatavo atskaiti, kurā informē nozares </w:t>
      </w:r>
      <w:r w:rsidR="002C66CA">
        <w:rPr>
          <w:rFonts w:ascii="Times New Roman" w:hAnsi="Times New Roman" w:cs="Times New Roman"/>
          <w:sz w:val="26"/>
          <w:szCs w:val="26"/>
        </w:rPr>
        <w:t xml:space="preserve">un Ekonomikas </w:t>
      </w:r>
      <w:r w:rsidRPr="006B03AD">
        <w:rPr>
          <w:rFonts w:ascii="Times New Roman" w:hAnsi="Times New Roman" w:cs="Times New Roman"/>
          <w:sz w:val="26"/>
          <w:szCs w:val="26"/>
        </w:rPr>
        <w:t>ministriju par mandāta izpildes gaitu un sasniegto rezultātu.</w:t>
      </w:r>
    </w:p>
    <w:p w14:paraId="0ECAD994" w14:textId="77777777" w:rsidR="004A5C52" w:rsidRDefault="004A5C52" w:rsidP="00A076A1">
      <w:pPr>
        <w:jc w:val="both"/>
        <w:rPr>
          <w:rFonts w:ascii="Times New Roman" w:hAnsi="Times New Roman" w:cs="Times New Roman"/>
          <w:sz w:val="26"/>
          <w:szCs w:val="26"/>
        </w:rPr>
      </w:pPr>
    </w:p>
    <w:p w14:paraId="05A3BF59" w14:textId="77777777" w:rsidR="00226850" w:rsidRDefault="00226850" w:rsidP="00A076A1">
      <w:pPr>
        <w:jc w:val="both"/>
        <w:rPr>
          <w:rFonts w:ascii="Times New Roman" w:hAnsi="Times New Roman" w:cs="Times New Roman"/>
          <w:sz w:val="26"/>
          <w:szCs w:val="26"/>
        </w:rPr>
      </w:pPr>
    </w:p>
    <w:p w14:paraId="75F05C2C" w14:textId="77777777" w:rsidR="00226850" w:rsidRPr="006B03AD" w:rsidRDefault="00226850" w:rsidP="00A076A1">
      <w:pPr>
        <w:jc w:val="both"/>
        <w:rPr>
          <w:rFonts w:ascii="Times New Roman" w:hAnsi="Times New Roman" w:cs="Times New Roman"/>
          <w:sz w:val="26"/>
          <w:szCs w:val="26"/>
        </w:rPr>
      </w:pPr>
    </w:p>
    <w:p w14:paraId="0737A782" w14:textId="77777777" w:rsidR="00A076A1" w:rsidRPr="006B03AD" w:rsidRDefault="00A076A1" w:rsidP="00A076A1">
      <w:pPr>
        <w:jc w:val="both"/>
        <w:rPr>
          <w:rFonts w:ascii="Times New Roman" w:hAnsi="Times New Roman" w:cs="Times New Roman"/>
          <w:sz w:val="26"/>
          <w:szCs w:val="26"/>
          <w:u w:val="single"/>
        </w:rPr>
      </w:pPr>
      <w:r w:rsidRPr="006B03AD">
        <w:rPr>
          <w:rFonts w:ascii="Times New Roman" w:hAnsi="Times New Roman" w:cs="Times New Roman"/>
          <w:sz w:val="26"/>
          <w:szCs w:val="26"/>
          <w:u w:val="single"/>
        </w:rPr>
        <w:lastRenderedPageBreak/>
        <w:t>IV. Standartu publicēšana</w:t>
      </w:r>
    </w:p>
    <w:p w14:paraId="7D21DF18" w14:textId="26B543AF" w:rsidR="00A076A1" w:rsidRPr="006B03AD"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Pēc standartu reģistrācijas nacionālā standartizācijas institūcija veic to publicēšanu standartu datu bāzē, savukārt nozares ministrija veic nepieciešamās darbības, lai nodrošinātu</w:t>
      </w:r>
      <w:r w:rsidR="00966D52">
        <w:rPr>
          <w:rFonts w:ascii="Times New Roman" w:hAnsi="Times New Roman" w:cs="Times New Roman"/>
          <w:sz w:val="26"/>
          <w:szCs w:val="26"/>
        </w:rPr>
        <w:t>,</w:t>
      </w:r>
      <w:r w:rsidRPr="006B03AD">
        <w:rPr>
          <w:rFonts w:ascii="Times New Roman" w:hAnsi="Times New Roman" w:cs="Times New Roman"/>
          <w:sz w:val="26"/>
          <w:szCs w:val="26"/>
        </w:rPr>
        <w:t xml:space="preserve"> ka minētie standarti kļūst par piemērojamajiem</w:t>
      </w:r>
      <w:r w:rsidR="004A5C52">
        <w:rPr>
          <w:rFonts w:ascii="Times New Roman" w:hAnsi="Times New Roman" w:cs="Times New Roman"/>
          <w:sz w:val="26"/>
          <w:szCs w:val="26"/>
        </w:rPr>
        <w:t xml:space="preserve"> vai attiecīgā gadījumā – par obligāti piemērojamajiem</w:t>
      </w:r>
      <w:r w:rsidRPr="006B03AD">
        <w:rPr>
          <w:rFonts w:ascii="Times New Roman" w:hAnsi="Times New Roman" w:cs="Times New Roman"/>
          <w:sz w:val="26"/>
          <w:szCs w:val="26"/>
        </w:rPr>
        <w:t xml:space="preserve"> saistībā ar attiecīgajiem normatīvajiem aktiem.</w:t>
      </w:r>
    </w:p>
    <w:p w14:paraId="4EFB0939" w14:textId="776C61BB" w:rsidR="004A5C52" w:rsidRDefault="004A5C52" w:rsidP="00A076A1">
      <w:pPr>
        <w:jc w:val="both"/>
        <w:rPr>
          <w:rFonts w:ascii="Times New Roman" w:hAnsi="Times New Roman" w:cs="Times New Roman"/>
          <w:b/>
          <w:sz w:val="26"/>
          <w:szCs w:val="26"/>
        </w:rPr>
      </w:pPr>
    </w:p>
    <w:p w14:paraId="083C277C" w14:textId="0F9DB6D0" w:rsidR="00A076A1" w:rsidRPr="00226850" w:rsidRDefault="00A076A1" w:rsidP="00A076A1">
      <w:pPr>
        <w:jc w:val="both"/>
        <w:rPr>
          <w:rFonts w:ascii="Times New Roman" w:hAnsi="Times New Roman" w:cs="Times New Roman"/>
          <w:b/>
          <w:sz w:val="26"/>
          <w:szCs w:val="26"/>
        </w:rPr>
      </w:pPr>
      <w:r w:rsidRPr="0007182B">
        <w:rPr>
          <w:rFonts w:ascii="Times New Roman" w:hAnsi="Times New Roman" w:cs="Times New Roman"/>
          <w:sz w:val="26"/>
          <w:szCs w:val="26"/>
        </w:rPr>
        <w:t>Konsekventas mandātu sistēmas ieviešanai, lai nodrošinā</w:t>
      </w:r>
      <w:r w:rsidRPr="005646CE">
        <w:rPr>
          <w:rFonts w:ascii="Times New Roman" w:hAnsi="Times New Roman" w:cs="Times New Roman"/>
          <w:sz w:val="26"/>
          <w:szCs w:val="26"/>
        </w:rPr>
        <w:t xml:space="preserve">tu ilgtspējīgas standartizācijas sistēmas attīstību, ir nepieciešams noteikt kritērijus gan standartu izstrādei, gan arī </w:t>
      </w:r>
      <w:r w:rsidR="00BB086B" w:rsidRPr="005646CE">
        <w:rPr>
          <w:rFonts w:ascii="Times New Roman" w:hAnsi="Times New Roman" w:cs="Times New Roman"/>
          <w:sz w:val="26"/>
          <w:szCs w:val="26"/>
        </w:rPr>
        <w:t xml:space="preserve">piemērojamo </w:t>
      </w:r>
      <w:r w:rsidRPr="005646CE">
        <w:rPr>
          <w:rFonts w:ascii="Times New Roman" w:hAnsi="Times New Roman" w:cs="Times New Roman"/>
          <w:sz w:val="26"/>
          <w:szCs w:val="26"/>
        </w:rPr>
        <w:t>standartu tulkošanai</w:t>
      </w:r>
      <w:r w:rsidRPr="006B03AD">
        <w:rPr>
          <w:rFonts w:ascii="Times New Roman" w:hAnsi="Times New Roman" w:cs="Times New Roman"/>
          <w:sz w:val="26"/>
          <w:szCs w:val="26"/>
        </w:rPr>
        <w:t>.</w:t>
      </w:r>
    </w:p>
    <w:p w14:paraId="06C36A76" w14:textId="77777777" w:rsidR="00A076A1" w:rsidRPr="006B03AD"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ab/>
        <w:t>Runājot par standartu izstrādes mandātiem, nepieciešams uzsvērt, ka galvenais kritērij</w:t>
      </w:r>
      <w:r w:rsidR="006428D7">
        <w:rPr>
          <w:rFonts w:ascii="Times New Roman" w:hAnsi="Times New Roman" w:cs="Times New Roman"/>
          <w:sz w:val="26"/>
          <w:szCs w:val="26"/>
        </w:rPr>
        <w:t>s</w:t>
      </w:r>
      <w:r w:rsidRPr="006B03AD">
        <w:rPr>
          <w:rFonts w:ascii="Times New Roman" w:hAnsi="Times New Roman" w:cs="Times New Roman"/>
          <w:sz w:val="26"/>
          <w:szCs w:val="26"/>
        </w:rPr>
        <w:t xml:space="preserve"> mandātu sagatavošanai ir nozares iesaistīšanas nepieciešamība sekmīgas nozares politikas īstenošanā. Ņemot vērā, ka standarti pēc būtības satur tehniskas dabas informāciju, tad standartu izstrādes mandāti galvenokārt aptvertu tādas nozares, kurās nepieciešams definēt tehnisku informāciju, piemēram, tehniskus raksturlielumus, specifiskas, tehniski sarežģītas procedūras un procesus, terminoloģiju, tādējādi valsts pārvaldei nebūtu jāiesaista regulējuma tapšanā liels daudzums tehnisko resursu, kurus galvenokārt nodrošinātu pati nozare. Tāpēc šo tehnisko prasību definēšanu veiktu pati nozare standartizācijas ietvaros. Vienlaikus normatīvais regulējums tiktu saglabāts vienkāršs, skaidrs un saprotams, nesarežģījot to ar tehnisk</w:t>
      </w:r>
      <w:r w:rsidR="0090509D" w:rsidRPr="006B03AD">
        <w:rPr>
          <w:rFonts w:ascii="Times New Roman" w:hAnsi="Times New Roman" w:cs="Times New Roman"/>
          <w:sz w:val="26"/>
          <w:szCs w:val="26"/>
        </w:rPr>
        <w:t>u</w:t>
      </w:r>
      <w:r w:rsidRPr="006B03AD">
        <w:rPr>
          <w:rFonts w:ascii="Times New Roman" w:hAnsi="Times New Roman" w:cs="Times New Roman"/>
          <w:sz w:val="26"/>
          <w:szCs w:val="26"/>
        </w:rPr>
        <w:t xml:space="preserve"> informāciju.</w:t>
      </w:r>
    </w:p>
    <w:p w14:paraId="11D7DD01" w14:textId="7B38B4D7" w:rsidR="00A076A1" w:rsidRPr="006B03AD"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ab/>
        <w:t xml:space="preserve">Ņemot vērā ierobežotos finanšu līdzekļus, kurus varētu novirzīt </w:t>
      </w:r>
      <w:r w:rsidR="004F6D8D">
        <w:rPr>
          <w:rFonts w:ascii="Times New Roman" w:hAnsi="Times New Roman" w:cs="Times New Roman"/>
          <w:sz w:val="26"/>
          <w:szCs w:val="26"/>
        </w:rPr>
        <w:t xml:space="preserve">piemērojamo </w:t>
      </w:r>
      <w:r w:rsidRPr="006B03AD">
        <w:rPr>
          <w:rFonts w:ascii="Times New Roman" w:hAnsi="Times New Roman" w:cs="Times New Roman"/>
          <w:sz w:val="26"/>
          <w:szCs w:val="26"/>
        </w:rPr>
        <w:t>standartu tulkošanai, tiesiskajā regulējum</w:t>
      </w:r>
      <w:r w:rsidR="00994443">
        <w:rPr>
          <w:rFonts w:ascii="Times New Roman" w:hAnsi="Times New Roman" w:cs="Times New Roman"/>
          <w:sz w:val="26"/>
          <w:szCs w:val="26"/>
        </w:rPr>
        <w:t>ā</w:t>
      </w:r>
      <w:r w:rsidRPr="006B03AD">
        <w:rPr>
          <w:rFonts w:ascii="Times New Roman" w:hAnsi="Times New Roman" w:cs="Times New Roman"/>
          <w:sz w:val="26"/>
          <w:szCs w:val="26"/>
        </w:rPr>
        <w:t xml:space="preserve"> ir jānosaka skaidri </w:t>
      </w:r>
      <w:r w:rsidR="00E971B8">
        <w:rPr>
          <w:rFonts w:ascii="Times New Roman" w:hAnsi="Times New Roman" w:cs="Times New Roman"/>
          <w:sz w:val="26"/>
          <w:szCs w:val="26"/>
        </w:rPr>
        <w:t xml:space="preserve">piemērojamo standartu tulkošanas </w:t>
      </w:r>
      <w:proofErr w:type="spellStart"/>
      <w:r w:rsidR="00E971B8">
        <w:rPr>
          <w:rFonts w:ascii="Times New Roman" w:hAnsi="Times New Roman" w:cs="Times New Roman"/>
          <w:sz w:val="26"/>
          <w:szCs w:val="26"/>
        </w:rPr>
        <w:t>prioritizācijas</w:t>
      </w:r>
      <w:proofErr w:type="spellEnd"/>
      <w:r w:rsidR="00E971B8">
        <w:rPr>
          <w:rFonts w:ascii="Times New Roman" w:hAnsi="Times New Roman" w:cs="Times New Roman"/>
          <w:sz w:val="26"/>
          <w:szCs w:val="26"/>
        </w:rPr>
        <w:t xml:space="preserve"> </w:t>
      </w:r>
      <w:r w:rsidRPr="006B03AD">
        <w:rPr>
          <w:rFonts w:ascii="Times New Roman" w:hAnsi="Times New Roman" w:cs="Times New Roman"/>
          <w:sz w:val="26"/>
          <w:szCs w:val="26"/>
        </w:rPr>
        <w:t>kritēriji.</w:t>
      </w:r>
      <w:r w:rsidR="00E971B8">
        <w:rPr>
          <w:rFonts w:ascii="Times New Roman" w:hAnsi="Times New Roman" w:cs="Times New Roman"/>
          <w:sz w:val="26"/>
          <w:szCs w:val="26"/>
        </w:rPr>
        <w:t xml:space="preserve"> Šobrīd identificētie kritēriji:</w:t>
      </w:r>
    </w:p>
    <w:p w14:paraId="21462251" w14:textId="77777777" w:rsidR="00A076A1" w:rsidRPr="006B03AD"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ab/>
      </w:r>
      <w:r w:rsidRPr="006B03AD">
        <w:rPr>
          <w:rFonts w:ascii="Times New Roman" w:hAnsi="Times New Roman" w:cs="Times New Roman"/>
          <w:sz w:val="26"/>
          <w:szCs w:val="26"/>
          <w:u w:val="single"/>
        </w:rPr>
        <w:t>1.kritērijs</w:t>
      </w:r>
      <w:r w:rsidRPr="006B03AD">
        <w:rPr>
          <w:rFonts w:ascii="Times New Roman" w:hAnsi="Times New Roman" w:cs="Times New Roman"/>
          <w:sz w:val="26"/>
          <w:szCs w:val="26"/>
        </w:rPr>
        <w:t xml:space="preserve"> – Plaši izmantotie standarti, jeb standarti, kuru izmantošana nepieciešama vairāku nozaru regulējumos.</w:t>
      </w:r>
    </w:p>
    <w:p w14:paraId="1A9F44AF" w14:textId="77777777" w:rsidR="00A076A1" w:rsidRPr="006B03AD"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Kā uzskatāmus piemērus var minēt atbilstības novērtēšanas institūciju akreditācijas standartus, kurus izmanto atbilstības novērtēšanas institūcijas dažādās nozarēs.</w:t>
      </w:r>
    </w:p>
    <w:p w14:paraId="6B1ABD72" w14:textId="77777777" w:rsidR="00A076A1" w:rsidRPr="006B03AD" w:rsidRDefault="00A076A1" w:rsidP="00A076A1">
      <w:pPr>
        <w:jc w:val="both"/>
        <w:rPr>
          <w:rFonts w:ascii="Times New Roman" w:hAnsi="Times New Roman" w:cs="Times New Roman"/>
          <w:sz w:val="26"/>
          <w:szCs w:val="26"/>
          <w:u w:val="single"/>
        </w:rPr>
      </w:pPr>
      <w:r w:rsidRPr="006B03AD">
        <w:rPr>
          <w:rFonts w:ascii="Times New Roman" w:hAnsi="Times New Roman" w:cs="Times New Roman"/>
          <w:sz w:val="26"/>
          <w:szCs w:val="26"/>
        </w:rPr>
        <w:tab/>
      </w:r>
      <w:r w:rsidRPr="006B03AD">
        <w:rPr>
          <w:rFonts w:ascii="Times New Roman" w:hAnsi="Times New Roman" w:cs="Times New Roman"/>
          <w:sz w:val="26"/>
          <w:szCs w:val="26"/>
          <w:u w:val="single"/>
        </w:rPr>
        <w:t xml:space="preserve">2.kritērijs </w:t>
      </w:r>
      <w:r w:rsidRPr="006B03AD">
        <w:rPr>
          <w:rFonts w:ascii="Times New Roman" w:hAnsi="Times New Roman" w:cs="Times New Roman"/>
          <w:sz w:val="26"/>
          <w:szCs w:val="26"/>
        </w:rPr>
        <w:t>– Standarts nosaka prasības, kas ir jāievēro plašam sabiedrības lokam, īpaši patērētājiem.</w:t>
      </w:r>
    </w:p>
    <w:p w14:paraId="7BE2B060" w14:textId="77777777" w:rsidR="00A076A1" w:rsidRPr="006B03AD"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ab/>
      </w:r>
      <w:r w:rsidRPr="006B03AD">
        <w:rPr>
          <w:rFonts w:ascii="Times New Roman" w:hAnsi="Times New Roman" w:cs="Times New Roman"/>
          <w:sz w:val="26"/>
          <w:szCs w:val="26"/>
          <w:u w:val="single"/>
        </w:rPr>
        <w:t>3.kritērijs</w:t>
      </w:r>
      <w:r w:rsidRPr="006B03AD">
        <w:rPr>
          <w:rFonts w:ascii="Times New Roman" w:hAnsi="Times New Roman" w:cs="Times New Roman"/>
          <w:sz w:val="26"/>
          <w:szCs w:val="26"/>
        </w:rPr>
        <w:t xml:space="preserve"> – Nozares, kas ir būtiska valsts tautsaimniecības attīstībai, pieprasījums pēc standarta tulkojumiem un gatavība piedalīties standartu tulkošanas darbā. Nozares vēlme pēc tulkojumiem, bet nevēlēšanās iesaistīties standartu darbā nav uzskatāma par pamatu standartu tulkošanai.</w:t>
      </w:r>
    </w:p>
    <w:p w14:paraId="42955DB8" w14:textId="77777777" w:rsidR="00A076A1" w:rsidRPr="006B03AD"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ab/>
      </w:r>
      <w:r w:rsidRPr="006B03AD">
        <w:rPr>
          <w:rFonts w:ascii="Times New Roman" w:hAnsi="Times New Roman" w:cs="Times New Roman"/>
          <w:sz w:val="26"/>
          <w:szCs w:val="26"/>
          <w:u w:val="single"/>
        </w:rPr>
        <w:t>4.kritērijs</w:t>
      </w:r>
      <w:r w:rsidRPr="006B03AD">
        <w:rPr>
          <w:rFonts w:ascii="Times New Roman" w:hAnsi="Times New Roman" w:cs="Times New Roman"/>
          <w:sz w:val="26"/>
          <w:szCs w:val="26"/>
        </w:rPr>
        <w:t xml:space="preserve"> – Attiecīgā standarta lietotāja grupas lielums, kurš nosakāms pēc attiecīgā standarta vai tā iepriekšējo redakciju pieprasījumiem nacionālajā standartizācijas institūcijā. Standartu tulkošana nebūtu jāparedz, ja standarta vienīga lietotāju kategorija ir valsts pārvaldē strādājošie vai institūcijas, kas īsteno valsts deleģēto uzdevumu.</w:t>
      </w:r>
    </w:p>
    <w:p w14:paraId="773925A5" w14:textId="2B725B7F" w:rsidR="00A076A1" w:rsidRPr="006B03AD" w:rsidRDefault="00A076A1" w:rsidP="00A076A1">
      <w:pPr>
        <w:jc w:val="both"/>
        <w:rPr>
          <w:rFonts w:ascii="Times New Roman" w:hAnsi="Times New Roman" w:cs="Times New Roman"/>
          <w:sz w:val="26"/>
          <w:szCs w:val="26"/>
        </w:rPr>
      </w:pPr>
      <w:r w:rsidRPr="006B03AD">
        <w:rPr>
          <w:rFonts w:ascii="Times New Roman" w:hAnsi="Times New Roman" w:cs="Times New Roman"/>
          <w:sz w:val="26"/>
          <w:szCs w:val="26"/>
        </w:rPr>
        <w:tab/>
      </w:r>
      <w:r w:rsidR="00E971B8">
        <w:rPr>
          <w:rFonts w:ascii="Times New Roman" w:hAnsi="Times New Roman" w:cs="Times New Roman"/>
          <w:sz w:val="26"/>
          <w:szCs w:val="26"/>
        </w:rPr>
        <w:t>Tādējādi gan n</w:t>
      </w:r>
      <w:r w:rsidRPr="006B03AD">
        <w:rPr>
          <w:rFonts w:ascii="Times New Roman" w:hAnsi="Times New Roman" w:cs="Times New Roman"/>
          <w:sz w:val="26"/>
          <w:szCs w:val="26"/>
        </w:rPr>
        <w:t>ozaru ministrijām</w:t>
      </w:r>
      <w:r w:rsidR="00E971B8">
        <w:rPr>
          <w:rFonts w:ascii="Times New Roman" w:hAnsi="Times New Roman" w:cs="Times New Roman"/>
          <w:sz w:val="26"/>
          <w:szCs w:val="26"/>
        </w:rPr>
        <w:t xml:space="preserve"> gan Ekonomikas ministrijai gatavojot nākošā gada standartu tulkošanas un izstrādes plānu būt</w:t>
      </w:r>
      <w:r w:rsidR="00B66AF5">
        <w:rPr>
          <w:rFonts w:ascii="Times New Roman" w:hAnsi="Times New Roman" w:cs="Times New Roman"/>
          <w:sz w:val="26"/>
          <w:szCs w:val="26"/>
        </w:rPr>
        <w:t xml:space="preserve">u </w:t>
      </w:r>
      <w:r w:rsidR="00E971B8">
        <w:rPr>
          <w:rFonts w:ascii="Times New Roman" w:hAnsi="Times New Roman" w:cs="Times New Roman"/>
          <w:sz w:val="26"/>
          <w:szCs w:val="26"/>
        </w:rPr>
        <w:t xml:space="preserve">jāvadās </w:t>
      </w:r>
      <w:r w:rsidR="00B66AF5">
        <w:rPr>
          <w:rFonts w:ascii="Times New Roman" w:hAnsi="Times New Roman" w:cs="Times New Roman"/>
          <w:sz w:val="26"/>
          <w:szCs w:val="26"/>
        </w:rPr>
        <w:t xml:space="preserve">gan no iepriekš minētās </w:t>
      </w:r>
      <w:proofErr w:type="spellStart"/>
      <w:r w:rsidR="00B66AF5">
        <w:rPr>
          <w:rFonts w:ascii="Times New Roman" w:hAnsi="Times New Roman" w:cs="Times New Roman"/>
          <w:sz w:val="26"/>
          <w:szCs w:val="26"/>
        </w:rPr>
        <w:t>prioritizācijas</w:t>
      </w:r>
      <w:proofErr w:type="spellEnd"/>
      <w:r w:rsidR="00B66AF5">
        <w:rPr>
          <w:rFonts w:ascii="Times New Roman" w:hAnsi="Times New Roman" w:cs="Times New Roman"/>
          <w:sz w:val="26"/>
          <w:szCs w:val="26"/>
        </w:rPr>
        <w:t xml:space="preserve"> kritērijiem, gan arī no pieejamajiem finanšu līdzekļiem.</w:t>
      </w:r>
    </w:p>
    <w:p w14:paraId="666627EB" w14:textId="77777777" w:rsidR="00A076A1" w:rsidRDefault="00A076A1" w:rsidP="00A076A1">
      <w:pPr>
        <w:jc w:val="both"/>
        <w:rPr>
          <w:rFonts w:ascii="Times New Roman" w:hAnsi="Times New Roman" w:cs="Times New Roman"/>
          <w:sz w:val="26"/>
          <w:szCs w:val="26"/>
        </w:rPr>
      </w:pPr>
    </w:p>
    <w:p w14:paraId="6FEB0D78" w14:textId="7389F958" w:rsidR="00BB086B" w:rsidRPr="00226850" w:rsidRDefault="00BB086B" w:rsidP="00226850">
      <w:pPr>
        <w:pStyle w:val="ListParagraph"/>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Standartu tulkošanas fonda izveide </w:t>
      </w:r>
    </w:p>
    <w:p w14:paraId="501FD890" w14:textId="52E410D0" w:rsidR="00AB5A82" w:rsidRDefault="00A85813" w:rsidP="00AB5A82">
      <w:pPr>
        <w:ind w:firstLine="360"/>
        <w:jc w:val="both"/>
        <w:rPr>
          <w:rFonts w:ascii="Times New Roman" w:hAnsi="Times New Roman" w:cs="Times New Roman"/>
          <w:sz w:val="26"/>
          <w:szCs w:val="26"/>
        </w:rPr>
      </w:pPr>
      <w:r>
        <w:rPr>
          <w:rFonts w:ascii="Times New Roman" w:hAnsi="Times New Roman" w:cs="Times New Roman"/>
          <w:sz w:val="26"/>
          <w:szCs w:val="26"/>
        </w:rPr>
        <w:t>Ņemot vērā</w:t>
      </w:r>
      <w:r w:rsidR="00172EC7">
        <w:rPr>
          <w:rFonts w:ascii="Times New Roman" w:hAnsi="Times New Roman" w:cs="Times New Roman"/>
          <w:sz w:val="26"/>
          <w:szCs w:val="26"/>
        </w:rPr>
        <w:t>, ka valstij nebūtu</w:t>
      </w:r>
      <w:r w:rsidR="00BB086B" w:rsidRPr="00C9195F">
        <w:rPr>
          <w:rFonts w:ascii="Times New Roman" w:hAnsi="Times New Roman" w:cs="Times New Roman"/>
          <w:sz w:val="26"/>
          <w:szCs w:val="26"/>
        </w:rPr>
        <w:t xml:space="preserve"> jāiejaucas standartu cenu veidošanas politikā</w:t>
      </w:r>
      <w:r w:rsidR="00BB086B">
        <w:rPr>
          <w:rFonts w:ascii="Times New Roman" w:hAnsi="Times New Roman" w:cs="Times New Roman"/>
          <w:sz w:val="26"/>
          <w:szCs w:val="26"/>
        </w:rPr>
        <w:t xml:space="preserve"> un visu standartu tulkošanas izmaksu iekļaušanas standartu cenā nav iespējama</w:t>
      </w:r>
      <w:r w:rsidR="004F6D8D">
        <w:rPr>
          <w:rFonts w:ascii="Times New Roman" w:hAnsi="Times New Roman" w:cs="Times New Roman"/>
          <w:sz w:val="26"/>
          <w:szCs w:val="26"/>
        </w:rPr>
        <w:t xml:space="preserve"> tī</w:t>
      </w:r>
      <w:r w:rsidR="00172EC7">
        <w:rPr>
          <w:rFonts w:ascii="Times New Roman" w:hAnsi="Times New Roman" w:cs="Times New Roman"/>
          <w:sz w:val="26"/>
          <w:szCs w:val="26"/>
        </w:rPr>
        <w:t>r</w:t>
      </w:r>
      <w:r w:rsidR="004F6D8D">
        <w:rPr>
          <w:rFonts w:ascii="Times New Roman" w:hAnsi="Times New Roman" w:cs="Times New Roman"/>
          <w:sz w:val="26"/>
          <w:szCs w:val="26"/>
        </w:rPr>
        <w:t>i racionālu iemeslu pēc</w:t>
      </w:r>
      <w:r w:rsidR="00BB086B">
        <w:rPr>
          <w:rFonts w:ascii="Times New Roman" w:hAnsi="Times New Roman" w:cs="Times New Roman"/>
          <w:sz w:val="26"/>
          <w:szCs w:val="26"/>
        </w:rPr>
        <w:t>,</w:t>
      </w:r>
      <w:r w:rsidR="00172EC7">
        <w:rPr>
          <w:rFonts w:ascii="Times New Roman" w:hAnsi="Times New Roman" w:cs="Times New Roman"/>
          <w:sz w:val="26"/>
          <w:szCs w:val="26"/>
        </w:rPr>
        <w:t xml:space="preserve"> būtu jāvienojas ar nacionālo standartizācijas institūciju</w:t>
      </w:r>
      <w:r w:rsidR="00AB5A82">
        <w:rPr>
          <w:rFonts w:ascii="Times New Roman" w:hAnsi="Times New Roman" w:cs="Times New Roman"/>
          <w:sz w:val="26"/>
          <w:szCs w:val="26"/>
        </w:rPr>
        <w:t>, ka</w:t>
      </w:r>
      <w:r w:rsidR="00172EC7">
        <w:rPr>
          <w:rFonts w:ascii="Times New Roman" w:hAnsi="Times New Roman" w:cs="Times New Roman"/>
          <w:sz w:val="26"/>
          <w:szCs w:val="26"/>
        </w:rPr>
        <w:t xml:space="preserve"> par valsts nodrošināto finansējumu tulkoto standartu </w:t>
      </w:r>
      <w:r>
        <w:rPr>
          <w:rFonts w:ascii="Times New Roman" w:hAnsi="Times New Roman" w:cs="Times New Roman"/>
          <w:sz w:val="26"/>
          <w:szCs w:val="26"/>
        </w:rPr>
        <w:t xml:space="preserve">gala </w:t>
      </w:r>
      <w:r w:rsidR="00172EC7">
        <w:rPr>
          <w:rFonts w:ascii="Times New Roman" w:hAnsi="Times New Roman" w:cs="Times New Roman"/>
          <w:sz w:val="26"/>
          <w:szCs w:val="26"/>
        </w:rPr>
        <w:t>cena</w:t>
      </w:r>
      <w:r w:rsidR="00AB5A82">
        <w:rPr>
          <w:rFonts w:ascii="Times New Roman" w:hAnsi="Times New Roman" w:cs="Times New Roman"/>
          <w:sz w:val="26"/>
          <w:szCs w:val="26"/>
        </w:rPr>
        <w:t xml:space="preserve"> </w:t>
      </w:r>
      <w:r w:rsidR="00172EC7">
        <w:rPr>
          <w:rFonts w:ascii="Times New Roman" w:hAnsi="Times New Roman" w:cs="Times New Roman"/>
          <w:sz w:val="26"/>
          <w:szCs w:val="26"/>
        </w:rPr>
        <w:t xml:space="preserve">veidojās </w:t>
      </w:r>
      <w:r w:rsidR="00AB5A82">
        <w:rPr>
          <w:rFonts w:ascii="Times New Roman" w:hAnsi="Times New Roman" w:cs="Times New Roman"/>
          <w:sz w:val="26"/>
          <w:szCs w:val="26"/>
        </w:rPr>
        <w:t>pēc šādas formulas:</w:t>
      </w:r>
    </w:p>
    <w:p w14:paraId="287ABFA8" w14:textId="5A9195F2" w:rsidR="00AB5A82" w:rsidRDefault="00C1324F" w:rsidP="00226850">
      <w:pPr>
        <w:spacing w:before="120" w:after="120"/>
        <w:ind w:firstLine="360"/>
        <w:jc w:val="center"/>
        <w:rPr>
          <w:rFonts w:ascii="Times New Roman" w:hAnsi="Times New Roman" w:cs="Times New Roman"/>
          <w:sz w:val="26"/>
          <w:szCs w:val="26"/>
        </w:rPr>
      </w:pPr>
      <w:r>
        <w:rPr>
          <w:rFonts w:ascii="Times New Roman" w:hAnsi="Times New Roman" w:cs="Times New Roman"/>
          <w:sz w:val="26"/>
          <w:szCs w:val="26"/>
        </w:rPr>
        <w:t>Gala cena</w:t>
      </w:r>
      <w:r w:rsidR="00AB5A82">
        <w:rPr>
          <w:rFonts w:ascii="Times New Roman" w:hAnsi="Times New Roman" w:cs="Times New Roman"/>
          <w:sz w:val="26"/>
          <w:szCs w:val="26"/>
        </w:rPr>
        <w:t>: A+A/2, kur</w:t>
      </w:r>
    </w:p>
    <w:p w14:paraId="6F00664E" w14:textId="0B0F220D" w:rsidR="00AB5A82" w:rsidRDefault="00AB5A82" w:rsidP="00226850">
      <w:pPr>
        <w:ind w:left="720" w:firstLine="720"/>
        <w:jc w:val="both"/>
        <w:rPr>
          <w:rFonts w:ascii="Times New Roman" w:hAnsi="Times New Roman" w:cs="Times New Roman"/>
          <w:sz w:val="26"/>
          <w:szCs w:val="26"/>
        </w:rPr>
      </w:pPr>
      <w:r>
        <w:rPr>
          <w:rFonts w:ascii="Times New Roman" w:hAnsi="Times New Roman" w:cs="Times New Roman"/>
          <w:sz w:val="26"/>
          <w:szCs w:val="26"/>
        </w:rPr>
        <w:lastRenderedPageBreak/>
        <w:t>A – attiecīgā standarta oriģinālvalodas versijas cena;</w:t>
      </w:r>
    </w:p>
    <w:p w14:paraId="7B11FE53" w14:textId="415C9688" w:rsidR="00172EC7" w:rsidRDefault="00AB5A82" w:rsidP="00226850">
      <w:pPr>
        <w:ind w:left="1440"/>
        <w:jc w:val="both"/>
        <w:rPr>
          <w:rFonts w:ascii="Times New Roman" w:hAnsi="Times New Roman" w:cs="Times New Roman"/>
          <w:sz w:val="26"/>
          <w:szCs w:val="26"/>
        </w:rPr>
      </w:pPr>
      <w:r>
        <w:rPr>
          <w:rFonts w:ascii="Times New Roman" w:hAnsi="Times New Roman" w:cs="Times New Roman"/>
          <w:sz w:val="26"/>
          <w:szCs w:val="26"/>
        </w:rPr>
        <w:t xml:space="preserve">A/2 – summa, kas paredzēta standartu tulkošanai un kuras apmērs ir puse no standarta oriģinālvalodas versijas cenas. </w:t>
      </w:r>
    </w:p>
    <w:p w14:paraId="4F7D7A53" w14:textId="125E8A2B" w:rsidR="00A85813" w:rsidRDefault="00AB5A82" w:rsidP="00172EC7">
      <w:pPr>
        <w:ind w:firstLine="360"/>
        <w:jc w:val="both"/>
        <w:rPr>
          <w:rFonts w:ascii="Times New Roman" w:hAnsi="Times New Roman" w:cs="Times New Roman"/>
          <w:sz w:val="26"/>
          <w:szCs w:val="26"/>
        </w:rPr>
      </w:pPr>
      <w:r>
        <w:rPr>
          <w:rFonts w:ascii="Times New Roman" w:hAnsi="Times New Roman" w:cs="Times New Roman"/>
          <w:sz w:val="26"/>
          <w:szCs w:val="26"/>
        </w:rPr>
        <w:t xml:space="preserve">Tādējādi valsts neiejauktos standartu cenas noteikšanā un atstātu to nacionālās standartizācijas institūcijas kompetencē, bet gan noteiktu, ka </w:t>
      </w:r>
      <w:r w:rsidR="005219AF">
        <w:rPr>
          <w:rFonts w:ascii="Times New Roman" w:hAnsi="Times New Roman" w:cs="Times New Roman"/>
          <w:sz w:val="26"/>
          <w:szCs w:val="26"/>
        </w:rPr>
        <w:t>nacionālajai standartizācijas institūcijai ir jāiekasē arī papildus summa, kura tiktu izmantota standartu tulkošanai.</w:t>
      </w:r>
      <w:r w:rsidR="00A85813">
        <w:rPr>
          <w:rFonts w:ascii="Times New Roman" w:hAnsi="Times New Roman" w:cs="Times New Roman"/>
          <w:sz w:val="26"/>
          <w:szCs w:val="26"/>
        </w:rPr>
        <w:t xml:space="preserve"> Iekasēto standartu tulkošanai paredzētos līdzekļu nacionālajai standartizācijas institūcijai būtu pienākums uzkrāt, veidojot standartu tulkošanas fondu, kurš tiktu izmantots nākošā gada standartu tulkošanas plā</w:t>
      </w:r>
      <w:r w:rsidR="00624E01">
        <w:rPr>
          <w:rFonts w:ascii="Times New Roman" w:hAnsi="Times New Roman" w:cs="Times New Roman"/>
          <w:sz w:val="26"/>
          <w:szCs w:val="26"/>
        </w:rPr>
        <w:t>na izpildei. Standartu tulkošana prioritāri tiktu īstenota izmantojot standarta tulkošanas fonda līdzekļus un tikai tad valsts budžeta līdzekļus.</w:t>
      </w:r>
    </w:p>
    <w:p w14:paraId="6A3E36E5" w14:textId="2E25FA93" w:rsidR="00CA5C69" w:rsidRPr="00CA5C69" w:rsidRDefault="00CA5C69" w:rsidP="00172EC7">
      <w:pPr>
        <w:ind w:firstLine="360"/>
        <w:jc w:val="both"/>
        <w:rPr>
          <w:rFonts w:ascii="Times New Roman" w:hAnsi="Times New Roman" w:cs="Times New Roman"/>
          <w:sz w:val="26"/>
          <w:szCs w:val="26"/>
        </w:rPr>
      </w:pPr>
      <w:r w:rsidRPr="00CA5C69">
        <w:rPr>
          <w:rFonts w:ascii="Times New Roman" w:hAnsi="Times New Roman" w:cs="Times New Roman"/>
          <w:sz w:val="26"/>
          <w:szCs w:val="26"/>
        </w:rPr>
        <w:t xml:space="preserve">Papildus norādām, ka </w:t>
      </w:r>
      <w:r w:rsidRPr="00226850">
        <w:rPr>
          <w:rFonts w:ascii="Times New Roman" w:hAnsi="Times New Roman" w:cs="Times New Roman"/>
          <w:sz w:val="28"/>
          <w:szCs w:val="28"/>
        </w:rPr>
        <w:t xml:space="preserve">2014.gadā starp Eiropas Komisiju un Eiropas standartizācijas organizācijām (CEN un CENELEC) tika noslēgti partnerattiecību </w:t>
      </w:r>
      <w:proofErr w:type="spellStart"/>
      <w:r w:rsidRPr="00226850">
        <w:rPr>
          <w:rFonts w:ascii="Times New Roman" w:hAnsi="Times New Roman" w:cs="Times New Roman"/>
          <w:sz w:val="28"/>
          <w:szCs w:val="28"/>
        </w:rPr>
        <w:t>pamatnolīgumi</w:t>
      </w:r>
      <w:proofErr w:type="spellEnd"/>
      <w:r w:rsidRPr="00226850">
        <w:rPr>
          <w:rFonts w:ascii="Times New Roman" w:hAnsi="Times New Roman" w:cs="Times New Roman"/>
          <w:sz w:val="28"/>
          <w:szCs w:val="28"/>
        </w:rPr>
        <w:t xml:space="preserve"> periodam no 2014.gada 1.janvāra līdz 2020.gada 31.decembrim, kur daļa no finansējuma paredzēta Eiropas harmonizēto standartu tulkošanai dalībvalstu nacionālajās valodās.</w:t>
      </w:r>
      <w:r>
        <w:rPr>
          <w:rFonts w:ascii="Times New Roman" w:hAnsi="Times New Roman" w:cs="Times New Roman"/>
          <w:sz w:val="28"/>
          <w:szCs w:val="28"/>
        </w:rPr>
        <w:t xml:space="preserve">  </w:t>
      </w:r>
      <w:r w:rsidRPr="00226850">
        <w:rPr>
          <w:rFonts w:ascii="Times New Roman" w:hAnsi="Times New Roman" w:cs="Times New Roman"/>
          <w:sz w:val="28"/>
          <w:szCs w:val="28"/>
        </w:rPr>
        <w:t>Minēto standartu tulkošanas procedūra paredz kārtību, ka dalībvalsts nacionālā standartizācijas institūcija veic tulkošanas darbu apmaksu, savukārt pēc tulkošanas darbu pabeigšanas un apstiprināšanas nacionālajai standartizācijas institūcijai tiek atlīdzināti tulkošanas izdevumi 75% apmērā</w:t>
      </w:r>
      <w:r>
        <w:rPr>
          <w:rFonts w:ascii="Times New Roman" w:hAnsi="Times New Roman" w:cs="Times New Roman"/>
          <w:sz w:val="28"/>
          <w:szCs w:val="28"/>
        </w:rPr>
        <w:t xml:space="preserve"> saskaņā ar iepriekš noteikto kvotu</w:t>
      </w:r>
      <w:r w:rsidR="00553133">
        <w:rPr>
          <w:rFonts w:ascii="Times New Roman" w:hAnsi="Times New Roman" w:cs="Times New Roman"/>
          <w:sz w:val="28"/>
          <w:szCs w:val="28"/>
        </w:rPr>
        <w:t>. Šis finansējums</w:t>
      </w:r>
      <w:r w:rsidRPr="00226850">
        <w:rPr>
          <w:rFonts w:ascii="Times New Roman" w:hAnsi="Times New Roman" w:cs="Times New Roman"/>
          <w:sz w:val="28"/>
          <w:szCs w:val="28"/>
        </w:rPr>
        <w:t xml:space="preserve"> </w:t>
      </w:r>
      <w:r w:rsidR="00553133" w:rsidRPr="00553133">
        <w:rPr>
          <w:rFonts w:ascii="Times New Roman" w:hAnsi="Times New Roman" w:cs="Times New Roman"/>
          <w:sz w:val="28"/>
          <w:szCs w:val="28"/>
        </w:rPr>
        <w:t>tiktu uzglabāts</w:t>
      </w:r>
      <w:r w:rsidRPr="00226850">
        <w:rPr>
          <w:rFonts w:ascii="Times New Roman" w:hAnsi="Times New Roman" w:cs="Times New Roman"/>
          <w:sz w:val="28"/>
          <w:szCs w:val="28"/>
        </w:rPr>
        <w:t xml:space="preserve"> kā standartu tulkošanas fonds priekš nepieciešamajiem standartu tulkojumiem nākoš</w:t>
      </w:r>
      <w:r w:rsidR="00553133">
        <w:rPr>
          <w:rFonts w:ascii="Times New Roman" w:hAnsi="Times New Roman" w:cs="Times New Roman"/>
          <w:sz w:val="28"/>
          <w:szCs w:val="28"/>
        </w:rPr>
        <w:t>aj</w:t>
      </w:r>
      <w:r w:rsidRPr="00226850">
        <w:rPr>
          <w:rFonts w:ascii="Times New Roman" w:hAnsi="Times New Roman" w:cs="Times New Roman"/>
          <w:sz w:val="28"/>
          <w:szCs w:val="28"/>
        </w:rPr>
        <w:t xml:space="preserve">ā gadā. </w:t>
      </w:r>
    </w:p>
    <w:p w14:paraId="179D764F" w14:textId="77777777" w:rsidR="00BB086B" w:rsidRPr="006B03AD" w:rsidRDefault="00BB086B" w:rsidP="00A076A1">
      <w:pPr>
        <w:jc w:val="both"/>
        <w:rPr>
          <w:rFonts w:ascii="Times New Roman" w:hAnsi="Times New Roman" w:cs="Times New Roman"/>
          <w:sz w:val="26"/>
          <w:szCs w:val="26"/>
        </w:rPr>
      </w:pPr>
    </w:p>
    <w:p w14:paraId="781661AC" w14:textId="77777777" w:rsidR="006A1F65" w:rsidRPr="00226850" w:rsidRDefault="006A1F65" w:rsidP="006A1F65">
      <w:pPr>
        <w:pStyle w:val="ListParagraph"/>
        <w:numPr>
          <w:ilvl w:val="0"/>
          <w:numId w:val="9"/>
        </w:numPr>
        <w:jc w:val="both"/>
        <w:rPr>
          <w:rFonts w:ascii="Times New Roman" w:hAnsi="Times New Roman" w:cs="Times New Roman"/>
          <w:sz w:val="26"/>
          <w:szCs w:val="26"/>
          <w:u w:val="single"/>
        </w:rPr>
      </w:pPr>
      <w:r w:rsidRPr="00226850">
        <w:rPr>
          <w:rFonts w:ascii="Times New Roman" w:hAnsi="Times New Roman" w:cs="Times New Roman"/>
          <w:sz w:val="26"/>
          <w:szCs w:val="26"/>
          <w:u w:val="single"/>
        </w:rPr>
        <w:t>Nacionālās standartizācijas institūcijas darbības reorganizācija</w:t>
      </w:r>
    </w:p>
    <w:p w14:paraId="2F6A06C8" w14:textId="5D2CDE18" w:rsidR="0075704C" w:rsidRDefault="00CC22F8" w:rsidP="006A1F65">
      <w:pPr>
        <w:jc w:val="both"/>
        <w:rPr>
          <w:rFonts w:ascii="Times New Roman" w:hAnsi="Times New Roman" w:cs="Times New Roman"/>
          <w:sz w:val="26"/>
          <w:szCs w:val="26"/>
        </w:rPr>
      </w:pPr>
      <w:r w:rsidRPr="006B03AD">
        <w:rPr>
          <w:rFonts w:ascii="Times New Roman" w:hAnsi="Times New Roman" w:cs="Times New Roman"/>
          <w:sz w:val="26"/>
          <w:szCs w:val="26"/>
        </w:rPr>
        <w:t>Standartizācijas institūcijas</w:t>
      </w:r>
      <w:r w:rsidR="006A1F65" w:rsidRPr="006B03AD">
        <w:rPr>
          <w:rFonts w:ascii="Times New Roman" w:hAnsi="Times New Roman" w:cs="Times New Roman"/>
          <w:sz w:val="26"/>
          <w:szCs w:val="26"/>
        </w:rPr>
        <w:t xml:space="preserve"> pēc būtības ir organizācijas, kuru mērķis nav peļņas gūšanas, bet gan ieinteresēto pušu interešu nodrošināšana. To primārā darbība ir saistīta ar standartu izstrādi – standartizāciju, kas nav uzskatāma par valsts pārvaldes uzdevumu. Tādējādi no valsts puses ir veicināma standartizācijas darbību nodošana privātpersonām. Ievērojot dominējošo praksi attiecībā uz nacionālo standartizācijas institūciju, kuras ir Eiropas standartizācijas institūciju biedri, juridisko statusu, secināms, ka 70% gadījumos nacionālās institūcijas tiek veidotas kā nevalstiskās organizācijas. Tādējādi radot iespēju jebkurai ieinteresētajai pusei iesaistīties nacionālās standartizācijas institūcijas darbā un lēmumu pieņemšanā kā stratēģiskajā, tā arī ikdienas darbā. </w:t>
      </w:r>
      <w:r w:rsidR="00EC6DD8">
        <w:rPr>
          <w:rFonts w:ascii="Times New Roman" w:hAnsi="Times New Roman" w:cs="Times New Roman"/>
          <w:sz w:val="26"/>
          <w:szCs w:val="26"/>
        </w:rPr>
        <w:t xml:space="preserve">Šāds </w:t>
      </w:r>
      <w:r w:rsidR="00A21B8E">
        <w:rPr>
          <w:rFonts w:ascii="Times New Roman" w:hAnsi="Times New Roman" w:cs="Times New Roman"/>
          <w:sz w:val="26"/>
          <w:szCs w:val="26"/>
        </w:rPr>
        <w:t>modelis būtu ieviešams arī Latvijā. Privāta</w:t>
      </w:r>
      <w:r w:rsidR="00EC30C6">
        <w:rPr>
          <w:rFonts w:ascii="Times New Roman" w:hAnsi="Times New Roman" w:cs="Times New Roman"/>
          <w:sz w:val="26"/>
          <w:szCs w:val="26"/>
        </w:rPr>
        <w:t>jam</w:t>
      </w:r>
      <w:r w:rsidR="00A21B8E">
        <w:rPr>
          <w:rFonts w:ascii="Times New Roman" w:hAnsi="Times New Roman" w:cs="Times New Roman"/>
          <w:sz w:val="26"/>
          <w:szCs w:val="26"/>
        </w:rPr>
        <w:t xml:space="preserve"> sektoram ir jādod iespēja izveidot nevalstisko organizāciju, kuras darbā maksimāli tiek iesaistītas standartizācijas darbībās ieinteresētās puses un kuras darbības modelis izpilda gan Eiropas, gan arī starptautisko organizāciju, kurā Latvijas ir pārstāvēta, prasības. </w:t>
      </w:r>
      <w:r w:rsidR="0075704C" w:rsidRPr="0075704C">
        <w:rPr>
          <w:rFonts w:ascii="Times New Roman" w:hAnsi="Times New Roman" w:cs="Times New Roman"/>
          <w:sz w:val="26"/>
          <w:szCs w:val="26"/>
        </w:rPr>
        <w:t>Minētais risinājums skars arī valsts līdzdalības kapitālsabiedrībā apjomu, tādēļ Ekonomikas ministrija</w:t>
      </w:r>
      <w:r w:rsidR="00F473C3">
        <w:rPr>
          <w:rFonts w:ascii="Times New Roman" w:hAnsi="Times New Roman" w:cs="Times New Roman"/>
          <w:sz w:val="26"/>
          <w:szCs w:val="26"/>
        </w:rPr>
        <w:t>,</w:t>
      </w:r>
      <w:r w:rsidR="0075704C" w:rsidRPr="0075704C">
        <w:rPr>
          <w:rFonts w:ascii="Times New Roman" w:hAnsi="Times New Roman" w:cs="Times New Roman"/>
          <w:sz w:val="26"/>
          <w:szCs w:val="26"/>
        </w:rPr>
        <w:t xml:space="preserve"> ņemot vērā arī Publiskas personas kapitāla daļu un kapitālsabiedrību pārvaldības likuma pārejas noteikumos noteikto</w:t>
      </w:r>
      <w:r w:rsidR="00F473C3">
        <w:rPr>
          <w:rFonts w:ascii="Times New Roman" w:hAnsi="Times New Roman" w:cs="Times New Roman"/>
          <w:sz w:val="26"/>
          <w:szCs w:val="26"/>
        </w:rPr>
        <w:t>,</w:t>
      </w:r>
      <w:r w:rsidR="0075704C" w:rsidRPr="0075704C">
        <w:rPr>
          <w:rFonts w:ascii="Times New Roman" w:hAnsi="Times New Roman" w:cs="Times New Roman"/>
          <w:sz w:val="26"/>
          <w:szCs w:val="26"/>
        </w:rPr>
        <w:t xml:space="preserve"> sagatavos</w:t>
      </w:r>
      <w:r w:rsidR="00F473C3">
        <w:rPr>
          <w:rFonts w:ascii="Times New Roman" w:hAnsi="Times New Roman" w:cs="Times New Roman"/>
          <w:sz w:val="26"/>
          <w:szCs w:val="26"/>
        </w:rPr>
        <w:t xml:space="preserve"> un iesniegs </w:t>
      </w:r>
      <w:r w:rsidR="0075704C" w:rsidRPr="0075704C">
        <w:rPr>
          <w:rFonts w:ascii="Times New Roman" w:hAnsi="Times New Roman" w:cs="Times New Roman"/>
          <w:sz w:val="26"/>
          <w:szCs w:val="26"/>
        </w:rPr>
        <w:t>Ministru kabinetā</w:t>
      </w:r>
      <w:r w:rsidR="00F473C3">
        <w:rPr>
          <w:rFonts w:ascii="Times New Roman" w:hAnsi="Times New Roman" w:cs="Times New Roman"/>
          <w:sz w:val="26"/>
          <w:szCs w:val="26"/>
        </w:rPr>
        <w:t xml:space="preserve"> lēmuma pieņemšanai izvērtējumu par tālāko rīcību ar SAMC.</w:t>
      </w:r>
      <w:r w:rsidR="0075704C" w:rsidRPr="0075704C">
        <w:rPr>
          <w:rFonts w:ascii="Times New Roman" w:hAnsi="Times New Roman" w:cs="Times New Roman"/>
          <w:sz w:val="26"/>
          <w:szCs w:val="26"/>
        </w:rPr>
        <w:t xml:space="preserve"> Šis izvērtējums aptvers arī jautājumus saistībā ar valsts aģentūras izveidi, kura pārņemtu no SAMC nacionālās akreditācijas funkciju pildīšanu, ņemot vērā akreditācijas būtību, kas pretstatā standartizācijai ir klasificējama par valsts pārvaldes uzdevumu.</w:t>
      </w:r>
    </w:p>
    <w:p w14:paraId="4C95BBB1" w14:textId="77777777" w:rsidR="0075704C" w:rsidRDefault="0075704C" w:rsidP="006A1F65">
      <w:pPr>
        <w:jc w:val="both"/>
        <w:rPr>
          <w:rFonts w:ascii="Times New Roman" w:hAnsi="Times New Roman" w:cs="Times New Roman"/>
          <w:sz w:val="26"/>
          <w:szCs w:val="26"/>
        </w:rPr>
      </w:pPr>
    </w:p>
    <w:p w14:paraId="406650B2" w14:textId="234F97DF" w:rsidR="00E6439D" w:rsidRDefault="006606A3" w:rsidP="006A1F65">
      <w:pPr>
        <w:jc w:val="both"/>
        <w:rPr>
          <w:rFonts w:ascii="Times New Roman" w:hAnsi="Times New Roman" w:cs="Times New Roman"/>
          <w:sz w:val="26"/>
          <w:szCs w:val="26"/>
        </w:rPr>
      </w:pPr>
      <w:r>
        <w:rPr>
          <w:rFonts w:ascii="Times New Roman" w:hAnsi="Times New Roman" w:cs="Times New Roman"/>
          <w:sz w:val="26"/>
          <w:szCs w:val="26"/>
        </w:rPr>
        <w:lastRenderedPageBreak/>
        <w:t>Ievērojot</w:t>
      </w:r>
      <w:r w:rsidR="006A1F65" w:rsidRPr="006B03AD">
        <w:rPr>
          <w:rFonts w:ascii="Times New Roman" w:hAnsi="Times New Roman" w:cs="Times New Roman"/>
          <w:sz w:val="26"/>
          <w:szCs w:val="26"/>
        </w:rPr>
        <w:t xml:space="preserve"> Eiropas Savienības tiesiskajā regulējumā noteikto dalībvalstu pienākumu nozīmēt un paziņot Eiropas Komisijai atzītās nacionālās standartizācijas institūcijas, un apstākli, ka valstīs, kurās standartizācijas sistēma nav pietiekoši attīstīta, nacionālās standartizācijas institūcijas nav spējīgas sevi patstāvīgi uzturēt, tiesiskajā regulējumā ir jāparedz </w:t>
      </w:r>
      <w:r w:rsidR="00EC30C6">
        <w:rPr>
          <w:rFonts w:ascii="Times New Roman" w:hAnsi="Times New Roman" w:cs="Times New Roman"/>
          <w:sz w:val="26"/>
          <w:szCs w:val="26"/>
        </w:rPr>
        <w:t xml:space="preserve">arī </w:t>
      </w:r>
      <w:r w:rsidR="006A1F65" w:rsidRPr="006B03AD">
        <w:rPr>
          <w:rFonts w:ascii="Times New Roman" w:hAnsi="Times New Roman" w:cs="Times New Roman"/>
          <w:sz w:val="26"/>
          <w:szCs w:val="26"/>
        </w:rPr>
        <w:t>valsts līdzfinansējums</w:t>
      </w:r>
      <w:r w:rsidR="00EC30C6">
        <w:rPr>
          <w:rFonts w:ascii="Times New Roman" w:hAnsi="Times New Roman" w:cs="Times New Roman"/>
          <w:sz w:val="26"/>
          <w:szCs w:val="26"/>
        </w:rPr>
        <w:t xml:space="preserve"> </w:t>
      </w:r>
      <w:r w:rsidR="006A1F65" w:rsidRPr="006B03AD">
        <w:rPr>
          <w:rFonts w:ascii="Times New Roman" w:hAnsi="Times New Roman" w:cs="Times New Roman"/>
          <w:sz w:val="26"/>
          <w:szCs w:val="26"/>
        </w:rPr>
        <w:t>nacionālās standartizācijas institūcijas darbības nodrošināšanai tādā līmenī, lai nodrošinu visas sabiedrības interešu ievērošanu, kas aptvertu, bet neaprobežotos ar šādām standartizācijas darbībā</w:t>
      </w:r>
      <w:r w:rsidR="002348D0">
        <w:rPr>
          <w:rFonts w:ascii="Times New Roman" w:hAnsi="Times New Roman" w:cs="Times New Roman"/>
          <w:sz w:val="26"/>
          <w:szCs w:val="26"/>
        </w:rPr>
        <w:t>m</w:t>
      </w:r>
      <w:r w:rsidR="006A1F65" w:rsidRPr="006B03AD">
        <w:rPr>
          <w:rFonts w:ascii="Times New Roman" w:hAnsi="Times New Roman" w:cs="Times New Roman"/>
          <w:sz w:val="26"/>
          <w:szCs w:val="26"/>
        </w:rPr>
        <w:t>: piemērojamo standartu izstrāde, pārskatīšana un tulkošana (atbilstoši ieviestajai mandātu sistēmai)</w:t>
      </w:r>
      <w:r w:rsidR="00CC22F8" w:rsidRPr="006B03AD">
        <w:rPr>
          <w:rFonts w:ascii="Times New Roman" w:hAnsi="Times New Roman" w:cs="Times New Roman"/>
          <w:sz w:val="26"/>
          <w:szCs w:val="26"/>
        </w:rPr>
        <w:t>, tai skaitā nevalstisko organizāciju, kā arī mazo un vidējo uzņēmumu iesaistīšana šajā procesā</w:t>
      </w:r>
      <w:r w:rsidR="006A1F65" w:rsidRPr="006B03AD">
        <w:rPr>
          <w:rFonts w:ascii="Times New Roman" w:hAnsi="Times New Roman" w:cs="Times New Roman"/>
          <w:sz w:val="26"/>
          <w:szCs w:val="26"/>
        </w:rPr>
        <w:t xml:space="preserve">; izvērtējumu par attiecīgo standartu būtību un atbilstību attiecīgajos normatīvajos aktos noteiktajām prasībām un politikas jomai; nacionālās standartizācijas institūcijas sekretariāta darbības nodrošināšanai; informatīvajiem pasākumiem, kas saistīti ar standartizācijas jautājumu popularizēšanu un skaidrošanu. </w:t>
      </w:r>
      <w:r w:rsidR="00491E47">
        <w:rPr>
          <w:rFonts w:ascii="Times New Roman" w:hAnsi="Times New Roman" w:cs="Times New Roman"/>
          <w:sz w:val="26"/>
          <w:szCs w:val="26"/>
        </w:rPr>
        <w:t xml:space="preserve">Līdz ar </w:t>
      </w:r>
      <w:r w:rsidR="00D649B1">
        <w:rPr>
          <w:rFonts w:ascii="Times New Roman" w:hAnsi="Times New Roman" w:cs="Times New Roman"/>
          <w:sz w:val="26"/>
          <w:szCs w:val="26"/>
        </w:rPr>
        <w:t xml:space="preserve">atbilstošas </w:t>
      </w:r>
      <w:r w:rsidR="000848C7">
        <w:rPr>
          <w:rFonts w:ascii="Times New Roman" w:hAnsi="Times New Roman" w:cs="Times New Roman"/>
          <w:sz w:val="26"/>
          <w:szCs w:val="26"/>
        </w:rPr>
        <w:t>nevalstiskā</w:t>
      </w:r>
      <w:r w:rsidR="00D649B1">
        <w:rPr>
          <w:rFonts w:ascii="Times New Roman" w:hAnsi="Times New Roman" w:cs="Times New Roman"/>
          <w:sz w:val="26"/>
          <w:szCs w:val="26"/>
        </w:rPr>
        <w:t>s</w:t>
      </w:r>
      <w:r w:rsidR="000848C7">
        <w:rPr>
          <w:rFonts w:ascii="Times New Roman" w:hAnsi="Times New Roman" w:cs="Times New Roman"/>
          <w:sz w:val="26"/>
          <w:szCs w:val="26"/>
        </w:rPr>
        <w:t xml:space="preserve"> organizācija</w:t>
      </w:r>
      <w:r w:rsidR="00D649B1">
        <w:rPr>
          <w:rFonts w:ascii="Times New Roman" w:hAnsi="Times New Roman" w:cs="Times New Roman"/>
          <w:sz w:val="26"/>
          <w:szCs w:val="26"/>
        </w:rPr>
        <w:t>s izveidošanu tā</w:t>
      </w:r>
      <w:r w:rsidR="000848C7">
        <w:rPr>
          <w:rFonts w:ascii="Times New Roman" w:hAnsi="Times New Roman" w:cs="Times New Roman"/>
          <w:sz w:val="26"/>
          <w:szCs w:val="26"/>
        </w:rPr>
        <w:t xml:space="preserve"> no valsts puses tiktu atzīta kā nacionālā standartizācijas institūcija, kura kļūtu par biedru gan Eiropas, gan arī starptautiskajās standartizācijas organizācijās. Tas nozīmētu, ka </w:t>
      </w:r>
      <w:r w:rsidR="00E118D8">
        <w:rPr>
          <w:rFonts w:ascii="Times New Roman" w:hAnsi="Times New Roman" w:cs="Times New Roman"/>
          <w:sz w:val="26"/>
          <w:szCs w:val="26"/>
        </w:rPr>
        <w:t>tā</w:t>
      </w:r>
      <w:r w:rsidR="000848C7">
        <w:rPr>
          <w:rFonts w:ascii="Times New Roman" w:hAnsi="Times New Roman" w:cs="Times New Roman"/>
          <w:sz w:val="26"/>
          <w:szCs w:val="26"/>
        </w:rPr>
        <w:t xml:space="preserve"> iegūtu tiesības izplatīt Eiropas un starptautisko standartus. </w:t>
      </w:r>
      <w:r w:rsidR="00B8736A">
        <w:rPr>
          <w:rFonts w:ascii="Times New Roman" w:hAnsi="Times New Roman" w:cs="Times New Roman"/>
          <w:sz w:val="26"/>
          <w:szCs w:val="26"/>
        </w:rPr>
        <w:t xml:space="preserve">Rezultātā nacionālās standartizācijas institūcijas darbības </w:t>
      </w:r>
      <w:r w:rsidR="0041530D">
        <w:rPr>
          <w:rFonts w:ascii="Times New Roman" w:hAnsi="Times New Roman" w:cs="Times New Roman"/>
          <w:sz w:val="26"/>
          <w:szCs w:val="26"/>
        </w:rPr>
        <w:t xml:space="preserve">reorganizācijas </w:t>
      </w:r>
      <w:r w:rsidR="00B8736A">
        <w:rPr>
          <w:rFonts w:ascii="Times New Roman" w:hAnsi="Times New Roman" w:cs="Times New Roman"/>
          <w:sz w:val="26"/>
          <w:szCs w:val="26"/>
        </w:rPr>
        <w:t>procesā pieejamīb</w:t>
      </w:r>
      <w:r w:rsidR="0055115A">
        <w:rPr>
          <w:rFonts w:ascii="Times New Roman" w:hAnsi="Times New Roman" w:cs="Times New Roman"/>
          <w:sz w:val="26"/>
          <w:szCs w:val="26"/>
        </w:rPr>
        <w:t>a Latvijas nacionālā statusā ada</w:t>
      </w:r>
      <w:r w:rsidR="00B8736A">
        <w:rPr>
          <w:rFonts w:ascii="Times New Roman" w:hAnsi="Times New Roman" w:cs="Times New Roman"/>
          <w:sz w:val="26"/>
          <w:szCs w:val="26"/>
        </w:rPr>
        <w:t>ptēta</w:t>
      </w:r>
      <w:r w:rsidR="0041530D">
        <w:rPr>
          <w:rFonts w:ascii="Times New Roman" w:hAnsi="Times New Roman" w:cs="Times New Roman"/>
          <w:sz w:val="26"/>
          <w:szCs w:val="26"/>
        </w:rPr>
        <w:t xml:space="preserve">jiem reģionālo un starptautisko standartizācijas institūciju izstrādātajiem standartiem netiktu </w:t>
      </w:r>
      <w:r w:rsidR="000519CD">
        <w:rPr>
          <w:rFonts w:ascii="Times New Roman" w:hAnsi="Times New Roman" w:cs="Times New Roman"/>
          <w:sz w:val="26"/>
          <w:szCs w:val="26"/>
        </w:rPr>
        <w:t>ietekmēta</w:t>
      </w:r>
      <w:r w:rsidR="0041530D">
        <w:rPr>
          <w:rFonts w:ascii="Times New Roman" w:hAnsi="Times New Roman" w:cs="Times New Roman"/>
          <w:sz w:val="26"/>
          <w:szCs w:val="26"/>
        </w:rPr>
        <w:t xml:space="preserve">. </w:t>
      </w:r>
      <w:r w:rsidR="000848C7">
        <w:rPr>
          <w:rFonts w:ascii="Times New Roman" w:hAnsi="Times New Roman" w:cs="Times New Roman"/>
          <w:sz w:val="26"/>
          <w:szCs w:val="26"/>
        </w:rPr>
        <w:t>Savukā</w:t>
      </w:r>
      <w:r w:rsidR="0041530D">
        <w:rPr>
          <w:rFonts w:ascii="Times New Roman" w:hAnsi="Times New Roman" w:cs="Times New Roman"/>
          <w:sz w:val="26"/>
          <w:szCs w:val="26"/>
        </w:rPr>
        <w:t xml:space="preserve">rt </w:t>
      </w:r>
      <w:r w:rsidR="000848C7">
        <w:rPr>
          <w:rFonts w:ascii="Times New Roman" w:hAnsi="Times New Roman" w:cs="Times New Roman"/>
          <w:sz w:val="26"/>
          <w:szCs w:val="26"/>
        </w:rPr>
        <w:t>Latvijas nacionālo standartu</w:t>
      </w:r>
      <w:r w:rsidR="0041530D">
        <w:rPr>
          <w:rFonts w:ascii="Times New Roman" w:hAnsi="Times New Roman" w:cs="Times New Roman"/>
          <w:sz w:val="26"/>
          <w:szCs w:val="26"/>
        </w:rPr>
        <w:t xml:space="preserve"> autortiesības </w:t>
      </w:r>
      <w:r w:rsidR="00846A95">
        <w:rPr>
          <w:rFonts w:ascii="Times New Roman" w:hAnsi="Times New Roman" w:cs="Times New Roman"/>
          <w:sz w:val="26"/>
          <w:szCs w:val="26"/>
        </w:rPr>
        <w:t>tiktu</w:t>
      </w:r>
      <w:r w:rsidR="0041530D">
        <w:rPr>
          <w:rFonts w:ascii="Times New Roman" w:hAnsi="Times New Roman" w:cs="Times New Roman"/>
          <w:sz w:val="26"/>
          <w:szCs w:val="26"/>
        </w:rPr>
        <w:t xml:space="preserve"> nodo</w:t>
      </w:r>
      <w:r w:rsidR="00846A95">
        <w:rPr>
          <w:rFonts w:ascii="Times New Roman" w:hAnsi="Times New Roman" w:cs="Times New Roman"/>
          <w:sz w:val="26"/>
          <w:szCs w:val="26"/>
        </w:rPr>
        <w:t>t</w:t>
      </w:r>
      <w:r w:rsidR="0041530D">
        <w:rPr>
          <w:rFonts w:ascii="Times New Roman" w:hAnsi="Times New Roman" w:cs="Times New Roman"/>
          <w:sz w:val="26"/>
          <w:szCs w:val="26"/>
        </w:rPr>
        <w:t>as no SAMC uz jaunizveidojamo nevalstisko organizāciju</w:t>
      </w:r>
      <w:r w:rsidR="000519CD">
        <w:rPr>
          <w:rFonts w:ascii="Times New Roman" w:hAnsi="Times New Roman" w:cs="Times New Roman"/>
          <w:sz w:val="26"/>
          <w:szCs w:val="26"/>
        </w:rPr>
        <w:t>, kura turpmāk pildītu nacionālās standartizācijas institūcijas funkcijas</w:t>
      </w:r>
      <w:r w:rsidR="0041530D">
        <w:rPr>
          <w:rFonts w:ascii="Times New Roman" w:hAnsi="Times New Roman" w:cs="Times New Roman"/>
          <w:sz w:val="26"/>
          <w:szCs w:val="26"/>
        </w:rPr>
        <w:t>. Minētais būtu pamatojams ar to, ka Latvijas nacionālos standartus ir izstrādā</w:t>
      </w:r>
      <w:r w:rsidR="000519CD">
        <w:rPr>
          <w:rFonts w:ascii="Times New Roman" w:hAnsi="Times New Roman" w:cs="Times New Roman"/>
          <w:sz w:val="26"/>
          <w:szCs w:val="26"/>
        </w:rPr>
        <w:t xml:space="preserve">jis nevis SAMC standartizācijas birojs, bet gan </w:t>
      </w:r>
      <w:r w:rsidR="0041530D">
        <w:rPr>
          <w:rFonts w:ascii="Times New Roman" w:hAnsi="Times New Roman" w:cs="Times New Roman"/>
          <w:sz w:val="26"/>
          <w:szCs w:val="26"/>
        </w:rPr>
        <w:t>ieinteresētās puses, kuras sabiedrības interešu ievērošanas vārdā</w:t>
      </w:r>
      <w:r w:rsidR="000519CD">
        <w:rPr>
          <w:rFonts w:ascii="Times New Roman" w:hAnsi="Times New Roman" w:cs="Times New Roman"/>
          <w:sz w:val="26"/>
          <w:szCs w:val="26"/>
        </w:rPr>
        <w:t xml:space="preserve"> ir nodevuši autortiesības uz izstrādātajiem darbiem nacionālajai standartizācijas institūcijai, proti, SAMC standartizācijas biroj</w:t>
      </w:r>
      <w:r w:rsidR="00553133">
        <w:rPr>
          <w:rFonts w:ascii="Times New Roman" w:hAnsi="Times New Roman" w:cs="Times New Roman"/>
          <w:sz w:val="26"/>
          <w:szCs w:val="26"/>
        </w:rPr>
        <w:t>am</w:t>
      </w:r>
      <w:r w:rsidR="000519CD">
        <w:rPr>
          <w:rFonts w:ascii="Times New Roman" w:hAnsi="Times New Roman" w:cs="Times New Roman"/>
          <w:sz w:val="26"/>
          <w:szCs w:val="26"/>
        </w:rPr>
        <w:t>.</w:t>
      </w:r>
      <w:r w:rsidR="003A51E9">
        <w:rPr>
          <w:rFonts w:ascii="Times New Roman" w:hAnsi="Times New Roman" w:cs="Times New Roman"/>
          <w:sz w:val="26"/>
          <w:szCs w:val="26"/>
        </w:rPr>
        <w:t xml:space="preserve"> </w:t>
      </w:r>
    </w:p>
    <w:p w14:paraId="273AFDC8" w14:textId="77777777" w:rsidR="006A1F65" w:rsidRPr="006B03AD" w:rsidRDefault="006A1F65" w:rsidP="006A1F65">
      <w:pPr>
        <w:jc w:val="both"/>
        <w:rPr>
          <w:rFonts w:ascii="Times New Roman" w:hAnsi="Times New Roman" w:cs="Times New Roman"/>
        </w:rPr>
      </w:pPr>
    </w:p>
    <w:p w14:paraId="1D26A911" w14:textId="77777777" w:rsidR="006A1F65" w:rsidRPr="006B03AD" w:rsidRDefault="006A1F65" w:rsidP="006A1F65">
      <w:pPr>
        <w:jc w:val="center"/>
        <w:rPr>
          <w:rFonts w:ascii="Times New Roman" w:hAnsi="Times New Roman" w:cs="Times New Roman"/>
          <w:sz w:val="26"/>
          <w:szCs w:val="26"/>
        </w:rPr>
      </w:pPr>
      <w:r w:rsidRPr="006B03AD">
        <w:rPr>
          <w:rFonts w:ascii="Times New Roman" w:hAnsi="Times New Roman" w:cs="Times New Roman"/>
          <w:sz w:val="26"/>
          <w:szCs w:val="26"/>
        </w:rPr>
        <w:t>Grozījumi normatīvajos aktos</w:t>
      </w:r>
    </w:p>
    <w:p w14:paraId="6F30A89F" w14:textId="77777777" w:rsidR="006A1F65" w:rsidRPr="006B03AD" w:rsidRDefault="006A1F65" w:rsidP="006A1F65">
      <w:pPr>
        <w:jc w:val="center"/>
        <w:rPr>
          <w:rFonts w:ascii="Times New Roman" w:hAnsi="Times New Roman" w:cs="Times New Roman"/>
          <w:sz w:val="26"/>
          <w:szCs w:val="26"/>
        </w:rPr>
      </w:pPr>
    </w:p>
    <w:p w14:paraId="38C1C57C" w14:textId="77777777" w:rsidR="006A1F65" w:rsidRPr="006B03AD" w:rsidRDefault="006A1F65" w:rsidP="006A1F65">
      <w:pPr>
        <w:jc w:val="both"/>
        <w:rPr>
          <w:rFonts w:ascii="Times New Roman" w:hAnsi="Times New Roman" w:cs="Times New Roman"/>
          <w:sz w:val="26"/>
          <w:szCs w:val="26"/>
        </w:rPr>
      </w:pPr>
      <w:r w:rsidRPr="006B03AD">
        <w:rPr>
          <w:rFonts w:ascii="Times New Roman" w:hAnsi="Times New Roman" w:cs="Times New Roman"/>
          <w:sz w:val="26"/>
          <w:szCs w:val="26"/>
        </w:rPr>
        <w:tab/>
        <w:t>Lai īstenotu šajā nodaļā norādītos risinājumu, nepieciešams veikt grozījumus šādos normatīvajos aktos:</w:t>
      </w:r>
    </w:p>
    <w:p w14:paraId="7CC20B46" w14:textId="77777777" w:rsidR="006A1F65" w:rsidRPr="006B03AD" w:rsidRDefault="00377A63" w:rsidP="006A1F65">
      <w:pPr>
        <w:pStyle w:val="ListParagraph"/>
        <w:numPr>
          <w:ilvl w:val="0"/>
          <w:numId w:val="15"/>
        </w:numPr>
        <w:jc w:val="both"/>
        <w:rPr>
          <w:rFonts w:ascii="Times New Roman" w:hAnsi="Times New Roman" w:cs="Times New Roman"/>
          <w:sz w:val="26"/>
          <w:szCs w:val="26"/>
        </w:rPr>
      </w:pPr>
      <w:r w:rsidRPr="006B03AD">
        <w:rPr>
          <w:rFonts w:ascii="Times New Roman" w:hAnsi="Times New Roman" w:cs="Times New Roman"/>
          <w:sz w:val="26"/>
          <w:szCs w:val="26"/>
        </w:rPr>
        <w:t>Grozījumi S</w:t>
      </w:r>
      <w:r w:rsidR="006A1F65" w:rsidRPr="006B03AD">
        <w:rPr>
          <w:rFonts w:ascii="Times New Roman" w:hAnsi="Times New Roman" w:cs="Times New Roman"/>
          <w:sz w:val="26"/>
          <w:szCs w:val="26"/>
        </w:rPr>
        <w:t>tandartizācijas likumā:</w:t>
      </w:r>
    </w:p>
    <w:p w14:paraId="3B37657B" w14:textId="77777777" w:rsidR="006A1F65" w:rsidRPr="006B03AD" w:rsidRDefault="006A1F65" w:rsidP="006A1F65">
      <w:pPr>
        <w:pStyle w:val="ListParagraph"/>
        <w:numPr>
          <w:ilvl w:val="1"/>
          <w:numId w:val="15"/>
        </w:numPr>
        <w:jc w:val="both"/>
        <w:rPr>
          <w:rFonts w:ascii="Times New Roman" w:hAnsi="Times New Roman" w:cs="Times New Roman"/>
          <w:sz w:val="26"/>
          <w:szCs w:val="26"/>
        </w:rPr>
      </w:pPr>
      <w:r w:rsidRPr="006B03AD">
        <w:rPr>
          <w:rFonts w:ascii="Times New Roman" w:hAnsi="Times New Roman" w:cs="Times New Roman"/>
          <w:sz w:val="26"/>
          <w:szCs w:val="26"/>
        </w:rPr>
        <w:t>Definīciju precizēšana;</w:t>
      </w:r>
    </w:p>
    <w:p w14:paraId="573CECA2" w14:textId="77777777" w:rsidR="006A1F65" w:rsidRPr="006B03AD" w:rsidRDefault="006A1F65" w:rsidP="006A1F65">
      <w:pPr>
        <w:pStyle w:val="ListParagraph"/>
        <w:numPr>
          <w:ilvl w:val="1"/>
          <w:numId w:val="15"/>
        </w:numPr>
        <w:jc w:val="both"/>
        <w:rPr>
          <w:rFonts w:ascii="Times New Roman" w:hAnsi="Times New Roman" w:cs="Times New Roman"/>
          <w:sz w:val="26"/>
          <w:szCs w:val="26"/>
        </w:rPr>
      </w:pPr>
      <w:r w:rsidRPr="006B03AD">
        <w:rPr>
          <w:rFonts w:ascii="Times New Roman" w:hAnsi="Times New Roman" w:cs="Times New Roman"/>
          <w:sz w:val="26"/>
          <w:szCs w:val="26"/>
        </w:rPr>
        <w:t>Jaunās pieejas ieviešana;</w:t>
      </w:r>
    </w:p>
    <w:p w14:paraId="574EF198" w14:textId="77777777" w:rsidR="006A1F65" w:rsidRPr="006B03AD" w:rsidRDefault="006A1F65" w:rsidP="006A1F65">
      <w:pPr>
        <w:pStyle w:val="ListParagraph"/>
        <w:numPr>
          <w:ilvl w:val="1"/>
          <w:numId w:val="15"/>
        </w:numPr>
        <w:jc w:val="both"/>
        <w:rPr>
          <w:rFonts w:ascii="Times New Roman" w:hAnsi="Times New Roman" w:cs="Times New Roman"/>
          <w:sz w:val="26"/>
          <w:szCs w:val="26"/>
        </w:rPr>
      </w:pPr>
      <w:r w:rsidRPr="006B03AD">
        <w:rPr>
          <w:rFonts w:ascii="Times New Roman" w:hAnsi="Times New Roman" w:cs="Times New Roman"/>
          <w:sz w:val="26"/>
          <w:szCs w:val="26"/>
        </w:rPr>
        <w:t>Standartu izmantošanas normatīvajos aktos veidu precizēšana;</w:t>
      </w:r>
    </w:p>
    <w:p w14:paraId="0A973FE5" w14:textId="2C2DCDB7" w:rsidR="006A1F65" w:rsidRPr="006B03AD" w:rsidRDefault="006A1F65" w:rsidP="006A1F65">
      <w:pPr>
        <w:pStyle w:val="ListParagraph"/>
        <w:numPr>
          <w:ilvl w:val="1"/>
          <w:numId w:val="15"/>
        </w:numPr>
        <w:jc w:val="both"/>
        <w:rPr>
          <w:rFonts w:ascii="Times New Roman" w:hAnsi="Times New Roman" w:cs="Times New Roman"/>
          <w:sz w:val="26"/>
          <w:szCs w:val="26"/>
        </w:rPr>
      </w:pPr>
      <w:r w:rsidRPr="006B03AD">
        <w:rPr>
          <w:rFonts w:ascii="Times New Roman" w:hAnsi="Times New Roman" w:cs="Times New Roman"/>
          <w:sz w:val="26"/>
          <w:szCs w:val="26"/>
        </w:rPr>
        <w:t>Mandātu sistēmas ieviešana</w:t>
      </w:r>
      <w:r w:rsidR="00052ECB">
        <w:rPr>
          <w:rFonts w:ascii="Times New Roman" w:hAnsi="Times New Roman" w:cs="Times New Roman"/>
          <w:sz w:val="26"/>
          <w:szCs w:val="26"/>
        </w:rPr>
        <w:t xml:space="preserve"> un centralizētas standartu tulkošanas nodrošināšana</w:t>
      </w:r>
      <w:r w:rsidRPr="006B03AD">
        <w:rPr>
          <w:rFonts w:ascii="Times New Roman" w:hAnsi="Times New Roman" w:cs="Times New Roman"/>
          <w:sz w:val="26"/>
          <w:szCs w:val="26"/>
        </w:rPr>
        <w:t>;</w:t>
      </w:r>
    </w:p>
    <w:p w14:paraId="0E9A1562" w14:textId="785644A4" w:rsidR="00D74084" w:rsidRPr="00226850" w:rsidRDefault="00E32E60" w:rsidP="00D74084">
      <w:pPr>
        <w:pStyle w:val="ListParagraph"/>
        <w:numPr>
          <w:ilvl w:val="1"/>
          <w:numId w:val="15"/>
        </w:numPr>
        <w:jc w:val="both"/>
        <w:rPr>
          <w:rFonts w:ascii="Times New Roman" w:hAnsi="Times New Roman" w:cs="Times New Roman"/>
          <w:sz w:val="26"/>
          <w:szCs w:val="26"/>
        </w:rPr>
      </w:pPr>
      <w:r>
        <w:rPr>
          <w:rFonts w:ascii="Times New Roman" w:hAnsi="Times New Roman" w:cs="Times New Roman"/>
          <w:sz w:val="26"/>
          <w:szCs w:val="26"/>
        </w:rPr>
        <w:t xml:space="preserve">Paredzēt risinājumu </w:t>
      </w:r>
      <w:r w:rsidR="004B1D0E">
        <w:rPr>
          <w:rFonts w:ascii="Times New Roman" w:hAnsi="Times New Roman" w:cs="Times New Roman"/>
          <w:sz w:val="26"/>
          <w:szCs w:val="26"/>
        </w:rPr>
        <w:t>attiecībā uz nacionālās standartizācijas institūcijas noteikšanu</w:t>
      </w:r>
      <w:r w:rsidR="00D74084">
        <w:rPr>
          <w:rFonts w:ascii="Times New Roman" w:hAnsi="Times New Roman" w:cs="Times New Roman"/>
          <w:sz w:val="26"/>
          <w:szCs w:val="26"/>
        </w:rPr>
        <w:t>;</w:t>
      </w:r>
    </w:p>
    <w:p w14:paraId="626C6A26" w14:textId="77777777" w:rsidR="006A1F65" w:rsidRPr="006B03AD" w:rsidRDefault="006A1F65" w:rsidP="006A1F65">
      <w:pPr>
        <w:pStyle w:val="ListParagraph"/>
        <w:numPr>
          <w:ilvl w:val="1"/>
          <w:numId w:val="15"/>
        </w:numPr>
        <w:jc w:val="both"/>
        <w:rPr>
          <w:rFonts w:ascii="Times New Roman" w:hAnsi="Times New Roman" w:cs="Times New Roman"/>
          <w:sz w:val="26"/>
          <w:szCs w:val="26"/>
        </w:rPr>
      </w:pPr>
      <w:r w:rsidRPr="006B03AD">
        <w:rPr>
          <w:rFonts w:ascii="Times New Roman" w:hAnsi="Times New Roman" w:cs="Times New Roman"/>
          <w:sz w:val="26"/>
          <w:szCs w:val="26"/>
        </w:rPr>
        <w:t>Paredzēt līdzfinansējuma piešķiršanu nacionālās standartizācijas institūcijas darbības nodrošināšanai un deleģēt līdzfinansējuma piešķiršanas kārtības izstrādi Ministru kabinetam.</w:t>
      </w:r>
    </w:p>
    <w:p w14:paraId="74312BE9" w14:textId="77777777" w:rsidR="005575E4" w:rsidRPr="006B03AD" w:rsidRDefault="006A1F65" w:rsidP="00CC22F8">
      <w:pPr>
        <w:pStyle w:val="ListParagraph"/>
        <w:numPr>
          <w:ilvl w:val="0"/>
          <w:numId w:val="15"/>
        </w:numPr>
        <w:jc w:val="both"/>
        <w:rPr>
          <w:rFonts w:ascii="Times New Roman" w:hAnsi="Times New Roman" w:cs="Times New Roman"/>
          <w:sz w:val="26"/>
          <w:szCs w:val="26"/>
        </w:rPr>
      </w:pPr>
      <w:r w:rsidRPr="006B03AD">
        <w:rPr>
          <w:rFonts w:ascii="Times New Roman" w:hAnsi="Times New Roman" w:cs="Times New Roman"/>
          <w:sz w:val="26"/>
          <w:szCs w:val="26"/>
        </w:rPr>
        <w:t>Izstrādāt normatīvo aktu projektus, lai izpildītu Ministru kabinetam deleģētos uzdevumus</w:t>
      </w:r>
      <w:r w:rsidR="00CC22F8" w:rsidRPr="006B03AD">
        <w:rPr>
          <w:rFonts w:ascii="Times New Roman" w:hAnsi="Times New Roman" w:cs="Times New Roman"/>
          <w:sz w:val="26"/>
          <w:szCs w:val="26"/>
        </w:rPr>
        <w:t>.</w:t>
      </w:r>
    </w:p>
    <w:p w14:paraId="1D6E905E" w14:textId="77777777" w:rsidR="00F87525" w:rsidRPr="006B03AD" w:rsidRDefault="00F87525">
      <w:pPr>
        <w:rPr>
          <w:rFonts w:ascii="Times New Roman" w:hAnsi="Times New Roman" w:cs="Times New Roman"/>
          <w:sz w:val="26"/>
          <w:szCs w:val="26"/>
        </w:rPr>
      </w:pPr>
      <w:r w:rsidRPr="006B03AD">
        <w:rPr>
          <w:rFonts w:ascii="Times New Roman" w:hAnsi="Times New Roman" w:cs="Times New Roman"/>
          <w:sz w:val="26"/>
          <w:szCs w:val="26"/>
        </w:rPr>
        <w:br w:type="page"/>
      </w:r>
    </w:p>
    <w:p w14:paraId="267E7543" w14:textId="0A207070" w:rsidR="00417E4F" w:rsidRDefault="00C65959" w:rsidP="00226850">
      <w:pPr>
        <w:pStyle w:val="Heading1"/>
      </w:pPr>
      <w:bookmarkStart w:id="22" w:name="_Toc451859781"/>
      <w:bookmarkStart w:id="23" w:name="_Toc451860004"/>
      <w:r>
        <w:lastRenderedPageBreak/>
        <w:t>PIEDĀVĀTĀ</w:t>
      </w:r>
      <w:r w:rsidR="00417E4F">
        <w:t xml:space="preserve"> </w:t>
      </w:r>
      <w:r>
        <w:t>RISINĀJUMA</w:t>
      </w:r>
      <w:r w:rsidR="00F944C8">
        <w:t xml:space="preserve"> </w:t>
      </w:r>
      <w:r>
        <w:t>SNIEGTIE</w:t>
      </w:r>
      <w:r w:rsidR="00F944C8">
        <w:t xml:space="preserve"> </w:t>
      </w:r>
      <w:bookmarkEnd w:id="22"/>
      <w:r>
        <w:t>IEGUVUMI</w:t>
      </w:r>
      <w:bookmarkEnd w:id="23"/>
      <w:r w:rsidR="00B352E1">
        <w:t>, STIPRĀS UN VĀJĀS PUSES</w:t>
      </w:r>
    </w:p>
    <w:p w14:paraId="4C059443" w14:textId="77777777" w:rsidR="00417E4F" w:rsidRDefault="00417E4F"/>
    <w:p w14:paraId="61CCDDF2" w14:textId="40F3DF8C" w:rsidR="00F944C8" w:rsidRDefault="00417E4F" w:rsidP="00226850">
      <w:pPr>
        <w:ind w:firstLine="720"/>
        <w:jc w:val="both"/>
        <w:rPr>
          <w:rFonts w:ascii="Times New Roman" w:hAnsi="Times New Roman" w:cs="Times New Roman"/>
          <w:sz w:val="26"/>
          <w:szCs w:val="26"/>
        </w:rPr>
      </w:pPr>
      <w:r w:rsidRPr="00226850">
        <w:rPr>
          <w:rFonts w:ascii="Times New Roman" w:hAnsi="Times New Roman" w:cs="Times New Roman"/>
          <w:sz w:val="26"/>
          <w:szCs w:val="26"/>
        </w:rPr>
        <w:t>Piedāvātais risinājums</w:t>
      </w:r>
      <w:r>
        <w:rPr>
          <w:rFonts w:ascii="Times New Roman" w:hAnsi="Times New Roman" w:cs="Times New Roman"/>
          <w:sz w:val="26"/>
          <w:szCs w:val="26"/>
        </w:rPr>
        <w:t xml:space="preserve"> paredz ļoti būtiski mainīt esošo Latvijas nacionālo standartizācijas sistēmu un tās darbību.</w:t>
      </w:r>
      <w:r w:rsidR="00837D57">
        <w:rPr>
          <w:rFonts w:ascii="Times New Roman" w:hAnsi="Times New Roman" w:cs="Times New Roman"/>
          <w:sz w:val="26"/>
          <w:szCs w:val="26"/>
        </w:rPr>
        <w:t xml:space="preserve"> Tā pamatā ir starptautiski atzīti labās prakses piemēri, kas nodrošina nacionālās standartizācijas sistēmas pilnvērtīgu funkcionēšanu.</w:t>
      </w:r>
      <w:r>
        <w:rPr>
          <w:rFonts w:ascii="Times New Roman" w:hAnsi="Times New Roman" w:cs="Times New Roman"/>
          <w:sz w:val="26"/>
          <w:szCs w:val="26"/>
        </w:rPr>
        <w:t xml:space="preserve"> Pamatuzstādījums minētai reorganizācijai ir padarīt Latvijas nacionālo standartizācijas sistēmu pilnvērtīgi un efektīvi darboties spē</w:t>
      </w:r>
      <w:r w:rsidR="00C921A0">
        <w:rPr>
          <w:rFonts w:ascii="Times New Roman" w:hAnsi="Times New Roman" w:cs="Times New Roman"/>
          <w:sz w:val="26"/>
          <w:szCs w:val="26"/>
        </w:rPr>
        <w:t>jīgu, kas dotu</w:t>
      </w:r>
      <w:r>
        <w:rPr>
          <w:rFonts w:ascii="Times New Roman" w:hAnsi="Times New Roman" w:cs="Times New Roman"/>
          <w:sz w:val="26"/>
          <w:szCs w:val="26"/>
        </w:rPr>
        <w:t xml:space="preserve"> iespēju izmantot tās daudzās priekšrocības un iespējas</w:t>
      </w:r>
      <w:r w:rsidR="00CA6F3C">
        <w:rPr>
          <w:rFonts w:ascii="Times New Roman" w:hAnsi="Times New Roman" w:cs="Times New Roman"/>
          <w:sz w:val="26"/>
          <w:szCs w:val="26"/>
        </w:rPr>
        <w:t xml:space="preserve">, kuras tiek sadalītas trīs sektoros: publiskais, </w:t>
      </w:r>
      <w:r>
        <w:rPr>
          <w:rFonts w:ascii="Times New Roman" w:hAnsi="Times New Roman" w:cs="Times New Roman"/>
          <w:sz w:val="26"/>
          <w:szCs w:val="26"/>
        </w:rPr>
        <w:t>privā</w:t>
      </w:r>
      <w:r w:rsidR="00CA6F3C">
        <w:rPr>
          <w:rFonts w:ascii="Times New Roman" w:hAnsi="Times New Roman" w:cs="Times New Roman"/>
          <w:sz w:val="26"/>
          <w:szCs w:val="26"/>
        </w:rPr>
        <w:t>tais</w:t>
      </w:r>
      <w:r>
        <w:rPr>
          <w:rFonts w:ascii="Times New Roman" w:hAnsi="Times New Roman" w:cs="Times New Roman"/>
          <w:sz w:val="26"/>
          <w:szCs w:val="26"/>
        </w:rPr>
        <w:t xml:space="preserve"> </w:t>
      </w:r>
      <w:r w:rsidR="00CA6F3C">
        <w:rPr>
          <w:rFonts w:ascii="Times New Roman" w:hAnsi="Times New Roman" w:cs="Times New Roman"/>
          <w:sz w:val="26"/>
          <w:szCs w:val="26"/>
        </w:rPr>
        <w:t>un visa</w:t>
      </w:r>
      <w:r>
        <w:rPr>
          <w:rFonts w:ascii="Times New Roman" w:hAnsi="Times New Roman" w:cs="Times New Roman"/>
          <w:sz w:val="26"/>
          <w:szCs w:val="26"/>
        </w:rPr>
        <w:t xml:space="preserve"> sabiedrī</w:t>
      </w:r>
      <w:r w:rsidR="00CA6F3C">
        <w:rPr>
          <w:rFonts w:ascii="Times New Roman" w:hAnsi="Times New Roman" w:cs="Times New Roman"/>
          <w:sz w:val="26"/>
          <w:szCs w:val="26"/>
        </w:rPr>
        <w:t>ba</w:t>
      </w:r>
      <w:r>
        <w:rPr>
          <w:rFonts w:ascii="Times New Roman" w:hAnsi="Times New Roman" w:cs="Times New Roman"/>
          <w:sz w:val="26"/>
          <w:szCs w:val="26"/>
        </w:rPr>
        <w:t xml:space="preserve">. </w:t>
      </w:r>
      <w:r w:rsidR="00F944C8">
        <w:rPr>
          <w:rFonts w:ascii="Times New Roman" w:hAnsi="Times New Roman" w:cs="Times New Roman"/>
          <w:sz w:val="26"/>
          <w:szCs w:val="26"/>
        </w:rPr>
        <w:t xml:space="preserve">Ieguvumi </w:t>
      </w:r>
      <w:r w:rsidR="00CA6F3C">
        <w:rPr>
          <w:rFonts w:ascii="Times New Roman" w:hAnsi="Times New Roman" w:cs="Times New Roman"/>
          <w:sz w:val="26"/>
          <w:szCs w:val="26"/>
        </w:rPr>
        <w:t xml:space="preserve">pa sektoriem </w:t>
      </w:r>
      <w:r w:rsidR="00F944C8">
        <w:rPr>
          <w:rFonts w:ascii="Times New Roman" w:hAnsi="Times New Roman" w:cs="Times New Roman"/>
          <w:sz w:val="26"/>
          <w:szCs w:val="26"/>
        </w:rPr>
        <w:t xml:space="preserve">no šajā konceptuālajā ziņojumā piedāvātā risinājuma </w:t>
      </w:r>
      <w:r w:rsidR="00CA6F3C">
        <w:rPr>
          <w:rFonts w:ascii="Times New Roman" w:hAnsi="Times New Roman" w:cs="Times New Roman"/>
          <w:sz w:val="26"/>
          <w:szCs w:val="26"/>
        </w:rPr>
        <w:t xml:space="preserve">ieviešanas </w:t>
      </w:r>
      <w:r w:rsidR="00F944C8">
        <w:rPr>
          <w:rFonts w:ascii="Times New Roman" w:hAnsi="Times New Roman" w:cs="Times New Roman"/>
          <w:sz w:val="26"/>
          <w:szCs w:val="26"/>
        </w:rPr>
        <w:t>ir apkopoti zemāk redzamajā tabulā.</w:t>
      </w:r>
    </w:p>
    <w:p w14:paraId="5559928E" w14:textId="77777777" w:rsidR="00F944C8" w:rsidRDefault="00F944C8" w:rsidP="00226850">
      <w:pPr>
        <w:ind w:firstLine="720"/>
        <w:jc w:val="both"/>
        <w:rPr>
          <w:rFonts w:ascii="Times New Roman" w:hAnsi="Times New Roman" w:cs="Times New Roman"/>
          <w:sz w:val="26"/>
          <w:szCs w:val="26"/>
        </w:rPr>
      </w:pPr>
    </w:p>
    <w:p w14:paraId="01DB9458" w14:textId="777FE90A" w:rsidR="00F944C8" w:rsidRPr="00226850" w:rsidRDefault="00F944C8" w:rsidP="00226850">
      <w:pPr>
        <w:ind w:firstLine="720"/>
        <w:jc w:val="center"/>
        <w:rPr>
          <w:rFonts w:ascii="Times New Roman" w:hAnsi="Times New Roman" w:cs="Times New Roman"/>
          <w:b/>
          <w:sz w:val="26"/>
          <w:szCs w:val="26"/>
        </w:rPr>
      </w:pPr>
      <w:r w:rsidRPr="00226850">
        <w:rPr>
          <w:rFonts w:ascii="Times New Roman" w:hAnsi="Times New Roman" w:cs="Times New Roman"/>
          <w:b/>
          <w:sz w:val="26"/>
          <w:szCs w:val="26"/>
        </w:rPr>
        <w:t>Ieguvumi no pilnvērtīgi funkcionējošas standartizācijas sistēmas</w:t>
      </w:r>
    </w:p>
    <w:tbl>
      <w:tblPr>
        <w:tblStyle w:val="TableGrid"/>
        <w:tblW w:w="0" w:type="auto"/>
        <w:tblLook w:val="04A0" w:firstRow="1" w:lastRow="0" w:firstColumn="1" w:lastColumn="0" w:noHBand="0" w:noVBand="1"/>
      </w:tblPr>
      <w:tblGrid>
        <w:gridCol w:w="4505"/>
        <w:gridCol w:w="4505"/>
      </w:tblGrid>
      <w:tr w:rsidR="00081239" w14:paraId="6612BF75" w14:textId="77777777" w:rsidTr="00081239">
        <w:tc>
          <w:tcPr>
            <w:tcW w:w="4505" w:type="dxa"/>
          </w:tcPr>
          <w:p w14:paraId="1027E094" w14:textId="64BDBFDB" w:rsidR="00081239" w:rsidRDefault="00CA6F3C" w:rsidP="00417E4F">
            <w:pPr>
              <w:jc w:val="both"/>
              <w:rPr>
                <w:rFonts w:ascii="Times New Roman" w:hAnsi="Times New Roman" w:cs="Times New Roman"/>
                <w:sz w:val="26"/>
                <w:szCs w:val="26"/>
              </w:rPr>
            </w:pPr>
            <w:r>
              <w:rPr>
                <w:rFonts w:ascii="Times New Roman" w:hAnsi="Times New Roman" w:cs="Times New Roman"/>
                <w:sz w:val="26"/>
                <w:szCs w:val="26"/>
              </w:rPr>
              <w:t>Publiskā sektora ieguvumi</w:t>
            </w:r>
          </w:p>
        </w:tc>
        <w:tc>
          <w:tcPr>
            <w:tcW w:w="4505" w:type="dxa"/>
          </w:tcPr>
          <w:p w14:paraId="78DDC450" w14:textId="7A25FC2C" w:rsidR="00081239" w:rsidRDefault="00977B20" w:rsidP="00226850">
            <w:pPr>
              <w:pStyle w:val="ListParagraph"/>
              <w:numPr>
                <w:ilvl w:val="0"/>
                <w:numId w:val="28"/>
              </w:numPr>
              <w:ind w:left="343"/>
              <w:jc w:val="both"/>
              <w:rPr>
                <w:rFonts w:ascii="Times New Roman" w:hAnsi="Times New Roman" w:cs="Times New Roman"/>
                <w:sz w:val="26"/>
                <w:szCs w:val="26"/>
              </w:rPr>
            </w:pPr>
            <w:r>
              <w:rPr>
                <w:rFonts w:ascii="Times New Roman" w:hAnsi="Times New Roman" w:cs="Times New Roman"/>
                <w:sz w:val="26"/>
                <w:szCs w:val="26"/>
              </w:rPr>
              <w:t>S</w:t>
            </w:r>
            <w:r w:rsidR="00CA6F3C">
              <w:rPr>
                <w:rFonts w:ascii="Times New Roman" w:hAnsi="Times New Roman" w:cs="Times New Roman"/>
                <w:sz w:val="26"/>
                <w:szCs w:val="26"/>
              </w:rPr>
              <w:t>pēcīgs</w:t>
            </w:r>
            <w:r w:rsidR="00B51B55">
              <w:rPr>
                <w:rFonts w:ascii="Times New Roman" w:hAnsi="Times New Roman" w:cs="Times New Roman"/>
                <w:sz w:val="26"/>
                <w:szCs w:val="26"/>
              </w:rPr>
              <w:t xml:space="preserve"> tirgus </w:t>
            </w:r>
            <w:r w:rsidR="00CA6F3C">
              <w:rPr>
                <w:rFonts w:ascii="Times New Roman" w:hAnsi="Times New Roman" w:cs="Times New Roman"/>
                <w:sz w:val="26"/>
                <w:szCs w:val="26"/>
              </w:rPr>
              <w:t xml:space="preserve">pašregulācijas instruments, līdz ar to </w:t>
            </w:r>
            <w:r w:rsidR="00B51B55">
              <w:rPr>
                <w:rFonts w:ascii="Times New Roman" w:hAnsi="Times New Roman" w:cs="Times New Roman"/>
                <w:sz w:val="26"/>
                <w:szCs w:val="26"/>
              </w:rPr>
              <w:t xml:space="preserve">valstij </w:t>
            </w:r>
            <w:r w:rsidR="00CA6F3C">
              <w:rPr>
                <w:rFonts w:ascii="Times New Roman" w:hAnsi="Times New Roman" w:cs="Times New Roman"/>
                <w:sz w:val="26"/>
                <w:szCs w:val="26"/>
              </w:rPr>
              <w:t xml:space="preserve">zūd nepieciešamība </w:t>
            </w:r>
            <w:r w:rsidR="00B51B55">
              <w:rPr>
                <w:rFonts w:ascii="Times New Roman" w:hAnsi="Times New Roman" w:cs="Times New Roman"/>
                <w:sz w:val="26"/>
                <w:szCs w:val="26"/>
              </w:rPr>
              <w:t>iejaukties ar regulējumu attiecīgajos tirgus segmentos</w:t>
            </w:r>
          </w:p>
          <w:p w14:paraId="4D75C9EA" w14:textId="7018BF21" w:rsidR="00977B20" w:rsidRDefault="00977B20" w:rsidP="00226850">
            <w:pPr>
              <w:pStyle w:val="ListParagraph"/>
              <w:numPr>
                <w:ilvl w:val="0"/>
                <w:numId w:val="28"/>
              </w:numPr>
              <w:ind w:left="343"/>
              <w:jc w:val="both"/>
              <w:rPr>
                <w:rFonts w:ascii="Times New Roman" w:hAnsi="Times New Roman" w:cs="Times New Roman"/>
                <w:sz w:val="26"/>
                <w:szCs w:val="26"/>
              </w:rPr>
            </w:pPr>
            <w:proofErr w:type="spellStart"/>
            <w:r>
              <w:rPr>
                <w:rFonts w:ascii="Times New Roman" w:hAnsi="Times New Roman" w:cs="Times New Roman"/>
                <w:sz w:val="26"/>
                <w:szCs w:val="26"/>
              </w:rPr>
              <w:t>Deregulācijas</w:t>
            </w:r>
            <w:proofErr w:type="spellEnd"/>
            <w:r>
              <w:rPr>
                <w:rFonts w:ascii="Times New Roman" w:hAnsi="Times New Roman" w:cs="Times New Roman"/>
                <w:sz w:val="26"/>
                <w:szCs w:val="26"/>
              </w:rPr>
              <w:t xml:space="preserve"> instruments, kas palīdz mazināt likumdošanas slogu uz valsti, proti, likumdevējs var koncentrēties uz </w:t>
            </w:r>
            <w:r w:rsidR="00CB761F">
              <w:rPr>
                <w:rFonts w:ascii="Times New Roman" w:hAnsi="Times New Roman" w:cs="Times New Roman"/>
                <w:sz w:val="26"/>
                <w:szCs w:val="26"/>
              </w:rPr>
              <w:t>vispārējiem</w:t>
            </w:r>
            <w:r>
              <w:rPr>
                <w:rFonts w:ascii="Times New Roman" w:hAnsi="Times New Roman" w:cs="Times New Roman"/>
                <w:sz w:val="26"/>
                <w:szCs w:val="26"/>
              </w:rPr>
              <w:t xml:space="preserve"> politikas</w:t>
            </w:r>
            <w:r w:rsidR="00CB761F">
              <w:rPr>
                <w:rFonts w:ascii="Times New Roman" w:hAnsi="Times New Roman" w:cs="Times New Roman"/>
                <w:sz w:val="26"/>
                <w:szCs w:val="26"/>
              </w:rPr>
              <w:t xml:space="preserve"> jautājumiem un sasniedzamajiem</w:t>
            </w:r>
            <w:r>
              <w:rPr>
                <w:rFonts w:ascii="Times New Roman" w:hAnsi="Times New Roman" w:cs="Times New Roman"/>
                <w:sz w:val="26"/>
                <w:szCs w:val="26"/>
              </w:rPr>
              <w:t xml:space="preserve"> mērķiem</w:t>
            </w:r>
            <w:r w:rsidR="00CB761F">
              <w:rPr>
                <w:rFonts w:ascii="Times New Roman" w:hAnsi="Times New Roman" w:cs="Times New Roman"/>
                <w:sz w:val="26"/>
                <w:szCs w:val="26"/>
              </w:rPr>
              <w:t>, savukārt izmantot standartus kā tehniskās specifikācijas</w:t>
            </w:r>
          </w:p>
          <w:p w14:paraId="26217341" w14:textId="77777777" w:rsidR="00CA6F3C" w:rsidRDefault="00CB761F" w:rsidP="00226850">
            <w:pPr>
              <w:pStyle w:val="ListParagraph"/>
              <w:numPr>
                <w:ilvl w:val="0"/>
                <w:numId w:val="28"/>
              </w:numPr>
              <w:ind w:left="343"/>
              <w:jc w:val="both"/>
              <w:rPr>
                <w:rFonts w:ascii="Times New Roman" w:hAnsi="Times New Roman" w:cs="Times New Roman"/>
                <w:sz w:val="26"/>
                <w:szCs w:val="26"/>
              </w:rPr>
            </w:pPr>
            <w:r>
              <w:rPr>
                <w:rFonts w:ascii="Times New Roman" w:hAnsi="Times New Roman" w:cs="Times New Roman"/>
                <w:sz w:val="26"/>
                <w:szCs w:val="26"/>
              </w:rPr>
              <w:t>Palielināsies privātā sektora iesaiste standartizācijās aktivitātēs</w:t>
            </w:r>
          </w:p>
          <w:p w14:paraId="7108BE1B" w14:textId="77777777" w:rsidR="00CB761F" w:rsidRDefault="00CB761F" w:rsidP="00226850">
            <w:pPr>
              <w:pStyle w:val="ListParagraph"/>
              <w:numPr>
                <w:ilvl w:val="0"/>
                <w:numId w:val="28"/>
              </w:numPr>
              <w:ind w:left="343"/>
              <w:jc w:val="both"/>
              <w:rPr>
                <w:rFonts w:ascii="Times New Roman" w:hAnsi="Times New Roman" w:cs="Times New Roman"/>
                <w:sz w:val="26"/>
                <w:szCs w:val="26"/>
              </w:rPr>
            </w:pPr>
            <w:r>
              <w:rPr>
                <w:rFonts w:ascii="Times New Roman" w:hAnsi="Times New Roman" w:cs="Times New Roman"/>
                <w:sz w:val="26"/>
                <w:szCs w:val="26"/>
              </w:rPr>
              <w:t>Palielināsies sabiedrības informētības līmenis par standartu ieguvumiem</w:t>
            </w:r>
          </w:p>
          <w:p w14:paraId="64DF5026" w14:textId="56567DD8" w:rsidR="00510E22" w:rsidRPr="00226850" w:rsidRDefault="00510E22" w:rsidP="00226850">
            <w:pPr>
              <w:pStyle w:val="ListParagraph"/>
              <w:numPr>
                <w:ilvl w:val="0"/>
                <w:numId w:val="28"/>
              </w:numPr>
              <w:ind w:left="343"/>
              <w:jc w:val="both"/>
              <w:rPr>
                <w:rFonts w:ascii="Times New Roman" w:hAnsi="Times New Roman" w:cs="Times New Roman"/>
                <w:sz w:val="26"/>
                <w:szCs w:val="26"/>
              </w:rPr>
            </w:pPr>
            <w:r>
              <w:rPr>
                <w:rFonts w:ascii="Times New Roman" w:hAnsi="Times New Roman" w:cs="Times New Roman"/>
                <w:sz w:val="26"/>
                <w:szCs w:val="26"/>
              </w:rPr>
              <w:t>Skaidrība par standartu vietu un lomu tiesību sistēmā</w:t>
            </w:r>
          </w:p>
        </w:tc>
      </w:tr>
      <w:tr w:rsidR="00081239" w14:paraId="0B9FEED3" w14:textId="77777777" w:rsidTr="00081239">
        <w:tc>
          <w:tcPr>
            <w:tcW w:w="4505" w:type="dxa"/>
          </w:tcPr>
          <w:p w14:paraId="7847DCCB" w14:textId="6EC12E7D" w:rsidR="00081239" w:rsidRDefault="00CA6F3C" w:rsidP="00417E4F">
            <w:pPr>
              <w:jc w:val="both"/>
              <w:rPr>
                <w:rFonts w:ascii="Times New Roman" w:hAnsi="Times New Roman" w:cs="Times New Roman"/>
                <w:sz w:val="26"/>
                <w:szCs w:val="26"/>
              </w:rPr>
            </w:pPr>
            <w:r>
              <w:rPr>
                <w:rFonts w:ascii="Times New Roman" w:hAnsi="Times New Roman" w:cs="Times New Roman"/>
                <w:sz w:val="26"/>
                <w:szCs w:val="26"/>
              </w:rPr>
              <w:t>Privātā sektora ieguvumi</w:t>
            </w:r>
          </w:p>
        </w:tc>
        <w:tc>
          <w:tcPr>
            <w:tcW w:w="4505" w:type="dxa"/>
          </w:tcPr>
          <w:p w14:paraId="38A1EF3B" w14:textId="2ACC284D" w:rsidR="00ED41E3" w:rsidRDefault="00ED41E3" w:rsidP="00226850">
            <w:pPr>
              <w:pStyle w:val="ListParagraph"/>
              <w:numPr>
                <w:ilvl w:val="0"/>
                <w:numId w:val="29"/>
              </w:numPr>
              <w:ind w:left="343"/>
              <w:jc w:val="both"/>
              <w:rPr>
                <w:rFonts w:ascii="Times New Roman" w:hAnsi="Times New Roman" w:cs="Times New Roman"/>
                <w:sz w:val="26"/>
                <w:szCs w:val="26"/>
              </w:rPr>
            </w:pPr>
            <w:r>
              <w:rPr>
                <w:rFonts w:ascii="Times New Roman" w:hAnsi="Times New Roman" w:cs="Times New Roman"/>
                <w:sz w:val="26"/>
                <w:szCs w:val="26"/>
              </w:rPr>
              <w:t>Iegūt nozīmīgus kontaktus ar ekspertiem un speciālistiem gan no savas nozares</w:t>
            </w:r>
            <w:r w:rsidR="002A6F83">
              <w:rPr>
                <w:rFonts w:ascii="Times New Roman" w:hAnsi="Times New Roman" w:cs="Times New Roman"/>
                <w:sz w:val="26"/>
                <w:szCs w:val="26"/>
              </w:rPr>
              <w:t>, tai skaitā saviem potenciālajiem konkurentiem</w:t>
            </w:r>
            <w:r>
              <w:rPr>
                <w:rFonts w:ascii="Times New Roman" w:hAnsi="Times New Roman" w:cs="Times New Roman"/>
                <w:sz w:val="26"/>
                <w:szCs w:val="26"/>
              </w:rPr>
              <w:t>, gan arī no citām</w:t>
            </w:r>
            <w:r w:rsidR="00A10A9A">
              <w:rPr>
                <w:rFonts w:ascii="Times New Roman" w:hAnsi="Times New Roman" w:cs="Times New Roman"/>
                <w:sz w:val="26"/>
                <w:szCs w:val="26"/>
              </w:rPr>
              <w:t xml:space="preserve"> nozarēm</w:t>
            </w:r>
          </w:p>
          <w:p w14:paraId="4D69F5B0" w14:textId="77777777" w:rsidR="00081239" w:rsidRDefault="00ED41E3" w:rsidP="00226850">
            <w:pPr>
              <w:pStyle w:val="ListParagraph"/>
              <w:numPr>
                <w:ilvl w:val="0"/>
                <w:numId w:val="29"/>
              </w:numPr>
              <w:ind w:left="343"/>
              <w:jc w:val="both"/>
              <w:rPr>
                <w:rFonts w:ascii="Times New Roman" w:hAnsi="Times New Roman" w:cs="Times New Roman"/>
                <w:sz w:val="26"/>
                <w:szCs w:val="26"/>
              </w:rPr>
            </w:pPr>
            <w:r>
              <w:rPr>
                <w:rFonts w:ascii="Times New Roman" w:hAnsi="Times New Roman" w:cs="Times New Roman"/>
                <w:sz w:val="26"/>
                <w:szCs w:val="26"/>
              </w:rPr>
              <w:t>Iespēja savas idejas un tehnoloģijas pārnest uz standartiem</w:t>
            </w:r>
          </w:p>
          <w:p w14:paraId="71833678" w14:textId="7206928E" w:rsidR="00ED41E3" w:rsidRDefault="00ED41E3" w:rsidP="00226850">
            <w:pPr>
              <w:pStyle w:val="ListParagraph"/>
              <w:numPr>
                <w:ilvl w:val="0"/>
                <w:numId w:val="29"/>
              </w:numPr>
              <w:ind w:left="343"/>
              <w:jc w:val="both"/>
              <w:rPr>
                <w:rFonts w:ascii="Times New Roman" w:hAnsi="Times New Roman" w:cs="Times New Roman"/>
                <w:sz w:val="26"/>
                <w:szCs w:val="26"/>
              </w:rPr>
            </w:pPr>
            <w:r>
              <w:rPr>
                <w:rFonts w:ascii="Times New Roman" w:hAnsi="Times New Roman" w:cs="Times New Roman"/>
                <w:sz w:val="26"/>
                <w:szCs w:val="26"/>
              </w:rPr>
              <w:t>Pārstāvēt savas un attiecīgās nozares intereses Eiropas un Starptautisko standartizācijas organizāciju darbā</w:t>
            </w:r>
          </w:p>
          <w:p w14:paraId="1DCA4E56" w14:textId="77777777" w:rsidR="00ED41E3" w:rsidRDefault="00ED41E3" w:rsidP="00226850">
            <w:pPr>
              <w:pStyle w:val="ListParagraph"/>
              <w:numPr>
                <w:ilvl w:val="0"/>
                <w:numId w:val="29"/>
              </w:numPr>
              <w:ind w:left="343"/>
              <w:jc w:val="both"/>
              <w:rPr>
                <w:rFonts w:ascii="Times New Roman" w:hAnsi="Times New Roman" w:cs="Times New Roman"/>
                <w:sz w:val="26"/>
                <w:szCs w:val="26"/>
              </w:rPr>
            </w:pPr>
            <w:r>
              <w:rPr>
                <w:rFonts w:ascii="Times New Roman" w:hAnsi="Times New Roman" w:cs="Times New Roman"/>
                <w:sz w:val="26"/>
                <w:szCs w:val="26"/>
              </w:rPr>
              <w:t xml:space="preserve">Būt zinošam par notiekošajām un plānotajām standartizācijas aktivitātēm Eiropas un Starptautiskajās standartizācijas organizācijās </w:t>
            </w:r>
          </w:p>
          <w:p w14:paraId="10571142" w14:textId="77777777" w:rsidR="002A6F83" w:rsidRDefault="002A6F83" w:rsidP="00226850">
            <w:pPr>
              <w:pStyle w:val="ListParagraph"/>
              <w:numPr>
                <w:ilvl w:val="0"/>
                <w:numId w:val="29"/>
              </w:numPr>
              <w:ind w:left="343"/>
              <w:jc w:val="both"/>
              <w:rPr>
                <w:rFonts w:ascii="Times New Roman" w:hAnsi="Times New Roman" w:cs="Times New Roman"/>
                <w:sz w:val="26"/>
                <w:szCs w:val="26"/>
              </w:rPr>
            </w:pPr>
            <w:r>
              <w:rPr>
                <w:rFonts w:ascii="Times New Roman" w:hAnsi="Times New Roman" w:cs="Times New Roman"/>
                <w:sz w:val="26"/>
                <w:szCs w:val="26"/>
              </w:rPr>
              <w:lastRenderedPageBreak/>
              <w:t>Iegūt laika un zināšanu priekšrocības pār tiem, kas nepiedalās standartizācijā</w:t>
            </w:r>
          </w:p>
          <w:p w14:paraId="77EE4A29" w14:textId="136E7CC6" w:rsidR="003D000D" w:rsidRPr="00226850" w:rsidRDefault="003D000D" w:rsidP="00226850">
            <w:pPr>
              <w:pStyle w:val="ListParagraph"/>
              <w:numPr>
                <w:ilvl w:val="0"/>
                <w:numId w:val="29"/>
              </w:numPr>
              <w:ind w:left="343"/>
              <w:jc w:val="both"/>
              <w:rPr>
                <w:rFonts w:ascii="Times New Roman" w:hAnsi="Times New Roman" w:cs="Times New Roman"/>
                <w:sz w:val="26"/>
                <w:szCs w:val="26"/>
              </w:rPr>
            </w:pPr>
            <w:r>
              <w:rPr>
                <w:rFonts w:ascii="Times New Roman" w:hAnsi="Times New Roman" w:cs="Times New Roman"/>
                <w:sz w:val="26"/>
                <w:szCs w:val="26"/>
              </w:rPr>
              <w:t>Būt pirmajiem, kas praksē ievieš inovatīvus risinājumus</w:t>
            </w:r>
          </w:p>
        </w:tc>
      </w:tr>
      <w:tr w:rsidR="00081239" w14:paraId="5D24CF48" w14:textId="77777777" w:rsidTr="00081239">
        <w:tc>
          <w:tcPr>
            <w:tcW w:w="4505" w:type="dxa"/>
          </w:tcPr>
          <w:p w14:paraId="1199C5BC" w14:textId="11607FC0" w:rsidR="00081239" w:rsidRDefault="00CA6F3C" w:rsidP="00417E4F">
            <w:pPr>
              <w:jc w:val="both"/>
              <w:rPr>
                <w:rFonts w:ascii="Times New Roman" w:hAnsi="Times New Roman" w:cs="Times New Roman"/>
                <w:sz w:val="26"/>
                <w:szCs w:val="26"/>
              </w:rPr>
            </w:pPr>
            <w:r>
              <w:rPr>
                <w:rFonts w:ascii="Times New Roman" w:hAnsi="Times New Roman" w:cs="Times New Roman"/>
                <w:sz w:val="26"/>
                <w:szCs w:val="26"/>
              </w:rPr>
              <w:lastRenderedPageBreak/>
              <w:t>Sabiedrības kopējie ieguvumi</w:t>
            </w:r>
          </w:p>
        </w:tc>
        <w:tc>
          <w:tcPr>
            <w:tcW w:w="4505" w:type="dxa"/>
          </w:tcPr>
          <w:p w14:paraId="224C19BC" w14:textId="77777777" w:rsidR="00081239" w:rsidRDefault="00A10A9A" w:rsidP="00226850">
            <w:pPr>
              <w:pStyle w:val="ListParagraph"/>
              <w:numPr>
                <w:ilvl w:val="0"/>
                <w:numId w:val="30"/>
              </w:numPr>
              <w:ind w:left="343"/>
              <w:jc w:val="both"/>
              <w:rPr>
                <w:rFonts w:ascii="Times New Roman" w:hAnsi="Times New Roman" w:cs="Times New Roman"/>
                <w:sz w:val="26"/>
                <w:szCs w:val="26"/>
              </w:rPr>
            </w:pPr>
            <w:r>
              <w:rPr>
                <w:rFonts w:ascii="Times New Roman" w:hAnsi="Times New Roman" w:cs="Times New Roman"/>
                <w:sz w:val="26"/>
                <w:szCs w:val="26"/>
              </w:rPr>
              <w:t>Kvalitatīvus, drošus un uzticamus pakalpojumus un preces, kas atbilst aktuālajiem zinātnes un tehnoloģijas attīstības līmenim attiecīgajā nozare</w:t>
            </w:r>
          </w:p>
          <w:p w14:paraId="549B7F53" w14:textId="77777777" w:rsidR="00A10A9A" w:rsidRDefault="00A10A9A" w:rsidP="00226850">
            <w:pPr>
              <w:pStyle w:val="ListParagraph"/>
              <w:numPr>
                <w:ilvl w:val="0"/>
                <w:numId w:val="30"/>
              </w:numPr>
              <w:ind w:left="343"/>
              <w:jc w:val="both"/>
              <w:rPr>
                <w:rFonts w:ascii="Times New Roman" w:hAnsi="Times New Roman" w:cs="Times New Roman"/>
                <w:sz w:val="26"/>
                <w:szCs w:val="26"/>
              </w:rPr>
            </w:pPr>
            <w:r>
              <w:rPr>
                <w:rFonts w:ascii="Times New Roman" w:hAnsi="Times New Roman" w:cs="Times New Roman"/>
                <w:sz w:val="26"/>
                <w:szCs w:val="26"/>
              </w:rPr>
              <w:t>Plašu pieejamību standartiem</w:t>
            </w:r>
          </w:p>
          <w:p w14:paraId="53436FCC" w14:textId="4DEC4574" w:rsidR="00A10A9A" w:rsidRPr="00226850" w:rsidRDefault="00A10A9A" w:rsidP="00226850">
            <w:pPr>
              <w:pStyle w:val="ListParagraph"/>
              <w:numPr>
                <w:ilvl w:val="0"/>
                <w:numId w:val="30"/>
              </w:numPr>
              <w:ind w:left="343"/>
              <w:jc w:val="both"/>
              <w:rPr>
                <w:rFonts w:ascii="Times New Roman" w:hAnsi="Times New Roman" w:cs="Times New Roman"/>
                <w:sz w:val="26"/>
                <w:szCs w:val="26"/>
              </w:rPr>
            </w:pPr>
            <w:r>
              <w:rPr>
                <w:rFonts w:ascii="Times New Roman" w:hAnsi="Times New Roman" w:cs="Times New Roman"/>
                <w:sz w:val="26"/>
                <w:szCs w:val="26"/>
              </w:rPr>
              <w:t xml:space="preserve">Pieejamību </w:t>
            </w:r>
            <w:r w:rsidR="00510E22">
              <w:rPr>
                <w:rFonts w:ascii="Times New Roman" w:hAnsi="Times New Roman" w:cs="Times New Roman"/>
                <w:sz w:val="26"/>
                <w:szCs w:val="26"/>
              </w:rPr>
              <w:t xml:space="preserve">svarīgiem </w:t>
            </w:r>
            <w:r>
              <w:rPr>
                <w:rFonts w:ascii="Times New Roman" w:hAnsi="Times New Roman" w:cs="Times New Roman"/>
                <w:sz w:val="26"/>
                <w:szCs w:val="26"/>
              </w:rPr>
              <w:t>standartiem valsts valodā</w:t>
            </w:r>
          </w:p>
        </w:tc>
      </w:tr>
    </w:tbl>
    <w:p w14:paraId="35798772" w14:textId="6C706978" w:rsidR="00F944C8" w:rsidRDefault="00F944C8" w:rsidP="00226850">
      <w:pPr>
        <w:ind w:firstLine="720"/>
        <w:jc w:val="both"/>
        <w:rPr>
          <w:rFonts w:ascii="Times New Roman" w:hAnsi="Times New Roman" w:cs="Times New Roman"/>
          <w:sz w:val="26"/>
          <w:szCs w:val="26"/>
        </w:rPr>
      </w:pPr>
    </w:p>
    <w:p w14:paraId="198623EC" w14:textId="1F0EB6FB" w:rsidR="00B352E1" w:rsidRDefault="00B352E1" w:rsidP="00226850">
      <w:pPr>
        <w:jc w:val="both"/>
        <w:rPr>
          <w:rFonts w:ascii="Times New Roman" w:hAnsi="Times New Roman" w:cs="Times New Roman"/>
          <w:sz w:val="26"/>
          <w:szCs w:val="26"/>
        </w:rPr>
      </w:pPr>
      <w:r w:rsidRPr="00226850">
        <w:rPr>
          <w:rFonts w:ascii="Times New Roman" w:hAnsi="Times New Roman" w:cs="Times New Roman"/>
          <w:sz w:val="26"/>
          <w:szCs w:val="26"/>
        </w:rPr>
        <w:tab/>
        <w:t>Kaut gan piedāvātais risinājums paredz virkni ieguvumu un tam ir izteikts pārsvars stipro pušu, ir identificējam</w:t>
      </w:r>
      <w:r w:rsidR="00C921A0" w:rsidRPr="00C921A0">
        <w:rPr>
          <w:rFonts w:ascii="Times New Roman" w:hAnsi="Times New Roman" w:cs="Times New Roman"/>
          <w:sz w:val="26"/>
          <w:szCs w:val="26"/>
        </w:rPr>
        <w:t>i</w:t>
      </w:r>
      <w:r w:rsidRPr="00226850">
        <w:rPr>
          <w:rFonts w:ascii="Times New Roman" w:hAnsi="Times New Roman" w:cs="Times New Roman"/>
          <w:sz w:val="26"/>
          <w:szCs w:val="26"/>
        </w:rPr>
        <w:t xml:space="preserve"> arī riski, kas varētu būt par iemeslu jaunās sistēmas pozitīvo ieguvumu samazināšanai. Taču jānorāda, ka visi identificētie riski ir novēršami vai būtiski samazinātas to negatīvās sekas</w:t>
      </w:r>
      <w:r w:rsidR="000755E3" w:rsidRPr="00226850">
        <w:rPr>
          <w:rFonts w:ascii="Times New Roman" w:hAnsi="Times New Roman" w:cs="Times New Roman"/>
          <w:sz w:val="26"/>
          <w:szCs w:val="26"/>
        </w:rPr>
        <w:t xml:space="preserve">, ja piedāvātais </w:t>
      </w:r>
      <w:r w:rsidRPr="00226850">
        <w:rPr>
          <w:rFonts w:ascii="Times New Roman" w:hAnsi="Times New Roman" w:cs="Times New Roman"/>
          <w:sz w:val="26"/>
          <w:szCs w:val="26"/>
        </w:rPr>
        <w:t xml:space="preserve">risinājums tiek korekti </w:t>
      </w:r>
      <w:r w:rsidR="000755E3" w:rsidRPr="00226850">
        <w:rPr>
          <w:rFonts w:ascii="Times New Roman" w:hAnsi="Times New Roman" w:cs="Times New Roman"/>
          <w:sz w:val="26"/>
          <w:szCs w:val="26"/>
        </w:rPr>
        <w:t xml:space="preserve">un pārdomāti </w:t>
      </w:r>
      <w:r w:rsidRPr="00226850">
        <w:rPr>
          <w:rFonts w:ascii="Times New Roman" w:hAnsi="Times New Roman" w:cs="Times New Roman"/>
          <w:sz w:val="26"/>
          <w:szCs w:val="26"/>
        </w:rPr>
        <w:t>ieviests</w:t>
      </w:r>
      <w:r w:rsidR="000755E3" w:rsidRPr="00226850">
        <w:rPr>
          <w:rFonts w:ascii="Times New Roman" w:hAnsi="Times New Roman" w:cs="Times New Roman"/>
          <w:sz w:val="26"/>
          <w:szCs w:val="26"/>
        </w:rPr>
        <w:t xml:space="preserve"> un ieinteresētās puses ir izpratušas standartizācijas būtību un tās sniegtos ieguvumus.</w:t>
      </w:r>
      <w:r w:rsidR="00BA2AFD">
        <w:rPr>
          <w:rFonts w:ascii="Times New Roman" w:hAnsi="Times New Roman" w:cs="Times New Roman"/>
          <w:sz w:val="26"/>
          <w:szCs w:val="26"/>
        </w:rPr>
        <w:t xml:space="preserve"> Tāpēc zemāk redzamajā tabulā ir redzamas piedāvātā risinājuma stiprās un vājās puses salīdzinājuma ar patreiz esošo nacionālo standartizācijas sistēmu:</w:t>
      </w:r>
    </w:p>
    <w:p w14:paraId="46A20149" w14:textId="77777777" w:rsidR="00BA2AFD" w:rsidRDefault="00BA2AFD" w:rsidP="00226850">
      <w:pPr>
        <w:jc w:val="both"/>
        <w:rPr>
          <w:rFonts w:ascii="Times New Roman" w:hAnsi="Times New Roman" w:cs="Times New Roman"/>
          <w:sz w:val="26"/>
          <w:szCs w:val="26"/>
        </w:rPr>
      </w:pPr>
    </w:p>
    <w:p w14:paraId="483AD6A6" w14:textId="2CDB42C9" w:rsidR="00BA2AFD" w:rsidRDefault="00BA2AFD" w:rsidP="00226850">
      <w:pPr>
        <w:jc w:val="center"/>
        <w:rPr>
          <w:rFonts w:ascii="Times New Roman" w:hAnsi="Times New Roman" w:cs="Times New Roman"/>
          <w:b/>
          <w:sz w:val="26"/>
          <w:szCs w:val="26"/>
        </w:rPr>
      </w:pPr>
      <w:r w:rsidRPr="00226850">
        <w:rPr>
          <w:rFonts w:ascii="Times New Roman" w:hAnsi="Times New Roman" w:cs="Times New Roman"/>
          <w:b/>
          <w:sz w:val="26"/>
          <w:szCs w:val="26"/>
        </w:rPr>
        <w:t>Stipro un vājo pušu analīze</w:t>
      </w:r>
    </w:p>
    <w:tbl>
      <w:tblPr>
        <w:tblStyle w:val="TableGrid"/>
        <w:tblW w:w="0" w:type="auto"/>
        <w:tblLook w:val="04A0" w:firstRow="1" w:lastRow="0" w:firstColumn="1" w:lastColumn="0" w:noHBand="0" w:noVBand="1"/>
      </w:tblPr>
      <w:tblGrid>
        <w:gridCol w:w="4505"/>
        <w:gridCol w:w="4505"/>
      </w:tblGrid>
      <w:tr w:rsidR="00BA2AFD" w14:paraId="7C6A1664" w14:textId="77777777" w:rsidTr="00BA2AFD">
        <w:tc>
          <w:tcPr>
            <w:tcW w:w="4505" w:type="dxa"/>
          </w:tcPr>
          <w:p w14:paraId="4C21BF6D" w14:textId="2F978BA9" w:rsidR="00BA2AFD" w:rsidRDefault="00BA2AFD" w:rsidP="00BA2AFD">
            <w:pPr>
              <w:jc w:val="center"/>
              <w:rPr>
                <w:rFonts w:ascii="Times New Roman" w:hAnsi="Times New Roman" w:cs="Times New Roman"/>
                <w:b/>
                <w:sz w:val="26"/>
                <w:szCs w:val="26"/>
              </w:rPr>
            </w:pPr>
            <w:r>
              <w:rPr>
                <w:rFonts w:ascii="Times New Roman" w:hAnsi="Times New Roman" w:cs="Times New Roman"/>
                <w:b/>
                <w:sz w:val="26"/>
                <w:szCs w:val="26"/>
              </w:rPr>
              <w:t>Stiprās puses</w:t>
            </w:r>
          </w:p>
        </w:tc>
        <w:tc>
          <w:tcPr>
            <w:tcW w:w="4505" w:type="dxa"/>
          </w:tcPr>
          <w:p w14:paraId="45B99A87" w14:textId="490AC53D" w:rsidR="00BA2AFD" w:rsidRDefault="00BA2AFD" w:rsidP="00BA2AFD">
            <w:pPr>
              <w:jc w:val="center"/>
              <w:rPr>
                <w:rFonts w:ascii="Times New Roman" w:hAnsi="Times New Roman" w:cs="Times New Roman"/>
                <w:b/>
                <w:sz w:val="26"/>
                <w:szCs w:val="26"/>
              </w:rPr>
            </w:pPr>
            <w:r>
              <w:rPr>
                <w:rFonts w:ascii="Times New Roman" w:hAnsi="Times New Roman" w:cs="Times New Roman"/>
                <w:b/>
                <w:sz w:val="26"/>
                <w:szCs w:val="26"/>
              </w:rPr>
              <w:t>Vājās puses</w:t>
            </w:r>
          </w:p>
        </w:tc>
      </w:tr>
      <w:tr w:rsidR="00BA2AFD" w:rsidRPr="003B5C8C" w14:paraId="089DA7DC" w14:textId="77777777" w:rsidTr="00BA2AFD">
        <w:tc>
          <w:tcPr>
            <w:tcW w:w="4505" w:type="dxa"/>
          </w:tcPr>
          <w:p w14:paraId="675F882F" w14:textId="3EF250C9" w:rsidR="00BA2AFD" w:rsidRDefault="003B5C8C" w:rsidP="00226850">
            <w:pPr>
              <w:pStyle w:val="ListParagraph"/>
              <w:numPr>
                <w:ilvl w:val="0"/>
                <w:numId w:val="33"/>
              </w:numPr>
              <w:ind w:left="447" w:hanging="371"/>
              <w:rPr>
                <w:rFonts w:ascii="Times New Roman" w:hAnsi="Times New Roman" w:cs="Times New Roman"/>
                <w:sz w:val="26"/>
                <w:szCs w:val="26"/>
              </w:rPr>
            </w:pPr>
            <w:r w:rsidRPr="00226850">
              <w:rPr>
                <w:rFonts w:ascii="Times New Roman" w:hAnsi="Times New Roman" w:cs="Times New Roman"/>
                <w:sz w:val="26"/>
                <w:szCs w:val="26"/>
              </w:rPr>
              <w:t>Stabila un pilnvērtīgi funkcionējoša standartizācijas sistēma</w:t>
            </w:r>
            <w:r>
              <w:rPr>
                <w:rFonts w:ascii="Times New Roman" w:hAnsi="Times New Roman" w:cs="Times New Roman"/>
                <w:sz w:val="26"/>
                <w:szCs w:val="26"/>
              </w:rPr>
              <w:t>, kas ļauj izmanot standartizācijas sniegto potenciālu</w:t>
            </w:r>
          </w:p>
          <w:p w14:paraId="278E73E6" w14:textId="77777777" w:rsidR="003B5C8C" w:rsidRDefault="003B5C8C" w:rsidP="00226850">
            <w:pPr>
              <w:pStyle w:val="ListParagraph"/>
              <w:numPr>
                <w:ilvl w:val="0"/>
                <w:numId w:val="33"/>
              </w:numPr>
              <w:ind w:left="447" w:hanging="371"/>
              <w:rPr>
                <w:rFonts w:ascii="Times New Roman" w:hAnsi="Times New Roman" w:cs="Times New Roman"/>
                <w:sz w:val="26"/>
                <w:szCs w:val="26"/>
              </w:rPr>
            </w:pPr>
            <w:r>
              <w:rPr>
                <w:rFonts w:ascii="Times New Roman" w:hAnsi="Times New Roman" w:cs="Times New Roman"/>
                <w:sz w:val="26"/>
                <w:szCs w:val="26"/>
              </w:rPr>
              <w:t>Skaidra un saprotama standartu vieta un loma tiesību sistēmā</w:t>
            </w:r>
          </w:p>
          <w:p w14:paraId="3A68C020" w14:textId="4AC61B10" w:rsidR="00047C59" w:rsidRPr="00226850" w:rsidRDefault="003B5C8C" w:rsidP="00226850">
            <w:pPr>
              <w:pStyle w:val="ListParagraph"/>
              <w:numPr>
                <w:ilvl w:val="0"/>
                <w:numId w:val="33"/>
              </w:numPr>
              <w:ind w:left="447" w:hanging="371"/>
              <w:rPr>
                <w:rFonts w:ascii="Times New Roman" w:hAnsi="Times New Roman" w:cs="Times New Roman"/>
                <w:sz w:val="26"/>
                <w:szCs w:val="26"/>
              </w:rPr>
            </w:pPr>
            <w:r>
              <w:rPr>
                <w:rFonts w:ascii="Times New Roman" w:hAnsi="Times New Roman" w:cs="Times New Roman"/>
                <w:sz w:val="26"/>
                <w:szCs w:val="26"/>
              </w:rPr>
              <w:t>Iespēja valsts pārvaldei aktīvi izmantot standartus kā politikas atbalsta instrumentus</w:t>
            </w:r>
          </w:p>
          <w:p w14:paraId="7E99F868" w14:textId="5F9F51AE" w:rsidR="00C474B9" w:rsidRDefault="00C474B9" w:rsidP="00226850">
            <w:pPr>
              <w:pStyle w:val="ListParagraph"/>
              <w:numPr>
                <w:ilvl w:val="0"/>
                <w:numId w:val="33"/>
              </w:numPr>
              <w:ind w:left="447" w:hanging="371"/>
              <w:rPr>
                <w:rFonts w:ascii="Times New Roman" w:hAnsi="Times New Roman" w:cs="Times New Roman"/>
                <w:sz w:val="26"/>
                <w:szCs w:val="26"/>
              </w:rPr>
            </w:pPr>
            <w:r>
              <w:rPr>
                <w:rFonts w:ascii="Times New Roman" w:hAnsi="Times New Roman" w:cs="Times New Roman"/>
                <w:sz w:val="26"/>
                <w:szCs w:val="26"/>
              </w:rPr>
              <w:t xml:space="preserve">Nodrošināta </w:t>
            </w:r>
            <w:r w:rsidR="002035AA">
              <w:rPr>
                <w:rFonts w:ascii="Times New Roman" w:hAnsi="Times New Roman" w:cs="Times New Roman"/>
                <w:sz w:val="26"/>
                <w:szCs w:val="26"/>
              </w:rPr>
              <w:t>pieejamība standartiem</w:t>
            </w:r>
            <w:r>
              <w:rPr>
                <w:rFonts w:ascii="Times New Roman" w:hAnsi="Times New Roman" w:cs="Times New Roman"/>
                <w:sz w:val="26"/>
                <w:szCs w:val="26"/>
              </w:rPr>
              <w:t xml:space="preserve"> visā Latvijas teritorijā</w:t>
            </w:r>
          </w:p>
          <w:p w14:paraId="2D092309" w14:textId="6FD62976" w:rsidR="00047C59" w:rsidRDefault="00047C59" w:rsidP="00226850">
            <w:pPr>
              <w:pStyle w:val="ListParagraph"/>
              <w:numPr>
                <w:ilvl w:val="0"/>
                <w:numId w:val="33"/>
              </w:numPr>
              <w:ind w:left="447" w:hanging="371"/>
              <w:rPr>
                <w:rFonts w:ascii="Times New Roman" w:hAnsi="Times New Roman" w:cs="Times New Roman"/>
                <w:sz w:val="26"/>
                <w:szCs w:val="26"/>
              </w:rPr>
            </w:pPr>
            <w:r>
              <w:rPr>
                <w:rFonts w:ascii="Times New Roman" w:hAnsi="Times New Roman" w:cs="Times New Roman"/>
                <w:sz w:val="26"/>
                <w:szCs w:val="26"/>
              </w:rPr>
              <w:t>Nodrošināta pieejamība standartiem valsts pārvaldes institūcijām</w:t>
            </w:r>
          </w:p>
          <w:p w14:paraId="5EBF813F" w14:textId="73DBA357" w:rsidR="00EA547F" w:rsidRDefault="003B5C8C" w:rsidP="00226850">
            <w:pPr>
              <w:pStyle w:val="ListParagraph"/>
              <w:numPr>
                <w:ilvl w:val="0"/>
                <w:numId w:val="33"/>
              </w:numPr>
              <w:ind w:left="447" w:hanging="371"/>
              <w:rPr>
                <w:rFonts w:ascii="Times New Roman" w:hAnsi="Times New Roman" w:cs="Times New Roman"/>
                <w:sz w:val="26"/>
                <w:szCs w:val="26"/>
              </w:rPr>
            </w:pPr>
            <w:r>
              <w:rPr>
                <w:rFonts w:ascii="Times New Roman" w:hAnsi="Times New Roman" w:cs="Times New Roman"/>
                <w:sz w:val="26"/>
                <w:szCs w:val="26"/>
              </w:rPr>
              <w:t>Sabiedrībai svarīgi standarti pieejami latviešu valodā</w:t>
            </w:r>
          </w:p>
          <w:p w14:paraId="02B1F933" w14:textId="77777777" w:rsidR="00EA547F" w:rsidRDefault="00EA547F" w:rsidP="00226850">
            <w:pPr>
              <w:pStyle w:val="ListParagraph"/>
              <w:numPr>
                <w:ilvl w:val="0"/>
                <w:numId w:val="33"/>
              </w:numPr>
              <w:ind w:left="447" w:hanging="371"/>
              <w:rPr>
                <w:rFonts w:ascii="Times New Roman" w:hAnsi="Times New Roman" w:cs="Times New Roman"/>
                <w:sz w:val="26"/>
                <w:szCs w:val="26"/>
              </w:rPr>
            </w:pPr>
            <w:r>
              <w:rPr>
                <w:rFonts w:ascii="Times New Roman" w:hAnsi="Times New Roman" w:cs="Times New Roman"/>
                <w:sz w:val="26"/>
                <w:szCs w:val="26"/>
              </w:rPr>
              <w:t>Definēta skaidrība par standartu izmantošanas iespējām likumdošanas procesā</w:t>
            </w:r>
          </w:p>
          <w:p w14:paraId="0CE9E302" w14:textId="70019F73" w:rsidR="003B5C8C" w:rsidRPr="00226850" w:rsidRDefault="00EA547F" w:rsidP="00226850">
            <w:pPr>
              <w:pStyle w:val="ListParagraph"/>
              <w:numPr>
                <w:ilvl w:val="0"/>
                <w:numId w:val="33"/>
              </w:numPr>
              <w:ind w:left="447" w:hanging="371"/>
              <w:rPr>
                <w:rFonts w:ascii="Times New Roman" w:hAnsi="Times New Roman" w:cs="Times New Roman"/>
                <w:sz w:val="26"/>
                <w:szCs w:val="26"/>
              </w:rPr>
            </w:pPr>
            <w:r>
              <w:rPr>
                <w:rFonts w:ascii="Times New Roman" w:hAnsi="Times New Roman" w:cs="Times New Roman"/>
                <w:sz w:val="26"/>
                <w:szCs w:val="26"/>
              </w:rPr>
              <w:t>Iespēja aktīvāk pārstāvēt nacionālo viedokli reģionālajā un starptautiskajām līmenī, lobējot arī savas intereses</w:t>
            </w:r>
          </w:p>
        </w:tc>
        <w:tc>
          <w:tcPr>
            <w:tcW w:w="4505" w:type="dxa"/>
          </w:tcPr>
          <w:p w14:paraId="12159754" w14:textId="77777777" w:rsidR="00BA2AFD" w:rsidRDefault="00C474B9" w:rsidP="00226850">
            <w:pPr>
              <w:pStyle w:val="ListParagraph"/>
              <w:numPr>
                <w:ilvl w:val="0"/>
                <w:numId w:val="33"/>
              </w:numPr>
              <w:ind w:left="483"/>
              <w:rPr>
                <w:rFonts w:ascii="Times New Roman" w:hAnsi="Times New Roman" w:cs="Times New Roman"/>
                <w:sz w:val="26"/>
                <w:szCs w:val="26"/>
              </w:rPr>
            </w:pPr>
            <w:r>
              <w:rPr>
                <w:rFonts w:ascii="Times New Roman" w:hAnsi="Times New Roman" w:cs="Times New Roman"/>
                <w:sz w:val="26"/>
                <w:szCs w:val="26"/>
              </w:rPr>
              <w:t>Īstermiņā samērā būtiski pieaug nacionālās standartizācijas sistēmas uzturēšanas izmaksas</w:t>
            </w:r>
          </w:p>
          <w:p w14:paraId="4B33190F" w14:textId="77777777" w:rsidR="00C474B9" w:rsidRDefault="00C474B9" w:rsidP="00226850">
            <w:pPr>
              <w:pStyle w:val="ListParagraph"/>
              <w:numPr>
                <w:ilvl w:val="0"/>
                <w:numId w:val="33"/>
              </w:numPr>
              <w:ind w:left="483"/>
              <w:rPr>
                <w:rFonts w:ascii="Times New Roman" w:hAnsi="Times New Roman" w:cs="Times New Roman"/>
                <w:sz w:val="26"/>
                <w:szCs w:val="26"/>
              </w:rPr>
            </w:pPr>
            <w:r>
              <w:rPr>
                <w:rFonts w:ascii="Times New Roman" w:hAnsi="Times New Roman" w:cs="Times New Roman"/>
                <w:sz w:val="26"/>
                <w:szCs w:val="26"/>
              </w:rPr>
              <w:t>Speciālistu, kas pārzina standartizācijas jautājumus trūkums, kas var ietekmēt piedāvāto risinājumu sekmīgu ieviešanu</w:t>
            </w:r>
          </w:p>
          <w:p w14:paraId="03B66DC4" w14:textId="2B7C850C" w:rsidR="00C474B9" w:rsidRPr="00226850" w:rsidRDefault="00C474B9" w:rsidP="00226850">
            <w:pPr>
              <w:pStyle w:val="ListParagraph"/>
              <w:numPr>
                <w:ilvl w:val="0"/>
                <w:numId w:val="33"/>
              </w:numPr>
              <w:ind w:left="483"/>
              <w:rPr>
                <w:rFonts w:ascii="Times New Roman" w:hAnsi="Times New Roman" w:cs="Times New Roman"/>
                <w:sz w:val="26"/>
                <w:szCs w:val="26"/>
              </w:rPr>
            </w:pPr>
            <w:r>
              <w:rPr>
                <w:rFonts w:ascii="Times New Roman" w:hAnsi="Times New Roman" w:cs="Times New Roman"/>
                <w:sz w:val="26"/>
                <w:szCs w:val="26"/>
              </w:rPr>
              <w:t>Sākotnējā risinājumu ieviešanas periodā iespējamas neskaidrības ar piemērošanu, kas saistītas ar sistēmas maiņu</w:t>
            </w:r>
          </w:p>
        </w:tc>
      </w:tr>
      <w:tr w:rsidR="00A84F7B" w14:paraId="6302FB02" w14:textId="77777777" w:rsidTr="00047C59">
        <w:tc>
          <w:tcPr>
            <w:tcW w:w="9010" w:type="dxa"/>
            <w:gridSpan w:val="2"/>
          </w:tcPr>
          <w:p w14:paraId="71E11581" w14:textId="77777777" w:rsidR="00A84F7B" w:rsidRDefault="00A84F7B" w:rsidP="00047C59">
            <w:pPr>
              <w:jc w:val="center"/>
              <w:rPr>
                <w:rFonts w:ascii="Times New Roman" w:hAnsi="Times New Roman" w:cs="Times New Roman"/>
                <w:b/>
                <w:sz w:val="26"/>
                <w:szCs w:val="26"/>
              </w:rPr>
            </w:pPr>
            <w:r>
              <w:rPr>
                <w:rFonts w:ascii="Times New Roman" w:hAnsi="Times New Roman" w:cs="Times New Roman"/>
                <w:b/>
                <w:sz w:val="26"/>
                <w:szCs w:val="26"/>
              </w:rPr>
              <w:t>Izaicinājumi</w:t>
            </w:r>
          </w:p>
        </w:tc>
      </w:tr>
      <w:tr w:rsidR="00A84F7B" w:rsidRPr="00315668" w14:paraId="5649C4CF" w14:textId="77777777" w:rsidTr="00047C59">
        <w:trPr>
          <w:trHeight w:val="255"/>
        </w:trPr>
        <w:tc>
          <w:tcPr>
            <w:tcW w:w="9010" w:type="dxa"/>
            <w:gridSpan w:val="2"/>
          </w:tcPr>
          <w:p w14:paraId="04647364" w14:textId="77777777" w:rsidR="00A84F7B" w:rsidRDefault="00A84F7B" w:rsidP="00047C59">
            <w:pPr>
              <w:pStyle w:val="ListParagraph"/>
              <w:numPr>
                <w:ilvl w:val="0"/>
                <w:numId w:val="34"/>
              </w:numPr>
              <w:rPr>
                <w:rFonts w:ascii="Times New Roman" w:hAnsi="Times New Roman" w:cs="Times New Roman"/>
                <w:sz w:val="26"/>
                <w:szCs w:val="26"/>
              </w:rPr>
            </w:pPr>
            <w:r w:rsidRPr="00315668">
              <w:rPr>
                <w:rFonts w:ascii="Times New Roman" w:hAnsi="Times New Roman" w:cs="Times New Roman"/>
                <w:sz w:val="26"/>
                <w:szCs w:val="26"/>
              </w:rPr>
              <w:lastRenderedPageBreak/>
              <w:t>Sabiedrības izpratnes par standartizācijas nozīmīgumu celšana</w:t>
            </w:r>
          </w:p>
          <w:p w14:paraId="1CAB79E1" w14:textId="77777777" w:rsidR="00A84F7B" w:rsidRDefault="00A84F7B" w:rsidP="00047C59">
            <w:pPr>
              <w:pStyle w:val="ListParagraph"/>
              <w:numPr>
                <w:ilvl w:val="0"/>
                <w:numId w:val="34"/>
              </w:numPr>
              <w:rPr>
                <w:rFonts w:ascii="Times New Roman" w:hAnsi="Times New Roman" w:cs="Times New Roman"/>
                <w:sz w:val="26"/>
                <w:szCs w:val="26"/>
              </w:rPr>
            </w:pPr>
            <w:r>
              <w:rPr>
                <w:rFonts w:ascii="Times New Roman" w:hAnsi="Times New Roman" w:cs="Times New Roman"/>
                <w:sz w:val="26"/>
                <w:szCs w:val="26"/>
              </w:rPr>
              <w:t>Aktīvāka sabiedrības un privātā sektora iesaiste standartizācijas darbībās</w:t>
            </w:r>
          </w:p>
          <w:p w14:paraId="796F6934" w14:textId="77777777" w:rsidR="00A84F7B" w:rsidRDefault="00A84F7B" w:rsidP="00047C59">
            <w:pPr>
              <w:pStyle w:val="ListParagraph"/>
              <w:numPr>
                <w:ilvl w:val="0"/>
                <w:numId w:val="34"/>
              </w:numPr>
              <w:rPr>
                <w:rFonts w:ascii="Times New Roman" w:hAnsi="Times New Roman" w:cs="Times New Roman"/>
                <w:sz w:val="26"/>
                <w:szCs w:val="26"/>
              </w:rPr>
            </w:pPr>
            <w:r>
              <w:rPr>
                <w:rFonts w:ascii="Times New Roman" w:hAnsi="Times New Roman" w:cs="Times New Roman"/>
                <w:sz w:val="26"/>
                <w:szCs w:val="26"/>
              </w:rPr>
              <w:t>ES līdzfinansējuma apzināšana un apgūšana</w:t>
            </w:r>
          </w:p>
          <w:p w14:paraId="4223E022" w14:textId="77777777" w:rsidR="00A84F7B" w:rsidRDefault="00A84F7B" w:rsidP="00047C59">
            <w:pPr>
              <w:pStyle w:val="ListParagraph"/>
              <w:numPr>
                <w:ilvl w:val="0"/>
                <w:numId w:val="34"/>
              </w:numPr>
              <w:rPr>
                <w:rFonts w:ascii="Times New Roman" w:hAnsi="Times New Roman" w:cs="Times New Roman"/>
                <w:sz w:val="26"/>
                <w:szCs w:val="26"/>
              </w:rPr>
            </w:pPr>
            <w:r>
              <w:rPr>
                <w:rFonts w:ascii="Times New Roman" w:hAnsi="Times New Roman" w:cs="Times New Roman"/>
                <w:sz w:val="26"/>
                <w:szCs w:val="26"/>
              </w:rPr>
              <w:t>Sadarbība starp publisko un privāto sektoru standartizācijas jautājumos un vienota viedokļa formulēšana</w:t>
            </w:r>
          </w:p>
          <w:p w14:paraId="755A5615" w14:textId="77777777" w:rsidR="00A84F7B" w:rsidRDefault="00A84F7B" w:rsidP="00047C59">
            <w:pPr>
              <w:pStyle w:val="ListParagraph"/>
              <w:numPr>
                <w:ilvl w:val="0"/>
                <w:numId w:val="34"/>
              </w:numPr>
              <w:rPr>
                <w:rFonts w:ascii="Times New Roman" w:hAnsi="Times New Roman" w:cs="Times New Roman"/>
                <w:sz w:val="26"/>
                <w:szCs w:val="26"/>
              </w:rPr>
            </w:pPr>
            <w:r>
              <w:rPr>
                <w:rFonts w:ascii="Times New Roman" w:hAnsi="Times New Roman" w:cs="Times New Roman"/>
                <w:sz w:val="26"/>
                <w:szCs w:val="26"/>
              </w:rPr>
              <w:t>Standartizācijas sistēmas finansējuma maiņa</w:t>
            </w:r>
          </w:p>
          <w:p w14:paraId="25A56CC0" w14:textId="16AEB173" w:rsidR="00A84F7B" w:rsidRPr="00315668" w:rsidRDefault="00A84F7B" w:rsidP="00047C59">
            <w:pPr>
              <w:pStyle w:val="ListParagraph"/>
              <w:numPr>
                <w:ilvl w:val="0"/>
                <w:numId w:val="34"/>
              </w:numPr>
              <w:rPr>
                <w:rFonts w:ascii="Times New Roman" w:hAnsi="Times New Roman" w:cs="Times New Roman"/>
                <w:sz w:val="26"/>
                <w:szCs w:val="26"/>
              </w:rPr>
            </w:pPr>
            <w:r>
              <w:rPr>
                <w:rFonts w:ascii="Times New Roman" w:hAnsi="Times New Roman" w:cs="Times New Roman"/>
                <w:sz w:val="26"/>
                <w:szCs w:val="26"/>
              </w:rPr>
              <w:t>Nacionālās standartizācijas institūcijas sniegto pakalpojumu spektra palielināšana</w:t>
            </w:r>
          </w:p>
        </w:tc>
      </w:tr>
      <w:tr w:rsidR="00E75BB1" w14:paraId="51A00513" w14:textId="77777777" w:rsidTr="00047C59">
        <w:tc>
          <w:tcPr>
            <w:tcW w:w="9010" w:type="dxa"/>
            <w:gridSpan w:val="2"/>
          </w:tcPr>
          <w:p w14:paraId="41F43B9E" w14:textId="1B31B03E" w:rsidR="00E75BB1" w:rsidRDefault="00A84F7B" w:rsidP="00BA2AFD">
            <w:pPr>
              <w:jc w:val="center"/>
              <w:rPr>
                <w:rFonts w:ascii="Times New Roman" w:hAnsi="Times New Roman" w:cs="Times New Roman"/>
                <w:b/>
                <w:sz w:val="26"/>
                <w:szCs w:val="26"/>
              </w:rPr>
            </w:pPr>
            <w:r>
              <w:rPr>
                <w:rFonts w:ascii="Times New Roman" w:hAnsi="Times New Roman" w:cs="Times New Roman"/>
                <w:b/>
                <w:sz w:val="26"/>
                <w:szCs w:val="26"/>
              </w:rPr>
              <w:t>Draudi</w:t>
            </w:r>
          </w:p>
        </w:tc>
      </w:tr>
      <w:tr w:rsidR="00E75BB1" w:rsidRPr="00E75BB1" w14:paraId="43F9BAF1" w14:textId="77777777" w:rsidTr="00226850">
        <w:trPr>
          <w:trHeight w:val="255"/>
        </w:trPr>
        <w:tc>
          <w:tcPr>
            <w:tcW w:w="9010" w:type="dxa"/>
            <w:gridSpan w:val="2"/>
          </w:tcPr>
          <w:p w14:paraId="637B1D0A" w14:textId="41C7CFC0" w:rsidR="00732BBB" w:rsidRDefault="00A84F7B" w:rsidP="00226850">
            <w:pPr>
              <w:pStyle w:val="ListParagraph"/>
              <w:numPr>
                <w:ilvl w:val="0"/>
                <w:numId w:val="34"/>
              </w:numPr>
              <w:rPr>
                <w:rFonts w:ascii="Times New Roman" w:hAnsi="Times New Roman" w:cs="Times New Roman"/>
                <w:sz w:val="26"/>
                <w:szCs w:val="26"/>
              </w:rPr>
            </w:pPr>
            <w:r>
              <w:rPr>
                <w:rFonts w:ascii="Times New Roman" w:hAnsi="Times New Roman" w:cs="Times New Roman"/>
                <w:sz w:val="26"/>
                <w:szCs w:val="26"/>
              </w:rPr>
              <w:t>Privātā sektora pasīva iesaistīšanās standartizācijas darbībās</w:t>
            </w:r>
          </w:p>
          <w:p w14:paraId="3830D21F" w14:textId="2B54A6C3" w:rsidR="00732BBB" w:rsidRPr="00226850" w:rsidRDefault="00A84F7B" w:rsidP="00226850">
            <w:pPr>
              <w:pStyle w:val="ListParagraph"/>
              <w:numPr>
                <w:ilvl w:val="0"/>
                <w:numId w:val="34"/>
              </w:numPr>
              <w:rPr>
                <w:rFonts w:ascii="Times New Roman" w:hAnsi="Times New Roman" w:cs="Times New Roman"/>
                <w:sz w:val="26"/>
                <w:szCs w:val="26"/>
              </w:rPr>
            </w:pPr>
            <w:r>
              <w:rPr>
                <w:rFonts w:ascii="Times New Roman" w:hAnsi="Times New Roman" w:cs="Times New Roman"/>
                <w:sz w:val="26"/>
                <w:szCs w:val="26"/>
              </w:rPr>
              <w:t>Krasa Eiropas un starptautiskā politikas maiņa attiecībā uz standartizāciju</w:t>
            </w:r>
          </w:p>
        </w:tc>
      </w:tr>
    </w:tbl>
    <w:p w14:paraId="729DEF09" w14:textId="77777777" w:rsidR="00BA2AFD" w:rsidRPr="00226850" w:rsidRDefault="00BA2AFD" w:rsidP="00226850">
      <w:pPr>
        <w:jc w:val="center"/>
        <w:rPr>
          <w:rFonts w:ascii="Times New Roman" w:hAnsi="Times New Roman" w:cs="Times New Roman"/>
          <w:b/>
          <w:sz w:val="26"/>
          <w:szCs w:val="26"/>
        </w:rPr>
      </w:pPr>
    </w:p>
    <w:p w14:paraId="47B011C8" w14:textId="77777777" w:rsidR="00577B81" w:rsidRDefault="00577B81"/>
    <w:p w14:paraId="0A562963" w14:textId="5C654AF4" w:rsidR="00417E4F" w:rsidRDefault="00417E4F">
      <w:pPr>
        <w:rPr>
          <w:rFonts w:ascii="Times New Roman" w:hAnsi="Times New Roman" w:cs="Times New Roman"/>
          <w:sz w:val="26"/>
          <w:szCs w:val="26"/>
        </w:rPr>
      </w:pPr>
      <w:r>
        <w:br w:type="page"/>
      </w:r>
    </w:p>
    <w:p w14:paraId="35A53067" w14:textId="2B9AAFB2" w:rsidR="00F87525" w:rsidRPr="006B03AD" w:rsidRDefault="00F87525" w:rsidP="00B972E0">
      <w:pPr>
        <w:pStyle w:val="Heading1"/>
      </w:pPr>
      <w:bookmarkStart w:id="24" w:name="_Toc451859782"/>
      <w:bookmarkStart w:id="25" w:name="_Toc451860005"/>
      <w:r w:rsidRPr="006B03AD">
        <w:lastRenderedPageBreak/>
        <w:t>I</w:t>
      </w:r>
      <w:r w:rsidR="00C65959">
        <w:t>ETEKME</w:t>
      </w:r>
      <w:r w:rsidRPr="006B03AD">
        <w:t xml:space="preserve"> </w:t>
      </w:r>
      <w:r w:rsidR="00C65959">
        <w:t>UZ</w:t>
      </w:r>
      <w:r w:rsidRPr="006B03AD">
        <w:t xml:space="preserve"> </w:t>
      </w:r>
      <w:bookmarkEnd w:id="24"/>
      <w:r w:rsidR="00C65959">
        <w:t>BUDŽETU</w:t>
      </w:r>
      <w:bookmarkEnd w:id="25"/>
    </w:p>
    <w:p w14:paraId="1D3EB97C" w14:textId="77777777" w:rsidR="00F87525" w:rsidRPr="006B03AD" w:rsidRDefault="00F87525" w:rsidP="00F87525">
      <w:pPr>
        <w:jc w:val="center"/>
        <w:rPr>
          <w:rFonts w:ascii="Times New Roman" w:hAnsi="Times New Roman" w:cs="Times New Roman"/>
          <w:sz w:val="26"/>
          <w:szCs w:val="26"/>
        </w:rPr>
      </w:pPr>
    </w:p>
    <w:p w14:paraId="0A5E8A44" w14:textId="64808BA6" w:rsidR="008B0191" w:rsidRDefault="008D0CFA" w:rsidP="008B0191">
      <w:pPr>
        <w:ind w:firstLine="720"/>
        <w:jc w:val="both"/>
        <w:rPr>
          <w:rFonts w:ascii="Times New Roman" w:hAnsi="Times New Roman" w:cs="Times New Roman"/>
          <w:sz w:val="26"/>
          <w:szCs w:val="26"/>
        </w:rPr>
      </w:pPr>
      <w:r>
        <w:rPr>
          <w:rFonts w:ascii="Times New Roman" w:hAnsi="Times New Roman" w:cs="Times New Roman"/>
          <w:sz w:val="26"/>
          <w:szCs w:val="26"/>
        </w:rPr>
        <w:t>I</w:t>
      </w:r>
      <w:r w:rsidR="004D725F" w:rsidRPr="002D35CD">
        <w:rPr>
          <w:rFonts w:ascii="Times New Roman" w:hAnsi="Times New Roman" w:cs="Times New Roman"/>
          <w:sz w:val="26"/>
          <w:szCs w:val="26"/>
        </w:rPr>
        <w:t>eviešot šajā ziņojumā piedāvāto risinājumu</w:t>
      </w:r>
      <w:r w:rsidR="000F0B21" w:rsidRPr="002D35CD">
        <w:rPr>
          <w:rFonts w:ascii="Times New Roman" w:hAnsi="Times New Roman" w:cs="Times New Roman"/>
          <w:sz w:val="26"/>
          <w:szCs w:val="26"/>
        </w:rPr>
        <w:t xml:space="preserve">, tiks radīta </w:t>
      </w:r>
      <w:r w:rsidR="00C83231">
        <w:rPr>
          <w:rFonts w:ascii="Times New Roman" w:hAnsi="Times New Roman" w:cs="Times New Roman"/>
          <w:sz w:val="26"/>
          <w:szCs w:val="26"/>
        </w:rPr>
        <w:t xml:space="preserve">papildus </w:t>
      </w:r>
      <w:r w:rsidR="000F0B21" w:rsidRPr="002D35CD">
        <w:rPr>
          <w:rFonts w:ascii="Times New Roman" w:hAnsi="Times New Roman" w:cs="Times New Roman"/>
          <w:sz w:val="26"/>
          <w:szCs w:val="26"/>
        </w:rPr>
        <w:t>ietekme uz budžetu</w:t>
      </w:r>
      <w:r w:rsidR="004D725F" w:rsidRPr="002D35CD">
        <w:rPr>
          <w:rFonts w:ascii="Times New Roman" w:hAnsi="Times New Roman" w:cs="Times New Roman"/>
          <w:sz w:val="26"/>
          <w:szCs w:val="26"/>
        </w:rPr>
        <w:t xml:space="preserve">. </w:t>
      </w:r>
      <w:r w:rsidR="008B0191">
        <w:rPr>
          <w:rFonts w:ascii="Times New Roman" w:hAnsi="Times New Roman" w:cs="Times New Roman"/>
          <w:sz w:val="26"/>
          <w:szCs w:val="26"/>
        </w:rPr>
        <w:t>Kopumā konceptuālajā ziņojumā ietvertā risinājuma ieviešanai papildus jau esošajam valsts finansējumam</w:t>
      </w:r>
      <w:r>
        <w:rPr>
          <w:rFonts w:ascii="Times New Roman" w:hAnsi="Times New Roman" w:cs="Times New Roman"/>
          <w:sz w:val="26"/>
          <w:szCs w:val="26"/>
        </w:rPr>
        <w:t xml:space="preserve"> nacionālajai standartizācijas institūcijai</w:t>
      </w:r>
      <w:r w:rsidR="008B0191">
        <w:rPr>
          <w:rFonts w:ascii="Times New Roman" w:hAnsi="Times New Roman" w:cs="Times New Roman"/>
          <w:sz w:val="26"/>
          <w:szCs w:val="26"/>
        </w:rPr>
        <w:t xml:space="preserve"> </w:t>
      </w:r>
      <w:r w:rsidR="00480478">
        <w:rPr>
          <w:rFonts w:ascii="Times New Roman" w:hAnsi="Times New Roman" w:cs="Times New Roman"/>
          <w:sz w:val="26"/>
          <w:szCs w:val="26"/>
        </w:rPr>
        <w:t>201</w:t>
      </w:r>
      <w:r w:rsidR="002338D2">
        <w:rPr>
          <w:rFonts w:ascii="Times New Roman" w:hAnsi="Times New Roman" w:cs="Times New Roman"/>
          <w:sz w:val="26"/>
          <w:szCs w:val="26"/>
        </w:rPr>
        <w:t>8</w:t>
      </w:r>
      <w:r w:rsidR="00480478">
        <w:rPr>
          <w:rFonts w:ascii="Times New Roman" w:hAnsi="Times New Roman" w:cs="Times New Roman"/>
          <w:sz w:val="26"/>
          <w:szCs w:val="26"/>
        </w:rPr>
        <w:t xml:space="preserve">.gadā </w:t>
      </w:r>
      <w:r w:rsidR="008B0191">
        <w:rPr>
          <w:rFonts w:ascii="Times New Roman" w:hAnsi="Times New Roman" w:cs="Times New Roman"/>
          <w:sz w:val="26"/>
          <w:szCs w:val="26"/>
        </w:rPr>
        <w:t xml:space="preserve">būs nepieciešami </w:t>
      </w:r>
      <w:r>
        <w:rPr>
          <w:rFonts w:ascii="Times New Roman" w:hAnsi="Times New Roman" w:cs="Times New Roman"/>
          <w:b/>
          <w:sz w:val="26"/>
          <w:szCs w:val="26"/>
        </w:rPr>
        <w:t>352</w:t>
      </w:r>
      <w:r w:rsidR="008B0191" w:rsidRPr="008B0191">
        <w:rPr>
          <w:rFonts w:ascii="Times New Roman" w:hAnsi="Times New Roman" w:cs="Times New Roman"/>
          <w:b/>
          <w:sz w:val="26"/>
          <w:szCs w:val="26"/>
        </w:rPr>
        <w:t xml:space="preserve"> 500 </w:t>
      </w:r>
      <w:proofErr w:type="spellStart"/>
      <w:r w:rsidR="008B0191" w:rsidRPr="008B0191">
        <w:rPr>
          <w:rFonts w:ascii="Times New Roman" w:hAnsi="Times New Roman" w:cs="Times New Roman"/>
          <w:b/>
          <w:i/>
          <w:sz w:val="26"/>
          <w:szCs w:val="26"/>
        </w:rPr>
        <w:t>euro</w:t>
      </w:r>
      <w:proofErr w:type="spellEnd"/>
      <w:r w:rsidR="00480478">
        <w:rPr>
          <w:rFonts w:ascii="Times New Roman" w:hAnsi="Times New Roman" w:cs="Times New Roman"/>
          <w:b/>
          <w:i/>
          <w:sz w:val="26"/>
          <w:szCs w:val="26"/>
        </w:rPr>
        <w:t xml:space="preserve"> </w:t>
      </w:r>
      <w:r w:rsidR="00480478" w:rsidRPr="00480478">
        <w:rPr>
          <w:rFonts w:ascii="Times New Roman" w:hAnsi="Times New Roman" w:cs="Times New Roman"/>
          <w:sz w:val="26"/>
          <w:szCs w:val="26"/>
        </w:rPr>
        <w:t>un katru gadu līdz 202</w:t>
      </w:r>
      <w:r w:rsidR="006F3285">
        <w:rPr>
          <w:rFonts w:ascii="Times New Roman" w:hAnsi="Times New Roman" w:cs="Times New Roman"/>
          <w:sz w:val="26"/>
          <w:szCs w:val="26"/>
        </w:rPr>
        <w:t>2</w:t>
      </w:r>
      <w:r w:rsidR="00480478" w:rsidRPr="00480478">
        <w:rPr>
          <w:rFonts w:ascii="Times New Roman" w:hAnsi="Times New Roman" w:cs="Times New Roman"/>
          <w:sz w:val="26"/>
          <w:szCs w:val="26"/>
        </w:rPr>
        <w:t>.gadam, ieskaitot, pieaug</w:t>
      </w:r>
      <w:r w:rsidR="00480478">
        <w:rPr>
          <w:rFonts w:ascii="Times New Roman" w:hAnsi="Times New Roman" w:cs="Times New Roman"/>
          <w:sz w:val="26"/>
          <w:szCs w:val="26"/>
        </w:rPr>
        <w:t>s</w:t>
      </w:r>
      <w:r w:rsidR="00480478" w:rsidRPr="00480478">
        <w:rPr>
          <w:rFonts w:ascii="Times New Roman" w:hAnsi="Times New Roman" w:cs="Times New Roman"/>
          <w:sz w:val="26"/>
          <w:szCs w:val="26"/>
        </w:rPr>
        <w:t xml:space="preserve"> par </w:t>
      </w:r>
      <w:r w:rsidR="00480478" w:rsidRPr="00480478">
        <w:rPr>
          <w:rFonts w:ascii="Times New Roman" w:hAnsi="Times New Roman" w:cs="Times New Roman"/>
          <w:b/>
          <w:sz w:val="26"/>
          <w:szCs w:val="26"/>
        </w:rPr>
        <w:t>50 000</w:t>
      </w:r>
      <w:r w:rsidR="00480478" w:rsidRPr="00480478">
        <w:rPr>
          <w:rFonts w:ascii="Times New Roman" w:hAnsi="Times New Roman" w:cs="Times New Roman"/>
          <w:sz w:val="26"/>
          <w:szCs w:val="26"/>
        </w:rPr>
        <w:t xml:space="preserve"> </w:t>
      </w:r>
      <w:proofErr w:type="spellStart"/>
      <w:r w:rsidR="00480478">
        <w:rPr>
          <w:rFonts w:ascii="Times New Roman" w:hAnsi="Times New Roman" w:cs="Times New Roman"/>
          <w:b/>
          <w:i/>
          <w:sz w:val="26"/>
          <w:szCs w:val="26"/>
        </w:rPr>
        <w:t>euro</w:t>
      </w:r>
      <w:proofErr w:type="spellEnd"/>
      <w:r w:rsidR="008B0191">
        <w:rPr>
          <w:rFonts w:ascii="Times New Roman" w:hAnsi="Times New Roman" w:cs="Times New Roman"/>
          <w:sz w:val="26"/>
          <w:szCs w:val="26"/>
        </w:rPr>
        <w:t>, ko veidotu šād</w:t>
      </w:r>
      <w:r w:rsidR="00C637EC">
        <w:rPr>
          <w:rFonts w:ascii="Times New Roman" w:hAnsi="Times New Roman" w:cs="Times New Roman"/>
          <w:sz w:val="26"/>
          <w:szCs w:val="26"/>
        </w:rPr>
        <w:t>i</w:t>
      </w:r>
      <w:r w:rsidR="008B0191">
        <w:rPr>
          <w:rFonts w:ascii="Times New Roman" w:hAnsi="Times New Roman" w:cs="Times New Roman"/>
          <w:sz w:val="26"/>
          <w:szCs w:val="26"/>
        </w:rPr>
        <w:t xml:space="preserve"> p</w:t>
      </w:r>
      <w:r w:rsidR="000B38E1">
        <w:rPr>
          <w:rFonts w:ascii="Times New Roman" w:hAnsi="Times New Roman" w:cs="Times New Roman"/>
          <w:sz w:val="26"/>
          <w:szCs w:val="26"/>
        </w:rPr>
        <w:t>asākumi</w:t>
      </w:r>
      <w:r w:rsidR="00480478">
        <w:rPr>
          <w:rFonts w:ascii="Times New Roman" w:hAnsi="Times New Roman" w:cs="Times New Roman"/>
          <w:sz w:val="26"/>
          <w:szCs w:val="26"/>
        </w:rPr>
        <w:t xml:space="preserve"> </w:t>
      </w:r>
      <w:r w:rsidR="008B0191">
        <w:rPr>
          <w:rFonts w:ascii="Times New Roman" w:hAnsi="Times New Roman" w:cs="Times New Roman"/>
          <w:sz w:val="26"/>
          <w:szCs w:val="26"/>
        </w:rPr>
        <w:t>:</w:t>
      </w:r>
    </w:p>
    <w:p w14:paraId="67EAF95D" w14:textId="16005157" w:rsidR="00C83231" w:rsidRDefault="008B0191" w:rsidP="008B0191">
      <w:pPr>
        <w:ind w:firstLine="720"/>
        <w:jc w:val="both"/>
        <w:rPr>
          <w:rFonts w:ascii="Times New Roman" w:hAnsi="Times New Roman" w:cs="Times New Roman"/>
          <w:sz w:val="26"/>
          <w:szCs w:val="26"/>
        </w:rPr>
      </w:pPr>
      <w:r>
        <w:rPr>
          <w:rFonts w:ascii="Times New Roman" w:hAnsi="Times New Roman" w:cs="Times New Roman"/>
          <w:sz w:val="26"/>
          <w:szCs w:val="26"/>
        </w:rPr>
        <w:t xml:space="preserve">[1] </w:t>
      </w:r>
      <w:r w:rsidR="00C83231">
        <w:rPr>
          <w:rFonts w:ascii="Times New Roman" w:hAnsi="Times New Roman" w:cs="Times New Roman"/>
          <w:sz w:val="26"/>
          <w:szCs w:val="26"/>
        </w:rPr>
        <w:t>n</w:t>
      </w:r>
      <w:r w:rsidR="00437BF3">
        <w:rPr>
          <w:rFonts w:ascii="Times New Roman" w:hAnsi="Times New Roman" w:cs="Times New Roman"/>
          <w:sz w:val="26"/>
          <w:szCs w:val="26"/>
        </w:rPr>
        <w:t xml:space="preserve">acionālās standartizācijas institūcijas </w:t>
      </w:r>
      <w:r w:rsidR="00C83231">
        <w:rPr>
          <w:rFonts w:ascii="Times New Roman" w:hAnsi="Times New Roman" w:cs="Times New Roman"/>
          <w:sz w:val="26"/>
          <w:szCs w:val="26"/>
        </w:rPr>
        <w:t xml:space="preserve">darbības </w:t>
      </w:r>
      <w:r w:rsidR="00437BF3">
        <w:rPr>
          <w:rFonts w:ascii="Times New Roman" w:hAnsi="Times New Roman" w:cs="Times New Roman"/>
          <w:sz w:val="26"/>
          <w:szCs w:val="26"/>
        </w:rPr>
        <w:t xml:space="preserve">reorganizācija </w:t>
      </w:r>
      <w:r>
        <w:rPr>
          <w:rFonts w:ascii="Times New Roman" w:hAnsi="Times New Roman" w:cs="Times New Roman"/>
          <w:sz w:val="26"/>
          <w:szCs w:val="26"/>
        </w:rPr>
        <w:t xml:space="preserve">un </w:t>
      </w:r>
      <w:r w:rsidR="006064A6">
        <w:rPr>
          <w:rFonts w:ascii="Times New Roman" w:hAnsi="Times New Roman" w:cs="Times New Roman"/>
          <w:sz w:val="26"/>
          <w:szCs w:val="26"/>
        </w:rPr>
        <w:t>standartizācijas sistēmas</w:t>
      </w:r>
      <w:r>
        <w:rPr>
          <w:rFonts w:ascii="Times New Roman" w:hAnsi="Times New Roman" w:cs="Times New Roman"/>
          <w:sz w:val="26"/>
          <w:szCs w:val="26"/>
        </w:rPr>
        <w:t xml:space="preserve"> stiprināšana, kas nodrošinātu, ka standartizācijas sistēma tiku izveidota kā biznesa orientēta vide, kas mazinātu valsts nepieciešamību iesaistīties un izstrādāt tehniski sarežģītus regulējumus, bet vienlaikus dotu iespēju pašai noz</w:t>
      </w:r>
      <w:r w:rsidR="006064A6">
        <w:rPr>
          <w:rFonts w:ascii="Times New Roman" w:hAnsi="Times New Roman" w:cs="Times New Roman"/>
          <w:sz w:val="26"/>
          <w:szCs w:val="26"/>
        </w:rPr>
        <w:t>a</w:t>
      </w:r>
      <w:r>
        <w:rPr>
          <w:rFonts w:ascii="Times New Roman" w:hAnsi="Times New Roman" w:cs="Times New Roman"/>
          <w:sz w:val="26"/>
          <w:szCs w:val="26"/>
        </w:rPr>
        <w:t xml:space="preserve">rei pašregulēties, tādējādi veicinot arī </w:t>
      </w:r>
      <w:r w:rsidR="006064A6">
        <w:rPr>
          <w:rFonts w:ascii="Times New Roman" w:hAnsi="Times New Roman" w:cs="Times New Roman"/>
          <w:sz w:val="26"/>
          <w:szCs w:val="26"/>
        </w:rPr>
        <w:t xml:space="preserve">valsts </w:t>
      </w:r>
      <w:r>
        <w:rPr>
          <w:rFonts w:ascii="Times New Roman" w:hAnsi="Times New Roman" w:cs="Times New Roman"/>
          <w:sz w:val="26"/>
          <w:szCs w:val="26"/>
        </w:rPr>
        <w:t>tautsaimniecības attīstību</w:t>
      </w:r>
      <w:r w:rsidR="006064A6">
        <w:rPr>
          <w:rFonts w:ascii="Times New Roman" w:hAnsi="Times New Roman" w:cs="Times New Roman"/>
          <w:sz w:val="26"/>
          <w:szCs w:val="26"/>
        </w:rPr>
        <w:t>. Kopējie</w:t>
      </w:r>
      <w:r w:rsidR="008B537C">
        <w:rPr>
          <w:rFonts w:ascii="Times New Roman" w:hAnsi="Times New Roman" w:cs="Times New Roman"/>
          <w:sz w:val="26"/>
          <w:szCs w:val="26"/>
        </w:rPr>
        <w:t xml:space="preserve"> šīs pozīcijas izdevumi 201</w:t>
      </w:r>
      <w:r w:rsidR="006F3285">
        <w:rPr>
          <w:rFonts w:ascii="Times New Roman" w:hAnsi="Times New Roman" w:cs="Times New Roman"/>
          <w:sz w:val="26"/>
          <w:szCs w:val="26"/>
        </w:rPr>
        <w:t>8</w:t>
      </w:r>
      <w:r w:rsidR="008B537C">
        <w:rPr>
          <w:rFonts w:ascii="Times New Roman" w:hAnsi="Times New Roman" w:cs="Times New Roman"/>
          <w:sz w:val="26"/>
          <w:szCs w:val="26"/>
        </w:rPr>
        <w:t>.gadā</w:t>
      </w:r>
      <w:r w:rsidR="006064A6">
        <w:rPr>
          <w:rFonts w:ascii="Times New Roman" w:hAnsi="Times New Roman" w:cs="Times New Roman"/>
          <w:sz w:val="26"/>
          <w:szCs w:val="26"/>
        </w:rPr>
        <w:t xml:space="preserve"> veidotu </w:t>
      </w:r>
      <w:r w:rsidR="008B537C">
        <w:rPr>
          <w:rFonts w:ascii="Times New Roman" w:hAnsi="Times New Roman" w:cs="Times New Roman"/>
          <w:b/>
          <w:sz w:val="26"/>
          <w:szCs w:val="26"/>
        </w:rPr>
        <w:t>240</w:t>
      </w:r>
      <w:r w:rsidR="006064A6" w:rsidRPr="006064A6">
        <w:rPr>
          <w:rFonts w:ascii="Times New Roman" w:hAnsi="Times New Roman" w:cs="Times New Roman"/>
          <w:b/>
          <w:sz w:val="26"/>
          <w:szCs w:val="26"/>
        </w:rPr>
        <w:t xml:space="preserve"> 000 </w:t>
      </w:r>
      <w:proofErr w:type="spellStart"/>
      <w:r w:rsidR="006064A6" w:rsidRPr="006064A6">
        <w:rPr>
          <w:rFonts w:ascii="Times New Roman" w:hAnsi="Times New Roman" w:cs="Times New Roman"/>
          <w:b/>
          <w:i/>
          <w:sz w:val="26"/>
          <w:szCs w:val="26"/>
        </w:rPr>
        <w:t>euro</w:t>
      </w:r>
      <w:proofErr w:type="spellEnd"/>
      <w:r w:rsidR="008B537C">
        <w:rPr>
          <w:rFonts w:ascii="Times New Roman" w:hAnsi="Times New Roman" w:cs="Times New Roman"/>
          <w:sz w:val="26"/>
          <w:szCs w:val="26"/>
        </w:rPr>
        <w:t xml:space="preserve"> un katru gadu līdz 202</w:t>
      </w:r>
      <w:r w:rsidR="006F3285">
        <w:rPr>
          <w:rFonts w:ascii="Times New Roman" w:hAnsi="Times New Roman" w:cs="Times New Roman"/>
          <w:sz w:val="26"/>
          <w:szCs w:val="26"/>
        </w:rPr>
        <w:t>2</w:t>
      </w:r>
      <w:r w:rsidR="008B537C">
        <w:rPr>
          <w:rFonts w:ascii="Times New Roman" w:hAnsi="Times New Roman" w:cs="Times New Roman"/>
          <w:sz w:val="26"/>
          <w:szCs w:val="26"/>
        </w:rPr>
        <w:t xml:space="preserve">.gadam, ieskaitot, pieaugtu par </w:t>
      </w:r>
      <w:r w:rsidR="008B537C" w:rsidRPr="008B537C">
        <w:rPr>
          <w:rFonts w:ascii="Times New Roman" w:hAnsi="Times New Roman" w:cs="Times New Roman"/>
          <w:b/>
          <w:sz w:val="26"/>
          <w:szCs w:val="26"/>
        </w:rPr>
        <w:t xml:space="preserve">50 000 </w:t>
      </w:r>
      <w:proofErr w:type="spellStart"/>
      <w:r w:rsidR="008B537C" w:rsidRPr="008B537C">
        <w:rPr>
          <w:rFonts w:ascii="Times New Roman" w:hAnsi="Times New Roman" w:cs="Times New Roman"/>
          <w:b/>
          <w:i/>
          <w:sz w:val="26"/>
          <w:szCs w:val="26"/>
        </w:rPr>
        <w:t>euro</w:t>
      </w:r>
      <w:proofErr w:type="spellEnd"/>
      <w:r w:rsidR="008B537C">
        <w:rPr>
          <w:rFonts w:ascii="Times New Roman" w:hAnsi="Times New Roman" w:cs="Times New Roman"/>
          <w:sz w:val="26"/>
          <w:szCs w:val="26"/>
        </w:rPr>
        <w:t>.</w:t>
      </w:r>
      <w:r w:rsidR="006064A6">
        <w:rPr>
          <w:rFonts w:ascii="Times New Roman" w:hAnsi="Times New Roman" w:cs="Times New Roman"/>
          <w:sz w:val="26"/>
          <w:szCs w:val="26"/>
        </w:rPr>
        <w:t xml:space="preserve"> Nacionālās standartizācijas sistēmas stiprināšanas ietvaros būtu īstenojami vismaz šādi pasākumi:</w:t>
      </w:r>
    </w:p>
    <w:p w14:paraId="3C6D5A7F" w14:textId="77777777" w:rsidR="00A15B53" w:rsidRPr="007229D3" w:rsidRDefault="00A15B53" w:rsidP="007229D3">
      <w:pPr>
        <w:pStyle w:val="ListParagraph"/>
        <w:numPr>
          <w:ilvl w:val="0"/>
          <w:numId w:val="22"/>
        </w:numPr>
        <w:jc w:val="both"/>
        <w:rPr>
          <w:rFonts w:ascii="Times New Roman" w:hAnsi="Times New Roman" w:cs="Times New Roman"/>
          <w:sz w:val="26"/>
          <w:szCs w:val="26"/>
        </w:rPr>
      </w:pPr>
      <w:r>
        <w:rPr>
          <w:rFonts w:ascii="Times New Roman" w:hAnsi="Times New Roman" w:cs="Times New Roman"/>
          <w:sz w:val="26"/>
          <w:szCs w:val="26"/>
        </w:rPr>
        <w:t>Nacionālās standartizācijas institūcijas sekretariāta stiprināšana</w:t>
      </w:r>
      <w:r w:rsidR="006064A6">
        <w:rPr>
          <w:rFonts w:ascii="Times New Roman" w:hAnsi="Times New Roman" w:cs="Times New Roman"/>
          <w:sz w:val="26"/>
          <w:szCs w:val="26"/>
        </w:rPr>
        <w:t xml:space="preserve">. Tādējādi tiktu nodrošināta iespēja, ka nacionālā standartizācijas institūcija iesaistās valsts standartizācijas politikas izstrādē, kā arī daudz aktīvāk pārstāv Latvijas intereses reģionālajās (CEN un CENELEC) un starptautiskajās (ISO un IEC) standartizācijas institūcijās, kurās Latvijas ir pilntiesīgs biedrs. </w:t>
      </w:r>
      <w:r w:rsidR="007229D3">
        <w:rPr>
          <w:rFonts w:ascii="Times New Roman" w:hAnsi="Times New Roman" w:cs="Times New Roman"/>
          <w:sz w:val="26"/>
          <w:szCs w:val="26"/>
        </w:rPr>
        <w:t xml:space="preserve">Nacionālās standartizācijas institūcijas sekretariāta stiprināšanas izmaksas tiek prognozētas </w:t>
      </w:r>
      <w:r w:rsidR="007229D3" w:rsidRPr="007229D3">
        <w:rPr>
          <w:rFonts w:ascii="Times New Roman" w:hAnsi="Times New Roman" w:cs="Times New Roman"/>
          <w:b/>
          <w:sz w:val="26"/>
          <w:szCs w:val="26"/>
        </w:rPr>
        <w:t>75 000</w:t>
      </w:r>
      <w:r w:rsidR="007229D3">
        <w:rPr>
          <w:rFonts w:ascii="Times New Roman" w:hAnsi="Times New Roman" w:cs="Times New Roman"/>
          <w:sz w:val="26"/>
          <w:szCs w:val="26"/>
        </w:rPr>
        <w:t xml:space="preserve"> </w:t>
      </w:r>
      <w:proofErr w:type="spellStart"/>
      <w:r w:rsidR="007229D3" w:rsidRPr="007229D3">
        <w:rPr>
          <w:rFonts w:ascii="Times New Roman" w:hAnsi="Times New Roman" w:cs="Times New Roman"/>
          <w:b/>
          <w:i/>
          <w:sz w:val="26"/>
          <w:szCs w:val="26"/>
        </w:rPr>
        <w:t>euro</w:t>
      </w:r>
      <w:proofErr w:type="spellEnd"/>
      <w:r w:rsidR="007229D3">
        <w:rPr>
          <w:rFonts w:ascii="Times New Roman" w:hAnsi="Times New Roman" w:cs="Times New Roman"/>
          <w:sz w:val="26"/>
          <w:szCs w:val="26"/>
        </w:rPr>
        <w:t xml:space="preserve"> apmērā;</w:t>
      </w:r>
    </w:p>
    <w:p w14:paraId="4A35A1B0" w14:textId="77777777" w:rsidR="007229D3" w:rsidRDefault="00A15B53" w:rsidP="00A15B53">
      <w:pPr>
        <w:pStyle w:val="ListParagraph"/>
        <w:numPr>
          <w:ilvl w:val="0"/>
          <w:numId w:val="22"/>
        </w:numPr>
        <w:jc w:val="both"/>
        <w:rPr>
          <w:rFonts w:ascii="Times New Roman" w:hAnsi="Times New Roman" w:cs="Times New Roman"/>
          <w:sz w:val="26"/>
          <w:szCs w:val="26"/>
        </w:rPr>
      </w:pPr>
      <w:r>
        <w:rPr>
          <w:rFonts w:ascii="Times New Roman" w:hAnsi="Times New Roman" w:cs="Times New Roman"/>
          <w:sz w:val="26"/>
          <w:szCs w:val="26"/>
        </w:rPr>
        <w:t xml:space="preserve">Standartizācijas tehnisko komiteju darbības </w:t>
      </w:r>
      <w:r w:rsidR="00A85979">
        <w:rPr>
          <w:rFonts w:ascii="Times New Roman" w:hAnsi="Times New Roman" w:cs="Times New Roman"/>
          <w:sz w:val="26"/>
          <w:szCs w:val="26"/>
        </w:rPr>
        <w:t>nodrošināš</w:t>
      </w:r>
      <w:r w:rsidR="003B05D9">
        <w:rPr>
          <w:rFonts w:ascii="Times New Roman" w:hAnsi="Times New Roman" w:cs="Times New Roman"/>
          <w:sz w:val="26"/>
          <w:szCs w:val="26"/>
        </w:rPr>
        <w:t>ana</w:t>
      </w:r>
      <w:r w:rsidR="00A85979">
        <w:rPr>
          <w:rFonts w:ascii="Times New Roman" w:hAnsi="Times New Roman" w:cs="Times New Roman"/>
          <w:sz w:val="26"/>
          <w:szCs w:val="26"/>
        </w:rPr>
        <w:t>, koordinēš</w:t>
      </w:r>
      <w:r w:rsidR="003B05D9">
        <w:rPr>
          <w:rFonts w:ascii="Times New Roman" w:hAnsi="Times New Roman" w:cs="Times New Roman"/>
          <w:sz w:val="26"/>
          <w:szCs w:val="26"/>
        </w:rPr>
        <w:t>ana</w:t>
      </w:r>
      <w:r w:rsidR="00A85979">
        <w:rPr>
          <w:rFonts w:ascii="Times New Roman" w:hAnsi="Times New Roman" w:cs="Times New Roman"/>
          <w:sz w:val="26"/>
          <w:szCs w:val="26"/>
        </w:rPr>
        <w:t>, tehniskā darba izp</w:t>
      </w:r>
      <w:r w:rsidR="003B05D9">
        <w:rPr>
          <w:rFonts w:ascii="Times New Roman" w:hAnsi="Times New Roman" w:cs="Times New Roman"/>
          <w:sz w:val="26"/>
          <w:szCs w:val="26"/>
        </w:rPr>
        <w:t>ilde,</w:t>
      </w:r>
      <w:r w:rsidR="00A85979">
        <w:rPr>
          <w:rFonts w:ascii="Times New Roman" w:hAnsi="Times New Roman" w:cs="Times New Roman"/>
          <w:sz w:val="26"/>
          <w:szCs w:val="26"/>
        </w:rPr>
        <w:t xml:space="preserve"> informācijas snie</w:t>
      </w:r>
      <w:r w:rsidR="003B05D9">
        <w:rPr>
          <w:rFonts w:ascii="Times New Roman" w:hAnsi="Times New Roman" w:cs="Times New Roman"/>
          <w:sz w:val="26"/>
          <w:szCs w:val="26"/>
        </w:rPr>
        <w:t>g</w:t>
      </w:r>
      <w:r w:rsidR="00A85979">
        <w:rPr>
          <w:rFonts w:ascii="Times New Roman" w:hAnsi="Times New Roman" w:cs="Times New Roman"/>
          <w:sz w:val="26"/>
          <w:szCs w:val="26"/>
        </w:rPr>
        <w:t>š</w:t>
      </w:r>
      <w:r w:rsidR="003B05D9">
        <w:rPr>
          <w:rFonts w:ascii="Times New Roman" w:hAnsi="Times New Roman" w:cs="Times New Roman"/>
          <w:sz w:val="26"/>
          <w:szCs w:val="26"/>
        </w:rPr>
        <w:t>ana,</w:t>
      </w:r>
      <w:r w:rsidR="00A85979">
        <w:rPr>
          <w:rFonts w:ascii="Times New Roman" w:hAnsi="Times New Roman" w:cs="Times New Roman"/>
          <w:sz w:val="26"/>
          <w:szCs w:val="26"/>
        </w:rPr>
        <w:t xml:space="preserve"> </w:t>
      </w:r>
      <w:r w:rsidR="003B05D9">
        <w:rPr>
          <w:rFonts w:ascii="Times New Roman" w:hAnsi="Times New Roman" w:cs="Times New Roman"/>
          <w:sz w:val="26"/>
          <w:szCs w:val="26"/>
        </w:rPr>
        <w:t>kā arī pārstāvības nodrošināšana reģionā</w:t>
      </w:r>
      <w:r w:rsidR="001E7C64">
        <w:rPr>
          <w:rFonts w:ascii="Times New Roman" w:hAnsi="Times New Roman" w:cs="Times New Roman"/>
          <w:sz w:val="26"/>
          <w:szCs w:val="26"/>
        </w:rPr>
        <w:t>lajā un starptautiskajā</w:t>
      </w:r>
      <w:r w:rsidR="003B05D9">
        <w:rPr>
          <w:rFonts w:ascii="Times New Roman" w:hAnsi="Times New Roman" w:cs="Times New Roman"/>
          <w:sz w:val="26"/>
          <w:szCs w:val="26"/>
        </w:rPr>
        <w:t xml:space="preserve"> standartizācijas darbā</w:t>
      </w:r>
      <w:r w:rsidR="007229D3">
        <w:rPr>
          <w:rFonts w:ascii="Times New Roman" w:hAnsi="Times New Roman" w:cs="Times New Roman"/>
          <w:sz w:val="26"/>
          <w:szCs w:val="26"/>
        </w:rPr>
        <w:t xml:space="preserve">. Tādējādi nozare ne tikai savlaicīgām tiktu informēta par standartizācijas aktivitātēm, kuras norisinās reģionālajā un starptautiskajā līmenī, lai nepieciešamības gadījumā savlaicīgi iesaistītos šajā darbā un pārstāvētu savas nozares intereses, bet arī nacionālo standartizācijas tehnisko komiteju pārstāvjiem tiktu nodrošināta iespēja piedalīties reģionālo un starptautisko institūciju standartizācijas tehnisko komiteju darbā, piedaloties standartu izstrādes procesā, aizstāvot un lobējot savas intereses. Šī pasākuma izmaksas tiek prognozētas </w:t>
      </w:r>
      <w:r w:rsidR="007229D3" w:rsidRPr="007229D3">
        <w:rPr>
          <w:rFonts w:ascii="Times New Roman" w:hAnsi="Times New Roman" w:cs="Times New Roman"/>
          <w:b/>
          <w:sz w:val="26"/>
          <w:szCs w:val="26"/>
        </w:rPr>
        <w:t xml:space="preserve">70 000 </w:t>
      </w:r>
      <w:proofErr w:type="spellStart"/>
      <w:r w:rsidR="007229D3" w:rsidRPr="007229D3">
        <w:rPr>
          <w:rFonts w:ascii="Times New Roman" w:hAnsi="Times New Roman" w:cs="Times New Roman"/>
          <w:b/>
          <w:i/>
          <w:sz w:val="26"/>
          <w:szCs w:val="26"/>
        </w:rPr>
        <w:t>euro</w:t>
      </w:r>
      <w:proofErr w:type="spellEnd"/>
      <w:r w:rsidR="007229D3">
        <w:rPr>
          <w:rFonts w:ascii="Times New Roman" w:hAnsi="Times New Roman" w:cs="Times New Roman"/>
          <w:sz w:val="26"/>
          <w:szCs w:val="26"/>
        </w:rPr>
        <w:t xml:space="preserve"> apmērā. </w:t>
      </w:r>
    </w:p>
    <w:p w14:paraId="0688B7D4" w14:textId="77777777" w:rsidR="007229D3" w:rsidRDefault="007F7C69" w:rsidP="00A15B53">
      <w:pPr>
        <w:pStyle w:val="ListParagraph"/>
        <w:numPr>
          <w:ilvl w:val="0"/>
          <w:numId w:val="22"/>
        </w:numPr>
        <w:jc w:val="both"/>
        <w:rPr>
          <w:rFonts w:ascii="Times New Roman" w:hAnsi="Times New Roman" w:cs="Times New Roman"/>
          <w:sz w:val="26"/>
          <w:szCs w:val="26"/>
        </w:rPr>
      </w:pPr>
      <w:r>
        <w:rPr>
          <w:rFonts w:ascii="Times New Roman" w:hAnsi="Times New Roman" w:cs="Times New Roman"/>
          <w:sz w:val="26"/>
          <w:szCs w:val="26"/>
        </w:rPr>
        <w:t>P</w:t>
      </w:r>
      <w:r w:rsidR="007229D3">
        <w:rPr>
          <w:rFonts w:ascii="Times New Roman" w:hAnsi="Times New Roman" w:cs="Times New Roman"/>
          <w:sz w:val="26"/>
          <w:szCs w:val="26"/>
        </w:rPr>
        <w:t xml:space="preserve">asākumu īstenošana, lai </w:t>
      </w:r>
      <w:r>
        <w:rPr>
          <w:rFonts w:ascii="Times New Roman" w:hAnsi="Times New Roman" w:cs="Times New Roman"/>
          <w:sz w:val="26"/>
          <w:szCs w:val="26"/>
        </w:rPr>
        <w:t>izglītotu sabiedrību par ieguvumiem no standartizācijas darbībām un standartu izmantošanas, kā arī standartu nozīmīgumu tautsaimniecības attīstībā. Vienlaikus šie pasākumi veicinātu sabiedrības,</w:t>
      </w:r>
      <w:r w:rsidRPr="007F7C69">
        <w:rPr>
          <w:rFonts w:ascii="Times New Roman" w:hAnsi="Times New Roman" w:cs="Times New Roman"/>
          <w:sz w:val="26"/>
          <w:szCs w:val="26"/>
        </w:rPr>
        <w:t xml:space="preserve"> </w:t>
      </w:r>
      <w:r>
        <w:rPr>
          <w:rFonts w:ascii="Times New Roman" w:hAnsi="Times New Roman" w:cs="Times New Roman"/>
          <w:sz w:val="26"/>
          <w:szCs w:val="26"/>
        </w:rPr>
        <w:t>tajā</w:t>
      </w:r>
      <w:r w:rsidRPr="007229D3">
        <w:rPr>
          <w:rFonts w:ascii="Times New Roman" w:hAnsi="Times New Roman" w:cs="Times New Roman"/>
          <w:sz w:val="26"/>
          <w:szCs w:val="26"/>
        </w:rPr>
        <w:t xml:space="preserve"> skaitā nevalstisko organizāciju, kā arī mazo un vidējo uzņēmumu</w:t>
      </w:r>
      <w:r>
        <w:rPr>
          <w:rFonts w:ascii="Times New Roman" w:hAnsi="Times New Roman" w:cs="Times New Roman"/>
          <w:sz w:val="26"/>
          <w:szCs w:val="26"/>
        </w:rPr>
        <w:t xml:space="preserve">, daudz aktīvāku iesaisti standartizācijas darbā. Šī pasākuma izmaksas tiek prognozētas </w:t>
      </w:r>
      <w:r>
        <w:rPr>
          <w:rFonts w:ascii="Times New Roman" w:hAnsi="Times New Roman" w:cs="Times New Roman"/>
          <w:b/>
          <w:sz w:val="26"/>
          <w:szCs w:val="26"/>
        </w:rPr>
        <w:t>35</w:t>
      </w:r>
      <w:r w:rsidRPr="007229D3">
        <w:rPr>
          <w:rFonts w:ascii="Times New Roman" w:hAnsi="Times New Roman" w:cs="Times New Roman"/>
          <w:b/>
          <w:sz w:val="26"/>
          <w:szCs w:val="26"/>
        </w:rPr>
        <w:t xml:space="preserve"> 000 </w:t>
      </w:r>
      <w:proofErr w:type="spellStart"/>
      <w:r w:rsidRPr="007229D3">
        <w:rPr>
          <w:rFonts w:ascii="Times New Roman" w:hAnsi="Times New Roman" w:cs="Times New Roman"/>
          <w:b/>
          <w:i/>
          <w:sz w:val="26"/>
          <w:szCs w:val="26"/>
        </w:rPr>
        <w:t>euro</w:t>
      </w:r>
      <w:proofErr w:type="spellEnd"/>
      <w:r>
        <w:rPr>
          <w:rFonts w:ascii="Times New Roman" w:hAnsi="Times New Roman" w:cs="Times New Roman"/>
          <w:sz w:val="26"/>
          <w:szCs w:val="26"/>
        </w:rPr>
        <w:t xml:space="preserve"> apmērā.</w:t>
      </w:r>
    </w:p>
    <w:p w14:paraId="46010027" w14:textId="76E62DC8" w:rsidR="00CC797E" w:rsidRDefault="007F7C69" w:rsidP="001F2DFE">
      <w:pPr>
        <w:pStyle w:val="ListParagraph"/>
        <w:numPr>
          <w:ilvl w:val="0"/>
          <w:numId w:val="22"/>
        </w:numPr>
        <w:jc w:val="both"/>
        <w:rPr>
          <w:rFonts w:ascii="Times New Roman" w:hAnsi="Times New Roman" w:cs="Times New Roman"/>
          <w:sz w:val="26"/>
          <w:szCs w:val="26"/>
        </w:rPr>
      </w:pPr>
      <w:r w:rsidRPr="00CC797E">
        <w:rPr>
          <w:rFonts w:ascii="Times New Roman" w:hAnsi="Times New Roman" w:cs="Times New Roman"/>
          <w:sz w:val="26"/>
          <w:szCs w:val="26"/>
        </w:rPr>
        <w:t>Standartu pieejamības nodrošināšana plašai sabiedrī</w:t>
      </w:r>
      <w:r w:rsidR="00CC797E" w:rsidRPr="00CC797E">
        <w:rPr>
          <w:rFonts w:ascii="Times New Roman" w:hAnsi="Times New Roman" w:cs="Times New Roman"/>
          <w:sz w:val="26"/>
          <w:szCs w:val="26"/>
        </w:rPr>
        <w:t>bai, nodrošinot, ka standartu lasītavas pakāpeniski tiek izvietotas valsts un pašvaldību bibliotēkās</w:t>
      </w:r>
      <w:r w:rsidR="00047C59">
        <w:rPr>
          <w:rFonts w:ascii="Times New Roman" w:hAnsi="Times New Roman" w:cs="Times New Roman"/>
          <w:sz w:val="26"/>
          <w:szCs w:val="26"/>
        </w:rPr>
        <w:t xml:space="preserve">, kā arī piekļuve standartu tekstiem tiešsaistes režīmā tiek nodrošināta </w:t>
      </w:r>
      <w:r w:rsidR="00C06346">
        <w:rPr>
          <w:rFonts w:ascii="Times New Roman" w:hAnsi="Times New Roman" w:cs="Times New Roman"/>
          <w:sz w:val="26"/>
          <w:szCs w:val="26"/>
        </w:rPr>
        <w:t xml:space="preserve">tiešās </w:t>
      </w:r>
      <w:r w:rsidR="00047C59">
        <w:rPr>
          <w:rFonts w:ascii="Times New Roman" w:hAnsi="Times New Roman" w:cs="Times New Roman"/>
          <w:sz w:val="26"/>
          <w:szCs w:val="26"/>
        </w:rPr>
        <w:t>valsts pārvaldes iestādēm, īpaši uzraudzības iestādēm</w:t>
      </w:r>
      <w:r w:rsidR="00CC797E" w:rsidRPr="00CC797E">
        <w:rPr>
          <w:rFonts w:ascii="Times New Roman" w:hAnsi="Times New Roman" w:cs="Times New Roman"/>
          <w:sz w:val="26"/>
          <w:szCs w:val="26"/>
        </w:rPr>
        <w:t>.</w:t>
      </w:r>
      <w:r w:rsidR="00CC797E">
        <w:rPr>
          <w:rFonts w:ascii="Times New Roman" w:hAnsi="Times New Roman" w:cs="Times New Roman"/>
          <w:sz w:val="26"/>
          <w:szCs w:val="26"/>
        </w:rPr>
        <w:t xml:space="preserve"> Standartu lasītavu izveidošana būtu iedalāma trijos posmos: 1 – standartu lasītavu izvietošana nacionālajā un reģionu galvenajās bibliotēkās</w:t>
      </w:r>
      <w:r w:rsidR="00C06346">
        <w:rPr>
          <w:rFonts w:ascii="Times New Roman" w:hAnsi="Times New Roman" w:cs="Times New Roman"/>
          <w:sz w:val="26"/>
          <w:szCs w:val="26"/>
        </w:rPr>
        <w:t xml:space="preserve">, kā arī standartu lasīšanas tiešsaistes režīmā nodrošināšana uzraudzības iestādēs </w:t>
      </w:r>
      <w:r w:rsidR="00CC797E">
        <w:rPr>
          <w:rFonts w:ascii="Times New Roman" w:hAnsi="Times New Roman" w:cs="Times New Roman"/>
          <w:sz w:val="26"/>
          <w:szCs w:val="26"/>
        </w:rPr>
        <w:t>, kas kopā veidotu 30 standartu lasītavas; 2 – lasītavu izvietošana</w:t>
      </w:r>
      <w:r w:rsidR="001F7352">
        <w:rPr>
          <w:rFonts w:ascii="Times New Roman" w:hAnsi="Times New Roman" w:cs="Times New Roman"/>
          <w:sz w:val="26"/>
          <w:szCs w:val="26"/>
        </w:rPr>
        <w:t xml:space="preserve"> reģionu galvenajās bibliotēkā</w:t>
      </w:r>
      <w:r w:rsidR="00704089">
        <w:rPr>
          <w:rFonts w:ascii="Times New Roman" w:hAnsi="Times New Roman" w:cs="Times New Roman"/>
          <w:sz w:val="26"/>
          <w:szCs w:val="26"/>
        </w:rPr>
        <w:t>s, kurās netika izvietotas lasītavas 1.posma ietvaros,</w:t>
      </w:r>
      <w:r w:rsidR="00CC797E">
        <w:rPr>
          <w:rFonts w:ascii="Times New Roman" w:hAnsi="Times New Roman" w:cs="Times New Roman"/>
          <w:sz w:val="26"/>
          <w:szCs w:val="26"/>
        </w:rPr>
        <w:t xml:space="preserve"> augstākās izglītības iestāžu bibliotēkās</w:t>
      </w:r>
      <w:r w:rsidR="00C06346">
        <w:rPr>
          <w:rFonts w:ascii="Times New Roman" w:hAnsi="Times New Roman" w:cs="Times New Roman"/>
          <w:sz w:val="26"/>
          <w:szCs w:val="26"/>
        </w:rPr>
        <w:t xml:space="preserve"> un standartu </w:t>
      </w:r>
      <w:r w:rsidR="00C06346">
        <w:rPr>
          <w:rFonts w:ascii="Times New Roman" w:hAnsi="Times New Roman" w:cs="Times New Roman"/>
          <w:sz w:val="26"/>
          <w:szCs w:val="26"/>
        </w:rPr>
        <w:lastRenderedPageBreak/>
        <w:t>lasīšanas tiešsaistes režīmā nodrošināšana pārējās tiešās valsts pārvaldes iestādēs, kurās standartu pielietošana ir nepieciešama patstāvī</w:t>
      </w:r>
      <w:r w:rsidR="00572013">
        <w:rPr>
          <w:rFonts w:ascii="Times New Roman" w:hAnsi="Times New Roman" w:cs="Times New Roman"/>
          <w:sz w:val="26"/>
          <w:szCs w:val="26"/>
        </w:rPr>
        <w:t>g</w:t>
      </w:r>
      <w:r w:rsidR="00C06346">
        <w:rPr>
          <w:rFonts w:ascii="Times New Roman" w:hAnsi="Times New Roman" w:cs="Times New Roman"/>
          <w:sz w:val="26"/>
          <w:szCs w:val="26"/>
        </w:rPr>
        <w:t xml:space="preserve">i </w:t>
      </w:r>
      <w:r w:rsidR="00572013">
        <w:rPr>
          <w:rFonts w:ascii="Times New Roman" w:hAnsi="Times New Roman" w:cs="Times New Roman"/>
          <w:sz w:val="26"/>
          <w:szCs w:val="26"/>
        </w:rPr>
        <w:t xml:space="preserve">savu </w:t>
      </w:r>
      <w:r w:rsidR="00C06346">
        <w:rPr>
          <w:rFonts w:ascii="Times New Roman" w:hAnsi="Times New Roman" w:cs="Times New Roman"/>
          <w:sz w:val="26"/>
          <w:szCs w:val="26"/>
        </w:rPr>
        <w:t>funkciju pildīšanai</w:t>
      </w:r>
      <w:r w:rsidR="00CC797E">
        <w:rPr>
          <w:rFonts w:ascii="Times New Roman" w:hAnsi="Times New Roman" w:cs="Times New Roman"/>
          <w:sz w:val="26"/>
          <w:szCs w:val="26"/>
        </w:rPr>
        <w:t xml:space="preserve">, kas kopā veidotu 50 standartu lasītavas; 3 </w:t>
      </w:r>
      <w:r w:rsidR="003F3DB5">
        <w:rPr>
          <w:rFonts w:ascii="Times New Roman" w:hAnsi="Times New Roman" w:cs="Times New Roman"/>
          <w:sz w:val="26"/>
          <w:szCs w:val="26"/>
        </w:rPr>
        <w:t>–</w:t>
      </w:r>
      <w:r w:rsidR="00CC797E">
        <w:rPr>
          <w:rFonts w:ascii="Times New Roman" w:hAnsi="Times New Roman" w:cs="Times New Roman"/>
          <w:sz w:val="26"/>
          <w:szCs w:val="26"/>
        </w:rPr>
        <w:t xml:space="preserve"> </w:t>
      </w:r>
      <w:r w:rsidR="003F3DB5">
        <w:rPr>
          <w:rFonts w:ascii="Times New Roman" w:hAnsi="Times New Roman" w:cs="Times New Roman"/>
          <w:sz w:val="26"/>
          <w:szCs w:val="26"/>
        </w:rPr>
        <w:t xml:space="preserve">pēc nepieciešamības, ņemot vērā sabiedrības interesi, standartu lasītavu izvietošana citās publiskajās vai </w:t>
      </w:r>
      <w:r w:rsidR="003F3DB5" w:rsidRPr="003F3DB5">
        <w:rPr>
          <w:rFonts w:ascii="Times New Roman" w:hAnsi="Times New Roman" w:cs="Times New Roman"/>
          <w:sz w:val="26"/>
          <w:szCs w:val="26"/>
        </w:rPr>
        <w:t>vispārējās un profesionālā</w:t>
      </w:r>
      <w:r w:rsidR="003F3DB5">
        <w:rPr>
          <w:rFonts w:ascii="Times New Roman" w:hAnsi="Times New Roman" w:cs="Times New Roman"/>
          <w:sz w:val="26"/>
          <w:szCs w:val="26"/>
        </w:rPr>
        <w:t>s izglītības iestāžu</w:t>
      </w:r>
      <w:r w:rsidR="003F3DB5" w:rsidRPr="003F3DB5">
        <w:rPr>
          <w:rFonts w:ascii="Times New Roman" w:hAnsi="Times New Roman" w:cs="Times New Roman"/>
          <w:sz w:val="26"/>
          <w:szCs w:val="26"/>
        </w:rPr>
        <w:t xml:space="preserve"> </w:t>
      </w:r>
      <w:r w:rsidR="003F3DB5">
        <w:rPr>
          <w:rFonts w:ascii="Times New Roman" w:hAnsi="Times New Roman" w:cs="Times New Roman"/>
          <w:sz w:val="26"/>
          <w:szCs w:val="26"/>
        </w:rPr>
        <w:t>bibliotēkās, kas kopā veidotu 50 standartu lasītavas. 1.posms būtu īstenojams 201</w:t>
      </w:r>
      <w:r w:rsidR="006F3285">
        <w:rPr>
          <w:rFonts w:ascii="Times New Roman" w:hAnsi="Times New Roman" w:cs="Times New Roman"/>
          <w:sz w:val="26"/>
          <w:szCs w:val="26"/>
        </w:rPr>
        <w:t>8</w:t>
      </w:r>
      <w:r w:rsidR="003F3DB5">
        <w:rPr>
          <w:rFonts w:ascii="Times New Roman" w:hAnsi="Times New Roman" w:cs="Times New Roman"/>
          <w:sz w:val="26"/>
          <w:szCs w:val="26"/>
        </w:rPr>
        <w:t xml:space="preserve">.gadā un tā izmaksas veidotu </w:t>
      </w:r>
      <w:r w:rsidR="003F3DB5" w:rsidRPr="003F3DB5">
        <w:rPr>
          <w:rFonts w:ascii="Times New Roman" w:hAnsi="Times New Roman" w:cs="Times New Roman"/>
          <w:b/>
          <w:sz w:val="26"/>
          <w:szCs w:val="26"/>
        </w:rPr>
        <w:t xml:space="preserve">60 000 </w:t>
      </w:r>
      <w:proofErr w:type="spellStart"/>
      <w:r w:rsidR="003F3DB5" w:rsidRPr="003F3DB5">
        <w:rPr>
          <w:rFonts w:ascii="Times New Roman" w:hAnsi="Times New Roman" w:cs="Times New Roman"/>
          <w:b/>
          <w:i/>
          <w:sz w:val="26"/>
          <w:szCs w:val="26"/>
        </w:rPr>
        <w:t>euro</w:t>
      </w:r>
      <w:proofErr w:type="spellEnd"/>
      <w:r w:rsidR="003F3DB5">
        <w:rPr>
          <w:rFonts w:ascii="Times New Roman" w:hAnsi="Times New Roman" w:cs="Times New Roman"/>
          <w:b/>
          <w:i/>
          <w:sz w:val="26"/>
          <w:szCs w:val="26"/>
        </w:rPr>
        <w:t xml:space="preserve"> </w:t>
      </w:r>
      <w:r w:rsidR="003F3DB5" w:rsidRPr="003F3DB5">
        <w:rPr>
          <w:rFonts w:ascii="Times New Roman" w:hAnsi="Times New Roman" w:cs="Times New Roman"/>
          <w:sz w:val="26"/>
          <w:szCs w:val="26"/>
        </w:rPr>
        <w:t>gadā</w:t>
      </w:r>
      <w:r w:rsidR="003F3DB5">
        <w:rPr>
          <w:rFonts w:ascii="Times New Roman" w:hAnsi="Times New Roman" w:cs="Times New Roman"/>
          <w:sz w:val="26"/>
          <w:szCs w:val="26"/>
        </w:rPr>
        <w:t>, 2.posms būtu īstenojams 201</w:t>
      </w:r>
      <w:r w:rsidR="006F3285">
        <w:rPr>
          <w:rFonts w:ascii="Times New Roman" w:hAnsi="Times New Roman" w:cs="Times New Roman"/>
          <w:sz w:val="26"/>
          <w:szCs w:val="26"/>
        </w:rPr>
        <w:t>9</w:t>
      </w:r>
      <w:r w:rsidR="003F3DB5">
        <w:rPr>
          <w:rFonts w:ascii="Times New Roman" w:hAnsi="Times New Roman" w:cs="Times New Roman"/>
          <w:sz w:val="26"/>
          <w:szCs w:val="26"/>
        </w:rPr>
        <w:t>.un 20</w:t>
      </w:r>
      <w:r w:rsidR="006F3285">
        <w:rPr>
          <w:rFonts w:ascii="Times New Roman" w:hAnsi="Times New Roman" w:cs="Times New Roman"/>
          <w:sz w:val="26"/>
          <w:szCs w:val="26"/>
        </w:rPr>
        <w:t>20</w:t>
      </w:r>
      <w:r w:rsidR="003F3DB5">
        <w:rPr>
          <w:rFonts w:ascii="Times New Roman" w:hAnsi="Times New Roman" w:cs="Times New Roman"/>
          <w:sz w:val="26"/>
          <w:szCs w:val="26"/>
        </w:rPr>
        <w:t xml:space="preserve">.gadā un tā izmaksas veidotu </w:t>
      </w:r>
      <w:r w:rsidR="003F3DB5" w:rsidRPr="003F3DB5">
        <w:rPr>
          <w:rFonts w:ascii="Times New Roman" w:hAnsi="Times New Roman" w:cs="Times New Roman"/>
          <w:b/>
          <w:sz w:val="26"/>
          <w:szCs w:val="26"/>
        </w:rPr>
        <w:t>100 000</w:t>
      </w:r>
      <w:r w:rsidR="003F3DB5">
        <w:rPr>
          <w:rFonts w:ascii="Times New Roman" w:hAnsi="Times New Roman" w:cs="Times New Roman"/>
          <w:sz w:val="26"/>
          <w:szCs w:val="26"/>
        </w:rPr>
        <w:t xml:space="preserve"> </w:t>
      </w:r>
      <w:proofErr w:type="spellStart"/>
      <w:r w:rsidR="003F3DB5" w:rsidRPr="003F3DB5">
        <w:rPr>
          <w:rFonts w:ascii="Times New Roman" w:hAnsi="Times New Roman" w:cs="Times New Roman"/>
          <w:b/>
          <w:i/>
          <w:sz w:val="26"/>
          <w:szCs w:val="26"/>
        </w:rPr>
        <w:t>euro</w:t>
      </w:r>
      <w:proofErr w:type="spellEnd"/>
      <w:r w:rsidR="003F3DB5">
        <w:rPr>
          <w:rFonts w:ascii="Times New Roman" w:hAnsi="Times New Roman" w:cs="Times New Roman"/>
          <w:b/>
          <w:i/>
          <w:sz w:val="26"/>
          <w:szCs w:val="26"/>
        </w:rPr>
        <w:t xml:space="preserve"> </w:t>
      </w:r>
      <w:r w:rsidR="003F3DB5" w:rsidRPr="003F3DB5">
        <w:rPr>
          <w:rFonts w:ascii="Times New Roman" w:hAnsi="Times New Roman" w:cs="Times New Roman"/>
          <w:sz w:val="26"/>
          <w:szCs w:val="26"/>
        </w:rPr>
        <w:t xml:space="preserve">gadā, </w:t>
      </w:r>
      <w:r w:rsidR="003F3DB5">
        <w:rPr>
          <w:rFonts w:ascii="Times New Roman" w:hAnsi="Times New Roman" w:cs="Times New Roman"/>
          <w:sz w:val="26"/>
          <w:szCs w:val="26"/>
        </w:rPr>
        <w:t>3.posms būtu īstenojams 202</w:t>
      </w:r>
      <w:r w:rsidR="006F3285">
        <w:rPr>
          <w:rFonts w:ascii="Times New Roman" w:hAnsi="Times New Roman" w:cs="Times New Roman"/>
          <w:sz w:val="26"/>
          <w:szCs w:val="26"/>
        </w:rPr>
        <w:t>1</w:t>
      </w:r>
      <w:r w:rsidR="003F3DB5">
        <w:rPr>
          <w:rFonts w:ascii="Times New Roman" w:hAnsi="Times New Roman" w:cs="Times New Roman"/>
          <w:sz w:val="26"/>
          <w:szCs w:val="26"/>
        </w:rPr>
        <w:t>.</w:t>
      </w:r>
      <w:r w:rsidR="008B537C">
        <w:rPr>
          <w:rFonts w:ascii="Times New Roman" w:hAnsi="Times New Roman" w:cs="Times New Roman"/>
          <w:sz w:val="26"/>
          <w:szCs w:val="26"/>
        </w:rPr>
        <w:t>un 202</w:t>
      </w:r>
      <w:r w:rsidR="006F3285">
        <w:rPr>
          <w:rFonts w:ascii="Times New Roman" w:hAnsi="Times New Roman" w:cs="Times New Roman"/>
          <w:sz w:val="26"/>
          <w:szCs w:val="26"/>
        </w:rPr>
        <w:t>2</w:t>
      </w:r>
      <w:r w:rsidR="008B537C">
        <w:rPr>
          <w:rFonts w:ascii="Times New Roman" w:hAnsi="Times New Roman" w:cs="Times New Roman"/>
          <w:sz w:val="26"/>
          <w:szCs w:val="26"/>
        </w:rPr>
        <w:t>.</w:t>
      </w:r>
      <w:r w:rsidR="003F3DB5">
        <w:rPr>
          <w:rFonts w:ascii="Times New Roman" w:hAnsi="Times New Roman" w:cs="Times New Roman"/>
          <w:sz w:val="26"/>
          <w:szCs w:val="26"/>
        </w:rPr>
        <w:t xml:space="preserve">gadā un tā izmaksas veidotu </w:t>
      </w:r>
      <w:r w:rsidR="003F3DB5" w:rsidRPr="003F3DB5">
        <w:rPr>
          <w:rFonts w:ascii="Times New Roman" w:hAnsi="Times New Roman" w:cs="Times New Roman"/>
          <w:b/>
          <w:sz w:val="26"/>
          <w:szCs w:val="26"/>
        </w:rPr>
        <w:t xml:space="preserve">100 000 </w:t>
      </w:r>
      <w:proofErr w:type="spellStart"/>
      <w:r w:rsidR="003F3DB5" w:rsidRPr="003F3DB5">
        <w:rPr>
          <w:rFonts w:ascii="Times New Roman" w:hAnsi="Times New Roman" w:cs="Times New Roman"/>
          <w:b/>
          <w:i/>
          <w:sz w:val="26"/>
          <w:szCs w:val="26"/>
        </w:rPr>
        <w:t>euro</w:t>
      </w:r>
      <w:proofErr w:type="spellEnd"/>
      <w:r w:rsidR="003F3DB5" w:rsidRPr="003F3DB5">
        <w:rPr>
          <w:rFonts w:ascii="Times New Roman" w:hAnsi="Times New Roman" w:cs="Times New Roman"/>
          <w:i/>
          <w:sz w:val="26"/>
          <w:szCs w:val="26"/>
        </w:rPr>
        <w:t xml:space="preserve"> </w:t>
      </w:r>
      <w:r w:rsidR="003F3DB5">
        <w:rPr>
          <w:rFonts w:ascii="Times New Roman" w:hAnsi="Times New Roman" w:cs="Times New Roman"/>
          <w:sz w:val="26"/>
          <w:szCs w:val="26"/>
        </w:rPr>
        <w:t xml:space="preserve">gadā. </w:t>
      </w:r>
    </w:p>
    <w:p w14:paraId="2F6FC497" w14:textId="77777777" w:rsidR="00A91C4E" w:rsidRPr="00A91C4E" w:rsidRDefault="00A91C4E" w:rsidP="00A91C4E">
      <w:pPr>
        <w:jc w:val="both"/>
        <w:rPr>
          <w:rFonts w:ascii="Times New Roman" w:hAnsi="Times New Roman" w:cs="Times New Roman"/>
          <w:sz w:val="26"/>
          <w:szCs w:val="26"/>
        </w:rPr>
      </w:pPr>
    </w:p>
    <w:p w14:paraId="6DD5A853" w14:textId="52252558" w:rsidR="008B537C" w:rsidRDefault="00A91C4E" w:rsidP="008B537C">
      <w:pPr>
        <w:pStyle w:val="ListParagraph"/>
        <w:ind w:left="0" w:firstLine="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mandātu sistēmas ieviešana, kuras kopējas izmaksas gadā tiek prognozētas </w:t>
      </w:r>
      <w:r w:rsidRPr="00A91C4E">
        <w:rPr>
          <w:rFonts w:ascii="Times New Roman" w:hAnsi="Times New Roman" w:cs="Times New Roman"/>
          <w:b/>
          <w:sz w:val="26"/>
          <w:szCs w:val="26"/>
        </w:rPr>
        <w:t xml:space="preserve">112 500 </w:t>
      </w:r>
      <w:proofErr w:type="spellStart"/>
      <w:r w:rsidRPr="00A91C4E">
        <w:rPr>
          <w:rFonts w:ascii="Times New Roman" w:hAnsi="Times New Roman" w:cs="Times New Roman"/>
          <w:b/>
          <w:i/>
          <w:sz w:val="26"/>
          <w:szCs w:val="26"/>
        </w:rPr>
        <w:t>euro</w:t>
      </w:r>
      <w:proofErr w:type="spellEnd"/>
      <w:r w:rsidRPr="00A91C4E">
        <w:rPr>
          <w:rFonts w:ascii="Times New Roman" w:hAnsi="Times New Roman" w:cs="Times New Roman"/>
          <w:i/>
          <w:sz w:val="26"/>
          <w:szCs w:val="26"/>
        </w:rPr>
        <w:t xml:space="preserve"> </w:t>
      </w:r>
      <w:r>
        <w:rPr>
          <w:rFonts w:ascii="Times New Roman" w:hAnsi="Times New Roman" w:cs="Times New Roman"/>
          <w:sz w:val="26"/>
          <w:szCs w:val="26"/>
        </w:rPr>
        <w:t>apmērā.</w:t>
      </w:r>
      <w:r w:rsidR="008B537C">
        <w:rPr>
          <w:rFonts w:ascii="Times New Roman" w:hAnsi="Times New Roman" w:cs="Times New Roman"/>
          <w:sz w:val="26"/>
          <w:szCs w:val="26"/>
        </w:rPr>
        <w:t xml:space="preserve"> Veidojot izmaksu prognozi tiek pieņemts, ka gada laikā tiks sagatavoti 10 standartu izstrāde</w:t>
      </w:r>
      <w:r w:rsidR="00C921A0">
        <w:rPr>
          <w:rFonts w:ascii="Times New Roman" w:hAnsi="Times New Roman" w:cs="Times New Roman"/>
          <w:sz w:val="26"/>
          <w:szCs w:val="26"/>
        </w:rPr>
        <w:t>s</w:t>
      </w:r>
      <w:r w:rsidR="008B537C">
        <w:rPr>
          <w:rFonts w:ascii="Times New Roman" w:hAnsi="Times New Roman" w:cs="Times New Roman"/>
          <w:sz w:val="26"/>
          <w:szCs w:val="26"/>
        </w:rPr>
        <w:t xml:space="preserve"> mandāti un 100 standartu tulkošanas mandāti.</w:t>
      </w:r>
    </w:p>
    <w:p w14:paraId="38A75F54" w14:textId="76168958" w:rsidR="008B537C" w:rsidRDefault="008B537C" w:rsidP="008B537C">
      <w:pPr>
        <w:pStyle w:val="ListParagraph"/>
        <w:numPr>
          <w:ilvl w:val="0"/>
          <w:numId w:val="23"/>
        </w:numPr>
        <w:jc w:val="both"/>
        <w:rPr>
          <w:rFonts w:ascii="Times New Roman" w:hAnsi="Times New Roman" w:cs="Times New Roman"/>
          <w:sz w:val="26"/>
          <w:szCs w:val="26"/>
        </w:rPr>
      </w:pPr>
      <w:r>
        <w:rPr>
          <w:rFonts w:ascii="Times New Roman" w:hAnsi="Times New Roman" w:cs="Times New Roman"/>
          <w:sz w:val="26"/>
          <w:szCs w:val="26"/>
        </w:rPr>
        <w:t xml:space="preserve">Tiek pieņemts, ka nacionālo standartu izstrādē visas </w:t>
      </w:r>
      <w:r w:rsidR="0088484E">
        <w:rPr>
          <w:rFonts w:ascii="Times New Roman" w:hAnsi="Times New Roman" w:cs="Times New Roman"/>
          <w:sz w:val="26"/>
          <w:szCs w:val="26"/>
        </w:rPr>
        <w:t xml:space="preserve">tehniskās </w:t>
      </w:r>
      <w:r>
        <w:rPr>
          <w:rFonts w:ascii="Times New Roman" w:hAnsi="Times New Roman" w:cs="Times New Roman"/>
          <w:sz w:val="26"/>
          <w:szCs w:val="26"/>
        </w:rPr>
        <w:t xml:space="preserve">zināšanas un pieredze standartu izstrādē būs standartizācijas tehniskās komitejas locekļiem. Tādējādi viena nacionālā standarta izstrādes izmaksas veidotu vidēji </w:t>
      </w:r>
      <w:r w:rsidRPr="008B537C">
        <w:rPr>
          <w:rFonts w:ascii="Times New Roman" w:hAnsi="Times New Roman" w:cs="Times New Roman"/>
          <w:b/>
          <w:sz w:val="26"/>
          <w:szCs w:val="26"/>
        </w:rPr>
        <w:t xml:space="preserve">5000 </w:t>
      </w:r>
      <w:proofErr w:type="spellStart"/>
      <w:r w:rsidRPr="008B537C">
        <w:rPr>
          <w:rFonts w:ascii="Times New Roman" w:hAnsi="Times New Roman" w:cs="Times New Roman"/>
          <w:b/>
          <w:i/>
          <w:sz w:val="26"/>
          <w:szCs w:val="26"/>
        </w:rPr>
        <w:t>euro</w:t>
      </w:r>
      <w:proofErr w:type="spellEnd"/>
      <w:r>
        <w:rPr>
          <w:rFonts w:ascii="Times New Roman" w:hAnsi="Times New Roman" w:cs="Times New Roman"/>
          <w:sz w:val="26"/>
          <w:szCs w:val="26"/>
        </w:rPr>
        <w:t>, līdz ar to standartu izstrādes izmaksas gadā veidot</w:t>
      </w:r>
      <w:r w:rsidR="00C921A0">
        <w:rPr>
          <w:rFonts w:ascii="Times New Roman" w:hAnsi="Times New Roman" w:cs="Times New Roman"/>
          <w:sz w:val="26"/>
          <w:szCs w:val="26"/>
        </w:rPr>
        <w:t>u</w:t>
      </w:r>
      <w:r>
        <w:rPr>
          <w:rFonts w:ascii="Times New Roman" w:hAnsi="Times New Roman" w:cs="Times New Roman"/>
          <w:sz w:val="26"/>
          <w:szCs w:val="26"/>
        </w:rPr>
        <w:t xml:space="preserve"> </w:t>
      </w:r>
      <w:r w:rsidRPr="008B537C">
        <w:rPr>
          <w:rFonts w:ascii="Times New Roman" w:hAnsi="Times New Roman" w:cs="Times New Roman"/>
          <w:b/>
          <w:sz w:val="26"/>
          <w:szCs w:val="26"/>
        </w:rPr>
        <w:t xml:space="preserve">50 000 </w:t>
      </w:r>
      <w:proofErr w:type="spellStart"/>
      <w:r w:rsidRPr="008B537C">
        <w:rPr>
          <w:rFonts w:ascii="Times New Roman" w:hAnsi="Times New Roman" w:cs="Times New Roman"/>
          <w:b/>
          <w:i/>
          <w:sz w:val="26"/>
          <w:szCs w:val="26"/>
        </w:rPr>
        <w:t>euro</w:t>
      </w:r>
      <w:proofErr w:type="spellEnd"/>
      <w:r>
        <w:rPr>
          <w:rFonts w:ascii="Times New Roman" w:hAnsi="Times New Roman" w:cs="Times New Roman"/>
          <w:sz w:val="26"/>
          <w:szCs w:val="26"/>
        </w:rPr>
        <w:t>.</w:t>
      </w:r>
    </w:p>
    <w:p w14:paraId="0800F801" w14:textId="77777777" w:rsidR="00DD729E" w:rsidRPr="008D0CFA" w:rsidRDefault="008B537C" w:rsidP="008D0CFA">
      <w:pPr>
        <w:pStyle w:val="ListParagraph"/>
        <w:numPr>
          <w:ilvl w:val="0"/>
          <w:numId w:val="23"/>
        </w:numPr>
        <w:jc w:val="both"/>
        <w:rPr>
          <w:rFonts w:ascii="Times New Roman" w:hAnsi="Times New Roman" w:cs="Times New Roman"/>
          <w:sz w:val="26"/>
          <w:szCs w:val="26"/>
        </w:rPr>
      </w:pPr>
      <w:r>
        <w:rPr>
          <w:rFonts w:ascii="Times New Roman" w:hAnsi="Times New Roman" w:cs="Times New Roman"/>
          <w:sz w:val="26"/>
          <w:szCs w:val="26"/>
        </w:rPr>
        <w:t>Tiek pieņemts, ka vidē</w:t>
      </w:r>
      <w:r w:rsidR="008D0CFA">
        <w:rPr>
          <w:rFonts w:ascii="Times New Roman" w:hAnsi="Times New Roman" w:cs="Times New Roman"/>
          <w:sz w:val="26"/>
          <w:szCs w:val="26"/>
        </w:rPr>
        <w:t xml:space="preserve">ji standartā ir 25 lapaspuses un vienas lapaspuses tulkošanas izmaksas veido </w:t>
      </w:r>
      <w:r w:rsidR="008D0CFA" w:rsidRPr="008D0CFA">
        <w:rPr>
          <w:rFonts w:ascii="Times New Roman" w:hAnsi="Times New Roman" w:cs="Times New Roman"/>
          <w:b/>
          <w:sz w:val="26"/>
          <w:szCs w:val="26"/>
        </w:rPr>
        <w:t xml:space="preserve">25 </w:t>
      </w:r>
      <w:proofErr w:type="spellStart"/>
      <w:r w:rsidR="008D0CFA" w:rsidRPr="008D0CFA">
        <w:rPr>
          <w:rFonts w:ascii="Times New Roman" w:hAnsi="Times New Roman" w:cs="Times New Roman"/>
          <w:b/>
          <w:i/>
          <w:sz w:val="26"/>
          <w:szCs w:val="26"/>
        </w:rPr>
        <w:t>euro</w:t>
      </w:r>
      <w:proofErr w:type="spellEnd"/>
      <w:r w:rsidR="008D0CFA" w:rsidRPr="008D0CFA">
        <w:rPr>
          <w:rFonts w:ascii="Times New Roman" w:hAnsi="Times New Roman" w:cs="Times New Roman"/>
          <w:i/>
          <w:sz w:val="26"/>
          <w:szCs w:val="26"/>
        </w:rPr>
        <w:t>,</w:t>
      </w:r>
      <w:r w:rsidR="008D0CFA" w:rsidRPr="008D0CFA">
        <w:rPr>
          <w:rFonts w:ascii="Times New Roman" w:hAnsi="Times New Roman" w:cs="Times New Roman"/>
          <w:sz w:val="26"/>
          <w:szCs w:val="26"/>
        </w:rPr>
        <w:t xml:space="preserve"> ieskaitot </w:t>
      </w:r>
      <w:r w:rsidR="008D0CFA">
        <w:rPr>
          <w:rFonts w:ascii="Times New Roman" w:hAnsi="Times New Roman" w:cs="Times New Roman"/>
          <w:sz w:val="26"/>
          <w:szCs w:val="26"/>
        </w:rPr>
        <w:t xml:space="preserve">izmaksas, kas saistītas terminoloģijas izpēti, teksta tulkošanu un tā rediģēšanu, saskaņošanu ar citiem standartiem, terminoloģijas datubāzes uzturēšanas, iztulkotā teksta kvalitātes novērtējums un rediģēšana. Tādējādi viena standarta vidējās tulkošanas izmaksas veidotu </w:t>
      </w:r>
      <w:r w:rsidR="008D0CFA" w:rsidRPr="008D0CFA">
        <w:rPr>
          <w:rFonts w:ascii="Times New Roman" w:hAnsi="Times New Roman" w:cs="Times New Roman"/>
          <w:b/>
          <w:sz w:val="26"/>
          <w:szCs w:val="26"/>
        </w:rPr>
        <w:t xml:space="preserve">625 </w:t>
      </w:r>
      <w:proofErr w:type="spellStart"/>
      <w:r w:rsidR="008D0CFA" w:rsidRPr="008D0CFA">
        <w:rPr>
          <w:rFonts w:ascii="Times New Roman" w:hAnsi="Times New Roman" w:cs="Times New Roman"/>
          <w:b/>
          <w:i/>
          <w:sz w:val="26"/>
          <w:szCs w:val="26"/>
        </w:rPr>
        <w:t>euro</w:t>
      </w:r>
      <w:proofErr w:type="spellEnd"/>
      <w:r w:rsidR="008D0CFA">
        <w:rPr>
          <w:rFonts w:ascii="Times New Roman" w:hAnsi="Times New Roman" w:cs="Times New Roman"/>
          <w:sz w:val="26"/>
          <w:szCs w:val="26"/>
        </w:rPr>
        <w:t xml:space="preserve">, savukārt kopējās 100 standartu izmaksas gadā veidotu </w:t>
      </w:r>
      <w:r w:rsidR="008D0CFA" w:rsidRPr="008D0CFA">
        <w:rPr>
          <w:rFonts w:ascii="Times New Roman" w:hAnsi="Times New Roman" w:cs="Times New Roman"/>
          <w:b/>
          <w:sz w:val="26"/>
          <w:szCs w:val="26"/>
        </w:rPr>
        <w:t xml:space="preserve">62 500 </w:t>
      </w:r>
      <w:proofErr w:type="spellStart"/>
      <w:r w:rsidR="008D0CFA" w:rsidRPr="008D0CFA">
        <w:rPr>
          <w:rFonts w:ascii="Times New Roman" w:hAnsi="Times New Roman" w:cs="Times New Roman"/>
          <w:b/>
          <w:i/>
          <w:sz w:val="26"/>
          <w:szCs w:val="26"/>
        </w:rPr>
        <w:t>euro</w:t>
      </w:r>
      <w:proofErr w:type="spellEnd"/>
      <w:r w:rsidR="008D0CFA">
        <w:rPr>
          <w:rFonts w:ascii="Times New Roman" w:hAnsi="Times New Roman" w:cs="Times New Roman"/>
          <w:sz w:val="26"/>
          <w:szCs w:val="26"/>
        </w:rPr>
        <w:t>.</w:t>
      </w:r>
    </w:p>
    <w:p w14:paraId="2836F3B7" w14:textId="77777777" w:rsidR="00DD729E" w:rsidRDefault="00DD729E" w:rsidP="00CD1E71">
      <w:pPr>
        <w:ind w:firstLine="720"/>
        <w:jc w:val="both"/>
        <w:rPr>
          <w:rFonts w:ascii="Times New Roman" w:hAnsi="Times New Roman" w:cs="Times New Roman"/>
          <w:sz w:val="26"/>
          <w:szCs w:val="26"/>
          <w:highlight w:val="yellow"/>
        </w:rPr>
      </w:pPr>
    </w:p>
    <w:p w14:paraId="5F30738B" w14:textId="77777777" w:rsidR="00D0600E" w:rsidRDefault="008B537C" w:rsidP="008D0CFA">
      <w:pPr>
        <w:pStyle w:val="ListParagraph"/>
        <w:ind w:left="0" w:firstLine="720"/>
        <w:jc w:val="both"/>
        <w:rPr>
          <w:rFonts w:ascii="Times New Roman" w:hAnsi="Times New Roman" w:cs="Times New Roman"/>
          <w:sz w:val="26"/>
          <w:szCs w:val="26"/>
        </w:rPr>
      </w:pPr>
      <w:r>
        <w:rPr>
          <w:rFonts w:ascii="Times New Roman" w:hAnsi="Times New Roman" w:cs="Times New Roman"/>
          <w:sz w:val="26"/>
          <w:szCs w:val="26"/>
        </w:rPr>
        <w:t xml:space="preserve">Vienlaikus </w:t>
      </w:r>
      <w:r w:rsidR="00A91C4E" w:rsidRPr="002D35CD">
        <w:rPr>
          <w:rFonts w:ascii="Times New Roman" w:hAnsi="Times New Roman" w:cs="Times New Roman"/>
          <w:sz w:val="26"/>
          <w:szCs w:val="26"/>
        </w:rPr>
        <w:t xml:space="preserve">Jaunās pieejas ieviešana nacionālajā līmenī, aizstājot līdz šim normatīvajos aktos izmantotās tiešās atsauces uz standartiem, samazinātu obligāti piemērojamo standartu skaitu, līdz ar to </w:t>
      </w:r>
      <w:r w:rsidR="00A91C4E">
        <w:rPr>
          <w:rFonts w:ascii="Times New Roman" w:hAnsi="Times New Roman" w:cs="Times New Roman"/>
          <w:sz w:val="26"/>
          <w:szCs w:val="26"/>
        </w:rPr>
        <w:t>zustu obligāta nepieciešamību tos tulkot. Tādējādi tiktu samazināta ietekme uz valsts budžetu. Taču iespējamais valsts budžeta līdzekļu ietaupījums nav precīzi nosakāms, jo šobrīd nav veikts izvērtējums, cik daudz normatīvajos aktos izmantotās tiešās atsauces uz standartiem varēs aizstāt ar netiešajām, ieviešot Jauno pieeju. Konkrēts valsts budžeta ietaupījums būs nosakāms pēc nozares ministriju veiktajiem normatīvo aktu izvērtējumiem.</w:t>
      </w:r>
    </w:p>
    <w:p w14:paraId="5E8C92C0" w14:textId="2BA5F3CF" w:rsidR="001658B7" w:rsidRDefault="001658B7" w:rsidP="001658B7">
      <w:pPr>
        <w:rPr>
          <w:rFonts w:ascii="Times New Roman" w:hAnsi="Times New Roman" w:cs="Times New Roman"/>
          <w:sz w:val="26"/>
          <w:szCs w:val="26"/>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1190"/>
        <w:gridCol w:w="1493"/>
        <w:gridCol w:w="1491"/>
        <w:gridCol w:w="1491"/>
        <w:gridCol w:w="2151"/>
      </w:tblGrid>
      <w:tr w:rsidR="001658B7" w:rsidRPr="001658B7" w14:paraId="391CAE81" w14:textId="77777777" w:rsidTr="009339BE">
        <w:trPr>
          <w:trHeight w:val="286"/>
          <w:jc w:val="center"/>
        </w:trPr>
        <w:tc>
          <w:tcPr>
            <w:tcW w:w="9472" w:type="dxa"/>
            <w:gridSpan w:val="6"/>
          </w:tcPr>
          <w:p w14:paraId="32170B63" w14:textId="0B1C2E3C" w:rsidR="001658B7" w:rsidRPr="001658B7" w:rsidRDefault="001658B7" w:rsidP="007C5451">
            <w:pPr>
              <w:jc w:val="center"/>
              <w:rPr>
                <w:rFonts w:ascii="Times New Roman" w:eastAsia="Calibri" w:hAnsi="Times New Roman" w:cs="Times New Roman"/>
                <w:b/>
                <w:bCs/>
                <w:i/>
                <w:lang w:eastAsia="lv-LV"/>
              </w:rPr>
            </w:pPr>
            <w:r w:rsidRPr="001658B7">
              <w:rPr>
                <w:rFonts w:ascii="Times New Roman" w:eastAsia="Calibri" w:hAnsi="Times New Roman" w:cs="Times New Roman"/>
                <w:b/>
                <w:bCs/>
                <w:lang w:eastAsia="lv-LV"/>
              </w:rPr>
              <w:br w:type="page"/>
            </w:r>
            <w:r w:rsidR="007C5451">
              <w:rPr>
                <w:rFonts w:ascii="Times New Roman" w:eastAsia="Calibri" w:hAnsi="Times New Roman" w:cs="Times New Roman"/>
                <w:b/>
                <w:bCs/>
                <w:lang w:eastAsia="lv-LV"/>
              </w:rPr>
              <w:t xml:space="preserve">Konceptuālajā ziņojumā ietvertā risinājuma </w:t>
            </w:r>
            <w:r w:rsidRPr="001658B7">
              <w:rPr>
                <w:rFonts w:ascii="Times New Roman" w:eastAsia="Calibri" w:hAnsi="Times New Roman" w:cs="Times New Roman"/>
                <w:b/>
                <w:bCs/>
                <w:lang w:eastAsia="lv-LV"/>
              </w:rPr>
              <w:t xml:space="preserve"> ietekme uz valsts budžetu un pašvaldību budžetiem</w:t>
            </w:r>
          </w:p>
        </w:tc>
      </w:tr>
      <w:tr w:rsidR="001658B7" w:rsidRPr="001658B7" w14:paraId="41508967" w14:textId="77777777" w:rsidTr="009339BE">
        <w:trPr>
          <w:jc w:val="center"/>
        </w:trPr>
        <w:tc>
          <w:tcPr>
            <w:tcW w:w="1656" w:type="dxa"/>
            <w:vMerge w:val="restart"/>
            <w:vAlign w:val="center"/>
          </w:tcPr>
          <w:p w14:paraId="1C5F6707" w14:textId="77777777" w:rsidR="001658B7" w:rsidRPr="001658B7" w:rsidRDefault="001658B7" w:rsidP="001658B7">
            <w:pPr>
              <w:jc w:val="center"/>
              <w:rPr>
                <w:rFonts w:ascii="Times New Roman" w:eastAsia="Calibri" w:hAnsi="Times New Roman" w:cs="Times New Roman"/>
                <w:b/>
                <w:lang w:eastAsia="lv-LV"/>
              </w:rPr>
            </w:pPr>
            <w:r w:rsidRPr="001658B7">
              <w:rPr>
                <w:rFonts w:ascii="Times New Roman" w:eastAsia="Calibri" w:hAnsi="Times New Roman" w:cs="Times New Roman"/>
                <w:b/>
                <w:lang w:eastAsia="lv-LV"/>
              </w:rPr>
              <w:t>Rādītāji</w:t>
            </w:r>
          </w:p>
        </w:tc>
        <w:tc>
          <w:tcPr>
            <w:tcW w:w="2683" w:type="dxa"/>
            <w:gridSpan w:val="2"/>
            <w:vMerge w:val="restart"/>
            <w:vAlign w:val="center"/>
          </w:tcPr>
          <w:p w14:paraId="13003B0E" w14:textId="56CAE0C3" w:rsidR="001658B7" w:rsidRPr="003445E7" w:rsidRDefault="001658B7" w:rsidP="001658B7">
            <w:pPr>
              <w:jc w:val="center"/>
              <w:rPr>
                <w:rFonts w:ascii="Times New Roman" w:eastAsia="Calibri" w:hAnsi="Times New Roman" w:cs="Times New Roman"/>
                <w:b/>
                <w:lang w:eastAsia="lv-LV"/>
              </w:rPr>
            </w:pPr>
            <w:r>
              <w:rPr>
                <w:rFonts w:ascii="Times New Roman" w:eastAsia="Calibri" w:hAnsi="Times New Roman" w:cs="Times New Roman"/>
                <w:b/>
                <w:lang w:eastAsia="lv-LV"/>
              </w:rPr>
              <w:t>201</w:t>
            </w:r>
            <w:r w:rsidR="004C00B2">
              <w:rPr>
                <w:rFonts w:ascii="Times New Roman" w:eastAsia="Calibri" w:hAnsi="Times New Roman" w:cs="Times New Roman"/>
                <w:b/>
                <w:lang w:eastAsia="lv-LV"/>
              </w:rPr>
              <w:t>6</w:t>
            </w:r>
            <w:r w:rsidRPr="003445E7">
              <w:rPr>
                <w:rFonts w:ascii="Times New Roman" w:eastAsia="Calibri" w:hAnsi="Times New Roman" w:cs="Times New Roman"/>
                <w:b/>
                <w:lang w:eastAsia="lv-LV"/>
              </w:rPr>
              <w:t>.gads</w:t>
            </w:r>
          </w:p>
        </w:tc>
        <w:tc>
          <w:tcPr>
            <w:tcW w:w="5133" w:type="dxa"/>
            <w:gridSpan w:val="3"/>
            <w:vAlign w:val="center"/>
          </w:tcPr>
          <w:p w14:paraId="0AE654D1" w14:textId="77777777" w:rsidR="001658B7" w:rsidRPr="001658B7" w:rsidRDefault="001658B7" w:rsidP="001658B7">
            <w:pPr>
              <w:jc w:val="center"/>
              <w:rPr>
                <w:rFonts w:ascii="Times New Roman" w:eastAsia="Calibri" w:hAnsi="Times New Roman" w:cs="Times New Roman"/>
                <w:b/>
                <w:i/>
                <w:lang w:eastAsia="lv-LV"/>
              </w:rPr>
            </w:pPr>
            <w:r w:rsidRPr="00106EC3">
              <w:rPr>
                <w:rFonts w:ascii="Times New Roman" w:eastAsia="Calibri" w:hAnsi="Times New Roman" w:cs="Times New Roman"/>
                <w:lang w:eastAsia="lv-LV"/>
              </w:rPr>
              <w:t>Turpmākie trīs gadi (</w:t>
            </w:r>
            <w:proofErr w:type="spellStart"/>
            <w:r w:rsidRPr="001658B7">
              <w:rPr>
                <w:rFonts w:ascii="Times New Roman" w:eastAsia="Calibri" w:hAnsi="Times New Roman" w:cs="Times New Roman"/>
                <w:i/>
                <w:lang w:eastAsia="lv-LV"/>
              </w:rPr>
              <w:t>euro</w:t>
            </w:r>
            <w:proofErr w:type="spellEnd"/>
            <w:r w:rsidRPr="001658B7">
              <w:rPr>
                <w:rFonts w:ascii="Times New Roman" w:eastAsia="Calibri" w:hAnsi="Times New Roman" w:cs="Times New Roman"/>
                <w:lang w:eastAsia="lv-LV"/>
              </w:rPr>
              <w:t>)</w:t>
            </w:r>
          </w:p>
        </w:tc>
      </w:tr>
      <w:tr w:rsidR="001658B7" w:rsidRPr="001658B7" w14:paraId="72D7234D" w14:textId="77777777" w:rsidTr="009339BE">
        <w:trPr>
          <w:jc w:val="center"/>
        </w:trPr>
        <w:tc>
          <w:tcPr>
            <w:tcW w:w="1656" w:type="dxa"/>
            <w:vMerge/>
            <w:vAlign w:val="center"/>
          </w:tcPr>
          <w:p w14:paraId="49B40617" w14:textId="77777777" w:rsidR="001658B7" w:rsidRPr="001658B7" w:rsidRDefault="001658B7" w:rsidP="001658B7">
            <w:pPr>
              <w:jc w:val="center"/>
              <w:rPr>
                <w:rFonts w:ascii="Times New Roman" w:eastAsia="Calibri" w:hAnsi="Times New Roman" w:cs="Times New Roman"/>
                <w:b/>
                <w:i/>
                <w:lang w:eastAsia="lv-LV"/>
              </w:rPr>
            </w:pPr>
          </w:p>
        </w:tc>
        <w:tc>
          <w:tcPr>
            <w:tcW w:w="2683" w:type="dxa"/>
            <w:gridSpan w:val="2"/>
            <w:vMerge/>
            <w:vAlign w:val="center"/>
          </w:tcPr>
          <w:p w14:paraId="1A5A79BF" w14:textId="77777777" w:rsidR="001658B7" w:rsidRPr="001658B7" w:rsidRDefault="001658B7" w:rsidP="001658B7">
            <w:pPr>
              <w:jc w:val="center"/>
              <w:rPr>
                <w:rFonts w:ascii="Times New Roman" w:eastAsia="Calibri" w:hAnsi="Times New Roman" w:cs="Times New Roman"/>
                <w:b/>
                <w:i/>
                <w:lang w:eastAsia="lv-LV"/>
              </w:rPr>
            </w:pPr>
          </w:p>
        </w:tc>
        <w:tc>
          <w:tcPr>
            <w:tcW w:w="1491" w:type="dxa"/>
            <w:vAlign w:val="center"/>
          </w:tcPr>
          <w:p w14:paraId="1BFD629D" w14:textId="2408B4A0" w:rsidR="001658B7" w:rsidRPr="001658B7" w:rsidRDefault="001658B7" w:rsidP="001658B7">
            <w:pPr>
              <w:jc w:val="center"/>
              <w:rPr>
                <w:rFonts w:ascii="Times New Roman" w:eastAsia="Calibri" w:hAnsi="Times New Roman" w:cs="Times New Roman"/>
                <w:b/>
                <w:i/>
                <w:lang w:eastAsia="lv-LV"/>
              </w:rPr>
            </w:pPr>
            <w:r w:rsidRPr="001658B7">
              <w:rPr>
                <w:rFonts w:ascii="Times New Roman" w:eastAsia="Calibri" w:hAnsi="Times New Roman" w:cs="Times New Roman"/>
                <w:b/>
                <w:bCs/>
                <w:lang w:eastAsia="lv-LV"/>
              </w:rPr>
              <w:t>201</w:t>
            </w:r>
            <w:r w:rsidR="002C3492">
              <w:rPr>
                <w:rFonts w:ascii="Times New Roman" w:eastAsia="Calibri" w:hAnsi="Times New Roman" w:cs="Times New Roman"/>
                <w:b/>
                <w:bCs/>
                <w:lang w:eastAsia="lv-LV"/>
              </w:rPr>
              <w:t>7</w:t>
            </w:r>
          </w:p>
        </w:tc>
        <w:tc>
          <w:tcPr>
            <w:tcW w:w="1491" w:type="dxa"/>
            <w:vAlign w:val="center"/>
          </w:tcPr>
          <w:p w14:paraId="62BCECC9" w14:textId="7189DCD1" w:rsidR="001658B7" w:rsidRPr="001658B7" w:rsidRDefault="001658B7" w:rsidP="001658B7">
            <w:pPr>
              <w:jc w:val="center"/>
              <w:rPr>
                <w:rFonts w:ascii="Times New Roman" w:eastAsia="Calibri" w:hAnsi="Times New Roman" w:cs="Times New Roman"/>
                <w:b/>
                <w:i/>
                <w:lang w:eastAsia="lv-LV"/>
              </w:rPr>
            </w:pPr>
            <w:r w:rsidRPr="001658B7">
              <w:rPr>
                <w:rFonts w:ascii="Times New Roman" w:eastAsia="Calibri" w:hAnsi="Times New Roman" w:cs="Times New Roman"/>
                <w:b/>
                <w:bCs/>
                <w:lang w:eastAsia="lv-LV"/>
              </w:rPr>
              <w:t>201</w:t>
            </w:r>
            <w:r w:rsidR="002C3492">
              <w:rPr>
                <w:rFonts w:ascii="Times New Roman" w:eastAsia="Calibri" w:hAnsi="Times New Roman" w:cs="Times New Roman"/>
                <w:b/>
                <w:bCs/>
                <w:lang w:eastAsia="lv-LV"/>
              </w:rPr>
              <w:t>8</w:t>
            </w:r>
          </w:p>
        </w:tc>
        <w:tc>
          <w:tcPr>
            <w:tcW w:w="2151" w:type="dxa"/>
            <w:vAlign w:val="center"/>
          </w:tcPr>
          <w:p w14:paraId="04D4CD5D" w14:textId="358B5094" w:rsidR="001658B7" w:rsidRPr="001658B7" w:rsidRDefault="001658B7" w:rsidP="001658B7">
            <w:pPr>
              <w:jc w:val="center"/>
              <w:rPr>
                <w:rFonts w:ascii="Times New Roman" w:eastAsia="Calibri" w:hAnsi="Times New Roman" w:cs="Times New Roman"/>
                <w:b/>
                <w:i/>
                <w:lang w:eastAsia="lv-LV"/>
              </w:rPr>
            </w:pPr>
            <w:r w:rsidRPr="001658B7">
              <w:rPr>
                <w:rFonts w:ascii="Times New Roman" w:eastAsia="Calibri" w:hAnsi="Times New Roman" w:cs="Times New Roman"/>
                <w:b/>
                <w:bCs/>
                <w:lang w:eastAsia="lv-LV"/>
              </w:rPr>
              <w:t>20</w:t>
            </w:r>
            <w:r w:rsidR="002C3492">
              <w:rPr>
                <w:rFonts w:ascii="Times New Roman" w:eastAsia="Calibri" w:hAnsi="Times New Roman" w:cs="Times New Roman"/>
                <w:b/>
                <w:bCs/>
                <w:lang w:eastAsia="lv-LV"/>
              </w:rPr>
              <w:t>19</w:t>
            </w:r>
          </w:p>
        </w:tc>
      </w:tr>
      <w:tr w:rsidR="001658B7" w:rsidRPr="001658B7" w14:paraId="29E6E3FD" w14:textId="77777777" w:rsidTr="009339BE">
        <w:trPr>
          <w:jc w:val="center"/>
        </w:trPr>
        <w:tc>
          <w:tcPr>
            <w:tcW w:w="1656" w:type="dxa"/>
            <w:vMerge/>
            <w:vAlign w:val="center"/>
          </w:tcPr>
          <w:p w14:paraId="42723BDB" w14:textId="77777777" w:rsidR="001658B7" w:rsidRPr="001658B7" w:rsidRDefault="001658B7" w:rsidP="001658B7">
            <w:pPr>
              <w:jc w:val="center"/>
              <w:rPr>
                <w:rFonts w:ascii="Times New Roman" w:eastAsia="Calibri" w:hAnsi="Times New Roman" w:cs="Times New Roman"/>
                <w:b/>
                <w:i/>
                <w:lang w:eastAsia="lv-LV"/>
              </w:rPr>
            </w:pPr>
          </w:p>
        </w:tc>
        <w:tc>
          <w:tcPr>
            <w:tcW w:w="1190" w:type="dxa"/>
            <w:vAlign w:val="center"/>
          </w:tcPr>
          <w:p w14:paraId="336F1634" w14:textId="77777777" w:rsidR="001658B7" w:rsidRPr="001658B7" w:rsidRDefault="001658B7" w:rsidP="001658B7">
            <w:pPr>
              <w:jc w:val="center"/>
              <w:rPr>
                <w:rFonts w:ascii="Times New Roman" w:eastAsia="Calibri" w:hAnsi="Times New Roman" w:cs="Times New Roman"/>
                <w:b/>
                <w:i/>
                <w:lang w:eastAsia="lv-LV"/>
              </w:rPr>
            </w:pPr>
            <w:r w:rsidRPr="001658B7">
              <w:rPr>
                <w:rFonts w:ascii="Times New Roman" w:eastAsia="Calibri" w:hAnsi="Times New Roman" w:cs="Times New Roman"/>
                <w:lang w:eastAsia="lv-LV"/>
              </w:rPr>
              <w:t>Saskaņā ar valsts budžetu kārtējam gadam</w:t>
            </w:r>
          </w:p>
        </w:tc>
        <w:tc>
          <w:tcPr>
            <w:tcW w:w="1493" w:type="dxa"/>
            <w:vAlign w:val="center"/>
          </w:tcPr>
          <w:p w14:paraId="47B393F8" w14:textId="77777777" w:rsidR="001658B7" w:rsidRPr="001658B7" w:rsidRDefault="001658B7" w:rsidP="001658B7">
            <w:pPr>
              <w:jc w:val="center"/>
              <w:rPr>
                <w:rFonts w:ascii="Times New Roman" w:eastAsia="Calibri" w:hAnsi="Times New Roman" w:cs="Times New Roman"/>
                <w:b/>
                <w:i/>
                <w:lang w:eastAsia="lv-LV"/>
              </w:rPr>
            </w:pPr>
            <w:r w:rsidRPr="001658B7">
              <w:rPr>
                <w:rFonts w:ascii="Times New Roman" w:eastAsia="Calibri" w:hAnsi="Times New Roman" w:cs="Times New Roman"/>
                <w:lang w:eastAsia="lv-LV"/>
              </w:rPr>
              <w:t>Izmaiņas kārtējā gadā, salīdzinot ar budžetu kārtējam gadam</w:t>
            </w:r>
          </w:p>
        </w:tc>
        <w:tc>
          <w:tcPr>
            <w:tcW w:w="1491" w:type="dxa"/>
            <w:vAlign w:val="center"/>
          </w:tcPr>
          <w:p w14:paraId="4F406B15" w14:textId="694097C0" w:rsidR="001658B7" w:rsidRPr="001658B7" w:rsidRDefault="001658B7" w:rsidP="001658B7">
            <w:pPr>
              <w:jc w:val="center"/>
              <w:rPr>
                <w:rFonts w:ascii="Times New Roman" w:eastAsia="Calibri" w:hAnsi="Times New Roman" w:cs="Times New Roman"/>
                <w:lang w:eastAsia="lv-LV"/>
              </w:rPr>
            </w:pPr>
            <w:r w:rsidRPr="001658B7">
              <w:rPr>
                <w:rFonts w:ascii="Times New Roman" w:eastAsia="Calibri" w:hAnsi="Times New Roman" w:cs="Times New Roman"/>
                <w:lang w:eastAsia="lv-LV"/>
              </w:rPr>
              <w:t>Izmaiņas, salīdzinot ar kārtējo (</w:t>
            </w:r>
            <w:r w:rsidR="004C00B2">
              <w:rPr>
                <w:rFonts w:ascii="Times New Roman" w:eastAsia="Calibri" w:hAnsi="Times New Roman" w:cs="Times New Roman"/>
                <w:lang w:eastAsia="lv-LV"/>
              </w:rPr>
              <w:t>2016</w:t>
            </w:r>
            <w:r w:rsidRPr="001658B7">
              <w:rPr>
                <w:rFonts w:ascii="Times New Roman" w:eastAsia="Calibri" w:hAnsi="Times New Roman" w:cs="Times New Roman"/>
                <w:lang w:eastAsia="lv-LV"/>
              </w:rPr>
              <w:t>)</w:t>
            </w:r>
          </w:p>
          <w:p w14:paraId="7558E43C" w14:textId="77777777" w:rsidR="001658B7" w:rsidRPr="001658B7" w:rsidRDefault="001658B7" w:rsidP="001658B7">
            <w:pPr>
              <w:jc w:val="center"/>
              <w:rPr>
                <w:rFonts w:ascii="Times New Roman" w:eastAsia="Calibri" w:hAnsi="Times New Roman" w:cs="Times New Roman"/>
                <w:b/>
                <w:i/>
                <w:lang w:eastAsia="lv-LV"/>
              </w:rPr>
            </w:pPr>
            <w:r w:rsidRPr="001658B7">
              <w:rPr>
                <w:rFonts w:ascii="Times New Roman" w:eastAsia="Calibri" w:hAnsi="Times New Roman" w:cs="Times New Roman"/>
                <w:lang w:eastAsia="lv-LV"/>
              </w:rPr>
              <w:t>gadu</w:t>
            </w:r>
          </w:p>
        </w:tc>
        <w:tc>
          <w:tcPr>
            <w:tcW w:w="1491" w:type="dxa"/>
            <w:vAlign w:val="center"/>
          </w:tcPr>
          <w:p w14:paraId="6E38C94E" w14:textId="2466B503" w:rsidR="001658B7" w:rsidRPr="001658B7" w:rsidRDefault="001658B7" w:rsidP="001658B7">
            <w:pPr>
              <w:jc w:val="center"/>
              <w:rPr>
                <w:rFonts w:ascii="Times New Roman" w:eastAsia="Calibri" w:hAnsi="Times New Roman" w:cs="Times New Roman"/>
                <w:lang w:eastAsia="lv-LV"/>
              </w:rPr>
            </w:pPr>
            <w:r w:rsidRPr="001658B7">
              <w:rPr>
                <w:rFonts w:ascii="Times New Roman" w:eastAsia="Calibri" w:hAnsi="Times New Roman" w:cs="Times New Roman"/>
                <w:lang w:eastAsia="lv-LV"/>
              </w:rPr>
              <w:t>Iz</w:t>
            </w:r>
            <w:r w:rsidR="004C00B2">
              <w:rPr>
                <w:rFonts w:ascii="Times New Roman" w:eastAsia="Calibri" w:hAnsi="Times New Roman" w:cs="Times New Roman"/>
                <w:lang w:eastAsia="lv-LV"/>
              </w:rPr>
              <w:t>maiņas, salīdzinot ar kārtējo (2016</w:t>
            </w:r>
            <w:r w:rsidRPr="001658B7">
              <w:rPr>
                <w:rFonts w:ascii="Times New Roman" w:eastAsia="Calibri" w:hAnsi="Times New Roman" w:cs="Times New Roman"/>
                <w:lang w:eastAsia="lv-LV"/>
              </w:rPr>
              <w:t>)</w:t>
            </w:r>
          </w:p>
          <w:p w14:paraId="138FAAC0" w14:textId="77777777" w:rsidR="001658B7" w:rsidRPr="001658B7" w:rsidRDefault="001658B7" w:rsidP="001658B7">
            <w:pPr>
              <w:jc w:val="center"/>
              <w:rPr>
                <w:rFonts w:ascii="Times New Roman" w:eastAsia="Calibri" w:hAnsi="Times New Roman" w:cs="Times New Roman"/>
                <w:b/>
                <w:i/>
                <w:lang w:eastAsia="lv-LV"/>
              </w:rPr>
            </w:pPr>
            <w:r w:rsidRPr="001658B7">
              <w:rPr>
                <w:rFonts w:ascii="Times New Roman" w:eastAsia="Calibri" w:hAnsi="Times New Roman" w:cs="Times New Roman"/>
                <w:lang w:eastAsia="lv-LV"/>
              </w:rPr>
              <w:t>gadu</w:t>
            </w:r>
          </w:p>
        </w:tc>
        <w:tc>
          <w:tcPr>
            <w:tcW w:w="2151" w:type="dxa"/>
            <w:vAlign w:val="center"/>
          </w:tcPr>
          <w:p w14:paraId="09965382" w14:textId="5667F09F" w:rsidR="001658B7" w:rsidRPr="001658B7" w:rsidRDefault="001658B7" w:rsidP="001658B7">
            <w:pPr>
              <w:jc w:val="center"/>
              <w:rPr>
                <w:rFonts w:ascii="Times New Roman" w:eastAsia="Calibri" w:hAnsi="Times New Roman" w:cs="Times New Roman"/>
                <w:lang w:eastAsia="lv-LV"/>
              </w:rPr>
            </w:pPr>
            <w:r w:rsidRPr="001658B7">
              <w:rPr>
                <w:rFonts w:ascii="Times New Roman" w:eastAsia="Calibri" w:hAnsi="Times New Roman" w:cs="Times New Roman"/>
                <w:lang w:eastAsia="lv-LV"/>
              </w:rPr>
              <w:t>Iz</w:t>
            </w:r>
            <w:r w:rsidR="004C00B2">
              <w:rPr>
                <w:rFonts w:ascii="Times New Roman" w:eastAsia="Calibri" w:hAnsi="Times New Roman" w:cs="Times New Roman"/>
                <w:lang w:eastAsia="lv-LV"/>
              </w:rPr>
              <w:t>maiņas, salīdzinot ar kārtējo (2016</w:t>
            </w:r>
            <w:r w:rsidRPr="001658B7">
              <w:rPr>
                <w:rFonts w:ascii="Times New Roman" w:eastAsia="Calibri" w:hAnsi="Times New Roman" w:cs="Times New Roman"/>
                <w:lang w:eastAsia="lv-LV"/>
              </w:rPr>
              <w:t>)</w:t>
            </w:r>
          </w:p>
          <w:p w14:paraId="670E47D7" w14:textId="77777777" w:rsidR="001658B7" w:rsidRPr="001658B7" w:rsidRDefault="001658B7" w:rsidP="001658B7">
            <w:pPr>
              <w:jc w:val="center"/>
              <w:rPr>
                <w:rFonts w:ascii="Times New Roman" w:eastAsia="Calibri" w:hAnsi="Times New Roman" w:cs="Times New Roman"/>
                <w:b/>
                <w:i/>
                <w:lang w:eastAsia="lv-LV"/>
              </w:rPr>
            </w:pPr>
            <w:r w:rsidRPr="001658B7">
              <w:rPr>
                <w:rFonts w:ascii="Times New Roman" w:eastAsia="Calibri" w:hAnsi="Times New Roman" w:cs="Times New Roman"/>
                <w:lang w:eastAsia="lv-LV"/>
              </w:rPr>
              <w:t>gadu</w:t>
            </w:r>
          </w:p>
        </w:tc>
      </w:tr>
      <w:tr w:rsidR="001658B7" w:rsidRPr="001658B7" w14:paraId="52D07A07" w14:textId="77777777" w:rsidTr="009339BE">
        <w:trPr>
          <w:jc w:val="center"/>
        </w:trPr>
        <w:tc>
          <w:tcPr>
            <w:tcW w:w="1656" w:type="dxa"/>
            <w:vAlign w:val="center"/>
          </w:tcPr>
          <w:p w14:paraId="19C5356F" w14:textId="77777777" w:rsidR="001658B7" w:rsidRPr="001658B7" w:rsidRDefault="001658B7" w:rsidP="001658B7">
            <w:pPr>
              <w:jc w:val="center"/>
              <w:rPr>
                <w:rFonts w:ascii="Times New Roman" w:eastAsia="Calibri" w:hAnsi="Times New Roman" w:cs="Times New Roman"/>
                <w:bCs/>
                <w:lang w:eastAsia="lv-LV"/>
              </w:rPr>
            </w:pPr>
            <w:r w:rsidRPr="001658B7">
              <w:rPr>
                <w:rFonts w:ascii="Times New Roman" w:eastAsia="Calibri" w:hAnsi="Times New Roman" w:cs="Times New Roman"/>
                <w:bCs/>
                <w:lang w:eastAsia="lv-LV"/>
              </w:rPr>
              <w:t>1</w:t>
            </w:r>
          </w:p>
        </w:tc>
        <w:tc>
          <w:tcPr>
            <w:tcW w:w="1190" w:type="dxa"/>
            <w:vAlign w:val="center"/>
          </w:tcPr>
          <w:p w14:paraId="3D9F929B" w14:textId="77777777" w:rsidR="001658B7" w:rsidRPr="001658B7" w:rsidRDefault="001658B7" w:rsidP="001658B7">
            <w:pPr>
              <w:jc w:val="center"/>
              <w:rPr>
                <w:rFonts w:ascii="Times New Roman" w:eastAsia="Calibri" w:hAnsi="Times New Roman" w:cs="Times New Roman"/>
                <w:bCs/>
                <w:lang w:eastAsia="lv-LV"/>
              </w:rPr>
            </w:pPr>
            <w:r w:rsidRPr="001658B7">
              <w:rPr>
                <w:rFonts w:ascii="Times New Roman" w:eastAsia="Calibri" w:hAnsi="Times New Roman" w:cs="Times New Roman"/>
                <w:bCs/>
                <w:lang w:eastAsia="lv-LV"/>
              </w:rPr>
              <w:t>2</w:t>
            </w:r>
          </w:p>
        </w:tc>
        <w:tc>
          <w:tcPr>
            <w:tcW w:w="1493" w:type="dxa"/>
            <w:vAlign w:val="center"/>
          </w:tcPr>
          <w:p w14:paraId="2DC80F63" w14:textId="77777777" w:rsidR="001658B7" w:rsidRPr="001658B7" w:rsidRDefault="001658B7" w:rsidP="001658B7">
            <w:pPr>
              <w:jc w:val="center"/>
              <w:rPr>
                <w:rFonts w:ascii="Times New Roman" w:eastAsia="Calibri" w:hAnsi="Times New Roman" w:cs="Times New Roman"/>
                <w:bCs/>
                <w:lang w:eastAsia="lv-LV"/>
              </w:rPr>
            </w:pPr>
            <w:r w:rsidRPr="001658B7">
              <w:rPr>
                <w:rFonts w:ascii="Times New Roman" w:eastAsia="Calibri" w:hAnsi="Times New Roman" w:cs="Times New Roman"/>
                <w:bCs/>
                <w:lang w:eastAsia="lv-LV"/>
              </w:rPr>
              <w:t>3</w:t>
            </w:r>
          </w:p>
        </w:tc>
        <w:tc>
          <w:tcPr>
            <w:tcW w:w="1491" w:type="dxa"/>
            <w:vAlign w:val="center"/>
          </w:tcPr>
          <w:p w14:paraId="6F0322F4" w14:textId="77777777" w:rsidR="001658B7" w:rsidRPr="001658B7" w:rsidRDefault="001658B7" w:rsidP="001658B7">
            <w:pPr>
              <w:jc w:val="center"/>
              <w:rPr>
                <w:rFonts w:ascii="Times New Roman" w:eastAsia="Calibri" w:hAnsi="Times New Roman" w:cs="Times New Roman"/>
                <w:bCs/>
                <w:lang w:eastAsia="lv-LV"/>
              </w:rPr>
            </w:pPr>
            <w:r w:rsidRPr="001658B7">
              <w:rPr>
                <w:rFonts w:ascii="Times New Roman" w:eastAsia="Calibri" w:hAnsi="Times New Roman" w:cs="Times New Roman"/>
                <w:bCs/>
                <w:lang w:eastAsia="lv-LV"/>
              </w:rPr>
              <w:t>4</w:t>
            </w:r>
          </w:p>
        </w:tc>
        <w:tc>
          <w:tcPr>
            <w:tcW w:w="1491" w:type="dxa"/>
            <w:vAlign w:val="center"/>
          </w:tcPr>
          <w:p w14:paraId="6660CA3F" w14:textId="77777777" w:rsidR="001658B7" w:rsidRPr="001658B7" w:rsidRDefault="001658B7" w:rsidP="001658B7">
            <w:pPr>
              <w:jc w:val="center"/>
              <w:rPr>
                <w:rFonts w:ascii="Times New Roman" w:eastAsia="Calibri" w:hAnsi="Times New Roman" w:cs="Times New Roman"/>
                <w:bCs/>
                <w:lang w:eastAsia="lv-LV"/>
              </w:rPr>
            </w:pPr>
            <w:r w:rsidRPr="001658B7">
              <w:rPr>
                <w:rFonts w:ascii="Times New Roman" w:eastAsia="Calibri" w:hAnsi="Times New Roman" w:cs="Times New Roman"/>
                <w:bCs/>
                <w:lang w:eastAsia="lv-LV"/>
              </w:rPr>
              <w:t>5</w:t>
            </w:r>
          </w:p>
        </w:tc>
        <w:tc>
          <w:tcPr>
            <w:tcW w:w="2151" w:type="dxa"/>
            <w:vAlign w:val="center"/>
          </w:tcPr>
          <w:p w14:paraId="2A3BCA66" w14:textId="77777777" w:rsidR="001658B7" w:rsidRPr="001658B7" w:rsidRDefault="001658B7" w:rsidP="001658B7">
            <w:pPr>
              <w:jc w:val="center"/>
              <w:rPr>
                <w:rFonts w:ascii="Times New Roman" w:eastAsia="Calibri" w:hAnsi="Times New Roman" w:cs="Times New Roman"/>
                <w:bCs/>
                <w:lang w:eastAsia="lv-LV"/>
              </w:rPr>
            </w:pPr>
            <w:r w:rsidRPr="001658B7">
              <w:rPr>
                <w:rFonts w:ascii="Times New Roman" w:eastAsia="Calibri" w:hAnsi="Times New Roman" w:cs="Times New Roman"/>
                <w:bCs/>
                <w:lang w:eastAsia="lv-LV"/>
              </w:rPr>
              <w:t>6</w:t>
            </w:r>
          </w:p>
        </w:tc>
      </w:tr>
      <w:tr w:rsidR="001658B7" w:rsidRPr="001658B7" w14:paraId="1CF91D8C" w14:textId="77777777" w:rsidTr="009339BE">
        <w:trPr>
          <w:jc w:val="center"/>
        </w:trPr>
        <w:tc>
          <w:tcPr>
            <w:tcW w:w="1656" w:type="dxa"/>
          </w:tcPr>
          <w:p w14:paraId="22E6499E" w14:textId="77777777" w:rsidR="001658B7" w:rsidRPr="001658B7" w:rsidRDefault="001658B7" w:rsidP="001658B7">
            <w:pPr>
              <w:jc w:val="both"/>
              <w:rPr>
                <w:rFonts w:ascii="Times New Roman" w:eastAsia="Calibri" w:hAnsi="Times New Roman" w:cs="Times New Roman"/>
                <w:i/>
                <w:lang w:eastAsia="lv-LV"/>
              </w:rPr>
            </w:pPr>
            <w:r w:rsidRPr="001658B7">
              <w:rPr>
                <w:rFonts w:ascii="Times New Roman" w:eastAsia="Calibri" w:hAnsi="Times New Roman" w:cs="Times New Roman"/>
                <w:lang w:eastAsia="lv-LV"/>
              </w:rPr>
              <w:lastRenderedPageBreak/>
              <w:t>1. Budžeta ieņēmumi:</w:t>
            </w:r>
          </w:p>
        </w:tc>
        <w:tc>
          <w:tcPr>
            <w:tcW w:w="1190" w:type="dxa"/>
          </w:tcPr>
          <w:p w14:paraId="77A2FB86" w14:textId="35C899E3" w:rsidR="001658B7" w:rsidRPr="001658B7" w:rsidRDefault="004C00B2" w:rsidP="001658B7">
            <w:pPr>
              <w:jc w:val="center"/>
              <w:rPr>
                <w:rFonts w:ascii="Times New Roman" w:eastAsia="Calibri" w:hAnsi="Times New Roman" w:cs="Times New Roman"/>
                <w:b/>
                <w:lang w:eastAsia="lv-LV"/>
              </w:rPr>
            </w:pPr>
            <w:r>
              <w:rPr>
                <w:rFonts w:ascii="Times New Roman" w:eastAsia="Calibri" w:hAnsi="Times New Roman" w:cs="Times New Roman"/>
                <w:b/>
                <w:lang w:eastAsia="lv-LV"/>
              </w:rPr>
              <w:t>433383</w:t>
            </w:r>
          </w:p>
        </w:tc>
        <w:tc>
          <w:tcPr>
            <w:tcW w:w="1493" w:type="dxa"/>
          </w:tcPr>
          <w:p w14:paraId="42984EAC" w14:textId="77777777" w:rsidR="001658B7" w:rsidRPr="001658B7" w:rsidRDefault="001658B7" w:rsidP="001658B7">
            <w:pPr>
              <w:jc w:val="center"/>
              <w:rPr>
                <w:rFonts w:ascii="Times New Roman" w:eastAsia="Calibri" w:hAnsi="Times New Roman" w:cs="Times New Roman"/>
                <w:b/>
                <w:lang w:eastAsia="lv-LV"/>
              </w:rPr>
            </w:pPr>
            <w:r w:rsidRPr="001658B7">
              <w:rPr>
                <w:rFonts w:ascii="Times New Roman" w:eastAsia="Calibri" w:hAnsi="Times New Roman" w:cs="Times New Roman"/>
                <w:b/>
                <w:lang w:eastAsia="lv-LV"/>
              </w:rPr>
              <w:t>0</w:t>
            </w:r>
          </w:p>
        </w:tc>
        <w:tc>
          <w:tcPr>
            <w:tcW w:w="1491" w:type="dxa"/>
          </w:tcPr>
          <w:p w14:paraId="680EF439" w14:textId="77777777" w:rsidR="001658B7" w:rsidRPr="001658B7" w:rsidRDefault="001658B7" w:rsidP="001658B7">
            <w:pPr>
              <w:jc w:val="center"/>
              <w:rPr>
                <w:rFonts w:ascii="Times New Roman" w:eastAsia="Calibri" w:hAnsi="Times New Roman" w:cs="Times New Roman"/>
                <w:b/>
                <w:i/>
                <w:lang w:eastAsia="lv-LV"/>
              </w:rPr>
            </w:pPr>
            <w:r w:rsidRPr="001658B7">
              <w:rPr>
                <w:rFonts w:ascii="Times New Roman" w:eastAsia="Calibri" w:hAnsi="Times New Roman" w:cs="Times New Roman"/>
                <w:b/>
                <w:lang w:eastAsia="lv-LV"/>
              </w:rPr>
              <w:t>0</w:t>
            </w:r>
          </w:p>
        </w:tc>
        <w:tc>
          <w:tcPr>
            <w:tcW w:w="1491" w:type="dxa"/>
          </w:tcPr>
          <w:p w14:paraId="20BC2373" w14:textId="77777777" w:rsidR="001658B7" w:rsidRPr="001658B7" w:rsidRDefault="001658B7" w:rsidP="001658B7">
            <w:pPr>
              <w:jc w:val="center"/>
              <w:rPr>
                <w:rFonts w:ascii="Times New Roman" w:eastAsia="Calibri" w:hAnsi="Times New Roman" w:cs="Times New Roman"/>
                <w:b/>
                <w:i/>
                <w:lang w:eastAsia="lv-LV"/>
              </w:rPr>
            </w:pPr>
            <w:r w:rsidRPr="001658B7">
              <w:rPr>
                <w:rFonts w:ascii="Times New Roman" w:eastAsia="Calibri" w:hAnsi="Times New Roman" w:cs="Times New Roman"/>
                <w:b/>
                <w:lang w:eastAsia="lv-LV"/>
              </w:rPr>
              <w:t>0</w:t>
            </w:r>
          </w:p>
        </w:tc>
        <w:tc>
          <w:tcPr>
            <w:tcW w:w="2151" w:type="dxa"/>
          </w:tcPr>
          <w:p w14:paraId="6CA8A61A" w14:textId="77777777" w:rsidR="001658B7" w:rsidRPr="001658B7" w:rsidRDefault="001658B7" w:rsidP="001658B7">
            <w:pPr>
              <w:jc w:val="center"/>
              <w:rPr>
                <w:rFonts w:ascii="Times New Roman" w:eastAsia="Calibri" w:hAnsi="Times New Roman" w:cs="Times New Roman"/>
                <w:b/>
                <w:i/>
                <w:lang w:eastAsia="lv-LV"/>
              </w:rPr>
            </w:pPr>
            <w:r w:rsidRPr="001658B7">
              <w:rPr>
                <w:rFonts w:ascii="Times New Roman" w:eastAsia="Calibri" w:hAnsi="Times New Roman" w:cs="Times New Roman"/>
                <w:b/>
                <w:lang w:eastAsia="lv-LV"/>
              </w:rPr>
              <w:t>0</w:t>
            </w:r>
          </w:p>
        </w:tc>
      </w:tr>
      <w:tr w:rsidR="001658B7" w:rsidRPr="001658B7" w14:paraId="668F98B3" w14:textId="77777777" w:rsidTr="009339BE">
        <w:trPr>
          <w:trHeight w:val="1403"/>
          <w:jc w:val="center"/>
        </w:trPr>
        <w:tc>
          <w:tcPr>
            <w:tcW w:w="1656" w:type="dxa"/>
          </w:tcPr>
          <w:p w14:paraId="1BEF3F21" w14:textId="77777777" w:rsidR="001658B7" w:rsidRPr="001658B7" w:rsidRDefault="001658B7" w:rsidP="001658B7">
            <w:pPr>
              <w:jc w:val="both"/>
              <w:rPr>
                <w:rFonts w:ascii="Times New Roman" w:eastAsia="Calibri" w:hAnsi="Times New Roman" w:cs="Times New Roman"/>
                <w:i/>
                <w:lang w:eastAsia="lv-LV"/>
              </w:rPr>
            </w:pPr>
            <w:r w:rsidRPr="001658B7">
              <w:rPr>
                <w:rFonts w:ascii="Times New Roman" w:eastAsia="Calibri" w:hAnsi="Times New Roman" w:cs="Times New Roman"/>
                <w:lang w:eastAsia="lv-LV"/>
              </w:rPr>
              <w:t>1.1. valsts pamatbudžets, tai skaitā ieņēmumi no maksas pakalpojumiem un citi pašu ieņēmumi</w:t>
            </w:r>
          </w:p>
        </w:tc>
        <w:tc>
          <w:tcPr>
            <w:tcW w:w="1190" w:type="dxa"/>
          </w:tcPr>
          <w:p w14:paraId="4455A277" w14:textId="77777777" w:rsidR="001658B7" w:rsidRPr="001658B7" w:rsidRDefault="001658B7" w:rsidP="001658B7">
            <w:pPr>
              <w:jc w:val="center"/>
              <w:rPr>
                <w:rFonts w:ascii="Times New Roman" w:eastAsia="Calibri" w:hAnsi="Times New Roman" w:cs="Times New Roman"/>
                <w:i/>
                <w:lang w:eastAsia="lv-LV"/>
              </w:rPr>
            </w:pPr>
          </w:p>
          <w:p w14:paraId="24468207" w14:textId="77777777" w:rsidR="001658B7" w:rsidRPr="001658B7" w:rsidRDefault="001658B7" w:rsidP="001658B7">
            <w:pPr>
              <w:jc w:val="center"/>
              <w:rPr>
                <w:rFonts w:ascii="Times New Roman" w:eastAsia="Calibri" w:hAnsi="Times New Roman" w:cs="Times New Roman"/>
                <w:i/>
                <w:lang w:eastAsia="lv-LV"/>
              </w:rPr>
            </w:pPr>
          </w:p>
          <w:p w14:paraId="3FF7155E" w14:textId="4740924D" w:rsidR="001658B7" w:rsidRPr="001658B7" w:rsidRDefault="004C00B2" w:rsidP="001658B7">
            <w:pPr>
              <w:jc w:val="center"/>
              <w:rPr>
                <w:rFonts w:ascii="Times New Roman" w:eastAsia="Calibri" w:hAnsi="Times New Roman" w:cs="Times New Roman"/>
                <w:lang w:eastAsia="lv-LV"/>
              </w:rPr>
            </w:pPr>
            <w:r>
              <w:rPr>
                <w:rFonts w:ascii="Times New Roman" w:eastAsia="Calibri" w:hAnsi="Times New Roman" w:cs="Times New Roman"/>
                <w:lang w:eastAsia="lv-LV"/>
              </w:rPr>
              <w:t>433383</w:t>
            </w:r>
          </w:p>
        </w:tc>
        <w:tc>
          <w:tcPr>
            <w:tcW w:w="1493" w:type="dxa"/>
          </w:tcPr>
          <w:p w14:paraId="04FB944A" w14:textId="77777777" w:rsidR="001658B7" w:rsidRPr="001658B7" w:rsidRDefault="001658B7" w:rsidP="001658B7">
            <w:pPr>
              <w:jc w:val="center"/>
              <w:rPr>
                <w:rFonts w:ascii="Times New Roman" w:eastAsia="Times New Roman" w:hAnsi="Times New Roman" w:cs="Times New Roman"/>
                <w:i/>
                <w:lang w:eastAsia="lv-LV"/>
              </w:rPr>
            </w:pPr>
          </w:p>
          <w:p w14:paraId="427485E4" w14:textId="77777777" w:rsidR="001658B7" w:rsidRPr="001658B7" w:rsidRDefault="001658B7" w:rsidP="001658B7">
            <w:pPr>
              <w:jc w:val="center"/>
              <w:rPr>
                <w:rFonts w:ascii="Times New Roman" w:eastAsia="Times New Roman" w:hAnsi="Times New Roman" w:cs="Times New Roman"/>
                <w:i/>
                <w:lang w:eastAsia="lv-LV"/>
              </w:rPr>
            </w:pPr>
          </w:p>
          <w:p w14:paraId="0B415FB6"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tcPr>
          <w:p w14:paraId="66018176" w14:textId="77777777" w:rsidR="001658B7" w:rsidRPr="001658B7" w:rsidRDefault="001658B7" w:rsidP="001658B7">
            <w:pPr>
              <w:jc w:val="center"/>
              <w:rPr>
                <w:rFonts w:ascii="Times New Roman" w:eastAsia="Times New Roman" w:hAnsi="Times New Roman" w:cs="Times New Roman"/>
                <w:i/>
                <w:lang w:eastAsia="lv-LV"/>
              </w:rPr>
            </w:pPr>
          </w:p>
          <w:p w14:paraId="62D07C7C" w14:textId="77777777" w:rsidR="001658B7" w:rsidRPr="001658B7" w:rsidRDefault="001658B7" w:rsidP="001658B7">
            <w:pPr>
              <w:jc w:val="center"/>
              <w:rPr>
                <w:rFonts w:ascii="Times New Roman" w:eastAsia="Times New Roman" w:hAnsi="Times New Roman" w:cs="Times New Roman"/>
                <w:lang w:eastAsia="lv-LV"/>
              </w:rPr>
            </w:pPr>
          </w:p>
          <w:p w14:paraId="73447B1C"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tcPr>
          <w:p w14:paraId="2533C7C0" w14:textId="77777777" w:rsidR="001658B7" w:rsidRPr="001658B7" w:rsidRDefault="001658B7" w:rsidP="001658B7">
            <w:pPr>
              <w:jc w:val="center"/>
              <w:rPr>
                <w:rFonts w:ascii="Times New Roman" w:eastAsia="Times New Roman" w:hAnsi="Times New Roman" w:cs="Times New Roman"/>
                <w:lang w:eastAsia="lv-LV"/>
              </w:rPr>
            </w:pPr>
          </w:p>
          <w:p w14:paraId="4E82DDDA" w14:textId="77777777" w:rsidR="001658B7" w:rsidRPr="001658B7" w:rsidRDefault="001658B7" w:rsidP="001658B7">
            <w:pPr>
              <w:jc w:val="center"/>
              <w:rPr>
                <w:rFonts w:ascii="Times New Roman" w:eastAsia="Times New Roman" w:hAnsi="Times New Roman" w:cs="Times New Roman"/>
                <w:lang w:eastAsia="lv-LV"/>
              </w:rPr>
            </w:pPr>
          </w:p>
          <w:p w14:paraId="0D85CA84"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2151" w:type="dxa"/>
          </w:tcPr>
          <w:p w14:paraId="60B6E705" w14:textId="77777777" w:rsidR="001658B7" w:rsidRPr="001658B7" w:rsidRDefault="001658B7" w:rsidP="001658B7">
            <w:pPr>
              <w:jc w:val="center"/>
              <w:rPr>
                <w:rFonts w:ascii="Times New Roman" w:eastAsia="Times New Roman" w:hAnsi="Times New Roman" w:cs="Times New Roman"/>
                <w:lang w:eastAsia="lv-LV"/>
              </w:rPr>
            </w:pPr>
          </w:p>
          <w:p w14:paraId="63C98614" w14:textId="77777777" w:rsidR="001658B7" w:rsidRPr="001658B7" w:rsidRDefault="001658B7" w:rsidP="001658B7">
            <w:pPr>
              <w:jc w:val="center"/>
              <w:rPr>
                <w:rFonts w:ascii="Times New Roman" w:eastAsia="Times New Roman" w:hAnsi="Times New Roman" w:cs="Times New Roman"/>
                <w:lang w:eastAsia="lv-LV"/>
              </w:rPr>
            </w:pPr>
          </w:p>
          <w:p w14:paraId="4529903F"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r>
      <w:tr w:rsidR="001658B7" w:rsidRPr="001658B7" w14:paraId="50D007BD" w14:textId="77777777" w:rsidTr="009339BE">
        <w:trPr>
          <w:jc w:val="center"/>
        </w:trPr>
        <w:tc>
          <w:tcPr>
            <w:tcW w:w="1656" w:type="dxa"/>
          </w:tcPr>
          <w:p w14:paraId="2DE206BC" w14:textId="77777777" w:rsidR="001658B7" w:rsidRPr="001658B7" w:rsidRDefault="001658B7" w:rsidP="001658B7">
            <w:pPr>
              <w:jc w:val="both"/>
              <w:rPr>
                <w:rFonts w:ascii="Times New Roman" w:eastAsia="Calibri" w:hAnsi="Times New Roman" w:cs="Times New Roman"/>
                <w:i/>
                <w:lang w:eastAsia="lv-LV"/>
              </w:rPr>
            </w:pPr>
            <w:r w:rsidRPr="001658B7">
              <w:rPr>
                <w:rFonts w:ascii="Times New Roman" w:eastAsia="Calibri" w:hAnsi="Times New Roman" w:cs="Times New Roman"/>
                <w:lang w:eastAsia="lv-LV"/>
              </w:rPr>
              <w:t>1.2. valsts speciālais budžets</w:t>
            </w:r>
          </w:p>
        </w:tc>
        <w:tc>
          <w:tcPr>
            <w:tcW w:w="1190" w:type="dxa"/>
            <w:vAlign w:val="center"/>
          </w:tcPr>
          <w:p w14:paraId="53292FDD"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3" w:type="dxa"/>
            <w:vAlign w:val="center"/>
          </w:tcPr>
          <w:p w14:paraId="6E1E1BC1"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141BBF97"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0791BCBB"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2151" w:type="dxa"/>
            <w:vAlign w:val="center"/>
          </w:tcPr>
          <w:p w14:paraId="7D02003C"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r>
      <w:tr w:rsidR="001658B7" w:rsidRPr="001658B7" w14:paraId="436C9390" w14:textId="77777777" w:rsidTr="009339BE">
        <w:trPr>
          <w:jc w:val="center"/>
        </w:trPr>
        <w:tc>
          <w:tcPr>
            <w:tcW w:w="1656" w:type="dxa"/>
          </w:tcPr>
          <w:p w14:paraId="57C5C6EF" w14:textId="77777777" w:rsidR="001658B7" w:rsidRPr="001658B7" w:rsidRDefault="001658B7" w:rsidP="001658B7">
            <w:pPr>
              <w:jc w:val="both"/>
              <w:rPr>
                <w:rFonts w:ascii="Times New Roman" w:eastAsia="Calibri" w:hAnsi="Times New Roman" w:cs="Times New Roman"/>
                <w:i/>
                <w:lang w:eastAsia="lv-LV"/>
              </w:rPr>
            </w:pPr>
            <w:r w:rsidRPr="001658B7">
              <w:rPr>
                <w:rFonts w:ascii="Times New Roman" w:eastAsia="Calibri" w:hAnsi="Times New Roman" w:cs="Times New Roman"/>
                <w:lang w:eastAsia="lv-LV"/>
              </w:rPr>
              <w:t>1.3. pašvaldību budžets</w:t>
            </w:r>
          </w:p>
        </w:tc>
        <w:tc>
          <w:tcPr>
            <w:tcW w:w="1190" w:type="dxa"/>
            <w:vAlign w:val="center"/>
          </w:tcPr>
          <w:p w14:paraId="596DA088"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3" w:type="dxa"/>
            <w:vAlign w:val="center"/>
          </w:tcPr>
          <w:p w14:paraId="5DB455D9"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6A4E5ADE"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5B00EC36"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2151" w:type="dxa"/>
            <w:vAlign w:val="center"/>
          </w:tcPr>
          <w:p w14:paraId="4D72AD3B"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r>
      <w:tr w:rsidR="001658B7" w:rsidRPr="001658B7" w14:paraId="151AE19E" w14:textId="77777777" w:rsidTr="009339BE">
        <w:trPr>
          <w:jc w:val="center"/>
        </w:trPr>
        <w:tc>
          <w:tcPr>
            <w:tcW w:w="1656" w:type="dxa"/>
          </w:tcPr>
          <w:p w14:paraId="3765E111"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2. Budžeta izdevumi:</w:t>
            </w:r>
          </w:p>
        </w:tc>
        <w:tc>
          <w:tcPr>
            <w:tcW w:w="1190" w:type="dxa"/>
          </w:tcPr>
          <w:p w14:paraId="5A781647" w14:textId="071CDD4E" w:rsidR="001658B7" w:rsidRPr="00682A26" w:rsidRDefault="004C00B2" w:rsidP="001658B7">
            <w:pPr>
              <w:jc w:val="center"/>
              <w:rPr>
                <w:rFonts w:ascii="Times New Roman" w:eastAsia="Calibri" w:hAnsi="Times New Roman" w:cs="Times New Roman"/>
                <w:b/>
                <w:lang w:eastAsia="lv-LV"/>
              </w:rPr>
            </w:pPr>
            <w:r>
              <w:rPr>
                <w:rFonts w:ascii="Times New Roman" w:eastAsia="Calibri" w:hAnsi="Times New Roman" w:cs="Times New Roman"/>
                <w:b/>
                <w:lang w:eastAsia="lv-LV"/>
              </w:rPr>
              <w:t>433383</w:t>
            </w:r>
          </w:p>
        </w:tc>
        <w:tc>
          <w:tcPr>
            <w:tcW w:w="1493" w:type="dxa"/>
          </w:tcPr>
          <w:p w14:paraId="4BFB781C" w14:textId="0ADC5511" w:rsidR="001658B7" w:rsidRPr="007C5451" w:rsidRDefault="00EB674A" w:rsidP="001658B7">
            <w:pPr>
              <w:jc w:val="center"/>
              <w:rPr>
                <w:rFonts w:ascii="Times New Roman" w:eastAsia="Calibri" w:hAnsi="Times New Roman" w:cs="Times New Roman"/>
                <w:b/>
                <w:lang w:eastAsia="lv-LV"/>
              </w:rPr>
            </w:pPr>
            <w:r>
              <w:rPr>
                <w:rFonts w:ascii="Times New Roman" w:eastAsia="Calibri" w:hAnsi="Times New Roman" w:cs="Times New Roman"/>
                <w:b/>
                <w:lang w:eastAsia="lv-LV"/>
              </w:rPr>
              <w:t>0</w:t>
            </w:r>
          </w:p>
        </w:tc>
        <w:tc>
          <w:tcPr>
            <w:tcW w:w="1491" w:type="dxa"/>
          </w:tcPr>
          <w:p w14:paraId="093BAD9B" w14:textId="5304DF32" w:rsidR="001658B7" w:rsidRPr="007C5451" w:rsidRDefault="006F3285" w:rsidP="001658B7">
            <w:pPr>
              <w:jc w:val="center"/>
              <w:rPr>
                <w:rFonts w:ascii="Times New Roman" w:eastAsia="Calibri" w:hAnsi="Times New Roman" w:cs="Times New Roman"/>
                <w:b/>
                <w:i/>
                <w:lang w:eastAsia="lv-LV"/>
              </w:rPr>
            </w:pPr>
            <w:r>
              <w:rPr>
                <w:rFonts w:ascii="Times New Roman" w:eastAsia="Calibri" w:hAnsi="Times New Roman" w:cs="Times New Roman"/>
                <w:b/>
                <w:lang w:eastAsia="lv-LV"/>
              </w:rPr>
              <w:t>0</w:t>
            </w:r>
          </w:p>
        </w:tc>
        <w:tc>
          <w:tcPr>
            <w:tcW w:w="1491" w:type="dxa"/>
          </w:tcPr>
          <w:p w14:paraId="517FC835" w14:textId="7C7773A8" w:rsidR="001658B7" w:rsidRPr="007C5451" w:rsidRDefault="006F3285" w:rsidP="001658B7">
            <w:pPr>
              <w:jc w:val="center"/>
              <w:rPr>
                <w:rFonts w:ascii="Times New Roman" w:eastAsia="Calibri" w:hAnsi="Times New Roman" w:cs="Times New Roman"/>
                <w:b/>
                <w:i/>
                <w:lang w:eastAsia="lv-LV"/>
              </w:rPr>
            </w:pPr>
            <w:r>
              <w:rPr>
                <w:rFonts w:ascii="Times New Roman" w:eastAsia="Calibri" w:hAnsi="Times New Roman" w:cs="Times New Roman"/>
                <w:b/>
                <w:lang w:eastAsia="lv-LV"/>
              </w:rPr>
              <w:t>35</w:t>
            </w:r>
            <w:r w:rsidR="007C5451">
              <w:rPr>
                <w:rFonts w:ascii="Times New Roman" w:eastAsia="Calibri" w:hAnsi="Times New Roman" w:cs="Times New Roman"/>
                <w:b/>
                <w:lang w:eastAsia="lv-LV"/>
              </w:rPr>
              <w:t>2500</w:t>
            </w:r>
          </w:p>
        </w:tc>
        <w:tc>
          <w:tcPr>
            <w:tcW w:w="2151" w:type="dxa"/>
          </w:tcPr>
          <w:p w14:paraId="2E307C3C" w14:textId="2418F91D" w:rsidR="001658B7" w:rsidRPr="007C5451" w:rsidRDefault="006F3285" w:rsidP="001658B7">
            <w:pPr>
              <w:jc w:val="center"/>
              <w:rPr>
                <w:rFonts w:ascii="Times New Roman" w:eastAsia="Calibri" w:hAnsi="Times New Roman" w:cs="Times New Roman"/>
                <w:b/>
                <w:i/>
                <w:lang w:eastAsia="lv-LV"/>
              </w:rPr>
            </w:pPr>
            <w:r>
              <w:rPr>
                <w:rFonts w:ascii="Times New Roman" w:eastAsia="Calibri" w:hAnsi="Times New Roman" w:cs="Times New Roman"/>
                <w:b/>
                <w:lang w:eastAsia="lv-LV"/>
              </w:rPr>
              <w:t>402500</w:t>
            </w:r>
          </w:p>
        </w:tc>
      </w:tr>
      <w:tr w:rsidR="001658B7" w:rsidRPr="001658B7" w14:paraId="633CE9DA" w14:textId="77777777" w:rsidTr="009339BE">
        <w:trPr>
          <w:jc w:val="center"/>
        </w:trPr>
        <w:tc>
          <w:tcPr>
            <w:tcW w:w="1656" w:type="dxa"/>
          </w:tcPr>
          <w:p w14:paraId="434E1961"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2.1. valsts pamatbudžets</w:t>
            </w:r>
          </w:p>
        </w:tc>
        <w:tc>
          <w:tcPr>
            <w:tcW w:w="1190" w:type="dxa"/>
          </w:tcPr>
          <w:p w14:paraId="263073CF" w14:textId="73CEF4F7" w:rsidR="001658B7" w:rsidRPr="007C5451" w:rsidRDefault="004C00B2" w:rsidP="001658B7">
            <w:pPr>
              <w:jc w:val="center"/>
              <w:rPr>
                <w:rFonts w:ascii="Times New Roman" w:eastAsia="Calibri" w:hAnsi="Times New Roman" w:cs="Times New Roman"/>
                <w:lang w:eastAsia="lv-LV"/>
              </w:rPr>
            </w:pPr>
            <w:r>
              <w:rPr>
                <w:rFonts w:ascii="Times New Roman" w:eastAsia="Calibri" w:hAnsi="Times New Roman" w:cs="Times New Roman"/>
                <w:lang w:eastAsia="lv-LV"/>
              </w:rPr>
              <w:t>433383</w:t>
            </w:r>
          </w:p>
        </w:tc>
        <w:tc>
          <w:tcPr>
            <w:tcW w:w="1493" w:type="dxa"/>
          </w:tcPr>
          <w:p w14:paraId="2BD79050" w14:textId="52D7552A" w:rsidR="001658B7" w:rsidRPr="007C5451" w:rsidRDefault="00EB674A" w:rsidP="001658B7">
            <w:pPr>
              <w:jc w:val="center"/>
              <w:rPr>
                <w:rFonts w:ascii="Times New Roman" w:eastAsia="Calibri" w:hAnsi="Times New Roman" w:cs="Times New Roman"/>
                <w:lang w:eastAsia="lv-LV"/>
              </w:rPr>
            </w:pPr>
            <w:r>
              <w:rPr>
                <w:rFonts w:ascii="Times New Roman" w:eastAsia="Calibri" w:hAnsi="Times New Roman" w:cs="Times New Roman"/>
                <w:lang w:eastAsia="lv-LV"/>
              </w:rPr>
              <w:t>0</w:t>
            </w:r>
          </w:p>
        </w:tc>
        <w:tc>
          <w:tcPr>
            <w:tcW w:w="1491" w:type="dxa"/>
            <w:vAlign w:val="center"/>
          </w:tcPr>
          <w:p w14:paraId="07C804D0" w14:textId="09E1679C" w:rsidR="001658B7" w:rsidRPr="007C5451" w:rsidRDefault="006F3285" w:rsidP="007C5451">
            <w:pPr>
              <w:jc w:val="center"/>
              <w:rPr>
                <w:rFonts w:ascii="Times New Roman" w:eastAsia="Calibri" w:hAnsi="Times New Roman" w:cs="Times New Roman"/>
                <w:lang w:eastAsia="lv-LV"/>
              </w:rPr>
            </w:pPr>
            <w:r>
              <w:rPr>
                <w:rFonts w:ascii="Times New Roman" w:eastAsia="Calibri" w:hAnsi="Times New Roman" w:cs="Times New Roman"/>
                <w:lang w:eastAsia="lv-LV"/>
              </w:rPr>
              <w:t>0</w:t>
            </w:r>
          </w:p>
        </w:tc>
        <w:tc>
          <w:tcPr>
            <w:tcW w:w="1491" w:type="dxa"/>
            <w:vAlign w:val="center"/>
          </w:tcPr>
          <w:p w14:paraId="1F6D586F" w14:textId="57418B57" w:rsidR="001658B7" w:rsidRPr="007C5451" w:rsidRDefault="006F3285" w:rsidP="001658B7">
            <w:pPr>
              <w:jc w:val="center"/>
              <w:rPr>
                <w:rFonts w:ascii="Times New Roman" w:eastAsia="Times New Roman" w:hAnsi="Times New Roman" w:cs="Times New Roman"/>
                <w:lang w:eastAsia="lv-LV"/>
              </w:rPr>
            </w:pPr>
            <w:r>
              <w:rPr>
                <w:rFonts w:ascii="Times New Roman" w:eastAsia="Calibri" w:hAnsi="Times New Roman" w:cs="Times New Roman"/>
                <w:lang w:eastAsia="lv-LV"/>
              </w:rPr>
              <w:t>35</w:t>
            </w:r>
            <w:r w:rsidR="007C5451">
              <w:rPr>
                <w:rFonts w:ascii="Times New Roman" w:eastAsia="Calibri" w:hAnsi="Times New Roman" w:cs="Times New Roman"/>
                <w:lang w:eastAsia="lv-LV"/>
              </w:rPr>
              <w:t>2500</w:t>
            </w:r>
          </w:p>
        </w:tc>
        <w:tc>
          <w:tcPr>
            <w:tcW w:w="2151" w:type="dxa"/>
            <w:vAlign w:val="center"/>
          </w:tcPr>
          <w:p w14:paraId="40E66EFE" w14:textId="0EFBE67E" w:rsidR="001658B7" w:rsidRPr="007C5451" w:rsidRDefault="006F3285" w:rsidP="001658B7">
            <w:pPr>
              <w:jc w:val="center"/>
              <w:rPr>
                <w:rFonts w:ascii="Times New Roman" w:eastAsia="Times New Roman" w:hAnsi="Times New Roman" w:cs="Times New Roman"/>
                <w:lang w:eastAsia="lv-LV"/>
              </w:rPr>
            </w:pPr>
            <w:r>
              <w:rPr>
                <w:rFonts w:ascii="Times New Roman" w:eastAsia="Calibri" w:hAnsi="Times New Roman" w:cs="Times New Roman"/>
                <w:lang w:eastAsia="lv-LV"/>
              </w:rPr>
              <w:t>402</w:t>
            </w:r>
            <w:r w:rsidR="007C5451">
              <w:rPr>
                <w:rFonts w:ascii="Times New Roman" w:eastAsia="Calibri" w:hAnsi="Times New Roman" w:cs="Times New Roman"/>
                <w:lang w:eastAsia="lv-LV"/>
              </w:rPr>
              <w:t>500</w:t>
            </w:r>
          </w:p>
        </w:tc>
      </w:tr>
      <w:tr w:rsidR="001658B7" w:rsidRPr="001658B7" w14:paraId="1F25F332" w14:textId="77777777" w:rsidTr="009339BE">
        <w:trPr>
          <w:jc w:val="center"/>
        </w:trPr>
        <w:tc>
          <w:tcPr>
            <w:tcW w:w="1656" w:type="dxa"/>
          </w:tcPr>
          <w:p w14:paraId="32E43965"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2.2. valsts speciālais budžets</w:t>
            </w:r>
          </w:p>
        </w:tc>
        <w:tc>
          <w:tcPr>
            <w:tcW w:w="1190" w:type="dxa"/>
            <w:vAlign w:val="center"/>
          </w:tcPr>
          <w:p w14:paraId="787AB26D"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3" w:type="dxa"/>
            <w:vAlign w:val="center"/>
          </w:tcPr>
          <w:p w14:paraId="161BFE87"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4B004F7E"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65F6756E"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2151" w:type="dxa"/>
            <w:vAlign w:val="center"/>
          </w:tcPr>
          <w:p w14:paraId="3B03E2F0"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r>
      <w:tr w:rsidR="001658B7" w:rsidRPr="001658B7" w14:paraId="33C03E99" w14:textId="77777777" w:rsidTr="009339BE">
        <w:trPr>
          <w:jc w:val="center"/>
        </w:trPr>
        <w:tc>
          <w:tcPr>
            <w:tcW w:w="1656" w:type="dxa"/>
          </w:tcPr>
          <w:p w14:paraId="0DEF8F1F"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 xml:space="preserve">2.3. pašvaldību budžets </w:t>
            </w:r>
          </w:p>
        </w:tc>
        <w:tc>
          <w:tcPr>
            <w:tcW w:w="1190" w:type="dxa"/>
            <w:vAlign w:val="center"/>
          </w:tcPr>
          <w:p w14:paraId="3A525674"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3" w:type="dxa"/>
            <w:vAlign w:val="center"/>
          </w:tcPr>
          <w:p w14:paraId="03CB70D8"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2EB4B3A2"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655C2B49"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2151" w:type="dxa"/>
            <w:vAlign w:val="center"/>
          </w:tcPr>
          <w:p w14:paraId="1BF57CC4"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r>
      <w:tr w:rsidR="001658B7" w:rsidRPr="001658B7" w14:paraId="05E0FC4B" w14:textId="77777777" w:rsidTr="009339BE">
        <w:trPr>
          <w:jc w:val="center"/>
        </w:trPr>
        <w:tc>
          <w:tcPr>
            <w:tcW w:w="1656" w:type="dxa"/>
          </w:tcPr>
          <w:p w14:paraId="712E53CA"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3. Finansiālā ietekme:</w:t>
            </w:r>
          </w:p>
        </w:tc>
        <w:tc>
          <w:tcPr>
            <w:tcW w:w="1190" w:type="dxa"/>
            <w:shd w:val="clear" w:color="auto" w:fill="auto"/>
            <w:vAlign w:val="center"/>
          </w:tcPr>
          <w:p w14:paraId="19514EEB" w14:textId="77777777" w:rsidR="001658B7" w:rsidRPr="001658B7" w:rsidRDefault="001658B7" w:rsidP="001658B7">
            <w:pPr>
              <w:jc w:val="center"/>
              <w:rPr>
                <w:rFonts w:ascii="Times New Roman" w:eastAsia="Times New Roman" w:hAnsi="Times New Roman" w:cs="Times New Roman"/>
                <w:b/>
                <w:lang w:eastAsia="lv-LV"/>
              </w:rPr>
            </w:pPr>
            <w:r w:rsidRPr="001658B7">
              <w:rPr>
                <w:rFonts w:ascii="Times New Roman" w:eastAsia="Times New Roman" w:hAnsi="Times New Roman" w:cs="Times New Roman"/>
                <w:b/>
                <w:lang w:eastAsia="lv-LV"/>
              </w:rPr>
              <w:t>0</w:t>
            </w:r>
          </w:p>
        </w:tc>
        <w:tc>
          <w:tcPr>
            <w:tcW w:w="1493" w:type="dxa"/>
            <w:vAlign w:val="center"/>
          </w:tcPr>
          <w:p w14:paraId="5F4D3B73" w14:textId="740257C9" w:rsidR="001658B7" w:rsidRPr="007C5451" w:rsidRDefault="00EB674A" w:rsidP="001658B7">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0</w:t>
            </w:r>
          </w:p>
        </w:tc>
        <w:tc>
          <w:tcPr>
            <w:tcW w:w="1491" w:type="dxa"/>
            <w:vAlign w:val="center"/>
          </w:tcPr>
          <w:p w14:paraId="30EE9FD1" w14:textId="5930EB6D" w:rsidR="001658B7" w:rsidRPr="007C5451" w:rsidRDefault="006F3285" w:rsidP="007C5451">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0</w:t>
            </w:r>
          </w:p>
        </w:tc>
        <w:tc>
          <w:tcPr>
            <w:tcW w:w="1491" w:type="dxa"/>
            <w:vAlign w:val="center"/>
          </w:tcPr>
          <w:p w14:paraId="4D75E420" w14:textId="65EDA55A" w:rsidR="001658B7" w:rsidRPr="007C5451" w:rsidRDefault="001658B7" w:rsidP="007C5451">
            <w:pPr>
              <w:jc w:val="center"/>
              <w:rPr>
                <w:rFonts w:ascii="Times New Roman" w:eastAsia="Times New Roman" w:hAnsi="Times New Roman" w:cs="Times New Roman"/>
                <w:b/>
                <w:lang w:eastAsia="lv-LV"/>
              </w:rPr>
            </w:pPr>
            <w:r w:rsidRPr="007C5451">
              <w:rPr>
                <w:rFonts w:ascii="Times New Roman" w:eastAsia="Times New Roman" w:hAnsi="Times New Roman" w:cs="Times New Roman"/>
                <w:b/>
                <w:lang w:eastAsia="lv-LV"/>
              </w:rPr>
              <w:t>-</w:t>
            </w:r>
            <w:r w:rsidR="006F3285">
              <w:rPr>
                <w:rFonts w:ascii="Times New Roman" w:eastAsia="Times New Roman" w:hAnsi="Times New Roman" w:cs="Times New Roman"/>
                <w:b/>
                <w:lang w:eastAsia="lv-LV"/>
              </w:rPr>
              <w:t>35</w:t>
            </w:r>
            <w:r w:rsidR="007C5451">
              <w:rPr>
                <w:rFonts w:ascii="Times New Roman" w:eastAsia="Times New Roman" w:hAnsi="Times New Roman" w:cs="Times New Roman"/>
                <w:b/>
                <w:lang w:eastAsia="lv-LV"/>
              </w:rPr>
              <w:t>2500</w:t>
            </w:r>
          </w:p>
        </w:tc>
        <w:tc>
          <w:tcPr>
            <w:tcW w:w="2151" w:type="dxa"/>
            <w:vAlign w:val="center"/>
          </w:tcPr>
          <w:p w14:paraId="3EBD793D" w14:textId="7E3FE907" w:rsidR="001658B7" w:rsidRPr="007C5451" w:rsidRDefault="001658B7" w:rsidP="007C5451">
            <w:pPr>
              <w:jc w:val="center"/>
              <w:rPr>
                <w:rFonts w:ascii="Times New Roman" w:eastAsia="Times New Roman" w:hAnsi="Times New Roman" w:cs="Times New Roman"/>
                <w:b/>
                <w:lang w:eastAsia="lv-LV"/>
              </w:rPr>
            </w:pPr>
            <w:r w:rsidRPr="007C5451">
              <w:rPr>
                <w:rFonts w:ascii="Times New Roman" w:eastAsia="Times New Roman" w:hAnsi="Times New Roman" w:cs="Times New Roman"/>
                <w:b/>
                <w:lang w:eastAsia="lv-LV"/>
              </w:rPr>
              <w:t>-</w:t>
            </w:r>
            <w:r w:rsidR="006F3285">
              <w:rPr>
                <w:rFonts w:ascii="Times New Roman" w:eastAsia="Times New Roman" w:hAnsi="Times New Roman" w:cs="Times New Roman"/>
                <w:b/>
                <w:lang w:eastAsia="lv-LV"/>
              </w:rPr>
              <w:t>40</w:t>
            </w:r>
            <w:r w:rsidR="007C5451">
              <w:rPr>
                <w:rFonts w:ascii="Times New Roman" w:eastAsia="Times New Roman" w:hAnsi="Times New Roman" w:cs="Times New Roman"/>
                <w:b/>
                <w:lang w:eastAsia="lv-LV"/>
              </w:rPr>
              <w:t>2500</w:t>
            </w:r>
          </w:p>
        </w:tc>
      </w:tr>
      <w:tr w:rsidR="001658B7" w:rsidRPr="001658B7" w14:paraId="1BF8DEE0" w14:textId="77777777" w:rsidTr="009339BE">
        <w:trPr>
          <w:jc w:val="center"/>
        </w:trPr>
        <w:tc>
          <w:tcPr>
            <w:tcW w:w="1656" w:type="dxa"/>
          </w:tcPr>
          <w:p w14:paraId="233B88A3"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3.1. valsts pamatbudžets</w:t>
            </w:r>
          </w:p>
        </w:tc>
        <w:tc>
          <w:tcPr>
            <w:tcW w:w="1190" w:type="dxa"/>
            <w:shd w:val="clear" w:color="auto" w:fill="auto"/>
            <w:vAlign w:val="center"/>
          </w:tcPr>
          <w:p w14:paraId="3DF5A251"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3" w:type="dxa"/>
            <w:vAlign w:val="center"/>
          </w:tcPr>
          <w:p w14:paraId="1360D3BF" w14:textId="16E70B6D" w:rsidR="001658B7" w:rsidRPr="001658B7" w:rsidRDefault="00EB674A" w:rsidP="001658B7">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1491" w:type="dxa"/>
            <w:vAlign w:val="center"/>
          </w:tcPr>
          <w:p w14:paraId="04A80375" w14:textId="5F67AB5C" w:rsidR="001658B7" w:rsidRPr="001658B7" w:rsidRDefault="006F3285" w:rsidP="001658B7">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1491" w:type="dxa"/>
            <w:vAlign w:val="center"/>
          </w:tcPr>
          <w:p w14:paraId="3C995467" w14:textId="74EEE122"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w:t>
            </w:r>
            <w:r w:rsidR="006F3285">
              <w:rPr>
                <w:rFonts w:ascii="Times New Roman" w:eastAsia="Calibri" w:hAnsi="Times New Roman" w:cs="Times New Roman"/>
                <w:lang w:eastAsia="lv-LV"/>
              </w:rPr>
              <w:t>35</w:t>
            </w:r>
            <w:r w:rsidR="007C5451">
              <w:rPr>
                <w:rFonts w:ascii="Times New Roman" w:eastAsia="Calibri" w:hAnsi="Times New Roman" w:cs="Times New Roman"/>
                <w:lang w:eastAsia="lv-LV"/>
              </w:rPr>
              <w:t>2500</w:t>
            </w:r>
          </w:p>
        </w:tc>
        <w:tc>
          <w:tcPr>
            <w:tcW w:w="2151" w:type="dxa"/>
            <w:vAlign w:val="center"/>
          </w:tcPr>
          <w:p w14:paraId="6147D666" w14:textId="2B1C3FB0"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w:t>
            </w:r>
            <w:r w:rsidR="006F3285">
              <w:rPr>
                <w:rFonts w:ascii="Times New Roman" w:eastAsia="Calibri" w:hAnsi="Times New Roman" w:cs="Times New Roman"/>
                <w:lang w:eastAsia="lv-LV"/>
              </w:rPr>
              <w:t>40</w:t>
            </w:r>
            <w:r w:rsidR="007C5451">
              <w:rPr>
                <w:rFonts w:ascii="Times New Roman" w:eastAsia="Calibri" w:hAnsi="Times New Roman" w:cs="Times New Roman"/>
                <w:lang w:eastAsia="lv-LV"/>
              </w:rPr>
              <w:t>2500</w:t>
            </w:r>
          </w:p>
        </w:tc>
      </w:tr>
      <w:tr w:rsidR="001658B7" w:rsidRPr="001658B7" w14:paraId="279CEE24" w14:textId="77777777" w:rsidTr="009339BE">
        <w:trPr>
          <w:jc w:val="center"/>
        </w:trPr>
        <w:tc>
          <w:tcPr>
            <w:tcW w:w="1656" w:type="dxa"/>
          </w:tcPr>
          <w:p w14:paraId="358AE65B"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3.2. speciālais budžets</w:t>
            </w:r>
          </w:p>
        </w:tc>
        <w:tc>
          <w:tcPr>
            <w:tcW w:w="1190" w:type="dxa"/>
            <w:shd w:val="clear" w:color="auto" w:fill="auto"/>
            <w:vAlign w:val="center"/>
          </w:tcPr>
          <w:p w14:paraId="2CB406A1"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3" w:type="dxa"/>
            <w:vAlign w:val="center"/>
          </w:tcPr>
          <w:p w14:paraId="116F129A"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6D2955B1"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65C94688"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2151" w:type="dxa"/>
            <w:vAlign w:val="center"/>
          </w:tcPr>
          <w:p w14:paraId="75A3CA83"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r>
      <w:tr w:rsidR="001658B7" w:rsidRPr="001658B7" w14:paraId="2FF46B97" w14:textId="77777777" w:rsidTr="009339BE">
        <w:trPr>
          <w:jc w:val="center"/>
        </w:trPr>
        <w:tc>
          <w:tcPr>
            <w:tcW w:w="1656" w:type="dxa"/>
          </w:tcPr>
          <w:p w14:paraId="4A6899F1"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 xml:space="preserve">3.3. pašvaldību budžets </w:t>
            </w:r>
          </w:p>
        </w:tc>
        <w:tc>
          <w:tcPr>
            <w:tcW w:w="1190" w:type="dxa"/>
            <w:shd w:val="clear" w:color="auto" w:fill="auto"/>
            <w:vAlign w:val="center"/>
          </w:tcPr>
          <w:p w14:paraId="29E69B9A"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3" w:type="dxa"/>
            <w:vAlign w:val="center"/>
          </w:tcPr>
          <w:p w14:paraId="0EEC2FC0"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15F09332"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494BB2B7"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2151" w:type="dxa"/>
            <w:vAlign w:val="center"/>
          </w:tcPr>
          <w:p w14:paraId="7813F03E"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r>
      <w:tr w:rsidR="001658B7" w:rsidRPr="001658B7" w14:paraId="7F20C621" w14:textId="77777777" w:rsidTr="009339BE">
        <w:trPr>
          <w:jc w:val="center"/>
        </w:trPr>
        <w:tc>
          <w:tcPr>
            <w:tcW w:w="1656" w:type="dxa"/>
            <w:vMerge w:val="restart"/>
          </w:tcPr>
          <w:p w14:paraId="4ED05D71"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4. Finanšu līdzekļi papildu izde</w:t>
            </w:r>
            <w:r w:rsidRPr="001658B7">
              <w:rPr>
                <w:rFonts w:ascii="Times New Roman" w:eastAsia="Times New Roman" w:hAnsi="Times New Roman" w:cs="Times New Roman"/>
                <w:lang w:eastAsia="lv-LV"/>
              </w:rPr>
              <w:softHyphen/>
              <w:t>vumu finansēšanai (kompensējošu izdevumu samazinājumu norāda ar "+" zīmi)</w:t>
            </w:r>
          </w:p>
        </w:tc>
        <w:tc>
          <w:tcPr>
            <w:tcW w:w="1190" w:type="dxa"/>
            <w:vMerge w:val="restart"/>
          </w:tcPr>
          <w:p w14:paraId="2A9D8CDF" w14:textId="77777777" w:rsidR="001658B7" w:rsidRPr="001658B7" w:rsidRDefault="001658B7" w:rsidP="001658B7">
            <w:pPr>
              <w:jc w:val="center"/>
              <w:rPr>
                <w:rFonts w:ascii="Times New Roman" w:eastAsia="Calibri" w:hAnsi="Times New Roman" w:cs="Times New Roman"/>
                <w:i/>
                <w:lang w:eastAsia="lv-LV"/>
              </w:rPr>
            </w:pPr>
            <w:r w:rsidRPr="001658B7">
              <w:rPr>
                <w:rFonts w:ascii="Times New Roman" w:eastAsia="Calibri" w:hAnsi="Times New Roman" w:cs="Times New Roman"/>
                <w:lang w:eastAsia="lv-LV"/>
              </w:rPr>
              <w:t>X</w:t>
            </w:r>
          </w:p>
        </w:tc>
        <w:tc>
          <w:tcPr>
            <w:tcW w:w="1493" w:type="dxa"/>
            <w:vAlign w:val="center"/>
          </w:tcPr>
          <w:p w14:paraId="79321229" w14:textId="77777777" w:rsidR="001658B7" w:rsidRPr="001658B7" w:rsidRDefault="001658B7" w:rsidP="001658B7">
            <w:pPr>
              <w:jc w:val="center"/>
              <w:rPr>
                <w:rFonts w:ascii="Times New Roman" w:eastAsia="Times New Roman" w:hAnsi="Times New Roman" w:cs="Times New Roman"/>
                <w:b/>
                <w:lang w:eastAsia="lv-LV"/>
              </w:rPr>
            </w:pPr>
            <w:r w:rsidRPr="001658B7">
              <w:rPr>
                <w:rFonts w:ascii="Times New Roman" w:eastAsia="Times New Roman" w:hAnsi="Times New Roman" w:cs="Times New Roman"/>
                <w:b/>
                <w:lang w:eastAsia="lv-LV"/>
              </w:rPr>
              <w:t>0</w:t>
            </w:r>
          </w:p>
        </w:tc>
        <w:tc>
          <w:tcPr>
            <w:tcW w:w="1491" w:type="dxa"/>
            <w:vAlign w:val="center"/>
          </w:tcPr>
          <w:p w14:paraId="10EFB638" w14:textId="77777777" w:rsidR="001658B7" w:rsidRPr="001658B7" w:rsidRDefault="001658B7" w:rsidP="001658B7">
            <w:pPr>
              <w:jc w:val="center"/>
              <w:rPr>
                <w:rFonts w:ascii="Times New Roman" w:eastAsia="Times New Roman" w:hAnsi="Times New Roman" w:cs="Times New Roman"/>
                <w:b/>
                <w:lang w:eastAsia="lv-LV"/>
              </w:rPr>
            </w:pPr>
            <w:r w:rsidRPr="001658B7">
              <w:rPr>
                <w:rFonts w:ascii="Times New Roman" w:eastAsia="Times New Roman" w:hAnsi="Times New Roman" w:cs="Times New Roman"/>
                <w:b/>
                <w:lang w:eastAsia="lv-LV"/>
              </w:rPr>
              <w:t>0</w:t>
            </w:r>
          </w:p>
        </w:tc>
        <w:tc>
          <w:tcPr>
            <w:tcW w:w="1491" w:type="dxa"/>
            <w:vAlign w:val="center"/>
          </w:tcPr>
          <w:p w14:paraId="572E379E" w14:textId="77777777" w:rsidR="001658B7" w:rsidRPr="001658B7" w:rsidRDefault="001658B7" w:rsidP="001658B7">
            <w:pPr>
              <w:jc w:val="center"/>
              <w:rPr>
                <w:rFonts w:ascii="Times New Roman" w:eastAsia="Times New Roman" w:hAnsi="Times New Roman" w:cs="Times New Roman"/>
                <w:b/>
                <w:lang w:eastAsia="lv-LV"/>
              </w:rPr>
            </w:pPr>
            <w:r w:rsidRPr="001658B7">
              <w:rPr>
                <w:rFonts w:ascii="Times New Roman" w:eastAsia="Times New Roman" w:hAnsi="Times New Roman" w:cs="Times New Roman"/>
                <w:b/>
                <w:lang w:eastAsia="lv-LV"/>
              </w:rPr>
              <w:t>0</w:t>
            </w:r>
          </w:p>
        </w:tc>
        <w:tc>
          <w:tcPr>
            <w:tcW w:w="2151" w:type="dxa"/>
            <w:vAlign w:val="center"/>
          </w:tcPr>
          <w:p w14:paraId="231887DC" w14:textId="77777777" w:rsidR="001658B7" w:rsidRPr="001658B7" w:rsidRDefault="001658B7" w:rsidP="001658B7">
            <w:pPr>
              <w:jc w:val="center"/>
              <w:rPr>
                <w:rFonts w:ascii="Times New Roman" w:eastAsia="Times New Roman" w:hAnsi="Times New Roman" w:cs="Times New Roman"/>
                <w:b/>
                <w:lang w:eastAsia="lv-LV"/>
              </w:rPr>
            </w:pPr>
            <w:r w:rsidRPr="001658B7">
              <w:rPr>
                <w:rFonts w:ascii="Times New Roman" w:eastAsia="Times New Roman" w:hAnsi="Times New Roman" w:cs="Times New Roman"/>
                <w:b/>
                <w:lang w:eastAsia="lv-LV"/>
              </w:rPr>
              <w:t>0</w:t>
            </w:r>
          </w:p>
        </w:tc>
      </w:tr>
      <w:tr w:rsidR="001658B7" w:rsidRPr="001658B7" w14:paraId="7BC4779F" w14:textId="77777777" w:rsidTr="009339BE">
        <w:trPr>
          <w:jc w:val="center"/>
        </w:trPr>
        <w:tc>
          <w:tcPr>
            <w:tcW w:w="1656" w:type="dxa"/>
            <w:vMerge/>
          </w:tcPr>
          <w:p w14:paraId="275DDD92" w14:textId="77777777" w:rsidR="001658B7" w:rsidRPr="001658B7" w:rsidRDefault="001658B7" w:rsidP="001658B7">
            <w:pPr>
              <w:rPr>
                <w:rFonts w:ascii="Times New Roman" w:eastAsia="Times New Roman" w:hAnsi="Times New Roman" w:cs="Times New Roman"/>
                <w:lang w:eastAsia="lv-LV"/>
              </w:rPr>
            </w:pPr>
          </w:p>
        </w:tc>
        <w:tc>
          <w:tcPr>
            <w:tcW w:w="1190" w:type="dxa"/>
            <w:vMerge/>
          </w:tcPr>
          <w:p w14:paraId="5709EDFF" w14:textId="77777777" w:rsidR="001658B7" w:rsidRPr="001658B7" w:rsidRDefault="001658B7" w:rsidP="001658B7">
            <w:pPr>
              <w:jc w:val="center"/>
              <w:rPr>
                <w:rFonts w:ascii="Times New Roman" w:eastAsia="Calibri" w:hAnsi="Times New Roman" w:cs="Times New Roman"/>
                <w:i/>
                <w:lang w:eastAsia="lv-LV"/>
              </w:rPr>
            </w:pPr>
          </w:p>
        </w:tc>
        <w:tc>
          <w:tcPr>
            <w:tcW w:w="1493" w:type="dxa"/>
            <w:vAlign w:val="center"/>
          </w:tcPr>
          <w:p w14:paraId="32FC462D"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131CED77"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57CE9BC9"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2151" w:type="dxa"/>
            <w:vAlign w:val="center"/>
          </w:tcPr>
          <w:p w14:paraId="2C3B58A5"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r>
      <w:tr w:rsidR="001658B7" w:rsidRPr="001658B7" w14:paraId="6B66554B" w14:textId="77777777" w:rsidTr="009339BE">
        <w:trPr>
          <w:trHeight w:val="735"/>
          <w:jc w:val="center"/>
        </w:trPr>
        <w:tc>
          <w:tcPr>
            <w:tcW w:w="1656" w:type="dxa"/>
            <w:vMerge/>
          </w:tcPr>
          <w:p w14:paraId="3B2E0C1E" w14:textId="77777777" w:rsidR="001658B7" w:rsidRPr="001658B7" w:rsidRDefault="001658B7" w:rsidP="001658B7">
            <w:pPr>
              <w:rPr>
                <w:rFonts w:ascii="Times New Roman" w:eastAsia="Times New Roman" w:hAnsi="Times New Roman" w:cs="Times New Roman"/>
                <w:lang w:eastAsia="lv-LV"/>
              </w:rPr>
            </w:pPr>
          </w:p>
        </w:tc>
        <w:tc>
          <w:tcPr>
            <w:tcW w:w="1190" w:type="dxa"/>
            <w:vMerge/>
          </w:tcPr>
          <w:p w14:paraId="7093B064" w14:textId="77777777" w:rsidR="001658B7" w:rsidRPr="001658B7" w:rsidRDefault="001658B7" w:rsidP="001658B7">
            <w:pPr>
              <w:jc w:val="center"/>
              <w:rPr>
                <w:rFonts w:ascii="Times New Roman" w:eastAsia="Calibri" w:hAnsi="Times New Roman" w:cs="Times New Roman"/>
                <w:i/>
                <w:lang w:eastAsia="lv-LV"/>
              </w:rPr>
            </w:pPr>
          </w:p>
        </w:tc>
        <w:tc>
          <w:tcPr>
            <w:tcW w:w="1493" w:type="dxa"/>
            <w:vAlign w:val="center"/>
          </w:tcPr>
          <w:p w14:paraId="6CE2CFD5"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544C009C"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02C03F9C"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2151" w:type="dxa"/>
            <w:vAlign w:val="center"/>
          </w:tcPr>
          <w:p w14:paraId="2454FC78"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r>
      <w:tr w:rsidR="001658B7" w:rsidRPr="001658B7" w14:paraId="2244B14C" w14:textId="77777777" w:rsidTr="009339BE">
        <w:trPr>
          <w:jc w:val="center"/>
        </w:trPr>
        <w:tc>
          <w:tcPr>
            <w:tcW w:w="1656" w:type="dxa"/>
          </w:tcPr>
          <w:p w14:paraId="4FE31CF3"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5. Precizēta finansiālā ietekme:</w:t>
            </w:r>
          </w:p>
        </w:tc>
        <w:tc>
          <w:tcPr>
            <w:tcW w:w="1190" w:type="dxa"/>
            <w:vMerge w:val="restart"/>
          </w:tcPr>
          <w:p w14:paraId="56DA761C" w14:textId="77777777" w:rsidR="001658B7" w:rsidRPr="001658B7" w:rsidRDefault="001658B7" w:rsidP="001658B7">
            <w:pPr>
              <w:jc w:val="center"/>
              <w:rPr>
                <w:rFonts w:ascii="Times New Roman" w:eastAsia="Calibri" w:hAnsi="Times New Roman" w:cs="Times New Roman"/>
                <w:i/>
                <w:lang w:eastAsia="lv-LV"/>
              </w:rPr>
            </w:pPr>
            <w:r w:rsidRPr="001658B7">
              <w:rPr>
                <w:rFonts w:ascii="Times New Roman" w:eastAsia="Calibri" w:hAnsi="Times New Roman" w:cs="Times New Roman"/>
                <w:lang w:eastAsia="lv-LV"/>
              </w:rPr>
              <w:t>X</w:t>
            </w:r>
          </w:p>
        </w:tc>
        <w:tc>
          <w:tcPr>
            <w:tcW w:w="1493" w:type="dxa"/>
            <w:vAlign w:val="center"/>
          </w:tcPr>
          <w:p w14:paraId="15F1F63A" w14:textId="77777777" w:rsidR="001658B7" w:rsidRPr="001658B7" w:rsidRDefault="001658B7" w:rsidP="001658B7">
            <w:pPr>
              <w:jc w:val="center"/>
              <w:rPr>
                <w:rFonts w:ascii="Times New Roman" w:eastAsia="Times New Roman" w:hAnsi="Times New Roman" w:cs="Times New Roman"/>
                <w:b/>
                <w:lang w:eastAsia="lv-LV"/>
              </w:rPr>
            </w:pPr>
            <w:r w:rsidRPr="001658B7">
              <w:rPr>
                <w:rFonts w:ascii="Times New Roman" w:eastAsia="Times New Roman" w:hAnsi="Times New Roman" w:cs="Times New Roman"/>
                <w:b/>
                <w:lang w:eastAsia="lv-LV"/>
              </w:rPr>
              <w:t>0</w:t>
            </w:r>
          </w:p>
        </w:tc>
        <w:tc>
          <w:tcPr>
            <w:tcW w:w="1491" w:type="dxa"/>
            <w:vAlign w:val="center"/>
          </w:tcPr>
          <w:p w14:paraId="7E7FD1AE" w14:textId="77777777" w:rsidR="001658B7" w:rsidRPr="001658B7" w:rsidRDefault="001658B7" w:rsidP="001658B7">
            <w:pPr>
              <w:jc w:val="center"/>
              <w:rPr>
                <w:rFonts w:ascii="Times New Roman" w:eastAsia="Times New Roman" w:hAnsi="Times New Roman" w:cs="Times New Roman"/>
                <w:b/>
                <w:lang w:eastAsia="lv-LV"/>
              </w:rPr>
            </w:pPr>
            <w:r w:rsidRPr="001658B7">
              <w:rPr>
                <w:rFonts w:ascii="Times New Roman" w:eastAsia="Times New Roman" w:hAnsi="Times New Roman" w:cs="Times New Roman"/>
                <w:b/>
                <w:lang w:eastAsia="lv-LV"/>
              </w:rPr>
              <w:t>0</w:t>
            </w:r>
          </w:p>
        </w:tc>
        <w:tc>
          <w:tcPr>
            <w:tcW w:w="1491" w:type="dxa"/>
            <w:vAlign w:val="center"/>
          </w:tcPr>
          <w:p w14:paraId="089BEC69" w14:textId="77777777" w:rsidR="001658B7" w:rsidRPr="001658B7" w:rsidRDefault="001658B7" w:rsidP="001658B7">
            <w:pPr>
              <w:jc w:val="center"/>
              <w:rPr>
                <w:rFonts w:ascii="Times New Roman" w:eastAsia="Times New Roman" w:hAnsi="Times New Roman" w:cs="Times New Roman"/>
                <w:b/>
                <w:lang w:eastAsia="lv-LV"/>
              </w:rPr>
            </w:pPr>
            <w:r w:rsidRPr="001658B7">
              <w:rPr>
                <w:rFonts w:ascii="Times New Roman" w:eastAsia="Times New Roman" w:hAnsi="Times New Roman" w:cs="Times New Roman"/>
                <w:b/>
                <w:lang w:eastAsia="lv-LV"/>
              </w:rPr>
              <w:t>0</w:t>
            </w:r>
          </w:p>
        </w:tc>
        <w:tc>
          <w:tcPr>
            <w:tcW w:w="2151" w:type="dxa"/>
            <w:vAlign w:val="center"/>
          </w:tcPr>
          <w:p w14:paraId="60C936B5" w14:textId="77777777" w:rsidR="001658B7" w:rsidRPr="001658B7" w:rsidRDefault="001658B7" w:rsidP="001658B7">
            <w:pPr>
              <w:jc w:val="center"/>
              <w:rPr>
                <w:rFonts w:ascii="Times New Roman" w:eastAsia="Times New Roman" w:hAnsi="Times New Roman" w:cs="Times New Roman"/>
                <w:b/>
                <w:lang w:eastAsia="lv-LV"/>
              </w:rPr>
            </w:pPr>
            <w:r w:rsidRPr="001658B7">
              <w:rPr>
                <w:rFonts w:ascii="Times New Roman" w:eastAsia="Times New Roman" w:hAnsi="Times New Roman" w:cs="Times New Roman"/>
                <w:b/>
                <w:lang w:eastAsia="lv-LV"/>
              </w:rPr>
              <w:t>0</w:t>
            </w:r>
          </w:p>
        </w:tc>
      </w:tr>
      <w:tr w:rsidR="001658B7" w:rsidRPr="001658B7" w14:paraId="0A593581" w14:textId="77777777" w:rsidTr="009339BE">
        <w:trPr>
          <w:jc w:val="center"/>
        </w:trPr>
        <w:tc>
          <w:tcPr>
            <w:tcW w:w="1656" w:type="dxa"/>
          </w:tcPr>
          <w:p w14:paraId="40526788"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5.1. valsts pamatbudžets</w:t>
            </w:r>
          </w:p>
        </w:tc>
        <w:tc>
          <w:tcPr>
            <w:tcW w:w="1190" w:type="dxa"/>
            <w:vMerge/>
            <w:vAlign w:val="center"/>
          </w:tcPr>
          <w:p w14:paraId="345AABB7" w14:textId="77777777" w:rsidR="001658B7" w:rsidRPr="001658B7" w:rsidRDefault="001658B7" w:rsidP="001658B7">
            <w:pPr>
              <w:jc w:val="center"/>
              <w:rPr>
                <w:rFonts w:ascii="Times New Roman" w:eastAsia="Calibri" w:hAnsi="Times New Roman" w:cs="Times New Roman"/>
                <w:i/>
                <w:lang w:eastAsia="lv-LV"/>
              </w:rPr>
            </w:pPr>
          </w:p>
        </w:tc>
        <w:tc>
          <w:tcPr>
            <w:tcW w:w="1493" w:type="dxa"/>
            <w:vAlign w:val="center"/>
          </w:tcPr>
          <w:p w14:paraId="157A671F"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13D2C95C"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188391A3"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2151" w:type="dxa"/>
            <w:vAlign w:val="center"/>
          </w:tcPr>
          <w:p w14:paraId="0A76CB12"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r>
      <w:tr w:rsidR="001658B7" w:rsidRPr="001658B7" w14:paraId="5D250DD1" w14:textId="77777777" w:rsidTr="009339BE">
        <w:trPr>
          <w:jc w:val="center"/>
        </w:trPr>
        <w:tc>
          <w:tcPr>
            <w:tcW w:w="1656" w:type="dxa"/>
          </w:tcPr>
          <w:p w14:paraId="1B663FAD"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lastRenderedPageBreak/>
              <w:t>5.2. speciālais budžets</w:t>
            </w:r>
          </w:p>
        </w:tc>
        <w:tc>
          <w:tcPr>
            <w:tcW w:w="1190" w:type="dxa"/>
            <w:vMerge/>
            <w:vAlign w:val="center"/>
          </w:tcPr>
          <w:p w14:paraId="3CA590F6" w14:textId="77777777" w:rsidR="001658B7" w:rsidRPr="001658B7" w:rsidRDefault="001658B7" w:rsidP="001658B7">
            <w:pPr>
              <w:jc w:val="center"/>
              <w:rPr>
                <w:rFonts w:ascii="Times New Roman" w:eastAsia="Calibri" w:hAnsi="Times New Roman" w:cs="Times New Roman"/>
                <w:i/>
                <w:lang w:eastAsia="lv-LV"/>
              </w:rPr>
            </w:pPr>
          </w:p>
        </w:tc>
        <w:tc>
          <w:tcPr>
            <w:tcW w:w="1493" w:type="dxa"/>
            <w:vAlign w:val="center"/>
          </w:tcPr>
          <w:p w14:paraId="36B7014A"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25B93825"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4DABA920"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2151" w:type="dxa"/>
            <w:vAlign w:val="center"/>
          </w:tcPr>
          <w:p w14:paraId="4D84079E"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r>
      <w:tr w:rsidR="001658B7" w:rsidRPr="001658B7" w14:paraId="12C053B0" w14:textId="77777777" w:rsidTr="009339BE">
        <w:trPr>
          <w:jc w:val="center"/>
        </w:trPr>
        <w:tc>
          <w:tcPr>
            <w:tcW w:w="1656" w:type="dxa"/>
          </w:tcPr>
          <w:p w14:paraId="718FE776"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 xml:space="preserve">5.3. pašvaldību budžets </w:t>
            </w:r>
          </w:p>
        </w:tc>
        <w:tc>
          <w:tcPr>
            <w:tcW w:w="1190" w:type="dxa"/>
            <w:vMerge/>
            <w:vAlign w:val="center"/>
          </w:tcPr>
          <w:p w14:paraId="38AF8038" w14:textId="77777777" w:rsidR="001658B7" w:rsidRPr="001658B7" w:rsidRDefault="001658B7" w:rsidP="001658B7">
            <w:pPr>
              <w:jc w:val="center"/>
              <w:rPr>
                <w:rFonts w:ascii="Times New Roman" w:eastAsia="Calibri" w:hAnsi="Times New Roman" w:cs="Times New Roman"/>
                <w:i/>
                <w:lang w:eastAsia="lv-LV"/>
              </w:rPr>
            </w:pPr>
          </w:p>
        </w:tc>
        <w:tc>
          <w:tcPr>
            <w:tcW w:w="1493" w:type="dxa"/>
            <w:vAlign w:val="center"/>
          </w:tcPr>
          <w:p w14:paraId="3FD6C2FB"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2D02DA78"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1491" w:type="dxa"/>
            <w:vAlign w:val="center"/>
          </w:tcPr>
          <w:p w14:paraId="61840BC7"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c>
          <w:tcPr>
            <w:tcW w:w="2151" w:type="dxa"/>
            <w:vAlign w:val="center"/>
          </w:tcPr>
          <w:p w14:paraId="21C4B77F" w14:textId="77777777" w:rsidR="001658B7" w:rsidRPr="001658B7" w:rsidRDefault="001658B7" w:rsidP="001658B7">
            <w:pPr>
              <w:jc w:val="cente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0</w:t>
            </w:r>
          </w:p>
        </w:tc>
      </w:tr>
      <w:tr w:rsidR="001658B7" w:rsidRPr="001658B7" w14:paraId="5606807B" w14:textId="77777777" w:rsidTr="009339BE">
        <w:trPr>
          <w:jc w:val="center"/>
        </w:trPr>
        <w:tc>
          <w:tcPr>
            <w:tcW w:w="1656" w:type="dxa"/>
          </w:tcPr>
          <w:p w14:paraId="77574487"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6. Detalizēts ieņēmumu un izdevu</w:t>
            </w:r>
            <w:r w:rsidRPr="001658B7">
              <w:rPr>
                <w:rFonts w:ascii="Times New Roman" w:eastAsia="Times New Roman" w:hAnsi="Times New Roman" w:cs="Times New Roman"/>
                <w:lang w:eastAsia="lv-LV"/>
              </w:rPr>
              <w:softHyphen/>
              <w:t>mu aprēķins (ja nepieciešams, detalizētu ieņēmumu un izdevumu aprēķinu var pievienot anotācijas pielikumā):</w:t>
            </w:r>
          </w:p>
        </w:tc>
        <w:tc>
          <w:tcPr>
            <w:tcW w:w="7816" w:type="dxa"/>
            <w:gridSpan w:val="5"/>
            <w:vMerge w:val="restart"/>
          </w:tcPr>
          <w:p w14:paraId="69ECD4B8" w14:textId="77777777" w:rsidR="001658B7" w:rsidRPr="007C5451" w:rsidRDefault="001658B7" w:rsidP="001658B7">
            <w:pPr>
              <w:jc w:val="right"/>
              <w:rPr>
                <w:rFonts w:ascii="Times New Roman" w:eastAsia="Times New Roman" w:hAnsi="Times New Roman" w:cs="Times New Roman"/>
                <w:b/>
                <w:lang w:eastAsia="lv-LV"/>
              </w:rPr>
            </w:pPr>
          </w:p>
          <w:p w14:paraId="4655DBD1" w14:textId="09194A20" w:rsidR="007C5451" w:rsidRPr="00226850" w:rsidRDefault="007C5451" w:rsidP="007C5451">
            <w:pPr>
              <w:jc w:val="both"/>
              <w:rPr>
                <w:rFonts w:ascii="Times New Roman" w:hAnsi="Times New Roman" w:cs="Times New Roman"/>
              </w:rPr>
            </w:pPr>
            <w:r w:rsidRPr="00226850">
              <w:rPr>
                <w:rFonts w:ascii="Times New Roman" w:hAnsi="Times New Roman" w:cs="Times New Roman"/>
              </w:rPr>
              <w:t>Lai īstenotu šajā konceptuālajā ziņojumā minēto pasākumu, kas nepieciešami Latvijas nacionālās standartizācijas pilnveidošanai, nacionālajai standartizācijas institūcijai nepieciešams finansējums</w:t>
            </w:r>
            <w:r w:rsidR="00AC085A">
              <w:rPr>
                <w:rFonts w:ascii="Times New Roman" w:hAnsi="Times New Roman" w:cs="Times New Roman"/>
              </w:rPr>
              <w:t xml:space="preserve">, kas saistīts ar nacionālās standartizācijas institūcijas uzturēšanas izdevumiem, standartu informatīvās bāzes aktualizāciju un </w:t>
            </w:r>
            <w:r w:rsidR="00C17B4C">
              <w:rPr>
                <w:rFonts w:ascii="Times New Roman" w:hAnsi="Times New Roman" w:cs="Times New Roman"/>
              </w:rPr>
              <w:t xml:space="preserve">papildināšanu, nacionālo standartu izstrādāšanu un starptautisko standartu </w:t>
            </w:r>
            <w:r w:rsidR="00C921A0">
              <w:rPr>
                <w:rFonts w:ascii="Times New Roman" w:hAnsi="Times New Roman" w:cs="Times New Roman"/>
              </w:rPr>
              <w:t>adaptāciju. Minētai</w:t>
            </w:r>
            <w:r w:rsidR="00C17B4C">
              <w:rPr>
                <w:rFonts w:ascii="Times New Roman" w:hAnsi="Times New Roman" w:cs="Times New Roman"/>
              </w:rPr>
              <w:t xml:space="preserve">s finansējums aptver </w:t>
            </w:r>
            <w:r w:rsidR="00C17B4C" w:rsidRPr="00C17B4C">
              <w:rPr>
                <w:rFonts w:ascii="Times New Roman" w:hAnsi="Times New Roman" w:cs="Times New Roman"/>
              </w:rPr>
              <w:t>šādas izmaksu pozīcijas</w:t>
            </w:r>
            <w:r w:rsidRPr="00226850">
              <w:rPr>
                <w:rFonts w:ascii="Times New Roman" w:hAnsi="Times New Roman" w:cs="Times New Roman"/>
              </w:rPr>
              <w:t>:</w:t>
            </w:r>
          </w:p>
          <w:p w14:paraId="66DEC840" w14:textId="3643581E" w:rsidR="007C5451" w:rsidRPr="00226850" w:rsidRDefault="007C5451" w:rsidP="007C5451">
            <w:pPr>
              <w:pStyle w:val="ListParagraph"/>
              <w:numPr>
                <w:ilvl w:val="0"/>
                <w:numId w:val="27"/>
              </w:numPr>
              <w:jc w:val="both"/>
              <w:rPr>
                <w:rFonts w:ascii="Times New Roman" w:hAnsi="Times New Roman" w:cs="Times New Roman"/>
              </w:rPr>
            </w:pPr>
            <w:r w:rsidRPr="00226850">
              <w:rPr>
                <w:rFonts w:ascii="Times New Roman" w:hAnsi="Times New Roman" w:cs="Times New Roman"/>
              </w:rPr>
              <w:t>Atalgojums 6.amata vietām</w:t>
            </w:r>
            <w:r w:rsidR="005A35F5">
              <w:rPr>
                <w:rFonts w:ascii="Times New Roman" w:hAnsi="Times New Roman" w:cs="Times New Roman"/>
              </w:rPr>
              <w:t xml:space="preserve">, </w:t>
            </w:r>
            <w:r w:rsidR="003A3DE3">
              <w:rPr>
                <w:rFonts w:ascii="Times New Roman" w:hAnsi="Times New Roman" w:cs="Times New Roman"/>
              </w:rPr>
              <w:t>kas kā minimums nepieciešamas pienācīgai nacionālās standartizācijas institūcijas uzturēšanai, lai sekmīgi pildītu savas funkcijas</w:t>
            </w:r>
            <w:r w:rsidRPr="00226850">
              <w:rPr>
                <w:rFonts w:ascii="Times New Roman" w:hAnsi="Times New Roman" w:cs="Times New Roman"/>
              </w:rPr>
              <w:t>: 134842 EUR:</w:t>
            </w:r>
          </w:p>
          <w:p w14:paraId="0BB52B9A" w14:textId="77777777" w:rsidR="007C5451" w:rsidRPr="00226850" w:rsidRDefault="007C5451" w:rsidP="007C5451">
            <w:pPr>
              <w:pStyle w:val="ListParagraph"/>
              <w:numPr>
                <w:ilvl w:val="1"/>
                <w:numId w:val="27"/>
              </w:numPr>
              <w:jc w:val="both"/>
              <w:rPr>
                <w:rFonts w:ascii="Times New Roman" w:hAnsi="Times New Roman" w:cs="Times New Roman"/>
              </w:rPr>
            </w:pPr>
            <w:r w:rsidRPr="00226850">
              <w:rPr>
                <w:rFonts w:ascii="Times New Roman" w:hAnsi="Times New Roman" w:cs="Times New Roman"/>
              </w:rPr>
              <w:t>1 amata vieta (1917+23,59%)*12=28430,64 EUR</w:t>
            </w:r>
          </w:p>
          <w:p w14:paraId="40565916" w14:textId="77777777" w:rsidR="007C5451" w:rsidRPr="00226850" w:rsidRDefault="007C5451" w:rsidP="007C5451">
            <w:pPr>
              <w:pStyle w:val="ListParagraph"/>
              <w:numPr>
                <w:ilvl w:val="1"/>
                <w:numId w:val="27"/>
              </w:numPr>
              <w:jc w:val="both"/>
              <w:rPr>
                <w:rFonts w:ascii="Times New Roman" w:hAnsi="Times New Roman" w:cs="Times New Roman"/>
              </w:rPr>
            </w:pPr>
            <w:r w:rsidRPr="00226850">
              <w:rPr>
                <w:rFonts w:ascii="Times New Roman" w:hAnsi="Times New Roman" w:cs="Times New Roman"/>
              </w:rPr>
              <w:t>1 amata vieta (1647+23,59%)*12=24426,33 EUR</w:t>
            </w:r>
          </w:p>
          <w:p w14:paraId="4BA465ED" w14:textId="72E4649B" w:rsidR="007C5451" w:rsidRPr="00226850" w:rsidRDefault="007C5451" w:rsidP="007C5451">
            <w:pPr>
              <w:pStyle w:val="ListParagraph"/>
              <w:numPr>
                <w:ilvl w:val="1"/>
                <w:numId w:val="27"/>
              </w:numPr>
              <w:jc w:val="both"/>
              <w:rPr>
                <w:rFonts w:ascii="Times New Roman" w:hAnsi="Times New Roman" w:cs="Times New Roman"/>
              </w:rPr>
            </w:pPr>
            <w:r w:rsidRPr="00226850">
              <w:rPr>
                <w:rFonts w:ascii="Times New Roman" w:hAnsi="Times New Roman" w:cs="Times New Roman"/>
              </w:rPr>
              <w:t>4 amata vietas (1382+23,59%)*12=8</w:t>
            </w:r>
            <w:r w:rsidR="006F3285" w:rsidRPr="006F3285">
              <w:rPr>
                <w:rFonts w:ascii="Times New Roman" w:hAnsi="Times New Roman" w:cs="Times New Roman"/>
              </w:rPr>
              <w:t>1984,66 EUR + 1 amata vieta 2020</w:t>
            </w:r>
            <w:r w:rsidRPr="00226850">
              <w:rPr>
                <w:rFonts w:ascii="Times New Roman" w:hAnsi="Times New Roman" w:cs="Times New Roman"/>
              </w:rPr>
              <w:t>.gadā: 20496,17 EUR</w:t>
            </w:r>
          </w:p>
          <w:p w14:paraId="7CE71321" w14:textId="0173CA51" w:rsidR="007C5451" w:rsidRPr="00226850" w:rsidRDefault="007C5451" w:rsidP="007C5451">
            <w:pPr>
              <w:pStyle w:val="ListParagraph"/>
              <w:numPr>
                <w:ilvl w:val="0"/>
                <w:numId w:val="27"/>
              </w:numPr>
              <w:jc w:val="both"/>
              <w:rPr>
                <w:rFonts w:ascii="Times New Roman" w:hAnsi="Times New Roman" w:cs="Times New Roman"/>
              </w:rPr>
            </w:pPr>
            <w:r w:rsidRPr="00226850">
              <w:rPr>
                <w:rFonts w:ascii="Times New Roman" w:hAnsi="Times New Roman" w:cs="Times New Roman"/>
              </w:rPr>
              <w:t xml:space="preserve">Atlīdzība par </w:t>
            </w:r>
            <w:r w:rsidR="00C921A0">
              <w:rPr>
                <w:rFonts w:ascii="Times New Roman" w:hAnsi="Times New Roman" w:cs="Times New Roman"/>
              </w:rPr>
              <w:t>nacionālo standartu izstrādi</w:t>
            </w:r>
            <w:r w:rsidR="003A3DE3" w:rsidRPr="003A3DE3">
              <w:rPr>
                <w:rFonts w:ascii="Times New Roman" w:hAnsi="Times New Roman" w:cs="Times New Roman"/>
              </w:rPr>
              <w:t>, k</w:t>
            </w:r>
            <w:r w:rsidR="003A3DE3">
              <w:rPr>
                <w:rFonts w:ascii="Times New Roman" w:hAnsi="Times New Roman" w:cs="Times New Roman"/>
              </w:rPr>
              <w:t xml:space="preserve">ā arī reģionālo un starptautisko standartu adaptāciju, izmantojot </w:t>
            </w:r>
            <w:r w:rsidRPr="00226850">
              <w:rPr>
                <w:rFonts w:ascii="Times New Roman" w:hAnsi="Times New Roman" w:cs="Times New Roman"/>
              </w:rPr>
              <w:t>tulko</w:t>
            </w:r>
            <w:r w:rsidR="003A3DE3">
              <w:rPr>
                <w:rFonts w:ascii="Times New Roman" w:hAnsi="Times New Roman" w:cs="Times New Roman"/>
              </w:rPr>
              <w:t>juma metodi</w:t>
            </w:r>
            <w:r w:rsidRPr="00226850">
              <w:rPr>
                <w:rFonts w:ascii="Times New Roman" w:hAnsi="Times New Roman" w:cs="Times New Roman"/>
              </w:rPr>
              <w:t>: 92004 EUR *</w:t>
            </w:r>
          </w:p>
          <w:p w14:paraId="47D5D79E" w14:textId="435DEADC" w:rsidR="007C5451" w:rsidRPr="00226850" w:rsidRDefault="007C5451" w:rsidP="007C5451">
            <w:pPr>
              <w:pStyle w:val="ListParagraph"/>
              <w:numPr>
                <w:ilvl w:val="0"/>
                <w:numId w:val="27"/>
              </w:numPr>
              <w:jc w:val="both"/>
              <w:rPr>
                <w:rFonts w:ascii="Times New Roman" w:hAnsi="Times New Roman" w:cs="Times New Roman"/>
              </w:rPr>
            </w:pPr>
            <w:r w:rsidRPr="00226850">
              <w:rPr>
                <w:rFonts w:ascii="Times New Roman" w:hAnsi="Times New Roman" w:cs="Times New Roman"/>
              </w:rPr>
              <w:t>Preces un pakalpojumi, t.sk. telpu īre darba vietām un konferencēm; informatīvie</w:t>
            </w:r>
            <w:r w:rsidR="00254699" w:rsidRPr="005A35F5">
              <w:rPr>
                <w:rFonts w:ascii="Times New Roman" w:hAnsi="Times New Roman" w:cs="Times New Roman"/>
              </w:rPr>
              <w:t xml:space="preserve"> materiāli</w:t>
            </w:r>
            <w:r w:rsidR="002C1DB1">
              <w:rPr>
                <w:rFonts w:ascii="Times New Roman" w:hAnsi="Times New Roman" w:cs="Times New Roman"/>
              </w:rPr>
              <w:t>, kas saistīti ar nacionālās standartizācijas institūcijas funkciju pildīšanu</w:t>
            </w:r>
            <w:r w:rsidRPr="00226850">
              <w:rPr>
                <w:rFonts w:ascii="Times New Roman" w:hAnsi="Times New Roman" w:cs="Times New Roman"/>
              </w:rPr>
              <w:t xml:space="preserve">: </w:t>
            </w:r>
          </w:p>
          <w:p w14:paraId="71BDA156" w14:textId="46C70C71" w:rsidR="007C5451" w:rsidRPr="00226850" w:rsidRDefault="006F3285" w:rsidP="007C5451">
            <w:pPr>
              <w:pStyle w:val="ListParagraph"/>
              <w:numPr>
                <w:ilvl w:val="1"/>
                <w:numId w:val="27"/>
              </w:numPr>
              <w:jc w:val="both"/>
              <w:rPr>
                <w:rFonts w:ascii="Times New Roman" w:hAnsi="Times New Roman" w:cs="Times New Roman"/>
              </w:rPr>
            </w:pPr>
            <w:r w:rsidRPr="006F3285">
              <w:rPr>
                <w:rFonts w:ascii="Times New Roman" w:hAnsi="Times New Roman" w:cs="Times New Roman"/>
              </w:rPr>
              <w:t>59074 EUR (2018</w:t>
            </w:r>
            <w:r w:rsidR="007C5451" w:rsidRPr="00226850">
              <w:rPr>
                <w:rFonts w:ascii="Times New Roman" w:hAnsi="Times New Roman" w:cs="Times New Roman"/>
              </w:rPr>
              <w:t>.gadā)</w:t>
            </w:r>
          </w:p>
          <w:p w14:paraId="12E35163" w14:textId="5962412F" w:rsidR="007C5451" w:rsidRPr="00226850" w:rsidRDefault="006F3285" w:rsidP="007C5451">
            <w:pPr>
              <w:pStyle w:val="ListParagraph"/>
              <w:numPr>
                <w:ilvl w:val="1"/>
                <w:numId w:val="27"/>
              </w:numPr>
              <w:jc w:val="both"/>
              <w:rPr>
                <w:rFonts w:ascii="Times New Roman" w:hAnsi="Times New Roman" w:cs="Times New Roman"/>
              </w:rPr>
            </w:pPr>
            <w:r w:rsidRPr="006F3285">
              <w:rPr>
                <w:rFonts w:ascii="Times New Roman" w:hAnsi="Times New Roman" w:cs="Times New Roman"/>
              </w:rPr>
              <w:t>69074 EUR (2019</w:t>
            </w:r>
            <w:r w:rsidR="007C5451" w:rsidRPr="00226850">
              <w:rPr>
                <w:rFonts w:ascii="Times New Roman" w:hAnsi="Times New Roman" w:cs="Times New Roman"/>
              </w:rPr>
              <w:t>.gadā)</w:t>
            </w:r>
          </w:p>
          <w:p w14:paraId="35B6013B" w14:textId="1B80A9E6" w:rsidR="007C5451" w:rsidRDefault="006F3285" w:rsidP="007C5451">
            <w:pPr>
              <w:pStyle w:val="ListParagraph"/>
              <w:numPr>
                <w:ilvl w:val="1"/>
                <w:numId w:val="27"/>
              </w:numPr>
              <w:jc w:val="both"/>
              <w:rPr>
                <w:rFonts w:ascii="Times New Roman" w:hAnsi="Times New Roman" w:cs="Times New Roman"/>
              </w:rPr>
            </w:pPr>
            <w:r w:rsidRPr="006F3285">
              <w:rPr>
                <w:rFonts w:ascii="Times New Roman" w:hAnsi="Times New Roman" w:cs="Times New Roman"/>
              </w:rPr>
              <w:t>90128 EUR (2020</w:t>
            </w:r>
            <w:r w:rsidR="007C5451" w:rsidRPr="00226850">
              <w:rPr>
                <w:rFonts w:ascii="Times New Roman" w:hAnsi="Times New Roman" w:cs="Times New Roman"/>
              </w:rPr>
              <w:t>.gadā)</w:t>
            </w:r>
          </w:p>
          <w:p w14:paraId="1A554115" w14:textId="2A16D527" w:rsidR="00772E2C" w:rsidRPr="00226850" w:rsidRDefault="00772E2C" w:rsidP="007C5451">
            <w:pPr>
              <w:pStyle w:val="ListParagraph"/>
              <w:numPr>
                <w:ilvl w:val="1"/>
                <w:numId w:val="27"/>
              </w:numPr>
              <w:jc w:val="both"/>
              <w:rPr>
                <w:rFonts w:ascii="Times New Roman" w:hAnsi="Times New Roman" w:cs="Times New Roman"/>
              </w:rPr>
            </w:pPr>
            <w:r>
              <w:rPr>
                <w:rFonts w:ascii="Times New Roman" w:hAnsi="Times New Roman" w:cs="Times New Roman"/>
              </w:rPr>
              <w:t>111182 EUR (2</w:t>
            </w:r>
            <w:r w:rsidR="006F3285">
              <w:rPr>
                <w:rFonts w:ascii="Times New Roman" w:hAnsi="Times New Roman" w:cs="Times New Roman"/>
              </w:rPr>
              <w:t>021</w:t>
            </w:r>
            <w:r>
              <w:rPr>
                <w:rFonts w:ascii="Times New Roman" w:hAnsi="Times New Roman" w:cs="Times New Roman"/>
              </w:rPr>
              <w:t>.gadā)</w:t>
            </w:r>
          </w:p>
          <w:p w14:paraId="225A0C1A" w14:textId="14969835" w:rsidR="007C5451" w:rsidRPr="00226850" w:rsidRDefault="007C5451" w:rsidP="007C5451">
            <w:pPr>
              <w:pStyle w:val="ListParagraph"/>
              <w:numPr>
                <w:ilvl w:val="0"/>
                <w:numId w:val="27"/>
              </w:numPr>
              <w:jc w:val="both"/>
              <w:rPr>
                <w:rFonts w:ascii="Times New Roman" w:hAnsi="Times New Roman" w:cs="Times New Roman"/>
              </w:rPr>
            </w:pPr>
            <w:r w:rsidRPr="00226850">
              <w:rPr>
                <w:rFonts w:ascii="Times New Roman" w:hAnsi="Times New Roman" w:cs="Times New Roman"/>
              </w:rPr>
              <w:t>Kapitālie ieguldījumi, t.sk. datu centra kapacitātes palielināšana un jaunu darba vietu iekārtošana</w:t>
            </w:r>
            <w:r w:rsidR="008A73C8">
              <w:rPr>
                <w:rFonts w:ascii="Times New Roman" w:hAnsi="Times New Roman" w:cs="Times New Roman"/>
              </w:rPr>
              <w:t>, kā samaksa par standartiem</w:t>
            </w:r>
            <w:r w:rsidR="002C1DB1">
              <w:rPr>
                <w:rFonts w:ascii="Times New Roman" w:hAnsi="Times New Roman" w:cs="Times New Roman"/>
              </w:rPr>
              <w:t>, lai nodrošinātu sabiedrībai pl</w:t>
            </w:r>
            <w:r w:rsidR="00F743D9">
              <w:rPr>
                <w:rFonts w:ascii="Times New Roman" w:hAnsi="Times New Roman" w:cs="Times New Roman"/>
              </w:rPr>
              <w:t>a</w:t>
            </w:r>
            <w:r w:rsidR="002C1DB1">
              <w:rPr>
                <w:rFonts w:ascii="Times New Roman" w:hAnsi="Times New Roman" w:cs="Times New Roman"/>
              </w:rPr>
              <w:t xml:space="preserve">šu pieejamību standartiem ne tikai </w:t>
            </w:r>
            <w:r w:rsidR="00F743D9">
              <w:rPr>
                <w:rFonts w:ascii="Times New Roman" w:hAnsi="Times New Roman" w:cs="Times New Roman"/>
              </w:rPr>
              <w:t>Rīgā, bet arī citās r</w:t>
            </w:r>
            <w:r w:rsidR="002C1DB1">
              <w:rPr>
                <w:rFonts w:ascii="Times New Roman" w:hAnsi="Times New Roman" w:cs="Times New Roman"/>
              </w:rPr>
              <w:t>epublikas pilsētās</w:t>
            </w:r>
            <w:r w:rsidR="00F743D9">
              <w:rPr>
                <w:rFonts w:ascii="Times New Roman" w:hAnsi="Times New Roman" w:cs="Times New Roman"/>
              </w:rPr>
              <w:t xml:space="preserve"> un novados</w:t>
            </w:r>
            <w:r w:rsidRPr="00226850">
              <w:rPr>
                <w:rFonts w:ascii="Times New Roman" w:hAnsi="Times New Roman" w:cs="Times New Roman"/>
              </w:rPr>
              <w:t>:</w:t>
            </w:r>
          </w:p>
          <w:p w14:paraId="738F08D9" w14:textId="08C86D08" w:rsidR="007C5451" w:rsidRPr="00226850" w:rsidRDefault="006F3285" w:rsidP="007C5451">
            <w:pPr>
              <w:pStyle w:val="ListParagraph"/>
              <w:numPr>
                <w:ilvl w:val="1"/>
                <w:numId w:val="27"/>
              </w:numPr>
              <w:jc w:val="both"/>
              <w:rPr>
                <w:rFonts w:ascii="Times New Roman" w:hAnsi="Times New Roman" w:cs="Times New Roman"/>
              </w:rPr>
            </w:pPr>
            <w:r w:rsidRPr="006F3285">
              <w:rPr>
                <w:rFonts w:ascii="Times New Roman" w:hAnsi="Times New Roman" w:cs="Times New Roman"/>
              </w:rPr>
              <w:t>44700 EUR (2018</w:t>
            </w:r>
            <w:r w:rsidR="007C5451" w:rsidRPr="00226850">
              <w:rPr>
                <w:rFonts w:ascii="Times New Roman" w:hAnsi="Times New Roman" w:cs="Times New Roman"/>
              </w:rPr>
              <w:t>.gadā)</w:t>
            </w:r>
          </w:p>
          <w:p w14:paraId="51537101" w14:textId="3202AEAD" w:rsidR="007C5451" w:rsidRPr="00226850" w:rsidRDefault="007C5451" w:rsidP="007C5451">
            <w:pPr>
              <w:pStyle w:val="ListParagraph"/>
              <w:numPr>
                <w:ilvl w:val="1"/>
                <w:numId w:val="27"/>
              </w:numPr>
              <w:jc w:val="both"/>
              <w:rPr>
                <w:rFonts w:ascii="Times New Roman" w:hAnsi="Times New Roman" w:cs="Times New Roman"/>
              </w:rPr>
            </w:pPr>
            <w:r w:rsidRPr="00226850">
              <w:rPr>
                <w:rFonts w:ascii="Times New Roman" w:hAnsi="Times New Roman" w:cs="Times New Roman"/>
              </w:rPr>
              <w:t>84700</w:t>
            </w:r>
            <w:r w:rsidR="006F3285" w:rsidRPr="006F3285">
              <w:rPr>
                <w:rFonts w:ascii="Times New Roman" w:hAnsi="Times New Roman" w:cs="Times New Roman"/>
              </w:rPr>
              <w:t xml:space="preserve"> EUR (2019</w:t>
            </w:r>
            <w:r w:rsidRPr="00226850">
              <w:rPr>
                <w:rFonts w:ascii="Times New Roman" w:hAnsi="Times New Roman" w:cs="Times New Roman"/>
              </w:rPr>
              <w:t>.gadā)</w:t>
            </w:r>
          </w:p>
          <w:p w14:paraId="09231D17" w14:textId="4A799A60" w:rsidR="007C5451" w:rsidRDefault="006F3285" w:rsidP="007C5451">
            <w:pPr>
              <w:pStyle w:val="ListParagraph"/>
              <w:numPr>
                <w:ilvl w:val="1"/>
                <w:numId w:val="27"/>
              </w:numPr>
              <w:jc w:val="both"/>
              <w:rPr>
                <w:rFonts w:ascii="Times New Roman" w:hAnsi="Times New Roman" w:cs="Times New Roman"/>
              </w:rPr>
            </w:pPr>
            <w:r w:rsidRPr="006F3285">
              <w:rPr>
                <w:rFonts w:ascii="Times New Roman" w:hAnsi="Times New Roman" w:cs="Times New Roman"/>
              </w:rPr>
              <w:t>86050 EUR (2020</w:t>
            </w:r>
            <w:r w:rsidR="007C5451" w:rsidRPr="00226850">
              <w:rPr>
                <w:rFonts w:ascii="Times New Roman" w:hAnsi="Times New Roman" w:cs="Times New Roman"/>
              </w:rPr>
              <w:t>.gadā)</w:t>
            </w:r>
          </w:p>
          <w:p w14:paraId="6F3E7D55" w14:textId="26DE801C" w:rsidR="00772E2C" w:rsidRDefault="006F3285" w:rsidP="007C5451">
            <w:pPr>
              <w:pStyle w:val="ListParagraph"/>
              <w:numPr>
                <w:ilvl w:val="1"/>
                <w:numId w:val="27"/>
              </w:numPr>
              <w:jc w:val="both"/>
              <w:rPr>
                <w:rFonts w:ascii="Times New Roman" w:hAnsi="Times New Roman" w:cs="Times New Roman"/>
              </w:rPr>
            </w:pPr>
            <w:r>
              <w:rPr>
                <w:rFonts w:ascii="Times New Roman" w:hAnsi="Times New Roman" w:cs="Times New Roman"/>
              </w:rPr>
              <w:t>107 896 EUR (2021</w:t>
            </w:r>
            <w:r w:rsidR="00772E2C">
              <w:rPr>
                <w:rFonts w:ascii="Times New Roman" w:hAnsi="Times New Roman" w:cs="Times New Roman"/>
              </w:rPr>
              <w:t>.gadā)</w:t>
            </w:r>
          </w:p>
          <w:p w14:paraId="7059DDED" w14:textId="234C663D" w:rsidR="008A73C8" w:rsidRPr="00226850" w:rsidRDefault="008A73C8" w:rsidP="007C5451">
            <w:pPr>
              <w:pStyle w:val="ListParagraph"/>
              <w:numPr>
                <w:ilvl w:val="1"/>
                <w:numId w:val="27"/>
              </w:numPr>
              <w:jc w:val="both"/>
              <w:rPr>
                <w:rFonts w:ascii="Times New Roman" w:hAnsi="Times New Roman" w:cs="Times New Roman"/>
              </w:rPr>
            </w:pPr>
            <w:r>
              <w:rPr>
                <w:rFonts w:ascii="Times New Roman" w:hAnsi="Times New Roman" w:cs="Times New Roman"/>
              </w:rPr>
              <w:t>157 896 EUR (2022.gadā)</w:t>
            </w:r>
          </w:p>
          <w:p w14:paraId="231FBA26" w14:textId="1295F0DE" w:rsidR="007C5451" w:rsidRPr="00226850" w:rsidRDefault="007C5451" w:rsidP="007C5451">
            <w:pPr>
              <w:pStyle w:val="ListParagraph"/>
              <w:numPr>
                <w:ilvl w:val="0"/>
                <w:numId w:val="27"/>
              </w:numPr>
              <w:jc w:val="both"/>
              <w:rPr>
                <w:rFonts w:ascii="Times New Roman" w:hAnsi="Times New Roman" w:cs="Times New Roman"/>
              </w:rPr>
            </w:pPr>
            <w:r w:rsidRPr="00226850">
              <w:rPr>
                <w:rFonts w:ascii="Times New Roman" w:hAnsi="Times New Roman" w:cs="Times New Roman"/>
              </w:rPr>
              <w:t>Komandējumi un ar tiem saistītās izmaksas</w:t>
            </w:r>
            <w:r w:rsidR="00F743D9">
              <w:rPr>
                <w:rFonts w:ascii="Times New Roman" w:hAnsi="Times New Roman" w:cs="Times New Roman"/>
              </w:rPr>
              <w:t>, sekmīgai nacionālo interešu pārstāvībai Eiropas un Starptautiskajās standartizācijas institūcijās, kā arī operatīvai aktuālās informācijas pārnesei nacionālajā līmenī</w:t>
            </w:r>
            <w:r w:rsidRPr="00226850">
              <w:rPr>
                <w:rFonts w:ascii="Times New Roman" w:hAnsi="Times New Roman" w:cs="Times New Roman"/>
              </w:rPr>
              <w:t xml:space="preserve"> (par aprēķina pamatu tiek ņemta vidējā aviobiļešu cena abos virzienos Eiropā,  diennakts normas izmaksas par viesnīcu un dienas naudu divām dienām saskaņā ar Ministru kabineta 2010.gada 12.oktobra noteikumiemNr.969 "Kārtība, kādā atlīdzināmi ar komandējumiem saistītie izdevumi" kā arī vidējais sanāksmju skaits gadā):</w:t>
            </w:r>
          </w:p>
          <w:p w14:paraId="1334FF87" w14:textId="1C761AEC" w:rsidR="007C5451" w:rsidRPr="00226850" w:rsidRDefault="006F3285" w:rsidP="007C5451">
            <w:pPr>
              <w:pStyle w:val="ListParagraph"/>
              <w:numPr>
                <w:ilvl w:val="1"/>
                <w:numId w:val="27"/>
              </w:numPr>
              <w:jc w:val="both"/>
              <w:rPr>
                <w:rFonts w:ascii="Times New Roman" w:hAnsi="Times New Roman" w:cs="Times New Roman"/>
              </w:rPr>
            </w:pPr>
            <w:r w:rsidRPr="006F3285">
              <w:rPr>
                <w:rFonts w:ascii="Times New Roman" w:hAnsi="Times New Roman" w:cs="Times New Roman"/>
              </w:rPr>
              <w:t>2018.un 2019</w:t>
            </w:r>
            <w:r w:rsidR="007C5451" w:rsidRPr="00226850">
              <w:rPr>
                <w:rFonts w:ascii="Times New Roman" w:hAnsi="Times New Roman" w:cs="Times New Roman"/>
              </w:rPr>
              <w:t>.gadā: 21880 EUR</w:t>
            </w:r>
          </w:p>
          <w:p w14:paraId="733B8899" w14:textId="12502E80" w:rsidR="007C5451" w:rsidRDefault="006F3285" w:rsidP="007C5451">
            <w:pPr>
              <w:pStyle w:val="ListParagraph"/>
              <w:numPr>
                <w:ilvl w:val="1"/>
                <w:numId w:val="27"/>
              </w:numPr>
              <w:jc w:val="both"/>
              <w:rPr>
                <w:rFonts w:ascii="Times New Roman" w:hAnsi="Times New Roman" w:cs="Times New Roman"/>
              </w:rPr>
            </w:pPr>
            <w:r>
              <w:rPr>
                <w:rFonts w:ascii="Times New Roman" w:hAnsi="Times New Roman" w:cs="Times New Roman"/>
              </w:rPr>
              <w:t>2020</w:t>
            </w:r>
            <w:r w:rsidR="00772E2C" w:rsidRPr="00772E2C">
              <w:rPr>
                <w:rFonts w:ascii="Times New Roman" w:hAnsi="Times New Roman" w:cs="Times New Roman"/>
              </w:rPr>
              <w:t>.gadā:</w:t>
            </w:r>
            <w:r w:rsidR="00772E2C">
              <w:rPr>
                <w:rFonts w:ascii="Times New Roman" w:hAnsi="Times New Roman" w:cs="Times New Roman"/>
              </w:rPr>
              <w:t xml:space="preserve"> </w:t>
            </w:r>
            <w:r w:rsidR="007C5451" w:rsidRPr="00226850">
              <w:rPr>
                <w:rFonts w:ascii="Times New Roman" w:hAnsi="Times New Roman" w:cs="Times New Roman"/>
              </w:rPr>
              <w:t>28980 EUR</w:t>
            </w:r>
          </w:p>
          <w:p w14:paraId="4B4E1D9A" w14:textId="19BA7998" w:rsidR="00772E2C" w:rsidRPr="00226850" w:rsidRDefault="006F3285" w:rsidP="007C5451">
            <w:pPr>
              <w:pStyle w:val="ListParagraph"/>
              <w:numPr>
                <w:ilvl w:val="1"/>
                <w:numId w:val="27"/>
              </w:numPr>
              <w:jc w:val="both"/>
              <w:rPr>
                <w:rFonts w:ascii="Times New Roman" w:hAnsi="Times New Roman" w:cs="Times New Roman"/>
              </w:rPr>
            </w:pPr>
            <w:r>
              <w:rPr>
                <w:rFonts w:ascii="Times New Roman" w:hAnsi="Times New Roman" w:cs="Times New Roman"/>
              </w:rPr>
              <w:t>2021</w:t>
            </w:r>
            <w:r w:rsidR="00772E2C">
              <w:rPr>
                <w:rFonts w:ascii="Times New Roman" w:hAnsi="Times New Roman" w:cs="Times New Roman"/>
              </w:rPr>
              <w:t>.gadā: 36080 EUR</w:t>
            </w:r>
          </w:p>
          <w:p w14:paraId="4DF45C61" w14:textId="77777777" w:rsidR="007C5451" w:rsidRPr="00226850" w:rsidRDefault="007C5451" w:rsidP="007C5451">
            <w:pPr>
              <w:jc w:val="both"/>
              <w:rPr>
                <w:rFonts w:ascii="Times New Roman" w:hAnsi="Times New Roman" w:cs="Times New Roman"/>
              </w:rPr>
            </w:pPr>
          </w:p>
          <w:p w14:paraId="3288C663" w14:textId="77777777" w:rsidR="007C5451" w:rsidRPr="00226850" w:rsidRDefault="007C5451" w:rsidP="007C5451">
            <w:pPr>
              <w:jc w:val="both"/>
              <w:rPr>
                <w:rFonts w:ascii="Times New Roman" w:hAnsi="Times New Roman" w:cs="Times New Roman"/>
              </w:rPr>
            </w:pPr>
            <w:r w:rsidRPr="00226850">
              <w:rPr>
                <w:rFonts w:ascii="Times New Roman" w:hAnsi="Times New Roman" w:cs="Times New Roman"/>
              </w:rPr>
              <w:lastRenderedPageBreak/>
              <w:t>* atbilstoši Eiropas Komisijas piešķirtajam finansējumam Eiropas standartizācijas institūcijām pastāv iespēja atgūt līdz pat 75% no standartu tulkošanas izmaksām.</w:t>
            </w:r>
          </w:p>
          <w:p w14:paraId="23217808" w14:textId="77777777" w:rsidR="001658B7" w:rsidRPr="007C5451" w:rsidRDefault="001658B7" w:rsidP="00226850">
            <w:pPr>
              <w:suppressAutoHyphens/>
              <w:autoSpaceDN w:val="0"/>
              <w:textAlignment w:val="baseline"/>
              <w:rPr>
                <w:rFonts w:ascii="Times New Roman" w:eastAsia="Calibri" w:hAnsi="Times New Roman" w:cs="Times New Roman"/>
                <w:color w:val="FF0000"/>
              </w:rPr>
            </w:pPr>
          </w:p>
        </w:tc>
      </w:tr>
      <w:tr w:rsidR="001658B7" w:rsidRPr="001658B7" w14:paraId="36290931" w14:textId="77777777" w:rsidTr="009339BE">
        <w:trPr>
          <w:jc w:val="center"/>
        </w:trPr>
        <w:tc>
          <w:tcPr>
            <w:tcW w:w="1656" w:type="dxa"/>
          </w:tcPr>
          <w:p w14:paraId="527BC3A7"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6.1. detalizēts ieņēmumu aprēķins</w:t>
            </w:r>
          </w:p>
        </w:tc>
        <w:tc>
          <w:tcPr>
            <w:tcW w:w="7816" w:type="dxa"/>
            <w:gridSpan w:val="5"/>
            <w:vMerge/>
          </w:tcPr>
          <w:p w14:paraId="710DB6C1" w14:textId="77777777" w:rsidR="001658B7" w:rsidRPr="001658B7" w:rsidRDefault="001658B7" w:rsidP="001658B7">
            <w:pPr>
              <w:jc w:val="both"/>
              <w:rPr>
                <w:rFonts w:ascii="Times New Roman" w:eastAsia="Calibri" w:hAnsi="Times New Roman" w:cs="Times New Roman"/>
                <w:b/>
                <w:i/>
                <w:lang w:eastAsia="lv-LV"/>
              </w:rPr>
            </w:pPr>
          </w:p>
        </w:tc>
      </w:tr>
      <w:tr w:rsidR="001658B7" w:rsidRPr="001658B7" w14:paraId="10540425" w14:textId="77777777" w:rsidTr="009339BE">
        <w:trPr>
          <w:trHeight w:val="498"/>
          <w:jc w:val="center"/>
        </w:trPr>
        <w:tc>
          <w:tcPr>
            <w:tcW w:w="1656" w:type="dxa"/>
          </w:tcPr>
          <w:p w14:paraId="5F527909"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t>6.2. detalizēts izdevumu aprēķins</w:t>
            </w:r>
          </w:p>
        </w:tc>
        <w:tc>
          <w:tcPr>
            <w:tcW w:w="7816" w:type="dxa"/>
            <w:gridSpan w:val="5"/>
            <w:vMerge/>
          </w:tcPr>
          <w:p w14:paraId="79FA3F1C" w14:textId="77777777" w:rsidR="001658B7" w:rsidRPr="001658B7" w:rsidRDefault="001658B7" w:rsidP="001658B7">
            <w:pPr>
              <w:jc w:val="both"/>
              <w:rPr>
                <w:rFonts w:ascii="Times New Roman" w:eastAsia="Calibri" w:hAnsi="Times New Roman" w:cs="Times New Roman"/>
                <w:b/>
                <w:i/>
                <w:lang w:eastAsia="lv-LV"/>
              </w:rPr>
            </w:pPr>
          </w:p>
        </w:tc>
      </w:tr>
      <w:tr w:rsidR="001658B7" w:rsidRPr="001658B7" w14:paraId="6E5B01BB" w14:textId="77777777" w:rsidTr="009339BE">
        <w:trPr>
          <w:jc w:val="center"/>
        </w:trPr>
        <w:tc>
          <w:tcPr>
            <w:tcW w:w="1656" w:type="dxa"/>
          </w:tcPr>
          <w:p w14:paraId="022FB35F" w14:textId="77777777" w:rsidR="001658B7" w:rsidRPr="001658B7" w:rsidRDefault="001658B7" w:rsidP="001658B7">
            <w:pPr>
              <w:rPr>
                <w:rFonts w:ascii="Times New Roman" w:eastAsia="Times New Roman" w:hAnsi="Times New Roman" w:cs="Times New Roman"/>
                <w:lang w:eastAsia="lv-LV"/>
              </w:rPr>
            </w:pPr>
            <w:r w:rsidRPr="001658B7">
              <w:rPr>
                <w:rFonts w:ascii="Times New Roman" w:eastAsia="Times New Roman" w:hAnsi="Times New Roman" w:cs="Times New Roman"/>
                <w:lang w:eastAsia="lv-LV"/>
              </w:rPr>
              <w:lastRenderedPageBreak/>
              <w:t>7. Cita informācija</w:t>
            </w:r>
          </w:p>
        </w:tc>
        <w:tc>
          <w:tcPr>
            <w:tcW w:w="7816" w:type="dxa"/>
            <w:gridSpan w:val="5"/>
          </w:tcPr>
          <w:p w14:paraId="7B00F244" w14:textId="77777777" w:rsidR="001658B7" w:rsidRPr="001658B7" w:rsidRDefault="001658B7" w:rsidP="001658B7">
            <w:pPr>
              <w:ind w:left="94" w:right="127"/>
              <w:jc w:val="both"/>
              <w:rPr>
                <w:rFonts w:ascii="Times New Roman" w:eastAsia="Calibri" w:hAnsi="Times New Roman" w:cs="Times New Roman"/>
              </w:rPr>
            </w:pPr>
            <w:r w:rsidRPr="001658B7">
              <w:rPr>
                <w:rFonts w:ascii="Times New Roman" w:eastAsia="Calibri" w:hAnsi="Times New Roman" w:cs="Times New Roman"/>
              </w:rPr>
              <w:t>Projekts šo jomu neskar.</w:t>
            </w:r>
          </w:p>
        </w:tc>
      </w:tr>
    </w:tbl>
    <w:p w14:paraId="1F16C509" w14:textId="77777777" w:rsidR="001658B7" w:rsidRDefault="001658B7" w:rsidP="00226850">
      <w:pPr>
        <w:jc w:val="center"/>
        <w:rPr>
          <w:rFonts w:ascii="Times New Roman" w:hAnsi="Times New Roman" w:cs="Times New Roman"/>
          <w:sz w:val="26"/>
          <w:szCs w:val="26"/>
        </w:rPr>
      </w:pPr>
    </w:p>
    <w:p w14:paraId="590F04AA" w14:textId="77777777" w:rsidR="000B38E1" w:rsidRDefault="000B38E1" w:rsidP="00226850">
      <w:pPr>
        <w:jc w:val="both"/>
        <w:rPr>
          <w:rFonts w:ascii="Times New Roman" w:hAnsi="Times New Roman" w:cs="Times New Roman"/>
          <w:sz w:val="26"/>
          <w:szCs w:val="26"/>
        </w:rPr>
      </w:pPr>
    </w:p>
    <w:p w14:paraId="04924874" w14:textId="77777777" w:rsidR="00D0600E" w:rsidRPr="00D8235F" w:rsidRDefault="00D0600E">
      <w:pPr>
        <w:rPr>
          <w:rFonts w:ascii="Times New Roman" w:hAnsi="Times New Roman" w:cs="Times New Roman"/>
          <w:sz w:val="16"/>
          <w:szCs w:val="16"/>
        </w:rPr>
      </w:pPr>
      <w:r w:rsidRPr="00D8235F">
        <w:rPr>
          <w:rFonts w:ascii="Times New Roman" w:hAnsi="Times New Roman" w:cs="Times New Roman"/>
          <w:sz w:val="16"/>
          <w:szCs w:val="16"/>
        </w:rPr>
        <w:br w:type="page"/>
      </w:r>
    </w:p>
    <w:p w14:paraId="7AF245B5" w14:textId="77777777" w:rsidR="004E632C" w:rsidRPr="00D8235F" w:rsidRDefault="004E632C" w:rsidP="008D0CFA">
      <w:pPr>
        <w:pStyle w:val="ListParagraph"/>
        <w:ind w:left="0" w:firstLine="720"/>
        <w:jc w:val="both"/>
        <w:rPr>
          <w:rFonts w:ascii="Times New Roman" w:hAnsi="Times New Roman" w:cs="Times New Roman"/>
          <w:sz w:val="16"/>
          <w:szCs w:val="16"/>
        </w:rPr>
        <w:sectPr w:rsidR="004E632C" w:rsidRPr="00D8235F" w:rsidSect="008D49B6">
          <w:headerReference w:type="default" r:id="rId13"/>
          <w:footerReference w:type="default" r:id="rId14"/>
          <w:footerReference w:type="first" r:id="rId15"/>
          <w:pgSz w:w="11900" w:h="16840"/>
          <w:pgMar w:top="1440" w:right="1440" w:bottom="1103" w:left="1440" w:header="708" w:footer="708" w:gutter="0"/>
          <w:cols w:space="708"/>
          <w:titlePg/>
          <w:docGrid w:linePitch="360"/>
        </w:sectPr>
      </w:pPr>
    </w:p>
    <w:tbl>
      <w:tblPr>
        <w:tblW w:w="4997" w:type="pct"/>
        <w:tblInd w:w="110" w:type="dxa"/>
        <w:tblLayout w:type="fixed"/>
        <w:tblLook w:val="04A0" w:firstRow="1" w:lastRow="0" w:firstColumn="1" w:lastColumn="0" w:noHBand="0" w:noVBand="1"/>
      </w:tblPr>
      <w:tblGrid>
        <w:gridCol w:w="1025"/>
        <w:gridCol w:w="429"/>
        <w:gridCol w:w="1009"/>
        <w:gridCol w:w="371"/>
        <w:gridCol w:w="1394"/>
        <w:gridCol w:w="811"/>
        <w:gridCol w:w="691"/>
        <w:gridCol w:w="426"/>
        <w:gridCol w:w="377"/>
        <w:gridCol w:w="209"/>
        <w:gridCol w:w="237"/>
        <w:gridCol w:w="289"/>
        <w:gridCol w:w="691"/>
        <w:gridCol w:w="9"/>
        <w:gridCol w:w="589"/>
        <w:gridCol w:w="94"/>
        <w:gridCol w:w="629"/>
        <w:gridCol w:w="771"/>
        <w:gridCol w:w="1586"/>
        <w:gridCol w:w="531"/>
        <w:gridCol w:w="289"/>
        <w:gridCol w:w="654"/>
        <w:gridCol w:w="1174"/>
      </w:tblGrid>
      <w:tr w:rsidR="00EB674A" w:rsidRPr="00EF683B" w14:paraId="4A1B4045" w14:textId="77777777" w:rsidTr="00226850">
        <w:trPr>
          <w:trHeight w:val="312"/>
        </w:trPr>
        <w:tc>
          <w:tcPr>
            <w:tcW w:w="359" w:type="pct"/>
            <w:tcBorders>
              <w:top w:val="nil"/>
              <w:left w:val="nil"/>
              <w:bottom w:val="nil"/>
              <w:right w:val="nil"/>
            </w:tcBorders>
          </w:tcPr>
          <w:p w14:paraId="635CBF05" w14:textId="77777777" w:rsidR="00EB674A" w:rsidRPr="004E632C" w:rsidRDefault="00EB674A" w:rsidP="004E632C">
            <w:pPr>
              <w:jc w:val="center"/>
              <w:rPr>
                <w:rFonts w:ascii="Times New Roman" w:eastAsia="Times New Roman" w:hAnsi="Times New Roman"/>
                <w:color w:val="000000"/>
                <w:sz w:val="26"/>
                <w:szCs w:val="26"/>
                <w:lang w:eastAsia="lv-LV"/>
              </w:rPr>
            </w:pPr>
          </w:p>
        </w:tc>
        <w:tc>
          <w:tcPr>
            <w:tcW w:w="503" w:type="pct"/>
            <w:gridSpan w:val="2"/>
            <w:tcBorders>
              <w:top w:val="nil"/>
              <w:left w:val="nil"/>
              <w:bottom w:val="nil"/>
              <w:right w:val="nil"/>
            </w:tcBorders>
          </w:tcPr>
          <w:p w14:paraId="66359BAB" w14:textId="77777777" w:rsidR="00EB674A" w:rsidRPr="004E632C" w:rsidRDefault="00EB674A" w:rsidP="004E632C">
            <w:pPr>
              <w:jc w:val="center"/>
              <w:rPr>
                <w:rFonts w:ascii="Times New Roman" w:eastAsia="Times New Roman" w:hAnsi="Times New Roman"/>
                <w:color w:val="000000"/>
                <w:sz w:val="26"/>
                <w:szCs w:val="26"/>
                <w:lang w:eastAsia="lv-LV"/>
              </w:rPr>
            </w:pPr>
          </w:p>
        </w:tc>
        <w:tc>
          <w:tcPr>
            <w:tcW w:w="4139" w:type="pct"/>
            <w:gridSpan w:val="20"/>
            <w:tcBorders>
              <w:top w:val="nil"/>
              <w:left w:val="nil"/>
              <w:bottom w:val="nil"/>
              <w:right w:val="nil"/>
            </w:tcBorders>
            <w:shd w:val="clear" w:color="auto" w:fill="auto"/>
            <w:noWrap/>
            <w:vAlign w:val="bottom"/>
            <w:hideMark/>
          </w:tcPr>
          <w:p w14:paraId="3B691A1B" w14:textId="7C29AF43" w:rsidR="00EB674A" w:rsidRPr="004E632C" w:rsidRDefault="00EB674A" w:rsidP="004E632C">
            <w:pPr>
              <w:jc w:val="center"/>
              <w:rPr>
                <w:rFonts w:ascii="Times New Roman" w:eastAsia="Times New Roman" w:hAnsi="Times New Roman"/>
                <w:color w:val="000000"/>
                <w:sz w:val="26"/>
                <w:szCs w:val="26"/>
                <w:lang w:eastAsia="lv-LV"/>
              </w:rPr>
            </w:pPr>
            <w:r w:rsidRPr="004E632C">
              <w:rPr>
                <w:rFonts w:ascii="Times New Roman" w:eastAsia="Times New Roman" w:hAnsi="Times New Roman"/>
                <w:color w:val="000000"/>
                <w:sz w:val="26"/>
                <w:szCs w:val="26"/>
                <w:lang w:eastAsia="lv-LV"/>
              </w:rPr>
              <w:t xml:space="preserve">Kopsavilkums par </w:t>
            </w:r>
            <w:r>
              <w:rPr>
                <w:rFonts w:ascii="Times New Roman" w:eastAsia="Times New Roman" w:hAnsi="Times New Roman"/>
                <w:color w:val="000000"/>
                <w:sz w:val="26"/>
                <w:szCs w:val="26"/>
                <w:lang w:eastAsia="lv-LV"/>
              </w:rPr>
              <w:t xml:space="preserve">konceptuālajā ziņojumā iekļautā risinājuma </w:t>
            </w:r>
            <w:r w:rsidRPr="004E632C">
              <w:rPr>
                <w:rFonts w:ascii="Times New Roman" w:eastAsia="Times New Roman" w:hAnsi="Times New Roman"/>
                <w:color w:val="000000"/>
                <w:sz w:val="26"/>
                <w:szCs w:val="26"/>
                <w:lang w:eastAsia="lv-LV"/>
              </w:rPr>
              <w:t>realizācijai nepieciešamo valsts un pašvaldību budžeta finansējumu</w:t>
            </w:r>
          </w:p>
        </w:tc>
      </w:tr>
      <w:tr w:rsidR="00983857" w:rsidRPr="00EF683B" w14:paraId="11EC3867" w14:textId="77777777" w:rsidTr="00226850">
        <w:trPr>
          <w:trHeight w:val="312"/>
        </w:trPr>
        <w:tc>
          <w:tcPr>
            <w:tcW w:w="509" w:type="pct"/>
            <w:gridSpan w:val="2"/>
            <w:tcBorders>
              <w:top w:val="nil"/>
              <w:left w:val="nil"/>
              <w:bottom w:val="single" w:sz="4" w:space="0" w:color="auto"/>
              <w:right w:val="nil"/>
            </w:tcBorders>
            <w:shd w:val="clear" w:color="auto" w:fill="auto"/>
            <w:noWrap/>
            <w:vAlign w:val="bottom"/>
            <w:hideMark/>
          </w:tcPr>
          <w:p w14:paraId="127D7554" w14:textId="77777777" w:rsidR="00EB674A" w:rsidRPr="00EF683B" w:rsidRDefault="00EB674A" w:rsidP="001F2DFE">
            <w:pPr>
              <w:rPr>
                <w:rFonts w:ascii="Times New Roman" w:eastAsia="Times New Roman" w:hAnsi="Times New Roman"/>
                <w:color w:val="000000"/>
                <w:lang w:eastAsia="lv-LV"/>
              </w:rPr>
            </w:pPr>
          </w:p>
        </w:tc>
        <w:tc>
          <w:tcPr>
            <w:tcW w:w="483" w:type="pct"/>
            <w:gridSpan w:val="2"/>
            <w:tcBorders>
              <w:top w:val="nil"/>
              <w:left w:val="nil"/>
              <w:bottom w:val="single" w:sz="4" w:space="0" w:color="auto"/>
              <w:right w:val="nil"/>
            </w:tcBorders>
            <w:shd w:val="clear" w:color="auto" w:fill="auto"/>
            <w:noWrap/>
            <w:vAlign w:val="bottom"/>
            <w:hideMark/>
          </w:tcPr>
          <w:p w14:paraId="720ADE52" w14:textId="77777777" w:rsidR="00EB674A" w:rsidRPr="00EF683B" w:rsidRDefault="00EB674A" w:rsidP="001F2DFE">
            <w:pPr>
              <w:rPr>
                <w:rFonts w:ascii="Times New Roman" w:eastAsia="Times New Roman" w:hAnsi="Times New Roman"/>
                <w:color w:val="000000"/>
                <w:lang w:eastAsia="lv-LV"/>
              </w:rPr>
            </w:pPr>
          </w:p>
        </w:tc>
        <w:tc>
          <w:tcPr>
            <w:tcW w:w="488" w:type="pct"/>
            <w:tcBorders>
              <w:top w:val="nil"/>
              <w:left w:val="nil"/>
              <w:bottom w:val="single" w:sz="4" w:space="0" w:color="auto"/>
              <w:right w:val="nil"/>
            </w:tcBorders>
            <w:shd w:val="clear" w:color="auto" w:fill="auto"/>
            <w:noWrap/>
            <w:vAlign w:val="bottom"/>
            <w:hideMark/>
          </w:tcPr>
          <w:p w14:paraId="25FFE295" w14:textId="77777777" w:rsidR="00EB674A" w:rsidRPr="00EF683B" w:rsidRDefault="00EB674A" w:rsidP="001F2DFE">
            <w:pPr>
              <w:rPr>
                <w:rFonts w:ascii="Times New Roman" w:eastAsia="Times New Roman" w:hAnsi="Times New Roman"/>
                <w:color w:val="000000"/>
                <w:lang w:eastAsia="lv-LV"/>
              </w:rPr>
            </w:pPr>
          </w:p>
        </w:tc>
        <w:tc>
          <w:tcPr>
            <w:tcW w:w="675" w:type="pct"/>
            <w:gridSpan w:val="3"/>
            <w:tcBorders>
              <w:top w:val="nil"/>
              <w:left w:val="nil"/>
              <w:bottom w:val="single" w:sz="4" w:space="0" w:color="auto"/>
              <w:right w:val="nil"/>
            </w:tcBorders>
            <w:shd w:val="clear" w:color="auto" w:fill="auto"/>
            <w:noWrap/>
            <w:vAlign w:val="bottom"/>
            <w:hideMark/>
          </w:tcPr>
          <w:p w14:paraId="64A42C18" w14:textId="77777777" w:rsidR="00EB674A" w:rsidRPr="00EF683B" w:rsidRDefault="00EB674A" w:rsidP="001F2DFE">
            <w:pPr>
              <w:rPr>
                <w:rFonts w:ascii="Times New Roman" w:eastAsia="Times New Roman" w:hAnsi="Times New Roman"/>
                <w:color w:val="000000"/>
                <w:lang w:eastAsia="lv-LV"/>
              </w:rPr>
            </w:pPr>
          </w:p>
        </w:tc>
        <w:tc>
          <w:tcPr>
            <w:tcW w:w="205" w:type="pct"/>
            <w:gridSpan w:val="2"/>
            <w:tcBorders>
              <w:top w:val="nil"/>
              <w:left w:val="nil"/>
              <w:bottom w:val="single" w:sz="4" w:space="0" w:color="auto"/>
              <w:right w:val="nil"/>
            </w:tcBorders>
            <w:shd w:val="clear" w:color="auto" w:fill="auto"/>
            <w:noWrap/>
            <w:vAlign w:val="bottom"/>
            <w:hideMark/>
          </w:tcPr>
          <w:p w14:paraId="093C76E1" w14:textId="77777777" w:rsidR="00EB674A" w:rsidRPr="00EF683B" w:rsidRDefault="00EB674A" w:rsidP="001F2DFE">
            <w:pPr>
              <w:rPr>
                <w:rFonts w:ascii="Times New Roman" w:eastAsia="Times New Roman" w:hAnsi="Times New Roman"/>
                <w:color w:val="000000"/>
                <w:lang w:eastAsia="lv-LV"/>
              </w:rPr>
            </w:pPr>
          </w:p>
        </w:tc>
        <w:tc>
          <w:tcPr>
            <w:tcW w:w="83" w:type="pct"/>
            <w:tcBorders>
              <w:top w:val="nil"/>
              <w:left w:val="nil"/>
              <w:bottom w:val="single" w:sz="4" w:space="0" w:color="auto"/>
              <w:right w:val="nil"/>
            </w:tcBorders>
            <w:shd w:val="clear" w:color="auto" w:fill="auto"/>
            <w:noWrap/>
            <w:vAlign w:val="bottom"/>
            <w:hideMark/>
          </w:tcPr>
          <w:p w14:paraId="6FA94743" w14:textId="77777777" w:rsidR="00EB674A" w:rsidRPr="00EF683B" w:rsidRDefault="00EB674A" w:rsidP="001F2DFE">
            <w:pPr>
              <w:rPr>
                <w:rFonts w:ascii="Times New Roman" w:eastAsia="Times New Roman" w:hAnsi="Times New Roman"/>
                <w:color w:val="000000"/>
                <w:lang w:eastAsia="lv-LV"/>
              </w:rPr>
            </w:pPr>
          </w:p>
        </w:tc>
        <w:tc>
          <w:tcPr>
            <w:tcW w:w="346" w:type="pct"/>
            <w:gridSpan w:val="3"/>
            <w:tcBorders>
              <w:top w:val="nil"/>
              <w:left w:val="nil"/>
              <w:bottom w:val="single" w:sz="4" w:space="0" w:color="auto"/>
              <w:right w:val="nil"/>
            </w:tcBorders>
            <w:shd w:val="clear" w:color="auto" w:fill="auto"/>
            <w:noWrap/>
            <w:vAlign w:val="bottom"/>
            <w:hideMark/>
          </w:tcPr>
          <w:p w14:paraId="4C1FD804" w14:textId="77777777" w:rsidR="00EB674A" w:rsidRPr="00EF683B" w:rsidRDefault="00EB674A" w:rsidP="001F2DFE">
            <w:pPr>
              <w:rPr>
                <w:rFonts w:ascii="Times New Roman" w:eastAsia="Times New Roman" w:hAnsi="Times New Roman"/>
                <w:color w:val="000000"/>
                <w:lang w:eastAsia="lv-LV"/>
              </w:rPr>
            </w:pPr>
          </w:p>
        </w:tc>
        <w:tc>
          <w:tcPr>
            <w:tcW w:w="206" w:type="pct"/>
            <w:tcBorders>
              <w:top w:val="nil"/>
              <w:left w:val="nil"/>
              <w:bottom w:val="single" w:sz="4" w:space="0" w:color="auto"/>
              <w:right w:val="nil"/>
            </w:tcBorders>
            <w:shd w:val="clear" w:color="auto" w:fill="auto"/>
            <w:noWrap/>
            <w:vAlign w:val="bottom"/>
            <w:hideMark/>
          </w:tcPr>
          <w:p w14:paraId="7CAEE2E6" w14:textId="77777777" w:rsidR="00EB674A" w:rsidRPr="00EF683B" w:rsidRDefault="00EB674A" w:rsidP="001F2DFE">
            <w:pPr>
              <w:rPr>
                <w:rFonts w:ascii="Times New Roman" w:eastAsia="Times New Roman" w:hAnsi="Times New Roman"/>
                <w:color w:val="000000"/>
                <w:lang w:eastAsia="lv-LV"/>
              </w:rPr>
            </w:pPr>
          </w:p>
        </w:tc>
        <w:tc>
          <w:tcPr>
            <w:tcW w:w="253" w:type="pct"/>
            <w:gridSpan w:val="2"/>
            <w:tcBorders>
              <w:top w:val="nil"/>
              <w:left w:val="nil"/>
              <w:bottom w:val="single" w:sz="4" w:space="0" w:color="auto"/>
              <w:right w:val="nil"/>
            </w:tcBorders>
          </w:tcPr>
          <w:p w14:paraId="73003AEC" w14:textId="77777777" w:rsidR="00EB674A" w:rsidRPr="00EF683B" w:rsidRDefault="00EB674A" w:rsidP="001F2DFE">
            <w:pPr>
              <w:rPr>
                <w:rFonts w:ascii="Times New Roman" w:eastAsia="Times New Roman" w:hAnsi="Times New Roman"/>
                <w:color w:val="000000"/>
                <w:lang w:eastAsia="lv-LV"/>
              </w:rPr>
            </w:pPr>
          </w:p>
        </w:tc>
        <w:tc>
          <w:tcPr>
            <w:tcW w:w="270" w:type="pct"/>
            <w:tcBorders>
              <w:top w:val="nil"/>
              <w:left w:val="nil"/>
              <w:bottom w:val="single" w:sz="4" w:space="0" w:color="auto"/>
              <w:right w:val="nil"/>
            </w:tcBorders>
          </w:tcPr>
          <w:p w14:paraId="2817467D" w14:textId="77777777" w:rsidR="00EB674A" w:rsidRPr="00EF683B" w:rsidRDefault="00EB674A" w:rsidP="001F2DFE">
            <w:pPr>
              <w:rPr>
                <w:rFonts w:ascii="Times New Roman" w:eastAsia="Times New Roman" w:hAnsi="Times New Roman"/>
                <w:color w:val="000000"/>
                <w:lang w:eastAsia="lv-LV"/>
              </w:rPr>
            </w:pPr>
          </w:p>
        </w:tc>
        <w:tc>
          <w:tcPr>
            <w:tcW w:w="555" w:type="pct"/>
            <w:tcBorders>
              <w:top w:val="nil"/>
              <w:left w:val="nil"/>
              <w:bottom w:val="single" w:sz="4" w:space="0" w:color="auto"/>
              <w:right w:val="nil"/>
            </w:tcBorders>
            <w:shd w:val="clear" w:color="auto" w:fill="auto"/>
            <w:noWrap/>
            <w:vAlign w:val="bottom"/>
            <w:hideMark/>
          </w:tcPr>
          <w:p w14:paraId="5C437C67" w14:textId="31A1D28D" w:rsidR="00EB674A" w:rsidRPr="00EF683B" w:rsidRDefault="00EB674A" w:rsidP="001F2DFE">
            <w:pPr>
              <w:rPr>
                <w:rFonts w:ascii="Times New Roman" w:eastAsia="Times New Roman" w:hAnsi="Times New Roman"/>
                <w:color w:val="000000"/>
                <w:lang w:eastAsia="lv-LV"/>
              </w:rPr>
            </w:pPr>
          </w:p>
        </w:tc>
        <w:tc>
          <w:tcPr>
            <w:tcW w:w="287" w:type="pct"/>
            <w:gridSpan w:val="2"/>
            <w:tcBorders>
              <w:top w:val="nil"/>
              <w:left w:val="nil"/>
              <w:bottom w:val="single" w:sz="4" w:space="0" w:color="auto"/>
              <w:right w:val="nil"/>
            </w:tcBorders>
            <w:shd w:val="clear" w:color="auto" w:fill="auto"/>
            <w:noWrap/>
            <w:vAlign w:val="bottom"/>
            <w:hideMark/>
          </w:tcPr>
          <w:p w14:paraId="24085628" w14:textId="77777777" w:rsidR="00EB674A" w:rsidRPr="00EF683B" w:rsidRDefault="00EB674A" w:rsidP="001F2DFE">
            <w:pPr>
              <w:rPr>
                <w:rFonts w:ascii="Times New Roman" w:eastAsia="Times New Roman" w:hAnsi="Times New Roman"/>
                <w:color w:val="000000"/>
                <w:lang w:eastAsia="lv-LV"/>
              </w:rPr>
            </w:pPr>
          </w:p>
        </w:tc>
        <w:tc>
          <w:tcPr>
            <w:tcW w:w="229" w:type="pct"/>
            <w:tcBorders>
              <w:top w:val="nil"/>
              <w:left w:val="nil"/>
              <w:bottom w:val="single" w:sz="4" w:space="0" w:color="auto"/>
              <w:right w:val="nil"/>
            </w:tcBorders>
            <w:shd w:val="clear" w:color="auto" w:fill="auto"/>
            <w:noWrap/>
            <w:vAlign w:val="bottom"/>
            <w:hideMark/>
          </w:tcPr>
          <w:p w14:paraId="6EDE1518" w14:textId="77777777" w:rsidR="00EB674A" w:rsidRPr="00EF683B" w:rsidRDefault="00EB674A" w:rsidP="001F2DFE">
            <w:pPr>
              <w:rPr>
                <w:rFonts w:ascii="Times New Roman" w:eastAsia="Times New Roman" w:hAnsi="Times New Roman"/>
                <w:color w:val="000000"/>
                <w:lang w:eastAsia="lv-LV"/>
              </w:rPr>
            </w:pPr>
          </w:p>
        </w:tc>
        <w:tc>
          <w:tcPr>
            <w:tcW w:w="412" w:type="pct"/>
            <w:tcBorders>
              <w:top w:val="nil"/>
              <w:left w:val="nil"/>
              <w:bottom w:val="single" w:sz="4" w:space="0" w:color="auto"/>
              <w:right w:val="nil"/>
            </w:tcBorders>
            <w:shd w:val="clear" w:color="auto" w:fill="auto"/>
            <w:noWrap/>
            <w:vAlign w:val="bottom"/>
            <w:hideMark/>
          </w:tcPr>
          <w:p w14:paraId="58DC2E62" w14:textId="77777777" w:rsidR="00EB674A" w:rsidRPr="00873B3E" w:rsidRDefault="00EB674A" w:rsidP="001F2DFE">
            <w:pPr>
              <w:rPr>
                <w:rFonts w:ascii="Times New Roman" w:eastAsia="Times New Roman" w:hAnsi="Times New Roman"/>
                <w:i/>
                <w:iCs/>
                <w:color w:val="000000"/>
                <w:lang w:eastAsia="lv-LV"/>
              </w:rPr>
            </w:pPr>
            <w:proofErr w:type="spellStart"/>
            <w:r w:rsidRPr="00873B3E">
              <w:rPr>
                <w:rFonts w:ascii="Times New Roman" w:eastAsia="Times New Roman" w:hAnsi="Times New Roman"/>
                <w:i/>
                <w:iCs/>
                <w:color w:val="000000"/>
                <w:lang w:eastAsia="lv-LV"/>
              </w:rPr>
              <w:t>euro</w:t>
            </w:r>
            <w:proofErr w:type="spellEnd"/>
          </w:p>
        </w:tc>
      </w:tr>
      <w:tr w:rsidR="00983857" w:rsidRPr="00D74773" w14:paraId="7BA3C1E6" w14:textId="77777777" w:rsidTr="00226850">
        <w:trPr>
          <w:trHeight w:val="645"/>
        </w:trPr>
        <w:tc>
          <w:tcPr>
            <w:tcW w:w="509" w:type="pct"/>
            <w:gridSpan w:val="2"/>
            <w:vMerge w:val="restart"/>
            <w:tcBorders>
              <w:top w:val="single" w:sz="4" w:space="0" w:color="auto"/>
              <w:left w:val="single" w:sz="4" w:space="0" w:color="auto"/>
              <w:right w:val="single" w:sz="4" w:space="0" w:color="auto"/>
            </w:tcBorders>
            <w:shd w:val="clear" w:color="auto" w:fill="auto"/>
            <w:noWrap/>
            <w:vAlign w:val="center"/>
            <w:hideMark/>
          </w:tcPr>
          <w:p w14:paraId="2E3C6FE1" w14:textId="77777777" w:rsidR="00EB674A" w:rsidRPr="00D74773" w:rsidRDefault="00EB674A" w:rsidP="001F2DFE">
            <w:pPr>
              <w:jc w:val="center"/>
              <w:rPr>
                <w:rFonts w:ascii="Times New Roman" w:eastAsia="Times New Roman" w:hAnsi="Times New Roman"/>
                <w:b/>
                <w:color w:val="000000"/>
                <w:sz w:val="20"/>
                <w:szCs w:val="20"/>
                <w:lang w:eastAsia="lv-LV"/>
              </w:rPr>
            </w:pPr>
            <w:r w:rsidRPr="00D74773">
              <w:rPr>
                <w:rFonts w:ascii="Times New Roman" w:eastAsia="Times New Roman" w:hAnsi="Times New Roman"/>
                <w:b/>
                <w:bCs/>
                <w:sz w:val="20"/>
                <w:szCs w:val="20"/>
                <w:lang w:eastAsia="lv-LV"/>
              </w:rPr>
              <w:t>Risinājums</w:t>
            </w:r>
          </w:p>
        </w:tc>
        <w:tc>
          <w:tcPr>
            <w:tcW w:w="483" w:type="pct"/>
            <w:gridSpan w:val="2"/>
            <w:vMerge w:val="restart"/>
            <w:tcBorders>
              <w:top w:val="single" w:sz="4" w:space="0" w:color="auto"/>
              <w:left w:val="single" w:sz="4" w:space="0" w:color="auto"/>
              <w:right w:val="single" w:sz="4" w:space="0" w:color="auto"/>
            </w:tcBorders>
            <w:shd w:val="clear" w:color="auto" w:fill="auto"/>
            <w:noWrap/>
            <w:vAlign w:val="center"/>
            <w:hideMark/>
          </w:tcPr>
          <w:p w14:paraId="5F9CE7DF" w14:textId="77777777" w:rsidR="00EB674A" w:rsidRPr="00D74773" w:rsidRDefault="00EB674A" w:rsidP="001F2DFE">
            <w:pPr>
              <w:jc w:val="center"/>
              <w:rPr>
                <w:rFonts w:ascii="Times New Roman" w:eastAsia="Times New Roman" w:hAnsi="Times New Roman"/>
                <w:color w:val="000000"/>
                <w:sz w:val="20"/>
                <w:szCs w:val="20"/>
                <w:lang w:eastAsia="lv-LV"/>
              </w:rPr>
            </w:pPr>
            <w:r w:rsidRPr="00D74773">
              <w:rPr>
                <w:rFonts w:ascii="Times New Roman" w:eastAsia="Times New Roman" w:hAnsi="Times New Roman"/>
                <w:b/>
                <w:bCs/>
                <w:sz w:val="20"/>
                <w:szCs w:val="20"/>
                <w:lang w:eastAsia="lv-LV"/>
              </w:rPr>
              <w:t>Risinājums (</w:t>
            </w:r>
            <w:proofErr w:type="spellStart"/>
            <w:r w:rsidRPr="00D74773">
              <w:rPr>
                <w:rFonts w:ascii="Times New Roman" w:eastAsia="Times New Roman" w:hAnsi="Times New Roman"/>
                <w:b/>
                <w:bCs/>
                <w:sz w:val="20"/>
                <w:szCs w:val="20"/>
                <w:lang w:eastAsia="lv-LV"/>
              </w:rPr>
              <w:t>risnājuma</w:t>
            </w:r>
            <w:proofErr w:type="spellEnd"/>
            <w:r w:rsidRPr="00D74773">
              <w:rPr>
                <w:rFonts w:ascii="Times New Roman" w:eastAsia="Times New Roman" w:hAnsi="Times New Roman"/>
                <w:b/>
                <w:bCs/>
                <w:sz w:val="20"/>
                <w:szCs w:val="20"/>
                <w:lang w:eastAsia="lv-LV"/>
              </w:rPr>
              <w:t xml:space="preserve"> varianti)</w:t>
            </w:r>
          </w:p>
        </w:tc>
        <w:tc>
          <w:tcPr>
            <w:tcW w:w="488" w:type="pct"/>
            <w:vMerge w:val="restart"/>
            <w:tcBorders>
              <w:top w:val="single" w:sz="4" w:space="0" w:color="auto"/>
              <w:left w:val="single" w:sz="4" w:space="0" w:color="auto"/>
              <w:right w:val="single" w:sz="4" w:space="0" w:color="auto"/>
            </w:tcBorders>
            <w:shd w:val="clear" w:color="auto" w:fill="auto"/>
            <w:noWrap/>
            <w:vAlign w:val="center"/>
            <w:hideMark/>
          </w:tcPr>
          <w:p w14:paraId="21784DC0" w14:textId="77777777" w:rsidR="00EB674A" w:rsidRPr="00D74773" w:rsidRDefault="00EB674A" w:rsidP="001F2DFE">
            <w:pPr>
              <w:jc w:val="center"/>
              <w:rPr>
                <w:rFonts w:ascii="Times New Roman" w:eastAsia="Times New Roman" w:hAnsi="Times New Roman"/>
                <w:color w:val="000000"/>
                <w:sz w:val="20"/>
                <w:szCs w:val="20"/>
                <w:lang w:eastAsia="lv-LV"/>
              </w:rPr>
            </w:pPr>
            <w:r w:rsidRPr="00D74773">
              <w:rPr>
                <w:rFonts w:ascii="Times New Roman" w:eastAsia="Times New Roman" w:hAnsi="Times New Roman"/>
                <w:b/>
                <w:bCs/>
                <w:sz w:val="20"/>
                <w:szCs w:val="20"/>
                <w:lang w:eastAsia="lv-LV"/>
              </w:rPr>
              <w:t>Budžeta programmas (apakš</w:t>
            </w:r>
            <w:r>
              <w:rPr>
                <w:rFonts w:ascii="Times New Roman" w:eastAsia="Times New Roman" w:hAnsi="Times New Roman"/>
                <w:b/>
                <w:bCs/>
                <w:sz w:val="20"/>
                <w:szCs w:val="20"/>
                <w:lang w:eastAsia="lv-LV"/>
              </w:rPr>
              <w:softHyphen/>
            </w:r>
            <w:r w:rsidRPr="00D74773">
              <w:rPr>
                <w:rFonts w:ascii="Times New Roman" w:eastAsia="Times New Roman" w:hAnsi="Times New Roman"/>
                <w:b/>
                <w:bCs/>
                <w:sz w:val="20"/>
                <w:szCs w:val="20"/>
                <w:lang w:eastAsia="lv-LV"/>
              </w:rPr>
              <w:t>programmas)</w:t>
            </w:r>
            <w:r w:rsidRPr="00D74773">
              <w:rPr>
                <w:rFonts w:ascii="Times New Roman" w:eastAsia="Times New Roman" w:hAnsi="Times New Roman"/>
                <w:b/>
                <w:bCs/>
                <w:sz w:val="20"/>
                <w:szCs w:val="20"/>
                <w:lang w:eastAsia="lv-LV"/>
              </w:rPr>
              <w:br/>
              <w:t>kods un nosaukums</w:t>
            </w:r>
          </w:p>
        </w:tc>
        <w:tc>
          <w:tcPr>
            <w:tcW w:w="80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B7C45" w14:textId="77777777" w:rsidR="00EB674A" w:rsidRPr="00D74773" w:rsidRDefault="00EB674A" w:rsidP="001F2DFE">
            <w:pPr>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Vidēja termiņa budžeta ietvara likumā plānotais finansējums</w:t>
            </w:r>
          </w:p>
        </w:tc>
        <w:tc>
          <w:tcPr>
            <w:tcW w:w="2302" w:type="pct"/>
            <w:gridSpan w:val="13"/>
            <w:tcBorders>
              <w:top w:val="single" w:sz="4" w:space="0" w:color="auto"/>
              <w:left w:val="single" w:sz="4" w:space="0" w:color="auto"/>
              <w:bottom w:val="single" w:sz="4" w:space="0" w:color="auto"/>
              <w:right w:val="single" w:sz="4" w:space="0" w:color="auto"/>
            </w:tcBorders>
          </w:tcPr>
          <w:p w14:paraId="2DEB1B6A" w14:textId="1FF7E608" w:rsidR="00EB674A" w:rsidRPr="00D74773" w:rsidRDefault="00EB674A" w:rsidP="001F2DFE">
            <w:pPr>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Nepieciešamais papildu finansējums</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877BC3" w14:textId="77777777" w:rsidR="00EB674A" w:rsidRPr="00D74773" w:rsidRDefault="00EB674A" w:rsidP="001F2DFE">
            <w:pPr>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Pasākuma īstenošanas gads</w:t>
            </w:r>
            <w:r w:rsidRPr="00D74773">
              <w:rPr>
                <w:rFonts w:ascii="Times New Roman" w:eastAsia="Times New Roman" w:hAnsi="Times New Roman"/>
                <w:b/>
                <w:bCs/>
                <w:sz w:val="20"/>
                <w:szCs w:val="20"/>
                <w:lang w:eastAsia="lv-LV"/>
              </w:rPr>
              <w:br/>
              <w:t xml:space="preserve"> (ja risinājuma (risinā</w:t>
            </w:r>
            <w:r>
              <w:rPr>
                <w:rFonts w:ascii="Times New Roman" w:eastAsia="Times New Roman" w:hAnsi="Times New Roman"/>
                <w:b/>
                <w:bCs/>
                <w:sz w:val="20"/>
                <w:szCs w:val="20"/>
                <w:lang w:eastAsia="lv-LV"/>
              </w:rPr>
              <w:softHyphen/>
            </w:r>
            <w:r w:rsidRPr="00D74773">
              <w:rPr>
                <w:rFonts w:ascii="Times New Roman" w:eastAsia="Times New Roman" w:hAnsi="Times New Roman"/>
                <w:b/>
                <w:bCs/>
                <w:sz w:val="20"/>
                <w:szCs w:val="20"/>
                <w:lang w:eastAsia="lv-LV"/>
              </w:rPr>
              <w:t>juma varianta) īstenošana ir terminēta)</w:t>
            </w:r>
          </w:p>
        </w:tc>
      </w:tr>
      <w:tr w:rsidR="00983857" w:rsidRPr="00D74773" w14:paraId="435904C3" w14:textId="77777777" w:rsidTr="00226850">
        <w:trPr>
          <w:trHeight w:val="2280"/>
        </w:trPr>
        <w:tc>
          <w:tcPr>
            <w:tcW w:w="509" w:type="pct"/>
            <w:gridSpan w:val="2"/>
            <w:vMerge/>
            <w:tcBorders>
              <w:left w:val="single" w:sz="4" w:space="0" w:color="auto"/>
              <w:bottom w:val="single" w:sz="4" w:space="0" w:color="auto"/>
              <w:right w:val="single" w:sz="4" w:space="0" w:color="auto"/>
            </w:tcBorders>
            <w:shd w:val="clear" w:color="auto" w:fill="auto"/>
            <w:vAlign w:val="center"/>
            <w:hideMark/>
          </w:tcPr>
          <w:p w14:paraId="5452A17E" w14:textId="77777777" w:rsidR="00EB674A" w:rsidRPr="00D74773" w:rsidRDefault="00EB674A" w:rsidP="001F2DFE">
            <w:pPr>
              <w:jc w:val="center"/>
              <w:rPr>
                <w:rFonts w:ascii="Times New Roman" w:eastAsia="Times New Roman" w:hAnsi="Times New Roman"/>
                <w:b/>
                <w:bCs/>
                <w:sz w:val="20"/>
                <w:szCs w:val="20"/>
                <w:lang w:eastAsia="lv-LV"/>
              </w:rPr>
            </w:pPr>
          </w:p>
        </w:tc>
        <w:tc>
          <w:tcPr>
            <w:tcW w:w="483" w:type="pct"/>
            <w:gridSpan w:val="2"/>
            <w:vMerge/>
            <w:tcBorders>
              <w:left w:val="single" w:sz="4" w:space="0" w:color="auto"/>
              <w:bottom w:val="nil"/>
              <w:right w:val="single" w:sz="4" w:space="0" w:color="auto"/>
            </w:tcBorders>
            <w:shd w:val="clear" w:color="auto" w:fill="auto"/>
            <w:vAlign w:val="center"/>
            <w:hideMark/>
          </w:tcPr>
          <w:p w14:paraId="010A523E" w14:textId="77777777" w:rsidR="00EB674A" w:rsidRPr="00D74773" w:rsidRDefault="00EB674A" w:rsidP="001F2DFE">
            <w:pPr>
              <w:jc w:val="center"/>
              <w:rPr>
                <w:rFonts w:ascii="Times New Roman" w:eastAsia="Times New Roman" w:hAnsi="Times New Roman"/>
                <w:b/>
                <w:bCs/>
                <w:sz w:val="20"/>
                <w:szCs w:val="20"/>
                <w:lang w:eastAsia="lv-LV"/>
              </w:rPr>
            </w:pPr>
          </w:p>
        </w:tc>
        <w:tc>
          <w:tcPr>
            <w:tcW w:w="488" w:type="pct"/>
            <w:vMerge/>
            <w:tcBorders>
              <w:left w:val="single" w:sz="4" w:space="0" w:color="auto"/>
              <w:bottom w:val="nil"/>
              <w:right w:val="single" w:sz="4" w:space="0" w:color="auto"/>
            </w:tcBorders>
            <w:shd w:val="clear" w:color="auto" w:fill="auto"/>
            <w:vAlign w:val="center"/>
            <w:hideMark/>
          </w:tcPr>
          <w:p w14:paraId="0401C47B" w14:textId="77777777" w:rsidR="00EB674A" w:rsidRPr="00D74773" w:rsidRDefault="00EB674A" w:rsidP="001F2DFE">
            <w:pPr>
              <w:jc w:val="center"/>
              <w:rPr>
                <w:rFonts w:ascii="Times New Roman" w:eastAsia="Times New Roman" w:hAnsi="Times New Roman"/>
                <w:b/>
                <w:bCs/>
                <w:sz w:val="20"/>
                <w:szCs w:val="20"/>
                <w:lang w:eastAsia="lv-LV"/>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52DB5FC0" w14:textId="77777777" w:rsidR="00EB674A" w:rsidRPr="00D74773" w:rsidRDefault="00EB674A" w:rsidP="004E632C">
            <w:pPr>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 xml:space="preserve">2016 </w:t>
            </w:r>
            <w:r w:rsidRPr="00D74773">
              <w:rPr>
                <w:rFonts w:ascii="Times New Roman" w:eastAsia="Times New Roman" w:hAnsi="Times New Roman"/>
                <w:b/>
                <w:bCs/>
                <w:sz w:val="20"/>
                <w:szCs w:val="20"/>
                <w:lang w:eastAsia="lv-LV"/>
              </w:rPr>
              <w:t>gads</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44F52F82" w14:textId="777755FA" w:rsidR="00EB674A" w:rsidRPr="00D74773" w:rsidRDefault="00EB674A" w:rsidP="001F2DFE">
            <w:pPr>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2017</w:t>
            </w:r>
            <w:r w:rsidRPr="00D74773">
              <w:rPr>
                <w:rFonts w:ascii="Times New Roman" w:eastAsia="Times New Roman" w:hAnsi="Times New Roman"/>
                <w:b/>
                <w:bCs/>
                <w:sz w:val="20"/>
                <w:szCs w:val="20"/>
                <w:lang w:eastAsia="lv-LV"/>
              </w:rPr>
              <w:t xml:space="preserve"> </w:t>
            </w:r>
          </w:p>
        </w:tc>
        <w:tc>
          <w:tcPr>
            <w:tcW w:w="281" w:type="pct"/>
            <w:gridSpan w:val="2"/>
            <w:tcBorders>
              <w:top w:val="single" w:sz="4" w:space="0" w:color="auto"/>
              <w:left w:val="nil"/>
              <w:bottom w:val="single" w:sz="4" w:space="0" w:color="auto"/>
              <w:right w:val="single" w:sz="4" w:space="0" w:color="auto"/>
            </w:tcBorders>
            <w:shd w:val="clear" w:color="auto" w:fill="auto"/>
            <w:vAlign w:val="center"/>
            <w:hideMark/>
          </w:tcPr>
          <w:p w14:paraId="0D2C7841" w14:textId="382A4FA2" w:rsidR="00EB674A" w:rsidRPr="00D74773" w:rsidRDefault="00EB674A" w:rsidP="001F2DFE">
            <w:pPr>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2018</w:t>
            </w:r>
            <w:r w:rsidRPr="00D74773">
              <w:rPr>
                <w:rFonts w:ascii="Times New Roman" w:eastAsia="Times New Roman" w:hAnsi="Times New Roman"/>
                <w:b/>
                <w:bCs/>
                <w:sz w:val="20"/>
                <w:szCs w:val="20"/>
                <w:lang w:eastAsia="lv-LV"/>
              </w:rPr>
              <w:t xml:space="preserve"> </w:t>
            </w:r>
          </w:p>
        </w:tc>
        <w:tc>
          <w:tcPr>
            <w:tcW w:w="257" w:type="pct"/>
            <w:gridSpan w:val="3"/>
            <w:tcBorders>
              <w:top w:val="single" w:sz="4" w:space="0" w:color="auto"/>
              <w:left w:val="nil"/>
              <w:bottom w:val="single" w:sz="4" w:space="0" w:color="auto"/>
              <w:right w:val="single" w:sz="4" w:space="0" w:color="auto"/>
            </w:tcBorders>
            <w:shd w:val="clear" w:color="auto" w:fill="auto"/>
            <w:vAlign w:val="center"/>
            <w:hideMark/>
          </w:tcPr>
          <w:p w14:paraId="7E0E09E9" w14:textId="4A3DBE69" w:rsidR="00EB674A" w:rsidRPr="00D74773" w:rsidRDefault="00EB674A" w:rsidP="001F2DFE">
            <w:pPr>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w:t>
            </w:r>
            <w:r w:rsidR="008A73C8">
              <w:rPr>
                <w:rFonts w:ascii="Times New Roman" w:eastAsia="Times New Roman" w:hAnsi="Times New Roman"/>
                <w:b/>
                <w:bCs/>
                <w:sz w:val="20"/>
                <w:szCs w:val="20"/>
                <w:lang w:eastAsia="lv-LV"/>
              </w:rPr>
              <w:t>8</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7B9F279A" w14:textId="3DBEA3B4" w:rsidR="00EB674A" w:rsidRPr="00D74773" w:rsidRDefault="008A73C8" w:rsidP="001F2DFE">
            <w:pPr>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2019</w:t>
            </w:r>
            <w:r w:rsidR="00EB674A" w:rsidRPr="00D74773">
              <w:rPr>
                <w:rFonts w:ascii="Times New Roman" w:eastAsia="Times New Roman" w:hAnsi="Times New Roman"/>
                <w:b/>
                <w:bCs/>
                <w:sz w:val="20"/>
                <w:szCs w:val="20"/>
                <w:lang w:eastAsia="lv-LV"/>
              </w:rPr>
              <w:t xml:space="preserve"> </w:t>
            </w:r>
          </w:p>
        </w:tc>
        <w:tc>
          <w:tcPr>
            <w:tcW w:w="242" w:type="pct"/>
            <w:gridSpan w:val="3"/>
            <w:tcBorders>
              <w:top w:val="single" w:sz="4" w:space="0" w:color="auto"/>
              <w:left w:val="nil"/>
              <w:bottom w:val="single" w:sz="4" w:space="0" w:color="auto"/>
              <w:right w:val="single" w:sz="4" w:space="0" w:color="auto"/>
            </w:tcBorders>
            <w:shd w:val="clear" w:color="auto" w:fill="auto"/>
            <w:vAlign w:val="center"/>
            <w:hideMark/>
          </w:tcPr>
          <w:p w14:paraId="23BF37CF" w14:textId="559AF6E6" w:rsidR="00EB674A" w:rsidRPr="00D74773" w:rsidRDefault="00EB674A" w:rsidP="00EB674A">
            <w:pPr>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w:t>
            </w:r>
            <w:r w:rsidR="008A73C8">
              <w:rPr>
                <w:rFonts w:ascii="Times New Roman" w:eastAsia="Times New Roman" w:hAnsi="Times New Roman"/>
                <w:b/>
                <w:bCs/>
                <w:sz w:val="20"/>
                <w:szCs w:val="20"/>
                <w:lang w:eastAsia="lv-LV"/>
              </w:rPr>
              <w:t>20</w:t>
            </w:r>
          </w:p>
        </w:tc>
        <w:tc>
          <w:tcPr>
            <w:tcW w:w="220" w:type="pct"/>
            <w:tcBorders>
              <w:top w:val="single" w:sz="4" w:space="0" w:color="auto"/>
              <w:left w:val="nil"/>
              <w:bottom w:val="single" w:sz="4" w:space="0" w:color="auto"/>
              <w:right w:val="single" w:sz="4" w:space="0" w:color="auto"/>
            </w:tcBorders>
            <w:vAlign w:val="center"/>
          </w:tcPr>
          <w:p w14:paraId="373E68E2" w14:textId="7620188C" w:rsidR="00EB674A" w:rsidRPr="00D74773" w:rsidRDefault="00EB674A" w:rsidP="00EB674A">
            <w:pPr>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202</w:t>
            </w:r>
            <w:r w:rsidR="008A73C8">
              <w:rPr>
                <w:rFonts w:ascii="Times New Roman" w:eastAsia="Times New Roman" w:hAnsi="Times New Roman"/>
                <w:b/>
                <w:bCs/>
                <w:sz w:val="20"/>
                <w:szCs w:val="20"/>
                <w:lang w:eastAsia="lv-LV"/>
              </w:rPr>
              <w:t>1</w:t>
            </w:r>
          </w:p>
        </w:tc>
        <w:tc>
          <w:tcPr>
            <w:tcW w:w="270" w:type="pct"/>
            <w:tcBorders>
              <w:top w:val="single" w:sz="4" w:space="0" w:color="auto"/>
              <w:left w:val="single" w:sz="4" w:space="0" w:color="auto"/>
              <w:bottom w:val="single" w:sz="4" w:space="0" w:color="auto"/>
              <w:right w:val="single" w:sz="4" w:space="0" w:color="auto"/>
            </w:tcBorders>
            <w:vAlign w:val="center"/>
          </w:tcPr>
          <w:p w14:paraId="600D1CC5" w14:textId="5A2143BB" w:rsidR="00EB674A" w:rsidRPr="00D74773" w:rsidRDefault="00EB674A" w:rsidP="00EB674A">
            <w:pPr>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202</w:t>
            </w:r>
            <w:r w:rsidR="008A73C8">
              <w:rPr>
                <w:rFonts w:ascii="Times New Roman" w:eastAsia="Times New Roman" w:hAnsi="Times New Roman"/>
                <w:b/>
                <w:bCs/>
                <w:sz w:val="20"/>
                <w:szCs w:val="20"/>
                <w:lang w:eastAsia="lv-LV"/>
              </w:rPr>
              <w:t>2</w:t>
            </w:r>
          </w:p>
        </w:tc>
        <w:tc>
          <w:tcPr>
            <w:tcW w:w="7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CCB339" w14:textId="377008C4" w:rsidR="00EB674A" w:rsidRPr="00D74773" w:rsidRDefault="00EB674A" w:rsidP="001F2DFE">
            <w:pPr>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turpmāk</w:t>
            </w:r>
            <w:r>
              <w:rPr>
                <w:rFonts w:ascii="Times New Roman" w:eastAsia="Times New Roman" w:hAnsi="Times New Roman"/>
                <w:b/>
                <w:bCs/>
                <w:sz w:val="20"/>
                <w:szCs w:val="20"/>
                <w:lang w:eastAsia="lv-LV"/>
              </w:rPr>
              <w:t>aj</w:t>
            </w:r>
            <w:r w:rsidRPr="00D74773">
              <w:rPr>
                <w:rFonts w:ascii="Times New Roman" w:eastAsia="Times New Roman" w:hAnsi="Times New Roman"/>
                <w:b/>
                <w:bCs/>
                <w:sz w:val="20"/>
                <w:szCs w:val="20"/>
                <w:lang w:eastAsia="lv-LV"/>
              </w:rPr>
              <w:t xml:space="preserve">ā laikposmā līdz risinājuma (risinājuma varianta) pabeigšanai </w:t>
            </w:r>
            <w:r w:rsidRPr="00D74773">
              <w:rPr>
                <w:rFonts w:ascii="Times New Roman" w:eastAsia="Times New Roman" w:hAnsi="Times New Roman"/>
                <w:b/>
                <w:bCs/>
                <w:sz w:val="20"/>
                <w:szCs w:val="20"/>
                <w:lang w:eastAsia="lv-LV"/>
              </w:rPr>
              <w:br/>
              <w:t>(ja īstenošana ir terminēta)</w:t>
            </w:r>
          </w:p>
        </w:tc>
        <w:tc>
          <w:tcPr>
            <w:tcW w:w="330" w:type="pct"/>
            <w:gridSpan w:val="2"/>
            <w:tcBorders>
              <w:top w:val="single" w:sz="4" w:space="0" w:color="auto"/>
              <w:left w:val="nil"/>
              <w:bottom w:val="single" w:sz="4" w:space="0" w:color="auto"/>
              <w:right w:val="single" w:sz="4" w:space="0" w:color="auto"/>
            </w:tcBorders>
            <w:shd w:val="clear" w:color="auto" w:fill="auto"/>
            <w:vAlign w:val="center"/>
            <w:hideMark/>
          </w:tcPr>
          <w:p w14:paraId="3D04864C" w14:textId="77777777" w:rsidR="00EB674A" w:rsidRPr="00D74773" w:rsidRDefault="00EB674A" w:rsidP="001F2DFE">
            <w:pPr>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 xml:space="preserve">turpmāk ik gadu </w:t>
            </w:r>
            <w:r w:rsidRPr="00D74773">
              <w:rPr>
                <w:rFonts w:ascii="Times New Roman" w:eastAsia="Times New Roman" w:hAnsi="Times New Roman"/>
                <w:b/>
                <w:bCs/>
                <w:sz w:val="20"/>
                <w:szCs w:val="20"/>
                <w:lang w:eastAsia="lv-LV"/>
              </w:rPr>
              <w:br/>
              <w:t>(ja risinā</w:t>
            </w:r>
            <w:r>
              <w:rPr>
                <w:rFonts w:ascii="Times New Roman" w:eastAsia="Times New Roman" w:hAnsi="Times New Roman"/>
                <w:b/>
                <w:bCs/>
                <w:sz w:val="20"/>
                <w:szCs w:val="20"/>
                <w:lang w:eastAsia="lv-LV"/>
              </w:rPr>
              <w:softHyphen/>
            </w:r>
            <w:r w:rsidRPr="00D74773">
              <w:rPr>
                <w:rFonts w:ascii="Times New Roman" w:eastAsia="Times New Roman" w:hAnsi="Times New Roman"/>
                <w:b/>
                <w:bCs/>
                <w:sz w:val="20"/>
                <w:szCs w:val="20"/>
                <w:lang w:eastAsia="lv-LV"/>
              </w:rPr>
              <w:t>juma (risinā</w:t>
            </w:r>
            <w:r>
              <w:rPr>
                <w:rFonts w:ascii="Times New Roman" w:eastAsia="Times New Roman" w:hAnsi="Times New Roman"/>
                <w:b/>
                <w:bCs/>
                <w:sz w:val="20"/>
                <w:szCs w:val="20"/>
                <w:lang w:eastAsia="lv-LV"/>
              </w:rPr>
              <w:softHyphen/>
            </w:r>
            <w:r w:rsidRPr="00D74773">
              <w:rPr>
                <w:rFonts w:ascii="Times New Roman" w:eastAsia="Times New Roman" w:hAnsi="Times New Roman"/>
                <w:b/>
                <w:bCs/>
                <w:sz w:val="20"/>
                <w:szCs w:val="20"/>
                <w:lang w:eastAsia="lv-LV"/>
              </w:rPr>
              <w:t>juma varianta) izpilde nav terminēta)</w:t>
            </w:r>
          </w:p>
        </w:tc>
        <w:tc>
          <w:tcPr>
            <w:tcW w:w="412" w:type="pct"/>
            <w:vMerge/>
            <w:tcBorders>
              <w:top w:val="single" w:sz="4" w:space="0" w:color="auto"/>
              <w:left w:val="single" w:sz="4" w:space="0" w:color="auto"/>
              <w:bottom w:val="single" w:sz="4" w:space="0" w:color="000000"/>
              <w:right w:val="single" w:sz="4" w:space="0" w:color="auto"/>
            </w:tcBorders>
            <w:vAlign w:val="center"/>
            <w:hideMark/>
          </w:tcPr>
          <w:p w14:paraId="71A0DD5C" w14:textId="77777777" w:rsidR="00EB674A" w:rsidRPr="00D74773" w:rsidRDefault="00EB674A" w:rsidP="001F2DFE">
            <w:pPr>
              <w:rPr>
                <w:rFonts w:ascii="Times New Roman" w:eastAsia="Times New Roman" w:hAnsi="Times New Roman"/>
                <w:b/>
                <w:bCs/>
                <w:sz w:val="20"/>
                <w:szCs w:val="20"/>
                <w:lang w:eastAsia="lv-LV"/>
              </w:rPr>
            </w:pPr>
          </w:p>
        </w:tc>
      </w:tr>
      <w:tr w:rsidR="00571886" w:rsidRPr="00D74773" w14:paraId="7228B936" w14:textId="77777777" w:rsidTr="00983857">
        <w:trPr>
          <w:trHeight w:val="456"/>
        </w:trPr>
        <w:tc>
          <w:tcPr>
            <w:tcW w:w="509" w:type="pct"/>
            <w:gridSpan w:val="2"/>
            <w:tcBorders>
              <w:top w:val="nil"/>
              <w:left w:val="single" w:sz="4" w:space="0" w:color="auto"/>
              <w:bottom w:val="nil"/>
              <w:right w:val="single" w:sz="4" w:space="0" w:color="auto"/>
            </w:tcBorders>
            <w:shd w:val="clear" w:color="auto" w:fill="C4BC96"/>
            <w:hideMark/>
          </w:tcPr>
          <w:p w14:paraId="49188DDF" w14:textId="77777777" w:rsidR="00EB674A" w:rsidRPr="00D74773" w:rsidRDefault="00EB674A" w:rsidP="001F2DFE">
            <w:pP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Finansējums konceptuālā ziņojuma īstenošanai  kopā</w:t>
            </w:r>
          </w:p>
        </w:tc>
        <w:tc>
          <w:tcPr>
            <w:tcW w:w="483" w:type="pct"/>
            <w:gridSpan w:val="2"/>
            <w:tcBorders>
              <w:top w:val="single" w:sz="4" w:space="0" w:color="auto"/>
              <w:left w:val="nil"/>
              <w:bottom w:val="nil"/>
              <w:right w:val="single" w:sz="4" w:space="0" w:color="auto"/>
            </w:tcBorders>
            <w:shd w:val="clear" w:color="auto" w:fill="C4BC96"/>
            <w:vAlign w:val="center"/>
            <w:hideMark/>
          </w:tcPr>
          <w:p w14:paraId="4E078678" w14:textId="77777777" w:rsidR="00EB674A" w:rsidRPr="00D74773" w:rsidRDefault="00EB674A" w:rsidP="001F2DFE">
            <w:pPr>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 </w:t>
            </w:r>
          </w:p>
        </w:tc>
        <w:tc>
          <w:tcPr>
            <w:tcW w:w="488" w:type="pct"/>
            <w:tcBorders>
              <w:top w:val="single" w:sz="4" w:space="0" w:color="auto"/>
              <w:left w:val="nil"/>
              <w:bottom w:val="nil"/>
              <w:right w:val="nil"/>
            </w:tcBorders>
            <w:shd w:val="clear" w:color="auto" w:fill="C4BC96"/>
            <w:vAlign w:val="center"/>
            <w:hideMark/>
          </w:tcPr>
          <w:p w14:paraId="11BE76FF" w14:textId="77777777" w:rsidR="00EB674A" w:rsidRPr="00D74773" w:rsidRDefault="00EB674A" w:rsidP="001F2DFE">
            <w:pPr>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 </w:t>
            </w:r>
          </w:p>
        </w:tc>
        <w:tc>
          <w:tcPr>
            <w:tcW w:w="284" w:type="pct"/>
            <w:tcBorders>
              <w:top w:val="nil"/>
              <w:left w:val="single" w:sz="4" w:space="0" w:color="auto"/>
              <w:bottom w:val="nil"/>
              <w:right w:val="single" w:sz="4" w:space="0" w:color="auto"/>
            </w:tcBorders>
            <w:shd w:val="clear" w:color="auto" w:fill="C4BC96"/>
            <w:noWrap/>
            <w:hideMark/>
          </w:tcPr>
          <w:p w14:paraId="52E7E077"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433 383</w:t>
            </w:r>
          </w:p>
        </w:tc>
        <w:tc>
          <w:tcPr>
            <w:tcW w:w="242" w:type="pct"/>
            <w:tcBorders>
              <w:top w:val="nil"/>
              <w:left w:val="nil"/>
              <w:bottom w:val="nil"/>
              <w:right w:val="single" w:sz="4" w:space="0" w:color="auto"/>
            </w:tcBorders>
            <w:shd w:val="clear" w:color="auto" w:fill="C4BC96"/>
            <w:noWrap/>
            <w:hideMark/>
          </w:tcPr>
          <w:p w14:paraId="249B082E"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446 787</w:t>
            </w:r>
          </w:p>
        </w:tc>
        <w:tc>
          <w:tcPr>
            <w:tcW w:w="281" w:type="pct"/>
            <w:gridSpan w:val="2"/>
            <w:tcBorders>
              <w:top w:val="nil"/>
              <w:left w:val="nil"/>
              <w:bottom w:val="nil"/>
              <w:right w:val="single" w:sz="4" w:space="0" w:color="auto"/>
            </w:tcBorders>
            <w:shd w:val="clear" w:color="auto" w:fill="C4BC96"/>
            <w:noWrap/>
            <w:hideMark/>
          </w:tcPr>
          <w:p w14:paraId="6A95831B"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446 787</w:t>
            </w:r>
          </w:p>
        </w:tc>
        <w:tc>
          <w:tcPr>
            <w:tcW w:w="257" w:type="pct"/>
            <w:gridSpan w:val="3"/>
            <w:tcBorders>
              <w:top w:val="nil"/>
              <w:left w:val="nil"/>
              <w:bottom w:val="nil"/>
              <w:right w:val="single" w:sz="4" w:space="0" w:color="auto"/>
            </w:tcBorders>
            <w:shd w:val="clear" w:color="auto" w:fill="C4BC96"/>
            <w:noWrap/>
            <w:hideMark/>
          </w:tcPr>
          <w:p w14:paraId="04D39E12"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352 500</w:t>
            </w:r>
          </w:p>
        </w:tc>
        <w:tc>
          <w:tcPr>
            <w:tcW w:w="242" w:type="pct"/>
            <w:tcBorders>
              <w:top w:val="nil"/>
              <w:left w:val="nil"/>
              <w:bottom w:val="nil"/>
              <w:right w:val="single" w:sz="4" w:space="0" w:color="auto"/>
            </w:tcBorders>
            <w:shd w:val="clear" w:color="auto" w:fill="C4BC96"/>
            <w:noWrap/>
            <w:hideMark/>
          </w:tcPr>
          <w:p w14:paraId="4563C44C"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402 500</w:t>
            </w:r>
          </w:p>
        </w:tc>
        <w:tc>
          <w:tcPr>
            <w:tcW w:w="242" w:type="pct"/>
            <w:gridSpan w:val="3"/>
            <w:tcBorders>
              <w:top w:val="nil"/>
              <w:left w:val="nil"/>
              <w:bottom w:val="nil"/>
              <w:right w:val="single" w:sz="4" w:space="0" w:color="auto"/>
            </w:tcBorders>
            <w:shd w:val="clear" w:color="auto" w:fill="C4BC96"/>
            <w:noWrap/>
            <w:hideMark/>
          </w:tcPr>
          <w:p w14:paraId="1F6E7473"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452 500</w:t>
            </w:r>
          </w:p>
        </w:tc>
        <w:tc>
          <w:tcPr>
            <w:tcW w:w="220" w:type="pct"/>
            <w:tcBorders>
              <w:top w:val="single" w:sz="4" w:space="0" w:color="auto"/>
              <w:left w:val="nil"/>
              <w:bottom w:val="single" w:sz="4" w:space="0" w:color="auto"/>
              <w:right w:val="single" w:sz="4" w:space="0" w:color="auto"/>
            </w:tcBorders>
            <w:shd w:val="clear" w:color="auto" w:fill="C4BC96"/>
          </w:tcPr>
          <w:p w14:paraId="755A4F60" w14:textId="7BF5566C" w:rsidR="00EB674A" w:rsidDel="001658B7"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502 500</w:t>
            </w:r>
          </w:p>
        </w:tc>
        <w:tc>
          <w:tcPr>
            <w:tcW w:w="270" w:type="pct"/>
            <w:tcBorders>
              <w:top w:val="nil"/>
              <w:left w:val="single" w:sz="4" w:space="0" w:color="auto"/>
              <w:bottom w:val="nil"/>
              <w:right w:val="single" w:sz="4" w:space="0" w:color="auto"/>
            </w:tcBorders>
            <w:shd w:val="clear" w:color="auto" w:fill="C4BC96"/>
          </w:tcPr>
          <w:p w14:paraId="421009BE" w14:textId="17BA975C" w:rsidR="00EB674A" w:rsidDel="001658B7"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552 500</w:t>
            </w:r>
          </w:p>
        </w:tc>
        <w:tc>
          <w:tcPr>
            <w:tcW w:w="741" w:type="pct"/>
            <w:gridSpan w:val="2"/>
            <w:tcBorders>
              <w:top w:val="nil"/>
              <w:left w:val="single" w:sz="4" w:space="0" w:color="auto"/>
              <w:bottom w:val="nil"/>
              <w:right w:val="single" w:sz="4" w:space="0" w:color="auto"/>
            </w:tcBorders>
            <w:shd w:val="clear" w:color="auto" w:fill="C4BC96"/>
            <w:noWrap/>
            <w:hideMark/>
          </w:tcPr>
          <w:p w14:paraId="6B761546" w14:textId="34FEAC79" w:rsidR="00EB674A" w:rsidRPr="00D74773" w:rsidRDefault="00EB674A" w:rsidP="001F2DFE">
            <w:pPr>
              <w:jc w:val="right"/>
              <w:rPr>
                <w:rFonts w:ascii="Times New Roman" w:eastAsia="Times New Roman" w:hAnsi="Times New Roman"/>
                <w:color w:val="000000"/>
                <w:sz w:val="20"/>
                <w:szCs w:val="20"/>
                <w:lang w:eastAsia="lv-LV"/>
              </w:rPr>
            </w:pPr>
          </w:p>
        </w:tc>
        <w:tc>
          <w:tcPr>
            <w:tcW w:w="330" w:type="pct"/>
            <w:gridSpan w:val="2"/>
            <w:tcBorders>
              <w:top w:val="nil"/>
              <w:left w:val="nil"/>
              <w:bottom w:val="nil"/>
              <w:right w:val="single" w:sz="4" w:space="0" w:color="auto"/>
            </w:tcBorders>
            <w:shd w:val="clear" w:color="auto" w:fill="C4BC96"/>
            <w:noWrap/>
            <w:hideMark/>
          </w:tcPr>
          <w:p w14:paraId="2C1B12CB" w14:textId="292B6C69"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552000</w:t>
            </w:r>
          </w:p>
        </w:tc>
        <w:tc>
          <w:tcPr>
            <w:tcW w:w="412" w:type="pct"/>
            <w:tcBorders>
              <w:top w:val="nil"/>
              <w:left w:val="nil"/>
              <w:bottom w:val="nil"/>
              <w:right w:val="single" w:sz="4" w:space="0" w:color="auto"/>
            </w:tcBorders>
            <w:shd w:val="clear" w:color="auto" w:fill="C4BC96"/>
            <w:noWrap/>
            <w:hideMark/>
          </w:tcPr>
          <w:p w14:paraId="25ACD309" w14:textId="77777777" w:rsidR="00EB674A" w:rsidRPr="00D74773" w:rsidRDefault="00EB674A" w:rsidP="001F2DFE">
            <w:pPr>
              <w:jc w:val="right"/>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0</w:t>
            </w:r>
          </w:p>
        </w:tc>
      </w:tr>
      <w:tr w:rsidR="00571886" w:rsidRPr="00EF683B" w14:paraId="169E7FA7" w14:textId="77777777" w:rsidTr="00983857">
        <w:trPr>
          <w:trHeight w:val="312"/>
        </w:trPr>
        <w:tc>
          <w:tcPr>
            <w:tcW w:w="509" w:type="pct"/>
            <w:gridSpan w:val="2"/>
            <w:tcBorders>
              <w:top w:val="single" w:sz="4" w:space="0" w:color="auto"/>
              <w:left w:val="single" w:sz="4" w:space="0" w:color="auto"/>
              <w:bottom w:val="single" w:sz="4" w:space="0" w:color="auto"/>
              <w:right w:val="single" w:sz="4" w:space="0" w:color="auto"/>
            </w:tcBorders>
            <w:shd w:val="clear" w:color="auto" w:fill="DDD9C3"/>
            <w:hideMark/>
          </w:tcPr>
          <w:p w14:paraId="1F564E9F" w14:textId="77777777" w:rsidR="00EB674A" w:rsidRPr="00D74773" w:rsidRDefault="00EB674A" w:rsidP="001F2DFE">
            <w:pP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tajā</w:t>
            </w:r>
            <w:r w:rsidRPr="00D74773">
              <w:rPr>
                <w:rFonts w:ascii="Times New Roman" w:eastAsia="Times New Roman" w:hAnsi="Times New Roman"/>
                <w:iCs/>
                <w:sz w:val="20"/>
                <w:szCs w:val="20"/>
                <w:lang w:eastAsia="lv-LV"/>
              </w:rPr>
              <w:t xml:space="preserve"> skaitā</w:t>
            </w:r>
          </w:p>
        </w:tc>
        <w:tc>
          <w:tcPr>
            <w:tcW w:w="483" w:type="pct"/>
            <w:gridSpan w:val="2"/>
            <w:tcBorders>
              <w:top w:val="single" w:sz="4" w:space="0" w:color="auto"/>
              <w:left w:val="nil"/>
              <w:bottom w:val="single" w:sz="4" w:space="0" w:color="auto"/>
              <w:right w:val="single" w:sz="4" w:space="0" w:color="auto"/>
            </w:tcBorders>
            <w:shd w:val="clear" w:color="auto" w:fill="DDD9C3"/>
            <w:vAlign w:val="center"/>
            <w:hideMark/>
          </w:tcPr>
          <w:p w14:paraId="4D12E2EE" w14:textId="77777777" w:rsidR="00EB674A" w:rsidRPr="00EF683B" w:rsidRDefault="00EB674A" w:rsidP="001F2DFE">
            <w:pPr>
              <w:jc w:val="center"/>
              <w:rPr>
                <w:rFonts w:ascii="Times New Roman" w:eastAsia="Times New Roman" w:hAnsi="Times New Roman"/>
                <w:i/>
                <w:iCs/>
                <w:sz w:val="18"/>
                <w:szCs w:val="18"/>
                <w:lang w:eastAsia="lv-LV"/>
              </w:rPr>
            </w:pPr>
            <w:r w:rsidRPr="00EF683B">
              <w:rPr>
                <w:rFonts w:ascii="Times New Roman" w:eastAsia="Times New Roman" w:hAnsi="Times New Roman"/>
                <w:i/>
                <w:iCs/>
                <w:sz w:val="18"/>
                <w:szCs w:val="18"/>
                <w:lang w:eastAsia="lv-LV"/>
              </w:rPr>
              <w:t> </w:t>
            </w:r>
          </w:p>
        </w:tc>
        <w:tc>
          <w:tcPr>
            <w:tcW w:w="488" w:type="pct"/>
            <w:tcBorders>
              <w:top w:val="single" w:sz="4" w:space="0" w:color="auto"/>
              <w:left w:val="nil"/>
              <w:bottom w:val="single" w:sz="4" w:space="0" w:color="auto"/>
              <w:right w:val="single" w:sz="4" w:space="0" w:color="auto"/>
            </w:tcBorders>
            <w:shd w:val="clear" w:color="auto" w:fill="DDD9C3"/>
            <w:vAlign w:val="center"/>
            <w:hideMark/>
          </w:tcPr>
          <w:p w14:paraId="6898B500" w14:textId="77777777" w:rsidR="00EB674A" w:rsidRPr="00EF683B" w:rsidRDefault="00EB674A" w:rsidP="001F2DFE">
            <w:pPr>
              <w:jc w:val="center"/>
              <w:rPr>
                <w:rFonts w:ascii="Times New Roman" w:eastAsia="Times New Roman" w:hAnsi="Times New Roman"/>
                <w:i/>
                <w:iCs/>
                <w:sz w:val="18"/>
                <w:szCs w:val="18"/>
                <w:lang w:eastAsia="lv-LV"/>
              </w:rPr>
            </w:pPr>
            <w:r w:rsidRPr="00EF683B">
              <w:rPr>
                <w:rFonts w:ascii="Times New Roman" w:eastAsia="Times New Roman" w:hAnsi="Times New Roman"/>
                <w:i/>
                <w:iCs/>
                <w:sz w:val="18"/>
                <w:szCs w:val="18"/>
                <w:lang w:eastAsia="lv-LV"/>
              </w:rPr>
              <w:t> </w:t>
            </w:r>
          </w:p>
        </w:tc>
        <w:tc>
          <w:tcPr>
            <w:tcW w:w="284" w:type="pct"/>
            <w:tcBorders>
              <w:top w:val="single" w:sz="4" w:space="0" w:color="auto"/>
              <w:left w:val="nil"/>
              <w:bottom w:val="single" w:sz="4" w:space="0" w:color="auto"/>
              <w:right w:val="single" w:sz="4" w:space="0" w:color="auto"/>
            </w:tcBorders>
            <w:shd w:val="clear" w:color="auto" w:fill="DDD9C3"/>
            <w:hideMark/>
          </w:tcPr>
          <w:p w14:paraId="4564BA75" w14:textId="77777777" w:rsidR="00EB674A" w:rsidRPr="00D74773" w:rsidRDefault="00EB674A" w:rsidP="001F2DFE">
            <w:pPr>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c>
          <w:tcPr>
            <w:tcW w:w="242" w:type="pct"/>
            <w:tcBorders>
              <w:top w:val="single" w:sz="4" w:space="0" w:color="auto"/>
              <w:left w:val="nil"/>
              <w:bottom w:val="single" w:sz="4" w:space="0" w:color="auto"/>
              <w:right w:val="single" w:sz="4" w:space="0" w:color="auto"/>
            </w:tcBorders>
            <w:shd w:val="clear" w:color="auto" w:fill="DDD9C3"/>
            <w:hideMark/>
          </w:tcPr>
          <w:p w14:paraId="44520534" w14:textId="77777777" w:rsidR="00EB674A" w:rsidRPr="00D74773" w:rsidRDefault="00EB674A" w:rsidP="001F2DFE">
            <w:pPr>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c>
          <w:tcPr>
            <w:tcW w:w="281" w:type="pct"/>
            <w:gridSpan w:val="2"/>
            <w:tcBorders>
              <w:top w:val="single" w:sz="4" w:space="0" w:color="auto"/>
              <w:left w:val="nil"/>
              <w:bottom w:val="single" w:sz="4" w:space="0" w:color="auto"/>
              <w:right w:val="single" w:sz="4" w:space="0" w:color="auto"/>
            </w:tcBorders>
            <w:shd w:val="clear" w:color="auto" w:fill="DDD9C3"/>
            <w:hideMark/>
          </w:tcPr>
          <w:p w14:paraId="199E688C" w14:textId="77777777" w:rsidR="00EB674A" w:rsidRPr="00D74773" w:rsidRDefault="00EB674A" w:rsidP="001F2DFE">
            <w:pPr>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c>
          <w:tcPr>
            <w:tcW w:w="257" w:type="pct"/>
            <w:gridSpan w:val="3"/>
            <w:tcBorders>
              <w:top w:val="single" w:sz="4" w:space="0" w:color="auto"/>
              <w:left w:val="nil"/>
              <w:bottom w:val="single" w:sz="4" w:space="0" w:color="auto"/>
              <w:right w:val="single" w:sz="4" w:space="0" w:color="auto"/>
            </w:tcBorders>
            <w:shd w:val="clear" w:color="auto" w:fill="DDD9C3"/>
            <w:hideMark/>
          </w:tcPr>
          <w:p w14:paraId="6D1D6F5D" w14:textId="77777777" w:rsidR="00EB674A" w:rsidRPr="00D74773" w:rsidRDefault="00EB674A" w:rsidP="001F2DFE">
            <w:pPr>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c>
          <w:tcPr>
            <w:tcW w:w="242" w:type="pct"/>
            <w:tcBorders>
              <w:top w:val="single" w:sz="4" w:space="0" w:color="auto"/>
              <w:left w:val="nil"/>
              <w:bottom w:val="single" w:sz="4" w:space="0" w:color="auto"/>
              <w:right w:val="single" w:sz="4" w:space="0" w:color="auto"/>
            </w:tcBorders>
            <w:shd w:val="clear" w:color="auto" w:fill="DDD9C3"/>
            <w:hideMark/>
          </w:tcPr>
          <w:p w14:paraId="1D463EF2" w14:textId="77777777" w:rsidR="00EB674A" w:rsidRPr="00D74773" w:rsidRDefault="00EB674A" w:rsidP="001F2DFE">
            <w:pPr>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c>
          <w:tcPr>
            <w:tcW w:w="242" w:type="pct"/>
            <w:gridSpan w:val="3"/>
            <w:tcBorders>
              <w:top w:val="single" w:sz="4" w:space="0" w:color="auto"/>
              <w:left w:val="nil"/>
              <w:bottom w:val="single" w:sz="4" w:space="0" w:color="auto"/>
              <w:right w:val="single" w:sz="4" w:space="0" w:color="auto"/>
            </w:tcBorders>
            <w:shd w:val="clear" w:color="auto" w:fill="DDD9C3"/>
            <w:hideMark/>
          </w:tcPr>
          <w:p w14:paraId="2AE97CA4" w14:textId="77777777" w:rsidR="00EB674A" w:rsidRPr="00D74773" w:rsidRDefault="00EB674A" w:rsidP="001F2DFE">
            <w:pPr>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c>
          <w:tcPr>
            <w:tcW w:w="220" w:type="pct"/>
            <w:tcBorders>
              <w:top w:val="single" w:sz="4" w:space="0" w:color="auto"/>
              <w:left w:val="nil"/>
              <w:bottom w:val="single" w:sz="4" w:space="0" w:color="auto"/>
              <w:right w:val="single" w:sz="4" w:space="0" w:color="auto"/>
            </w:tcBorders>
            <w:shd w:val="clear" w:color="auto" w:fill="DDD9C3"/>
          </w:tcPr>
          <w:p w14:paraId="43C7E7D8" w14:textId="77777777" w:rsidR="00EB674A" w:rsidRPr="00D74773" w:rsidRDefault="00EB674A" w:rsidP="001F2DFE">
            <w:pPr>
              <w:jc w:val="right"/>
              <w:rPr>
                <w:rFonts w:ascii="Times New Roman" w:eastAsia="Times New Roman" w:hAnsi="Times New Roman"/>
                <w:iCs/>
                <w:sz w:val="18"/>
                <w:szCs w:val="18"/>
                <w:lang w:eastAsia="lv-LV"/>
              </w:rPr>
            </w:pPr>
          </w:p>
        </w:tc>
        <w:tc>
          <w:tcPr>
            <w:tcW w:w="270" w:type="pct"/>
            <w:tcBorders>
              <w:top w:val="single" w:sz="4" w:space="0" w:color="auto"/>
              <w:left w:val="single" w:sz="4" w:space="0" w:color="auto"/>
              <w:bottom w:val="single" w:sz="4" w:space="0" w:color="auto"/>
              <w:right w:val="single" w:sz="4" w:space="0" w:color="auto"/>
            </w:tcBorders>
            <w:shd w:val="clear" w:color="auto" w:fill="DDD9C3"/>
          </w:tcPr>
          <w:p w14:paraId="0867C1A6" w14:textId="77777777" w:rsidR="00EB674A" w:rsidRPr="00D74773" w:rsidRDefault="00EB674A" w:rsidP="001F2DFE">
            <w:pPr>
              <w:jc w:val="right"/>
              <w:rPr>
                <w:rFonts w:ascii="Times New Roman" w:eastAsia="Times New Roman" w:hAnsi="Times New Roman"/>
                <w:iCs/>
                <w:sz w:val="18"/>
                <w:szCs w:val="18"/>
                <w:lang w:eastAsia="lv-LV"/>
              </w:rPr>
            </w:pPr>
          </w:p>
        </w:tc>
        <w:tc>
          <w:tcPr>
            <w:tcW w:w="741" w:type="pct"/>
            <w:gridSpan w:val="2"/>
            <w:tcBorders>
              <w:top w:val="single" w:sz="4" w:space="0" w:color="auto"/>
              <w:left w:val="single" w:sz="4" w:space="0" w:color="auto"/>
              <w:bottom w:val="single" w:sz="4" w:space="0" w:color="auto"/>
              <w:right w:val="single" w:sz="4" w:space="0" w:color="auto"/>
            </w:tcBorders>
            <w:shd w:val="clear" w:color="auto" w:fill="DDD9C3"/>
            <w:hideMark/>
          </w:tcPr>
          <w:p w14:paraId="5A5F784B" w14:textId="7C529D41" w:rsidR="00EB674A" w:rsidRPr="00D74773" w:rsidRDefault="00EB674A" w:rsidP="001F2DFE">
            <w:pPr>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c>
          <w:tcPr>
            <w:tcW w:w="330" w:type="pct"/>
            <w:gridSpan w:val="2"/>
            <w:tcBorders>
              <w:top w:val="single" w:sz="4" w:space="0" w:color="auto"/>
              <w:left w:val="nil"/>
              <w:bottom w:val="single" w:sz="4" w:space="0" w:color="auto"/>
              <w:right w:val="single" w:sz="4" w:space="0" w:color="auto"/>
            </w:tcBorders>
            <w:shd w:val="clear" w:color="auto" w:fill="DDD9C3"/>
            <w:hideMark/>
          </w:tcPr>
          <w:p w14:paraId="1B96B17C" w14:textId="77777777" w:rsidR="00EB674A" w:rsidRPr="00D74773" w:rsidRDefault="00EB674A" w:rsidP="001F2DFE">
            <w:pPr>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c>
          <w:tcPr>
            <w:tcW w:w="412" w:type="pct"/>
            <w:tcBorders>
              <w:top w:val="single" w:sz="4" w:space="0" w:color="auto"/>
              <w:left w:val="nil"/>
              <w:bottom w:val="single" w:sz="4" w:space="0" w:color="auto"/>
              <w:right w:val="single" w:sz="4" w:space="0" w:color="auto"/>
            </w:tcBorders>
            <w:shd w:val="clear" w:color="auto" w:fill="DDD9C3"/>
            <w:hideMark/>
          </w:tcPr>
          <w:p w14:paraId="7F23AC86" w14:textId="77777777" w:rsidR="00EB674A" w:rsidRPr="00D74773" w:rsidRDefault="00EB674A" w:rsidP="001F2DFE">
            <w:pPr>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r>
      <w:tr w:rsidR="00571886" w:rsidRPr="00EF683B" w14:paraId="13CF633A" w14:textId="77777777" w:rsidTr="00983857">
        <w:trPr>
          <w:trHeight w:val="312"/>
        </w:trPr>
        <w:tc>
          <w:tcPr>
            <w:tcW w:w="509" w:type="pct"/>
            <w:gridSpan w:val="2"/>
            <w:tcBorders>
              <w:top w:val="nil"/>
              <w:left w:val="single" w:sz="4" w:space="0" w:color="auto"/>
              <w:bottom w:val="single" w:sz="4" w:space="0" w:color="auto"/>
              <w:right w:val="single" w:sz="4" w:space="0" w:color="auto"/>
            </w:tcBorders>
            <w:shd w:val="clear" w:color="auto" w:fill="DDD9C3"/>
            <w:hideMark/>
          </w:tcPr>
          <w:p w14:paraId="5993DD98" w14:textId="77777777" w:rsidR="00EB674A" w:rsidRPr="00D74773" w:rsidRDefault="00EB674A" w:rsidP="001F2DFE">
            <w:pP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Ekonomikas ministrija</w:t>
            </w:r>
          </w:p>
        </w:tc>
        <w:tc>
          <w:tcPr>
            <w:tcW w:w="483" w:type="pct"/>
            <w:gridSpan w:val="2"/>
            <w:tcBorders>
              <w:top w:val="nil"/>
              <w:left w:val="nil"/>
              <w:bottom w:val="single" w:sz="4" w:space="0" w:color="auto"/>
              <w:right w:val="single" w:sz="4" w:space="0" w:color="auto"/>
            </w:tcBorders>
            <w:shd w:val="clear" w:color="auto" w:fill="DDD9C3"/>
            <w:vAlign w:val="center"/>
            <w:hideMark/>
          </w:tcPr>
          <w:p w14:paraId="18A8E557" w14:textId="77777777" w:rsidR="00EB674A" w:rsidRPr="00EF683B" w:rsidRDefault="00EB674A" w:rsidP="001F2DFE">
            <w:pPr>
              <w:jc w:val="center"/>
              <w:rPr>
                <w:rFonts w:ascii="Times New Roman" w:eastAsia="Times New Roman" w:hAnsi="Times New Roman"/>
                <w:i/>
                <w:iCs/>
                <w:sz w:val="18"/>
                <w:szCs w:val="18"/>
                <w:lang w:eastAsia="lv-LV"/>
              </w:rPr>
            </w:pPr>
            <w:r w:rsidRPr="00EF683B">
              <w:rPr>
                <w:rFonts w:ascii="Times New Roman" w:eastAsia="Times New Roman" w:hAnsi="Times New Roman"/>
                <w:i/>
                <w:iCs/>
                <w:sz w:val="18"/>
                <w:szCs w:val="18"/>
                <w:lang w:eastAsia="lv-LV"/>
              </w:rPr>
              <w:t> </w:t>
            </w:r>
          </w:p>
        </w:tc>
        <w:tc>
          <w:tcPr>
            <w:tcW w:w="488" w:type="pct"/>
            <w:tcBorders>
              <w:top w:val="nil"/>
              <w:left w:val="nil"/>
              <w:bottom w:val="single" w:sz="4" w:space="0" w:color="auto"/>
              <w:right w:val="single" w:sz="4" w:space="0" w:color="auto"/>
            </w:tcBorders>
            <w:shd w:val="clear" w:color="auto" w:fill="DDD9C3"/>
            <w:vAlign w:val="center"/>
            <w:hideMark/>
          </w:tcPr>
          <w:p w14:paraId="2272FB45" w14:textId="77777777" w:rsidR="00EB674A" w:rsidRPr="00EF683B" w:rsidRDefault="00EB674A" w:rsidP="001F2DFE">
            <w:pPr>
              <w:jc w:val="center"/>
              <w:rPr>
                <w:rFonts w:ascii="Times New Roman" w:eastAsia="Times New Roman" w:hAnsi="Times New Roman"/>
                <w:i/>
                <w:iCs/>
                <w:sz w:val="18"/>
                <w:szCs w:val="18"/>
                <w:lang w:eastAsia="lv-LV"/>
              </w:rPr>
            </w:pPr>
            <w:r w:rsidRPr="00EF683B">
              <w:rPr>
                <w:rFonts w:ascii="Times New Roman" w:eastAsia="Times New Roman" w:hAnsi="Times New Roman"/>
                <w:i/>
                <w:iCs/>
                <w:sz w:val="18"/>
                <w:szCs w:val="18"/>
                <w:lang w:eastAsia="lv-LV"/>
              </w:rPr>
              <w:t> </w:t>
            </w:r>
          </w:p>
        </w:tc>
        <w:tc>
          <w:tcPr>
            <w:tcW w:w="284" w:type="pct"/>
            <w:tcBorders>
              <w:top w:val="nil"/>
              <w:left w:val="nil"/>
              <w:bottom w:val="single" w:sz="4" w:space="0" w:color="auto"/>
              <w:right w:val="single" w:sz="4" w:space="0" w:color="auto"/>
            </w:tcBorders>
            <w:shd w:val="clear" w:color="auto" w:fill="DDD9C3"/>
            <w:hideMark/>
          </w:tcPr>
          <w:p w14:paraId="301E568A" w14:textId="77777777" w:rsidR="00EB674A" w:rsidRPr="00D74773" w:rsidRDefault="00EB674A" w:rsidP="001F2DFE">
            <w:pPr>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433 383</w:t>
            </w:r>
          </w:p>
        </w:tc>
        <w:tc>
          <w:tcPr>
            <w:tcW w:w="242" w:type="pct"/>
            <w:tcBorders>
              <w:top w:val="nil"/>
              <w:left w:val="nil"/>
              <w:bottom w:val="single" w:sz="4" w:space="0" w:color="auto"/>
              <w:right w:val="single" w:sz="4" w:space="0" w:color="auto"/>
            </w:tcBorders>
            <w:shd w:val="clear" w:color="auto" w:fill="DDD9C3"/>
            <w:hideMark/>
          </w:tcPr>
          <w:p w14:paraId="16EAC91F" w14:textId="77777777" w:rsidR="00EB674A" w:rsidRPr="00D74773" w:rsidRDefault="00EB674A" w:rsidP="00480478">
            <w:pPr>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446 787</w:t>
            </w:r>
          </w:p>
        </w:tc>
        <w:tc>
          <w:tcPr>
            <w:tcW w:w="281" w:type="pct"/>
            <w:gridSpan w:val="2"/>
            <w:tcBorders>
              <w:top w:val="nil"/>
              <w:left w:val="nil"/>
              <w:bottom w:val="single" w:sz="4" w:space="0" w:color="auto"/>
              <w:right w:val="single" w:sz="4" w:space="0" w:color="auto"/>
            </w:tcBorders>
            <w:shd w:val="clear" w:color="auto" w:fill="DDD9C3"/>
            <w:hideMark/>
          </w:tcPr>
          <w:p w14:paraId="48326DB2" w14:textId="77777777" w:rsidR="00EB674A" w:rsidRDefault="00EB674A" w:rsidP="001F2DFE">
            <w:pPr>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446 787</w:t>
            </w:r>
          </w:p>
          <w:p w14:paraId="51A731C9" w14:textId="77777777" w:rsidR="00EB674A" w:rsidRPr="00D74773" w:rsidRDefault="00EB674A" w:rsidP="001F2DFE">
            <w:pPr>
              <w:jc w:val="right"/>
              <w:rPr>
                <w:rFonts w:ascii="Times New Roman" w:eastAsia="Times New Roman" w:hAnsi="Times New Roman"/>
                <w:iCs/>
                <w:sz w:val="18"/>
                <w:szCs w:val="18"/>
                <w:lang w:eastAsia="lv-LV"/>
              </w:rPr>
            </w:pPr>
          </w:p>
        </w:tc>
        <w:tc>
          <w:tcPr>
            <w:tcW w:w="257" w:type="pct"/>
            <w:gridSpan w:val="3"/>
            <w:tcBorders>
              <w:top w:val="nil"/>
              <w:left w:val="nil"/>
              <w:bottom w:val="single" w:sz="4" w:space="0" w:color="auto"/>
              <w:right w:val="single" w:sz="4" w:space="0" w:color="auto"/>
            </w:tcBorders>
            <w:shd w:val="clear" w:color="auto" w:fill="DDD9C3"/>
            <w:hideMark/>
          </w:tcPr>
          <w:p w14:paraId="162DC9FC" w14:textId="77777777" w:rsidR="00EB674A" w:rsidRPr="00D74773" w:rsidRDefault="00EB674A" w:rsidP="001F2DFE">
            <w:pPr>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352 500</w:t>
            </w:r>
          </w:p>
        </w:tc>
        <w:tc>
          <w:tcPr>
            <w:tcW w:w="242" w:type="pct"/>
            <w:tcBorders>
              <w:top w:val="nil"/>
              <w:left w:val="nil"/>
              <w:bottom w:val="single" w:sz="4" w:space="0" w:color="auto"/>
              <w:right w:val="single" w:sz="4" w:space="0" w:color="auto"/>
            </w:tcBorders>
            <w:shd w:val="clear" w:color="auto" w:fill="DDD9C3"/>
            <w:hideMark/>
          </w:tcPr>
          <w:p w14:paraId="75AA737A" w14:textId="77777777" w:rsidR="00EB674A" w:rsidRPr="00D74773" w:rsidRDefault="00EB674A" w:rsidP="001F2DFE">
            <w:pPr>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402 500</w:t>
            </w:r>
          </w:p>
        </w:tc>
        <w:tc>
          <w:tcPr>
            <w:tcW w:w="242" w:type="pct"/>
            <w:gridSpan w:val="3"/>
            <w:tcBorders>
              <w:top w:val="nil"/>
              <w:left w:val="nil"/>
              <w:bottom w:val="single" w:sz="4" w:space="0" w:color="auto"/>
              <w:right w:val="single" w:sz="4" w:space="0" w:color="auto"/>
            </w:tcBorders>
            <w:shd w:val="clear" w:color="auto" w:fill="DDD9C3"/>
            <w:hideMark/>
          </w:tcPr>
          <w:p w14:paraId="271D1299" w14:textId="77777777" w:rsidR="00EB674A" w:rsidRPr="00D74773" w:rsidRDefault="00EB674A" w:rsidP="001F2DFE">
            <w:pPr>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452 500</w:t>
            </w:r>
          </w:p>
        </w:tc>
        <w:tc>
          <w:tcPr>
            <w:tcW w:w="220" w:type="pct"/>
            <w:tcBorders>
              <w:top w:val="single" w:sz="4" w:space="0" w:color="auto"/>
              <w:left w:val="nil"/>
              <w:bottom w:val="single" w:sz="4" w:space="0" w:color="auto"/>
              <w:right w:val="single" w:sz="4" w:space="0" w:color="auto"/>
            </w:tcBorders>
            <w:shd w:val="clear" w:color="auto" w:fill="DDD9C3"/>
          </w:tcPr>
          <w:p w14:paraId="56278CF3" w14:textId="262F25DB" w:rsidR="00EB674A" w:rsidDel="001658B7" w:rsidRDefault="00983857" w:rsidP="001F2DFE">
            <w:pPr>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502 500</w:t>
            </w:r>
          </w:p>
        </w:tc>
        <w:tc>
          <w:tcPr>
            <w:tcW w:w="270" w:type="pct"/>
            <w:tcBorders>
              <w:top w:val="nil"/>
              <w:left w:val="single" w:sz="4" w:space="0" w:color="auto"/>
              <w:bottom w:val="single" w:sz="4" w:space="0" w:color="auto"/>
              <w:right w:val="single" w:sz="4" w:space="0" w:color="auto"/>
            </w:tcBorders>
            <w:shd w:val="clear" w:color="auto" w:fill="DDD9C3"/>
          </w:tcPr>
          <w:p w14:paraId="3F122942" w14:textId="0F9F25EC" w:rsidR="00EB674A" w:rsidDel="001658B7" w:rsidRDefault="00983857" w:rsidP="001F2DFE">
            <w:pPr>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552 500</w:t>
            </w:r>
          </w:p>
        </w:tc>
        <w:tc>
          <w:tcPr>
            <w:tcW w:w="741" w:type="pct"/>
            <w:gridSpan w:val="2"/>
            <w:tcBorders>
              <w:top w:val="nil"/>
              <w:left w:val="single" w:sz="4" w:space="0" w:color="auto"/>
              <w:bottom w:val="single" w:sz="4" w:space="0" w:color="auto"/>
              <w:right w:val="single" w:sz="4" w:space="0" w:color="auto"/>
            </w:tcBorders>
            <w:shd w:val="clear" w:color="auto" w:fill="DDD9C3"/>
            <w:hideMark/>
          </w:tcPr>
          <w:p w14:paraId="215F340D" w14:textId="01EAB271" w:rsidR="00EB674A" w:rsidRPr="00D74773" w:rsidRDefault="00EB674A" w:rsidP="001F2DFE">
            <w:pPr>
              <w:jc w:val="right"/>
              <w:rPr>
                <w:rFonts w:ascii="Times New Roman" w:eastAsia="Times New Roman" w:hAnsi="Times New Roman"/>
                <w:iCs/>
                <w:sz w:val="18"/>
                <w:szCs w:val="18"/>
                <w:lang w:eastAsia="lv-LV"/>
              </w:rPr>
            </w:pPr>
          </w:p>
        </w:tc>
        <w:tc>
          <w:tcPr>
            <w:tcW w:w="330" w:type="pct"/>
            <w:gridSpan w:val="2"/>
            <w:tcBorders>
              <w:top w:val="nil"/>
              <w:left w:val="nil"/>
              <w:bottom w:val="single" w:sz="4" w:space="0" w:color="auto"/>
              <w:right w:val="single" w:sz="4" w:space="0" w:color="auto"/>
            </w:tcBorders>
            <w:shd w:val="clear" w:color="auto" w:fill="DDD9C3"/>
            <w:hideMark/>
          </w:tcPr>
          <w:p w14:paraId="5C5CA09A" w14:textId="23CC58AB" w:rsidR="00EB674A" w:rsidRPr="00D74773" w:rsidRDefault="00EB674A" w:rsidP="001F2DFE">
            <w:pPr>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552000</w:t>
            </w:r>
          </w:p>
        </w:tc>
        <w:tc>
          <w:tcPr>
            <w:tcW w:w="412" w:type="pct"/>
            <w:tcBorders>
              <w:top w:val="nil"/>
              <w:left w:val="nil"/>
              <w:bottom w:val="single" w:sz="4" w:space="0" w:color="auto"/>
              <w:right w:val="single" w:sz="4" w:space="0" w:color="auto"/>
            </w:tcBorders>
            <w:shd w:val="clear" w:color="auto" w:fill="DDD9C3"/>
            <w:hideMark/>
          </w:tcPr>
          <w:p w14:paraId="688A1187" w14:textId="77777777" w:rsidR="00EB674A" w:rsidRPr="00D74773" w:rsidRDefault="00EB674A" w:rsidP="001F2DFE">
            <w:pPr>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0</w:t>
            </w:r>
          </w:p>
        </w:tc>
      </w:tr>
      <w:tr w:rsidR="00571886" w:rsidRPr="00EF683B" w14:paraId="15B1300A" w14:textId="77777777" w:rsidTr="00983857">
        <w:trPr>
          <w:trHeight w:val="312"/>
        </w:trPr>
        <w:tc>
          <w:tcPr>
            <w:tcW w:w="509" w:type="pct"/>
            <w:gridSpan w:val="2"/>
            <w:tcBorders>
              <w:top w:val="single" w:sz="4" w:space="0" w:color="auto"/>
              <w:left w:val="single" w:sz="4" w:space="0" w:color="auto"/>
              <w:bottom w:val="single" w:sz="4" w:space="0" w:color="auto"/>
              <w:right w:val="nil"/>
            </w:tcBorders>
            <w:shd w:val="clear" w:color="auto" w:fill="EEECE1"/>
            <w:noWrap/>
            <w:hideMark/>
          </w:tcPr>
          <w:p w14:paraId="161E733A" w14:textId="77777777" w:rsidR="00EB674A" w:rsidRPr="004D0E94" w:rsidRDefault="00EB674A" w:rsidP="001F2DFE">
            <w:pP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R</w:t>
            </w:r>
            <w:r w:rsidRPr="004D0E94">
              <w:rPr>
                <w:rFonts w:ascii="Times New Roman" w:eastAsia="Times New Roman" w:hAnsi="Times New Roman"/>
                <w:color w:val="000000"/>
                <w:sz w:val="20"/>
                <w:szCs w:val="20"/>
                <w:lang w:eastAsia="lv-LV"/>
              </w:rPr>
              <w:t xml:space="preserve">isinājums </w:t>
            </w:r>
          </w:p>
        </w:tc>
        <w:tc>
          <w:tcPr>
            <w:tcW w:w="483"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93732AA" w14:textId="77777777" w:rsidR="00EB674A" w:rsidRPr="00EF683B" w:rsidRDefault="00EB674A" w:rsidP="001F2DFE">
            <w:pPr>
              <w:jc w:val="both"/>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488" w:type="pct"/>
            <w:tcBorders>
              <w:top w:val="single" w:sz="4" w:space="0" w:color="auto"/>
              <w:left w:val="nil"/>
              <w:bottom w:val="single" w:sz="4" w:space="0" w:color="auto"/>
              <w:right w:val="nil"/>
            </w:tcBorders>
            <w:shd w:val="clear" w:color="auto" w:fill="EEECE1"/>
            <w:hideMark/>
          </w:tcPr>
          <w:p w14:paraId="459F7F3F" w14:textId="77777777" w:rsidR="00EB674A" w:rsidRPr="00EF683B" w:rsidRDefault="00EB674A" w:rsidP="001F2DFE">
            <w:pPr>
              <w:jc w:val="both"/>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284" w:type="pct"/>
            <w:tcBorders>
              <w:top w:val="single" w:sz="4" w:space="0" w:color="auto"/>
              <w:left w:val="single" w:sz="4" w:space="0" w:color="auto"/>
              <w:bottom w:val="single" w:sz="4" w:space="0" w:color="auto"/>
              <w:right w:val="single" w:sz="4" w:space="0" w:color="auto"/>
            </w:tcBorders>
            <w:shd w:val="clear" w:color="auto" w:fill="EEECE1"/>
            <w:noWrap/>
            <w:hideMark/>
          </w:tcPr>
          <w:p w14:paraId="12E16569"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433 383</w:t>
            </w:r>
          </w:p>
        </w:tc>
        <w:tc>
          <w:tcPr>
            <w:tcW w:w="242" w:type="pct"/>
            <w:tcBorders>
              <w:top w:val="single" w:sz="4" w:space="0" w:color="auto"/>
              <w:left w:val="nil"/>
              <w:bottom w:val="single" w:sz="4" w:space="0" w:color="auto"/>
              <w:right w:val="single" w:sz="4" w:space="0" w:color="auto"/>
            </w:tcBorders>
            <w:shd w:val="clear" w:color="auto" w:fill="EEECE1"/>
            <w:noWrap/>
            <w:hideMark/>
          </w:tcPr>
          <w:p w14:paraId="6BFC3898"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446 787</w:t>
            </w:r>
          </w:p>
        </w:tc>
        <w:tc>
          <w:tcPr>
            <w:tcW w:w="281" w:type="pct"/>
            <w:gridSpan w:val="2"/>
            <w:tcBorders>
              <w:top w:val="single" w:sz="4" w:space="0" w:color="auto"/>
              <w:left w:val="nil"/>
              <w:bottom w:val="single" w:sz="4" w:space="0" w:color="auto"/>
              <w:right w:val="single" w:sz="4" w:space="0" w:color="auto"/>
            </w:tcBorders>
            <w:shd w:val="clear" w:color="auto" w:fill="EEECE1"/>
            <w:noWrap/>
            <w:hideMark/>
          </w:tcPr>
          <w:p w14:paraId="46141C0D"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446 787</w:t>
            </w:r>
          </w:p>
        </w:tc>
        <w:tc>
          <w:tcPr>
            <w:tcW w:w="257" w:type="pct"/>
            <w:gridSpan w:val="3"/>
            <w:tcBorders>
              <w:top w:val="single" w:sz="4" w:space="0" w:color="auto"/>
              <w:left w:val="nil"/>
              <w:bottom w:val="single" w:sz="4" w:space="0" w:color="auto"/>
              <w:right w:val="single" w:sz="4" w:space="0" w:color="auto"/>
            </w:tcBorders>
            <w:shd w:val="clear" w:color="auto" w:fill="EEECE1"/>
            <w:noWrap/>
            <w:hideMark/>
          </w:tcPr>
          <w:p w14:paraId="0C84E9E1"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352 500</w:t>
            </w:r>
          </w:p>
        </w:tc>
        <w:tc>
          <w:tcPr>
            <w:tcW w:w="242" w:type="pct"/>
            <w:tcBorders>
              <w:top w:val="single" w:sz="4" w:space="0" w:color="auto"/>
              <w:left w:val="nil"/>
              <w:bottom w:val="single" w:sz="4" w:space="0" w:color="auto"/>
              <w:right w:val="single" w:sz="4" w:space="0" w:color="auto"/>
            </w:tcBorders>
            <w:shd w:val="clear" w:color="auto" w:fill="EEECE1"/>
            <w:noWrap/>
            <w:hideMark/>
          </w:tcPr>
          <w:p w14:paraId="620D1755"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402 500</w:t>
            </w:r>
          </w:p>
        </w:tc>
        <w:tc>
          <w:tcPr>
            <w:tcW w:w="242" w:type="pct"/>
            <w:gridSpan w:val="3"/>
            <w:tcBorders>
              <w:top w:val="single" w:sz="4" w:space="0" w:color="auto"/>
              <w:left w:val="nil"/>
              <w:bottom w:val="single" w:sz="4" w:space="0" w:color="auto"/>
              <w:right w:val="single" w:sz="4" w:space="0" w:color="auto"/>
            </w:tcBorders>
            <w:shd w:val="clear" w:color="auto" w:fill="EEECE1"/>
            <w:noWrap/>
            <w:hideMark/>
          </w:tcPr>
          <w:p w14:paraId="2B44F35E" w14:textId="717253C3"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452 500</w:t>
            </w:r>
          </w:p>
        </w:tc>
        <w:tc>
          <w:tcPr>
            <w:tcW w:w="220" w:type="pct"/>
            <w:tcBorders>
              <w:top w:val="single" w:sz="4" w:space="0" w:color="auto"/>
              <w:left w:val="nil"/>
              <w:bottom w:val="single" w:sz="4" w:space="0" w:color="auto"/>
              <w:right w:val="single" w:sz="4" w:space="0" w:color="auto"/>
            </w:tcBorders>
            <w:shd w:val="clear" w:color="auto" w:fill="EEECE1"/>
          </w:tcPr>
          <w:p w14:paraId="1901BEDB" w14:textId="79CC0E15" w:rsidR="00EB674A" w:rsidDel="001658B7" w:rsidRDefault="00983857"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502 500</w:t>
            </w:r>
          </w:p>
        </w:tc>
        <w:tc>
          <w:tcPr>
            <w:tcW w:w="270" w:type="pct"/>
            <w:tcBorders>
              <w:top w:val="single" w:sz="4" w:space="0" w:color="auto"/>
              <w:left w:val="single" w:sz="4" w:space="0" w:color="auto"/>
              <w:bottom w:val="single" w:sz="4" w:space="0" w:color="auto"/>
              <w:right w:val="single" w:sz="4" w:space="0" w:color="auto"/>
            </w:tcBorders>
            <w:shd w:val="clear" w:color="auto" w:fill="EEECE1"/>
          </w:tcPr>
          <w:p w14:paraId="55EA4A45" w14:textId="677E82BC" w:rsidR="00EB674A" w:rsidDel="001658B7" w:rsidRDefault="00983857"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552 500</w:t>
            </w:r>
          </w:p>
        </w:tc>
        <w:tc>
          <w:tcPr>
            <w:tcW w:w="741" w:type="pct"/>
            <w:gridSpan w:val="2"/>
            <w:tcBorders>
              <w:top w:val="single" w:sz="4" w:space="0" w:color="auto"/>
              <w:left w:val="single" w:sz="4" w:space="0" w:color="auto"/>
              <w:bottom w:val="single" w:sz="4" w:space="0" w:color="auto"/>
              <w:right w:val="single" w:sz="4" w:space="0" w:color="auto"/>
            </w:tcBorders>
            <w:shd w:val="clear" w:color="auto" w:fill="EEECE1"/>
            <w:noWrap/>
            <w:hideMark/>
          </w:tcPr>
          <w:p w14:paraId="0F392EAC" w14:textId="4A046729" w:rsidR="00EB674A" w:rsidRPr="00D74773" w:rsidRDefault="00EB674A" w:rsidP="001F2DFE">
            <w:pPr>
              <w:jc w:val="right"/>
              <w:rPr>
                <w:rFonts w:ascii="Times New Roman" w:eastAsia="Times New Roman" w:hAnsi="Times New Roman"/>
                <w:color w:val="000000"/>
                <w:sz w:val="20"/>
                <w:szCs w:val="20"/>
                <w:lang w:eastAsia="lv-LV"/>
              </w:rPr>
            </w:pPr>
          </w:p>
        </w:tc>
        <w:tc>
          <w:tcPr>
            <w:tcW w:w="330" w:type="pct"/>
            <w:gridSpan w:val="2"/>
            <w:tcBorders>
              <w:top w:val="single" w:sz="4" w:space="0" w:color="auto"/>
              <w:left w:val="nil"/>
              <w:bottom w:val="single" w:sz="4" w:space="0" w:color="auto"/>
              <w:right w:val="single" w:sz="4" w:space="0" w:color="auto"/>
            </w:tcBorders>
            <w:shd w:val="clear" w:color="auto" w:fill="EEECE1"/>
            <w:noWrap/>
            <w:hideMark/>
          </w:tcPr>
          <w:p w14:paraId="1FC047F1" w14:textId="25F66B89"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552000</w:t>
            </w:r>
          </w:p>
        </w:tc>
        <w:tc>
          <w:tcPr>
            <w:tcW w:w="412" w:type="pct"/>
            <w:tcBorders>
              <w:top w:val="single" w:sz="4" w:space="0" w:color="auto"/>
              <w:left w:val="nil"/>
              <w:bottom w:val="single" w:sz="4" w:space="0" w:color="auto"/>
              <w:right w:val="single" w:sz="4" w:space="0" w:color="auto"/>
            </w:tcBorders>
            <w:shd w:val="clear" w:color="auto" w:fill="EEECE1"/>
            <w:noWrap/>
            <w:hideMark/>
          </w:tcPr>
          <w:p w14:paraId="2E9498A8" w14:textId="77777777" w:rsidR="00EB674A" w:rsidRPr="00D74773" w:rsidRDefault="00EB674A" w:rsidP="001F2DFE">
            <w:pPr>
              <w:jc w:val="right"/>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0</w:t>
            </w:r>
          </w:p>
        </w:tc>
      </w:tr>
      <w:tr w:rsidR="00771834" w:rsidRPr="00EF683B" w14:paraId="352FBBC0" w14:textId="77777777" w:rsidTr="00983857">
        <w:trPr>
          <w:trHeight w:val="312"/>
        </w:trPr>
        <w:tc>
          <w:tcPr>
            <w:tcW w:w="509" w:type="pct"/>
            <w:gridSpan w:val="2"/>
            <w:tcBorders>
              <w:top w:val="nil"/>
              <w:left w:val="single" w:sz="4" w:space="0" w:color="auto"/>
              <w:bottom w:val="single" w:sz="4" w:space="0" w:color="auto"/>
              <w:right w:val="nil"/>
            </w:tcBorders>
            <w:shd w:val="clear" w:color="auto" w:fill="auto"/>
            <w:hideMark/>
          </w:tcPr>
          <w:p w14:paraId="498C9C4A" w14:textId="77777777" w:rsidR="00EB674A" w:rsidRPr="00EF683B" w:rsidRDefault="00EB674A" w:rsidP="001F2DFE">
            <w:pPr>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483" w:type="pct"/>
            <w:gridSpan w:val="2"/>
            <w:tcBorders>
              <w:top w:val="nil"/>
              <w:left w:val="single" w:sz="4" w:space="0" w:color="auto"/>
              <w:bottom w:val="single" w:sz="4" w:space="0" w:color="auto"/>
              <w:right w:val="single" w:sz="4" w:space="0" w:color="auto"/>
            </w:tcBorders>
            <w:shd w:val="clear" w:color="auto" w:fill="auto"/>
            <w:hideMark/>
          </w:tcPr>
          <w:p w14:paraId="3254A69D" w14:textId="77777777" w:rsidR="00EB674A" w:rsidRPr="00D74773" w:rsidRDefault="00EB674A" w:rsidP="001F2DFE">
            <w:pPr>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Ekonomikas ministrija</w:t>
            </w:r>
          </w:p>
        </w:tc>
        <w:tc>
          <w:tcPr>
            <w:tcW w:w="488" w:type="pct"/>
            <w:tcBorders>
              <w:top w:val="nil"/>
              <w:left w:val="nil"/>
              <w:bottom w:val="single" w:sz="4" w:space="0" w:color="auto"/>
              <w:right w:val="nil"/>
            </w:tcBorders>
            <w:shd w:val="clear" w:color="auto" w:fill="auto"/>
            <w:hideMark/>
          </w:tcPr>
          <w:p w14:paraId="7488A5CE" w14:textId="77777777" w:rsidR="00EB674A" w:rsidRPr="00EF683B" w:rsidRDefault="00EB674A" w:rsidP="001F2DFE">
            <w:pPr>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284" w:type="pct"/>
            <w:tcBorders>
              <w:top w:val="nil"/>
              <w:left w:val="single" w:sz="4" w:space="0" w:color="auto"/>
              <w:bottom w:val="single" w:sz="4" w:space="0" w:color="auto"/>
              <w:right w:val="single" w:sz="4" w:space="0" w:color="auto"/>
            </w:tcBorders>
            <w:shd w:val="clear" w:color="auto" w:fill="auto"/>
            <w:noWrap/>
            <w:hideMark/>
          </w:tcPr>
          <w:p w14:paraId="394DC8B2"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433 383</w:t>
            </w:r>
          </w:p>
        </w:tc>
        <w:tc>
          <w:tcPr>
            <w:tcW w:w="242" w:type="pct"/>
            <w:tcBorders>
              <w:top w:val="nil"/>
              <w:left w:val="nil"/>
              <w:bottom w:val="single" w:sz="4" w:space="0" w:color="auto"/>
              <w:right w:val="single" w:sz="4" w:space="0" w:color="auto"/>
            </w:tcBorders>
            <w:shd w:val="clear" w:color="auto" w:fill="auto"/>
            <w:noWrap/>
            <w:hideMark/>
          </w:tcPr>
          <w:p w14:paraId="78192E0D"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446 787</w:t>
            </w:r>
          </w:p>
        </w:tc>
        <w:tc>
          <w:tcPr>
            <w:tcW w:w="281" w:type="pct"/>
            <w:gridSpan w:val="2"/>
            <w:tcBorders>
              <w:top w:val="nil"/>
              <w:left w:val="nil"/>
              <w:bottom w:val="single" w:sz="4" w:space="0" w:color="auto"/>
              <w:right w:val="single" w:sz="4" w:space="0" w:color="auto"/>
            </w:tcBorders>
            <w:shd w:val="clear" w:color="auto" w:fill="auto"/>
            <w:noWrap/>
            <w:hideMark/>
          </w:tcPr>
          <w:p w14:paraId="79089D4F"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446 787</w:t>
            </w:r>
          </w:p>
        </w:tc>
        <w:tc>
          <w:tcPr>
            <w:tcW w:w="257" w:type="pct"/>
            <w:gridSpan w:val="3"/>
            <w:tcBorders>
              <w:top w:val="nil"/>
              <w:left w:val="nil"/>
              <w:bottom w:val="single" w:sz="4" w:space="0" w:color="auto"/>
              <w:right w:val="single" w:sz="4" w:space="0" w:color="auto"/>
            </w:tcBorders>
            <w:shd w:val="clear" w:color="auto" w:fill="auto"/>
            <w:noWrap/>
            <w:hideMark/>
          </w:tcPr>
          <w:p w14:paraId="5A87D1D0"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352 500</w:t>
            </w:r>
          </w:p>
        </w:tc>
        <w:tc>
          <w:tcPr>
            <w:tcW w:w="242" w:type="pct"/>
            <w:tcBorders>
              <w:top w:val="nil"/>
              <w:left w:val="nil"/>
              <w:bottom w:val="single" w:sz="4" w:space="0" w:color="auto"/>
              <w:right w:val="single" w:sz="4" w:space="0" w:color="auto"/>
            </w:tcBorders>
            <w:shd w:val="clear" w:color="auto" w:fill="auto"/>
            <w:noWrap/>
            <w:hideMark/>
          </w:tcPr>
          <w:p w14:paraId="27890AFB"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402 500</w:t>
            </w:r>
          </w:p>
        </w:tc>
        <w:tc>
          <w:tcPr>
            <w:tcW w:w="242" w:type="pct"/>
            <w:gridSpan w:val="3"/>
            <w:tcBorders>
              <w:top w:val="nil"/>
              <w:left w:val="nil"/>
              <w:bottom w:val="single" w:sz="4" w:space="0" w:color="auto"/>
              <w:right w:val="single" w:sz="4" w:space="0" w:color="auto"/>
            </w:tcBorders>
            <w:shd w:val="clear" w:color="auto" w:fill="auto"/>
            <w:noWrap/>
            <w:hideMark/>
          </w:tcPr>
          <w:p w14:paraId="4F7700AC" w14:textId="77777777"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452 500</w:t>
            </w:r>
          </w:p>
        </w:tc>
        <w:tc>
          <w:tcPr>
            <w:tcW w:w="220" w:type="pct"/>
            <w:tcBorders>
              <w:top w:val="single" w:sz="4" w:space="0" w:color="auto"/>
              <w:left w:val="nil"/>
              <w:bottom w:val="single" w:sz="4" w:space="0" w:color="auto"/>
              <w:right w:val="single" w:sz="4" w:space="0" w:color="auto"/>
            </w:tcBorders>
          </w:tcPr>
          <w:p w14:paraId="6B8937F6" w14:textId="24453F6E" w:rsidR="00EB674A" w:rsidDel="001658B7" w:rsidRDefault="00983857"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502 500</w:t>
            </w:r>
          </w:p>
        </w:tc>
        <w:tc>
          <w:tcPr>
            <w:tcW w:w="270" w:type="pct"/>
            <w:tcBorders>
              <w:top w:val="nil"/>
              <w:left w:val="single" w:sz="4" w:space="0" w:color="auto"/>
              <w:bottom w:val="single" w:sz="4" w:space="0" w:color="auto"/>
              <w:right w:val="single" w:sz="4" w:space="0" w:color="auto"/>
            </w:tcBorders>
          </w:tcPr>
          <w:p w14:paraId="0A48FDD1" w14:textId="7B6A4261" w:rsidR="00EB674A" w:rsidDel="001658B7" w:rsidRDefault="00983857"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552 500</w:t>
            </w:r>
          </w:p>
        </w:tc>
        <w:tc>
          <w:tcPr>
            <w:tcW w:w="741" w:type="pct"/>
            <w:gridSpan w:val="2"/>
            <w:tcBorders>
              <w:top w:val="nil"/>
              <w:left w:val="single" w:sz="4" w:space="0" w:color="auto"/>
              <w:bottom w:val="single" w:sz="4" w:space="0" w:color="auto"/>
              <w:right w:val="single" w:sz="4" w:space="0" w:color="auto"/>
            </w:tcBorders>
            <w:shd w:val="clear" w:color="auto" w:fill="auto"/>
            <w:noWrap/>
            <w:hideMark/>
          </w:tcPr>
          <w:p w14:paraId="236196E2" w14:textId="79881FDD" w:rsidR="00EB674A" w:rsidRPr="00D74773" w:rsidRDefault="00EB674A" w:rsidP="001F2DFE">
            <w:pPr>
              <w:jc w:val="right"/>
              <w:rPr>
                <w:rFonts w:ascii="Times New Roman" w:eastAsia="Times New Roman" w:hAnsi="Times New Roman"/>
                <w:color w:val="000000"/>
                <w:sz w:val="20"/>
                <w:szCs w:val="20"/>
                <w:lang w:eastAsia="lv-LV"/>
              </w:rPr>
            </w:pPr>
          </w:p>
        </w:tc>
        <w:tc>
          <w:tcPr>
            <w:tcW w:w="330" w:type="pct"/>
            <w:gridSpan w:val="2"/>
            <w:tcBorders>
              <w:top w:val="nil"/>
              <w:left w:val="nil"/>
              <w:bottom w:val="single" w:sz="4" w:space="0" w:color="auto"/>
              <w:right w:val="single" w:sz="4" w:space="0" w:color="auto"/>
            </w:tcBorders>
            <w:shd w:val="clear" w:color="auto" w:fill="auto"/>
            <w:noWrap/>
            <w:hideMark/>
          </w:tcPr>
          <w:p w14:paraId="71E6321E" w14:textId="763B4ADB" w:rsidR="00EB674A" w:rsidRPr="00D74773" w:rsidRDefault="00EB674A" w:rsidP="001F2DFE">
            <w:pPr>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552000</w:t>
            </w:r>
          </w:p>
        </w:tc>
        <w:tc>
          <w:tcPr>
            <w:tcW w:w="412" w:type="pct"/>
            <w:tcBorders>
              <w:top w:val="nil"/>
              <w:left w:val="nil"/>
              <w:bottom w:val="single" w:sz="4" w:space="0" w:color="auto"/>
              <w:right w:val="single" w:sz="4" w:space="0" w:color="auto"/>
            </w:tcBorders>
            <w:shd w:val="clear" w:color="auto" w:fill="auto"/>
            <w:noWrap/>
            <w:hideMark/>
          </w:tcPr>
          <w:p w14:paraId="271D96D2" w14:textId="77777777" w:rsidR="00EB674A" w:rsidRPr="00D74773" w:rsidRDefault="00EB674A" w:rsidP="001F2DFE">
            <w:pPr>
              <w:jc w:val="right"/>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0</w:t>
            </w:r>
          </w:p>
        </w:tc>
      </w:tr>
      <w:tr w:rsidR="00983857" w:rsidRPr="00EF683B" w14:paraId="09BBC365" w14:textId="77777777" w:rsidTr="00226850">
        <w:trPr>
          <w:trHeight w:val="312"/>
        </w:trPr>
        <w:tc>
          <w:tcPr>
            <w:tcW w:w="509" w:type="pct"/>
            <w:gridSpan w:val="2"/>
            <w:tcBorders>
              <w:top w:val="nil"/>
              <w:left w:val="single" w:sz="4" w:space="0" w:color="auto"/>
              <w:bottom w:val="single" w:sz="4" w:space="0" w:color="auto"/>
              <w:right w:val="nil"/>
            </w:tcBorders>
            <w:shd w:val="clear" w:color="auto" w:fill="auto"/>
            <w:hideMark/>
          </w:tcPr>
          <w:p w14:paraId="034276D7" w14:textId="77777777" w:rsidR="00EB674A" w:rsidRPr="00EF683B" w:rsidRDefault="00EB674A" w:rsidP="001F2DFE">
            <w:pPr>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483" w:type="pct"/>
            <w:gridSpan w:val="2"/>
            <w:tcBorders>
              <w:top w:val="nil"/>
              <w:left w:val="single" w:sz="4" w:space="0" w:color="auto"/>
              <w:bottom w:val="single" w:sz="4" w:space="0" w:color="auto"/>
              <w:right w:val="nil"/>
            </w:tcBorders>
            <w:shd w:val="clear" w:color="auto" w:fill="auto"/>
            <w:hideMark/>
          </w:tcPr>
          <w:p w14:paraId="27D5D187" w14:textId="77777777" w:rsidR="00EB674A" w:rsidRPr="00EF683B" w:rsidRDefault="00EB674A" w:rsidP="001F2DFE">
            <w:pPr>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488" w:type="pct"/>
            <w:tcBorders>
              <w:top w:val="nil"/>
              <w:left w:val="single" w:sz="4" w:space="0" w:color="auto"/>
              <w:bottom w:val="single" w:sz="4" w:space="0" w:color="auto"/>
              <w:right w:val="nil"/>
            </w:tcBorders>
            <w:shd w:val="clear" w:color="auto" w:fill="auto"/>
            <w:hideMark/>
          </w:tcPr>
          <w:p w14:paraId="50D3DD18" w14:textId="3A27143F" w:rsidR="00EB674A" w:rsidRPr="00EF683B" w:rsidRDefault="00EB674A" w:rsidP="004E632C">
            <w:pPr>
              <w:jc w:val="center"/>
              <w:rPr>
                <w:rFonts w:ascii="Times New Roman" w:eastAsia="Times New Roman" w:hAnsi="Times New Roman"/>
                <w:sz w:val="20"/>
                <w:szCs w:val="20"/>
                <w:lang w:eastAsia="lv-LV"/>
              </w:rPr>
            </w:pPr>
            <w:r>
              <w:rPr>
                <w:rFonts w:ascii="Times New Roman" w:hAnsi="Times New Roman"/>
                <w:color w:val="000000"/>
                <w:sz w:val="20"/>
                <w:szCs w:val="20"/>
              </w:rPr>
              <w:t>26.04.00 Atbilstības novērtēšana un kvalitātes nodrošināšana</w:t>
            </w:r>
          </w:p>
        </w:tc>
        <w:tc>
          <w:tcPr>
            <w:tcW w:w="284" w:type="pct"/>
            <w:tcBorders>
              <w:top w:val="nil"/>
              <w:left w:val="single" w:sz="4" w:space="0" w:color="auto"/>
              <w:bottom w:val="single" w:sz="4" w:space="0" w:color="auto"/>
              <w:right w:val="single" w:sz="4" w:space="0" w:color="auto"/>
            </w:tcBorders>
            <w:shd w:val="clear" w:color="auto" w:fill="auto"/>
            <w:noWrap/>
            <w:vAlign w:val="bottom"/>
            <w:hideMark/>
          </w:tcPr>
          <w:p w14:paraId="6AD5C346" w14:textId="77777777" w:rsidR="00EB674A" w:rsidRPr="00EF683B" w:rsidRDefault="00EB674A" w:rsidP="001F2DFE">
            <w:pPr>
              <w:rPr>
                <w:rFonts w:ascii="Times New Roman" w:eastAsia="Times New Roman" w:hAnsi="Times New Roman"/>
                <w:color w:val="000000"/>
                <w:sz w:val="20"/>
                <w:szCs w:val="20"/>
                <w:lang w:eastAsia="lv-LV"/>
              </w:rPr>
            </w:pPr>
            <w:r w:rsidRPr="00EF683B">
              <w:rPr>
                <w:rFonts w:ascii="Times New Roman" w:eastAsia="Times New Roman" w:hAnsi="Times New Roman"/>
                <w:color w:val="000000"/>
                <w:sz w:val="20"/>
                <w:szCs w:val="20"/>
                <w:lang w:eastAsia="lv-LV"/>
              </w:rPr>
              <w:t> </w:t>
            </w:r>
          </w:p>
        </w:tc>
        <w:tc>
          <w:tcPr>
            <w:tcW w:w="242" w:type="pct"/>
            <w:tcBorders>
              <w:top w:val="nil"/>
              <w:left w:val="nil"/>
              <w:bottom w:val="single" w:sz="4" w:space="0" w:color="auto"/>
              <w:right w:val="single" w:sz="4" w:space="0" w:color="auto"/>
            </w:tcBorders>
            <w:shd w:val="clear" w:color="auto" w:fill="auto"/>
            <w:noWrap/>
            <w:vAlign w:val="bottom"/>
            <w:hideMark/>
          </w:tcPr>
          <w:p w14:paraId="25B1414D" w14:textId="77777777" w:rsidR="00EB674A" w:rsidRPr="00EF683B" w:rsidRDefault="00EB674A" w:rsidP="001F2DFE">
            <w:pPr>
              <w:rPr>
                <w:rFonts w:ascii="Times New Roman" w:eastAsia="Times New Roman" w:hAnsi="Times New Roman"/>
                <w:color w:val="000000"/>
                <w:sz w:val="20"/>
                <w:szCs w:val="20"/>
                <w:lang w:eastAsia="lv-LV"/>
              </w:rPr>
            </w:pPr>
            <w:r w:rsidRPr="00EF683B">
              <w:rPr>
                <w:rFonts w:ascii="Times New Roman" w:eastAsia="Times New Roman" w:hAnsi="Times New Roman"/>
                <w:color w:val="000000"/>
                <w:sz w:val="20"/>
                <w:szCs w:val="20"/>
                <w:lang w:eastAsia="lv-LV"/>
              </w:rPr>
              <w:t> </w:t>
            </w:r>
          </w:p>
        </w:tc>
        <w:tc>
          <w:tcPr>
            <w:tcW w:w="281" w:type="pct"/>
            <w:gridSpan w:val="2"/>
            <w:tcBorders>
              <w:top w:val="nil"/>
              <w:left w:val="nil"/>
              <w:bottom w:val="single" w:sz="4" w:space="0" w:color="auto"/>
              <w:right w:val="single" w:sz="4" w:space="0" w:color="auto"/>
            </w:tcBorders>
            <w:shd w:val="clear" w:color="auto" w:fill="auto"/>
            <w:noWrap/>
            <w:vAlign w:val="bottom"/>
            <w:hideMark/>
          </w:tcPr>
          <w:p w14:paraId="1C22FDF8" w14:textId="77777777" w:rsidR="00EB674A" w:rsidRPr="00EF683B" w:rsidRDefault="00EB674A" w:rsidP="001F2DFE">
            <w:pPr>
              <w:rPr>
                <w:rFonts w:ascii="Times New Roman" w:eastAsia="Times New Roman" w:hAnsi="Times New Roman"/>
                <w:color w:val="000000"/>
                <w:sz w:val="20"/>
                <w:szCs w:val="20"/>
                <w:lang w:eastAsia="lv-LV"/>
              </w:rPr>
            </w:pPr>
            <w:r w:rsidRPr="00EF683B">
              <w:rPr>
                <w:rFonts w:ascii="Times New Roman" w:eastAsia="Times New Roman" w:hAnsi="Times New Roman"/>
                <w:color w:val="000000"/>
                <w:sz w:val="20"/>
                <w:szCs w:val="20"/>
                <w:lang w:eastAsia="lv-LV"/>
              </w:rPr>
              <w:t> </w:t>
            </w:r>
          </w:p>
        </w:tc>
        <w:tc>
          <w:tcPr>
            <w:tcW w:w="257" w:type="pct"/>
            <w:gridSpan w:val="3"/>
            <w:tcBorders>
              <w:top w:val="nil"/>
              <w:left w:val="nil"/>
              <w:bottom w:val="single" w:sz="4" w:space="0" w:color="auto"/>
              <w:right w:val="single" w:sz="4" w:space="0" w:color="auto"/>
            </w:tcBorders>
            <w:shd w:val="clear" w:color="auto" w:fill="auto"/>
            <w:noWrap/>
            <w:vAlign w:val="bottom"/>
            <w:hideMark/>
          </w:tcPr>
          <w:p w14:paraId="0575C227" w14:textId="77777777" w:rsidR="00EB674A" w:rsidRPr="00EF683B" w:rsidRDefault="00EB674A" w:rsidP="001F2DFE">
            <w:pPr>
              <w:rPr>
                <w:rFonts w:ascii="Times New Roman" w:eastAsia="Times New Roman" w:hAnsi="Times New Roman"/>
                <w:color w:val="000000"/>
                <w:sz w:val="20"/>
                <w:szCs w:val="20"/>
                <w:lang w:eastAsia="lv-LV"/>
              </w:rPr>
            </w:pPr>
            <w:r w:rsidRPr="00EF683B">
              <w:rPr>
                <w:rFonts w:ascii="Times New Roman" w:eastAsia="Times New Roman" w:hAnsi="Times New Roman"/>
                <w:color w:val="000000"/>
                <w:sz w:val="20"/>
                <w:szCs w:val="20"/>
                <w:lang w:eastAsia="lv-LV"/>
              </w:rPr>
              <w:t> </w:t>
            </w:r>
          </w:p>
        </w:tc>
        <w:tc>
          <w:tcPr>
            <w:tcW w:w="242" w:type="pct"/>
            <w:tcBorders>
              <w:top w:val="nil"/>
              <w:left w:val="nil"/>
              <w:bottom w:val="single" w:sz="4" w:space="0" w:color="auto"/>
              <w:right w:val="single" w:sz="4" w:space="0" w:color="auto"/>
            </w:tcBorders>
            <w:shd w:val="clear" w:color="auto" w:fill="auto"/>
            <w:noWrap/>
            <w:vAlign w:val="bottom"/>
            <w:hideMark/>
          </w:tcPr>
          <w:p w14:paraId="11A60858" w14:textId="77777777" w:rsidR="00EB674A" w:rsidRPr="00EF683B" w:rsidRDefault="00EB674A" w:rsidP="001F2DFE">
            <w:pPr>
              <w:rPr>
                <w:rFonts w:ascii="Times New Roman" w:eastAsia="Times New Roman" w:hAnsi="Times New Roman"/>
                <w:color w:val="000000"/>
                <w:sz w:val="20"/>
                <w:szCs w:val="20"/>
                <w:lang w:eastAsia="lv-LV"/>
              </w:rPr>
            </w:pPr>
            <w:r w:rsidRPr="00EF683B">
              <w:rPr>
                <w:rFonts w:ascii="Times New Roman" w:eastAsia="Times New Roman" w:hAnsi="Times New Roman"/>
                <w:color w:val="000000"/>
                <w:sz w:val="20"/>
                <w:szCs w:val="20"/>
                <w:lang w:eastAsia="lv-LV"/>
              </w:rPr>
              <w:t> </w:t>
            </w:r>
          </w:p>
        </w:tc>
        <w:tc>
          <w:tcPr>
            <w:tcW w:w="242" w:type="pct"/>
            <w:gridSpan w:val="3"/>
            <w:tcBorders>
              <w:top w:val="nil"/>
              <w:left w:val="nil"/>
              <w:bottom w:val="single" w:sz="4" w:space="0" w:color="auto"/>
              <w:right w:val="single" w:sz="4" w:space="0" w:color="auto"/>
            </w:tcBorders>
            <w:shd w:val="clear" w:color="auto" w:fill="auto"/>
            <w:noWrap/>
            <w:vAlign w:val="bottom"/>
            <w:hideMark/>
          </w:tcPr>
          <w:p w14:paraId="299AD7F6" w14:textId="77777777" w:rsidR="00EB674A" w:rsidRPr="00EF683B" w:rsidRDefault="00EB674A" w:rsidP="001F2DFE">
            <w:pPr>
              <w:rPr>
                <w:rFonts w:ascii="Times New Roman" w:eastAsia="Times New Roman" w:hAnsi="Times New Roman"/>
                <w:color w:val="000000"/>
                <w:sz w:val="20"/>
                <w:szCs w:val="20"/>
                <w:lang w:eastAsia="lv-LV"/>
              </w:rPr>
            </w:pPr>
            <w:r w:rsidRPr="00EF683B">
              <w:rPr>
                <w:rFonts w:ascii="Times New Roman" w:eastAsia="Times New Roman" w:hAnsi="Times New Roman"/>
                <w:color w:val="000000"/>
                <w:sz w:val="20"/>
                <w:szCs w:val="20"/>
                <w:lang w:eastAsia="lv-LV"/>
              </w:rPr>
              <w:t> </w:t>
            </w:r>
          </w:p>
        </w:tc>
        <w:tc>
          <w:tcPr>
            <w:tcW w:w="220" w:type="pct"/>
            <w:tcBorders>
              <w:top w:val="single" w:sz="4" w:space="0" w:color="auto"/>
              <w:left w:val="nil"/>
              <w:bottom w:val="single" w:sz="4" w:space="0" w:color="auto"/>
              <w:right w:val="single" w:sz="4" w:space="0" w:color="auto"/>
            </w:tcBorders>
          </w:tcPr>
          <w:p w14:paraId="28BB66E8" w14:textId="77777777" w:rsidR="00EB674A" w:rsidRPr="00EF683B" w:rsidRDefault="00EB674A" w:rsidP="001F2DFE">
            <w:pPr>
              <w:rPr>
                <w:rFonts w:ascii="Times New Roman" w:eastAsia="Times New Roman" w:hAnsi="Times New Roman"/>
                <w:color w:val="000000"/>
                <w:sz w:val="20"/>
                <w:szCs w:val="20"/>
                <w:lang w:eastAsia="lv-LV"/>
              </w:rPr>
            </w:pPr>
          </w:p>
        </w:tc>
        <w:tc>
          <w:tcPr>
            <w:tcW w:w="270" w:type="pct"/>
            <w:tcBorders>
              <w:top w:val="nil"/>
              <w:left w:val="single" w:sz="4" w:space="0" w:color="auto"/>
              <w:bottom w:val="single" w:sz="4" w:space="0" w:color="auto"/>
              <w:right w:val="single" w:sz="4" w:space="0" w:color="auto"/>
            </w:tcBorders>
          </w:tcPr>
          <w:p w14:paraId="39CD8FAA" w14:textId="77777777" w:rsidR="00EB674A" w:rsidRPr="00EF683B" w:rsidRDefault="00EB674A" w:rsidP="001F2DFE">
            <w:pPr>
              <w:rPr>
                <w:rFonts w:ascii="Times New Roman" w:eastAsia="Times New Roman" w:hAnsi="Times New Roman"/>
                <w:color w:val="000000"/>
                <w:sz w:val="20"/>
                <w:szCs w:val="20"/>
                <w:lang w:eastAsia="lv-LV"/>
              </w:rPr>
            </w:pPr>
          </w:p>
        </w:tc>
        <w:tc>
          <w:tcPr>
            <w:tcW w:w="741" w:type="pct"/>
            <w:gridSpan w:val="2"/>
            <w:tcBorders>
              <w:top w:val="nil"/>
              <w:left w:val="single" w:sz="4" w:space="0" w:color="auto"/>
              <w:bottom w:val="single" w:sz="4" w:space="0" w:color="auto"/>
              <w:right w:val="single" w:sz="4" w:space="0" w:color="auto"/>
            </w:tcBorders>
            <w:shd w:val="clear" w:color="auto" w:fill="auto"/>
            <w:noWrap/>
            <w:vAlign w:val="bottom"/>
            <w:hideMark/>
          </w:tcPr>
          <w:p w14:paraId="345BB07D" w14:textId="2D3DE02B" w:rsidR="00EB674A" w:rsidRPr="00EF683B" w:rsidRDefault="00EB674A" w:rsidP="001F2DFE">
            <w:pPr>
              <w:rPr>
                <w:rFonts w:ascii="Times New Roman" w:eastAsia="Times New Roman" w:hAnsi="Times New Roman"/>
                <w:color w:val="000000"/>
                <w:sz w:val="20"/>
                <w:szCs w:val="20"/>
                <w:lang w:eastAsia="lv-LV"/>
              </w:rPr>
            </w:pPr>
            <w:r w:rsidRPr="00EF683B">
              <w:rPr>
                <w:rFonts w:ascii="Times New Roman" w:eastAsia="Times New Roman" w:hAnsi="Times New Roman"/>
                <w:color w:val="000000"/>
                <w:sz w:val="20"/>
                <w:szCs w:val="20"/>
                <w:lang w:eastAsia="lv-LV"/>
              </w:rPr>
              <w:t> </w:t>
            </w:r>
          </w:p>
        </w:tc>
        <w:tc>
          <w:tcPr>
            <w:tcW w:w="330" w:type="pct"/>
            <w:gridSpan w:val="2"/>
            <w:tcBorders>
              <w:top w:val="nil"/>
              <w:left w:val="nil"/>
              <w:bottom w:val="single" w:sz="4" w:space="0" w:color="auto"/>
              <w:right w:val="single" w:sz="4" w:space="0" w:color="auto"/>
            </w:tcBorders>
            <w:shd w:val="clear" w:color="auto" w:fill="auto"/>
            <w:noWrap/>
            <w:vAlign w:val="bottom"/>
            <w:hideMark/>
          </w:tcPr>
          <w:p w14:paraId="3C8E871F" w14:textId="77777777" w:rsidR="00EB674A" w:rsidRPr="00EF683B" w:rsidRDefault="00EB674A" w:rsidP="001F2DFE">
            <w:pPr>
              <w:rPr>
                <w:rFonts w:ascii="Times New Roman" w:eastAsia="Times New Roman" w:hAnsi="Times New Roman"/>
                <w:color w:val="000000"/>
                <w:sz w:val="20"/>
                <w:szCs w:val="20"/>
                <w:lang w:eastAsia="lv-LV"/>
              </w:rPr>
            </w:pPr>
            <w:r w:rsidRPr="00EF683B">
              <w:rPr>
                <w:rFonts w:ascii="Times New Roman" w:eastAsia="Times New Roman" w:hAnsi="Times New Roman"/>
                <w:color w:val="000000"/>
                <w:sz w:val="20"/>
                <w:szCs w:val="20"/>
                <w:lang w:eastAsia="lv-LV"/>
              </w:rPr>
              <w:t> </w:t>
            </w:r>
          </w:p>
        </w:tc>
        <w:tc>
          <w:tcPr>
            <w:tcW w:w="412" w:type="pct"/>
            <w:tcBorders>
              <w:top w:val="nil"/>
              <w:left w:val="nil"/>
              <w:bottom w:val="single" w:sz="4" w:space="0" w:color="auto"/>
              <w:right w:val="single" w:sz="4" w:space="0" w:color="auto"/>
            </w:tcBorders>
            <w:shd w:val="clear" w:color="auto" w:fill="auto"/>
            <w:noWrap/>
            <w:vAlign w:val="bottom"/>
            <w:hideMark/>
          </w:tcPr>
          <w:p w14:paraId="42E296B0" w14:textId="77777777" w:rsidR="00EB674A" w:rsidRPr="00EF683B" w:rsidRDefault="00EB674A" w:rsidP="001F2DFE">
            <w:pPr>
              <w:rPr>
                <w:rFonts w:ascii="Times New Roman" w:eastAsia="Times New Roman" w:hAnsi="Times New Roman"/>
                <w:color w:val="000000"/>
                <w:sz w:val="20"/>
                <w:szCs w:val="20"/>
                <w:lang w:eastAsia="lv-LV"/>
              </w:rPr>
            </w:pPr>
            <w:r w:rsidRPr="00EF683B">
              <w:rPr>
                <w:rFonts w:ascii="Times New Roman" w:eastAsia="Times New Roman" w:hAnsi="Times New Roman"/>
                <w:color w:val="000000"/>
                <w:sz w:val="20"/>
                <w:szCs w:val="20"/>
                <w:lang w:eastAsia="lv-LV"/>
              </w:rPr>
              <w:t> </w:t>
            </w:r>
          </w:p>
        </w:tc>
      </w:tr>
    </w:tbl>
    <w:p w14:paraId="0343AAEC" w14:textId="77777777" w:rsidR="00F87525" w:rsidRPr="00706BAC" w:rsidRDefault="00F87525" w:rsidP="004E632C">
      <w:pPr>
        <w:pStyle w:val="ListParagraph"/>
        <w:ind w:left="0" w:firstLine="720"/>
        <w:jc w:val="center"/>
        <w:rPr>
          <w:rFonts w:ascii="Times New Roman" w:hAnsi="Times New Roman" w:cs="Times New Roman"/>
          <w:sz w:val="16"/>
          <w:szCs w:val="16"/>
        </w:rPr>
      </w:pPr>
    </w:p>
    <w:p w14:paraId="0ED0FC17" w14:textId="77777777" w:rsidR="00B959BA" w:rsidRDefault="00B959BA" w:rsidP="00D8235F">
      <w:pPr>
        <w:pStyle w:val="ListParagraph"/>
        <w:ind w:left="0"/>
        <w:jc w:val="both"/>
        <w:rPr>
          <w:rFonts w:ascii="Times New Roman" w:hAnsi="Times New Roman" w:cs="Times New Roman"/>
          <w:sz w:val="26"/>
          <w:szCs w:val="26"/>
        </w:rPr>
      </w:pPr>
      <w:r>
        <w:rPr>
          <w:rFonts w:ascii="Times New Roman" w:hAnsi="Times New Roman" w:cs="Times New Roman"/>
          <w:sz w:val="26"/>
          <w:szCs w:val="26"/>
        </w:rPr>
        <w:t>Ministru prezidenta biedrs,</w:t>
      </w:r>
    </w:p>
    <w:p w14:paraId="5600E02C" w14:textId="5BB3B136" w:rsidR="00D8235F" w:rsidRDefault="00B959BA" w:rsidP="00D8235F">
      <w:pPr>
        <w:pStyle w:val="ListParagraph"/>
        <w:ind w:left="0"/>
        <w:jc w:val="both"/>
        <w:rPr>
          <w:rFonts w:ascii="Times New Roman" w:hAnsi="Times New Roman" w:cs="Times New Roman"/>
          <w:sz w:val="26"/>
          <w:szCs w:val="26"/>
        </w:rPr>
      </w:pPr>
      <w:r>
        <w:rPr>
          <w:rFonts w:ascii="Times New Roman" w:hAnsi="Times New Roman" w:cs="Times New Roman"/>
          <w:sz w:val="26"/>
          <w:szCs w:val="26"/>
        </w:rPr>
        <w:t>e</w:t>
      </w:r>
      <w:r w:rsidR="00706BAC">
        <w:rPr>
          <w:rFonts w:ascii="Times New Roman" w:hAnsi="Times New Roman" w:cs="Times New Roman"/>
          <w:sz w:val="26"/>
          <w:szCs w:val="26"/>
        </w:rPr>
        <w:t>konomikas ministrs</w:t>
      </w:r>
      <w:r w:rsidR="00D8235F">
        <w:rPr>
          <w:rFonts w:ascii="Times New Roman" w:hAnsi="Times New Roman" w:cs="Times New Roman"/>
          <w:sz w:val="26"/>
          <w:szCs w:val="26"/>
        </w:rPr>
        <w:tab/>
      </w:r>
      <w:r w:rsidR="00D8235F">
        <w:rPr>
          <w:rFonts w:ascii="Times New Roman" w:hAnsi="Times New Roman" w:cs="Times New Roman"/>
          <w:sz w:val="26"/>
          <w:szCs w:val="26"/>
        </w:rPr>
        <w:tab/>
      </w:r>
      <w:r w:rsidR="00D8235F">
        <w:rPr>
          <w:rFonts w:ascii="Times New Roman" w:hAnsi="Times New Roman" w:cs="Times New Roman"/>
          <w:sz w:val="26"/>
          <w:szCs w:val="26"/>
        </w:rPr>
        <w:tab/>
      </w:r>
      <w:bookmarkStart w:id="26" w:name="_GoBack"/>
      <w:bookmarkEnd w:id="26"/>
      <w:r w:rsidR="00D8235F">
        <w:rPr>
          <w:rFonts w:ascii="Times New Roman" w:hAnsi="Times New Roman" w:cs="Times New Roman"/>
          <w:sz w:val="26"/>
          <w:szCs w:val="26"/>
        </w:rPr>
        <w:tab/>
      </w:r>
      <w:r w:rsidR="00D8235F">
        <w:rPr>
          <w:rFonts w:ascii="Times New Roman" w:hAnsi="Times New Roman" w:cs="Times New Roman"/>
          <w:sz w:val="26"/>
          <w:szCs w:val="26"/>
        </w:rPr>
        <w:tab/>
      </w:r>
      <w:r w:rsidR="00D8235F">
        <w:rPr>
          <w:rFonts w:ascii="Times New Roman" w:hAnsi="Times New Roman" w:cs="Times New Roman"/>
          <w:sz w:val="26"/>
          <w:szCs w:val="26"/>
        </w:rPr>
        <w:tab/>
      </w:r>
      <w:r w:rsidR="00D8235F">
        <w:rPr>
          <w:rFonts w:ascii="Times New Roman" w:hAnsi="Times New Roman" w:cs="Times New Roman"/>
          <w:sz w:val="26"/>
          <w:szCs w:val="26"/>
        </w:rPr>
        <w:tab/>
      </w:r>
      <w:r w:rsidR="00D8235F">
        <w:rPr>
          <w:rFonts w:ascii="Times New Roman" w:hAnsi="Times New Roman" w:cs="Times New Roman"/>
          <w:sz w:val="26"/>
          <w:szCs w:val="26"/>
        </w:rPr>
        <w:tab/>
      </w:r>
      <w:r w:rsidR="00D8235F">
        <w:rPr>
          <w:rFonts w:ascii="Times New Roman" w:hAnsi="Times New Roman" w:cs="Times New Roman"/>
          <w:sz w:val="26"/>
          <w:szCs w:val="26"/>
        </w:rPr>
        <w:tab/>
      </w:r>
      <w:r w:rsidR="00D8235F">
        <w:rPr>
          <w:rFonts w:ascii="Times New Roman" w:hAnsi="Times New Roman" w:cs="Times New Roman"/>
          <w:sz w:val="26"/>
          <w:szCs w:val="26"/>
        </w:rPr>
        <w:tab/>
      </w:r>
      <w:r w:rsidR="00D8235F">
        <w:rPr>
          <w:rFonts w:ascii="Times New Roman" w:hAnsi="Times New Roman" w:cs="Times New Roman"/>
          <w:sz w:val="26"/>
          <w:szCs w:val="26"/>
        </w:rPr>
        <w:tab/>
      </w:r>
      <w:r w:rsidR="00D8235F">
        <w:rPr>
          <w:rFonts w:ascii="Times New Roman" w:hAnsi="Times New Roman" w:cs="Times New Roman"/>
          <w:sz w:val="26"/>
          <w:szCs w:val="26"/>
        </w:rPr>
        <w:tab/>
      </w:r>
      <w:r w:rsidR="00D8235F">
        <w:rPr>
          <w:rFonts w:ascii="Times New Roman" w:hAnsi="Times New Roman" w:cs="Times New Roman"/>
          <w:sz w:val="26"/>
          <w:szCs w:val="26"/>
        </w:rPr>
        <w:tab/>
      </w:r>
      <w:proofErr w:type="spellStart"/>
      <w:r w:rsidR="00706BAC">
        <w:rPr>
          <w:rFonts w:ascii="Times New Roman" w:hAnsi="Times New Roman" w:cs="Times New Roman"/>
          <w:sz w:val="26"/>
          <w:szCs w:val="26"/>
        </w:rPr>
        <w:t>A.Ašeradens</w:t>
      </w:r>
      <w:proofErr w:type="spellEnd"/>
    </w:p>
    <w:p w14:paraId="7AA4D9EA" w14:textId="77777777" w:rsidR="00D8235F" w:rsidRPr="00706BAC" w:rsidRDefault="00D8235F" w:rsidP="00D8235F">
      <w:pPr>
        <w:pStyle w:val="ListParagraph"/>
        <w:ind w:left="0" w:firstLine="720"/>
        <w:jc w:val="both"/>
        <w:rPr>
          <w:rFonts w:ascii="Times New Roman" w:hAnsi="Times New Roman" w:cs="Times New Roman"/>
          <w:sz w:val="16"/>
          <w:szCs w:val="16"/>
        </w:rPr>
      </w:pPr>
    </w:p>
    <w:p w14:paraId="04BA371C" w14:textId="55528915" w:rsidR="00D8235F" w:rsidRPr="00706BAC" w:rsidRDefault="00706BAC" w:rsidP="00226850">
      <w:pPr>
        <w:pStyle w:val="ListParagraph"/>
        <w:ind w:left="0"/>
        <w:jc w:val="both"/>
        <w:rPr>
          <w:rFonts w:ascii="Times New Roman" w:hAnsi="Times New Roman" w:cs="Times New Roman"/>
          <w:sz w:val="26"/>
          <w:szCs w:val="26"/>
        </w:rPr>
      </w:pPr>
      <w:r>
        <w:rPr>
          <w:rFonts w:ascii="Times New Roman" w:hAnsi="Times New Roman" w:cs="Times New Roman"/>
          <w:sz w:val="26"/>
          <w:szCs w:val="26"/>
        </w:rPr>
        <w:t>Vīza: Valsts sekretār</w:t>
      </w:r>
      <w:r w:rsidR="00BE4EE5">
        <w:rPr>
          <w:rFonts w:ascii="Times New Roman" w:hAnsi="Times New Roman" w:cs="Times New Roman"/>
          <w:sz w:val="26"/>
          <w:szCs w:val="26"/>
        </w:rPr>
        <w:t>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E4EE5">
        <w:rPr>
          <w:rFonts w:ascii="Times New Roman" w:hAnsi="Times New Roman" w:cs="Times New Roman"/>
          <w:sz w:val="26"/>
          <w:szCs w:val="26"/>
        </w:rPr>
        <w:tab/>
      </w:r>
      <w:proofErr w:type="spellStart"/>
      <w:r w:rsidR="00BE4EE5">
        <w:rPr>
          <w:rFonts w:ascii="Times New Roman" w:hAnsi="Times New Roman" w:cs="Times New Roman"/>
          <w:sz w:val="26"/>
          <w:szCs w:val="26"/>
        </w:rPr>
        <w:t>J.Stinka</w:t>
      </w:r>
      <w:proofErr w:type="spellEnd"/>
    </w:p>
    <w:p w14:paraId="76E0DEEC" w14:textId="77777777" w:rsidR="00706BAC" w:rsidRDefault="00706BAC" w:rsidP="00D8235F">
      <w:pPr>
        <w:rPr>
          <w:rFonts w:ascii="Times New Roman" w:hAnsi="Times New Roman" w:cs="Times New Roman"/>
          <w:sz w:val="16"/>
          <w:szCs w:val="16"/>
        </w:rPr>
      </w:pPr>
    </w:p>
    <w:p w14:paraId="2BD4F4F4" w14:textId="04036075" w:rsidR="00D8235F" w:rsidRPr="00D8235F" w:rsidRDefault="009A1A1E" w:rsidP="00D8235F">
      <w:pPr>
        <w:rPr>
          <w:rFonts w:ascii="Times New Roman" w:hAnsi="Times New Roman" w:cs="Times New Roman"/>
          <w:sz w:val="16"/>
          <w:szCs w:val="16"/>
        </w:rPr>
      </w:pPr>
      <w:r>
        <w:rPr>
          <w:rFonts w:ascii="Times New Roman" w:hAnsi="Times New Roman" w:cs="Times New Roman"/>
          <w:sz w:val="16"/>
          <w:szCs w:val="16"/>
        </w:rPr>
        <w:lastRenderedPageBreak/>
        <w:t>26</w:t>
      </w:r>
      <w:r w:rsidR="00706BAC">
        <w:rPr>
          <w:rFonts w:ascii="Times New Roman" w:hAnsi="Times New Roman" w:cs="Times New Roman"/>
          <w:sz w:val="16"/>
          <w:szCs w:val="16"/>
        </w:rPr>
        <w:t>.0</w:t>
      </w:r>
      <w:r w:rsidR="00F90C33">
        <w:rPr>
          <w:rFonts w:ascii="Times New Roman" w:hAnsi="Times New Roman" w:cs="Times New Roman"/>
          <w:sz w:val="16"/>
          <w:szCs w:val="16"/>
        </w:rPr>
        <w:t>7</w:t>
      </w:r>
      <w:r>
        <w:rPr>
          <w:rFonts w:ascii="Times New Roman" w:hAnsi="Times New Roman" w:cs="Times New Roman"/>
          <w:sz w:val="16"/>
          <w:szCs w:val="16"/>
        </w:rPr>
        <w:t>.2016. 14</w:t>
      </w:r>
      <w:r w:rsidR="00D8235F" w:rsidRPr="00D8235F">
        <w:rPr>
          <w:rFonts w:ascii="Times New Roman" w:hAnsi="Times New Roman" w:cs="Times New Roman"/>
          <w:sz w:val="16"/>
          <w:szCs w:val="16"/>
        </w:rPr>
        <w:t>:12</w:t>
      </w:r>
    </w:p>
    <w:p w14:paraId="23C5F9CD" w14:textId="3977F7AF" w:rsidR="00D8235F" w:rsidRPr="00D8235F" w:rsidRDefault="00D8235F" w:rsidP="00D8235F">
      <w:pPr>
        <w:rPr>
          <w:rFonts w:ascii="Times New Roman" w:hAnsi="Times New Roman" w:cs="Times New Roman"/>
          <w:sz w:val="16"/>
          <w:szCs w:val="16"/>
        </w:rPr>
      </w:pPr>
      <w:r w:rsidRPr="00D8235F">
        <w:rPr>
          <w:rFonts w:ascii="Times New Roman" w:hAnsi="Times New Roman" w:cs="Times New Roman"/>
          <w:sz w:val="16"/>
          <w:szCs w:val="16"/>
        </w:rPr>
        <w:fldChar w:fldCharType="begin"/>
      </w:r>
      <w:r w:rsidRPr="00D8235F">
        <w:rPr>
          <w:rFonts w:ascii="Times New Roman" w:hAnsi="Times New Roman" w:cs="Times New Roman"/>
          <w:sz w:val="16"/>
          <w:szCs w:val="16"/>
        </w:rPr>
        <w:instrText xml:space="preserve"> NUMWORDS  \* Arabic  \* MERGEFORMAT </w:instrText>
      </w:r>
      <w:r w:rsidRPr="00D8235F">
        <w:rPr>
          <w:rFonts w:ascii="Times New Roman" w:hAnsi="Times New Roman" w:cs="Times New Roman"/>
          <w:sz w:val="16"/>
          <w:szCs w:val="16"/>
        </w:rPr>
        <w:fldChar w:fldCharType="separate"/>
      </w:r>
      <w:r w:rsidR="009A1A1E">
        <w:rPr>
          <w:rFonts w:ascii="Times New Roman" w:hAnsi="Times New Roman" w:cs="Times New Roman"/>
          <w:noProof/>
          <w:sz w:val="16"/>
          <w:szCs w:val="16"/>
        </w:rPr>
        <w:t>11016</w:t>
      </w:r>
      <w:r w:rsidRPr="00D8235F">
        <w:rPr>
          <w:rFonts w:ascii="Times New Roman" w:hAnsi="Times New Roman" w:cs="Times New Roman"/>
          <w:sz w:val="16"/>
          <w:szCs w:val="16"/>
        </w:rPr>
        <w:fldChar w:fldCharType="end"/>
      </w:r>
    </w:p>
    <w:p w14:paraId="7D0CFA0C" w14:textId="77777777" w:rsidR="00D8235F" w:rsidRPr="00D8235F" w:rsidRDefault="00D8235F" w:rsidP="00D8235F">
      <w:pPr>
        <w:rPr>
          <w:rFonts w:ascii="Times New Roman" w:hAnsi="Times New Roman" w:cs="Times New Roman"/>
          <w:sz w:val="16"/>
          <w:szCs w:val="16"/>
        </w:rPr>
      </w:pPr>
      <w:proofErr w:type="spellStart"/>
      <w:r w:rsidRPr="00D8235F">
        <w:rPr>
          <w:rFonts w:ascii="Times New Roman" w:hAnsi="Times New Roman" w:cs="Times New Roman"/>
          <w:sz w:val="16"/>
          <w:szCs w:val="16"/>
        </w:rPr>
        <w:t>E.Šaicāns</w:t>
      </w:r>
      <w:proofErr w:type="spellEnd"/>
    </w:p>
    <w:p w14:paraId="75E1909F" w14:textId="77777777" w:rsidR="00D8235F" w:rsidRPr="00D8235F" w:rsidRDefault="00D8235F" w:rsidP="00D8235F">
      <w:pPr>
        <w:rPr>
          <w:rFonts w:ascii="Times New Roman" w:hAnsi="Times New Roman" w:cs="Times New Roman"/>
          <w:sz w:val="16"/>
          <w:szCs w:val="16"/>
        </w:rPr>
      </w:pPr>
      <w:r w:rsidRPr="00D8235F">
        <w:rPr>
          <w:rFonts w:ascii="Times New Roman" w:hAnsi="Times New Roman" w:cs="Times New Roman"/>
          <w:sz w:val="16"/>
          <w:szCs w:val="16"/>
        </w:rPr>
        <w:t xml:space="preserve">67013143, </w:t>
      </w:r>
      <w:hyperlink r:id="rId16" w:history="1">
        <w:r w:rsidRPr="006A13B0">
          <w:rPr>
            <w:rStyle w:val="Hyperlink"/>
            <w:rFonts w:ascii="Times New Roman" w:hAnsi="Times New Roman" w:cs="Times New Roman"/>
            <w:sz w:val="16"/>
            <w:szCs w:val="16"/>
          </w:rPr>
          <w:t>Edijs.Saicans@em.gov.lv</w:t>
        </w:r>
      </w:hyperlink>
    </w:p>
    <w:sectPr w:rsidR="00D8235F" w:rsidRPr="00D8235F" w:rsidSect="00F90C33">
      <w:pgSz w:w="16840" w:h="11900" w:orient="landscape" w:code="9"/>
      <w:pgMar w:top="993" w:right="1440" w:bottom="709" w:left="1106" w:header="709" w:footer="17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000FD" w14:textId="77777777" w:rsidR="00226850" w:rsidRDefault="00226850" w:rsidP="00716F4C">
      <w:r>
        <w:separator/>
      </w:r>
    </w:p>
  </w:endnote>
  <w:endnote w:type="continuationSeparator" w:id="0">
    <w:p w14:paraId="6DAA6819" w14:textId="77777777" w:rsidR="00226850" w:rsidRDefault="00226850" w:rsidP="0071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BA"/>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EFCF" w14:textId="57CD9D23" w:rsidR="00226850" w:rsidRPr="00716F4C" w:rsidRDefault="00226850" w:rsidP="00437F03">
    <w:pPr>
      <w:pStyle w:val="Footer"/>
      <w:jc w:val="both"/>
      <w:rPr>
        <w:rFonts w:ascii="Times New Roman" w:hAnsi="Times New Roman" w:cs="Times New Roman"/>
        <w:sz w:val="20"/>
        <w:szCs w:val="20"/>
      </w:rPr>
    </w:pPr>
    <w:r w:rsidRPr="00716F4C">
      <w:rPr>
        <w:rFonts w:ascii="Times New Roman" w:hAnsi="Times New Roman" w:cs="Times New Roman"/>
        <w:sz w:val="20"/>
        <w:szCs w:val="20"/>
      </w:rPr>
      <w:t>EMZin</w:t>
    </w:r>
    <w:r w:rsidR="009A1A1E">
      <w:rPr>
        <w:rFonts w:ascii="Times New Roman" w:hAnsi="Times New Roman" w:cs="Times New Roman"/>
        <w:sz w:val="20"/>
        <w:szCs w:val="20"/>
      </w:rPr>
      <w:t>o_26</w:t>
    </w:r>
    <w:r>
      <w:rPr>
        <w:rFonts w:ascii="Times New Roman" w:hAnsi="Times New Roman" w:cs="Times New Roman"/>
        <w:sz w:val="20"/>
        <w:szCs w:val="20"/>
      </w:rPr>
      <w:t>0716</w:t>
    </w:r>
    <w:r w:rsidRPr="00716F4C">
      <w:rPr>
        <w:rFonts w:ascii="Times New Roman" w:hAnsi="Times New Roman" w:cs="Times New Roman"/>
        <w:sz w:val="20"/>
        <w:szCs w:val="20"/>
      </w:rPr>
      <w:t>_LVS; Konceptuālais ziņojums “Par Latvijas nacionālās standartizācijas sistēmas pilnveidošanu</w:t>
    </w:r>
    <w:r>
      <w:rPr>
        <w:rFonts w:ascii="Times New Roman" w:hAnsi="Times New Roman" w:cs="Times New Roman"/>
        <w:sz w:val="20"/>
        <w:szCs w:val="20"/>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8AD21" w14:textId="550EF3CD" w:rsidR="00226850" w:rsidRPr="009A1A1E" w:rsidRDefault="00226850" w:rsidP="009A1A1E">
    <w:pPr>
      <w:pStyle w:val="Footer"/>
      <w:jc w:val="both"/>
      <w:rPr>
        <w:rFonts w:ascii="Times New Roman" w:hAnsi="Times New Roman" w:cs="Times New Roman"/>
        <w:sz w:val="20"/>
        <w:szCs w:val="20"/>
      </w:rPr>
    </w:pPr>
    <w:r w:rsidRPr="00716F4C">
      <w:rPr>
        <w:rFonts w:ascii="Times New Roman" w:hAnsi="Times New Roman" w:cs="Times New Roman"/>
        <w:sz w:val="20"/>
        <w:szCs w:val="20"/>
      </w:rPr>
      <w:t>EMZin</w:t>
    </w:r>
    <w:r w:rsidR="009A1A1E">
      <w:rPr>
        <w:rFonts w:ascii="Times New Roman" w:hAnsi="Times New Roman" w:cs="Times New Roman"/>
        <w:sz w:val="20"/>
        <w:szCs w:val="20"/>
      </w:rPr>
      <w:t>o_26</w:t>
    </w:r>
    <w:r>
      <w:rPr>
        <w:rFonts w:ascii="Times New Roman" w:hAnsi="Times New Roman" w:cs="Times New Roman"/>
        <w:sz w:val="20"/>
        <w:szCs w:val="20"/>
      </w:rPr>
      <w:t>0716</w:t>
    </w:r>
    <w:r w:rsidRPr="00716F4C">
      <w:rPr>
        <w:rFonts w:ascii="Times New Roman" w:hAnsi="Times New Roman" w:cs="Times New Roman"/>
        <w:sz w:val="20"/>
        <w:szCs w:val="20"/>
      </w:rPr>
      <w:t>_LVS; Konceptuālais ziņojums “Par Latvijas nacionālās standartizācijas sistēmas pilnveidošanu</w:t>
    </w:r>
    <w:r>
      <w:rPr>
        <w:rFonts w:ascii="Times New Roman" w:hAnsi="Times New Roman" w:cs="Times New Roman"/>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93E5A" w14:textId="77777777" w:rsidR="00226850" w:rsidRDefault="00226850" w:rsidP="00716F4C">
      <w:r>
        <w:separator/>
      </w:r>
    </w:p>
  </w:footnote>
  <w:footnote w:type="continuationSeparator" w:id="0">
    <w:p w14:paraId="1D7CD04F" w14:textId="77777777" w:rsidR="00226850" w:rsidRDefault="00226850" w:rsidP="00716F4C">
      <w:r>
        <w:continuationSeparator/>
      </w:r>
    </w:p>
  </w:footnote>
  <w:footnote w:id="1">
    <w:p w14:paraId="43765656" w14:textId="77777777" w:rsidR="00226850" w:rsidRPr="00B54055" w:rsidRDefault="00226850">
      <w:pPr>
        <w:pStyle w:val="FootnoteText"/>
        <w:rPr>
          <w:rFonts w:ascii="Times New Roman" w:hAnsi="Times New Roman" w:cs="Times New Roman"/>
          <w:sz w:val="16"/>
          <w:szCs w:val="16"/>
        </w:rPr>
      </w:pPr>
      <w:r w:rsidRPr="00B54055">
        <w:rPr>
          <w:rStyle w:val="FootnoteReference"/>
          <w:rFonts w:ascii="Times New Roman" w:hAnsi="Times New Roman" w:cs="Times New Roman"/>
          <w:sz w:val="16"/>
          <w:szCs w:val="16"/>
        </w:rPr>
        <w:footnoteRef/>
      </w:r>
      <w:r w:rsidRPr="00B54055">
        <w:rPr>
          <w:rFonts w:ascii="Times New Roman" w:hAnsi="Times New Roman" w:cs="Times New Roman"/>
          <w:sz w:val="16"/>
          <w:szCs w:val="16"/>
        </w:rPr>
        <w:t xml:space="preserve"> http://eur-lex.europa.eu/legal-content/EN/TXT/?uri=CELEX:31985Y0604(01)</w:t>
      </w:r>
    </w:p>
  </w:footnote>
  <w:footnote w:id="2">
    <w:p w14:paraId="2DDB0400" w14:textId="77777777" w:rsidR="00226850" w:rsidRPr="00C46A35" w:rsidRDefault="00226850">
      <w:pPr>
        <w:pStyle w:val="FootnoteText"/>
        <w:rPr>
          <w:rFonts w:ascii="Times New Roman" w:hAnsi="Times New Roman" w:cs="Times New Roman"/>
          <w:sz w:val="16"/>
          <w:szCs w:val="16"/>
        </w:rPr>
      </w:pPr>
      <w:r w:rsidRPr="00C46A35">
        <w:rPr>
          <w:rStyle w:val="FootnoteReference"/>
          <w:rFonts w:ascii="Times New Roman" w:hAnsi="Times New Roman" w:cs="Times New Roman"/>
          <w:sz w:val="16"/>
          <w:szCs w:val="16"/>
        </w:rPr>
        <w:footnoteRef/>
      </w:r>
      <w:r w:rsidRPr="00C46A35">
        <w:rPr>
          <w:rFonts w:ascii="Times New Roman" w:hAnsi="Times New Roman" w:cs="Times New Roman"/>
          <w:sz w:val="16"/>
          <w:szCs w:val="16"/>
        </w:rPr>
        <w:t xml:space="preserve"> </w:t>
      </w:r>
      <w:r w:rsidRPr="00C46A35">
        <w:rPr>
          <w:rFonts w:ascii="Times New Roman" w:eastAsia="Arial Unicode MS" w:hAnsi="Times New Roman" w:cs="Times New Roman"/>
          <w:sz w:val="16"/>
          <w:szCs w:val="16"/>
        </w:rPr>
        <w:t xml:space="preserve">Eiropas Komisija, </w:t>
      </w:r>
      <w:proofErr w:type="spellStart"/>
      <w:r w:rsidRPr="00C46A35">
        <w:rPr>
          <w:rFonts w:ascii="Times New Roman" w:eastAsia="Arial Unicode MS" w:hAnsi="Times New Roman" w:cs="Times New Roman"/>
          <w:sz w:val="16"/>
          <w:szCs w:val="16"/>
        </w:rPr>
        <w:t>Methods</w:t>
      </w:r>
      <w:proofErr w:type="spellEnd"/>
      <w:r w:rsidRPr="00C46A35">
        <w:rPr>
          <w:rFonts w:ascii="Times New Roman" w:eastAsia="Arial Unicode MS" w:hAnsi="Times New Roman" w:cs="Times New Roman"/>
          <w:sz w:val="16"/>
          <w:szCs w:val="16"/>
        </w:rPr>
        <w:t xml:space="preserve"> </w:t>
      </w:r>
      <w:proofErr w:type="spellStart"/>
      <w:r w:rsidRPr="00C46A35">
        <w:rPr>
          <w:rFonts w:ascii="Times New Roman" w:eastAsia="Arial Unicode MS" w:hAnsi="Times New Roman" w:cs="Times New Roman"/>
          <w:sz w:val="16"/>
          <w:szCs w:val="16"/>
        </w:rPr>
        <w:t>of</w:t>
      </w:r>
      <w:proofErr w:type="spellEnd"/>
      <w:r w:rsidRPr="00C46A35">
        <w:rPr>
          <w:rFonts w:ascii="Times New Roman" w:eastAsia="Arial Unicode MS" w:hAnsi="Times New Roman" w:cs="Times New Roman"/>
          <w:sz w:val="16"/>
          <w:szCs w:val="16"/>
        </w:rPr>
        <w:t xml:space="preserve"> </w:t>
      </w:r>
      <w:proofErr w:type="spellStart"/>
      <w:r w:rsidRPr="00C46A35">
        <w:rPr>
          <w:rFonts w:ascii="Times New Roman" w:eastAsia="Arial Unicode MS" w:hAnsi="Times New Roman" w:cs="Times New Roman"/>
          <w:sz w:val="16"/>
          <w:szCs w:val="16"/>
        </w:rPr>
        <w:t>referencing</w:t>
      </w:r>
      <w:proofErr w:type="spellEnd"/>
      <w:r w:rsidRPr="00C46A35">
        <w:rPr>
          <w:rFonts w:ascii="Times New Roman" w:eastAsia="Arial Unicode MS" w:hAnsi="Times New Roman" w:cs="Times New Roman"/>
          <w:sz w:val="16"/>
          <w:szCs w:val="16"/>
        </w:rPr>
        <w:t xml:space="preserve"> </w:t>
      </w:r>
      <w:proofErr w:type="spellStart"/>
      <w:r w:rsidRPr="00C46A35">
        <w:rPr>
          <w:rFonts w:ascii="Times New Roman" w:eastAsia="Arial Unicode MS" w:hAnsi="Times New Roman" w:cs="Times New Roman"/>
          <w:sz w:val="16"/>
          <w:szCs w:val="16"/>
        </w:rPr>
        <w:t>standards</w:t>
      </w:r>
      <w:proofErr w:type="spellEnd"/>
      <w:r w:rsidRPr="00C46A35">
        <w:rPr>
          <w:rFonts w:ascii="Times New Roman" w:eastAsia="Arial Unicode MS" w:hAnsi="Times New Roman" w:cs="Times New Roman"/>
          <w:sz w:val="16"/>
          <w:szCs w:val="16"/>
        </w:rPr>
        <w:t xml:space="preserve"> </w:t>
      </w:r>
      <w:proofErr w:type="spellStart"/>
      <w:r w:rsidRPr="00C46A35">
        <w:rPr>
          <w:rFonts w:ascii="Times New Roman" w:eastAsia="Arial Unicode MS" w:hAnsi="Times New Roman" w:cs="Times New Roman"/>
          <w:sz w:val="16"/>
          <w:szCs w:val="16"/>
        </w:rPr>
        <w:t>in</w:t>
      </w:r>
      <w:proofErr w:type="spellEnd"/>
      <w:r w:rsidRPr="00C46A35">
        <w:rPr>
          <w:rFonts w:ascii="Times New Roman" w:eastAsia="Arial Unicode MS" w:hAnsi="Times New Roman" w:cs="Times New Roman"/>
          <w:sz w:val="16"/>
          <w:szCs w:val="16"/>
        </w:rPr>
        <w:t xml:space="preserve"> </w:t>
      </w:r>
      <w:proofErr w:type="spellStart"/>
      <w:r w:rsidRPr="00C46A35">
        <w:rPr>
          <w:rFonts w:ascii="Times New Roman" w:eastAsia="Arial Unicode MS" w:hAnsi="Times New Roman" w:cs="Times New Roman"/>
          <w:sz w:val="16"/>
          <w:szCs w:val="16"/>
        </w:rPr>
        <w:t>legislation</w:t>
      </w:r>
      <w:proofErr w:type="spellEnd"/>
      <w:r w:rsidRPr="00C46A35">
        <w:rPr>
          <w:rFonts w:ascii="Times New Roman" w:eastAsia="Arial Unicode MS" w:hAnsi="Times New Roman" w:cs="Times New Roman"/>
          <w:sz w:val="16"/>
          <w:szCs w:val="16"/>
        </w:rPr>
        <w:t xml:space="preserve"> </w:t>
      </w:r>
      <w:proofErr w:type="spellStart"/>
      <w:r w:rsidRPr="00C46A35">
        <w:rPr>
          <w:rFonts w:ascii="Times New Roman" w:eastAsia="Arial Unicode MS" w:hAnsi="Times New Roman" w:cs="Times New Roman"/>
          <w:sz w:val="16"/>
          <w:szCs w:val="16"/>
        </w:rPr>
        <w:t>with</w:t>
      </w:r>
      <w:proofErr w:type="spellEnd"/>
      <w:r w:rsidRPr="00C46A35">
        <w:rPr>
          <w:rFonts w:ascii="Times New Roman" w:eastAsia="Arial Unicode MS" w:hAnsi="Times New Roman" w:cs="Times New Roman"/>
          <w:sz w:val="16"/>
          <w:szCs w:val="16"/>
        </w:rPr>
        <w:t xml:space="preserve"> </w:t>
      </w:r>
      <w:proofErr w:type="spellStart"/>
      <w:r w:rsidRPr="00C46A35">
        <w:rPr>
          <w:rFonts w:ascii="Times New Roman" w:eastAsia="Arial Unicode MS" w:hAnsi="Times New Roman" w:cs="Times New Roman"/>
          <w:sz w:val="16"/>
          <w:szCs w:val="16"/>
        </w:rPr>
        <w:t>emphasis</w:t>
      </w:r>
      <w:proofErr w:type="spellEnd"/>
      <w:r w:rsidRPr="00C46A35">
        <w:rPr>
          <w:rFonts w:ascii="Times New Roman" w:eastAsia="Arial Unicode MS" w:hAnsi="Times New Roman" w:cs="Times New Roman"/>
          <w:sz w:val="16"/>
          <w:szCs w:val="16"/>
        </w:rPr>
        <w:t xml:space="preserve"> </w:t>
      </w:r>
      <w:proofErr w:type="spellStart"/>
      <w:r w:rsidRPr="00C46A35">
        <w:rPr>
          <w:rFonts w:ascii="Times New Roman" w:eastAsia="Arial Unicode MS" w:hAnsi="Times New Roman" w:cs="Times New Roman"/>
          <w:sz w:val="16"/>
          <w:szCs w:val="16"/>
        </w:rPr>
        <w:t>on</w:t>
      </w:r>
      <w:proofErr w:type="spellEnd"/>
      <w:r w:rsidRPr="00C46A35">
        <w:rPr>
          <w:rFonts w:ascii="Times New Roman" w:eastAsia="Arial Unicode MS" w:hAnsi="Times New Roman" w:cs="Times New Roman"/>
          <w:sz w:val="16"/>
          <w:szCs w:val="16"/>
        </w:rPr>
        <w:t xml:space="preserve"> </w:t>
      </w:r>
      <w:proofErr w:type="spellStart"/>
      <w:r w:rsidRPr="00C46A35">
        <w:rPr>
          <w:rFonts w:ascii="Times New Roman" w:eastAsia="Arial Unicode MS" w:hAnsi="Times New Roman" w:cs="Times New Roman"/>
          <w:sz w:val="16"/>
          <w:szCs w:val="16"/>
        </w:rPr>
        <w:t>European</w:t>
      </w:r>
      <w:proofErr w:type="spellEnd"/>
      <w:r w:rsidRPr="00C46A35">
        <w:rPr>
          <w:rFonts w:ascii="Times New Roman" w:eastAsia="Arial Unicode MS" w:hAnsi="Times New Roman" w:cs="Times New Roman"/>
          <w:sz w:val="16"/>
          <w:szCs w:val="16"/>
        </w:rPr>
        <w:t xml:space="preserve"> </w:t>
      </w:r>
      <w:proofErr w:type="spellStart"/>
      <w:r w:rsidRPr="00C46A35">
        <w:rPr>
          <w:rFonts w:ascii="Times New Roman" w:eastAsia="Arial Unicode MS" w:hAnsi="Times New Roman" w:cs="Times New Roman"/>
          <w:sz w:val="16"/>
          <w:szCs w:val="16"/>
        </w:rPr>
        <w:t>legislation</w:t>
      </w:r>
      <w:proofErr w:type="spellEnd"/>
    </w:p>
  </w:footnote>
  <w:footnote w:id="3">
    <w:p w14:paraId="463536E9" w14:textId="77777777" w:rsidR="00226850" w:rsidRPr="00E154CB" w:rsidRDefault="00226850">
      <w:pPr>
        <w:pStyle w:val="FootnoteText"/>
        <w:rPr>
          <w:rFonts w:ascii="Times New Roman" w:hAnsi="Times New Roman" w:cs="Times New Roman"/>
          <w:sz w:val="16"/>
          <w:szCs w:val="16"/>
        </w:rPr>
      </w:pPr>
      <w:r w:rsidRPr="00E154CB">
        <w:rPr>
          <w:rStyle w:val="FootnoteReference"/>
          <w:rFonts w:ascii="Times New Roman" w:hAnsi="Times New Roman" w:cs="Times New Roman"/>
          <w:sz w:val="16"/>
          <w:szCs w:val="16"/>
        </w:rPr>
        <w:footnoteRef/>
      </w:r>
      <w:r w:rsidRPr="00E154CB">
        <w:rPr>
          <w:rFonts w:ascii="Times New Roman" w:hAnsi="Times New Roman" w:cs="Times New Roman"/>
          <w:sz w:val="16"/>
          <w:szCs w:val="16"/>
        </w:rPr>
        <w:t xml:space="preserve"> Igaunijas standartizācijas centrs (</w:t>
      </w:r>
      <w:proofErr w:type="spellStart"/>
      <w:r w:rsidRPr="00E154CB">
        <w:rPr>
          <w:rFonts w:ascii="Times New Roman" w:hAnsi="Times New Roman" w:cs="Times New Roman"/>
          <w:i/>
          <w:sz w:val="16"/>
          <w:szCs w:val="16"/>
        </w:rPr>
        <w:t>Eesti</w:t>
      </w:r>
      <w:proofErr w:type="spellEnd"/>
      <w:r w:rsidRPr="00E154CB">
        <w:rPr>
          <w:rFonts w:ascii="Times New Roman" w:hAnsi="Times New Roman" w:cs="Times New Roman"/>
          <w:i/>
          <w:sz w:val="16"/>
          <w:szCs w:val="16"/>
        </w:rPr>
        <w:t xml:space="preserve"> </w:t>
      </w:r>
      <w:proofErr w:type="spellStart"/>
      <w:r w:rsidRPr="00E154CB">
        <w:rPr>
          <w:rFonts w:ascii="Times New Roman" w:hAnsi="Times New Roman" w:cs="Times New Roman"/>
          <w:i/>
          <w:sz w:val="16"/>
          <w:szCs w:val="16"/>
        </w:rPr>
        <w:t>Standardikeskus</w:t>
      </w:r>
      <w:proofErr w:type="spellEnd"/>
      <w:r w:rsidRPr="00E154CB">
        <w:rPr>
          <w:rFonts w:ascii="Times New Roman" w:hAnsi="Times New Roman" w:cs="Times New Roman"/>
          <w:sz w:val="16"/>
          <w:szCs w:val="16"/>
        </w:rPr>
        <w:t>, EVS), tīmekļa vietne ir pieejama šeit: www.evs.ee</w:t>
      </w:r>
    </w:p>
  </w:footnote>
  <w:footnote w:id="4">
    <w:p w14:paraId="02886A5B" w14:textId="77777777" w:rsidR="00226850" w:rsidRPr="00E154CB" w:rsidRDefault="00226850">
      <w:pPr>
        <w:pStyle w:val="FootnoteText"/>
        <w:rPr>
          <w:rFonts w:ascii="Times New Roman" w:hAnsi="Times New Roman" w:cs="Times New Roman"/>
          <w:sz w:val="16"/>
          <w:szCs w:val="16"/>
        </w:rPr>
      </w:pPr>
      <w:r w:rsidRPr="00E154CB">
        <w:rPr>
          <w:rStyle w:val="FootnoteReference"/>
          <w:rFonts w:ascii="Times New Roman" w:hAnsi="Times New Roman" w:cs="Times New Roman"/>
          <w:sz w:val="16"/>
          <w:szCs w:val="16"/>
        </w:rPr>
        <w:footnoteRef/>
      </w:r>
      <w:r w:rsidRPr="00E154CB">
        <w:rPr>
          <w:rFonts w:ascii="Times New Roman" w:hAnsi="Times New Roman" w:cs="Times New Roman"/>
          <w:sz w:val="16"/>
          <w:szCs w:val="16"/>
        </w:rPr>
        <w:t xml:space="preserve"> </w:t>
      </w:r>
      <w:proofErr w:type="spellStart"/>
      <w:r w:rsidRPr="00E154CB">
        <w:rPr>
          <w:rFonts w:ascii="Times New Roman" w:hAnsi="Times New Roman" w:cs="Times New Roman"/>
          <w:i/>
          <w:sz w:val="16"/>
          <w:szCs w:val="16"/>
        </w:rPr>
        <w:t>Eesti</w:t>
      </w:r>
      <w:proofErr w:type="spellEnd"/>
      <w:r w:rsidRPr="00E154CB">
        <w:rPr>
          <w:rFonts w:ascii="Times New Roman" w:hAnsi="Times New Roman" w:cs="Times New Roman"/>
          <w:i/>
          <w:sz w:val="16"/>
          <w:szCs w:val="16"/>
        </w:rPr>
        <w:t xml:space="preserve"> </w:t>
      </w:r>
      <w:proofErr w:type="spellStart"/>
      <w:r w:rsidRPr="00E154CB">
        <w:rPr>
          <w:rFonts w:ascii="Times New Roman" w:hAnsi="Times New Roman" w:cs="Times New Roman"/>
          <w:i/>
          <w:sz w:val="16"/>
          <w:szCs w:val="16"/>
        </w:rPr>
        <w:t>Kaubandus-Tööstuskoda</w:t>
      </w:r>
      <w:proofErr w:type="spellEnd"/>
      <w:r w:rsidRPr="00E154CB">
        <w:rPr>
          <w:rFonts w:ascii="Times New Roman" w:hAnsi="Times New Roman" w:cs="Times New Roman"/>
          <w:sz w:val="16"/>
          <w:szCs w:val="16"/>
        </w:rPr>
        <w:t>, tīmekļa vietne ir pieejama šeit: www.koda.ee</w:t>
      </w:r>
    </w:p>
  </w:footnote>
  <w:footnote w:id="5">
    <w:p w14:paraId="4664D324" w14:textId="77777777" w:rsidR="00226850" w:rsidRPr="00E154CB" w:rsidRDefault="00226850">
      <w:pPr>
        <w:pStyle w:val="FootnoteText"/>
        <w:rPr>
          <w:rFonts w:ascii="Times New Roman" w:hAnsi="Times New Roman" w:cs="Times New Roman"/>
          <w:sz w:val="16"/>
          <w:szCs w:val="16"/>
        </w:rPr>
      </w:pPr>
      <w:r w:rsidRPr="00E154CB">
        <w:rPr>
          <w:rStyle w:val="FootnoteReference"/>
          <w:rFonts w:ascii="Times New Roman" w:hAnsi="Times New Roman" w:cs="Times New Roman"/>
          <w:sz w:val="16"/>
          <w:szCs w:val="16"/>
        </w:rPr>
        <w:footnoteRef/>
      </w:r>
      <w:r w:rsidRPr="00E154CB">
        <w:rPr>
          <w:rFonts w:ascii="Times New Roman" w:hAnsi="Times New Roman" w:cs="Times New Roman"/>
          <w:sz w:val="16"/>
          <w:szCs w:val="16"/>
        </w:rPr>
        <w:t xml:space="preserve"> </w:t>
      </w:r>
      <w:proofErr w:type="spellStart"/>
      <w:r w:rsidRPr="00E154CB">
        <w:rPr>
          <w:rFonts w:ascii="Times New Roman" w:hAnsi="Times New Roman" w:cs="Times New Roman"/>
          <w:i/>
          <w:sz w:val="16"/>
          <w:szCs w:val="16"/>
        </w:rPr>
        <w:t>TööandjateKeskliit</w:t>
      </w:r>
      <w:proofErr w:type="spellEnd"/>
      <w:r w:rsidRPr="00E154CB">
        <w:rPr>
          <w:rFonts w:ascii="Times New Roman" w:hAnsi="Times New Roman" w:cs="Times New Roman"/>
          <w:sz w:val="16"/>
          <w:szCs w:val="16"/>
        </w:rPr>
        <w:t>, tīmekļa vietne ir pieejama šeit: www.tooandjad.ee</w:t>
      </w:r>
    </w:p>
  </w:footnote>
  <w:footnote w:id="6">
    <w:p w14:paraId="2504DAC2" w14:textId="77777777" w:rsidR="00226850" w:rsidRPr="000734EC" w:rsidRDefault="00226850">
      <w:pPr>
        <w:pStyle w:val="FootnoteText"/>
        <w:rPr>
          <w:rFonts w:ascii="Times New Roman" w:hAnsi="Times New Roman" w:cs="Times New Roman"/>
          <w:sz w:val="16"/>
          <w:szCs w:val="16"/>
        </w:rPr>
      </w:pPr>
      <w:r w:rsidRPr="000734EC">
        <w:rPr>
          <w:rStyle w:val="FootnoteReference"/>
          <w:rFonts w:ascii="Times New Roman" w:hAnsi="Times New Roman" w:cs="Times New Roman"/>
          <w:sz w:val="16"/>
          <w:szCs w:val="16"/>
        </w:rPr>
        <w:footnoteRef/>
      </w:r>
      <w:r w:rsidRPr="000734EC">
        <w:rPr>
          <w:rFonts w:ascii="Times New Roman" w:hAnsi="Times New Roman" w:cs="Times New Roman"/>
          <w:sz w:val="16"/>
          <w:szCs w:val="16"/>
        </w:rPr>
        <w:t xml:space="preserve"> </w:t>
      </w:r>
      <w:proofErr w:type="spellStart"/>
      <w:r w:rsidRPr="000734EC">
        <w:rPr>
          <w:rFonts w:ascii="Times New Roman" w:hAnsi="Times New Roman" w:cs="Times New Roman"/>
          <w:sz w:val="16"/>
          <w:szCs w:val="16"/>
        </w:rPr>
        <w:t>Lietuvos</w:t>
      </w:r>
      <w:proofErr w:type="spellEnd"/>
      <w:r w:rsidRPr="000734EC">
        <w:rPr>
          <w:rFonts w:ascii="Times New Roman" w:hAnsi="Times New Roman" w:cs="Times New Roman"/>
          <w:sz w:val="16"/>
          <w:szCs w:val="16"/>
        </w:rPr>
        <w:t xml:space="preserve"> </w:t>
      </w:r>
      <w:proofErr w:type="spellStart"/>
      <w:r w:rsidRPr="000734EC">
        <w:rPr>
          <w:rFonts w:ascii="Times New Roman" w:hAnsi="Times New Roman" w:cs="Times New Roman"/>
          <w:sz w:val="16"/>
          <w:szCs w:val="16"/>
        </w:rPr>
        <w:t>Standartizacijos</w:t>
      </w:r>
      <w:proofErr w:type="spellEnd"/>
      <w:r w:rsidRPr="000734EC">
        <w:rPr>
          <w:rFonts w:ascii="Times New Roman" w:hAnsi="Times New Roman" w:cs="Times New Roman"/>
          <w:sz w:val="16"/>
          <w:szCs w:val="16"/>
        </w:rPr>
        <w:t xml:space="preserve"> </w:t>
      </w:r>
      <w:proofErr w:type="spellStart"/>
      <w:r w:rsidRPr="000734EC">
        <w:rPr>
          <w:rFonts w:ascii="Times New Roman" w:hAnsi="Times New Roman" w:cs="Times New Roman"/>
          <w:sz w:val="16"/>
          <w:szCs w:val="16"/>
        </w:rPr>
        <w:t>Departamentas</w:t>
      </w:r>
      <w:proofErr w:type="spellEnd"/>
      <w:r w:rsidRPr="000734EC">
        <w:rPr>
          <w:rFonts w:ascii="Times New Roman" w:hAnsi="Times New Roman" w:cs="Times New Roman"/>
          <w:sz w:val="16"/>
          <w:szCs w:val="16"/>
        </w:rPr>
        <w:t xml:space="preserve"> (LSD), tīmekļa vietne ir pieejama šeit: www.lsd.lt</w:t>
      </w:r>
    </w:p>
  </w:footnote>
  <w:footnote w:id="7">
    <w:p w14:paraId="46490451" w14:textId="77777777" w:rsidR="00226850" w:rsidRPr="008A60D0" w:rsidRDefault="00226850">
      <w:pPr>
        <w:pStyle w:val="FootnoteText"/>
        <w:rPr>
          <w:rFonts w:ascii="Times New Roman" w:hAnsi="Times New Roman" w:cs="Times New Roman"/>
          <w:sz w:val="16"/>
          <w:szCs w:val="16"/>
        </w:rPr>
      </w:pPr>
      <w:r w:rsidRPr="008A60D0">
        <w:rPr>
          <w:rStyle w:val="FootnoteReference"/>
          <w:rFonts w:ascii="Times New Roman" w:hAnsi="Times New Roman" w:cs="Times New Roman"/>
          <w:sz w:val="16"/>
          <w:szCs w:val="16"/>
        </w:rPr>
        <w:footnoteRef/>
      </w:r>
      <w:r w:rsidRPr="008A60D0">
        <w:rPr>
          <w:rFonts w:ascii="Times New Roman" w:hAnsi="Times New Roman" w:cs="Times New Roman"/>
          <w:sz w:val="16"/>
          <w:szCs w:val="16"/>
        </w:rPr>
        <w:t xml:space="preserve"> </w:t>
      </w:r>
      <w:proofErr w:type="spellStart"/>
      <w:r w:rsidRPr="008A60D0">
        <w:rPr>
          <w:rFonts w:ascii="Times New Roman" w:eastAsia="Arial Unicode MS" w:hAnsi="Times New Roman" w:cs="Times New Roman"/>
          <w:sz w:val="16"/>
          <w:szCs w:val="16"/>
        </w:rPr>
        <w:t>The</w:t>
      </w:r>
      <w:proofErr w:type="spellEnd"/>
      <w:r w:rsidRPr="008A60D0">
        <w:rPr>
          <w:rFonts w:ascii="Times New Roman" w:eastAsia="Arial Unicode MS" w:hAnsi="Times New Roman" w:cs="Times New Roman"/>
          <w:sz w:val="16"/>
          <w:szCs w:val="16"/>
        </w:rPr>
        <w:t xml:space="preserve"> </w:t>
      </w:r>
      <w:proofErr w:type="spellStart"/>
      <w:r>
        <w:rPr>
          <w:rFonts w:ascii="Times New Roman" w:eastAsia="Arial Unicode MS" w:hAnsi="Times New Roman" w:cs="Times New Roman"/>
          <w:sz w:val="16"/>
          <w:szCs w:val="16"/>
        </w:rPr>
        <w:t>Hague</w:t>
      </w:r>
      <w:proofErr w:type="spellEnd"/>
      <w:r>
        <w:rPr>
          <w:rFonts w:ascii="Times New Roman" w:eastAsia="Arial Unicode MS" w:hAnsi="Times New Roman" w:cs="Times New Roman"/>
          <w:sz w:val="16"/>
          <w:szCs w:val="16"/>
        </w:rPr>
        <w:t xml:space="preserve"> </w:t>
      </w:r>
      <w:proofErr w:type="spellStart"/>
      <w:r>
        <w:rPr>
          <w:rFonts w:ascii="Times New Roman" w:eastAsia="Arial Unicode MS" w:hAnsi="Times New Roman" w:cs="Times New Roman"/>
          <w:sz w:val="16"/>
          <w:szCs w:val="16"/>
        </w:rPr>
        <w:t>District</w:t>
      </w:r>
      <w:proofErr w:type="spellEnd"/>
      <w:r>
        <w:rPr>
          <w:rFonts w:ascii="Times New Roman" w:eastAsia="Arial Unicode MS" w:hAnsi="Times New Roman" w:cs="Times New Roman"/>
          <w:sz w:val="16"/>
          <w:szCs w:val="16"/>
        </w:rPr>
        <w:t xml:space="preserve"> </w:t>
      </w:r>
      <w:proofErr w:type="spellStart"/>
      <w:r>
        <w:rPr>
          <w:rFonts w:ascii="Times New Roman" w:eastAsia="Arial Unicode MS" w:hAnsi="Times New Roman" w:cs="Times New Roman"/>
          <w:sz w:val="16"/>
          <w:szCs w:val="16"/>
        </w:rPr>
        <w:t>Court</w:t>
      </w:r>
      <w:proofErr w:type="spellEnd"/>
      <w:r>
        <w:rPr>
          <w:rFonts w:ascii="Times New Roman" w:eastAsia="Arial Unicode MS" w:hAnsi="Times New Roman" w:cs="Times New Roman"/>
          <w:sz w:val="16"/>
          <w:szCs w:val="16"/>
        </w:rPr>
        <w:t xml:space="preserve">, 31 </w:t>
      </w:r>
      <w:proofErr w:type="spellStart"/>
      <w:r>
        <w:rPr>
          <w:rFonts w:ascii="Times New Roman" w:eastAsia="Arial Unicode MS" w:hAnsi="Times New Roman" w:cs="Times New Roman"/>
          <w:sz w:val="16"/>
          <w:szCs w:val="16"/>
        </w:rPr>
        <w:t>December</w:t>
      </w:r>
      <w:proofErr w:type="spellEnd"/>
      <w:r>
        <w:rPr>
          <w:rFonts w:ascii="Times New Roman" w:eastAsia="Arial Unicode MS" w:hAnsi="Times New Roman" w:cs="Times New Roman"/>
          <w:sz w:val="16"/>
          <w:szCs w:val="16"/>
        </w:rPr>
        <w:t xml:space="preserve"> </w:t>
      </w:r>
      <w:r w:rsidRPr="008A60D0">
        <w:rPr>
          <w:rFonts w:ascii="Times New Roman" w:eastAsia="Arial Unicode MS" w:hAnsi="Times New Roman" w:cs="Times New Roman"/>
          <w:sz w:val="16"/>
          <w:szCs w:val="16"/>
        </w:rPr>
        <w:t>2008, LJN:BG8465</w:t>
      </w:r>
    </w:p>
  </w:footnote>
  <w:footnote w:id="8">
    <w:p w14:paraId="7A3767F8" w14:textId="77777777" w:rsidR="00226850" w:rsidRPr="008A60D0" w:rsidRDefault="00226850">
      <w:pPr>
        <w:pStyle w:val="FootnoteText"/>
        <w:rPr>
          <w:rFonts w:ascii="Times New Roman" w:hAnsi="Times New Roman" w:cs="Times New Roman"/>
          <w:sz w:val="16"/>
          <w:szCs w:val="16"/>
        </w:rPr>
      </w:pPr>
      <w:r w:rsidRPr="008A60D0">
        <w:rPr>
          <w:rStyle w:val="FootnoteReference"/>
          <w:rFonts w:ascii="Times New Roman" w:hAnsi="Times New Roman" w:cs="Times New Roman"/>
          <w:sz w:val="16"/>
          <w:szCs w:val="16"/>
        </w:rPr>
        <w:footnoteRef/>
      </w:r>
      <w:r w:rsidRPr="008A60D0">
        <w:rPr>
          <w:rFonts w:ascii="Times New Roman" w:hAnsi="Times New Roman" w:cs="Times New Roman"/>
          <w:sz w:val="16"/>
          <w:szCs w:val="16"/>
        </w:rPr>
        <w:t xml:space="preserve"> </w:t>
      </w:r>
      <w:proofErr w:type="spellStart"/>
      <w:r w:rsidRPr="008A60D0">
        <w:rPr>
          <w:rFonts w:ascii="Times New Roman" w:hAnsi="Times New Roman" w:cs="Times New Roman"/>
          <w:sz w:val="16"/>
          <w:szCs w:val="16"/>
        </w:rPr>
        <w:t>The</w:t>
      </w:r>
      <w:proofErr w:type="spellEnd"/>
      <w:r w:rsidRPr="008A60D0">
        <w:rPr>
          <w:rFonts w:ascii="Times New Roman" w:hAnsi="Times New Roman" w:cs="Times New Roman"/>
          <w:sz w:val="16"/>
          <w:szCs w:val="16"/>
        </w:rPr>
        <w:t xml:space="preserve"> </w:t>
      </w:r>
      <w:proofErr w:type="spellStart"/>
      <w:r w:rsidRPr="008A60D0">
        <w:rPr>
          <w:rFonts w:ascii="Times New Roman" w:hAnsi="Times New Roman" w:cs="Times New Roman"/>
          <w:sz w:val="16"/>
          <w:szCs w:val="16"/>
        </w:rPr>
        <w:t>Hague</w:t>
      </w:r>
      <w:proofErr w:type="spellEnd"/>
      <w:r w:rsidRPr="008A60D0">
        <w:rPr>
          <w:rFonts w:ascii="Times New Roman" w:hAnsi="Times New Roman" w:cs="Times New Roman"/>
          <w:sz w:val="16"/>
          <w:szCs w:val="16"/>
        </w:rPr>
        <w:t xml:space="preserve"> </w:t>
      </w:r>
      <w:proofErr w:type="spellStart"/>
      <w:r w:rsidRPr="008A60D0">
        <w:rPr>
          <w:rFonts w:ascii="Times New Roman" w:hAnsi="Times New Roman" w:cs="Times New Roman"/>
          <w:sz w:val="16"/>
          <w:szCs w:val="16"/>
        </w:rPr>
        <w:t>Court</w:t>
      </w:r>
      <w:proofErr w:type="spellEnd"/>
      <w:r w:rsidRPr="008A60D0">
        <w:rPr>
          <w:rFonts w:ascii="Times New Roman" w:hAnsi="Times New Roman" w:cs="Times New Roman"/>
          <w:sz w:val="16"/>
          <w:szCs w:val="16"/>
        </w:rPr>
        <w:t xml:space="preserve"> </w:t>
      </w:r>
      <w:proofErr w:type="spellStart"/>
      <w:r w:rsidRPr="008A60D0">
        <w:rPr>
          <w:rFonts w:ascii="Times New Roman" w:hAnsi="Times New Roman" w:cs="Times New Roman"/>
          <w:sz w:val="16"/>
          <w:szCs w:val="16"/>
        </w:rPr>
        <w:t>of</w:t>
      </w:r>
      <w:proofErr w:type="spellEnd"/>
      <w:r w:rsidRPr="008A60D0">
        <w:rPr>
          <w:rFonts w:ascii="Times New Roman" w:hAnsi="Times New Roman" w:cs="Times New Roman"/>
          <w:sz w:val="16"/>
          <w:szCs w:val="16"/>
        </w:rPr>
        <w:t xml:space="preserve"> </w:t>
      </w:r>
      <w:proofErr w:type="spellStart"/>
      <w:r w:rsidRPr="008A60D0">
        <w:rPr>
          <w:rFonts w:ascii="Times New Roman" w:hAnsi="Times New Roman" w:cs="Times New Roman"/>
          <w:sz w:val="16"/>
          <w:szCs w:val="16"/>
        </w:rPr>
        <w:t>Appeal</w:t>
      </w:r>
      <w:proofErr w:type="spellEnd"/>
      <w:r w:rsidRPr="008A60D0">
        <w:rPr>
          <w:rFonts w:ascii="Times New Roman" w:hAnsi="Times New Roman" w:cs="Times New Roman"/>
          <w:sz w:val="16"/>
          <w:szCs w:val="16"/>
        </w:rPr>
        <w:t xml:space="preserve">, </w:t>
      </w:r>
      <w:r>
        <w:rPr>
          <w:rFonts w:ascii="Times New Roman" w:hAnsi="Times New Roman" w:cs="Times New Roman"/>
          <w:sz w:val="16"/>
          <w:szCs w:val="16"/>
        </w:rPr>
        <w:t xml:space="preserve">16 </w:t>
      </w:r>
      <w:proofErr w:type="spellStart"/>
      <w:r>
        <w:rPr>
          <w:rFonts w:ascii="Times New Roman" w:hAnsi="Times New Roman" w:cs="Times New Roman"/>
          <w:sz w:val="16"/>
          <w:szCs w:val="16"/>
        </w:rPr>
        <w:t>November</w:t>
      </w:r>
      <w:proofErr w:type="spellEnd"/>
      <w:r>
        <w:rPr>
          <w:rFonts w:ascii="Times New Roman" w:hAnsi="Times New Roman" w:cs="Times New Roman"/>
          <w:sz w:val="16"/>
          <w:szCs w:val="16"/>
        </w:rPr>
        <w:t xml:space="preserve"> 2010, LJN:BO4175</w:t>
      </w:r>
    </w:p>
  </w:footnote>
  <w:footnote w:id="9">
    <w:p w14:paraId="3A9C9F69" w14:textId="77777777" w:rsidR="00226850" w:rsidRPr="008A60D0" w:rsidRDefault="00226850">
      <w:pPr>
        <w:pStyle w:val="FootnoteText"/>
        <w:rPr>
          <w:rFonts w:ascii="Times New Roman" w:hAnsi="Times New Roman" w:cs="Times New Roman"/>
          <w:sz w:val="16"/>
          <w:szCs w:val="16"/>
        </w:rPr>
      </w:pPr>
      <w:r w:rsidRPr="008A60D0">
        <w:rPr>
          <w:rStyle w:val="FootnoteReference"/>
          <w:rFonts w:ascii="Times New Roman" w:hAnsi="Times New Roman" w:cs="Times New Roman"/>
          <w:sz w:val="16"/>
          <w:szCs w:val="16"/>
        </w:rPr>
        <w:footnoteRef/>
      </w:r>
      <w:r w:rsidRPr="008A60D0">
        <w:rPr>
          <w:rFonts w:ascii="Times New Roman" w:hAnsi="Times New Roman" w:cs="Times New Roman"/>
          <w:sz w:val="16"/>
          <w:szCs w:val="16"/>
        </w:rPr>
        <w:t xml:space="preserve"> </w:t>
      </w:r>
      <w:r w:rsidRPr="008A60D0">
        <w:rPr>
          <w:rFonts w:ascii="Times New Roman" w:eastAsia="Arial Unicode MS" w:hAnsi="Times New Roman" w:cs="Times New Roman"/>
          <w:sz w:val="16"/>
          <w:szCs w:val="16"/>
          <w:lang w:val="nl-NL"/>
        </w:rPr>
        <w:t>Dutch Supreme Court( Hogee Raad)</w:t>
      </w:r>
      <w:r>
        <w:rPr>
          <w:rFonts w:ascii="Times New Roman" w:eastAsia="Arial Unicode MS" w:hAnsi="Times New Roman" w:cs="Times New Roman"/>
          <w:sz w:val="16"/>
          <w:szCs w:val="16"/>
        </w:rPr>
        <w:t>,</w:t>
      </w:r>
      <w:r w:rsidRPr="008A60D0">
        <w:rPr>
          <w:rFonts w:ascii="Times New Roman" w:eastAsia="Arial Unicode MS" w:hAnsi="Times New Roman" w:cs="Times New Roman"/>
          <w:sz w:val="16"/>
          <w:szCs w:val="16"/>
          <w:lang w:val="fr-FR"/>
        </w:rPr>
        <w:t xml:space="preserve"> 22 </w:t>
      </w:r>
      <w:proofErr w:type="spellStart"/>
      <w:r w:rsidRPr="008A60D0">
        <w:rPr>
          <w:rFonts w:ascii="Times New Roman" w:eastAsia="Arial Unicode MS" w:hAnsi="Times New Roman" w:cs="Times New Roman"/>
          <w:sz w:val="16"/>
          <w:szCs w:val="16"/>
          <w:lang w:val="fr-FR"/>
        </w:rPr>
        <w:t>June</w:t>
      </w:r>
      <w:proofErr w:type="spellEnd"/>
      <w:r w:rsidRPr="008A60D0">
        <w:rPr>
          <w:rFonts w:ascii="Times New Roman" w:eastAsia="Arial Unicode MS" w:hAnsi="Times New Roman" w:cs="Times New Roman"/>
          <w:sz w:val="16"/>
          <w:szCs w:val="16"/>
          <w:lang w:val="fr-FR"/>
        </w:rPr>
        <w:t xml:space="preserve"> 2012, LJN:BW0393</w:t>
      </w:r>
    </w:p>
  </w:footnote>
  <w:footnote w:id="10">
    <w:p w14:paraId="259C64F9" w14:textId="77777777" w:rsidR="00226850" w:rsidRPr="008D6430" w:rsidRDefault="00226850">
      <w:pPr>
        <w:pStyle w:val="FootnoteText"/>
        <w:rPr>
          <w:rFonts w:ascii="Times New Roman" w:hAnsi="Times New Roman" w:cs="Times New Roman"/>
          <w:sz w:val="16"/>
          <w:szCs w:val="16"/>
        </w:rPr>
      </w:pPr>
      <w:r w:rsidRPr="008D6430">
        <w:rPr>
          <w:rStyle w:val="FootnoteReference"/>
          <w:rFonts w:ascii="Times New Roman" w:hAnsi="Times New Roman" w:cs="Times New Roman"/>
          <w:sz w:val="16"/>
          <w:szCs w:val="16"/>
        </w:rPr>
        <w:footnoteRef/>
      </w:r>
      <w:r w:rsidRPr="008D6430">
        <w:rPr>
          <w:rFonts w:ascii="Times New Roman" w:hAnsi="Times New Roman" w:cs="Times New Roman"/>
          <w:sz w:val="16"/>
          <w:szCs w:val="16"/>
        </w:rPr>
        <w:t xml:space="preserve"> </w:t>
      </w:r>
      <w:proofErr w:type="spellStart"/>
      <w:r w:rsidRPr="008D6430">
        <w:rPr>
          <w:rFonts w:ascii="Times New Roman" w:eastAsia="Arial Unicode MS" w:hAnsi="Times New Roman" w:cs="Times New Roman"/>
          <w:sz w:val="16"/>
          <w:szCs w:val="16"/>
        </w:rPr>
        <w:t>The</w:t>
      </w:r>
      <w:proofErr w:type="spellEnd"/>
      <w:r w:rsidRPr="008D6430">
        <w:rPr>
          <w:rFonts w:ascii="Times New Roman" w:eastAsia="Arial Unicode MS" w:hAnsi="Times New Roman" w:cs="Times New Roman"/>
          <w:sz w:val="16"/>
          <w:szCs w:val="16"/>
        </w:rPr>
        <w:t xml:space="preserve"> </w:t>
      </w:r>
      <w:proofErr w:type="spellStart"/>
      <w:r w:rsidRPr="008D6430">
        <w:rPr>
          <w:rFonts w:ascii="Times New Roman" w:eastAsia="Arial Unicode MS" w:hAnsi="Times New Roman" w:cs="Times New Roman"/>
          <w:sz w:val="16"/>
          <w:szCs w:val="16"/>
        </w:rPr>
        <w:t>Federal</w:t>
      </w:r>
      <w:proofErr w:type="spellEnd"/>
      <w:r w:rsidRPr="008D6430">
        <w:rPr>
          <w:rFonts w:ascii="Times New Roman" w:eastAsia="Arial Unicode MS" w:hAnsi="Times New Roman" w:cs="Times New Roman"/>
          <w:sz w:val="16"/>
          <w:szCs w:val="16"/>
        </w:rPr>
        <w:t xml:space="preserve"> </w:t>
      </w:r>
      <w:proofErr w:type="spellStart"/>
      <w:r w:rsidRPr="008D6430">
        <w:rPr>
          <w:rFonts w:ascii="Times New Roman" w:eastAsia="Arial Unicode MS" w:hAnsi="Times New Roman" w:cs="Times New Roman"/>
          <w:sz w:val="16"/>
          <w:szCs w:val="16"/>
        </w:rPr>
        <w:t>Administrative</w:t>
      </w:r>
      <w:proofErr w:type="spellEnd"/>
      <w:r w:rsidRPr="008D6430">
        <w:rPr>
          <w:rFonts w:ascii="Times New Roman" w:eastAsia="Arial Unicode MS" w:hAnsi="Times New Roman" w:cs="Times New Roman"/>
          <w:sz w:val="16"/>
          <w:szCs w:val="16"/>
        </w:rPr>
        <w:t xml:space="preserve"> </w:t>
      </w:r>
      <w:proofErr w:type="spellStart"/>
      <w:r w:rsidRPr="008D6430">
        <w:rPr>
          <w:rFonts w:ascii="Times New Roman" w:eastAsia="Arial Unicode MS" w:hAnsi="Times New Roman" w:cs="Times New Roman"/>
          <w:sz w:val="16"/>
          <w:szCs w:val="16"/>
        </w:rPr>
        <w:t>Court</w:t>
      </w:r>
      <w:proofErr w:type="spellEnd"/>
      <w:r w:rsidRPr="008D6430">
        <w:rPr>
          <w:rFonts w:ascii="Times New Roman" w:eastAsia="Arial Unicode MS" w:hAnsi="Times New Roman" w:cs="Times New Roman"/>
          <w:sz w:val="16"/>
          <w:szCs w:val="16"/>
        </w:rPr>
        <w:t xml:space="preserve"> </w:t>
      </w:r>
      <w:proofErr w:type="spellStart"/>
      <w:r w:rsidRPr="008D6430">
        <w:rPr>
          <w:rFonts w:ascii="Times New Roman" w:eastAsia="Arial Unicode MS" w:hAnsi="Times New Roman" w:cs="Times New Roman"/>
          <w:sz w:val="16"/>
          <w:szCs w:val="16"/>
        </w:rPr>
        <w:t>decision</w:t>
      </w:r>
      <w:proofErr w:type="spellEnd"/>
      <w:r w:rsidRPr="008D6430">
        <w:rPr>
          <w:rFonts w:ascii="Times New Roman" w:eastAsia="Arial Unicode MS" w:hAnsi="Times New Roman" w:cs="Times New Roman"/>
          <w:sz w:val="16"/>
          <w:szCs w:val="16"/>
        </w:rPr>
        <w:t xml:space="preserve"> </w:t>
      </w:r>
      <w:proofErr w:type="spellStart"/>
      <w:r w:rsidRPr="008D6430">
        <w:rPr>
          <w:rFonts w:ascii="Times New Roman" w:eastAsia="Arial Unicode MS" w:hAnsi="Times New Roman" w:cs="Times New Roman"/>
          <w:sz w:val="16"/>
          <w:szCs w:val="16"/>
        </w:rPr>
        <w:t>of</w:t>
      </w:r>
      <w:proofErr w:type="spellEnd"/>
      <w:r w:rsidRPr="008D6430">
        <w:rPr>
          <w:rFonts w:ascii="Times New Roman" w:eastAsia="Arial Unicode MS" w:hAnsi="Times New Roman" w:cs="Times New Roman"/>
          <w:sz w:val="16"/>
          <w:szCs w:val="16"/>
        </w:rPr>
        <w:t xml:space="preserve"> 27 </w:t>
      </w:r>
      <w:proofErr w:type="spellStart"/>
      <w:r w:rsidRPr="008D6430">
        <w:rPr>
          <w:rFonts w:ascii="Times New Roman" w:eastAsia="Arial Unicode MS" w:hAnsi="Times New Roman" w:cs="Times New Roman"/>
          <w:sz w:val="16"/>
          <w:szCs w:val="16"/>
        </w:rPr>
        <w:t>June</w:t>
      </w:r>
      <w:proofErr w:type="spellEnd"/>
      <w:r w:rsidRPr="008D6430">
        <w:rPr>
          <w:rFonts w:ascii="Times New Roman" w:eastAsia="Arial Unicode MS" w:hAnsi="Times New Roman" w:cs="Times New Roman"/>
          <w:sz w:val="16"/>
          <w:szCs w:val="16"/>
        </w:rPr>
        <w:t xml:space="preserve"> 2013, </w:t>
      </w:r>
      <w:proofErr w:type="spellStart"/>
      <w:r w:rsidRPr="008D6430">
        <w:rPr>
          <w:rFonts w:ascii="Times New Roman" w:eastAsia="Arial Unicode MS" w:hAnsi="Times New Roman" w:cs="Times New Roman"/>
          <w:sz w:val="16"/>
          <w:szCs w:val="16"/>
        </w:rPr>
        <w:t>Case</w:t>
      </w:r>
      <w:proofErr w:type="spellEnd"/>
      <w:r w:rsidRPr="008D6430">
        <w:rPr>
          <w:rFonts w:ascii="Times New Roman" w:eastAsia="Arial Unicode MS" w:hAnsi="Times New Roman" w:cs="Times New Roman"/>
          <w:sz w:val="16"/>
          <w:szCs w:val="16"/>
        </w:rPr>
        <w:t xml:space="preserve"> No. 3C 21/12</w:t>
      </w:r>
    </w:p>
  </w:footnote>
  <w:footnote w:id="11">
    <w:p w14:paraId="7BDA7886" w14:textId="77777777" w:rsidR="00226850" w:rsidRPr="00BB7611" w:rsidRDefault="00226850">
      <w:pPr>
        <w:pStyle w:val="FootnoteText"/>
        <w:rPr>
          <w:rFonts w:ascii="Times New Roman" w:hAnsi="Times New Roman" w:cs="Times New Roman"/>
          <w:sz w:val="16"/>
          <w:szCs w:val="16"/>
        </w:rPr>
      </w:pPr>
      <w:r w:rsidRPr="00BB7611">
        <w:rPr>
          <w:rStyle w:val="FootnoteReference"/>
          <w:rFonts w:ascii="Times New Roman" w:hAnsi="Times New Roman" w:cs="Times New Roman"/>
          <w:sz w:val="16"/>
          <w:szCs w:val="16"/>
        </w:rPr>
        <w:footnoteRef/>
      </w:r>
      <w:r w:rsidRPr="00BB7611">
        <w:rPr>
          <w:rFonts w:ascii="Times New Roman" w:hAnsi="Times New Roman" w:cs="Times New Roman"/>
          <w:sz w:val="16"/>
          <w:szCs w:val="16"/>
        </w:rPr>
        <w:t xml:space="preserve"> CEN-CENELEC vadlīnijas Nr.10 (2015</w:t>
      </w:r>
      <w:r>
        <w:rPr>
          <w:rFonts w:ascii="Times New Roman" w:hAnsi="Times New Roman" w:cs="Times New Roman"/>
          <w:sz w:val="16"/>
          <w:szCs w:val="16"/>
        </w:rPr>
        <w:t>.gada februāra izdevums Nr.3</w:t>
      </w:r>
      <w:r w:rsidRPr="00BB7611">
        <w:rPr>
          <w:rFonts w:ascii="Times New Roman" w:hAnsi="Times New Roman" w:cs="Times New Roman"/>
          <w:sz w:val="16"/>
          <w:szCs w:val="16"/>
        </w:rPr>
        <w:t>) par kārtību, kādā izplatāmas vai realizējamas CEN-CENELEC publikācijas ir atrodamas šeit:</w:t>
      </w:r>
      <w:r w:rsidRPr="001E5E98">
        <w:t xml:space="preserve"> </w:t>
      </w:r>
      <w:r w:rsidRPr="001E5E98">
        <w:rPr>
          <w:rFonts w:ascii="Times New Roman" w:hAnsi="Times New Roman" w:cs="Times New Roman"/>
          <w:sz w:val="16"/>
          <w:szCs w:val="16"/>
        </w:rPr>
        <w:t>ftp://ftp.cencenelec.eu/EN/EuropeanStandardization/Guides/10_CENCLCGuide10.pdf</w:t>
      </w:r>
    </w:p>
  </w:footnote>
  <w:footnote w:id="12">
    <w:p w14:paraId="074EA53E" w14:textId="77777777" w:rsidR="00226850" w:rsidRPr="00F47A60" w:rsidRDefault="00226850">
      <w:pPr>
        <w:pStyle w:val="FootnoteText"/>
        <w:rPr>
          <w:rFonts w:ascii="Times New Roman" w:hAnsi="Times New Roman" w:cs="Times New Roman"/>
          <w:sz w:val="16"/>
          <w:szCs w:val="16"/>
        </w:rPr>
      </w:pPr>
      <w:r w:rsidRPr="00F47A60">
        <w:rPr>
          <w:rStyle w:val="FootnoteReference"/>
          <w:rFonts w:ascii="Times New Roman" w:hAnsi="Times New Roman" w:cs="Times New Roman"/>
          <w:sz w:val="16"/>
          <w:szCs w:val="16"/>
        </w:rPr>
        <w:footnoteRef/>
      </w:r>
      <w:r w:rsidRPr="00F47A60">
        <w:rPr>
          <w:rFonts w:ascii="Times New Roman" w:hAnsi="Times New Roman" w:cs="Times New Roman"/>
          <w:sz w:val="16"/>
          <w:szCs w:val="16"/>
        </w:rPr>
        <w:t xml:space="preserve"> </w:t>
      </w:r>
      <w:r>
        <w:rPr>
          <w:rFonts w:ascii="Times New Roman" w:hAnsi="Times New Roman" w:cs="Times New Roman"/>
          <w:sz w:val="16"/>
          <w:szCs w:val="16"/>
        </w:rPr>
        <w:t xml:space="preserve">Standartizācijas politikas darba grupas ziņojums </w:t>
      </w:r>
      <w:r>
        <w:rPr>
          <w:rFonts w:ascii="Times New Roman" w:eastAsia="Arial Unicode MS" w:hAnsi="Times New Roman" w:cs="Times New Roman"/>
          <w:sz w:val="16"/>
          <w:szCs w:val="16"/>
        </w:rPr>
        <w:t xml:space="preserve">ECE/TRADE/C/WP.6/2013/5 ir atrodams šeit: </w:t>
      </w:r>
      <w:r w:rsidRPr="00F47A60">
        <w:rPr>
          <w:rFonts w:ascii="Times New Roman" w:eastAsia="Arial Unicode MS" w:hAnsi="Times New Roman" w:cs="Times New Roman"/>
          <w:sz w:val="16"/>
          <w:szCs w:val="16"/>
        </w:rPr>
        <w:t>http://www.unece.org/index.php?id=32879#/</w:t>
      </w:r>
    </w:p>
  </w:footnote>
  <w:footnote w:id="13">
    <w:p w14:paraId="6F25F909" w14:textId="77777777" w:rsidR="00226850" w:rsidRPr="00043B71" w:rsidRDefault="00226850">
      <w:pPr>
        <w:pStyle w:val="FootnoteText"/>
        <w:rPr>
          <w:rFonts w:ascii="Times New Roman" w:hAnsi="Times New Roman" w:cs="Times New Roman"/>
          <w:sz w:val="16"/>
          <w:szCs w:val="16"/>
        </w:rPr>
      </w:pPr>
      <w:r w:rsidRPr="00043B71">
        <w:rPr>
          <w:rStyle w:val="FootnoteReference"/>
          <w:rFonts w:ascii="Times New Roman" w:hAnsi="Times New Roman" w:cs="Times New Roman"/>
          <w:sz w:val="16"/>
          <w:szCs w:val="16"/>
        </w:rPr>
        <w:footnoteRef/>
      </w:r>
      <w:r w:rsidRPr="00043B71">
        <w:rPr>
          <w:rFonts w:ascii="Times New Roman" w:hAnsi="Times New Roman" w:cs="Times New Roman"/>
          <w:sz w:val="16"/>
          <w:szCs w:val="16"/>
        </w:rPr>
        <w:t xml:space="preserve"> American National </w:t>
      </w:r>
      <w:proofErr w:type="spellStart"/>
      <w:r w:rsidRPr="00043B71">
        <w:rPr>
          <w:rFonts w:ascii="Times New Roman" w:hAnsi="Times New Roman" w:cs="Times New Roman"/>
          <w:sz w:val="16"/>
          <w:szCs w:val="16"/>
        </w:rPr>
        <w:t>Standards</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Institute</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Why</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Voluntary</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Consensus</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Standards</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Incorporated</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by</w:t>
      </w:r>
      <w:proofErr w:type="spellEnd"/>
      <w:r w:rsidRPr="00043B71">
        <w:rPr>
          <w:rFonts w:ascii="Times New Roman" w:hAnsi="Times New Roman" w:cs="Times New Roman"/>
          <w:sz w:val="16"/>
          <w:szCs w:val="16"/>
        </w:rPr>
        <w:t xml:space="preserve"> Reference </w:t>
      </w:r>
      <w:proofErr w:type="spellStart"/>
      <w:r w:rsidRPr="00043B71">
        <w:rPr>
          <w:rFonts w:ascii="Times New Roman" w:hAnsi="Times New Roman" w:cs="Times New Roman"/>
          <w:sz w:val="16"/>
          <w:szCs w:val="16"/>
        </w:rPr>
        <w:t>into</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Federal</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Government</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Regulations</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Are</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Copyright</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Protected</w:t>
      </w:r>
      <w:proofErr w:type="spellEnd"/>
      <w:r w:rsidRPr="00043B71">
        <w:rPr>
          <w:rFonts w:ascii="Times New Roman" w:hAnsi="Times New Roman" w:cs="Times New Roman"/>
          <w:sz w:val="16"/>
          <w:szCs w:val="16"/>
        </w:rPr>
        <w:t>, dokuments atrodams šeit: https://www.iccsafe.org/gr/Documents/AdoptionToolkit/CopyrightStandardsRegulation.pdf</w:t>
      </w:r>
    </w:p>
  </w:footnote>
  <w:footnote w:id="14">
    <w:p w14:paraId="1ECFD358" w14:textId="77777777" w:rsidR="00226850" w:rsidRPr="00043B71" w:rsidRDefault="00226850">
      <w:pPr>
        <w:pStyle w:val="FootnoteText"/>
        <w:rPr>
          <w:rFonts w:ascii="Times New Roman" w:hAnsi="Times New Roman" w:cs="Times New Roman"/>
          <w:sz w:val="16"/>
          <w:szCs w:val="16"/>
        </w:rPr>
      </w:pPr>
      <w:r w:rsidRPr="00043B71">
        <w:rPr>
          <w:rStyle w:val="FootnoteReference"/>
          <w:rFonts w:ascii="Times New Roman" w:hAnsi="Times New Roman" w:cs="Times New Roman"/>
          <w:sz w:val="16"/>
          <w:szCs w:val="16"/>
        </w:rPr>
        <w:footnoteRef/>
      </w:r>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Standards</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New</w:t>
      </w:r>
      <w:proofErr w:type="spellEnd"/>
      <w:r w:rsidRPr="00043B71">
        <w:rPr>
          <w:rFonts w:ascii="Times New Roman" w:hAnsi="Times New Roman" w:cs="Times New Roman"/>
          <w:sz w:val="16"/>
          <w:szCs w:val="16"/>
        </w:rPr>
        <w:t xml:space="preserve"> Zealand. </w:t>
      </w:r>
      <w:proofErr w:type="spellStart"/>
      <w:r w:rsidRPr="00043B71">
        <w:rPr>
          <w:rFonts w:ascii="Times New Roman" w:hAnsi="Times New Roman" w:cs="Times New Roman"/>
          <w:sz w:val="16"/>
          <w:szCs w:val="16"/>
        </w:rPr>
        <w:t>How</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are</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standards</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used</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in</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policy</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and</w:t>
      </w:r>
      <w:proofErr w:type="spellEnd"/>
      <w:r w:rsidRPr="00043B71">
        <w:rPr>
          <w:rFonts w:ascii="Times New Roman" w:hAnsi="Times New Roman" w:cs="Times New Roman"/>
          <w:sz w:val="16"/>
          <w:szCs w:val="16"/>
        </w:rPr>
        <w:t xml:space="preserve"> </w:t>
      </w:r>
      <w:proofErr w:type="spellStart"/>
      <w:r w:rsidRPr="00043B71">
        <w:rPr>
          <w:rFonts w:ascii="Times New Roman" w:hAnsi="Times New Roman" w:cs="Times New Roman"/>
          <w:sz w:val="16"/>
          <w:szCs w:val="16"/>
        </w:rPr>
        <w:t>legislation</w:t>
      </w:r>
      <w:proofErr w:type="spellEnd"/>
      <w:r w:rsidRPr="00043B71">
        <w:rPr>
          <w:rFonts w:ascii="Times New Roman" w:hAnsi="Times New Roman" w:cs="Times New Roman"/>
          <w:sz w:val="16"/>
          <w:szCs w:val="16"/>
        </w:rPr>
        <w:t>, dokuments atrodams šeit: http://www.standards.co.nz/assets/News/Regulations-and-Standards/Policy-and-legislation.pdf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28858"/>
      <w:docPartObj>
        <w:docPartGallery w:val="Page Numbers (Top of Page)"/>
        <w:docPartUnique/>
      </w:docPartObj>
    </w:sdtPr>
    <w:sdtEndPr>
      <w:rPr>
        <w:rFonts w:ascii="Times New Roman" w:hAnsi="Times New Roman" w:cs="Times New Roman"/>
      </w:rPr>
    </w:sdtEndPr>
    <w:sdtContent>
      <w:p w14:paraId="2F0CC40C" w14:textId="77777777" w:rsidR="00226850" w:rsidRPr="0041149A" w:rsidRDefault="00226850">
        <w:pPr>
          <w:pStyle w:val="Header"/>
          <w:jc w:val="center"/>
          <w:rPr>
            <w:rFonts w:ascii="Times New Roman" w:hAnsi="Times New Roman" w:cs="Times New Roman"/>
          </w:rPr>
        </w:pPr>
        <w:r w:rsidRPr="0041149A">
          <w:rPr>
            <w:rFonts w:ascii="Times New Roman" w:hAnsi="Times New Roman" w:cs="Times New Roman"/>
          </w:rPr>
          <w:fldChar w:fldCharType="begin"/>
        </w:r>
        <w:r w:rsidRPr="0041149A">
          <w:rPr>
            <w:rFonts w:ascii="Times New Roman" w:hAnsi="Times New Roman" w:cs="Times New Roman"/>
          </w:rPr>
          <w:instrText>PAGE   \* MERGEFORMAT</w:instrText>
        </w:r>
        <w:r w:rsidRPr="0041149A">
          <w:rPr>
            <w:rFonts w:ascii="Times New Roman" w:hAnsi="Times New Roman" w:cs="Times New Roman"/>
          </w:rPr>
          <w:fldChar w:fldCharType="separate"/>
        </w:r>
        <w:r w:rsidR="009A1A1E">
          <w:rPr>
            <w:rFonts w:ascii="Times New Roman" w:hAnsi="Times New Roman" w:cs="Times New Roman"/>
            <w:noProof/>
          </w:rPr>
          <w:t>2</w:t>
        </w:r>
        <w:r w:rsidRPr="0041149A">
          <w:rPr>
            <w:rFonts w:ascii="Times New Roman" w:hAnsi="Times New Roman" w:cs="Times New Roman"/>
          </w:rPr>
          <w:fldChar w:fldCharType="end"/>
        </w:r>
      </w:p>
    </w:sdtContent>
  </w:sdt>
  <w:p w14:paraId="17C9DA47" w14:textId="77777777" w:rsidR="00226850" w:rsidRDefault="002268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AD4"/>
    <w:multiLevelType w:val="multilevel"/>
    <w:tmpl w:val="4FDE8C9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20" w:hanging="360"/>
      </w:pPr>
      <w:rPr>
        <w:rFonts w:hint="default"/>
      </w:rPr>
    </w:lvl>
    <w:lvl w:ilvl="2">
      <w:start w:val="1"/>
      <w:numFmt w:val="decimal"/>
      <w:pStyle w:val="Heading4"/>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E27D85"/>
    <w:multiLevelType w:val="hybridMultilevel"/>
    <w:tmpl w:val="3CD081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1C2F89"/>
    <w:multiLevelType w:val="hybridMultilevel"/>
    <w:tmpl w:val="C9B0DF96"/>
    <w:lvl w:ilvl="0" w:tplc="98BE18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B53DD"/>
    <w:multiLevelType w:val="hybridMultilevel"/>
    <w:tmpl w:val="F60478B0"/>
    <w:lvl w:ilvl="0" w:tplc="98BE1848">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0C12CB"/>
    <w:multiLevelType w:val="hybridMultilevel"/>
    <w:tmpl w:val="982A1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93F8D"/>
    <w:multiLevelType w:val="hybridMultilevel"/>
    <w:tmpl w:val="7514F252"/>
    <w:lvl w:ilvl="0" w:tplc="0B4832D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02950"/>
    <w:multiLevelType w:val="hybridMultilevel"/>
    <w:tmpl w:val="553A0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F2F0C"/>
    <w:multiLevelType w:val="hybridMultilevel"/>
    <w:tmpl w:val="13C8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A5B50"/>
    <w:multiLevelType w:val="hybridMultilevel"/>
    <w:tmpl w:val="FB58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F77AD"/>
    <w:multiLevelType w:val="hybridMultilevel"/>
    <w:tmpl w:val="FFEA73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8927D5"/>
    <w:multiLevelType w:val="hybridMultilevel"/>
    <w:tmpl w:val="BA7A7CFA"/>
    <w:lvl w:ilvl="0" w:tplc="98BE18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B1F29"/>
    <w:multiLevelType w:val="hybridMultilevel"/>
    <w:tmpl w:val="395C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074442"/>
    <w:multiLevelType w:val="hybridMultilevel"/>
    <w:tmpl w:val="D428AA36"/>
    <w:lvl w:ilvl="0" w:tplc="98BE18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A23F8"/>
    <w:multiLevelType w:val="hybridMultilevel"/>
    <w:tmpl w:val="107EF164"/>
    <w:lvl w:ilvl="0" w:tplc="98BE184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36403"/>
    <w:multiLevelType w:val="hybridMultilevel"/>
    <w:tmpl w:val="4404B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A1600"/>
    <w:multiLevelType w:val="hybridMultilevel"/>
    <w:tmpl w:val="792ACA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CF54C9"/>
    <w:multiLevelType w:val="hybridMultilevel"/>
    <w:tmpl w:val="FAC6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C1E48"/>
    <w:multiLevelType w:val="hybridMultilevel"/>
    <w:tmpl w:val="FB58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418CC"/>
    <w:multiLevelType w:val="hybridMultilevel"/>
    <w:tmpl w:val="A7144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27064"/>
    <w:multiLevelType w:val="hybridMultilevel"/>
    <w:tmpl w:val="078E55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584D46"/>
    <w:multiLevelType w:val="hybridMultilevel"/>
    <w:tmpl w:val="5FB2C39E"/>
    <w:lvl w:ilvl="0" w:tplc="98BE1848">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62336BA"/>
    <w:multiLevelType w:val="hybridMultilevel"/>
    <w:tmpl w:val="7938BFC2"/>
    <w:lvl w:ilvl="0" w:tplc="98BE18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913CD"/>
    <w:multiLevelType w:val="hybridMultilevel"/>
    <w:tmpl w:val="9BBE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941015"/>
    <w:multiLevelType w:val="hybridMultilevel"/>
    <w:tmpl w:val="763A2320"/>
    <w:lvl w:ilvl="0" w:tplc="98BE18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C92CCA"/>
    <w:multiLevelType w:val="hybridMultilevel"/>
    <w:tmpl w:val="D8AE0F58"/>
    <w:lvl w:ilvl="0" w:tplc="04090003">
      <w:start w:val="1"/>
      <w:numFmt w:val="bullet"/>
      <w:lvlText w:val="o"/>
      <w:lvlJc w:val="left"/>
      <w:pPr>
        <w:ind w:left="1133" w:hanging="360"/>
      </w:pPr>
      <w:rPr>
        <w:rFonts w:ascii="Courier New" w:hAnsi="Courier New" w:cs="Courier New"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5">
    <w:nsid w:val="6A3A70C9"/>
    <w:multiLevelType w:val="hybridMultilevel"/>
    <w:tmpl w:val="DA547CEC"/>
    <w:lvl w:ilvl="0" w:tplc="98BE184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35B3F60"/>
    <w:multiLevelType w:val="hybridMultilevel"/>
    <w:tmpl w:val="D67A8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2F6306"/>
    <w:multiLevelType w:val="hybridMultilevel"/>
    <w:tmpl w:val="42A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3138AD"/>
    <w:multiLevelType w:val="hybridMultilevel"/>
    <w:tmpl w:val="FF6EDAEA"/>
    <w:lvl w:ilvl="0" w:tplc="98BE18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A7588"/>
    <w:multiLevelType w:val="hybridMultilevel"/>
    <w:tmpl w:val="478AF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84448"/>
    <w:multiLevelType w:val="hybridMultilevel"/>
    <w:tmpl w:val="ED82424E"/>
    <w:lvl w:ilvl="0" w:tplc="29B6A2C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B92A90"/>
    <w:multiLevelType w:val="hybridMultilevel"/>
    <w:tmpl w:val="23BC6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C05981"/>
    <w:multiLevelType w:val="multilevel"/>
    <w:tmpl w:val="A998A9F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B262AAB"/>
    <w:multiLevelType w:val="hybridMultilevel"/>
    <w:tmpl w:val="1A187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13"/>
  </w:num>
  <w:num w:numId="4">
    <w:abstractNumId w:val="0"/>
  </w:num>
  <w:num w:numId="5">
    <w:abstractNumId w:val="19"/>
  </w:num>
  <w:num w:numId="6">
    <w:abstractNumId w:val="29"/>
  </w:num>
  <w:num w:numId="7">
    <w:abstractNumId w:val="14"/>
  </w:num>
  <w:num w:numId="8">
    <w:abstractNumId w:val="31"/>
  </w:num>
  <w:num w:numId="9">
    <w:abstractNumId w:val="26"/>
  </w:num>
  <w:num w:numId="10">
    <w:abstractNumId w:val="24"/>
  </w:num>
  <w:num w:numId="11">
    <w:abstractNumId w:val="9"/>
  </w:num>
  <w:num w:numId="12">
    <w:abstractNumId w:val="1"/>
  </w:num>
  <w:num w:numId="13">
    <w:abstractNumId w:val="23"/>
  </w:num>
  <w:num w:numId="14">
    <w:abstractNumId w:val="12"/>
  </w:num>
  <w:num w:numId="15">
    <w:abstractNumId w:val="33"/>
  </w:num>
  <w:num w:numId="16">
    <w:abstractNumId w:val="17"/>
  </w:num>
  <w:num w:numId="17">
    <w:abstractNumId w:val="22"/>
  </w:num>
  <w:num w:numId="18">
    <w:abstractNumId w:val="11"/>
  </w:num>
  <w:num w:numId="19">
    <w:abstractNumId w:val="20"/>
  </w:num>
  <w:num w:numId="20">
    <w:abstractNumId w:val="3"/>
  </w:num>
  <w:num w:numId="21">
    <w:abstractNumId w:val="7"/>
  </w:num>
  <w:num w:numId="22">
    <w:abstractNumId w:val="5"/>
  </w:num>
  <w:num w:numId="23">
    <w:abstractNumId w:val="15"/>
  </w:num>
  <w:num w:numId="24">
    <w:abstractNumId w:val="27"/>
  </w:num>
  <w:num w:numId="25">
    <w:abstractNumId w:val="25"/>
  </w:num>
  <w:num w:numId="26">
    <w:abstractNumId w:val="16"/>
  </w:num>
  <w:num w:numId="27">
    <w:abstractNumId w:val="18"/>
  </w:num>
  <w:num w:numId="28">
    <w:abstractNumId w:val="2"/>
  </w:num>
  <w:num w:numId="29">
    <w:abstractNumId w:val="10"/>
  </w:num>
  <w:num w:numId="30">
    <w:abstractNumId w:val="28"/>
  </w:num>
  <w:num w:numId="31">
    <w:abstractNumId w:val="8"/>
  </w:num>
  <w:num w:numId="32">
    <w:abstractNumId w:val="21"/>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4C"/>
    <w:rsid w:val="00026DC2"/>
    <w:rsid w:val="00035749"/>
    <w:rsid w:val="00043B71"/>
    <w:rsid w:val="00047C59"/>
    <w:rsid w:val="000519CD"/>
    <w:rsid w:val="00052ECB"/>
    <w:rsid w:val="00057111"/>
    <w:rsid w:val="00062439"/>
    <w:rsid w:val="0007182B"/>
    <w:rsid w:val="000734EC"/>
    <w:rsid w:val="000755E3"/>
    <w:rsid w:val="00081239"/>
    <w:rsid w:val="00081AA5"/>
    <w:rsid w:val="00084534"/>
    <w:rsid w:val="000848C7"/>
    <w:rsid w:val="00090D35"/>
    <w:rsid w:val="00091C47"/>
    <w:rsid w:val="00095E19"/>
    <w:rsid w:val="000A22A8"/>
    <w:rsid w:val="000B0991"/>
    <w:rsid w:val="000B38E1"/>
    <w:rsid w:val="000B59F2"/>
    <w:rsid w:val="000C084F"/>
    <w:rsid w:val="000C4D24"/>
    <w:rsid w:val="000D05E2"/>
    <w:rsid w:val="000D0801"/>
    <w:rsid w:val="000D69DF"/>
    <w:rsid w:val="000E0001"/>
    <w:rsid w:val="000E0520"/>
    <w:rsid w:val="000F0443"/>
    <w:rsid w:val="000F0B21"/>
    <w:rsid w:val="000F0C79"/>
    <w:rsid w:val="00106EC3"/>
    <w:rsid w:val="00113A63"/>
    <w:rsid w:val="00117A9D"/>
    <w:rsid w:val="00117CC6"/>
    <w:rsid w:val="00137F85"/>
    <w:rsid w:val="001506EE"/>
    <w:rsid w:val="00160DC1"/>
    <w:rsid w:val="00161675"/>
    <w:rsid w:val="001658B7"/>
    <w:rsid w:val="00170FEB"/>
    <w:rsid w:val="0017134C"/>
    <w:rsid w:val="00172EC7"/>
    <w:rsid w:val="00176686"/>
    <w:rsid w:val="00191679"/>
    <w:rsid w:val="001970F2"/>
    <w:rsid w:val="00197BEB"/>
    <w:rsid w:val="001A0ABA"/>
    <w:rsid w:val="001A1797"/>
    <w:rsid w:val="001A2BCE"/>
    <w:rsid w:val="001A6F1A"/>
    <w:rsid w:val="001C0939"/>
    <w:rsid w:val="001C2D60"/>
    <w:rsid w:val="001C2E43"/>
    <w:rsid w:val="001D276A"/>
    <w:rsid w:val="001D421D"/>
    <w:rsid w:val="001D755D"/>
    <w:rsid w:val="001E5E98"/>
    <w:rsid w:val="001E7163"/>
    <w:rsid w:val="001E7C64"/>
    <w:rsid w:val="001F26E3"/>
    <w:rsid w:val="001F2DFE"/>
    <w:rsid w:val="001F6C58"/>
    <w:rsid w:val="001F7352"/>
    <w:rsid w:val="0020259F"/>
    <w:rsid w:val="002035AA"/>
    <w:rsid w:val="00214596"/>
    <w:rsid w:val="002174D3"/>
    <w:rsid w:val="00217B97"/>
    <w:rsid w:val="00226850"/>
    <w:rsid w:val="002269CF"/>
    <w:rsid w:val="002303F5"/>
    <w:rsid w:val="0023266D"/>
    <w:rsid w:val="002338D2"/>
    <w:rsid w:val="002348D0"/>
    <w:rsid w:val="00240C00"/>
    <w:rsid w:val="00240C55"/>
    <w:rsid w:val="002416EF"/>
    <w:rsid w:val="002515D3"/>
    <w:rsid w:val="00254699"/>
    <w:rsid w:val="0027227A"/>
    <w:rsid w:val="00282601"/>
    <w:rsid w:val="002868BB"/>
    <w:rsid w:val="00296040"/>
    <w:rsid w:val="00296871"/>
    <w:rsid w:val="002A64F9"/>
    <w:rsid w:val="002A694C"/>
    <w:rsid w:val="002A6F83"/>
    <w:rsid w:val="002A7E95"/>
    <w:rsid w:val="002B4110"/>
    <w:rsid w:val="002C1DB1"/>
    <w:rsid w:val="002C3492"/>
    <w:rsid w:val="002C5E06"/>
    <w:rsid w:val="002C66CA"/>
    <w:rsid w:val="002D0EE4"/>
    <w:rsid w:val="002D35CD"/>
    <w:rsid w:val="002D4585"/>
    <w:rsid w:val="002F30B6"/>
    <w:rsid w:val="00302D1B"/>
    <w:rsid w:val="00304678"/>
    <w:rsid w:val="00306AA5"/>
    <w:rsid w:val="00307312"/>
    <w:rsid w:val="003110F0"/>
    <w:rsid w:val="0032355E"/>
    <w:rsid w:val="0033693A"/>
    <w:rsid w:val="003435E7"/>
    <w:rsid w:val="003445E7"/>
    <w:rsid w:val="003457C8"/>
    <w:rsid w:val="00352880"/>
    <w:rsid w:val="003547AA"/>
    <w:rsid w:val="00354E59"/>
    <w:rsid w:val="00362A6F"/>
    <w:rsid w:val="0036445A"/>
    <w:rsid w:val="00370158"/>
    <w:rsid w:val="00371E8A"/>
    <w:rsid w:val="00375BF1"/>
    <w:rsid w:val="00377A63"/>
    <w:rsid w:val="00377ABE"/>
    <w:rsid w:val="00387C36"/>
    <w:rsid w:val="00392600"/>
    <w:rsid w:val="00394920"/>
    <w:rsid w:val="003A3DE3"/>
    <w:rsid w:val="003A50D6"/>
    <w:rsid w:val="003A51E9"/>
    <w:rsid w:val="003B05D9"/>
    <w:rsid w:val="003B0B97"/>
    <w:rsid w:val="003B49F8"/>
    <w:rsid w:val="003B5C8C"/>
    <w:rsid w:val="003C69B2"/>
    <w:rsid w:val="003D000D"/>
    <w:rsid w:val="003D48A2"/>
    <w:rsid w:val="003D5FFB"/>
    <w:rsid w:val="003D7346"/>
    <w:rsid w:val="003E6B7C"/>
    <w:rsid w:val="003E7EC1"/>
    <w:rsid w:val="003F2FF4"/>
    <w:rsid w:val="003F3DB5"/>
    <w:rsid w:val="004012D5"/>
    <w:rsid w:val="004029B2"/>
    <w:rsid w:val="00405E2D"/>
    <w:rsid w:val="0041149A"/>
    <w:rsid w:val="0041472C"/>
    <w:rsid w:val="0041530D"/>
    <w:rsid w:val="00417E4F"/>
    <w:rsid w:val="00420E4A"/>
    <w:rsid w:val="00422FCE"/>
    <w:rsid w:val="00425B38"/>
    <w:rsid w:val="00425EF9"/>
    <w:rsid w:val="004268E7"/>
    <w:rsid w:val="004377F5"/>
    <w:rsid w:val="00437BF3"/>
    <w:rsid w:val="00437F03"/>
    <w:rsid w:val="00457951"/>
    <w:rsid w:val="00472089"/>
    <w:rsid w:val="00480478"/>
    <w:rsid w:val="00482DE8"/>
    <w:rsid w:val="0048673A"/>
    <w:rsid w:val="00490AB9"/>
    <w:rsid w:val="00491E47"/>
    <w:rsid w:val="00497ECC"/>
    <w:rsid w:val="004A5C52"/>
    <w:rsid w:val="004B1D0E"/>
    <w:rsid w:val="004B5688"/>
    <w:rsid w:val="004C00B2"/>
    <w:rsid w:val="004C1043"/>
    <w:rsid w:val="004C49FA"/>
    <w:rsid w:val="004D0BAC"/>
    <w:rsid w:val="004D725F"/>
    <w:rsid w:val="004E2491"/>
    <w:rsid w:val="004E57AC"/>
    <w:rsid w:val="004E632C"/>
    <w:rsid w:val="004F0C01"/>
    <w:rsid w:val="004F275F"/>
    <w:rsid w:val="004F3A93"/>
    <w:rsid w:val="004F6D8D"/>
    <w:rsid w:val="00504BA1"/>
    <w:rsid w:val="00505803"/>
    <w:rsid w:val="00510E22"/>
    <w:rsid w:val="00510EC8"/>
    <w:rsid w:val="005128A2"/>
    <w:rsid w:val="005152D7"/>
    <w:rsid w:val="005219AF"/>
    <w:rsid w:val="00522337"/>
    <w:rsid w:val="00531089"/>
    <w:rsid w:val="0053110B"/>
    <w:rsid w:val="005315FA"/>
    <w:rsid w:val="00537247"/>
    <w:rsid w:val="00543DBC"/>
    <w:rsid w:val="00545CD9"/>
    <w:rsid w:val="0055115A"/>
    <w:rsid w:val="005514A3"/>
    <w:rsid w:val="00553133"/>
    <w:rsid w:val="00554A0B"/>
    <w:rsid w:val="005575E4"/>
    <w:rsid w:val="00557B6F"/>
    <w:rsid w:val="00563A7E"/>
    <w:rsid w:val="005646CE"/>
    <w:rsid w:val="0057113D"/>
    <w:rsid w:val="00571221"/>
    <w:rsid w:val="00571886"/>
    <w:rsid w:val="00572013"/>
    <w:rsid w:val="00577B81"/>
    <w:rsid w:val="005820B7"/>
    <w:rsid w:val="005834B6"/>
    <w:rsid w:val="005908FA"/>
    <w:rsid w:val="00592927"/>
    <w:rsid w:val="005A079C"/>
    <w:rsid w:val="005A35F5"/>
    <w:rsid w:val="005B185E"/>
    <w:rsid w:val="005B5056"/>
    <w:rsid w:val="005D5D31"/>
    <w:rsid w:val="005D6683"/>
    <w:rsid w:val="005D7F2D"/>
    <w:rsid w:val="005E0B59"/>
    <w:rsid w:val="005E6E9B"/>
    <w:rsid w:val="00604EBE"/>
    <w:rsid w:val="00605F50"/>
    <w:rsid w:val="006064A6"/>
    <w:rsid w:val="0061087C"/>
    <w:rsid w:val="00613ACA"/>
    <w:rsid w:val="00624B4D"/>
    <w:rsid w:val="00624E01"/>
    <w:rsid w:val="00630074"/>
    <w:rsid w:val="00636A4A"/>
    <w:rsid w:val="00637844"/>
    <w:rsid w:val="00640ECF"/>
    <w:rsid w:val="00641899"/>
    <w:rsid w:val="006418EC"/>
    <w:rsid w:val="006428D7"/>
    <w:rsid w:val="00653F38"/>
    <w:rsid w:val="006606A3"/>
    <w:rsid w:val="00672451"/>
    <w:rsid w:val="00672795"/>
    <w:rsid w:val="006742E5"/>
    <w:rsid w:val="00682A26"/>
    <w:rsid w:val="0068319F"/>
    <w:rsid w:val="00685D74"/>
    <w:rsid w:val="0069155F"/>
    <w:rsid w:val="006926D1"/>
    <w:rsid w:val="00696C56"/>
    <w:rsid w:val="006A1F65"/>
    <w:rsid w:val="006A2C8A"/>
    <w:rsid w:val="006A6345"/>
    <w:rsid w:val="006B014F"/>
    <w:rsid w:val="006B03AD"/>
    <w:rsid w:val="006B1741"/>
    <w:rsid w:val="006C7B58"/>
    <w:rsid w:val="006D0AB8"/>
    <w:rsid w:val="006D2E68"/>
    <w:rsid w:val="006E3488"/>
    <w:rsid w:val="006F2E1C"/>
    <w:rsid w:val="006F3285"/>
    <w:rsid w:val="006F48E4"/>
    <w:rsid w:val="007001C2"/>
    <w:rsid w:val="00704089"/>
    <w:rsid w:val="00706BAC"/>
    <w:rsid w:val="00707941"/>
    <w:rsid w:val="00716233"/>
    <w:rsid w:val="00716866"/>
    <w:rsid w:val="00716F4C"/>
    <w:rsid w:val="007229D3"/>
    <w:rsid w:val="00732031"/>
    <w:rsid w:val="00732BBB"/>
    <w:rsid w:val="00736ADF"/>
    <w:rsid w:val="00744914"/>
    <w:rsid w:val="00746F3E"/>
    <w:rsid w:val="0075704C"/>
    <w:rsid w:val="00761A01"/>
    <w:rsid w:val="00765942"/>
    <w:rsid w:val="00771834"/>
    <w:rsid w:val="00772E2C"/>
    <w:rsid w:val="00776607"/>
    <w:rsid w:val="00785110"/>
    <w:rsid w:val="00785A08"/>
    <w:rsid w:val="00786468"/>
    <w:rsid w:val="007868E5"/>
    <w:rsid w:val="00794AC4"/>
    <w:rsid w:val="007955B7"/>
    <w:rsid w:val="007A0A51"/>
    <w:rsid w:val="007B295D"/>
    <w:rsid w:val="007B2B85"/>
    <w:rsid w:val="007B41C9"/>
    <w:rsid w:val="007B5E84"/>
    <w:rsid w:val="007C3B4C"/>
    <w:rsid w:val="007C5451"/>
    <w:rsid w:val="007C5DC1"/>
    <w:rsid w:val="007C6B1C"/>
    <w:rsid w:val="007D16E4"/>
    <w:rsid w:val="007D1E79"/>
    <w:rsid w:val="007D272C"/>
    <w:rsid w:val="007E1630"/>
    <w:rsid w:val="007E57AA"/>
    <w:rsid w:val="007F1F66"/>
    <w:rsid w:val="007F3CEE"/>
    <w:rsid w:val="007F7C69"/>
    <w:rsid w:val="00811A73"/>
    <w:rsid w:val="0081797B"/>
    <w:rsid w:val="00824402"/>
    <w:rsid w:val="008268C6"/>
    <w:rsid w:val="00827D68"/>
    <w:rsid w:val="00833524"/>
    <w:rsid w:val="00837D57"/>
    <w:rsid w:val="00846A95"/>
    <w:rsid w:val="00851950"/>
    <w:rsid w:val="0085670A"/>
    <w:rsid w:val="00860F40"/>
    <w:rsid w:val="00867122"/>
    <w:rsid w:val="00872D09"/>
    <w:rsid w:val="00872F4B"/>
    <w:rsid w:val="00873B07"/>
    <w:rsid w:val="00883E66"/>
    <w:rsid w:val="0088484E"/>
    <w:rsid w:val="00892573"/>
    <w:rsid w:val="00892CDC"/>
    <w:rsid w:val="008A51FD"/>
    <w:rsid w:val="008A5A17"/>
    <w:rsid w:val="008A60D0"/>
    <w:rsid w:val="008A73C8"/>
    <w:rsid w:val="008B0191"/>
    <w:rsid w:val="008B16E5"/>
    <w:rsid w:val="008B4550"/>
    <w:rsid w:val="008B537C"/>
    <w:rsid w:val="008B78B2"/>
    <w:rsid w:val="008C4768"/>
    <w:rsid w:val="008C7BA8"/>
    <w:rsid w:val="008D0CFA"/>
    <w:rsid w:val="008D46BC"/>
    <w:rsid w:val="008D49B6"/>
    <w:rsid w:val="008D6430"/>
    <w:rsid w:val="008D701C"/>
    <w:rsid w:val="008E1765"/>
    <w:rsid w:val="008E3AE6"/>
    <w:rsid w:val="008E78EE"/>
    <w:rsid w:val="00900965"/>
    <w:rsid w:val="0090509D"/>
    <w:rsid w:val="0091672E"/>
    <w:rsid w:val="009339BE"/>
    <w:rsid w:val="009369AB"/>
    <w:rsid w:val="00941A32"/>
    <w:rsid w:val="00943362"/>
    <w:rsid w:val="00956DB7"/>
    <w:rsid w:val="00961492"/>
    <w:rsid w:val="00961EB3"/>
    <w:rsid w:val="00966D52"/>
    <w:rsid w:val="00977B20"/>
    <w:rsid w:val="00980532"/>
    <w:rsid w:val="00983857"/>
    <w:rsid w:val="00986521"/>
    <w:rsid w:val="0099029C"/>
    <w:rsid w:val="009914BD"/>
    <w:rsid w:val="00994443"/>
    <w:rsid w:val="00997F39"/>
    <w:rsid w:val="009A0B61"/>
    <w:rsid w:val="009A1A1E"/>
    <w:rsid w:val="009A25E6"/>
    <w:rsid w:val="009A79B2"/>
    <w:rsid w:val="009B5B05"/>
    <w:rsid w:val="009B5E3C"/>
    <w:rsid w:val="009C0962"/>
    <w:rsid w:val="009C22F3"/>
    <w:rsid w:val="009D1237"/>
    <w:rsid w:val="009E1D87"/>
    <w:rsid w:val="009E2249"/>
    <w:rsid w:val="009E3EFF"/>
    <w:rsid w:val="009F09A6"/>
    <w:rsid w:val="00A00792"/>
    <w:rsid w:val="00A0762B"/>
    <w:rsid w:val="00A076A1"/>
    <w:rsid w:val="00A10A9A"/>
    <w:rsid w:val="00A129E5"/>
    <w:rsid w:val="00A15B53"/>
    <w:rsid w:val="00A21B8E"/>
    <w:rsid w:val="00A30B91"/>
    <w:rsid w:val="00A40D80"/>
    <w:rsid w:val="00A41D17"/>
    <w:rsid w:val="00A436FF"/>
    <w:rsid w:val="00A44CA6"/>
    <w:rsid w:val="00A45096"/>
    <w:rsid w:val="00A46015"/>
    <w:rsid w:val="00A542EE"/>
    <w:rsid w:val="00A61578"/>
    <w:rsid w:val="00A628E1"/>
    <w:rsid w:val="00A67FBA"/>
    <w:rsid w:val="00A76363"/>
    <w:rsid w:val="00A83D65"/>
    <w:rsid w:val="00A84F7B"/>
    <w:rsid w:val="00A85813"/>
    <w:rsid w:val="00A85979"/>
    <w:rsid w:val="00A91C4E"/>
    <w:rsid w:val="00A9377F"/>
    <w:rsid w:val="00AA2716"/>
    <w:rsid w:val="00AA75B9"/>
    <w:rsid w:val="00AB144A"/>
    <w:rsid w:val="00AB5A82"/>
    <w:rsid w:val="00AB63EA"/>
    <w:rsid w:val="00AB677F"/>
    <w:rsid w:val="00AB773C"/>
    <w:rsid w:val="00AC085A"/>
    <w:rsid w:val="00AC0EB1"/>
    <w:rsid w:val="00AE2B2C"/>
    <w:rsid w:val="00AE2D2B"/>
    <w:rsid w:val="00AF1CF5"/>
    <w:rsid w:val="00AF73A4"/>
    <w:rsid w:val="00AF7CE8"/>
    <w:rsid w:val="00B00ED2"/>
    <w:rsid w:val="00B07024"/>
    <w:rsid w:val="00B07036"/>
    <w:rsid w:val="00B16CE5"/>
    <w:rsid w:val="00B24ECE"/>
    <w:rsid w:val="00B352E1"/>
    <w:rsid w:val="00B51B55"/>
    <w:rsid w:val="00B53E96"/>
    <w:rsid w:val="00B54055"/>
    <w:rsid w:val="00B6300D"/>
    <w:rsid w:val="00B66AF5"/>
    <w:rsid w:val="00B7267C"/>
    <w:rsid w:val="00B768E3"/>
    <w:rsid w:val="00B80ED9"/>
    <w:rsid w:val="00B8736A"/>
    <w:rsid w:val="00B933D0"/>
    <w:rsid w:val="00B93F9E"/>
    <w:rsid w:val="00B959BA"/>
    <w:rsid w:val="00B963F6"/>
    <w:rsid w:val="00B972E0"/>
    <w:rsid w:val="00BA02E1"/>
    <w:rsid w:val="00BA2AFD"/>
    <w:rsid w:val="00BB086B"/>
    <w:rsid w:val="00BB13D2"/>
    <w:rsid w:val="00BB4588"/>
    <w:rsid w:val="00BB7611"/>
    <w:rsid w:val="00BD5193"/>
    <w:rsid w:val="00BE4EE5"/>
    <w:rsid w:val="00BE64F8"/>
    <w:rsid w:val="00C06346"/>
    <w:rsid w:val="00C1324F"/>
    <w:rsid w:val="00C17B4C"/>
    <w:rsid w:val="00C2269F"/>
    <w:rsid w:val="00C27343"/>
    <w:rsid w:val="00C27778"/>
    <w:rsid w:val="00C46A35"/>
    <w:rsid w:val="00C474B9"/>
    <w:rsid w:val="00C505FB"/>
    <w:rsid w:val="00C50A20"/>
    <w:rsid w:val="00C5375C"/>
    <w:rsid w:val="00C53B43"/>
    <w:rsid w:val="00C5765D"/>
    <w:rsid w:val="00C61775"/>
    <w:rsid w:val="00C637EC"/>
    <w:rsid w:val="00C65959"/>
    <w:rsid w:val="00C674F9"/>
    <w:rsid w:val="00C67A13"/>
    <w:rsid w:val="00C744B9"/>
    <w:rsid w:val="00C83231"/>
    <w:rsid w:val="00C83CFB"/>
    <w:rsid w:val="00C83F97"/>
    <w:rsid w:val="00C871B5"/>
    <w:rsid w:val="00C871F6"/>
    <w:rsid w:val="00C921A0"/>
    <w:rsid w:val="00C9405E"/>
    <w:rsid w:val="00C9498D"/>
    <w:rsid w:val="00C95C18"/>
    <w:rsid w:val="00CA277E"/>
    <w:rsid w:val="00CA5C69"/>
    <w:rsid w:val="00CA6F3C"/>
    <w:rsid w:val="00CA7CDB"/>
    <w:rsid w:val="00CB761F"/>
    <w:rsid w:val="00CC22F8"/>
    <w:rsid w:val="00CC5B9D"/>
    <w:rsid w:val="00CC797E"/>
    <w:rsid w:val="00CD11FF"/>
    <w:rsid w:val="00CD1E71"/>
    <w:rsid w:val="00CE3A75"/>
    <w:rsid w:val="00CE45C8"/>
    <w:rsid w:val="00CE67AD"/>
    <w:rsid w:val="00CE6903"/>
    <w:rsid w:val="00CF2E7C"/>
    <w:rsid w:val="00CF3153"/>
    <w:rsid w:val="00CF3A7F"/>
    <w:rsid w:val="00D044A3"/>
    <w:rsid w:val="00D05201"/>
    <w:rsid w:val="00D0600E"/>
    <w:rsid w:val="00D103F0"/>
    <w:rsid w:val="00D238F6"/>
    <w:rsid w:val="00D25331"/>
    <w:rsid w:val="00D33323"/>
    <w:rsid w:val="00D33549"/>
    <w:rsid w:val="00D378A1"/>
    <w:rsid w:val="00D450E7"/>
    <w:rsid w:val="00D45359"/>
    <w:rsid w:val="00D47433"/>
    <w:rsid w:val="00D47E7F"/>
    <w:rsid w:val="00D502E4"/>
    <w:rsid w:val="00D5739F"/>
    <w:rsid w:val="00D61695"/>
    <w:rsid w:val="00D649B1"/>
    <w:rsid w:val="00D70BB2"/>
    <w:rsid w:val="00D74084"/>
    <w:rsid w:val="00D8235F"/>
    <w:rsid w:val="00D8527F"/>
    <w:rsid w:val="00D92578"/>
    <w:rsid w:val="00D92B78"/>
    <w:rsid w:val="00DA1EAC"/>
    <w:rsid w:val="00DB2FF2"/>
    <w:rsid w:val="00DC15B5"/>
    <w:rsid w:val="00DD6F10"/>
    <w:rsid w:val="00DD729E"/>
    <w:rsid w:val="00DE121C"/>
    <w:rsid w:val="00DF0E55"/>
    <w:rsid w:val="00DF65E4"/>
    <w:rsid w:val="00E00652"/>
    <w:rsid w:val="00E06E75"/>
    <w:rsid w:val="00E118D8"/>
    <w:rsid w:val="00E13E3D"/>
    <w:rsid w:val="00E14CAC"/>
    <w:rsid w:val="00E154CB"/>
    <w:rsid w:val="00E15EB6"/>
    <w:rsid w:val="00E22361"/>
    <w:rsid w:val="00E27172"/>
    <w:rsid w:val="00E307CA"/>
    <w:rsid w:val="00E32E60"/>
    <w:rsid w:val="00E362F8"/>
    <w:rsid w:val="00E4528B"/>
    <w:rsid w:val="00E6439D"/>
    <w:rsid w:val="00E7226E"/>
    <w:rsid w:val="00E72557"/>
    <w:rsid w:val="00E75BB1"/>
    <w:rsid w:val="00E75CE4"/>
    <w:rsid w:val="00E81884"/>
    <w:rsid w:val="00E876C5"/>
    <w:rsid w:val="00E93718"/>
    <w:rsid w:val="00E971B8"/>
    <w:rsid w:val="00EA547F"/>
    <w:rsid w:val="00EB674A"/>
    <w:rsid w:val="00EC30C6"/>
    <w:rsid w:val="00EC6DD8"/>
    <w:rsid w:val="00ED141C"/>
    <w:rsid w:val="00ED2692"/>
    <w:rsid w:val="00ED41E3"/>
    <w:rsid w:val="00ED63C1"/>
    <w:rsid w:val="00ED6A88"/>
    <w:rsid w:val="00EE61D1"/>
    <w:rsid w:val="00EE7056"/>
    <w:rsid w:val="00EF50AA"/>
    <w:rsid w:val="00F01F34"/>
    <w:rsid w:val="00F06A42"/>
    <w:rsid w:val="00F10507"/>
    <w:rsid w:val="00F10527"/>
    <w:rsid w:val="00F13D57"/>
    <w:rsid w:val="00F14DA9"/>
    <w:rsid w:val="00F17936"/>
    <w:rsid w:val="00F22C8C"/>
    <w:rsid w:val="00F26468"/>
    <w:rsid w:val="00F329AE"/>
    <w:rsid w:val="00F42A04"/>
    <w:rsid w:val="00F44B64"/>
    <w:rsid w:val="00F44C47"/>
    <w:rsid w:val="00F452A4"/>
    <w:rsid w:val="00F47133"/>
    <w:rsid w:val="00F473C3"/>
    <w:rsid w:val="00F47A60"/>
    <w:rsid w:val="00F6354F"/>
    <w:rsid w:val="00F65B12"/>
    <w:rsid w:val="00F743D9"/>
    <w:rsid w:val="00F872EC"/>
    <w:rsid w:val="00F87525"/>
    <w:rsid w:val="00F90C33"/>
    <w:rsid w:val="00F922CB"/>
    <w:rsid w:val="00F926B7"/>
    <w:rsid w:val="00F9299E"/>
    <w:rsid w:val="00F933FC"/>
    <w:rsid w:val="00F937D8"/>
    <w:rsid w:val="00F944C8"/>
    <w:rsid w:val="00F9553B"/>
    <w:rsid w:val="00F97C25"/>
    <w:rsid w:val="00FA07D4"/>
    <w:rsid w:val="00FA10A6"/>
    <w:rsid w:val="00FB1EC1"/>
    <w:rsid w:val="00FB3F41"/>
    <w:rsid w:val="00FC07C4"/>
    <w:rsid w:val="00FC15A0"/>
    <w:rsid w:val="00FC1E1D"/>
    <w:rsid w:val="00FC2896"/>
    <w:rsid w:val="00FC5AE5"/>
    <w:rsid w:val="00FC69F6"/>
    <w:rsid w:val="00FD058A"/>
    <w:rsid w:val="00FF3DC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A665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972E0"/>
    <w:pPr>
      <w:numPr>
        <w:numId w:val="1"/>
      </w:numPr>
      <w:ind w:left="0" w:firstLine="0"/>
      <w:jc w:val="center"/>
      <w:outlineLvl w:val="0"/>
    </w:pPr>
    <w:rPr>
      <w:rFonts w:ascii="Times New Roman" w:hAnsi="Times New Roman" w:cs="Times New Roman"/>
      <w:sz w:val="26"/>
      <w:szCs w:val="26"/>
    </w:rPr>
  </w:style>
  <w:style w:type="paragraph" w:styleId="Heading2">
    <w:name w:val="heading 2"/>
    <w:basedOn w:val="ListParagraph"/>
    <w:next w:val="Normal"/>
    <w:link w:val="Heading2Char"/>
    <w:uiPriority w:val="9"/>
    <w:unhideWhenUsed/>
    <w:qFormat/>
    <w:rsid w:val="00B972E0"/>
    <w:pPr>
      <w:numPr>
        <w:numId w:val="4"/>
      </w:numPr>
      <w:ind w:left="0" w:firstLine="0"/>
      <w:jc w:val="center"/>
      <w:outlineLvl w:val="1"/>
    </w:pPr>
    <w:rPr>
      <w:rFonts w:ascii="Times New Roman" w:hAnsi="Times New Roman" w:cs="Times New Roman"/>
      <w:sz w:val="26"/>
      <w:szCs w:val="26"/>
    </w:rPr>
  </w:style>
  <w:style w:type="paragraph" w:styleId="Heading3">
    <w:name w:val="heading 3"/>
    <w:basedOn w:val="ListParagraph"/>
    <w:next w:val="Normal"/>
    <w:link w:val="Heading3Char"/>
    <w:uiPriority w:val="9"/>
    <w:unhideWhenUsed/>
    <w:qFormat/>
    <w:rsid w:val="00B972E0"/>
    <w:pPr>
      <w:numPr>
        <w:ilvl w:val="1"/>
        <w:numId w:val="4"/>
      </w:numPr>
      <w:ind w:left="0" w:firstLine="0"/>
      <w:jc w:val="center"/>
      <w:outlineLvl w:val="2"/>
    </w:pPr>
    <w:rPr>
      <w:rFonts w:ascii="Times New Roman" w:hAnsi="Times New Roman" w:cs="Times New Roman"/>
      <w:sz w:val="26"/>
      <w:szCs w:val="26"/>
    </w:rPr>
  </w:style>
  <w:style w:type="paragraph" w:styleId="Heading4">
    <w:name w:val="heading 4"/>
    <w:basedOn w:val="ListParagraph"/>
    <w:next w:val="Normal"/>
    <w:link w:val="Heading4Char"/>
    <w:uiPriority w:val="9"/>
    <w:unhideWhenUsed/>
    <w:qFormat/>
    <w:rsid w:val="00B972E0"/>
    <w:pPr>
      <w:numPr>
        <w:ilvl w:val="2"/>
        <w:numId w:val="4"/>
      </w:numPr>
      <w:ind w:left="0" w:firstLine="0"/>
      <w:jc w:val="center"/>
      <w:outlineLvl w:val="3"/>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4C"/>
    <w:pPr>
      <w:tabs>
        <w:tab w:val="center" w:pos="4513"/>
        <w:tab w:val="right" w:pos="9026"/>
      </w:tabs>
    </w:pPr>
  </w:style>
  <w:style w:type="character" w:customStyle="1" w:styleId="HeaderChar">
    <w:name w:val="Header Char"/>
    <w:basedOn w:val="DefaultParagraphFont"/>
    <w:link w:val="Header"/>
    <w:uiPriority w:val="99"/>
    <w:rsid w:val="00716F4C"/>
  </w:style>
  <w:style w:type="paragraph" w:styleId="Footer">
    <w:name w:val="footer"/>
    <w:basedOn w:val="Normal"/>
    <w:link w:val="FooterChar"/>
    <w:uiPriority w:val="99"/>
    <w:unhideWhenUsed/>
    <w:rsid w:val="00716F4C"/>
    <w:pPr>
      <w:tabs>
        <w:tab w:val="center" w:pos="4513"/>
        <w:tab w:val="right" w:pos="9026"/>
      </w:tabs>
    </w:pPr>
  </w:style>
  <w:style w:type="character" w:customStyle="1" w:styleId="FooterChar">
    <w:name w:val="Footer Char"/>
    <w:basedOn w:val="DefaultParagraphFont"/>
    <w:link w:val="Footer"/>
    <w:uiPriority w:val="99"/>
    <w:rsid w:val="00716F4C"/>
  </w:style>
  <w:style w:type="paragraph" w:styleId="ListParagraph">
    <w:name w:val="List Paragraph"/>
    <w:basedOn w:val="Normal"/>
    <w:uiPriority w:val="34"/>
    <w:qFormat/>
    <w:rsid w:val="003110F0"/>
    <w:pPr>
      <w:ind w:left="720"/>
      <w:contextualSpacing/>
    </w:pPr>
  </w:style>
  <w:style w:type="paragraph" w:styleId="FootnoteText">
    <w:name w:val="footnote text"/>
    <w:basedOn w:val="Normal"/>
    <w:link w:val="FootnoteTextChar"/>
    <w:uiPriority w:val="99"/>
    <w:unhideWhenUsed/>
    <w:rsid w:val="00B54055"/>
  </w:style>
  <w:style w:type="character" w:customStyle="1" w:styleId="FootnoteTextChar">
    <w:name w:val="Footnote Text Char"/>
    <w:basedOn w:val="DefaultParagraphFont"/>
    <w:link w:val="FootnoteText"/>
    <w:uiPriority w:val="99"/>
    <w:rsid w:val="00B54055"/>
  </w:style>
  <w:style w:type="character" w:styleId="FootnoteReference">
    <w:name w:val="footnote reference"/>
    <w:basedOn w:val="DefaultParagraphFont"/>
    <w:uiPriority w:val="99"/>
    <w:unhideWhenUsed/>
    <w:rsid w:val="00B54055"/>
    <w:rPr>
      <w:vertAlign w:val="superscript"/>
    </w:rPr>
  </w:style>
  <w:style w:type="character" w:styleId="Hyperlink">
    <w:name w:val="Hyperlink"/>
    <w:basedOn w:val="DefaultParagraphFont"/>
    <w:uiPriority w:val="99"/>
    <w:unhideWhenUsed/>
    <w:rsid w:val="00043B71"/>
    <w:rPr>
      <w:color w:val="0563C1" w:themeColor="hyperlink"/>
      <w:u w:val="single"/>
    </w:rPr>
  </w:style>
  <w:style w:type="paragraph" w:styleId="BalloonText">
    <w:name w:val="Balloon Text"/>
    <w:basedOn w:val="Normal"/>
    <w:link w:val="BalloonTextChar"/>
    <w:uiPriority w:val="99"/>
    <w:semiHidden/>
    <w:unhideWhenUsed/>
    <w:rsid w:val="00B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E3"/>
    <w:rPr>
      <w:rFonts w:ascii="Segoe UI" w:hAnsi="Segoe UI" w:cs="Segoe UI"/>
      <w:sz w:val="18"/>
      <w:szCs w:val="18"/>
    </w:rPr>
  </w:style>
  <w:style w:type="character" w:styleId="CommentReference">
    <w:name w:val="annotation reference"/>
    <w:basedOn w:val="DefaultParagraphFont"/>
    <w:uiPriority w:val="99"/>
    <w:semiHidden/>
    <w:unhideWhenUsed/>
    <w:rsid w:val="00761A01"/>
    <w:rPr>
      <w:sz w:val="16"/>
      <w:szCs w:val="16"/>
    </w:rPr>
  </w:style>
  <w:style w:type="paragraph" w:styleId="CommentText">
    <w:name w:val="annotation text"/>
    <w:basedOn w:val="Normal"/>
    <w:link w:val="CommentTextChar"/>
    <w:uiPriority w:val="99"/>
    <w:semiHidden/>
    <w:unhideWhenUsed/>
    <w:rsid w:val="00761A01"/>
    <w:rPr>
      <w:sz w:val="20"/>
      <w:szCs w:val="20"/>
    </w:rPr>
  </w:style>
  <w:style w:type="character" w:customStyle="1" w:styleId="CommentTextChar">
    <w:name w:val="Comment Text Char"/>
    <w:basedOn w:val="DefaultParagraphFont"/>
    <w:link w:val="CommentText"/>
    <w:uiPriority w:val="99"/>
    <w:semiHidden/>
    <w:rsid w:val="00761A01"/>
    <w:rPr>
      <w:sz w:val="20"/>
      <w:szCs w:val="20"/>
    </w:rPr>
  </w:style>
  <w:style w:type="paragraph" w:styleId="CommentSubject">
    <w:name w:val="annotation subject"/>
    <w:basedOn w:val="CommentText"/>
    <w:next w:val="CommentText"/>
    <w:link w:val="CommentSubjectChar"/>
    <w:uiPriority w:val="99"/>
    <w:semiHidden/>
    <w:unhideWhenUsed/>
    <w:rsid w:val="00761A01"/>
    <w:rPr>
      <w:b/>
      <w:bCs/>
    </w:rPr>
  </w:style>
  <w:style w:type="character" w:customStyle="1" w:styleId="CommentSubjectChar">
    <w:name w:val="Comment Subject Char"/>
    <w:basedOn w:val="CommentTextChar"/>
    <w:link w:val="CommentSubject"/>
    <w:uiPriority w:val="99"/>
    <w:semiHidden/>
    <w:rsid w:val="00761A01"/>
    <w:rPr>
      <w:b/>
      <w:bCs/>
      <w:sz w:val="20"/>
      <w:szCs w:val="20"/>
    </w:rPr>
  </w:style>
  <w:style w:type="character" w:customStyle="1" w:styleId="Heading1Char">
    <w:name w:val="Heading 1 Char"/>
    <w:basedOn w:val="DefaultParagraphFont"/>
    <w:link w:val="Heading1"/>
    <w:uiPriority w:val="9"/>
    <w:rsid w:val="00B972E0"/>
    <w:rPr>
      <w:rFonts w:ascii="Times New Roman" w:hAnsi="Times New Roman" w:cs="Times New Roman"/>
      <w:sz w:val="26"/>
      <w:szCs w:val="26"/>
    </w:rPr>
  </w:style>
  <w:style w:type="character" w:customStyle="1" w:styleId="Heading2Char">
    <w:name w:val="Heading 2 Char"/>
    <w:basedOn w:val="DefaultParagraphFont"/>
    <w:link w:val="Heading2"/>
    <w:uiPriority w:val="9"/>
    <w:rsid w:val="00B972E0"/>
    <w:rPr>
      <w:rFonts w:ascii="Times New Roman" w:hAnsi="Times New Roman" w:cs="Times New Roman"/>
      <w:sz w:val="26"/>
      <w:szCs w:val="26"/>
    </w:rPr>
  </w:style>
  <w:style w:type="character" w:customStyle="1" w:styleId="Heading3Char">
    <w:name w:val="Heading 3 Char"/>
    <w:basedOn w:val="DefaultParagraphFont"/>
    <w:link w:val="Heading3"/>
    <w:uiPriority w:val="9"/>
    <w:rsid w:val="00B972E0"/>
    <w:rPr>
      <w:rFonts w:ascii="Times New Roman" w:hAnsi="Times New Roman" w:cs="Times New Roman"/>
      <w:sz w:val="26"/>
      <w:szCs w:val="26"/>
    </w:rPr>
  </w:style>
  <w:style w:type="character" w:customStyle="1" w:styleId="Heading4Char">
    <w:name w:val="Heading 4 Char"/>
    <w:basedOn w:val="DefaultParagraphFont"/>
    <w:link w:val="Heading4"/>
    <w:uiPriority w:val="9"/>
    <w:rsid w:val="00B972E0"/>
    <w:rPr>
      <w:rFonts w:ascii="Times New Roman" w:hAnsi="Times New Roman" w:cs="Times New Roman"/>
      <w:sz w:val="26"/>
      <w:szCs w:val="26"/>
    </w:rPr>
  </w:style>
  <w:style w:type="paragraph" w:styleId="TOCHeading">
    <w:name w:val="TOC Heading"/>
    <w:basedOn w:val="Heading1"/>
    <w:next w:val="Normal"/>
    <w:uiPriority w:val="39"/>
    <w:unhideWhenUsed/>
    <w:qFormat/>
    <w:rsid w:val="00B972E0"/>
    <w:pPr>
      <w:keepNext/>
      <w:keepLines/>
      <w:numPr>
        <w:numId w:val="0"/>
      </w:numPr>
      <w:spacing w:before="480" w:line="276" w:lineRule="auto"/>
      <w:contextualSpacing w:val="0"/>
      <w:jc w:val="left"/>
      <w:outlineLvl w:val="9"/>
    </w:pPr>
    <w:rPr>
      <w:rFonts w:asciiTheme="majorHAnsi" w:eastAsiaTheme="majorEastAsia" w:hAnsiTheme="majorHAnsi" w:cstheme="majorBidi"/>
      <w:b/>
      <w:bCs/>
      <w:color w:val="2E74B5" w:themeColor="accent1" w:themeShade="BF"/>
      <w:sz w:val="28"/>
      <w:szCs w:val="28"/>
      <w:lang w:val="en-US"/>
    </w:rPr>
  </w:style>
  <w:style w:type="paragraph" w:styleId="TOC1">
    <w:name w:val="toc 1"/>
    <w:basedOn w:val="Normal"/>
    <w:next w:val="Normal"/>
    <w:autoRedefine/>
    <w:uiPriority w:val="39"/>
    <w:unhideWhenUsed/>
    <w:rsid w:val="00B972E0"/>
    <w:pPr>
      <w:spacing w:before="120"/>
    </w:pPr>
    <w:rPr>
      <w:b/>
    </w:rPr>
  </w:style>
  <w:style w:type="paragraph" w:styleId="TOC2">
    <w:name w:val="toc 2"/>
    <w:basedOn w:val="Normal"/>
    <w:next w:val="Normal"/>
    <w:autoRedefine/>
    <w:uiPriority w:val="39"/>
    <w:unhideWhenUsed/>
    <w:rsid w:val="00B972E0"/>
    <w:pPr>
      <w:ind w:left="240"/>
    </w:pPr>
    <w:rPr>
      <w:b/>
      <w:sz w:val="22"/>
      <w:szCs w:val="22"/>
    </w:rPr>
  </w:style>
  <w:style w:type="paragraph" w:styleId="TOC3">
    <w:name w:val="toc 3"/>
    <w:basedOn w:val="Normal"/>
    <w:next w:val="Normal"/>
    <w:autoRedefine/>
    <w:uiPriority w:val="39"/>
    <w:unhideWhenUsed/>
    <w:rsid w:val="00B972E0"/>
    <w:pPr>
      <w:ind w:left="480"/>
    </w:pPr>
    <w:rPr>
      <w:sz w:val="22"/>
      <w:szCs w:val="22"/>
    </w:rPr>
  </w:style>
  <w:style w:type="paragraph" w:styleId="TOC4">
    <w:name w:val="toc 4"/>
    <w:basedOn w:val="Normal"/>
    <w:next w:val="Normal"/>
    <w:autoRedefine/>
    <w:uiPriority w:val="39"/>
    <w:semiHidden/>
    <w:unhideWhenUsed/>
    <w:rsid w:val="00B972E0"/>
    <w:pPr>
      <w:ind w:left="720"/>
    </w:pPr>
    <w:rPr>
      <w:sz w:val="20"/>
      <w:szCs w:val="20"/>
    </w:rPr>
  </w:style>
  <w:style w:type="paragraph" w:styleId="TOC5">
    <w:name w:val="toc 5"/>
    <w:basedOn w:val="Normal"/>
    <w:next w:val="Normal"/>
    <w:autoRedefine/>
    <w:uiPriority w:val="39"/>
    <w:semiHidden/>
    <w:unhideWhenUsed/>
    <w:rsid w:val="00B972E0"/>
    <w:pPr>
      <w:ind w:left="960"/>
    </w:pPr>
    <w:rPr>
      <w:sz w:val="20"/>
      <w:szCs w:val="20"/>
    </w:rPr>
  </w:style>
  <w:style w:type="paragraph" w:styleId="TOC6">
    <w:name w:val="toc 6"/>
    <w:basedOn w:val="Normal"/>
    <w:next w:val="Normal"/>
    <w:autoRedefine/>
    <w:uiPriority w:val="39"/>
    <w:semiHidden/>
    <w:unhideWhenUsed/>
    <w:rsid w:val="00B972E0"/>
    <w:pPr>
      <w:ind w:left="1200"/>
    </w:pPr>
    <w:rPr>
      <w:sz w:val="20"/>
      <w:szCs w:val="20"/>
    </w:rPr>
  </w:style>
  <w:style w:type="paragraph" w:styleId="TOC7">
    <w:name w:val="toc 7"/>
    <w:basedOn w:val="Normal"/>
    <w:next w:val="Normal"/>
    <w:autoRedefine/>
    <w:uiPriority w:val="39"/>
    <w:semiHidden/>
    <w:unhideWhenUsed/>
    <w:rsid w:val="00B972E0"/>
    <w:pPr>
      <w:ind w:left="1440"/>
    </w:pPr>
    <w:rPr>
      <w:sz w:val="20"/>
      <w:szCs w:val="20"/>
    </w:rPr>
  </w:style>
  <w:style w:type="paragraph" w:styleId="TOC8">
    <w:name w:val="toc 8"/>
    <w:basedOn w:val="Normal"/>
    <w:next w:val="Normal"/>
    <w:autoRedefine/>
    <w:uiPriority w:val="39"/>
    <w:semiHidden/>
    <w:unhideWhenUsed/>
    <w:rsid w:val="00B972E0"/>
    <w:pPr>
      <w:ind w:left="1680"/>
    </w:pPr>
    <w:rPr>
      <w:sz w:val="20"/>
      <w:szCs w:val="20"/>
    </w:rPr>
  </w:style>
  <w:style w:type="paragraph" w:styleId="TOC9">
    <w:name w:val="toc 9"/>
    <w:basedOn w:val="Normal"/>
    <w:next w:val="Normal"/>
    <w:autoRedefine/>
    <w:uiPriority w:val="39"/>
    <w:semiHidden/>
    <w:unhideWhenUsed/>
    <w:rsid w:val="00B972E0"/>
    <w:pPr>
      <w:ind w:left="1920"/>
    </w:pPr>
    <w:rPr>
      <w:sz w:val="20"/>
      <w:szCs w:val="20"/>
    </w:rPr>
  </w:style>
  <w:style w:type="table" w:styleId="TableGrid">
    <w:name w:val="Table Grid"/>
    <w:basedOn w:val="TableNormal"/>
    <w:uiPriority w:val="39"/>
    <w:rsid w:val="0008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mailto:Edijs.Saicans@em.gov.lv"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23F5B8-60CC-7945-BD2C-6B7554BB864E}" type="doc">
      <dgm:prSet loTypeId="urn:microsoft.com/office/officeart/2005/8/layout/vProcess5" loCatId="" qsTypeId="urn:microsoft.com/office/officeart/2005/8/quickstyle/simple4" qsCatId="simple" csTypeId="urn:microsoft.com/office/officeart/2005/8/colors/accent1_2" csCatId="accent1" phldr="1"/>
      <dgm:spPr/>
      <dgm:t>
        <a:bodyPr/>
        <a:lstStyle/>
        <a:p>
          <a:endParaRPr lang="en-US"/>
        </a:p>
      </dgm:t>
    </dgm:pt>
    <dgm:pt modelId="{F3CBB9D0-388E-7B4C-A8FC-F755C0098280}">
      <dgm:prSet phldrT="[Text]"/>
      <dgm:spPr/>
      <dgm:t>
        <a:bodyPr/>
        <a:lstStyle/>
        <a:p>
          <a:r>
            <a:rPr lang="en-US"/>
            <a:t>I. Mand</a:t>
          </a:r>
          <a:r>
            <a:rPr lang="lv-LV"/>
            <a:t>āta sagatavošana</a:t>
          </a:r>
          <a:endParaRPr lang="en-US"/>
        </a:p>
      </dgm:t>
    </dgm:pt>
    <dgm:pt modelId="{C94A3247-9898-D348-B36D-1E6A00A3F390}" type="parTrans" cxnId="{BBB12ED2-23D2-CB4C-B9A1-0F501847D4A8}">
      <dgm:prSet/>
      <dgm:spPr/>
      <dgm:t>
        <a:bodyPr/>
        <a:lstStyle/>
        <a:p>
          <a:endParaRPr lang="en-US"/>
        </a:p>
      </dgm:t>
    </dgm:pt>
    <dgm:pt modelId="{4992153D-B17C-9240-A324-CEDF1584DCD0}" type="sibTrans" cxnId="{BBB12ED2-23D2-CB4C-B9A1-0F501847D4A8}">
      <dgm:prSet/>
      <dgm:spPr/>
      <dgm:t>
        <a:bodyPr/>
        <a:lstStyle/>
        <a:p>
          <a:endParaRPr lang="en-US"/>
        </a:p>
      </dgm:t>
    </dgm:pt>
    <dgm:pt modelId="{6A1E2BF1-09F9-3348-91F7-D75318D4EDD0}">
      <dgm:prSet phldrT="[Text]"/>
      <dgm:spPr/>
      <dgm:t>
        <a:bodyPr/>
        <a:lstStyle/>
        <a:p>
          <a:r>
            <a:rPr lang="en-US"/>
            <a:t>II. </a:t>
          </a:r>
          <a:r>
            <a:rPr lang="lv-LV"/>
            <a:t>Darba plāna sagatavošana un saskaņošana</a:t>
          </a:r>
          <a:endParaRPr lang="en-US"/>
        </a:p>
      </dgm:t>
    </dgm:pt>
    <dgm:pt modelId="{86A4F2DB-BAAA-ED49-B58E-8D181EAEA43E}" type="parTrans" cxnId="{85E62FDE-C24E-0E45-9C6C-3EC8C4A292C0}">
      <dgm:prSet/>
      <dgm:spPr/>
      <dgm:t>
        <a:bodyPr/>
        <a:lstStyle/>
        <a:p>
          <a:endParaRPr lang="en-US"/>
        </a:p>
      </dgm:t>
    </dgm:pt>
    <dgm:pt modelId="{7A9595CF-7480-7441-A63E-D826BAE37310}" type="sibTrans" cxnId="{85E62FDE-C24E-0E45-9C6C-3EC8C4A292C0}">
      <dgm:prSet/>
      <dgm:spPr/>
      <dgm:t>
        <a:bodyPr/>
        <a:lstStyle/>
        <a:p>
          <a:endParaRPr lang="en-US"/>
        </a:p>
      </dgm:t>
    </dgm:pt>
    <dgm:pt modelId="{2B810BFB-1226-BE47-A20A-1DBD6B3E47EF}">
      <dgm:prSet phldrT="[Text]"/>
      <dgm:spPr/>
      <dgm:t>
        <a:bodyPr/>
        <a:lstStyle/>
        <a:p>
          <a:r>
            <a:rPr lang="en-US"/>
            <a:t>III. </a:t>
          </a:r>
          <a:r>
            <a:rPr lang="lv-LV"/>
            <a:t>Darbu izpilde</a:t>
          </a:r>
          <a:endParaRPr lang="en-US"/>
        </a:p>
      </dgm:t>
    </dgm:pt>
    <dgm:pt modelId="{76B8F84C-0D99-BA45-B030-A5579440FD2B}" type="parTrans" cxnId="{3CA0522A-4A08-244F-BFF3-59B4033E38C9}">
      <dgm:prSet/>
      <dgm:spPr/>
      <dgm:t>
        <a:bodyPr/>
        <a:lstStyle/>
        <a:p>
          <a:endParaRPr lang="en-US"/>
        </a:p>
      </dgm:t>
    </dgm:pt>
    <dgm:pt modelId="{7DA51FB1-8E4A-EC43-91F4-D5BFD74F49C7}" type="sibTrans" cxnId="{3CA0522A-4A08-244F-BFF3-59B4033E38C9}">
      <dgm:prSet/>
      <dgm:spPr/>
      <dgm:t>
        <a:bodyPr/>
        <a:lstStyle/>
        <a:p>
          <a:endParaRPr lang="en-US"/>
        </a:p>
      </dgm:t>
    </dgm:pt>
    <dgm:pt modelId="{127D8BD0-7444-9741-BC4F-C2048D4420D3}">
      <dgm:prSet/>
      <dgm:spPr/>
      <dgm:t>
        <a:bodyPr/>
        <a:lstStyle/>
        <a:p>
          <a:r>
            <a:rPr lang="en-US"/>
            <a:t>IV. Standartu public</a:t>
          </a:r>
          <a:r>
            <a:rPr lang="lv-LV"/>
            <a:t>ēšana</a:t>
          </a:r>
          <a:endParaRPr lang="en-US"/>
        </a:p>
      </dgm:t>
    </dgm:pt>
    <dgm:pt modelId="{9DA3E9BA-6CB3-4244-8A15-4FED2DB54000}" type="parTrans" cxnId="{19C05AC2-D182-6840-BBB4-62D20B0E7FFD}">
      <dgm:prSet/>
      <dgm:spPr/>
    </dgm:pt>
    <dgm:pt modelId="{F032E8DF-A13E-0543-83F7-127E4B8A074D}" type="sibTrans" cxnId="{19C05AC2-D182-6840-BBB4-62D20B0E7FFD}">
      <dgm:prSet/>
      <dgm:spPr/>
    </dgm:pt>
    <dgm:pt modelId="{2FB86F6F-7AAB-CC42-8180-6AE2BA0B9C68}" type="pres">
      <dgm:prSet presAssocID="{B723F5B8-60CC-7945-BD2C-6B7554BB864E}" presName="outerComposite" presStyleCnt="0">
        <dgm:presLayoutVars>
          <dgm:chMax val="5"/>
          <dgm:dir/>
          <dgm:resizeHandles val="exact"/>
        </dgm:presLayoutVars>
      </dgm:prSet>
      <dgm:spPr/>
      <dgm:t>
        <a:bodyPr/>
        <a:lstStyle/>
        <a:p>
          <a:endParaRPr lang="en-US"/>
        </a:p>
      </dgm:t>
    </dgm:pt>
    <dgm:pt modelId="{6B3E3327-FF85-D948-A19F-42ECAE6884E5}" type="pres">
      <dgm:prSet presAssocID="{B723F5B8-60CC-7945-BD2C-6B7554BB864E}" presName="dummyMaxCanvas" presStyleCnt="0">
        <dgm:presLayoutVars/>
      </dgm:prSet>
      <dgm:spPr/>
    </dgm:pt>
    <dgm:pt modelId="{D9416A08-BFD4-D14F-9B57-17F01C11412E}" type="pres">
      <dgm:prSet presAssocID="{B723F5B8-60CC-7945-BD2C-6B7554BB864E}" presName="FourNodes_1" presStyleLbl="node1" presStyleIdx="0" presStyleCnt="4">
        <dgm:presLayoutVars>
          <dgm:bulletEnabled val="1"/>
        </dgm:presLayoutVars>
      </dgm:prSet>
      <dgm:spPr/>
      <dgm:t>
        <a:bodyPr/>
        <a:lstStyle/>
        <a:p>
          <a:endParaRPr lang="en-US"/>
        </a:p>
      </dgm:t>
    </dgm:pt>
    <dgm:pt modelId="{634B5428-E518-F34C-9C83-298D26518078}" type="pres">
      <dgm:prSet presAssocID="{B723F5B8-60CC-7945-BD2C-6B7554BB864E}" presName="FourNodes_2" presStyleLbl="node1" presStyleIdx="1" presStyleCnt="4">
        <dgm:presLayoutVars>
          <dgm:bulletEnabled val="1"/>
        </dgm:presLayoutVars>
      </dgm:prSet>
      <dgm:spPr/>
      <dgm:t>
        <a:bodyPr/>
        <a:lstStyle/>
        <a:p>
          <a:endParaRPr lang="en-US"/>
        </a:p>
      </dgm:t>
    </dgm:pt>
    <dgm:pt modelId="{101C98FC-FE83-564D-8844-747225D3BA4A}" type="pres">
      <dgm:prSet presAssocID="{B723F5B8-60CC-7945-BD2C-6B7554BB864E}" presName="FourNodes_3" presStyleLbl="node1" presStyleIdx="2" presStyleCnt="4">
        <dgm:presLayoutVars>
          <dgm:bulletEnabled val="1"/>
        </dgm:presLayoutVars>
      </dgm:prSet>
      <dgm:spPr/>
      <dgm:t>
        <a:bodyPr/>
        <a:lstStyle/>
        <a:p>
          <a:endParaRPr lang="en-US"/>
        </a:p>
      </dgm:t>
    </dgm:pt>
    <dgm:pt modelId="{AAC9642C-212F-0A43-AEA0-4F621433A19C}" type="pres">
      <dgm:prSet presAssocID="{B723F5B8-60CC-7945-BD2C-6B7554BB864E}" presName="FourNodes_4" presStyleLbl="node1" presStyleIdx="3" presStyleCnt="4">
        <dgm:presLayoutVars>
          <dgm:bulletEnabled val="1"/>
        </dgm:presLayoutVars>
      </dgm:prSet>
      <dgm:spPr/>
      <dgm:t>
        <a:bodyPr/>
        <a:lstStyle/>
        <a:p>
          <a:endParaRPr lang="en-US"/>
        </a:p>
      </dgm:t>
    </dgm:pt>
    <dgm:pt modelId="{348E070E-0537-9442-A2FB-CA42F6F485BC}" type="pres">
      <dgm:prSet presAssocID="{B723F5B8-60CC-7945-BD2C-6B7554BB864E}" presName="FourConn_1-2" presStyleLbl="fgAccFollowNode1" presStyleIdx="0" presStyleCnt="3">
        <dgm:presLayoutVars>
          <dgm:bulletEnabled val="1"/>
        </dgm:presLayoutVars>
      </dgm:prSet>
      <dgm:spPr/>
      <dgm:t>
        <a:bodyPr/>
        <a:lstStyle/>
        <a:p>
          <a:endParaRPr lang="en-US"/>
        </a:p>
      </dgm:t>
    </dgm:pt>
    <dgm:pt modelId="{E73B61D6-06B5-8841-8787-7B2707B5BA1B}" type="pres">
      <dgm:prSet presAssocID="{B723F5B8-60CC-7945-BD2C-6B7554BB864E}" presName="FourConn_2-3" presStyleLbl="fgAccFollowNode1" presStyleIdx="1" presStyleCnt="3">
        <dgm:presLayoutVars>
          <dgm:bulletEnabled val="1"/>
        </dgm:presLayoutVars>
      </dgm:prSet>
      <dgm:spPr/>
      <dgm:t>
        <a:bodyPr/>
        <a:lstStyle/>
        <a:p>
          <a:endParaRPr lang="en-US"/>
        </a:p>
      </dgm:t>
    </dgm:pt>
    <dgm:pt modelId="{00D78992-0BF3-A947-A3E2-29EB463011D6}" type="pres">
      <dgm:prSet presAssocID="{B723F5B8-60CC-7945-BD2C-6B7554BB864E}" presName="FourConn_3-4" presStyleLbl="fgAccFollowNode1" presStyleIdx="2" presStyleCnt="3">
        <dgm:presLayoutVars>
          <dgm:bulletEnabled val="1"/>
        </dgm:presLayoutVars>
      </dgm:prSet>
      <dgm:spPr/>
      <dgm:t>
        <a:bodyPr/>
        <a:lstStyle/>
        <a:p>
          <a:endParaRPr lang="en-US"/>
        </a:p>
      </dgm:t>
    </dgm:pt>
    <dgm:pt modelId="{9CCAD0B0-A5BD-074D-98EC-3101C74364D3}" type="pres">
      <dgm:prSet presAssocID="{B723F5B8-60CC-7945-BD2C-6B7554BB864E}" presName="FourNodes_1_text" presStyleLbl="node1" presStyleIdx="3" presStyleCnt="4">
        <dgm:presLayoutVars>
          <dgm:bulletEnabled val="1"/>
        </dgm:presLayoutVars>
      </dgm:prSet>
      <dgm:spPr/>
      <dgm:t>
        <a:bodyPr/>
        <a:lstStyle/>
        <a:p>
          <a:endParaRPr lang="en-US"/>
        </a:p>
      </dgm:t>
    </dgm:pt>
    <dgm:pt modelId="{59DD7270-55DD-EE48-A1EC-0C8E102636FC}" type="pres">
      <dgm:prSet presAssocID="{B723F5B8-60CC-7945-BD2C-6B7554BB864E}" presName="FourNodes_2_text" presStyleLbl="node1" presStyleIdx="3" presStyleCnt="4">
        <dgm:presLayoutVars>
          <dgm:bulletEnabled val="1"/>
        </dgm:presLayoutVars>
      </dgm:prSet>
      <dgm:spPr/>
      <dgm:t>
        <a:bodyPr/>
        <a:lstStyle/>
        <a:p>
          <a:endParaRPr lang="en-US"/>
        </a:p>
      </dgm:t>
    </dgm:pt>
    <dgm:pt modelId="{D895F63B-F72A-9546-BB22-F132EC4C128D}" type="pres">
      <dgm:prSet presAssocID="{B723F5B8-60CC-7945-BD2C-6B7554BB864E}" presName="FourNodes_3_text" presStyleLbl="node1" presStyleIdx="3" presStyleCnt="4">
        <dgm:presLayoutVars>
          <dgm:bulletEnabled val="1"/>
        </dgm:presLayoutVars>
      </dgm:prSet>
      <dgm:spPr/>
      <dgm:t>
        <a:bodyPr/>
        <a:lstStyle/>
        <a:p>
          <a:endParaRPr lang="en-US"/>
        </a:p>
      </dgm:t>
    </dgm:pt>
    <dgm:pt modelId="{39FCFC59-C148-484B-AF4A-1E2466BD4315}" type="pres">
      <dgm:prSet presAssocID="{B723F5B8-60CC-7945-BD2C-6B7554BB864E}" presName="FourNodes_4_text" presStyleLbl="node1" presStyleIdx="3" presStyleCnt="4">
        <dgm:presLayoutVars>
          <dgm:bulletEnabled val="1"/>
        </dgm:presLayoutVars>
      </dgm:prSet>
      <dgm:spPr/>
      <dgm:t>
        <a:bodyPr/>
        <a:lstStyle/>
        <a:p>
          <a:endParaRPr lang="en-US"/>
        </a:p>
      </dgm:t>
    </dgm:pt>
  </dgm:ptLst>
  <dgm:cxnLst>
    <dgm:cxn modelId="{76BC225A-0F6D-F04C-B039-1DBEA0D8724E}" type="presOf" srcId="{7DA51FB1-8E4A-EC43-91F4-D5BFD74F49C7}" destId="{00D78992-0BF3-A947-A3E2-29EB463011D6}" srcOrd="0" destOrd="0" presId="urn:microsoft.com/office/officeart/2005/8/layout/vProcess5"/>
    <dgm:cxn modelId="{128CCC7D-3B65-1C46-9C1F-DE0FC3880AD2}" type="presOf" srcId="{6A1E2BF1-09F9-3348-91F7-D75318D4EDD0}" destId="{59DD7270-55DD-EE48-A1EC-0C8E102636FC}" srcOrd="1" destOrd="0" presId="urn:microsoft.com/office/officeart/2005/8/layout/vProcess5"/>
    <dgm:cxn modelId="{B4478F1C-0287-574A-8240-6B8963F90142}" type="presOf" srcId="{127D8BD0-7444-9741-BC4F-C2048D4420D3}" destId="{AAC9642C-212F-0A43-AEA0-4F621433A19C}" srcOrd="0" destOrd="0" presId="urn:microsoft.com/office/officeart/2005/8/layout/vProcess5"/>
    <dgm:cxn modelId="{2BB28B59-9B4E-A745-8165-7E3259B9F282}" type="presOf" srcId="{4992153D-B17C-9240-A324-CEDF1584DCD0}" destId="{348E070E-0537-9442-A2FB-CA42F6F485BC}" srcOrd="0" destOrd="0" presId="urn:microsoft.com/office/officeart/2005/8/layout/vProcess5"/>
    <dgm:cxn modelId="{FB4F6135-515B-E94A-9E42-0C5EBE3973B2}" type="presOf" srcId="{2B810BFB-1226-BE47-A20A-1DBD6B3E47EF}" destId="{101C98FC-FE83-564D-8844-747225D3BA4A}" srcOrd="0" destOrd="0" presId="urn:microsoft.com/office/officeart/2005/8/layout/vProcess5"/>
    <dgm:cxn modelId="{7B5C2D22-40A3-1947-BA47-F0B52F0E22FB}" type="presOf" srcId="{7A9595CF-7480-7441-A63E-D826BAE37310}" destId="{E73B61D6-06B5-8841-8787-7B2707B5BA1B}" srcOrd="0" destOrd="0" presId="urn:microsoft.com/office/officeart/2005/8/layout/vProcess5"/>
    <dgm:cxn modelId="{21E32E99-3C7C-114A-92C8-D48DD91794FD}" type="presOf" srcId="{2B810BFB-1226-BE47-A20A-1DBD6B3E47EF}" destId="{D895F63B-F72A-9546-BB22-F132EC4C128D}" srcOrd="1" destOrd="0" presId="urn:microsoft.com/office/officeart/2005/8/layout/vProcess5"/>
    <dgm:cxn modelId="{BBB12ED2-23D2-CB4C-B9A1-0F501847D4A8}" srcId="{B723F5B8-60CC-7945-BD2C-6B7554BB864E}" destId="{F3CBB9D0-388E-7B4C-A8FC-F755C0098280}" srcOrd="0" destOrd="0" parTransId="{C94A3247-9898-D348-B36D-1E6A00A3F390}" sibTransId="{4992153D-B17C-9240-A324-CEDF1584DCD0}"/>
    <dgm:cxn modelId="{B6AED684-6EC6-BD4C-8342-521EE25845ED}" type="presOf" srcId="{F3CBB9D0-388E-7B4C-A8FC-F755C0098280}" destId="{D9416A08-BFD4-D14F-9B57-17F01C11412E}" srcOrd="0" destOrd="0" presId="urn:microsoft.com/office/officeart/2005/8/layout/vProcess5"/>
    <dgm:cxn modelId="{19C05AC2-D182-6840-BBB4-62D20B0E7FFD}" srcId="{B723F5B8-60CC-7945-BD2C-6B7554BB864E}" destId="{127D8BD0-7444-9741-BC4F-C2048D4420D3}" srcOrd="3" destOrd="0" parTransId="{9DA3E9BA-6CB3-4244-8A15-4FED2DB54000}" sibTransId="{F032E8DF-A13E-0543-83F7-127E4B8A074D}"/>
    <dgm:cxn modelId="{B27C4AF0-3F65-8141-94AB-0957D397D328}" type="presOf" srcId="{6A1E2BF1-09F9-3348-91F7-D75318D4EDD0}" destId="{634B5428-E518-F34C-9C83-298D26518078}" srcOrd="0" destOrd="0" presId="urn:microsoft.com/office/officeart/2005/8/layout/vProcess5"/>
    <dgm:cxn modelId="{85E62FDE-C24E-0E45-9C6C-3EC8C4A292C0}" srcId="{B723F5B8-60CC-7945-BD2C-6B7554BB864E}" destId="{6A1E2BF1-09F9-3348-91F7-D75318D4EDD0}" srcOrd="1" destOrd="0" parTransId="{86A4F2DB-BAAA-ED49-B58E-8D181EAEA43E}" sibTransId="{7A9595CF-7480-7441-A63E-D826BAE37310}"/>
    <dgm:cxn modelId="{692B0B74-39A6-8747-8FC5-D42368C6103A}" type="presOf" srcId="{F3CBB9D0-388E-7B4C-A8FC-F755C0098280}" destId="{9CCAD0B0-A5BD-074D-98EC-3101C74364D3}" srcOrd="1" destOrd="0" presId="urn:microsoft.com/office/officeart/2005/8/layout/vProcess5"/>
    <dgm:cxn modelId="{5BE517C1-B142-1A40-9567-05F950FDD767}" type="presOf" srcId="{127D8BD0-7444-9741-BC4F-C2048D4420D3}" destId="{39FCFC59-C148-484B-AF4A-1E2466BD4315}" srcOrd="1" destOrd="0" presId="urn:microsoft.com/office/officeart/2005/8/layout/vProcess5"/>
    <dgm:cxn modelId="{F3CFCD63-CFDC-6340-AED0-D06680CBBCE5}" type="presOf" srcId="{B723F5B8-60CC-7945-BD2C-6B7554BB864E}" destId="{2FB86F6F-7AAB-CC42-8180-6AE2BA0B9C68}" srcOrd="0" destOrd="0" presId="urn:microsoft.com/office/officeart/2005/8/layout/vProcess5"/>
    <dgm:cxn modelId="{3CA0522A-4A08-244F-BFF3-59B4033E38C9}" srcId="{B723F5B8-60CC-7945-BD2C-6B7554BB864E}" destId="{2B810BFB-1226-BE47-A20A-1DBD6B3E47EF}" srcOrd="2" destOrd="0" parTransId="{76B8F84C-0D99-BA45-B030-A5579440FD2B}" sibTransId="{7DA51FB1-8E4A-EC43-91F4-D5BFD74F49C7}"/>
    <dgm:cxn modelId="{33D5234C-3E26-494E-86FA-59D02BE6202C}" type="presParOf" srcId="{2FB86F6F-7AAB-CC42-8180-6AE2BA0B9C68}" destId="{6B3E3327-FF85-D948-A19F-42ECAE6884E5}" srcOrd="0" destOrd="0" presId="urn:microsoft.com/office/officeart/2005/8/layout/vProcess5"/>
    <dgm:cxn modelId="{40DAE416-F252-2640-971E-B85E90CB0FEA}" type="presParOf" srcId="{2FB86F6F-7AAB-CC42-8180-6AE2BA0B9C68}" destId="{D9416A08-BFD4-D14F-9B57-17F01C11412E}" srcOrd="1" destOrd="0" presId="urn:microsoft.com/office/officeart/2005/8/layout/vProcess5"/>
    <dgm:cxn modelId="{3C688A4B-095C-644D-9CFB-ACBBFBC447A3}" type="presParOf" srcId="{2FB86F6F-7AAB-CC42-8180-6AE2BA0B9C68}" destId="{634B5428-E518-F34C-9C83-298D26518078}" srcOrd="2" destOrd="0" presId="urn:microsoft.com/office/officeart/2005/8/layout/vProcess5"/>
    <dgm:cxn modelId="{86E5014C-29FB-8744-A2FB-3FBD440147C5}" type="presParOf" srcId="{2FB86F6F-7AAB-CC42-8180-6AE2BA0B9C68}" destId="{101C98FC-FE83-564D-8844-747225D3BA4A}" srcOrd="3" destOrd="0" presId="urn:microsoft.com/office/officeart/2005/8/layout/vProcess5"/>
    <dgm:cxn modelId="{028A4191-783F-3148-A7EA-BADE2EA48C28}" type="presParOf" srcId="{2FB86F6F-7AAB-CC42-8180-6AE2BA0B9C68}" destId="{AAC9642C-212F-0A43-AEA0-4F621433A19C}" srcOrd="4" destOrd="0" presId="urn:microsoft.com/office/officeart/2005/8/layout/vProcess5"/>
    <dgm:cxn modelId="{2FE2AE65-9757-364A-A5B3-18F6248836BF}" type="presParOf" srcId="{2FB86F6F-7AAB-CC42-8180-6AE2BA0B9C68}" destId="{348E070E-0537-9442-A2FB-CA42F6F485BC}" srcOrd="5" destOrd="0" presId="urn:microsoft.com/office/officeart/2005/8/layout/vProcess5"/>
    <dgm:cxn modelId="{61AE993F-5DD8-5C43-9A9E-449A13F5DDD5}" type="presParOf" srcId="{2FB86F6F-7AAB-CC42-8180-6AE2BA0B9C68}" destId="{E73B61D6-06B5-8841-8787-7B2707B5BA1B}" srcOrd="6" destOrd="0" presId="urn:microsoft.com/office/officeart/2005/8/layout/vProcess5"/>
    <dgm:cxn modelId="{6C82A5AE-5943-7E46-91EA-8BEEFB44CC1D}" type="presParOf" srcId="{2FB86F6F-7AAB-CC42-8180-6AE2BA0B9C68}" destId="{00D78992-0BF3-A947-A3E2-29EB463011D6}" srcOrd="7" destOrd="0" presId="urn:microsoft.com/office/officeart/2005/8/layout/vProcess5"/>
    <dgm:cxn modelId="{51D71B24-A694-C94D-9C3D-6777B3AA36D1}" type="presParOf" srcId="{2FB86F6F-7AAB-CC42-8180-6AE2BA0B9C68}" destId="{9CCAD0B0-A5BD-074D-98EC-3101C74364D3}" srcOrd="8" destOrd="0" presId="urn:microsoft.com/office/officeart/2005/8/layout/vProcess5"/>
    <dgm:cxn modelId="{6BDD77D0-7174-8E44-8F4F-7230E4869CC0}" type="presParOf" srcId="{2FB86F6F-7AAB-CC42-8180-6AE2BA0B9C68}" destId="{59DD7270-55DD-EE48-A1EC-0C8E102636FC}" srcOrd="9" destOrd="0" presId="urn:microsoft.com/office/officeart/2005/8/layout/vProcess5"/>
    <dgm:cxn modelId="{09AA23B9-AA08-B449-947F-85E6C8EE78A4}" type="presParOf" srcId="{2FB86F6F-7AAB-CC42-8180-6AE2BA0B9C68}" destId="{D895F63B-F72A-9546-BB22-F132EC4C128D}" srcOrd="10" destOrd="0" presId="urn:microsoft.com/office/officeart/2005/8/layout/vProcess5"/>
    <dgm:cxn modelId="{08317D57-49AB-2E4B-8B49-251E66259EDA}" type="presParOf" srcId="{2FB86F6F-7AAB-CC42-8180-6AE2BA0B9C68}" destId="{39FCFC59-C148-484B-AF4A-1E2466BD4315}" srcOrd="11"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416A08-BFD4-D14F-9B57-17F01C11412E}">
      <dsp:nvSpPr>
        <dsp:cNvPr id="0" name=""/>
        <dsp:cNvSpPr/>
      </dsp:nvSpPr>
      <dsp:spPr>
        <a:xfrm>
          <a:off x="0" y="0"/>
          <a:ext cx="4389120" cy="70408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t>I. Mand</a:t>
          </a:r>
          <a:r>
            <a:rPr lang="lv-LV" sz="1800" kern="1200"/>
            <a:t>āta sagatavošana</a:t>
          </a:r>
          <a:endParaRPr lang="en-US" sz="1800" kern="1200"/>
        </a:p>
      </dsp:txBody>
      <dsp:txXfrm>
        <a:off x="20622" y="20622"/>
        <a:ext cx="3569858" cy="662844"/>
      </dsp:txXfrm>
    </dsp:sp>
    <dsp:sp modelId="{634B5428-E518-F34C-9C83-298D26518078}">
      <dsp:nvSpPr>
        <dsp:cNvPr id="0" name=""/>
        <dsp:cNvSpPr/>
      </dsp:nvSpPr>
      <dsp:spPr>
        <a:xfrm>
          <a:off x="367588" y="832104"/>
          <a:ext cx="4389120" cy="70408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t>II. </a:t>
          </a:r>
          <a:r>
            <a:rPr lang="lv-LV" sz="1800" kern="1200"/>
            <a:t>Darba plāna sagatavošana un saskaņošana</a:t>
          </a:r>
          <a:endParaRPr lang="en-US" sz="1800" kern="1200"/>
        </a:p>
      </dsp:txBody>
      <dsp:txXfrm>
        <a:off x="388210" y="852726"/>
        <a:ext cx="3522630" cy="662844"/>
      </dsp:txXfrm>
    </dsp:sp>
    <dsp:sp modelId="{101C98FC-FE83-564D-8844-747225D3BA4A}">
      <dsp:nvSpPr>
        <dsp:cNvPr id="0" name=""/>
        <dsp:cNvSpPr/>
      </dsp:nvSpPr>
      <dsp:spPr>
        <a:xfrm>
          <a:off x="729691" y="1664208"/>
          <a:ext cx="4389120" cy="70408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t>III. </a:t>
          </a:r>
          <a:r>
            <a:rPr lang="lv-LV" sz="1800" kern="1200"/>
            <a:t>Darbu izpilde</a:t>
          </a:r>
          <a:endParaRPr lang="en-US" sz="1800" kern="1200"/>
        </a:p>
      </dsp:txBody>
      <dsp:txXfrm>
        <a:off x="750313" y="1684830"/>
        <a:ext cx="3528116" cy="662844"/>
      </dsp:txXfrm>
    </dsp:sp>
    <dsp:sp modelId="{AAC9642C-212F-0A43-AEA0-4F621433A19C}">
      <dsp:nvSpPr>
        <dsp:cNvPr id="0" name=""/>
        <dsp:cNvSpPr/>
      </dsp:nvSpPr>
      <dsp:spPr>
        <a:xfrm>
          <a:off x="1097279" y="2496312"/>
          <a:ext cx="4389120" cy="70408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t>IV. Standartu public</a:t>
          </a:r>
          <a:r>
            <a:rPr lang="lv-LV" sz="1800" kern="1200"/>
            <a:t>ēšana</a:t>
          </a:r>
          <a:endParaRPr lang="en-US" sz="1800" kern="1200"/>
        </a:p>
      </dsp:txBody>
      <dsp:txXfrm>
        <a:off x="1117901" y="2516934"/>
        <a:ext cx="3522630" cy="662844"/>
      </dsp:txXfrm>
    </dsp:sp>
    <dsp:sp modelId="{348E070E-0537-9442-A2FB-CA42F6F485BC}">
      <dsp:nvSpPr>
        <dsp:cNvPr id="0" name=""/>
        <dsp:cNvSpPr/>
      </dsp:nvSpPr>
      <dsp:spPr>
        <a:xfrm>
          <a:off x="3931462" y="539267"/>
          <a:ext cx="457657" cy="457657"/>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US" sz="2000" kern="1200"/>
        </a:p>
      </dsp:txBody>
      <dsp:txXfrm>
        <a:off x="4034435" y="539267"/>
        <a:ext cx="251711" cy="344387"/>
      </dsp:txXfrm>
    </dsp:sp>
    <dsp:sp modelId="{E73B61D6-06B5-8841-8787-7B2707B5BA1B}">
      <dsp:nvSpPr>
        <dsp:cNvPr id="0" name=""/>
        <dsp:cNvSpPr/>
      </dsp:nvSpPr>
      <dsp:spPr>
        <a:xfrm>
          <a:off x="4299051" y="1371371"/>
          <a:ext cx="457657" cy="457657"/>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US" sz="2000" kern="1200"/>
        </a:p>
      </dsp:txBody>
      <dsp:txXfrm>
        <a:off x="4402024" y="1371371"/>
        <a:ext cx="251711" cy="344387"/>
      </dsp:txXfrm>
    </dsp:sp>
    <dsp:sp modelId="{00D78992-0BF3-A947-A3E2-29EB463011D6}">
      <dsp:nvSpPr>
        <dsp:cNvPr id="0" name=""/>
        <dsp:cNvSpPr/>
      </dsp:nvSpPr>
      <dsp:spPr>
        <a:xfrm>
          <a:off x="4661154" y="2203475"/>
          <a:ext cx="457657" cy="457657"/>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US" sz="2000" kern="1200"/>
        </a:p>
      </dsp:txBody>
      <dsp:txXfrm>
        <a:off x="4764127" y="2203475"/>
        <a:ext cx="251711" cy="34438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1FBD26-3509-D24D-9E54-C4AF0489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37</Pages>
  <Words>11145</Words>
  <Characters>80804</Characters>
  <Application>Microsoft Macintosh Word</Application>
  <DocSecurity>0</DocSecurity>
  <Lines>1923</Lines>
  <Paragraphs>574</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91375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Edijs Šaicāns</dc:creator>
  <cp:lastModifiedBy>Edijs Šaicāns</cp:lastModifiedBy>
  <cp:revision>9</cp:revision>
  <cp:lastPrinted>2016-01-07T13:48:00Z</cp:lastPrinted>
  <dcterms:created xsi:type="dcterms:W3CDTF">2016-07-14T09:22:00Z</dcterms:created>
  <dcterms:modified xsi:type="dcterms:W3CDTF">2016-07-26T11:58:00Z</dcterms:modified>
</cp:coreProperties>
</file>