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303B" w14:textId="77777777" w:rsidR="004561F8" w:rsidRPr="00A76CDE" w:rsidRDefault="00982AAD" w:rsidP="00712DF6">
      <w:pPr>
        <w:tabs>
          <w:tab w:val="left" w:pos="709"/>
        </w:tabs>
        <w:jc w:val="center"/>
        <w:rPr>
          <w:b/>
          <w:sz w:val="27"/>
          <w:szCs w:val="27"/>
        </w:rPr>
      </w:pPr>
      <w:bookmarkStart w:id="0" w:name="_GoBack"/>
      <w:bookmarkEnd w:id="0"/>
      <w:r w:rsidRPr="00A76CDE">
        <w:rPr>
          <w:b/>
          <w:sz w:val="27"/>
          <w:szCs w:val="27"/>
        </w:rPr>
        <w:t>Ministru kabineta noteikumu projekta</w:t>
      </w:r>
      <w:bookmarkStart w:id="1" w:name="OLE_LINK1"/>
      <w:bookmarkStart w:id="2" w:name="OLE_LINK2"/>
    </w:p>
    <w:p w14:paraId="07D60328" w14:textId="77777777" w:rsidR="00982AAD" w:rsidRPr="00A76CDE" w:rsidRDefault="008A4286" w:rsidP="002F0A57">
      <w:pPr>
        <w:jc w:val="center"/>
        <w:rPr>
          <w:b/>
          <w:bCs/>
          <w:sz w:val="27"/>
          <w:szCs w:val="27"/>
        </w:rPr>
      </w:pPr>
      <w:r w:rsidRPr="00A76CDE">
        <w:rPr>
          <w:b/>
          <w:bCs/>
          <w:sz w:val="27"/>
          <w:szCs w:val="27"/>
        </w:rPr>
        <w:t>"</w:t>
      </w:r>
      <w:r w:rsidR="002F0A57" w:rsidRPr="00A76CDE">
        <w:rPr>
          <w:b/>
          <w:bCs/>
          <w:sz w:val="27"/>
          <w:szCs w:val="27"/>
        </w:rPr>
        <w:t>Gr</w:t>
      </w:r>
      <w:r w:rsidR="00CD79AB" w:rsidRPr="00A76CDE">
        <w:rPr>
          <w:b/>
          <w:bCs/>
          <w:sz w:val="27"/>
          <w:szCs w:val="27"/>
        </w:rPr>
        <w:t>ozījumi Ministru kabineta 2014.gada 11.februāra noteikumos Nr.</w:t>
      </w:r>
      <w:r w:rsidR="002F0A57" w:rsidRPr="00A76CDE">
        <w:rPr>
          <w:b/>
          <w:bCs/>
          <w:sz w:val="27"/>
          <w:szCs w:val="27"/>
        </w:rPr>
        <w:t>96 "Nodokļu un citu maksājumu reģistrēšanas elektronisko ierīču un iekārtu lietošanas kārtība"</w:t>
      </w:r>
      <w:r w:rsidRPr="00A76CDE">
        <w:rPr>
          <w:b/>
          <w:bCs/>
          <w:sz w:val="27"/>
          <w:szCs w:val="27"/>
        </w:rPr>
        <w:t>"</w:t>
      </w:r>
      <w:r w:rsidR="002F0A57" w:rsidRPr="00A76CDE">
        <w:rPr>
          <w:b/>
          <w:bCs/>
          <w:sz w:val="27"/>
          <w:szCs w:val="27"/>
        </w:rPr>
        <w:t xml:space="preserve"> </w:t>
      </w:r>
      <w:r w:rsidR="00982AAD" w:rsidRPr="00A76CDE">
        <w:rPr>
          <w:b/>
          <w:bCs/>
          <w:sz w:val="27"/>
          <w:szCs w:val="27"/>
        </w:rPr>
        <w:t>sākotnējās ietekmes novērtējuma ziņojums (anotācija</w:t>
      </w:r>
      <w:bookmarkEnd w:id="1"/>
      <w:bookmarkEnd w:id="2"/>
      <w:r w:rsidR="00982AAD" w:rsidRPr="00A76CDE">
        <w:rPr>
          <w:b/>
          <w:bCs/>
          <w:sz w:val="27"/>
          <w:szCs w:val="27"/>
        </w:rPr>
        <w:t>)</w:t>
      </w:r>
    </w:p>
    <w:p w14:paraId="3843C017" w14:textId="7DA7CEF0" w:rsidR="009F30B3" w:rsidRDefault="009F30B3" w:rsidP="006D0922">
      <w:pPr>
        <w:pStyle w:val="naislab"/>
        <w:spacing w:before="0" w:after="0"/>
        <w:jc w:val="center"/>
        <w:rPr>
          <w:b/>
          <w:sz w:val="27"/>
          <w:szCs w:val="27"/>
        </w:rPr>
      </w:pPr>
    </w:p>
    <w:p w14:paraId="29BAD51C" w14:textId="77777777" w:rsidR="00CB7FA7" w:rsidRPr="00A76CDE" w:rsidRDefault="00CB7FA7" w:rsidP="006D0922">
      <w:pPr>
        <w:pStyle w:val="naislab"/>
        <w:spacing w:before="0" w:after="0"/>
        <w:jc w:val="center"/>
        <w:rPr>
          <w:b/>
          <w:sz w:val="27"/>
          <w:szCs w:val="27"/>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A0027" w:rsidRPr="00A76CDE" w14:paraId="4E36A074" w14:textId="77777777" w:rsidTr="00946395">
        <w:tc>
          <w:tcPr>
            <w:tcW w:w="9555" w:type="dxa"/>
            <w:gridSpan w:val="3"/>
            <w:vAlign w:val="center"/>
          </w:tcPr>
          <w:p w14:paraId="1A2D12CA" w14:textId="77777777" w:rsidR="00852042" w:rsidRPr="006F2C68" w:rsidRDefault="00852042" w:rsidP="00C96B4C">
            <w:pPr>
              <w:pStyle w:val="naisnod"/>
              <w:spacing w:before="0" w:after="60"/>
              <w:ind w:right="142"/>
              <w:rPr>
                <w:sz w:val="27"/>
                <w:szCs w:val="27"/>
              </w:rPr>
            </w:pPr>
            <w:r w:rsidRPr="006F2C68">
              <w:rPr>
                <w:sz w:val="27"/>
                <w:szCs w:val="27"/>
              </w:rPr>
              <w:t>I</w:t>
            </w:r>
            <w:r w:rsidR="000941C5" w:rsidRPr="006F2C68">
              <w:rPr>
                <w:sz w:val="27"/>
                <w:szCs w:val="27"/>
              </w:rPr>
              <w:t>.</w:t>
            </w:r>
            <w:r w:rsidRPr="006F2C68">
              <w:rPr>
                <w:sz w:val="27"/>
                <w:szCs w:val="27"/>
              </w:rPr>
              <w:t xml:space="preserve"> Tiesību akta </w:t>
            </w:r>
            <w:r w:rsidR="002E3FF4" w:rsidRPr="006F2C68">
              <w:rPr>
                <w:sz w:val="27"/>
                <w:szCs w:val="27"/>
              </w:rPr>
              <w:t xml:space="preserve">projekta </w:t>
            </w:r>
            <w:r w:rsidRPr="006F2C68">
              <w:rPr>
                <w:sz w:val="27"/>
                <w:szCs w:val="27"/>
              </w:rPr>
              <w:t>izstrādes nepieciešamība</w:t>
            </w:r>
          </w:p>
        </w:tc>
      </w:tr>
      <w:tr w:rsidR="009A0027" w:rsidRPr="00A76CDE" w14:paraId="0D27F710" w14:textId="77777777" w:rsidTr="00946395">
        <w:trPr>
          <w:trHeight w:val="267"/>
        </w:trPr>
        <w:tc>
          <w:tcPr>
            <w:tcW w:w="677" w:type="dxa"/>
          </w:tcPr>
          <w:p w14:paraId="20B67083" w14:textId="77777777" w:rsidR="00262E2B" w:rsidRPr="006F2C68" w:rsidRDefault="00262E2B" w:rsidP="00C96B4C">
            <w:pPr>
              <w:pStyle w:val="naiskr"/>
              <w:spacing w:before="0" w:after="0"/>
              <w:ind w:right="142"/>
              <w:jc w:val="center"/>
              <w:rPr>
                <w:sz w:val="27"/>
                <w:szCs w:val="27"/>
              </w:rPr>
            </w:pPr>
            <w:r w:rsidRPr="006F2C68">
              <w:rPr>
                <w:sz w:val="27"/>
                <w:szCs w:val="27"/>
              </w:rPr>
              <w:t>1.</w:t>
            </w:r>
          </w:p>
        </w:tc>
        <w:tc>
          <w:tcPr>
            <w:tcW w:w="2641" w:type="dxa"/>
          </w:tcPr>
          <w:p w14:paraId="12071A6C" w14:textId="77777777" w:rsidR="00262E2B" w:rsidRPr="006F2C68" w:rsidRDefault="002D7F54" w:rsidP="00C96B4C">
            <w:pPr>
              <w:pStyle w:val="naiskr"/>
              <w:spacing w:before="0" w:after="0"/>
              <w:ind w:right="142"/>
              <w:rPr>
                <w:sz w:val="27"/>
                <w:szCs w:val="27"/>
              </w:rPr>
            </w:pPr>
            <w:r w:rsidRPr="006F2C68">
              <w:rPr>
                <w:sz w:val="27"/>
                <w:szCs w:val="27"/>
              </w:rPr>
              <w:t>Pamatojums</w:t>
            </w:r>
          </w:p>
        </w:tc>
        <w:tc>
          <w:tcPr>
            <w:tcW w:w="6237" w:type="dxa"/>
          </w:tcPr>
          <w:p w14:paraId="358D69FE" w14:textId="1CC3ACE7" w:rsidR="00C65995" w:rsidRPr="006F2C68" w:rsidRDefault="00EA29D3" w:rsidP="00DE01EE">
            <w:pPr>
              <w:pStyle w:val="naiskr"/>
              <w:spacing w:before="0" w:after="0"/>
              <w:ind w:firstLine="284"/>
              <w:jc w:val="both"/>
              <w:rPr>
                <w:sz w:val="27"/>
                <w:szCs w:val="27"/>
              </w:rPr>
            </w:pPr>
            <w:r w:rsidRPr="006F2C68">
              <w:rPr>
                <w:sz w:val="27"/>
                <w:szCs w:val="27"/>
              </w:rPr>
              <w:t>Finanšu ministrijas iniciatīva</w:t>
            </w:r>
          </w:p>
        </w:tc>
      </w:tr>
      <w:tr w:rsidR="009A0027" w:rsidRPr="00A76CDE" w14:paraId="39C4CC99" w14:textId="77777777" w:rsidTr="00946395">
        <w:trPr>
          <w:trHeight w:val="472"/>
        </w:trPr>
        <w:tc>
          <w:tcPr>
            <w:tcW w:w="677" w:type="dxa"/>
          </w:tcPr>
          <w:p w14:paraId="513DE6B8" w14:textId="77777777" w:rsidR="00262E2B" w:rsidRPr="00A76CDE" w:rsidRDefault="00262E2B" w:rsidP="00C96B4C">
            <w:pPr>
              <w:pStyle w:val="naiskr"/>
              <w:spacing w:before="0" w:after="0"/>
              <w:ind w:right="142"/>
              <w:jc w:val="center"/>
              <w:rPr>
                <w:sz w:val="27"/>
                <w:szCs w:val="27"/>
              </w:rPr>
            </w:pPr>
            <w:r w:rsidRPr="00A76CDE">
              <w:rPr>
                <w:sz w:val="27"/>
                <w:szCs w:val="27"/>
              </w:rPr>
              <w:t>2.</w:t>
            </w:r>
          </w:p>
        </w:tc>
        <w:tc>
          <w:tcPr>
            <w:tcW w:w="2641" w:type="dxa"/>
          </w:tcPr>
          <w:p w14:paraId="4EC90CBD" w14:textId="77777777" w:rsidR="00262E2B" w:rsidRPr="00A76CDE" w:rsidRDefault="003A3C61" w:rsidP="00C96B4C">
            <w:pPr>
              <w:pStyle w:val="naiskr"/>
              <w:spacing w:before="0" w:after="0"/>
              <w:ind w:right="142"/>
              <w:rPr>
                <w:sz w:val="27"/>
                <w:szCs w:val="27"/>
              </w:rPr>
            </w:pPr>
            <w:r w:rsidRPr="00A76CDE">
              <w:rPr>
                <w:sz w:val="27"/>
                <w:szCs w:val="27"/>
              </w:rPr>
              <w:t>Pašreizējā situācija un problēmas, kuru risināšanai tiesību akta projekts izstrādāts, tiesiskā regulējuma mērķis un būtība</w:t>
            </w:r>
          </w:p>
        </w:tc>
        <w:tc>
          <w:tcPr>
            <w:tcW w:w="6237" w:type="dxa"/>
          </w:tcPr>
          <w:p w14:paraId="549ADF1F" w14:textId="5B0F18A1" w:rsidR="00140819" w:rsidRDefault="00140819" w:rsidP="00140819">
            <w:pPr>
              <w:ind w:firstLine="312"/>
              <w:jc w:val="both"/>
              <w:rPr>
                <w:sz w:val="27"/>
                <w:szCs w:val="27"/>
              </w:rPr>
            </w:pPr>
            <w:r w:rsidRPr="00A76CDE">
              <w:rPr>
                <w:sz w:val="27"/>
                <w:szCs w:val="27"/>
              </w:rPr>
              <w:t xml:space="preserve">Par darījumiem saņemto samaksu skaidrā naudā, ar maksājumu kartēm vai citiem maksājuma apliecinājumiem nodokļu maksātāji reģistrē, izmantojot kases aparātus, hibrīda kases aparātus, kases sistēmas, specializētās ierīces un iekārtas. </w:t>
            </w:r>
            <w:r w:rsidRPr="00654043">
              <w:rPr>
                <w:sz w:val="27"/>
                <w:szCs w:val="27"/>
              </w:rPr>
              <w:t>Ministru kabineta</w:t>
            </w:r>
            <w:r>
              <w:rPr>
                <w:sz w:val="27"/>
                <w:szCs w:val="27"/>
              </w:rPr>
              <w:t xml:space="preserve"> 2014.gada 11.februāra noteikumi</w:t>
            </w:r>
            <w:r w:rsidRPr="00654043">
              <w:rPr>
                <w:sz w:val="27"/>
                <w:szCs w:val="27"/>
              </w:rPr>
              <w:t xml:space="preserve"> Nr.96 "Nodokļu un citu maksājumu reģistrēšanas elektronisko ierīču un iekārtu lietošanas kārtība"</w:t>
            </w:r>
            <w:r w:rsidR="003E5D07">
              <w:rPr>
                <w:sz w:val="27"/>
                <w:szCs w:val="27"/>
              </w:rPr>
              <w:t xml:space="preserve"> (turpmāk –</w:t>
            </w:r>
            <w:r w:rsidR="003E5D07">
              <w:t xml:space="preserve"> </w:t>
            </w:r>
            <w:r w:rsidR="003E5D07" w:rsidRPr="003E5D07">
              <w:rPr>
                <w:sz w:val="27"/>
                <w:szCs w:val="27"/>
              </w:rPr>
              <w:t>Ministru kabineta 2014.gada 11.februāra noteikumi Nr.96</w:t>
            </w:r>
            <w:r w:rsidR="003E5D07">
              <w:rPr>
                <w:sz w:val="27"/>
                <w:szCs w:val="27"/>
              </w:rPr>
              <w:t>)</w:t>
            </w:r>
            <w:r w:rsidRPr="00654043">
              <w:rPr>
                <w:sz w:val="27"/>
                <w:szCs w:val="27"/>
              </w:rPr>
              <w:t xml:space="preserve"> </w:t>
            </w:r>
            <w:r>
              <w:rPr>
                <w:sz w:val="27"/>
                <w:szCs w:val="27"/>
              </w:rPr>
              <w:t>nosaka</w:t>
            </w:r>
            <w:r w:rsidRPr="00A76CDE">
              <w:rPr>
                <w:sz w:val="27"/>
                <w:szCs w:val="27"/>
              </w:rPr>
              <w:t xml:space="preserve"> izņēmuma gadījum</w:t>
            </w:r>
            <w:r>
              <w:rPr>
                <w:sz w:val="27"/>
                <w:szCs w:val="27"/>
              </w:rPr>
              <w:t>us</w:t>
            </w:r>
            <w:r w:rsidRPr="00A76CDE">
              <w:rPr>
                <w:sz w:val="27"/>
                <w:szCs w:val="27"/>
              </w:rPr>
              <w:t>, kad konkrētas noteikt</w:t>
            </w:r>
            <w:r>
              <w:rPr>
                <w:sz w:val="27"/>
                <w:szCs w:val="27"/>
              </w:rPr>
              <w:t>a</w:t>
            </w:r>
            <w:r w:rsidRPr="00A76CDE">
              <w:rPr>
                <w:sz w:val="27"/>
                <w:szCs w:val="27"/>
              </w:rPr>
              <w:t xml:space="preserve">s nodokļu maksātāju grupas, saņemot no darījuma partnera (pircēja) samaksu skaidrā naudā, var darījumu reģistrēšanai kases aparātus, hibrīda kases aparātus, kases sistēmas, specializētās ierīces un iekārtas nelietot, saņemto samaksu apliecinot ar numurētu Valsts ieņēmumu dienestā reģistrēto kvīti, numurētu Valsts ieņēmumu dienestā reģistrēto biļeti vai citu noteiktu samaksu apliecinošu dokumentu. </w:t>
            </w:r>
            <w:r>
              <w:rPr>
                <w:sz w:val="27"/>
                <w:szCs w:val="27"/>
              </w:rPr>
              <w:t>Atbilstoši šobrīd spēkā esošajam regulējumam</w:t>
            </w:r>
            <w:r w:rsidRPr="00A76CDE">
              <w:rPr>
                <w:sz w:val="27"/>
                <w:szCs w:val="27"/>
              </w:rPr>
              <w:t xml:space="preserve"> gadījumā, ja pircējs vēlas norēķināties ar maksājum</w:t>
            </w:r>
            <w:r>
              <w:rPr>
                <w:sz w:val="27"/>
                <w:szCs w:val="27"/>
              </w:rPr>
              <w:t>u</w:t>
            </w:r>
            <w:r w:rsidRPr="00A76CDE">
              <w:rPr>
                <w:sz w:val="27"/>
                <w:szCs w:val="27"/>
              </w:rPr>
              <w:t xml:space="preserve"> karti</w:t>
            </w:r>
            <w:r w:rsidR="00447B96">
              <w:rPr>
                <w:sz w:val="27"/>
                <w:szCs w:val="27"/>
              </w:rPr>
              <w:t xml:space="preserve"> vai izmantojot mobilo aplikāciju</w:t>
            </w:r>
            <w:r w:rsidRPr="00A76CDE">
              <w:rPr>
                <w:sz w:val="27"/>
                <w:szCs w:val="27"/>
              </w:rPr>
              <w:t>, atbrīvojums no kases aparāta lietošanas nav piemērojams, un saņemtā samaksa ir reģistrējama kases aparātā</w:t>
            </w:r>
            <w:r>
              <w:rPr>
                <w:sz w:val="27"/>
                <w:szCs w:val="27"/>
              </w:rPr>
              <w:t>,</w:t>
            </w:r>
            <w:r w:rsidRPr="00A76CDE">
              <w:rPr>
                <w:sz w:val="27"/>
                <w:szCs w:val="27"/>
              </w:rPr>
              <w:t xml:space="preserve"> kā samaksu apliecinošu dokumentu izsniedzot kases čeku.</w:t>
            </w:r>
          </w:p>
          <w:p w14:paraId="546E8459" w14:textId="7CCBE634" w:rsidR="00140819" w:rsidRPr="00A76CDE" w:rsidRDefault="00140819" w:rsidP="00140819">
            <w:pPr>
              <w:ind w:firstLine="312"/>
              <w:jc w:val="both"/>
              <w:rPr>
                <w:sz w:val="27"/>
                <w:szCs w:val="27"/>
              </w:rPr>
            </w:pPr>
            <w:r w:rsidRPr="00A76CDE">
              <w:rPr>
                <w:sz w:val="27"/>
                <w:szCs w:val="27"/>
              </w:rPr>
              <w:t xml:space="preserve">Mūsdienās strauji </w:t>
            </w:r>
            <w:r>
              <w:rPr>
                <w:sz w:val="27"/>
                <w:szCs w:val="27"/>
              </w:rPr>
              <w:t>palielinās</w:t>
            </w:r>
            <w:r w:rsidRPr="00A76CDE">
              <w:rPr>
                <w:sz w:val="27"/>
                <w:szCs w:val="27"/>
              </w:rPr>
              <w:t xml:space="preserve"> pircēju vēlme par pirkumiem norēķināties bezskaidrā naudā, izmantojot maksājumu kartes</w:t>
            </w:r>
            <w:r w:rsidR="00447B96">
              <w:rPr>
                <w:sz w:val="27"/>
                <w:szCs w:val="27"/>
              </w:rPr>
              <w:t xml:space="preserve"> vai mobilās aplikācijas</w:t>
            </w:r>
            <w:r w:rsidRPr="00A76CDE">
              <w:rPr>
                <w:sz w:val="27"/>
                <w:szCs w:val="27"/>
              </w:rPr>
              <w:t>. Piemēram, AS</w:t>
            </w:r>
            <w:r>
              <w:rPr>
                <w:sz w:val="27"/>
                <w:szCs w:val="27"/>
              </w:rPr>
              <w:t> </w:t>
            </w:r>
            <w:r w:rsidRPr="00A76CDE">
              <w:rPr>
                <w:sz w:val="27"/>
                <w:szCs w:val="27"/>
              </w:rPr>
              <w:t>"Swedbank" veiktā izpēte liecina, ka vairums Latvijas iedzīvotāju kaut reizi atteikušies no pirkuma, ja nav bijis iespējas norēķināties ar maksājum</w:t>
            </w:r>
            <w:r>
              <w:rPr>
                <w:sz w:val="27"/>
                <w:szCs w:val="27"/>
              </w:rPr>
              <w:t>u</w:t>
            </w:r>
            <w:r w:rsidRPr="00A76CDE">
              <w:rPr>
                <w:sz w:val="27"/>
                <w:szCs w:val="27"/>
              </w:rPr>
              <w:t xml:space="preserve"> karti. Tāpat iedzīvotāju aptaujā konstatēts, ka 66</w:t>
            </w:r>
            <w:r>
              <w:rPr>
                <w:sz w:val="27"/>
                <w:szCs w:val="27"/>
              </w:rPr>
              <w:t> </w:t>
            </w:r>
            <w:r w:rsidRPr="00A76CDE">
              <w:rPr>
                <w:sz w:val="27"/>
                <w:szCs w:val="27"/>
              </w:rPr>
              <w:t>% Latvijas iedzīvotāju saskārušies ar gadījumiem, kad elektronisko norēķinu trūkums (iespēja norēķināties</w:t>
            </w:r>
            <w:r>
              <w:rPr>
                <w:sz w:val="27"/>
                <w:szCs w:val="27"/>
              </w:rPr>
              <w:t>,</w:t>
            </w:r>
            <w:r w:rsidRPr="00A76CDE">
              <w:rPr>
                <w:sz w:val="27"/>
                <w:szCs w:val="27"/>
              </w:rPr>
              <w:t xml:space="preserve"> izmantojot maksājumu kartes</w:t>
            </w:r>
            <w:r w:rsidR="004F482B">
              <w:rPr>
                <w:sz w:val="27"/>
                <w:szCs w:val="27"/>
              </w:rPr>
              <w:t xml:space="preserve"> vai </w:t>
            </w:r>
            <w:r w:rsidR="004F482B" w:rsidRPr="00EB1FC5">
              <w:rPr>
                <w:sz w:val="27"/>
                <w:szCs w:val="27"/>
              </w:rPr>
              <w:t>mobilās aplikācijas</w:t>
            </w:r>
            <w:r w:rsidRPr="00EB1FC5">
              <w:rPr>
                <w:sz w:val="27"/>
                <w:szCs w:val="27"/>
              </w:rPr>
              <w:t>)</w:t>
            </w:r>
            <w:r w:rsidRPr="00A76CDE">
              <w:rPr>
                <w:sz w:val="27"/>
                <w:szCs w:val="27"/>
              </w:rPr>
              <w:t xml:space="preserve"> viņiem ir licis atteikties no kādu pakalpojumu izmantošanas vai pirkuma</w:t>
            </w:r>
            <w:r>
              <w:rPr>
                <w:sz w:val="27"/>
                <w:szCs w:val="27"/>
              </w:rPr>
              <w:t xml:space="preserve"> </w:t>
            </w:r>
            <w:r w:rsidRPr="00A76CDE">
              <w:rPr>
                <w:sz w:val="27"/>
                <w:szCs w:val="27"/>
              </w:rPr>
              <w:t>veikšanas</w:t>
            </w:r>
            <w:r>
              <w:rPr>
                <w:sz w:val="27"/>
                <w:szCs w:val="27"/>
              </w:rPr>
              <w:t xml:space="preserve"> (sk. </w:t>
            </w:r>
            <w:r w:rsidRPr="00442C62">
              <w:rPr>
                <w:sz w:val="27"/>
                <w:szCs w:val="27"/>
              </w:rPr>
              <w:t>https://businessnetwork.lv/informacija-tirgotajiem/6-</w:t>
            </w:r>
            <w:r w:rsidRPr="00442C62">
              <w:rPr>
                <w:sz w:val="27"/>
                <w:szCs w:val="27"/>
              </w:rPr>
              <w:lastRenderedPageBreak/>
              <w:t>izdevums/bezskaidras-naudas-norekini-veiksmigam-biznesam-49046</w:t>
            </w:r>
            <w:r>
              <w:rPr>
                <w:sz w:val="27"/>
                <w:szCs w:val="27"/>
              </w:rPr>
              <w:t>)</w:t>
            </w:r>
            <w:r w:rsidRPr="00A76CDE">
              <w:rPr>
                <w:sz w:val="27"/>
                <w:szCs w:val="27"/>
              </w:rPr>
              <w:t xml:space="preserve">. </w:t>
            </w:r>
          </w:p>
          <w:p w14:paraId="2ED82D3D" w14:textId="57018113" w:rsidR="00140819" w:rsidRDefault="00140819" w:rsidP="00140819">
            <w:pPr>
              <w:ind w:firstLine="312"/>
              <w:jc w:val="both"/>
              <w:rPr>
                <w:sz w:val="27"/>
                <w:szCs w:val="27"/>
              </w:rPr>
            </w:pPr>
            <w:r w:rsidRPr="007D23F7">
              <w:rPr>
                <w:sz w:val="27"/>
                <w:szCs w:val="27"/>
              </w:rPr>
              <w:t xml:space="preserve">Ministru kabineta 2014.gada 11.februāra noteikumos Nr.96 </w:t>
            </w:r>
            <w:r>
              <w:rPr>
                <w:sz w:val="27"/>
                <w:szCs w:val="27"/>
              </w:rPr>
              <w:t>n</w:t>
            </w:r>
            <w:r w:rsidRPr="00A76CDE">
              <w:rPr>
                <w:sz w:val="27"/>
                <w:szCs w:val="27"/>
              </w:rPr>
              <w:t xml:space="preserve">oteiktie atbrīvojumi kases aparāta, kases sistēmas, specializētas ierīces vai iekārtas lietošanā, saņemot samaksu par darījumiem skaidrā naudā (turpmāk </w:t>
            </w:r>
            <w:r>
              <w:rPr>
                <w:sz w:val="27"/>
                <w:szCs w:val="27"/>
              </w:rPr>
              <w:t>–</w:t>
            </w:r>
            <w:r w:rsidRPr="00A76CDE">
              <w:rPr>
                <w:sz w:val="27"/>
                <w:szCs w:val="27"/>
              </w:rPr>
              <w:t xml:space="preserve"> samaksa), izvērtējot saimnieciskās darbības specifiku un iespējamos riskus, ir noteikti tikai tiem nodokļu maksātājiem, kuriem ir salīdzinoši zems nodokļu nemaksāšanas risks. </w:t>
            </w:r>
            <w:r>
              <w:rPr>
                <w:sz w:val="27"/>
                <w:szCs w:val="27"/>
              </w:rPr>
              <w:t>A</w:t>
            </w:r>
            <w:r w:rsidRPr="00A76CDE">
              <w:rPr>
                <w:sz w:val="27"/>
                <w:szCs w:val="27"/>
              </w:rPr>
              <w:t>tbilstoši šobrīd spēkā esošajam normatīvajam regulējumam</w:t>
            </w:r>
            <w:r>
              <w:rPr>
                <w:sz w:val="27"/>
                <w:szCs w:val="27"/>
              </w:rPr>
              <w:t>,</w:t>
            </w:r>
            <w:r w:rsidRPr="00A76CDE">
              <w:rPr>
                <w:sz w:val="27"/>
                <w:szCs w:val="27"/>
              </w:rPr>
              <w:t xml:space="preserve"> pārd</w:t>
            </w:r>
            <w:r>
              <w:rPr>
                <w:sz w:val="27"/>
                <w:szCs w:val="27"/>
              </w:rPr>
              <w:t>e</w:t>
            </w:r>
            <w:r w:rsidRPr="00A76CDE">
              <w:rPr>
                <w:sz w:val="27"/>
                <w:szCs w:val="27"/>
              </w:rPr>
              <w:t>vējam, kurš vēlas nodrošināt pircējiem iespēju norēķināties ar maksājumu kartēm</w:t>
            </w:r>
            <w:r w:rsidR="00447B96">
              <w:rPr>
                <w:sz w:val="27"/>
                <w:szCs w:val="27"/>
              </w:rPr>
              <w:t xml:space="preserve"> vai izmantojot mobilās aplikācijas</w:t>
            </w:r>
            <w:r w:rsidRPr="00A76CDE">
              <w:rPr>
                <w:sz w:val="27"/>
                <w:szCs w:val="27"/>
              </w:rPr>
              <w:t>, ir jāiegādājas kases aparāts, hibrīda kases aparāts vai kases si</w:t>
            </w:r>
            <w:r>
              <w:rPr>
                <w:sz w:val="27"/>
                <w:szCs w:val="27"/>
              </w:rPr>
              <w:t>s</w:t>
            </w:r>
            <w:r w:rsidRPr="00A76CDE">
              <w:rPr>
                <w:sz w:val="27"/>
                <w:szCs w:val="27"/>
              </w:rPr>
              <w:t>tēma, attiecīgi sedzot tā iegādes un apkalpošanas izmaksas. Latvijas Nacionālajā attīstības plānā 2014.–2020.gadam kā viens no rīcības virzieniem ir noteikts “Izcila uzņēmējdarbības vide”, kura ietvaros cita starpā izvirzīti mērķi saistībā ar administratīvā sloga samazināšanu.</w:t>
            </w:r>
          </w:p>
          <w:p w14:paraId="28597C31" w14:textId="219234E7" w:rsidR="00140819" w:rsidRPr="00A76CDE" w:rsidRDefault="00140819" w:rsidP="00F43601">
            <w:pPr>
              <w:ind w:firstLine="312"/>
              <w:jc w:val="both"/>
              <w:rPr>
                <w:sz w:val="27"/>
                <w:szCs w:val="27"/>
              </w:rPr>
            </w:pPr>
            <w:r w:rsidRPr="00A76CDE">
              <w:rPr>
                <w:sz w:val="27"/>
                <w:szCs w:val="27"/>
              </w:rPr>
              <w:t xml:space="preserve">Lai </w:t>
            </w:r>
            <w:r>
              <w:rPr>
                <w:sz w:val="27"/>
                <w:szCs w:val="27"/>
              </w:rPr>
              <w:t xml:space="preserve">nodokļu maksātājus </w:t>
            </w:r>
            <w:r w:rsidRPr="00A76CDE">
              <w:rPr>
                <w:sz w:val="27"/>
                <w:szCs w:val="27"/>
              </w:rPr>
              <w:t>atbrīvotu no administratīvā sloga un veicinātu uzņēmējdarbību, sniedzot pircējiem dažādas – skaidrā naudā</w:t>
            </w:r>
            <w:r w:rsidR="008B01CF">
              <w:rPr>
                <w:sz w:val="27"/>
                <w:szCs w:val="27"/>
              </w:rPr>
              <w:t>,</w:t>
            </w:r>
            <w:r w:rsidRPr="00A76CDE">
              <w:rPr>
                <w:sz w:val="27"/>
                <w:szCs w:val="27"/>
              </w:rPr>
              <w:t xml:space="preserve"> izmantojot maksājumu kartes</w:t>
            </w:r>
            <w:r w:rsidR="008B01CF">
              <w:rPr>
                <w:sz w:val="27"/>
                <w:szCs w:val="27"/>
              </w:rPr>
              <w:t xml:space="preserve"> vai mobilās aplikācijas</w:t>
            </w:r>
            <w:r w:rsidRPr="00A76CDE">
              <w:rPr>
                <w:sz w:val="27"/>
                <w:szCs w:val="27"/>
              </w:rPr>
              <w:t xml:space="preserve"> – </w:t>
            </w:r>
            <w:r>
              <w:rPr>
                <w:sz w:val="27"/>
                <w:szCs w:val="27"/>
              </w:rPr>
              <w:t>sa</w:t>
            </w:r>
            <w:r w:rsidRPr="00A76CDE">
              <w:rPr>
                <w:sz w:val="27"/>
                <w:szCs w:val="27"/>
              </w:rPr>
              <w:t xml:space="preserve">maksas iespējas, ar </w:t>
            </w:r>
            <w:r w:rsidR="00A27A45">
              <w:rPr>
                <w:sz w:val="27"/>
                <w:szCs w:val="27"/>
              </w:rPr>
              <w:t>noteikumu</w:t>
            </w:r>
            <w:r w:rsidRPr="00A76CDE">
              <w:rPr>
                <w:sz w:val="27"/>
                <w:szCs w:val="27"/>
              </w:rPr>
              <w:t xml:space="preserve"> projektu Ministru kabineta 2014.gada 11.</w:t>
            </w:r>
            <w:r w:rsidRPr="006F2C68">
              <w:rPr>
                <w:sz w:val="27"/>
                <w:szCs w:val="27"/>
              </w:rPr>
              <w:t>februāra noteikum</w:t>
            </w:r>
            <w:r w:rsidR="00F43601">
              <w:rPr>
                <w:sz w:val="27"/>
                <w:szCs w:val="27"/>
              </w:rPr>
              <w:t>u</w:t>
            </w:r>
            <w:r w:rsidRPr="006F2C68">
              <w:rPr>
                <w:sz w:val="27"/>
                <w:szCs w:val="27"/>
              </w:rPr>
              <w:t xml:space="preserve"> Nr.96 </w:t>
            </w:r>
            <w:r w:rsidRPr="006F2C68">
              <w:rPr>
                <w:b/>
                <w:sz w:val="27"/>
                <w:szCs w:val="27"/>
              </w:rPr>
              <w:t>82.punkts</w:t>
            </w:r>
            <w:r w:rsidR="00A736C8" w:rsidRPr="006F2C68">
              <w:rPr>
                <w:sz w:val="27"/>
                <w:szCs w:val="27"/>
              </w:rPr>
              <w:t xml:space="preserve"> </w:t>
            </w:r>
            <w:r w:rsidR="00F43601">
              <w:rPr>
                <w:sz w:val="27"/>
                <w:szCs w:val="27"/>
              </w:rPr>
              <w:t xml:space="preserve">ir </w:t>
            </w:r>
            <w:r w:rsidR="00A736C8" w:rsidRPr="006F2C68">
              <w:rPr>
                <w:sz w:val="27"/>
                <w:szCs w:val="27"/>
              </w:rPr>
              <w:t>papildināts ar vārdiem “</w:t>
            </w:r>
            <w:r w:rsidR="007D3EE3">
              <w:rPr>
                <w:sz w:val="27"/>
                <w:szCs w:val="27"/>
              </w:rPr>
              <w:t xml:space="preserve">vai </w:t>
            </w:r>
            <w:r w:rsidR="00A736C8" w:rsidRPr="006F2C68">
              <w:rPr>
                <w:sz w:val="27"/>
                <w:szCs w:val="27"/>
              </w:rPr>
              <w:t>maksājumu kartēm</w:t>
            </w:r>
            <w:r w:rsidR="007D3EE3">
              <w:rPr>
                <w:sz w:val="27"/>
                <w:szCs w:val="27"/>
              </w:rPr>
              <w:t>,</w:t>
            </w:r>
            <w:r w:rsidR="008B01CF">
              <w:rPr>
                <w:sz w:val="27"/>
                <w:szCs w:val="27"/>
              </w:rPr>
              <w:t xml:space="preserve"> vai izmantojot mobilās aplikācijas</w:t>
            </w:r>
            <w:r w:rsidR="00A736C8" w:rsidRPr="006F2C68">
              <w:rPr>
                <w:sz w:val="27"/>
                <w:szCs w:val="27"/>
              </w:rPr>
              <w:t>”</w:t>
            </w:r>
            <w:r w:rsidRPr="006F2C68">
              <w:rPr>
                <w:sz w:val="27"/>
                <w:szCs w:val="27"/>
              </w:rPr>
              <w:t>, lai papildus spēkā esošajam regulējumam noteiktu to, ka arī gadījumos, kad pircējs norēķinās par darījumu ar maksājumu karti</w:t>
            </w:r>
            <w:r w:rsidR="00B90C54">
              <w:rPr>
                <w:sz w:val="27"/>
                <w:szCs w:val="27"/>
              </w:rPr>
              <w:t xml:space="preserve"> vai izmantojot mobilās aplikāc</w:t>
            </w:r>
            <w:r w:rsidR="008B01CF">
              <w:rPr>
                <w:sz w:val="27"/>
                <w:szCs w:val="27"/>
              </w:rPr>
              <w:t>ijas</w:t>
            </w:r>
            <w:r w:rsidRPr="006F2C68">
              <w:rPr>
                <w:sz w:val="27"/>
                <w:szCs w:val="27"/>
              </w:rPr>
              <w:t>, saņemtā samaksa var būt</w:t>
            </w:r>
            <w:r w:rsidRPr="00A76CDE">
              <w:rPr>
                <w:sz w:val="27"/>
                <w:szCs w:val="27"/>
              </w:rPr>
              <w:t xml:space="preserve"> apliecināma</w:t>
            </w:r>
            <w:r>
              <w:rPr>
                <w:sz w:val="27"/>
                <w:szCs w:val="27"/>
              </w:rPr>
              <w:t>,</w:t>
            </w:r>
            <w:r w:rsidRPr="00A76CDE">
              <w:rPr>
                <w:sz w:val="27"/>
                <w:szCs w:val="27"/>
              </w:rPr>
              <w:t xml:space="preserve"> izsniedzot numurētu Valsts ieņēmumu dienestā reģistrēto kvīti vai numurētu Valsts ieņēmumu dienestā reģistrēto biļeti</w:t>
            </w:r>
            <w:r w:rsidR="00F43601">
              <w:rPr>
                <w:sz w:val="27"/>
                <w:szCs w:val="27"/>
              </w:rPr>
              <w:t>.</w:t>
            </w:r>
          </w:p>
          <w:p w14:paraId="56BB7F20" w14:textId="6799903C" w:rsidR="00400897" w:rsidRDefault="00360154" w:rsidP="003963C8">
            <w:pPr>
              <w:ind w:firstLine="284"/>
              <w:jc w:val="both"/>
              <w:rPr>
                <w:sz w:val="27"/>
                <w:szCs w:val="27"/>
              </w:rPr>
            </w:pPr>
            <w:r w:rsidRPr="00A76CDE">
              <w:rPr>
                <w:sz w:val="27"/>
                <w:szCs w:val="27"/>
              </w:rPr>
              <w:t xml:space="preserve">Likuma </w:t>
            </w:r>
            <w:r w:rsidR="00DE01EE" w:rsidRPr="00DE01EE">
              <w:rPr>
                <w:sz w:val="27"/>
                <w:szCs w:val="27"/>
              </w:rPr>
              <w:t>"</w:t>
            </w:r>
            <w:r w:rsidRPr="00A76CDE">
              <w:rPr>
                <w:sz w:val="27"/>
                <w:szCs w:val="27"/>
              </w:rPr>
              <w:t>Par nodokļiem un nodevām</w:t>
            </w:r>
            <w:r w:rsidR="00DE01EE" w:rsidRPr="00DE01EE">
              <w:rPr>
                <w:sz w:val="27"/>
                <w:szCs w:val="27"/>
              </w:rPr>
              <w:t>"</w:t>
            </w:r>
            <w:r w:rsidRPr="00A76CDE">
              <w:rPr>
                <w:sz w:val="27"/>
                <w:szCs w:val="27"/>
              </w:rPr>
              <w:t xml:space="preserve"> 28.</w:t>
            </w:r>
            <w:r w:rsidRPr="00A76CDE">
              <w:rPr>
                <w:sz w:val="27"/>
                <w:szCs w:val="27"/>
                <w:vertAlign w:val="superscript"/>
              </w:rPr>
              <w:t>1</w:t>
            </w:r>
            <w:r w:rsidRPr="00A76CDE">
              <w:rPr>
                <w:sz w:val="27"/>
                <w:szCs w:val="27"/>
              </w:rPr>
              <w:t>panta 4.</w:t>
            </w:r>
            <w:r w:rsidRPr="00A76CDE">
              <w:rPr>
                <w:sz w:val="27"/>
                <w:szCs w:val="27"/>
                <w:vertAlign w:val="superscript"/>
              </w:rPr>
              <w:t>1</w:t>
            </w:r>
            <w:r w:rsidR="00BB4ED4" w:rsidRPr="00A76CDE">
              <w:rPr>
                <w:sz w:val="27"/>
                <w:szCs w:val="27"/>
              </w:rPr>
              <w:t>daļā</w:t>
            </w:r>
            <w:r w:rsidRPr="00A76CDE">
              <w:rPr>
                <w:sz w:val="27"/>
                <w:szCs w:val="27"/>
              </w:rPr>
              <w:t xml:space="preserve"> noteikts, ka nodokļu maksātāji drīkst lietot elektroniskās ierīces un iekārtas, kuras atbilst nodokļu un citu maksājumu reģistrēšanas elektronisko ierīču un iekārtu tehniskajām prasībām un kurām ir veikta atbilstības pārbaude. Elektronisko ierīču un iekārtu apkalpošanu drīkst veikt apkalpojošais dienests, kuram ir veikta normatīvajos aktos noteiktā atbilstības pārbaude.</w:t>
            </w:r>
          </w:p>
          <w:p w14:paraId="704143AD" w14:textId="41F51FF4" w:rsidR="003963C8" w:rsidRDefault="00400897" w:rsidP="003963C8">
            <w:pPr>
              <w:ind w:firstLine="284"/>
              <w:jc w:val="both"/>
              <w:rPr>
                <w:sz w:val="27"/>
                <w:szCs w:val="27"/>
              </w:rPr>
            </w:pPr>
            <w:r>
              <w:rPr>
                <w:sz w:val="27"/>
                <w:szCs w:val="27"/>
              </w:rPr>
              <w:t xml:space="preserve">1. </w:t>
            </w:r>
            <w:r w:rsidR="00291A33" w:rsidRPr="00A76CDE">
              <w:rPr>
                <w:sz w:val="27"/>
                <w:szCs w:val="27"/>
              </w:rPr>
              <w:t xml:space="preserve">Apkalpojošais dienests </w:t>
            </w:r>
            <w:r w:rsidR="00204F18">
              <w:rPr>
                <w:sz w:val="27"/>
                <w:szCs w:val="27"/>
              </w:rPr>
              <w:t xml:space="preserve">ir </w:t>
            </w:r>
            <w:r w:rsidR="00183FEB">
              <w:rPr>
                <w:sz w:val="27"/>
                <w:szCs w:val="27"/>
              </w:rPr>
              <w:t>komersants</w:t>
            </w:r>
            <w:r w:rsidR="00291A33" w:rsidRPr="00A76CDE">
              <w:rPr>
                <w:sz w:val="27"/>
                <w:szCs w:val="27"/>
              </w:rPr>
              <w:t xml:space="preserve">, kas veic noteiktajām tehniskajām prasībām atbilstošu kases aparātu, hibrīda kases aparātu, kases sistēmu, </w:t>
            </w:r>
            <w:r w:rsidR="00291A33" w:rsidRPr="00A76CDE">
              <w:rPr>
                <w:sz w:val="27"/>
                <w:szCs w:val="27"/>
              </w:rPr>
              <w:lastRenderedPageBreak/>
              <w:t xml:space="preserve">specializēto ierīču un iekārtu apkalpošanu. Pirms darbības uzsākšanas tam jāreģistrējas Valsts ieņēmumu dienesta vienotajā datubāzē (reģistrā). </w:t>
            </w:r>
          </w:p>
          <w:p w14:paraId="510759E2" w14:textId="6F5ABA17" w:rsidR="00291A33" w:rsidRPr="00A76CDE" w:rsidRDefault="003963C8" w:rsidP="003B787C">
            <w:pPr>
              <w:ind w:firstLine="284"/>
              <w:jc w:val="both"/>
              <w:rPr>
                <w:sz w:val="27"/>
                <w:szCs w:val="27"/>
              </w:rPr>
            </w:pPr>
            <w:r>
              <w:rPr>
                <w:sz w:val="27"/>
                <w:szCs w:val="27"/>
              </w:rPr>
              <w:t>Ar Ministru kabineta 2015.gada 15.decembra</w:t>
            </w:r>
            <w:r w:rsidRPr="003963C8">
              <w:rPr>
                <w:sz w:val="27"/>
                <w:szCs w:val="27"/>
              </w:rPr>
              <w:t xml:space="preserve"> </w:t>
            </w:r>
            <w:r>
              <w:rPr>
                <w:sz w:val="27"/>
                <w:szCs w:val="27"/>
              </w:rPr>
              <w:t>noteikumiem</w:t>
            </w:r>
            <w:r w:rsidRPr="003963C8">
              <w:rPr>
                <w:sz w:val="27"/>
                <w:szCs w:val="27"/>
              </w:rPr>
              <w:t xml:space="preserve"> Nr.744</w:t>
            </w:r>
            <w:r w:rsidR="003B787C">
              <w:rPr>
                <w:sz w:val="27"/>
                <w:szCs w:val="27"/>
              </w:rPr>
              <w:t xml:space="preserve"> </w:t>
            </w:r>
            <w:r w:rsidR="00B21087" w:rsidRPr="00B21087">
              <w:rPr>
                <w:sz w:val="27"/>
                <w:szCs w:val="27"/>
              </w:rPr>
              <w:t>"</w:t>
            </w:r>
            <w:r w:rsidRPr="003963C8">
              <w:rPr>
                <w:sz w:val="27"/>
                <w:szCs w:val="27"/>
              </w:rPr>
              <w:t>Grozījumi Ministru kabineta 2014.gada 11.februāra noteikumos Nr.96 "Nodokļu un citu maksājumu reģistrēšanas elektronisko ierīču un iekārtu lietošanas kārtība"</w:t>
            </w:r>
            <w:r w:rsidR="00B21087" w:rsidRPr="00B21087">
              <w:rPr>
                <w:sz w:val="27"/>
                <w:szCs w:val="27"/>
              </w:rPr>
              <w:t>"</w:t>
            </w:r>
            <w:r>
              <w:rPr>
                <w:sz w:val="27"/>
                <w:szCs w:val="27"/>
              </w:rPr>
              <w:t xml:space="preserve"> n</w:t>
            </w:r>
            <w:r w:rsidR="00291A33" w:rsidRPr="00A76CDE">
              <w:rPr>
                <w:sz w:val="27"/>
                <w:szCs w:val="27"/>
              </w:rPr>
              <w:t xml:space="preserve">o </w:t>
            </w:r>
            <w:r w:rsidR="003B5DDA" w:rsidRPr="00A76CDE">
              <w:rPr>
                <w:sz w:val="27"/>
                <w:szCs w:val="27"/>
              </w:rPr>
              <w:t>2016.</w:t>
            </w:r>
            <w:r w:rsidR="00291A33" w:rsidRPr="00A76CDE">
              <w:rPr>
                <w:sz w:val="27"/>
                <w:szCs w:val="27"/>
              </w:rPr>
              <w:t>gada 1.jūlija ir spēkā</w:t>
            </w:r>
            <w:r w:rsidR="00BB4ED4" w:rsidRPr="00A76CDE">
              <w:rPr>
                <w:sz w:val="27"/>
                <w:szCs w:val="27"/>
              </w:rPr>
              <w:t xml:space="preserve"> jaunas prasības, kuras apkalpojošam dienestam jāizpilda, lai tas tiktu reģistrēts Valsts ieņēmumu dienesta vienotajā datubāzē (reģistrā).</w:t>
            </w:r>
            <w:r w:rsidR="00291A33" w:rsidRPr="00A76CDE">
              <w:rPr>
                <w:sz w:val="27"/>
                <w:szCs w:val="27"/>
              </w:rPr>
              <w:t xml:space="preserve"> </w:t>
            </w:r>
            <w:r w:rsidR="003B787C">
              <w:rPr>
                <w:sz w:val="27"/>
                <w:szCs w:val="27"/>
              </w:rPr>
              <w:t>Atbilstoši</w:t>
            </w:r>
            <w:r>
              <w:rPr>
                <w:sz w:val="27"/>
                <w:szCs w:val="27"/>
              </w:rPr>
              <w:t xml:space="preserve"> </w:t>
            </w:r>
            <w:r w:rsidR="003B787C">
              <w:rPr>
                <w:sz w:val="27"/>
                <w:szCs w:val="27"/>
              </w:rPr>
              <w:t xml:space="preserve">jaunajām </w:t>
            </w:r>
            <w:r>
              <w:rPr>
                <w:sz w:val="27"/>
                <w:szCs w:val="27"/>
              </w:rPr>
              <w:t>prasībām šobrīd</w:t>
            </w:r>
            <w:r w:rsidR="00183FEB">
              <w:rPr>
                <w:sz w:val="27"/>
                <w:szCs w:val="27"/>
              </w:rPr>
              <w:t>,</w:t>
            </w:r>
            <w:r>
              <w:rPr>
                <w:sz w:val="27"/>
                <w:szCs w:val="27"/>
              </w:rPr>
              <w:t xml:space="preserve"> r</w:t>
            </w:r>
            <w:r w:rsidR="00075627" w:rsidRPr="00A76CDE">
              <w:rPr>
                <w:sz w:val="27"/>
                <w:szCs w:val="27"/>
              </w:rPr>
              <w:t xml:space="preserve">eģistrējoties </w:t>
            </w:r>
            <w:r w:rsidR="006844EB">
              <w:rPr>
                <w:sz w:val="27"/>
                <w:szCs w:val="27"/>
              </w:rPr>
              <w:t>Valsts ieņēmumu dienesta vienotajā datubāzē</w:t>
            </w:r>
            <w:r w:rsidR="00DE01EE">
              <w:rPr>
                <w:sz w:val="27"/>
                <w:szCs w:val="27"/>
              </w:rPr>
              <w:t>,</w:t>
            </w:r>
            <w:r w:rsidR="00BB4ED4" w:rsidRPr="00A76CDE">
              <w:rPr>
                <w:sz w:val="27"/>
                <w:szCs w:val="27"/>
              </w:rPr>
              <w:t xml:space="preserve"> </w:t>
            </w:r>
            <w:r w:rsidR="003B787C">
              <w:rPr>
                <w:sz w:val="27"/>
                <w:szCs w:val="27"/>
              </w:rPr>
              <w:t xml:space="preserve">ir </w:t>
            </w:r>
            <w:r w:rsidR="00BB4ED4" w:rsidRPr="00A76CDE">
              <w:rPr>
                <w:sz w:val="27"/>
                <w:szCs w:val="27"/>
              </w:rPr>
              <w:t xml:space="preserve">jāiesniedz arī spēkā esošs līgums (vai tā kopija), kas apliecina, ka tiek nodrošināta drošības garantija (apdrošināšana vai bankas garantija), ar kuru tās sniedzējs pēc Valsts ieņēmumu dienesta pieprasījuma apņemas samaksāt valsts budžetam nodarīto zaudējumu (budžetā nesamaksāto nodokļu un valsts noteikto maksājumu) summu, ja attiecīgais apkalpojošais dienests profesionālās darbības vai bezdarbības dēļ neizpilda normatīvajos aktos noteiktās prasības. Drošības garantijas summa ir 50 000 </w:t>
            </w:r>
            <w:r w:rsidR="00BB4ED4" w:rsidRPr="00A76CDE">
              <w:rPr>
                <w:i/>
                <w:sz w:val="27"/>
                <w:szCs w:val="27"/>
              </w:rPr>
              <w:t>euro</w:t>
            </w:r>
            <w:r w:rsidR="00BB4ED4" w:rsidRPr="00A76CDE">
              <w:rPr>
                <w:sz w:val="27"/>
                <w:szCs w:val="27"/>
              </w:rPr>
              <w:t xml:space="preserve"> pirmajā gadā, katrā nākamajā gadā pieskaitot 50 </w:t>
            </w:r>
            <w:r w:rsidR="00BB4ED4" w:rsidRPr="00A76CDE">
              <w:rPr>
                <w:i/>
                <w:sz w:val="27"/>
                <w:szCs w:val="27"/>
              </w:rPr>
              <w:t>euro</w:t>
            </w:r>
            <w:r w:rsidR="00BB4ED4" w:rsidRPr="00A76CDE">
              <w:rPr>
                <w:sz w:val="27"/>
                <w:szCs w:val="27"/>
              </w:rPr>
              <w:t xml:space="preserve"> par katru apkalpojamo kases aparātu, hibrīda kases aparātu, kases sistēmu, specializēto ierīci un iekārtu.</w:t>
            </w:r>
            <w:r w:rsidR="0021262F" w:rsidRPr="00A76CDE">
              <w:rPr>
                <w:sz w:val="27"/>
                <w:szCs w:val="27"/>
              </w:rPr>
              <w:t xml:space="preserve"> </w:t>
            </w:r>
          </w:p>
          <w:p w14:paraId="22102080" w14:textId="133E05E2" w:rsidR="00BB4ED4" w:rsidRPr="00A76CDE" w:rsidRDefault="00FE00CD" w:rsidP="00291A33">
            <w:pPr>
              <w:ind w:firstLine="284"/>
              <w:jc w:val="both"/>
              <w:rPr>
                <w:sz w:val="27"/>
                <w:szCs w:val="27"/>
              </w:rPr>
            </w:pPr>
            <w:r>
              <w:rPr>
                <w:sz w:val="27"/>
                <w:szCs w:val="27"/>
              </w:rPr>
              <w:t>Savukārt</w:t>
            </w:r>
            <w:r w:rsidR="0021262F" w:rsidRPr="00205597">
              <w:rPr>
                <w:sz w:val="27"/>
                <w:szCs w:val="27"/>
              </w:rPr>
              <w:t xml:space="preserve"> apkalpojošajiem dienestiem, kuri līdz 2016.gada 30.jūnijam </w:t>
            </w:r>
            <w:r w:rsidR="00B45BC3" w:rsidRPr="00205597">
              <w:rPr>
                <w:sz w:val="27"/>
                <w:szCs w:val="27"/>
              </w:rPr>
              <w:t>tik</w:t>
            </w:r>
            <w:r>
              <w:rPr>
                <w:sz w:val="27"/>
                <w:szCs w:val="27"/>
              </w:rPr>
              <w:t>a</w:t>
            </w:r>
            <w:r w:rsidR="00F001CF" w:rsidRPr="00205597">
              <w:rPr>
                <w:sz w:val="27"/>
                <w:szCs w:val="27"/>
              </w:rPr>
              <w:t xml:space="preserve"> </w:t>
            </w:r>
            <w:r w:rsidR="0021262F" w:rsidRPr="00205597">
              <w:rPr>
                <w:sz w:val="27"/>
                <w:szCs w:val="27"/>
              </w:rPr>
              <w:t>reģistrēti Valsts ieņēmumu dienesta vienotajā datubāzē (reģistrā)</w:t>
            </w:r>
            <w:r w:rsidR="00DE01EE" w:rsidRPr="00205597">
              <w:rPr>
                <w:sz w:val="27"/>
                <w:szCs w:val="27"/>
              </w:rPr>
              <w:t>,</w:t>
            </w:r>
            <w:r w:rsidR="0021262F" w:rsidRPr="00205597">
              <w:rPr>
                <w:sz w:val="27"/>
                <w:szCs w:val="27"/>
              </w:rPr>
              <w:t xml:space="preserve"> </w:t>
            </w:r>
            <w:r>
              <w:rPr>
                <w:sz w:val="27"/>
                <w:szCs w:val="27"/>
              </w:rPr>
              <w:t>ir</w:t>
            </w:r>
            <w:r w:rsidR="0021262F" w:rsidRPr="00205597">
              <w:rPr>
                <w:sz w:val="27"/>
                <w:szCs w:val="27"/>
              </w:rPr>
              <w:t xml:space="preserve"> jāveic pārreģistrācija atbilstoši jaunajām prasībām, iesniedzot arī līgumu, kas apliecina nodrošināto drošības garantiju. Pārreģistrācij</w:t>
            </w:r>
            <w:r w:rsidR="004F482B">
              <w:rPr>
                <w:sz w:val="27"/>
                <w:szCs w:val="27"/>
              </w:rPr>
              <w:t>a</w:t>
            </w:r>
            <w:r w:rsidR="0021262F" w:rsidRPr="00205597">
              <w:rPr>
                <w:sz w:val="27"/>
                <w:szCs w:val="27"/>
              </w:rPr>
              <w:t xml:space="preserve"> </w:t>
            </w:r>
            <w:r>
              <w:rPr>
                <w:sz w:val="27"/>
                <w:szCs w:val="27"/>
              </w:rPr>
              <w:t>ir</w:t>
            </w:r>
            <w:r w:rsidR="00B45BC3" w:rsidRPr="00205597">
              <w:rPr>
                <w:sz w:val="27"/>
                <w:szCs w:val="27"/>
              </w:rPr>
              <w:t xml:space="preserve"> jā</w:t>
            </w:r>
            <w:r w:rsidR="0021262F" w:rsidRPr="00205597">
              <w:rPr>
                <w:sz w:val="27"/>
                <w:szCs w:val="27"/>
              </w:rPr>
              <w:t>veic līdz 2016.gada 31.decembrim.</w:t>
            </w:r>
          </w:p>
          <w:p w14:paraId="5FBB8978" w14:textId="4D747C48" w:rsidR="003B5DDA" w:rsidRPr="00A76CDE" w:rsidRDefault="00F001CF" w:rsidP="003C4E25">
            <w:pPr>
              <w:ind w:firstLine="230"/>
              <w:jc w:val="both"/>
              <w:rPr>
                <w:sz w:val="27"/>
                <w:szCs w:val="27"/>
              </w:rPr>
            </w:pPr>
            <w:r w:rsidRPr="00A76CDE">
              <w:rPr>
                <w:sz w:val="27"/>
                <w:szCs w:val="27"/>
              </w:rPr>
              <w:t xml:space="preserve">2. </w:t>
            </w:r>
            <w:r w:rsidR="00FE00CD" w:rsidRPr="00FE00CD">
              <w:rPr>
                <w:sz w:val="27"/>
                <w:szCs w:val="27"/>
              </w:rPr>
              <w:t xml:space="preserve">Ar Ministru kabineta 2015.gada 15.decembra noteikumiem Nr.744 </w:t>
            </w:r>
            <w:r w:rsidR="00B21087" w:rsidRPr="00B21087">
              <w:rPr>
                <w:sz w:val="27"/>
                <w:szCs w:val="27"/>
              </w:rPr>
              <w:t>"</w:t>
            </w:r>
            <w:r w:rsidR="00FE00CD" w:rsidRPr="00FE00CD">
              <w:rPr>
                <w:sz w:val="27"/>
                <w:szCs w:val="27"/>
              </w:rPr>
              <w:t>Grozījumi Ministru kabineta 2014.gada 11.februāra noteikumos Nr.96 "Nodokļu un citu maksājumu reģistrēšanas elektronisko ierīču un iekārtu lietošanas kārtība"</w:t>
            </w:r>
            <w:r w:rsidR="00B21087" w:rsidRPr="00B21087">
              <w:rPr>
                <w:sz w:val="27"/>
                <w:szCs w:val="27"/>
              </w:rPr>
              <w:t>"</w:t>
            </w:r>
            <w:r w:rsidR="00FE00CD" w:rsidRPr="00FE00CD">
              <w:rPr>
                <w:sz w:val="27"/>
                <w:szCs w:val="27"/>
              </w:rPr>
              <w:t xml:space="preserve"> </w:t>
            </w:r>
            <w:r w:rsidR="00FE00CD">
              <w:rPr>
                <w:sz w:val="27"/>
                <w:szCs w:val="27"/>
              </w:rPr>
              <w:t>n</w:t>
            </w:r>
            <w:r w:rsidR="003B5DDA" w:rsidRPr="00A76CDE">
              <w:rPr>
                <w:sz w:val="27"/>
                <w:szCs w:val="27"/>
              </w:rPr>
              <w:t>o 2016.g</w:t>
            </w:r>
            <w:r w:rsidRPr="00A76CDE">
              <w:rPr>
                <w:sz w:val="27"/>
                <w:szCs w:val="27"/>
              </w:rPr>
              <w:t>ada 1.jūlija ir spēkā jaunas prasības</w:t>
            </w:r>
            <w:r w:rsidR="003B5DDA" w:rsidRPr="00A76CDE">
              <w:rPr>
                <w:sz w:val="27"/>
                <w:szCs w:val="27"/>
              </w:rPr>
              <w:t xml:space="preserve">, </w:t>
            </w:r>
            <w:r w:rsidR="004F482B">
              <w:rPr>
                <w:sz w:val="27"/>
                <w:szCs w:val="27"/>
              </w:rPr>
              <w:t>kas</w:t>
            </w:r>
            <w:r w:rsidR="003B5DDA" w:rsidRPr="00A76CDE">
              <w:rPr>
                <w:sz w:val="27"/>
                <w:szCs w:val="27"/>
              </w:rPr>
              <w:t xml:space="preserve"> nosaka kases aparātu, hibrīda kases aparātu, kases sistēmu, specializēto ierīču un iekārtu modeļa (modifikācijas), programmas versijas atbilstības pārbaudes veikšanu un prasības Valsts ieņēmumu dienesta vienotajā datubāzē (reģistrā) reģistrējam</w:t>
            </w:r>
            <w:r w:rsidRPr="00A76CDE">
              <w:rPr>
                <w:sz w:val="27"/>
                <w:szCs w:val="27"/>
              </w:rPr>
              <w:t>a</w:t>
            </w:r>
            <w:r w:rsidR="003B5DDA" w:rsidRPr="00A76CDE">
              <w:rPr>
                <w:sz w:val="27"/>
                <w:szCs w:val="27"/>
              </w:rPr>
              <w:t>i institūcijai, kura veiks atbilstības pārbaudes.</w:t>
            </w:r>
          </w:p>
          <w:p w14:paraId="0E8DE016" w14:textId="6C268172" w:rsidR="00204F18" w:rsidRDefault="003B5DDA" w:rsidP="00FE00CD">
            <w:pPr>
              <w:ind w:firstLine="312"/>
              <w:jc w:val="both"/>
            </w:pPr>
            <w:r w:rsidRPr="00A76CDE">
              <w:rPr>
                <w:sz w:val="27"/>
                <w:szCs w:val="27"/>
              </w:rPr>
              <w:t>Atbilstības pārbaudes institūcija</w:t>
            </w:r>
            <w:r w:rsidR="00DE01EE">
              <w:rPr>
                <w:sz w:val="27"/>
                <w:szCs w:val="27"/>
              </w:rPr>
              <w:t>i ir</w:t>
            </w:r>
            <w:r w:rsidRPr="00A76CDE">
              <w:rPr>
                <w:sz w:val="27"/>
                <w:szCs w:val="27"/>
              </w:rPr>
              <w:t xml:space="preserve"> </w:t>
            </w:r>
            <w:r w:rsidR="00075627" w:rsidRPr="00A76CDE">
              <w:rPr>
                <w:sz w:val="27"/>
                <w:szCs w:val="27"/>
              </w:rPr>
              <w:t>noteikt</w:t>
            </w:r>
            <w:r w:rsidR="00DE01EE">
              <w:rPr>
                <w:sz w:val="27"/>
                <w:szCs w:val="27"/>
              </w:rPr>
              <w:t>s</w:t>
            </w:r>
            <w:r w:rsidR="00075627" w:rsidRPr="00A76CDE">
              <w:rPr>
                <w:sz w:val="27"/>
                <w:szCs w:val="27"/>
              </w:rPr>
              <w:t xml:space="preserve"> </w:t>
            </w:r>
            <w:r w:rsidRPr="00A76CDE">
              <w:rPr>
                <w:sz w:val="27"/>
                <w:szCs w:val="27"/>
              </w:rPr>
              <w:t xml:space="preserve">uzdevums  pārbaudīt kases aparāta, hibrīda kases </w:t>
            </w:r>
            <w:r w:rsidRPr="00A76CDE">
              <w:rPr>
                <w:sz w:val="27"/>
                <w:szCs w:val="27"/>
              </w:rPr>
              <w:lastRenderedPageBreak/>
              <w:t xml:space="preserve">aparāta, kases sistēmas, specializētās ierīces un iekārtas modeļa, modifikācijas vai programmas versijas atbilstību </w:t>
            </w:r>
            <w:r w:rsidR="00204F18" w:rsidRPr="00204F18">
              <w:rPr>
                <w:sz w:val="27"/>
                <w:szCs w:val="27"/>
              </w:rPr>
              <w:t>Ministru kabineta 2014.gada 11.februāra noteikum</w:t>
            </w:r>
            <w:r w:rsidR="00DE01EE">
              <w:rPr>
                <w:sz w:val="27"/>
                <w:szCs w:val="27"/>
              </w:rPr>
              <w:t xml:space="preserve">os Nr.96 </w:t>
            </w:r>
            <w:r w:rsidR="00204F18">
              <w:rPr>
                <w:sz w:val="27"/>
                <w:szCs w:val="27"/>
              </w:rPr>
              <w:t>un</w:t>
            </w:r>
            <w:r w:rsidR="00204F18" w:rsidRPr="00204F18">
              <w:rPr>
                <w:sz w:val="27"/>
                <w:szCs w:val="27"/>
              </w:rPr>
              <w:t xml:space="preserve"> Ministru kabineta 2014.gada 11.februāra noteikum</w:t>
            </w:r>
            <w:r w:rsidR="00DE01EE">
              <w:rPr>
                <w:sz w:val="27"/>
                <w:szCs w:val="27"/>
              </w:rPr>
              <w:t xml:space="preserve">os Nr.95 </w:t>
            </w:r>
            <w:r w:rsidR="00DE01EE" w:rsidRPr="00DE01EE">
              <w:rPr>
                <w:sz w:val="27"/>
                <w:szCs w:val="27"/>
              </w:rPr>
              <w:t>"</w:t>
            </w:r>
            <w:r w:rsidR="00204F18" w:rsidRPr="00204F18">
              <w:rPr>
                <w:sz w:val="27"/>
                <w:szCs w:val="27"/>
              </w:rPr>
              <w:t>Noteikumi par nodokļu un citu maksājumu reģistrēšanas elektronisko ierīču un iekārtu tehniskajām prasībām</w:t>
            </w:r>
            <w:r w:rsidR="00DE01EE" w:rsidRPr="00DE01EE">
              <w:rPr>
                <w:sz w:val="27"/>
                <w:szCs w:val="27"/>
              </w:rPr>
              <w:t>"</w:t>
            </w:r>
            <w:r w:rsidR="00204F18">
              <w:rPr>
                <w:sz w:val="27"/>
                <w:szCs w:val="27"/>
              </w:rPr>
              <w:t xml:space="preserve"> noteiktajām</w:t>
            </w:r>
            <w:r w:rsidR="00204F18" w:rsidRPr="00A76CDE">
              <w:rPr>
                <w:sz w:val="27"/>
                <w:szCs w:val="27"/>
              </w:rPr>
              <w:t xml:space="preserve"> </w:t>
            </w:r>
            <w:r w:rsidR="00DE01EE" w:rsidRPr="00A76CDE">
              <w:rPr>
                <w:sz w:val="27"/>
                <w:szCs w:val="27"/>
              </w:rPr>
              <w:t>nodokļu un citu maksājumu reģistrēšanas elektronisko ierīču un iekārtu</w:t>
            </w:r>
            <w:r w:rsidR="00DE01EE">
              <w:rPr>
                <w:sz w:val="27"/>
                <w:szCs w:val="27"/>
              </w:rPr>
              <w:t xml:space="preserve"> </w:t>
            </w:r>
            <w:r w:rsidRPr="00A76CDE">
              <w:rPr>
                <w:sz w:val="27"/>
                <w:szCs w:val="27"/>
              </w:rPr>
              <w:t xml:space="preserve">prasībām un izsniegt </w:t>
            </w:r>
            <w:r w:rsidR="00F001CF" w:rsidRPr="00A76CDE">
              <w:rPr>
                <w:sz w:val="27"/>
                <w:szCs w:val="27"/>
              </w:rPr>
              <w:t xml:space="preserve">attiecīgu </w:t>
            </w:r>
            <w:r w:rsidRPr="00A76CDE">
              <w:rPr>
                <w:sz w:val="27"/>
                <w:szCs w:val="27"/>
              </w:rPr>
              <w:t xml:space="preserve">atbilstības apliecinājumu. </w:t>
            </w:r>
            <w:r w:rsidR="00204F18">
              <w:t xml:space="preserve"> </w:t>
            </w:r>
          </w:p>
          <w:p w14:paraId="5E0A893A" w14:textId="1CAD7B82" w:rsidR="003B5DDA" w:rsidRPr="00A76CDE" w:rsidRDefault="003B5DDA" w:rsidP="00FE00CD">
            <w:pPr>
              <w:ind w:firstLine="312"/>
              <w:jc w:val="both"/>
              <w:rPr>
                <w:sz w:val="27"/>
                <w:szCs w:val="27"/>
              </w:rPr>
            </w:pPr>
            <w:r w:rsidRPr="00A76CDE">
              <w:rPr>
                <w:sz w:val="27"/>
                <w:szCs w:val="27"/>
              </w:rPr>
              <w:t>Atbilstības pārbaudes institūcija</w:t>
            </w:r>
            <w:r w:rsidR="00DE01EE">
              <w:rPr>
                <w:sz w:val="27"/>
                <w:szCs w:val="27"/>
              </w:rPr>
              <w:t>i ir noteikts</w:t>
            </w:r>
            <w:r w:rsidRPr="00A76CDE">
              <w:rPr>
                <w:sz w:val="27"/>
                <w:szCs w:val="27"/>
              </w:rPr>
              <w:t xml:space="preserve"> pienākums līdz 2017.gada 1.jūlijam visiem Valsts ieņēmumu dienesta vienotajā</w:t>
            </w:r>
            <w:r w:rsidR="00075627" w:rsidRPr="00A76CDE">
              <w:rPr>
                <w:sz w:val="27"/>
                <w:szCs w:val="27"/>
              </w:rPr>
              <w:t xml:space="preserve"> datubāzē (reģistrā) reģistrēto kases aparātu, hibrīda kases aparātu, kases sistēmu, specializēto ierīču un iekārtu</w:t>
            </w:r>
            <w:r w:rsidRPr="00A76CDE">
              <w:rPr>
                <w:sz w:val="27"/>
                <w:szCs w:val="27"/>
              </w:rPr>
              <w:t xml:space="preserve"> modeļiem, modifikācijām un programmas versijām veikt atbilstības pārbaudi. Tādējādi ar 2017.gada 1.jūliju nodokļu maksātāji varēs lietot tikai tādas nodokļu un citu maksājumu reģistrēšanas elektroniskās ierīces un iekārtas, kuru modeļiem, modifikācijām un programmas versijām atbilstības pārbaudes institūcija būs izsniegusi apliecinājumu par to atbilstību</w:t>
            </w:r>
            <w:r w:rsidR="00CE580A">
              <w:rPr>
                <w:sz w:val="27"/>
                <w:szCs w:val="27"/>
              </w:rPr>
              <w:t xml:space="preserve"> normatīvajos aktos</w:t>
            </w:r>
            <w:r w:rsidRPr="00A76CDE">
              <w:rPr>
                <w:sz w:val="27"/>
                <w:szCs w:val="27"/>
              </w:rPr>
              <w:t xml:space="preserve"> </w:t>
            </w:r>
            <w:r w:rsidR="00204F18">
              <w:rPr>
                <w:sz w:val="27"/>
                <w:szCs w:val="27"/>
              </w:rPr>
              <w:t>noteiktajām</w:t>
            </w:r>
            <w:r w:rsidRPr="00A76CDE">
              <w:rPr>
                <w:sz w:val="27"/>
                <w:szCs w:val="27"/>
              </w:rPr>
              <w:t xml:space="preserve"> prasībām.</w:t>
            </w:r>
          </w:p>
          <w:p w14:paraId="553F69C2" w14:textId="7A668910" w:rsidR="0021262F" w:rsidRPr="00A76CDE" w:rsidRDefault="00F02032" w:rsidP="0021262F">
            <w:pPr>
              <w:ind w:firstLine="284"/>
              <w:jc w:val="both"/>
              <w:rPr>
                <w:sz w:val="27"/>
                <w:szCs w:val="27"/>
              </w:rPr>
            </w:pPr>
            <w:r>
              <w:rPr>
                <w:sz w:val="27"/>
                <w:szCs w:val="27"/>
              </w:rPr>
              <w:t>Līdz ar to, l</w:t>
            </w:r>
            <w:r w:rsidR="003B5DDA" w:rsidRPr="00A76CDE">
              <w:rPr>
                <w:sz w:val="27"/>
                <w:szCs w:val="27"/>
              </w:rPr>
              <w:t xml:space="preserve">ai atbilstības pārbaudes institūcija varētu uzsākt savu darbību, tai </w:t>
            </w:r>
            <w:r>
              <w:rPr>
                <w:sz w:val="27"/>
                <w:szCs w:val="27"/>
              </w:rPr>
              <w:t>atbilstoši jaunajām</w:t>
            </w:r>
            <w:r w:rsidR="00183FEB">
              <w:rPr>
                <w:sz w:val="27"/>
                <w:szCs w:val="27"/>
              </w:rPr>
              <w:t>,</w:t>
            </w:r>
            <w:r>
              <w:rPr>
                <w:sz w:val="27"/>
                <w:szCs w:val="27"/>
              </w:rPr>
              <w:t xml:space="preserve"> spēkā esošajām prasībām ir </w:t>
            </w:r>
            <w:r w:rsidR="003B5DDA" w:rsidRPr="00A76CDE">
              <w:rPr>
                <w:sz w:val="27"/>
                <w:szCs w:val="27"/>
              </w:rPr>
              <w:t>jāreģistrējas Valsts ieņēmumu dienesta vienotajā datubāzē (reģistrā), papildus citiem obligāti iesniedzamajiem dokumentiem iesniedzot arī spēkā esošu līgumu (vai tā kopiju), kas apliecina, ka tiek nodrošināta drošības garantija (apdrošināšana vai bankas garantija), ar kuru tās sniedzējs pēc Valsts ieņēmumu dienesta pieprasījuma apņemas samaksāt valsts budžetam nodarīto zaudējumu (budžetā nesamaksāto nodokļu un valsts noteikto maksājumu) summu, ja attiecīgā institūcija profesionālās darbības vai bezdarbības dēļ neizpilda normatīvajos aktos noteiktās prasības. Drošības garantijas summa ir vismaz 50</w:t>
            </w:r>
            <w:r w:rsidR="00DE01EE">
              <w:rPr>
                <w:sz w:val="27"/>
                <w:szCs w:val="27"/>
              </w:rPr>
              <w:t> </w:t>
            </w:r>
            <w:r w:rsidR="003B5DDA" w:rsidRPr="00A76CDE">
              <w:rPr>
                <w:sz w:val="27"/>
                <w:szCs w:val="27"/>
              </w:rPr>
              <w:t xml:space="preserve">procenti no iepriekšējā pārskata perioda neto apgrozījuma, bet ne mazāka par 50 000 </w:t>
            </w:r>
            <w:r w:rsidR="003B5DDA" w:rsidRPr="00A76CDE">
              <w:rPr>
                <w:i/>
                <w:sz w:val="27"/>
                <w:szCs w:val="27"/>
              </w:rPr>
              <w:t>euro</w:t>
            </w:r>
            <w:r w:rsidR="003B5DDA" w:rsidRPr="00A76CDE">
              <w:rPr>
                <w:sz w:val="27"/>
                <w:szCs w:val="27"/>
              </w:rPr>
              <w:t xml:space="preserve">. Maksimālā summa ir 250 000 </w:t>
            </w:r>
            <w:r w:rsidR="003B5DDA" w:rsidRPr="00A76CDE">
              <w:rPr>
                <w:i/>
                <w:sz w:val="27"/>
                <w:szCs w:val="27"/>
              </w:rPr>
              <w:t>euro</w:t>
            </w:r>
            <w:r w:rsidR="003B5DDA" w:rsidRPr="00A76CDE">
              <w:rPr>
                <w:sz w:val="27"/>
                <w:szCs w:val="27"/>
              </w:rPr>
              <w:t>.</w:t>
            </w:r>
          </w:p>
          <w:p w14:paraId="4B450418" w14:textId="00F20CE9" w:rsidR="00253014" w:rsidRPr="00A76CDE" w:rsidRDefault="00442C62" w:rsidP="00AF54B6">
            <w:pPr>
              <w:ind w:firstLine="284"/>
              <w:jc w:val="both"/>
              <w:rPr>
                <w:sz w:val="27"/>
                <w:szCs w:val="27"/>
              </w:rPr>
            </w:pPr>
            <w:r>
              <w:rPr>
                <w:sz w:val="27"/>
                <w:szCs w:val="27"/>
              </w:rPr>
              <w:t xml:space="preserve">Šobrīd </w:t>
            </w:r>
            <w:r w:rsidR="008D7426" w:rsidRPr="00A76CDE">
              <w:rPr>
                <w:sz w:val="27"/>
                <w:szCs w:val="27"/>
              </w:rPr>
              <w:t xml:space="preserve">Ministru kabineta 2014.gada 11.februāra noteikumos Nr.96 </w:t>
            </w:r>
            <w:r w:rsidR="00C718B3" w:rsidRPr="00A76CDE">
              <w:rPr>
                <w:sz w:val="27"/>
                <w:szCs w:val="27"/>
              </w:rPr>
              <w:t>ir noteikts drošības garantijas veids (apdrošināšana vai bankas garantija),</w:t>
            </w:r>
            <w:r w:rsidR="004C3459">
              <w:rPr>
                <w:sz w:val="27"/>
                <w:szCs w:val="27"/>
              </w:rPr>
              <w:t xml:space="preserve"> </w:t>
            </w:r>
            <w:r w:rsidR="004C3459" w:rsidRPr="00A76CDE">
              <w:rPr>
                <w:sz w:val="27"/>
                <w:szCs w:val="27"/>
              </w:rPr>
              <w:t>nepieciešamais drošības garantijas summas apmērs</w:t>
            </w:r>
            <w:r w:rsidR="004C3459">
              <w:rPr>
                <w:sz w:val="27"/>
                <w:szCs w:val="27"/>
              </w:rPr>
              <w:t>,</w:t>
            </w:r>
            <w:r w:rsidR="004C3459" w:rsidRPr="00A76CDE">
              <w:rPr>
                <w:sz w:val="27"/>
                <w:szCs w:val="27"/>
              </w:rPr>
              <w:t xml:space="preserve"> kā arī </w:t>
            </w:r>
            <w:r w:rsidR="00C718B3" w:rsidRPr="00A76CDE">
              <w:rPr>
                <w:sz w:val="27"/>
                <w:szCs w:val="27"/>
              </w:rPr>
              <w:t>tās nepieciešamības pamatojums un mērķis – valsts budžetam nodarīt</w:t>
            </w:r>
            <w:r w:rsidR="00253014" w:rsidRPr="00A76CDE">
              <w:rPr>
                <w:sz w:val="27"/>
                <w:szCs w:val="27"/>
              </w:rPr>
              <w:t>o</w:t>
            </w:r>
            <w:r w:rsidR="00C718B3" w:rsidRPr="00A76CDE">
              <w:rPr>
                <w:sz w:val="27"/>
                <w:szCs w:val="27"/>
              </w:rPr>
              <w:t xml:space="preserve"> zaudējumu (budžetā nesamaksāto </w:t>
            </w:r>
            <w:r w:rsidR="00C718B3" w:rsidRPr="00A76CDE">
              <w:rPr>
                <w:sz w:val="27"/>
                <w:szCs w:val="27"/>
              </w:rPr>
              <w:lastRenderedPageBreak/>
              <w:t xml:space="preserve">nodokļu un valsts noteikto maksājumu) summas garantēta izmaksa Valsts ieņēmumu dienestam pēc tā pieprasījuma, ja attiecīgais apkalpojošais dienests vai </w:t>
            </w:r>
            <w:r w:rsidR="00253014" w:rsidRPr="00A76CDE">
              <w:rPr>
                <w:sz w:val="27"/>
                <w:szCs w:val="27"/>
              </w:rPr>
              <w:t xml:space="preserve">attiecīgā </w:t>
            </w:r>
            <w:r w:rsidR="00C718B3" w:rsidRPr="00A76CDE">
              <w:rPr>
                <w:sz w:val="27"/>
                <w:szCs w:val="27"/>
              </w:rPr>
              <w:t>atbilstības pārbaudes institūcija profesionālās darbības vai bezdarbības dēļ neizpilda normatīvajos aktos noteiktās prasības</w:t>
            </w:r>
            <w:r w:rsidR="004C3459">
              <w:rPr>
                <w:sz w:val="27"/>
                <w:szCs w:val="27"/>
              </w:rPr>
              <w:t>.</w:t>
            </w:r>
            <w:r w:rsidR="004C3459" w:rsidRPr="00A76CDE">
              <w:rPr>
                <w:sz w:val="27"/>
                <w:szCs w:val="27"/>
              </w:rPr>
              <w:t xml:space="preserve"> </w:t>
            </w:r>
          </w:p>
          <w:p w14:paraId="31BAE942" w14:textId="08D0A416" w:rsidR="00253014" w:rsidRPr="00A76CDE" w:rsidRDefault="00253014" w:rsidP="00F02032">
            <w:pPr>
              <w:ind w:firstLine="170"/>
              <w:jc w:val="both"/>
              <w:rPr>
                <w:sz w:val="27"/>
                <w:szCs w:val="27"/>
              </w:rPr>
            </w:pPr>
            <w:r w:rsidRPr="00A76CDE">
              <w:rPr>
                <w:sz w:val="27"/>
                <w:szCs w:val="27"/>
              </w:rPr>
              <w:t xml:space="preserve"> </w:t>
            </w:r>
            <w:r w:rsidR="008D7426" w:rsidRPr="00A76CDE">
              <w:rPr>
                <w:sz w:val="27"/>
                <w:szCs w:val="27"/>
              </w:rPr>
              <w:t xml:space="preserve">Lai pārrunātu drošības garantijas izsniegšanas prasības, </w:t>
            </w:r>
            <w:r w:rsidR="00291A33" w:rsidRPr="00A76CDE">
              <w:rPr>
                <w:sz w:val="27"/>
                <w:szCs w:val="27"/>
              </w:rPr>
              <w:t>Valsts ieņēmumu dienest</w:t>
            </w:r>
            <w:r w:rsidR="00F001CF" w:rsidRPr="00A76CDE">
              <w:rPr>
                <w:sz w:val="27"/>
                <w:szCs w:val="27"/>
              </w:rPr>
              <w:t>s</w:t>
            </w:r>
            <w:r w:rsidR="00291A33" w:rsidRPr="00A76CDE">
              <w:rPr>
                <w:sz w:val="27"/>
                <w:szCs w:val="27"/>
              </w:rPr>
              <w:t xml:space="preserve"> organizē</w:t>
            </w:r>
            <w:r w:rsidR="00F001CF" w:rsidRPr="00A76CDE">
              <w:rPr>
                <w:sz w:val="27"/>
                <w:szCs w:val="27"/>
              </w:rPr>
              <w:t xml:space="preserve">ja </w:t>
            </w:r>
            <w:r w:rsidR="00565835" w:rsidRPr="00A76CDE">
              <w:rPr>
                <w:sz w:val="27"/>
                <w:szCs w:val="27"/>
              </w:rPr>
              <w:t xml:space="preserve">vairākas </w:t>
            </w:r>
            <w:r w:rsidR="00291A33" w:rsidRPr="00A76CDE">
              <w:rPr>
                <w:sz w:val="27"/>
                <w:szCs w:val="27"/>
              </w:rPr>
              <w:t>sanāksm</w:t>
            </w:r>
            <w:r w:rsidR="00565835" w:rsidRPr="00A76CDE">
              <w:rPr>
                <w:sz w:val="27"/>
                <w:szCs w:val="27"/>
              </w:rPr>
              <w:t>e</w:t>
            </w:r>
            <w:r w:rsidR="00291A33" w:rsidRPr="00A76CDE">
              <w:rPr>
                <w:sz w:val="27"/>
                <w:szCs w:val="27"/>
              </w:rPr>
              <w:t>s</w:t>
            </w:r>
            <w:r w:rsidR="00F001CF" w:rsidRPr="00A76CDE">
              <w:rPr>
                <w:sz w:val="27"/>
                <w:szCs w:val="27"/>
              </w:rPr>
              <w:t>, kurā</w:t>
            </w:r>
            <w:r w:rsidR="00565835" w:rsidRPr="00A76CDE">
              <w:rPr>
                <w:sz w:val="27"/>
                <w:szCs w:val="27"/>
              </w:rPr>
              <w:t>s</w:t>
            </w:r>
            <w:r w:rsidR="00F001CF" w:rsidRPr="00A76CDE">
              <w:rPr>
                <w:sz w:val="27"/>
                <w:szCs w:val="27"/>
              </w:rPr>
              <w:t xml:space="preserve"> piedalīj</w:t>
            </w:r>
            <w:r w:rsidR="00565835" w:rsidRPr="00A76CDE">
              <w:rPr>
                <w:sz w:val="27"/>
                <w:szCs w:val="27"/>
              </w:rPr>
              <w:t>ās</w:t>
            </w:r>
            <w:r w:rsidR="00291A33" w:rsidRPr="00A76CDE">
              <w:rPr>
                <w:sz w:val="27"/>
                <w:szCs w:val="27"/>
              </w:rPr>
              <w:t xml:space="preserve"> </w:t>
            </w:r>
            <w:r w:rsidR="00565835" w:rsidRPr="00A76CDE">
              <w:rPr>
                <w:sz w:val="27"/>
                <w:szCs w:val="27"/>
              </w:rPr>
              <w:t>Latvijas Apdrošinātāju asociācijas un Latvijas Komercbanku asociācijas pārstāvji</w:t>
            </w:r>
            <w:r w:rsidR="00075627" w:rsidRPr="00A76CDE">
              <w:rPr>
                <w:sz w:val="27"/>
                <w:szCs w:val="27"/>
              </w:rPr>
              <w:t>, kā arī</w:t>
            </w:r>
            <w:r w:rsidRPr="00A76CDE">
              <w:rPr>
                <w:sz w:val="27"/>
                <w:szCs w:val="27"/>
              </w:rPr>
              <w:t xml:space="preserve"> </w:t>
            </w:r>
            <w:r w:rsidR="002B1CF5" w:rsidRPr="00A76CDE">
              <w:rPr>
                <w:sz w:val="27"/>
                <w:szCs w:val="27"/>
              </w:rPr>
              <w:t>sagatavoj</w:t>
            </w:r>
            <w:r w:rsidR="00075627" w:rsidRPr="00A76CDE">
              <w:rPr>
                <w:sz w:val="27"/>
                <w:szCs w:val="27"/>
              </w:rPr>
              <w:t>a</w:t>
            </w:r>
            <w:r w:rsidRPr="00A76CDE">
              <w:rPr>
                <w:sz w:val="27"/>
                <w:szCs w:val="27"/>
              </w:rPr>
              <w:t xml:space="preserve"> līgumā par drošības garantiju ietveramā objekta definējumu. </w:t>
            </w:r>
            <w:r w:rsidR="00DE01EE">
              <w:rPr>
                <w:sz w:val="27"/>
                <w:szCs w:val="27"/>
              </w:rPr>
              <w:t>Par</w:t>
            </w:r>
            <w:r w:rsidRPr="00A76CDE">
              <w:rPr>
                <w:sz w:val="27"/>
                <w:szCs w:val="27"/>
              </w:rPr>
              <w:t xml:space="preserve"> valsts budžetam nodarīt</w:t>
            </w:r>
            <w:r w:rsidR="00336077">
              <w:rPr>
                <w:sz w:val="27"/>
                <w:szCs w:val="27"/>
              </w:rPr>
              <w:t>aj</w:t>
            </w:r>
            <w:r w:rsidRPr="00A76CDE">
              <w:rPr>
                <w:sz w:val="27"/>
                <w:szCs w:val="27"/>
              </w:rPr>
              <w:t>ie</w:t>
            </w:r>
            <w:r w:rsidR="00DE01EE">
              <w:rPr>
                <w:sz w:val="27"/>
                <w:szCs w:val="27"/>
              </w:rPr>
              <w:t>m</w:t>
            </w:r>
            <w:r w:rsidRPr="00A76CDE">
              <w:rPr>
                <w:sz w:val="27"/>
                <w:szCs w:val="27"/>
              </w:rPr>
              <w:t xml:space="preserve"> zaudējumi</w:t>
            </w:r>
            <w:r w:rsidR="00DE01EE">
              <w:rPr>
                <w:sz w:val="27"/>
                <w:szCs w:val="27"/>
              </w:rPr>
              <w:t>em</w:t>
            </w:r>
            <w:r w:rsidRPr="00A76CDE">
              <w:rPr>
                <w:sz w:val="27"/>
                <w:szCs w:val="27"/>
              </w:rPr>
              <w:t xml:space="preserve">, attiecībā </w:t>
            </w:r>
            <w:r w:rsidR="00DE01EE">
              <w:rPr>
                <w:sz w:val="27"/>
                <w:szCs w:val="27"/>
              </w:rPr>
              <w:t>uz</w:t>
            </w:r>
            <w:r w:rsidRPr="00A76CDE">
              <w:rPr>
                <w:sz w:val="27"/>
                <w:szCs w:val="27"/>
              </w:rPr>
              <w:t xml:space="preserve"> kuriem būtu noslēdzams līgums, ir uzskatāmas šādas summas: </w:t>
            </w:r>
          </w:p>
          <w:p w14:paraId="6A9348F7" w14:textId="77777777" w:rsidR="00253014" w:rsidRPr="00A76CDE" w:rsidRDefault="00253014" w:rsidP="00F02032">
            <w:pPr>
              <w:ind w:firstLine="312"/>
              <w:jc w:val="both"/>
              <w:rPr>
                <w:sz w:val="27"/>
                <w:szCs w:val="27"/>
              </w:rPr>
            </w:pPr>
            <w:r w:rsidRPr="00A76CDE">
              <w:rPr>
                <w:sz w:val="27"/>
                <w:szCs w:val="27"/>
              </w:rPr>
              <w:t>- apkalpojošā dienesta gadījumā – apkalpojošā dienesta profesionālās darbības vai bezdarbības dēļ valsts budžetam nodarītie zaudējumi (budžetā nesamaksātie nodokļi un valsts noteiktie maksājumi), kurus radījis kases aparāta, hibrīda kases aparāta, kases sistēmas, specializētās ierīces un iekārtas lietotājs, lietojot apkalpojošā dienesta apkalpot</w:t>
            </w:r>
            <w:r w:rsidR="002B1CF5" w:rsidRPr="00A76CDE">
              <w:rPr>
                <w:sz w:val="27"/>
                <w:szCs w:val="27"/>
              </w:rPr>
              <w:t>os</w:t>
            </w:r>
            <w:r w:rsidRPr="00A76CDE">
              <w:rPr>
                <w:sz w:val="27"/>
                <w:szCs w:val="27"/>
              </w:rPr>
              <w:t xml:space="preserve"> kases aparāt</w:t>
            </w:r>
            <w:r w:rsidR="002B1CF5" w:rsidRPr="00A76CDE">
              <w:rPr>
                <w:sz w:val="27"/>
                <w:szCs w:val="27"/>
              </w:rPr>
              <w:t>us</w:t>
            </w:r>
            <w:r w:rsidRPr="00A76CDE">
              <w:rPr>
                <w:sz w:val="27"/>
                <w:szCs w:val="27"/>
              </w:rPr>
              <w:t>, hibrīda kases aparāt</w:t>
            </w:r>
            <w:r w:rsidR="002B1CF5" w:rsidRPr="00A76CDE">
              <w:rPr>
                <w:sz w:val="27"/>
                <w:szCs w:val="27"/>
              </w:rPr>
              <w:t>us</w:t>
            </w:r>
            <w:r w:rsidRPr="00A76CDE">
              <w:rPr>
                <w:sz w:val="27"/>
                <w:szCs w:val="27"/>
              </w:rPr>
              <w:t>, kases sistēmas, specializētās ierīces un iekārtas;</w:t>
            </w:r>
          </w:p>
          <w:p w14:paraId="2F630A37" w14:textId="5E02F633" w:rsidR="00253014" w:rsidRDefault="00253014" w:rsidP="00F02032">
            <w:pPr>
              <w:ind w:firstLine="312"/>
              <w:jc w:val="both"/>
              <w:rPr>
                <w:sz w:val="27"/>
                <w:szCs w:val="27"/>
              </w:rPr>
            </w:pPr>
            <w:r w:rsidRPr="00A76CDE">
              <w:rPr>
                <w:sz w:val="27"/>
                <w:szCs w:val="27"/>
              </w:rPr>
              <w:t xml:space="preserve">- atbilstības pārbaudes institūcijas gadījumā – atbilstības pārbaudes institūcijas profesionālās darbības vai bezdarbības dēļ valsts budžetam nodarītie zaudējumi (budžetā nesamaksātie nodokļi un valsts noteiktie maksājumi), kuri radušies, </w:t>
            </w:r>
            <w:r w:rsidR="002B1CF5" w:rsidRPr="00A76CDE">
              <w:rPr>
                <w:sz w:val="27"/>
                <w:szCs w:val="27"/>
              </w:rPr>
              <w:t xml:space="preserve">kases aparāta, hibrīda kases aparāta, kases sistēmas, specializētās ierīces un iekārtas </w:t>
            </w:r>
            <w:r w:rsidRPr="00A76CDE">
              <w:rPr>
                <w:sz w:val="27"/>
                <w:szCs w:val="27"/>
              </w:rPr>
              <w:t>lietotājam lietojot tād</w:t>
            </w:r>
            <w:r w:rsidR="002B1CF5" w:rsidRPr="00A76CDE">
              <w:rPr>
                <w:sz w:val="27"/>
                <w:szCs w:val="27"/>
              </w:rPr>
              <w:t>u</w:t>
            </w:r>
            <w:r w:rsidRPr="00A76CDE">
              <w:rPr>
                <w:sz w:val="27"/>
                <w:szCs w:val="27"/>
              </w:rPr>
              <w:t xml:space="preserve">s </w:t>
            </w:r>
            <w:r w:rsidR="002B1CF5" w:rsidRPr="00A76CDE">
              <w:rPr>
                <w:sz w:val="27"/>
                <w:szCs w:val="27"/>
              </w:rPr>
              <w:t>kases aparātus, hibrīda kases aparātus, kases sistēmas, specializētās ierīces un iekārtas</w:t>
            </w:r>
            <w:r w:rsidRPr="00A76CDE">
              <w:rPr>
                <w:sz w:val="27"/>
                <w:szCs w:val="27"/>
              </w:rPr>
              <w:t xml:space="preserve">, kurām atbilstības pārbaudes institūcija ir izsniegusi apliecinājumu par </w:t>
            </w:r>
            <w:r w:rsidR="002B1CF5" w:rsidRPr="00A76CDE">
              <w:rPr>
                <w:sz w:val="27"/>
                <w:szCs w:val="27"/>
              </w:rPr>
              <w:t xml:space="preserve">atbilstību noteiktajām </w:t>
            </w:r>
            <w:r w:rsidRPr="00A76CDE">
              <w:rPr>
                <w:sz w:val="27"/>
                <w:szCs w:val="27"/>
              </w:rPr>
              <w:t>tehniskajām prasībām.</w:t>
            </w:r>
          </w:p>
          <w:p w14:paraId="4AB41FEA" w14:textId="17DA2BB0" w:rsidR="00C71864" w:rsidRPr="00C71864" w:rsidRDefault="00C71864" w:rsidP="00C71864">
            <w:pPr>
              <w:ind w:firstLine="312"/>
              <w:jc w:val="both"/>
              <w:rPr>
                <w:sz w:val="27"/>
                <w:szCs w:val="27"/>
              </w:rPr>
            </w:pPr>
            <w:r w:rsidRPr="00C71864">
              <w:rPr>
                <w:sz w:val="27"/>
                <w:szCs w:val="27"/>
              </w:rPr>
              <w:t>Atbilstoši Valsts ieņēmumu dienesta rīcībā esošajai informācijai nedz apdrošināšanas kompāniju izstrādātie apdrošināšanas līguma noteikumi, nedz banku izstrādātie bankas garantijas izsniegšanas noteikumi nenodrošina Ministru kabineta 2014.gada 11.februāra noteikumos Nr.96</w:t>
            </w:r>
            <w:r w:rsidR="00DE6526">
              <w:rPr>
                <w:sz w:val="27"/>
                <w:szCs w:val="27"/>
              </w:rPr>
              <w:t xml:space="preserve"> </w:t>
            </w:r>
            <w:r w:rsidRPr="00C71864">
              <w:rPr>
                <w:sz w:val="27"/>
                <w:szCs w:val="27"/>
              </w:rPr>
              <w:t xml:space="preserve">paredzēto drošības garantijas izsniegšanas mērķi. </w:t>
            </w:r>
          </w:p>
          <w:p w14:paraId="7B393FD4" w14:textId="77777777" w:rsidR="00C71864" w:rsidRPr="00C71864" w:rsidRDefault="00C71864" w:rsidP="00C71864">
            <w:pPr>
              <w:ind w:firstLine="312"/>
              <w:jc w:val="both"/>
              <w:rPr>
                <w:sz w:val="27"/>
                <w:szCs w:val="27"/>
              </w:rPr>
            </w:pPr>
            <w:r w:rsidRPr="00C71864">
              <w:rPr>
                <w:sz w:val="27"/>
                <w:szCs w:val="27"/>
              </w:rPr>
              <w:t xml:space="preserve">Piemēram, apdrošināšanas (drošības garantijas nodrošinājuma) noteikumi paredz, ka apdrošināšanas gadījums ir attiecīgā apdrošinājuma ņēmēja (apkalpojošā dienesta vai atbilstības pārbaudes institūcijas) finansiālo saistību neizpilde, nevis valsts </w:t>
            </w:r>
            <w:r w:rsidRPr="00C71864">
              <w:rPr>
                <w:sz w:val="27"/>
                <w:szCs w:val="27"/>
              </w:rPr>
              <w:lastRenderedPageBreak/>
              <w:t xml:space="preserve">budžetam nodarītais zaudējums, ko radījis lietotājs, lietojot apkalpojošā dienesta apkalpotās elektroniskās ierīces vai iekārtas, vai valsts budžetam nodarītais zaudējums, kas radies, lietotājam lietojot tādas elektroniskās ierīces vai iekārtas, kurām atbilstības pārbaudes institūcija ir izsniegusi atbilstības apliecinājumu. Viens no apdrošināšanas atlīdzības izmaksas priekšnosacījumiem ir tas, ka Valsts ieņēmumu dienests nodarīto zaudējumu nav piedzinis no apkalpojošā dienesta vai atbilstības pārbaudes institūcijas bezstrīdus kārtībā. Tātad Valsts ieņēmumu dienestam, pirms iesniegt apdrošināšanas kompānijai prasību par apdrošināšanas atlīdzības izmaksu, būtu jāveic darbības, lai nodarīto zaudējumu piedzītu bezstrīdus kārtībā, kas pagarinās valsts budžetam nodarīto zaudējumu izmaksu.  </w:t>
            </w:r>
          </w:p>
          <w:p w14:paraId="5E529077" w14:textId="77777777" w:rsidR="00C71864" w:rsidRPr="00C71864" w:rsidRDefault="00C71864" w:rsidP="00C71864">
            <w:pPr>
              <w:ind w:firstLine="312"/>
              <w:jc w:val="both"/>
              <w:rPr>
                <w:sz w:val="27"/>
                <w:szCs w:val="27"/>
              </w:rPr>
            </w:pPr>
            <w:r w:rsidRPr="00C71864">
              <w:rPr>
                <w:sz w:val="27"/>
                <w:szCs w:val="27"/>
              </w:rPr>
              <w:t>Savukārt viens no bankas garantijas izsniegšanas nosacījumiem ir prasība drošības garantijas saņēmējam iespējamus zaudējumus nodrošināt, ieguldot naudas līdzekļus norēķinu kontā, kas tiks atvērts bankā. Ieguldītos līdzekļus apkalpojošais dienests vai atbilstības pārbaudes institūcija varēs izmantot savā saimnieciskajā darbībā tikai pēc tam, kad banka būs atbrīvota no garantijā noteiktajām saistībām.</w:t>
            </w:r>
          </w:p>
          <w:p w14:paraId="00692E34" w14:textId="2A362FA0" w:rsidR="00850810" w:rsidRDefault="00C71864" w:rsidP="00D95AB9">
            <w:pPr>
              <w:ind w:firstLine="312"/>
              <w:jc w:val="both"/>
              <w:rPr>
                <w:sz w:val="27"/>
                <w:szCs w:val="27"/>
              </w:rPr>
            </w:pPr>
            <w:r w:rsidRPr="00C71864">
              <w:rPr>
                <w:sz w:val="27"/>
                <w:szCs w:val="27"/>
              </w:rPr>
              <w:t xml:space="preserve">Tādējādi </w:t>
            </w:r>
            <w:r w:rsidR="004E737B" w:rsidRPr="004E737B">
              <w:rPr>
                <w:sz w:val="27"/>
                <w:szCs w:val="27"/>
              </w:rPr>
              <w:t xml:space="preserve"> Ministru kabineta 2014.gada 11.februāra noteikumos Nr.96 </w:t>
            </w:r>
            <w:r w:rsidR="004E737B">
              <w:rPr>
                <w:sz w:val="27"/>
                <w:szCs w:val="27"/>
              </w:rPr>
              <w:t>ir nepieciešams svītrot</w:t>
            </w:r>
            <w:r w:rsidRPr="00C71864">
              <w:rPr>
                <w:sz w:val="27"/>
                <w:szCs w:val="27"/>
              </w:rPr>
              <w:t xml:space="preserve"> normas, kas nosaka atbilstības pārbaudes institūcijām un apkalpojošajiem dienestiem pienākumu reģistrējoties  iesniegt līgumu par nodrošināto drošības garantiju. </w:t>
            </w:r>
          </w:p>
          <w:p w14:paraId="54363A32" w14:textId="37CFDDF3" w:rsidR="006644F3" w:rsidRDefault="00C71864" w:rsidP="00D95AB9">
            <w:pPr>
              <w:ind w:firstLine="312"/>
              <w:jc w:val="both"/>
              <w:rPr>
                <w:sz w:val="27"/>
                <w:szCs w:val="27"/>
              </w:rPr>
            </w:pPr>
            <w:r w:rsidRPr="00C71864">
              <w:rPr>
                <w:sz w:val="27"/>
                <w:szCs w:val="27"/>
              </w:rPr>
              <w:t>Minēto normu svītrošana nosaka nodokļu maksātājiem (jau reģistrētajiem apkalpojošajiem dienestiem un nodokļu maksātājiem, kuri plāno reģistrēties kā atbilstības pārbaudes institūcija vai apkalpojošais dienests) labvēlīgāku tiesisko situāciju nekā atbilstoši šobrīd noteiktajam regulējumam, jo samazina gan izmaksas, gan uzlikto administratīvo slogu</w:t>
            </w:r>
            <w:r w:rsidR="00D95AB9">
              <w:rPr>
                <w:sz w:val="27"/>
                <w:szCs w:val="27"/>
              </w:rPr>
              <w:t>.</w:t>
            </w:r>
          </w:p>
          <w:p w14:paraId="5B47D406" w14:textId="7BCDCCBC" w:rsidR="00840B80" w:rsidRPr="00A76CDE" w:rsidRDefault="00374FE6" w:rsidP="00D95AB9">
            <w:pPr>
              <w:ind w:firstLine="368"/>
              <w:jc w:val="both"/>
              <w:rPr>
                <w:sz w:val="27"/>
                <w:szCs w:val="27"/>
              </w:rPr>
            </w:pPr>
            <w:r>
              <w:rPr>
                <w:sz w:val="27"/>
                <w:szCs w:val="27"/>
              </w:rPr>
              <w:t>Ņemot vērā minēto, n</w:t>
            </w:r>
            <w:r w:rsidR="00A27A45">
              <w:rPr>
                <w:sz w:val="27"/>
                <w:szCs w:val="27"/>
              </w:rPr>
              <w:t>ot</w:t>
            </w:r>
            <w:r w:rsidR="003E0652">
              <w:rPr>
                <w:sz w:val="27"/>
                <w:szCs w:val="27"/>
              </w:rPr>
              <w:t>eikumu projektā</w:t>
            </w:r>
            <w:r w:rsidR="00A27A45">
              <w:rPr>
                <w:sz w:val="27"/>
                <w:szCs w:val="27"/>
              </w:rPr>
              <w:t xml:space="preserve"> paredzēts</w:t>
            </w:r>
            <w:r w:rsidR="00840B80" w:rsidRPr="00A76CDE">
              <w:rPr>
                <w:sz w:val="27"/>
                <w:szCs w:val="27"/>
              </w:rPr>
              <w:t xml:space="preserve"> </w:t>
            </w:r>
            <w:r w:rsidR="003E0652">
              <w:rPr>
                <w:sz w:val="27"/>
                <w:szCs w:val="27"/>
              </w:rPr>
              <w:t>veikt</w:t>
            </w:r>
            <w:r w:rsidR="00075627" w:rsidRPr="00A76CDE">
              <w:rPr>
                <w:sz w:val="27"/>
                <w:szCs w:val="27"/>
              </w:rPr>
              <w:t xml:space="preserve"> </w:t>
            </w:r>
            <w:r w:rsidR="002B1CF5" w:rsidRPr="00A76CDE">
              <w:rPr>
                <w:sz w:val="27"/>
                <w:szCs w:val="27"/>
              </w:rPr>
              <w:t>šādas</w:t>
            </w:r>
            <w:r w:rsidR="00840B80" w:rsidRPr="00A76CDE">
              <w:rPr>
                <w:sz w:val="27"/>
                <w:szCs w:val="27"/>
              </w:rPr>
              <w:t xml:space="preserve"> izmaiņas Ministru kabineta 2014.gada 11.februāra noteikumos Nr.96</w:t>
            </w:r>
            <w:r w:rsidR="00FA0A75" w:rsidRPr="00A76CDE">
              <w:rPr>
                <w:sz w:val="27"/>
                <w:szCs w:val="27"/>
              </w:rPr>
              <w:t>:</w:t>
            </w:r>
          </w:p>
          <w:p w14:paraId="6D9DC1C5" w14:textId="5C08C794" w:rsidR="00840B80" w:rsidRPr="00A76CDE" w:rsidRDefault="00840B80" w:rsidP="00A25E91">
            <w:pPr>
              <w:pStyle w:val="ListParagraph"/>
              <w:numPr>
                <w:ilvl w:val="0"/>
                <w:numId w:val="25"/>
              </w:numPr>
              <w:jc w:val="both"/>
              <w:rPr>
                <w:sz w:val="27"/>
                <w:szCs w:val="27"/>
                <w:lang w:val="lv-LV"/>
              </w:rPr>
            </w:pPr>
            <w:r w:rsidRPr="00A76CDE">
              <w:rPr>
                <w:b/>
                <w:sz w:val="27"/>
                <w:szCs w:val="27"/>
                <w:lang w:val="lv-LV"/>
              </w:rPr>
              <w:t>123.2.</w:t>
            </w:r>
            <w:r w:rsidR="00DE01EE">
              <w:rPr>
                <w:b/>
                <w:sz w:val="27"/>
                <w:szCs w:val="27"/>
                <w:lang w:val="lv-LV"/>
              </w:rPr>
              <w:t>apakš</w:t>
            </w:r>
            <w:r w:rsidRPr="00A76CDE">
              <w:rPr>
                <w:b/>
                <w:sz w:val="27"/>
                <w:szCs w:val="27"/>
                <w:lang w:val="lv-LV"/>
              </w:rPr>
              <w:t>punktā</w:t>
            </w:r>
            <w:r w:rsidRPr="00A76CDE">
              <w:rPr>
                <w:sz w:val="27"/>
                <w:szCs w:val="27"/>
                <w:lang w:val="lv-LV"/>
              </w:rPr>
              <w:t xml:space="preserve"> </w:t>
            </w:r>
            <w:r w:rsidR="00DE01EE">
              <w:rPr>
                <w:sz w:val="27"/>
                <w:szCs w:val="27"/>
                <w:lang w:val="lv-LV"/>
              </w:rPr>
              <w:t>–</w:t>
            </w:r>
            <w:r w:rsidRPr="00A76CDE">
              <w:rPr>
                <w:sz w:val="27"/>
                <w:szCs w:val="27"/>
                <w:lang w:val="lv-LV"/>
              </w:rPr>
              <w:t xml:space="preserve"> </w:t>
            </w:r>
            <w:r w:rsidR="00DE01EE">
              <w:rPr>
                <w:sz w:val="27"/>
                <w:szCs w:val="27"/>
                <w:lang w:val="lv-LV"/>
              </w:rPr>
              <w:t>noteiktā</w:t>
            </w:r>
            <w:r w:rsidRPr="00A76CDE">
              <w:rPr>
                <w:sz w:val="27"/>
                <w:szCs w:val="27"/>
                <w:lang w:val="lv-LV"/>
              </w:rPr>
              <w:t xml:space="preserve"> prasība atbilstības pārbaudes institūcijai</w:t>
            </w:r>
            <w:r w:rsidR="00DE01EE">
              <w:rPr>
                <w:sz w:val="27"/>
                <w:szCs w:val="27"/>
                <w:lang w:val="lv-LV"/>
              </w:rPr>
              <w:t>,</w:t>
            </w:r>
            <w:r w:rsidRPr="00A76CDE">
              <w:rPr>
                <w:sz w:val="27"/>
                <w:szCs w:val="27"/>
                <w:lang w:val="lv-LV"/>
              </w:rPr>
              <w:t xml:space="preserve"> pirms darbības uzsākšanas reģistrējoties Valsts ieņēmumu dienestā</w:t>
            </w:r>
            <w:r w:rsidR="00DE01EE">
              <w:rPr>
                <w:sz w:val="27"/>
                <w:szCs w:val="27"/>
                <w:lang w:val="lv-LV"/>
              </w:rPr>
              <w:t>,</w:t>
            </w:r>
            <w:r w:rsidRPr="00A76CDE">
              <w:rPr>
                <w:sz w:val="27"/>
                <w:szCs w:val="27"/>
                <w:lang w:val="lv-LV"/>
              </w:rPr>
              <w:t xml:space="preserve"> iesniegt  spēkā esošu līgumu (vai tā kopiju), kas apliecinātu, ka tiek nodrošināta drošības garantija (apdrošināšana vai bankas garantija), ar kuru tās </w:t>
            </w:r>
            <w:r w:rsidRPr="00A76CDE">
              <w:rPr>
                <w:sz w:val="27"/>
                <w:szCs w:val="27"/>
                <w:lang w:val="lv-LV"/>
              </w:rPr>
              <w:lastRenderedPageBreak/>
              <w:t xml:space="preserve">sniedzējs pēc Valsts ieņēmumu dienesta pieprasījuma apņemas samaksāt valsts budžetam nodarīto zaudējumu (budžetā nesamaksāto nodokļu un valsts noteikto maksājumu) summu, ja attiecīgā institūcija profesionālās darbības vai bezdarbības dēļ neizpilda normatīvajos aktos noteiktās prasības, </w:t>
            </w:r>
            <w:r w:rsidRPr="00A76CDE">
              <w:rPr>
                <w:b/>
                <w:sz w:val="27"/>
                <w:szCs w:val="27"/>
                <w:lang w:val="lv-LV"/>
              </w:rPr>
              <w:t>aizstāta</w:t>
            </w:r>
            <w:r w:rsidR="00B668EF" w:rsidRPr="00A76CDE">
              <w:rPr>
                <w:sz w:val="27"/>
                <w:szCs w:val="27"/>
                <w:lang w:val="lv-LV"/>
              </w:rPr>
              <w:t xml:space="preserve"> ar prasību</w:t>
            </w:r>
            <w:r w:rsidRPr="00A76CDE">
              <w:rPr>
                <w:sz w:val="27"/>
                <w:szCs w:val="27"/>
                <w:lang w:val="lv-LV"/>
              </w:rPr>
              <w:t xml:space="preserve"> iesniegt spēkā esošu līgumu (vai tā kopiju), kas apliecinātu, ka tiek nodrošināta civiltiesiskās atbildības apdrošināšana pret zaudējumiem, ja tādi rastos institūcijas profesionālās darbības vai bezdarbības dēļ</w:t>
            </w:r>
            <w:r w:rsidR="00DE01EE">
              <w:rPr>
                <w:sz w:val="27"/>
                <w:szCs w:val="27"/>
                <w:lang w:val="lv-LV"/>
              </w:rPr>
              <w:t>;</w:t>
            </w:r>
          </w:p>
          <w:p w14:paraId="581F895E" w14:textId="5171CE16" w:rsidR="00A25E91" w:rsidRPr="00A76CDE" w:rsidRDefault="00FA0A75" w:rsidP="00467641">
            <w:pPr>
              <w:pStyle w:val="ListParagraph"/>
              <w:numPr>
                <w:ilvl w:val="0"/>
                <w:numId w:val="25"/>
              </w:numPr>
              <w:jc w:val="both"/>
              <w:rPr>
                <w:sz w:val="27"/>
                <w:szCs w:val="27"/>
                <w:lang w:val="lv-LV"/>
              </w:rPr>
            </w:pPr>
            <w:r w:rsidRPr="00A76CDE">
              <w:rPr>
                <w:b/>
                <w:sz w:val="27"/>
                <w:szCs w:val="27"/>
                <w:lang w:val="lv-LV"/>
              </w:rPr>
              <w:t>125.2.</w:t>
            </w:r>
            <w:r w:rsidR="00DE01EE">
              <w:rPr>
                <w:b/>
                <w:sz w:val="27"/>
                <w:szCs w:val="27"/>
                <w:lang w:val="lv-LV"/>
              </w:rPr>
              <w:t>apakš</w:t>
            </w:r>
            <w:r w:rsidRPr="00A76CDE">
              <w:rPr>
                <w:b/>
                <w:sz w:val="27"/>
                <w:szCs w:val="27"/>
                <w:lang w:val="lv-LV"/>
              </w:rPr>
              <w:t>punktā</w:t>
            </w:r>
            <w:r w:rsidRPr="00A76CDE">
              <w:rPr>
                <w:sz w:val="27"/>
                <w:szCs w:val="27"/>
                <w:lang w:val="lv-LV"/>
              </w:rPr>
              <w:t xml:space="preserve"> </w:t>
            </w:r>
            <w:r w:rsidR="00467641" w:rsidRPr="00A76CDE">
              <w:rPr>
                <w:sz w:val="27"/>
                <w:szCs w:val="27"/>
                <w:lang w:val="lv-LV"/>
              </w:rPr>
              <w:t xml:space="preserve">– </w:t>
            </w:r>
            <w:r w:rsidR="00DE01EE">
              <w:rPr>
                <w:sz w:val="27"/>
                <w:szCs w:val="27"/>
                <w:lang w:val="lv-LV"/>
              </w:rPr>
              <w:t>noteiktā</w:t>
            </w:r>
            <w:r w:rsidRPr="00A76CDE">
              <w:rPr>
                <w:sz w:val="27"/>
                <w:szCs w:val="27"/>
                <w:lang w:val="lv-LV"/>
              </w:rPr>
              <w:t xml:space="preserve"> prasība apkalpojošam dienestam</w:t>
            </w:r>
            <w:r w:rsidR="00DE01EE">
              <w:rPr>
                <w:sz w:val="27"/>
                <w:szCs w:val="27"/>
                <w:lang w:val="lv-LV"/>
              </w:rPr>
              <w:t>,</w:t>
            </w:r>
            <w:r w:rsidRPr="00A76CDE">
              <w:rPr>
                <w:sz w:val="27"/>
                <w:szCs w:val="27"/>
                <w:lang w:val="lv-LV"/>
              </w:rPr>
              <w:t xml:space="preserve"> pirms darbības uzsākšanas reģistrējoties Va</w:t>
            </w:r>
            <w:r w:rsidR="003A2D47" w:rsidRPr="00A76CDE">
              <w:rPr>
                <w:sz w:val="27"/>
                <w:szCs w:val="27"/>
                <w:lang w:val="lv-LV"/>
              </w:rPr>
              <w:t>lsts ieņēmumu dienestā</w:t>
            </w:r>
            <w:r w:rsidR="00DE01EE">
              <w:rPr>
                <w:sz w:val="27"/>
                <w:szCs w:val="27"/>
                <w:lang w:val="lv-LV"/>
              </w:rPr>
              <w:t>,</w:t>
            </w:r>
            <w:r w:rsidR="003A2D47" w:rsidRPr="00A76CDE">
              <w:rPr>
                <w:sz w:val="27"/>
                <w:szCs w:val="27"/>
                <w:lang w:val="lv-LV"/>
              </w:rPr>
              <w:t xml:space="preserve"> iesniegt</w:t>
            </w:r>
            <w:r w:rsidRPr="00A76CDE">
              <w:rPr>
                <w:sz w:val="27"/>
                <w:szCs w:val="27"/>
                <w:lang w:val="lv-LV"/>
              </w:rPr>
              <w:t xml:space="preserve"> spēkā esošu līgumu (vai tā kopiju), kas apliecinātu, ka tiek nodrošināta drošības garantija (apdrošināšana vai bankas garantija), ar kuru tās sniedzējs pēc Valsts ieņēmumu dienesta pieprasījuma apņemas samaksāt valsts budžetam nodarīto zaudējumu (budžetā nesamaksāto nodokļu un valsts noteikto maksājumu) summu, ja attiecīgais apkalpojošais dienests profesionālās darbības vai bezdarbības dēļ neizpilda normatīvajos aktos noteiktās prasības, </w:t>
            </w:r>
            <w:r w:rsidRPr="00A76CDE">
              <w:rPr>
                <w:b/>
                <w:sz w:val="27"/>
                <w:szCs w:val="27"/>
                <w:lang w:val="lv-LV"/>
              </w:rPr>
              <w:t>aizstāta</w:t>
            </w:r>
            <w:r w:rsidR="00B668EF" w:rsidRPr="00A76CDE">
              <w:rPr>
                <w:sz w:val="27"/>
                <w:szCs w:val="27"/>
                <w:lang w:val="lv-LV"/>
              </w:rPr>
              <w:t xml:space="preserve"> ar prasību</w:t>
            </w:r>
            <w:r w:rsidRPr="00A76CDE">
              <w:rPr>
                <w:sz w:val="27"/>
                <w:szCs w:val="27"/>
                <w:lang w:val="lv-LV"/>
              </w:rPr>
              <w:t xml:space="preserve"> iesniegt spēkā esošu līgumu (vai tā kopiju), kas apliecinātu, ka tiek nodrošināta civiltiesiskās atbildības apdrošināšana pret zaudējumiem, ja tādi rastos apkalpojošā dienesta profesionālās darbības vai bezdarbības dēļ</w:t>
            </w:r>
            <w:r w:rsidR="00640F9D">
              <w:rPr>
                <w:sz w:val="27"/>
                <w:szCs w:val="27"/>
                <w:lang w:val="lv-LV"/>
              </w:rPr>
              <w:t>;</w:t>
            </w:r>
          </w:p>
          <w:p w14:paraId="4CE5BD14" w14:textId="1C98BE37" w:rsidR="00467641" w:rsidRPr="00A76CDE" w:rsidRDefault="00467641" w:rsidP="00467641">
            <w:pPr>
              <w:pStyle w:val="ListParagraph"/>
              <w:numPr>
                <w:ilvl w:val="0"/>
                <w:numId w:val="25"/>
              </w:numPr>
              <w:jc w:val="both"/>
              <w:rPr>
                <w:sz w:val="27"/>
                <w:szCs w:val="27"/>
                <w:lang w:val="lv-LV"/>
              </w:rPr>
            </w:pPr>
            <w:r w:rsidRPr="00A76CDE">
              <w:rPr>
                <w:b/>
                <w:sz w:val="27"/>
                <w:szCs w:val="27"/>
                <w:lang w:val="lv-LV"/>
              </w:rPr>
              <w:t>129.</w:t>
            </w:r>
            <w:r w:rsidRPr="00A76CDE">
              <w:rPr>
                <w:b/>
                <w:sz w:val="27"/>
                <w:szCs w:val="27"/>
                <w:vertAlign w:val="superscript"/>
                <w:lang w:val="lv-LV"/>
              </w:rPr>
              <w:t>1</w:t>
            </w:r>
            <w:r w:rsidRPr="00A76CDE">
              <w:rPr>
                <w:b/>
                <w:sz w:val="27"/>
                <w:szCs w:val="27"/>
                <w:lang w:val="lv-LV"/>
              </w:rPr>
              <w:t>punktā</w:t>
            </w:r>
            <w:r w:rsidRPr="00A76CDE">
              <w:rPr>
                <w:sz w:val="27"/>
                <w:szCs w:val="27"/>
                <w:lang w:val="lv-LV"/>
              </w:rPr>
              <w:t xml:space="preserve"> – </w:t>
            </w:r>
            <w:r w:rsidR="00640F9D" w:rsidRPr="00640F9D">
              <w:rPr>
                <w:sz w:val="27"/>
                <w:szCs w:val="27"/>
                <w:lang w:val="lv-LV"/>
              </w:rPr>
              <w:t>svītrota</w:t>
            </w:r>
            <w:r w:rsidRPr="00A76CDE">
              <w:rPr>
                <w:sz w:val="27"/>
                <w:szCs w:val="27"/>
                <w:lang w:val="lv-LV"/>
              </w:rPr>
              <w:t xml:space="preserve"> norma par drošības garantijas summas </w:t>
            </w:r>
            <w:r w:rsidR="003A2D47" w:rsidRPr="00A76CDE">
              <w:rPr>
                <w:sz w:val="27"/>
                <w:szCs w:val="27"/>
                <w:lang w:val="lv-LV"/>
              </w:rPr>
              <w:t>palielinājumu</w:t>
            </w:r>
            <w:r w:rsidR="00640F9D">
              <w:rPr>
                <w:sz w:val="27"/>
                <w:szCs w:val="27"/>
                <w:lang w:val="lv-LV"/>
              </w:rPr>
              <w:t>;</w:t>
            </w:r>
          </w:p>
          <w:p w14:paraId="73177924" w14:textId="77777777" w:rsidR="001F7DEB" w:rsidRDefault="001F7DEB" w:rsidP="006E3E99">
            <w:pPr>
              <w:ind w:left="284"/>
              <w:jc w:val="both"/>
              <w:rPr>
                <w:sz w:val="27"/>
                <w:szCs w:val="27"/>
              </w:rPr>
            </w:pPr>
          </w:p>
          <w:p w14:paraId="1CA24160" w14:textId="7DD4CC59" w:rsidR="00F958A5" w:rsidRDefault="00B21087" w:rsidP="007D3EE3">
            <w:pPr>
              <w:ind w:firstLine="284"/>
              <w:jc w:val="both"/>
              <w:rPr>
                <w:sz w:val="27"/>
                <w:szCs w:val="27"/>
              </w:rPr>
            </w:pPr>
            <w:r w:rsidRPr="006B5B2B">
              <w:rPr>
                <w:sz w:val="27"/>
                <w:szCs w:val="27"/>
              </w:rPr>
              <w:t>Atbilstoši Satiksmes ministrijas sniegtajai informācijai Ministru kabineta 2014.gada 11.februāra noteikumos Nr.95 "Noteikumi par nodokļu un citu maksājumu reģistrēšanas elektronisko ierīču un iekārtu tehniskajām prasībām" un Ministru kabineta 2</w:t>
            </w:r>
            <w:r w:rsidR="003A6802" w:rsidRPr="006B5B2B">
              <w:rPr>
                <w:sz w:val="27"/>
                <w:szCs w:val="27"/>
              </w:rPr>
              <w:t>014.gada 11.februāra noteikumos</w:t>
            </w:r>
            <w:r w:rsidRPr="006B5B2B">
              <w:rPr>
                <w:sz w:val="27"/>
                <w:szCs w:val="27"/>
              </w:rPr>
              <w:t xml:space="preserve"> Nr.96</w:t>
            </w:r>
            <w:r w:rsidR="003A6802" w:rsidRPr="006B5B2B">
              <w:rPr>
                <w:sz w:val="27"/>
                <w:szCs w:val="27"/>
              </w:rPr>
              <w:t xml:space="preserve"> noteikto jauno prasību</w:t>
            </w:r>
            <w:r w:rsidRPr="006B5B2B">
              <w:rPr>
                <w:sz w:val="27"/>
                <w:szCs w:val="27"/>
              </w:rPr>
              <w:t xml:space="preserve"> nodokļu un citu maksājumu reģistrēšanas elektroniskajām ierīcēm un iekārtām</w:t>
            </w:r>
            <w:r w:rsidR="003A6802" w:rsidRPr="006B5B2B">
              <w:rPr>
                <w:sz w:val="27"/>
                <w:szCs w:val="27"/>
              </w:rPr>
              <w:t xml:space="preserve"> ieviešana</w:t>
            </w:r>
            <w:r w:rsidR="00C30C24" w:rsidRPr="006B5B2B">
              <w:rPr>
                <w:sz w:val="27"/>
                <w:szCs w:val="27"/>
              </w:rPr>
              <w:t xml:space="preserve"> radīs būtiskas izmaksas valsts budžetam, jo pārvadātājiem zaudējumi un izdevumi par sabiedriskā transporta pakalpojumu pasūtījuma līgumu izpildi tiek kompensēti no valsts budžeta saskaņā ar Ministru kabineta </w:t>
            </w:r>
            <w:r w:rsidR="00C30C24" w:rsidRPr="006B5B2B">
              <w:rPr>
                <w:sz w:val="27"/>
                <w:szCs w:val="27"/>
              </w:rPr>
              <w:lastRenderedPageBreak/>
              <w:t xml:space="preserve">2015.gada 28.jūlija noteikumiem Nr.435 </w:t>
            </w:r>
            <w:r w:rsidR="007623F7" w:rsidRPr="006B5B2B">
              <w:rPr>
                <w:sz w:val="27"/>
                <w:szCs w:val="27"/>
              </w:rPr>
              <w:t>"</w:t>
            </w:r>
            <w:r w:rsidR="00C30C24" w:rsidRPr="006B5B2B">
              <w:rPr>
                <w:sz w:val="27"/>
                <w:szCs w:val="27"/>
              </w:rPr>
              <w:t>Kārtība, kādā nosaka un kompensē ar sabiedriskā transporta pakalpojumu sniegšanu saistītos zaudējumus un izdevumus un nosaka sabiedriskā transporta pakalpojumu tarifu</w:t>
            </w:r>
            <w:r w:rsidR="007623F7" w:rsidRPr="006B5B2B">
              <w:rPr>
                <w:sz w:val="27"/>
                <w:szCs w:val="27"/>
              </w:rPr>
              <w:t>"</w:t>
            </w:r>
            <w:r w:rsidR="00C30C24" w:rsidRPr="006B5B2B">
              <w:rPr>
                <w:sz w:val="27"/>
                <w:szCs w:val="27"/>
              </w:rPr>
              <w:t>.</w:t>
            </w:r>
            <w:r w:rsidR="003A6802" w:rsidRPr="006B5B2B">
              <w:rPr>
                <w:sz w:val="27"/>
                <w:szCs w:val="27"/>
              </w:rPr>
              <w:t xml:space="preserve"> </w:t>
            </w:r>
          </w:p>
          <w:p w14:paraId="7D251ADE" w14:textId="62615F19" w:rsidR="00F94E64" w:rsidRDefault="00F94E64" w:rsidP="00F958A5">
            <w:pPr>
              <w:ind w:firstLine="284"/>
              <w:jc w:val="both"/>
              <w:rPr>
                <w:sz w:val="27"/>
                <w:szCs w:val="27"/>
              </w:rPr>
            </w:pPr>
            <w:r w:rsidRPr="00F94E64">
              <w:rPr>
                <w:sz w:val="27"/>
                <w:szCs w:val="27"/>
              </w:rPr>
              <w:t>Ministru kabineta 2015.gada 31.marta noteikum</w:t>
            </w:r>
            <w:r w:rsidR="006950E6">
              <w:rPr>
                <w:sz w:val="27"/>
                <w:szCs w:val="27"/>
              </w:rPr>
              <w:t>i</w:t>
            </w:r>
            <w:r w:rsidRPr="00F94E64">
              <w:rPr>
                <w:sz w:val="27"/>
                <w:szCs w:val="27"/>
              </w:rPr>
              <w:t xml:space="preserve"> Nr.153 "Noteikumi par pasažieru kategorijām, kuras ir tiesīgas izmantot braukšanas maksas atvieglojumus maršrutu tīkla maršrutos</w:t>
            </w:r>
            <w:r>
              <w:rPr>
                <w:sz w:val="27"/>
                <w:szCs w:val="27"/>
              </w:rPr>
              <w:t>" paredz, ka</w:t>
            </w:r>
            <w:r w:rsidR="005679AF">
              <w:rPr>
                <w:sz w:val="27"/>
                <w:szCs w:val="27"/>
              </w:rPr>
              <w:t xml:space="preserve"> p</w:t>
            </w:r>
            <w:r w:rsidR="005679AF" w:rsidRPr="00F94E64">
              <w:rPr>
                <w:sz w:val="27"/>
                <w:szCs w:val="27"/>
              </w:rPr>
              <w:t xml:space="preserve">ersonas ar invaliditāti, bāreņi un bez vecāku gādības palikušie bērni, politiski represētās personas un nacionālās pretošanās kustības dalībnieki kompensējamus sabiedriskā transporta pakalpojumus </w:t>
            </w:r>
            <w:r w:rsidR="005679AF">
              <w:rPr>
                <w:sz w:val="27"/>
                <w:szCs w:val="27"/>
              </w:rPr>
              <w:t xml:space="preserve">no 2017.gada 1.jūlija saņems, </w:t>
            </w:r>
            <w:r w:rsidR="005679AF" w:rsidRPr="00F94E64">
              <w:rPr>
                <w:sz w:val="27"/>
                <w:szCs w:val="27"/>
              </w:rPr>
              <w:t xml:space="preserve"> veicot bezskaidras naud</w:t>
            </w:r>
            <w:r w:rsidR="005679AF">
              <w:rPr>
                <w:sz w:val="27"/>
                <w:szCs w:val="27"/>
              </w:rPr>
              <w:t xml:space="preserve">as apmaksu ar </w:t>
            </w:r>
            <w:r w:rsidR="00101608">
              <w:rPr>
                <w:sz w:val="27"/>
                <w:szCs w:val="27"/>
              </w:rPr>
              <w:t xml:space="preserve">speciāli izveidotu </w:t>
            </w:r>
            <w:r w:rsidR="005679AF">
              <w:rPr>
                <w:sz w:val="27"/>
                <w:szCs w:val="27"/>
              </w:rPr>
              <w:t xml:space="preserve">norēķinu līdzekli. </w:t>
            </w:r>
            <w:r w:rsidR="006950E6" w:rsidRPr="00D43FED">
              <w:rPr>
                <w:sz w:val="27"/>
                <w:szCs w:val="27"/>
              </w:rPr>
              <w:t>Tādējādi</w:t>
            </w:r>
            <w:r w:rsidR="005679AF" w:rsidRPr="00D43FED">
              <w:rPr>
                <w:sz w:val="27"/>
                <w:szCs w:val="27"/>
              </w:rPr>
              <w:t xml:space="preserve"> Satiksmes ministrijai līdz 2017.gada 1.jūlijam ir jāizstrādā nepieciešamie tiesību akti </w:t>
            </w:r>
            <w:r w:rsidR="006950E6" w:rsidRPr="00D43FED">
              <w:rPr>
                <w:sz w:val="27"/>
                <w:szCs w:val="27"/>
              </w:rPr>
              <w:t xml:space="preserve">norēķinu </w:t>
            </w:r>
            <w:r w:rsidR="005679AF" w:rsidRPr="00D43FED">
              <w:rPr>
                <w:sz w:val="27"/>
                <w:szCs w:val="27"/>
              </w:rPr>
              <w:t xml:space="preserve">sistēmas ieviešanas risinājumam, kā arī </w:t>
            </w:r>
            <w:r w:rsidR="006950E6" w:rsidRPr="00D43FED">
              <w:rPr>
                <w:sz w:val="27"/>
                <w:szCs w:val="27"/>
              </w:rPr>
              <w:t>jāveic norēķinu sistēmas izstrāde un ieviešana.</w:t>
            </w:r>
            <w:r w:rsidR="006950E6">
              <w:rPr>
                <w:sz w:val="27"/>
                <w:szCs w:val="27"/>
              </w:rPr>
              <w:t xml:space="preserve"> Ņemot vērā, ka norēķinu sistēmai jābūt savietojamai ar sniegto </w:t>
            </w:r>
            <w:r w:rsidR="006A06E6">
              <w:rPr>
                <w:sz w:val="27"/>
                <w:szCs w:val="27"/>
              </w:rPr>
              <w:t xml:space="preserve">sabiedriskā transporta </w:t>
            </w:r>
            <w:r w:rsidR="006950E6">
              <w:rPr>
                <w:sz w:val="27"/>
                <w:szCs w:val="27"/>
              </w:rPr>
              <w:t>pakalpojumu uzskaiti kases aparātos, hibrīda kases aparātos un kases sistēmās,  jauno prasību ieviešana</w:t>
            </w:r>
            <w:r w:rsidR="006950E6">
              <w:t xml:space="preserve"> </w:t>
            </w:r>
            <w:r w:rsidR="006950E6" w:rsidRPr="006950E6">
              <w:rPr>
                <w:sz w:val="27"/>
                <w:szCs w:val="27"/>
              </w:rPr>
              <w:t>kases aparāt</w:t>
            </w:r>
            <w:r w:rsidR="006950E6">
              <w:rPr>
                <w:sz w:val="27"/>
                <w:szCs w:val="27"/>
              </w:rPr>
              <w:t>iem</w:t>
            </w:r>
            <w:r w:rsidR="006950E6" w:rsidRPr="006950E6">
              <w:rPr>
                <w:sz w:val="27"/>
                <w:szCs w:val="27"/>
              </w:rPr>
              <w:t>, hibrīda kases a</w:t>
            </w:r>
            <w:r w:rsidR="006950E6">
              <w:rPr>
                <w:sz w:val="27"/>
                <w:szCs w:val="27"/>
              </w:rPr>
              <w:t>parātiem un kases sistēmām</w:t>
            </w:r>
            <w:r w:rsidR="006950E6" w:rsidRPr="006950E6">
              <w:rPr>
                <w:sz w:val="27"/>
                <w:szCs w:val="27"/>
              </w:rPr>
              <w:t xml:space="preserve"> </w:t>
            </w:r>
            <w:r w:rsidR="006950E6">
              <w:rPr>
                <w:sz w:val="27"/>
                <w:szCs w:val="27"/>
              </w:rPr>
              <w:t xml:space="preserve">sabiedrisko transporta pakalpojumu nozarē </w:t>
            </w:r>
            <w:r w:rsidR="006B7332">
              <w:rPr>
                <w:sz w:val="27"/>
                <w:szCs w:val="27"/>
              </w:rPr>
              <w:t xml:space="preserve">pirms minētās norēķinu sistēmas izstrādes </w:t>
            </w:r>
            <w:r w:rsidR="006950E6">
              <w:rPr>
                <w:sz w:val="27"/>
                <w:szCs w:val="27"/>
              </w:rPr>
              <w:t>nav lietderīga.</w:t>
            </w:r>
          </w:p>
          <w:p w14:paraId="3C71F8ED" w14:textId="5D068C6E" w:rsidR="006A06E6" w:rsidRDefault="00884550" w:rsidP="006A06E6">
            <w:pPr>
              <w:ind w:firstLine="284"/>
              <w:jc w:val="both"/>
              <w:rPr>
                <w:sz w:val="27"/>
                <w:szCs w:val="27"/>
              </w:rPr>
            </w:pPr>
            <w:r>
              <w:rPr>
                <w:sz w:val="27"/>
                <w:szCs w:val="27"/>
              </w:rPr>
              <w:t xml:space="preserve">Pārejas periods jauno prasību ieviešanai ir nepieciešams arī e-talonu sistēmas Rīgas pašvaldībā </w:t>
            </w:r>
            <w:r w:rsidR="006A06E6">
              <w:rPr>
                <w:sz w:val="27"/>
                <w:szCs w:val="27"/>
              </w:rPr>
              <w:t>transporta vadītāju konsoļu un pašas sistēmas atjaunošanai, testēšanai un pielāgošanai.</w:t>
            </w:r>
          </w:p>
          <w:p w14:paraId="29D284AB" w14:textId="7718643C" w:rsidR="00F958A5" w:rsidRDefault="00F958A5" w:rsidP="00F958A5">
            <w:pPr>
              <w:ind w:firstLine="284"/>
              <w:jc w:val="both"/>
              <w:rPr>
                <w:sz w:val="27"/>
                <w:szCs w:val="27"/>
              </w:rPr>
            </w:pPr>
            <w:r w:rsidRPr="00807381">
              <w:rPr>
                <w:sz w:val="27"/>
                <w:szCs w:val="27"/>
              </w:rPr>
              <w:t>Ņemot vērā minēto, noteikumu projekts paredz</w:t>
            </w:r>
            <w:r w:rsidR="00FF22F1" w:rsidRPr="00807381">
              <w:rPr>
                <w:sz w:val="27"/>
                <w:szCs w:val="27"/>
              </w:rPr>
              <w:t xml:space="preserve"> sabiedriskā transporta pakalpojumu nozarē divu gadu pārejas periodu,</w:t>
            </w:r>
            <w:r w:rsidRPr="00807381">
              <w:rPr>
                <w:sz w:val="27"/>
                <w:szCs w:val="27"/>
              </w:rPr>
              <w:t xml:space="preserve"> Ministru kabineta 2014.gada 11.februāra noteikumus Nr.96  </w:t>
            </w:r>
            <w:r w:rsidR="00FF22F1" w:rsidRPr="00807381">
              <w:rPr>
                <w:sz w:val="27"/>
                <w:szCs w:val="27"/>
              </w:rPr>
              <w:t xml:space="preserve">papildinot </w:t>
            </w:r>
            <w:r w:rsidRPr="00807381">
              <w:rPr>
                <w:sz w:val="27"/>
                <w:szCs w:val="27"/>
              </w:rPr>
              <w:t xml:space="preserve">ar jaunu </w:t>
            </w:r>
            <w:r w:rsidRPr="00807381">
              <w:rPr>
                <w:b/>
                <w:sz w:val="27"/>
                <w:szCs w:val="27"/>
              </w:rPr>
              <w:t>141.</w:t>
            </w:r>
            <w:r w:rsidRPr="00807381">
              <w:rPr>
                <w:b/>
                <w:sz w:val="27"/>
                <w:szCs w:val="27"/>
                <w:vertAlign w:val="superscript"/>
              </w:rPr>
              <w:t>7</w:t>
            </w:r>
            <w:r w:rsidRPr="00807381">
              <w:rPr>
                <w:b/>
                <w:sz w:val="27"/>
                <w:szCs w:val="27"/>
              </w:rPr>
              <w:t>punktu</w:t>
            </w:r>
            <w:r w:rsidRPr="00807381">
              <w:rPr>
                <w:sz w:val="27"/>
                <w:szCs w:val="27"/>
              </w:rPr>
              <w:t xml:space="preserve">, kas nosaka, ka </w:t>
            </w:r>
            <w:r w:rsidR="00B90C54" w:rsidRPr="00807381">
              <w:t xml:space="preserve"> </w:t>
            </w:r>
            <w:r w:rsidR="00B90C54" w:rsidRPr="00807381">
              <w:rPr>
                <w:sz w:val="27"/>
                <w:szCs w:val="27"/>
              </w:rPr>
              <w:t xml:space="preserve">pasažieru pārvadāšanas transportlīdzekļos, izņemot vieglos taksometrus, un biļešu tirdzniecības vietās </w:t>
            </w:r>
            <w:r w:rsidRPr="00807381">
              <w:rPr>
                <w:sz w:val="27"/>
                <w:szCs w:val="27"/>
              </w:rPr>
              <w:t>kases aparātus, hibrīda kases aparātus vai kases sistēmas atbilstoši Ministru kabineta 2014.gada 11.februāra noteikumiem Nr.95 “Noteikumi par nodokļu un citu maksājumu reģistrēšanas elektronisko ierīču un iekārtu tehniskajām prasībām” sāk lietot ne vēlāk kā 2019.gada 1.janvārī."</w:t>
            </w:r>
          </w:p>
          <w:p w14:paraId="618155C8" w14:textId="6D06100A" w:rsidR="00F958A5" w:rsidRPr="00C03AB6" w:rsidRDefault="00F958A5" w:rsidP="00C03AB6">
            <w:pPr>
              <w:ind w:firstLine="284"/>
              <w:jc w:val="both"/>
              <w:rPr>
                <w:sz w:val="27"/>
                <w:szCs w:val="27"/>
              </w:rPr>
            </w:pPr>
          </w:p>
        </w:tc>
      </w:tr>
      <w:tr w:rsidR="009A0027" w:rsidRPr="00A76CDE" w14:paraId="31FCC6FF" w14:textId="77777777" w:rsidTr="00946395">
        <w:trPr>
          <w:trHeight w:val="476"/>
        </w:trPr>
        <w:tc>
          <w:tcPr>
            <w:tcW w:w="677" w:type="dxa"/>
          </w:tcPr>
          <w:p w14:paraId="4DE9D57C" w14:textId="73C777C5" w:rsidR="00262E2B" w:rsidRPr="00A76CDE" w:rsidRDefault="003A3C61" w:rsidP="00C96B4C">
            <w:pPr>
              <w:pStyle w:val="naiskr"/>
              <w:spacing w:before="0" w:after="0"/>
              <w:ind w:right="142"/>
              <w:jc w:val="center"/>
              <w:rPr>
                <w:sz w:val="27"/>
                <w:szCs w:val="27"/>
              </w:rPr>
            </w:pPr>
            <w:r w:rsidRPr="00A76CDE">
              <w:rPr>
                <w:sz w:val="27"/>
                <w:szCs w:val="27"/>
              </w:rPr>
              <w:lastRenderedPageBreak/>
              <w:t>3</w:t>
            </w:r>
            <w:r w:rsidR="00262E2B" w:rsidRPr="00A76CDE">
              <w:rPr>
                <w:sz w:val="27"/>
                <w:szCs w:val="27"/>
              </w:rPr>
              <w:t>.</w:t>
            </w:r>
          </w:p>
        </w:tc>
        <w:tc>
          <w:tcPr>
            <w:tcW w:w="2641" w:type="dxa"/>
          </w:tcPr>
          <w:p w14:paraId="1EAFCFF7" w14:textId="77777777" w:rsidR="00262E2B" w:rsidRPr="00A76CDE" w:rsidRDefault="001A4066" w:rsidP="00C96B4C">
            <w:pPr>
              <w:pStyle w:val="naiskr"/>
              <w:spacing w:before="0" w:after="60"/>
              <w:ind w:right="142"/>
              <w:rPr>
                <w:sz w:val="27"/>
                <w:szCs w:val="27"/>
              </w:rPr>
            </w:pPr>
            <w:r w:rsidRPr="00A76CDE">
              <w:rPr>
                <w:sz w:val="27"/>
                <w:szCs w:val="27"/>
              </w:rPr>
              <w:t>Projekta i</w:t>
            </w:r>
            <w:r w:rsidR="00262E2B" w:rsidRPr="00A76CDE">
              <w:rPr>
                <w:sz w:val="27"/>
                <w:szCs w:val="27"/>
              </w:rPr>
              <w:t>zstrād</w:t>
            </w:r>
            <w:r w:rsidR="00420870" w:rsidRPr="00A76CDE">
              <w:rPr>
                <w:sz w:val="27"/>
                <w:szCs w:val="27"/>
              </w:rPr>
              <w:t xml:space="preserve">ē </w:t>
            </w:r>
            <w:r w:rsidR="00262E2B" w:rsidRPr="00A76CDE">
              <w:rPr>
                <w:sz w:val="27"/>
                <w:szCs w:val="27"/>
              </w:rPr>
              <w:t>iesaistītās institūcijas</w:t>
            </w:r>
          </w:p>
        </w:tc>
        <w:tc>
          <w:tcPr>
            <w:tcW w:w="6237" w:type="dxa"/>
          </w:tcPr>
          <w:p w14:paraId="59C9E902" w14:textId="77777777" w:rsidR="009C5659" w:rsidRPr="00A76CDE" w:rsidRDefault="001C4D38" w:rsidP="001F7464">
            <w:pPr>
              <w:pStyle w:val="naiskr"/>
              <w:spacing w:before="0" w:after="0"/>
              <w:ind w:firstLine="284"/>
              <w:jc w:val="both"/>
              <w:rPr>
                <w:sz w:val="27"/>
                <w:szCs w:val="27"/>
              </w:rPr>
            </w:pPr>
            <w:r w:rsidRPr="00A76CDE">
              <w:rPr>
                <w:sz w:val="27"/>
                <w:szCs w:val="27"/>
              </w:rPr>
              <w:t>Valsts ieņēmumu dienests</w:t>
            </w:r>
          </w:p>
        </w:tc>
      </w:tr>
      <w:tr w:rsidR="009A0027" w:rsidRPr="00A76CDE" w14:paraId="63EA8591" w14:textId="77777777" w:rsidTr="00946395">
        <w:tc>
          <w:tcPr>
            <w:tcW w:w="677" w:type="dxa"/>
          </w:tcPr>
          <w:p w14:paraId="496AF33C" w14:textId="77777777" w:rsidR="00262E2B" w:rsidRPr="00A76CDE" w:rsidRDefault="003A3C61" w:rsidP="00C96B4C">
            <w:pPr>
              <w:pStyle w:val="naiskr"/>
              <w:spacing w:before="0" w:after="0"/>
              <w:ind w:right="142"/>
              <w:jc w:val="center"/>
              <w:rPr>
                <w:sz w:val="27"/>
                <w:szCs w:val="27"/>
              </w:rPr>
            </w:pPr>
            <w:r w:rsidRPr="00A76CDE">
              <w:rPr>
                <w:sz w:val="27"/>
                <w:szCs w:val="27"/>
              </w:rPr>
              <w:lastRenderedPageBreak/>
              <w:t>4</w:t>
            </w:r>
            <w:r w:rsidR="00262E2B" w:rsidRPr="00A76CDE">
              <w:rPr>
                <w:sz w:val="27"/>
                <w:szCs w:val="27"/>
              </w:rPr>
              <w:t>.</w:t>
            </w:r>
          </w:p>
        </w:tc>
        <w:tc>
          <w:tcPr>
            <w:tcW w:w="2641" w:type="dxa"/>
          </w:tcPr>
          <w:p w14:paraId="27023365" w14:textId="77777777" w:rsidR="00262E2B" w:rsidRPr="00A76CDE" w:rsidRDefault="00262E2B" w:rsidP="00C96B4C">
            <w:pPr>
              <w:pStyle w:val="naiskr"/>
              <w:spacing w:before="0" w:after="0"/>
              <w:ind w:right="142"/>
              <w:rPr>
                <w:sz w:val="27"/>
                <w:szCs w:val="27"/>
              </w:rPr>
            </w:pPr>
            <w:r w:rsidRPr="00A76CDE">
              <w:rPr>
                <w:sz w:val="27"/>
                <w:szCs w:val="27"/>
              </w:rPr>
              <w:t>Cita informācija</w:t>
            </w:r>
          </w:p>
        </w:tc>
        <w:tc>
          <w:tcPr>
            <w:tcW w:w="6237" w:type="dxa"/>
          </w:tcPr>
          <w:p w14:paraId="1A7A6111" w14:textId="77777777" w:rsidR="00F00FA3" w:rsidRPr="00A76CDE" w:rsidRDefault="00257155" w:rsidP="001F7464">
            <w:pPr>
              <w:ind w:firstLine="284"/>
              <w:jc w:val="both"/>
              <w:rPr>
                <w:sz w:val="27"/>
                <w:szCs w:val="27"/>
              </w:rPr>
            </w:pPr>
            <w:r w:rsidRPr="00A76CDE">
              <w:rPr>
                <w:sz w:val="27"/>
                <w:szCs w:val="27"/>
              </w:rPr>
              <w:t>Nav</w:t>
            </w:r>
          </w:p>
        </w:tc>
      </w:tr>
    </w:tbl>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1"/>
        <w:gridCol w:w="3205"/>
        <w:gridCol w:w="5709"/>
      </w:tblGrid>
      <w:tr w:rsidR="009A0027" w:rsidRPr="00A76CDE" w14:paraId="300F6106" w14:textId="77777777" w:rsidTr="00946395">
        <w:trPr>
          <w:jc w:val="center"/>
        </w:trPr>
        <w:tc>
          <w:tcPr>
            <w:tcW w:w="9535" w:type="dxa"/>
            <w:gridSpan w:val="3"/>
          </w:tcPr>
          <w:p w14:paraId="32D3E8FE" w14:textId="77777777" w:rsidR="00CB7FA7" w:rsidRDefault="00CB7FA7" w:rsidP="00C96B4C">
            <w:pPr>
              <w:pStyle w:val="naisnod"/>
              <w:spacing w:before="0" w:after="60"/>
              <w:ind w:right="142"/>
              <w:rPr>
                <w:sz w:val="27"/>
                <w:szCs w:val="27"/>
              </w:rPr>
            </w:pPr>
          </w:p>
          <w:p w14:paraId="6D4BEFFB" w14:textId="33071C42" w:rsidR="00573099" w:rsidRPr="00A76CDE" w:rsidRDefault="00FE4973" w:rsidP="00C96B4C">
            <w:pPr>
              <w:pStyle w:val="naisnod"/>
              <w:spacing w:before="0" w:after="60"/>
              <w:ind w:right="142"/>
              <w:rPr>
                <w:bCs w:val="0"/>
                <w:sz w:val="27"/>
                <w:szCs w:val="27"/>
              </w:rPr>
            </w:pPr>
            <w:r w:rsidRPr="00A76CDE">
              <w:rPr>
                <w:sz w:val="27"/>
                <w:szCs w:val="27"/>
              </w:rPr>
              <w:t>II.</w:t>
            </w:r>
            <w:r w:rsidRPr="00A76CDE">
              <w:rPr>
                <w:bCs w:val="0"/>
                <w:sz w:val="27"/>
                <w:szCs w:val="27"/>
              </w:rPr>
              <w:t xml:space="preserve"> Tiesību akta projekta ietekme uz sabiedrību, tautsaimniecības attīstību un </w:t>
            </w:r>
          </w:p>
          <w:p w14:paraId="15426AFE" w14:textId="77777777" w:rsidR="00FE4973" w:rsidRPr="00A76CDE" w:rsidRDefault="00FE4973" w:rsidP="00C96B4C">
            <w:pPr>
              <w:pStyle w:val="naisnod"/>
              <w:spacing w:before="0" w:after="60"/>
              <w:ind w:right="142"/>
              <w:rPr>
                <w:sz w:val="27"/>
                <w:szCs w:val="27"/>
              </w:rPr>
            </w:pPr>
            <w:r w:rsidRPr="00A76CDE">
              <w:rPr>
                <w:bCs w:val="0"/>
                <w:sz w:val="27"/>
                <w:szCs w:val="27"/>
              </w:rPr>
              <w:t>administratīvo slogu</w:t>
            </w:r>
          </w:p>
        </w:tc>
      </w:tr>
      <w:tr w:rsidR="009A0027" w:rsidRPr="00A76CDE" w14:paraId="5C01062A" w14:textId="77777777" w:rsidTr="00946395">
        <w:trPr>
          <w:jc w:val="center"/>
        </w:trPr>
        <w:tc>
          <w:tcPr>
            <w:tcW w:w="621" w:type="dxa"/>
          </w:tcPr>
          <w:p w14:paraId="5909F959" w14:textId="77777777" w:rsidR="00FE4973" w:rsidRPr="00A76CDE" w:rsidRDefault="00FE4973" w:rsidP="001F7464">
            <w:pPr>
              <w:pStyle w:val="naiskr"/>
              <w:tabs>
                <w:tab w:val="left" w:pos="2628"/>
              </w:tabs>
              <w:spacing w:before="0" w:after="0"/>
              <w:ind w:right="142"/>
              <w:jc w:val="right"/>
              <w:rPr>
                <w:iCs/>
                <w:sz w:val="27"/>
                <w:szCs w:val="27"/>
              </w:rPr>
            </w:pPr>
            <w:r w:rsidRPr="00A76CDE">
              <w:rPr>
                <w:iCs/>
                <w:sz w:val="27"/>
                <w:szCs w:val="27"/>
              </w:rPr>
              <w:t>1.</w:t>
            </w:r>
          </w:p>
        </w:tc>
        <w:tc>
          <w:tcPr>
            <w:tcW w:w="3205" w:type="dxa"/>
          </w:tcPr>
          <w:p w14:paraId="6EAFA0D3" w14:textId="77777777" w:rsidR="00FE4973" w:rsidRPr="00A76CDE" w:rsidRDefault="00FE4973" w:rsidP="00C96B4C">
            <w:pPr>
              <w:pStyle w:val="naiskr"/>
              <w:spacing w:before="0" w:after="0"/>
              <w:ind w:right="142"/>
              <w:rPr>
                <w:iCs/>
                <w:sz w:val="27"/>
                <w:szCs w:val="27"/>
              </w:rPr>
            </w:pPr>
            <w:r w:rsidRPr="00A76CDE">
              <w:rPr>
                <w:sz w:val="27"/>
                <w:szCs w:val="27"/>
              </w:rPr>
              <w:t>Sabiedrības mērķgrupas, kuras tiesiskais regulējums ietekmē vai varētu ietekmēt</w:t>
            </w:r>
          </w:p>
        </w:tc>
        <w:tc>
          <w:tcPr>
            <w:tcW w:w="5709" w:type="dxa"/>
          </w:tcPr>
          <w:p w14:paraId="62B9A228" w14:textId="77777777" w:rsidR="007A097E" w:rsidRPr="00A76CDE" w:rsidRDefault="007A097E" w:rsidP="00113759">
            <w:pPr>
              <w:pStyle w:val="naiskr"/>
              <w:tabs>
                <w:tab w:val="left" w:pos="360"/>
              </w:tabs>
              <w:spacing w:before="0" w:after="0"/>
              <w:ind w:firstLine="284"/>
              <w:jc w:val="both"/>
              <w:rPr>
                <w:sz w:val="27"/>
                <w:szCs w:val="27"/>
              </w:rPr>
            </w:pPr>
            <w:r w:rsidRPr="00A76CDE">
              <w:rPr>
                <w:sz w:val="27"/>
                <w:szCs w:val="27"/>
              </w:rPr>
              <w:t>Noteikumu projekta tiesiskais regulējums ietekmēs:</w:t>
            </w:r>
          </w:p>
          <w:p w14:paraId="068EBAC4" w14:textId="77777777" w:rsidR="007A097E" w:rsidRPr="00A76CDE" w:rsidRDefault="007A097E" w:rsidP="007A097E">
            <w:pPr>
              <w:pStyle w:val="naiskr"/>
              <w:numPr>
                <w:ilvl w:val="0"/>
                <w:numId w:val="24"/>
              </w:numPr>
              <w:tabs>
                <w:tab w:val="left" w:pos="360"/>
              </w:tabs>
              <w:spacing w:before="0" w:after="0"/>
              <w:jc w:val="both"/>
              <w:rPr>
                <w:sz w:val="27"/>
                <w:szCs w:val="27"/>
              </w:rPr>
            </w:pPr>
            <w:r w:rsidRPr="00A76CDE">
              <w:rPr>
                <w:sz w:val="27"/>
                <w:szCs w:val="27"/>
              </w:rPr>
              <w:t>nodokļu maksātājus, kas veic saimniecisko darbību un par darījumiem saņemto samaksu reģistrē kases aparātos un kases sistēmās;</w:t>
            </w:r>
          </w:p>
          <w:p w14:paraId="2C9FA9B3" w14:textId="77777777" w:rsidR="007A097E" w:rsidRPr="00A76CDE" w:rsidRDefault="007A097E" w:rsidP="007A097E">
            <w:pPr>
              <w:pStyle w:val="ListParagraph"/>
              <w:numPr>
                <w:ilvl w:val="0"/>
                <w:numId w:val="24"/>
              </w:numPr>
              <w:jc w:val="both"/>
              <w:rPr>
                <w:sz w:val="27"/>
                <w:szCs w:val="27"/>
                <w:lang w:val="lv-LV" w:eastAsia="lv-LV"/>
              </w:rPr>
            </w:pPr>
            <w:r w:rsidRPr="00A76CDE">
              <w:rPr>
                <w:sz w:val="27"/>
                <w:szCs w:val="27"/>
                <w:lang w:val="lv-LV" w:eastAsia="lv-LV"/>
              </w:rPr>
              <w:t>110 Valsts ieņēmumu dienesta vienotajā datubāzē (reģistrā) reģistrētos kases aparātu un kases sistēmu apkalpojošos dienestus;</w:t>
            </w:r>
          </w:p>
          <w:p w14:paraId="1B0BB716" w14:textId="77777777" w:rsidR="00E84DB4" w:rsidRDefault="007A097E" w:rsidP="006449AF">
            <w:pPr>
              <w:pStyle w:val="naiskr"/>
              <w:numPr>
                <w:ilvl w:val="0"/>
                <w:numId w:val="24"/>
              </w:numPr>
              <w:tabs>
                <w:tab w:val="left" w:pos="360"/>
              </w:tabs>
              <w:spacing w:before="0" w:after="0"/>
              <w:jc w:val="both"/>
              <w:rPr>
                <w:sz w:val="27"/>
                <w:szCs w:val="27"/>
              </w:rPr>
            </w:pPr>
            <w:r w:rsidRPr="00A76CDE">
              <w:rPr>
                <w:sz w:val="27"/>
                <w:szCs w:val="27"/>
              </w:rPr>
              <w:t xml:space="preserve">nodokļu maksātājus, kas </w:t>
            </w:r>
            <w:r w:rsidR="006449AF" w:rsidRPr="00A76CDE">
              <w:rPr>
                <w:sz w:val="27"/>
                <w:szCs w:val="27"/>
              </w:rPr>
              <w:t xml:space="preserve">plāno reģistrēties </w:t>
            </w:r>
            <w:r w:rsidRPr="00A76CDE">
              <w:rPr>
                <w:sz w:val="27"/>
                <w:szCs w:val="27"/>
              </w:rPr>
              <w:t xml:space="preserve">Valsts ieņēmumu dienesta vienotajā datubāzē (reģistrā) </w:t>
            </w:r>
            <w:r w:rsidR="006449AF" w:rsidRPr="00A76CDE">
              <w:rPr>
                <w:sz w:val="27"/>
                <w:szCs w:val="27"/>
              </w:rPr>
              <w:t xml:space="preserve">kā </w:t>
            </w:r>
            <w:r w:rsidRPr="00A76CDE">
              <w:rPr>
                <w:sz w:val="27"/>
                <w:szCs w:val="27"/>
              </w:rPr>
              <w:t>atbilstības pārbaudes institūcija</w:t>
            </w:r>
            <w:r w:rsidR="00D75F2B">
              <w:rPr>
                <w:sz w:val="27"/>
                <w:szCs w:val="27"/>
              </w:rPr>
              <w:t>;</w:t>
            </w:r>
          </w:p>
          <w:p w14:paraId="043E1039" w14:textId="58C28A76" w:rsidR="00D75F2B" w:rsidRPr="00A76CDE" w:rsidRDefault="00D75F2B" w:rsidP="00812D75">
            <w:pPr>
              <w:pStyle w:val="naiskr"/>
              <w:numPr>
                <w:ilvl w:val="0"/>
                <w:numId w:val="24"/>
              </w:numPr>
              <w:tabs>
                <w:tab w:val="left" w:pos="360"/>
              </w:tabs>
              <w:spacing w:before="0" w:after="0"/>
              <w:jc w:val="both"/>
              <w:rPr>
                <w:sz w:val="27"/>
                <w:szCs w:val="27"/>
              </w:rPr>
            </w:pPr>
            <w:r w:rsidRPr="00A4307D">
              <w:rPr>
                <w:sz w:val="27"/>
                <w:szCs w:val="27"/>
              </w:rPr>
              <w:t>nodokļu maksātājus – sabiedriskā transporta pakalpojumu sniedzēj</w:t>
            </w:r>
            <w:r w:rsidR="00812D75" w:rsidRPr="00A4307D">
              <w:rPr>
                <w:sz w:val="27"/>
                <w:szCs w:val="27"/>
              </w:rPr>
              <w:t>us</w:t>
            </w:r>
            <w:r w:rsidRPr="00A4307D">
              <w:rPr>
                <w:sz w:val="27"/>
                <w:szCs w:val="27"/>
              </w:rPr>
              <w:t>.</w:t>
            </w:r>
          </w:p>
        </w:tc>
      </w:tr>
      <w:tr w:rsidR="009A0027" w:rsidRPr="00A76CDE" w14:paraId="2A0BC797" w14:textId="77777777" w:rsidTr="00946395">
        <w:trPr>
          <w:jc w:val="center"/>
        </w:trPr>
        <w:tc>
          <w:tcPr>
            <w:tcW w:w="621" w:type="dxa"/>
          </w:tcPr>
          <w:p w14:paraId="2E566096" w14:textId="77777777" w:rsidR="00FE4973" w:rsidRPr="00A76CDE" w:rsidRDefault="00FE4973" w:rsidP="001F7464">
            <w:pPr>
              <w:pStyle w:val="naiskr"/>
              <w:tabs>
                <w:tab w:val="left" w:pos="2628"/>
              </w:tabs>
              <w:spacing w:before="0" w:after="0"/>
              <w:ind w:right="142"/>
              <w:jc w:val="right"/>
              <w:rPr>
                <w:iCs/>
                <w:sz w:val="27"/>
                <w:szCs w:val="27"/>
              </w:rPr>
            </w:pPr>
            <w:r w:rsidRPr="00A76CDE">
              <w:rPr>
                <w:iCs/>
                <w:sz w:val="27"/>
                <w:szCs w:val="27"/>
              </w:rPr>
              <w:t>2.</w:t>
            </w:r>
          </w:p>
        </w:tc>
        <w:tc>
          <w:tcPr>
            <w:tcW w:w="3205" w:type="dxa"/>
          </w:tcPr>
          <w:p w14:paraId="42C4207A" w14:textId="77777777" w:rsidR="00FE4973" w:rsidRPr="00A76CDE" w:rsidRDefault="00FE4973" w:rsidP="00C96B4C">
            <w:pPr>
              <w:pStyle w:val="naiskr"/>
              <w:spacing w:before="0" w:after="0"/>
              <w:ind w:right="142"/>
              <w:rPr>
                <w:sz w:val="27"/>
                <w:szCs w:val="27"/>
              </w:rPr>
            </w:pPr>
            <w:r w:rsidRPr="00A76CDE">
              <w:rPr>
                <w:sz w:val="27"/>
                <w:szCs w:val="27"/>
              </w:rPr>
              <w:t>Tiesiskā regulējuma ietekme uz tautsaimniecību un administratīvo slogu</w:t>
            </w:r>
          </w:p>
        </w:tc>
        <w:tc>
          <w:tcPr>
            <w:tcW w:w="5709" w:type="dxa"/>
          </w:tcPr>
          <w:p w14:paraId="08CA051D" w14:textId="76E240AF" w:rsidR="00E13504" w:rsidRPr="00E13504" w:rsidRDefault="00917CA0" w:rsidP="0014256C">
            <w:pPr>
              <w:pStyle w:val="naiskr"/>
              <w:tabs>
                <w:tab w:val="left" w:pos="283"/>
              </w:tabs>
              <w:spacing w:before="0" w:after="0"/>
              <w:ind w:firstLine="284"/>
              <w:jc w:val="both"/>
              <w:rPr>
                <w:sz w:val="27"/>
                <w:szCs w:val="27"/>
              </w:rPr>
            </w:pPr>
            <w:r w:rsidRPr="00A76CDE">
              <w:rPr>
                <w:sz w:val="27"/>
                <w:szCs w:val="27"/>
              </w:rPr>
              <w:t>N</w:t>
            </w:r>
            <w:r w:rsidR="006B2C20" w:rsidRPr="00A76CDE">
              <w:rPr>
                <w:sz w:val="27"/>
                <w:szCs w:val="27"/>
              </w:rPr>
              <w:t>oteikumu projekt</w:t>
            </w:r>
            <w:r w:rsidRPr="00A76CDE">
              <w:rPr>
                <w:sz w:val="27"/>
                <w:szCs w:val="27"/>
              </w:rPr>
              <w:t>s</w:t>
            </w:r>
            <w:r w:rsidR="007B37C5" w:rsidRPr="00A76CDE">
              <w:rPr>
                <w:sz w:val="27"/>
                <w:szCs w:val="27"/>
              </w:rPr>
              <w:t xml:space="preserve"> </w:t>
            </w:r>
            <w:r w:rsidR="0048328B">
              <w:rPr>
                <w:sz w:val="27"/>
                <w:szCs w:val="27"/>
              </w:rPr>
              <w:t>samazina administratīvo slogu nodokļu maksātājiem</w:t>
            </w:r>
            <w:r w:rsidR="00E13504">
              <w:rPr>
                <w:sz w:val="27"/>
                <w:szCs w:val="27"/>
              </w:rPr>
              <w:t xml:space="preserve">, </w:t>
            </w:r>
            <w:r w:rsidR="00E13504" w:rsidRPr="00E13504">
              <w:rPr>
                <w:sz w:val="27"/>
                <w:szCs w:val="27"/>
              </w:rPr>
              <w:t xml:space="preserve">jo nodokļu maksātājiem (jau reģistrētajiem apkalpojošajiem dienestiem un nodokļu maksātājiem, kuri plāno reģistrēties kā atbilstības pārbaudes institūcija vai apkalpojošais dienests) tiek </w:t>
            </w:r>
            <w:r w:rsidR="00221DAD">
              <w:rPr>
                <w:sz w:val="27"/>
                <w:szCs w:val="27"/>
              </w:rPr>
              <w:t xml:space="preserve">aizstāta </w:t>
            </w:r>
            <w:r w:rsidR="00E13504" w:rsidRPr="00E13504">
              <w:rPr>
                <w:sz w:val="27"/>
                <w:szCs w:val="27"/>
              </w:rPr>
              <w:t>prasība reģistrējoties (vai pārreģistrējoties) iesniegt līgumu par nodrošināto drošības garantiju</w:t>
            </w:r>
            <w:r w:rsidR="00221DAD">
              <w:rPr>
                <w:sz w:val="27"/>
                <w:szCs w:val="27"/>
              </w:rPr>
              <w:t xml:space="preserve"> ar prasību</w:t>
            </w:r>
            <w:r w:rsidR="00A27A45">
              <w:rPr>
                <w:sz w:val="27"/>
                <w:szCs w:val="27"/>
              </w:rPr>
              <w:t xml:space="preserve"> </w:t>
            </w:r>
            <w:r w:rsidR="00A27A45" w:rsidRPr="00A27A45">
              <w:rPr>
                <w:sz w:val="27"/>
                <w:szCs w:val="27"/>
              </w:rPr>
              <w:t>reģistrējoties (vai pārreģistrējoties)</w:t>
            </w:r>
            <w:r w:rsidR="00A27A45">
              <w:rPr>
                <w:sz w:val="27"/>
                <w:szCs w:val="27"/>
              </w:rPr>
              <w:t xml:space="preserve"> iesniegt līgumu, kas apliecina, ka tiek nodrošināta civiltiesiskās atbildības apdrošināšana</w:t>
            </w:r>
            <w:r w:rsidR="00E13504" w:rsidRPr="00E13504">
              <w:rPr>
                <w:sz w:val="27"/>
                <w:szCs w:val="27"/>
              </w:rPr>
              <w:t xml:space="preserve">. </w:t>
            </w:r>
          </w:p>
          <w:p w14:paraId="791EB4D2" w14:textId="4932E960" w:rsidR="006B2C20" w:rsidRPr="00A76CDE" w:rsidRDefault="00E13504" w:rsidP="00E13504">
            <w:pPr>
              <w:pStyle w:val="naiskr"/>
              <w:tabs>
                <w:tab w:val="left" w:pos="283"/>
              </w:tabs>
              <w:spacing w:before="0" w:after="0"/>
              <w:ind w:firstLine="284"/>
              <w:jc w:val="both"/>
              <w:rPr>
                <w:sz w:val="27"/>
                <w:szCs w:val="27"/>
              </w:rPr>
            </w:pPr>
            <w:r w:rsidRPr="00E13504">
              <w:rPr>
                <w:sz w:val="27"/>
                <w:szCs w:val="27"/>
              </w:rPr>
              <w:t>Administratīvo slogu nodokļu maksātājiem samazinās arī nodokļu maksātāju darījumu loka paplašināšana, kuru veikšanai ir tiesības nelietot kases aparātu, saņemto samaksu apliecinot ar numurētu Valsts ieņēmumu dienestā reģistrēto kvīti vai numurētu Valsts ieņēmumu dienestā reģistrēto biļeti.</w:t>
            </w:r>
          </w:p>
        </w:tc>
      </w:tr>
      <w:tr w:rsidR="009A0027" w:rsidRPr="00A76CDE" w14:paraId="1F2F4B9E" w14:textId="77777777" w:rsidTr="00946395">
        <w:trPr>
          <w:jc w:val="center"/>
        </w:trPr>
        <w:tc>
          <w:tcPr>
            <w:tcW w:w="621" w:type="dxa"/>
          </w:tcPr>
          <w:p w14:paraId="20F4A388" w14:textId="77777777" w:rsidR="00FE4973" w:rsidRPr="00A76CDE" w:rsidRDefault="00FE4973" w:rsidP="001F7464">
            <w:pPr>
              <w:pStyle w:val="naiskr"/>
              <w:tabs>
                <w:tab w:val="left" w:pos="2628"/>
              </w:tabs>
              <w:spacing w:before="0" w:after="0"/>
              <w:ind w:right="142"/>
              <w:jc w:val="right"/>
              <w:rPr>
                <w:iCs/>
                <w:sz w:val="27"/>
                <w:szCs w:val="27"/>
              </w:rPr>
            </w:pPr>
            <w:r w:rsidRPr="00A76CDE">
              <w:rPr>
                <w:iCs/>
                <w:sz w:val="27"/>
                <w:szCs w:val="27"/>
              </w:rPr>
              <w:t>3.</w:t>
            </w:r>
          </w:p>
        </w:tc>
        <w:tc>
          <w:tcPr>
            <w:tcW w:w="3205" w:type="dxa"/>
          </w:tcPr>
          <w:p w14:paraId="64324A4E" w14:textId="77777777" w:rsidR="00FE4973" w:rsidRPr="00A76CDE" w:rsidRDefault="00FE4973" w:rsidP="00C96B4C">
            <w:pPr>
              <w:pStyle w:val="naiskr"/>
              <w:tabs>
                <w:tab w:val="left" w:pos="2628"/>
              </w:tabs>
              <w:spacing w:before="0" w:after="0"/>
              <w:ind w:right="142"/>
              <w:rPr>
                <w:iCs/>
                <w:sz w:val="27"/>
                <w:szCs w:val="27"/>
              </w:rPr>
            </w:pPr>
            <w:r w:rsidRPr="00A76CDE">
              <w:rPr>
                <w:sz w:val="27"/>
                <w:szCs w:val="27"/>
              </w:rPr>
              <w:t>Administratīvo izmaksu monetārs novērtējums</w:t>
            </w:r>
          </w:p>
        </w:tc>
        <w:tc>
          <w:tcPr>
            <w:tcW w:w="5709" w:type="dxa"/>
          </w:tcPr>
          <w:p w14:paraId="7859917C" w14:textId="77777777" w:rsidR="00FE4973" w:rsidRPr="00A76CDE" w:rsidRDefault="009E56AD" w:rsidP="00615EE2">
            <w:pPr>
              <w:pStyle w:val="naiskr"/>
              <w:tabs>
                <w:tab w:val="left" w:pos="2628"/>
              </w:tabs>
              <w:spacing w:before="0" w:after="0"/>
              <w:ind w:firstLine="284"/>
              <w:jc w:val="both"/>
              <w:rPr>
                <w:i/>
                <w:iCs/>
                <w:sz w:val="27"/>
                <w:szCs w:val="27"/>
              </w:rPr>
            </w:pPr>
            <w:r w:rsidRPr="00A76CDE">
              <w:rPr>
                <w:iCs/>
                <w:sz w:val="27"/>
                <w:szCs w:val="27"/>
              </w:rPr>
              <w:t>Projekts šo jomu neskar</w:t>
            </w:r>
          </w:p>
        </w:tc>
      </w:tr>
      <w:tr w:rsidR="009A0027" w:rsidRPr="00A76CDE" w14:paraId="3E200DD0" w14:textId="77777777" w:rsidTr="00946395">
        <w:trPr>
          <w:jc w:val="center"/>
        </w:trPr>
        <w:tc>
          <w:tcPr>
            <w:tcW w:w="621" w:type="dxa"/>
          </w:tcPr>
          <w:p w14:paraId="7474B2C1" w14:textId="77777777" w:rsidR="00FE4973" w:rsidRPr="00A76CDE" w:rsidRDefault="00FE4973" w:rsidP="001F7464">
            <w:pPr>
              <w:pStyle w:val="naiskr"/>
              <w:tabs>
                <w:tab w:val="left" w:pos="2628"/>
              </w:tabs>
              <w:spacing w:before="0" w:after="0"/>
              <w:ind w:right="142"/>
              <w:jc w:val="right"/>
              <w:rPr>
                <w:iCs/>
                <w:sz w:val="27"/>
                <w:szCs w:val="27"/>
              </w:rPr>
            </w:pPr>
            <w:r w:rsidRPr="00A76CDE">
              <w:rPr>
                <w:iCs/>
                <w:sz w:val="27"/>
                <w:szCs w:val="27"/>
              </w:rPr>
              <w:t>4.</w:t>
            </w:r>
          </w:p>
        </w:tc>
        <w:tc>
          <w:tcPr>
            <w:tcW w:w="3205" w:type="dxa"/>
          </w:tcPr>
          <w:p w14:paraId="3BFA8575" w14:textId="77777777" w:rsidR="00FE4973" w:rsidRPr="00A76CDE" w:rsidRDefault="00FE4973" w:rsidP="00C96B4C">
            <w:pPr>
              <w:pStyle w:val="naiskr"/>
              <w:tabs>
                <w:tab w:val="left" w:pos="2628"/>
              </w:tabs>
              <w:spacing w:before="0" w:after="0"/>
              <w:ind w:right="142"/>
              <w:rPr>
                <w:sz w:val="27"/>
                <w:szCs w:val="27"/>
              </w:rPr>
            </w:pPr>
            <w:r w:rsidRPr="00A76CDE">
              <w:rPr>
                <w:sz w:val="27"/>
                <w:szCs w:val="27"/>
              </w:rPr>
              <w:t>Cita informācija</w:t>
            </w:r>
          </w:p>
        </w:tc>
        <w:tc>
          <w:tcPr>
            <w:tcW w:w="5709" w:type="dxa"/>
          </w:tcPr>
          <w:p w14:paraId="14DEB059" w14:textId="77777777" w:rsidR="00FE4973" w:rsidRPr="00A76CDE" w:rsidRDefault="00F64A42" w:rsidP="001F7464">
            <w:pPr>
              <w:pStyle w:val="naiskr"/>
              <w:tabs>
                <w:tab w:val="left" w:pos="2628"/>
              </w:tabs>
              <w:spacing w:before="0" w:after="0"/>
              <w:ind w:firstLine="284"/>
              <w:jc w:val="both"/>
              <w:rPr>
                <w:sz w:val="27"/>
                <w:szCs w:val="27"/>
              </w:rPr>
            </w:pPr>
            <w:r w:rsidRPr="00A76CDE">
              <w:rPr>
                <w:sz w:val="27"/>
                <w:szCs w:val="27"/>
              </w:rPr>
              <w:t>Nav</w:t>
            </w:r>
          </w:p>
        </w:tc>
      </w:tr>
    </w:tbl>
    <w:p w14:paraId="6EBEC957" w14:textId="25C82F8C" w:rsidR="009E56AD" w:rsidRDefault="009E56AD" w:rsidP="00C96B4C">
      <w:pPr>
        <w:pStyle w:val="naisf"/>
        <w:spacing w:before="0" w:after="0"/>
        <w:ind w:right="142" w:firstLine="0"/>
        <w:rPr>
          <w:sz w:val="27"/>
          <w:szCs w:val="27"/>
        </w:rPr>
      </w:pPr>
    </w:p>
    <w:p w14:paraId="0BD4C875" w14:textId="5D338579" w:rsidR="00CB7FA7" w:rsidRDefault="00CB7FA7" w:rsidP="00C96B4C">
      <w:pPr>
        <w:pStyle w:val="naisf"/>
        <w:spacing w:before="0" w:after="0"/>
        <w:ind w:right="142" w:firstLine="0"/>
        <w:rPr>
          <w:sz w:val="27"/>
          <w:szCs w:val="27"/>
        </w:rPr>
      </w:pPr>
    </w:p>
    <w:p w14:paraId="1C94526B" w14:textId="77777777" w:rsidR="00CB7FA7" w:rsidRDefault="00CB7FA7" w:rsidP="00C96B4C">
      <w:pPr>
        <w:pStyle w:val="naisf"/>
        <w:spacing w:before="0" w:after="0"/>
        <w:ind w:right="142" w:firstLine="0"/>
        <w:rPr>
          <w:sz w:val="27"/>
          <w:szCs w:val="27"/>
        </w:rPr>
      </w:pPr>
    </w:p>
    <w:p w14:paraId="7C939608" w14:textId="77777777" w:rsidR="00BD4F9F" w:rsidRPr="00A76CDE" w:rsidRDefault="00BD4F9F" w:rsidP="00C96B4C">
      <w:pPr>
        <w:pStyle w:val="naisf"/>
        <w:spacing w:before="0" w:after="0"/>
        <w:ind w:right="142" w:firstLine="0"/>
        <w:rPr>
          <w:sz w:val="27"/>
          <w:szCs w:val="27"/>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301"/>
        <w:gridCol w:w="6549"/>
      </w:tblGrid>
      <w:tr w:rsidR="000F31B1" w:rsidRPr="005420AE" w14:paraId="0E10EBA2" w14:textId="77777777" w:rsidTr="003B491E">
        <w:trPr>
          <w:trHeight w:val="461"/>
          <w:jc w:val="center"/>
        </w:trPr>
        <w:tc>
          <w:tcPr>
            <w:tcW w:w="9554" w:type="dxa"/>
            <w:gridSpan w:val="3"/>
            <w:vAlign w:val="center"/>
          </w:tcPr>
          <w:p w14:paraId="0146A412" w14:textId="77777777" w:rsidR="000F31B1" w:rsidRPr="0014256C" w:rsidRDefault="000F31B1" w:rsidP="003B491E">
            <w:pPr>
              <w:pStyle w:val="naisnod"/>
              <w:spacing w:before="0" w:after="0"/>
              <w:rPr>
                <w:b w:val="0"/>
                <w:sz w:val="27"/>
                <w:szCs w:val="27"/>
              </w:rPr>
            </w:pPr>
            <w:r w:rsidRPr="0014256C">
              <w:rPr>
                <w:sz w:val="27"/>
                <w:szCs w:val="27"/>
              </w:rPr>
              <w:br w:type="page"/>
              <w:t>IV. Tiesību akta projekta ietekme uz spēkā esošo tiesību normu sistēmu</w:t>
            </w:r>
          </w:p>
        </w:tc>
      </w:tr>
      <w:tr w:rsidR="000F31B1" w:rsidRPr="005420AE" w14:paraId="39E06F45" w14:textId="77777777" w:rsidTr="000F31B1">
        <w:trPr>
          <w:jc w:val="center"/>
        </w:trPr>
        <w:tc>
          <w:tcPr>
            <w:tcW w:w="704" w:type="dxa"/>
          </w:tcPr>
          <w:p w14:paraId="3A2C55F5" w14:textId="77777777" w:rsidR="000F31B1" w:rsidRPr="005420AE" w:rsidRDefault="000F31B1" w:rsidP="003B491E">
            <w:pPr>
              <w:pStyle w:val="naiskr"/>
              <w:tabs>
                <w:tab w:val="left" w:pos="2628"/>
              </w:tabs>
              <w:spacing w:before="0" w:after="0"/>
              <w:jc w:val="both"/>
              <w:rPr>
                <w:iCs/>
                <w:sz w:val="26"/>
                <w:szCs w:val="26"/>
              </w:rPr>
            </w:pPr>
            <w:r w:rsidRPr="005420AE">
              <w:rPr>
                <w:iCs/>
                <w:sz w:val="26"/>
                <w:szCs w:val="26"/>
              </w:rPr>
              <w:lastRenderedPageBreak/>
              <w:t>1.</w:t>
            </w:r>
          </w:p>
        </w:tc>
        <w:tc>
          <w:tcPr>
            <w:tcW w:w="2301" w:type="dxa"/>
          </w:tcPr>
          <w:p w14:paraId="51EA6E82" w14:textId="77777777" w:rsidR="000F31B1" w:rsidRPr="0014256C" w:rsidRDefault="000F31B1" w:rsidP="003B491E">
            <w:pPr>
              <w:pStyle w:val="naiskr"/>
              <w:tabs>
                <w:tab w:val="left" w:pos="2628"/>
              </w:tabs>
              <w:spacing w:before="0" w:after="0"/>
              <w:jc w:val="both"/>
              <w:rPr>
                <w:iCs/>
                <w:sz w:val="27"/>
                <w:szCs w:val="27"/>
              </w:rPr>
            </w:pPr>
            <w:r w:rsidRPr="0014256C">
              <w:rPr>
                <w:sz w:val="27"/>
                <w:szCs w:val="27"/>
              </w:rPr>
              <w:t>Nepieciešamie saistītie tiesību aktu projekti</w:t>
            </w:r>
          </w:p>
        </w:tc>
        <w:tc>
          <w:tcPr>
            <w:tcW w:w="6549" w:type="dxa"/>
          </w:tcPr>
          <w:p w14:paraId="299E52EF" w14:textId="1942200E" w:rsidR="000F31B1" w:rsidRPr="0014256C" w:rsidRDefault="00D43FED" w:rsidP="003B491E">
            <w:pPr>
              <w:jc w:val="both"/>
              <w:rPr>
                <w:sz w:val="27"/>
                <w:szCs w:val="27"/>
              </w:rPr>
            </w:pPr>
            <w:r>
              <w:rPr>
                <w:sz w:val="27"/>
                <w:szCs w:val="27"/>
              </w:rPr>
              <w:t xml:space="preserve">Ministru kabineta 2015.gada 31.marta noteikumi Nr.153 </w:t>
            </w:r>
            <w:r w:rsidRPr="00D43FED">
              <w:rPr>
                <w:sz w:val="27"/>
                <w:szCs w:val="27"/>
              </w:rPr>
              <w:t>"Noteikumi par pasažieru kategorijām, kuras ir tiesīgas izmantot braukšanas maksas atvieglojumus maršrutu tīkla maršrutos"</w:t>
            </w:r>
            <w:r w:rsidR="00E9461A">
              <w:rPr>
                <w:sz w:val="27"/>
                <w:szCs w:val="27"/>
              </w:rPr>
              <w:t xml:space="preserve"> un Ministru kabineta 201</w:t>
            </w:r>
            <w:r w:rsidR="006134AD">
              <w:rPr>
                <w:sz w:val="27"/>
                <w:szCs w:val="27"/>
              </w:rPr>
              <w:t>2.gada 28.augusta noteikumi Nr.</w:t>
            </w:r>
            <w:r w:rsidR="00E9461A">
              <w:rPr>
                <w:sz w:val="27"/>
                <w:szCs w:val="27"/>
              </w:rPr>
              <w:t xml:space="preserve">599 </w:t>
            </w:r>
            <w:r w:rsidR="00E9461A" w:rsidRPr="00E9461A">
              <w:rPr>
                <w:sz w:val="27"/>
                <w:szCs w:val="27"/>
              </w:rPr>
              <w:t>"Sabiedriskā transporta pakalpojumu sniegšanas un izmantošanas kārtība"</w:t>
            </w:r>
          </w:p>
        </w:tc>
      </w:tr>
      <w:tr w:rsidR="000F31B1" w:rsidRPr="005420AE" w14:paraId="2C8A40CB" w14:textId="77777777" w:rsidTr="000F31B1">
        <w:trPr>
          <w:trHeight w:val="226"/>
          <w:jc w:val="center"/>
        </w:trPr>
        <w:tc>
          <w:tcPr>
            <w:tcW w:w="704" w:type="dxa"/>
          </w:tcPr>
          <w:p w14:paraId="721978BD" w14:textId="77777777" w:rsidR="000F31B1" w:rsidRPr="005420AE" w:rsidRDefault="000F31B1" w:rsidP="003B491E">
            <w:pPr>
              <w:pStyle w:val="naiskr"/>
              <w:tabs>
                <w:tab w:val="left" w:pos="2628"/>
              </w:tabs>
              <w:spacing w:before="0" w:after="0"/>
              <w:jc w:val="both"/>
              <w:rPr>
                <w:iCs/>
                <w:sz w:val="26"/>
                <w:szCs w:val="26"/>
              </w:rPr>
            </w:pPr>
            <w:r w:rsidRPr="005420AE">
              <w:rPr>
                <w:iCs/>
                <w:sz w:val="26"/>
                <w:szCs w:val="26"/>
              </w:rPr>
              <w:t>2.</w:t>
            </w:r>
          </w:p>
        </w:tc>
        <w:tc>
          <w:tcPr>
            <w:tcW w:w="2301" w:type="dxa"/>
          </w:tcPr>
          <w:p w14:paraId="5639E039" w14:textId="77777777" w:rsidR="000F31B1" w:rsidRPr="0014256C" w:rsidRDefault="000F31B1" w:rsidP="003B491E">
            <w:pPr>
              <w:pStyle w:val="naiskr"/>
              <w:tabs>
                <w:tab w:val="left" w:pos="2628"/>
              </w:tabs>
              <w:spacing w:before="0" w:after="0"/>
              <w:jc w:val="both"/>
              <w:rPr>
                <w:sz w:val="27"/>
                <w:szCs w:val="27"/>
              </w:rPr>
            </w:pPr>
            <w:r w:rsidRPr="0014256C">
              <w:rPr>
                <w:sz w:val="27"/>
                <w:szCs w:val="27"/>
              </w:rPr>
              <w:t>Atbildīgā institūcija</w:t>
            </w:r>
          </w:p>
        </w:tc>
        <w:tc>
          <w:tcPr>
            <w:tcW w:w="6549" w:type="dxa"/>
          </w:tcPr>
          <w:p w14:paraId="055BC466" w14:textId="5DB3266C" w:rsidR="000F31B1" w:rsidRPr="0014256C" w:rsidRDefault="00D43FED" w:rsidP="003B491E">
            <w:pPr>
              <w:shd w:val="clear" w:color="auto" w:fill="FFFFFF"/>
              <w:jc w:val="both"/>
              <w:rPr>
                <w:sz w:val="27"/>
                <w:szCs w:val="27"/>
              </w:rPr>
            </w:pPr>
            <w:r>
              <w:rPr>
                <w:sz w:val="27"/>
                <w:szCs w:val="27"/>
              </w:rPr>
              <w:t>Satiksmes ministrija</w:t>
            </w:r>
          </w:p>
        </w:tc>
      </w:tr>
      <w:tr w:rsidR="000F31B1" w:rsidRPr="005420AE" w14:paraId="4A0334CD" w14:textId="77777777" w:rsidTr="000F31B1">
        <w:trPr>
          <w:jc w:val="center"/>
        </w:trPr>
        <w:tc>
          <w:tcPr>
            <w:tcW w:w="704" w:type="dxa"/>
          </w:tcPr>
          <w:p w14:paraId="4EE46704" w14:textId="77777777" w:rsidR="000F31B1" w:rsidRPr="005420AE" w:rsidRDefault="000F31B1" w:rsidP="003B491E">
            <w:pPr>
              <w:pStyle w:val="naiskr"/>
              <w:tabs>
                <w:tab w:val="left" w:pos="2628"/>
              </w:tabs>
              <w:spacing w:before="0" w:after="0"/>
              <w:jc w:val="both"/>
              <w:rPr>
                <w:iCs/>
                <w:sz w:val="26"/>
                <w:szCs w:val="26"/>
              </w:rPr>
            </w:pPr>
            <w:r w:rsidRPr="005420AE">
              <w:rPr>
                <w:iCs/>
                <w:sz w:val="26"/>
                <w:szCs w:val="26"/>
              </w:rPr>
              <w:t>3.</w:t>
            </w:r>
          </w:p>
        </w:tc>
        <w:tc>
          <w:tcPr>
            <w:tcW w:w="2301" w:type="dxa"/>
          </w:tcPr>
          <w:p w14:paraId="2B50D1EE" w14:textId="77777777" w:rsidR="000F31B1" w:rsidRPr="0014256C" w:rsidRDefault="000F31B1" w:rsidP="003B491E">
            <w:pPr>
              <w:pStyle w:val="naiskr"/>
              <w:tabs>
                <w:tab w:val="left" w:pos="2628"/>
              </w:tabs>
              <w:spacing w:before="0" w:after="0"/>
              <w:jc w:val="both"/>
              <w:rPr>
                <w:iCs/>
                <w:sz w:val="27"/>
                <w:szCs w:val="27"/>
              </w:rPr>
            </w:pPr>
            <w:r w:rsidRPr="0014256C">
              <w:rPr>
                <w:sz w:val="27"/>
                <w:szCs w:val="27"/>
              </w:rPr>
              <w:t>Cita informācija</w:t>
            </w:r>
          </w:p>
        </w:tc>
        <w:tc>
          <w:tcPr>
            <w:tcW w:w="6549" w:type="dxa"/>
          </w:tcPr>
          <w:p w14:paraId="56926A41" w14:textId="77777777" w:rsidR="000F31B1" w:rsidRPr="0014256C" w:rsidRDefault="000F31B1" w:rsidP="003B491E">
            <w:pPr>
              <w:pStyle w:val="naiskr"/>
              <w:tabs>
                <w:tab w:val="left" w:pos="2628"/>
              </w:tabs>
              <w:spacing w:before="0" w:after="0"/>
              <w:jc w:val="both"/>
              <w:rPr>
                <w:iCs/>
                <w:sz w:val="27"/>
                <w:szCs w:val="27"/>
              </w:rPr>
            </w:pPr>
            <w:r w:rsidRPr="0014256C">
              <w:rPr>
                <w:sz w:val="27"/>
                <w:szCs w:val="27"/>
              </w:rPr>
              <w:t>Nav</w:t>
            </w:r>
          </w:p>
        </w:tc>
      </w:tr>
    </w:tbl>
    <w:p w14:paraId="72A58F7C" w14:textId="29A6871F" w:rsidR="000F31B1" w:rsidRDefault="000F31B1" w:rsidP="00C96B4C">
      <w:pPr>
        <w:pStyle w:val="naisf"/>
        <w:spacing w:before="0" w:after="0"/>
        <w:ind w:right="142" w:firstLine="0"/>
        <w:rPr>
          <w:sz w:val="27"/>
          <w:szCs w:val="27"/>
        </w:rPr>
      </w:pPr>
    </w:p>
    <w:p w14:paraId="749A7F88" w14:textId="77777777" w:rsidR="00CB7FA7" w:rsidRPr="00A76CDE" w:rsidRDefault="00CB7FA7" w:rsidP="00C96B4C">
      <w:pPr>
        <w:pStyle w:val="naisf"/>
        <w:spacing w:before="0" w:after="0"/>
        <w:ind w:right="142" w:firstLine="0"/>
        <w:rPr>
          <w:sz w:val="27"/>
          <w:szCs w:val="27"/>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7"/>
        <w:gridCol w:w="2735"/>
        <w:gridCol w:w="6239"/>
      </w:tblGrid>
      <w:tr w:rsidR="00C411DA" w:rsidRPr="00A76CDE" w14:paraId="29122938" w14:textId="77777777" w:rsidTr="000F31B1">
        <w:tc>
          <w:tcPr>
            <w:tcW w:w="5000" w:type="pct"/>
            <w:gridSpan w:val="3"/>
            <w:tcBorders>
              <w:top w:val="outset" w:sz="6" w:space="0" w:color="000000"/>
              <w:left w:val="outset" w:sz="6" w:space="0" w:color="000000"/>
              <w:bottom w:val="outset" w:sz="6" w:space="0" w:color="000000"/>
              <w:right w:val="outset" w:sz="6" w:space="0" w:color="000000"/>
            </w:tcBorders>
            <w:hideMark/>
          </w:tcPr>
          <w:p w14:paraId="122B7AC9" w14:textId="77777777" w:rsidR="00C411DA" w:rsidRPr="00A76CDE" w:rsidRDefault="00C411DA">
            <w:pPr>
              <w:spacing w:before="100" w:beforeAutospacing="1" w:after="100" w:afterAutospacing="1"/>
              <w:jc w:val="center"/>
              <w:rPr>
                <w:b/>
                <w:bCs/>
                <w:sz w:val="27"/>
                <w:szCs w:val="27"/>
              </w:rPr>
            </w:pPr>
            <w:r w:rsidRPr="00A76CDE">
              <w:rPr>
                <w:b/>
                <w:bCs/>
                <w:sz w:val="27"/>
                <w:szCs w:val="27"/>
              </w:rPr>
              <w:t xml:space="preserve">VI. Sabiedrības līdzdalība un </w:t>
            </w:r>
            <w:r w:rsidR="00B42B3F" w:rsidRPr="00A76CDE">
              <w:rPr>
                <w:b/>
                <w:bCs/>
                <w:sz w:val="27"/>
                <w:szCs w:val="27"/>
              </w:rPr>
              <w:t>komunikācijas aktivitātes</w:t>
            </w:r>
          </w:p>
        </w:tc>
      </w:tr>
      <w:tr w:rsidR="00C411DA" w:rsidRPr="00A76CDE" w14:paraId="4DC833A1"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38C405A9" w14:textId="77777777" w:rsidR="00C411DA" w:rsidRPr="00A76CDE" w:rsidRDefault="00C411DA" w:rsidP="001F7464">
            <w:pPr>
              <w:spacing w:before="100" w:beforeAutospacing="1" w:after="100" w:afterAutospacing="1"/>
              <w:jc w:val="center"/>
              <w:rPr>
                <w:sz w:val="27"/>
                <w:szCs w:val="27"/>
              </w:rPr>
            </w:pPr>
            <w:r w:rsidRPr="00A76CDE">
              <w:rPr>
                <w:sz w:val="27"/>
                <w:szCs w:val="27"/>
              </w:rPr>
              <w:t>1.</w:t>
            </w:r>
          </w:p>
        </w:tc>
        <w:tc>
          <w:tcPr>
            <w:tcW w:w="1407" w:type="pct"/>
            <w:tcBorders>
              <w:top w:val="outset" w:sz="6" w:space="0" w:color="000000"/>
              <w:left w:val="outset" w:sz="6" w:space="0" w:color="000000"/>
              <w:bottom w:val="outset" w:sz="6" w:space="0" w:color="000000"/>
              <w:right w:val="outset" w:sz="6" w:space="0" w:color="000000"/>
            </w:tcBorders>
            <w:hideMark/>
          </w:tcPr>
          <w:p w14:paraId="531A06B3" w14:textId="77777777" w:rsidR="00C411DA" w:rsidRPr="00A76CDE" w:rsidRDefault="00B42B3F">
            <w:pPr>
              <w:spacing w:before="100" w:beforeAutospacing="1" w:after="100" w:afterAutospacing="1"/>
              <w:rPr>
                <w:sz w:val="27"/>
                <w:szCs w:val="27"/>
              </w:rPr>
            </w:pPr>
            <w:r w:rsidRPr="00A76CDE">
              <w:rPr>
                <w:sz w:val="27"/>
                <w:szCs w:val="27"/>
              </w:rPr>
              <w:t>Plānotās sabiedrības līdzdalības un komunikācijas aktivitātes saistībā ar projektu</w:t>
            </w:r>
          </w:p>
        </w:tc>
        <w:tc>
          <w:tcPr>
            <w:tcW w:w="3209" w:type="pct"/>
            <w:tcBorders>
              <w:top w:val="outset" w:sz="6" w:space="0" w:color="000000"/>
              <w:left w:val="outset" w:sz="6" w:space="0" w:color="000000"/>
              <w:bottom w:val="outset" w:sz="6" w:space="0" w:color="000000"/>
              <w:right w:val="outset" w:sz="6" w:space="0" w:color="000000"/>
            </w:tcBorders>
            <w:hideMark/>
          </w:tcPr>
          <w:p w14:paraId="287FE6DB" w14:textId="77777777" w:rsidR="00C411DA" w:rsidRPr="00A76CDE" w:rsidRDefault="008B5711" w:rsidP="008B5711">
            <w:pPr>
              <w:jc w:val="both"/>
              <w:rPr>
                <w:sz w:val="27"/>
                <w:szCs w:val="27"/>
                <w:highlight w:val="yellow"/>
              </w:rPr>
            </w:pPr>
            <w:r w:rsidRPr="00A76CDE">
              <w:rPr>
                <w:sz w:val="27"/>
                <w:szCs w:val="27"/>
              </w:rPr>
              <w:t>Noteikumu projekts būs pieejams sabiedrībai Finanšu ministrijas mājaslapā</w:t>
            </w:r>
          </w:p>
        </w:tc>
      </w:tr>
      <w:tr w:rsidR="00C411DA" w:rsidRPr="00A76CDE" w14:paraId="21426D90"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147179B0" w14:textId="77777777" w:rsidR="00C411DA" w:rsidRPr="00A76CDE" w:rsidRDefault="00C411DA" w:rsidP="001F7464">
            <w:pPr>
              <w:spacing w:before="100" w:beforeAutospacing="1" w:after="100" w:afterAutospacing="1"/>
              <w:jc w:val="center"/>
              <w:rPr>
                <w:sz w:val="27"/>
                <w:szCs w:val="27"/>
              </w:rPr>
            </w:pPr>
            <w:r w:rsidRPr="00A76CDE">
              <w:rPr>
                <w:sz w:val="27"/>
                <w:szCs w:val="27"/>
              </w:rPr>
              <w:t>2.</w:t>
            </w:r>
          </w:p>
        </w:tc>
        <w:tc>
          <w:tcPr>
            <w:tcW w:w="1407" w:type="pct"/>
            <w:tcBorders>
              <w:top w:val="outset" w:sz="6" w:space="0" w:color="000000"/>
              <w:left w:val="outset" w:sz="6" w:space="0" w:color="000000"/>
              <w:bottom w:val="outset" w:sz="6" w:space="0" w:color="000000"/>
              <w:right w:val="outset" w:sz="6" w:space="0" w:color="000000"/>
            </w:tcBorders>
            <w:hideMark/>
          </w:tcPr>
          <w:p w14:paraId="60561261" w14:textId="77777777" w:rsidR="00C411DA" w:rsidRPr="00A76CDE" w:rsidRDefault="00C411DA">
            <w:pPr>
              <w:spacing w:before="100" w:beforeAutospacing="1" w:after="100" w:afterAutospacing="1"/>
              <w:rPr>
                <w:sz w:val="27"/>
                <w:szCs w:val="27"/>
              </w:rPr>
            </w:pPr>
            <w:r w:rsidRPr="00A76CDE">
              <w:rPr>
                <w:sz w:val="27"/>
                <w:szCs w:val="27"/>
              </w:rPr>
              <w:t>Sabiedrības līdzdalība projekta izstrādē</w:t>
            </w:r>
          </w:p>
        </w:tc>
        <w:tc>
          <w:tcPr>
            <w:tcW w:w="3209" w:type="pct"/>
            <w:tcBorders>
              <w:top w:val="outset" w:sz="6" w:space="0" w:color="000000"/>
              <w:left w:val="outset" w:sz="6" w:space="0" w:color="000000"/>
              <w:bottom w:val="outset" w:sz="6" w:space="0" w:color="000000"/>
              <w:right w:val="outset" w:sz="6" w:space="0" w:color="000000"/>
            </w:tcBorders>
            <w:hideMark/>
          </w:tcPr>
          <w:p w14:paraId="610BEAFA" w14:textId="6C7608F6" w:rsidR="00C411DA" w:rsidRPr="009B032B" w:rsidRDefault="008B5711" w:rsidP="00E62573">
            <w:pPr>
              <w:jc w:val="both"/>
              <w:rPr>
                <w:sz w:val="27"/>
                <w:szCs w:val="27"/>
              </w:rPr>
            </w:pPr>
            <w:r w:rsidRPr="00A76CDE">
              <w:rPr>
                <w:sz w:val="27"/>
                <w:szCs w:val="27"/>
              </w:rPr>
              <w:t xml:space="preserve">Valsts ieņēmumu dienesta pārstāvji pirms noteikumu projekta sagatavošanas organizēja sanāksmes un tikšanās, kurās piedalījās </w:t>
            </w:r>
            <w:r w:rsidR="00E62573" w:rsidRPr="00E62573">
              <w:rPr>
                <w:sz w:val="27"/>
                <w:szCs w:val="27"/>
              </w:rPr>
              <w:t>Latvijas kases aparātu un sistēmu apkalpojošo dienestu, tirgotāju un ražotāju asociācija</w:t>
            </w:r>
            <w:r w:rsidR="00E62573">
              <w:rPr>
                <w:sz w:val="27"/>
                <w:szCs w:val="27"/>
              </w:rPr>
              <w:t xml:space="preserve">s, </w:t>
            </w:r>
            <w:r w:rsidR="003F0426">
              <w:rPr>
                <w:sz w:val="27"/>
                <w:szCs w:val="27"/>
              </w:rPr>
              <w:t>Latvijas Komercbanku asociācijas</w:t>
            </w:r>
            <w:r w:rsidR="00E62573">
              <w:rPr>
                <w:sz w:val="27"/>
                <w:szCs w:val="27"/>
              </w:rPr>
              <w:t xml:space="preserve"> un</w:t>
            </w:r>
            <w:r w:rsidR="003F0426">
              <w:rPr>
                <w:sz w:val="27"/>
                <w:szCs w:val="27"/>
              </w:rPr>
              <w:t xml:space="preserve"> Latvijas Tirdzniecības un rūpniecības kameras</w:t>
            </w:r>
            <w:r w:rsidR="00E62573">
              <w:rPr>
                <w:sz w:val="27"/>
                <w:szCs w:val="27"/>
              </w:rPr>
              <w:t xml:space="preserve"> </w:t>
            </w:r>
            <w:r w:rsidRPr="00E62573">
              <w:rPr>
                <w:sz w:val="27"/>
                <w:szCs w:val="27"/>
              </w:rPr>
              <w:t>pārstāvji</w:t>
            </w:r>
            <w:r w:rsidRPr="00A76CDE">
              <w:rPr>
                <w:sz w:val="27"/>
                <w:szCs w:val="27"/>
              </w:rPr>
              <w:t xml:space="preserve">, kuri </w:t>
            </w:r>
            <w:r w:rsidR="001B444A" w:rsidRPr="00A76CDE">
              <w:rPr>
                <w:sz w:val="27"/>
                <w:szCs w:val="27"/>
              </w:rPr>
              <w:t>iniciēj</w:t>
            </w:r>
            <w:r w:rsidR="007A759D">
              <w:rPr>
                <w:sz w:val="27"/>
                <w:szCs w:val="27"/>
              </w:rPr>
              <w:t>a</w:t>
            </w:r>
            <w:r w:rsidR="001B444A" w:rsidRPr="00A76CDE">
              <w:rPr>
                <w:sz w:val="27"/>
                <w:szCs w:val="27"/>
              </w:rPr>
              <w:t xml:space="preserve"> </w:t>
            </w:r>
            <w:r w:rsidRPr="00A76CDE">
              <w:rPr>
                <w:sz w:val="27"/>
                <w:szCs w:val="27"/>
              </w:rPr>
              <w:t>un atbalst</w:t>
            </w:r>
            <w:r w:rsidR="005E4238" w:rsidRPr="00A76CDE">
              <w:rPr>
                <w:sz w:val="27"/>
                <w:szCs w:val="27"/>
              </w:rPr>
              <w:t xml:space="preserve">īja noteikumu </w:t>
            </w:r>
            <w:r w:rsidR="00A701C6">
              <w:rPr>
                <w:sz w:val="27"/>
                <w:szCs w:val="27"/>
              </w:rPr>
              <w:t xml:space="preserve">projekta </w:t>
            </w:r>
            <w:r w:rsidR="001B444A">
              <w:rPr>
                <w:sz w:val="27"/>
                <w:szCs w:val="27"/>
              </w:rPr>
              <w:t xml:space="preserve">tālāku </w:t>
            </w:r>
            <w:r w:rsidR="005E4238" w:rsidRPr="00A76CDE">
              <w:rPr>
                <w:sz w:val="27"/>
                <w:szCs w:val="27"/>
              </w:rPr>
              <w:t>virzību</w:t>
            </w:r>
          </w:p>
        </w:tc>
      </w:tr>
      <w:tr w:rsidR="00C411DA" w:rsidRPr="00A76CDE" w14:paraId="43E9CF24"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0C71E0A4" w14:textId="77777777" w:rsidR="00C411DA" w:rsidRPr="00A76CDE" w:rsidRDefault="00C411DA" w:rsidP="001F7464">
            <w:pPr>
              <w:spacing w:before="100" w:beforeAutospacing="1" w:after="100" w:afterAutospacing="1"/>
              <w:jc w:val="center"/>
              <w:rPr>
                <w:sz w:val="27"/>
                <w:szCs w:val="27"/>
              </w:rPr>
            </w:pPr>
            <w:r w:rsidRPr="00A76CDE">
              <w:rPr>
                <w:sz w:val="27"/>
                <w:szCs w:val="27"/>
              </w:rPr>
              <w:t>3.</w:t>
            </w:r>
          </w:p>
        </w:tc>
        <w:tc>
          <w:tcPr>
            <w:tcW w:w="1407" w:type="pct"/>
            <w:tcBorders>
              <w:top w:val="outset" w:sz="6" w:space="0" w:color="000000"/>
              <w:left w:val="outset" w:sz="6" w:space="0" w:color="000000"/>
              <w:bottom w:val="outset" w:sz="6" w:space="0" w:color="000000"/>
              <w:right w:val="outset" w:sz="6" w:space="0" w:color="000000"/>
            </w:tcBorders>
            <w:hideMark/>
          </w:tcPr>
          <w:p w14:paraId="07C3B751" w14:textId="77777777" w:rsidR="00C411DA" w:rsidRPr="00A76CDE" w:rsidRDefault="00C411DA">
            <w:pPr>
              <w:spacing w:before="100" w:beforeAutospacing="1" w:after="100" w:afterAutospacing="1"/>
              <w:rPr>
                <w:sz w:val="27"/>
                <w:szCs w:val="27"/>
              </w:rPr>
            </w:pPr>
            <w:r w:rsidRPr="00A76CDE">
              <w:rPr>
                <w:sz w:val="27"/>
                <w:szCs w:val="27"/>
              </w:rPr>
              <w:t>Sabiedrības līdzdalības rezultāti</w:t>
            </w:r>
          </w:p>
        </w:tc>
        <w:tc>
          <w:tcPr>
            <w:tcW w:w="3209" w:type="pct"/>
            <w:tcBorders>
              <w:top w:val="outset" w:sz="6" w:space="0" w:color="000000"/>
              <w:left w:val="outset" w:sz="6" w:space="0" w:color="000000"/>
              <w:bottom w:val="outset" w:sz="6" w:space="0" w:color="000000"/>
              <w:right w:val="outset" w:sz="6" w:space="0" w:color="000000"/>
            </w:tcBorders>
            <w:hideMark/>
          </w:tcPr>
          <w:p w14:paraId="7A5C59B1" w14:textId="77777777" w:rsidR="00C411DA" w:rsidRPr="00A76CDE" w:rsidRDefault="00893847" w:rsidP="005E4238">
            <w:pPr>
              <w:jc w:val="both"/>
              <w:rPr>
                <w:sz w:val="27"/>
                <w:szCs w:val="27"/>
                <w:highlight w:val="yellow"/>
              </w:rPr>
            </w:pPr>
            <w:r w:rsidRPr="00A76CDE">
              <w:rPr>
                <w:sz w:val="27"/>
                <w:szCs w:val="27"/>
              </w:rPr>
              <w:t>N</w:t>
            </w:r>
            <w:r w:rsidR="00113759" w:rsidRPr="00A76CDE">
              <w:rPr>
                <w:sz w:val="27"/>
                <w:szCs w:val="27"/>
              </w:rPr>
              <w:t>evalstis</w:t>
            </w:r>
            <w:r w:rsidRPr="00A76CDE">
              <w:rPr>
                <w:sz w:val="27"/>
                <w:szCs w:val="27"/>
              </w:rPr>
              <w:t xml:space="preserve">kās organizācijas </w:t>
            </w:r>
            <w:r w:rsidR="008E2513" w:rsidRPr="00A76CDE">
              <w:rPr>
                <w:sz w:val="27"/>
                <w:szCs w:val="27"/>
              </w:rPr>
              <w:t xml:space="preserve">noteikumu </w:t>
            </w:r>
            <w:r w:rsidRPr="00A76CDE">
              <w:rPr>
                <w:sz w:val="27"/>
                <w:szCs w:val="27"/>
              </w:rPr>
              <w:t>projektu atbalsta</w:t>
            </w:r>
          </w:p>
        </w:tc>
      </w:tr>
      <w:tr w:rsidR="00C411DA" w:rsidRPr="00A76CDE" w14:paraId="3324FA47"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7BBC6B05" w14:textId="77777777" w:rsidR="00C411DA" w:rsidRPr="00A76CDE" w:rsidRDefault="009E56AD" w:rsidP="001F7464">
            <w:pPr>
              <w:spacing w:before="100" w:beforeAutospacing="1" w:after="100" w:afterAutospacing="1"/>
              <w:jc w:val="center"/>
              <w:rPr>
                <w:sz w:val="27"/>
                <w:szCs w:val="27"/>
              </w:rPr>
            </w:pPr>
            <w:r w:rsidRPr="00A76CDE">
              <w:rPr>
                <w:sz w:val="27"/>
                <w:szCs w:val="27"/>
              </w:rPr>
              <w:t>4</w:t>
            </w:r>
            <w:r w:rsidR="00C411DA" w:rsidRPr="00A76CDE">
              <w:rPr>
                <w:sz w:val="27"/>
                <w:szCs w:val="27"/>
              </w:rPr>
              <w:t>.</w:t>
            </w:r>
          </w:p>
        </w:tc>
        <w:tc>
          <w:tcPr>
            <w:tcW w:w="1407" w:type="pct"/>
            <w:tcBorders>
              <w:top w:val="outset" w:sz="6" w:space="0" w:color="000000"/>
              <w:left w:val="outset" w:sz="6" w:space="0" w:color="000000"/>
              <w:bottom w:val="outset" w:sz="6" w:space="0" w:color="000000"/>
              <w:right w:val="outset" w:sz="6" w:space="0" w:color="000000"/>
            </w:tcBorders>
            <w:hideMark/>
          </w:tcPr>
          <w:p w14:paraId="0662A1F2" w14:textId="77777777" w:rsidR="00C411DA" w:rsidRPr="00A76CDE" w:rsidRDefault="00C411DA">
            <w:pPr>
              <w:spacing w:before="100" w:beforeAutospacing="1" w:after="100" w:afterAutospacing="1"/>
              <w:rPr>
                <w:sz w:val="27"/>
                <w:szCs w:val="27"/>
              </w:rPr>
            </w:pPr>
            <w:r w:rsidRPr="00A76CDE">
              <w:rPr>
                <w:sz w:val="27"/>
                <w:szCs w:val="27"/>
              </w:rPr>
              <w:t>Cita informācija</w:t>
            </w:r>
          </w:p>
        </w:tc>
        <w:tc>
          <w:tcPr>
            <w:tcW w:w="3209" w:type="pct"/>
            <w:tcBorders>
              <w:top w:val="outset" w:sz="6" w:space="0" w:color="000000"/>
              <w:left w:val="outset" w:sz="6" w:space="0" w:color="000000"/>
              <w:bottom w:val="outset" w:sz="6" w:space="0" w:color="000000"/>
              <w:right w:val="outset" w:sz="6" w:space="0" w:color="000000"/>
            </w:tcBorders>
            <w:hideMark/>
          </w:tcPr>
          <w:p w14:paraId="10EB6F99" w14:textId="77777777" w:rsidR="00C411DA" w:rsidRPr="00A76CDE" w:rsidRDefault="00C411DA" w:rsidP="00A76CDE">
            <w:pPr>
              <w:rPr>
                <w:sz w:val="27"/>
                <w:szCs w:val="27"/>
              </w:rPr>
            </w:pPr>
            <w:r w:rsidRPr="00A76CDE">
              <w:rPr>
                <w:sz w:val="27"/>
                <w:szCs w:val="27"/>
              </w:rPr>
              <w:t>Nav</w:t>
            </w:r>
          </w:p>
        </w:tc>
      </w:tr>
    </w:tbl>
    <w:p w14:paraId="2CA24A63" w14:textId="00FBAF4C" w:rsidR="00C411DA" w:rsidRDefault="00C411DA" w:rsidP="001F7464">
      <w:pPr>
        <w:pStyle w:val="naisf"/>
        <w:spacing w:before="0" w:after="0"/>
        <w:ind w:firstLine="0"/>
        <w:rPr>
          <w:sz w:val="27"/>
          <w:szCs w:val="27"/>
        </w:rPr>
      </w:pPr>
    </w:p>
    <w:p w14:paraId="5280AB82" w14:textId="77777777" w:rsidR="00CB7FA7" w:rsidRPr="00A76CDE" w:rsidRDefault="00CB7FA7" w:rsidP="001F7464">
      <w:pPr>
        <w:pStyle w:val="naisf"/>
        <w:spacing w:before="0" w:after="0"/>
        <w:ind w:firstLine="0"/>
        <w:rPr>
          <w:sz w:val="27"/>
          <w:szCs w:val="27"/>
        </w:rPr>
      </w:pPr>
    </w:p>
    <w:tbl>
      <w:tblPr>
        <w:tblpPr w:leftFromText="180" w:rightFromText="180" w:vertAnchor="text" w:horzAnchor="margin" w:tblpX="-246" w:tblpY="212"/>
        <w:tblW w:w="527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4494"/>
        <w:gridCol w:w="4438"/>
      </w:tblGrid>
      <w:tr w:rsidR="00081E26" w:rsidRPr="00A76CDE" w14:paraId="22ACB8BA" w14:textId="77777777" w:rsidTr="000617FE">
        <w:tc>
          <w:tcPr>
            <w:tcW w:w="5000" w:type="pct"/>
            <w:gridSpan w:val="3"/>
            <w:tcBorders>
              <w:top w:val="outset" w:sz="6" w:space="0" w:color="000000"/>
              <w:left w:val="outset" w:sz="6" w:space="0" w:color="000000"/>
              <w:bottom w:val="outset" w:sz="6" w:space="0" w:color="000000"/>
              <w:right w:val="outset" w:sz="6" w:space="0" w:color="000000"/>
            </w:tcBorders>
          </w:tcPr>
          <w:p w14:paraId="690C9493" w14:textId="77777777" w:rsidR="00081E26" w:rsidRPr="00A76CDE" w:rsidRDefault="00081E26" w:rsidP="000617FE">
            <w:pPr>
              <w:spacing w:before="100" w:beforeAutospacing="1" w:after="100" w:afterAutospacing="1"/>
              <w:ind w:left="-284" w:right="142" w:firstLine="284"/>
              <w:jc w:val="center"/>
              <w:rPr>
                <w:b/>
                <w:bCs/>
                <w:sz w:val="27"/>
                <w:szCs w:val="27"/>
              </w:rPr>
            </w:pPr>
            <w:r w:rsidRPr="00A76CDE">
              <w:rPr>
                <w:b/>
                <w:bCs/>
                <w:sz w:val="27"/>
                <w:szCs w:val="27"/>
              </w:rPr>
              <w:t>VII. Tiesību akta projekta izpildes nodrošināšana un tās ietekme uz institūcijām</w:t>
            </w:r>
          </w:p>
        </w:tc>
      </w:tr>
      <w:tr w:rsidR="00037AB9" w:rsidRPr="00A76CDE" w14:paraId="37DDE441" w14:textId="77777777" w:rsidTr="000617FE">
        <w:tc>
          <w:tcPr>
            <w:tcW w:w="367" w:type="pct"/>
            <w:tcBorders>
              <w:top w:val="outset" w:sz="6" w:space="0" w:color="000000"/>
              <w:left w:val="outset" w:sz="6" w:space="0" w:color="000000"/>
              <w:bottom w:val="outset" w:sz="6" w:space="0" w:color="000000"/>
              <w:right w:val="outset" w:sz="6" w:space="0" w:color="000000"/>
            </w:tcBorders>
          </w:tcPr>
          <w:p w14:paraId="57376B92" w14:textId="77777777" w:rsidR="00037AB9" w:rsidRPr="00A76CDE" w:rsidRDefault="00081E26" w:rsidP="000617FE">
            <w:pPr>
              <w:spacing w:before="100" w:beforeAutospacing="1" w:after="100" w:afterAutospacing="1"/>
              <w:ind w:right="142"/>
              <w:jc w:val="center"/>
              <w:rPr>
                <w:sz w:val="27"/>
                <w:szCs w:val="27"/>
              </w:rPr>
            </w:pPr>
            <w:r w:rsidRPr="00A76CDE">
              <w:rPr>
                <w:sz w:val="27"/>
                <w:szCs w:val="27"/>
              </w:rPr>
              <w:t>1.</w:t>
            </w:r>
          </w:p>
        </w:tc>
        <w:tc>
          <w:tcPr>
            <w:tcW w:w="2331" w:type="pct"/>
            <w:tcBorders>
              <w:top w:val="outset" w:sz="6" w:space="0" w:color="000000"/>
              <w:left w:val="outset" w:sz="6" w:space="0" w:color="000000"/>
              <w:bottom w:val="outset" w:sz="6" w:space="0" w:color="000000"/>
              <w:right w:val="outset" w:sz="6" w:space="0" w:color="000000"/>
            </w:tcBorders>
          </w:tcPr>
          <w:p w14:paraId="04269C21" w14:textId="77777777" w:rsidR="00037AB9" w:rsidRPr="00A76CDE" w:rsidRDefault="00037AB9" w:rsidP="000617FE">
            <w:pPr>
              <w:spacing w:before="100" w:beforeAutospacing="1" w:after="100" w:afterAutospacing="1"/>
              <w:ind w:right="142"/>
              <w:rPr>
                <w:sz w:val="27"/>
                <w:szCs w:val="27"/>
              </w:rPr>
            </w:pPr>
            <w:r w:rsidRPr="00A76CDE">
              <w:rPr>
                <w:sz w:val="27"/>
                <w:szCs w:val="27"/>
              </w:rPr>
              <w:t>Projekta izpildē iesaistītās institūcijas</w:t>
            </w:r>
          </w:p>
        </w:tc>
        <w:tc>
          <w:tcPr>
            <w:tcW w:w="2302" w:type="pct"/>
            <w:tcBorders>
              <w:top w:val="outset" w:sz="6" w:space="0" w:color="000000"/>
              <w:left w:val="outset" w:sz="6" w:space="0" w:color="000000"/>
              <w:bottom w:val="outset" w:sz="6" w:space="0" w:color="000000"/>
              <w:right w:val="outset" w:sz="6" w:space="0" w:color="000000"/>
            </w:tcBorders>
          </w:tcPr>
          <w:p w14:paraId="58405A87" w14:textId="77777777" w:rsidR="00037AB9" w:rsidRPr="00A76CDE" w:rsidRDefault="00114BE0" w:rsidP="000617FE">
            <w:pPr>
              <w:jc w:val="both"/>
              <w:rPr>
                <w:sz w:val="27"/>
                <w:szCs w:val="27"/>
              </w:rPr>
            </w:pPr>
            <w:r w:rsidRPr="00A76CDE">
              <w:rPr>
                <w:sz w:val="27"/>
                <w:szCs w:val="27"/>
              </w:rPr>
              <w:t>Valsts ieņēmumu dienests</w:t>
            </w:r>
          </w:p>
        </w:tc>
      </w:tr>
      <w:tr w:rsidR="00037AB9" w:rsidRPr="00A76CDE" w14:paraId="728205CC" w14:textId="77777777" w:rsidTr="000617FE">
        <w:tc>
          <w:tcPr>
            <w:tcW w:w="367" w:type="pct"/>
            <w:tcBorders>
              <w:top w:val="outset" w:sz="6" w:space="0" w:color="000000"/>
              <w:left w:val="outset" w:sz="6" w:space="0" w:color="000000"/>
              <w:bottom w:val="outset" w:sz="6" w:space="0" w:color="000000"/>
              <w:right w:val="outset" w:sz="6" w:space="0" w:color="000000"/>
            </w:tcBorders>
          </w:tcPr>
          <w:p w14:paraId="568A6B14" w14:textId="77777777" w:rsidR="00037AB9" w:rsidRPr="00A76CDE" w:rsidRDefault="00081E26" w:rsidP="000617FE">
            <w:pPr>
              <w:spacing w:before="100" w:beforeAutospacing="1" w:after="100" w:afterAutospacing="1"/>
              <w:ind w:right="142"/>
              <w:jc w:val="center"/>
              <w:rPr>
                <w:sz w:val="27"/>
                <w:szCs w:val="27"/>
                <w:lang w:val="en-US"/>
              </w:rPr>
            </w:pPr>
            <w:r w:rsidRPr="00A76CDE">
              <w:rPr>
                <w:sz w:val="27"/>
                <w:szCs w:val="27"/>
                <w:lang w:val="en-US"/>
              </w:rPr>
              <w:t>2.</w:t>
            </w:r>
          </w:p>
        </w:tc>
        <w:tc>
          <w:tcPr>
            <w:tcW w:w="2331" w:type="pct"/>
            <w:tcBorders>
              <w:top w:val="outset" w:sz="6" w:space="0" w:color="000000"/>
              <w:left w:val="outset" w:sz="6" w:space="0" w:color="000000"/>
              <w:bottom w:val="outset" w:sz="6" w:space="0" w:color="000000"/>
              <w:right w:val="outset" w:sz="6" w:space="0" w:color="000000"/>
            </w:tcBorders>
          </w:tcPr>
          <w:p w14:paraId="173AB376" w14:textId="77777777" w:rsidR="00F53F64" w:rsidRPr="00A76CDE" w:rsidRDefault="00037AB9" w:rsidP="000617FE">
            <w:pPr>
              <w:ind w:right="142"/>
              <w:rPr>
                <w:sz w:val="27"/>
                <w:szCs w:val="27"/>
              </w:rPr>
            </w:pPr>
            <w:r w:rsidRPr="00A76CDE">
              <w:rPr>
                <w:sz w:val="27"/>
                <w:szCs w:val="27"/>
              </w:rPr>
              <w:t>Projekta izpildes ietekme uz pārvaldes funkcijām un institucionālo struktūru</w:t>
            </w:r>
            <w:r w:rsidR="00F53F64" w:rsidRPr="00A76CDE">
              <w:rPr>
                <w:sz w:val="27"/>
                <w:szCs w:val="27"/>
              </w:rPr>
              <w:t>.</w:t>
            </w:r>
          </w:p>
          <w:p w14:paraId="42037D80" w14:textId="77777777" w:rsidR="00037AB9" w:rsidRPr="00A76CDE" w:rsidRDefault="00037AB9" w:rsidP="000617FE">
            <w:pPr>
              <w:ind w:right="142"/>
              <w:rPr>
                <w:sz w:val="27"/>
                <w:szCs w:val="27"/>
              </w:rPr>
            </w:pPr>
            <w:r w:rsidRPr="00A76CDE">
              <w:rPr>
                <w:sz w:val="27"/>
                <w:szCs w:val="27"/>
              </w:rPr>
              <w:t>Jaunu institūciju izveide, esošu institūciju likvidācija vai reorganizācija, to ietekme uz institūcijas cilvēkresursiem</w:t>
            </w:r>
          </w:p>
        </w:tc>
        <w:tc>
          <w:tcPr>
            <w:tcW w:w="2302" w:type="pct"/>
            <w:tcBorders>
              <w:top w:val="outset" w:sz="6" w:space="0" w:color="000000"/>
              <w:left w:val="outset" w:sz="6" w:space="0" w:color="000000"/>
              <w:bottom w:val="outset" w:sz="6" w:space="0" w:color="000000"/>
              <w:right w:val="outset" w:sz="6" w:space="0" w:color="000000"/>
            </w:tcBorders>
          </w:tcPr>
          <w:p w14:paraId="1AF263DB" w14:textId="77777777" w:rsidR="008F444F" w:rsidRPr="00A76CDE" w:rsidRDefault="00114BE0" w:rsidP="000617FE">
            <w:pPr>
              <w:jc w:val="both"/>
              <w:rPr>
                <w:sz w:val="27"/>
                <w:szCs w:val="27"/>
              </w:rPr>
            </w:pPr>
            <w:r w:rsidRPr="00A76CDE">
              <w:rPr>
                <w:sz w:val="27"/>
                <w:szCs w:val="27"/>
              </w:rPr>
              <w:t>Valsts ieņēmumu dienesta funkcijas netiks mainītas</w:t>
            </w:r>
            <w:r w:rsidR="006D2EE2" w:rsidRPr="00A76CDE">
              <w:rPr>
                <w:sz w:val="27"/>
                <w:szCs w:val="27"/>
              </w:rPr>
              <w:t>.</w:t>
            </w:r>
          </w:p>
          <w:p w14:paraId="5FED7F8E" w14:textId="77777777" w:rsidR="00037AB9" w:rsidRPr="00A76CDE" w:rsidRDefault="008F444F" w:rsidP="000617FE">
            <w:pPr>
              <w:jc w:val="both"/>
              <w:rPr>
                <w:sz w:val="27"/>
                <w:szCs w:val="27"/>
              </w:rPr>
            </w:pPr>
            <w:r w:rsidRPr="00A76CDE">
              <w:rPr>
                <w:sz w:val="27"/>
                <w:szCs w:val="27"/>
              </w:rPr>
              <w:t>N</w:t>
            </w:r>
            <w:r w:rsidR="00037AB9" w:rsidRPr="00A76CDE">
              <w:rPr>
                <w:sz w:val="27"/>
                <w:szCs w:val="27"/>
              </w:rPr>
              <w:t>av nepieciešams veidot jaunas institūcijas.</w:t>
            </w:r>
          </w:p>
          <w:p w14:paraId="354350DD" w14:textId="77777777" w:rsidR="00081E26" w:rsidRPr="00A76CDE" w:rsidRDefault="00081E26" w:rsidP="000617FE">
            <w:pPr>
              <w:jc w:val="both"/>
              <w:rPr>
                <w:sz w:val="27"/>
                <w:szCs w:val="27"/>
              </w:rPr>
            </w:pPr>
            <w:r w:rsidRPr="00A76CDE">
              <w:rPr>
                <w:sz w:val="27"/>
                <w:szCs w:val="27"/>
              </w:rPr>
              <w:t>Nav nepieciešama esošu institūciju</w:t>
            </w:r>
            <w:r w:rsidR="00106309" w:rsidRPr="00A76CDE">
              <w:rPr>
                <w:sz w:val="27"/>
                <w:szCs w:val="27"/>
              </w:rPr>
              <w:t xml:space="preserve"> likvidācija vai reorganizācija</w:t>
            </w:r>
          </w:p>
        </w:tc>
      </w:tr>
      <w:tr w:rsidR="00037AB9" w:rsidRPr="00A76CDE" w14:paraId="228E31C7" w14:textId="77777777" w:rsidTr="000617FE">
        <w:tc>
          <w:tcPr>
            <w:tcW w:w="367" w:type="pct"/>
            <w:tcBorders>
              <w:top w:val="outset" w:sz="6" w:space="0" w:color="000000"/>
              <w:left w:val="outset" w:sz="6" w:space="0" w:color="000000"/>
              <w:bottom w:val="outset" w:sz="6" w:space="0" w:color="000000"/>
              <w:right w:val="outset" w:sz="6" w:space="0" w:color="000000"/>
            </w:tcBorders>
          </w:tcPr>
          <w:p w14:paraId="0125694F" w14:textId="77777777" w:rsidR="00037AB9" w:rsidRPr="00A76CDE" w:rsidRDefault="00081E26" w:rsidP="000617FE">
            <w:pPr>
              <w:spacing w:before="100" w:beforeAutospacing="1" w:after="100" w:afterAutospacing="1"/>
              <w:ind w:right="142"/>
              <w:jc w:val="center"/>
              <w:rPr>
                <w:sz w:val="27"/>
                <w:szCs w:val="27"/>
                <w:lang w:val="en-US"/>
              </w:rPr>
            </w:pPr>
            <w:r w:rsidRPr="00A76CDE">
              <w:rPr>
                <w:sz w:val="27"/>
                <w:szCs w:val="27"/>
                <w:lang w:val="en-US"/>
              </w:rPr>
              <w:t>3.</w:t>
            </w:r>
          </w:p>
        </w:tc>
        <w:tc>
          <w:tcPr>
            <w:tcW w:w="2331" w:type="pct"/>
            <w:tcBorders>
              <w:top w:val="outset" w:sz="6" w:space="0" w:color="000000"/>
              <w:left w:val="outset" w:sz="6" w:space="0" w:color="000000"/>
              <w:bottom w:val="outset" w:sz="6" w:space="0" w:color="000000"/>
              <w:right w:val="outset" w:sz="6" w:space="0" w:color="000000"/>
            </w:tcBorders>
          </w:tcPr>
          <w:p w14:paraId="1345BB77" w14:textId="77777777" w:rsidR="00037AB9" w:rsidRPr="00A76CDE" w:rsidRDefault="00081E26" w:rsidP="000617FE">
            <w:pPr>
              <w:spacing w:before="100" w:beforeAutospacing="1" w:after="100" w:afterAutospacing="1"/>
              <w:ind w:right="142"/>
              <w:jc w:val="both"/>
              <w:rPr>
                <w:sz w:val="27"/>
                <w:szCs w:val="27"/>
              </w:rPr>
            </w:pPr>
            <w:r w:rsidRPr="00A76CDE">
              <w:rPr>
                <w:sz w:val="27"/>
                <w:szCs w:val="27"/>
              </w:rPr>
              <w:t>Cita informācija</w:t>
            </w:r>
          </w:p>
        </w:tc>
        <w:tc>
          <w:tcPr>
            <w:tcW w:w="2302" w:type="pct"/>
            <w:tcBorders>
              <w:top w:val="outset" w:sz="6" w:space="0" w:color="000000"/>
              <w:left w:val="outset" w:sz="6" w:space="0" w:color="000000"/>
              <w:bottom w:val="outset" w:sz="6" w:space="0" w:color="000000"/>
              <w:right w:val="outset" w:sz="6" w:space="0" w:color="000000"/>
            </w:tcBorders>
          </w:tcPr>
          <w:p w14:paraId="75358DCF" w14:textId="77777777" w:rsidR="00037AB9" w:rsidRPr="00A76CDE" w:rsidRDefault="00081E26" w:rsidP="000617FE">
            <w:pPr>
              <w:jc w:val="both"/>
              <w:rPr>
                <w:sz w:val="27"/>
                <w:szCs w:val="27"/>
              </w:rPr>
            </w:pPr>
            <w:r w:rsidRPr="00A76CDE">
              <w:rPr>
                <w:sz w:val="27"/>
                <w:szCs w:val="27"/>
              </w:rPr>
              <w:t>Nav</w:t>
            </w:r>
          </w:p>
        </w:tc>
      </w:tr>
    </w:tbl>
    <w:p w14:paraId="44186CFE" w14:textId="77777777" w:rsidR="00080AD1" w:rsidRPr="00A76CDE" w:rsidRDefault="00080AD1" w:rsidP="006D0922">
      <w:pPr>
        <w:pStyle w:val="naisf"/>
        <w:tabs>
          <w:tab w:val="left" w:pos="6804"/>
        </w:tabs>
        <w:spacing w:before="0" w:after="0"/>
        <w:ind w:firstLine="0"/>
        <w:rPr>
          <w:sz w:val="27"/>
          <w:szCs w:val="27"/>
        </w:rPr>
      </w:pPr>
    </w:p>
    <w:p w14:paraId="781A33F9" w14:textId="5203CC83" w:rsidR="00CD46A7" w:rsidRPr="00A76CDE" w:rsidRDefault="009E56AD" w:rsidP="00946395">
      <w:pPr>
        <w:pStyle w:val="naisf"/>
        <w:spacing w:before="0" w:after="0"/>
        <w:ind w:firstLine="720"/>
        <w:rPr>
          <w:sz w:val="27"/>
          <w:szCs w:val="27"/>
        </w:rPr>
      </w:pPr>
      <w:r w:rsidRPr="00A76CDE">
        <w:rPr>
          <w:sz w:val="27"/>
          <w:szCs w:val="27"/>
        </w:rPr>
        <w:t xml:space="preserve">Anotācijas </w:t>
      </w:r>
      <w:r w:rsidR="006A06E6">
        <w:rPr>
          <w:sz w:val="27"/>
          <w:szCs w:val="27"/>
        </w:rPr>
        <w:t xml:space="preserve">III un </w:t>
      </w:r>
      <w:r w:rsidR="00C20F81" w:rsidRPr="00A76CDE">
        <w:rPr>
          <w:sz w:val="27"/>
          <w:szCs w:val="27"/>
        </w:rPr>
        <w:t xml:space="preserve">V </w:t>
      </w:r>
      <w:r w:rsidR="007623F7">
        <w:rPr>
          <w:sz w:val="27"/>
          <w:szCs w:val="27"/>
        </w:rPr>
        <w:t>sadaļa – projekts šo jomu</w:t>
      </w:r>
      <w:r w:rsidR="00CD46A7" w:rsidRPr="00A76CDE">
        <w:rPr>
          <w:sz w:val="27"/>
          <w:szCs w:val="27"/>
        </w:rPr>
        <w:t xml:space="preserve"> neskar</w:t>
      </w:r>
      <w:r w:rsidR="00807D76" w:rsidRPr="00A76CDE">
        <w:rPr>
          <w:sz w:val="27"/>
          <w:szCs w:val="27"/>
        </w:rPr>
        <w:t>.</w:t>
      </w:r>
    </w:p>
    <w:p w14:paraId="2048C049" w14:textId="1674A289" w:rsidR="00CD46A7" w:rsidRDefault="00CD46A7" w:rsidP="0003506F">
      <w:pPr>
        <w:jc w:val="both"/>
        <w:rPr>
          <w:sz w:val="27"/>
          <w:szCs w:val="27"/>
          <w:lang w:val="de-DE"/>
        </w:rPr>
      </w:pPr>
    </w:p>
    <w:p w14:paraId="138C2D9A" w14:textId="77777777" w:rsidR="007A759D" w:rsidRPr="00A76CDE" w:rsidRDefault="007A759D" w:rsidP="0003506F">
      <w:pPr>
        <w:jc w:val="both"/>
        <w:rPr>
          <w:sz w:val="27"/>
          <w:szCs w:val="27"/>
          <w:lang w:val="de-DE"/>
        </w:rPr>
      </w:pPr>
    </w:p>
    <w:p w14:paraId="0C23630A" w14:textId="77777777" w:rsidR="003E5D07" w:rsidRDefault="0003506F" w:rsidP="004B5014">
      <w:pPr>
        <w:rPr>
          <w:sz w:val="27"/>
          <w:szCs w:val="27"/>
          <w:lang w:val="de-DE"/>
        </w:rPr>
      </w:pPr>
      <w:r w:rsidRPr="00A76CDE">
        <w:rPr>
          <w:sz w:val="27"/>
          <w:szCs w:val="27"/>
          <w:lang w:val="de-DE"/>
        </w:rPr>
        <w:t>Finanšu ministr</w:t>
      </w:r>
      <w:r w:rsidR="00D45428" w:rsidRPr="00A76CDE">
        <w:rPr>
          <w:sz w:val="27"/>
          <w:szCs w:val="27"/>
          <w:lang w:val="de-DE"/>
        </w:rPr>
        <w:t>e</w:t>
      </w:r>
      <w:r w:rsidR="00DB014A">
        <w:rPr>
          <w:sz w:val="27"/>
          <w:szCs w:val="27"/>
          <w:lang w:val="de-DE"/>
        </w:rPr>
        <w:t xml:space="preserve">s vietā </w:t>
      </w:r>
      <w:r w:rsidR="00DB014A" w:rsidRPr="00DB014A">
        <w:rPr>
          <w:sz w:val="27"/>
          <w:szCs w:val="27"/>
          <w:lang w:val="de-DE"/>
        </w:rPr>
        <w:t>–</w:t>
      </w:r>
    </w:p>
    <w:p w14:paraId="2205687E" w14:textId="5514C331" w:rsidR="0003506F" w:rsidRPr="00A76CDE" w:rsidRDefault="00DB014A" w:rsidP="004B5014">
      <w:pPr>
        <w:rPr>
          <w:sz w:val="27"/>
          <w:szCs w:val="27"/>
          <w:lang w:val="de-DE"/>
        </w:rPr>
      </w:pPr>
      <w:r>
        <w:rPr>
          <w:sz w:val="27"/>
          <w:szCs w:val="27"/>
          <w:lang w:val="de-DE"/>
        </w:rPr>
        <w:t xml:space="preserve">Ministru prezidents </w:t>
      </w:r>
      <w:r w:rsidR="0030522A">
        <w:rPr>
          <w:sz w:val="27"/>
          <w:szCs w:val="27"/>
          <w:lang w:val="de-DE"/>
        </w:rPr>
        <w:tab/>
      </w:r>
      <w:r w:rsidR="0030522A">
        <w:rPr>
          <w:sz w:val="27"/>
          <w:szCs w:val="27"/>
          <w:lang w:val="de-DE"/>
        </w:rPr>
        <w:tab/>
      </w:r>
      <w:r w:rsidR="0030522A">
        <w:rPr>
          <w:sz w:val="27"/>
          <w:szCs w:val="27"/>
          <w:lang w:val="de-DE"/>
        </w:rPr>
        <w:tab/>
      </w:r>
      <w:r w:rsidR="0030522A">
        <w:rPr>
          <w:sz w:val="27"/>
          <w:szCs w:val="27"/>
          <w:lang w:val="de-DE"/>
        </w:rPr>
        <w:tab/>
      </w:r>
      <w:r w:rsidR="003E5D07">
        <w:rPr>
          <w:sz w:val="27"/>
          <w:szCs w:val="27"/>
          <w:lang w:val="de-DE"/>
        </w:rPr>
        <w:tab/>
      </w:r>
      <w:r w:rsidR="003E5D07">
        <w:rPr>
          <w:sz w:val="27"/>
          <w:szCs w:val="27"/>
          <w:lang w:val="de-DE"/>
        </w:rPr>
        <w:tab/>
      </w:r>
      <w:r w:rsidR="003E5D07">
        <w:rPr>
          <w:sz w:val="27"/>
          <w:szCs w:val="27"/>
          <w:lang w:val="de-DE"/>
        </w:rPr>
        <w:tab/>
      </w:r>
      <w:r>
        <w:rPr>
          <w:sz w:val="27"/>
          <w:szCs w:val="27"/>
          <w:lang w:val="de-DE"/>
        </w:rPr>
        <w:t>M.Kučinskis</w:t>
      </w:r>
    </w:p>
    <w:p w14:paraId="7C18DC03" w14:textId="77777777" w:rsidR="007A759D" w:rsidRPr="00A76CDE" w:rsidRDefault="007A759D" w:rsidP="006D0922">
      <w:pPr>
        <w:pStyle w:val="naisf"/>
        <w:tabs>
          <w:tab w:val="left" w:pos="6804"/>
        </w:tabs>
        <w:spacing w:before="0" w:after="0"/>
        <w:ind w:firstLine="0"/>
        <w:rPr>
          <w:sz w:val="27"/>
          <w:szCs w:val="27"/>
        </w:rPr>
      </w:pPr>
    </w:p>
    <w:p w14:paraId="75A52487" w14:textId="748E56F5" w:rsidR="001F701C" w:rsidRPr="00A76CDE" w:rsidRDefault="00CE101D" w:rsidP="00F961AE">
      <w:pPr>
        <w:tabs>
          <w:tab w:val="center" w:pos="4153"/>
          <w:tab w:val="right" w:pos="8306"/>
        </w:tabs>
        <w:rPr>
          <w:iCs/>
          <w:lang w:val="en-GB"/>
        </w:rPr>
      </w:pPr>
      <w:r>
        <w:t>07</w:t>
      </w:r>
      <w:r w:rsidR="00540E4C" w:rsidRPr="00A76CDE">
        <w:t>.</w:t>
      </w:r>
      <w:r w:rsidR="00D43FED" w:rsidRPr="00A76CDE">
        <w:t>0</w:t>
      </w:r>
      <w:r w:rsidR="00D43FED">
        <w:t>9</w:t>
      </w:r>
      <w:r w:rsidR="00615EE2" w:rsidRPr="00A76CDE">
        <w:t>.</w:t>
      </w:r>
      <w:r w:rsidR="00114BE0" w:rsidRPr="00A76CDE">
        <w:t>201</w:t>
      </w:r>
      <w:r w:rsidR="004B5014" w:rsidRPr="00A76CDE">
        <w:t>6</w:t>
      </w:r>
      <w:r w:rsidR="00433859" w:rsidRPr="00A76CDE">
        <w:t>.</w:t>
      </w:r>
      <w:r w:rsidR="00412A03" w:rsidRPr="00A76CDE">
        <w:t xml:space="preserve"> </w:t>
      </w:r>
      <w:r>
        <w:t>1</w:t>
      </w:r>
      <w:r w:rsidR="00684AC0">
        <w:t>2</w:t>
      </w:r>
      <w:r w:rsidR="006F2C68">
        <w:t>.</w:t>
      </w:r>
      <w:r>
        <w:t>21</w:t>
      </w:r>
    </w:p>
    <w:p w14:paraId="5B7733BF" w14:textId="13AAF848" w:rsidR="00F961AE" w:rsidRPr="00A76CDE" w:rsidRDefault="00CE101D" w:rsidP="00F961AE">
      <w:pPr>
        <w:tabs>
          <w:tab w:val="center" w:pos="4153"/>
          <w:tab w:val="right" w:pos="8306"/>
        </w:tabs>
        <w:rPr>
          <w:iCs/>
        </w:rPr>
      </w:pPr>
      <w:r>
        <w:rPr>
          <w:iCs/>
          <w:lang w:val="en-GB"/>
        </w:rPr>
        <w:t>2507</w:t>
      </w:r>
    </w:p>
    <w:p w14:paraId="07090506" w14:textId="77777777" w:rsidR="009B5986" w:rsidRPr="00A76CDE" w:rsidRDefault="004B5014" w:rsidP="00F961AE">
      <w:pPr>
        <w:tabs>
          <w:tab w:val="center" w:pos="4153"/>
          <w:tab w:val="right" w:pos="8306"/>
        </w:tabs>
      </w:pPr>
      <w:r w:rsidRPr="00A76CDE">
        <w:t>Naihina</w:t>
      </w:r>
    </w:p>
    <w:p w14:paraId="00127A78" w14:textId="77777777" w:rsidR="007A66D8" w:rsidRPr="00A76CDE" w:rsidRDefault="00FC20E9" w:rsidP="00F961AE">
      <w:pPr>
        <w:tabs>
          <w:tab w:val="center" w:pos="4153"/>
          <w:tab w:val="right" w:pos="8306"/>
        </w:tabs>
      </w:pPr>
      <w:r w:rsidRPr="00A76CDE">
        <w:t>6712</w:t>
      </w:r>
      <w:r w:rsidR="004B5014" w:rsidRPr="00A76CDE">
        <w:t>1632</w:t>
      </w:r>
      <w:r w:rsidR="00F961AE" w:rsidRPr="00A76CDE">
        <w:t xml:space="preserve"> </w:t>
      </w:r>
      <w:hyperlink r:id="rId13" w:history="1">
        <w:r w:rsidR="00EF6F8E" w:rsidRPr="00A76CDE">
          <w:rPr>
            <w:rStyle w:val="Hyperlink"/>
          </w:rPr>
          <w:t>sabina.naihina@vid.gov.lv</w:t>
        </w:r>
      </w:hyperlink>
    </w:p>
    <w:sectPr w:rsidR="007A66D8" w:rsidRPr="00A76CDE" w:rsidSect="00DE01EE">
      <w:headerReference w:type="even" r:id="rId14"/>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4330D" w14:textId="77777777" w:rsidR="008953CE" w:rsidRDefault="008953CE">
      <w:r>
        <w:separator/>
      </w:r>
    </w:p>
  </w:endnote>
  <w:endnote w:type="continuationSeparator" w:id="0">
    <w:p w14:paraId="3628B573" w14:textId="77777777" w:rsidR="008953CE" w:rsidRDefault="008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5FA7" w14:textId="21039EA0" w:rsidR="00C31E36" w:rsidRPr="00D625AA" w:rsidRDefault="00D625AA" w:rsidP="00D625AA">
    <w:pPr>
      <w:pStyle w:val="Footer"/>
      <w:jc w:val="both"/>
    </w:pPr>
    <w:r w:rsidRPr="00D625AA">
      <w:rPr>
        <w:sz w:val="20"/>
        <w:szCs w:val="20"/>
      </w:rPr>
      <w:t>FMAnot_</w:t>
    </w:r>
    <w:r w:rsidR="003E5D07">
      <w:rPr>
        <w:sz w:val="20"/>
        <w:szCs w:val="20"/>
      </w:rPr>
      <w:t>070916</w:t>
    </w:r>
    <w:r w:rsidRPr="00D625AA">
      <w:rPr>
        <w:sz w:val="20"/>
        <w:szCs w:val="20"/>
      </w:rPr>
      <w:t>_kases_aparatu_lietosanas_kartiba; Mini</w:t>
    </w:r>
    <w:r w:rsidR="003C1DA0">
      <w:rPr>
        <w:sz w:val="20"/>
        <w:szCs w:val="20"/>
      </w:rPr>
      <w:t>stru kabineta noteikumu projekta</w:t>
    </w:r>
    <w:r w:rsidRPr="00D625AA">
      <w:rPr>
        <w:sz w:val="20"/>
        <w:szCs w:val="20"/>
      </w:rPr>
      <w:t xml:space="preserve"> "Grozījumi Ministru kabineta 2014.gada 11.februāra noteikumos Nr.96 "Nodokļu un citu maksājumu reģistrēšanas elektronisko ierīču un iekārtu lietošanas kārtība""</w:t>
    </w:r>
    <w:r w:rsidR="003C1DA0">
      <w:rPr>
        <w:sz w:val="20"/>
        <w:szCs w:val="20"/>
      </w:rPr>
      <w:t xml:space="preserve"> </w:t>
    </w:r>
    <w:r w:rsidR="00C2189B">
      <w:rPr>
        <w:sz w:val="20"/>
        <w:szCs w:val="20"/>
      </w:rPr>
      <w:t>sākotnējās ietekmes novērtējuma ziņojums (</w:t>
    </w:r>
    <w:r w:rsidR="003C1DA0">
      <w:rPr>
        <w:sz w:val="20"/>
        <w:szCs w:val="20"/>
      </w:rPr>
      <w:t>anotācija</w:t>
    </w:r>
    <w:r w:rsidR="00C2189B">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B3CE" w14:textId="22E92A02" w:rsidR="00C31E36" w:rsidRPr="00BB3910" w:rsidRDefault="00BB3910" w:rsidP="005E11DD">
    <w:pPr>
      <w:pStyle w:val="Footer"/>
      <w:jc w:val="both"/>
    </w:pPr>
    <w:r w:rsidRPr="00BB3910">
      <w:rPr>
        <w:sz w:val="20"/>
        <w:szCs w:val="20"/>
      </w:rPr>
      <w:t>FM</w:t>
    </w:r>
    <w:r>
      <w:rPr>
        <w:sz w:val="20"/>
        <w:szCs w:val="20"/>
      </w:rPr>
      <w:t>Anot</w:t>
    </w:r>
    <w:r w:rsidR="006A257B">
      <w:rPr>
        <w:sz w:val="20"/>
        <w:szCs w:val="20"/>
      </w:rPr>
      <w:t>_</w:t>
    </w:r>
    <w:r w:rsidR="003E5D07">
      <w:rPr>
        <w:sz w:val="20"/>
        <w:szCs w:val="20"/>
      </w:rPr>
      <w:t>070916</w:t>
    </w:r>
    <w:r w:rsidRPr="00BB3910">
      <w:rPr>
        <w:sz w:val="20"/>
        <w:szCs w:val="20"/>
      </w:rPr>
      <w:t>_kases_ap</w:t>
    </w:r>
    <w:r w:rsidR="00443F19">
      <w:rPr>
        <w:sz w:val="20"/>
        <w:szCs w:val="20"/>
      </w:rPr>
      <w:t>aratu_lietosanas_kartiba</w:t>
    </w:r>
    <w:r w:rsidRPr="00BB3910">
      <w:rPr>
        <w:sz w:val="20"/>
        <w:szCs w:val="20"/>
      </w:rPr>
      <w:t>; Ministru kabine</w:t>
    </w:r>
    <w:r w:rsidR="003C1DA0">
      <w:rPr>
        <w:sz w:val="20"/>
        <w:szCs w:val="20"/>
      </w:rPr>
      <w:t>ta noteikumu projekta</w:t>
    </w:r>
    <w:r w:rsidR="003D5B0A">
      <w:rPr>
        <w:sz w:val="20"/>
        <w:szCs w:val="20"/>
      </w:rPr>
      <w:t xml:space="preserve"> </w:t>
    </w:r>
    <w:r w:rsidR="00443F19" w:rsidRPr="00443F19">
      <w:rPr>
        <w:sz w:val="20"/>
        <w:szCs w:val="20"/>
      </w:rPr>
      <w:t>"Grozījumi Ministru kabineta 2014.g</w:t>
    </w:r>
    <w:r w:rsidR="00D625AA">
      <w:rPr>
        <w:sz w:val="20"/>
        <w:szCs w:val="20"/>
      </w:rPr>
      <w:t>ada 11.februāra noteikumos Nr.</w:t>
    </w:r>
    <w:r w:rsidR="00443F19" w:rsidRPr="00443F19">
      <w:rPr>
        <w:sz w:val="20"/>
        <w:szCs w:val="20"/>
      </w:rPr>
      <w:t>96 "Nodokļu un citu maksājumu reģistrēšanas elektronisko ierīču un iekārtu lietošanas kārtība""</w:t>
    </w:r>
    <w:r w:rsidR="003C1DA0">
      <w:rPr>
        <w:sz w:val="20"/>
        <w:szCs w:val="20"/>
      </w:rPr>
      <w:t xml:space="preserve"> </w:t>
    </w:r>
    <w:r w:rsidR="00C2189B">
      <w:rPr>
        <w:sz w:val="20"/>
        <w:szCs w:val="20"/>
      </w:rPr>
      <w:t>sākotnējās ietekmes novērtējuma ziņojums (</w:t>
    </w:r>
    <w:r w:rsidR="003C1DA0">
      <w:rPr>
        <w:sz w:val="20"/>
        <w:szCs w:val="20"/>
      </w:rPr>
      <w:t>anotācija</w:t>
    </w:r>
    <w:r w:rsidR="00C2189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6D61" w14:textId="77777777" w:rsidR="008953CE" w:rsidRDefault="008953CE">
      <w:r>
        <w:separator/>
      </w:r>
    </w:p>
  </w:footnote>
  <w:footnote w:type="continuationSeparator" w:id="0">
    <w:p w14:paraId="7328C185" w14:textId="77777777" w:rsidR="008953CE" w:rsidRDefault="0089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A96C"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F5F9E" w14:textId="77777777"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2BE6" w14:textId="14809C7C"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4DA">
      <w:rPr>
        <w:rStyle w:val="PageNumber"/>
        <w:noProof/>
      </w:rPr>
      <w:t>9</w:t>
    </w:r>
    <w:r>
      <w:rPr>
        <w:rStyle w:val="PageNumber"/>
      </w:rPr>
      <w:fldChar w:fldCharType="end"/>
    </w:r>
  </w:p>
  <w:p w14:paraId="3519C2D7" w14:textId="77777777"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955B28"/>
    <w:multiLevelType w:val="hybridMultilevel"/>
    <w:tmpl w:val="2BA2402C"/>
    <w:lvl w:ilvl="0" w:tplc="843EBC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C0661B"/>
    <w:multiLevelType w:val="hybridMultilevel"/>
    <w:tmpl w:val="8DBE2BB6"/>
    <w:lvl w:ilvl="0" w:tplc="F710A48E">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FC7EA4"/>
    <w:multiLevelType w:val="hybridMultilevel"/>
    <w:tmpl w:val="B922B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C90780"/>
    <w:multiLevelType w:val="hybridMultilevel"/>
    <w:tmpl w:val="E36C3E72"/>
    <w:lvl w:ilvl="0" w:tplc="262EFF6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9"/>
  </w:num>
  <w:num w:numId="2">
    <w:abstractNumId w:val="23"/>
  </w:num>
  <w:num w:numId="3">
    <w:abstractNumId w:val="6"/>
  </w:num>
  <w:num w:numId="4">
    <w:abstractNumId w:val="4"/>
  </w:num>
  <w:num w:numId="5">
    <w:abstractNumId w:val="1"/>
  </w:num>
  <w:num w:numId="6">
    <w:abstractNumId w:val="17"/>
  </w:num>
  <w:num w:numId="7">
    <w:abstractNumId w:val="24"/>
  </w:num>
  <w:num w:numId="8">
    <w:abstractNumId w:val="13"/>
  </w:num>
  <w:num w:numId="9">
    <w:abstractNumId w:val="5"/>
  </w:num>
  <w:num w:numId="10">
    <w:abstractNumId w:val="14"/>
  </w:num>
  <w:num w:numId="11">
    <w:abstractNumId w:val="15"/>
  </w:num>
  <w:num w:numId="12">
    <w:abstractNumId w:val="19"/>
  </w:num>
  <w:num w:numId="13">
    <w:abstractNumId w:val="22"/>
  </w:num>
  <w:num w:numId="14">
    <w:abstractNumId w:val="0"/>
  </w:num>
  <w:num w:numId="15">
    <w:abstractNumId w:val="10"/>
  </w:num>
  <w:num w:numId="16">
    <w:abstractNumId w:val="12"/>
  </w:num>
  <w:num w:numId="17">
    <w:abstractNumId w:val="21"/>
  </w:num>
  <w:num w:numId="18">
    <w:abstractNumId w:val="8"/>
  </w:num>
  <w:num w:numId="19">
    <w:abstractNumId w:val="11"/>
  </w:num>
  <w:num w:numId="20">
    <w:abstractNumId w:val="16"/>
  </w:num>
  <w:num w:numId="21">
    <w:abstractNumId w:val="20"/>
  </w:num>
  <w:num w:numId="22">
    <w:abstractNumId w:val="3"/>
  </w:num>
  <w:num w:numId="23">
    <w:abstractNumId w:val="7"/>
  </w:num>
  <w:num w:numId="24">
    <w:abstractNumId w:val="18"/>
  </w:num>
  <w:num w:numId="25">
    <w:abstractNumId w:val="2"/>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F0B"/>
    <w:rsid w:val="00002424"/>
    <w:rsid w:val="0000308F"/>
    <w:rsid w:val="00003517"/>
    <w:rsid w:val="00005687"/>
    <w:rsid w:val="0000641C"/>
    <w:rsid w:val="00007C3C"/>
    <w:rsid w:val="00011C00"/>
    <w:rsid w:val="00011D24"/>
    <w:rsid w:val="00012A98"/>
    <w:rsid w:val="00012BEC"/>
    <w:rsid w:val="00013FF4"/>
    <w:rsid w:val="00014A57"/>
    <w:rsid w:val="00014DE3"/>
    <w:rsid w:val="00015213"/>
    <w:rsid w:val="00015C40"/>
    <w:rsid w:val="00017EAF"/>
    <w:rsid w:val="00020FE1"/>
    <w:rsid w:val="00022E13"/>
    <w:rsid w:val="000257A5"/>
    <w:rsid w:val="0002627A"/>
    <w:rsid w:val="00026323"/>
    <w:rsid w:val="00027394"/>
    <w:rsid w:val="00030752"/>
    <w:rsid w:val="00032388"/>
    <w:rsid w:val="000347CE"/>
    <w:rsid w:val="0003506F"/>
    <w:rsid w:val="00035CE2"/>
    <w:rsid w:val="00035DDF"/>
    <w:rsid w:val="00037AB9"/>
    <w:rsid w:val="00037DAC"/>
    <w:rsid w:val="0004024B"/>
    <w:rsid w:val="00042CA0"/>
    <w:rsid w:val="00045FA0"/>
    <w:rsid w:val="00053EE5"/>
    <w:rsid w:val="0005553B"/>
    <w:rsid w:val="00060329"/>
    <w:rsid w:val="000604D2"/>
    <w:rsid w:val="00061587"/>
    <w:rsid w:val="00061662"/>
    <w:rsid w:val="000617FE"/>
    <w:rsid w:val="00065241"/>
    <w:rsid w:val="00066B2F"/>
    <w:rsid w:val="000675A9"/>
    <w:rsid w:val="00067DDB"/>
    <w:rsid w:val="00070D7A"/>
    <w:rsid w:val="0007288C"/>
    <w:rsid w:val="00074B12"/>
    <w:rsid w:val="00075627"/>
    <w:rsid w:val="00080AD1"/>
    <w:rsid w:val="00081E26"/>
    <w:rsid w:val="000837FB"/>
    <w:rsid w:val="00083B68"/>
    <w:rsid w:val="00083D8B"/>
    <w:rsid w:val="00085880"/>
    <w:rsid w:val="00087963"/>
    <w:rsid w:val="0009005E"/>
    <w:rsid w:val="00090BFB"/>
    <w:rsid w:val="00090DFB"/>
    <w:rsid w:val="000941C5"/>
    <w:rsid w:val="00095701"/>
    <w:rsid w:val="00095FD8"/>
    <w:rsid w:val="000971F9"/>
    <w:rsid w:val="00097549"/>
    <w:rsid w:val="000A6451"/>
    <w:rsid w:val="000B064E"/>
    <w:rsid w:val="000B0835"/>
    <w:rsid w:val="000B0C7C"/>
    <w:rsid w:val="000B69CF"/>
    <w:rsid w:val="000B7357"/>
    <w:rsid w:val="000C1CDF"/>
    <w:rsid w:val="000C1E30"/>
    <w:rsid w:val="000C3B10"/>
    <w:rsid w:val="000C5398"/>
    <w:rsid w:val="000C6DD5"/>
    <w:rsid w:val="000C788D"/>
    <w:rsid w:val="000C790C"/>
    <w:rsid w:val="000D1A1A"/>
    <w:rsid w:val="000D3AED"/>
    <w:rsid w:val="000D452C"/>
    <w:rsid w:val="000D5A7F"/>
    <w:rsid w:val="000E0375"/>
    <w:rsid w:val="000E2B04"/>
    <w:rsid w:val="000E2DE5"/>
    <w:rsid w:val="000E3723"/>
    <w:rsid w:val="000E4E19"/>
    <w:rsid w:val="000E6A1E"/>
    <w:rsid w:val="000F061D"/>
    <w:rsid w:val="000F1982"/>
    <w:rsid w:val="000F31B1"/>
    <w:rsid w:val="000F4713"/>
    <w:rsid w:val="000F4794"/>
    <w:rsid w:val="00100BE0"/>
    <w:rsid w:val="00100EF9"/>
    <w:rsid w:val="001010FC"/>
    <w:rsid w:val="00101149"/>
    <w:rsid w:val="00101608"/>
    <w:rsid w:val="00102C2B"/>
    <w:rsid w:val="00103F5A"/>
    <w:rsid w:val="0010418B"/>
    <w:rsid w:val="00105059"/>
    <w:rsid w:val="00106309"/>
    <w:rsid w:val="00112480"/>
    <w:rsid w:val="00113759"/>
    <w:rsid w:val="001140DE"/>
    <w:rsid w:val="00114BE0"/>
    <w:rsid w:val="00115838"/>
    <w:rsid w:val="00116B51"/>
    <w:rsid w:val="00117E30"/>
    <w:rsid w:val="00122AFE"/>
    <w:rsid w:val="00122CEF"/>
    <w:rsid w:val="00123039"/>
    <w:rsid w:val="00124F12"/>
    <w:rsid w:val="001347F7"/>
    <w:rsid w:val="001405CC"/>
    <w:rsid w:val="00140819"/>
    <w:rsid w:val="00141024"/>
    <w:rsid w:val="001417B4"/>
    <w:rsid w:val="00141D8A"/>
    <w:rsid w:val="0014222F"/>
    <w:rsid w:val="0014256C"/>
    <w:rsid w:val="00142604"/>
    <w:rsid w:val="00144E3A"/>
    <w:rsid w:val="00146F25"/>
    <w:rsid w:val="0015060C"/>
    <w:rsid w:val="00150D9D"/>
    <w:rsid w:val="00151D26"/>
    <w:rsid w:val="0015430A"/>
    <w:rsid w:val="00155FF1"/>
    <w:rsid w:val="0015631D"/>
    <w:rsid w:val="0016018A"/>
    <w:rsid w:val="00161F0E"/>
    <w:rsid w:val="00162478"/>
    <w:rsid w:val="00165B11"/>
    <w:rsid w:val="0016758D"/>
    <w:rsid w:val="001679AF"/>
    <w:rsid w:val="00167CBE"/>
    <w:rsid w:val="00170E2A"/>
    <w:rsid w:val="001710C3"/>
    <w:rsid w:val="001713F3"/>
    <w:rsid w:val="001717AD"/>
    <w:rsid w:val="00177394"/>
    <w:rsid w:val="001810F7"/>
    <w:rsid w:val="00182C18"/>
    <w:rsid w:val="00183CC2"/>
    <w:rsid w:val="00183FEB"/>
    <w:rsid w:val="00187624"/>
    <w:rsid w:val="001900E4"/>
    <w:rsid w:val="00190F88"/>
    <w:rsid w:val="001917DF"/>
    <w:rsid w:val="00191909"/>
    <w:rsid w:val="001926C8"/>
    <w:rsid w:val="00192DDB"/>
    <w:rsid w:val="00197064"/>
    <w:rsid w:val="00197272"/>
    <w:rsid w:val="001A2E25"/>
    <w:rsid w:val="001A4066"/>
    <w:rsid w:val="001A6AE4"/>
    <w:rsid w:val="001A7642"/>
    <w:rsid w:val="001A769D"/>
    <w:rsid w:val="001B01FD"/>
    <w:rsid w:val="001B08B8"/>
    <w:rsid w:val="001B444A"/>
    <w:rsid w:val="001B4A71"/>
    <w:rsid w:val="001B6D4E"/>
    <w:rsid w:val="001B7692"/>
    <w:rsid w:val="001C4D38"/>
    <w:rsid w:val="001C612F"/>
    <w:rsid w:val="001D166B"/>
    <w:rsid w:val="001D1780"/>
    <w:rsid w:val="001D2CD8"/>
    <w:rsid w:val="001D390F"/>
    <w:rsid w:val="001D5B54"/>
    <w:rsid w:val="001D79C3"/>
    <w:rsid w:val="001E147D"/>
    <w:rsid w:val="001E1DBF"/>
    <w:rsid w:val="001E2687"/>
    <w:rsid w:val="001E3070"/>
    <w:rsid w:val="001E374D"/>
    <w:rsid w:val="001E4639"/>
    <w:rsid w:val="001E49FD"/>
    <w:rsid w:val="001E4A7D"/>
    <w:rsid w:val="001F3D9F"/>
    <w:rsid w:val="001F4209"/>
    <w:rsid w:val="001F43A8"/>
    <w:rsid w:val="001F50C9"/>
    <w:rsid w:val="001F531C"/>
    <w:rsid w:val="001F5CD6"/>
    <w:rsid w:val="001F701C"/>
    <w:rsid w:val="001F7464"/>
    <w:rsid w:val="001F7DEB"/>
    <w:rsid w:val="00200CC7"/>
    <w:rsid w:val="00202D9C"/>
    <w:rsid w:val="002033FF"/>
    <w:rsid w:val="00204489"/>
    <w:rsid w:val="00204F18"/>
    <w:rsid w:val="00205597"/>
    <w:rsid w:val="00206600"/>
    <w:rsid w:val="0020681D"/>
    <w:rsid w:val="00210101"/>
    <w:rsid w:val="00210D0B"/>
    <w:rsid w:val="0021262F"/>
    <w:rsid w:val="0021263D"/>
    <w:rsid w:val="00213F0C"/>
    <w:rsid w:val="00214094"/>
    <w:rsid w:val="002141E6"/>
    <w:rsid w:val="0021592D"/>
    <w:rsid w:val="00215A98"/>
    <w:rsid w:val="00216393"/>
    <w:rsid w:val="00221DAD"/>
    <w:rsid w:val="00222D76"/>
    <w:rsid w:val="00223507"/>
    <w:rsid w:val="00223B2E"/>
    <w:rsid w:val="00223EB1"/>
    <w:rsid w:val="002257D7"/>
    <w:rsid w:val="002259E6"/>
    <w:rsid w:val="002263D7"/>
    <w:rsid w:val="00231344"/>
    <w:rsid w:val="00233198"/>
    <w:rsid w:val="0023436E"/>
    <w:rsid w:val="002347C0"/>
    <w:rsid w:val="00241A6C"/>
    <w:rsid w:val="0024252D"/>
    <w:rsid w:val="00242D2B"/>
    <w:rsid w:val="00242D65"/>
    <w:rsid w:val="00247D3C"/>
    <w:rsid w:val="00250B39"/>
    <w:rsid w:val="00251ADB"/>
    <w:rsid w:val="00251C61"/>
    <w:rsid w:val="00252AAD"/>
    <w:rsid w:val="00253014"/>
    <w:rsid w:val="002542DA"/>
    <w:rsid w:val="00257155"/>
    <w:rsid w:val="002571C9"/>
    <w:rsid w:val="00260B74"/>
    <w:rsid w:val="00262E2B"/>
    <w:rsid w:val="002640EA"/>
    <w:rsid w:val="002671E8"/>
    <w:rsid w:val="00267D42"/>
    <w:rsid w:val="00270429"/>
    <w:rsid w:val="002723E9"/>
    <w:rsid w:val="00277929"/>
    <w:rsid w:val="002818DF"/>
    <w:rsid w:val="002820A2"/>
    <w:rsid w:val="002824DE"/>
    <w:rsid w:val="00283255"/>
    <w:rsid w:val="00283B53"/>
    <w:rsid w:val="00283B82"/>
    <w:rsid w:val="002846E9"/>
    <w:rsid w:val="00284C34"/>
    <w:rsid w:val="002855B3"/>
    <w:rsid w:val="00286A49"/>
    <w:rsid w:val="00286C39"/>
    <w:rsid w:val="0029066C"/>
    <w:rsid w:val="00291A33"/>
    <w:rsid w:val="00294B19"/>
    <w:rsid w:val="0029644D"/>
    <w:rsid w:val="00297969"/>
    <w:rsid w:val="002A2826"/>
    <w:rsid w:val="002A3E3E"/>
    <w:rsid w:val="002A463D"/>
    <w:rsid w:val="002A50A8"/>
    <w:rsid w:val="002B04AE"/>
    <w:rsid w:val="002B0982"/>
    <w:rsid w:val="002B101F"/>
    <w:rsid w:val="002B10D4"/>
    <w:rsid w:val="002B1CF5"/>
    <w:rsid w:val="002B50DB"/>
    <w:rsid w:val="002C10A7"/>
    <w:rsid w:val="002C12AB"/>
    <w:rsid w:val="002C279D"/>
    <w:rsid w:val="002C5C60"/>
    <w:rsid w:val="002C69D8"/>
    <w:rsid w:val="002C7CAC"/>
    <w:rsid w:val="002D3248"/>
    <w:rsid w:val="002D3306"/>
    <w:rsid w:val="002D3418"/>
    <w:rsid w:val="002D3880"/>
    <w:rsid w:val="002D4244"/>
    <w:rsid w:val="002D48AA"/>
    <w:rsid w:val="002D5D6C"/>
    <w:rsid w:val="002D7875"/>
    <w:rsid w:val="002D7BAA"/>
    <w:rsid w:val="002D7DC7"/>
    <w:rsid w:val="002D7F54"/>
    <w:rsid w:val="002E2F1E"/>
    <w:rsid w:val="002E37E7"/>
    <w:rsid w:val="002E3FF4"/>
    <w:rsid w:val="002E4126"/>
    <w:rsid w:val="002F0A57"/>
    <w:rsid w:val="002F3569"/>
    <w:rsid w:val="002F5FDC"/>
    <w:rsid w:val="002F6922"/>
    <w:rsid w:val="002F7078"/>
    <w:rsid w:val="002F759C"/>
    <w:rsid w:val="002F78C8"/>
    <w:rsid w:val="003006CA"/>
    <w:rsid w:val="00301CF3"/>
    <w:rsid w:val="003032C1"/>
    <w:rsid w:val="00303AC1"/>
    <w:rsid w:val="00303F8C"/>
    <w:rsid w:val="003040EA"/>
    <w:rsid w:val="0030522A"/>
    <w:rsid w:val="00306434"/>
    <w:rsid w:val="00306656"/>
    <w:rsid w:val="00307033"/>
    <w:rsid w:val="00310FF9"/>
    <w:rsid w:val="003133E3"/>
    <w:rsid w:val="0031361F"/>
    <w:rsid w:val="00313B16"/>
    <w:rsid w:val="00317344"/>
    <w:rsid w:val="00320353"/>
    <w:rsid w:val="0032118E"/>
    <w:rsid w:val="00321247"/>
    <w:rsid w:val="00322BB5"/>
    <w:rsid w:val="0032375B"/>
    <w:rsid w:val="0032715C"/>
    <w:rsid w:val="00334E28"/>
    <w:rsid w:val="003359A9"/>
    <w:rsid w:val="00336077"/>
    <w:rsid w:val="003369B8"/>
    <w:rsid w:val="00336B3B"/>
    <w:rsid w:val="00337CA5"/>
    <w:rsid w:val="0034270B"/>
    <w:rsid w:val="00347A14"/>
    <w:rsid w:val="00350F0A"/>
    <w:rsid w:val="00351F16"/>
    <w:rsid w:val="00355B84"/>
    <w:rsid w:val="00360154"/>
    <w:rsid w:val="00362478"/>
    <w:rsid w:val="00363EF3"/>
    <w:rsid w:val="003662E6"/>
    <w:rsid w:val="003667AD"/>
    <w:rsid w:val="00371A54"/>
    <w:rsid w:val="00372D09"/>
    <w:rsid w:val="00372EAE"/>
    <w:rsid w:val="003733BA"/>
    <w:rsid w:val="003734C2"/>
    <w:rsid w:val="00374FE6"/>
    <w:rsid w:val="00375B25"/>
    <w:rsid w:val="003807FF"/>
    <w:rsid w:val="0038132C"/>
    <w:rsid w:val="00381D9E"/>
    <w:rsid w:val="003878A9"/>
    <w:rsid w:val="00390D8B"/>
    <w:rsid w:val="003963C8"/>
    <w:rsid w:val="00396542"/>
    <w:rsid w:val="0039685B"/>
    <w:rsid w:val="003A2D47"/>
    <w:rsid w:val="003A31A6"/>
    <w:rsid w:val="003A3C61"/>
    <w:rsid w:val="003A6802"/>
    <w:rsid w:val="003A6A3C"/>
    <w:rsid w:val="003A713F"/>
    <w:rsid w:val="003A7F0C"/>
    <w:rsid w:val="003A7F79"/>
    <w:rsid w:val="003B067B"/>
    <w:rsid w:val="003B37E9"/>
    <w:rsid w:val="003B426E"/>
    <w:rsid w:val="003B5DDA"/>
    <w:rsid w:val="003B6404"/>
    <w:rsid w:val="003B67A2"/>
    <w:rsid w:val="003B6BD1"/>
    <w:rsid w:val="003B787C"/>
    <w:rsid w:val="003B787E"/>
    <w:rsid w:val="003C1635"/>
    <w:rsid w:val="003C1DA0"/>
    <w:rsid w:val="003C2215"/>
    <w:rsid w:val="003C35C6"/>
    <w:rsid w:val="003C449B"/>
    <w:rsid w:val="003C4E25"/>
    <w:rsid w:val="003C6409"/>
    <w:rsid w:val="003D21FF"/>
    <w:rsid w:val="003D357A"/>
    <w:rsid w:val="003D5B0A"/>
    <w:rsid w:val="003D698A"/>
    <w:rsid w:val="003D6CFA"/>
    <w:rsid w:val="003E0652"/>
    <w:rsid w:val="003E2950"/>
    <w:rsid w:val="003E35FD"/>
    <w:rsid w:val="003E5D07"/>
    <w:rsid w:val="003F0112"/>
    <w:rsid w:val="003F0426"/>
    <w:rsid w:val="003F071A"/>
    <w:rsid w:val="003F160B"/>
    <w:rsid w:val="003F1E50"/>
    <w:rsid w:val="003F4D77"/>
    <w:rsid w:val="003F7754"/>
    <w:rsid w:val="00400032"/>
    <w:rsid w:val="00400897"/>
    <w:rsid w:val="00400B5B"/>
    <w:rsid w:val="00401621"/>
    <w:rsid w:val="004056ED"/>
    <w:rsid w:val="00405A00"/>
    <w:rsid w:val="00410246"/>
    <w:rsid w:val="00412A03"/>
    <w:rsid w:val="00413396"/>
    <w:rsid w:val="004179DE"/>
    <w:rsid w:val="00420870"/>
    <w:rsid w:val="00425868"/>
    <w:rsid w:val="004268F6"/>
    <w:rsid w:val="00427C10"/>
    <w:rsid w:val="00432422"/>
    <w:rsid w:val="00432D0C"/>
    <w:rsid w:val="00433859"/>
    <w:rsid w:val="00433C6B"/>
    <w:rsid w:val="0043791B"/>
    <w:rsid w:val="00440440"/>
    <w:rsid w:val="00440FC7"/>
    <w:rsid w:val="00441187"/>
    <w:rsid w:val="00441483"/>
    <w:rsid w:val="00441BCB"/>
    <w:rsid w:val="00441DBE"/>
    <w:rsid w:val="00442C62"/>
    <w:rsid w:val="00443F19"/>
    <w:rsid w:val="00447B96"/>
    <w:rsid w:val="0045176A"/>
    <w:rsid w:val="0045202F"/>
    <w:rsid w:val="004561F8"/>
    <w:rsid w:val="00456332"/>
    <w:rsid w:val="00456663"/>
    <w:rsid w:val="00456A48"/>
    <w:rsid w:val="00456A5B"/>
    <w:rsid w:val="00457AF9"/>
    <w:rsid w:val="0046098E"/>
    <w:rsid w:val="00461826"/>
    <w:rsid w:val="00465DA2"/>
    <w:rsid w:val="00466630"/>
    <w:rsid w:val="00467641"/>
    <w:rsid w:val="00467DD9"/>
    <w:rsid w:val="004704CE"/>
    <w:rsid w:val="00473374"/>
    <w:rsid w:val="0047358D"/>
    <w:rsid w:val="00475AF2"/>
    <w:rsid w:val="004800F9"/>
    <w:rsid w:val="00482171"/>
    <w:rsid w:val="0048328B"/>
    <w:rsid w:val="00486FDD"/>
    <w:rsid w:val="0049134A"/>
    <w:rsid w:val="00491694"/>
    <w:rsid w:val="004918A5"/>
    <w:rsid w:val="00492070"/>
    <w:rsid w:val="004934EE"/>
    <w:rsid w:val="004942C6"/>
    <w:rsid w:val="004A3F51"/>
    <w:rsid w:val="004A5603"/>
    <w:rsid w:val="004A58CB"/>
    <w:rsid w:val="004A63C3"/>
    <w:rsid w:val="004A6F3E"/>
    <w:rsid w:val="004B1795"/>
    <w:rsid w:val="004B28D9"/>
    <w:rsid w:val="004B392E"/>
    <w:rsid w:val="004B4FAE"/>
    <w:rsid w:val="004B5014"/>
    <w:rsid w:val="004B56DD"/>
    <w:rsid w:val="004B5B0C"/>
    <w:rsid w:val="004B66FA"/>
    <w:rsid w:val="004C020F"/>
    <w:rsid w:val="004C1AFD"/>
    <w:rsid w:val="004C2C56"/>
    <w:rsid w:val="004C3459"/>
    <w:rsid w:val="004C49D2"/>
    <w:rsid w:val="004C558B"/>
    <w:rsid w:val="004C7A0E"/>
    <w:rsid w:val="004D1E87"/>
    <w:rsid w:val="004D492F"/>
    <w:rsid w:val="004D526B"/>
    <w:rsid w:val="004D564C"/>
    <w:rsid w:val="004D5C7F"/>
    <w:rsid w:val="004D7F67"/>
    <w:rsid w:val="004E2E8D"/>
    <w:rsid w:val="004E361C"/>
    <w:rsid w:val="004E4F13"/>
    <w:rsid w:val="004E5C4C"/>
    <w:rsid w:val="004E6B86"/>
    <w:rsid w:val="004E737B"/>
    <w:rsid w:val="004F0E6D"/>
    <w:rsid w:val="004F16FC"/>
    <w:rsid w:val="004F1F88"/>
    <w:rsid w:val="004F304C"/>
    <w:rsid w:val="004F482B"/>
    <w:rsid w:val="004F5F1B"/>
    <w:rsid w:val="00502374"/>
    <w:rsid w:val="005026E7"/>
    <w:rsid w:val="005037C5"/>
    <w:rsid w:val="0050422D"/>
    <w:rsid w:val="005060A1"/>
    <w:rsid w:val="00506F1D"/>
    <w:rsid w:val="0051005B"/>
    <w:rsid w:val="00513BEA"/>
    <w:rsid w:val="005156F3"/>
    <w:rsid w:val="00516072"/>
    <w:rsid w:val="005171F5"/>
    <w:rsid w:val="00527517"/>
    <w:rsid w:val="00530649"/>
    <w:rsid w:val="0053070D"/>
    <w:rsid w:val="00531404"/>
    <w:rsid w:val="005332EC"/>
    <w:rsid w:val="00534418"/>
    <w:rsid w:val="005353AB"/>
    <w:rsid w:val="00535E98"/>
    <w:rsid w:val="00536618"/>
    <w:rsid w:val="005374D7"/>
    <w:rsid w:val="00540E4C"/>
    <w:rsid w:val="00544A9E"/>
    <w:rsid w:val="00545213"/>
    <w:rsid w:val="005452FC"/>
    <w:rsid w:val="005542A6"/>
    <w:rsid w:val="00554F08"/>
    <w:rsid w:val="00555391"/>
    <w:rsid w:val="005560BC"/>
    <w:rsid w:val="005573BE"/>
    <w:rsid w:val="00561723"/>
    <w:rsid w:val="00561D6A"/>
    <w:rsid w:val="00562633"/>
    <w:rsid w:val="005634ED"/>
    <w:rsid w:val="00565835"/>
    <w:rsid w:val="005679AF"/>
    <w:rsid w:val="00572700"/>
    <w:rsid w:val="00573099"/>
    <w:rsid w:val="005739B0"/>
    <w:rsid w:val="005748AA"/>
    <w:rsid w:val="00575123"/>
    <w:rsid w:val="0057567E"/>
    <w:rsid w:val="00580468"/>
    <w:rsid w:val="00582231"/>
    <w:rsid w:val="00583F9F"/>
    <w:rsid w:val="0058603B"/>
    <w:rsid w:val="00590305"/>
    <w:rsid w:val="00591C5A"/>
    <w:rsid w:val="005937E8"/>
    <w:rsid w:val="00594229"/>
    <w:rsid w:val="0059431B"/>
    <w:rsid w:val="005955FA"/>
    <w:rsid w:val="00596C84"/>
    <w:rsid w:val="005A0AC9"/>
    <w:rsid w:val="005A38C3"/>
    <w:rsid w:val="005A39CC"/>
    <w:rsid w:val="005A44ED"/>
    <w:rsid w:val="005A4C25"/>
    <w:rsid w:val="005A6055"/>
    <w:rsid w:val="005B0D8F"/>
    <w:rsid w:val="005B351C"/>
    <w:rsid w:val="005B4730"/>
    <w:rsid w:val="005B6154"/>
    <w:rsid w:val="005C0006"/>
    <w:rsid w:val="005C0F33"/>
    <w:rsid w:val="005C1119"/>
    <w:rsid w:val="005C6979"/>
    <w:rsid w:val="005D33C4"/>
    <w:rsid w:val="005E0201"/>
    <w:rsid w:val="005E05D7"/>
    <w:rsid w:val="005E0C31"/>
    <w:rsid w:val="005E11DD"/>
    <w:rsid w:val="005E41E7"/>
    <w:rsid w:val="005E4238"/>
    <w:rsid w:val="005E450F"/>
    <w:rsid w:val="005F066B"/>
    <w:rsid w:val="005F0C0D"/>
    <w:rsid w:val="005F10A1"/>
    <w:rsid w:val="005F126D"/>
    <w:rsid w:val="005F3D9B"/>
    <w:rsid w:val="005F43FE"/>
    <w:rsid w:val="005F5FD1"/>
    <w:rsid w:val="00611CCF"/>
    <w:rsid w:val="006130F6"/>
    <w:rsid w:val="006134AD"/>
    <w:rsid w:val="006135BC"/>
    <w:rsid w:val="00615EE2"/>
    <w:rsid w:val="006161B7"/>
    <w:rsid w:val="00616762"/>
    <w:rsid w:val="00616C55"/>
    <w:rsid w:val="0062298A"/>
    <w:rsid w:val="00622BB8"/>
    <w:rsid w:val="00625C4A"/>
    <w:rsid w:val="00626514"/>
    <w:rsid w:val="00626589"/>
    <w:rsid w:val="00627C9A"/>
    <w:rsid w:val="00630F37"/>
    <w:rsid w:val="00630FCC"/>
    <w:rsid w:val="00632064"/>
    <w:rsid w:val="006339A0"/>
    <w:rsid w:val="00635B38"/>
    <w:rsid w:val="0063660F"/>
    <w:rsid w:val="0063735F"/>
    <w:rsid w:val="00637F83"/>
    <w:rsid w:val="00640460"/>
    <w:rsid w:val="006408AC"/>
    <w:rsid w:val="00640F9D"/>
    <w:rsid w:val="006413A8"/>
    <w:rsid w:val="00641ECC"/>
    <w:rsid w:val="00642A9B"/>
    <w:rsid w:val="00642E56"/>
    <w:rsid w:val="00644238"/>
    <w:rsid w:val="006447FA"/>
    <w:rsid w:val="006449AF"/>
    <w:rsid w:val="00645940"/>
    <w:rsid w:val="00647547"/>
    <w:rsid w:val="00651E00"/>
    <w:rsid w:val="006538D4"/>
    <w:rsid w:val="006538F7"/>
    <w:rsid w:val="00654043"/>
    <w:rsid w:val="00655110"/>
    <w:rsid w:val="0066093B"/>
    <w:rsid w:val="00661ADF"/>
    <w:rsid w:val="00661D25"/>
    <w:rsid w:val="00664446"/>
    <w:rsid w:val="00664480"/>
    <w:rsid w:val="006644F3"/>
    <w:rsid w:val="00664EE4"/>
    <w:rsid w:val="0066678B"/>
    <w:rsid w:val="00671C01"/>
    <w:rsid w:val="00674572"/>
    <w:rsid w:val="006844EB"/>
    <w:rsid w:val="00684AC0"/>
    <w:rsid w:val="00687763"/>
    <w:rsid w:val="00690FF1"/>
    <w:rsid w:val="006915EE"/>
    <w:rsid w:val="00691F13"/>
    <w:rsid w:val="0069211D"/>
    <w:rsid w:val="00692B0D"/>
    <w:rsid w:val="00692E1D"/>
    <w:rsid w:val="00693C78"/>
    <w:rsid w:val="00693D5C"/>
    <w:rsid w:val="00693E0E"/>
    <w:rsid w:val="006949AF"/>
    <w:rsid w:val="006950E6"/>
    <w:rsid w:val="00695BB7"/>
    <w:rsid w:val="006A06E6"/>
    <w:rsid w:val="006A1AE3"/>
    <w:rsid w:val="006A2182"/>
    <w:rsid w:val="006A257B"/>
    <w:rsid w:val="006A589D"/>
    <w:rsid w:val="006A59FC"/>
    <w:rsid w:val="006A73C1"/>
    <w:rsid w:val="006B042F"/>
    <w:rsid w:val="006B2C20"/>
    <w:rsid w:val="006B37E9"/>
    <w:rsid w:val="006B5B2B"/>
    <w:rsid w:val="006B6062"/>
    <w:rsid w:val="006B7332"/>
    <w:rsid w:val="006C30E1"/>
    <w:rsid w:val="006C3DE1"/>
    <w:rsid w:val="006C44E5"/>
    <w:rsid w:val="006C4607"/>
    <w:rsid w:val="006D0440"/>
    <w:rsid w:val="006D0922"/>
    <w:rsid w:val="006D2766"/>
    <w:rsid w:val="006D2EE2"/>
    <w:rsid w:val="006D39ED"/>
    <w:rsid w:val="006D45B8"/>
    <w:rsid w:val="006D48F1"/>
    <w:rsid w:val="006D7E24"/>
    <w:rsid w:val="006E0A3C"/>
    <w:rsid w:val="006E2041"/>
    <w:rsid w:val="006E3E99"/>
    <w:rsid w:val="006E5AF5"/>
    <w:rsid w:val="006F0F87"/>
    <w:rsid w:val="006F25B4"/>
    <w:rsid w:val="006F26C1"/>
    <w:rsid w:val="006F2C68"/>
    <w:rsid w:val="006F36DE"/>
    <w:rsid w:val="006F45BE"/>
    <w:rsid w:val="006F5A7D"/>
    <w:rsid w:val="007004FC"/>
    <w:rsid w:val="007026F9"/>
    <w:rsid w:val="00703D11"/>
    <w:rsid w:val="00706670"/>
    <w:rsid w:val="00710D2A"/>
    <w:rsid w:val="00711F59"/>
    <w:rsid w:val="007128EB"/>
    <w:rsid w:val="00712DF6"/>
    <w:rsid w:val="0072417C"/>
    <w:rsid w:val="007245AD"/>
    <w:rsid w:val="007319F1"/>
    <w:rsid w:val="00734450"/>
    <w:rsid w:val="0073482D"/>
    <w:rsid w:val="00741006"/>
    <w:rsid w:val="007430A2"/>
    <w:rsid w:val="00745F67"/>
    <w:rsid w:val="007501E6"/>
    <w:rsid w:val="0075039E"/>
    <w:rsid w:val="00751242"/>
    <w:rsid w:val="007515D1"/>
    <w:rsid w:val="00752D9D"/>
    <w:rsid w:val="00754784"/>
    <w:rsid w:val="00756171"/>
    <w:rsid w:val="00757C6E"/>
    <w:rsid w:val="007623F7"/>
    <w:rsid w:val="00762BDA"/>
    <w:rsid w:val="00765346"/>
    <w:rsid w:val="00765A71"/>
    <w:rsid w:val="007665CF"/>
    <w:rsid w:val="007676EC"/>
    <w:rsid w:val="00770E66"/>
    <w:rsid w:val="007711D6"/>
    <w:rsid w:val="00772CC1"/>
    <w:rsid w:val="007736F1"/>
    <w:rsid w:val="00774AE2"/>
    <w:rsid w:val="007805FD"/>
    <w:rsid w:val="0078065B"/>
    <w:rsid w:val="00783474"/>
    <w:rsid w:val="007839BC"/>
    <w:rsid w:val="00783A23"/>
    <w:rsid w:val="00784422"/>
    <w:rsid w:val="00785924"/>
    <w:rsid w:val="0079000A"/>
    <w:rsid w:val="00793C37"/>
    <w:rsid w:val="007964D6"/>
    <w:rsid w:val="00796DA2"/>
    <w:rsid w:val="007A097E"/>
    <w:rsid w:val="007A2008"/>
    <w:rsid w:val="007A2491"/>
    <w:rsid w:val="007A28B9"/>
    <w:rsid w:val="007A36DF"/>
    <w:rsid w:val="007A3846"/>
    <w:rsid w:val="007A3A0B"/>
    <w:rsid w:val="007A3BCF"/>
    <w:rsid w:val="007A4E59"/>
    <w:rsid w:val="007A5B7B"/>
    <w:rsid w:val="007A66D8"/>
    <w:rsid w:val="007A759D"/>
    <w:rsid w:val="007A791E"/>
    <w:rsid w:val="007B056C"/>
    <w:rsid w:val="007B37C5"/>
    <w:rsid w:val="007B3B54"/>
    <w:rsid w:val="007B3FA0"/>
    <w:rsid w:val="007B4BC6"/>
    <w:rsid w:val="007C0F2C"/>
    <w:rsid w:val="007C2BB1"/>
    <w:rsid w:val="007C2BCC"/>
    <w:rsid w:val="007C35B2"/>
    <w:rsid w:val="007C4EF0"/>
    <w:rsid w:val="007C5755"/>
    <w:rsid w:val="007C6281"/>
    <w:rsid w:val="007D099D"/>
    <w:rsid w:val="007D23F7"/>
    <w:rsid w:val="007D3EE3"/>
    <w:rsid w:val="007D7BA1"/>
    <w:rsid w:val="007D7E17"/>
    <w:rsid w:val="007E00AF"/>
    <w:rsid w:val="007E2664"/>
    <w:rsid w:val="007E3ABF"/>
    <w:rsid w:val="007E44C5"/>
    <w:rsid w:val="007E5416"/>
    <w:rsid w:val="007E5BFA"/>
    <w:rsid w:val="007E6689"/>
    <w:rsid w:val="007E731C"/>
    <w:rsid w:val="007E7815"/>
    <w:rsid w:val="007F0A03"/>
    <w:rsid w:val="007F271B"/>
    <w:rsid w:val="007F2F05"/>
    <w:rsid w:val="007F7E0E"/>
    <w:rsid w:val="007F7EAD"/>
    <w:rsid w:val="00807381"/>
    <w:rsid w:val="00807B16"/>
    <w:rsid w:val="00807D76"/>
    <w:rsid w:val="00810040"/>
    <w:rsid w:val="00812D75"/>
    <w:rsid w:val="00814B2E"/>
    <w:rsid w:val="00814C68"/>
    <w:rsid w:val="008201D2"/>
    <w:rsid w:val="0082023A"/>
    <w:rsid w:val="00821A7A"/>
    <w:rsid w:val="008233DE"/>
    <w:rsid w:val="008253F8"/>
    <w:rsid w:val="00826B74"/>
    <w:rsid w:val="00826C67"/>
    <w:rsid w:val="00826F98"/>
    <w:rsid w:val="00830EB5"/>
    <w:rsid w:val="008322E5"/>
    <w:rsid w:val="008325E4"/>
    <w:rsid w:val="00832A2B"/>
    <w:rsid w:val="008343EA"/>
    <w:rsid w:val="0083777F"/>
    <w:rsid w:val="00840B80"/>
    <w:rsid w:val="00842B02"/>
    <w:rsid w:val="008433E8"/>
    <w:rsid w:val="00843A2D"/>
    <w:rsid w:val="00845811"/>
    <w:rsid w:val="00846215"/>
    <w:rsid w:val="00846994"/>
    <w:rsid w:val="00847023"/>
    <w:rsid w:val="00850451"/>
    <w:rsid w:val="00850810"/>
    <w:rsid w:val="00852042"/>
    <w:rsid w:val="008525FD"/>
    <w:rsid w:val="008534C9"/>
    <w:rsid w:val="0085599D"/>
    <w:rsid w:val="00855FF4"/>
    <w:rsid w:val="00857295"/>
    <w:rsid w:val="008631D9"/>
    <w:rsid w:val="00865BA9"/>
    <w:rsid w:val="008712DF"/>
    <w:rsid w:val="0087510C"/>
    <w:rsid w:val="008757B9"/>
    <w:rsid w:val="008771E0"/>
    <w:rsid w:val="00881B32"/>
    <w:rsid w:val="00884550"/>
    <w:rsid w:val="008851FB"/>
    <w:rsid w:val="00886A98"/>
    <w:rsid w:val="00890442"/>
    <w:rsid w:val="00890499"/>
    <w:rsid w:val="00893847"/>
    <w:rsid w:val="00893E73"/>
    <w:rsid w:val="00894705"/>
    <w:rsid w:val="00894B82"/>
    <w:rsid w:val="008953CE"/>
    <w:rsid w:val="008968D2"/>
    <w:rsid w:val="0089738E"/>
    <w:rsid w:val="008A1B39"/>
    <w:rsid w:val="008A4286"/>
    <w:rsid w:val="008A7608"/>
    <w:rsid w:val="008B01CF"/>
    <w:rsid w:val="008B4465"/>
    <w:rsid w:val="008B5711"/>
    <w:rsid w:val="008B5FDB"/>
    <w:rsid w:val="008B6B16"/>
    <w:rsid w:val="008C2F07"/>
    <w:rsid w:val="008C3A13"/>
    <w:rsid w:val="008C50F4"/>
    <w:rsid w:val="008C5649"/>
    <w:rsid w:val="008D2EC0"/>
    <w:rsid w:val="008D38DB"/>
    <w:rsid w:val="008D6162"/>
    <w:rsid w:val="008D7426"/>
    <w:rsid w:val="008E2513"/>
    <w:rsid w:val="008E28EB"/>
    <w:rsid w:val="008E40AC"/>
    <w:rsid w:val="008E44A2"/>
    <w:rsid w:val="008E4C6B"/>
    <w:rsid w:val="008E4EB6"/>
    <w:rsid w:val="008E6924"/>
    <w:rsid w:val="008E697D"/>
    <w:rsid w:val="008E778C"/>
    <w:rsid w:val="008F1A6E"/>
    <w:rsid w:val="008F444F"/>
    <w:rsid w:val="008F6857"/>
    <w:rsid w:val="008F7FFA"/>
    <w:rsid w:val="0090135E"/>
    <w:rsid w:val="0090267E"/>
    <w:rsid w:val="00903263"/>
    <w:rsid w:val="009032AB"/>
    <w:rsid w:val="00904019"/>
    <w:rsid w:val="00906A21"/>
    <w:rsid w:val="009079C3"/>
    <w:rsid w:val="00910462"/>
    <w:rsid w:val="009122EC"/>
    <w:rsid w:val="00915AB1"/>
    <w:rsid w:val="00917532"/>
    <w:rsid w:val="00917600"/>
    <w:rsid w:val="00917CA0"/>
    <w:rsid w:val="009202D1"/>
    <w:rsid w:val="00920E7B"/>
    <w:rsid w:val="00922E94"/>
    <w:rsid w:val="009235BA"/>
    <w:rsid w:val="00924023"/>
    <w:rsid w:val="00924CE2"/>
    <w:rsid w:val="00925B9F"/>
    <w:rsid w:val="009268D6"/>
    <w:rsid w:val="009309EB"/>
    <w:rsid w:val="00931AED"/>
    <w:rsid w:val="00940645"/>
    <w:rsid w:val="00941300"/>
    <w:rsid w:val="00945766"/>
    <w:rsid w:val="00946395"/>
    <w:rsid w:val="009476A3"/>
    <w:rsid w:val="0095334F"/>
    <w:rsid w:val="00953D83"/>
    <w:rsid w:val="0095423D"/>
    <w:rsid w:val="00956C8B"/>
    <w:rsid w:val="00956EBF"/>
    <w:rsid w:val="009656DE"/>
    <w:rsid w:val="00965897"/>
    <w:rsid w:val="0096765C"/>
    <w:rsid w:val="00967848"/>
    <w:rsid w:val="009714D2"/>
    <w:rsid w:val="00971C00"/>
    <w:rsid w:val="009727E4"/>
    <w:rsid w:val="0097347D"/>
    <w:rsid w:val="00973E49"/>
    <w:rsid w:val="009757E2"/>
    <w:rsid w:val="00980373"/>
    <w:rsid w:val="00981DA6"/>
    <w:rsid w:val="00982156"/>
    <w:rsid w:val="00982AAD"/>
    <w:rsid w:val="009864BB"/>
    <w:rsid w:val="0098773B"/>
    <w:rsid w:val="00987B16"/>
    <w:rsid w:val="00990716"/>
    <w:rsid w:val="00990930"/>
    <w:rsid w:val="00992E99"/>
    <w:rsid w:val="009934C5"/>
    <w:rsid w:val="00994342"/>
    <w:rsid w:val="009945B8"/>
    <w:rsid w:val="00994C0F"/>
    <w:rsid w:val="00997A5B"/>
    <w:rsid w:val="009A0027"/>
    <w:rsid w:val="009A33ED"/>
    <w:rsid w:val="009B032B"/>
    <w:rsid w:val="009B0891"/>
    <w:rsid w:val="009B118C"/>
    <w:rsid w:val="009B22D7"/>
    <w:rsid w:val="009B23A7"/>
    <w:rsid w:val="009B2A92"/>
    <w:rsid w:val="009B4270"/>
    <w:rsid w:val="009B5986"/>
    <w:rsid w:val="009B618A"/>
    <w:rsid w:val="009B68DE"/>
    <w:rsid w:val="009B72ED"/>
    <w:rsid w:val="009C0D06"/>
    <w:rsid w:val="009C30E0"/>
    <w:rsid w:val="009C5659"/>
    <w:rsid w:val="009C6DEB"/>
    <w:rsid w:val="009D1F24"/>
    <w:rsid w:val="009D27A6"/>
    <w:rsid w:val="009D4EF6"/>
    <w:rsid w:val="009D6027"/>
    <w:rsid w:val="009D62BB"/>
    <w:rsid w:val="009D6504"/>
    <w:rsid w:val="009E12D7"/>
    <w:rsid w:val="009E159A"/>
    <w:rsid w:val="009E242E"/>
    <w:rsid w:val="009E4BD1"/>
    <w:rsid w:val="009E56AD"/>
    <w:rsid w:val="009E656D"/>
    <w:rsid w:val="009E661A"/>
    <w:rsid w:val="009E6C0C"/>
    <w:rsid w:val="009F0513"/>
    <w:rsid w:val="009F1276"/>
    <w:rsid w:val="009F30B3"/>
    <w:rsid w:val="009F5710"/>
    <w:rsid w:val="009F7D7D"/>
    <w:rsid w:val="00A01B80"/>
    <w:rsid w:val="00A020E6"/>
    <w:rsid w:val="00A05E77"/>
    <w:rsid w:val="00A06077"/>
    <w:rsid w:val="00A06781"/>
    <w:rsid w:val="00A074C3"/>
    <w:rsid w:val="00A07DC8"/>
    <w:rsid w:val="00A100ED"/>
    <w:rsid w:val="00A102CE"/>
    <w:rsid w:val="00A1367E"/>
    <w:rsid w:val="00A1509C"/>
    <w:rsid w:val="00A1537D"/>
    <w:rsid w:val="00A17D0E"/>
    <w:rsid w:val="00A238AE"/>
    <w:rsid w:val="00A249B9"/>
    <w:rsid w:val="00A25E91"/>
    <w:rsid w:val="00A26187"/>
    <w:rsid w:val="00A27A45"/>
    <w:rsid w:val="00A27EB3"/>
    <w:rsid w:val="00A31F77"/>
    <w:rsid w:val="00A32321"/>
    <w:rsid w:val="00A324D2"/>
    <w:rsid w:val="00A34260"/>
    <w:rsid w:val="00A342D3"/>
    <w:rsid w:val="00A41842"/>
    <w:rsid w:val="00A4307D"/>
    <w:rsid w:val="00A43390"/>
    <w:rsid w:val="00A4629B"/>
    <w:rsid w:val="00A513CA"/>
    <w:rsid w:val="00A51E31"/>
    <w:rsid w:val="00A523F9"/>
    <w:rsid w:val="00A55ACA"/>
    <w:rsid w:val="00A5793E"/>
    <w:rsid w:val="00A57AF0"/>
    <w:rsid w:val="00A6048E"/>
    <w:rsid w:val="00A648A4"/>
    <w:rsid w:val="00A65338"/>
    <w:rsid w:val="00A701C6"/>
    <w:rsid w:val="00A70CFD"/>
    <w:rsid w:val="00A72A0B"/>
    <w:rsid w:val="00A72CAB"/>
    <w:rsid w:val="00A736C8"/>
    <w:rsid w:val="00A73F73"/>
    <w:rsid w:val="00A76CDE"/>
    <w:rsid w:val="00A77110"/>
    <w:rsid w:val="00A77DBB"/>
    <w:rsid w:val="00A77F80"/>
    <w:rsid w:val="00A80044"/>
    <w:rsid w:val="00A81217"/>
    <w:rsid w:val="00A8123C"/>
    <w:rsid w:val="00A81E42"/>
    <w:rsid w:val="00A824DA"/>
    <w:rsid w:val="00A82F8D"/>
    <w:rsid w:val="00A8314F"/>
    <w:rsid w:val="00A864FE"/>
    <w:rsid w:val="00A86C31"/>
    <w:rsid w:val="00A86F41"/>
    <w:rsid w:val="00A8776B"/>
    <w:rsid w:val="00A87D04"/>
    <w:rsid w:val="00A90F60"/>
    <w:rsid w:val="00A950C5"/>
    <w:rsid w:val="00A95777"/>
    <w:rsid w:val="00AA16DE"/>
    <w:rsid w:val="00AA1BF0"/>
    <w:rsid w:val="00AA1D25"/>
    <w:rsid w:val="00AA2D6D"/>
    <w:rsid w:val="00AA3642"/>
    <w:rsid w:val="00AA3897"/>
    <w:rsid w:val="00AB2347"/>
    <w:rsid w:val="00AB2B1A"/>
    <w:rsid w:val="00AB397F"/>
    <w:rsid w:val="00AB5832"/>
    <w:rsid w:val="00AC19C6"/>
    <w:rsid w:val="00AC51F2"/>
    <w:rsid w:val="00AD104F"/>
    <w:rsid w:val="00AD159D"/>
    <w:rsid w:val="00AD27C6"/>
    <w:rsid w:val="00AD3269"/>
    <w:rsid w:val="00AD3936"/>
    <w:rsid w:val="00AD64BC"/>
    <w:rsid w:val="00AE04EA"/>
    <w:rsid w:val="00AE0B4B"/>
    <w:rsid w:val="00AE0D0B"/>
    <w:rsid w:val="00AE1139"/>
    <w:rsid w:val="00AE1F32"/>
    <w:rsid w:val="00AE5066"/>
    <w:rsid w:val="00AE5E24"/>
    <w:rsid w:val="00AE61B7"/>
    <w:rsid w:val="00AE6CBA"/>
    <w:rsid w:val="00AE79AD"/>
    <w:rsid w:val="00AF10B5"/>
    <w:rsid w:val="00AF2549"/>
    <w:rsid w:val="00AF2B01"/>
    <w:rsid w:val="00AF35E4"/>
    <w:rsid w:val="00AF4154"/>
    <w:rsid w:val="00AF54B6"/>
    <w:rsid w:val="00AF5CDE"/>
    <w:rsid w:val="00AF6A09"/>
    <w:rsid w:val="00B032F8"/>
    <w:rsid w:val="00B06239"/>
    <w:rsid w:val="00B065C8"/>
    <w:rsid w:val="00B07F3A"/>
    <w:rsid w:val="00B1057C"/>
    <w:rsid w:val="00B11A57"/>
    <w:rsid w:val="00B21087"/>
    <w:rsid w:val="00B211C3"/>
    <w:rsid w:val="00B233A7"/>
    <w:rsid w:val="00B25597"/>
    <w:rsid w:val="00B25658"/>
    <w:rsid w:val="00B267B9"/>
    <w:rsid w:val="00B31EF8"/>
    <w:rsid w:val="00B336A7"/>
    <w:rsid w:val="00B33E09"/>
    <w:rsid w:val="00B40D37"/>
    <w:rsid w:val="00B4248B"/>
    <w:rsid w:val="00B42B3F"/>
    <w:rsid w:val="00B45326"/>
    <w:rsid w:val="00B45BC3"/>
    <w:rsid w:val="00B45C64"/>
    <w:rsid w:val="00B47213"/>
    <w:rsid w:val="00B50708"/>
    <w:rsid w:val="00B50C68"/>
    <w:rsid w:val="00B51293"/>
    <w:rsid w:val="00B51EA9"/>
    <w:rsid w:val="00B52488"/>
    <w:rsid w:val="00B52B1E"/>
    <w:rsid w:val="00B52F49"/>
    <w:rsid w:val="00B53E6B"/>
    <w:rsid w:val="00B54828"/>
    <w:rsid w:val="00B55481"/>
    <w:rsid w:val="00B56C32"/>
    <w:rsid w:val="00B56D61"/>
    <w:rsid w:val="00B57ACF"/>
    <w:rsid w:val="00B61E4D"/>
    <w:rsid w:val="00B64BB1"/>
    <w:rsid w:val="00B657DA"/>
    <w:rsid w:val="00B668EF"/>
    <w:rsid w:val="00B7276F"/>
    <w:rsid w:val="00B73166"/>
    <w:rsid w:val="00B73D56"/>
    <w:rsid w:val="00B80AC2"/>
    <w:rsid w:val="00B80EE0"/>
    <w:rsid w:val="00B8426C"/>
    <w:rsid w:val="00B84642"/>
    <w:rsid w:val="00B85104"/>
    <w:rsid w:val="00B862F6"/>
    <w:rsid w:val="00B86462"/>
    <w:rsid w:val="00B9088D"/>
    <w:rsid w:val="00B90C54"/>
    <w:rsid w:val="00B9193F"/>
    <w:rsid w:val="00B91B8D"/>
    <w:rsid w:val="00B94834"/>
    <w:rsid w:val="00B94E90"/>
    <w:rsid w:val="00BA343E"/>
    <w:rsid w:val="00BA3F32"/>
    <w:rsid w:val="00BA569A"/>
    <w:rsid w:val="00BA64D3"/>
    <w:rsid w:val="00BA7CAD"/>
    <w:rsid w:val="00BB0A82"/>
    <w:rsid w:val="00BB0AB3"/>
    <w:rsid w:val="00BB3910"/>
    <w:rsid w:val="00BB4ED4"/>
    <w:rsid w:val="00BB5DD4"/>
    <w:rsid w:val="00BB7C94"/>
    <w:rsid w:val="00BC0A9D"/>
    <w:rsid w:val="00BC54D5"/>
    <w:rsid w:val="00BC7734"/>
    <w:rsid w:val="00BD02BB"/>
    <w:rsid w:val="00BD0EDB"/>
    <w:rsid w:val="00BD0F53"/>
    <w:rsid w:val="00BD12CA"/>
    <w:rsid w:val="00BD2D1A"/>
    <w:rsid w:val="00BD3D8C"/>
    <w:rsid w:val="00BD494D"/>
    <w:rsid w:val="00BD4D26"/>
    <w:rsid w:val="00BD4F9F"/>
    <w:rsid w:val="00BD5A4C"/>
    <w:rsid w:val="00BD708E"/>
    <w:rsid w:val="00BD7A1F"/>
    <w:rsid w:val="00BE1763"/>
    <w:rsid w:val="00BE58F9"/>
    <w:rsid w:val="00BF1B67"/>
    <w:rsid w:val="00BF40ED"/>
    <w:rsid w:val="00BF5BC2"/>
    <w:rsid w:val="00BF75BE"/>
    <w:rsid w:val="00C00337"/>
    <w:rsid w:val="00C03AB6"/>
    <w:rsid w:val="00C10939"/>
    <w:rsid w:val="00C109F4"/>
    <w:rsid w:val="00C10EA6"/>
    <w:rsid w:val="00C1133D"/>
    <w:rsid w:val="00C11872"/>
    <w:rsid w:val="00C16414"/>
    <w:rsid w:val="00C1735C"/>
    <w:rsid w:val="00C20F81"/>
    <w:rsid w:val="00C2189B"/>
    <w:rsid w:val="00C21B88"/>
    <w:rsid w:val="00C24407"/>
    <w:rsid w:val="00C27A08"/>
    <w:rsid w:val="00C30C24"/>
    <w:rsid w:val="00C31312"/>
    <w:rsid w:val="00C31693"/>
    <w:rsid w:val="00C31E36"/>
    <w:rsid w:val="00C326C6"/>
    <w:rsid w:val="00C347A4"/>
    <w:rsid w:val="00C34834"/>
    <w:rsid w:val="00C35295"/>
    <w:rsid w:val="00C368D6"/>
    <w:rsid w:val="00C36ADD"/>
    <w:rsid w:val="00C36E74"/>
    <w:rsid w:val="00C40595"/>
    <w:rsid w:val="00C411DA"/>
    <w:rsid w:val="00C41280"/>
    <w:rsid w:val="00C41621"/>
    <w:rsid w:val="00C41B7C"/>
    <w:rsid w:val="00C43555"/>
    <w:rsid w:val="00C449FA"/>
    <w:rsid w:val="00C44AF7"/>
    <w:rsid w:val="00C5384F"/>
    <w:rsid w:val="00C53B59"/>
    <w:rsid w:val="00C53D75"/>
    <w:rsid w:val="00C56964"/>
    <w:rsid w:val="00C6198C"/>
    <w:rsid w:val="00C656D5"/>
    <w:rsid w:val="00C65995"/>
    <w:rsid w:val="00C66246"/>
    <w:rsid w:val="00C6660C"/>
    <w:rsid w:val="00C67103"/>
    <w:rsid w:val="00C67E68"/>
    <w:rsid w:val="00C71864"/>
    <w:rsid w:val="00C718B3"/>
    <w:rsid w:val="00C71BB9"/>
    <w:rsid w:val="00C736FB"/>
    <w:rsid w:val="00C7439D"/>
    <w:rsid w:val="00C74DEE"/>
    <w:rsid w:val="00C807CD"/>
    <w:rsid w:val="00C822B3"/>
    <w:rsid w:val="00C82A12"/>
    <w:rsid w:val="00C87CE3"/>
    <w:rsid w:val="00C945FA"/>
    <w:rsid w:val="00C94C28"/>
    <w:rsid w:val="00C95F30"/>
    <w:rsid w:val="00C966A7"/>
    <w:rsid w:val="00C96B4C"/>
    <w:rsid w:val="00C97CEF"/>
    <w:rsid w:val="00CA15AA"/>
    <w:rsid w:val="00CA68D6"/>
    <w:rsid w:val="00CA6A2D"/>
    <w:rsid w:val="00CB0247"/>
    <w:rsid w:val="00CB0A64"/>
    <w:rsid w:val="00CB3440"/>
    <w:rsid w:val="00CB3FC2"/>
    <w:rsid w:val="00CB4084"/>
    <w:rsid w:val="00CB616A"/>
    <w:rsid w:val="00CB7FA7"/>
    <w:rsid w:val="00CC012A"/>
    <w:rsid w:val="00CC1692"/>
    <w:rsid w:val="00CC1FD9"/>
    <w:rsid w:val="00CC7AC4"/>
    <w:rsid w:val="00CD0BA7"/>
    <w:rsid w:val="00CD138B"/>
    <w:rsid w:val="00CD23A5"/>
    <w:rsid w:val="00CD38B1"/>
    <w:rsid w:val="00CD3E31"/>
    <w:rsid w:val="00CD46A7"/>
    <w:rsid w:val="00CD5C57"/>
    <w:rsid w:val="00CD617D"/>
    <w:rsid w:val="00CD7117"/>
    <w:rsid w:val="00CD74A3"/>
    <w:rsid w:val="00CD79AB"/>
    <w:rsid w:val="00CE0527"/>
    <w:rsid w:val="00CE101D"/>
    <w:rsid w:val="00CE1DEE"/>
    <w:rsid w:val="00CE27A1"/>
    <w:rsid w:val="00CE27C5"/>
    <w:rsid w:val="00CE30D0"/>
    <w:rsid w:val="00CE5174"/>
    <w:rsid w:val="00CE580A"/>
    <w:rsid w:val="00CE5B0B"/>
    <w:rsid w:val="00CE5B23"/>
    <w:rsid w:val="00CF2486"/>
    <w:rsid w:val="00CF573B"/>
    <w:rsid w:val="00CF58A8"/>
    <w:rsid w:val="00CF70AD"/>
    <w:rsid w:val="00CF7729"/>
    <w:rsid w:val="00D00059"/>
    <w:rsid w:val="00D009CE"/>
    <w:rsid w:val="00D00C4D"/>
    <w:rsid w:val="00D02F34"/>
    <w:rsid w:val="00D0487F"/>
    <w:rsid w:val="00D06BC9"/>
    <w:rsid w:val="00D107FA"/>
    <w:rsid w:val="00D11555"/>
    <w:rsid w:val="00D11924"/>
    <w:rsid w:val="00D12275"/>
    <w:rsid w:val="00D12766"/>
    <w:rsid w:val="00D12AB6"/>
    <w:rsid w:val="00D13349"/>
    <w:rsid w:val="00D20E4E"/>
    <w:rsid w:val="00D20FF4"/>
    <w:rsid w:val="00D212D8"/>
    <w:rsid w:val="00D22B0E"/>
    <w:rsid w:val="00D24D2C"/>
    <w:rsid w:val="00D26B55"/>
    <w:rsid w:val="00D274C4"/>
    <w:rsid w:val="00D33210"/>
    <w:rsid w:val="00D33A31"/>
    <w:rsid w:val="00D34B3F"/>
    <w:rsid w:val="00D34C3C"/>
    <w:rsid w:val="00D35881"/>
    <w:rsid w:val="00D36648"/>
    <w:rsid w:val="00D36916"/>
    <w:rsid w:val="00D42CF8"/>
    <w:rsid w:val="00D43FED"/>
    <w:rsid w:val="00D442BD"/>
    <w:rsid w:val="00D44A23"/>
    <w:rsid w:val="00D45428"/>
    <w:rsid w:val="00D479AF"/>
    <w:rsid w:val="00D541C9"/>
    <w:rsid w:val="00D55399"/>
    <w:rsid w:val="00D55859"/>
    <w:rsid w:val="00D625AA"/>
    <w:rsid w:val="00D71E21"/>
    <w:rsid w:val="00D73C93"/>
    <w:rsid w:val="00D75F2B"/>
    <w:rsid w:val="00D77B6F"/>
    <w:rsid w:val="00D805F0"/>
    <w:rsid w:val="00D83214"/>
    <w:rsid w:val="00D83E21"/>
    <w:rsid w:val="00D901A0"/>
    <w:rsid w:val="00D920E7"/>
    <w:rsid w:val="00D95461"/>
    <w:rsid w:val="00D95AB9"/>
    <w:rsid w:val="00DA57C0"/>
    <w:rsid w:val="00DA664C"/>
    <w:rsid w:val="00DA78A7"/>
    <w:rsid w:val="00DA7DA5"/>
    <w:rsid w:val="00DB014A"/>
    <w:rsid w:val="00DB0440"/>
    <w:rsid w:val="00DB073B"/>
    <w:rsid w:val="00DB239A"/>
    <w:rsid w:val="00DB264F"/>
    <w:rsid w:val="00DB613D"/>
    <w:rsid w:val="00DB6DDB"/>
    <w:rsid w:val="00DB7308"/>
    <w:rsid w:val="00DB78F0"/>
    <w:rsid w:val="00DC0A62"/>
    <w:rsid w:val="00DC0CEA"/>
    <w:rsid w:val="00DC2E43"/>
    <w:rsid w:val="00DC34AC"/>
    <w:rsid w:val="00DC3B82"/>
    <w:rsid w:val="00DC55A3"/>
    <w:rsid w:val="00DC73F1"/>
    <w:rsid w:val="00DC7F9C"/>
    <w:rsid w:val="00DD095C"/>
    <w:rsid w:val="00DD0A7A"/>
    <w:rsid w:val="00DD1020"/>
    <w:rsid w:val="00DD1330"/>
    <w:rsid w:val="00DD1E59"/>
    <w:rsid w:val="00DD28E0"/>
    <w:rsid w:val="00DD3231"/>
    <w:rsid w:val="00DD7B2F"/>
    <w:rsid w:val="00DE01EE"/>
    <w:rsid w:val="00DE0B83"/>
    <w:rsid w:val="00DE0D0F"/>
    <w:rsid w:val="00DE1A81"/>
    <w:rsid w:val="00DE1C13"/>
    <w:rsid w:val="00DE2677"/>
    <w:rsid w:val="00DE4828"/>
    <w:rsid w:val="00DE4D02"/>
    <w:rsid w:val="00DE4E10"/>
    <w:rsid w:val="00DE6526"/>
    <w:rsid w:val="00DE7083"/>
    <w:rsid w:val="00DE7949"/>
    <w:rsid w:val="00DF4689"/>
    <w:rsid w:val="00DF6797"/>
    <w:rsid w:val="00DF6A1A"/>
    <w:rsid w:val="00DF7678"/>
    <w:rsid w:val="00E02ABF"/>
    <w:rsid w:val="00E0557E"/>
    <w:rsid w:val="00E13504"/>
    <w:rsid w:val="00E14995"/>
    <w:rsid w:val="00E15099"/>
    <w:rsid w:val="00E15E3E"/>
    <w:rsid w:val="00E166B0"/>
    <w:rsid w:val="00E179CD"/>
    <w:rsid w:val="00E201FA"/>
    <w:rsid w:val="00E23250"/>
    <w:rsid w:val="00E232AD"/>
    <w:rsid w:val="00E23E8D"/>
    <w:rsid w:val="00E246E3"/>
    <w:rsid w:val="00E24FF7"/>
    <w:rsid w:val="00E253EB"/>
    <w:rsid w:val="00E271A3"/>
    <w:rsid w:val="00E30E9F"/>
    <w:rsid w:val="00E311A3"/>
    <w:rsid w:val="00E37F98"/>
    <w:rsid w:val="00E46559"/>
    <w:rsid w:val="00E47C64"/>
    <w:rsid w:val="00E5238B"/>
    <w:rsid w:val="00E62175"/>
    <w:rsid w:val="00E62573"/>
    <w:rsid w:val="00E631CF"/>
    <w:rsid w:val="00E64099"/>
    <w:rsid w:val="00E65787"/>
    <w:rsid w:val="00E6670C"/>
    <w:rsid w:val="00E66E5F"/>
    <w:rsid w:val="00E744B2"/>
    <w:rsid w:val="00E77471"/>
    <w:rsid w:val="00E776E8"/>
    <w:rsid w:val="00E77C35"/>
    <w:rsid w:val="00E8093E"/>
    <w:rsid w:val="00E83AD7"/>
    <w:rsid w:val="00E84DB4"/>
    <w:rsid w:val="00E84F82"/>
    <w:rsid w:val="00E8764A"/>
    <w:rsid w:val="00E87CDB"/>
    <w:rsid w:val="00E9035C"/>
    <w:rsid w:val="00E92C1F"/>
    <w:rsid w:val="00E93A95"/>
    <w:rsid w:val="00E9461A"/>
    <w:rsid w:val="00E95D4B"/>
    <w:rsid w:val="00E97658"/>
    <w:rsid w:val="00E97DFA"/>
    <w:rsid w:val="00EA20DE"/>
    <w:rsid w:val="00EA29D3"/>
    <w:rsid w:val="00EA4493"/>
    <w:rsid w:val="00EA5176"/>
    <w:rsid w:val="00EA6728"/>
    <w:rsid w:val="00EA71C5"/>
    <w:rsid w:val="00EA76B8"/>
    <w:rsid w:val="00EB0D3C"/>
    <w:rsid w:val="00EB199F"/>
    <w:rsid w:val="00EB1FC5"/>
    <w:rsid w:val="00EC0312"/>
    <w:rsid w:val="00EC23F7"/>
    <w:rsid w:val="00EC2675"/>
    <w:rsid w:val="00EC4BD8"/>
    <w:rsid w:val="00EC63EB"/>
    <w:rsid w:val="00EC6901"/>
    <w:rsid w:val="00EC6D8F"/>
    <w:rsid w:val="00ED23A9"/>
    <w:rsid w:val="00ED3684"/>
    <w:rsid w:val="00ED412F"/>
    <w:rsid w:val="00ED5D0B"/>
    <w:rsid w:val="00EE20B3"/>
    <w:rsid w:val="00EE5772"/>
    <w:rsid w:val="00EE6BBC"/>
    <w:rsid w:val="00EF0186"/>
    <w:rsid w:val="00EF0B43"/>
    <w:rsid w:val="00EF0E3C"/>
    <w:rsid w:val="00EF1C15"/>
    <w:rsid w:val="00EF1F70"/>
    <w:rsid w:val="00EF2E31"/>
    <w:rsid w:val="00EF36B2"/>
    <w:rsid w:val="00EF5800"/>
    <w:rsid w:val="00EF6F8E"/>
    <w:rsid w:val="00EF77F9"/>
    <w:rsid w:val="00F001CF"/>
    <w:rsid w:val="00F00FA3"/>
    <w:rsid w:val="00F02032"/>
    <w:rsid w:val="00F068C5"/>
    <w:rsid w:val="00F11BB9"/>
    <w:rsid w:val="00F1231C"/>
    <w:rsid w:val="00F1246B"/>
    <w:rsid w:val="00F137E4"/>
    <w:rsid w:val="00F16CC4"/>
    <w:rsid w:val="00F17B35"/>
    <w:rsid w:val="00F201EC"/>
    <w:rsid w:val="00F208A9"/>
    <w:rsid w:val="00F2102F"/>
    <w:rsid w:val="00F217F2"/>
    <w:rsid w:val="00F22CAF"/>
    <w:rsid w:val="00F23DB4"/>
    <w:rsid w:val="00F242DD"/>
    <w:rsid w:val="00F30BA3"/>
    <w:rsid w:val="00F314E8"/>
    <w:rsid w:val="00F32350"/>
    <w:rsid w:val="00F35633"/>
    <w:rsid w:val="00F3582E"/>
    <w:rsid w:val="00F37796"/>
    <w:rsid w:val="00F41D75"/>
    <w:rsid w:val="00F43601"/>
    <w:rsid w:val="00F47372"/>
    <w:rsid w:val="00F508C7"/>
    <w:rsid w:val="00F5139D"/>
    <w:rsid w:val="00F52629"/>
    <w:rsid w:val="00F53F64"/>
    <w:rsid w:val="00F5498A"/>
    <w:rsid w:val="00F55314"/>
    <w:rsid w:val="00F55977"/>
    <w:rsid w:val="00F5770B"/>
    <w:rsid w:val="00F62632"/>
    <w:rsid w:val="00F62D4C"/>
    <w:rsid w:val="00F62F43"/>
    <w:rsid w:val="00F63DAC"/>
    <w:rsid w:val="00F64A42"/>
    <w:rsid w:val="00F66DA3"/>
    <w:rsid w:val="00F71B07"/>
    <w:rsid w:val="00F73DEE"/>
    <w:rsid w:val="00F7454F"/>
    <w:rsid w:val="00F745ED"/>
    <w:rsid w:val="00F74C18"/>
    <w:rsid w:val="00F7511A"/>
    <w:rsid w:val="00F77511"/>
    <w:rsid w:val="00F77988"/>
    <w:rsid w:val="00F77F48"/>
    <w:rsid w:val="00F81BFC"/>
    <w:rsid w:val="00F82FD3"/>
    <w:rsid w:val="00F833CF"/>
    <w:rsid w:val="00F846BB"/>
    <w:rsid w:val="00F86A26"/>
    <w:rsid w:val="00F90D46"/>
    <w:rsid w:val="00F94E64"/>
    <w:rsid w:val="00F95719"/>
    <w:rsid w:val="00F958A5"/>
    <w:rsid w:val="00F961AE"/>
    <w:rsid w:val="00F96858"/>
    <w:rsid w:val="00FA00ED"/>
    <w:rsid w:val="00FA0A75"/>
    <w:rsid w:val="00FA0FD5"/>
    <w:rsid w:val="00FA191D"/>
    <w:rsid w:val="00FA4AD0"/>
    <w:rsid w:val="00FA5EFB"/>
    <w:rsid w:val="00FA6DD0"/>
    <w:rsid w:val="00FB1007"/>
    <w:rsid w:val="00FB2B33"/>
    <w:rsid w:val="00FB30F1"/>
    <w:rsid w:val="00FB331B"/>
    <w:rsid w:val="00FB37FF"/>
    <w:rsid w:val="00FB3AD8"/>
    <w:rsid w:val="00FB53E7"/>
    <w:rsid w:val="00FB5BAF"/>
    <w:rsid w:val="00FB5D6D"/>
    <w:rsid w:val="00FB69DD"/>
    <w:rsid w:val="00FC20E9"/>
    <w:rsid w:val="00FD2A8A"/>
    <w:rsid w:val="00FD3372"/>
    <w:rsid w:val="00FD3DF3"/>
    <w:rsid w:val="00FD5301"/>
    <w:rsid w:val="00FE00CD"/>
    <w:rsid w:val="00FE2265"/>
    <w:rsid w:val="00FE254C"/>
    <w:rsid w:val="00FE4973"/>
    <w:rsid w:val="00FE4B5F"/>
    <w:rsid w:val="00FE5A2C"/>
    <w:rsid w:val="00FE5F40"/>
    <w:rsid w:val="00FF22F1"/>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7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383">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bina.naihin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2.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4F31D7-E884-4C8C-B3E8-5E600B0384C6}">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5.xml><?xml version="1.0" encoding="utf-8"?>
<ds:datastoreItem xmlns:ds="http://schemas.openxmlformats.org/officeDocument/2006/customXml" ds:itemID="{6DB2FCFA-B1F5-4CC7-8833-A3805D8E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13679</Words>
  <Characters>7798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11. februāra noteikumos Nr.96 "Nodokļu un citu maksājumu reģistrēšanas elektronisko ierīču un iekārtu lietošanas kārtība""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21435</CharactersWithSpaces>
  <SharedDoc>false</SharedDoc>
  <HLinks>
    <vt:vector size="6" baseType="variant">
      <vt:variant>
        <vt:i4>6750288</vt:i4>
      </vt:variant>
      <vt:variant>
        <vt:i4>0</vt:i4>
      </vt:variant>
      <vt:variant>
        <vt:i4>0</vt:i4>
      </vt:variant>
      <vt:variant>
        <vt:i4>5</vt:i4>
      </vt:variant>
      <vt:variant>
        <vt:lpwstr>mailto:Agate.Kalnina@vid.gov.lv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februāra noteikumos Nr.96 "Nodokļu un citu maksājumu reģistrēšanas elektronisko ierīču un iekārtu lietošanas kārtība"" sākotnējās ietekmes novērtējuma ziņojums (anotācija)</dc:title>
  <dc:subject>Anotācija</dc:subject>
  <dc:creator>Sabina Naihina</dc:creator>
  <dc:description>67122045, sabina.naihina@vid.gov.lv</dc:description>
  <cp:lastModifiedBy>Laimdota Adlere</cp:lastModifiedBy>
  <cp:revision>4</cp:revision>
  <cp:lastPrinted>2016-09-05T12:43:00Z</cp:lastPrinted>
  <dcterms:created xsi:type="dcterms:W3CDTF">2016-09-08T10:03:00Z</dcterms:created>
  <dcterms:modified xsi:type="dcterms:W3CDTF">2016-09-08T10:03:00Z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