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26A82C" w14:textId="77777777" w:rsidR="00EC322A" w:rsidRPr="00B3355B" w:rsidRDefault="00EC322A" w:rsidP="00EC322A">
      <w:pPr>
        <w:shd w:val="clear" w:color="auto" w:fill="FFFFFF"/>
        <w:jc w:val="center"/>
        <w:rPr>
          <w:rFonts w:cs="Times New Roman"/>
          <w:b/>
          <w:bCs/>
          <w:sz w:val="24"/>
          <w:szCs w:val="24"/>
          <w:lang w:val="lv-LV" w:eastAsia="lv-LV" w:bidi="ar-SA"/>
        </w:rPr>
      </w:pPr>
      <w:r w:rsidRPr="00B3355B">
        <w:rPr>
          <w:rFonts w:cs="Times New Roman"/>
          <w:b/>
          <w:bCs/>
          <w:sz w:val="24"/>
          <w:szCs w:val="24"/>
          <w:lang w:val="lv-LV" w:eastAsia="lv-LV" w:bidi="ar-SA"/>
        </w:rPr>
        <w:t>Likumprojekta „Grozījumi</w:t>
      </w:r>
      <w:r w:rsidRPr="00B3355B">
        <w:rPr>
          <w:rFonts w:cs="Times New Roman"/>
          <w:b/>
          <w:sz w:val="24"/>
          <w:szCs w:val="24"/>
          <w:lang w:val="lv-LV"/>
        </w:rPr>
        <w:t xml:space="preserve"> </w:t>
      </w:r>
      <w:r w:rsidRPr="00B3355B">
        <w:rPr>
          <w:rFonts w:cs="Times New Roman"/>
          <w:b/>
          <w:bCs/>
          <w:sz w:val="24"/>
          <w:szCs w:val="24"/>
          <w:lang w:val="lv-LV" w:eastAsia="lv-LV" w:bidi="ar-SA"/>
        </w:rPr>
        <w:t>Valsts un pašvaldību institūciju amatpersonu un darbinieku atlīdzības likumā” sākotnējās ietekmes novērtējuma ziņojums (anotācija)</w:t>
      </w:r>
    </w:p>
    <w:p w14:paraId="260E6BE3" w14:textId="77777777" w:rsidR="00EC322A" w:rsidRPr="00767B8B" w:rsidRDefault="00EC322A" w:rsidP="00EC322A">
      <w:pPr>
        <w:rPr>
          <w:rFonts w:cs="Times New Roman"/>
          <w:i/>
          <w:iCs/>
          <w:sz w:val="24"/>
          <w:szCs w:val="24"/>
          <w:lang w:val="lv-LV"/>
        </w:rPr>
      </w:pPr>
    </w:p>
    <w:tbl>
      <w:tblPr>
        <w:tblW w:w="5378"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47"/>
        <w:gridCol w:w="2529"/>
        <w:gridCol w:w="5947"/>
      </w:tblGrid>
      <w:tr w:rsidR="00EC322A" w:rsidRPr="00767B8B" w14:paraId="4B670AE1" w14:textId="77777777" w:rsidTr="00764DB6">
        <w:trPr>
          <w:trHeight w:val="405"/>
          <w:tblCellSpacing w:w="15" w:type="dxa"/>
        </w:trPr>
        <w:tc>
          <w:tcPr>
            <w:tcW w:w="4966" w:type="pct"/>
            <w:gridSpan w:val="3"/>
            <w:tcBorders>
              <w:top w:val="outset" w:sz="6" w:space="0" w:color="auto"/>
              <w:left w:val="outset" w:sz="6" w:space="0" w:color="auto"/>
              <w:bottom w:val="outset" w:sz="6" w:space="0" w:color="auto"/>
              <w:right w:val="outset" w:sz="6" w:space="0" w:color="auto"/>
            </w:tcBorders>
            <w:vAlign w:val="center"/>
            <w:hideMark/>
          </w:tcPr>
          <w:p w14:paraId="124DBD62" w14:textId="77777777" w:rsidR="00EC322A" w:rsidRPr="00767B8B" w:rsidRDefault="00EC322A" w:rsidP="00EC322A">
            <w:pPr>
              <w:jc w:val="center"/>
              <w:rPr>
                <w:rFonts w:cs="Times New Roman"/>
                <w:b/>
                <w:bCs/>
                <w:sz w:val="24"/>
                <w:szCs w:val="24"/>
                <w:lang w:val="lv-LV"/>
              </w:rPr>
            </w:pPr>
            <w:r w:rsidRPr="00767B8B">
              <w:rPr>
                <w:rFonts w:cs="Times New Roman"/>
                <w:b/>
                <w:bCs/>
                <w:sz w:val="24"/>
                <w:szCs w:val="24"/>
                <w:lang w:val="lv-LV"/>
              </w:rPr>
              <w:t>I. Tiesību akta projekta izstrādes nepieciešamība</w:t>
            </w:r>
          </w:p>
        </w:tc>
      </w:tr>
      <w:tr w:rsidR="00EC322A" w:rsidRPr="002A2F7B" w14:paraId="27C3C120" w14:textId="77777777" w:rsidTr="00764DB6">
        <w:trPr>
          <w:trHeight w:val="405"/>
          <w:tblCellSpacing w:w="15" w:type="dxa"/>
        </w:trPr>
        <w:tc>
          <w:tcPr>
            <w:tcW w:w="227" w:type="pct"/>
            <w:tcBorders>
              <w:top w:val="outset" w:sz="6" w:space="0" w:color="auto"/>
              <w:left w:val="outset" w:sz="6" w:space="0" w:color="auto"/>
              <w:bottom w:val="outset" w:sz="6" w:space="0" w:color="auto"/>
              <w:right w:val="outset" w:sz="6" w:space="0" w:color="auto"/>
            </w:tcBorders>
            <w:hideMark/>
          </w:tcPr>
          <w:p w14:paraId="4B192F02" w14:textId="77777777" w:rsidR="00EC322A" w:rsidRPr="00767B8B" w:rsidRDefault="00EC322A" w:rsidP="00EC322A">
            <w:pPr>
              <w:rPr>
                <w:rFonts w:cs="Times New Roman"/>
                <w:sz w:val="24"/>
                <w:szCs w:val="24"/>
                <w:lang w:val="lv-LV"/>
              </w:rPr>
            </w:pPr>
            <w:r w:rsidRPr="00767B8B">
              <w:rPr>
                <w:rFonts w:cs="Times New Roman"/>
                <w:sz w:val="24"/>
                <w:szCs w:val="24"/>
                <w:lang w:val="lv-LV"/>
              </w:rPr>
              <w:t>1.</w:t>
            </w:r>
          </w:p>
        </w:tc>
        <w:tc>
          <w:tcPr>
            <w:tcW w:w="1410" w:type="pct"/>
            <w:tcBorders>
              <w:top w:val="outset" w:sz="6" w:space="0" w:color="auto"/>
              <w:left w:val="outset" w:sz="6" w:space="0" w:color="auto"/>
              <w:bottom w:val="outset" w:sz="6" w:space="0" w:color="auto"/>
              <w:right w:val="outset" w:sz="6" w:space="0" w:color="auto"/>
            </w:tcBorders>
            <w:hideMark/>
          </w:tcPr>
          <w:p w14:paraId="202D2E54" w14:textId="77777777" w:rsidR="00EC322A" w:rsidRPr="00767B8B" w:rsidRDefault="00EC322A" w:rsidP="00EC322A">
            <w:pPr>
              <w:rPr>
                <w:rFonts w:cs="Times New Roman"/>
                <w:sz w:val="24"/>
                <w:szCs w:val="24"/>
                <w:lang w:val="lv-LV"/>
              </w:rPr>
            </w:pPr>
            <w:r w:rsidRPr="00767B8B">
              <w:rPr>
                <w:rFonts w:cs="Times New Roman"/>
                <w:sz w:val="24"/>
                <w:szCs w:val="24"/>
                <w:lang w:val="lv-LV"/>
              </w:rPr>
              <w:t>Pamatojums</w:t>
            </w:r>
          </w:p>
        </w:tc>
        <w:tc>
          <w:tcPr>
            <w:tcW w:w="3295" w:type="pct"/>
            <w:tcBorders>
              <w:top w:val="outset" w:sz="6" w:space="0" w:color="auto"/>
              <w:left w:val="outset" w:sz="6" w:space="0" w:color="auto"/>
              <w:bottom w:val="outset" w:sz="6" w:space="0" w:color="auto"/>
              <w:right w:val="outset" w:sz="6" w:space="0" w:color="auto"/>
            </w:tcBorders>
            <w:hideMark/>
          </w:tcPr>
          <w:p w14:paraId="005714C0" w14:textId="499AA330" w:rsidR="00EC322A" w:rsidRPr="00767B8B" w:rsidRDefault="00F17BDF" w:rsidP="00C51A2D">
            <w:pPr>
              <w:jc w:val="both"/>
              <w:rPr>
                <w:rFonts w:cs="Times New Roman"/>
                <w:sz w:val="24"/>
                <w:szCs w:val="24"/>
                <w:lang w:val="lv-LV"/>
              </w:rPr>
            </w:pPr>
            <w:r w:rsidRPr="00767B8B">
              <w:rPr>
                <w:rFonts w:cs="Times New Roman"/>
                <w:sz w:val="24"/>
                <w:szCs w:val="24"/>
                <w:lang w:val="lv-LV"/>
              </w:rPr>
              <w:t xml:space="preserve">   </w:t>
            </w:r>
            <w:r w:rsidR="00BF4575" w:rsidRPr="00767B8B">
              <w:rPr>
                <w:rFonts w:cs="Times New Roman"/>
                <w:sz w:val="24"/>
                <w:szCs w:val="24"/>
                <w:lang w:val="lv-LV"/>
              </w:rPr>
              <w:t>Likumprojekts “</w:t>
            </w:r>
            <w:r w:rsidR="00CD3B94" w:rsidRPr="00767B8B">
              <w:rPr>
                <w:rFonts w:cs="Times New Roman"/>
                <w:sz w:val="24"/>
                <w:szCs w:val="24"/>
                <w:lang w:val="lv-LV"/>
              </w:rPr>
              <w:t>Grozījumi Valsts un pašvaldību institūciju amatpersonu un darbinieku atlīdzības likumā</w:t>
            </w:r>
            <w:r w:rsidR="00BF4575" w:rsidRPr="00767B8B">
              <w:rPr>
                <w:rFonts w:cs="Times New Roman"/>
                <w:sz w:val="24"/>
                <w:szCs w:val="24"/>
                <w:lang w:val="lv-LV"/>
              </w:rPr>
              <w:t>”</w:t>
            </w:r>
            <w:r w:rsidR="00CA4712" w:rsidRPr="00767B8B">
              <w:rPr>
                <w:rFonts w:cs="Times New Roman"/>
                <w:sz w:val="24"/>
                <w:szCs w:val="24"/>
                <w:lang w:val="lv-LV"/>
              </w:rPr>
              <w:t xml:space="preserve"> (turpmāk</w:t>
            </w:r>
            <w:r w:rsidR="00B65F36">
              <w:rPr>
                <w:rFonts w:cs="Times New Roman"/>
                <w:sz w:val="24"/>
                <w:szCs w:val="24"/>
                <w:lang w:val="lv-LV"/>
              </w:rPr>
              <w:t xml:space="preserve"> </w:t>
            </w:r>
            <w:r w:rsidR="00CA4712" w:rsidRPr="00767B8B">
              <w:rPr>
                <w:rFonts w:cs="Times New Roman"/>
                <w:sz w:val="24"/>
                <w:szCs w:val="24"/>
                <w:lang w:val="lv-LV"/>
              </w:rPr>
              <w:t xml:space="preserve">- </w:t>
            </w:r>
            <w:r w:rsidR="00BF4575" w:rsidRPr="00767B8B">
              <w:rPr>
                <w:rFonts w:cs="Times New Roman"/>
                <w:sz w:val="24"/>
                <w:szCs w:val="24"/>
                <w:lang w:val="lv-LV"/>
              </w:rPr>
              <w:t xml:space="preserve">likumprojekts) sagatavots, lai </w:t>
            </w:r>
            <w:r w:rsidR="00C51A2D" w:rsidRPr="00767B8B">
              <w:rPr>
                <w:rFonts w:cs="Times New Roman"/>
                <w:sz w:val="24"/>
                <w:szCs w:val="24"/>
                <w:lang w:val="lv-LV"/>
              </w:rPr>
              <w:t>izpildītu</w:t>
            </w:r>
            <w:r w:rsidR="00BF4575" w:rsidRPr="00767B8B">
              <w:rPr>
                <w:rFonts w:cs="Times New Roman"/>
                <w:sz w:val="24"/>
                <w:szCs w:val="24"/>
                <w:lang w:val="lv-LV"/>
              </w:rPr>
              <w:t xml:space="preserve"> </w:t>
            </w:r>
            <w:r w:rsidR="00C36A9C" w:rsidRPr="00767B8B">
              <w:rPr>
                <w:rFonts w:cs="Times New Roman"/>
                <w:sz w:val="24"/>
                <w:szCs w:val="24"/>
                <w:lang w:val="lv-LV"/>
              </w:rPr>
              <w:t xml:space="preserve">Ministru kabineta 2016.gada 18.augusta ārkārtas sēdē nolemto (Nr.41, </w:t>
            </w:r>
            <w:r w:rsidR="007F53FC" w:rsidRPr="00767B8B">
              <w:rPr>
                <w:rFonts w:cs="Times New Roman"/>
                <w:sz w:val="24"/>
                <w:szCs w:val="24"/>
                <w:lang w:val="lv-LV"/>
              </w:rPr>
              <w:t>5</w:t>
            </w:r>
            <w:r w:rsidR="00C36A9C" w:rsidRPr="00767B8B">
              <w:rPr>
                <w:rFonts w:cs="Times New Roman"/>
                <w:sz w:val="24"/>
                <w:szCs w:val="24"/>
                <w:lang w:val="lv-LV"/>
              </w:rPr>
              <w:t>.§</w:t>
            </w:r>
            <w:r w:rsidR="007F53FC" w:rsidRPr="00767B8B">
              <w:rPr>
                <w:rFonts w:cs="Times New Roman"/>
                <w:sz w:val="24"/>
                <w:szCs w:val="24"/>
                <w:lang w:val="lv-LV"/>
              </w:rPr>
              <w:t xml:space="preserve"> 22.punkts</w:t>
            </w:r>
            <w:r w:rsidR="00C36A9C" w:rsidRPr="00767B8B">
              <w:rPr>
                <w:rFonts w:cs="Times New Roman"/>
                <w:sz w:val="24"/>
                <w:szCs w:val="24"/>
                <w:lang w:val="lv-LV"/>
              </w:rPr>
              <w:t xml:space="preserve">) saistībā ar minimālās mēneša darba alga palielināšanu </w:t>
            </w:r>
            <w:r w:rsidR="00B65F36">
              <w:rPr>
                <w:rFonts w:cs="Times New Roman"/>
                <w:sz w:val="24"/>
                <w:szCs w:val="24"/>
                <w:lang w:val="lv-LV"/>
              </w:rPr>
              <w:t xml:space="preserve">no 370 </w:t>
            </w:r>
            <w:proofErr w:type="spellStart"/>
            <w:r w:rsidR="00B65F36">
              <w:rPr>
                <w:rFonts w:cs="Times New Roman"/>
                <w:sz w:val="24"/>
                <w:szCs w:val="24"/>
                <w:lang w:val="lv-LV"/>
              </w:rPr>
              <w:t>euro</w:t>
            </w:r>
            <w:proofErr w:type="spellEnd"/>
            <w:r w:rsidR="00B65F36">
              <w:rPr>
                <w:rFonts w:cs="Times New Roman"/>
                <w:sz w:val="24"/>
                <w:szCs w:val="24"/>
                <w:lang w:val="lv-LV"/>
              </w:rPr>
              <w:t xml:space="preserve"> </w:t>
            </w:r>
            <w:r w:rsidR="00C36A9C" w:rsidRPr="00767B8B">
              <w:rPr>
                <w:rFonts w:cs="Times New Roman"/>
                <w:sz w:val="24"/>
                <w:szCs w:val="24"/>
                <w:lang w:val="lv-LV"/>
              </w:rPr>
              <w:t xml:space="preserve">līdz 380 </w:t>
            </w:r>
            <w:proofErr w:type="spellStart"/>
            <w:r w:rsidR="00C36A9C" w:rsidRPr="00767B8B">
              <w:rPr>
                <w:rFonts w:cs="Times New Roman"/>
                <w:sz w:val="24"/>
                <w:szCs w:val="24"/>
                <w:lang w:val="lv-LV"/>
              </w:rPr>
              <w:t>euro</w:t>
            </w:r>
            <w:proofErr w:type="spellEnd"/>
            <w:r w:rsidR="00C36A9C" w:rsidRPr="00767B8B">
              <w:rPr>
                <w:rFonts w:cs="Times New Roman"/>
                <w:sz w:val="24"/>
                <w:szCs w:val="24"/>
                <w:lang w:val="lv-LV"/>
              </w:rPr>
              <w:t xml:space="preserve"> </w:t>
            </w:r>
            <w:r w:rsidR="007F53FC" w:rsidRPr="00767B8B">
              <w:rPr>
                <w:rFonts w:cs="Times New Roman"/>
                <w:sz w:val="24"/>
                <w:szCs w:val="24"/>
                <w:lang w:val="lv-LV"/>
              </w:rPr>
              <w:t xml:space="preserve">un zemāko mēnešalgu izlīdzināšanu </w:t>
            </w:r>
            <w:r w:rsidR="00C36A9C" w:rsidRPr="00767B8B">
              <w:rPr>
                <w:rFonts w:cs="Times New Roman"/>
                <w:sz w:val="24"/>
                <w:szCs w:val="24"/>
                <w:lang w:val="lv-LV"/>
              </w:rPr>
              <w:t>ar 2017.gada 1.janvāri</w:t>
            </w:r>
            <w:r w:rsidR="00C51A2D" w:rsidRPr="00767B8B">
              <w:rPr>
                <w:rFonts w:cs="Times New Roman"/>
                <w:sz w:val="24"/>
                <w:szCs w:val="24"/>
                <w:lang w:val="lv-LV"/>
              </w:rPr>
              <w:t>, Finanšu ministrijai doto uzdevumu - sagatavot un līdz 2016.gada 1. decembrim iesniegt Ministru kabinetā attiecīgus grozījumus normatīvajos aktos.</w:t>
            </w:r>
          </w:p>
        </w:tc>
      </w:tr>
      <w:tr w:rsidR="00EC322A" w:rsidRPr="002A2F7B" w14:paraId="4AB7CDD8" w14:textId="77777777" w:rsidTr="00764DB6">
        <w:trPr>
          <w:trHeight w:val="465"/>
          <w:tblCellSpacing w:w="15" w:type="dxa"/>
        </w:trPr>
        <w:tc>
          <w:tcPr>
            <w:tcW w:w="227" w:type="pct"/>
            <w:tcBorders>
              <w:top w:val="outset" w:sz="6" w:space="0" w:color="auto"/>
              <w:left w:val="outset" w:sz="6" w:space="0" w:color="auto"/>
              <w:bottom w:val="outset" w:sz="6" w:space="0" w:color="auto"/>
              <w:right w:val="outset" w:sz="6" w:space="0" w:color="auto"/>
            </w:tcBorders>
            <w:hideMark/>
          </w:tcPr>
          <w:p w14:paraId="1BD4A505" w14:textId="77777777" w:rsidR="00EC322A" w:rsidRPr="00767B8B" w:rsidRDefault="00EC322A" w:rsidP="00EC322A">
            <w:pPr>
              <w:rPr>
                <w:rFonts w:cs="Times New Roman"/>
                <w:sz w:val="24"/>
                <w:szCs w:val="24"/>
                <w:lang w:val="lv-LV"/>
              </w:rPr>
            </w:pPr>
            <w:r w:rsidRPr="00767B8B">
              <w:rPr>
                <w:rFonts w:cs="Times New Roman"/>
                <w:sz w:val="24"/>
                <w:szCs w:val="24"/>
                <w:lang w:val="lv-LV"/>
              </w:rPr>
              <w:t>2.</w:t>
            </w:r>
          </w:p>
        </w:tc>
        <w:tc>
          <w:tcPr>
            <w:tcW w:w="1410" w:type="pct"/>
            <w:tcBorders>
              <w:top w:val="outset" w:sz="6" w:space="0" w:color="auto"/>
              <w:left w:val="outset" w:sz="6" w:space="0" w:color="auto"/>
              <w:bottom w:val="outset" w:sz="6" w:space="0" w:color="auto"/>
              <w:right w:val="outset" w:sz="6" w:space="0" w:color="auto"/>
            </w:tcBorders>
            <w:hideMark/>
          </w:tcPr>
          <w:p w14:paraId="47CB821D" w14:textId="77777777" w:rsidR="00EC322A" w:rsidRPr="00767B8B" w:rsidRDefault="00EC322A" w:rsidP="00EC322A">
            <w:pPr>
              <w:rPr>
                <w:rFonts w:cs="Times New Roman"/>
                <w:sz w:val="24"/>
                <w:szCs w:val="24"/>
                <w:lang w:val="lv-LV"/>
              </w:rPr>
            </w:pPr>
            <w:r w:rsidRPr="00767B8B">
              <w:rPr>
                <w:rFonts w:cs="Times New Roman"/>
                <w:sz w:val="24"/>
                <w:szCs w:val="24"/>
                <w:lang w:val="lv-LV"/>
              </w:rPr>
              <w:t>Pašreizējā situācija un problēmas, kuru risināšanai tiesību akta projekts izstrādāts, tiesiskā regulējuma mērķis un būtība</w:t>
            </w:r>
          </w:p>
        </w:tc>
        <w:tc>
          <w:tcPr>
            <w:tcW w:w="3295" w:type="pct"/>
            <w:tcBorders>
              <w:top w:val="outset" w:sz="6" w:space="0" w:color="auto"/>
              <w:left w:val="outset" w:sz="6" w:space="0" w:color="auto"/>
              <w:bottom w:val="outset" w:sz="6" w:space="0" w:color="auto"/>
              <w:right w:val="outset" w:sz="6" w:space="0" w:color="auto"/>
            </w:tcBorders>
          </w:tcPr>
          <w:p w14:paraId="654B6F72" w14:textId="77777777" w:rsidR="00C36A9C" w:rsidRPr="00767B8B" w:rsidRDefault="00C36A9C" w:rsidP="00C36A9C">
            <w:pPr>
              <w:jc w:val="both"/>
              <w:rPr>
                <w:rFonts w:cs="Times New Roman"/>
                <w:sz w:val="24"/>
                <w:szCs w:val="24"/>
                <w:lang w:val="lv-LV"/>
              </w:rPr>
            </w:pPr>
            <w:r w:rsidRPr="00767B8B">
              <w:rPr>
                <w:rFonts w:cs="Times New Roman"/>
                <w:sz w:val="24"/>
                <w:szCs w:val="24"/>
                <w:lang w:val="lv-LV"/>
              </w:rPr>
              <w:t>Šobrīd Valsts un pašvaldību institūciju amatpersonu un darbinieku atlīdzības likuma</w:t>
            </w:r>
            <w:r w:rsidR="00296207">
              <w:rPr>
                <w:rFonts w:cs="Times New Roman"/>
                <w:sz w:val="24"/>
                <w:szCs w:val="24"/>
                <w:lang w:val="lv-LV"/>
              </w:rPr>
              <w:t xml:space="preserve"> (turpmāk – atlīdzības likums)</w:t>
            </w:r>
            <w:r w:rsidRPr="00767B8B">
              <w:rPr>
                <w:rFonts w:cs="Times New Roman"/>
                <w:sz w:val="24"/>
                <w:szCs w:val="24"/>
                <w:lang w:val="lv-LV"/>
              </w:rPr>
              <w:t xml:space="preserve"> 3.pielikumā ir noteiktas amatpersonu un darbinieku maksimālās mēnešalgas atbilstoši to ieņemamajiem amatiem noteiktajām mēnešalgu grupām.</w:t>
            </w:r>
          </w:p>
          <w:p w14:paraId="19FF4B3F" w14:textId="77777777" w:rsidR="00C36A9C" w:rsidRDefault="00C36A9C" w:rsidP="00C36A9C">
            <w:pPr>
              <w:jc w:val="both"/>
              <w:rPr>
                <w:rFonts w:cs="Times New Roman"/>
                <w:sz w:val="24"/>
                <w:szCs w:val="24"/>
                <w:lang w:val="lv-LV"/>
              </w:rPr>
            </w:pPr>
            <w:r w:rsidRPr="00767B8B">
              <w:rPr>
                <w:rFonts w:cs="Times New Roman"/>
                <w:sz w:val="24"/>
                <w:szCs w:val="24"/>
                <w:lang w:val="lv-LV"/>
              </w:rPr>
              <w:t>L</w:t>
            </w:r>
            <w:r w:rsidR="007F53FC" w:rsidRPr="00767B8B">
              <w:rPr>
                <w:rFonts w:cs="Times New Roman"/>
                <w:sz w:val="24"/>
                <w:szCs w:val="24"/>
                <w:lang w:val="lv-LV"/>
              </w:rPr>
              <w:t>ai nodrošinātu Ministru kabineta sēdē nolemto</w:t>
            </w:r>
            <w:r w:rsidR="000E074D" w:rsidRPr="00767B8B">
              <w:rPr>
                <w:rFonts w:cs="Times New Roman"/>
                <w:sz w:val="24"/>
                <w:szCs w:val="24"/>
                <w:lang w:val="lv-LV"/>
              </w:rPr>
              <w:t xml:space="preserve"> saistībā ar minimālās mēneša darba algas palielināšanu ar 2017.gada 1.janvāri,</w:t>
            </w:r>
            <w:r w:rsidR="007F53FC" w:rsidRPr="00767B8B">
              <w:rPr>
                <w:rFonts w:cs="Times New Roman"/>
                <w:sz w:val="24"/>
                <w:szCs w:val="24"/>
                <w:lang w:val="lv-LV"/>
              </w:rPr>
              <w:t xml:space="preserve"> nepieciešams izstrādāt grozījumus </w:t>
            </w:r>
            <w:r w:rsidR="00F17BDF" w:rsidRPr="00767B8B">
              <w:rPr>
                <w:rFonts w:cs="Times New Roman"/>
                <w:sz w:val="24"/>
                <w:szCs w:val="24"/>
                <w:lang w:val="lv-LV"/>
              </w:rPr>
              <w:t>atlīdzības likumā</w:t>
            </w:r>
            <w:r w:rsidR="00B65F36">
              <w:rPr>
                <w:rFonts w:cs="Times New Roman"/>
                <w:sz w:val="24"/>
                <w:szCs w:val="24"/>
                <w:lang w:val="lv-LV"/>
              </w:rPr>
              <w:t>,</w:t>
            </w:r>
            <w:r w:rsidR="007F53FC" w:rsidRPr="00767B8B">
              <w:rPr>
                <w:rFonts w:cs="Times New Roman"/>
                <w:sz w:val="24"/>
                <w:szCs w:val="24"/>
                <w:lang w:val="lv-LV"/>
              </w:rPr>
              <w:t xml:space="preserve"> </w:t>
            </w:r>
            <w:r w:rsidR="00F17BDF" w:rsidRPr="00767B8B">
              <w:rPr>
                <w:rFonts w:cs="Times New Roman"/>
                <w:sz w:val="24"/>
                <w:szCs w:val="24"/>
                <w:lang w:val="lv-LV"/>
              </w:rPr>
              <w:t>p</w:t>
            </w:r>
            <w:r w:rsidR="007F53FC" w:rsidRPr="00767B8B">
              <w:rPr>
                <w:rFonts w:cs="Times New Roman"/>
                <w:sz w:val="24"/>
                <w:szCs w:val="24"/>
                <w:lang w:val="lv-LV"/>
              </w:rPr>
              <w:t xml:space="preserve">ārskatot un </w:t>
            </w:r>
            <w:r w:rsidRPr="00767B8B">
              <w:rPr>
                <w:rFonts w:cs="Times New Roman"/>
                <w:sz w:val="24"/>
                <w:szCs w:val="24"/>
                <w:lang w:val="lv-LV"/>
              </w:rPr>
              <w:t>paaugstin</w:t>
            </w:r>
            <w:r w:rsidR="007F53FC" w:rsidRPr="00767B8B">
              <w:rPr>
                <w:rFonts w:cs="Times New Roman"/>
                <w:sz w:val="24"/>
                <w:szCs w:val="24"/>
                <w:lang w:val="lv-LV"/>
              </w:rPr>
              <w:t>o</w:t>
            </w:r>
            <w:r w:rsidRPr="00767B8B">
              <w:rPr>
                <w:rFonts w:cs="Times New Roman"/>
                <w:sz w:val="24"/>
                <w:szCs w:val="24"/>
                <w:lang w:val="lv-LV"/>
              </w:rPr>
              <w:t>t 3.pielikumā noteiktās mēnešalgu skalas zemāko mēnešalgu</w:t>
            </w:r>
            <w:r w:rsidR="00B65F36">
              <w:rPr>
                <w:rFonts w:cs="Times New Roman"/>
                <w:sz w:val="24"/>
                <w:szCs w:val="24"/>
                <w:lang w:val="lv-LV"/>
              </w:rPr>
              <w:t>,</w:t>
            </w:r>
            <w:r w:rsidR="007F53FC" w:rsidRPr="00767B8B">
              <w:rPr>
                <w:rFonts w:cs="Times New Roman"/>
                <w:sz w:val="24"/>
                <w:szCs w:val="24"/>
                <w:lang w:val="lv-LV"/>
              </w:rPr>
              <w:t xml:space="preserve"> </w:t>
            </w:r>
            <w:r w:rsidR="000E074D" w:rsidRPr="00767B8B">
              <w:rPr>
                <w:rFonts w:cs="Times New Roman"/>
                <w:sz w:val="24"/>
                <w:szCs w:val="24"/>
                <w:lang w:val="lv-LV"/>
              </w:rPr>
              <w:t xml:space="preserve">tādējādi </w:t>
            </w:r>
            <w:r w:rsidR="007F53FC" w:rsidRPr="00767B8B">
              <w:rPr>
                <w:rFonts w:cs="Times New Roman"/>
                <w:sz w:val="24"/>
                <w:szCs w:val="24"/>
                <w:lang w:val="lv-LV"/>
              </w:rPr>
              <w:t>nodrošinot zemāko mēnešalgu izlīdzināšanu</w:t>
            </w:r>
            <w:r w:rsidRPr="00767B8B">
              <w:rPr>
                <w:rFonts w:cs="Times New Roman"/>
                <w:sz w:val="24"/>
                <w:szCs w:val="24"/>
                <w:lang w:val="lv-LV"/>
              </w:rPr>
              <w:t xml:space="preserve">. </w:t>
            </w:r>
          </w:p>
          <w:p w14:paraId="5792B3BA" w14:textId="77777777" w:rsidR="003672AD" w:rsidRPr="00767B8B" w:rsidRDefault="003672AD" w:rsidP="00C36A9C">
            <w:pPr>
              <w:jc w:val="both"/>
              <w:rPr>
                <w:rFonts w:cs="Times New Roman"/>
                <w:sz w:val="24"/>
                <w:szCs w:val="24"/>
                <w:lang w:val="lv-LV"/>
              </w:rPr>
            </w:pPr>
          </w:p>
          <w:p w14:paraId="71F679C3" w14:textId="77777777" w:rsidR="00EB4F0A" w:rsidRDefault="00E21341" w:rsidP="00E21341">
            <w:pPr>
              <w:jc w:val="both"/>
              <w:rPr>
                <w:rFonts w:cs="Times New Roman"/>
                <w:sz w:val="24"/>
                <w:szCs w:val="24"/>
                <w:lang w:val="lv-LV"/>
              </w:rPr>
            </w:pPr>
            <w:r>
              <w:rPr>
                <w:rFonts w:cs="Times New Roman"/>
                <w:sz w:val="24"/>
                <w:szCs w:val="24"/>
                <w:lang w:val="lv-LV"/>
              </w:rPr>
              <w:t xml:space="preserve">Šobrīd </w:t>
            </w:r>
            <w:r w:rsidR="002A7020">
              <w:rPr>
                <w:rFonts w:cs="Times New Roman"/>
                <w:sz w:val="24"/>
                <w:szCs w:val="24"/>
                <w:lang w:val="lv-LV"/>
              </w:rPr>
              <w:t xml:space="preserve">atlīdzības </w:t>
            </w:r>
            <w:r>
              <w:rPr>
                <w:rFonts w:cs="Times New Roman"/>
                <w:sz w:val="24"/>
                <w:szCs w:val="24"/>
                <w:lang w:val="lv-LV"/>
              </w:rPr>
              <w:t>likumā noteikts, ka</w:t>
            </w:r>
            <w:r w:rsidRPr="00E21341">
              <w:rPr>
                <w:lang w:val="lv-LV"/>
              </w:rPr>
              <w:t xml:space="preserve"> </w:t>
            </w:r>
            <w:r>
              <w:rPr>
                <w:lang w:val="lv-LV"/>
              </w:rPr>
              <w:t>v</w:t>
            </w:r>
            <w:r w:rsidRPr="00E21341">
              <w:rPr>
                <w:rFonts w:cs="Times New Roman"/>
                <w:sz w:val="24"/>
                <w:szCs w:val="24"/>
                <w:lang w:val="lv-LV"/>
              </w:rPr>
              <w:t>alsts vai pašvaldības institūcija tai piešķirto finanšu līdzekļu ietvaros iekšējos normatīvajos aktos, pašvaldības saistošajos noteikumos, darba koplīgumos vai darba līgumos amatpersonām (darbiniekiem) var paredzēt</w:t>
            </w:r>
            <w:r w:rsidRPr="00E21341">
              <w:rPr>
                <w:lang w:val="lv-LV"/>
              </w:rPr>
              <w:t xml:space="preserve"> </w:t>
            </w:r>
            <w:r w:rsidRPr="00E21341">
              <w:rPr>
                <w:rFonts w:cs="Times New Roman"/>
                <w:sz w:val="24"/>
                <w:szCs w:val="24"/>
                <w:lang w:val="lv-LV"/>
              </w:rPr>
              <w:t>pabalstu līdz 50 procentiem no mēnešalgas vienu reizi kalendāra gadā amatpersonai (darbiniekam), kuras apgādībā ir bērns invalīds līdz 18 gadu vecumam</w:t>
            </w:r>
            <w:r>
              <w:rPr>
                <w:rFonts w:cs="Times New Roman"/>
                <w:sz w:val="24"/>
                <w:szCs w:val="24"/>
                <w:lang w:val="lv-LV"/>
              </w:rPr>
              <w:t xml:space="preserve">. </w:t>
            </w:r>
            <w:r w:rsidR="000E074D" w:rsidRPr="00767B8B">
              <w:rPr>
                <w:rFonts w:cs="Times New Roman"/>
                <w:sz w:val="24"/>
                <w:szCs w:val="24"/>
                <w:lang w:val="lv-LV"/>
              </w:rPr>
              <w:t xml:space="preserve">Lai nodrošinātu sociālo taisnīgumu un viennozīmīgu </w:t>
            </w:r>
            <w:r w:rsidR="002A7020">
              <w:rPr>
                <w:rFonts w:cs="Times New Roman"/>
                <w:sz w:val="24"/>
                <w:szCs w:val="24"/>
                <w:lang w:val="lv-LV"/>
              </w:rPr>
              <w:t xml:space="preserve">atlīdzības </w:t>
            </w:r>
            <w:r w:rsidR="000E074D" w:rsidRPr="00767B8B">
              <w:rPr>
                <w:rFonts w:cs="Times New Roman"/>
                <w:sz w:val="24"/>
                <w:szCs w:val="24"/>
                <w:lang w:val="lv-LV"/>
              </w:rPr>
              <w:t>likuma normu interpretāciju, likumprojekts precizē 3.panta ceturtās daļas 7.punktu</w:t>
            </w:r>
            <w:r w:rsidR="00B65F36">
              <w:rPr>
                <w:rFonts w:cs="Times New Roman"/>
                <w:sz w:val="24"/>
                <w:szCs w:val="24"/>
                <w:lang w:val="lv-LV"/>
              </w:rPr>
              <w:t>,</w:t>
            </w:r>
            <w:r w:rsidR="000E074D" w:rsidRPr="00767B8B">
              <w:rPr>
                <w:rFonts w:cs="Times New Roman"/>
                <w:sz w:val="24"/>
                <w:szCs w:val="24"/>
                <w:lang w:val="lv-LV"/>
              </w:rPr>
              <w:t xml:space="preserve"> nosakot</w:t>
            </w:r>
            <w:r w:rsidR="00BC652A" w:rsidRPr="00767B8B">
              <w:rPr>
                <w:rFonts w:cs="Times New Roman"/>
                <w:sz w:val="24"/>
                <w:szCs w:val="24"/>
                <w:lang w:val="lv-LV"/>
              </w:rPr>
              <w:t>,</w:t>
            </w:r>
            <w:r w:rsidR="000E074D" w:rsidRPr="00767B8B">
              <w:rPr>
                <w:rFonts w:cs="Times New Roman"/>
                <w:sz w:val="24"/>
                <w:szCs w:val="24"/>
                <w:lang w:val="lv-LV"/>
              </w:rPr>
              <w:t xml:space="preserve"> ka pabalstu līdz 50 procentiem no mēnešalgas vienu reizi kalendāra gadā amatpersona (darbinieks</w:t>
            </w:r>
            <w:r w:rsidR="00BC652A" w:rsidRPr="00767B8B">
              <w:rPr>
                <w:rFonts w:cs="Times New Roman"/>
                <w:sz w:val="24"/>
                <w:szCs w:val="24"/>
                <w:lang w:val="lv-LV"/>
              </w:rPr>
              <w:t>)</w:t>
            </w:r>
            <w:r w:rsidR="000E074D" w:rsidRPr="00767B8B">
              <w:rPr>
                <w:rFonts w:cs="Times New Roman"/>
                <w:sz w:val="24"/>
                <w:szCs w:val="24"/>
                <w:lang w:val="lv-LV"/>
              </w:rPr>
              <w:t xml:space="preserve"> ir tiesīga saņemt par katru apgādībā esošu bērnu invalīdu līdz 18 gadu vecumam.</w:t>
            </w:r>
          </w:p>
          <w:p w14:paraId="2356E4C2" w14:textId="77777777" w:rsidR="003672AD" w:rsidRDefault="003672AD" w:rsidP="00E21341">
            <w:pPr>
              <w:jc w:val="both"/>
              <w:rPr>
                <w:rFonts w:cs="Times New Roman"/>
                <w:sz w:val="24"/>
                <w:szCs w:val="24"/>
                <w:lang w:val="lv-LV"/>
              </w:rPr>
            </w:pPr>
          </w:p>
          <w:p w14:paraId="1FCE9B3C" w14:textId="3A95D01E" w:rsidR="003672AD" w:rsidRPr="00460A8A" w:rsidRDefault="003672AD" w:rsidP="00E21341">
            <w:pPr>
              <w:jc w:val="both"/>
              <w:rPr>
                <w:rFonts w:cs="Times New Roman"/>
                <w:sz w:val="24"/>
                <w:szCs w:val="24"/>
                <w:lang w:val="lv-LV"/>
              </w:rPr>
            </w:pPr>
            <w:r w:rsidRPr="00460A8A">
              <w:rPr>
                <w:rFonts w:cs="Times New Roman"/>
                <w:sz w:val="24"/>
                <w:szCs w:val="24"/>
                <w:lang w:val="lv-LV"/>
              </w:rPr>
              <w:t>Šobrīd atlīdzības likumā noteikts, ka</w:t>
            </w:r>
            <w:r w:rsidRPr="00460A8A">
              <w:rPr>
                <w:lang w:val="lv-LV"/>
              </w:rPr>
              <w:t xml:space="preserve"> </w:t>
            </w:r>
            <w:r w:rsidRPr="00460A8A">
              <w:rPr>
                <w:rFonts w:cs="Times New Roman"/>
                <w:sz w:val="24"/>
                <w:szCs w:val="24"/>
                <w:lang w:val="lv-LV"/>
              </w:rPr>
              <w:t xml:space="preserve">Finanšu un kapitāla tirgus komisijas amatpersonu (darbinieku) mēnešalgu šīs institūcijas reglamentētajā kārtībā nosaka, ņemot vērā amata vērtību (atbildības līmeni un sarežģītību), konkrētās amatpersonas (darbinieka) individuālās kvalifikācijas un kompetenču novērtējumu, kā arī finanšu sektorā strādājošo </w:t>
            </w:r>
            <w:r w:rsidRPr="00460A8A">
              <w:rPr>
                <w:rFonts w:cs="Times New Roman"/>
                <w:sz w:val="24"/>
                <w:szCs w:val="24"/>
                <w:lang w:val="lv-LV"/>
              </w:rPr>
              <w:lastRenderedPageBreak/>
              <w:t xml:space="preserve">darba samaksu. Finanšu un kapitāla tirgus komisijas amatpersonu (darbinieku) mēnešalga nedrīkst pārsniegt Centrālās statistikas pārvaldes (turpmāk – CSP) oficiālajā statistikas paziņojumā publicēto finanšu un apdrošināšanas jomā strādājošo aizpagājušā gada mēneša vidējās darba samaksas apmēru, kas noapaļots pilnos </w:t>
            </w:r>
            <w:proofErr w:type="spellStart"/>
            <w:r w:rsidRPr="00460A8A">
              <w:rPr>
                <w:rFonts w:cs="Times New Roman"/>
                <w:sz w:val="24"/>
                <w:szCs w:val="24"/>
                <w:lang w:val="lv-LV"/>
              </w:rPr>
              <w:t>euro</w:t>
            </w:r>
            <w:proofErr w:type="spellEnd"/>
            <w:r w:rsidRPr="00460A8A">
              <w:rPr>
                <w:rFonts w:cs="Times New Roman"/>
                <w:sz w:val="24"/>
                <w:szCs w:val="24"/>
                <w:lang w:val="lv-LV"/>
              </w:rPr>
              <w:t xml:space="preserve"> un kam piemērots koeficients 4,95.</w:t>
            </w:r>
          </w:p>
          <w:p w14:paraId="6C38368C" w14:textId="56F8A31E" w:rsidR="003672AD" w:rsidRDefault="003672AD" w:rsidP="003672AD">
            <w:pPr>
              <w:jc w:val="both"/>
              <w:rPr>
                <w:rFonts w:cs="Times New Roman"/>
                <w:sz w:val="24"/>
                <w:szCs w:val="24"/>
                <w:lang w:val="lv-LV"/>
              </w:rPr>
            </w:pPr>
            <w:r w:rsidRPr="00460A8A">
              <w:rPr>
                <w:rFonts w:cs="Times New Roman"/>
                <w:sz w:val="24"/>
                <w:szCs w:val="24"/>
                <w:lang w:val="lv-LV"/>
              </w:rPr>
              <w:t xml:space="preserve">Ņemot vērā, ka citu neatkarīgo institūciju vadītāju mēnešalgas nosaka konkrētā apmērā - piemērojot CSP rādītājam noteiktu koeficientu, tad, lai nodrošinātu vienotu pieeju, likumprojekts paredz izteikt jaunā redakcijā </w:t>
            </w:r>
            <w:r w:rsidRPr="00460A8A">
              <w:rPr>
                <w:rFonts w:cs="Times New Roman"/>
                <w:sz w:val="24"/>
                <w:szCs w:val="24"/>
                <w:lang w:val="lv-LV"/>
              </w:rPr>
              <w:t>13.</w:t>
            </w:r>
            <w:r w:rsidRPr="00460A8A">
              <w:rPr>
                <w:rFonts w:cs="Times New Roman"/>
                <w:sz w:val="24"/>
                <w:szCs w:val="24"/>
                <w:vertAlign w:val="superscript"/>
                <w:lang w:val="lv-LV"/>
              </w:rPr>
              <w:t>2</w:t>
            </w:r>
            <w:r w:rsidRPr="00460A8A">
              <w:rPr>
                <w:rFonts w:cs="Times New Roman"/>
                <w:sz w:val="24"/>
                <w:szCs w:val="24"/>
                <w:lang w:val="lv-LV"/>
              </w:rPr>
              <w:t xml:space="preserve"> pantu </w:t>
            </w:r>
            <w:r w:rsidRPr="00460A8A">
              <w:rPr>
                <w:rFonts w:cs="Times New Roman"/>
                <w:sz w:val="24"/>
                <w:szCs w:val="24"/>
                <w:lang w:val="lv-LV"/>
              </w:rPr>
              <w:t xml:space="preserve">nosakot, ka </w:t>
            </w:r>
            <w:r w:rsidRPr="00460A8A">
              <w:rPr>
                <w:rFonts w:cs="Times New Roman"/>
                <w:sz w:val="24"/>
                <w:szCs w:val="24"/>
                <w:lang w:val="lv-LV"/>
              </w:rPr>
              <w:t xml:space="preserve">Finanšu un kapitāla tirgus komisijas priekšsēdētāja mēnešalgu nosaka Centrālās statistikas pārvaldes oficiālajā statistikas paziņojumā publicētajam finanšu un apdrošināšanas jomā strādājošo aizpagājušā gada mēneša vidējās darba samaksas apmēram, kas noapaļots pilnos </w:t>
            </w:r>
            <w:proofErr w:type="spellStart"/>
            <w:r w:rsidRPr="00460A8A">
              <w:rPr>
                <w:rFonts w:cs="Times New Roman"/>
                <w:sz w:val="24"/>
                <w:szCs w:val="24"/>
                <w:lang w:val="lv-LV"/>
              </w:rPr>
              <w:t>euro</w:t>
            </w:r>
            <w:proofErr w:type="spellEnd"/>
            <w:r w:rsidRPr="00460A8A">
              <w:rPr>
                <w:rFonts w:cs="Times New Roman"/>
                <w:sz w:val="24"/>
                <w:szCs w:val="24"/>
                <w:lang w:val="lv-LV"/>
              </w:rPr>
              <w:t>, piemērojot koeficientu 4,95.</w:t>
            </w:r>
            <w:r w:rsidRPr="00460A8A">
              <w:rPr>
                <w:rFonts w:cs="Times New Roman"/>
                <w:sz w:val="24"/>
                <w:szCs w:val="24"/>
                <w:lang w:val="lv-LV"/>
              </w:rPr>
              <w:t xml:space="preserve"> Savukārt c</w:t>
            </w:r>
            <w:r w:rsidRPr="00460A8A">
              <w:rPr>
                <w:rFonts w:cs="Times New Roman"/>
                <w:sz w:val="24"/>
                <w:szCs w:val="24"/>
                <w:lang w:val="lv-LV"/>
              </w:rPr>
              <w:t>itu Finanšu un kapitāla tirgus komisijas amatpersonu (darbinieku) mēnešalgu šīs institūcijas reglamentētajā kārtībā nosaka komisijas priekšsēdētājs, ņemot vērā konkrētā amata vērtību (atbildības līmeni un sarežģītību), konkrētās amatpersonas (darbinieka) individuālās kvalifikācijas un kompetenču novērtējumu, kā arī finanšu se</w:t>
            </w:r>
            <w:r w:rsidRPr="00460A8A">
              <w:rPr>
                <w:rFonts w:cs="Times New Roman"/>
                <w:sz w:val="24"/>
                <w:szCs w:val="24"/>
                <w:lang w:val="lv-LV"/>
              </w:rPr>
              <w:t>ktorā strādājošo darba samaksu</w:t>
            </w:r>
            <w:r w:rsidRPr="00460A8A">
              <w:rPr>
                <w:rFonts w:cs="Times New Roman"/>
                <w:sz w:val="24"/>
                <w:szCs w:val="24"/>
                <w:lang w:val="lv-LV"/>
              </w:rPr>
              <w:t>.</w:t>
            </w:r>
            <w:bookmarkStart w:id="0" w:name="_GoBack"/>
            <w:bookmarkEnd w:id="0"/>
          </w:p>
          <w:p w14:paraId="0929CAD4" w14:textId="77777777" w:rsidR="003672AD" w:rsidRDefault="003672AD" w:rsidP="003672AD">
            <w:pPr>
              <w:jc w:val="both"/>
              <w:rPr>
                <w:rFonts w:cs="Times New Roman"/>
                <w:sz w:val="24"/>
                <w:szCs w:val="24"/>
                <w:lang w:val="lv-LV"/>
              </w:rPr>
            </w:pPr>
          </w:p>
          <w:p w14:paraId="17AA31CB" w14:textId="77777777" w:rsidR="00E21341" w:rsidRDefault="00296207" w:rsidP="00E21341">
            <w:pPr>
              <w:jc w:val="both"/>
              <w:rPr>
                <w:rFonts w:cs="Times New Roman"/>
                <w:sz w:val="24"/>
                <w:szCs w:val="24"/>
                <w:lang w:val="lv-LV"/>
              </w:rPr>
            </w:pPr>
            <w:r w:rsidRPr="00296207">
              <w:rPr>
                <w:rFonts w:cs="Times New Roman"/>
                <w:sz w:val="24"/>
                <w:szCs w:val="24"/>
                <w:lang w:val="lv-LV"/>
              </w:rPr>
              <w:t>Ministru kabineta 2010.gada 21.jūnija noteikum</w:t>
            </w:r>
            <w:r>
              <w:rPr>
                <w:rFonts w:cs="Times New Roman"/>
                <w:sz w:val="24"/>
                <w:szCs w:val="24"/>
                <w:lang w:val="lv-LV"/>
              </w:rPr>
              <w:t>i</w:t>
            </w:r>
            <w:r w:rsidRPr="00296207">
              <w:rPr>
                <w:rFonts w:cs="Times New Roman"/>
                <w:sz w:val="24"/>
                <w:szCs w:val="24"/>
                <w:lang w:val="lv-LV"/>
              </w:rPr>
              <w:t xml:space="preserve"> Nr.541 “Noteikumi par valsts un pašvaldību institūciju amatpersonu un darbinie</w:t>
            </w:r>
            <w:r>
              <w:rPr>
                <w:rFonts w:cs="Times New Roman"/>
                <w:sz w:val="24"/>
                <w:szCs w:val="24"/>
                <w:lang w:val="lv-LV"/>
              </w:rPr>
              <w:t>ku atlīdzības uzskaites sistēmu</w:t>
            </w:r>
            <w:r w:rsidRPr="00296207">
              <w:rPr>
                <w:rFonts w:cs="Times New Roman"/>
                <w:sz w:val="24"/>
                <w:szCs w:val="24"/>
                <w:lang w:val="lv-LV"/>
              </w:rPr>
              <w:t>”</w:t>
            </w:r>
            <w:r>
              <w:rPr>
                <w:rFonts w:cs="Times New Roman"/>
                <w:sz w:val="24"/>
                <w:szCs w:val="24"/>
                <w:lang w:val="lv-LV"/>
              </w:rPr>
              <w:t>, kas izdoti uz atlīdzības likuma 3.panta astotās daļas pamata,</w:t>
            </w:r>
            <w:r w:rsidRPr="00296207">
              <w:rPr>
                <w:lang w:val="lv-LV"/>
              </w:rPr>
              <w:t xml:space="preserve"> </w:t>
            </w:r>
            <w:r w:rsidR="002A7020">
              <w:rPr>
                <w:rFonts w:cs="Times New Roman"/>
                <w:sz w:val="24"/>
                <w:szCs w:val="24"/>
                <w:lang w:val="lv-LV"/>
              </w:rPr>
              <w:t>nosaka valsts institūciju,</w:t>
            </w:r>
            <w:r w:rsidRPr="00296207">
              <w:rPr>
                <w:rFonts w:cs="Times New Roman"/>
                <w:sz w:val="24"/>
                <w:szCs w:val="24"/>
                <w:lang w:val="lv-LV"/>
              </w:rPr>
              <w:t xml:space="preserve"> valsts dibinātu augstskolu, valsts vai valsts dibinātu augstskolu zinātnisko institūtu, valsts un pašvaldību kapitālsabiedrību, publiski privāto kapitālsabiedrību un kapitālsabiedrību, kurās valsts, pašvaldības vai publiski privātajai kapitālsabiedrībai pieder visas kapitāla daļas, Liepājas speciālās ekonomiskās zonas, ostu un brīvostu pārvalžu un pašvaldību amatpersonu (darbinieku) atlīdzības uzskaites sistēmu (datubāzi), kā arī valsts tiešās pārvaldes iestāžu amatpersonu (darbinieku) personu uzskaites sistēmu (datubāzi)</w:t>
            </w:r>
            <w:r>
              <w:rPr>
                <w:rFonts w:cs="Times New Roman"/>
                <w:sz w:val="24"/>
                <w:szCs w:val="24"/>
                <w:lang w:val="lv-LV"/>
              </w:rPr>
              <w:t>.</w:t>
            </w:r>
          </w:p>
          <w:p w14:paraId="296960EB" w14:textId="66E7F02B" w:rsidR="00E21341" w:rsidRPr="00767B8B" w:rsidRDefault="00296207" w:rsidP="002A2F7B">
            <w:pPr>
              <w:jc w:val="both"/>
              <w:rPr>
                <w:rFonts w:cs="Times New Roman"/>
                <w:sz w:val="24"/>
                <w:szCs w:val="24"/>
                <w:lang w:val="lv-LV"/>
              </w:rPr>
            </w:pPr>
            <w:r>
              <w:rPr>
                <w:rFonts w:cs="Times New Roman"/>
                <w:sz w:val="24"/>
                <w:szCs w:val="24"/>
                <w:lang w:val="lv-LV"/>
              </w:rPr>
              <w:t>Tādējādi uzskaites sistēmā</w:t>
            </w:r>
            <w:r w:rsidRPr="00296207">
              <w:rPr>
                <w:rFonts w:cs="Times New Roman"/>
                <w:sz w:val="24"/>
                <w:szCs w:val="24"/>
                <w:lang w:val="lv-LV"/>
              </w:rPr>
              <w:t xml:space="preserve"> (datubāz</w:t>
            </w:r>
            <w:r>
              <w:rPr>
                <w:rFonts w:cs="Times New Roman"/>
                <w:sz w:val="24"/>
                <w:szCs w:val="24"/>
                <w:lang w:val="lv-LV"/>
              </w:rPr>
              <w:t>ē</w:t>
            </w:r>
            <w:r w:rsidRPr="00296207">
              <w:rPr>
                <w:rFonts w:cs="Times New Roman"/>
                <w:sz w:val="24"/>
                <w:szCs w:val="24"/>
                <w:lang w:val="lv-LV"/>
              </w:rPr>
              <w:t>)</w:t>
            </w:r>
            <w:r w:rsidR="00D3757F">
              <w:rPr>
                <w:rFonts w:cs="Times New Roman"/>
                <w:sz w:val="24"/>
                <w:szCs w:val="24"/>
                <w:lang w:val="lv-LV"/>
              </w:rPr>
              <w:t xml:space="preserve"> šobrīd</w:t>
            </w:r>
            <w:r>
              <w:rPr>
                <w:rFonts w:cs="Times New Roman"/>
                <w:sz w:val="24"/>
                <w:szCs w:val="24"/>
                <w:lang w:val="lv-LV"/>
              </w:rPr>
              <w:t xml:space="preserve"> informāciju iesniedz </w:t>
            </w:r>
            <w:r w:rsidR="00D3757F">
              <w:rPr>
                <w:rFonts w:cs="Times New Roman"/>
                <w:sz w:val="24"/>
                <w:szCs w:val="24"/>
                <w:lang w:val="lv-LV"/>
              </w:rPr>
              <w:t>584 institūcijas. Lai nodrošinātu</w:t>
            </w:r>
            <w:r w:rsidR="002A2F7B">
              <w:rPr>
                <w:rFonts w:cs="Times New Roman"/>
                <w:sz w:val="24"/>
                <w:szCs w:val="24"/>
                <w:lang w:val="lv-LV"/>
              </w:rPr>
              <w:t xml:space="preserve"> </w:t>
            </w:r>
            <w:r w:rsidR="00E21341" w:rsidRPr="00E21341">
              <w:rPr>
                <w:rFonts w:cs="Times New Roman"/>
                <w:sz w:val="24"/>
                <w:szCs w:val="24"/>
                <w:lang w:val="lv-LV"/>
              </w:rPr>
              <w:t>ad</w:t>
            </w:r>
            <w:r w:rsidR="00D3757F">
              <w:rPr>
                <w:rFonts w:cs="Times New Roman"/>
                <w:sz w:val="24"/>
                <w:szCs w:val="24"/>
                <w:lang w:val="lv-LV"/>
              </w:rPr>
              <w:t>ministratīvā sloga samazināšanu un optimizētu informācijas apjomu, kas tiek saņemts uzskaites sistēmā</w:t>
            </w:r>
            <w:r w:rsidR="00D3757F" w:rsidRPr="00296207">
              <w:rPr>
                <w:rFonts w:cs="Times New Roman"/>
                <w:sz w:val="24"/>
                <w:szCs w:val="24"/>
                <w:lang w:val="lv-LV"/>
              </w:rPr>
              <w:t xml:space="preserve"> (datubāz</w:t>
            </w:r>
            <w:r w:rsidR="00D3757F">
              <w:rPr>
                <w:rFonts w:cs="Times New Roman"/>
                <w:sz w:val="24"/>
                <w:szCs w:val="24"/>
                <w:lang w:val="lv-LV"/>
              </w:rPr>
              <w:t>ē</w:t>
            </w:r>
            <w:r w:rsidR="00D3757F" w:rsidRPr="00296207">
              <w:rPr>
                <w:rFonts w:cs="Times New Roman"/>
                <w:sz w:val="24"/>
                <w:szCs w:val="24"/>
                <w:lang w:val="lv-LV"/>
              </w:rPr>
              <w:t>)</w:t>
            </w:r>
            <w:r w:rsidR="00D3757F">
              <w:rPr>
                <w:rFonts w:cs="Times New Roman"/>
                <w:sz w:val="24"/>
                <w:szCs w:val="24"/>
                <w:lang w:val="lv-LV"/>
              </w:rPr>
              <w:t>, likumprojekts paredz</w:t>
            </w:r>
            <w:r w:rsidR="003F777A">
              <w:rPr>
                <w:rFonts w:cs="Times New Roman"/>
                <w:sz w:val="24"/>
                <w:szCs w:val="24"/>
                <w:lang w:val="lv-LV"/>
              </w:rPr>
              <w:t xml:space="preserve">, ka turpmāk  Finanšu ministrija informāciju par valsts un pašvaldību </w:t>
            </w:r>
            <w:r w:rsidR="002A7020">
              <w:rPr>
                <w:rFonts w:cs="Times New Roman"/>
                <w:sz w:val="24"/>
                <w:szCs w:val="24"/>
                <w:lang w:val="lv-LV"/>
              </w:rPr>
              <w:t xml:space="preserve">kapitālsabiedrību </w:t>
            </w:r>
            <w:r w:rsidR="003F777A">
              <w:rPr>
                <w:rFonts w:cs="Times New Roman"/>
                <w:sz w:val="24"/>
                <w:szCs w:val="24"/>
                <w:lang w:val="lv-LV"/>
              </w:rPr>
              <w:t xml:space="preserve">valdes locekļu atlīdzību, izņemot </w:t>
            </w:r>
            <w:r w:rsidR="003F777A" w:rsidRPr="003F777A">
              <w:rPr>
                <w:rFonts w:cs="Times New Roman"/>
                <w:sz w:val="24"/>
                <w:szCs w:val="24"/>
                <w:lang w:val="lv-LV"/>
              </w:rPr>
              <w:t>valsts un pašvaldī</w:t>
            </w:r>
            <w:r w:rsidR="002A7020">
              <w:rPr>
                <w:rFonts w:cs="Times New Roman"/>
                <w:sz w:val="24"/>
                <w:szCs w:val="24"/>
                <w:lang w:val="lv-LV"/>
              </w:rPr>
              <w:t>bu kapitālsabiedrība</w:t>
            </w:r>
            <w:r w:rsidR="003F777A" w:rsidRPr="003F777A">
              <w:rPr>
                <w:rFonts w:cs="Times New Roman"/>
                <w:sz w:val="24"/>
                <w:szCs w:val="24"/>
                <w:lang w:val="lv-LV"/>
              </w:rPr>
              <w:t>s vai publiski privātās kapitālsabiedrīb</w:t>
            </w:r>
            <w:r w:rsidR="002A7020">
              <w:rPr>
                <w:rFonts w:cs="Times New Roman"/>
                <w:sz w:val="24"/>
                <w:szCs w:val="24"/>
                <w:lang w:val="lv-LV"/>
              </w:rPr>
              <w:t>a</w:t>
            </w:r>
            <w:r w:rsidR="003F777A" w:rsidRPr="003F777A">
              <w:rPr>
                <w:rFonts w:cs="Times New Roman"/>
                <w:sz w:val="24"/>
                <w:szCs w:val="24"/>
                <w:lang w:val="lv-LV"/>
              </w:rPr>
              <w:t>s, kas noslēgušas līgumu par sniedzamo veselības aprūpes pakalpojumu, un kuras sniedz no valsts vai pašvaldības budžeta apmaksātos veselības aprūpes pakalpojumus,</w:t>
            </w:r>
            <w:r w:rsidR="003F777A">
              <w:rPr>
                <w:rFonts w:cs="Times New Roman"/>
                <w:sz w:val="24"/>
                <w:szCs w:val="24"/>
                <w:lang w:val="lv-LV"/>
              </w:rPr>
              <w:t xml:space="preserve"> neapkopos</w:t>
            </w:r>
            <w:r w:rsidR="002A7020">
              <w:rPr>
                <w:rFonts w:cs="Times New Roman"/>
                <w:sz w:val="24"/>
                <w:szCs w:val="24"/>
                <w:lang w:val="lv-LV"/>
              </w:rPr>
              <w:t xml:space="preserve">, līdz ar to turpmāk </w:t>
            </w:r>
            <w:r w:rsidR="002A7020">
              <w:rPr>
                <w:rFonts w:cs="Times New Roman"/>
                <w:sz w:val="24"/>
                <w:szCs w:val="24"/>
                <w:lang w:val="lv-LV"/>
              </w:rPr>
              <w:lastRenderedPageBreak/>
              <w:t>informācija datu bāzē būs jāiesniedz 351 institūcijai</w:t>
            </w:r>
            <w:r w:rsidR="003F777A">
              <w:rPr>
                <w:rFonts w:cs="Times New Roman"/>
                <w:sz w:val="24"/>
                <w:szCs w:val="24"/>
                <w:lang w:val="lv-LV"/>
              </w:rPr>
              <w:t xml:space="preserve">. Tādējādi </w:t>
            </w:r>
            <w:r w:rsidR="00E862A2">
              <w:rPr>
                <w:rFonts w:cs="Times New Roman"/>
                <w:sz w:val="24"/>
                <w:szCs w:val="24"/>
                <w:lang w:val="lv-LV"/>
              </w:rPr>
              <w:t xml:space="preserve">233 institūcijas tiks atbrīvotas no datu iesniegšanas un </w:t>
            </w:r>
            <w:r w:rsidR="003F777A">
              <w:rPr>
                <w:rFonts w:cs="Times New Roman"/>
                <w:sz w:val="24"/>
                <w:szCs w:val="24"/>
                <w:lang w:val="lv-LV"/>
              </w:rPr>
              <w:t>uzskaites sistēmā</w:t>
            </w:r>
            <w:r w:rsidR="003F777A" w:rsidRPr="00296207">
              <w:rPr>
                <w:rFonts w:cs="Times New Roman"/>
                <w:sz w:val="24"/>
                <w:szCs w:val="24"/>
                <w:lang w:val="lv-LV"/>
              </w:rPr>
              <w:t xml:space="preserve"> (datubāz</w:t>
            </w:r>
            <w:r w:rsidR="003F777A">
              <w:rPr>
                <w:rFonts w:cs="Times New Roman"/>
                <w:sz w:val="24"/>
                <w:szCs w:val="24"/>
                <w:lang w:val="lv-LV"/>
              </w:rPr>
              <w:t>ē</w:t>
            </w:r>
            <w:r w:rsidR="003F777A" w:rsidRPr="00296207">
              <w:rPr>
                <w:rFonts w:cs="Times New Roman"/>
                <w:sz w:val="24"/>
                <w:szCs w:val="24"/>
                <w:lang w:val="lv-LV"/>
              </w:rPr>
              <w:t>)</w:t>
            </w:r>
            <w:r w:rsidR="003F777A">
              <w:rPr>
                <w:rFonts w:cs="Times New Roman"/>
                <w:sz w:val="24"/>
                <w:szCs w:val="24"/>
                <w:lang w:val="lv-LV"/>
              </w:rPr>
              <w:t xml:space="preserve"> tiks uzkrāta tikai tā informācija, kas šobrīd tiek izmantota finanšu aprēķiniem </w:t>
            </w:r>
            <w:r w:rsidR="00E862A2">
              <w:rPr>
                <w:rFonts w:cs="Times New Roman"/>
                <w:sz w:val="24"/>
                <w:szCs w:val="24"/>
                <w:lang w:val="lv-LV"/>
              </w:rPr>
              <w:t>valsts budžeta izstrādes procesā, kā arī</w:t>
            </w:r>
            <w:r w:rsidR="003F777A">
              <w:rPr>
                <w:rFonts w:cs="Times New Roman"/>
                <w:sz w:val="24"/>
                <w:szCs w:val="24"/>
                <w:lang w:val="lv-LV"/>
              </w:rPr>
              <w:t xml:space="preserve"> analītiskiem mērķiem. </w:t>
            </w:r>
          </w:p>
        </w:tc>
      </w:tr>
      <w:tr w:rsidR="00EC322A" w:rsidRPr="00767B8B" w14:paraId="3BBFDF9F" w14:textId="77777777" w:rsidTr="00764DB6">
        <w:trPr>
          <w:trHeight w:val="465"/>
          <w:tblCellSpacing w:w="15" w:type="dxa"/>
        </w:trPr>
        <w:tc>
          <w:tcPr>
            <w:tcW w:w="227" w:type="pct"/>
            <w:tcBorders>
              <w:top w:val="outset" w:sz="6" w:space="0" w:color="auto"/>
              <w:left w:val="outset" w:sz="6" w:space="0" w:color="auto"/>
              <w:bottom w:val="outset" w:sz="6" w:space="0" w:color="auto"/>
              <w:right w:val="outset" w:sz="6" w:space="0" w:color="auto"/>
            </w:tcBorders>
            <w:hideMark/>
          </w:tcPr>
          <w:p w14:paraId="0860B356" w14:textId="77777777" w:rsidR="00EC322A" w:rsidRPr="00767B8B" w:rsidRDefault="00EC322A" w:rsidP="00EC322A">
            <w:pPr>
              <w:rPr>
                <w:rFonts w:cs="Times New Roman"/>
                <w:sz w:val="24"/>
                <w:szCs w:val="24"/>
                <w:lang w:val="lv-LV"/>
              </w:rPr>
            </w:pPr>
            <w:r w:rsidRPr="00767B8B">
              <w:rPr>
                <w:rFonts w:cs="Times New Roman"/>
                <w:sz w:val="24"/>
                <w:szCs w:val="24"/>
                <w:lang w:val="lv-LV"/>
              </w:rPr>
              <w:lastRenderedPageBreak/>
              <w:t>3.</w:t>
            </w:r>
          </w:p>
        </w:tc>
        <w:tc>
          <w:tcPr>
            <w:tcW w:w="1410" w:type="pct"/>
            <w:tcBorders>
              <w:top w:val="outset" w:sz="6" w:space="0" w:color="auto"/>
              <w:left w:val="outset" w:sz="6" w:space="0" w:color="auto"/>
              <w:bottom w:val="outset" w:sz="6" w:space="0" w:color="auto"/>
              <w:right w:val="outset" w:sz="6" w:space="0" w:color="auto"/>
            </w:tcBorders>
            <w:hideMark/>
          </w:tcPr>
          <w:p w14:paraId="00CC91E2" w14:textId="77777777" w:rsidR="00EC322A" w:rsidRPr="00767B8B" w:rsidRDefault="00EC322A" w:rsidP="00EC322A">
            <w:pPr>
              <w:rPr>
                <w:rFonts w:cs="Times New Roman"/>
                <w:sz w:val="24"/>
                <w:szCs w:val="24"/>
                <w:lang w:val="lv-LV"/>
              </w:rPr>
            </w:pPr>
            <w:r w:rsidRPr="00767B8B">
              <w:rPr>
                <w:rFonts w:cs="Times New Roman"/>
                <w:sz w:val="24"/>
                <w:szCs w:val="24"/>
                <w:lang w:val="lv-LV"/>
              </w:rPr>
              <w:t>Projekta izstrādē iesaistītās institūcijas</w:t>
            </w:r>
          </w:p>
        </w:tc>
        <w:tc>
          <w:tcPr>
            <w:tcW w:w="3295" w:type="pct"/>
            <w:tcBorders>
              <w:top w:val="outset" w:sz="6" w:space="0" w:color="auto"/>
              <w:left w:val="outset" w:sz="6" w:space="0" w:color="auto"/>
              <w:bottom w:val="outset" w:sz="6" w:space="0" w:color="auto"/>
              <w:right w:val="outset" w:sz="6" w:space="0" w:color="auto"/>
            </w:tcBorders>
            <w:hideMark/>
          </w:tcPr>
          <w:p w14:paraId="430541F3" w14:textId="7760026C" w:rsidR="00EC322A" w:rsidRPr="00767B8B" w:rsidRDefault="009809EE" w:rsidP="00A6370C">
            <w:pPr>
              <w:rPr>
                <w:rFonts w:cs="Times New Roman"/>
                <w:sz w:val="24"/>
                <w:szCs w:val="24"/>
                <w:lang w:val="lv-LV"/>
              </w:rPr>
            </w:pPr>
            <w:r>
              <w:rPr>
                <w:rFonts w:cs="Times New Roman"/>
                <w:sz w:val="24"/>
                <w:szCs w:val="24"/>
                <w:lang w:val="lv-LV"/>
              </w:rPr>
              <w:t>Finanšu ministrija</w:t>
            </w:r>
            <w:r w:rsidR="0085256D">
              <w:rPr>
                <w:rFonts w:cs="Times New Roman"/>
                <w:sz w:val="24"/>
                <w:szCs w:val="24"/>
                <w:lang w:val="lv-LV"/>
              </w:rPr>
              <w:t xml:space="preserve">, </w:t>
            </w:r>
            <w:r w:rsidR="0085256D" w:rsidRPr="0085256D">
              <w:rPr>
                <w:rFonts w:cs="Times New Roman"/>
                <w:sz w:val="24"/>
                <w:szCs w:val="24"/>
                <w:lang w:val="lv-LV"/>
              </w:rPr>
              <w:t>Finanšu un kapitāla tirgus komisija</w:t>
            </w:r>
            <w:r w:rsidR="0085256D">
              <w:rPr>
                <w:rFonts w:cs="Times New Roman"/>
                <w:sz w:val="24"/>
                <w:szCs w:val="24"/>
                <w:lang w:val="lv-LV"/>
              </w:rPr>
              <w:t>.</w:t>
            </w:r>
          </w:p>
        </w:tc>
      </w:tr>
      <w:tr w:rsidR="00EC322A" w:rsidRPr="00767B8B" w14:paraId="125945D6" w14:textId="77777777" w:rsidTr="00764DB6">
        <w:trPr>
          <w:tblCellSpacing w:w="15" w:type="dxa"/>
        </w:trPr>
        <w:tc>
          <w:tcPr>
            <w:tcW w:w="227" w:type="pct"/>
            <w:tcBorders>
              <w:top w:val="outset" w:sz="6" w:space="0" w:color="auto"/>
              <w:left w:val="outset" w:sz="6" w:space="0" w:color="auto"/>
              <w:bottom w:val="outset" w:sz="6" w:space="0" w:color="auto"/>
              <w:right w:val="outset" w:sz="6" w:space="0" w:color="auto"/>
            </w:tcBorders>
            <w:hideMark/>
          </w:tcPr>
          <w:p w14:paraId="4AF29B9F" w14:textId="77777777" w:rsidR="00EC322A" w:rsidRPr="00767B8B" w:rsidRDefault="00EC322A" w:rsidP="00EC322A">
            <w:pPr>
              <w:rPr>
                <w:rFonts w:cs="Times New Roman"/>
                <w:sz w:val="24"/>
                <w:szCs w:val="24"/>
                <w:lang w:val="lv-LV"/>
              </w:rPr>
            </w:pPr>
            <w:r w:rsidRPr="00767B8B">
              <w:rPr>
                <w:rFonts w:cs="Times New Roman"/>
                <w:sz w:val="24"/>
                <w:szCs w:val="24"/>
                <w:lang w:val="lv-LV"/>
              </w:rPr>
              <w:t>4.</w:t>
            </w:r>
          </w:p>
        </w:tc>
        <w:tc>
          <w:tcPr>
            <w:tcW w:w="1410" w:type="pct"/>
            <w:tcBorders>
              <w:top w:val="outset" w:sz="6" w:space="0" w:color="auto"/>
              <w:left w:val="outset" w:sz="6" w:space="0" w:color="auto"/>
              <w:bottom w:val="outset" w:sz="6" w:space="0" w:color="auto"/>
              <w:right w:val="outset" w:sz="6" w:space="0" w:color="auto"/>
            </w:tcBorders>
            <w:hideMark/>
          </w:tcPr>
          <w:p w14:paraId="5848F9D4" w14:textId="77777777" w:rsidR="00EC322A" w:rsidRPr="00767B8B" w:rsidRDefault="00EC322A" w:rsidP="00EC322A">
            <w:pPr>
              <w:rPr>
                <w:rFonts w:cs="Times New Roman"/>
                <w:sz w:val="24"/>
                <w:szCs w:val="24"/>
                <w:lang w:val="lv-LV"/>
              </w:rPr>
            </w:pPr>
            <w:r w:rsidRPr="00767B8B">
              <w:rPr>
                <w:rFonts w:cs="Times New Roman"/>
                <w:sz w:val="24"/>
                <w:szCs w:val="24"/>
                <w:lang w:val="lv-LV"/>
              </w:rPr>
              <w:t>Cita informācija</w:t>
            </w:r>
          </w:p>
        </w:tc>
        <w:tc>
          <w:tcPr>
            <w:tcW w:w="3295" w:type="pct"/>
            <w:tcBorders>
              <w:top w:val="outset" w:sz="6" w:space="0" w:color="auto"/>
              <w:left w:val="outset" w:sz="6" w:space="0" w:color="auto"/>
              <w:bottom w:val="outset" w:sz="6" w:space="0" w:color="auto"/>
              <w:right w:val="outset" w:sz="6" w:space="0" w:color="auto"/>
            </w:tcBorders>
            <w:hideMark/>
          </w:tcPr>
          <w:p w14:paraId="02A51668" w14:textId="77777777" w:rsidR="00EC322A" w:rsidRPr="00767B8B" w:rsidRDefault="006F6014" w:rsidP="00B2489F">
            <w:pPr>
              <w:jc w:val="both"/>
              <w:rPr>
                <w:rFonts w:cs="Times New Roman"/>
                <w:sz w:val="24"/>
                <w:szCs w:val="24"/>
                <w:lang w:val="lv-LV"/>
              </w:rPr>
            </w:pPr>
            <w:r w:rsidRPr="00767B8B">
              <w:rPr>
                <w:rFonts w:cs="Times New Roman"/>
                <w:sz w:val="24"/>
                <w:szCs w:val="24"/>
                <w:lang w:val="lv-LV" w:eastAsia="lv-LV" w:bidi="ar-SA"/>
              </w:rPr>
              <w:t>Nav</w:t>
            </w:r>
          </w:p>
        </w:tc>
      </w:tr>
    </w:tbl>
    <w:p w14:paraId="05D8E31D" w14:textId="77777777" w:rsidR="00EC322A" w:rsidRPr="00767B8B" w:rsidRDefault="00EC322A" w:rsidP="00EC322A">
      <w:pPr>
        <w:rPr>
          <w:rFonts w:cs="Times New Roman"/>
          <w:sz w:val="24"/>
          <w:szCs w:val="24"/>
          <w:lang w:val="lv-LV"/>
        </w:rPr>
      </w:pPr>
      <w:r w:rsidRPr="00767B8B">
        <w:rPr>
          <w:rFonts w:cs="Times New Roman"/>
          <w:sz w:val="24"/>
          <w:szCs w:val="24"/>
          <w:lang w:val="lv-LV"/>
        </w:rPr>
        <w:t> </w:t>
      </w:r>
    </w:p>
    <w:tbl>
      <w:tblPr>
        <w:tblW w:w="5378"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47"/>
        <w:gridCol w:w="2529"/>
        <w:gridCol w:w="5947"/>
      </w:tblGrid>
      <w:tr w:rsidR="00EC322A" w:rsidRPr="002A2F7B" w14:paraId="09C5B456" w14:textId="77777777" w:rsidTr="00764DB6">
        <w:trPr>
          <w:trHeight w:val="555"/>
          <w:tblCellSpacing w:w="15" w:type="dxa"/>
        </w:trPr>
        <w:tc>
          <w:tcPr>
            <w:tcW w:w="4966" w:type="pct"/>
            <w:gridSpan w:val="3"/>
            <w:tcBorders>
              <w:top w:val="outset" w:sz="6" w:space="0" w:color="auto"/>
              <w:left w:val="outset" w:sz="6" w:space="0" w:color="auto"/>
              <w:bottom w:val="outset" w:sz="6" w:space="0" w:color="auto"/>
              <w:right w:val="outset" w:sz="6" w:space="0" w:color="auto"/>
            </w:tcBorders>
            <w:vAlign w:val="center"/>
            <w:hideMark/>
          </w:tcPr>
          <w:p w14:paraId="6C8D74C6" w14:textId="77777777" w:rsidR="00EC322A" w:rsidRPr="00767B8B" w:rsidRDefault="00EC322A" w:rsidP="00EC322A">
            <w:pPr>
              <w:jc w:val="center"/>
              <w:rPr>
                <w:rFonts w:cs="Times New Roman"/>
                <w:b/>
                <w:bCs/>
                <w:sz w:val="24"/>
                <w:szCs w:val="24"/>
                <w:lang w:val="lv-LV"/>
              </w:rPr>
            </w:pPr>
            <w:r w:rsidRPr="00767B8B">
              <w:rPr>
                <w:rFonts w:cs="Times New Roman"/>
                <w:b/>
                <w:bCs/>
                <w:sz w:val="24"/>
                <w:szCs w:val="24"/>
                <w:lang w:val="lv-LV"/>
              </w:rPr>
              <w:t>II. Tiesību akta projekta ietekme uz sabiedrību, tautsaimniecības attīstību un administratīvo slogu</w:t>
            </w:r>
          </w:p>
        </w:tc>
      </w:tr>
      <w:tr w:rsidR="00EC322A" w:rsidRPr="00767B8B" w14:paraId="5CF8E260" w14:textId="77777777" w:rsidTr="00764DB6">
        <w:trPr>
          <w:trHeight w:val="465"/>
          <w:tblCellSpacing w:w="15" w:type="dxa"/>
        </w:trPr>
        <w:tc>
          <w:tcPr>
            <w:tcW w:w="227" w:type="pct"/>
            <w:tcBorders>
              <w:top w:val="outset" w:sz="6" w:space="0" w:color="auto"/>
              <w:left w:val="outset" w:sz="6" w:space="0" w:color="auto"/>
              <w:bottom w:val="outset" w:sz="6" w:space="0" w:color="auto"/>
              <w:right w:val="outset" w:sz="6" w:space="0" w:color="auto"/>
            </w:tcBorders>
            <w:hideMark/>
          </w:tcPr>
          <w:p w14:paraId="00A40A02" w14:textId="77777777" w:rsidR="00EC322A" w:rsidRPr="00767B8B" w:rsidRDefault="00EC322A" w:rsidP="00EC322A">
            <w:pPr>
              <w:rPr>
                <w:rFonts w:cs="Times New Roman"/>
                <w:sz w:val="24"/>
                <w:szCs w:val="24"/>
                <w:lang w:val="lv-LV"/>
              </w:rPr>
            </w:pPr>
            <w:r w:rsidRPr="00767B8B">
              <w:rPr>
                <w:rFonts w:cs="Times New Roman"/>
                <w:sz w:val="24"/>
                <w:szCs w:val="24"/>
                <w:lang w:val="lv-LV"/>
              </w:rPr>
              <w:t>1.</w:t>
            </w:r>
          </w:p>
        </w:tc>
        <w:tc>
          <w:tcPr>
            <w:tcW w:w="1410" w:type="pct"/>
            <w:tcBorders>
              <w:top w:val="outset" w:sz="6" w:space="0" w:color="auto"/>
              <w:left w:val="outset" w:sz="6" w:space="0" w:color="auto"/>
              <w:bottom w:val="outset" w:sz="6" w:space="0" w:color="auto"/>
              <w:right w:val="outset" w:sz="6" w:space="0" w:color="auto"/>
            </w:tcBorders>
            <w:hideMark/>
          </w:tcPr>
          <w:p w14:paraId="30209C22" w14:textId="77777777" w:rsidR="00EC322A" w:rsidRPr="00767B8B" w:rsidRDefault="00EC322A" w:rsidP="00EC322A">
            <w:pPr>
              <w:rPr>
                <w:rFonts w:cs="Times New Roman"/>
                <w:sz w:val="24"/>
                <w:szCs w:val="24"/>
                <w:lang w:val="lv-LV"/>
              </w:rPr>
            </w:pPr>
            <w:r w:rsidRPr="00767B8B">
              <w:rPr>
                <w:rFonts w:cs="Times New Roman"/>
                <w:sz w:val="24"/>
                <w:szCs w:val="24"/>
                <w:lang w:val="lv-LV"/>
              </w:rPr>
              <w:t xml:space="preserve">Sabiedrības </w:t>
            </w:r>
            <w:proofErr w:type="spellStart"/>
            <w:r w:rsidRPr="00767B8B">
              <w:rPr>
                <w:rFonts w:cs="Times New Roman"/>
                <w:sz w:val="24"/>
                <w:szCs w:val="24"/>
                <w:lang w:val="lv-LV"/>
              </w:rPr>
              <w:t>mērķgrupas</w:t>
            </w:r>
            <w:proofErr w:type="spellEnd"/>
            <w:r w:rsidRPr="00767B8B">
              <w:rPr>
                <w:rFonts w:cs="Times New Roman"/>
                <w:sz w:val="24"/>
                <w:szCs w:val="24"/>
                <w:lang w:val="lv-LV"/>
              </w:rPr>
              <w:t>, kuras tiesiskais regulējums ietekmē vai varētu ietekmēt</w:t>
            </w:r>
          </w:p>
        </w:tc>
        <w:tc>
          <w:tcPr>
            <w:tcW w:w="3295" w:type="pct"/>
            <w:tcBorders>
              <w:top w:val="outset" w:sz="6" w:space="0" w:color="auto"/>
              <w:left w:val="outset" w:sz="6" w:space="0" w:color="auto"/>
              <w:bottom w:val="outset" w:sz="6" w:space="0" w:color="auto"/>
              <w:right w:val="outset" w:sz="6" w:space="0" w:color="auto"/>
            </w:tcBorders>
            <w:hideMark/>
          </w:tcPr>
          <w:p w14:paraId="6E12A109" w14:textId="77777777" w:rsidR="005C022B" w:rsidRPr="00767B8B" w:rsidRDefault="005C022B" w:rsidP="00EC322A">
            <w:pPr>
              <w:jc w:val="both"/>
              <w:rPr>
                <w:rFonts w:cs="Times New Roman"/>
                <w:sz w:val="24"/>
                <w:szCs w:val="24"/>
                <w:lang w:val="lv-LV" w:eastAsia="lv-LV" w:bidi="ar-SA"/>
              </w:rPr>
            </w:pPr>
            <w:r w:rsidRPr="00767B8B">
              <w:rPr>
                <w:rFonts w:cs="Times New Roman"/>
                <w:sz w:val="24"/>
                <w:szCs w:val="24"/>
                <w:lang w:val="lv-LV" w:eastAsia="lv-LV" w:bidi="ar-SA"/>
              </w:rPr>
              <w:t xml:space="preserve">Valsts </w:t>
            </w:r>
            <w:r w:rsidR="00732936" w:rsidRPr="00767B8B">
              <w:rPr>
                <w:rFonts w:cs="Times New Roman"/>
                <w:sz w:val="24"/>
                <w:szCs w:val="24"/>
                <w:lang w:val="lv-LV" w:eastAsia="lv-LV" w:bidi="ar-SA"/>
              </w:rPr>
              <w:t xml:space="preserve">un pašvaldību </w:t>
            </w:r>
            <w:r w:rsidR="009E71B7" w:rsidRPr="00767B8B">
              <w:rPr>
                <w:rFonts w:cs="Times New Roman"/>
                <w:sz w:val="24"/>
                <w:szCs w:val="24"/>
                <w:lang w:val="lv-LV" w:eastAsia="lv-LV" w:bidi="ar-SA"/>
              </w:rPr>
              <w:t>institūciju</w:t>
            </w:r>
            <w:r w:rsidRPr="00767B8B">
              <w:rPr>
                <w:rFonts w:cs="Times New Roman"/>
                <w:sz w:val="24"/>
                <w:szCs w:val="24"/>
                <w:lang w:val="lv-LV" w:eastAsia="lv-LV" w:bidi="ar-SA"/>
              </w:rPr>
              <w:t xml:space="preserve"> </w:t>
            </w:r>
            <w:r w:rsidR="004B40D5" w:rsidRPr="00767B8B">
              <w:rPr>
                <w:rFonts w:cs="Times New Roman"/>
                <w:sz w:val="24"/>
                <w:szCs w:val="24"/>
                <w:lang w:val="lv-LV" w:eastAsia="lv-LV" w:bidi="ar-SA"/>
              </w:rPr>
              <w:t>amatpersonas un darbinieki</w:t>
            </w:r>
            <w:r w:rsidRPr="00767B8B">
              <w:rPr>
                <w:rFonts w:cs="Times New Roman"/>
                <w:sz w:val="24"/>
                <w:szCs w:val="24"/>
                <w:lang w:val="lv-LV" w:eastAsia="lv-LV" w:bidi="ar-SA"/>
              </w:rPr>
              <w:t>.</w:t>
            </w:r>
          </w:p>
          <w:p w14:paraId="5BB8D60F" w14:textId="77777777" w:rsidR="00EC322A" w:rsidRPr="00767B8B" w:rsidRDefault="00EC322A" w:rsidP="00EC322A">
            <w:pPr>
              <w:jc w:val="both"/>
              <w:rPr>
                <w:rFonts w:cs="Times New Roman"/>
                <w:color w:val="0070C0"/>
                <w:sz w:val="24"/>
                <w:szCs w:val="24"/>
                <w:lang w:val="lv-LV" w:eastAsia="lv-LV" w:bidi="ar-SA"/>
              </w:rPr>
            </w:pPr>
          </w:p>
        </w:tc>
      </w:tr>
      <w:tr w:rsidR="00EC322A" w:rsidRPr="00767B8B" w14:paraId="79575AB8" w14:textId="77777777" w:rsidTr="00764DB6">
        <w:trPr>
          <w:trHeight w:val="510"/>
          <w:tblCellSpacing w:w="15" w:type="dxa"/>
        </w:trPr>
        <w:tc>
          <w:tcPr>
            <w:tcW w:w="227" w:type="pct"/>
            <w:tcBorders>
              <w:top w:val="outset" w:sz="6" w:space="0" w:color="auto"/>
              <w:left w:val="outset" w:sz="6" w:space="0" w:color="auto"/>
              <w:bottom w:val="outset" w:sz="6" w:space="0" w:color="auto"/>
              <w:right w:val="outset" w:sz="6" w:space="0" w:color="auto"/>
            </w:tcBorders>
            <w:hideMark/>
          </w:tcPr>
          <w:p w14:paraId="5311706A" w14:textId="77777777" w:rsidR="00EC322A" w:rsidRPr="00767B8B" w:rsidRDefault="00EC322A" w:rsidP="00EC322A">
            <w:pPr>
              <w:rPr>
                <w:rFonts w:cs="Times New Roman"/>
                <w:sz w:val="24"/>
                <w:szCs w:val="24"/>
                <w:lang w:val="lv-LV"/>
              </w:rPr>
            </w:pPr>
            <w:r w:rsidRPr="00767B8B">
              <w:rPr>
                <w:rFonts w:cs="Times New Roman"/>
                <w:sz w:val="24"/>
                <w:szCs w:val="24"/>
                <w:lang w:val="lv-LV"/>
              </w:rPr>
              <w:t>2.</w:t>
            </w:r>
          </w:p>
        </w:tc>
        <w:tc>
          <w:tcPr>
            <w:tcW w:w="1410" w:type="pct"/>
            <w:tcBorders>
              <w:top w:val="outset" w:sz="6" w:space="0" w:color="auto"/>
              <w:left w:val="outset" w:sz="6" w:space="0" w:color="auto"/>
              <w:bottom w:val="outset" w:sz="6" w:space="0" w:color="auto"/>
              <w:right w:val="outset" w:sz="6" w:space="0" w:color="auto"/>
            </w:tcBorders>
            <w:hideMark/>
          </w:tcPr>
          <w:p w14:paraId="5F126FCB" w14:textId="77777777" w:rsidR="00EC322A" w:rsidRPr="00767B8B" w:rsidRDefault="00EC322A" w:rsidP="00EC322A">
            <w:pPr>
              <w:rPr>
                <w:rFonts w:cs="Times New Roman"/>
                <w:sz w:val="24"/>
                <w:szCs w:val="24"/>
                <w:lang w:val="lv-LV"/>
              </w:rPr>
            </w:pPr>
            <w:r w:rsidRPr="00767B8B">
              <w:rPr>
                <w:rFonts w:cs="Times New Roman"/>
                <w:sz w:val="24"/>
                <w:szCs w:val="24"/>
                <w:lang w:val="lv-LV"/>
              </w:rPr>
              <w:t>Tiesiskā regulējuma ietekme uz tautsaimniecību un administratīvo slogu</w:t>
            </w:r>
          </w:p>
        </w:tc>
        <w:tc>
          <w:tcPr>
            <w:tcW w:w="3295" w:type="pct"/>
            <w:tcBorders>
              <w:top w:val="outset" w:sz="6" w:space="0" w:color="auto"/>
              <w:left w:val="outset" w:sz="6" w:space="0" w:color="auto"/>
              <w:bottom w:val="outset" w:sz="6" w:space="0" w:color="auto"/>
              <w:right w:val="outset" w:sz="6" w:space="0" w:color="auto"/>
            </w:tcBorders>
            <w:hideMark/>
          </w:tcPr>
          <w:p w14:paraId="61579E0E" w14:textId="77777777" w:rsidR="00EC322A" w:rsidRPr="00767B8B" w:rsidRDefault="009E71B7" w:rsidP="00EC322A">
            <w:pPr>
              <w:rPr>
                <w:rFonts w:cs="Times New Roman"/>
                <w:sz w:val="24"/>
                <w:szCs w:val="24"/>
                <w:lang w:val="lv-LV"/>
              </w:rPr>
            </w:pPr>
            <w:r w:rsidRPr="00767B8B">
              <w:rPr>
                <w:rFonts w:cs="Times New Roman"/>
                <w:sz w:val="24"/>
                <w:szCs w:val="24"/>
                <w:lang w:val="lv-LV"/>
              </w:rPr>
              <w:t>Likumprojekts šo jomu neskar.</w:t>
            </w:r>
          </w:p>
        </w:tc>
      </w:tr>
      <w:tr w:rsidR="00EC322A" w:rsidRPr="00767B8B" w14:paraId="1D2C47D3" w14:textId="77777777" w:rsidTr="00764DB6">
        <w:trPr>
          <w:trHeight w:val="510"/>
          <w:tblCellSpacing w:w="15" w:type="dxa"/>
        </w:trPr>
        <w:tc>
          <w:tcPr>
            <w:tcW w:w="227" w:type="pct"/>
            <w:tcBorders>
              <w:top w:val="outset" w:sz="6" w:space="0" w:color="auto"/>
              <w:left w:val="outset" w:sz="6" w:space="0" w:color="auto"/>
              <w:bottom w:val="outset" w:sz="6" w:space="0" w:color="auto"/>
              <w:right w:val="outset" w:sz="6" w:space="0" w:color="auto"/>
            </w:tcBorders>
            <w:hideMark/>
          </w:tcPr>
          <w:p w14:paraId="27404AAB" w14:textId="77777777" w:rsidR="00EC322A" w:rsidRPr="00767B8B" w:rsidRDefault="00EC322A" w:rsidP="00EC322A">
            <w:pPr>
              <w:rPr>
                <w:rFonts w:cs="Times New Roman"/>
                <w:sz w:val="24"/>
                <w:szCs w:val="24"/>
                <w:lang w:val="lv-LV"/>
              </w:rPr>
            </w:pPr>
            <w:r w:rsidRPr="00767B8B">
              <w:rPr>
                <w:rFonts w:cs="Times New Roman"/>
                <w:sz w:val="24"/>
                <w:szCs w:val="24"/>
                <w:lang w:val="lv-LV"/>
              </w:rPr>
              <w:t>3.</w:t>
            </w:r>
          </w:p>
        </w:tc>
        <w:tc>
          <w:tcPr>
            <w:tcW w:w="1410" w:type="pct"/>
            <w:tcBorders>
              <w:top w:val="outset" w:sz="6" w:space="0" w:color="auto"/>
              <w:left w:val="outset" w:sz="6" w:space="0" w:color="auto"/>
              <w:bottom w:val="outset" w:sz="6" w:space="0" w:color="auto"/>
              <w:right w:val="outset" w:sz="6" w:space="0" w:color="auto"/>
            </w:tcBorders>
            <w:hideMark/>
          </w:tcPr>
          <w:p w14:paraId="687D457B" w14:textId="77777777" w:rsidR="00EC322A" w:rsidRPr="00767B8B" w:rsidRDefault="00EC322A" w:rsidP="00EC322A">
            <w:pPr>
              <w:rPr>
                <w:rFonts w:cs="Times New Roman"/>
                <w:sz w:val="24"/>
                <w:szCs w:val="24"/>
                <w:lang w:val="lv-LV"/>
              </w:rPr>
            </w:pPr>
            <w:r w:rsidRPr="00767B8B">
              <w:rPr>
                <w:rFonts w:cs="Times New Roman"/>
                <w:sz w:val="24"/>
                <w:szCs w:val="24"/>
                <w:lang w:val="lv-LV"/>
              </w:rPr>
              <w:t>Administratīvo izmaksu monetārs novērtējums</w:t>
            </w:r>
          </w:p>
        </w:tc>
        <w:tc>
          <w:tcPr>
            <w:tcW w:w="3295" w:type="pct"/>
            <w:tcBorders>
              <w:top w:val="outset" w:sz="6" w:space="0" w:color="auto"/>
              <w:left w:val="outset" w:sz="6" w:space="0" w:color="auto"/>
              <w:bottom w:val="outset" w:sz="6" w:space="0" w:color="auto"/>
              <w:right w:val="outset" w:sz="6" w:space="0" w:color="auto"/>
            </w:tcBorders>
            <w:hideMark/>
          </w:tcPr>
          <w:p w14:paraId="28DF64D7" w14:textId="77777777" w:rsidR="00EC322A" w:rsidRPr="00767B8B" w:rsidRDefault="009E71B7" w:rsidP="00EC322A">
            <w:pPr>
              <w:rPr>
                <w:rFonts w:cs="Times New Roman"/>
                <w:sz w:val="24"/>
                <w:szCs w:val="24"/>
                <w:lang w:val="lv-LV"/>
              </w:rPr>
            </w:pPr>
            <w:r w:rsidRPr="00767B8B">
              <w:rPr>
                <w:rFonts w:cs="Times New Roman"/>
                <w:sz w:val="24"/>
                <w:szCs w:val="24"/>
                <w:lang w:val="lv-LV"/>
              </w:rPr>
              <w:t>Likumprojekts šo jomu neskar.</w:t>
            </w:r>
          </w:p>
        </w:tc>
      </w:tr>
      <w:tr w:rsidR="00EC322A" w:rsidRPr="00767B8B" w14:paraId="4D45B4EE" w14:textId="77777777" w:rsidTr="00764DB6">
        <w:trPr>
          <w:trHeight w:val="345"/>
          <w:tblCellSpacing w:w="15" w:type="dxa"/>
        </w:trPr>
        <w:tc>
          <w:tcPr>
            <w:tcW w:w="227" w:type="pct"/>
            <w:tcBorders>
              <w:top w:val="outset" w:sz="6" w:space="0" w:color="auto"/>
              <w:left w:val="outset" w:sz="6" w:space="0" w:color="auto"/>
              <w:bottom w:val="outset" w:sz="6" w:space="0" w:color="auto"/>
              <w:right w:val="outset" w:sz="6" w:space="0" w:color="auto"/>
            </w:tcBorders>
            <w:hideMark/>
          </w:tcPr>
          <w:p w14:paraId="46CC3A93" w14:textId="77777777" w:rsidR="00EC322A" w:rsidRPr="00767B8B" w:rsidRDefault="00EC322A" w:rsidP="00EC322A">
            <w:pPr>
              <w:rPr>
                <w:rFonts w:cs="Times New Roman"/>
                <w:sz w:val="24"/>
                <w:szCs w:val="24"/>
                <w:lang w:val="lv-LV"/>
              </w:rPr>
            </w:pPr>
            <w:r w:rsidRPr="00767B8B">
              <w:rPr>
                <w:rFonts w:cs="Times New Roman"/>
                <w:sz w:val="24"/>
                <w:szCs w:val="24"/>
                <w:lang w:val="lv-LV"/>
              </w:rPr>
              <w:t>4.</w:t>
            </w:r>
          </w:p>
        </w:tc>
        <w:tc>
          <w:tcPr>
            <w:tcW w:w="1410" w:type="pct"/>
            <w:tcBorders>
              <w:top w:val="outset" w:sz="6" w:space="0" w:color="auto"/>
              <w:left w:val="outset" w:sz="6" w:space="0" w:color="auto"/>
              <w:bottom w:val="outset" w:sz="6" w:space="0" w:color="auto"/>
              <w:right w:val="outset" w:sz="6" w:space="0" w:color="auto"/>
            </w:tcBorders>
            <w:hideMark/>
          </w:tcPr>
          <w:p w14:paraId="23EFF9D6" w14:textId="77777777" w:rsidR="00EC322A" w:rsidRPr="00767B8B" w:rsidRDefault="00EC322A" w:rsidP="00EC322A">
            <w:pPr>
              <w:rPr>
                <w:rFonts w:cs="Times New Roman"/>
                <w:sz w:val="24"/>
                <w:szCs w:val="24"/>
                <w:lang w:val="lv-LV"/>
              </w:rPr>
            </w:pPr>
            <w:r w:rsidRPr="00767B8B">
              <w:rPr>
                <w:rFonts w:cs="Times New Roman"/>
                <w:sz w:val="24"/>
                <w:szCs w:val="24"/>
                <w:lang w:val="lv-LV"/>
              </w:rPr>
              <w:t>Cita informācija</w:t>
            </w:r>
          </w:p>
        </w:tc>
        <w:tc>
          <w:tcPr>
            <w:tcW w:w="3295" w:type="pct"/>
            <w:tcBorders>
              <w:top w:val="outset" w:sz="6" w:space="0" w:color="auto"/>
              <w:left w:val="outset" w:sz="6" w:space="0" w:color="auto"/>
              <w:bottom w:val="outset" w:sz="6" w:space="0" w:color="auto"/>
              <w:right w:val="outset" w:sz="6" w:space="0" w:color="auto"/>
            </w:tcBorders>
            <w:hideMark/>
          </w:tcPr>
          <w:p w14:paraId="485057D0" w14:textId="77777777" w:rsidR="00EC322A" w:rsidRPr="00767B8B" w:rsidRDefault="00EC322A" w:rsidP="00EC322A">
            <w:pPr>
              <w:rPr>
                <w:rFonts w:cs="Times New Roman"/>
                <w:sz w:val="24"/>
                <w:szCs w:val="24"/>
                <w:lang w:val="lv-LV"/>
              </w:rPr>
            </w:pPr>
            <w:r w:rsidRPr="00767B8B">
              <w:rPr>
                <w:rFonts w:cs="Times New Roman"/>
                <w:sz w:val="24"/>
                <w:szCs w:val="24"/>
                <w:lang w:val="lv-LV"/>
              </w:rPr>
              <w:t>Nav</w:t>
            </w:r>
          </w:p>
        </w:tc>
      </w:tr>
    </w:tbl>
    <w:p w14:paraId="063AFDA9" w14:textId="77777777" w:rsidR="005C022B" w:rsidRPr="00767B8B" w:rsidRDefault="005C022B" w:rsidP="00EC322A">
      <w:pPr>
        <w:rPr>
          <w:rFonts w:cs="Times New Roman"/>
          <w:sz w:val="24"/>
          <w:szCs w:val="24"/>
          <w:lang w:val="lv-LV"/>
        </w:rPr>
      </w:pPr>
    </w:p>
    <w:tbl>
      <w:tblPr>
        <w:tblW w:w="5383" w:type="pct"/>
        <w:tblInd w:w="-12"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2101"/>
        <w:gridCol w:w="1056"/>
        <w:gridCol w:w="1150"/>
        <w:gridCol w:w="1337"/>
        <w:gridCol w:w="1337"/>
        <w:gridCol w:w="1957"/>
      </w:tblGrid>
      <w:tr w:rsidR="00764DB6" w:rsidRPr="002A2F7B" w14:paraId="36C3C70E" w14:textId="77777777" w:rsidTr="00764DB6">
        <w:tc>
          <w:tcPr>
            <w:tcW w:w="5000" w:type="pct"/>
            <w:gridSpan w:val="6"/>
            <w:tcBorders>
              <w:top w:val="single" w:sz="4" w:space="0" w:color="auto"/>
              <w:left w:val="single" w:sz="4" w:space="0" w:color="auto"/>
              <w:bottom w:val="single" w:sz="4" w:space="0" w:color="auto"/>
              <w:right w:val="single" w:sz="4" w:space="0" w:color="auto"/>
            </w:tcBorders>
            <w:vAlign w:val="center"/>
          </w:tcPr>
          <w:p w14:paraId="2F4CF79B" w14:textId="77777777" w:rsidR="00764DB6" w:rsidRPr="00905E50" w:rsidRDefault="00764DB6" w:rsidP="001C7A10">
            <w:pPr>
              <w:jc w:val="center"/>
              <w:rPr>
                <w:rFonts w:cs="Times New Roman"/>
                <w:b/>
                <w:sz w:val="24"/>
                <w:szCs w:val="24"/>
                <w:lang w:val="lv-LV"/>
              </w:rPr>
            </w:pPr>
            <w:r w:rsidRPr="00905E50">
              <w:rPr>
                <w:rFonts w:cs="Times New Roman"/>
                <w:b/>
                <w:sz w:val="24"/>
                <w:szCs w:val="24"/>
                <w:lang w:val="lv-LV"/>
              </w:rPr>
              <w:br w:type="page"/>
              <w:t xml:space="preserve">III Tiesību </w:t>
            </w:r>
            <w:smartTag w:uri="schemas-tilde-lv/tildestengine" w:element="veidnes">
              <w:smartTagPr>
                <w:attr w:name="baseform" w:val="akt|s"/>
                <w:attr w:name="id" w:val="-1"/>
                <w:attr w:name="text" w:val="akta"/>
              </w:smartTagPr>
              <w:r w:rsidRPr="00905E50">
                <w:rPr>
                  <w:rFonts w:cs="Times New Roman"/>
                  <w:b/>
                  <w:sz w:val="24"/>
                  <w:szCs w:val="24"/>
                  <w:lang w:val="lv-LV"/>
                </w:rPr>
                <w:t>akta</w:t>
              </w:r>
            </w:smartTag>
            <w:r w:rsidRPr="00905E50">
              <w:rPr>
                <w:rFonts w:cs="Times New Roman"/>
                <w:b/>
                <w:sz w:val="24"/>
                <w:szCs w:val="24"/>
                <w:lang w:val="lv-LV"/>
              </w:rPr>
              <w:t xml:space="preserve"> projekta ietekme uz valsts budžetu un pašvaldību budžetiem</w:t>
            </w:r>
          </w:p>
        </w:tc>
      </w:tr>
      <w:tr w:rsidR="00764DB6" w:rsidRPr="00905E50" w14:paraId="01F62173" w14:textId="77777777" w:rsidTr="00764D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409" w:type="pct"/>
            <w:gridSpan w:val="3"/>
            <w:shd w:val="clear" w:color="auto" w:fill="auto"/>
          </w:tcPr>
          <w:p w14:paraId="0FB84472" w14:textId="77777777" w:rsidR="00764DB6" w:rsidRPr="00905E50" w:rsidRDefault="00764DB6" w:rsidP="001C7A10">
            <w:pPr>
              <w:jc w:val="center"/>
              <w:rPr>
                <w:rFonts w:cs="Times New Roman"/>
                <w:sz w:val="24"/>
                <w:szCs w:val="24"/>
                <w:lang w:val="lv-LV"/>
              </w:rPr>
            </w:pPr>
          </w:p>
        </w:tc>
        <w:tc>
          <w:tcPr>
            <w:tcW w:w="2591" w:type="pct"/>
            <w:gridSpan w:val="3"/>
            <w:shd w:val="clear" w:color="auto" w:fill="auto"/>
            <w:vAlign w:val="center"/>
          </w:tcPr>
          <w:p w14:paraId="2B269385" w14:textId="77777777" w:rsidR="00764DB6" w:rsidRPr="00905E50" w:rsidRDefault="00764DB6" w:rsidP="001C7A10">
            <w:pPr>
              <w:jc w:val="center"/>
              <w:rPr>
                <w:rFonts w:cs="Times New Roman"/>
                <w:sz w:val="24"/>
                <w:szCs w:val="24"/>
                <w:lang w:val="lv-LV"/>
              </w:rPr>
            </w:pPr>
            <w:r w:rsidRPr="00905E50">
              <w:rPr>
                <w:rFonts w:cs="Times New Roman"/>
                <w:sz w:val="24"/>
                <w:szCs w:val="24"/>
                <w:lang w:val="lv-LV"/>
              </w:rPr>
              <w:t xml:space="preserve">milj. </w:t>
            </w:r>
            <w:proofErr w:type="spellStart"/>
            <w:r w:rsidRPr="00905E50">
              <w:rPr>
                <w:rFonts w:cs="Times New Roman"/>
                <w:i/>
                <w:sz w:val="24"/>
                <w:szCs w:val="24"/>
                <w:lang w:val="lv-LV"/>
              </w:rPr>
              <w:t>euro</w:t>
            </w:r>
            <w:proofErr w:type="spellEnd"/>
          </w:p>
        </w:tc>
      </w:tr>
      <w:tr w:rsidR="00764DB6" w:rsidRPr="00905E50" w14:paraId="46C26A20" w14:textId="77777777" w:rsidTr="00764D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1175" w:type="pct"/>
            <w:vMerge w:val="restart"/>
            <w:shd w:val="clear" w:color="auto" w:fill="auto"/>
            <w:vAlign w:val="center"/>
          </w:tcPr>
          <w:p w14:paraId="5A6DDADE" w14:textId="77777777" w:rsidR="00764DB6" w:rsidRPr="00905E50" w:rsidRDefault="00764DB6" w:rsidP="001C7A10">
            <w:pPr>
              <w:jc w:val="center"/>
              <w:rPr>
                <w:rFonts w:cs="Times New Roman"/>
                <w:sz w:val="24"/>
                <w:szCs w:val="24"/>
                <w:lang w:val="lv-LV"/>
              </w:rPr>
            </w:pPr>
            <w:r w:rsidRPr="00905E50">
              <w:rPr>
                <w:rFonts w:cs="Times New Roman"/>
                <w:b/>
                <w:sz w:val="24"/>
                <w:szCs w:val="24"/>
                <w:lang w:val="lv-LV"/>
              </w:rPr>
              <w:t>Rādītāji</w:t>
            </w:r>
          </w:p>
        </w:tc>
        <w:tc>
          <w:tcPr>
            <w:tcW w:w="1234" w:type="pct"/>
            <w:gridSpan w:val="2"/>
            <w:vMerge w:val="restart"/>
            <w:shd w:val="clear" w:color="auto" w:fill="auto"/>
            <w:vAlign w:val="center"/>
          </w:tcPr>
          <w:p w14:paraId="4372694B" w14:textId="77777777" w:rsidR="00764DB6" w:rsidRPr="00905E50" w:rsidRDefault="00764DB6" w:rsidP="001C7A10">
            <w:pPr>
              <w:jc w:val="center"/>
              <w:rPr>
                <w:rFonts w:cs="Times New Roman"/>
                <w:sz w:val="24"/>
                <w:szCs w:val="24"/>
                <w:lang w:val="lv-LV"/>
              </w:rPr>
            </w:pPr>
            <w:r w:rsidRPr="00905E50">
              <w:rPr>
                <w:rFonts w:cs="Times New Roman"/>
                <w:b/>
                <w:sz w:val="24"/>
                <w:szCs w:val="24"/>
                <w:lang w:val="lv-LV"/>
              </w:rPr>
              <w:t>2016.gads</w:t>
            </w:r>
          </w:p>
        </w:tc>
        <w:tc>
          <w:tcPr>
            <w:tcW w:w="2591" w:type="pct"/>
            <w:gridSpan w:val="3"/>
            <w:shd w:val="clear" w:color="auto" w:fill="auto"/>
            <w:vAlign w:val="center"/>
          </w:tcPr>
          <w:p w14:paraId="173E2948" w14:textId="77777777" w:rsidR="00764DB6" w:rsidRPr="00905E50" w:rsidRDefault="00764DB6" w:rsidP="001C7A10">
            <w:pPr>
              <w:jc w:val="center"/>
              <w:rPr>
                <w:rFonts w:cs="Times New Roman"/>
                <w:sz w:val="24"/>
                <w:szCs w:val="24"/>
                <w:lang w:val="lv-LV"/>
              </w:rPr>
            </w:pPr>
            <w:r w:rsidRPr="00905E50">
              <w:rPr>
                <w:rFonts w:cs="Times New Roman"/>
                <w:sz w:val="24"/>
                <w:szCs w:val="24"/>
                <w:lang w:val="lv-LV"/>
              </w:rPr>
              <w:t>Turpmākie trīs gadi</w:t>
            </w:r>
          </w:p>
        </w:tc>
      </w:tr>
      <w:tr w:rsidR="00764DB6" w:rsidRPr="00905E50" w14:paraId="6F375982" w14:textId="77777777" w:rsidTr="00905E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1175" w:type="pct"/>
            <w:vMerge/>
            <w:shd w:val="clear" w:color="auto" w:fill="auto"/>
          </w:tcPr>
          <w:p w14:paraId="2B6E2598" w14:textId="77777777" w:rsidR="00764DB6" w:rsidRPr="00905E50" w:rsidRDefault="00764DB6" w:rsidP="001C7A10">
            <w:pPr>
              <w:jc w:val="center"/>
              <w:rPr>
                <w:rFonts w:cs="Times New Roman"/>
                <w:sz w:val="24"/>
                <w:szCs w:val="24"/>
                <w:lang w:val="lv-LV"/>
              </w:rPr>
            </w:pPr>
          </w:p>
        </w:tc>
        <w:tc>
          <w:tcPr>
            <w:tcW w:w="1234" w:type="pct"/>
            <w:gridSpan w:val="2"/>
            <w:vMerge/>
            <w:shd w:val="clear" w:color="auto" w:fill="auto"/>
          </w:tcPr>
          <w:p w14:paraId="3BA4F523" w14:textId="77777777" w:rsidR="00764DB6" w:rsidRPr="00905E50" w:rsidRDefault="00764DB6" w:rsidP="001C7A10">
            <w:pPr>
              <w:jc w:val="center"/>
              <w:rPr>
                <w:rFonts w:cs="Times New Roman"/>
                <w:b/>
                <w:sz w:val="24"/>
                <w:szCs w:val="24"/>
                <w:lang w:val="lv-LV"/>
              </w:rPr>
            </w:pPr>
          </w:p>
        </w:tc>
        <w:tc>
          <w:tcPr>
            <w:tcW w:w="748" w:type="pct"/>
            <w:shd w:val="clear" w:color="auto" w:fill="auto"/>
            <w:vAlign w:val="bottom"/>
          </w:tcPr>
          <w:p w14:paraId="425D0D0B" w14:textId="77777777" w:rsidR="00764DB6" w:rsidRPr="00905E50" w:rsidRDefault="00764DB6" w:rsidP="001C7A10">
            <w:pPr>
              <w:pStyle w:val="naisf"/>
              <w:spacing w:before="0" w:after="0"/>
              <w:jc w:val="center"/>
              <w:rPr>
                <w:b/>
                <w:i/>
              </w:rPr>
            </w:pPr>
            <w:r w:rsidRPr="00905E50">
              <w:rPr>
                <w:b/>
                <w:bCs/>
              </w:rPr>
              <w:t>2017.g.</w:t>
            </w:r>
          </w:p>
        </w:tc>
        <w:tc>
          <w:tcPr>
            <w:tcW w:w="748" w:type="pct"/>
            <w:shd w:val="clear" w:color="auto" w:fill="auto"/>
            <w:vAlign w:val="bottom"/>
          </w:tcPr>
          <w:p w14:paraId="06CA23DC" w14:textId="77777777" w:rsidR="00764DB6" w:rsidRPr="00905E50" w:rsidRDefault="00764DB6" w:rsidP="001C7A10">
            <w:pPr>
              <w:pStyle w:val="naisf"/>
              <w:spacing w:before="0" w:after="0"/>
              <w:jc w:val="center"/>
              <w:rPr>
                <w:b/>
                <w:i/>
              </w:rPr>
            </w:pPr>
            <w:r w:rsidRPr="00905E50">
              <w:rPr>
                <w:b/>
                <w:bCs/>
              </w:rPr>
              <w:t>2018.g.</w:t>
            </w:r>
          </w:p>
        </w:tc>
        <w:tc>
          <w:tcPr>
            <w:tcW w:w="1095" w:type="pct"/>
            <w:shd w:val="clear" w:color="auto" w:fill="auto"/>
            <w:vAlign w:val="bottom"/>
          </w:tcPr>
          <w:p w14:paraId="13CE5FA1" w14:textId="77777777" w:rsidR="00764DB6" w:rsidRPr="00905E50" w:rsidRDefault="00764DB6" w:rsidP="001C7A10">
            <w:pPr>
              <w:pStyle w:val="naisf"/>
              <w:spacing w:before="0" w:after="0"/>
              <w:jc w:val="center"/>
              <w:rPr>
                <w:b/>
                <w:i/>
              </w:rPr>
            </w:pPr>
            <w:r w:rsidRPr="00905E50">
              <w:rPr>
                <w:b/>
                <w:bCs/>
              </w:rPr>
              <w:t>2019.g.</w:t>
            </w:r>
          </w:p>
        </w:tc>
      </w:tr>
      <w:tr w:rsidR="00764DB6" w:rsidRPr="00905E50" w14:paraId="7E2BE9F1" w14:textId="77777777" w:rsidTr="00905E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1175" w:type="pct"/>
            <w:vMerge/>
            <w:shd w:val="clear" w:color="auto" w:fill="auto"/>
            <w:vAlign w:val="bottom"/>
          </w:tcPr>
          <w:p w14:paraId="3971CF02" w14:textId="77777777" w:rsidR="00764DB6" w:rsidRPr="00905E50" w:rsidRDefault="00764DB6" w:rsidP="001C7A10">
            <w:pPr>
              <w:jc w:val="center"/>
              <w:rPr>
                <w:rFonts w:cs="Times New Roman"/>
                <w:sz w:val="24"/>
                <w:szCs w:val="24"/>
                <w:lang w:val="lv-LV"/>
              </w:rPr>
            </w:pPr>
          </w:p>
        </w:tc>
        <w:tc>
          <w:tcPr>
            <w:tcW w:w="591" w:type="pct"/>
            <w:shd w:val="clear" w:color="auto" w:fill="auto"/>
            <w:vAlign w:val="bottom"/>
          </w:tcPr>
          <w:p w14:paraId="5E1F4017" w14:textId="77777777" w:rsidR="00764DB6" w:rsidRPr="00905E50" w:rsidRDefault="00764DB6" w:rsidP="001C7A10">
            <w:pPr>
              <w:jc w:val="center"/>
              <w:rPr>
                <w:rFonts w:cs="Times New Roman"/>
                <w:sz w:val="24"/>
                <w:szCs w:val="24"/>
                <w:lang w:val="lv-LV"/>
              </w:rPr>
            </w:pPr>
            <w:r w:rsidRPr="00905E50">
              <w:rPr>
                <w:rFonts w:cs="Times New Roman"/>
                <w:sz w:val="24"/>
                <w:szCs w:val="24"/>
                <w:lang w:val="lv-LV"/>
              </w:rPr>
              <w:t>Saskaņā ar valsts budžetu kārtējam gadam</w:t>
            </w:r>
          </w:p>
        </w:tc>
        <w:tc>
          <w:tcPr>
            <w:tcW w:w="643" w:type="pct"/>
            <w:shd w:val="clear" w:color="auto" w:fill="auto"/>
            <w:vAlign w:val="bottom"/>
          </w:tcPr>
          <w:p w14:paraId="6FEA8D51" w14:textId="77777777" w:rsidR="00764DB6" w:rsidRPr="00905E50" w:rsidRDefault="00764DB6" w:rsidP="001C7A10">
            <w:pPr>
              <w:jc w:val="center"/>
              <w:rPr>
                <w:rFonts w:cs="Times New Roman"/>
                <w:sz w:val="24"/>
                <w:szCs w:val="24"/>
                <w:lang w:val="lv-LV"/>
              </w:rPr>
            </w:pPr>
            <w:r w:rsidRPr="00905E50">
              <w:rPr>
                <w:rFonts w:cs="Times New Roman"/>
                <w:sz w:val="24"/>
                <w:szCs w:val="24"/>
                <w:lang w:val="lv-LV"/>
              </w:rPr>
              <w:t>Izmaiņas kārtējā gadā salīdzinot ar budžetu kārtējam gadam</w:t>
            </w:r>
          </w:p>
        </w:tc>
        <w:tc>
          <w:tcPr>
            <w:tcW w:w="748" w:type="pct"/>
            <w:shd w:val="clear" w:color="auto" w:fill="auto"/>
            <w:vAlign w:val="bottom"/>
          </w:tcPr>
          <w:p w14:paraId="143C49E6" w14:textId="77777777" w:rsidR="00764DB6" w:rsidRPr="00905E50" w:rsidRDefault="00764DB6" w:rsidP="001C7A10">
            <w:pPr>
              <w:jc w:val="center"/>
              <w:rPr>
                <w:rFonts w:cs="Times New Roman"/>
                <w:sz w:val="24"/>
                <w:szCs w:val="24"/>
                <w:lang w:val="lv-LV"/>
              </w:rPr>
            </w:pPr>
            <w:r w:rsidRPr="00905E50">
              <w:rPr>
                <w:rFonts w:cs="Times New Roman"/>
                <w:sz w:val="24"/>
                <w:szCs w:val="24"/>
                <w:lang w:val="lv-LV"/>
              </w:rPr>
              <w:t>Izmaiņas salīdzinot ar kārtējo (n) gadu</w:t>
            </w:r>
          </w:p>
        </w:tc>
        <w:tc>
          <w:tcPr>
            <w:tcW w:w="748" w:type="pct"/>
            <w:shd w:val="clear" w:color="auto" w:fill="auto"/>
            <w:vAlign w:val="bottom"/>
          </w:tcPr>
          <w:p w14:paraId="67EBBE90" w14:textId="77777777" w:rsidR="00764DB6" w:rsidRPr="00905E50" w:rsidRDefault="00764DB6" w:rsidP="001C7A10">
            <w:pPr>
              <w:jc w:val="center"/>
              <w:rPr>
                <w:rFonts w:cs="Times New Roman"/>
                <w:sz w:val="24"/>
                <w:szCs w:val="24"/>
                <w:lang w:val="lv-LV"/>
              </w:rPr>
            </w:pPr>
            <w:r w:rsidRPr="00905E50">
              <w:rPr>
                <w:rFonts w:cs="Times New Roman"/>
                <w:sz w:val="24"/>
                <w:szCs w:val="24"/>
                <w:lang w:val="lv-LV"/>
              </w:rPr>
              <w:t>Izmaiņas salīdzinot ar kārtējo (n) gadu</w:t>
            </w:r>
          </w:p>
        </w:tc>
        <w:tc>
          <w:tcPr>
            <w:tcW w:w="1095" w:type="pct"/>
            <w:shd w:val="clear" w:color="auto" w:fill="auto"/>
            <w:vAlign w:val="bottom"/>
          </w:tcPr>
          <w:p w14:paraId="59FA9B7D" w14:textId="77777777" w:rsidR="00764DB6" w:rsidRPr="00905E50" w:rsidRDefault="00764DB6" w:rsidP="001C7A10">
            <w:pPr>
              <w:jc w:val="center"/>
              <w:rPr>
                <w:rFonts w:cs="Times New Roman"/>
                <w:sz w:val="24"/>
                <w:szCs w:val="24"/>
                <w:lang w:val="lv-LV"/>
              </w:rPr>
            </w:pPr>
            <w:r w:rsidRPr="00905E50">
              <w:rPr>
                <w:rFonts w:cs="Times New Roman"/>
                <w:sz w:val="24"/>
                <w:szCs w:val="24"/>
                <w:lang w:val="lv-LV"/>
              </w:rPr>
              <w:t>Izmaiņas salīdzinot ar kārtējo (n) gadu</w:t>
            </w:r>
          </w:p>
        </w:tc>
      </w:tr>
      <w:tr w:rsidR="00764DB6" w:rsidRPr="00905E50" w14:paraId="7F0E59FD" w14:textId="77777777" w:rsidTr="00905E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1175" w:type="pct"/>
            <w:shd w:val="clear" w:color="auto" w:fill="auto"/>
          </w:tcPr>
          <w:p w14:paraId="75BAB317" w14:textId="77777777" w:rsidR="00764DB6" w:rsidRPr="00905E50" w:rsidRDefault="00764DB6" w:rsidP="001C7A10">
            <w:pPr>
              <w:pStyle w:val="naisf"/>
              <w:spacing w:before="0" w:after="0"/>
              <w:jc w:val="center"/>
              <w:rPr>
                <w:b/>
              </w:rPr>
            </w:pPr>
            <w:r w:rsidRPr="00905E50">
              <w:rPr>
                <w:b/>
              </w:rPr>
              <w:t>1</w:t>
            </w:r>
          </w:p>
        </w:tc>
        <w:tc>
          <w:tcPr>
            <w:tcW w:w="591" w:type="pct"/>
            <w:shd w:val="clear" w:color="auto" w:fill="auto"/>
          </w:tcPr>
          <w:p w14:paraId="167572F8" w14:textId="77777777" w:rsidR="00764DB6" w:rsidRPr="00905E50" w:rsidRDefault="00764DB6" w:rsidP="001C7A10">
            <w:pPr>
              <w:pStyle w:val="naisf"/>
              <w:spacing w:before="0" w:after="0"/>
              <w:jc w:val="center"/>
              <w:rPr>
                <w:b/>
              </w:rPr>
            </w:pPr>
            <w:r w:rsidRPr="00905E50">
              <w:rPr>
                <w:b/>
              </w:rPr>
              <w:t>2</w:t>
            </w:r>
          </w:p>
        </w:tc>
        <w:tc>
          <w:tcPr>
            <w:tcW w:w="643" w:type="pct"/>
            <w:shd w:val="clear" w:color="auto" w:fill="auto"/>
          </w:tcPr>
          <w:p w14:paraId="32C84014" w14:textId="77777777" w:rsidR="00764DB6" w:rsidRPr="00905E50" w:rsidRDefault="00764DB6" w:rsidP="001C7A10">
            <w:pPr>
              <w:pStyle w:val="naisf"/>
              <w:spacing w:before="0" w:after="0"/>
              <w:jc w:val="center"/>
              <w:rPr>
                <w:b/>
              </w:rPr>
            </w:pPr>
            <w:r w:rsidRPr="00905E50">
              <w:rPr>
                <w:b/>
              </w:rPr>
              <w:t>3</w:t>
            </w:r>
          </w:p>
        </w:tc>
        <w:tc>
          <w:tcPr>
            <w:tcW w:w="748" w:type="pct"/>
            <w:shd w:val="clear" w:color="auto" w:fill="auto"/>
          </w:tcPr>
          <w:p w14:paraId="474F0AA5" w14:textId="77777777" w:rsidR="00764DB6" w:rsidRPr="00905E50" w:rsidRDefault="00764DB6" w:rsidP="001C7A10">
            <w:pPr>
              <w:pStyle w:val="naisf"/>
              <w:spacing w:before="0" w:after="0"/>
              <w:jc w:val="center"/>
              <w:rPr>
                <w:b/>
              </w:rPr>
            </w:pPr>
            <w:r w:rsidRPr="00905E50">
              <w:rPr>
                <w:b/>
              </w:rPr>
              <w:t>4</w:t>
            </w:r>
          </w:p>
        </w:tc>
        <w:tc>
          <w:tcPr>
            <w:tcW w:w="748" w:type="pct"/>
            <w:shd w:val="clear" w:color="auto" w:fill="auto"/>
          </w:tcPr>
          <w:p w14:paraId="3E582B71" w14:textId="77777777" w:rsidR="00764DB6" w:rsidRPr="00905E50" w:rsidRDefault="00764DB6" w:rsidP="001C7A10">
            <w:pPr>
              <w:pStyle w:val="naisf"/>
              <w:spacing w:before="0" w:after="0"/>
              <w:jc w:val="center"/>
              <w:rPr>
                <w:b/>
              </w:rPr>
            </w:pPr>
            <w:r w:rsidRPr="00905E50">
              <w:rPr>
                <w:b/>
              </w:rPr>
              <w:t>5</w:t>
            </w:r>
          </w:p>
        </w:tc>
        <w:tc>
          <w:tcPr>
            <w:tcW w:w="1095" w:type="pct"/>
            <w:shd w:val="clear" w:color="auto" w:fill="auto"/>
          </w:tcPr>
          <w:p w14:paraId="57875D2D" w14:textId="77777777" w:rsidR="00764DB6" w:rsidRPr="00905E50" w:rsidRDefault="00764DB6" w:rsidP="001C7A10">
            <w:pPr>
              <w:pStyle w:val="naisf"/>
              <w:spacing w:before="0" w:after="0"/>
              <w:jc w:val="center"/>
              <w:rPr>
                <w:b/>
              </w:rPr>
            </w:pPr>
            <w:r w:rsidRPr="00905E50">
              <w:rPr>
                <w:b/>
              </w:rPr>
              <w:t>6</w:t>
            </w:r>
          </w:p>
        </w:tc>
      </w:tr>
      <w:tr w:rsidR="00764DB6" w:rsidRPr="00905E50" w14:paraId="6907A389" w14:textId="77777777" w:rsidTr="00905E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1175" w:type="pct"/>
            <w:shd w:val="clear" w:color="auto" w:fill="auto"/>
          </w:tcPr>
          <w:p w14:paraId="649F4C86" w14:textId="77777777" w:rsidR="00764DB6" w:rsidRPr="00905E50" w:rsidRDefault="00764DB6" w:rsidP="001C7A10">
            <w:pPr>
              <w:rPr>
                <w:rFonts w:cs="Times New Roman"/>
                <w:b/>
                <w:sz w:val="24"/>
                <w:szCs w:val="24"/>
                <w:lang w:val="lv-LV"/>
              </w:rPr>
            </w:pPr>
            <w:r w:rsidRPr="00905E50">
              <w:rPr>
                <w:rFonts w:cs="Times New Roman"/>
                <w:b/>
                <w:sz w:val="24"/>
                <w:szCs w:val="24"/>
                <w:lang w:val="lv-LV"/>
              </w:rPr>
              <w:t>1. Budžeta ieņēmumi</w:t>
            </w:r>
          </w:p>
        </w:tc>
        <w:tc>
          <w:tcPr>
            <w:tcW w:w="591" w:type="pct"/>
            <w:shd w:val="clear" w:color="auto" w:fill="auto"/>
            <w:vAlign w:val="center"/>
          </w:tcPr>
          <w:p w14:paraId="4E479635" w14:textId="77777777" w:rsidR="00764DB6" w:rsidRPr="00905E50" w:rsidRDefault="00764DB6" w:rsidP="001C7A10">
            <w:pPr>
              <w:jc w:val="center"/>
              <w:rPr>
                <w:rFonts w:cs="Times New Roman"/>
                <w:sz w:val="24"/>
                <w:szCs w:val="24"/>
                <w:lang w:val="lv-LV"/>
              </w:rPr>
            </w:pPr>
            <w:r w:rsidRPr="00905E50">
              <w:rPr>
                <w:rFonts w:cs="Times New Roman"/>
                <w:sz w:val="24"/>
                <w:szCs w:val="24"/>
                <w:lang w:val="lv-LV"/>
              </w:rPr>
              <w:t>0</w:t>
            </w:r>
          </w:p>
        </w:tc>
        <w:tc>
          <w:tcPr>
            <w:tcW w:w="643" w:type="pct"/>
            <w:shd w:val="clear" w:color="auto" w:fill="auto"/>
            <w:vAlign w:val="center"/>
          </w:tcPr>
          <w:p w14:paraId="2B5A4DD1" w14:textId="77777777" w:rsidR="00764DB6" w:rsidRPr="00905E50" w:rsidRDefault="00764DB6" w:rsidP="001C7A10">
            <w:pPr>
              <w:jc w:val="center"/>
              <w:rPr>
                <w:rFonts w:cs="Times New Roman"/>
                <w:sz w:val="24"/>
                <w:szCs w:val="24"/>
                <w:lang w:val="lv-LV"/>
              </w:rPr>
            </w:pPr>
            <w:r w:rsidRPr="00905E50">
              <w:rPr>
                <w:rFonts w:cs="Times New Roman"/>
                <w:sz w:val="24"/>
                <w:szCs w:val="24"/>
                <w:lang w:val="lv-LV"/>
              </w:rPr>
              <w:t>0</w:t>
            </w:r>
          </w:p>
        </w:tc>
        <w:tc>
          <w:tcPr>
            <w:tcW w:w="748" w:type="pct"/>
            <w:shd w:val="clear" w:color="auto" w:fill="auto"/>
            <w:vAlign w:val="center"/>
          </w:tcPr>
          <w:p w14:paraId="4268073E" w14:textId="77777777" w:rsidR="00764DB6" w:rsidRPr="00905E50" w:rsidRDefault="00764DB6" w:rsidP="001C7A10">
            <w:pPr>
              <w:jc w:val="center"/>
              <w:rPr>
                <w:rFonts w:cs="Times New Roman"/>
                <w:b/>
                <w:sz w:val="24"/>
                <w:szCs w:val="24"/>
                <w:lang w:val="lv-LV"/>
              </w:rPr>
            </w:pPr>
            <w:r w:rsidRPr="00905E50">
              <w:rPr>
                <w:rFonts w:cs="Times New Roman"/>
                <w:b/>
                <w:sz w:val="24"/>
                <w:szCs w:val="24"/>
                <w:lang w:val="lv-LV"/>
              </w:rPr>
              <w:t>6,898</w:t>
            </w:r>
          </w:p>
        </w:tc>
        <w:tc>
          <w:tcPr>
            <w:tcW w:w="748" w:type="pct"/>
            <w:shd w:val="clear" w:color="auto" w:fill="auto"/>
            <w:vAlign w:val="center"/>
          </w:tcPr>
          <w:p w14:paraId="2BEAB7D5" w14:textId="77777777" w:rsidR="00764DB6" w:rsidRPr="00905E50" w:rsidRDefault="00764DB6" w:rsidP="001C7A10">
            <w:pPr>
              <w:jc w:val="center"/>
              <w:rPr>
                <w:rFonts w:cs="Times New Roman"/>
                <w:b/>
                <w:sz w:val="24"/>
                <w:szCs w:val="24"/>
                <w:lang w:val="lv-LV"/>
              </w:rPr>
            </w:pPr>
            <w:r w:rsidRPr="00905E50">
              <w:rPr>
                <w:rFonts w:cs="Times New Roman"/>
                <w:b/>
                <w:sz w:val="24"/>
                <w:szCs w:val="24"/>
                <w:lang w:val="lv-LV"/>
              </w:rPr>
              <w:t>6,898</w:t>
            </w:r>
          </w:p>
        </w:tc>
        <w:tc>
          <w:tcPr>
            <w:tcW w:w="1095" w:type="pct"/>
            <w:shd w:val="clear" w:color="auto" w:fill="auto"/>
            <w:vAlign w:val="center"/>
          </w:tcPr>
          <w:p w14:paraId="669B25D7" w14:textId="77777777" w:rsidR="00764DB6" w:rsidRPr="00905E50" w:rsidRDefault="00764DB6" w:rsidP="001C7A10">
            <w:pPr>
              <w:jc w:val="center"/>
              <w:rPr>
                <w:rFonts w:cs="Times New Roman"/>
                <w:b/>
                <w:sz w:val="24"/>
                <w:szCs w:val="24"/>
                <w:lang w:val="lv-LV"/>
              </w:rPr>
            </w:pPr>
            <w:r w:rsidRPr="00905E50">
              <w:rPr>
                <w:rFonts w:cs="Times New Roman"/>
                <w:b/>
                <w:sz w:val="24"/>
                <w:szCs w:val="24"/>
                <w:lang w:val="lv-LV"/>
              </w:rPr>
              <w:t>6,898</w:t>
            </w:r>
          </w:p>
        </w:tc>
      </w:tr>
      <w:tr w:rsidR="00764DB6" w:rsidRPr="00905E50" w14:paraId="0F996ED0" w14:textId="77777777" w:rsidTr="00905E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1175" w:type="pct"/>
            <w:shd w:val="clear" w:color="auto" w:fill="auto"/>
          </w:tcPr>
          <w:p w14:paraId="6519B754" w14:textId="77777777" w:rsidR="00764DB6" w:rsidRPr="00905E50" w:rsidRDefault="00764DB6" w:rsidP="001C7A10">
            <w:pPr>
              <w:rPr>
                <w:rFonts w:cs="Times New Roman"/>
                <w:sz w:val="24"/>
                <w:szCs w:val="24"/>
                <w:lang w:val="lv-LV"/>
              </w:rPr>
            </w:pPr>
            <w:r w:rsidRPr="00905E50">
              <w:rPr>
                <w:rFonts w:cs="Times New Roman"/>
                <w:sz w:val="24"/>
                <w:szCs w:val="24"/>
                <w:lang w:val="lv-LV"/>
              </w:rPr>
              <w:t>1.1. valsts pamatbudžets</w:t>
            </w:r>
          </w:p>
        </w:tc>
        <w:tc>
          <w:tcPr>
            <w:tcW w:w="591" w:type="pct"/>
            <w:shd w:val="clear" w:color="auto" w:fill="auto"/>
            <w:vAlign w:val="center"/>
          </w:tcPr>
          <w:p w14:paraId="269AF552" w14:textId="77777777" w:rsidR="00764DB6" w:rsidRPr="00905E50" w:rsidRDefault="00764DB6" w:rsidP="001C7A10">
            <w:pPr>
              <w:jc w:val="center"/>
              <w:rPr>
                <w:rFonts w:cs="Times New Roman"/>
                <w:sz w:val="24"/>
                <w:szCs w:val="24"/>
                <w:lang w:val="lv-LV"/>
              </w:rPr>
            </w:pPr>
            <w:r w:rsidRPr="00905E50">
              <w:rPr>
                <w:rFonts w:cs="Times New Roman"/>
                <w:sz w:val="24"/>
                <w:szCs w:val="24"/>
                <w:lang w:val="lv-LV"/>
              </w:rPr>
              <w:t>0</w:t>
            </w:r>
          </w:p>
        </w:tc>
        <w:tc>
          <w:tcPr>
            <w:tcW w:w="643" w:type="pct"/>
            <w:shd w:val="clear" w:color="auto" w:fill="auto"/>
            <w:vAlign w:val="center"/>
          </w:tcPr>
          <w:p w14:paraId="21C22288" w14:textId="77777777" w:rsidR="00764DB6" w:rsidRPr="00905E50" w:rsidRDefault="00764DB6" w:rsidP="001C7A10">
            <w:pPr>
              <w:jc w:val="center"/>
              <w:rPr>
                <w:rFonts w:cs="Times New Roman"/>
                <w:sz w:val="24"/>
                <w:szCs w:val="24"/>
                <w:lang w:val="lv-LV"/>
              </w:rPr>
            </w:pPr>
            <w:r w:rsidRPr="00905E50">
              <w:rPr>
                <w:rFonts w:cs="Times New Roman"/>
                <w:sz w:val="24"/>
                <w:szCs w:val="24"/>
                <w:lang w:val="lv-LV"/>
              </w:rPr>
              <w:t>0</w:t>
            </w:r>
          </w:p>
        </w:tc>
        <w:tc>
          <w:tcPr>
            <w:tcW w:w="748" w:type="pct"/>
            <w:shd w:val="clear" w:color="auto" w:fill="auto"/>
            <w:vAlign w:val="center"/>
          </w:tcPr>
          <w:p w14:paraId="2FB389C8" w14:textId="77777777" w:rsidR="00764DB6" w:rsidRPr="00905E50" w:rsidRDefault="00764DB6" w:rsidP="001C7A10">
            <w:pPr>
              <w:pStyle w:val="BodyText2"/>
              <w:jc w:val="center"/>
              <w:rPr>
                <w:sz w:val="24"/>
              </w:rPr>
            </w:pPr>
            <w:r w:rsidRPr="00905E50">
              <w:rPr>
                <w:sz w:val="24"/>
              </w:rPr>
              <w:t>1,194</w:t>
            </w:r>
          </w:p>
        </w:tc>
        <w:tc>
          <w:tcPr>
            <w:tcW w:w="748" w:type="pct"/>
            <w:shd w:val="clear" w:color="auto" w:fill="auto"/>
            <w:vAlign w:val="center"/>
          </w:tcPr>
          <w:p w14:paraId="15B99759" w14:textId="77777777" w:rsidR="00764DB6" w:rsidRPr="00905E50" w:rsidRDefault="00764DB6" w:rsidP="001C7A10">
            <w:pPr>
              <w:pStyle w:val="BodyText2"/>
              <w:jc w:val="center"/>
              <w:rPr>
                <w:sz w:val="24"/>
              </w:rPr>
            </w:pPr>
            <w:r w:rsidRPr="00905E50">
              <w:rPr>
                <w:sz w:val="24"/>
              </w:rPr>
              <w:t>1,194</w:t>
            </w:r>
          </w:p>
        </w:tc>
        <w:tc>
          <w:tcPr>
            <w:tcW w:w="1095" w:type="pct"/>
            <w:shd w:val="clear" w:color="auto" w:fill="auto"/>
            <w:vAlign w:val="center"/>
          </w:tcPr>
          <w:p w14:paraId="0BEFF512" w14:textId="77777777" w:rsidR="00764DB6" w:rsidRPr="00905E50" w:rsidRDefault="00764DB6" w:rsidP="001C7A10">
            <w:pPr>
              <w:pStyle w:val="BodyText2"/>
              <w:jc w:val="center"/>
              <w:rPr>
                <w:sz w:val="24"/>
              </w:rPr>
            </w:pPr>
            <w:r w:rsidRPr="00905E50">
              <w:rPr>
                <w:sz w:val="24"/>
              </w:rPr>
              <w:t>1,194</w:t>
            </w:r>
          </w:p>
        </w:tc>
      </w:tr>
      <w:tr w:rsidR="00764DB6" w:rsidRPr="00905E50" w14:paraId="0AF486A2" w14:textId="77777777" w:rsidTr="00905E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519"/>
        </w:trPr>
        <w:tc>
          <w:tcPr>
            <w:tcW w:w="1175" w:type="pct"/>
            <w:shd w:val="clear" w:color="auto" w:fill="auto"/>
          </w:tcPr>
          <w:p w14:paraId="0C3CC8AE" w14:textId="77777777" w:rsidR="00764DB6" w:rsidRPr="00905E50" w:rsidRDefault="00764DB6" w:rsidP="001C7A10">
            <w:pPr>
              <w:pStyle w:val="naisf"/>
              <w:spacing w:before="0" w:after="0"/>
              <w:jc w:val="left"/>
              <w:rPr>
                <w:i/>
              </w:rPr>
            </w:pPr>
            <w:r w:rsidRPr="00905E50">
              <w:t xml:space="preserve">1.2. valsts speciālais budžets (bez </w:t>
            </w:r>
            <w:proofErr w:type="spellStart"/>
            <w:r w:rsidRPr="00905E50">
              <w:t>fond.pens.iem</w:t>
            </w:r>
            <w:proofErr w:type="spellEnd"/>
            <w:r w:rsidRPr="00905E50">
              <w:t>)</w:t>
            </w:r>
          </w:p>
        </w:tc>
        <w:tc>
          <w:tcPr>
            <w:tcW w:w="591" w:type="pct"/>
            <w:shd w:val="clear" w:color="auto" w:fill="auto"/>
            <w:vAlign w:val="center"/>
          </w:tcPr>
          <w:p w14:paraId="12EB67A6" w14:textId="77777777" w:rsidR="00764DB6" w:rsidRPr="00905E50" w:rsidRDefault="00764DB6" w:rsidP="001C7A10">
            <w:pPr>
              <w:jc w:val="center"/>
              <w:rPr>
                <w:rFonts w:cs="Times New Roman"/>
                <w:sz w:val="24"/>
                <w:szCs w:val="24"/>
                <w:lang w:val="lv-LV"/>
              </w:rPr>
            </w:pPr>
            <w:r w:rsidRPr="00905E50">
              <w:rPr>
                <w:rFonts w:cs="Times New Roman"/>
                <w:sz w:val="24"/>
                <w:szCs w:val="24"/>
                <w:lang w:val="lv-LV"/>
              </w:rPr>
              <w:t>0</w:t>
            </w:r>
          </w:p>
        </w:tc>
        <w:tc>
          <w:tcPr>
            <w:tcW w:w="643" w:type="pct"/>
            <w:shd w:val="clear" w:color="auto" w:fill="auto"/>
            <w:vAlign w:val="center"/>
          </w:tcPr>
          <w:p w14:paraId="6BF3F3C3" w14:textId="77777777" w:rsidR="00764DB6" w:rsidRPr="00905E50" w:rsidRDefault="00764DB6" w:rsidP="001C7A10">
            <w:pPr>
              <w:jc w:val="center"/>
              <w:rPr>
                <w:rFonts w:cs="Times New Roman"/>
                <w:sz w:val="24"/>
                <w:szCs w:val="24"/>
                <w:lang w:val="lv-LV"/>
              </w:rPr>
            </w:pPr>
            <w:r w:rsidRPr="00905E50">
              <w:rPr>
                <w:rFonts w:cs="Times New Roman"/>
                <w:sz w:val="24"/>
                <w:szCs w:val="24"/>
                <w:lang w:val="lv-LV"/>
              </w:rPr>
              <w:t>0</w:t>
            </w:r>
          </w:p>
        </w:tc>
        <w:tc>
          <w:tcPr>
            <w:tcW w:w="748" w:type="pct"/>
            <w:shd w:val="clear" w:color="auto" w:fill="auto"/>
            <w:vAlign w:val="center"/>
          </w:tcPr>
          <w:p w14:paraId="08DB8358" w14:textId="77777777" w:rsidR="00764DB6" w:rsidRPr="00905E50" w:rsidRDefault="00764DB6" w:rsidP="001C7A10">
            <w:pPr>
              <w:pStyle w:val="BodyText2"/>
              <w:jc w:val="center"/>
              <w:rPr>
                <w:sz w:val="24"/>
              </w:rPr>
            </w:pPr>
            <w:r w:rsidRPr="00905E50">
              <w:rPr>
                <w:sz w:val="24"/>
              </w:rPr>
              <w:t>3,601</w:t>
            </w:r>
          </w:p>
        </w:tc>
        <w:tc>
          <w:tcPr>
            <w:tcW w:w="748" w:type="pct"/>
            <w:shd w:val="clear" w:color="auto" w:fill="auto"/>
            <w:vAlign w:val="center"/>
          </w:tcPr>
          <w:p w14:paraId="684A720D" w14:textId="77777777" w:rsidR="00764DB6" w:rsidRPr="00905E50" w:rsidRDefault="00764DB6" w:rsidP="001C7A10">
            <w:pPr>
              <w:pStyle w:val="BodyText2"/>
              <w:jc w:val="center"/>
              <w:rPr>
                <w:sz w:val="24"/>
              </w:rPr>
            </w:pPr>
            <w:r w:rsidRPr="00905E50">
              <w:rPr>
                <w:sz w:val="24"/>
              </w:rPr>
              <w:t>3,601</w:t>
            </w:r>
          </w:p>
        </w:tc>
        <w:tc>
          <w:tcPr>
            <w:tcW w:w="1095" w:type="pct"/>
            <w:shd w:val="clear" w:color="auto" w:fill="auto"/>
            <w:vAlign w:val="center"/>
          </w:tcPr>
          <w:p w14:paraId="0B064793" w14:textId="77777777" w:rsidR="00764DB6" w:rsidRPr="00905E50" w:rsidRDefault="00764DB6" w:rsidP="001C7A10">
            <w:pPr>
              <w:pStyle w:val="BodyText2"/>
              <w:jc w:val="center"/>
              <w:rPr>
                <w:sz w:val="24"/>
              </w:rPr>
            </w:pPr>
            <w:r w:rsidRPr="00905E50">
              <w:rPr>
                <w:sz w:val="24"/>
              </w:rPr>
              <w:t>3,601</w:t>
            </w:r>
          </w:p>
        </w:tc>
      </w:tr>
      <w:tr w:rsidR="00764DB6" w:rsidRPr="00905E50" w14:paraId="1D6C5919" w14:textId="77777777" w:rsidTr="00905E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1175" w:type="pct"/>
            <w:shd w:val="clear" w:color="auto" w:fill="auto"/>
          </w:tcPr>
          <w:p w14:paraId="61DD991D" w14:textId="77777777" w:rsidR="00764DB6" w:rsidRPr="00905E50" w:rsidRDefault="00764DB6" w:rsidP="001C7A10">
            <w:pPr>
              <w:rPr>
                <w:rFonts w:cs="Times New Roman"/>
                <w:sz w:val="24"/>
                <w:szCs w:val="24"/>
                <w:lang w:val="lv-LV"/>
              </w:rPr>
            </w:pPr>
            <w:r w:rsidRPr="00905E50">
              <w:rPr>
                <w:rFonts w:cs="Times New Roman"/>
                <w:sz w:val="24"/>
                <w:szCs w:val="24"/>
                <w:lang w:val="lv-LV"/>
              </w:rPr>
              <w:lastRenderedPageBreak/>
              <w:t>1.3. pašvaldību budžets</w:t>
            </w:r>
          </w:p>
        </w:tc>
        <w:tc>
          <w:tcPr>
            <w:tcW w:w="591" w:type="pct"/>
            <w:shd w:val="clear" w:color="auto" w:fill="auto"/>
            <w:vAlign w:val="center"/>
          </w:tcPr>
          <w:p w14:paraId="0D47EA72" w14:textId="77777777" w:rsidR="00764DB6" w:rsidRPr="00905E50" w:rsidRDefault="00764DB6" w:rsidP="001C7A10">
            <w:pPr>
              <w:jc w:val="center"/>
              <w:rPr>
                <w:rFonts w:cs="Times New Roman"/>
                <w:sz w:val="24"/>
                <w:szCs w:val="24"/>
                <w:lang w:val="lv-LV"/>
              </w:rPr>
            </w:pPr>
            <w:r w:rsidRPr="00905E50">
              <w:rPr>
                <w:rFonts w:cs="Times New Roman"/>
                <w:sz w:val="24"/>
                <w:szCs w:val="24"/>
                <w:lang w:val="lv-LV"/>
              </w:rPr>
              <w:t>0</w:t>
            </w:r>
          </w:p>
        </w:tc>
        <w:tc>
          <w:tcPr>
            <w:tcW w:w="643" w:type="pct"/>
            <w:shd w:val="clear" w:color="auto" w:fill="auto"/>
            <w:vAlign w:val="center"/>
          </w:tcPr>
          <w:p w14:paraId="1AF9C306" w14:textId="77777777" w:rsidR="00764DB6" w:rsidRPr="00905E50" w:rsidRDefault="00764DB6" w:rsidP="001C7A10">
            <w:pPr>
              <w:jc w:val="center"/>
              <w:rPr>
                <w:rFonts w:cs="Times New Roman"/>
                <w:sz w:val="24"/>
                <w:szCs w:val="24"/>
                <w:lang w:val="lv-LV"/>
              </w:rPr>
            </w:pPr>
            <w:r w:rsidRPr="00905E50">
              <w:rPr>
                <w:rFonts w:cs="Times New Roman"/>
                <w:sz w:val="24"/>
                <w:szCs w:val="24"/>
                <w:lang w:val="lv-LV"/>
              </w:rPr>
              <w:t>0</w:t>
            </w:r>
          </w:p>
        </w:tc>
        <w:tc>
          <w:tcPr>
            <w:tcW w:w="748" w:type="pct"/>
            <w:shd w:val="clear" w:color="auto" w:fill="auto"/>
            <w:vAlign w:val="center"/>
          </w:tcPr>
          <w:p w14:paraId="7ABB8C13" w14:textId="77777777" w:rsidR="00764DB6" w:rsidRPr="00905E50" w:rsidRDefault="00764DB6" w:rsidP="001C7A10">
            <w:pPr>
              <w:pStyle w:val="BodyText2"/>
              <w:jc w:val="center"/>
              <w:rPr>
                <w:sz w:val="24"/>
              </w:rPr>
            </w:pPr>
            <w:r w:rsidRPr="00905E50">
              <w:rPr>
                <w:sz w:val="24"/>
              </w:rPr>
              <w:t>2,103</w:t>
            </w:r>
          </w:p>
        </w:tc>
        <w:tc>
          <w:tcPr>
            <w:tcW w:w="748" w:type="pct"/>
            <w:shd w:val="clear" w:color="auto" w:fill="auto"/>
            <w:vAlign w:val="center"/>
          </w:tcPr>
          <w:p w14:paraId="07F9BF60" w14:textId="77777777" w:rsidR="00764DB6" w:rsidRPr="00905E50" w:rsidRDefault="00764DB6" w:rsidP="001C7A10">
            <w:pPr>
              <w:pStyle w:val="BodyText2"/>
              <w:jc w:val="center"/>
              <w:rPr>
                <w:sz w:val="24"/>
              </w:rPr>
            </w:pPr>
            <w:r w:rsidRPr="00905E50">
              <w:rPr>
                <w:sz w:val="24"/>
              </w:rPr>
              <w:t>2,103</w:t>
            </w:r>
          </w:p>
        </w:tc>
        <w:tc>
          <w:tcPr>
            <w:tcW w:w="1095" w:type="pct"/>
            <w:shd w:val="clear" w:color="auto" w:fill="auto"/>
            <w:vAlign w:val="center"/>
          </w:tcPr>
          <w:p w14:paraId="132F6CC4" w14:textId="77777777" w:rsidR="00764DB6" w:rsidRPr="00905E50" w:rsidRDefault="00764DB6" w:rsidP="001C7A10">
            <w:pPr>
              <w:pStyle w:val="BodyText2"/>
              <w:jc w:val="center"/>
              <w:rPr>
                <w:sz w:val="24"/>
              </w:rPr>
            </w:pPr>
            <w:r w:rsidRPr="00905E50">
              <w:rPr>
                <w:sz w:val="24"/>
              </w:rPr>
              <w:t>2,103</w:t>
            </w:r>
          </w:p>
        </w:tc>
      </w:tr>
      <w:tr w:rsidR="00764DB6" w:rsidRPr="00905E50" w14:paraId="269D37FE" w14:textId="77777777" w:rsidTr="00905E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1175" w:type="pct"/>
            <w:shd w:val="clear" w:color="auto" w:fill="auto"/>
          </w:tcPr>
          <w:p w14:paraId="60A2C8E8" w14:textId="77777777" w:rsidR="00764DB6" w:rsidRPr="00905E50" w:rsidRDefault="00764DB6" w:rsidP="001C7A10">
            <w:pPr>
              <w:rPr>
                <w:rFonts w:cs="Times New Roman"/>
                <w:b/>
                <w:sz w:val="24"/>
                <w:szCs w:val="24"/>
                <w:lang w:val="lv-LV"/>
              </w:rPr>
            </w:pPr>
            <w:r w:rsidRPr="00905E50">
              <w:rPr>
                <w:rFonts w:cs="Times New Roman"/>
                <w:b/>
                <w:sz w:val="24"/>
                <w:szCs w:val="24"/>
                <w:lang w:val="lv-LV"/>
              </w:rPr>
              <w:t>2. Budžeta izdevumi:</w:t>
            </w:r>
          </w:p>
        </w:tc>
        <w:tc>
          <w:tcPr>
            <w:tcW w:w="591" w:type="pct"/>
            <w:shd w:val="clear" w:color="auto" w:fill="auto"/>
            <w:vAlign w:val="center"/>
          </w:tcPr>
          <w:p w14:paraId="6002484B" w14:textId="77777777" w:rsidR="00764DB6" w:rsidRPr="00905E50" w:rsidRDefault="00764DB6" w:rsidP="001C7A10">
            <w:pPr>
              <w:jc w:val="center"/>
              <w:rPr>
                <w:rFonts w:cs="Times New Roman"/>
                <w:b/>
                <w:sz w:val="24"/>
                <w:szCs w:val="24"/>
                <w:lang w:val="lv-LV"/>
              </w:rPr>
            </w:pPr>
            <w:r w:rsidRPr="00905E50">
              <w:rPr>
                <w:rFonts w:cs="Times New Roman"/>
                <w:b/>
                <w:sz w:val="24"/>
                <w:szCs w:val="24"/>
                <w:lang w:val="lv-LV"/>
              </w:rPr>
              <w:t>0</w:t>
            </w:r>
          </w:p>
        </w:tc>
        <w:tc>
          <w:tcPr>
            <w:tcW w:w="643" w:type="pct"/>
            <w:shd w:val="clear" w:color="auto" w:fill="auto"/>
            <w:vAlign w:val="center"/>
          </w:tcPr>
          <w:p w14:paraId="529C412F" w14:textId="77777777" w:rsidR="00764DB6" w:rsidRPr="00905E50" w:rsidRDefault="00764DB6" w:rsidP="001C7A10">
            <w:pPr>
              <w:jc w:val="center"/>
              <w:rPr>
                <w:rFonts w:cs="Times New Roman"/>
                <w:b/>
                <w:sz w:val="24"/>
                <w:szCs w:val="24"/>
                <w:lang w:val="lv-LV"/>
              </w:rPr>
            </w:pPr>
            <w:r w:rsidRPr="00905E50">
              <w:rPr>
                <w:rFonts w:cs="Times New Roman"/>
                <w:b/>
                <w:sz w:val="24"/>
                <w:szCs w:val="24"/>
                <w:lang w:val="lv-LV"/>
              </w:rPr>
              <w:t>0</w:t>
            </w:r>
          </w:p>
        </w:tc>
        <w:tc>
          <w:tcPr>
            <w:tcW w:w="748" w:type="pct"/>
            <w:shd w:val="clear" w:color="auto" w:fill="auto"/>
            <w:vAlign w:val="center"/>
          </w:tcPr>
          <w:p w14:paraId="4F7D7D0B" w14:textId="77777777" w:rsidR="00764DB6" w:rsidRPr="00905E50" w:rsidRDefault="00764DB6" w:rsidP="001C7A10">
            <w:pPr>
              <w:jc w:val="center"/>
              <w:rPr>
                <w:rFonts w:cs="Times New Roman"/>
                <w:b/>
                <w:sz w:val="24"/>
                <w:szCs w:val="24"/>
                <w:lang w:val="lv-LV"/>
              </w:rPr>
            </w:pPr>
            <w:r w:rsidRPr="00905E50">
              <w:rPr>
                <w:rFonts w:cs="Times New Roman"/>
                <w:b/>
                <w:sz w:val="24"/>
                <w:szCs w:val="24"/>
                <w:lang w:val="lv-LV"/>
              </w:rPr>
              <w:t>-4,825</w:t>
            </w:r>
          </w:p>
        </w:tc>
        <w:tc>
          <w:tcPr>
            <w:tcW w:w="748" w:type="pct"/>
            <w:shd w:val="clear" w:color="auto" w:fill="auto"/>
            <w:vAlign w:val="center"/>
          </w:tcPr>
          <w:p w14:paraId="1C32E817" w14:textId="77777777" w:rsidR="00764DB6" w:rsidRPr="00905E50" w:rsidRDefault="00764DB6" w:rsidP="001C7A10">
            <w:pPr>
              <w:jc w:val="center"/>
              <w:rPr>
                <w:rFonts w:cs="Times New Roman"/>
                <w:b/>
                <w:sz w:val="24"/>
                <w:szCs w:val="24"/>
                <w:lang w:val="lv-LV"/>
              </w:rPr>
            </w:pPr>
            <w:r w:rsidRPr="00905E50">
              <w:rPr>
                <w:rFonts w:cs="Times New Roman"/>
                <w:b/>
                <w:sz w:val="24"/>
                <w:szCs w:val="24"/>
                <w:lang w:val="lv-LV"/>
              </w:rPr>
              <w:t>-4,825</w:t>
            </w:r>
          </w:p>
        </w:tc>
        <w:tc>
          <w:tcPr>
            <w:tcW w:w="1095" w:type="pct"/>
            <w:shd w:val="clear" w:color="auto" w:fill="auto"/>
            <w:vAlign w:val="center"/>
          </w:tcPr>
          <w:p w14:paraId="67FE6CB5" w14:textId="77777777" w:rsidR="00764DB6" w:rsidRPr="00905E50" w:rsidRDefault="00764DB6" w:rsidP="001C7A10">
            <w:pPr>
              <w:jc w:val="center"/>
              <w:rPr>
                <w:rFonts w:cs="Times New Roman"/>
                <w:b/>
                <w:sz w:val="24"/>
                <w:szCs w:val="24"/>
                <w:lang w:val="lv-LV"/>
              </w:rPr>
            </w:pPr>
            <w:r w:rsidRPr="00905E50">
              <w:rPr>
                <w:rFonts w:cs="Times New Roman"/>
                <w:b/>
                <w:sz w:val="24"/>
                <w:szCs w:val="24"/>
                <w:lang w:val="lv-LV"/>
              </w:rPr>
              <w:t>-4,825</w:t>
            </w:r>
          </w:p>
        </w:tc>
      </w:tr>
      <w:tr w:rsidR="00764DB6" w:rsidRPr="00905E50" w14:paraId="18423FFD" w14:textId="77777777" w:rsidTr="00905E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1175" w:type="pct"/>
            <w:shd w:val="clear" w:color="auto" w:fill="auto"/>
          </w:tcPr>
          <w:p w14:paraId="7879D5C0" w14:textId="77777777" w:rsidR="00764DB6" w:rsidRPr="00905E50" w:rsidRDefault="00764DB6" w:rsidP="001C7A10">
            <w:pPr>
              <w:rPr>
                <w:rFonts w:cs="Times New Roman"/>
                <w:sz w:val="24"/>
                <w:szCs w:val="24"/>
                <w:lang w:val="lv-LV"/>
              </w:rPr>
            </w:pPr>
            <w:r w:rsidRPr="00905E50">
              <w:rPr>
                <w:rFonts w:cs="Times New Roman"/>
                <w:sz w:val="24"/>
                <w:szCs w:val="24"/>
                <w:lang w:val="lv-LV"/>
              </w:rPr>
              <w:t>2.1. valsts pamatbudžets</w:t>
            </w:r>
          </w:p>
        </w:tc>
        <w:tc>
          <w:tcPr>
            <w:tcW w:w="591" w:type="pct"/>
            <w:shd w:val="clear" w:color="auto" w:fill="auto"/>
            <w:vAlign w:val="center"/>
          </w:tcPr>
          <w:p w14:paraId="750A15B7" w14:textId="77777777" w:rsidR="00764DB6" w:rsidRPr="00905E50" w:rsidRDefault="00764DB6" w:rsidP="001C7A10">
            <w:pPr>
              <w:jc w:val="center"/>
              <w:rPr>
                <w:rFonts w:cs="Times New Roman"/>
                <w:sz w:val="24"/>
                <w:szCs w:val="24"/>
                <w:lang w:val="lv-LV"/>
              </w:rPr>
            </w:pPr>
            <w:r w:rsidRPr="00905E50">
              <w:rPr>
                <w:rFonts w:cs="Times New Roman"/>
                <w:sz w:val="24"/>
                <w:szCs w:val="24"/>
                <w:lang w:val="lv-LV"/>
              </w:rPr>
              <w:t>0</w:t>
            </w:r>
          </w:p>
        </w:tc>
        <w:tc>
          <w:tcPr>
            <w:tcW w:w="643" w:type="pct"/>
            <w:shd w:val="clear" w:color="auto" w:fill="auto"/>
            <w:vAlign w:val="center"/>
          </w:tcPr>
          <w:p w14:paraId="1EF00E22" w14:textId="77777777" w:rsidR="00764DB6" w:rsidRPr="00905E50" w:rsidRDefault="00764DB6" w:rsidP="001C7A10">
            <w:pPr>
              <w:jc w:val="center"/>
              <w:rPr>
                <w:rFonts w:cs="Times New Roman"/>
                <w:sz w:val="24"/>
                <w:szCs w:val="24"/>
                <w:lang w:val="lv-LV"/>
              </w:rPr>
            </w:pPr>
            <w:r w:rsidRPr="00905E50">
              <w:rPr>
                <w:rFonts w:cs="Times New Roman"/>
                <w:sz w:val="24"/>
                <w:szCs w:val="24"/>
                <w:lang w:val="lv-LV"/>
              </w:rPr>
              <w:t>0</w:t>
            </w:r>
          </w:p>
        </w:tc>
        <w:tc>
          <w:tcPr>
            <w:tcW w:w="748" w:type="pct"/>
            <w:shd w:val="clear" w:color="auto" w:fill="auto"/>
            <w:vAlign w:val="center"/>
          </w:tcPr>
          <w:p w14:paraId="7A5B038B" w14:textId="77777777" w:rsidR="00764DB6" w:rsidRPr="00905E50" w:rsidRDefault="00764DB6" w:rsidP="001C7A10">
            <w:pPr>
              <w:pStyle w:val="BodyText2"/>
              <w:jc w:val="center"/>
              <w:rPr>
                <w:sz w:val="24"/>
              </w:rPr>
            </w:pPr>
            <w:r w:rsidRPr="00905E50">
              <w:rPr>
                <w:sz w:val="24"/>
              </w:rPr>
              <w:t>-3,079</w:t>
            </w:r>
          </w:p>
        </w:tc>
        <w:tc>
          <w:tcPr>
            <w:tcW w:w="748" w:type="pct"/>
            <w:shd w:val="clear" w:color="auto" w:fill="auto"/>
            <w:vAlign w:val="center"/>
          </w:tcPr>
          <w:p w14:paraId="10A3D97E" w14:textId="77777777" w:rsidR="00764DB6" w:rsidRPr="00905E50" w:rsidRDefault="00764DB6" w:rsidP="001C7A10">
            <w:pPr>
              <w:pStyle w:val="BodyText2"/>
              <w:jc w:val="center"/>
              <w:rPr>
                <w:sz w:val="24"/>
              </w:rPr>
            </w:pPr>
            <w:r w:rsidRPr="00905E50">
              <w:rPr>
                <w:sz w:val="24"/>
              </w:rPr>
              <w:t>-3,079</w:t>
            </w:r>
          </w:p>
        </w:tc>
        <w:tc>
          <w:tcPr>
            <w:tcW w:w="1095" w:type="pct"/>
            <w:shd w:val="clear" w:color="auto" w:fill="auto"/>
            <w:vAlign w:val="center"/>
          </w:tcPr>
          <w:p w14:paraId="78DB831F" w14:textId="77777777" w:rsidR="00764DB6" w:rsidRPr="00905E50" w:rsidRDefault="00764DB6" w:rsidP="001C7A10">
            <w:pPr>
              <w:pStyle w:val="BodyText2"/>
              <w:jc w:val="center"/>
              <w:rPr>
                <w:sz w:val="24"/>
              </w:rPr>
            </w:pPr>
            <w:r w:rsidRPr="00905E50">
              <w:rPr>
                <w:sz w:val="24"/>
              </w:rPr>
              <w:t>-3,079</w:t>
            </w:r>
          </w:p>
        </w:tc>
      </w:tr>
      <w:tr w:rsidR="00764DB6" w:rsidRPr="00905E50" w14:paraId="4224D5F5" w14:textId="77777777" w:rsidTr="00905E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1175" w:type="pct"/>
            <w:shd w:val="clear" w:color="auto" w:fill="auto"/>
          </w:tcPr>
          <w:p w14:paraId="409D8CF9" w14:textId="77777777" w:rsidR="00764DB6" w:rsidRPr="00905E50" w:rsidRDefault="00764DB6" w:rsidP="001C7A10">
            <w:pPr>
              <w:rPr>
                <w:rFonts w:cs="Times New Roman"/>
                <w:sz w:val="24"/>
                <w:szCs w:val="24"/>
                <w:lang w:val="lv-LV"/>
              </w:rPr>
            </w:pPr>
            <w:r w:rsidRPr="00905E50">
              <w:rPr>
                <w:rFonts w:cs="Times New Roman"/>
                <w:sz w:val="24"/>
                <w:szCs w:val="24"/>
                <w:lang w:val="lv-LV"/>
              </w:rPr>
              <w:t>2.2. valsts speciālais budžets</w:t>
            </w:r>
          </w:p>
        </w:tc>
        <w:tc>
          <w:tcPr>
            <w:tcW w:w="591" w:type="pct"/>
            <w:shd w:val="clear" w:color="auto" w:fill="auto"/>
            <w:vAlign w:val="center"/>
          </w:tcPr>
          <w:p w14:paraId="773611E8" w14:textId="77777777" w:rsidR="00764DB6" w:rsidRPr="00905E50" w:rsidRDefault="00764DB6" w:rsidP="001C7A10">
            <w:pPr>
              <w:jc w:val="center"/>
              <w:rPr>
                <w:rFonts w:cs="Times New Roman"/>
                <w:sz w:val="24"/>
                <w:szCs w:val="24"/>
                <w:lang w:val="lv-LV"/>
              </w:rPr>
            </w:pPr>
            <w:r w:rsidRPr="00905E50">
              <w:rPr>
                <w:rFonts w:cs="Times New Roman"/>
                <w:sz w:val="24"/>
                <w:szCs w:val="24"/>
                <w:lang w:val="lv-LV"/>
              </w:rPr>
              <w:t>0</w:t>
            </w:r>
          </w:p>
        </w:tc>
        <w:tc>
          <w:tcPr>
            <w:tcW w:w="643" w:type="pct"/>
            <w:shd w:val="clear" w:color="auto" w:fill="auto"/>
            <w:vAlign w:val="center"/>
          </w:tcPr>
          <w:p w14:paraId="7059EF3C" w14:textId="77777777" w:rsidR="00764DB6" w:rsidRPr="00905E50" w:rsidRDefault="00764DB6" w:rsidP="001C7A10">
            <w:pPr>
              <w:jc w:val="center"/>
              <w:rPr>
                <w:rFonts w:cs="Times New Roman"/>
                <w:sz w:val="24"/>
                <w:szCs w:val="24"/>
                <w:lang w:val="lv-LV"/>
              </w:rPr>
            </w:pPr>
            <w:r w:rsidRPr="00905E50">
              <w:rPr>
                <w:rFonts w:cs="Times New Roman"/>
                <w:sz w:val="24"/>
                <w:szCs w:val="24"/>
                <w:lang w:val="lv-LV"/>
              </w:rPr>
              <w:t>0</w:t>
            </w:r>
          </w:p>
        </w:tc>
        <w:tc>
          <w:tcPr>
            <w:tcW w:w="748" w:type="pct"/>
            <w:shd w:val="clear" w:color="auto" w:fill="auto"/>
          </w:tcPr>
          <w:p w14:paraId="453BB7AC" w14:textId="77777777" w:rsidR="00764DB6" w:rsidRPr="00905E50" w:rsidRDefault="00764DB6" w:rsidP="001C7A10">
            <w:pPr>
              <w:pStyle w:val="BodyText2"/>
              <w:jc w:val="center"/>
              <w:rPr>
                <w:sz w:val="24"/>
              </w:rPr>
            </w:pPr>
            <w:r w:rsidRPr="00905E50">
              <w:rPr>
                <w:sz w:val="24"/>
              </w:rPr>
              <w:t>-</w:t>
            </w:r>
          </w:p>
        </w:tc>
        <w:tc>
          <w:tcPr>
            <w:tcW w:w="748" w:type="pct"/>
            <w:shd w:val="clear" w:color="auto" w:fill="auto"/>
          </w:tcPr>
          <w:p w14:paraId="1F022A76" w14:textId="77777777" w:rsidR="00764DB6" w:rsidRPr="00905E50" w:rsidRDefault="00764DB6" w:rsidP="001C7A10">
            <w:pPr>
              <w:pStyle w:val="BodyText2"/>
              <w:jc w:val="center"/>
              <w:rPr>
                <w:sz w:val="24"/>
              </w:rPr>
            </w:pPr>
            <w:r w:rsidRPr="00905E50">
              <w:rPr>
                <w:sz w:val="24"/>
              </w:rPr>
              <w:t>-</w:t>
            </w:r>
          </w:p>
        </w:tc>
        <w:tc>
          <w:tcPr>
            <w:tcW w:w="1095" w:type="pct"/>
            <w:shd w:val="clear" w:color="auto" w:fill="auto"/>
          </w:tcPr>
          <w:p w14:paraId="3123B6B4" w14:textId="77777777" w:rsidR="00764DB6" w:rsidRPr="00905E50" w:rsidRDefault="00764DB6" w:rsidP="001C7A10">
            <w:pPr>
              <w:pStyle w:val="BodyText2"/>
              <w:jc w:val="center"/>
              <w:rPr>
                <w:sz w:val="24"/>
              </w:rPr>
            </w:pPr>
            <w:r w:rsidRPr="00905E50">
              <w:rPr>
                <w:sz w:val="24"/>
              </w:rPr>
              <w:t>-</w:t>
            </w:r>
          </w:p>
        </w:tc>
      </w:tr>
      <w:tr w:rsidR="00764DB6" w:rsidRPr="00905E50" w14:paraId="039F4C3D" w14:textId="77777777" w:rsidTr="00905E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1175" w:type="pct"/>
            <w:shd w:val="clear" w:color="auto" w:fill="auto"/>
          </w:tcPr>
          <w:p w14:paraId="1A30E52F" w14:textId="77777777" w:rsidR="00764DB6" w:rsidRPr="00905E50" w:rsidRDefault="00764DB6" w:rsidP="001C7A10">
            <w:pPr>
              <w:rPr>
                <w:rFonts w:cs="Times New Roman"/>
                <w:sz w:val="24"/>
                <w:szCs w:val="24"/>
                <w:lang w:val="lv-LV"/>
              </w:rPr>
            </w:pPr>
            <w:r w:rsidRPr="00905E50">
              <w:rPr>
                <w:rFonts w:cs="Times New Roman"/>
                <w:sz w:val="24"/>
                <w:szCs w:val="24"/>
                <w:lang w:val="lv-LV"/>
              </w:rPr>
              <w:t xml:space="preserve">2.3. pašvaldību budžets </w:t>
            </w:r>
          </w:p>
        </w:tc>
        <w:tc>
          <w:tcPr>
            <w:tcW w:w="591" w:type="pct"/>
            <w:shd w:val="clear" w:color="auto" w:fill="auto"/>
            <w:vAlign w:val="center"/>
          </w:tcPr>
          <w:p w14:paraId="60D4F2FF" w14:textId="77777777" w:rsidR="00764DB6" w:rsidRPr="00905E50" w:rsidRDefault="00764DB6" w:rsidP="001C7A10">
            <w:pPr>
              <w:jc w:val="center"/>
              <w:rPr>
                <w:rFonts w:cs="Times New Roman"/>
                <w:sz w:val="24"/>
                <w:szCs w:val="24"/>
                <w:lang w:val="lv-LV"/>
              </w:rPr>
            </w:pPr>
            <w:r w:rsidRPr="00905E50">
              <w:rPr>
                <w:rFonts w:cs="Times New Roman"/>
                <w:sz w:val="24"/>
                <w:szCs w:val="24"/>
                <w:lang w:val="lv-LV"/>
              </w:rPr>
              <w:t>0</w:t>
            </w:r>
          </w:p>
        </w:tc>
        <w:tc>
          <w:tcPr>
            <w:tcW w:w="643" w:type="pct"/>
            <w:shd w:val="clear" w:color="auto" w:fill="auto"/>
            <w:vAlign w:val="center"/>
          </w:tcPr>
          <w:p w14:paraId="647AFFF2" w14:textId="77777777" w:rsidR="00764DB6" w:rsidRPr="00905E50" w:rsidRDefault="00764DB6" w:rsidP="001C7A10">
            <w:pPr>
              <w:jc w:val="center"/>
              <w:rPr>
                <w:rFonts w:cs="Times New Roman"/>
                <w:sz w:val="24"/>
                <w:szCs w:val="24"/>
                <w:lang w:val="lv-LV"/>
              </w:rPr>
            </w:pPr>
            <w:r w:rsidRPr="00905E50">
              <w:rPr>
                <w:rFonts w:cs="Times New Roman"/>
                <w:sz w:val="24"/>
                <w:szCs w:val="24"/>
                <w:lang w:val="lv-LV"/>
              </w:rPr>
              <w:t>0</w:t>
            </w:r>
          </w:p>
        </w:tc>
        <w:tc>
          <w:tcPr>
            <w:tcW w:w="748" w:type="pct"/>
            <w:shd w:val="clear" w:color="auto" w:fill="auto"/>
          </w:tcPr>
          <w:p w14:paraId="5DB9C28D" w14:textId="77777777" w:rsidR="00764DB6" w:rsidRPr="00905E50" w:rsidRDefault="00764DB6" w:rsidP="001C7A10">
            <w:pPr>
              <w:pStyle w:val="BodyText2"/>
              <w:jc w:val="center"/>
              <w:rPr>
                <w:sz w:val="24"/>
              </w:rPr>
            </w:pPr>
            <w:r w:rsidRPr="00905E50">
              <w:rPr>
                <w:sz w:val="24"/>
              </w:rPr>
              <w:t>-1,746</w:t>
            </w:r>
          </w:p>
        </w:tc>
        <w:tc>
          <w:tcPr>
            <w:tcW w:w="748" w:type="pct"/>
            <w:shd w:val="clear" w:color="auto" w:fill="auto"/>
          </w:tcPr>
          <w:p w14:paraId="3A697AAF" w14:textId="77777777" w:rsidR="00764DB6" w:rsidRPr="00905E50" w:rsidRDefault="00764DB6" w:rsidP="001C7A10">
            <w:pPr>
              <w:pStyle w:val="BodyText2"/>
              <w:jc w:val="center"/>
              <w:rPr>
                <w:sz w:val="24"/>
              </w:rPr>
            </w:pPr>
            <w:r w:rsidRPr="00905E50">
              <w:rPr>
                <w:sz w:val="24"/>
              </w:rPr>
              <w:t>-1,746</w:t>
            </w:r>
          </w:p>
        </w:tc>
        <w:tc>
          <w:tcPr>
            <w:tcW w:w="1095" w:type="pct"/>
            <w:shd w:val="clear" w:color="auto" w:fill="auto"/>
          </w:tcPr>
          <w:p w14:paraId="7B944EC8" w14:textId="77777777" w:rsidR="00764DB6" w:rsidRPr="00905E50" w:rsidRDefault="00764DB6" w:rsidP="001C7A10">
            <w:pPr>
              <w:pStyle w:val="BodyText2"/>
              <w:jc w:val="center"/>
              <w:rPr>
                <w:sz w:val="24"/>
              </w:rPr>
            </w:pPr>
            <w:r w:rsidRPr="00905E50">
              <w:rPr>
                <w:sz w:val="24"/>
              </w:rPr>
              <w:t>-1,746</w:t>
            </w:r>
          </w:p>
        </w:tc>
      </w:tr>
      <w:tr w:rsidR="00764DB6" w:rsidRPr="00905E50" w14:paraId="3632E525" w14:textId="77777777" w:rsidTr="00905E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1175" w:type="pct"/>
            <w:shd w:val="clear" w:color="auto" w:fill="auto"/>
          </w:tcPr>
          <w:p w14:paraId="113C8420" w14:textId="77777777" w:rsidR="00764DB6" w:rsidRPr="00905E50" w:rsidRDefault="00764DB6" w:rsidP="001C7A10">
            <w:pPr>
              <w:rPr>
                <w:rFonts w:cs="Times New Roman"/>
                <w:sz w:val="24"/>
                <w:szCs w:val="24"/>
                <w:lang w:val="lv-LV"/>
              </w:rPr>
            </w:pPr>
            <w:r w:rsidRPr="00905E50">
              <w:rPr>
                <w:rFonts w:cs="Times New Roman"/>
                <w:b/>
                <w:sz w:val="24"/>
                <w:szCs w:val="24"/>
                <w:lang w:val="lv-LV" w:eastAsia="lv-LV"/>
              </w:rPr>
              <w:t>3. Finansiālā ietekme</w:t>
            </w:r>
            <w:r w:rsidRPr="00905E50">
              <w:rPr>
                <w:rFonts w:cs="Times New Roman"/>
                <w:sz w:val="24"/>
                <w:szCs w:val="24"/>
                <w:lang w:val="lv-LV" w:eastAsia="lv-LV"/>
              </w:rPr>
              <w:t>:</w:t>
            </w:r>
          </w:p>
        </w:tc>
        <w:tc>
          <w:tcPr>
            <w:tcW w:w="591" w:type="pct"/>
            <w:shd w:val="clear" w:color="auto" w:fill="auto"/>
            <w:vAlign w:val="center"/>
          </w:tcPr>
          <w:p w14:paraId="59A5696F" w14:textId="77777777" w:rsidR="00764DB6" w:rsidRPr="00905E50" w:rsidRDefault="00764DB6" w:rsidP="001C7A10">
            <w:pPr>
              <w:jc w:val="center"/>
              <w:rPr>
                <w:rFonts w:cs="Times New Roman"/>
                <w:sz w:val="24"/>
                <w:szCs w:val="24"/>
                <w:lang w:val="lv-LV"/>
              </w:rPr>
            </w:pPr>
            <w:r w:rsidRPr="00905E50">
              <w:rPr>
                <w:rFonts w:cs="Times New Roman"/>
                <w:sz w:val="24"/>
                <w:szCs w:val="24"/>
                <w:lang w:val="lv-LV"/>
              </w:rPr>
              <w:t>0</w:t>
            </w:r>
          </w:p>
        </w:tc>
        <w:tc>
          <w:tcPr>
            <w:tcW w:w="643" w:type="pct"/>
            <w:shd w:val="clear" w:color="auto" w:fill="auto"/>
            <w:vAlign w:val="center"/>
          </w:tcPr>
          <w:p w14:paraId="39CAAECD" w14:textId="77777777" w:rsidR="00764DB6" w:rsidRPr="00905E50" w:rsidRDefault="00764DB6" w:rsidP="001C7A10">
            <w:pPr>
              <w:jc w:val="center"/>
              <w:rPr>
                <w:rFonts w:cs="Times New Roman"/>
                <w:sz w:val="24"/>
                <w:szCs w:val="24"/>
                <w:lang w:val="lv-LV"/>
              </w:rPr>
            </w:pPr>
            <w:r w:rsidRPr="00905E50">
              <w:rPr>
                <w:rFonts w:cs="Times New Roman"/>
                <w:sz w:val="24"/>
                <w:szCs w:val="24"/>
                <w:lang w:val="lv-LV"/>
              </w:rPr>
              <w:t>0</w:t>
            </w:r>
          </w:p>
        </w:tc>
        <w:tc>
          <w:tcPr>
            <w:tcW w:w="748" w:type="pct"/>
            <w:shd w:val="clear" w:color="auto" w:fill="auto"/>
          </w:tcPr>
          <w:p w14:paraId="2FA0C265" w14:textId="77777777" w:rsidR="00764DB6" w:rsidRPr="00905E50" w:rsidRDefault="00764DB6" w:rsidP="001C7A10">
            <w:pPr>
              <w:pStyle w:val="BodyText2"/>
              <w:jc w:val="center"/>
              <w:rPr>
                <w:b/>
                <w:sz w:val="24"/>
              </w:rPr>
            </w:pPr>
            <w:r w:rsidRPr="00905E50">
              <w:rPr>
                <w:b/>
                <w:sz w:val="24"/>
              </w:rPr>
              <w:t>2,073</w:t>
            </w:r>
          </w:p>
        </w:tc>
        <w:tc>
          <w:tcPr>
            <w:tcW w:w="748" w:type="pct"/>
            <w:shd w:val="clear" w:color="auto" w:fill="auto"/>
          </w:tcPr>
          <w:p w14:paraId="454E60F3" w14:textId="77777777" w:rsidR="00764DB6" w:rsidRPr="00905E50" w:rsidRDefault="00764DB6" w:rsidP="001C7A10">
            <w:pPr>
              <w:pStyle w:val="BodyText2"/>
              <w:jc w:val="center"/>
              <w:rPr>
                <w:b/>
                <w:sz w:val="24"/>
              </w:rPr>
            </w:pPr>
            <w:r w:rsidRPr="00905E50">
              <w:rPr>
                <w:b/>
                <w:sz w:val="24"/>
              </w:rPr>
              <w:t>2,073</w:t>
            </w:r>
          </w:p>
        </w:tc>
        <w:tc>
          <w:tcPr>
            <w:tcW w:w="1095" w:type="pct"/>
            <w:shd w:val="clear" w:color="auto" w:fill="auto"/>
          </w:tcPr>
          <w:p w14:paraId="6AEA3652" w14:textId="77777777" w:rsidR="00764DB6" w:rsidRPr="00905E50" w:rsidRDefault="00764DB6" w:rsidP="001C7A10">
            <w:pPr>
              <w:pStyle w:val="BodyText2"/>
              <w:jc w:val="center"/>
              <w:rPr>
                <w:b/>
                <w:sz w:val="24"/>
              </w:rPr>
            </w:pPr>
            <w:r w:rsidRPr="00905E50">
              <w:rPr>
                <w:b/>
                <w:sz w:val="24"/>
              </w:rPr>
              <w:t>2,073</w:t>
            </w:r>
          </w:p>
        </w:tc>
      </w:tr>
      <w:tr w:rsidR="00764DB6" w:rsidRPr="00905E50" w14:paraId="0575AC52" w14:textId="77777777" w:rsidTr="00905E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1175" w:type="pct"/>
            <w:shd w:val="clear" w:color="auto" w:fill="auto"/>
          </w:tcPr>
          <w:p w14:paraId="598D91EF" w14:textId="77777777" w:rsidR="00764DB6" w:rsidRPr="00905E50" w:rsidRDefault="00764DB6" w:rsidP="001C7A10">
            <w:pPr>
              <w:rPr>
                <w:rFonts w:cs="Times New Roman"/>
                <w:sz w:val="24"/>
                <w:szCs w:val="24"/>
                <w:lang w:val="lv-LV"/>
              </w:rPr>
            </w:pPr>
            <w:r w:rsidRPr="00905E50">
              <w:rPr>
                <w:rFonts w:cs="Times New Roman"/>
                <w:sz w:val="24"/>
                <w:szCs w:val="24"/>
                <w:lang w:val="lv-LV" w:eastAsia="lv-LV"/>
              </w:rPr>
              <w:t>3.1. valsts pamatbudžets</w:t>
            </w:r>
          </w:p>
        </w:tc>
        <w:tc>
          <w:tcPr>
            <w:tcW w:w="591" w:type="pct"/>
            <w:shd w:val="clear" w:color="auto" w:fill="auto"/>
            <w:vAlign w:val="center"/>
          </w:tcPr>
          <w:p w14:paraId="27246155" w14:textId="77777777" w:rsidR="00764DB6" w:rsidRPr="00905E50" w:rsidRDefault="00764DB6" w:rsidP="001C7A10">
            <w:pPr>
              <w:jc w:val="center"/>
              <w:rPr>
                <w:rFonts w:cs="Times New Roman"/>
                <w:sz w:val="24"/>
                <w:szCs w:val="24"/>
                <w:lang w:val="lv-LV"/>
              </w:rPr>
            </w:pPr>
            <w:r w:rsidRPr="00905E50">
              <w:rPr>
                <w:rFonts w:cs="Times New Roman"/>
                <w:sz w:val="24"/>
                <w:szCs w:val="24"/>
                <w:lang w:val="lv-LV"/>
              </w:rPr>
              <w:t>0</w:t>
            </w:r>
          </w:p>
        </w:tc>
        <w:tc>
          <w:tcPr>
            <w:tcW w:w="643" w:type="pct"/>
            <w:shd w:val="clear" w:color="auto" w:fill="auto"/>
            <w:vAlign w:val="center"/>
          </w:tcPr>
          <w:p w14:paraId="39B6B5BF" w14:textId="77777777" w:rsidR="00764DB6" w:rsidRPr="00905E50" w:rsidRDefault="00764DB6" w:rsidP="001C7A10">
            <w:pPr>
              <w:jc w:val="center"/>
              <w:rPr>
                <w:rFonts w:cs="Times New Roman"/>
                <w:sz w:val="24"/>
                <w:szCs w:val="24"/>
                <w:lang w:val="lv-LV"/>
              </w:rPr>
            </w:pPr>
            <w:r w:rsidRPr="00905E50">
              <w:rPr>
                <w:rFonts w:cs="Times New Roman"/>
                <w:sz w:val="24"/>
                <w:szCs w:val="24"/>
                <w:lang w:val="lv-LV"/>
              </w:rPr>
              <w:t>0</w:t>
            </w:r>
          </w:p>
        </w:tc>
        <w:tc>
          <w:tcPr>
            <w:tcW w:w="748" w:type="pct"/>
            <w:shd w:val="clear" w:color="auto" w:fill="auto"/>
          </w:tcPr>
          <w:p w14:paraId="31673F3F" w14:textId="77777777" w:rsidR="00764DB6" w:rsidRPr="00905E50" w:rsidRDefault="00764DB6" w:rsidP="001C7A10">
            <w:pPr>
              <w:pStyle w:val="BodyText2"/>
              <w:jc w:val="center"/>
              <w:rPr>
                <w:sz w:val="24"/>
              </w:rPr>
            </w:pPr>
            <w:r w:rsidRPr="00905E50">
              <w:rPr>
                <w:sz w:val="24"/>
              </w:rPr>
              <w:t>-1,885</w:t>
            </w:r>
          </w:p>
        </w:tc>
        <w:tc>
          <w:tcPr>
            <w:tcW w:w="748" w:type="pct"/>
            <w:shd w:val="clear" w:color="auto" w:fill="auto"/>
          </w:tcPr>
          <w:p w14:paraId="60F22C13" w14:textId="77777777" w:rsidR="00764DB6" w:rsidRPr="00905E50" w:rsidRDefault="00764DB6" w:rsidP="001C7A10">
            <w:pPr>
              <w:pStyle w:val="BodyText2"/>
              <w:jc w:val="center"/>
              <w:rPr>
                <w:sz w:val="24"/>
              </w:rPr>
            </w:pPr>
            <w:r w:rsidRPr="00905E50">
              <w:rPr>
                <w:sz w:val="24"/>
              </w:rPr>
              <w:t>-1,885</w:t>
            </w:r>
          </w:p>
        </w:tc>
        <w:tc>
          <w:tcPr>
            <w:tcW w:w="1095" w:type="pct"/>
            <w:shd w:val="clear" w:color="auto" w:fill="auto"/>
          </w:tcPr>
          <w:p w14:paraId="4591CD16" w14:textId="77777777" w:rsidR="00764DB6" w:rsidRPr="00905E50" w:rsidRDefault="00764DB6" w:rsidP="001C7A10">
            <w:pPr>
              <w:pStyle w:val="BodyText2"/>
              <w:jc w:val="center"/>
              <w:rPr>
                <w:sz w:val="24"/>
              </w:rPr>
            </w:pPr>
            <w:r w:rsidRPr="00905E50">
              <w:rPr>
                <w:sz w:val="24"/>
              </w:rPr>
              <w:t>-1,885</w:t>
            </w:r>
          </w:p>
        </w:tc>
      </w:tr>
      <w:tr w:rsidR="00764DB6" w:rsidRPr="00905E50" w14:paraId="671F8609" w14:textId="77777777" w:rsidTr="00905E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1175" w:type="pct"/>
            <w:shd w:val="clear" w:color="auto" w:fill="auto"/>
          </w:tcPr>
          <w:p w14:paraId="0E608BC7" w14:textId="77777777" w:rsidR="00764DB6" w:rsidRPr="00905E50" w:rsidRDefault="00764DB6" w:rsidP="001C7A10">
            <w:pPr>
              <w:rPr>
                <w:rFonts w:cs="Times New Roman"/>
                <w:sz w:val="24"/>
                <w:szCs w:val="24"/>
                <w:lang w:val="lv-LV"/>
              </w:rPr>
            </w:pPr>
            <w:r w:rsidRPr="00905E50">
              <w:rPr>
                <w:rFonts w:cs="Times New Roman"/>
                <w:sz w:val="24"/>
                <w:szCs w:val="24"/>
                <w:lang w:val="lv-LV" w:eastAsia="lv-LV"/>
              </w:rPr>
              <w:t>3.2. speciālais budžets</w:t>
            </w:r>
          </w:p>
        </w:tc>
        <w:tc>
          <w:tcPr>
            <w:tcW w:w="591" w:type="pct"/>
            <w:shd w:val="clear" w:color="auto" w:fill="auto"/>
            <w:vAlign w:val="center"/>
          </w:tcPr>
          <w:p w14:paraId="28DEF76F" w14:textId="77777777" w:rsidR="00764DB6" w:rsidRPr="00905E50" w:rsidRDefault="00764DB6" w:rsidP="001C7A10">
            <w:pPr>
              <w:jc w:val="center"/>
              <w:rPr>
                <w:rFonts w:cs="Times New Roman"/>
                <w:sz w:val="24"/>
                <w:szCs w:val="24"/>
                <w:lang w:val="lv-LV"/>
              </w:rPr>
            </w:pPr>
            <w:r w:rsidRPr="00905E50">
              <w:rPr>
                <w:rFonts w:cs="Times New Roman"/>
                <w:sz w:val="24"/>
                <w:szCs w:val="24"/>
                <w:lang w:val="lv-LV"/>
              </w:rPr>
              <w:t>0</w:t>
            </w:r>
          </w:p>
        </w:tc>
        <w:tc>
          <w:tcPr>
            <w:tcW w:w="643" w:type="pct"/>
            <w:shd w:val="clear" w:color="auto" w:fill="auto"/>
            <w:vAlign w:val="center"/>
          </w:tcPr>
          <w:p w14:paraId="0CC72243" w14:textId="77777777" w:rsidR="00764DB6" w:rsidRPr="00905E50" w:rsidRDefault="00764DB6" w:rsidP="001C7A10">
            <w:pPr>
              <w:jc w:val="center"/>
              <w:rPr>
                <w:rFonts w:cs="Times New Roman"/>
                <w:sz w:val="24"/>
                <w:szCs w:val="24"/>
                <w:lang w:val="lv-LV"/>
              </w:rPr>
            </w:pPr>
            <w:r w:rsidRPr="00905E50">
              <w:rPr>
                <w:rFonts w:cs="Times New Roman"/>
                <w:sz w:val="24"/>
                <w:szCs w:val="24"/>
                <w:lang w:val="lv-LV"/>
              </w:rPr>
              <w:t>0</w:t>
            </w:r>
          </w:p>
        </w:tc>
        <w:tc>
          <w:tcPr>
            <w:tcW w:w="748" w:type="pct"/>
            <w:shd w:val="clear" w:color="auto" w:fill="auto"/>
            <w:vAlign w:val="center"/>
          </w:tcPr>
          <w:p w14:paraId="4E7A1C03" w14:textId="77777777" w:rsidR="00764DB6" w:rsidRPr="00905E50" w:rsidRDefault="00764DB6" w:rsidP="001C7A10">
            <w:pPr>
              <w:pStyle w:val="BodyText2"/>
              <w:jc w:val="center"/>
              <w:rPr>
                <w:sz w:val="24"/>
              </w:rPr>
            </w:pPr>
            <w:r w:rsidRPr="00905E50">
              <w:rPr>
                <w:sz w:val="24"/>
              </w:rPr>
              <w:t>3,601</w:t>
            </w:r>
          </w:p>
        </w:tc>
        <w:tc>
          <w:tcPr>
            <w:tcW w:w="748" w:type="pct"/>
            <w:shd w:val="clear" w:color="auto" w:fill="auto"/>
            <w:vAlign w:val="center"/>
          </w:tcPr>
          <w:p w14:paraId="3D91775B" w14:textId="77777777" w:rsidR="00764DB6" w:rsidRPr="00905E50" w:rsidRDefault="00764DB6" w:rsidP="001C7A10">
            <w:pPr>
              <w:pStyle w:val="BodyText2"/>
              <w:jc w:val="center"/>
              <w:rPr>
                <w:sz w:val="24"/>
              </w:rPr>
            </w:pPr>
            <w:r w:rsidRPr="00905E50">
              <w:rPr>
                <w:sz w:val="24"/>
              </w:rPr>
              <w:t>3,601</w:t>
            </w:r>
          </w:p>
        </w:tc>
        <w:tc>
          <w:tcPr>
            <w:tcW w:w="1095" w:type="pct"/>
            <w:shd w:val="clear" w:color="auto" w:fill="auto"/>
            <w:vAlign w:val="center"/>
          </w:tcPr>
          <w:p w14:paraId="109CB6DA" w14:textId="77777777" w:rsidR="00764DB6" w:rsidRPr="00905E50" w:rsidRDefault="00764DB6" w:rsidP="001C7A10">
            <w:pPr>
              <w:pStyle w:val="BodyText2"/>
              <w:jc w:val="center"/>
              <w:rPr>
                <w:sz w:val="24"/>
              </w:rPr>
            </w:pPr>
            <w:r w:rsidRPr="00905E50">
              <w:rPr>
                <w:sz w:val="24"/>
              </w:rPr>
              <w:t>3,601</w:t>
            </w:r>
          </w:p>
        </w:tc>
      </w:tr>
      <w:tr w:rsidR="00764DB6" w:rsidRPr="00905E50" w14:paraId="6B318153" w14:textId="77777777" w:rsidTr="00905E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1175" w:type="pct"/>
            <w:shd w:val="clear" w:color="auto" w:fill="auto"/>
          </w:tcPr>
          <w:p w14:paraId="3F65F3FE" w14:textId="77777777" w:rsidR="00764DB6" w:rsidRPr="00905E50" w:rsidRDefault="00764DB6" w:rsidP="001C7A10">
            <w:pPr>
              <w:rPr>
                <w:rFonts w:cs="Times New Roman"/>
                <w:sz w:val="24"/>
                <w:szCs w:val="24"/>
                <w:lang w:val="lv-LV" w:eastAsia="lv-LV"/>
              </w:rPr>
            </w:pPr>
            <w:r w:rsidRPr="00905E50">
              <w:rPr>
                <w:rFonts w:cs="Times New Roman"/>
                <w:sz w:val="24"/>
                <w:szCs w:val="24"/>
                <w:lang w:val="lv-LV" w:eastAsia="lv-LV"/>
              </w:rPr>
              <w:t>3.3. pašvaldību budžets</w:t>
            </w:r>
          </w:p>
          <w:p w14:paraId="454E2041" w14:textId="77777777" w:rsidR="00764DB6" w:rsidRPr="00905E50" w:rsidRDefault="00764DB6" w:rsidP="001C7A10">
            <w:pPr>
              <w:rPr>
                <w:rFonts w:cs="Times New Roman"/>
                <w:sz w:val="24"/>
                <w:szCs w:val="24"/>
                <w:lang w:val="lv-LV" w:eastAsia="lv-LV"/>
              </w:rPr>
            </w:pPr>
          </w:p>
        </w:tc>
        <w:tc>
          <w:tcPr>
            <w:tcW w:w="591" w:type="pct"/>
            <w:shd w:val="clear" w:color="auto" w:fill="auto"/>
            <w:vAlign w:val="center"/>
          </w:tcPr>
          <w:p w14:paraId="6138344E" w14:textId="77777777" w:rsidR="00764DB6" w:rsidRPr="00905E50" w:rsidRDefault="00764DB6" w:rsidP="001C7A10">
            <w:pPr>
              <w:jc w:val="center"/>
              <w:rPr>
                <w:rFonts w:cs="Times New Roman"/>
                <w:sz w:val="24"/>
                <w:szCs w:val="24"/>
                <w:lang w:val="lv-LV"/>
              </w:rPr>
            </w:pPr>
            <w:r w:rsidRPr="00905E50">
              <w:rPr>
                <w:rFonts w:cs="Times New Roman"/>
                <w:sz w:val="24"/>
                <w:szCs w:val="24"/>
                <w:lang w:val="lv-LV"/>
              </w:rPr>
              <w:t>0</w:t>
            </w:r>
          </w:p>
        </w:tc>
        <w:tc>
          <w:tcPr>
            <w:tcW w:w="643" w:type="pct"/>
            <w:shd w:val="clear" w:color="auto" w:fill="auto"/>
            <w:vAlign w:val="center"/>
          </w:tcPr>
          <w:p w14:paraId="443B743F" w14:textId="77777777" w:rsidR="00764DB6" w:rsidRPr="00905E50" w:rsidRDefault="00764DB6" w:rsidP="001C7A10">
            <w:pPr>
              <w:jc w:val="center"/>
              <w:rPr>
                <w:rFonts w:cs="Times New Roman"/>
                <w:sz w:val="24"/>
                <w:szCs w:val="24"/>
                <w:lang w:val="lv-LV"/>
              </w:rPr>
            </w:pPr>
            <w:r w:rsidRPr="00905E50">
              <w:rPr>
                <w:rFonts w:cs="Times New Roman"/>
                <w:sz w:val="24"/>
                <w:szCs w:val="24"/>
                <w:lang w:val="lv-LV"/>
              </w:rPr>
              <w:t>0</w:t>
            </w:r>
          </w:p>
        </w:tc>
        <w:tc>
          <w:tcPr>
            <w:tcW w:w="748" w:type="pct"/>
            <w:shd w:val="clear" w:color="auto" w:fill="auto"/>
          </w:tcPr>
          <w:p w14:paraId="37E75B8B" w14:textId="77777777" w:rsidR="00764DB6" w:rsidRPr="00905E50" w:rsidRDefault="00764DB6" w:rsidP="001C7A10">
            <w:pPr>
              <w:pStyle w:val="BodyText2"/>
              <w:jc w:val="center"/>
              <w:rPr>
                <w:sz w:val="24"/>
              </w:rPr>
            </w:pPr>
            <w:r w:rsidRPr="00905E50">
              <w:rPr>
                <w:sz w:val="24"/>
              </w:rPr>
              <w:t>0,357</w:t>
            </w:r>
          </w:p>
        </w:tc>
        <w:tc>
          <w:tcPr>
            <w:tcW w:w="748" w:type="pct"/>
            <w:shd w:val="clear" w:color="auto" w:fill="auto"/>
          </w:tcPr>
          <w:p w14:paraId="41AFC85A" w14:textId="77777777" w:rsidR="00764DB6" w:rsidRPr="00905E50" w:rsidRDefault="00764DB6" w:rsidP="001C7A10">
            <w:pPr>
              <w:pStyle w:val="BodyText2"/>
              <w:jc w:val="center"/>
              <w:rPr>
                <w:sz w:val="24"/>
              </w:rPr>
            </w:pPr>
            <w:r w:rsidRPr="00905E50">
              <w:rPr>
                <w:sz w:val="24"/>
              </w:rPr>
              <w:t>0,357</w:t>
            </w:r>
          </w:p>
        </w:tc>
        <w:tc>
          <w:tcPr>
            <w:tcW w:w="1095" w:type="pct"/>
            <w:shd w:val="clear" w:color="auto" w:fill="auto"/>
          </w:tcPr>
          <w:p w14:paraId="0FA5EAE8" w14:textId="77777777" w:rsidR="00764DB6" w:rsidRPr="00905E50" w:rsidRDefault="00764DB6" w:rsidP="001C7A10">
            <w:pPr>
              <w:pStyle w:val="BodyText2"/>
              <w:jc w:val="center"/>
              <w:rPr>
                <w:sz w:val="24"/>
              </w:rPr>
            </w:pPr>
            <w:r w:rsidRPr="00905E50">
              <w:rPr>
                <w:sz w:val="24"/>
              </w:rPr>
              <w:t>0,357</w:t>
            </w:r>
          </w:p>
        </w:tc>
      </w:tr>
      <w:tr w:rsidR="00764DB6" w:rsidRPr="00905E50" w14:paraId="42278476" w14:textId="77777777" w:rsidTr="00905E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1175" w:type="pct"/>
            <w:shd w:val="clear" w:color="auto" w:fill="auto"/>
          </w:tcPr>
          <w:p w14:paraId="653B2C16" w14:textId="77777777" w:rsidR="00764DB6" w:rsidRPr="00905E50" w:rsidRDefault="00764DB6" w:rsidP="001C7A10">
            <w:pPr>
              <w:rPr>
                <w:rFonts w:cs="Times New Roman"/>
                <w:sz w:val="24"/>
                <w:szCs w:val="24"/>
                <w:lang w:val="lv-LV" w:eastAsia="lv-LV"/>
              </w:rPr>
            </w:pPr>
            <w:r w:rsidRPr="00905E50">
              <w:rPr>
                <w:rFonts w:cs="Times New Roman"/>
                <w:sz w:val="24"/>
                <w:szCs w:val="24"/>
                <w:lang w:val="lv-LV" w:eastAsia="lv-LV"/>
              </w:rPr>
              <w:t>4. Finanšu līdzekļi papildu izdevumu finansēšanai (kompensējošu izdevumu samazinājumu norāda ar "+" zīmi)</w:t>
            </w:r>
          </w:p>
        </w:tc>
        <w:tc>
          <w:tcPr>
            <w:tcW w:w="591" w:type="pct"/>
            <w:shd w:val="clear" w:color="auto" w:fill="auto"/>
            <w:vAlign w:val="center"/>
          </w:tcPr>
          <w:p w14:paraId="2A17273A" w14:textId="77777777" w:rsidR="00764DB6" w:rsidRPr="00905E50" w:rsidRDefault="00764DB6" w:rsidP="001C7A10">
            <w:pPr>
              <w:jc w:val="center"/>
              <w:rPr>
                <w:rFonts w:cs="Times New Roman"/>
                <w:sz w:val="24"/>
                <w:szCs w:val="24"/>
                <w:lang w:val="lv-LV"/>
              </w:rPr>
            </w:pPr>
            <w:r w:rsidRPr="00905E50">
              <w:rPr>
                <w:rFonts w:cs="Times New Roman"/>
                <w:sz w:val="24"/>
                <w:szCs w:val="24"/>
                <w:lang w:val="lv-LV"/>
              </w:rPr>
              <w:t>0</w:t>
            </w:r>
          </w:p>
        </w:tc>
        <w:tc>
          <w:tcPr>
            <w:tcW w:w="643" w:type="pct"/>
            <w:shd w:val="clear" w:color="auto" w:fill="auto"/>
            <w:vAlign w:val="center"/>
          </w:tcPr>
          <w:p w14:paraId="5548B0BD" w14:textId="77777777" w:rsidR="00764DB6" w:rsidRPr="00905E50" w:rsidRDefault="00764DB6" w:rsidP="001C7A10">
            <w:pPr>
              <w:jc w:val="center"/>
              <w:rPr>
                <w:rFonts w:cs="Times New Roman"/>
                <w:sz w:val="24"/>
                <w:szCs w:val="24"/>
                <w:lang w:val="lv-LV"/>
              </w:rPr>
            </w:pPr>
            <w:r w:rsidRPr="00905E50">
              <w:rPr>
                <w:rFonts w:cs="Times New Roman"/>
                <w:sz w:val="24"/>
                <w:szCs w:val="24"/>
                <w:lang w:val="lv-LV"/>
              </w:rPr>
              <w:t>0</w:t>
            </w:r>
          </w:p>
        </w:tc>
        <w:tc>
          <w:tcPr>
            <w:tcW w:w="748" w:type="pct"/>
            <w:shd w:val="clear" w:color="auto" w:fill="auto"/>
          </w:tcPr>
          <w:p w14:paraId="60B1263D" w14:textId="77777777" w:rsidR="00764DB6" w:rsidRPr="00905E50" w:rsidRDefault="00764DB6" w:rsidP="001C7A10">
            <w:pPr>
              <w:pStyle w:val="BodyText2"/>
              <w:jc w:val="center"/>
              <w:rPr>
                <w:sz w:val="24"/>
              </w:rPr>
            </w:pPr>
            <w:r w:rsidRPr="00905E50">
              <w:rPr>
                <w:sz w:val="24"/>
              </w:rPr>
              <w:t>0</w:t>
            </w:r>
          </w:p>
        </w:tc>
        <w:tc>
          <w:tcPr>
            <w:tcW w:w="748" w:type="pct"/>
            <w:shd w:val="clear" w:color="auto" w:fill="auto"/>
          </w:tcPr>
          <w:p w14:paraId="0714DB5D" w14:textId="77777777" w:rsidR="00764DB6" w:rsidRPr="00905E50" w:rsidRDefault="00764DB6" w:rsidP="001C7A10">
            <w:pPr>
              <w:pStyle w:val="BodyText2"/>
              <w:jc w:val="center"/>
              <w:rPr>
                <w:sz w:val="24"/>
              </w:rPr>
            </w:pPr>
            <w:r w:rsidRPr="00905E50">
              <w:rPr>
                <w:sz w:val="24"/>
              </w:rPr>
              <w:t>0</w:t>
            </w:r>
          </w:p>
        </w:tc>
        <w:tc>
          <w:tcPr>
            <w:tcW w:w="1095" w:type="pct"/>
            <w:shd w:val="clear" w:color="auto" w:fill="auto"/>
          </w:tcPr>
          <w:p w14:paraId="46303329" w14:textId="77777777" w:rsidR="00764DB6" w:rsidRPr="00905E50" w:rsidRDefault="00764DB6" w:rsidP="001C7A10">
            <w:pPr>
              <w:pStyle w:val="BodyText2"/>
              <w:jc w:val="center"/>
              <w:rPr>
                <w:sz w:val="24"/>
              </w:rPr>
            </w:pPr>
            <w:r w:rsidRPr="00905E50">
              <w:rPr>
                <w:sz w:val="24"/>
              </w:rPr>
              <w:t>0</w:t>
            </w:r>
          </w:p>
        </w:tc>
      </w:tr>
      <w:tr w:rsidR="00764DB6" w:rsidRPr="00905E50" w14:paraId="7A879063" w14:textId="77777777" w:rsidTr="00905E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1175" w:type="pct"/>
            <w:shd w:val="clear" w:color="auto" w:fill="auto"/>
          </w:tcPr>
          <w:p w14:paraId="0111712C" w14:textId="77777777" w:rsidR="00764DB6" w:rsidRPr="00905E50" w:rsidRDefault="00764DB6" w:rsidP="001C7A10">
            <w:pPr>
              <w:rPr>
                <w:rFonts w:cs="Times New Roman"/>
                <w:b/>
                <w:sz w:val="24"/>
                <w:szCs w:val="24"/>
                <w:lang w:val="lv-LV" w:eastAsia="lv-LV"/>
              </w:rPr>
            </w:pPr>
            <w:r w:rsidRPr="00905E50">
              <w:rPr>
                <w:rFonts w:cs="Times New Roman"/>
                <w:b/>
                <w:sz w:val="24"/>
                <w:szCs w:val="24"/>
                <w:lang w:val="lv-LV" w:eastAsia="lv-LV"/>
              </w:rPr>
              <w:t>5. Precizēta finansiālā ietekme:</w:t>
            </w:r>
          </w:p>
        </w:tc>
        <w:tc>
          <w:tcPr>
            <w:tcW w:w="591" w:type="pct"/>
            <w:shd w:val="clear" w:color="auto" w:fill="auto"/>
            <w:vAlign w:val="center"/>
          </w:tcPr>
          <w:p w14:paraId="152F5158" w14:textId="77777777" w:rsidR="00764DB6" w:rsidRPr="00905E50" w:rsidRDefault="00764DB6" w:rsidP="001C7A10">
            <w:pPr>
              <w:jc w:val="center"/>
              <w:rPr>
                <w:rFonts w:cs="Times New Roman"/>
                <w:sz w:val="24"/>
                <w:szCs w:val="24"/>
                <w:lang w:val="lv-LV"/>
              </w:rPr>
            </w:pPr>
            <w:r w:rsidRPr="00905E50">
              <w:rPr>
                <w:rFonts w:cs="Times New Roman"/>
                <w:sz w:val="24"/>
                <w:szCs w:val="24"/>
                <w:lang w:val="lv-LV"/>
              </w:rPr>
              <w:t>0</w:t>
            </w:r>
          </w:p>
        </w:tc>
        <w:tc>
          <w:tcPr>
            <w:tcW w:w="643" w:type="pct"/>
            <w:shd w:val="clear" w:color="auto" w:fill="auto"/>
            <w:vAlign w:val="center"/>
          </w:tcPr>
          <w:p w14:paraId="535064D3" w14:textId="77777777" w:rsidR="00764DB6" w:rsidRPr="00905E50" w:rsidRDefault="00764DB6" w:rsidP="001C7A10">
            <w:pPr>
              <w:jc w:val="center"/>
              <w:rPr>
                <w:rFonts w:cs="Times New Roman"/>
                <w:sz w:val="24"/>
                <w:szCs w:val="24"/>
                <w:lang w:val="lv-LV"/>
              </w:rPr>
            </w:pPr>
            <w:r w:rsidRPr="00905E50">
              <w:rPr>
                <w:rFonts w:cs="Times New Roman"/>
                <w:sz w:val="24"/>
                <w:szCs w:val="24"/>
                <w:lang w:val="lv-LV"/>
              </w:rPr>
              <w:t>0</w:t>
            </w:r>
          </w:p>
        </w:tc>
        <w:tc>
          <w:tcPr>
            <w:tcW w:w="748" w:type="pct"/>
            <w:shd w:val="clear" w:color="auto" w:fill="auto"/>
          </w:tcPr>
          <w:p w14:paraId="4E38DF69" w14:textId="77777777" w:rsidR="00764DB6" w:rsidRPr="00905E50" w:rsidRDefault="00764DB6" w:rsidP="001C7A10">
            <w:pPr>
              <w:pStyle w:val="BodyText2"/>
              <w:jc w:val="center"/>
              <w:rPr>
                <w:sz w:val="24"/>
              </w:rPr>
            </w:pPr>
            <w:r w:rsidRPr="00905E50">
              <w:rPr>
                <w:b/>
                <w:sz w:val="24"/>
              </w:rPr>
              <w:t>2,073</w:t>
            </w:r>
          </w:p>
        </w:tc>
        <w:tc>
          <w:tcPr>
            <w:tcW w:w="748" w:type="pct"/>
            <w:shd w:val="clear" w:color="auto" w:fill="auto"/>
          </w:tcPr>
          <w:p w14:paraId="76DF9EC0" w14:textId="77777777" w:rsidR="00764DB6" w:rsidRPr="00905E50" w:rsidRDefault="00764DB6" w:rsidP="001C7A10">
            <w:pPr>
              <w:pStyle w:val="BodyText2"/>
              <w:jc w:val="center"/>
              <w:rPr>
                <w:sz w:val="24"/>
              </w:rPr>
            </w:pPr>
            <w:r w:rsidRPr="00905E50">
              <w:rPr>
                <w:b/>
                <w:sz w:val="24"/>
              </w:rPr>
              <w:t>2,073</w:t>
            </w:r>
          </w:p>
        </w:tc>
        <w:tc>
          <w:tcPr>
            <w:tcW w:w="1095" w:type="pct"/>
            <w:shd w:val="clear" w:color="auto" w:fill="auto"/>
          </w:tcPr>
          <w:p w14:paraId="7BDA2342" w14:textId="77777777" w:rsidR="00764DB6" w:rsidRPr="00905E50" w:rsidRDefault="00764DB6" w:rsidP="001C7A10">
            <w:pPr>
              <w:pStyle w:val="BodyText2"/>
              <w:jc w:val="center"/>
              <w:rPr>
                <w:sz w:val="24"/>
              </w:rPr>
            </w:pPr>
            <w:r w:rsidRPr="00905E50">
              <w:rPr>
                <w:b/>
                <w:sz w:val="24"/>
              </w:rPr>
              <w:t>2,073</w:t>
            </w:r>
          </w:p>
        </w:tc>
      </w:tr>
      <w:tr w:rsidR="00764DB6" w:rsidRPr="00905E50" w14:paraId="3F9CD850" w14:textId="77777777" w:rsidTr="00905E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1175" w:type="pct"/>
            <w:shd w:val="clear" w:color="auto" w:fill="auto"/>
          </w:tcPr>
          <w:p w14:paraId="3DBB1815" w14:textId="77777777" w:rsidR="00764DB6" w:rsidRPr="00905E50" w:rsidRDefault="00764DB6" w:rsidP="001C7A10">
            <w:pPr>
              <w:rPr>
                <w:rFonts w:cs="Times New Roman"/>
                <w:b/>
                <w:sz w:val="24"/>
                <w:szCs w:val="24"/>
                <w:lang w:val="lv-LV" w:eastAsia="lv-LV"/>
              </w:rPr>
            </w:pPr>
            <w:r w:rsidRPr="00905E50">
              <w:rPr>
                <w:rFonts w:cs="Times New Roman"/>
                <w:sz w:val="24"/>
                <w:szCs w:val="24"/>
                <w:lang w:val="lv-LV"/>
              </w:rPr>
              <w:t>5.1. valsts pamatbudžets</w:t>
            </w:r>
          </w:p>
        </w:tc>
        <w:tc>
          <w:tcPr>
            <w:tcW w:w="591" w:type="pct"/>
            <w:shd w:val="clear" w:color="auto" w:fill="auto"/>
            <w:vAlign w:val="center"/>
          </w:tcPr>
          <w:p w14:paraId="4D97A9AE" w14:textId="77777777" w:rsidR="00764DB6" w:rsidRPr="00905E50" w:rsidRDefault="00764DB6" w:rsidP="001C7A10">
            <w:pPr>
              <w:jc w:val="center"/>
              <w:rPr>
                <w:rFonts w:cs="Times New Roman"/>
                <w:sz w:val="24"/>
                <w:szCs w:val="24"/>
                <w:lang w:val="lv-LV"/>
              </w:rPr>
            </w:pPr>
            <w:r w:rsidRPr="00905E50">
              <w:rPr>
                <w:rFonts w:cs="Times New Roman"/>
                <w:sz w:val="24"/>
                <w:szCs w:val="24"/>
                <w:lang w:val="lv-LV"/>
              </w:rPr>
              <w:t>0</w:t>
            </w:r>
          </w:p>
        </w:tc>
        <w:tc>
          <w:tcPr>
            <w:tcW w:w="643" w:type="pct"/>
            <w:shd w:val="clear" w:color="auto" w:fill="auto"/>
            <w:vAlign w:val="center"/>
          </w:tcPr>
          <w:p w14:paraId="4E556010" w14:textId="77777777" w:rsidR="00764DB6" w:rsidRPr="00905E50" w:rsidRDefault="00764DB6" w:rsidP="001C7A10">
            <w:pPr>
              <w:jc w:val="center"/>
              <w:rPr>
                <w:rFonts w:cs="Times New Roman"/>
                <w:sz w:val="24"/>
                <w:szCs w:val="24"/>
                <w:lang w:val="lv-LV"/>
              </w:rPr>
            </w:pPr>
            <w:r w:rsidRPr="00905E50">
              <w:rPr>
                <w:rFonts w:cs="Times New Roman"/>
                <w:sz w:val="24"/>
                <w:szCs w:val="24"/>
                <w:lang w:val="lv-LV"/>
              </w:rPr>
              <w:t>0</w:t>
            </w:r>
          </w:p>
        </w:tc>
        <w:tc>
          <w:tcPr>
            <w:tcW w:w="748" w:type="pct"/>
            <w:shd w:val="clear" w:color="auto" w:fill="auto"/>
          </w:tcPr>
          <w:p w14:paraId="3C531636" w14:textId="77777777" w:rsidR="00764DB6" w:rsidRPr="00905E50" w:rsidRDefault="00764DB6" w:rsidP="001C7A10">
            <w:pPr>
              <w:pStyle w:val="BodyText2"/>
              <w:jc w:val="center"/>
              <w:rPr>
                <w:b/>
                <w:sz w:val="24"/>
              </w:rPr>
            </w:pPr>
            <w:r w:rsidRPr="00905E50">
              <w:rPr>
                <w:sz w:val="24"/>
              </w:rPr>
              <w:t>-1,885</w:t>
            </w:r>
          </w:p>
        </w:tc>
        <w:tc>
          <w:tcPr>
            <w:tcW w:w="748" w:type="pct"/>
            <w:shd w:val="clear" w:color="auto" w:fill="auto"/>
          </w:tcPr>
          <w:p w14:paraId="5A87EBA2" w14:textId="77777777" w:rsidR="00764DB6" w:rsidRPr="00905E50" w:rsidRDefault="00764DB6" w:rsidP="001C7A10">
            <w:pPr>
              <w:pStyle w:val="BodyText2"/>
              <w:jc w:val="center"/>
              <w:rPr>
                <w:b/>
                <w:sz w:val="24"/>
              </w:rPr>
            </w:pPr>
            <w:r w:rsidRPr="00905E50">
              <w:rPr>
                <w:sz w:val="24"/>
              </w:rPr>
              <w:t>-1,885</w:t>
            </w:r>
          </w:p>
        </w:tc>
        <w:tc>
          <w:tcPr>
            <w:tcW w:w="1095" w:type="pct"/>
            <w:shd w:val="clear" w:color="auto" w:fill="auto"/>
          </w:tcPr>
          <w:p w14:paraId="2B6793C6" w14:textId="77777777" w:rsidR="00764DB6" w:rsidRPr="00905E50" w:rsidRDefault="00764DB6" w:rsidP="001C7A10">
            <w:pPr>
              <w:pStyle w:val="BodyText2"/>
              <w:jc w:val="center"/>
              <w:rPr>
                <w:b/>
                <w:sz w:val="24"/>
              </w:rPr>
            </w:pPr>
            <w:r w:rsidRPr="00905E50">
              <w:rPr>
                <w:sz w:val="24"/>
              </w:rPr>
              <w:t>-1,885</w:t>
            </w:r>
          </w:p>
        </w:tc>
      </w:tr>
      <w:tr w:rsidR="00764DB6" w:rsidRPr="00905E50" w14:paraId="62A8FC8F" w14:textId="77777777" w:rsidTr="00905E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1175" w:type="pct"/>
            <w:shd w:val="clear" w:color="auto" w:fill="auto"/>
          </w:tcPr>
          <w:p w14:paraId="7F23568A" w14:textId="77777777" w:rsidR="00764DB6" w:rsidRPr="00905E50" w:rsidRDefault="00764DB6" w:rsidP="001C7A10">
            <w:pPr>
              <w:rPr>
                <w:rFonts w:cs="Times New Roman"/>
                <w:sz w:val="24"/>
                <w:szCs w:val="24"/>
                <w:lang w:val="lv-LV" w:eastAsia="lv-LV"/>
              </w:rPr>
            </w:pPr>
            <w:r w:rsidRPr="00905E50">
              <w:rPr>
                <w:rFonts w:cs="Times New Roman"/>
                <w:sz w:val="24"/>
                <w:szCs w:val="24"/>
                <w:lang w:val="lv-LV" w:eastAsia="lv-LV"/>
              </w:rPr>
              <w:t>5.2. speciālais budžets</w:t>
            </w:r>
          </w:p>
        </w:tc>
        <w:tc>
          <w:tcPr>
            <w:tcW w:w="591" w:type="pct"/>
            <w:shd w:val="clear" w:color="auto" w:fill="auto"/>
            <w:vAlign w:val="center"/>
          </w:tcPr>
          <w:p w14:paraId="09BBF867" w14:textId="77777777" w:rsidR="00764DB6" w:rsidRPr="00905E50" w:rsidRDefault="00764DB6" w:rsidP="001C7A10">
            <w:pPr>
              <w:jc w:val="center"/>
              <w:rPr>
                <w:rFonts w:cs="Times New Roman"/>
                <w:sz w:val="24"/>
                <w:szCs w:val="24"/>
                <w:lang w:val="lv-LV"/>
              </w:rPr>
            </w:pPr>
            <w:r w:rsidRPr="00905E50">
              <w:rPr>
                <w:rFonts w:cs="Times New Roman"/>
                <w:sz w:val="24"/>
                <w:szCs w:val="24"/>
                <w:lang w:val="lv-LV"/>
              </w:rPr>
              <w:t>0</w:t>
            </w:r>
          </w:p>
        </w:tc>
        <w:tc>
          <w:tcPr>
            <w:tcW w:w="643" w:type="pct"/>
            <w:shd w:val="clear" w:color="auto" w:fill="auto"/>
            <w:vAlign w:val="center"/>
          </w:tcPr>
          <w:p w14:paraId="0B353C19" w14:textId="77777777" w:rsidR="00764DB6" w:rsidRPr="00905E50" w:rsidRDefault="00764DB6" w:rsidP="001C7A10">
            <w:pPr>
              <w:jc w:val="center"/>
              <w:rPr>
                <w:rFonts w:cs="Times New Roman"/>
                <w:sz w:val="24"/>
                <w:szCs w:val="24"/>
                <w:lang w:val="lv-LV"/>
              </w:rPr>
            </w:pPr>
            <w:r w:rsidRPr="00905E50">
              <w:rPr>
                <w:rFonts w:cs="Times New Roman"/>
                <w:sz w:val="24"/>
                <w:szCs w:val="24"/>
                <w:lang w:val="lv-LV"/>
              </w:rPr>
              <w:t>0</w:t>
            </w:r>
          </w:p>
        </w:tc>
        <w:tc>
          <w:tcPr>
            <w:tcW w:w="748" w:type="pct"/>
            <w:shd w:val="clear" w:color="auto" w:fill="auto"/>
            <w:vAlign w:val="center"/>
          </w:tcPr>
          <w:p w14:paraId="144F32CC" w14:textId="77777777" w:rsidR="00764DB6" w:rsidRPr="00905E50" w:rsidRDefault="00764DB6" w:rsidP="001C7A10">
            <w:pPr>
              <w:pStyle w:val="BodyText2"/>
              <w:jc w:val="center"/>
              <w:rPr>
                <w:sz w:val="24"/>
              </w:rPr>
            </w:pPr>
            <w:r w:rsidRPr="00905E50">
              <w:rPr>
                <w:sz w:val="24"/>
              </w:rPr>
              <w:t>3,601</w:t>
            </w:r>
          </w:p>
        </w:tc>
        <w:tc>
          <w:tcPr>
            <w:tcW w:w="748" w:type="pct"/>
            <w:shd w:val="clear" w:color="auto" w:fill="auto"/>
            <w:vAlign w:val="center"/>
          </w:tcPr>
          <w:p w14:paraId="3D5C79ED" w14:textId="77777777" w:rsidR="00764DB6" w:rsidRPr="00905E50" w:rsidRDefault="00764DB6" w:rsidP="001C7A10">
            <w:pPr>
              <w:pStyle w:val="BodyText2"/>
              <w:jc w:val="center"/>
              <w:rPr>
                <w:sz w:val="24"/>
              </w:rPr>
            </w:pPr>
            <w:r w:rsidRPr="00905E50">
              <w:rPr>
                <w:sz w:val="24"/>
              </w:rPr>
              <w:t>3,601</w:t>
            </w:r>
          </w:p>
        </w:tc>
        <w:tc>
          <w:tcPr>
            <w:tcW w:w="1095" w:type="pct"/>
            <w:shd w:val="clear" w:color="auto" w:fill="auto"/>
            <w:vAlign w:val="center"/>
          </w:tcPr>
          <w:p w14:paraId="1FBE4D52" w14:textId="77777777" w:rsidR="00764DB6" w:rsidRPr="00905E50" w:rsidRDefault="00764DB6" w:rsidP="001C7A10">
            <w:pPr>
              <w:pStyle w:val="BodyText2"/>
              <w:jc w:val="center"/>
              <w:rPr>
                <w:sz w:val="24"/>
              </w:rPr>
            </w:pPr>
            <w:r w:rsidRPr="00905E50">
              <w:rPr>
                <w:sz w:val="24"/>
              </w:rPr>
              <w:t>3,601</w:t>
            </w:r>
          </w:p>
        </w:tc>
      </w:tr>
      <w:tr w:rsidR="00764DB6" w:rsidRPr="00905E50" w14:paraId="406292D2" w14:textId="77777777" w:rsidTr="00905E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1175" w:type="pct"/>
            <w:shd w:val="clear" w:color="auto" w:fill="auto"/>
          </w:tcPr>
          <w:p w14:paraId="07EDD584" w14:textId="77777777" w:rsidR="00764DB6" w:rsidRPr="00905E50" w:rsidRDefault="00764DB6" w:rsidP="001C7A10">
            <w:pPr>
              <w:rPr>
                <w:rFonts w:cs="Times New Roman"/>
                <w:sz w:val="24"/>
                <w:szCs w:val="24"/>
                <w:lang w:val="lv-LV" w:eastAsia="lv-LV"/>
              </w:rPr>
            </w:pPr>
            <w:r w:rsidRPr="00905E50">
              <w:rPr>
                <w:rFonts w:cs="Times New Roman"/>
                <w:sz w:val="24"/>
                <w:szCs w:val="24"/>
                <w:lang w:val="lv-LV" w:eastAsia="lv-LV"/>
              </w:rPr>
              <w:t>5.3. pašvaldību budžets</w:t>
            </w:r>
          </w:p>
        </w:tc>
        <w:tc>
          <w:tcPr>
            <w:tcW w:w="591" w:type="pct"/>
            <w:shd w:val="clear" w:color="auto" w:fill="auto"/>
            <w:vAlign w:val="center"/>
          </w:tcPr>
          <w:p w14:paraId="4A24DB14" w14:textId="77777777" w:rsidR="00764DB6" w:rsidRPr="00905E50" w:rsidRDefault="00764DB6" w:rsidP="001C7A10">
            <w:pPr>
              <w:jc w:val="center"/>
              <w:rPr>
                <w:rFonts w:cs="Times New Roman"/>
                <w:sz w:val="24"/>
                <w:szCs w:val="24"/>
                <w:lang w:val="lv-LV"/>
              </w:rPr>
            </w:pPr>
            <w:r w:rsidRPr="00905E50">
              <w:rPr>
                <w:rFonts w:cs="Times New Roman"/>
                <w:sz w:val="24"/>
                <w:szCs w:val="24"/>
                <w:lang w:val="lv-LV"/>
              </w:rPr>
              <w:t>0</w:t>
            </w:r>
          </w:p>
        </w:tc>
        <w:tc>
          <w:tcPr>
            <w:tcW w:w="643" w:type="pct"/>
            <w:shd w:val="clear" w:color="auto" w:fill="auto"/>
            <w:vAlign w:val="center"/>
          </w:tcPr>
          <w:p w14:paraId="02F57BF7" w14:textId="77777777" w:rsidR="00764DB6" w:rsidRPr="00905E50" w:rsidRDefault="00764DB6" w:rsidP="001C7A10">
            <w:pPr>
              <w:jc w:val="center"/>
              <w:rPr>
                <w:rFonts w:cs="Times New Roman"/>
                <w:sz w:val="24"/>
                <w:szCs w:val="24"/>
                <w:lang w:val="lv-LV"/>
              </w:rPr>
            </w:pPr>
            <w:r w:rsidRPr="00905E50">
              <w:rPr>
                <w:rFonts w:cs="Times New Roman"/>
                <w:sz w:val="24"/>
                <w:szCs w:val="24"/>
                <w:lang w:val="lv-LV"/>
              </w:rPr>
              <w:t>0</w:t>
            </w:r>
          </w:p>
        </w:tc>
        <w:tc>
          <w:tcPr>
            <w:tcW w:w="748" w:type="pct"/>
            <w:shd w:val="clear" w:color="auto" w:fill="auto"/>
          </w:tcPr>
          <w:p w14:paraId="1EA16336" w14:textId="77777777" w:rsidR="00764DB6" w:rsidRPr="00905E50" w:rsidRDefault="00764DB6" w:rsidP="001C7A10">
            <w:pPr>
              <w:pStyle w:val="BodyText2"/>
              <w:jc w:val="center"/>
              <w:rPr>
                <w:sz w:val="24"/>
              </w:rPr>
            </w:pPr>
            <w:r w:rsidRPr="00905E50">
              <w:rPr>
                <w:sz w:val="24"/>
              </w:rPr>
              <w:t>0,357</w:t>
            </w:r>
          </w:p>
        </w:tc>
        <w:tc>
          <w:tcPr>
            <w:tcW w:w="748" w:type="pct"/>
            <w:shd w:val="clear" w:color="auto" w:fill="auto"/>
          </w:tcPr>
          <w:p w14:paraId="3067D61A" w14:textId="77777777" w:rsidR="00764DB6" w:rsidRPr="00905E50" w:rsidRDefault="00764DB6" w:rsidP="001C7A10">
            <w:pPr>
              <w:pStyle w:val="BodyText2"/>
              <w:jc w:val="center"/>
              <w:rPr>
                <w:sz w:val="24"/>
              </w:rPr>
            </w:pPr>
            <w:r w:rsidRPr="00905E50">
              <w:rPr>
                <w:sz w:val="24"/>
              </w:rPr>
              <w:t>0,357</w:t>
            </w:r>
          </w:p>
        </w:tc>
        <w:tc>
          <w:tcPr>
            <w:tcW w:w="1095" w:type="pct"/>
            <w:shd w:val="clear" w:color="auto" w:fill="auto"/>
          </w:tcPr>
          <w:p w14:paraId="1A8D78DE" w14:textId="77777777" w:rsidR="00764DB6" w:rsidRPr="00905E50" w:rsidRDefault="00764DB6" w:rsidP="001C7A10">
            <w:pPr>
              <w:pStyle w:val="BodyText2"/>
              <w:jc w:val="center"/>
              <w:rPr>
                <w:sz w:val="24"/>
              </w:rPr>
            </w:pPr>
            <w:r w:rsidRPr="00905E50">
              <w:rPr>
                <w:sz w:val="24"/>
              </w:rPr>
              <w:t>0,357</w:t>
            </w:r>
          </w:p>
        </w:tc>
      </w:tr>
      <w:tr w:rsidR="00905E50" w:rsidRPr="002A2F7B" w14:paraId="53C826E2" w14:textId="77777777" w:rsidTr="00905E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5000" w:type="pct"/>
            <w:gridSpan w:val="6"/>
            <w:shd w:val="clear" w:color="auto" w:fill="auto"/>
          </w:tcPr>
          <w:p w14:paraId="52F24F05" w14:textId="77777777" w:rsidR="00905E50" w:rsidRDefault="00905E50" w:rsidP="001C7A10">
            <w:pPr>
              <w:rPr>
                <w:rFonts w:cs="Times New Roman"/>
                <w:sz w:val="24"/>
                <w:szCs w:val="24"/>
                <w:lang w:val="lv-LV" w:eastAsia="lv-LV"/>
              </w:rPr>
            </w:pPr>
            <w:r w:rsidRPr="00905E50">
              <w:rPr>
                <w:rFonts w:cs="Times New Roman"/>
                <w:sz w:val="24"/>
                <w:szCs w:val="24"/>
                <w:lang w:val="lv-LV" w:eastAsia="lv-LV"/>
              </w:rPr>
              <w:t>6. Detalizēts ieņēmumu un izdevumu aprēķins (ja nepieciešams, detalizētu ieņēmumu un izdevumu aprēķinu var pievienot anotācijas pielikumā):</w:t>
            </w:r>
          </w:p>
          <w:p w14:paraId="7AD83723" w14:textId="3A5B84C0" w:rsidR="00905E50" w:rsidRPr="00905E50" w:rsidRDefault="00905E50" w:rsidP="00905E50">
            <w:pPr>
              <w:rPr>
                <w:rFonts w:cs="Times New Roman"/>
                <w:sz w:val="24"/>
                <w:szCs w:val="24"/>
                <w:lang w:val="lv-LV" w:eastAsia="lv-LV"/>
              </w:rPr>
            </w:pPr>
            <w:r w:rsidRPr="00905E50">
              <w:rPr>
                <w:rFonts w:cs="Times New Roman"/>
                <w:sz w:val="24"/>
                <w:szCs w:val="24"/>
                <w:lang w:val="lv-LV" w:eastAsia="lv-LV"/>
              </w:rPr>
              <w:t>6.1. detalizēts ieņēmumu aprēķins</w:t>
            </w:r>
            <w:r>
              <w:rPr>
                <w:rFonts w:cs="Times New Roman"/>
                <w:sz w:val="24"/>
                <w:szCs w:val="24"/>
                <w:lang w:val="lv-LV" w:eastAsia="lv-LV"/>
              </w:rPr>
              <w:t xml:space="preserve">; </w:t>
            </w:r>
            <w:r w:rsidRPr="00905E50">
              <w:rPr>
                <w:rFonts w:cs="Times New Roman"/>
                <w:sz w:val="24"/>
                <w:szCs w:val="24"/>
                <w:lang w:val="lv-LV" w:eastAsia="lv-LV"/>
              </w:rPr>
              <w:t>6.2. detalizēts izdevumu aprēķins</w:t>
            </w:r>
          </w:p>
        </w:tc>
      </w:tr>
      <w:tr w:rsidR="00764DB6" w:rsidRPr="00FC58C1" w14:paraId="4F95CB94" w14:textId="77777777" w:rsidTr="00764D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1175" w:type="pct"/>
            <w:shd w:val="clear" w:color="auto" w:fill="auto"/>
          </w:tcPr>
          <w:p w14:paraId="40889EF8" w14:textId="77777777" w:rsidR="00764DB6" w:rsidRPr="00905E50" w:rsidRDefault="00764DB6" w:rsidP="001C7A10">
            <w:pPr>
              <w:rPr>
                <w:rFonts w:cs="Times New Roman"/>
                <w:sz w:val="24"/>
                <w:szCs w:val="24"/>
                <w:lang w:val="lv-LV" w:eastAsia="lv-LV"/>
              </w:rPr>
            </w:pPr>
            <w:r w:rsidRPr="00905E50">
              <w:rPr>
                <w:rFonts w:cs="Times New Roman"/>
                <w:sz w:val="24"/>
                <w:szCs w:val="24"/>
                <w:lang w:val="lv-LV" w:eastAsia="lv-LV"/>
              </w:rPr>
              <w:t>7. Cita informācija</w:t>
            </w:r>
          </w:p>
        </w:tc>
        <w:tc>
          <w:tcPr>
            <w:tcW w:w="3825" w:type="pct"/>
            <w:gridSpan w:val="5"/>
            <w:shd w:val="clear" w:color="auto" w:fill="auto"/>
            <w:vAlign w:val="center"/>
          </w:tcPr>
          <w:p w14:paraId="54475507" w14:textId="0EA892D1" w:rsidR="00764DB6" w:rsidRPr="00905E50" w:rsidRDefault="006E422F" w:rsidP="00FC58C1">
            <w:pPr>
              <w:pStyle w:val="BodyText2"/>
              <w:rPr>
                <w:bCs/>
                <w:sz w:val="24"/>
              </w:rPr>
            </w:pPr>
            <w:r>
              <w:rPr>
                <w:bCs/>
                <w:sz w:val="24"/>
              </w:rPr>
              <w:t>Nav</w:t>
            </w:r>
          </w:p>
        </w:tc>
      </w:tr>
    </w:tbl>
    <w:p w14:paraId="09A477CC" w14:textId="38E03344" w:rsidR="00764DB6" w:rsidRPr="00812E2A" w:rsidRDefault="00764DB6" w:rsidP="00764DB6">
      <w:pPr>
        <w:pStyle w:val="naisf"/>
        <w:spacing w:before="0" w:after="0"/>
        <w:ind w:firstLine="0"/>
      </w:pPr>
    </w:p>
    <w:tbl>
      <w:tblPr>
        <w:tblW w:w="89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2688"/>
        <w:gridCol w:w="5812"/>
      </w:tblGrid>
      <w:tr w:rsidR="00764DB6" w:rsidRPr="002A2F7B" w14:paraId="2C5534D5" w14:textId="77777777" w:rsidTr="00FC58C1">
        <w:tc>
          <w:tcPr>
            <w:tcW w:w="8926" w:type="dxa"/>
            <w:gridSpan w:val="3"/>
          </w:tcPr>
          <w:p w14:paraId="05947B92" w14:textId="77777777" w:rsidR="00764DB6" w:rsidRPr="00812E2A" w:rsidRDefault="00764DB6" w:rsidP="001C7A10">
            <w:pPr>
              <w:pStyle w:val="naisnod"/>
              <w:spacing w:before="0" w:after="0"/>
            </w:pPr>
            <w:r w:rsidRPr="00812E2A">
              <w:t>IV. Tiesību akta projekta ietekme uz spēkā esošo tiesību normu sistēmu</w:t>
            </w:r>
          </w:p>
        </w:tc>
      </w:tr>
      <w:tr w:rsidR="00764DB6" w:rsidRPr="002A2F7B" w14:paraId="1F75A525" w14:textId="77777777" w:rsidTr="00FC58C1">
        <w:tc>
          <w:tcPr>
            <w:tcW w:w="426" w:type="dxa"/>
          </w:tcPr>
          <w:p w14:paraId="5BD889F9" w14:textId="77777777" w:rsidR="00764DB6" w:rsidRPr="00812E2A" w:rsidRDefault="00764DB6" w:rsidP="001C7A10">
            <w:pPr>
              <w:pStyle w:val="naiskr"/>
              <w:tabs>
                <w:tab w:val="left" w:pos="2628"/>
              </w:tabs>
              <w:spacing w:before="0" w:after="0"/>
              <w:jc w:val="both"/>
              <w:rPr>
                <w:iCs/>
              </w:rPr>
            </w:pPr>
            <w:r w:rsidRPr="00812E2A">
              <w:rPr>
                <w:iCs/>
              </w:rPr>
              <w:t>1.</w:t>
            </w:r>
          </w:p>
        </w:tc>
        <w:tc>
          <w:tcPr>
            <w:tcW w:w="2688" w:type="dxa"/>
          </w:tcPr>
          <w:p w14:paraId="1D31F0F2" w14:textId="77777777" w:rsidR="00764DB6" w:rsidRPr="00812E2A" w:rsidRDefault="00764DB6" w:rsidP="001C7A10">
            <w:pPr>
              <w:pStyle w:val="naiskr"/>
              <w:tabs>
                <w:tab w:val="left" w:pos="2628"/>
              </w:tabs>
              <w:spacing w:before="0" w:after="0"/>
              <w:jc w:val="both"/>
              <w:rPr>
                <w:iCs/>
              </w:rPr>
            </w:pPr>
            <w:r w:rsidRPr="00812E2A">
              <w:t>Nepieciešamie saistītie tiesību aktu projekti</w:t>
            </w:r>
          </w:p>
        </w:tc>
        <w:tc>
          <w:tcPr>
            <w:tcW w:w="5812" w:type="dxa"/>
          </w:tcPr>
          <w:p w14:paraId="634C985E" w14:textId="77777777" w:rsidR="00764DB6" w:rsidRDefault="00764DB6" w:rsidP="00764DB6">
            <w:pPr>
              <w:jc w:val="both"/>
              <w:rPr>
                <w:lang w:val="lv-LV"/>
              </w:rPr>
            </w:pPr>
            <w:r w:rsidRPr="00767B8B">
              <w:rPr>
                <w:rFonts w:cs="Times New Roman"/>
                <w:bCs/>
                <w:sz w:val="24"/>
                <w:szCs w:val="24"/>
                <w:lang w:val="lv-LV"/>
              </w:rPr>
              <w:t xml:space="preserve">Ņemot vērā likumprojektā paredzēto, </w:t>
            </w:r>
            <w:r>
              <w:rPr>
                <w:rFonts w:cs="Times New Roman"/>
                <w:bCs/>
                <w:sz w:val="24"/>
                <w:szCs w:val="24"/>
                <w:lang w:val="lv-LV"/>
              </w:rPr>
              <w:t>līdz 2017.gada 1.janvārim būs nepieciešams izstrādāt</w:t>
            </w:r>
            <w:r w:rsidRPr="00767B8B">
              <w:rPr>
                <w:rFonts w:cs="Times New Roman"/>
                <w:bCs/>
                <w:sz w:val="24"/>
                <w:szCs w:val="24"/>
                <w:lang w:val="lv-LV"/>
              </w:rPr>
              <w:t xml:space="preserve"> </w:t>
            </w:r>
            <w:r>
              <w:rPr>
                <w:rFonts w:cs="Times New Roman"/>
                <w:bCs/>
                <w:sz w:val="24"/>
                <w:szCs w:val="24"/>
                <w:lang w:val="lv-LV"/>
              </w:rPr>
              <w:t>grozījumus</w:t>
            </w:r>
            <w:r w:rsidRPr="00767B8B">
              <w:rPr>
                <w:rFonts w:cs="Times New Roman"/>
                <w:bCs/>
                <w:sz w:val="24"/>
                <w:szCs w:val="24"/>
                <w:lang w:val="lv-LV"/>
              </w:rPr>
              <w:t xml:space="preserve"> </w:t>
            </w:r>
            <w:r w:rsidRPr="00767B8B">
              <w:rPr>
                <w:rFonts w:cs="Times New Roman"/>
                <w:sz w:val="24"/>
                <w:szCs w:val="24"/>
                <w:lang w:val="lv-LV"/>
              </w:rPr>
              <w:t>Ministru kabineta noteikum</w:t>
            </w:r>
            <w:r>
              <w:rPr>
                <w:rFonts w:cs="Times New Roman"/>
                <w:sz w:val="24"/>
                <w:szCs w:val="24"/>
                <w:lang w:val="lv-LV"/>
              </w:rPr>
              <w:t>u</w:t>
            </w:r>
            <w:r w:rsidRPr="00767B8B">
              <w:rPr>
                <w:rFonts w:cs="Times New Roman"/>
                <w:sz w:val="24"/>
                <w:szCs w:val="24"/>
                <w:lang w:val="lv-LV"/>
              </w:rPr>
              <w:t xml:space="preserve"> 2013.gada 29.janvāra noteikumu Nr.66 “</w:t>
            </w:r>
            <w:r w:rsidRPr="00767B8B">
              <w:rPr>
                <w:rFonts w:cs="Times New Roman"/>
                <w:bCs/>
                <w:sz w:val="24"/>
                <w:szCs w:val="24"/>
                <w:lang w:val="lv-LV"/>
              </w:rPr>
              <w:t>Noteikumi par valsts un pašvaldību institūciju amatpersonu un darbinieku darba samaksu un tās noteikšanas kārtību” 2. un 3.pielikumā.</w:t>
            </w:r>
            <w:r w:rsidRPr="003F777A">
              <w:rPr>
                <w:lang w:val="lv-LV"/>
              </w:rPr>
              <w:t xml:space="preserve"> </w:t>
            </w:r>
          </w:p>
          <w:p w14:paraId="1FF54570" w14:textId="0C7E39D3" w:rsidR="00764DB6" w:rsidRPr="00812E2A" w:rsidRDefault="00764DB6" w:rsidP="00764DB6">
            <w:pPr>
              <w:pStyle w:val="naiskr"/>
              <w:tabs>
                <w:tab w:val="left" w:pos="2628"/>
              </w:tabs>
              <w:spacing w:before="0" w:after="0"/>
              <w:jc w:val="both"/>
              <w:rPr>
                <w:iCs/>
                <w:highlight w:val="yellow"/>
              </w:rPr>
            </w:pPr>
            <w:r w:rsidRPr="003F777A">
              <w:rPr>
                <w:bCs/>
              </w:rPr>
              <w:t xml:space="preserve">Līdz </w:t>
            </w:r>
            <w:r>
              <w:rPr>
                <w:bCs/>
              </w:rPr>
              <w:t>2017.gada 1.oktobrim būs jāpārizdod</w:t>
            </w:r>
            <w:r w:rsidRPr="003F777A">
              <w:rPr>
                <w:bCs/>
              </w:rPr>
              <w:t xml:space="preserve"> Ministru kabineta 2010.gada 21.jūnija noteikum</w:t>
            </w:r>
            <w:r>
              <w:rPr>
                <w:bCs/>
              </w:rPr>
              <w:t>i</w:t>
            </w:r>
            <w:r w:rsidRPr="003F777A">
              <w:rPr>
                <w:bCs/>
              </w:rPr>
              <w:t xml:space="preserve"> Nr.541 </w:t>
            </w:r>
            <w:r w:rsidRPr="003F777A">
              <w:rPr>
                <w:bCs/>
              </w:rPr>
              <w:lastRenderedPageBreak/>
              <w:t>“Noteikumi par valsts un pašvaldību institūciju amatpersonu un darbinieku atlīdzības uzskaites sistēmu”.</w:t>
            </w:r>
          </w:p>
        </w:tc>
      </w:tr>
      <w:tr w:rsidR="00764DB6" w:rsidRPr="00812E2A" w14:paraId="0E6889F1" w14:textId="77777777" w:rsidTr="00FC58C1">
        <w:tc>
          <w:tcPr>
            <w:tcW w:w="426" w:type="dxa"/>
          </w:tcPr>
          <w:p w14:paraId="7F4D2C8B" w14:textId="77777777" w:rsidR="00764DB6" w:rsidRPr="00812E2A" w:rsidRDefault="00764DB6" w:rsidP="001C7A10">
            <w:pPr>
              <w:pStyle w:val="naiskr"/>
              <w:tabs>
                <w:tab w:val="left" w:pos="2628"/>
              </w:tabs>
              <w:spacing w:before="0" w:after="0"/>
              <w:jc w:val="both"/>
              <w:rPr>
                <w:iCs/>
              </w:rPr>
            </w:pPr>
            <w:r w:rsidRPr="00812E2A">
              <w:rPr>
                <w:iCs/>
              </w:rPr>
              <w:lastRenderedPageBreak/>
              <w:t>2.</w:t>
            </w:r>
          </w:p>
        </w:tc>
        <w:tc>
          <w:tcPr>
            <w:tcW w:w="2688" w:type="dxa"/>
          </w:tcPr>
          <w:p w14:paraId="4EB2C1DD" w14:textId="77777777" w:rsidR="00764DB6" w:rsidRPr="00812E2A" w:rsidRDefault="00764DB6" w:rsidP="001C7A10">
            <w:pPr>
              <w:pStyle w:val="naiskr"/>
              <w:tabs>
                <w:tab w:val="left" w:pos="2628"/>
              </w:tabs>
              <w:spacing w:before="0" w:after="0"/>
              <w:jc w:val="both"/>
            </w:pPr>
            <w:r w:rsidRPr="00812E2A">
              <w:t>Atbildīgā institūcija</w:t>
            </w:r>
          </w:p>
        </w:tc>
        <w:tc>
          <w:tcPr>
            <w:tcW w:w="5812" w:type="dxa"/>
          </w:tcPr>
          <w:p w14:paraId="3AC40E62" w14:textId="5272C4C7" w:rsidR="00764DB6" w:rsidRPr="00812E2A" w:rsidRDefault="00764DB6" w:rsidP="001C7A10">
            <w:pPr>
              <w:pStyle w:val="naiskr"/>
              <w:tabs>
                <w:tab w:val="left" w:pos="2628"/>
              </w:tabs>
              <w:spacing w:before="0" w:after="0"/>
              <w:jc w:val="both"/>
              <w:rPr>
                <w:iCs/>
                <w:highlight w:val="yellow"/>
              </w:rPr>
            </w:pPr>
            <w:r w:rsidRPr="00767B8B">
              <w:rPr>
                <w:bCs/>
              </w:rPr>
              <w:t>Finanšu ministrija</w:t>
            </w:r>
          </w:p>
        </w:tc>
      </w:tr>
      <w:tr w:rsidR="00764DB6" w:rsidRPr="00812E2A" w14:paraId="4C337E20" w14:textId="77777777" w:rsidTr="00FC58C1">
        <w:tc>
          <w:tcPr>
            <w:tcW w:w="426" w:type="dxa"/>
          </w:tcPr>
          <w:p w14:paraId="5B8088D6" w14:textId="77777777" w:rsidR="00764DB6" w:rsidRPr="00812E2A" w:rsidRDefault="00764DB6" w:rsidP="001C7A10">
            <w:pPr>
              <w:pStyle w:val="naiskr"/>
              <w:tabs>
                <w:tab w:val="left" w:pos="2628"/>
              </w:tabs>
              <w:spacing w:before="0" w:after="0"/>
              <w:jc w:val="both"/>
              <w:rPr>
                <w:iCs/>
              </w:rPr>
            </w:pPr>
            <w:r w:rsidRPr="00812E2A">
              <w:rPr>
                <w:iCs/>
              </w:rPr>
              <w:t>3.</w:t>
            </w:r>
          </w:p>
        </w:tc>
        <w:tc>
          <w:tcPr>
            <w:tcW w:w="2688" w:type="dxa"/>
          </w:tcPr>
          <w:p w14:paraId="6D0E72F9" w14:textId="77777777" w:rsidR="00764DB6" w:rsidRPr="00812E2A" w:rsidRDefault="00764DB6" w:rsidP="001C7A10">
            <w:pPr>
              <w:pStyle w:val="naiskr"/>
              <w:tabs>
                <w:tab w:val="left" w:pos="2628"/>
              </w:tabs>
              <w:spacing w:before="0" w:after="0"/>
              <w:jc w:val="both"/>
              <w:rPr>
                <w:iCs/>
              </w:rPr>
            </w:pPr>
            <w:r w:rsidRPr="00812E2A">
              <w:t>Cita informācija</w:t>
            </w:r>
          </w:p>
        </w:tc>
        <w:tc>
          <w:tcPr>
            <w:tcW w:w="5812" w:type="dxa"/>
          </w:tcPr>
          <w:p w14:paraId="5E5DB69D" w14:textId="77777777" w:rsidR="00764DB6" w:rsidRPr="00812E2A" w:rsidRDefault="00764DB6" w:rsidP="001C7A10">
            <w:pPr>
              <w:pStyle w:val="naiskr"/>
              <w:tabs>
                <w:tab w:val="left" w:pos="2628"/>
              </w:tabs>
              <w:spacing w:before="0" w:after="0"/>
              <w:jc w:val="both"/>
              <w:rPr>
                <w:iCs/>
              </w:rPr>
            </w:pPr>
            <w:r w:rsidRPr="00812E2A">
              <w:t>Nav</w:t>
            </w:r>
          </w:p>
        </w:tc>
      </w:tr>
    </w:tbl>
    <w:p w14:paraId="20052844" w14:textId="367A530A" w:rsidR="00FC58C1" w:rsidRDefault="00FC58C1" w:rsidP="00764DB6">
      <w:pPr>
        <w:pStyle w:val="naiskr"/>
        <w:tabs>
          <w:tab w:val="left" w:pos="2628"/>
        </w:tabs>
        <w:spacing w:before="0" w:after="0"/>
        <w:rPr>
          <w:i/>
        </w:rPr>
      </w:pPr>
    </w:p>
    <w:tbl>
      <w:tblPr>
        <w:tblW w:w="8931" w:type="dxa"/>
        <w:tblInd w:w="-8"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8931"/>
      </w:tblGrid>
      <w:tr w:rsidR="00FC58C1" w:rsidRPr="00FC58C1" w14:paraId="714D9C89" w14:textId="77777777" w:rsidTr="00872BD2">
        <w:tc>
          <w:tcPr>
            <w:tcW w:w="8931" w:type="dxa"/>
            <w:tcBorders>
              <w:top w:val="outset" w:sz="6" w:space="0" w:color="auto"/>
              <w:left w:val="outset" w:sz="6" w:space="0" w:color="auto"/>
              <w:bottom w:val="outset" w:sz="6" w:space="0" w:color="auto"/>
              <w:right w:val="outset" w:sz="6" w:space="0" w:color="auto"/>
            </w:tcBorders>
            <w:vAlign w:val="center"/>
          </w:tcPr>
          <w:p w14:paraId="4994ECCF" w14:textId="77777777" w:rsidR="00FC58C1" w:rsidRPr="00FC58C1" w:rsidRDefault="00FC58C1" w:rsidP="00872BD2">
            <w:pPr>
              <w:jc w:val="center"/>
              <w:rPr>
                <w:b/>
                <w:sz w:val="24"/>
                <w:szCs w:val="24"/>
                <w:lang w:val="lv-LV"/>
              </w:rPr>
            </w:pPr>
            <w:r w:rsidRPr="00FC58C1">
              <w:rPr>
                <w:b/>
                <w:sz w:val="24"/>
                <w:szCs w:val="24"/>
                <w:lang w:val="lv-LV"/>
              </w:rPr>
              <w:t>V. Tiesību akta projekta atbilstība Latvijas Republikas starptautiskajām saistībām</w:t>
            </w:r>
          </w:p>
        </w:tc>
      </w:tr>
      <w:tr w:rsidR="00FC58C1" w:rsidRPr="00FC58C1" w14:paraId="132FEFB1" w14:textId="77777777" w:rsidTr="00872BD2">
        <w:tc>
          <w:tcPr>
            <w:tcW w:w="8931" w:type="dxa"/>
            <w:tcBorders>
              <w:top w:val="outset" w:sz="6" w:space="0" w:color="auto"/>
              <w:left w:val="outset" w:sz="6" w:space="0" w:color="auto"/>
              <w:bottom w:val="outset" w:sz="6" w:space="0" w:color="auto"/>
              <w:right w:val="outset" w:sz="6" w:space="0" w:color="auto"/>
            </w:tcBorders>
            <w:vAlign w:val="center"/>
          </w:tcPr>
          <w:p w14:paraId="497B1DB8" w14:textId="77777777" w:rsidR="00FC58C1" w:rsidRPr="00FC58C1" w:rsidRDefault="00FC58C1" w:rsidP="00872BD2">
            <w:pPr>
              <w:jc w:val="center"/>
              <w:rPr>
                <w:sz w:val="24"/>
                <w:szCs w:val="24"/>
                <w:lang w:val="lv-LV"/>
              </w:rPr>
            </w:pPr>
            <w:r w:rsidRPr="00FC58C1">
              <w:rPr>
                <w:sz w:val="24"/>
                <w:szCs w:val="24"/>
                <w:lang w:val="lv-LV"/>
              </w:rPr>
              <w:t>Likumprojekts šo jomu neskar.</w:t>
            </w:r>
          </w:p>
        </w:tc>
      </w:tr>
    </w:tbl>
    <w:tbl>
      <w:tblPr>
        <w:tblpPr w:leftFromText="180" w:rightFromText="180" w:vertAnchor="text" w:horzAnchor="margin" w:tblpY="28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5"/>
        <w:gridCol w:w="2693"/>
        <w:gridCol w:w="5808"/>
      </w:tblGrid>
      <w:tr w:rsidR="00FC58C1" w:rsidRPr="00FC58C1" w14:paraId="6ACBC18D" w14:textId="77777777" w:rsidTr="00872BD2">
        <w:trPr>
          <w:trHeight w:val="268"/>
        </w:trPr>
        <w:tc>
          <w:tcPr>
            <w:tcW w:w="8926" w:type="dxa"/>
            <w:gridSpan w:val="3"/>
          </w:tcPr>
          <w:p w14:paraId="04B69055" w14:textId="77777777" w:rsidR="00FC58C1" w:rsidRPr="00FC58C1" w:rsidRDefault="00FC58C1" w:rsidP="00872BD2">
            <w:pPr>
              <w:pStyle w:val="naiskr"/>
              <w:spacing w:before="0" w:after="0"/>
              <w:ind w:left="142" w:right="81"/>
              <w:jc w:val="center"/>
            </w:pPr>
            <w:r w:rsidRPr="00FC58C1">
              <w:rPr>
                <w:rFonts w:eastAsia="Calibri"/>
                <w:b/>
                <w:bCs/>
                <w:lang w:eastAsia="en-US"/>
              </w:rPr>
              <w:t>VI. Sabiedrības līdzdalība un komunikācijas aktivitātes</w:t>
            </w:r>
          </w:p>
        </w:tc>
      </w:tr>
      <w:tr w:rsidR="00FC58C1" w:rsidRPr="002A2F7B" w14:paraId="528B3FAD" w14:textId="77777777" w:rsidTr="00872BD2">
        <w:trPr>
          <w:trHeight w:val="476"/>
        </w:trPr>
        <w:tc>
          <w:tcPr>
            <w:tcW w:w="425" w:type="dxa"/>
          </w:tcPr>
          <w:p w14:paraId="25CD32AA" w14:textId="77777777" w:rsidR="00FC58C1" w:rsidRPr="00FC58C1" w:rsidRDefault="00FC58C1" w:rsidP="00872BD2">
            <w:pPr>
              <w:pStyle w:val="naiskr"/>
              <w:spacing w:before="0" w:after="0"/>
            </w:pPr>
            <w:r w:rsidRPr="00FC58C1">
              <w:t>1.</w:t>
            </w:r>
          </w:p>
        </w:tc>
        <w:tc>
          <w:tcPr>
            <w:tcW w:w="2693" w:type="dxa"/>
          </w:tcPr>
          <w:p w14:paraId="4C1D61B9" w14:textId="77777777" w:rsidR="00FC58C1" w:rsidRPr="00FC58C1" w:rsidRDefault="00FC58C1" w:rsidP="00872BD2">
            <w:pPr>
              <w:pStyle w:val="naiskr"/>
              <w:spacing w:before="0" w:after="0"/>
            </w:pPr>
            <w:r w:rsidRPr="00FC58C1">
              <w:t>Plānotās sabiedrības līdzdalības un komunikācijas aktivitātes saistībā ar projektu</w:t>
            </w:r>
          </w:p>
        </w:tc>
        <w:tc>
          <w:tcPr>
            <w:tcW w:w="5808" w:type="dxa"/>
          </w:tcPr>
          <w:p w14:paraId="059E5C35" w14:textId="76F99712" w:rsidR="00FC58C1" w:rsidRDefault="00FC58C1" w:rsidP="00F85FB6">
            <w:pPr>
              <w:jc w:val="both"/>
              <w:rPr>
                <w:sz w:val="24"/>
                <w:lang w:val="lv-LV"/>
              </w:rPr>
            </w:pPr>
            <w:r w:rsidRPr="00196C5D">
              <w:rPr>
                <w:sz w:val="24"/>
                <w:szCs w:val="24"/>
                <w:lang w:val="lv-LV"/>
              </w:rPr>
              <w:t xml:space="preserve">Sabiedrības līdzdalības aktivitātes netika organizētas, </w:t>
            </w:r>
            <w:r w:rsidR="00F85FB6" w:rsidRPr="00196C5D">
              <w:rPr>
                <w:sz w:val="24"/>
                <w:lang w:val="lv-LV"/>
              </w:rPr>
              <w:t xml:space="preserve"> taču likumprojekts pozitīvi ietekmēs tos valsts un pašvaldību </w:t>
            </w:r>
            <w:r w:rsidR="006E422F" w:rsidRPr="00196C5D">
              <w:rPr>
                <w:sz w:val="24"/>
                <w:lang w:val="lv-LV"/>
              </w:rPr>
              <w:t>budžeta iestāžu nodarbinātos, kuriem atbilstoši atlīdzības likuma 3.pielikumam noteikta 1.mēnešalgu grupa.</w:t>
            </w:r>
            <w:r w:rsidR="00F85FB6">
              <w:rPr>
                <w:sz w:val="24"/>
                <w:lang w:val="lv-LV"/>
              </w:rPr>
              <w:t xml:space="preserve"> </w:t>
            </w:r>
          </w:p>
          <w:p w14:paraId="1E3AD85E" w14:textId="0103B0B2" w:rsidR="00F85FB6" w:rsidRPr="006E422F" w:rsidRDefault="00F85FB6" w:rsidP="00F85FB6">
            <w:pPr>
              <w:jc w:val="both"/>
              <w:rPr>
                <w:sz w:val="24"/>
                <w:szCs w:val="24"/>
                <w:lang w:val="lv-LV"/>
              </w:rPr>
            </w:pPr>
          </w:p>
        </w:tc>
      </w:tr>
      <w:tr w:rsidR="00FC58C1" w:rsidRPr="00FC58C1" w14:paraId="631662BA" w14:textId="77777777" w:rsidTr="00872BD2">
        <w:trPr>
          <w:trHeight w:val="252"/>
        </w:trPr>
        <w:tc>
          <w:tcPr>
            <w:tcW w:w="425" w:type="dxa"/>
          </w:tcPr>
          <w:p w14:paraId="4316AC29" w14:textId="77777777" w:rsidR="00FC58C1" w:rsidRPr="00FC58C1" w:rsidRDefault="00FC58C1" w:rsidP="00872BD2">
            <w:pPr>
              <w:pStyle w:val="naiskr"/>
              <w:spacing w:before="0" w:after="0"/>
            </w:pPr>
            <w:r w:rsidRPr="00FC58C1">
              <w:t>2.</w:t>
            </w:r>
          </w:p>
        </w:tc>
        <w:tc>
          <w:tcPr>
            <w:tcW w:w="2693" w:type="dxa"/>
          </w:tcPr>
          <w:p w14:paraId="57D77257" w14:textId="77777777" w:rsidR="00FC58C1" w:rsidRPr="00FC58C1" w:rsidRDefault="00FC58C1" w:rsidP="00872BD2">
            <w:pPr>
              <w:pStyle w:val="naiskr"/>
              <w:spacing w:before="0" w:after="0"/>
            </w:pPr>
            <w:r w:rsidRPr="00FC58C1">
              <w:t>Sabiedrības līdzdalība projekta izstrādē</w:t>
            </w:r>
          </w:p>
        </w:tc>
        <w:tc>
          <w:tcPr>
            <w:tcW w:w="5808" w:type="dxa"/>
          </w:tcPr>
          <w:p w14:paraId="7F4A5E73" w14:textId="77777777" w:rsidR="00FC58C1" w:rsidRPr="00FC58C1" w:rsidRDefault="00FC58C1" w:rsidP="00872BD2">
            <w:pPr>
              <w:ind w:left="51"/>
              <w:jc w:val="both"/>
              <w:rPr>
                <w:sz w:val="24"/>
                <w:szCs w:val="24"/>
              </w:rPr>
            </w:pPr>
            <w:r w:rsidRPr="00FC58C1">
              <w:rPr>
                <w:sz w:val="24"/>
                <w:szCs w:val="24"/>
                <w:lang w:val="lv-LV"/>
              </w:rPr>
              <w:t>Likumprojekts šo jomu neskar.</w:t>
            </w:r>
          </w:p>
        </w:tc>
      </w:tr>
      <w:tr w:rsidR="00FC58C1" w:rsidRPr="00FC58C1" w14:paraId="117B0396" w14:textId="77777777" w:rsidTr="00872BD2">
        <w:trPr>
          <w:trHeight w:val="316"/>
        </w:trPr>
        <w:tc>
          <w:tcPr>
            <w:tcW w:w="425" w:type="dxa"/>
          </w:tcPr>
          <w:p w14:paraId="6CD66AA2" w14:textId="77777777" w:rsidR="00FC58C1" w:rsidRPr="00FC58C1" w:rsidRDefault="00FC58C1" w:rsidP="00872BD2">
            <w:pPr>
              <w:pStyle w:val="naiskr"/>
              <w:spacing w:before="0" w:after="0"/>
            </w:pPr>
            <w:r w:rsidRPr="00FC58C1">
              <w:t>3.</w:t>
            </w:r>
          </w:p>
        </w:tc>
        <w:tc>
          <w:tcPr>
            <w:tcW w:w="2693" w:type="dxa"/>
          </w:tcPr>
          <w:p w14:paraId="78C5CCB9" w14:textId="77777777" w:rsidR="00FC58C1" w:rsidRPr="00FC58C1" w:rsidRDefault="00FC58C1" w:rsidP="00872BD2">
            <w:pPr>
              <w:pStyle w:val="naiskr"/>
              <w:spacing w:before="0" w:after="0"/>
            </w:pPr>
            <w:r w:rsidRPr="00FC58C1">
              <w:t>Sabiedrības līdzdalības rezultāti</w:t>
            </w:r>
          </w:p>
        </w:tc>
        <w:tc>
          <w:tcPr>
            <w:tcW w:w="5808" w:type="dxa"/>
          </w:tcPr>
          <w:p w14:paraId="574BC96B" w14:textId="77777777" w:rsidR="00FC58C1" w:rsidRPr="00FC58C1" w:rsidRDefault="00FC58C1" w:rsidP="00872BD2">
            <w:pPr>
              <w:ind w:left="51"/>
              <w:jc w:val="both"/>
              <w:rPr>
                <w:sz w:val="24"/>
                <w:szCs w:val="24"/>
              </w:rPr>
            </w:pPr>
            <w:r w:rsidRPr="00FC58C1">
              <w:rPr>
                <w:sz w:val="24"/>
                <w:szCs w:val="24"/>
                <w:lang w:val="lv-LV"/>
              </w:rPr>
              <w:t>Likumprojekts šo jomu neskar.</w:t>
            </w:r>
          </w:p>
        </w:tc>
      </w:tr>
      <w:tr w:rsidR="00FC58C1" w:rsidRPr="00FC58C1" w14:paraId="5C5EA98C" w14:textId="77777777" w:rsidTr="00872BD2">
        <w:tc>
          <w:tcPr>
            <w:tcW w:w="425" w:type="dxa"/>
          </w:tcPr>
          <w:p w14:paraId="374552AE" w14:textId="77777777" w:rsidR="00FC58C1" w:rsidRPr="00FC58C1" w:rsidRDefault="00FC58C1" w:rsidP="00872BD2">
            <w:pPr>
              <w:pStyle w:val="naiskr"/>
              <w:spacing w:before="0" w:after="0"/>
            </w:pPr>
            <w:r w:rsidRPr="00FC58C1">
              <w:t>4.</w:t>
            </w:r>
          </w:p>
        </w:tc>
        <w:tc>
          <w:tcPr>
            <w:tcW w:w="2693" w:type="dxa"/>
          </w:tcPr>
          <w:p w14:paraId="7981B819" w14:textId="77777777" w:rsidR="00FC58C1" w:rsidRPr="00FC58C1" w:rsidRDefault="00FC58C1" w:rsidP="00872BD2">
            <w:pPr>
              <w:pStyle w:val="naiskr"/>
              <w:spacing w:before="0" w:after="0"/>
            </w:pPr>
            <w:r w:rsidRPr="00FC58C1">
              <w:t>Cita informācija</w:t>
            </w:r>
          </w:p>
        </w:tc>
        <w:tc>
          <w:tcPr>
            <w:tcW w:w="5808" w:type="dxa"/>
          </w:tcPr>
          <w:p w14:paraId="00807D97" w14:textId="77777777" w:rsidR="00FC58C1" w:rsidRPr="00FC58C1" w:rsidRDefault="00FC58C1" w:rsidP="00872BD2">
            <w:pPr>
              <w:pStyle w:val="naiskr"/>
              <w:spacing w:before="0" w:after="0"/>
              <w:ind w:right="81"/>
            </w:pPr>
            <w:r w:rsidRPr="00FC58C1">
              <w:t xml:space="preserve"> Nav</w:t>
            </w:r>
          </w:p>
        </w:tc>
      </w:tr>
    </w:tbl>
    <w:p w14:paraId="5A8F56D1" w14:textId="03D644D6" w:rsidR="00FC58C1" w:rsidRDefault="00FC58C1" w:rsidP="00764DB6">
      <w:pPr>
        <w:pStyle w:val="naiskr"/>
        <w:tabs>
          <w:tab w:val="left" w:pos="2628"/>
        </w:tabs>
        <w:spacing w:before="0" w:after="0"/>
        <w:rPr>
          <w:i/>
        </w:rPr>
      </w:pPr>
    </w:p>
    <w:p w14:paraId="0162380A" w14:textId="53464163" w:rsidR="00FC58C1" w:rsidRPr="00812E2A" w:rsidRDefault="00FC58C1" w:rsidP="00764DB6">
      <w:pPr>
        <w:pStyle w:val="naiskr"/>
        <w:tabs>
          <w:tab w:val="left" w:pos="2628"/>
        </w:tabs>
        <w:spacing w:before="0" w:after="0"/>
        <w:rPr>
          <w:i/>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26"/>
        <w:gridCol w:w="2693"/>
        <w:gridCol w:w="5812"/>
      </w:tblGrid>
      <w:tr w:rsidR="00764DB6" w:rsidRPr="002A2F7B" w14:paraId="0D201C42" w14:textId="77777777" w:rsidTr="00FC58C1">
        <w:tc>
          <w:tcPr>
            <w:tcW w:w="8931" w:type="dxa"/>
            <w:gridSpan w:val="3"/>
            <w:tcBorders>
              <w:top w:val="single" w:sz="4" w:space="0" w:color="auto"/>
              <w:left w:val="single" w:sz="4" w:space="0" w:color="auto"/>
              <w:bottom w:val="single" w:sz="4" w:space="0" w:color="auto"/>
              <w:right w:val="single" w:sz="4" w:space="0" w:color="auto"/>
            </w:tcBorders>
          </w:tcPr>
          <w:p w14:paraId="5E5C11B4" w14:textId="77777777" w:rsidR="00764DB6" w:rsidRPr="00764DB6" w:rsidRDefault="00764DB6" w:rsidP="001C7A10">
            <w:pPr>
              <w:pStyle w:val="naisnod"/>
              <w:spacing w:before="0" w:after="0"/>
              <w:ind w:left="57" w:right="57"/>
            </w:pPr>
            <w:r w:rsidRPr="00764DB6">
              <w:t>VII. Tiesību akta projekta izpildes nodrošināšana un tās ietekme uz institūcijām</w:t>
            </w:r>
          </w:p>
        </w:tc>
      </w:tr>
      <w:tr w:rsidR="00764DB6" w:rsidRPr="00764DB6" w14:paraId="1366DFE0" w14:textId="77777777" w:rsidTr="00FC58C1">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c>
          <w:tcPr>
            <w:tcW w:w="426" w:type="dxa"/>
            <w:tcBorders>
              <w:top w:val="outset" w:sz="6" w:space="0" w:color="000000"/>
              <w:left w:val="outset" w:sz="6" w:space="0" w:color="000000"/>
              <w:bottom w:val="outset" w:sz="6" w:space="0" w:color="000000"/>
              <w:right w:val="outset" w:sz="6" w:space="0" w:color="000000"/>
            </w:tcBorders>
            <w:hideMark/>
          </w:tcPr>
          <w:p w14:paraId="23E8B8BD" w14:textId="77777777" w:rsidR="00764DB6" w:rsidRPr="00764DB6" w:rsidRDefault="00764DB6" w:rsidP="001C7A10">
            <w:pPr>
              <w:pStyle w:val="NormalWeb"/>
              <w:spacing w:before="0" w:beforeAutospacing="0" w:after="0" w:afterAutospacing="0"/>
              <w:jc w:val="center"/>
              <w:rPr>
                <w:rFonts w:ascii="Times New Roman" w:hAnsi="Times New Roman"/>
                <w:sz w:val="24"/>
                <w:szCs w:val="24"/>
              </w:rPr>
            </w:pPr>
            <w:r w:rsidRPr="00764DB6">
              <w:rPr>
                <w:rFonts w:ascii="Times New Roman" w:hAnsi="Times New Roman"/>
                <w:sz w:val="24"/>
                <w:szCs w:val="24"/>
              </w:rPr>
              <w:t>1.</w:t>
            </w:r>
          </w:p>
        </w:tc>
        <w:tc>
          <w:tcPr>
            <w:tcW w:w="2693" w:type="dxa"/>
            <w:tcBorders>
              <w:top w:val="outset" w:sz="6" w:space="0" w:color="000000"/>
              <w:left w:val="outset" w:sz="6" w:space="0" w:color="000000"/>
              <w:bottom w:val="outset" w:sz="6" w:space="0" w:color="000000"/>
              <w:right w:val="outset" w:sz="6" w:space="0" w:color="000000"/>
            </w:tcBorders>
            <w:hideMark/>
          </w:tcPr>
          <w:p w14:paraId="3203FD4F" w14:textId="77777777" w:rsidR="00764DB6" w:rsidRPr="00764DB6" w:rsidRDefault="00764DB6" w:rsidP="001C7A10">
            <w:pPr>
              <w:pStyle w:val="NormalWeb"/>
              <w:spacing w:before="0" w:beforeAutospacing="0" w:after="0" w:afterAutospacing="0"/>
              <w:rPr>
                <w:rFonts w:ascii="Times New Roman" w:hAnsi="Times New Roman"/>
                <w:sz w:val="24"/>
                <w:szCs w:val="24"/>
              </w:rPr>
            </w:pPr>
            <w:r w:rsidRPr="00764DB6">
              <w:rPr>
                <w:rFonts w:ascii="Times New Roman" w:hAnsi="Times New Roman"/>
                <w:sz w:val="24"/>
                <w:szCs w:val="24"/>
              </w:rPr>
              <w:t>Projekta izpildē iesaistītās institūcijas</w:t>
            </w:r>
          </w:p>
        </w:tc>
        <w:tc>
          <w:tcPr>
            <w:tcW w:w="5812" w:type="dxa"/>
            <w:tcBorders>
              <w:top w:val="outset" w:sz="6" w:space="0" w:color="000000"/>
              <w:left w:val="outset" w:sz="6" w:space="0" w:color="000000"/>
              <w:bottom w:val="outset" w:sz="6" w:space="0" w:color="000000"/>
              <w:right w:val="outset" w:sz="6" w:space="0" w:color="000000"/>
            </w:tcBorders>
            <w:hideMark/>
          </w:tcPr>
          <w:p w14:paraId="5E198096" w14:textId="130F9738" w:rsidR="00764DB6" w:rsidRPr="00764DB6" w:rsidRDefault="00764DB6" w:rsidP="00764DB6">
            <w:pPr>
              <w:pStyle w:val="NormalWeb"/>
              <w:spacing w:before="0" w:beforeAutospacing="0" w:after="0" w:afterAutospacing="0"/>
              <w:jc w:val="both"/>
              <w:rPr>
                <w:rFonts w:ascii="Times New Roman" w:hAnsi="Times New Roman"/>
                <w:sz w:val="24"/>
                <w:szCs w:val="24"/>
              </w:rPr>
            </w:pPr>
            <w:r w:rsidRPr="00764DB6">
              <w:rPr>
                <w:rFonts w:ascii="Times New Roman" w:hAnsi="Times New Roman"/>
                <w:sz w:val="24"/>
                <w:szCs w:val="24"/>
              </w:rPr>
              <w:t xml:space="preserve">  Valsts un pašvaldību institūcijas.</w:t>
            </w:r>
          </w:p>
        </w:tc>
      </w:tr>
      <w:tr w:rsidR="00764DB6" w:rsidRPr="00764DB6" w14:paraId="3A0D9D2E" w14:textId="77777777" w:rsidTr="00FC58C1">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c>
          <w:tcPr>
            <w:tcW w:w="426" w:type="dxa"/>
            <w:tcBorders>
              <w:top w:val="outset" w:sz="6" w:space="0" w:color="000000"/>
              <w:left w:val="outset" w:sz="6" w:space="0" w:color="000000"/>
              <w:bottom w:val="outset" w:sz="6" w:space="0" w:color="000000"/>
              <w:right w:val="outset" w:sz="6" w:space="0" w:color="000000"/>
            </w:tcBorders>
            <w:hideMark/>
          </w:tcPr>
          <w:p w14:paraId="6CA73EA2" w14:textId="77777777" w:rsidR="00764DB6" w:rsidRPr="00764DB6" w:rsidRDefault="00764DB6" w:rsidP="001C7A10">
            <w:pPr>
              <w:pStyle w:val="NormalWeb"/>
              <w:spacing w:before="0" w:beforeAutospacing="0" w:after="0" w:afterAutospacing="0"/>
              <w:jc w:val="center"/>
              <w:rPr>
                <w:rFonts w:ascii="Times New Roman" w:hAnsi="Times New Roman"/>
                <w:sz w:val="24"/>
                <w:szCs w:val="24"/>
              </w:rPr>
            </w:pPr>
            <w:r w:rsidRPr="00764DB6">
              <w:rPr>
                <w:rFonts w:ascii="Times New Roman" w:hAnsi="Times New Roman"/>
                <w:sz w:val="24"/>
                <w:szCs w:val="24"/>
              </w:rPr>
              <w:t>2.</w:t>
            </w:r>
          </w:p>
        </w:tc>
        <w:tc>
          <w:tcPr>
            <w:tcW w:w="2693" w:type="dxa"/>
            <w:tcBorders>
              <w:top w:val="outset" w:sz="6" w:space="0" w:color="000000"/>
              <w:left w:val="outset" w:sz="6" w:space="0" w:color="000000"/>
              <w:bottom w:val="outset" w:sz="6" w:space="0" w:color="000000"/>
              <w:right w:val="outset" w:sz="6" w:space="0" w:color="000000"/>
            </w:tcBorders>
            <w:hideMark/>
          </w:tcPr>
          <w:p w14:paraId="671AB7C6" w14:textId="77777777" w:rsidR="00764DB6" w:rsidRPr="00764DB6" w:rsidRDefault="00764DB6" w:rsidP="001C7A10">
            <w:pPr>
              <w:pStyle w:val="NormalWeb"/>
              <w:spacing w:before="0" w:beforeAutospacing="0" w:after="0" w:afterAutospacing="0"/>
              <w:jc w:val="both"/>
              <w:rPr>
                <w:rFonts w:ascii="Times New Roman" w:hAnsi="Times New Roman"/>
                <w:sz w:val="24"/>
                <w:szCs w:val="24"/>
              </w:rPr>
            </w:pPr>
            <w:r w:rsidRPr="00764DB6">
              <w:rPr>
                <w:rFonts w:ascii="Times New Roman" w:hAnsi="Times New Roman"/>
                <w:sz w:val="24"/>
                <w:szCs w:val="24"/>
              </w:rPr>
              <w:t>Projekta izpildes ietekme uz pārvaldes funkcijām un institucionālo struktūru.</w:t>
            </w:r>
          </w:p>
          <w:p w14:paraId="07090891" w14:textId="77777777" w:rsidR="00764DB6" w:rsidRPr="00764DB6" w:rsidRDefault="00764DB6" w:rsidP="001C7A10">
            <w:pPr>
              <w:pStyle w:val="NormalWeb"/>
              <w:spacing w:before="0" w:beforeAutospacing="0" w:after="0" w:afterAutospacing="0"/>
              <w:jc w:val="both"/>
              <w:rPr>
                <w:rFonts w:ascii="Times New Roman" w:hAnsi="Times New Roman"/>
                <w:sz w:val="24"/>
                <w:szCs w:val="24"/>
              </w:rPr>
            </w:pPr>
            <w:r w:rsidRPr="00764DB6">
              <w:rPr>
                <w:rFonts w:ascii="Times New Roman" w:hAnsi="Times New Roman"/>
                <w:sz w:val="24"/>
                <w:szCs w:val="24"/>
              </w:rPr>
              <w:t>Jaunu institūciju izveide, esošo institūciju likvidācija vai reorganizācija, to ietekme uz institūcijas cilvēkresursiem</w:t>
            </w:r>
          </w:p>
        </w:tc>
        <w:tc>
          <w:tcPr>
            <w:tcW w:w="5812" w:type="dxa"/>
            <w:tcBorders>
              <w:top w:val="outset" w:sz="6" w:space="0" w:color="000000"/>
              <w:left w:val="outset" w:sz="6" w:space="0" w:color="000000"/>
              <w:bottom w:val="outset" w:sz="6" w:space="0" w:color="000000"/>
              <w:right w:val="outset" w:sz="6" w:space="0" w:color="000000"/>
            </w:tcBorders>
            <w:hideMark/>
          </w:tcPr>
          <w:p w14:paraId="009A49CB" w14:textId="77777777" w:rsidR="00764DB6" w:rsidRPr="00764DB6" w:rsidRDefault="00764DB6" w:rsidP="001C7A10">
            <w:pPr>
              <w:pStyle w:val="naiskr"/>
              <w:spacing w:before="0" w:after="0"/>
              <w:ind w:left="112"/>
              <w:jc w:val="both"/>
              <w:rPr>
                <w:iCs/>
              </w:rPr>
            </w:pPr>
            <w:r w:rsidRPr="00764DB6">
              <w:t>Likumprojekts šo jomu neskar</w:t>
            </w:r>
          </w:p>
        </w:tc>
      </w:tr>
      <w:tr w:rsidR="00764DB6" w:rsidRPr="00764DB6" w14:paraId="773084D1" w14:textId="77777777" w:rsidTr="00FC58C1">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c>
          <w:tcPr>
            <w:tcW w:w="426" w:type="dxa"/>
            <w:tcBorders>
              <w:top w:val="outset" w:sz="6" w:space="0" w:color="000000"/>
              <w:left w:val="outset" w:sz="6" w:space="0" w:color="000000"/>
              <w:bottom w:val="outset" w:sz="6" w:space="0" w:color="000000"/>
              <w:right w:val="outset" w:sz="6" w:space="0" w:color="000000"/>
            </w:tcBorders>
            <w:hideMark/>
          </w:tcPr>
          <w:p w14:paraId="3753BC8A" w14:textId="77777777" w:rsidR="00764DB6" w:rsidRPr="00764DB6" w:rsidRDefault="00764DB6" w:rsidP="001C7A10">
            <w:pPr>
              <w:pStyle w:val="NormalWeb"/>
              <w:spacing w:before="0" w:beforeAutospacing="0" w:after="0" w:afterAutospacing="0"/>
              <w:jc w:val="center"/>
              <w:rPr>
                <w:rFonts w:ascii="Times New Roman" w:hAnsi="Times New Roman"/>
                <w:sz w:val="24"/>
                <w:szCs w:val="24"/>
              </w:rPr>
            </w:pPr>
            <w:r w:rsidRPr="00764DB6">
              <w:rPr>
                <w:rFonts w:ascii="Times New Roman" w:hAnsi="Times New Roman"/>
                <w:sz w:val="24"/>
                <w:szCs w:val="24"/>
              </w:rPr>
              <w:t>6.</w:t>
            </w:r>
          </w:p>
        </w:tc>
        <w:tc>
          <w:tcPr>
            <w:tcW w:w="2693" w:type="dxa"/>
            <w:tcBorders>
              <w:top w:val="outset" w:sz="6" w:space="0" w:color="000000"/>
              <w:left w:val="outset" w:sz="6" w:space="0" w:color="000000"/>
              <w:bottom w:val="outset" w:sz="6" w:space="0" w:color="000000"/>
              <w:right w:val="outset" w:sz="6" w:space="0" w:color="000000"/>
            </w:tcBorders>
            <w:hideMark/>
          </w:tcPr>
          <w:p w14:paraId="2274BC5F" w14:textId="77777777" w:rsidR="00764DB6" w:rsidRPr="00764DB6" w:rsidRDefault="00764DB6" w:rsidP="001C7A10">
            <w:pPr>
              <w:pStyle w:val="NormalWeb"/>
              <w:spacing w:before="0" w:beforeAutospacing="0" w:after="0" w:afterAutospacing="0"/>
              <w:rPr>
                <w:rFonts w:ascii="Times New Roman" w:hAnsi="Times New Roman"/>
                <w:sz w:val="24"/>
                <w:szCs w:val="24"/>
              </w:rPr>
            </w:pPr>
            <w:r w:rsidRPr="00764DB6">
              <w:rPr>
                <w:rFonts w:ascii="Times New Roman" w:hAnsi="Times New Roman"/>
                <w:sz w:val="24"/>
                <w:szCs w:val="24"/>
              </w:rPr>
              <w:t>Cita informācija</w:t>
            </w:r>
          </w:p>
        </w:tc>
        <w:tc>
          <w:tcPr>
            <w:tcW w:w="5812" w:type="dxa"/>
            <w:tcBorders>
              <w:top w:val="outset" w:sz="6" w:space="0" w:color="000000"/>
              <w:left w:val="outset" w:sz="6" w:space="0" w:color="000000"/>
              <w:bottom w:val="outset" w:sz="6" w:space="0" w:color="000000"/>
              <w:right w:val="outset" w:sz="6" w:space="0" w:color="000000"/>
            </w:tcBorders>
            <w:hideMark/>
          </w:tcPr>
          <w:p w14:paraId="736B51DD" w14:textId="77777777" w:rsidR="00764DB6" w:rsidRPr="00764DB6" w:rsidRDefault="00764DB6" w:rsidP="001C7A10">
            <w:pPr>
              <w:pStyle w:val="NormalWeb"/>
              <w:spacing w:before="0" w:beforeAutospacing="0" w:after="0" w:afterAutospacing="0"/>
              <w:rPr>
                <w:rFonts w:ascii="Times New Roman" w:hAnsi="Times New Roman"/>
                <w:sz w:val="24"/>
                <w:szCs w:val="24"/>
              </w:rPr>
            </w:pPr>
            <w:r w:rsidRPr="00764DB6">
              <w:rPr>
                <w:rFonts w:ascii="Times New Roman" w:hAnsi="Times New Roman"/>
                <w:sz w:val="24"/>
                <w:szCs w:val="24"/>
              </w:rPr>
              <w:t>Nav</w:t>
            </w:r>
          </w:p>
        </w:tc>
      </w:tr>
    </w:tbl>
    <w:p w14:paraId="063A2671" w14:textId="1D2B16E7" w:rsidR="00764DB6" w:rsidRDefault="00764DB6" w:rsidP="00764DB6">
      <w:pPr>
        <w:rPr>
          <w:rFonts w:cs="Times New Roman"/>
          <w:sz w:val="24"/>
          <w:szCs w:val="24"/>
          <w:lang w:val="lv-LV"/>
        </w:rPr>
      </w:pPr>
    </w:p>
    <w:p w14:paraId="650C3EC5" w14:textId="68934234" w:rsidR="00764DB6" w:rsidRDefault="00764DB6" w:rsidP="008061F6">
      <w:pPr>
        <w:jc w:val="center"/>
        <w:rPr>
          <w:rFonts w:cs="Times New Roman"/>
          <w:sz w:val="24"/>
          <w:szCs w:val="24"/>
          <w:lang w:val="lv-LV"/>
        </w:rPr>
      </w:pPr>
    </w:p>
    <w:p w14:paraId="745FA83E" w14:textId="77777777" w:rsidR="00F85FB6" w:rsidRDefault="00F85FB6" w:rsidP="008061F6">
      <w:pPr>
        <w:jc w:val="center"/>
        <w:rPr>
          <w:rFonts w:cs="Times New Roman"/>
          <w:sz w:val="24"/>
          <w:szCs w:val="24"/>
          <w:lang w:val="lv-LV"/>
        </w:rPr>
      </w:pPr>
    </w:p>
    <w:p w14:paraId="0D3A3EE9" w14:textId="0C9FAF14" w:rsidR="007F1188" w:rsidRPr="00767B8B" w:rsidRDefault="007F1188" w:rsidP="008061F6">
      <w:pPr>
        <w:jc w:val="center"/>
        <w:rPr>
          <w:rFonts w:cs="Times New Roman"/>
          <w:sz w:val="24"/>
          <w:szCs w:val="24"/>
          <w:lang w:val="lv-LV"/>
        </w:rPr>
      </w:pPr>
      <w:r w:rsidRPr="00767B8B">
        <w:rPr>
          <w:rFonts w:cs="Times New Roman"/>
          <w:sz w:val="24"/>
          <w:szCs w:val="24"/>
          <w:lang w:val="lv-LV"/>
        </w:rPr>
        <w:t xml:space="preserve">Finanšu ministre </w:t>
      </w:r>
      <w:r w:rsidRPr="00767B8B">
        <w:rPr>
          <w:rFonts w:cs="Times New Roman"/>
          <w:sz w:val="24"/>
          <w:szCs w:val="24"/>
          <w:lang w:val="lv-LV"/>
        </w:rPr>
        <w:tab/>
        <w:t xml:space="preserve">                    </w:t>
      </w:r>
      <w:r w:rsidRPr="00767B8B">
        <w:rPr>
          <w:rFonts w:cs="Times New Roman"/>
          <w:sz w:val="24"/>
          <w:szCs w:val="24"/>
          <w:lang w:val="lv-LV"/>
        </w:rPr>
        <w:tab/>
      </w:r>
      <w:r w:rsidRPr="00767B8B">
        <w:rPr>
          <w:rFonts w:cs="Times New Roman"/>
          <w:sz w:val="24"/>
          <w:szCs w:val="24"/>
          <w:lang w:val="lv-LV"/>
        </w:rPr>
        <w:tab/>
      </w:r>
      <w:r w:rsidRPr="00767B8B">
        <w:rPr>
          <w:rFonts w:cs="Times New Roman"/>
          <w:sz w:val="24"/>
          <w:szCs w:val="24"/>
          <w:lang w:val="lv-LV"/>
        </w:rPr>
        <w:tab/>
        <w:t xml:space="preserve">       </w:t>
      </w:r>
      <w:proofErr w:type="spellStart"/>
      <w:r w:rsidRPr="00767B8B">
        <w:rPr>
          <w:rFonts w:cs="Times New Roman"/>
          <w:sz w:val="24"/>
          <w:szCs w:val="24"/>
          <w:lang w:val="lv-LV"/>
        </w:rPr>
        <w:t>D.Reizniece</w:t>
      </w:r>
      <w:proofErr w:type="spellEnd"/>
      <w:r w:rsidRPr="00767B8B">
        <w:rPr>
          <w:rFonts w:cs="Times New Roman"/>
          <w:sz w:val="24"/>
          <w:szCs w:val="24"/>
          <w:lang w:val="lv-LV"/>
        </w:rPr>
        <w:t xml:space="preserve"> – Ozola</w:t>
      </w:r>
    </w:p>
    <w:p w14:paraId="0E8C2446" w14:textId="77777777" w:rsidR="00EC322A" w:rsidRPr="00767B8B" w:rsidRDefault="00EC322A" w:rsidP="00EC322A">
      <w:pPr>
        <w:tabs>
          <w:tab w:val="right" w:pos="9000"/>
        </w:tabs>
        <w:jc w:val="both"/>
        <w:rPr>
          <w:rFonts w:cs="Times New Roman"/>
          <w:sz w:val="24"/>
          <w:szCs w:val="24"/>
          <w:lang w:val="lv-LV"/>
        </w:rPr>
      </w:pPr>
    </w:p>
    <w:p w14:paraId="31584AAD" w14:textId="77777777" w:rsidR="00D9598F" w:rsidRPr="00767B8B" w:rsidRDefault="00D9598F" w:rsidP="00EC322A">
      <w:pPr>
        <w:tabs>
          <w:tab w:val="right" w:pos="9000"/>
        </w:tabs>
        <w:jc w:val="both"/>
        <w:rPr>
          <w:rFonts w:cs="Times New Roman"/>
          <w:sz w:val="24"/>
          <w:szCs w:val="24"/>
          <w:lang w:val="lv-LV"/>
        </w:rPr>
      </w:pPr>
    </w:p>
    <w:p w14:paraId="23359FFF" w14:textId="77777777" w:rsidR="006F0965" w:rsidRPr="00767B8B" w:rsidRDefault="006F0965" w:rsidP="00EC322A">
      <w:pPr>
        <w:tabs>
          <w:tab w:val="right" w:pos="9000"/>
        </w:tabs>
        <w:jc w:val="both"/>
        <w:rPr>
          <w:rFonts w:cs="Times New Roman"/>
          <w:sz w:val="24"/>
          <w:szCs w:val="24"/>
          <w:lang w:val="lv-LV"/>
        </w:rPr>
      </w:pPr>
    </w:p>
    <w:p w14:paraId="6BE7F3BE" w14:textId="77777777" w:rsidR="00732936" w:rsidRPr="00767B8B" w:rsidRDefault="00732936" w:rsidP="00EC322A">
      <w:pPr>
        <w:tabs>
          <w:tab w:val="right" w:pos="9000"/>
        </w:tabs>
        <w:jc w:val="both"/>
        <w:rPr>
          <w:rFonts w:cs="Times New Roman"/>
          <w:sz w:val="24"/>
          <w:szCs w:val="24"/>
          <w:lang w:val="lv-LV"/>
        </w:rPr>
      </w:pPr>
    </w:p>
    <w:p w14:paraId="3C7EAF84" w14:textId="77777777" w:rsidR="00732936" w:rsidRPr="00767B8B" w:rsidRDefault="00732936" w:rsidP="00EC322A">
      <w:pPr>
        <w:tabs>
          <w:tab w:val="right" w:pos="9000"/>
        </w:tabs>
        <w:jc w:val="both"/>
        <w:rPr>
          <w:rFonts w:cs="Times New Roman"/>
          <w:sz w:val="24"/>
          <w:szCs w:val="24"/>
          <w:lang w:val="lv-LV"/>
        </w:rPr>
      </w:pPr>
    </w:p>
    <w:p w14:paraId="44363A90" w14:textId="5B868307" w:rsidR="00732936" w:rsidRPr="00FC58C1" w:rsidRDefault="00732936" w:rsidP="00EC322A">
      <w:pPr>
        <w:tabs>
          <w:tab w:val="right" w:pos="9000"/>
        </w:tabs>
        <w:jc w:val="both"/>
        <w:rPr>
          <w:rFonts w:cs="Times New Roman"/>
          <w:sz w:val="22"/>
          <w:szCs w:val="22"/>
          <w:lang w:val="lv-LV"/>
        </w:rPr>
      </w:pPr>
    </w:p>
    <w:p w14:paraId="37017CA8" w14:textId="77777777" w:rsidR="006652C9" w:rsidRDefault="006652C9" w:rsidP="00EC322A">
      <w:pPr>
        <w:tabs>
          <w:tab w:val="left" w:pos="1560"/>
        </w:tabs>
        <w:rPr>
          <w:rFonts w:cs="Times New Roman"/>
          <w:sz w:val="22"/>
          <w:szCs w:val="22"/>
          <w:lang w:val="lv-LV"/>
        </w:rPr>
      </w:pPr>
      <w:r>
        <w:rPr>
          <w:rFonts w:cs="Times New Roman"/>
          <w:sz w:val="22"/>
          <w:szCs w:val="22"/>
          <w:lang w:val="lv-LV"/>
        </w:rPr>
        <w:t>14.09.2016 14:06</w:t>
      </w:r>
    </w:p>
    <w:p w14:paraId="7200364F" w14:textId="4F181139" w:rsidR="00870FDB" w:rsidRPr="00FC58C1" w:rsidRDefault="00870FDB" w:rsidP="00EC322A">
      <w:pPr>
        <w:tabs>
          <w:tab w:val="left" w:pos="1560"/>
        </w:tabs>
        <w:rPr>
          <w:rFonts w:cs="Times New Roman"/>
          <w:sz w:val="22"/>
          <w:szCs w:val="22"/>
          <w:lang w:val="lv-LV"/>
        </w:rPr>
      </w:pPr>
      <w:r w:rsidRPr="00FC58C1">
        <w:rPr>
          <w:rFonts w:cs="Times New Roman"/>
          <w:sz w:val="22"/>
          <w:szCs w:val="22"/>
          <w:lang w:val="lv-LV"/>
        </w:rPr>
        <w:fldChar w:fldCharType="begin"/>
      </w:r>
      <w:r w:rsidRPr="00FC58C1">
        <w:rPr>
          <w:rFonts w:cs="Times New Roman"/>
          <w:sz w:val="22"/>
          <w:szCs w:val="22"/>
          <w:lang w:val="lv-LV"/>
        </w:rPr>
        <w:instrText xml:space="preserve"> NUMWORDS  \# "# ##0"  \* MERGEFORMAT </w:instrText>
      </w:r>
      <w:r w:rsidRPr="00FC58C1">
        <w:rPr>
          <w:rFonts w:cs="Times New Roman"/>
          <w:sz w:val="22"/>
          <w:szCs w:val="22"/>
          <w:lang w:val="lv-LV"/>
        </w:rPr>
        <w:fldChar w:fldCharType="separate"/>
      </w:r>
      <w:r w:rsidR="0085256D">
        <w:rPr>
          <w:rFonts w:cs="Times New Roman"/>
          <w:noProof/>
          <w:sz w:val="22"/>
          <w:szCs w:val="22"/>
          <w:lang w:val="lv-LV"/>
        </w:rPr>
        <w:t>1 178</w:t>
      </w:r>
      <w:r w:rsidRPr="00FC58C1">
        <w:rPr>
          <w:rFonts w:cs="Times New Roman"/>
          <w:sz w:val="22"/>
          <w:szCs w:val="22"/>
          <w:lang w:val="lv-LV"/>
        </w:rPr>
        <w:fldChar w:fldCharType="end"/>
      </w:r>
    </w:p>
    <w:p w14:paraId="0D306C10" w14:textId="77777777" w:rsidR="00EC322A" w:rsidRPr="00FC58C1" w:rsidRDefault="00870FDB" w:rsidP="00EC322A">
      <w:pPr>
        <w:tabs>
          <w:tab w:val="left" w:pos="1560"/>
        </w:tabs>
        <w:rPr>
          <w:rFonts w:cs="Times New Roman"/>
          <w:sz w:val="22"/>
          <w:szCs w:val="22"/>
          <w:lang w:val="lv-LV"/>
        </w:rPr>
      </w:pPr>
      <w:proofErr w:type="spellStart"/>
      <w:r w:rsidRPr="00FC58C1">
        <w:rPr>
          <w:rFonts w:cs="Times New Roman"/>
          <w:sz w:val="22"/>
          <w:szCs w:val="22"/>
          <w:lang w:val="lv-LV"/>
        </w:rPr>
        <w:t>I.Artemjeva</w:t>
      </w:r>
      <w:proofErr w:type="spellEnd"/>
      <w:r w:rsidR="00EC322A" w:rsidRPr="00FC58C1">
        <w:rPr>
          <w:rFonts w:cs="Times New Roman"/>
          <w:sz w:val="22"/>
          <w:szCs w:val="22"/>
          <w:lang w:val="lv-LV"/>
        </w:rPr>
        <w:t>, 67</w:t>
      </w:r>
      <w:r w:rsidR="007F1188" w:rsidRPr="00FC58C1">
        <w:rPr>
          <w:rFonts w:cs="Times New Roman"/>
          <w:sz w:val="22"/>
          <w:szCs w:val="22"/>
          <w:lang w:val="lv-LV"/>
        </w:rPr>
        <w:t>0</w:t>
      </w:r>
      <w:r w:rsidRPr="00FC58C1">
        <w:rPr>
          <w:rFonts w:cs="Times New Roman"/>
          <w:sz w:val="22"/>
          <w:szCs w:val="22"/>
          <w:lang w:val="lv-LV"/>
        </w:rPr>
        <w:t>95599</w:t>
      </w:r>
    </w:p>
    <w:p w14:paraId="15AE62EE" w14:textId="25BF5DFA" w:rsidR="0026236D" w:rsidRPr="00FC58C1" w:rsidRDefault="00460A8A" w:rsidP="00D93F42">
      <w:pPr>
        <w:tabs>
          <w:tab w:val="left" w:pos="1560"/>
        </w:tabs>
        <w:rPr>
          <w:rFonts w:cs="Times New Roman"/>
          <w:sz w:val="22"/>
          <w:szCs w:val="22"/>
          <w:lang w:val="lv-LV"/>
        </w:rPr>
      </w:pPr>
      <w:hyperlink r:id="rId8" w:history="1">
        <w:r w:rsidR="00764DB6" w:rsidRPr="00FC58C1">
          <w:rPr>
            <w:rStyle w:val="Hyperlink"/>
            <w:rFonts w:cs="Times New Roman"/>
            <w:sz w:val="22"/>
            <w:szCs w:val="22"/>
            <w:lang w:val="lv-LV"/>
          </w:rPr>
          <w:t>Ineta.Artemjeva@fm.gov.lv</w:t>
        </w:r>
      </w:hyperlink>
    </w:p>
    <w:sectPr w:rsidR="0026236D" w:rsidRPr="00FC58C1" w:rsidSect="00441D9A">
      <w:headerReference w:type="default" r:id="rId9"/>
      <w:footerReference w:type="default" r:id="rId10"/>
      <w:footerReference w:type="first" r:id="rId11"/>
      <w:pgSz w:w="11906" w:h="16838" w:code="9"/>
      <w:pgMar w:top="1440" w:right="1797" w:bottom="1440" w:left="1797"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5B1037" w14:textId="77777777" w:rsidR="00147012" w:rsidRDefault="00147012" w:rsidP="00EC322A">
      <w:r>
        <w:separator/>
      </w:r>
    </w:p>
  </w:endnote>
  <w:endnote w:type="continuationSeparator" w:id="0">
    <w:p w14:paraId="0FD5626E" w14:textId="77777777" w:rsidR="00147012" w:rsidRDefault="00147012" w:rsidP="00EC3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2552716"/>
      <w:docPartObj>
        <w:docPartGallery w:val="Page Numbers (Bottom of Page)"/>
        <w:docPartUnique/>
      </w:docPartObj>
    </w:sdtPr>
    <w:sdtEndPr>
      <w:rPr>
        <w:noProof/>
        <w:sz w:val="22"/>
        <w:szCs w:val="22"/>
      </w:rPr>
    </w:sdtEndPr>
    <w:sdtContent>
      <w:p w14:paraId="0D31AF3D" w14:textId="75A7DA65" w:rsidR="00441D9A" w:rsidRPr="007F1188" w:rsidRDefault="00460A8A" w:rsidP="007F1188">
        <w:pPr>
          <w:pStyle w:val="Footer"/>
          <w:jc w:val="both"/>
          <w:rPr>
            <w:sz w:val="22"/>
            <w:szCs w:val="22"/>
          </w:rPr>
        </w:pPr>
        <w:sdt>
          <w:sdtPr>
            <w:rPr>
              <w:lang w:val="en-GB"/>
            </w:rPr>
            <w:id w:val="-1619293818"/>
            <w:docPartObj>
              <w:docPartGallery w:val="Page Numbers (Bottom of Page)"/>
              <w:docPartUnique/>
            </w:docPartObj>
          </w:sdtPr>
          <w:sdtEndPr>
            <w:rPr>
              <w:noProof/>
              <w:sz w:val="22"/>
              <w:szCs w:val="22"/>
              <w:lang w:val="lv-LV"/>
            </w:rPr>
          </w:sdtEndPr>
          <w:sdtContent>
            <w:sdt>
              <w:sdtPr>
                <w:rPr>
                  <w:sz w:val="22"/>
                  <w:szCs w:val="22"/>
                </w:rPr>
                <w:id w:val="-339083203"/>
                <w:docPartObj>
                  <w:docPartGallery w:val="Page Numbers (Bottom of Page)"/>
                  <w:docPartUnique/>
                </w:docPartObj>
              </w:sdtPr>
              <w:sdtEndPr>
                <w:rPr>
                  <w:noProof/>
                </w:rPr>
              </w:sdtEndPr>
              <w:sdtContent>
                <w:r w:rsidR="007F1188" w:rsidRPr="007F1188">
                  <w:rPr>
                    <w:sz w:val="22"/>
                    <w:szCs w:val="22"/>
                  </w:rPr>
                  <w:t>FMAnot_</w:t>
                </w:r>
                <w:r w:rsidR="00FB37E3">
                  <w:rPr>
                    <w:sz w:val="22"/>
                    <w:szCs w:val="22"/>
                  </w:rPr>
                  <w:t>14</w:t>
                </w:r>
                <w:r w:rsidR="00870FDB">
                  <w:rPr>
                    <w:sz w:val="22"/>
                    <w:szCs w:val="22"/>
                  </w:rPr>
                  <w:t>09</w:t>
                </w:r>
                <w:r w:rsidR="007F1188" w:rsidRPr="007F1188">
                  <w:rPr>
                    <w:sz w:val="22"/>
                    <w:szCs w:val="22"/>
                  </w:rPr>
                  <w:t>16; Likumprojekta „Grozījumi Valsts un pašvaldību institūciju amatpersonu un darbinieku atlīdzības likumā” sākotnējās ietekmes novērtējuma ziņojums (anotācija)</w:t>
                </w:r>
              </w:sdtContent>
            </w:sdt>
          </w:sdtContent>
        </w:sdt>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GB"/>
      </w:rPr>
      <w:id w:val="1848136215"/>
      <w:docPartObj>
        <w:docPartGallery w:val="Page Numbers (Bottom of Page)"/>
        <w:docPartUnique/>
      </w:docPartObj>
    </w:sdtPr>
    <w:sdtEndPr>
      <w:rPr>
        <w:noProof/>
      </w:rPr>
    </w:sdtEndPr>
    <w:sdtContent>
      <w:sdt>
        <w:sdtPr>
          <w:id w:val="-1102952973"/>
          <w:docPartObj>
            <w:docPartGallery w:val="Page Numbers (Bottom of Page)"/>
            <w:docPartUnique/>
          </w:docPartObj>
        </w:sdtPr>
        <w:sdtEndPr>
          <w:rPr>
            <w:noProof/>
          </w:rPr>
        </w:sdtEndPr>
        <w:sdtContent>
          <w:p w14:paraId="4A030E98" w14:textId="7A1DCE23" w:rsidR="00F74FA8" w:rsidRPr="007F1188" w:rsidRDefault="00460A8A" w:rsidP="007F1188">
            <w:pPr>
              <w:pStyle w:val="Footer"/>
              <w:jc w:val="both"/>
              <w:rPr>
                <w:sz w:val="22"/>
                <w:szCs w:val="22"/>
              </w:rPr>
            </w:pPr>
            <w:sdt>
              <w:sdtPr>
                <w:rPr>
                  <w:lang w:val="en-GB"/>
                </w:rPr>
                <w:id w:val="1067302537"/>
                <w:docPartObj>
                  <w:docPartGallery w:val="Page Numbers (Bottom of Page)"/>
                  <w:docPartUnique/>
                </w:docPartObj>
              </w:sdtPr>
              <w:sdtEndPr>
                <w:rPr>
                  <w:noProof/>
                  <w:sz w:val="22"/>
                  <w:szCs w:val="22"/>
                  <w:lang w:val="lv-LV"/>
                </w:rPr>
              </w:sdtEndPr>
              <w:sdtContent>
                <w:sdt>
                  <w:sdtPr>
                    <w:rPr>
                      <w:sz w:val="22"/>
                      <w:szCs w:val="22"/>
                    </w:rPr>
                    <w:id w:val="86737179"/>
                    <w:docPartObj>
                      <w:docPartGallery w:val="Page Numbers (Bottom of Page)"/>
                      <w:docPartUnique/>
                    </w:docPartObj>
                  </w:sdtPr>
                  <w:sdtEndPr>
                    <w:rPr>
                      <w:noProof/>
                    </w:rPr>
                  </w:sdtEndPr>
                  <w:sdtContent>
                    <w:r w:rsidR="007F1188" w:rsidRPr="007F1188">
                      <w:rPr>
                        <w:sz w:val="22"/>
                        <w:szCs w:val="22"/>
                      </w:rPr>
                      <w:t>FMAnot_</w:t>
                    </w:r>
                    <w:r w:rsidR="00FB37E3">
                      <w:rPr>
                        <w:sz w:val="22"/>
                        <w:szCs w:val="22"/>
                      </w:rPr>
                      <w:t>14</w:t>
                    </w:r>
                    <w:r w:rsidR="00870FDB">
                      <w:rPr>
                        <w:sz w:val="22"/>
                        <w:szCs w:val="22"/>
                      </w:rPr>
                      <w:t>09</w:t>
                    </w:r>
                    <w:r w:rsidR="007F1188" w:rsidRPr="007F1188">
                      <w:rPr>
                        <w:sz w:val="22"/>
                        <w:szCs w:val="22"/>
                      </w:rPr>
                      <w:t>16; Likumprojekta „Grozījumi Valsts un pašvaldību institūciju amatpersonu un darbinieku atlīdzības likumā” sākotnējās ietekmes novērtējuma ziņojums (anotācija)</w:t>
                    </w:r>
                  </w:sdtContent>
                </w:sdt>
              </w:sdtContent>
            </w:sdt>
          </w:p>
        </w:sdtContent>
      </w:sdt>
      <w:p w14:paraId="7253C571" w14:textId="77777777" w:rsidR="00E735C4" w:rsidRPr="00EC322A" w:rsidRDefault="00460A8A" w:rsidP="00F74FA8"/>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162EAE" w14:textId="77777777" w:rsidR="00147012" w:rsidRDefault="00147012" w:rsidP="00EC322A">
      <w:r>
        <w:separator/>
      </w:r>
    </w:p>
  </w:footnote>
  <w:footnote w:type="continuationSeparator" w:id="0">
    <w:p w14:paraId="06D4EF0F" w14:textId="77777777" w:rsidR="00147012" w:rsidRDefault="00147012" w:rsidP="00EC32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2602429"/>
      <w:docPartObj>
        <w:docPartGallery w:val="Page Numbers (Top of Page)"/>
        <w:docPartUnique/>
      </w:docPartObj>
    </w:sdtPr>
    <w:sdtEndPr>
      <w:rPr>
        <w:noProof/>
      </w:rPr>
    </w:sdtEndPr>
    <w:sdtContent>
      <w:p w14:paraId="6181293E" w14:textId="627AAF12" w:rsidR="00EC322A" w:rsidRDefault="00EC322A">
        <w:pPr>
          <w:pStyle w:val="Header"/>
          <w:jc w:val="center"/>
        </w:pPr>
        <w:r>
          <w:fldChar w:fldCharType="begin"/>
        </w:r>
        <w:r>
          <w:instrText xml:space="preserve"> PAGE   \* MERGEFORMAT </w:instrText>
        </w:r>
        <w:r>
          <w:fldChar w:fldCharType="separate"/>
        </w:r>
        <w:r w:rsidR="00460A8A">
          <w:rPr>
            <w:noProof/>
          </w:rPr>
          <w:t>5</w:t>
        </w:r>
        <w:r>
          <w:rPr>
            <w:noProof/>
          </w:rPr>
          <w:fldChar w:fldCharType="end"/>
        </w:r>
      </w:p>
    </w:sdtContent>
  </w:sdt>
  <w:p w14:paraId="3318211E" w14:textId="77777777" w:rsidR="00EC322A" w:rsidRDefault="00EC32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52D41"/>
    <w:multiLevelType w:val="hybridMultilevel"/>
    <w:tmpl w:val="2A16DC66"/>
    <w:lvl w:ilvl="0" w:tplc="FFEA4602">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1">
    <w:nsid w:val="2DD80531"/>
    <w:multiLevelType w:val="hybridMultilevel"/>
    <w:tmpl w:val="F0CAFBC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94A"/>
    <w:rsid w:val="00042F0B"/>
    <w:rsid w:val="00055399"/>
    <w:rsid w:val="00067482"/>
    <w:rsid w:val="00082069"/>
    <w:rsid w:val="00084777"/>
    <w:rsid w:val="00085D4E"/>
    <w:rsid w:val="000A2829"/>
    <w:rsid w:val="000C20CD"/>
    <w:rsid w:val="000E074D"/>
    <w:rsid w:val="000E530A"/>
    <w:rsid w:val="000E576F"/>
    <w:rsid w:val="00144F17"/>
    <w:rsid w:val="00147012"/>
    <w:rsid w:val="001549F4"/>
    <w:rsid w:val="00155450"/>
    <w:rsid w:val="00155933"/>
    <w:rsid w:val="00170F68"/>
    <w:rsid w:val="00196C5D"/>
    <w:rsid w:val="001C25DB"/>
    <w:rsid w:val="001D5BA3"/>
    <w:rsid w:val="001E4820"/>
    <w:rsid w:val="0021416E"/>
    <w:rsid w:val="00225C5D"/>
    <w:rsid w:val="0026236D"/>
    <w:rsid w:val="00296207"/>
    <w:rsid w:val="002A2F7B"/>
    <w:rsid w:val="002A5E94"/>
    <w:rsid w:val="002A7020"/>
    <w:rsid w:val="002B7467"/>
    <w:rsid w:val="002E4E95"/>
    <w:rsid w:val="002F14F1"/>
    <w:rsid w:val="002F58D7"/>
    <w:rsid w:val="00303E56"/>
    <w:rsid w:val="00304507"/>
    <w:rsid w:val="003672AD"/>
    <w:rsid w:val="00377B9C"/>
    <w:rsid w:val="003B21BF"/>
    <w:rsid w:val="003D07D0"/>
    <w:rsid w:val="003D378D"/>
    <w:rsid w:val="003F777A"/>
    <w:rsid w:val="004461CA"/>
    <w:rsid w:val="00450D41"/>
    <w:rsid w:val="00455945"/>
    <w:rsid w:val="00460A8A"/>
    <w:rsid w:val="00480C85"/>
    <w:rsid w:val="004B18E9"/>
    <w:rsid w:val="004B1B9A"/>
    <w:rsid w:val="004B40D5"/>
    <w:rsid w:val="004B461E"/>
    <w:rsid w:val="004C1AC1"/>
    <w:rsid w:val="004D706D"/>
    <w:rsid w:val="004F01B6"/>
    <w:rsid w:val="00524D19"/>
    <w:rsid w:val="005627C2"/>
    <w:rsid w:val="00586A80"/>
    <w:rsid w:val="005A3425"/>
    <w:rsid w:val="005A7159"/>
    <w:rsid w:val="005B3C55"/>
    <w:rsid w:val="005C022B"/>
    <w:rsid w:val="005D76AF"/>
    <w:rsid w:val="005F4077"/>
    <w:rsid w:val="005F7CCA"/>
    <w:rsid w:val="00621B54"/>
    <w:rsid w:val="00623CB3"/>
    <w:rsid w:val="00637691"/>
    <w:rsid w:val="006652C9"/>
    <w:rsid w:val="00687D50"/>
    <w:rsid w:val="00690BFE"/>
    <w:rsid w:val="006A24CA"/>
    <w:rsid w:val="006E422F"/>
    <w:rsid w:val="006F0965"/>
    <w:rsid w:val="006F474A"/>
    <w:rsid w:val="006F6014"/>
    <w:rsid w:val="00711C9A"/>
    <w:rsid w:val="00732936"/>
    <w:rsid w:val="007609E7"/>
    <w:rsid w:val="007635F3"/>
    <w:rsid w:val="00764DB6"/>
    <w:rsid w:val="0076771A"/>
    <w:rsid w:val="00767B8B"/>
    <w:rsid w:val="00783406"/>
    <w:rsid w:val="00787683"/>
    <w:rsid w:val="007C706B"/>
    <w:rsid w:val="007E1155"/>
    <w:rsid w:val="007E4F8C"/>
    <w:rsid w:val="007F1188"/>
    <w:rsid w:val="007F53FC"/>
    <w:rsid w:val="00801F8C"/>
    <w:rsid w:val="008061F6"/>
    <w:rsid w:val="00813557"/>
    <w:rsid w:val="00822D50"/>
    <w:rsid w:val="00825FE5"/>
    <w:rsid w:val="0083671E"/>
    <w:rsid w:val="00840F77"/>
    <w:rsid w:val="0085256D"/>
    <w:rsid w:val="008548F3"/>
    <w:rsid w:val="00864613"/>
    <w:rsid w:val="00870FDB"/>
    <w:rsid w:val="008804EF"/>
    <w:rsid w:val="008B048B"/>
    <w:rsid w:val="008C0F8F"/>
    <w:rsid w:val="00905E50"/>
    <w:rsid w:val="00913FCC"/>
    <w:rsid w:val="009239B9"/>
    <w:rsid w:val="0094492F"/>
    <w:rsid w:val="00951169"/>
    <w:rsid w:val="00951A19"/>
    <w:rsid w:val="00961CCE"/>
    <w:rsid w:val="00961EAA"/>
    <w:rsid w:val="00980842"/>
    <w:rsid w:val="009809EE"/>
    <w:rsid w:val="009972BB"/>
    <w:rsid w:val="009A42B4"/>
    <w:rsid w:val="009A48D6"/>
    <w:rsid w:val="009B3B16"/>
    <w:rsid w:val="009C035B"/>
    <w:rsid w:val="009D5E90"/>
    <w:rsid w:val="009E71B7"/>
    <w:rsid w:val="009F2299"/>
    <w:rsid w:val="00A06739"/>
    <w:rsid w:val="00A10420"/>
    <w:rsid w:val="00A11BB2"/>
    <w:rsid w:val="00A138F6"/>
    <w:rsid w:val="00A40936"/>
    <w:rsid w:val="00A442F4"/>
    <w:rsid w:val="00A538D2"/>
    <w:rsid w:val="00A616BE"/>
    <w:rsid w:val="00A6230C"/>
    <w:rsid w:val="00A633A8"/>
    <w:rsid w:val="00A6370C"/>
    <w:rsid w:val="00AE2798"/>
    <w:rsid w:val="00AF3AC3"/>
    <w:rsid w:val="00B01FD8"/>
    <w:rsid w:val="00B16BE0"/>
    <w:rsid w:val="00B17134"/>
    <w:rsid w:val="00B175A3"/>
    <w:rsid w:val="00B2489F"/>
    <w:rsid w:val="00B3086B"/>
    <w:rsid w:val="00B3355B"/>
    <w:rsid w:val="00B37A1E"/>
    <w:rsid w:val="00B50872"/>
    <w:rsid w:val="00B636FF"/>
    <w:rsid w:val="00B65F36"/>
    <w:rsid w:val="00B7387D"/>
    <w:rsid w:val="00B95881"/>
    <w:rsid w:val="00BC652A"/>
    <w:rsid w:val="00BE058D"/>
    <w:rsid w:val="00BF20B4"/>
    <w:rsid w:val="00BF4575"/>
    <w:rsid w:val="00C14373"/>
    <w:rsid w:val="00C20674"/>
    <w:rsid w:val="00C23DD0"/>
    <w:rsid w:val="00C24D23"/>
    <w:rsid w:val="00C3206F"/>
    <w:rsid w:val="00C32C7C"/>
    <w:rsid w:val="00C36A9C"/>
    <w:rsid w:val="00C51A2D"/>
    <w:rsid w:val="00C729FB"/>
    <w:rsid w:val="00C73F60"/>
    <w:rsid w:val="00C755F0"/>
    <w:rsid w:val="00C77722"/>
    <w:rsid w:val="00C879BE"/>
    <w:rsid w:val="00C94B4A"/>
    <w:rsid w:val="00CA4712"/>
    <w:rsid w:val="00CA6E35"/>
    <w:rsid w:val="00CC3182"/>
    <w:rsid w:val="00CC530C"/>
    <w:rsid w:val="00CD33F4"/>
    <w:rsid w:val="00CD3B94"/>
    <w:rsid w:val="00CF0CC1"/>
    <w:rsid w:val="00D131F6"/>
    <w:rsid w:val="00D3757F"/>
    <w:rsid w:val="00D61217"/>
    <w:rsid w:val="00D87FA5"/>
    <w:rsid w:val="00D907E5"/>
    <w:rsid w:val="00D93F42"/>
    <w:rsid w:val="00D9598F"/>
    <w:rsid w:val="00DB30EE"/>
    <w:rsid w:val="00DC1B7A"/>
    <w:rsid w:val="00E03189"/>
    <w:rsid w:val="00E21341"/>
    <w:rsid w:val="00E23F72"/>
    <w:rsid w:val="00E300A8"/>
    <w:rsid w:val="00E5794A"/>
    <w:rsid w:val="00E605BC"/>
    <w:rsid w:val="00E673A3"/>
    <w:rsid w:val="00E862A2"/>
    <w:rsid w:val="00E91F4B"/>
    <w:rsid w:val="00EA6F5E"/>
    <w:rsid w:val="00EB3EA8"/>
    <w:rsid w:val="00EB4F0A"/>
    <w:rsid w:val="00EC322A"/>
    <w:rsid w:val="00EC5308"/>
    <w:rsid w:val="00EC5363"/>
    <w:rsid w:val="00EF2617"/>
    <w:rsid w:val="00F15D17"/>
    <w:rsid w:val="00F17BDF"/>
    <w:rsid w:val="00F22346"/>
    <w:rsid w:val="00F27609"/>
    <w:rsid w:val="00F469CE"/>
    <w:rsid w:val="00F563A9"/>
    <w:rsid w:val="00F65C79"/>
    <w:rsid w:val="00F74FA8"/>
    <w:rsid w:val="00F77DA0"/>
    <w:rsid w:val="00F85FB6"/>
    <w:rsid w:val="00F918E6"/>
    <w:rsid w:val="00F93914"/>
    <w:rsid w:val="00F93E6A"/>
    <w:rsid w:val="00F963BF"/>
    <w:rsid w:val="00FA3A80"/>
    <w:rsid w:val="00FA659A"/>
    <w:rsid w:val="00FB37E3"/>
    <w:rsid w:val="00FB3D31"/>
    <w:rsid w:val="00FC15B3"/>
    <w:rsid w:val="00FC55BC"/>
    <w:rsid w:val="00FC58C1"/>
    <w:rsid w:val="00FD7CE8"/>
    <w:rsid w:val="00FE05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53249"/>
    <o:shapelayout v:ext="edit">
      <o:idmap v:ext="edit" data="1"/>
    </o:shapelayout>
  </w:shapeDefaults>
  <w:decimalSymbol w:val=","/>
  <w:listSeparator w:val=";"/>
  <w14:docId w14:val="4BE225B9"/>
  <w15:docId w15:val="{D07970FB-E88F-4293-823E-B71A20589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Arial Unicode MS"/>
      <w:lang w:val="en-GB" w:eastAsia="en-US"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C322A"/>
    <w:pPr>
      <w:tabs>
        <w:tab w:val="center" w:pos="4153"/>
        <w:tab w:val="right" w:pos="8306"/>
      </w:tabs>
    </w:pPr>
    <w:rPr>
      <w:lang w:val="lv-LV"/>
    </w:rPr>
  </w:style>
  <w:style w:type="character" w:customStyle="1" w:styleId="FooterChar">
    <w:name w:val="Footer Char"/>
    <w:basedOn w:val="DefaultParagraphFont"/>
    <w:link w:val="Footer"/>
    <w:rsid w:val="00EC322A"/>
    <w:rPr>
      <w:rFonts w:cs="Arial Unicode MS"/>
      <w:lang w:eastAsia="en-US" w:bidi="lo-LA"/>
    </w:rPr>
  </w:style>
  <w:style w:type="paragraph" w:styleId="Header">
    <w:name w:val="header"/>
    <w:basedOn w:val="Normal"/>
    <w:link w:val="HeaderChar"/>
    <w:uiPriority w:val="99"/>
    <w:rsid w:val="00EC322A"/>
    <w:pPr>
      <w:tabs>
        <w:tab w:val="center" w:pos="4153"/>
        <w:tab w:val="right" w:pos="8306"/>
      </w:tabs>
    </w:pPr>
  </w:style>
  <w:style w:type="character" w:customStyle="1" w:styleId="HeaderChar">
    <w:name w:val="Header Char"/>
    <w:basedOn w:val="DefaultParagraphFont"/>
    <w:link w:val="Header"/>
    <w:uiPriority w:val="99"/>
    <w:rsid w:val="00EC322A"/>
    <w:rPr>
      <w:rFonts w:cs="Arial Unicode MS"/>
      <w:lang w:val="en-GB" w:eastAsia="en-US" w:bidi="lo-LA"/>
    </w:rPr>
  </w:style>
  <w:style w:type="paragraph" w:styleId="BalloonText">
    <w:name w:val="Balloon Text"/>
    <w:basedOn w:val="Normal"/>
    <w:link w:val="BalloonTextChar"/>
    <w:rsid w:val="007E4F8C"/>
    <w:rPr>
      <w:rFonts w:ascii="Tahoma" w:hAnsi="Tahoma" w:cs="Tahoma"/>
      <w:sz w:val="16"/>
      <w:szCs w:val="16"/>
    </w:rPr>
  </w:style>
  <w:style w:type="character" w:customStyle="1" w:styleId="BalloonTextChar">
    <w:name w:val="Balloon Text Char"/>
    <w:basedOn w:val="DefaultParagraphFont"/>
    <w:link w:val="BalloonText"/>
    <w:rsid w:val="007E4F8C"/>
    <w:rPr>
      <w:rFonts w:ascii="Tahoma" w:hAnsi="Tahoma" w:cs="Tahoma"/>
      <w:sz w:val="16"/>
      <w:szCs w:val="16"/>
      <w:lang w:val="en-GB" w:eastAsia="en-US" w:bidi="lo-LA"/>
    </w:rPr>
  </w:style>
  <w:style w:type="paragraph" w:customStyle="1" w:styleId="naisnod">
    <w:name w:val="naisnod"/>
    <w:basedOn w:val="Normal"/>
    <w:rsid w:val="002A5E94"/>
    <w:pPr>
      <w:spacing w:before="150" w:after="150"/>
      <w:jc w:val="center"/>
    </w:pPr>
    <w:rPr>
      <w:rFonts w:cs="Times New Roman"/>
      <w:b/>
      <w:bCs/>
      <w:sz w:val="24"/>
      <w:szCs w:val="24"/>
      <w:lang w:val="lv-LV" w:eastAsia="lv-LV" w:bidi="ar-SA"/>
    </w:rPr>
  </w:style>
  <w:style w:type="paragraph" w:styleId="NormalWeb">
    <w:name w:val="Normal (Web)"/>
    <w:basedOn w:val="Normal"/>
    <w:uiPriority w:val="99"/>
    <w:unhideWhenUsed/>
    <w:rsid w:val="002A5E94"/>
    <w:pPr>
      <w:spacing w:before="100" w:beforeAutospacing="1" w:after="100" w:afterAutospacing="1"/>
    </w:pPr>
    <w:rPr>
      <w:rFonts w:ascii="Verdana" w:hAnsi="Verdana" w:cs="Times New Roman"/>
      <w:sz w:val="18"/>
      <w:szCs w:val="18"/>
      <w:lang w:val="lv-LV" w:eastAsia="lv-LV" w:bidi="ar-SA"/>
    </w:rPr>
  </w:style>
  <w:style w:type="paragraph" w:styleId="ListParagraph">
    <w:name w:val="List Paragraph"/>
    <w:basedOn w:val="Normal"/>
    <w:uiPriority w:val="34"/>
    <w:qFormat/>
    <w:rsid w:val="00CD3B94"/>
    <w:pPr>
      <w:ind w:left="720"/>
      <w:contextualSpacing/>
    </w:pPr>
  </w:style>
  <w:style w:type="character" w:styleId="CommentReference">
    <w:name w:val="annotation reference"/>
    <w:basedOn w:val="DefaultParagraphFont"/>
    <w:semiHidden/>
    <w:unhideWhenUsed/>
    <w:rsid w:val="00690BFE"/>
    <w:rPr>
      <w:sz w:val="16"/>
      <w:szCs w:val="16"/>
    </w:rPr>
  </w:style>
  <w:style w:type="paragraph" w:styleId="CommentText">
    <w:name w:val="annotation text"/>
    <w:basedOn w:val="Normal"/>
    <w:link w:val="CommentTextChar"/>
    <w:semiHidden/>
    <w:unhideWhenUsed/>
    <w:rsid w:val="00690BFE"/>
  </w:style>
  <w:style w:type="character" w:customStyle="1" w:styleId="CommentTextChar">
    <w:name w:val="Comment Text Char"/>
    <w:basedOn w:val="DefaultParagraphFont"/>
    <w:link w:val="CommentText"/>
    <w:semiHidden/>
    <w:rsid w:val="00690BFE"/>
    <w:rPr>
      <w:rFonts w:cs="Arial Unicode MS"/>
      <w:lang w:val="en-GB" w:eastAsia="en-US" w:bidi="lo-LA"/>
    </w:rPr>
  </w:style>
  <w:style w:type="paragraph" w:styleId="CommentSubject">
    <w:name w:val="annotation subject"/>
    <w:basedOn w:val="CommentText"/>
    <w:next w:val="CommentText"/>
    <w:link w:val="CommentSubjectChar"/>
    <w:semiHidden/>
    <w:unhideWhenUsed/>
    <w:rsid w:val="00690BFE"/>
    <w:rPr>
      <w:b/>
      <w:bCs/>
    </w:rPr>
  </w:style>
  <w:style w:type="character" w:customStyle="1" w:styleId="CommentSubjectChar">
    <w:name w:val="Comment Subject Char"/>
    <w:basedOn w:val="CommentTextChar"/>
    <w:link w:val="CommentSubject"/>
    <w:semiHidden/>
    <w:rsid w:val="00690BFE"/>
    <w:rPr>
      <w:rFonts w:cs="Arial Unicode MS"/>
      <w:b/>
      <w:bCs/>
      <w:lang w:val="en-GB" w:eastAsia="en-US" w:bidi="lo-LA"/>
    </w:rPr>
  </w:style>
  <w:style w:type="paragraph" w:customStyle="1" w:styleId="tv2132">
    <w:name w:val="tv2132"/>
    <w:basedOn w:val="Normal"/>
    <w:rsid w:val="00C77722"/>
    <w:pPr>
      <w:spacing w:line="360" w:lineRule="auto"/>
      <w:ind w:firstLine="300"/>
    </w:pPr>
    <w:rPr>
      <w:rFonts w:cs="Times New Roman"/>
      <w:color w:val="414142"/>
      <w:lang w:val="lv-LV" w:eastAsia="lv-LV" w:bidi="ar-SA"/>
    </w:rPr>
  </w:style>
  <w:style w:type="table" w:styleId="TableGrid">
    <w:name w:val="Table Grid"/>
    <w:basedOn w:val="TableNormal"/>
    <w:uiPriority w:val="39"/>
    <w:rsid w:val="00951A1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764DB6"/>
    <w:rPr>
      <w:color w:val="0000FF" w:themeColor="hyperlink"/>
      <w:u w:val="single"/>
    </w:rPr>
  </w:style>
  <w:style w:type="paragraph" w:customStyle="1" w:styleId="naiskr">
    <w:name w:val="naiskr"/>
    <w:basedOn w:val="Normal"/>
    <w:rsid w:val="00764DB6"/>
    <w:pPr>
      <w:spacing w:before="75" w:after="75"/>
    </w:pPr>
    <w:rPr>
      <w:rFonts w:cs="Times New Roman"/>
      <w:sz w:val="24"/>
      <w:szCs w:val="24"/>
      <w:lang w:val="lv-LV" w:eastAsia="lv-LV" w:bidi="ar-SA"/>
    </w:rPr>
  </w:style>
  <w:style w:type="paragraph" w:customStyle="1" w:styleId="naisf">
    <w:name w:val="naisf"/>
    <w:basedOn w:val="Normal"/>
    <w:rsid w:val="00764DB6"/>
    <w:pPr>
      <w:spacing w:before="75" w:after="75"/>
      <w:ind w:firstLine="375"/>
      <w:jc w:val="both"/>
    </w:pPr>
    <w:rPr>
      <w:rFonts w:cs="Times New Roman"/>
      <w:sz w:val="24"/>
      <w:szCs w:val="24"/>
      <w:lang w:val="lv-LV" w:eastAsia="lv-LV" w:bidi="ar-SA"/>
    </w:rPr>
  </w:style>
  <w:style w:type="paragraph" w:styleId="BodyText2">
    <w:name w:val="Body Text 2"/>
    <w:basedOn w:val="Normal"/>
    <w:link w:val="BodyText2Char"/>
    <w:rsid w:val="00764DB6"/>
    <w:pPr>
      <w:jc w:val="both"/>
    </w:pPr>
    <w:rPr>
      <w:rFonts w:cs="Times New Roman"/>
      <w:sz w:val="28"/>
      <w:szCs w:val="24"/>
      <w:lang w:val="lv-LV" w:bidi="ar-SA"/>
    </w:rPr>
  </w:style>
  <w:style w:type="character" w:customStyle="1" w:styleId="BodyText2Char">
    <w:name w:val="Body Text 2 Char"/>
    <w:basedOn w:val="DefaultParagraphFont"/>
    <w:link w:val="BodyText2"/>
    <w:rsid w:val="00764DB6"/>
    <w:rPr>
      <w:sz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34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eta.Artemjeva@f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88BFF-0C04-4281-985D-CDC56E61C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5</Pages>
  <Words>1178</Words>
  <Characters>8459</Characters>
  <Application>Microsoft Office Word</Application>
  <DocSecurity>0</DocSecurity>
  <Lines>422</Lines>
  <Paragraphs>229</Paragraphs>
  <ScaleCrop>false</ScaleCrop>
  <HeadingPairs>
    <vt:vector size="2" baseType="variant">
      <vt:variant>
        <vt:lpstr>Title</vt:lpstr>
      </vt:variant>
      <vt:variant>
        <vt:i4>1</vt:i4>
      </vt:variant>
    </vt:vector>
  </HeadingPairs>
  <TitlesOfParts>
    <vt:vector size="1" baseType="lpstr">
      <vt:lpstr>Likumprojekta „Grozījumi Valsts un pašvaldību institūciju amatpersonu un darbinieku atlīdzības likumā” sākotnējās ietekmes novērtējuma ziņojums (anotācija)</vt:lpstr>
    </vt:vector>
  </TitlesOfParts>
  <Company/>
  <LinksUpToDate>false</LinksUpToDate>
  <CharactersWithSpaces>9408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Valsts un pašvaldību institūciju amatpersonu un darbinieku atlīdzības likumā” sākotnējās ietekmes novērtējuma ziņojums (anotācija)</dc:title>
  <dc:subject>Anotācija</dc:subject>
  <dc:creator>Ineta Artemjeva</dc:creator>
  <cp:keywords/>
  <dc:description>tel.67095599;
Ineta.Artemjeva@fm.gov.lv,</dc:description>
  <cp:lastModifiedBy>Artemjeva Ineta</cp:lastModifiedBy>
  <cp:revision>10</cp:revision>
  <cp:lastPrinted>2016-09-14T11:19:00Z</cp:lastPrinted>
  <dcterms:created xsi:type="dcterms:W3CDTF">2016-09-14T06:16:00Z</dcterms:created>
  <dcterms:modified xsi:type="dcterms:W3CDTF">2016-09-14T11:20:00Z</dcterms:modified>
</cp:coreProperties>
</file>