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FC7" w:rsidRPr="00840080" w:rsidRDefault="009F7D7D" w:rsidP="00A73E70">
      <w:pPr>
        <w:pStyle w:val="naislab"/>
        <w:spacing w:before="0" w:after="0"/>
        <w:ind w:left="-426" w:right="-427"/>
        <w:jc w:val="center"/>
        <w:rPr>
          <w:sz w:val="26"/>
          <w:szCs w:val="26"/>
        </w:rPr>
      </w:pPr>
      <w:bookmarkStart w:id="0" w:name="_GoBack"/>
      <w:bookmarkEnd w:id="0"/>
      <w:r w:rsidRPr="00840080">
        <w:rPr>
          <w:sz w:val="26"/>
          <w:szCs w:val="26"/>
        </w:rPr>
        <w:t>Likum</w:t>
      </w:r>
      <w:r w:rsidR="00852042" w:rsidRPr="00840080">
        <w:rPr>
          <w:sz w:val="26"/>
          <w:szCs w:val="26"/>
        </w:rPr>
        <w:t>projekta</w:t>
      </w:r>
      <w:r w:rsidR="00852042" w:rsidRPr="00840080">
        <w:rPr>
          <w:b/>
          <w:sz w:val="26"/>
          <w:szCs w:val="26"/>
        </w:rPr>
        <w:t xml:space="preserve"> </w:t>
      </w:r>
      <w:r w:rsidR="001D166B" w:rsidRPr="00840080">
        <w:rPr>
          <w:b/>
          <w:sz w:val="26"/>
          <w:szCs w:val="26"/>
        </w:rPr>
        <w:t>„Grozījum</w:t>
      </w:r>
      <w:r w:rsidR="00812E2A" w:rsidRPr="00840080">
        <w:rPr>
          <w:b/>
          <w:sz w:val="26"/>
          <w:szCs w:val="26"/>
        </w:rPr>
        <w:t>i</w:t>
      </w:r>
      <w:r w:rsidR="001D166B" w:rsidRPr="00840080">
        <w:rPr>
          <w:b/>
          <w:sz w:val="26"/>
          <w:szCs w:val="26"/>
        </w:rPr>
        <w:t xml:space="preserve"> </w:t>
      </w:r>
      <w:r w:rsidR="00812E2A" w:rsidRPr="00840080">
        <w:rPr>
          <w:b/>
          <w:sz w:val="26"/>
          <w:szCs w:val="26"/>
        </w:rPr>
        <w:t>L</w:t>
      </w:r>
      <w:r w:rsidR="00D442BD" w:rsidRPr="00840080">
        <w:rPr>
          <w:b/>
          <w:sz w:val="26"/>
          <w:szCs w:val="26"/>
        </w:rPr>
        <w:t>ikumā</w:t>
      </w:r>
      <w:r w:rsidR="00812E2A" w:rsidRPr="00840080">
        <w:rPr>
          <w:b/>
          <w:sz w:val="26"/>
          <w:szCs w:val="26"/>
        </w:rPr>
        <w:t xml:space="preserve"> p</w:t>
      </w:r>
      <w:r w:rsidR="00416E10" w:rsidRPr="00840080">
        <w:rPr>
          <w:b/>
          <w:sz w:val="26"/>
          <w:szCs w:val="26"/>
        </w:rPr>
        <w:t>ar budžetu un finanšu vadību</w:t>
      </w:r>
      <w:r w:rsidR="009639C2" w:rsidRPr="00840080">
        <w:rPr>
          <w:b/>
          <w:sz w:val="26"/>
          <w:szCs w:val="26"/>
        </w:rPr>
        <w:t>”</w:t>
      </w:r>
      <w:r w:rsidRPr="00840080">
        <w:rPr>
          <w:b/>
          <w:sz w:val="26"/>
          <w:szCs w:val="26"/>
        </w:rPr>
        <w:t xml:space="preserve"> </w:t>
      </w:r>
      <w:r w:rsidR="00852042" w:rsidRPr="00840080">
        <w:rPr>
          <w:sz w:val="26"/>
          <w:szCs w:val="26"/>
        </w:rPr>
        <w:t>sākotnējā</w:t>
      </w:r>
      <w:r w:rsidR="002D3306" w:rsidRPr="00840080">
        <w:rPr>
          <w:sz w:val="26"/>
          <w:szCs w:val="26"/>
        </w:rPr>
        <w:t>s</w:t>
      </w:r>
      <w:r w:rsidR="00852042" w:rsidRPr="00840080">
        <w:rPr>
          <w:sz w:val="26"/>
          <w:szCs w:val="26"/>
        </w:rPr>
        <w:t xml:space="preserve"> ietekmes novērtējuma ziņojums</w:t>
      </w:r>
    </w:p>
    <w:p w:rsidR="008C5649" w:rsidRPr="00840080" w:rsidRDefault="00852042" w:rsidP="00A73E70">
      <w:pPr>
        <w:pStyle w:val="naislab"/>
        <w:spacing w:before="0" w:after="0"/>
        <w:ind w:left="-426" w:right="-427"/>
        <w:jc w:val="center"/>
        <w:rPr>
          <w:b/>
          <w:sz w:val="26"/>
          <w:szCs w:val="26"/>
        </w:rPr>
      </w:pPr>
      <w:r w:rsidRPr="00840080">
        <w:rPr>
          <w:b/>
          <w:sz w:val="26"/>
          <w:szCs w:val="26"/>
        </w:rPr>
        <w:t>(anotācija)</w:t>
      </w:r>
    </w:p>
    <w:p w:rsidR="000F737F" w:rsidRPr="00840080" w:rsidRDefault="000F737F" w:rsidP="000C5F49">
      <w:pPr>
        <w:pStyle w:val="naislab"/>
        <w:spacing w:before="0" w:after="0"/>
        <w:jc w:val="center"/>
      </w:pPr>
    </w:p>
    <w:tbl>
      <w:tblPr>
        <w:tblpPr w:leftFromText="180" w:rightFromText="180" w:vertAnchor="text" w:horzAnchor="margin" w:tblpXSpec="center" w:tblpY="14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149"/>
        <w:gridCol w:w="7371"/>
      </w:tblGrid>
      <w:tr w:rsidR="00852042" w:rsidRPr="00840080" w:rsidTr="00DE4560">
        <w:tc>
          <w:tcPr>
            <w:tcW w:w="10070" w:type="dxa"/>
            <w:gridSpan w:val="3"/>
            <w:vAlign w:val="center"/>
          </w:tcPr>
          <w:p w:rsidR="00852042" w:rsidRPr="00840080" w:rsidRDefault="00852042" w:rsidP="000C5F49">
            <w:pPr>
              <w:pStyle w:val="naisnod"/>
              <w:spacing w:before="0" w:after="0"/>
            </w:pPr>
            <w:r w:rsidRPr="00840080">
              <w:t>I</w:t>
            </w:r>
            <w:r w:rsidR="000941C5" w:rsidRPr="00840080">
              <w:t>.</w:t>
            </w:r>
            <w:r w:rsidRPr="00840080">
              <w:t xml:space="preserve"> Tiesību akta </w:t>
            </w:r>
            <w:r w:rsidR="002E3FF4" w:rsidRPr="00840080">
              <w:t xml:space="preserve">projekta </w:t>
            </w:r>
            <w:r w:rsidRPr="00840080">
              <w:t>izstrādes nepieciešamība</w:t>
            </w:r>
          </w:p>
        </w:tc>
      </w:tr>
      <w:tr w:rsidR="00262E2B" w:rsidRPr="00840080" w:rsidTr="00B77156">
        <w:trPr>
          <w:trHeight w:val="267"/>
        </w:trPr>
        <w:tc>
          <w:tcPr>
            <w:tcW w:w="550" w:type="dxa"/>
            <w:tcBorders>
              <w:bottom w:val="single" w:sz="4" w:space="0" w:color="auto"/>
            </w:tcBorders>
          </w:tcPr>
          <w:p w:rsidR="00262E2B" w:rsidRPr="00840080" w:rsidRDefault="00262E2B" w:rsidP="000C5F49">
            <w:pPr>
              <w:pStyle w:val="naiskr"/>
              <w:spacing w:before="0" w:after="0"/>
            </w:pPr>
            <w:r w:rsidRPr="00840080">
              <w:t>1.</w:t>
            </w:r>
          </w:p>
        </w:tc>
        <w:tc>
          <w:tcPr>
            <w:tcW w:w="2149" w:type="dxa"/>
            <w:tcBorders>
              <w:bottom w:val="single" w:sz="4" w:space="0" w:color="auto"/>
            </w:tcBorders>
          </w:tcPr>
          <w:p w:rsidR="00DF5C90" w:rsidRPr="00840080" w:rsidRDefault="002D7F54" w:rsidP="00A73E70">
            <w:pPr>
              <w:pStyle w:val="naiskr"/>
              <w:spacing w:before="0" w:after="0"/>
              <w:ind w:hanging="10"/>
            </w:pPr>
            <w:r w:rsidRPr="00840080">
              <w:t>Pamatojums</w:t>
            </w:r>
          </w:p>
          <w:p w:rsidR="00262E2B" w:rsidRPr="00840080" w:rsidRDefault="00262E2B" w:rsidP="000C5F49">
            <w:pPr>
              <w:ind w:firstLine="720"/>
            </w:pPr>
          </w:p>
        </w:tc>
        <w:tc>
          <w:tcPr>
            <w:tcW w:w="7371" w:type="dxa"/>
            <w:tcBorders>
              <w:bottom w:val="single" w:sz="4" w:space="0" w:color="auto"/>
            </w:tcBorders>
          </w:tcPr>
          <w:p w:rsidR="000C5F27" w:rsidRPr="00840080" w:rsidRDefault="009C1972" w:rsidP="009C1972">
            <w:pPr>
              <w:ind w:left="141" w:right="142"/>
              <w:jc w:val="both"/>
            </w:pPr>
            <w:r w:rsidRPr="00840080">
              <w:t xml:space="preserve">Likumprojekts </w:t>
            </w:r>
            <w:r w:rsidRPr="00840080">
              <w:rPr>
                <w:sz w:val="26"/>
                <w:szCs w:val="26"/>
              </w:rPr>
              <w:t xml:space="preserve">„Grozījumi Likumā par budžetu un finanšu vadību” </w:t>
            </w:r>
            <w:r w:rsidRPr="00840080">
              <w:t>iekļauts 2017.gada budžeta likumprojektu paketē, lai saskaņā ar  Likuma par budžetu un finanšu vadību (turpmāk – LBFV) 27.panta ceturto daļu atvērtajos kapitālsabiedrību, kurās ieguldīta valsts vai pašvaldību kapitāla daļa,  kontos Valsts kasē ieskaitīto naudas līdzekļu glabāšanas izmaksas negatīvi neietekmētu valsts konsolidētā budžeta finansiālo bilanci 2017.gadā un turpmāk.</w:t>
            </w:r>
          </w:p>
        </w:tc>
      </w:tr>
      <w:tr w:rsidR="00262E2B" w:rsidRPr="00840080" w:rsidTr="00184254">
        <w:trPr>
          <w:trHeight w:val="1550"/>
        </w:trPr>
        <w:tc>
          <w:tcPr>
            <w:tcW w:w="550" w:type="dxa"/>
            <w:tcBorders>
              <w:bottom w:val="single" w:sz="4" w:space="0" w:color="auto"/>
            </w:tcBorders>
          </w:tcPr>
          <w:p w:rsidR="00262E2B" w:rsidRPr="00840080" w:rsidRDefault="00262E2B" w:rsidP="000C5F49">
            <w:pPr>
              <w:pStyle w:val="naiskr"/>
              <w:spacing w:before="0" w:after="0"/>
            </w:pPr>
            <w:r w:rsidRPr="00840080">
              <w:t>2.</w:t>
            </w:r>
          </w:p>
        </w:tc>
        <w:tc>
          <w:tcPr>
            <w:tcW w:w="2149" w:type="dxa"/>
            <w:tcBorders>
              <w:bottom w:val="single" w:sz="4" w:space="0" w:color="auto"/>
            </w:tcBorders>
          </w:tcPr>
          <w:p w:rsidR="007F290E" w:rsidRPr="00840080" w:rsidRDefault="00262E2B" w:rsidP="000C5F49">
            <w:pPr>
              <w:pStyle w:val="naiskr"/>
              <w:tabs>
                <w:tab w:val="left" w:pos="170"/>
              </w:tabs>
              <w:spacing w:before="0" w:after="0"/>
            </w:pPr>
            <w:r w:rsidRPr="00840080">
              <w:t>Pašreizējā situācija</w:t>
            </w:r>
            <w:r w:rsidR="001F5CD6" w:rsidRPr="00840080">
              <w:t xml:space="preserve"> un problēmas</w:t>
            </w:r>
            <w:r w:rsidR="006378E9" w:rsidRPr="00840080">
              <w:t>, kuru risināšanai tiesību akta projekts izstrādāts, tiesiskā regulējuma mērķis un būtība</w:t>
            </w:r>
          </w:p>
          <w:p w:rsidR="007F290E" w:rsidRPr="00840080" w:rsidRDefault="007F290E" w:rsidP="000C5F49">
            <w:pPr>
              <w:ind w:firstLine="720"/>
            </w:pPr>
          </w:p>
          <w:p w:rsidR="00262E2B" w:rsidRPr="00840080" w:rsidRDefault="00262E2B" w:rsidP="000C5F49"/>
        </w:tc>
        <w:tc>
          <w:tcPr>
            <w:tcW w:w="7371" w:type="dxa"/>
            <w:tcBorders>
              <w:bottom w:val="single" w:sz="4" w:space="0" w:color="auto"/>
            </w:tcBorders>
          </w:tcPr>
          <w:p w:rsidR="00CB5004" w:rsidRPr="00840080" w:rsidRDefault="009C1972" w:rsidP="00F072A8">
            <w:pPr>
              <w:ind w:left="142" w:right="142"/>
              <w:jc w:val="both"/>
            </w:pPr>
            <w:r w:rsidRPr="00840080">
              <w:t>LBFV</w:t>
            </w:r>
            <w:r w:rsidR="00CB5004" w:rsidRPr="00840080">
              <w:t xml:space="preserve"> 34.pant</w:t>
            </w:r>
            <w:r w:rsidR="00035C6E" w:rsidRPr="00840080">
              <w:t>a treš</w:t>
            </w:r>
            <w:r w:rsidR="001F5ED0" w:rsidRPr="00840080">
              <w:t>a</w:t>
            </w:r>
            <w:r w:rsidR="00035C6E" w:rsidRPr="00840080">
              <w:t>jā daļā</w:t>
            </w:r>
            <w:r w:rsidR="000C32C6" w:rsidRPr="00840080">
              <w:t xml:space="preserve"> noteiktajam</w:t>
            </w:r>
            <w:r w:rsidR="00812E2A" w:rsidRPr="00840080">
              <w:t>,</w:t>
            </w:r>
            <w:r w:rsidR="00995441" w:rsidRPr="00840080">
              <w:t xml:space="preserve"> </w:t>
            </w:r>
            <w:r w:rsidR="000C32C6" w:rsidRPr="00840080">
              <w:t>Valsts kase</w:t>
            </w:r>
            <w:r w:rsidR="00652E17" w:rsidRPr="00840080">
              <w:t>i</w:t>
            </w:r>
            <w:r w:rsidR="000C32C6" w:rsidRPr="00840080">
              <w:t xml:space="preserve"> </w:t>
            </w:r>
            <w:r w:rsidR="00652E17" w:rsidRPr="00840080">
              <w:t>ir tiesības vienoties ar noteiktu subjektu loku par līdzekļu</w:t>
            </w:r>
            <w:r w:rsidR="000C32C6" w:rsidRPr="00840080">
              <w:t xml:space="preserve"> </w:t>
            </w:r>
            <w:r w:rsidR="00652E17" w:rsidRPr="00840080">
              <w:t xml:space="preserve">pieņemšanu </w:t>
            </w:r>
            <w:r w:rsidR="000C32C6" w:rsidRPr="00840080">
              <w:t>termiņnoguldījum</w:t>
            </w:r>
            <w:r w:rsidR="00051065" w:rsidRPr="00840080">
              <w:t>ā</w:t>
            </w:r>
            <w:r w:rsidR="000C32C6" w:rsidRPr="00840080">
              <w:t xml:space="preserve"> un </w:t>
            </w:r>
            <w:r w:rsidR="00051065" w:rsidRPr="00840080">
              <w:t xml:space="preserve">naudas līdzekļu atlikumu </w:t>
            </w:r>
            <w:r w:rsidR="000C32C6" w:rsidRPr="00840080">
              <w:t>kont</w:t>
            </w:r>
            <w:r w:rsidR="00652E17" w:rsidRPr="00840080">
              <w:t>ā</w:t>
            </w:r>
            <w:r w:rsidR="00812E2A" w:rsidRPr="00840080">
              <w:t>. S</w:t>
            </w:r>
            <w:r w:rsidR="00051065" w:rsidRPr="00840080">
              <w:t>avukārt</w:t>
            </w:r>
            <w:r w:rsidR="00812E2A" w:rsidRPr="00840080">
              <w:t>,</w:t>
            </w:r>
            <w:r w:rsidR="00051065" w:rsidRPr="00840080">
              <w:t xml:space="preserve"> </w:t>
            </w:r>
            <w:r w:rsidR="00F072A8" w:rsidRPr="00840080">
              <w:t xml:space="preserve">saskaņā ar </w:t>
            </w:r>
            <w:r w:rsidR="000C32C6" w:rsidRPr="00840080">
              <w:t xml:space="preserve">LBFV 27.panta </w:t>
            </w:r>
            <w:r w:rsidR="00051065" w:rsidRPr="00840080">
              <w:t xml:space="preserve">ceturtā </w:t>
            </w:r>
            <w:r w:rsidR="000C32C6" w:rsidRPr="00840080">
              <w:t xml:space="preserve">daļā </w:t>
            </w:r>
            <w:r w:rsidR="00F072A8" w:rsidRPr="00840080">
              <w:t xml:space="preserve">noteikto </w:t>
            </w:r>
            <w:r w:rsidR="000C32C6" w:rsidRPr="00840080">
              <w:t>pašvaldībām un no valsts budžeta daļēji finansētām atvasinātām publiskām personām, kā arī kapitālsabiedrībām, kurās ieguldīta valsts vai pašvaldību kapitāla daļa, ir iespēja atvērt kontus Valsts kasē</w:t>
            </w:r>
            <w:r w:rsidR="00B50589" w:rsidRPr="00840080">
              <w:t xml:space="preserve"> un saņemt maksājumu pakalpojumus saskaņā ar Ministru kabineta 2012. gada 5. jūnija noteikumiem Nr.387 „Kārtība, kādā Valsts kase nodrošina maksājumu pakalpojumu sniegšanu”</w:t>
            </w:r>
            <w:r w:rsidR="000C32C6" w:rsidRPr="00840080">
              <w:t>.</w:t>
            </w:r>
          </w:p>
          <w:p w:rsidR="007A1F73" w:rsidRPr="00840080" w:rsidRDefault="00460ACD" w:rsidP="00355E56">
            <w:pPr>
              <w:ind w:left="142" w:right="142"/>
              <w:jc w:val="both"/>
            </w:pPr>
            <w:r w:rsidRPr="00840080">
              <w:t>Eiropas Centrālās bankas</w:t>
            </w:r>
            <w:r w:rsidR="003D6053" w:rsidRPr="00840080">
              <w:t xml:space="preserve"> </w:t>
            </w:r>
            <w:r w:rsidRPr="00840080">
              <w:t>Padome 2014.</w:t>
            </w:r>
            <w:r w:rsidR="00052906" w:rsidRPr="00840080">
              <w:t> </w:t>
            </w:r>
            <w:r w:rsidRPr="00840080">
              <w:t>gada 5.</w:t>
            </w:r>
            <w:r w:rsidR="00052906" w:rsidRPr="00840080">
              <w:t> </w:t>
            </w:r>
            <w:r w:rsidR="00827D32" w:rsidRPr="00840080">
              <w:t>j</w:t>
            </w:r>
            <w:r w:rsidRPr="00840080">
              <w:t>ūlij</w:t>
            </w:r>
            <w:r w:rsidR="00827D32" w:rsidRPr="00840080">
              <w:t>ā</w:t>
            </w:r>
            <w:r w:rsidRPr="00840080">
              <w:t xml:space="preserve"> pieņēma lēmumu par negatīv</w:t>
            </w:r>
            <w:r w:rsidR="00052906" w:rsidRPr="00840080">
              <w:t>a</w:t>
            </w:r>
            <w:r w:rsidRPr="00840080">
              <w:t xml:space="preserve">s procentu likmes piemērošanu </w:t>
            </w:r>
            <w:proofErr w:type="spellStart"/>
            <w:r w:rsidRPr="00840080">
              <w:t>Eirosistēmas</w:t>
            </w:r>
            <w:proofErr w:type="spellEnd"/>
            <w:r w:rsidRPr="00840080">
              <w:t xml:space="preserve"> noguldījumiem.</w:t>
            </w:r>
            <w:r w:rsidR="00CB5004" w:rsidRPr="00840080">
              <w:t xml:space="preserve"> Līdz ar to, i</w:t>
            </w:r>
            <w:r w:rsidR="007A1F73" w:rsidRPr="00840080">
              <w:t xml:space="preserve">estājoties negatīvu procentu likmju situācijai finanšu tirgos, Valsts kase attiecībā uz </w:t>
            </w:r>
            <w:r w:rsidR="00827D32" w:rsidRPr="00840080">
              <w:t xml:space="preserve">LBFV </w:t>
            </w:r>
            <w:r w:rsidR="007A1F73" w:rsidRPr="00840080">
              <w:t>34.pant</w:t>
            </w:r>
            <w:r w:rsidR="00812E2A" w:rsidRPr="00840080">
              <w:t xml:space="preserve">a  trešajā daļā </w:t>
            </w:r>
            <w:r w:rsidR="00DB7630" w:rsidRPr="00840080">
              <w:t xml:space="preserve"> minētajiem subjektiem</w:t>
            </w:r>
            <w:r w:rsidR="007A1F73" w:rsidRPr="00840080">
              <w:t xml:space="preserve"> noteica, ka iespēja </w:t>
            </w:r>
            <w:r w:rsidR="00355E56" w:rsidRPr="00840080">
              <w:t xml:space="preserve">veikt ieguldīšanu noguldījuma veidā </w:t>
            </w:r>
            <w:r w:rsidR="007A1F73" w:rsidRPr="00840080">
              <w:t>netiks piedāvāta uz ieguldīšanas termiņiem, kuriem konkrētā laika periodā noteikta negatīva procentu likme</w:t>
            </w:r>
            <w:r w:rsidR="00CB5004" w:rsidRPr="00840080">
              <w:t>.</w:t>
            </w:r>
            <w:r w:rsidR="007A1F73" w:rsidRPr="00840080">
              <w:t xml:space="preserve"> Tā, piemēram, šobrīd termiņiem līdz </w:t>
            </w:r>
            <w:r w:rsidR="00052906" w:rsidRPr="00840080">
              <w:t>diviem</w:t>
            </w:r>
            <w:r w:rsidR="007A1F73" w:rsidRPr="00840080">
              <w:t xml:space="preserve"> gadiem (ieskaitot) netiek piedāvātas ieguldīšanas iespējas, jo noteiktās ieguldīšanas likmes tiem ir negatīvas.</w:t>
            </w:r>
          </w:p>
          <w:p w:rsidR="007A1F73" w:rsidRPr="00840080" w:rsidRDefault="00C42FC3" w:rsidP="00371867">
            <w:pPr>
              <w:ind w:left="142" w:right="142"/>
              <w:jc w:val="both"/>
            </w:pPr>
            <w:r w:rsidRPr="00840080">
              <w:t>Pēc starptautiskā aizņēmuma programmas beigām, atjaunojoties valsts kredītspējai</w:t>
            </w:r>
            <w:r w:rsidR="00CB5004" w:rsidRPr="00840080">
              <w:t xml:space="preserve">, </w:t>
            </w:r>
            <w:r w:rsidR="00035C6E" w:rsidRPr="00840080">
              <w:t xml:space="preserve">valstij </w:t>
            </w:r>
            <w:r w:rsidR="00CB5004" w:rsidRPr="00840080">
              <w:t xml:space="preserve">bija </w:t>
            </w:r>
            <w:r w:rsidRPr="00840080">
              <w:t>iespēj</w:t>
            </w:r>
            <w:r w:rsidR="00CB5004" w:rsidRPr="00840080">
              <w:t>as</w:t>
            </w:r>
            <w:r w:rsidRPr="00840080">
              <w:t xml:space="preserve"> piesaistīt nepieciešamo finansējumu starptautiskajos finanšu tirgos ar labvēlīg</w:t>
            </w:r>
            <w:r w:rsidR="00C053C0" w:rsidRPr="00840080">
              <w:t>āk</w:t>
            </w:r>
            <w:r w:rsidRPr="00840080">
              <w:t>iem nosacījumiem</w:t>
            </w:r>
            <w:r w:rsidR="00052906" w:rsidRPr="00840080">
              <w:t>,</w:t>
            </w:r>
            <w:r w:rsidR="00C053C0" w:rsidRPr="00840080">
              <w:t xml:space="preserve"> nekā piesaistot līdzekļus iekšējā tirgū</w:t>
            </w:r>
            <w:r w:rsidR="00CB5004" w:rsidRPr="00840080">
              <w:t>. Līdz ar to</w:t>
            </w:r>
            <w:r w:rsidRPr="00840080">
              <w:t xml:space="preserve"> </w:t>
            </w:r>
            <w:r w:rsidR="007A1F73" w:rsidRPr="00840080">
              <w:t xml:space="preserve">Valsts kase </w:t>
            </w:r>
            <w:r w:rsidR="00CB5004" w:rsidRPr="00840080">
              <w:t>kopš 2012.</w:t>
            </w:r>
            <w:r w:rsidR="00286A61" w:rsidRPr="00840080">
              <w:t> </w:t>
            </w:r>
            <w:r w:rsidR="00CB5004" w:rsidRPr="00840080">
              <w:t xml:space="preserve">gada oktobra </w:t>
            </w:r>
            <w:r w:rsidR="007A1F73" w:rsidRPr="00840080">
              <w:t>ir realizējusi konservatīvu pieņemšanas praksi</w:t>
            </w:r>
            <w:r w:rsidR="00355E56" w:rsidRPr="00840080">
              <w:t xml:space="preserve"> ieguldījumiem noguldījumu veidā</w:t>
            </w:r>
            <w:r w:rsidR="005A77A7" w:rsidRPr="00840080">
              <w:t>,</w:t>
            </w:r>
            <w:r w:rsidR="00C053C0" w:rsidRPr="00840080">
              <w:t xml:space="preserve"> </w:t>
            </w:r>
            <w:r w:rsidR="00623CEB" w:rsidRPr="00840080">
              <w:t>realizējot aizņemšanos iekšējā tirgū</w:t>
            </w:r>
            <w:r w:rsidR="007A1F73" w:rsidRPr="00840080">
              <w:t xml:space="preserve">. </w:t>
            </w:r>
            <w:r w:rsidR="00CB5004" w:rsidRPr="00840080">
              <w:t>Tā</w:t>
            </w:r>
            <w:r w:rsidR="00B22517" w:rsidRPr="00840080">
              <w:t>,</w:t>
            </w:r>
            <w:r w:rsidR="00CB5004" w:rsidRPr="00840080">
              <w:t xml:space="preserve"> piemēram, s</w:t>
            </w:r>
            <w:r w:rsidR="007A1F73" w:rsidRPr="00840080">
              <w:t>ākot ar 2013.</w:t>
            </w:r>
            <w:r w:rsidR="00931742" w:rsidRPr="00840080">
              <w:t>gada aprīli</w:t>
            </w:r>
            <w:r w:rsidR="007A1F73" w:rsidRPr="00840080">
              <w:t xml:space="preserve"> Valsts kase ir pieņēmusi </w:t>
            </w:r>
            <w:r w:rsidR="005A77A7" w:rsidRPr="00840080">
              <w:t>ie</w:t>
            </w:r>
            <w:r w:rsidR="007A1F73" w:rsidRPr="00840080">
              <w:t xml:space="preserve">guldījumus </w:t>
            </w:r>
            <w:r w:rsidR="00355E56" w:rsidRPr="00840080">
              <w:t xml:space="preserve">noguldījumu veidā </w:t>
            </w:r>
            <w:r w:rsidR="007A1F73" w:rsidRPr="00840080">
              <w:t xml:space="preserve">tikai </w:t>
            </w:r>
            <w:r w:rsidR="00B22517" w:rsidRPr="00840080">
              <w:t>saskaņā ar LBFV 34.panta otro daļu</w:t>
            </w:r>
            <w:r w:rsidR="00475B77" w:rsidRPr="00840080">
              <w:t>:</w:t>
            </w:r>
            <w:r w:rsidR="00B22517" w:rsidRPr="00840080">
              <w:t xml:space="preserve"> </w:t>
            </w:r>
            <w:r w:rsidR="007A1F73" w:rsidRPr="00840080">
              <w:t>no speciālā budžeta izpildītāja</w:t>
            </w:r>
            <w:r w:rsidR="00475B77" w:rsidRPr="00840080">
              <w:t> –</w:t>
            </w:r>
            <w:r w:rsidR="007A1F73" w:rsidRPr="00840080">
              <w:t xml:space="preserve"> Valsts sociālās apdrošināšanas aģentūras, kā arī </w:t>
            </w:r>
            <w:r w:rsidR="00234551" w:rsidRPr="00840080">
              <w:t xml:space="preserve">no </w:t>
            </w:r>
            <w:r w:rsidR="007A1F73" w:rsidRPr="00840080">
              <w:t xml:space="preserve">pamatbudžeta izpildītājiem, kuriem noslēgti atbilstoši līgumi par ārvalstu finanšu palīdzības saņemšanu, kas paredz, ka ārvalstu finanšu palīdzības līdzekļu atlikums jāiegulda </w:t>
            </w:r>
            <w:r w:rsidR="008753A3" w:rsidRPr="00840080">
              <w:t xml:space="preserve">peļņu nesošā </w:t>
            </w:r>
            <w:r w:rsidR="007A1F73" w:rsidRPr="00840080">
              <w:t>kontā</w:t>
            </w:r>
            <w:r w:rsidR="008753A3" w:rsidRPr="00840080">
              <w:t xml:space="preserve"> Valsts kasē</w:t>
            </w:r>
            <w:r w:rsidR="007A1F73" w:rsidRPr="00840080">
              <w:t xml:space="preserve">. Ņemot vērā, ka </w:t>
            </w:r>
            <w:r w:rsidR="00652E17" w:rsidRPr="00840080">
              <w:t xml:space="preserve">gan </w:t>
            </w:r>
            <w:r w:rsidR="007A1F73" w:rsidRPr="00840080">
              <w:t>speciālā budžeta</w:t>
            </w:r>
            <w:r w:rsidR="00652E17" w:rsidRPr="00840080">
              <w:t>, gan</w:t>
            </w:r>
            <w:r w:rsidR="007A1F73" w:rsidRPr="00840080">
              <w:t xml:space="preserve"> ārvalstu finanšu palīdzības līdzekļi ir valsts budžeta līdzekļu daļa un atbilstoši LBFV 27.panta pirmajai daļai – visu valsts budžeta iestāžu budžeta līdzekļu konti atrodas tikai un vienīgi Valsts kasē, šiem </w:t>
            </w:r>
            <w:r w:rsidR="005822E1" w:rsidRPr="00840080">
              <w:t xml:space="preserve">subjektiem </w:t>
            </w:r>
            <w:r w:rsidR="007A1F73" w:rsidRPr="00840080">
              <w:t xml:space="preserve">nav iespējams minētos </w:t>
            </w:r>
            <w:r w:rsidR="00652E17" w:rsidRPr="00840080">
              <w:t>finanšu</w:t>
            </w:r>
            <w:r w:rsidR="00F072A8" w:rsidRPr="00840080">
              <w:t xml:space="preserve"> </w:t>
            </w:r>
            <w:r w:rsidR="007A1F73" w:rsidRPr="00840080">
              <w:t>līdzekļus noguldīt kredītiestādēs</w:t>
            </w:r>
            <w:r w:rsidR="005A77A7" w:rsidRPr="00840080">
              <w:t xml:space="preserve"> </w:t>
            </w:r>
            <w:r w:rsidR="00623CEB" w:rsidRPr="00840080">
              <w:t>peļņu nesošā kontā</w:t>
            </w:r>
            <w:r w:rsidR="005A77A7" w:rsidRPr="00840080">
              <w:t>.</w:t>
            </w:r>
            <w:r w:rsidR="007A1F73" w:rsidRPr="00840080">
              <w:t xml:space="preserve"> Papildus Valsts kase </w:t>
            </w:r>
            <w:r w:rsidR="003D6053" w:rsidRPr="00840080">
              <w:t xml:space="preserve">atbilstoši LBFV 34.panta trešajai daļai </w:t>
            </w:r>
            <w:r w:rsidR="007A1F73" w:rsidRPr="00840080">
              <w:t xml:space="preserve">ir saglabājusi iespēju arī pašvaldībām veikt Valsts kasē </w:t>
            </w:r>
            <w:r w:rsidR="00E13D08" w:rsidRPr="00840080">
              <w:t>ie</w:t>
            </w:r>
            <w:r w:rsidR="007A1F73" w:rsidRPr="00840080">
              <w:t>guldī</w:t>
            </w:r>
            <w:r w:rsidR="00355E56" w:rsidRPr="00840080">
              <w:t>šanu</w:t>
            </w:r>
            <w:r w:rsidR="007A1F73" w:rsidRPr="00840080">
              <w:t xml:space="preserve"> </w:t>
            </w:r>
            <w:r w:rsidR="00355E56" w:rsidRPr="00840080">
              <w:t xml:space="preserve">noguldījumu veidā </w:t>
            </w:r>
            <w:r w:rsidR="007A1F73" w:rsidRPr="00840080">
              <w:t>līdzekļiem, kuri nav saņemti no valsts budžeta.</w:t>
            </w:r>
          </w:p>
          <w:p w:rsidR="00464B35" w:rsidRPr="00840080" w:rsidRDefault="00051065" w:rsidP="00B405DB">
            <w:pPr>
              <w:shd w:val="clear" w:color="auto" w:fill="FFFFFF"/>
              <w:ind w:left="142" w:right="142"/>
              <w:jc w:val="both"/>
            </w:pPr>
            <w:r w:rsidRPr="00840080">
              <w:lastRenderedPageBreak/>
              <w:t>E</w:t>
            </w:r>
            <w:r w:rsidR="00433F2B" w:rsidRPr="00840080">
              <w:t xml:space="preserve">sošā finanšu tirgus situācijas rezultātā pastāv liela varbūtība, ka LBFV 27.panta ceturtā daļā minētie </w:t>
            </w:r>
            <w:r w:rsidR="005822E1" w:rsidRPr="00840080">
              <w:t xml:space="preserve">subjekti </w:t>
            </w:r>
            <w:r w:rsidR="00433F2B" w:rsidRPr="00840080">
              <w:t xml:space="preserve">varētu sākt regulāri pārskaitīt savus uz laiku brīvos </w:t>
            </w:r>
            <w:r w:rsidR="00652E17" w:rsidRPr="00840080">
              <w:t xml:space="preserve">finanšu </w:t>
            </w:r>
            <w:r w:rsidR="00433F2B" w:rsidRPr="00840080">
              <w:t xml:space="preserve">resursus </w:t>
            </w:r>
            <w:r w:rsidR="00286A61" w:rsidRPr="00840080">
              <w:t xml:space="preserve">no kontiem kredītiestādēs </w:t>
            </w:r>
            <w:r w:rsidR="00433F2B" w:rsidRPr="00840080">
              <w:t xml:space="preserve">uz kontiem Valsts kasē, kas </w:t>
            </w:r>
            <w:r w:rsidR="00286A61" w:rsidRPr="00840080">
              <w:t xml:space="preserve">šobrīd </w:t>
            </w:r>
            <w:r w:rsidR="00433F2B" w:rsidRPr="00840080">
              <w:t>nodrošina tiem finanšu resursu turēšanu kontā Valsts kasē par 0</w:t>
            </w:r>
            <w:r w:rsidR="00303F9F" w:rsidRPr="00840080">
              <w:t xml:space="preserve">% </w:t>
            </w:r>
            <w:r w:rsidR="00433F2B" w:rsidRPr="00840080">
              <w:t>likmi. Šāda papildus finanšu resursu nonākšana Valsts</w:t>
            </w:r>
          </w:p>
          <w:p w:rsidR="00303F9F" w:rsidRPr="00840080" w:rsidRDefault="00B405DB" w:rsidP="00B405DB">
            <w:pPr>
              <w:shd w:val="clear" w:color="auto" w:fill="FFFFFF"/>
              <w:ind w:left="142" w:right="142"/>
              <w:jc w:val="both"/>
            </w:pPr>
            <w:r w:rsidRPr="00840080">
              <w:t xml:space="preserve"> </w:t>
            </w:r>
            <w:r w:rsidR="00433F2B" w:rsidRPr="00840080">
              <w:t>kasē palielina kopējo resursu atlikumu</w:t>
            </w:r>
            <w:r w:rsidR="00C42FC3" w:rsidRPr="00840080">
              <w:t xml:space="preserve"> Valsts kases </w:t>
            </w:r>
            <w:r w:rsidR="008753A3" w:rsidRPr="00840080">
              <w:t xml:space="preserve">vienotajā </w:t>
            </w:r>
            <w:r w:rsidR="00C42FC3" w:rsidRPr="00840080">
              <w:t>naud</w:t>
            </w:r>
            <w:r w:rsidR="008753A3" w:rsidRPr="00840080">
              <w:t>a</w:t>
            </w:r>
            <w:r w:rsidR="00C42FC3" w:rsidRPr="00840080">
              <w:t>s līdzekļu kont</w:t>
            </w:r>
            <w:r w:rsidR="008753A3" w:rsidRPr="00840080">
              <w:t>ā Latvijas Bankā</w:t>
            </w:r>
            <w:r w:rsidR="00433F2B" w:rsidRPr="00840080">
              <w:t>.</w:t>
            </w:r>
          </w:p>
          <w:p w:rsidR="00303F9F" w:rsidRPr="00840080" w:rsidRDefault="00433F2B" w:rsidP="00F072A8">
            <w:pPr>
              <w:shd w:val="clear" w:color="auto" w:fill="FFFFFF"/>
              <w:ind w:left="142" w:right="142"/>
              <w:jc w:val="both"/>
            </w:pPr>
            <w:r w:rsidRPr="00840080">
              <w:t xml:space="preserve">Latvijas Bankas piemērotā likme par Valsts kases </w:t>
            </w:r>
            <w:r w:rsidR="00051065" w:rsidRPr="00840080">
              <w:t xml:space="preserve">vienotā naudas līdzekļu </w:t>
            </w:r>
            <w:r w:rsidRPr="00840080">
              <w:t>kont</w:t>
            </w:r>
            <w:r w:rsidR="008753A3" w:rsidRPr="00840080">
              <w:t>a</w:t>
            </w:r>
            <w:r w:rsidRPr="00840080">
              <w:t xml:space="preserve"> atlikumu </w:t>
            </w:r>
            <w:proofErr w:type="spellStart"/>
            <w:r w:rsidR="00B22517" w:rsidRPr="00840080">
              <w:rPr>
                <w:i/>
              </w:rPr>
              <w:t>euro</w:t>
            </w:r>
            <w:proofErr w:type="spellEnd"/>
            <w:r w:rsidR="00B22517" w:rsidRPr="00840080">
              <w:t xml:space="preserve"> </w:t>
            </w:r>
            <w:r w:rsidRPr="00840080">
              <w:t>līdz 200</w:t>
            </w:r>
            <w:r w:rsidR="003D6053" w:rsidRPr="00840080">
              <w:t> </w:t>
            </w:r>
            <w:r w:rsidRPr="00840080">
              <w:t>milj.</w:t>
            </w:r>
            <w:r w:rsidR="003D6053" w:rsidRPr="00840080">
              <w:t> </w:t>
            </w:r>
            <w:r w:rsidRPr="00840080">
              <w:t>EUR ekvivalentam ir EONIA indeksa apmērā</w:t>
            </w:r>
            <w:r w:rsidR="00C42FC3" w:rsidRPr="00840080">
              <w:t xml:space="preserve"> (</w:t>
            </w:r>
            <w:r w:rsidR="00A61C2B" w:rsidRPr="00840080">
              <w:t>mīnuss 0,343% š.g. 26.augustā</w:t>
            </w:r>
            <w:r w:rsidR="00C42FC3" w:rsidRPr="00840080">
              <w:t>)</w:t>
            </w:r>
            <w:r w:rsidRPr="00840080">
              <w:t>, savukārt virs 200</w:t>
            </w:r>
            <w:r w:rsidR="003D6053" w:rsidRPr="00840080">
              <w:t> </w:t>
            </w:r>
            <w:r w:rsidRPr="00840080">
              <w:t>milj.</w:t>
            </w:r>
            <w:r w:rsidR="003D6053" w:rsidRPr="00840080">
              <w:t> </w:t>
            </w:r>
            <w:r w:rsidRPr="00840080">
              <w:t xml:space="preserve">EUR ekvivalenta – atbilstoši </w:t>
            </w:r>
            <w:r w:rsidR="005341EC" w:rsidRPr="00840080">
              <w:t xml:space="preserve"> Eiropas Centrālās bankas </w:t>
            </w:r>
            <w:r w:rsidRPr="00840080">
              <w:t>Padomes noteiktajai noguldījumu iespējas uz nakti procentu likmei (</w:t>
            </w:r>
            <w:r w:rsidR="00A61C2B" w:rsidRPr="00840080">
              <w:t xml:space="preserve">kopš š.g. 16.marta </w:t>
            </w:r>
            <w:r w:rsidR="00303F9F" w:rsidRPr="00840080">
              <w:t xml:space="preserve">mīnus </w:t>
            </w:r>
            <w:r w:rsidRPr="00840080">
              <w:t>0,4%).</w:t>
            </w:r>
          </w:p>
          <w:p w:rsidR="00433F2B" w:rsidRPr="00840080" w:rsidRDefault="00433F2B" w:rsidP="00F072A8">
            <w:pPr>
              <w:shd w:val="clear" w:color="auto" w:fill="FFFFFF"/>
              <w:ind w:left="142" w:right="142"/>
              <w:jc w:val="both"/>
            </w:pPr>
            <w:r w:rsidRPr="00840080">
              <w:t xml:space="preserve">Valsts kase likviditātes nodrošināšanai jau no 2016.gada sākuma veic īstermiņa aizņēmumus </w:t>
            </w:r>
            <w:r w:rsidR="00A61C2B" w:rsidRPr="00840080">
              <w:t xml:space="preserve">naudas tirgū </w:t>
            </w:r>
            <w:r w:rsidRPr="00840080">
              <w:t>par negatīvām likmēm, līdz ar to pašreizējā finanšu tirgus situācijā jebkuri papildus neplānoti ieskaitīti resursi kontos</w:t>
            </w:r>
            <w:r w:rsidR="00B22517" w:rsidRPr="00840080">
              <w:t xml:space="preserve"> Valsts kasē</w:t>
            </w:r>
            <w:r w:rsidR="00A61C2B" w:rsidRPr="00840080">
              <w:t>, kuriem tirgus situācijai atbilstoša likme netiek piemērota,</w:t>
            </w:r>
            <w:r w:rsidRPr="00840080">
              <w:t xml:space="preserve"> nav nepieciešami</w:t>
            </w:r>
            <w:r w:rsidR="00303F9F" w:rsidRPr="00840080">
              <w:t>,</w:t>
            </w:r>
            <w:r w:rsidR="00B37723" w:rsidRPr="00840080">
              <w:t xml:space="preserve"> un papildus likviditāte rada izdevumus valsts budžetam, kas ir saistīts ar iepriekšminēto tirgus situāciju</w:t>
            </w:r>
            <w:r w:rsidRPr="00840080">
              <w:t xml:space="preserve">. </w:t>
            </w:r>
          </w:p>
          <w:p w:rsidR="00433F2B" w:rsidRPr="00840080" w:rsidRDefault="00433F2B" w:rsidP="00F072A8">
            <w:pPr>
              <w:shd w:val="clear" w:color="auto" w:fill="FFFFFF"/>
              <w:ind w:left="142" w:right="142"/>
              <w:jc w:val="both"/>
            </w:pPr>
            <w:r w:rsidRPr="00840080">
              <w:t xml:space="preserve">Tādējādi, lai nodrošinātu neitrālu finansiālo efektu no neplānota apjoma </w:t>
            </w:r>
            <w:r w:rsidR="00A61C2B" w:rsidRPr="00840080">
              <w:t xml:space="preserve">finanšu </w:t>
            </w:r>
            <w:r w:rsidRPr="00840080">
              <w:t xml:space="preserve">resursu nonākšanas </w:t>
            </w:r>
            <w:r w:rsidR="00B22517" w:rsidRPr="00840080">
              <w:t xml:space="preserve">Valsts kases vienotajā naudas līdzekļu </w:t>
            </w:r>
            <w:r w:rsidRPr="00840080">
              <w:t>kont</w:t>
            </w:r>
            <w:r w:rsidR="008753A3" w:rsidRPr="00840080">
              <w:t>ā Latvijas Bankā</w:t>
            </w:r>
            <w:r w:rsidRPr="00840080">
              <w:t>, uz LBFV 27.panta ceturtās daļas pamata atvērtos kontos esošajiem resursiem, kas nav saņemti no valsts budžeta, ir jāpiemēro likme, ko piemēro Latvijas Banka Valsts kasei virs 200 milj. EUR ekvivalenta (šobrīd mīnuss 0,40%), jo līdz 200 milj. EUR ekvivalenta apmēram (t.i.</w:t>
            </w:r>
            <w:r w:rsidR="00850D50" w:rsidRPr="00840080">
              <w:t>,</w:t>
            </w:r>
            <w:r w:rsidRPr="00840080">
              <w:t xml:space="preserve"> apmēram 50 milj.</w:t>
            </w:r>
            <w:r w:rsidR="00850D50" w:rsidRPr="00840080">
              <w:t> </w:t>
            </w:r>
            <w:r w:rsidRPr="00840080">
              <w:t>EUR apmērā) Valsts kase glabā resursus Latvijas Bankā ikdienas likviditātes nodrošināšanai.</w:t>
            </w:r>
          </w:p>
          <w:p w:rsidR="00433F2B" w:rsidRPr="00840080" w:rsidRDefault="00433F2B" w:rsidP="00F072A8">
            <w:pPr>
              <w:ind w:left="142" w:right="142"/>
              <w:jc w:val="both"/>
            </w:pPr>
            <w:r w:rsidRPr="00840080">
              <w:t>Ievērojot to, ka LBFV 46.panta trešā daļa nosaka, ka Valsts kase atbilstoši kompetencei ir atbildīga par finanšu vadību, ievērojot LBFV prasības, kā arī to, ka LBFV</w:t>
            </w:r>
            <w:r w:rsidR="00184254" w:rsidRPr="00840080">
              <w:t xml:space="preserve"> 2.</w:t>
            </w:r>
            <w:r w:rsidRPr="00840080">
              <w:t>pants nosaka, ka finanšu vadību īsteno, piemērojot Fiskālās disciplīnas likum</w:t>
            </w:r>
            <w:r w:rsidR="008C6369" w:rsidRPr="00840080">
              <w:t>a 4.pantā</w:t>
            </w:r>
            <w:r w:rsidRPr="00840080">
              <w:t xml:space="preserve"> noteiktos fiskālās politikas principus, un viens no fiskālās politikas principiem ir taupības princips — pieejamie resursi izmantojami lietderīgi un efektīvi, Valsts kasei, atverot k</w:t>
            </w:r>
            <w:r w:rsidR="00184254" w:rsidRPr="00840080">
              <w:t>ontus atbilstoši LBFV 27.</w:t>
            </w:r>
            <w:r w:rsidRPr="00840080">
              <w:t xml:space="preserve">panta ceturtajai daļai, ar kontos ieskaitītajiem naudas </w:t>
            </w:r>
            <w:r w:rsidR="008C6369" w:rsidRPr="00840080">
              <w:t xml:space="preserve">līdzekļiem </w:t>
            </w:r>
            <w:r w:rsidRPr="00840080">
              <w:t>jārīkojas lietderīgi un efektīvi, nodrošinot valsts budžeta līdzekļu saglabāšanu. Savukārt, ja uz LBFV 27.panta ceturtās daļas pamata atvērtajos klientu kontos esošie līdzekļi</w:t>
            </w:r>
            <w:r w:rsidR="000C5F49" w:rsidRPr="00840080">
              <w:t>, kas</w:t>
            </w:r>
            <w:r w:rsidRPr="00840080">
              <w:t xml:space="preserve"> nav saistīti ar valsts budžeta izpildi, </w:t>
            </w:r>
            <w:r w:rsidR="000C5F49" w:rsidRPr="00840080">
              <w:t xml:space="preserve">esošā finanšu tirgus situācijas rezultātā </w:t>
            </w:r>
            <w:r w:rsidRPr="00840080">
              <w:t xml:space="preserve">valsts budžetam </w:t>
            </w:r>
            <w:r w:rsidR="000C5F49" w:rsidRPr="00840080">
              <w:t xml:space="preserve">rada papildu </w:t>
            </w:r>
            <w:r w:rsidRPr="00840080">
              <w:t>izdevum</w:t>
            </w:r>
            <w:r w:rsidR="000C5F49" w:rsidRPr="00840080">
              <w:t>us</w:t>
            </w:r>
            <w:r w:rsidRPr="00840080">
              <w:t xml:space="preserve">, ir jāizvērtē tirgus situācijai atbilstošas procentu likmes piemērošana minētajos kontos esošajiem </w:t>
            </w:r>
            <w:r w:rsidR="000C5F49" w:rsidRPr="00840080">
              <w:t xml:space="preserve">naudas </w:t>
            </w:r>
            <w:r w:rsidRPr="00840080">
              <w:t>līdzekļu atlikumiem kā valsts budžeta izdevumus kompensējošs mehānisms.</w:t>
            </w:r>
          </w:p>
          <w:p w:rsidR="00433F2B" w:rsidRPr="00840080" w:rsidRDefault="00433F2B" w:rsidP="004C13AD">
            <w:pPr>
              <w:pStyle w:val="NormalWeb"/>
              <w:spacing w:before="0" w:beforeAutospacing="0" w:after="0" w:afterAutospacing="0"/>
              <w:ind w:left="142" w:right="142"/>
              <w:jc w:val="both"/>
              <w:rPr>
                <w:rFonts w:ascii="Times New Roman" w:hAnsi="Times New Roman" w:cs="Times New Roman"/>
                <w:color w:val="000000"/>
                <w:lang w:val="lv-LV"/>
              </w:rPr>
            </w:pPr>
            <w:r w:rsidRPr="00840080">
              <w:rPr>
                <w:rFonts w:ascii="Times New Roman" w:hAnsi="Times New Roman" w:cs="Times New Roman"/>
                <w:lang w:val="lv-LV"/>
              </w:rPr>
              <w:t xml:space="preserve">LBVF 27.panta ceturtajā daļā minētajiem </w:t>
            </w:r>
            <w:r w:rsidR="00AE66CD" w:rsidRPr="00840080">
              <w:rPr>
                <w:rFonts w:ascii="Times New Roman" w:hAnsi="Times New Roman" w:cs="Times New Roman"/>
                <w:lang w:val="lv-LV"/>
              </w:rPr>
              <w:t xml:space="preserve">subjektiem </w:t>
            </w:r>
            <w:r w:rsidRPr="00840080">
              <w:rPr>
                <w:rFonts w:ascii="Times New Roman" w:hAnsi="Times New Roman" w:cs="Times New Roman"/>
                <w:lang w:val="lv-LV"/>
              </w:rPr>
              <w:t>negatīvās procentu likmes piemērošanas gadījumā ir jāievēro vienlīdzības princips</w:t>
            </w:r>
            <w:r w:rsidRPr="00840080">
              <w:rPr>
                <w:rFonts w:ascii="Times New Roman" w:hAnsi="Times New Roman" w:cs="Times New Roman"/>
                <w:color w:val="000000"/>
                <w:lang w:val="lv-LV"/>
              </w:rPr>
              <w:t>. Atbilstoši judikatūrai vienlīdzības princips pieļauj un pat prasa atšķirīgu attieksmi pret personām, kuras atrodas atšķirīgos apstākļos, kā arī vienādos apstākļos, ja tam ir objektīvs un saprātīgs pamats.</w:t>
            </w:r>
          </w:p>
          <w:p w:rsidR="00AE66CD" w:rsidRPr="00840080" w:rsidRDefault="00E13D08" w:rsidP="008B3CA8">
            <w:pPr>
              <w:pStyle w:val="tv2132"/>
              <w:spacing w:line="240" w:lineRule="auto"/>
              <w:ind w:left="142" w:right="142" w:firstLine="0"/>
              <w:jc w:val="both"/>
              <w:rPr>
                <w:rStyle w:val="Strong"/>
                <w:b w:val="0"/>
                <w:color w:val="000000"/>
                <w:sz w:val="24"/>
                <w:szCs w:val="24"/>
              </w:rPr>
            </w:pPr>
            <w:r w:rsidRPr="00840080">
              <w:rPr>
                <w:color w:val="000000"/>
                <w:sz w:val="24"/>
                <w:szCs w:val="24"/>
              </w:rPr>
              <w:t>J</w:t>
            </w:r>
            <w:r w:rsidR="00C66065" w:rsidRPr="00840080">
              <w:rPr>
                <w:color w:val="000000"/>
                <w:sz w:val="24"/>
                <w:szCs w:val="24"/>
              </w:rPr>
              <w:t xml:space="preserve">āņem vērā, ka </w:t>
            </w:r>
            <w:r w:rsidR="00433F2B" w:rsidRPr="00840080">
              <w:rPr>
                <w:color w:val="000000"/>
                <w:sz w:val="24"/>
                <w:szCs w:val="24"/>
              </w:rPr>
              <w:t>LBFV 27.panta ceturtajā daļā un LBFV 34.panta trešajā daļā minētās subjektu grupas neatrodas vienādos un salīdzināmos apstākļos</w:t>
            </w:r>
            <w:r w:rsidR="00B252C9" w:rsidRPr="00840080">
              <w:rPr>
                <w:color w:val="000000"/>
                <w:sz w:val="24"/>
                <w:szCs w:val="24"/>
              </w:rPr>
              <w:t>, jo k</w:t>
            </w:r>
            <w:r w:rsidR="00433F2B" w:rsidRPr="00840080">
              <w:rPr>
                <w:color w:val="000000"/>
                <w:sz w:val="24"/>
                <w:szCs w:val="24"/>
              </w:rPr>
              <w:t>apitālsabiedrības ir komersanti</w:t>
            </w:r>
            <w:r w:rsidR="007452A9" w:rsidRPr="00840080">
              <w:rPr>
                <w:color w:val="000000"/>
                <w:sz w:val="24"/>
                <w:szCs w:val="24"/>
              </w:rPr>
              <w:t xml:space="preserve"> (privāto tiesību juridiskās personas)</w:t>
            </w:r>
            <w:r w:rsidR="00433F2B" w:rsidRPr="00840080">
              <w:rPr>
                <w:color w:val="000000"/>
                <w:sz w:val="24"/>
                <w:szCs w:val="24"/>
              </w:rPr>
              <w:t>, kuri veic komercdarbību peļņas gūšanas nolūkā. Turklāt</w:t>
            </w:r>
            <w:r w:rsidR="00B252C9" w:rsidRPr="00840080">
              <w:rPr>
                <w:color w:val="000000"/>
                <w:sz w:val="24"/>
                <w:szCs w:val="24"/>
              </w:rPr>
              <w:t>,</w:t>
            </w:r>
            <w:r w:rsidR="00433F2B" w:rsidRPr="00840080">
              <w:rPr>
                <w:color w:val="000000"/>
                <w:sz w:val="24"/>
                <w:szCs w:val="24"/>
              </w:rPr>
              <w:t xml:space="preserve"> </w:t>
            </w:r>
            <w:r w:rsidR="00433F2B" w:rsidRPr="00840080">
              <w:rPr>
                <w:color w:val="000000"/>
                <w:sz w:val="24"/>
                <w:szCs w:val="24"/>
              </w:rPr>
              <w:lastRenderedPageBreak/>
              <w:t>atbilstoši Komerclikumam</w:t>
            </w:r>
            <w:r w:rsidR="00C66065" w:rsidRPr="00840080">
              <w:rPr>
                <w:color w:val="000000"/>
                <w:sz w:val="24"/>
                <w:szCs w:val="24"/>
              </w:rPr>
              <w:t xml:space="preserve">, </w:t>
            </w:r>
            <w:r w:rsidR="00433F2B" w:rsidRPr="00840080">
              <w:rPr>
                <w:color w:val="000000"/>
                <w:sz w:val="24"/>
                <w:szCs w:val="24"/>
              </w:rPr>
              <w:t>komercdarbība ir viens no uzņēmējdarbības veidiem. Papildus minētajam Komerclikums paredz tiesības kapitālsabiedrībām veikt arī saimniecisko darbību – jebkuru sistemātisku, patstāvīgu darbību par atlīdzību.</w:t>
            </w:r>
            <w:r w:rsidR="00B252C9" w:rsidRPr="00840080">
              <w:rPr>
                <w:color w:val="000000"/>
                <w:sz w:val="24"/>
                <w:szCs w:val="24"/>
              </w:rPr>
              <w:t xml:space="preserve"> </w:t>
            </w:r>
            <w:r w:rsidR="00433F2B" w:rsidRPr="00840080">
              <w:rPr>
                <w:color w:val="000000"/>
                <w:sz w:val="24"/>
                <w:szCs w:val="24"/>
              </w:rPr>
              <w:t>Savukārt, pašvaldībām un no valsts budžeta daļēji finansētām atvasinātām publiskām personām likums nepiešķir tik plašas tiesības. Ja daļai pašvaldīb</w:t>
            </w:r>
            <w:r w:rsidR="00125B2C" w:rsidRPr="00840080">
              <w:rPr>
                <w:color w:val="000000"/>
                <w:sz w:val="24"/>
                <w:szCs w:val="24"/>
              </w:rPr>
              <w:t>u</w:t>
            </w:r>
            <w:r w:rsidR="00433F2B" w:rsidRPr="00840080">
              <w:rPr>
                <w:color w:val="000000"/>
                <w:sz w:val="24"/>
                <w:szCs w:val="24"/>
              </w:rPr>
              <w:t xml:space="preserve"> un </w:t>
            </w:r>
            <w:r w:rsidR="007452A9" w:rsidRPr="00840080">
              <w:rPr>
                <w:color w:val="000000"/>
                <w:sz w:val="24"/>
                <w:szCs w:val="24"/>
              </w:rPr>
              <w:t xml:space="preserve">no </w:t>
            </w:r>
            <w:r w:rsidR="00433F2B" w:rsidRPr="00840080">
              <w:rPr>
                <w:color w:val="000000"/>
                <w:sz w:val="24"/>
                <w:szCs w:val="24"/>
              </w:rPr>
              <w:t xml:space="preserve">valsts budžeta daļēji finansētām </w:t>
            </w:r>
            <w:r w:rsidR="007452A9" w:rsidRPr="00840080">
              <w:rPr>
                <w:color w:val="000000"/>
                <w:sz w:val="24"/>
                <w:szCs w:val="24"/>
              </w:rPr>
              <w:t xml:space="preserve">atvasinātām publiskām </w:t>
            </w:r>
            <w:r w:rsidR="00433F2B" w:rsidRPr="00840080">
              <w:rPr>
                <w:color w:val="000000"/>
                <w:sz w:val="24"/>
                <w:szCs w:val="24"/>
              </w:rPr>
              <w:t xml:space="preserve">personām kontu atlikumam </w:t>
            </w:r>
            <w:r w:rsidR="00B252C9" w:rsidRPr="00840080">
              <w:rPr>
                <w:color w:val="000000"/>
                <w:sz w:val="24"/>
                <w:szCs w:val="24"/>
              </w:rPr>
              <w:t xml:space="preserve">Valsts kasē </w:t>
            </w:r>
            <w:r w:rsidR="00C66065" w:rsidRPr="00840080">
              <w:rPr>
                <w:color w:val="000000"/>
                <w:sz w:val="24"/>
                <w:szCs w:val="24"/>
              </w:rPr>
              <w:t xml:space="preserve">tiktu </w:t>
            </w:r>
            <w:r w:rsidR="00433F2B" w:rsidRPr="00840080">
              <w:rPr>
                <w:color w:val="000000"/>
                <w:sz w:val="24"/>
                <w:szCs w:val="24"/>
              </w:rPr>
              <w:t>piemērot</w:t>
            </w:r>
            <w:r w:rsidR="00C66065" w:rsidRPr="00840080">
              <w:rPr>
                <w:color w:val="000000"/>
                <w:sz w:val="24"/>
                <w:szCs w:val="24"/>
              </w:rPr>
              <w:t>a</w:t>
            </w:r>
            <w:r w:rsidR="00433F2B" w:rsidRPr="00840080">
              <w:rPr>
                <w:color w:val="000000"/>
                <w:sz w:val="24"/>
                <w:szCs w:val="24"/>
              </w:rPr>
              <w:t xml:space="preserve"> negatīv</w:t>
            </w:r>
            <w:r w:rsidR="00C66065" w:rsidRPr="00840080">
              <w:rPr>
                <w:color w:val="000000"/>
                <w:sz w:val="24"/>
                <w:szCs w:val="24"/>
              </w:rPr>
              <w:t>a</w:t>
            </w:r>
            <w:r w:rsidR="00433F2B" w:rsidRPr="00840080">
              <w:rPr>
                <w:color w:val="000000"/>
                <w:sz w:val="24"/>
                <w:szCs w:val="24"/>
              </w:rPr>
              <w:t xml:space="preserve"> procentu likm</w:t>
            </w:r>
            <w:r w:rsidR="00C66065" w:rsidRPr="00840080">
              <w:rPr>
                <w:color w:val="000000"/>
                <w:sz w:val="24"/>
                <w:szCs w:val="24"/>
              </w:rPr>
              <w:t>e</w:t>
            </w:r>
            <w:r w:rsidR="00433F2B" w:rsidRPr="00840080">
              <w:rPr>
                <w:color w:val="000000"/>
                <w:sz w:val="24"/>
                <w:szCs w:val="24"/>
              </w:rPr>
              <w:t xml:space="preserve">, attiecīgi palielinātos šo </w:t>
            </w:r>
            <w:r w:rsidR="007452A9" w:rsidRPr="00840080">
              <w:rPr>
                <w:color w:val="000000"/>
                <w:sz w:val="24"/>
                <w:szCs w:val="24"/>
              </w:rPr>
              <w:t xml:space="preserve">publisko personu </w:t>
            </w:r>
            <w:r w:rsidR="00433F2B" w:rsidRPr="00840080">
              <w:rPr>
                <w:color w:val="000000"/>
                <w:sz w:val="24"/>
                <w:szCs w:val="24"/>
              </w:rPr>
              <w:t xml:space="preserve">budžeta izdevumi, savukārt, valsts </w:t>
            </w:r>
            <w:r w:rsidR="00F015EF" w:rsidRPr="00840080">
              <w:rPr>
                <w:color w:val="000000"/>
                <w:sz w:val="24"/>
                <w:szCs w:val="24"/>
              </w:rPr>
              <w:t xml:space="preserve">pamatbudžetā </w:t>
            </w:r>
            <w:r w:rsidR="00433F2B" w:rsidRPr="00840080">
              <w:rPr>
                <w:color w:val="000000"/>
                <w:sz w:val="24"/>
                <w:szCs w:val="24"/>
              </w:rPr>
              <w:t xml:space="preserve">palielinātos ieņēmumi, bet kopumā ietekme uz konsolidēto kopbudžetu būtu neitrāla. </w:t>
            </w:r>
            <w:r w:rsidR="00576100" w:rsidRPr="00840080">
              <w:rPr>
                <w:color w:val="000000"/>
                <w:sz w:val="24"/>
                <w:szCs w:val="24"/>
              </w:rPr>
              <w:t>Savukārt, piemērojot negatīvo procentu likmi kapitālsabiedrību kontu atlikumiem, valsts pamatbudžeta ieņēmumi palielinātos, kas kompensētu izdevumus par papildu resursu izvietošanu par finanšu tirgus situācijai atbilstoš</w:t>
            </w:r>
            <w:r w:rsidR="00BC43C1" w:rsidRPr="00840080">
              <w:rPr>
                <w:color w:val="000000"/>
                <w:sz w:val="24"/>
                <w:szCs w:val="24"/>
              </w:rPr>
              <w:t>ā</w:t>
            </w:r>
            <w:r w:rsidR="00576100" w:rsidRPr="00840080">
              <w:rPr>
                <w:color w:val="000000"/>
                <w:sz w:val="24"/>
                <w:szCs w:val="24"/>
              </w:rPr>
              <w:t>m, negatīvām likmēm.</w:t>
            </w:r>
            <w:r w:rsidR="00576100" w:rsidRPr="00840080">
              <w:rPr>
                <w:rStyle w:val="Strong"/>
                <w:b w:val="0"/>
                <w:color w:val="000000"/>
                <w:sz w:val="24"/>
                <w:szCs w:val="24"/>
              </w:rPr>
              <w:t xml:space="preserve"> </w:t>
            </w:r>
            <w:r w:rsidR="00BC43C1" w:rsidRPr="00840080">
              <w:rPr>
                <w:rStyle w:val="Strong"/>
                <w:b w:val="0"/>
                <w:color w:val="000000"/>
                <w:sz w:val="24"/>
                <w:szCs w:val="24"/>
              </w:rPr>
              <w:t xml:space="preserve">Bet saskaņā ar EKS2010 metodoloģiju valsts kopbudžeta izpildi neietekmēs jaunu nosacījumu naudas līdzekļu glabāšanai Valsts kasē piemērošana tām kapitālsabiedrībām, kuras atbilstoši Centrālās statistikas pārvaldes mājas lapā publicētajam institucionālo vienību sarakstam tiek pieklasificētas vispārējās valdības sektoram. </w:t>
            </w:r>
          </w:p>
          <w:p w:rsidR="00433F2B" w:rsidRPr="00840080" w:rsidRDefault="00AE66CD" w:rsidP="004C13AD">
            <w:pPr>
              <w:pStyle w:val="tv2132"/>
              <w:spacing w:line="240" w:lineRule="auto"/>
              <w:ind w:left="142" w:right="142" w:firstLine="0"/>
              <w:jc w:val="both"/>
              <w:rPr>
                <w:color w:val="000000"/>
                <w:sz w:val="24"/>
                <w:szCs w:val="24"/>
              </w:rPr>
            </w:pPr>
            <w:r w:rsidRPr="00840080">
              <w:rPr>
                <w:rStyle w:val="Strong"/>
                <w:b w:val="0"/>
                <w:color w:val="000000"/>
                <w:sz w:val="24"/>
                <w:szCs w:val="24"/>
              </w:rPr>
              <w:t>Tād</w:t>
            </w:r>
            <w:r w:rsidR="00125B2C" w:rsidRPr="00840080">
              <w:rPr>
                <w:rStyle w:val="Strong"/>
                <w:b w:val="0"/>
                <w:color w:val="000000"/>
                <w:sz w:val="24"/>
                <w:szCs w:val="24"/>
              </w:rPr>
              <w:t>ē</w:t>
            </w:r>
            <w:r w:rsidRPr="00840080">
              <w:rPr>
                <w:rStyle w:val="Strong"/>
                <w:b w:val="0"/>
                <w:color w:val="000000"/>
                <w:sz w:val="24"/>
                <w:szCs w:val="24"/>
              </w:rPr>
              <w:t>jādi Valsts kases darbība ir atbilstoša un labums, ko iegūs sabiedrība kopumā, ir lielāks par iespējamām kapitālsabiedrības tiesībām un interesēm, kuras ietekmē papildu izdevumu uzņemšanās</w:t>
            </w:r>
            <w:r w:rsidR="00B22517" w:rsidRPr="00840080">
              <w:rPr>
                <w:rStyle w:val="Strong"/>
                <w:b w:val="0"/>
                <w:color w:val="000000"/>
                <w:sz w:val="24"/>
                <w:szCs w:val="24"/>
              </w:rPr>
              <w:t>.</w:t>
            </w:r>
          </w:p>
          <w:p w:rsidR="00D43994" w:rsidRPr="00840080" w:rsidRDefault="00AE66CD" w:rsidP="0061156C">
            <w:pPr>
              <w:pStyle w:val="tv2132"/>
              <w:spacing w:line="240" w:lineRule="auto"/>
              <w:ind w:left="142" w:right="142" w:firstLine="0"/>
              <w:jc w:val="both"/>
              <w:rPr>
                <w:rStyle w:val="Strong"/>
                <w:b w:val="0"/>
                <w:color w:val="000000"/>
                <w:sz w:val="24"/>
                <w:szCs w:val="24"/>
              </w:rPr>
            </w:pPr>
            <w:r w:rsidRPr="00840080">
              <w:rPr>
                <w:rStyle w:val="Strong"/>
                <w:b w:val="0"/>
                <w:color w:val="000000"/>
                <w:sz w:val="24"/>
                <w:szCs w:val="24"/>
              </w:rPr>
              <w:t xml:space="preserve">Likuma </w:t>
            </w:r>
            <w:r w:rsidR="001F7C4C" w:rsidRPr="00840080">
              <w:rPr>
                <w:rStyle w:val="Strong"/>
                <w:b w:val="0"/>
                <w:color w:val="000000"/>
                <w:sz w:val="24"/>
                <w:szCs w:val="24"/>
              </w:rPr>
              <w:t>grozījumi nodrošinā</w:t>
            </w:r>
            <w:r w:rsidR="00BE2D6F" w:rsidRPr="00840080">
              <w:rPr>
                <w:rStyle w:val="Strong"/>
                <w:b w:val="0"/>
                <w:color w:val="000000"/>
                <w:sz w:val="24"/>
                <w:szCs w:val="24"/>
              </w:rPr>
              <w:t xml:space="preserve">tu, </w:t>
            </w:r>
            <w:r w:rsidRPr="00840080">
              <w:rPr>
                <w:rStyle w:val="Strong"/>
                <w:b w:val="0"/>
                <w:color w:val="000000"/>
                <w:sz w:val="24"/>
                <w:szCs w:val="24"/>
              </w:rPr>
              <w:t xml:space="preserve">ka </w:t>
            </w:r>
            <w:r w:rsidR="001F7C4C" w:rsidRPr="00840080">
              <w:rPr>
                <w:rStyle w:val="Strong"/>
                <w:b w:val="0"/>
                <w:color w:val="000000"/>
                <w:sz w:val="24"/>
                <w:szCs w:val="24"/>
              </w:rPr>
              <w:t>valsts budžeta izdevum</w:t>
            </w:r>
            <w:r w:rsidR="00BE2D6F" w:rsidRPr="00840080">
              <w:rPr>
                <w:rStyle w:val="Strong"/>
                <w:b w:val="0"/>
                <w:color w:val="000000"/>
                <w:sz w:val="24"/>
                <w:szCs w:val="24"/>
              </w:rPr>
              <w:t>u pieaugumu</w:t>
            </w:r>
            <w:r w:rsidR="001F7C4C" w:rsidRPr="00840080">
              <w:rPr>
                <w:rStyle w:val="Strong"/>
                <w:b w:val="0"/>
                <w:color w:val="000000"/>
                <w:sz w:val="24"/>
                <w:szCs w:val="24"/>
              </w:rPr>
              <w:t xml:space="preserve"> </w:t>
            </w:r>
            <w:r w:rsidR="00BE2D6F" w:rsidRPr="00840080">
              <w:rPr>
                <w:rStyle w:val="Strong"/>
                <w:b w:val="0"/>
                <w:color w:val="000000"/>
                <w:sz w:val="24"/>
                <w:szCs w:val="24"/>
              </w:rPr>
              <w:t>2017.gadā un turpmākajos gados Finanšu ministrijas apakšprogrammā 31.02.00 „Valsts parāda vadība”</w:t>
            </w:r>
            <w:r w:rsidR="001F7C4C" w:rsidRPr="00840080">
              <w:rPr>
                <w:rStyle w:val="Strong"/>
                <w:b w:val="0"/>
                <w:color w:val="000000"/>
                <w:sz w:val="24"/>
                <w:szCs w:val="24"/>
              </w:rPr>
              <w:t xml:space="preserve"> </w:t>
            </w:r>
            <w:r w:rsidR="00BE2D6F" w:rsidRPr="00840080">
              <w:rPr>
                <w:rStyle w:val="Strong"/>
                <w:b w:val="0"/>
                <w:color w:val="000000"/>
                <w:sz w:val="24"/>
                <w:szCs w:val="24"/>
              </w:rPr>
              <w:t>kompensētu ieņēmumi par negatīvas procentu likmes piemērošanu naudas līdzekļu atlikum</w:t>
            </w:r>
            <w:r w:rsidR="008D007B" w:rsidRPr="00840080">
              <w:rPr>
                <w:rStyle w:val="Strong"/>
                <w:b w:val="0"/>
                <w:color w:val="000000"/>
                <w:sz w:val="24"/>
                <w:szCs w:val="24"/>
              </w:rPr>
              <w:t>am</w:t>
            </w:r>
            <w:r w:rsidR="00BE2D6F" w:rsidRPr="00840080">
              <w:rPr>
                <w:rStyle w:val="Strong"/>
                <w:b w:val="0"/>
                <w:color w:val="000000"/>
                <w:sz w:val="24"/>
                <w:szCs w:val="24"/>
              </w:rPr>
              <w:t xml:space="preserve"> kontos Valsts kasē</w:t>
            </w:r>
            <w:r w:rsidR="001F7C4C" w:rsidRPr="00840080">
              <w:rPr>
                <w:rStyle w:val="Strong"/>
                <w:b w:val="0"/>
                <w:color w:val="000000"/>
                <w:sz w:val="24"/>
                <w:szCs w:val="24"/>
              </w:rPr>
              <w:t xml:space="preserve">. </w:t>
            </w:r>
            <w:r w:rsidR="00433F2B" w:rsidRPr="00840080">
              <w:rPr>
                <w:rStyle w:val="Strong"/>
                <w:b w:val="0"/>
                <w:color w:val="000000"/>
                <w:sz w:val="24"/>
                <w:szCs w:val="24"/>
              </w:rPr>
              <w:t xml:space="preserve">Līdz ar to jāveic </w:t>
            </w:r>
            <w:r w:rsidR="00BE2D6F" w:rsidRPr="00840080">
              <w:rPr>
                <w:rStyle w:val="Strong"/>
                <w:b w:val="0"/>
                <w:color w:val="000000"/>
                <w:sz w:val="24"/>
                <w:szCs w:val="24"/>
              </w:rPr>
              <w:t xml:space="preserve">grozījumi tiesību aktos, paredzot </w:t>
            </w:r>
            <w:r w:rsidR="008D007B" w:rsidRPr="00840080">
              <w:rPr>
                <w:rStyle w:val="Strong"/>
                <w:b w:val="0"/>
                <w:color w:val="000000"/>
                <w:sz w:val="24"/>
                <w:szCs w:val="24"/>
              </w:rPr>
              <w:t xml:space="preserve">iespēju piemērot </w:t>
            </w:r>
            <w:r w:rsidR="00433F2B" w:rsidRPr="00840080">
              <w:rPr>
                <w:rStyle w:val="Strong"/>
                <w:b w:val="0"/>
                <w:color w:val="000000"/>
                <w:sz w:val="24"/>
                <w:szCs w:val="24"/>
              </w:rPr>
              <w:t>negatīv</w:t>
            </w:r>
            <w:r w:rsidR="00125B2C" w:rsidRPr="00840080">
              <w:rPr>
                <w:rStyle w:val="Strong"/>
                <w:b w:val="0"/>
                <w:color w:val="000000"/>
                <w:sz w:val="24"/>
                <w:szCs w:val="24"/>
              </w:rPr>
              <w:t>a</w:t>
            </w:r>
            <w:r w:rsidR="00433F2B" w:rsidRPr="00840080">
              <w:rPr>
                <w:rStyle w:val="Strong"/>
                <w:b w:val="0"/>
                <w:color w:val="000000"/>
                <w:sz w:val="24"/>
                <w:szCs w:val="24"/>
              </w:rPr>
              <w:t xml:space="preserve">s procentu likmes </w:t>
            </w:r>
            <w:r w:rsidR="00BE2D6F" w:rsidRPr="00840080">
              <w:rPr>
                <w:rStyle w:val="Strong"/>
                <w:b w:val="0"/>
                <w:color w:val="000000"/>
                <w:sz w:val="24"/>
                <w:szCs w:val="24"/>
              </w:rPr>
              <w:t>kapitālsabiedrību, kurās ieguldīta valsts vai pašvaldības kapitāla daļa, naudas līdzekļu atlikumiem kontos Valsts kasē</w:t>
            </w:r>
            <w:r w:rsidR="00433F2B" w:rsidRPr="00840080">
              <w:rPr>
                <w:rStyle w:val="Strong"/>
                <w:b w:val="0"/>
                <w:color w:val="000000"/>
                <w:sz w:val="24"/>
                <w:szCs w:val="24"/>
              </w:rPr>
              <w:t>.</w:t>
            </w:r>
          </w:p>
          <w:p w:rsidR="009C1972" w:rsidRPr="00840080" w:rsidRDefault="008D007B" w:rsidP="009C1972">
            <w:pPr>
              <w:pStyle w:val="NormalWeb"/>
              <w:spacing w:before="0" w:beforeAutospacing="0" w:after="0" w:afterAutospacing="0"/>
              <w:ind w:left="142" w:right="142"/>
              <w:jc w:val="both"/>
              <w:rPr>
                <w:rFonts w:ascii="Times New Roman" w:hAnsi="Times New Roman" w:cs="Times New Roman"/>
                <w:lang w:val="lv-LV"/>
              </w:rPr>
            </w:pPr>
            <w:r w:rsidRPr="00840080">
              <w:rPr>
                <w:rFonts w:ascii="Times New Roman" w:hAnsi="Times New Roman" w:cs="Times New Roman"/>
                <w:lang w:val="lv-LV"/>
              </w:rPr>
              <w:t>Ņ</w:t>
            </w:r>
            <w:r w:rsidR="00BE2D6F" w:rsidRPr="00840080">
              <w:rPr>
                <w:rFonts w:ascii="Times New Roman" w:hAnsi="Times New Roman" w:cs="Times New Roman"/>
                <w:lang w:val="lv-LV"/>
              </w:rPr>
              <w:t>emot vērā minēto, l</w:t>
            </w:r>
            <w:r w:rsidR="00427CE2" w:rsidRPr="00840080">
              <w:rPr>
                <w:rFonts w:ascii="Times New Roman" w:hAnsi="Times New Roman" w:cs="Times New Roman"/>
                <w:lang w:val="lv-LV"/>
              </w:rPr>
              <w:t>ikumprojek</w:t>
            </w:r>
            <w:r w:rsidR="007602BE" w:rsidRPr="00840080">
              <w:rPr>
                <w:rFonts w:ascii="Times New Roman" w:hAnsi="Times New Roman" w:cs="Times New Roman"/>
                <w:lang w:val="lv-LV"/>
              </w:rPr>
              <w:t>t</w:t>
            </w:r>
            <w:r w:rsidR="00427CE2" w:rsidRPr="00840080">
              <w:rPr>
                <w:rFonts w:ascii="Times New Roman" w:hAnsi="Times New Roman" w:cs="Times New Roman"/>
                <w:lang w:val="lv-LV"/>
              </w:rPr>
              <w:t>s</w:t>
            </w:r>
            <w:r w:rsidR="009D5FDC" w:rsidRPr="00840080">
              <w:rPr>
                <w:rFonts w:ascii="Times New Roman" w:hAnsi="Times New Roman" w:cs="Times New Roman"/>
                <w:lang w:val="lv-LV"/>
              </w:rPr>
              <w:t xml:space="preserve"> paredz </w:t>
            </w:r>
            <w:r w:rsidR="004A68AB" w:rsidRPr="00840080">
              <w:rPr>
                <w:rFonts w:ascii="Times New Roman" w:hAnsi="Times New Roman" w:cs="Times New Roman"/>
                <w:lang w:val="lv-LV"/>
              </w:rPr>
              <w:t>precizēt LBFV 27.panta pirmo daļu, papildinot to ar kārtību, kādā tiek atvērti ko</w:t>
            </w:r>
            <w:r w:rsidR="009C1972" w:rsidRPr="00840080">
              <w:rPr>
                <w:rFonts w:ascii="Times New Roman" w:hAnsi="Times New Roman" w:cs="Times New Roman"/>
                <w:lang w:val="lv-LV"/>
              </w:rPr>
              <w:t>nti valsts aizdevuma saņemšanai.</w:t>
            </w:r>
            <w:r w:rsidR="004A68AB" w:rsidRPr="00840080">
              <w:rPr>
                <w:rFonts w:ascii="Times New Roman" w:hAnsi="Times New Roman" w:cs="Times New Roman"/>
                <w:lang w:val="lv-LV"/>
              </w:rPr>
              <w:t xml:space="preserve"> </w:t>
            </w:r>
            <w:r w:rsidR="009C1972" w:rsidRPr="00840080">
              <w:rPr>
                <w:rFonts w:ascii="Times New Roman" w:hAnsi="Times New Roman" w:cs="Times New Roman"/>
                <w:lang w:val="lv-LV"/>
              </w:rPr>
              <w:t xml:space="preserve">Līdz šim aizņēmējiem tika atvērti konti valsts aizdevuma saņemšanai saskaņā ar LBFV 27.panta ceturto daļu, bet ņemot vērā, ka grozījumi likumprojektā paredz tiesības atbilstoši LBFV </w:t>
            </w:r>
            <w:r w:rsidR="00E463A5" w:rsidRPr="00840080">
              <w:rPr>
                <w:rFonts w:ascii="Times New Roman" w:hAnsi="Times New Roman" w:cs="Times New Roman"/>
                <w:lang w:val="lv-LV"/>
              </w:rPr>
              <w:t>27.</w:t>
            </w:r>
            <w:r w:rsidR="009C1972" w:rsidRPr="00840080">
              <w:rPr>
                <w:rFonts w:ascii="Times New Roman" w:hAnsi="Times New Roman" w:cs="Times New Roman"/>
                <w:lang w:val="lv-LV"/>
              </w:rPr>
              <w:t xml:space="preserve">panta ceturtajai daļai atvērt norēķinu kontus pēc izvēles principa līdzekļiem, kas nav saņemti no valsts budžeta, savukārt saskaņā ar normatīvajiem aktiem konta atvēršana Valsts kasē valsts aizdevuma saņemšanai ir obligāts nosacījums, nepieciešams konta atvēršanas kārtību </w:t>
            </w:r>
            <w:r w:rsidR="00E463A5" w:rsidRPr="00840080">
              <w:rPr>
                <w:rFonts w:ascii="Times New Roman" w:hAnsi="Times New Roman" w:cs="Times New Roman"/>
                <w:lang w:val="lv-LV"/>
              </w:rPr>
              <w:t>atrunāt</w:t>
            </w:r>
            <w:r w:rsidR="009C1972" w:rsidRPr="00840080">
              <w:rPr>
                <w:rFonts w:ascii="Times New Roman" w:hAnsi="Times New Roman" w:cs="Times New Roman"/>
                <w:lang w:val="lv-LV"/>
              </w:rPr>
              <w:t xml:space="preserve"> atbilst</w:t>
            </w:r>
            <w:r w:rsidR="00E463A5" w:rsidRPr="00840080">
              <w:rPr>
                <w:rFonts w:ascii="Times New Roman" w:hAnsi="Times New Roman" w:cs="Times New Roman"/>
                <w:lang w:val="lv-LV"/>
              </w:rPr>
              <w:t>īgajā</w:t>
            </w:r>
            <w:r w:rsidR="009C1972" w:rsidRPr="00840080">
              <w:rPr>
                <w:rFonts w:ascii="Times New Roman" w:hAnsi="Times New Roman" w:cs="Times New Roman"/>
                <w:lang w:val="lv-LV"/>
              </w:rPr>
              <w:t xml:space="preserve"> panta daļā. Papildus tiek paredzēta iespēja aizņēmējam saņemt valsts aizņēmumu kredītiestādes kontā, ja šāds izņēmums tiktu paredzēts normatīvajos aktos, piemēram, Eiropas Savienības fondu finansējuma saņēmēja projekta konts ir kredītiestādē un projekta realizācijai izmanto valsts aizdevumu.</w:t>
            </w:r>
          </w:p>
          <w:p w:rsidR="009C1972" w:rsidRPr="00840080" w:rsidRDefault="009C1972" w:rsidP="009C1972">
            <w:pPr>
              <w:pStyle w:val="NormalWeb"/>
              <w:spacing w:before="0" w:beforeAutospacing="0" w:after="0" w:afterAutospacing="0"/>
              <w:ind w:left="142" w:right="142"/>
              <w:jc w:val="both"/>
              <w:rPr>
                <w:rFonts w:ascii="Times New Roman" w:hAnsi="Times New Roman" w:cs="Times New Roman"/>
                <w:lang w:val="lv-LV"/>
              </w:rPr>
            </w:pPr>
            <w:r w:rsidRPr="00840080">
              <w:rPr>
                <w:rFonts w:ascii="Times New Roman" w:hAnsi="Times New Roman" w:cs="Times New Roman"/>
                <w:lang w:val="lv-LV"/>
              </w:rPr>
              <w:t>Vienlaikus precizēta</w:t>
            </w:r>
            <w:r w:rsidR="004A68AB" w:rsidRPr="00840080">
              <w:rPr>
                <w:rFonts w:ascii="Times New Roman" w:hAnsi="Times New Roman" w:cs="Times New Roman"/>
                <w:lang w:val="lv-LV"/>
              </w:rPr>
              <w:t xml:space="preserve"> </w:t>
            </w:r>
            <w:r w:rsidR="008B4909" w:rsidRPr="00840080">
              <w:rPr>
                <w:rFonts w:ascii="Times New Roman" w:hAnsi="Times New Roman" w:cs="Times New Roman"/>
                <w:lang w:val="lv-LV"/>
              </w:rPr>
              <w:t>LBFV 27.</w:t>
            </w:r>
            <w:r w:rsidR="009E7B56" w:rsidRPr="00840080">
              <w:rPr>
                <w:rFonts w:ascii="Times New Roman" w:hAnsi="Times New Roman" w:cs="Times New Roman"/>
                <w:lang w:val="lv-LV"/>
              </w:rPr>
              <w:t> </w:t>
            </w:r>
            <w:r w:rsidR="008B4909" w:rsidRPr="00840080">
              <w:rPr>
                <w:rFonts w:ascii="Times New Roman" w:hAnsi="Times New Roman" w:cs="Times New Roman"/>
                <w:lang w:val="lv-LV"/>
              </w:rPr>
              <w:t xml:space="preserve">panta </w:t>
            </w:r>
            <w:r w:rsidRPr="00840080">
              <w:rPr>
                <w:rFonts w:ascii="Times New Roman" w:hAnsi="Times New Roman" w:cs="Times New Roman"/>
                <w:lang w:val="lv-LV"/>
              </w:rPr>
              <w:t>ceturtā daļa</w:t>
            </w:r>
            <w:r w:rsidR="004A68AB" w:rsidRPr="00840080">
              <w:rPr>
                <w:rFonts w:ascii="Times New Roman" w:hAnsi="Times New Roman" w:cs="Times New Roman"/>
                <w:lang w:val="lv-LV"/>
              </w:rPr>
              <w:t>, nosakot, ka kapitālsabiedrības, kurās ieguldīta valsts vai pašvaldības kapitāla daļa, var atvēr</w:t>
            </w:r>
            <w:r w:rsidRPr="00840080">
              <w:rPr>
                <w:rFonts w:ascii="Times New Roman" w:hAnsi="Times New Roman" w:cs="Times New Roman"/>
                <w:lang w:val="lv-LV"/>
              </w:rPr>
              <w:t>t norēķinu kontus Valsts kasē naudas līdzekļiem kuri nav saņemti no valsts budžeta, tikai pie nosacījuma, ka vienlaikus tās noslēdz vienošanos ar Valsts kasi par naudas līdzekļu atlikuma ieguldīšanu saskaņā ar likuma 34.panta ceturto daļu.</w:t>
            </w:r>
          </w:p>
          <w:p w:rsidR="004A68AB" w:rsidRPr="00840080" w:rsidRDefault="004A68AB" w:rsidP="009C1972">
            <w:pPr>
              <w:pStyle w:val="NormalWeb"/>
              <w:spacing w:before="0" w:beforeAutospacing="0" w:after="0" w:afterAutospacing="0"/>
              <w:ind w:left="142" w:right="142"/>
              <w:jc w:val="both"/>
              <w:rPr>
                <w:rFonts w:ascii="Times New Roman" w:hAnsi="Times New Roman" w:cs="Times New Roman"/>
                <w:lang w:val="lv-LV"/>
              </w:rPr>
            </w:pPr>
            <w:r w:rsidRPr="00840080">
              <w:rPr>
                <w:rFonts w:ascii="Times New Roman" w:hAnsi="Times New Roman" w:cs="Times New Roman"/>
                <w:lang w:val="lv-LV"/>
              </w:rPr>
              <w:lastRenderedPageBreak/>
              <w:t>Likumprojektā paredzēts precizēt 34.panta</w:t>
            </w:r>
            <w:r w:rsidR="00FE1724" w:rsidRPr="00840080">
              <w:rPr>
                <w:rFonts w:ascii="Times New Roman" w:hAnsi="Times New Roman" w:cs="Times New Roman"/>
                <w:lang w:val="lv-LV"/>
              </w:rPr>
              <w:t xml:space="preserve"> trešo daļu, vienādojot subjektu loku, ar ko Valsts kasei ir tiesības vienoties par naudas līdzekļu ieguldīšanu, ar LBFV 27.panta ceturtajā daļā minēto subjektu loku, kuri var atvērt kontu </w:t>
            </w:r>
            <w:r w:rsidR="00AE66CD" w:rsidRPr="00840080">
              <w:rPr>
                <w:rFonts w:ascii="Times New Roman" w:hAnsi="Times New Roman" w:cs="Times New Roman"/>
                <w:lang w:val="lv-LV"/>
              </w:rPr>
              <w:t>V</w:t>
            </w:r>
            <w:r w:rsidR="00FE1724" w:rsidRPr="00840080">
              <w:rPr>
                <w:rFonts w:ascii="Times New Roman" w:hAnsi="Times New Roman" w:cs="Times New Roman"/>
                <w:lang w:val="lv-LV"/>
              </w:rPr>
              <w:t>alsts kasē, kā arī papildināt LBFV 34.pantu ar ceturto daļu, nosakot kapitālsabiedrībām pienākumu vienoties ar Valsts kasi par kontu atlikuma ieguldīšan</w:t>
            </w:r>
            <w:r w:rsidR="007602BE" w:rsidRPr="00840080">
              <w:rPr>
                <w:rFonts w:ascii="Times New Roman" w:hAnsi="Times New Roman" w:cs="Times New Roman"/>
                <w:lang w:val="lv-LV"/>
              </w:rPr>
              <w:t>as nosacījumiem</w:t>
            </w:r>
            <w:r w:rsidR="00FE1724" w:rsidRPr="00840080">
              <w:rPr>
                <w:rFonts w:ascii="Times New Roman" w:hAnsi="Times New Roman" w:cs="Times New Roman"/>
                <w:lang w:val="lv-LV"/>
              </w:rPr>
              <w:t>.</w:t>
            </w:r>
          </w:p>
          <w:p w:rsidR="00C80950" w:rsidRPr="00840080" w:rsidRDefault="00FE1724" w:rsidP="00C80950">
            <w:pPr>
              <w:pStyle w:val="NormalWeb"/>
              <w:spacing w:before="0" w:beforeAutospacing="0" w:after="0" w:afterAutospacing="0"/>
              <w:ind w:left="142" w:right="142"/>
              <w:jc w:val="both"/>
              <w:rPr>
                <w:rFonts w:ascii="Times New Roman" w:hAnsi="Times New Roman" w:cs="Times New Roman"/>
                <w:lang w:val="lv-LV"/>
              </w:rPr>
            </w:pPr>
            <w:r w:rsidRPr="00840080">
              <w:rPr>
                <w:rFonts w:ascii="Times New Roman" w:hAnsi="Times New Roman" w:cs="Times New Roman"/>
                <w:lang w:val="lv-LV"/>
              </w:rPr>
              <w:t xml:space="preserve">Vienlaikus nepieciešams iekļaut likumprojektā pārejas noteikumu normu, kas attiecinātu negatīvās likmes piemērošanu uz kontiem (līdzekļiem), kas atvērti Valsts kasē pirms minēto grozījumu stāšanās spēkā, </w:t>
            </w:r>
            <w:r w:rsidR="00B525FF" w:rsidRPr="00840080">
              <w:rPr>
                <w:rFonts w:ascii="Times New Roman" w:hAnsi="Times New Roman" w:cs="Times New Roman"/>
                <w:lang w:val="lv-LV"/>
              </w:rPr>
              <w:t xml:space="preserve">kur </w:t>
            </w:r>
            <w:r w:rsidRPr="00840080">
              <w:rPr>
                <w:rFonts w:ascii="Times New Roman" w:hAnsi="Times New Roman" w:cs="Times New Roman"/>
                <w:lang w:val="lv-LV"/>
              </w:rPr>
              <w:t xml:space="preserve">noteikts, ka trīs mēnešu laikā no likuma spēkā stāšanās dienas ir jāvienojas par naudas līdzekļu atlikuma ieguldīšanas nosacījumiem saskaņā ar LBFV 34.panta ceturto daļu. </w:t>
            </w:r>
            <w:r w:rsidR="00C80950" w:rsidRPr="00840080">
              <w:rPr>
                <w:rFonts w:ascii="Times New Roman" w:hAnsi="Times New Roman" w:cs="Times New Roman"/>
                <w:lang w:val="lv-LV"/>
              </w:rPr>
              <w:t xml:space="preserve">Līdz ar to ir nodrošināta tiesiskās paļāvības principa ievērošana un </w:t>
            </w:r>
            <w:proofErr w:type="spellStart"/>
            <w:r w:rsidR="00C80950" w:rsidRPr="00840080">
              <w:rPr>
                <w:rFonts w:ascii="Times New Roman" w:hAnsi="Times New Roman" w:cs="Times New Roman"/>
                <w:lang w:val="lv-LV"/>
              </w:rPr>
              <w:t>un</w:t>
            </w:r>
            <w:proofErr w:type="spellEnd"/>
            <w:r w:rsidR="00C80950" w:rsidRPr="00840080">
              <w:rPr>
                <w:rFonts w:ascii="Times New Roman" w:hAnsi="Times New Roman" w:cs="Times New Roman"/>
                <w:lang w:val="lv-LV"/>
              </w:rPr>
              <w:t xml:space="preserve"> klientam ir dota iespēja izvēlēties šādus kontus slēgt un novirzīt finanšu resursus ārpus Valsts kases.</w:t>
            </w:r>
          </w:p>
          <w:p w:rsidR="00FE1724" w:rsidRPr="00840080" w:rsidRDefault="000C5F49" w:rsidP="009C1972">
            <w:pPr>
              <w:pStyle w:val="NormalWeb"/>
              <w:spacing w:before="0" w:beforeAutospacing="0" w:after="120" w:afterAutospacing="0"/>
              <w:ind w:left="142" w:right="142"/>
              <w:jc w:val="both"/>
              <w:rPr>
                <w:rFonts w:ascii="Times New Roman" w:hAnsi="Times New Roman" w:cs="Times New Roman"/>
                <w:lang w:val="lv-LV"/>
              </w:rPr>
            </w:pPr>
            <w:r w:rsidRPr="00840080">
              <w:rPr>
                <w:rStyle w:val="Strong"/>
                <w:rFonts w:ascii="Times New Roman" w:hAnsi="Times New Roman" w:cs="Times New Roman"/>
                <w:b w:val="0"/>
                <w:color w:val="000000"/>
                <w:lang w:val="lv-LV"/>
              </w:rPr>
              <w:t>Likumprojekts paredz papildināt LBFV ar terminu „Naudas līdzekļi, kuri nav saņemti no valsts budžeta” skaidrojumu</w:t>
            </w:r>
            <w:r w:rsidRPr="00840080">
              <w:rPr>
                <w:rFonts w:ascii="Times New Roman" w:hAnsi="Times New Roman" w:cs="Times New Roman"/>
                <w:lang w:val="lv-LV"/>
              </w:rPr>
              <w:t>, lai novērstu dažādu tiesību normu interpretāciju un nodrošinātu tiesību normu tiesisku, precīzu un efektīvu piemērošanu.</w:t>
            </w:r>
          </w:p>
        </w:tc>
      </w:tr>
      <w:tr w:rsidR="00262E2B" w:rsidRPr="00840080" w:rsidTr="00C80950">
        <w:trPr>
          <w:trHeight w:val="476"/>
        </w:trPr>
        <w:tc>
          <w:tcPr>
            <w:tcW w:w="550" w:type="dxa"/>
            <w:tcBorders>
              <w:top w:val="single" w:sz="4" w:space="0" w:color="auto"/>
            </w:tcBorders>
          </w:tcPr>
          <w:p w:rsidR="00262E2B" w:rsidRPr="00840080" w:rsidRDefault="002C0A7A" w:rsidP="000C5F49">
            <w:pPr>
              <w:pStyle w:val="naiskr"/>
              <w:spacing w:before="0" w:after="0"/>
            </w:pPr>
            <w:r w:rsidRPr="00840080">
              <w:lastRenderedPageBreak/>
              <w:t>3</w:t>
            </w:r>
            <w:r w:rsidR="00262E2B" w:rsidRPr="00840080">
              <w:t>.</w:t>
            </w:r>
          </w:p>
        </w:tc>
        <w:tc>
          <w:tcPr>
            <w:tcW w:w="2149" w:type="dxa"/>
            <w:tcBorders>
              <w:top w:val="single" w:sz="4" w:space="0" w:color="auto"/>
            </w:tcBorders>
          </w:tcPr>
          <w:p w:rsidR="00262E2B" w:rsidRPr="00840080" w:rsidRDefault="001A4066" w:rsidP="000C5F49">
            <w:pPr>
              <w:pStyle w:val="naiskr"/>
              <w:spacing w:before="0" w:after="0"/>
            </w:pPr>
            <w:r w:rsidRPr="00840080">
              <w:t>Projekta i</w:t>
            </w:r>
            <w:r w:rsidR="00262E2B" w:rsidRPr="00840080">
              <w:t>zstrād</w:t>
            </w:r>
            <w:r w:rsidR="00420870" w:rsidRPr="00840080">
              <w:t xml:space="preserve">ē </w:t>
            </w:r>
            <w:r w:rsidR="00262E2B" w:rsidRPr="00840080">
              <w:t>iesaistītās institūcijas</w:t>
            </w:r>
          </w:p>
        </w:tc>
        <w:tc>
          <w:tcPr>
            <w:tcW w:w="7371" w:type="dxa"/>
            <w:tcBorders>
              <w:top w:val="single" w:sz="4" w:space="0" w:color="auto"/>
            </w:tcBorders>
          </w:tcPr>
          <w:p w:rsidR="009C5659" w:rsidRPr="00840080" w:rsidRDefault="00416E10" w:rsidP="000C5F49">
            <w:pPr>
              <w:pStyle w:val="naiskr"/>
              <w:spacing w:before="0" w:after="0"/>
              <w:contextualSpacing/>
              <w:jc w:val="both"/>
            </w:pPr>
            <w:r w:rsidRPr="00840080">
              <w:t>Valsts kase</w:t>
            </w:r>
          </w:p>
        </w:tc>
      </w:tr>
      <w:tr w:rsidR="00262E2B" w:rsidRPr="00840080" w:rsidTr="00C80950">
        <w:tc>
          <w:tcPr>
            <w:tcW w:w="550" w:type="dxa"/>
          </w:tcPr>
          <w:p w:rsidR="00262E2B" w:rsidRPr="00840080" w:rsidRDefault="002C0A7A" w:rsidP="000C5F49">
            <w:pPr>
              <w:pStyle w:val="naiskr"/>
              <w:spacing w:before="0" w:after="0"/>
            </w:pPr>
            <w:r w:rsidRPr="00840080">
              <w:t>4</w:t>
            </w:r>
            <w:r w:rsidR="00262E2B" w:rsidRPr="00840080">
              <w:t>.</w:t>
            </w:r>
          </w:p>
        </w:tc>
        <w:tc>
          <w:tcPr>
            <w:tcW w:w="2149" w:type="dxa"/>
          </w:tcPr>
          <w:p w:rsidR="00262E2B" w:rsidRPr="00840080" w:rsidRDefault="00262E2B" w:rsidP="000C5F49">
            <w:pPr>
              <w:pStyle w:val="naiskr"/>
              <w:spacing w:before="0" w:after="0"/>
            </w:pPr>
            <w:r w:rsidRPr="00840080">
              <w:t>Cita informācija</w:t>
            </w:r>
          </w:p>
        </w:tc>
        <w:tc>
          <w:tcPr>
            <w:tcW w:w="7371" w:type="dxa"/>
          </w:tcPr>
          <w:p w:rsidR="00184254" w:rsidRPr="00840080" w:rsidRDefault="00840080" w:rsidP="00E463A5">
            <w:pPr>
              <w:spacing w:after="120"/>
              <w:jc w:val="both"/>
            </w:pPr>
            <w:r w:rsidRPr="00C31F7F">
              <w:t>Nav</w:t>
            </w:r>
            <w:r w:rsidRPr="00840080" w:rsidDel="00840080">
              <w:t xml:space="preserve"> </w:t>
            </w:r>
          </w:p>
          <w:p w:rsidR="00C02FC7" w:rsidRPr="00840080" w:rsidRDefault="00C02FC7" w:rsidP="00E463A5">
            <w:pPr>
              <w:spacing w:after="120"/>
              <w:jc w:val="both"/>
            </w:pPr>
          </w:p>
        </w:tc>
      </w:tr>
    </w:tbl>
    <w:p w:rsidR="00852042" w:rsidRPr="00840080" w:rsidRDefault="00852042" w:rsidP="000C5F49">
      <w:pPr>
        <w:pStyle w:val="naisf"/>
        <w:spacing w:before="0" w:after="0"/>
      </w:pPr>
    </w:p>
    <w:p w:rsidR="00C02FC7" w:rsidRPr="00840080" w:rsidRDefault="00C02FC7" w:rsidP="000C5F49">
      <w:pPr>
        <w:pStyle w:val="naisf"/>
        <w:spacing w:before="0" w:after="0"/>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552"/>
        <w:gridCol w:w="6946"/>
      </w:tblGrid>
      <w:tr w:rsidR="0062298A" w:rsidRPr="00840080" w:rsidTr="00722478">
        <w:tc>
          <w:tcPr>
            <w:tcW w:w="10060" w:type="dxa"/>
            <w:gridSpan w:val="3"/>
            <w:vAlign w:val="center"/>
          </w:tcPr>
          <w:p w:rsidR="0062298A" w:rsidRPr="00840080" w:rsidRDefault="0062298A" w:rsidP="000C5F49">
            <w:pPr>
              <w:pStyle w:val="naisnod"/>
              <w:spacing w:before="0" w:after="0"/>
            </w:pPr>
            <w:r w:rsidRPr="00840080">
              <w:t>II</w:t>
            </w:r>
            <w:r w:rsidR="000941C5" w:rsidRPr="00840080">
              <w:t>.</w:t>
            </w:r>
            <w:r w:rsidRPr="00840080">
              <w:t xml:space="preserve"> Tiesību akta projekta ietekme uz sabiedrību</w:t>
            </w:r>
            <w:r w:rsidR="002C0A7A" w:rsidRPr="00840080">
              <w:t>, tautsaimniecības attīstību un administratīvo slogu</w:t>
            </w:r>
          </w:p>
        </w:tc>
      </w:tr>
      <w:tr w:rsidR="0062298A" w:rsidRPr="00840080" w:rsidTr="00464B35">
        <w:trPr>
          <w:trHeight w:val="467"/>
        </w:trPr>
        <w:tc>
          <w:tcPr>
            <w:tcW w:w="562" w:type="dxa"/>
          </w:tcPr>
          <w:p w:rsidR="0062298A" w:rsidRPr="00840080" w:rsidRDefault="0062298A" w:rsidP="000C5F49">
            <w:pPr>
              <w:pStyle w:val="naiskr"/>
              <w:spacing w:before="0" w:after="0"/>
            </w:pPr>
            <w:r w:rsidRPr="00840080">
              <w:t>1.</w:t>
            </w:r>
          </w:p>
        </w:tc>
        <w:tc>
          <w:tcPr>
            <w:tcW w:w="2552" w:type="dxa"/>
          </w:tcPr>
          <w:p w:rsidR="0062298A" w:rsidRPr="00840080" w:rsidRDefault="00C27A08" w:rsidP="000C5F49">
            <w:pPr>
              <w:pStyle w:val="naiskr"/>
              <w:spacing w:before="0" w:after="0"/>
            </w:pPr>
            <w:r w:rsidRPr="00840080">
              <w:t xml:space="preserve">Sabiedrības </w:t>
            </w:r>
            <w:proofErr w:type="spellStart"/>
            <w:r w:rsidRPr="00840080">
              <w:t>mērķgrupa</w:t>
            </w:r>
            <w:r w:rsidR="008D39A7" w:rsidRPr="00840080">
              <w:t>s</w:t>
            </w:r>
            <w:proofErr w:type="spellEnd"/>
            <w:r w:rsidR="008D39A7" w:rsidRPr="00840080">
              <w:t>, kuras tiesiskais regulējums ietekmē vai varētu ietekmēt</w:t>
            </w:r>
          </w:p>
        </w:tc>
        <w:tc>
          <w:tcPr>
            <w:tcW w:w="6946" w:type="dxa"/>
          </w:tcPr>
          <w:p w:rsidR="001E3070" w:rsidRPr="00840080" w:rsidRDefault="00BA2916" w:rsidP="009E7B56">
            <w:pPr>
              <w:ind w:left="152" w:right="132"/>
              <w:jc w:val="both"/>
            </w:pPr>
            <w:r w:rsidRPr="00840080">
              <w:t>Tiesiskais regulējums ietekmē</w:t>
            </w:r>
            <w:r w:rsidR="00CF6ABB" w:rsidRPr="00840080">
              <w:t>s kapitālsabiedrības, kurās ieguldīta valsts vai pašvaldības daļa</w:t>
            </w:r>
            <w:r w:rsidR="007F07AB" w:rsidRPr="00840080">
              <w:t xml:space="preserve">, un kuras </w:t>
            </w:r>
            <w:r w:rsidR="00184254" w:rsidRPr="00840080">
              <w:t>varētu</w:t>
            </w:r>
            <w:r w:rsidR="00B37723" w:rsidRPr="00840080">
              <w:t xml:space="preserve"> </w:t>
            </w:r>
            <w:r w:rsidR="007F07AB" w:rsidRPr="00840080">
              <w:t>izvēlē</w:t>
            </w:r>
            <w:r w:rsidR="00B37723" w:rsidRPr="00840080">
              <w:t>t</w:t>
            </w:r>
            <w:r w:rsidR="007F07AB" w:rsidRPr="00840080">
              <w:t xml:space="preserve">ies līdzekļus, kas nav saņemti no valsts budžeta, </w:t>
            </w:r>
            <w:r w:rsidR="00B37723" w:rsidRPr="00840080">
              <w:t xml:space="preserve">turpināt </w:t>
            </w:r>
            <w:r w:rsidR="007F07AB" w:rsidRPr="00840080">
              <w:t xml:space="preserve">turēt </w:t>
            </w:r>
            <w:r w:rsidR="00B37723" w:rsidRPr="00840080">
              <w:t xml:space="preserve">un pārvaldīt </w:t>
            </w:r>
            <w:r w:rsidR="007F07AB" w:rsidRPr="00840080">
              <w:t>norēķinu kontā Valsts kasē</w:t>
            </w:r>
            <w:r w:rsidR="00B37723" w:rsidRPr="00840080">
              <w:t xml:space="preserve"> vai </w:t>
            </w:r>
            <w:r w:rsidR="006A1CF2" w:rsidRPr="00840080">
              <w:t>kredītiestādēs</w:t>
            </w:r>
            <w:r w:rsidR="007F07AB" w:rsidRPr="00840080">
              <w:t>.</w:t>
            </w:r>
          </w:p>
        </w:tc>
      </w:tr>
      <w:tr w:rsidR="00DF6E70" w:rsidRPr="00840080" w:rsidTr="00464B35">
        <w:trPr>
          <w:trHeight w:val="523"/>
        </w:trPr>
        <w:tc>
          <w:tcPr>
            <w:tcW w:w="562" w:type="dxa"/>
          </w:tcPr>
          <w:p w:rsidR="00DF6E70" w:rsidRPr="00840080" w:rsidRDefault="00DF6E70" w:rsidP="000C5F49">
            <w:pPr>
              <w:pStyle w:val="naiskr"/>
              <w:spacing w:before="0" w:after="0"/>
            </w:pPr>
            <w:r w:rsidRPr="00840080">
              <w:t>2.</w:t>
            </w:r>
          </w:p>
        </w:tc>
        <w:tc>
          <w:tcPr>
            <w:tcW w:w="2552" w:type="dxa"/>
          </w:tcPr>
          <w:p w:rsidR="00DF6E70" w:rsidRPr="00840080" w:rsidRDefault="00DF6E70" w:rsidP="000C5F49">
            <w:pPr>
              <w:pStyle w:val="naiskr"/>
              <w:spacing w:before="0" w:after="0"/>
            </w:pPr>
            <w:r w:rsidRPr="00840080">
              <w:t>Tiesiskā regulējuma ietekme uz tautsaimniecību un administratīvo slogu</w:t>
            </w:r>
          </w:p>
        </w:tc>
        <w:tc>
          <w:tcPr>
            <w:tcW w:w="6946" w:type="dxa"/>
          </w:tcPr>
          <w:p w:rsidR="00876845" w:rsidRPr="00840080" w:rsidRDefault="001F5ED0" w:rsidP="00104061">
            <w:pPr>
              <w:ind w:left="152" w:right="132"/>
              <w:jc w:val="both"/>
            </w:pPr>
            <w:r w:rsidRPr="00840080">
              <w:t>I</w:t>
            </w:r>
            <w:r w:rsidR="00C62CE4" w:rsidRPr="00840080">
              <w:t xml:space="preserve">etekme uz tautsaimniecību </w:t>
            </w:r>
            <w:r w:rsidR="005E2DB6" w:rsidRPr="00840080">
              <w:t>(</w:t>
            </w:r>
            <w:r w:rsidRPr="00840080">
              <w:t xml:space="preserve">kapitālsabiedrību </w:t>
            </w:r>
            <w:r w:rsidR="005E2DB6" w:rsidRPr="00840080">
              <w:t xml:space="preserve">saimnieciskās darbības izmaksām) </w:t>
            </w:r>
            <w:r w:rsidR="00C62CE4" w:rsidRPr="00840080">
              <w:t xml:space="preserve">ir </w:t>
            </w:r>
            <w:r w:rsidR="005E2DB6" w:rsidRPr="00840080">
              <w:t>tikai t</w:t>
            </w:r>
            <w:r w:rsidRPr="00840080">
              <w:t>ā</w:t>
            </w:r>
            <w:r w:rsidR="005E2DB6" w:rsidRPr="00840080">
              <w:t xml:space="preserve">dā gadījumā, </w:t>
            </w:r>
            <w:r w:rsidR="00C62CE4" w:rsidRPr="00840080">
              <w:t xml:space="preserve">ja kapitālsabiedrības, kurās ieguldīta valsts vai pašvaldības kapitāla daļa, </w:t>
            </w:r>
            <w:r w:rsidR="00954566" w:rsidRPr="00840080">
              <w:t xml:space="preserve">esošajā finanšu tirgus situācijā </w:t>
            </w:r>
            <w:r w:rsidR="00C62CE4" w:rsidRPr="00840080">
              <w:t>izvēlēsies savus naudas līdzekļus, kas nav saņemti no valsts budžeta, turēt norēķinu kontā Valsts kasē</w:t>
            </w:r>
            <w:r w:rsidR="00B37723" w:rsidRPr="00840080">
              <w:t>.</w:t>
            </w:r>
            <w:r w:rsidR="00CF6ABB" w:rsidRPr="00840080">
              <w:t xml:space="preserve"> </w:t>
            </w:r>
            <w:r w:rsidRPr="00840080">
              <w:t xml:space="preserve"> Likumprojektā ietvertajam tiesiskajam regulējumam nav ietekmes uz administratīvo slogu</w:t>
            </w:r>
            <w:r w:rsidR="00145EC7" w:rsidRPr="00840080">
              <w:t>.</w:t>
            </w:r>
          </w:p>
        </w:tc>
      </w:tr>
      <w:tr w:rsidR="00DF6E70" w:rsidRPr="00840080" w:rsidTr="00464B35">
        <w:trPr>
          <w:trHeight w:val="517"/>
        </w:trPr>
        <w:tc>
          <w:tcPr>
            <w:tcW w:w="562" w:type="dxa"/>
          </w:tcPr>
          <w:p w:rsidR="00DF6E70" w:rsidRPr="00840080" w:rsidRDefault="00DF6E70" w:rsidP="000C5F49">
            <w:pPr>
              <w:pStyle w:val="naiskr"/>
              <w:spacing w:before="0" w:after="0"/>
            </w:pPr>
            <w:r w:rsidRPr="00840080">
              <w:t>3.</w:t>
            </w:r>
          </w:p>
        </w:tc>
        <w:tc>
          <w:tcPr>
            <w:tcW w:w="2552" w:type="dxa"/>
          </w:tcPr>
          <w:p w:rsidR="00DF6E70" w:rsidRPr="00840080" w:rsidRDefault="00DF6E70" w:rsidP="000C5F49">
            <w:pPr>
              <w:pStyle w:val="naiskr"/>
              <w:spacing w:before="0" w:after="0"/>
            </w:pPr>
            <w:r w:rsidRPr="00840080">
              <w:t xml:space="preserve">Administratīvo izmaksu monetārs novērtējums </w:t>
            </w:r>
          </w:p>
        </w:tc>
        <w:tc>
          <w:tcPr>
            <w:tcW w:w="6946" w:type="dxa"/>
          </w:tcPr>
          <w:p w:rsidR="00DF6E70" w:rsidRPr="00840080" w:rsidRDefault="00260C6E" w:rsidP="006A419C">
            <w:pPr>
              <w:ind w:left="152"/>
              <w:jc w:val="both"/>
            </w:pPr>
            <w:r w:rsidRPr="00840080">
              <w:t>Nav attiecināms</w:t>
            </w:r>
          </w:p>
        </w:tc>
      </w:tr>
      <w:tr w:rsidR="00DF6E70" w:rsidRPr="00840080" w:rsidTr="00464B35">
        <w:tc>
          <w:tcPr>
            <w:tcW w:w="562" w:type="dxa"/>
          </w:tcPr>
          <w:p w:rsidR="00DF6E70" w:rsidRPr="00840080" w:rsidRDefault="00DF6E70" w:rsidP="000C5F49">
            <w:pPr>
              <w:pStyle w:val="naiskr"/>
              <w:spacing w:before="0" w:after="0"/>
            </w:pPr>
            <w:r w:rsidRPr="00840080">
              <w:t>4.</w:t>
            </w:r>
          </w:p>
        </w:tc>
        <w:tc>
          <w:tcPr>
            <w:tcW w:w="2552" w:type="dxa"/>
          </w:tcPr>
          <w:p w:rsidR="00DF6E70" w:rsidRPr="00840080" w:rsidRDefault="00DF6E70" w:rsidP="000C5F49">
            <w:pPr>
              <w:pStyle w:val="naiskr"/>
              <w:spacing w:before="0" w:after="0"/>
            </w:pPr>
            <w:r w:rsidRPr="00840080">
              <w:t>Cita informācija</w:t>
            </w:r>
          </w:p>
        </w:tc>
        <w:tc>
          <w:tcPr>
            <w:tcW w:w="6946" w:type="dxa"/>
          </w:tcPr>
          <w:p w:rsidR="00DF6E70" w:rsidRPr="00840080" w:rsidRDefault="00DF6E70" w:rsidP="006A419C">
            <w:pPr>
              <w:ind w:left="152"/>
            </w:pPr>
            <w:r w:rsidRPr="00840080">
              <w:t>Nav</w:t>
            </w:r>
          </w:p>
        </w:tc>
      </w:tr>
    </w:tbl>
    <w:p w:rsidR="002C2D8B" w:rsidRPr="00840080" w:rsidRDefault="002C2D8B" w:rsidP="000C5F49">
      <w:pPr>
        <w:pStyle w:val="naisf"/>
        <w:spacing w:before="0" w:after="0"/>
      </w:pPr>
    </w:p>
    <w:p w:rsidR="004C13AD" w:rsidRPr="00840080" w:rsidRDefault="004C13AD" w:rsidP="000C5F49">
      <w:pPr>
        <w:pStyle w:val="naisf"/>
        <w:spacing w:before="0" w:after="0"/>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1"/>
      </w:tblGrid>
      <w:tr w:rsidR="002C2D8B" w:rsidRPr="00840080" w:rsidTr="00722478">
        <w:trPr>
          <w:trHeight w:val="652"/>
          <w:jc w:val="center"/>
        </w:trPr>
        <w:tc>
          <w:tcPr>
            <w:tcW w:w="10101" w:type="dxa"/>
            <w:tcBorders>
              <w:top w:val="single" w:sz="4" w:space="0" w:color="auto"/>
              <w:left w:val="single" w:sz="4" w:space="0" w:color="auto"/>
              <w:bottom w:val="single" w:sz="4" w:space="0" w:color="auto"/>
              <w:right w:val="single" w:sz="4" w:space="0" w:color="auto"/>
            </w:tcBorders>
          </w:tcPr>
          <w:p w:rsidR="002C2D8B" w:rsidRPr="00840080" w:rsidRDefault="002C2D8B" w:rsidP="00F072A8">
            <w:pPr>
              <w:pStyle w:val="naisnod"/>
              <w:spacing w:before="0" w:after="0"/>
              <w:rPr>
                <w:i/>
              </w:rPr>
            </w:pPr>
            <w:r w:rsidRPr="00840080">
              <w:t>III. Tiesību akta projekta ietekme uz valsts budžetu un pašvaldību budžetiem</w:t>
            </w:r>
          </w:p>
        </w:tc>
      </w:tr>
      <w:tr w:rsidR="00184254" w:rsidRPr="00840080" w:rsidTr="00D02F2C">
        <w:trPr>
          <w:trHeight w:val="344"/>
          <w:jc w:val="center"/>
        </w:trPr>
        <w:tc>
          <w:tcPr>
            <w:tcW w:w="10101" w:type="dxa"/>
            <w:tcBorders>
              <w:top w:val="single" w:sz="4" w:space="0" w:color="auto"/>
              <w:left w:val="single" w:sz="4" w:space="0" w:color="auto"/>
              <w:bottom w:val="single" w:sz="4" w:space="0" w:color="auto"/>
              <w:right w:val="single" w:sz="4" w:space="0" w:color="auto"/>
            </w:tcBorders>
          </w:tcPr>
          <w:p w:rsidR="00B447C5" w:rsidRDefault="00840080" w:rsidP="0001670E">
            <w:pPr>
              <w:pStyle w:val="naisnod"/>
              <w:spacing w:before="0" w:after="0"/>
              <w:jc w:val="both"/>
              <w:rPr>
                <w:b w:val="0"/>
              </w:rPr>
            </w:pPr>
            <w:r w:rsidRPr="0001670E">
              <w:rPr>
                <w:b w:val="0"/>
              </w:rPr>
              <w:t xml:space="preserve">Likumprojekta pieņemšanas gadījumā ietekme uz valsts konsolidēto budžetu būs neitrāla, jo papildu izdevumus par naudas līdzekļu atlikumu glabāšanu Latvijas Bankā kompensēs ieņēmumi no kapitālsabiedrību naudas līdzekļu atlikumiem Valsts kasē saskaņā ar noslēgtajām vienošanām. Finansiālā ietekme būs atkarīga no kapitālsabiedrību pieņemtajiem lēmumiem par naudas līdzekļu </w:t>
            </w:r>
            <w:r w:rsidRPr="0001670E">
              <w:rPr>
                <w:b w:val="0"/>
              </w:rPr>
              <w:lastRenderedPageBreak/>
              <w:t>atlikuma glabāšanu kontos Valsts kasē, kā arī finanšu tirgus situācijas, kas ietekmēs šiem naudas līdze</w:t>
            </w:r>
            <w:r w:rsidR="00B447C5">
              <w:rPr>
                <w:b w:val="0"/>
              </w:rPr>
              <w:t>kļiem piemērojamos nosacījumus.</w:t>
            </w:r>
          </w:p>
          <w:p w:rsidR="00B447C5" w:rsidRDefault="00840080" w:rsidP="0001670E">
            <w:pPr>
              <w:pStyle w:val="naisnod"/>
              <w:spacing w:before="0" w:after="0"/>
              <w:jc w:val="both"/>
              <w:rPr>
                <w:b w:val="0"/>
              </w:rPr>
            </w:pPr>
            <w:r w:rsidRPr="0001670E">
              <w:rPr>
                <w:b w:val="0"/>
              </w:rPr>
              <w:t>Ja likumprojekts netiks pieņemts, kapitālsabiedrību naudas līdzekļu glabāšana Valsts kasē negatīvi ietekmēs valsts konsolidētā budžeta finansiālo bilanci, jo izdevumi par naudas līdzekļu atlikumu glabāšanu Latvijas Bankā netiks kompensēti ar ieņēmumiem no kapitālsabiedrību naudas līdzekļu atlikumiem Valsts kasē.</w:t>
            </w:r>
          </w:p>
          <w:p w:rsidR="00184254" w:rsidRPr="0001670E" w:rsidRDefault="00840080" w:rsidP="0001670E">
            <w:pPr>
              <w:pStyle w:val="naisnod"/>
              <w:spacing w:before="0" w:after="0"/>
              <w:jc w:val="both"/>
              <w:rPr>
                <w:b w:val="0"/>
              </w:rPr>
            </w:pPr>
            <w:r w:rsidRPr="0001670E">
              <w:rPr>
                <w:b w:val="0"/>
              </w:rPr>
              <w:t>Salīdzinājumam</w:t>
            </w:r>
            <w:r w:rsidR="0001670E">
              <w:rPr>
                <w:b w:val="0"/>
              </w:rPr>
              <w:t>,</w:t>
            </w:r>
            <w:r w:rsidRPr="0001670E">
              <w:rPr>
                <w:b w:val="0"/>
              </w:rPr>
              <w:t xml:space="preserve"> par katru 1.milj. </w:t>
            </w:r>
            <w:proofErr w:type="spellStart"/>
            <w:r w:rsidRPr="0001670E">
              <w:rPr>
                <w:b w:val="0"/>
              </w:rPr>
              <w:t>euro</w:t>
            </w:r>
            <w:proofErr w:type="spellEnd"/>
            <w:r w:rsidRPr="0001670E">
              <w:rPr>
                <w:b w:val="0"/>
              </w:rPr>
              <w:t>, kas no kapitālsabiedrību finanšu resursiem tiktu turēts atlikumā norēķinu kontā Valsts kasē, kas atvērts saskaņā ar LBFV 27.panta ceturto daļu, pieņemot, ka Latvijas Bankas piemērotā procentu likme Valsts kases naudas līdzekļu kontu at</w:t>
            </w:r>
            <w:r>
              <w:rPr>
                <w:b w:val="0"/>
              </w:rPr>
              <w:t xml:space="preserve">likumam saglabājas nemainīga (16.09.2016. likme atbilst mīnuss </w:t>
            </w:r>
            <w:r w:rsidRPr="0001670E">
              <w:rPr>
                <w:b w:val="0"/>
              </w:rPr>
              <w:t xml:space="preserve">0,40%), izmaksas būtu 4000 </w:t>
            </w:r>
            <w:proofErr w:type="spellStart"/>
            <w:r w:rsidRPr="0001670E">
              <w:rPr>
                <w:b w:val="0"/>
              </w:rPr>
              <w:t>euro</w:t>
            </w:r>
            <w:proofErr w:type="spellEnd"/>
            <w:r w:rsidRPr="0001670E">
              <w:rPr>
                <w:b w:val="0"/>
              </w:rPr>
              <w:t xml:space="preserve"> gadā.</w:t>
            </w:r>
          </w:p>
        </w:tc>
      </w:tr>
    </w:tbl>
    <w:p w:rsidR="00176FD5" w:rsidRPr="00840080" w:rsidRDefault="00176FD5" w:rsidP="000C5F49">
      <w:pPr>
        <w:pStyle w:val="naisf"/>
        <w:spacing w:before="0" w:after="0"/>
        <w:ind w:firstLine="0"/>
      </w:pPr>
    </w:p>
    <w:p w:rsidR="00C02FC7" w:rsidRPr="00840080" w:rsidRDefault="00C02FC7" w:rsidP="000C5F49">
      <w:pPr>
        <w:pStyle w:val="naisf"/>
        <w:spacing w:before="0" w:after="0"/>
        <w:ind w:firstLine="0"/>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552"/>
        <w:gridCol w:w="6984"/>
      </w:tblGrid>
      <w:tr w:rsidR="002C10A7" w:rsidRPr="00840080" w:rsidTr="00535E98">
        <w:trPr>
          <w:jc w:val="center"/>
        </w:trPr>
        <w:tc>
          <w:tcPr>
            <w:tcW w:w="10098" w:type="dxa"/>
            <w:gridSpan w:val="3"/>
          </w:tcPr>
          <w:p w:rsidR="002C10A7" w:rsidRPr="00840080" w:rsidRDefault="002C10A7" w:rsidP="00C80950">
            <w:pPr>
              <w:pStyle w:val="naisnod"/>
              <w:spacing w:before="0" w:after="0"/>
            </w:pPr>
            <w:r w:rsidRPr="00840080">
              <w:t>IV. Tiesību akta projekta ietekme uz spēkā esošo tiesību normu sistēmu</w:t>
            </w:r>
          </w:p>
        </w:tc>
      </w:tr>
      <w:tr w:rsidR="007E2C13" w:rsidRPr="00840080" w:rsidTr="00464B35">
        <w:trPr>
          <w:jc w:val="center"/>
        </w:trPr>
        <w:tc>
          <w:tcPr>
            <w:tcW w:w="562" w:type="dxa"/>
          </w:tcPr>
          <w:p w:rsidR="007E2C13" w:rsidRPr="00840080" w:rsidRDefault="007E2C13" w:rsidP="000C5F49">
            <w:pPr>
              <w:pStyle w:val="naiskr"/>
              <w:tabs>
                <w:tab w:val="left" w:pos="2628"/>
              </w:tabs>
              <w:spacing w:before="0" w:after="0"/>
              <w:jc w:val="both"/>
              <w:rPr>
                <w:iCs/>
              </w:rPr>
            </w:pPr>
            <w:r w:rsidRPr="00840080">
              <w:rPr>
                <w:iCs/>
              </w:rPr>
              <w:t>1.</w:t>
            </w:r>
          </w:p>
        </w:tc>
        <w:tc>
          <w:tcPr>
            <w:tcW w:w="2552" w:type="dxa"/>
          </w:tcPr>
          <w:p w:rsidR="007E2C13" w:rsidRPr="00840080" w:rsidRDefault="007E2C13" w:rsidP="000C5F49">
            <w:pPr>
              <w:pStyle w:val="naiskr"/>
              <w:tabs>
                <w:tab w:val="left" w:pos="2628"/>
              </w:tabs>
              <w:spacing w:before="0" w:after="0"/>
              <w:jc w:val="both"/>
              <w:rPr>
                <w:iCs/>
              </w:rPr>
            </w:pPr>
            <w:r w:rsidRPr="00840080">
              <w:t>Nepieciešamie saistītie tiesību aktu projekti</w:t>
            </w:r>
          </w:p>
        </w:tc>
        <w:tc>
          <w:tcPr>
            <w:tcW w:w="6984" w:type="dxa"/>
          </w:tcPr>
          <w:p w:rsidR="00616257" w:rsidRPr="00840080" w:rsidRDefault="00627AC2" w:rsidP="0030778B">
            <w:pPr>
              <w:pStyle w:val="naiskr"/>
              <w:tabs>
                <w:tab w:val="left" w:pos="2628"/>
              </w:tabs>
              <w:spacing w:before="0" w:after="0"/>
              <w:jc w:val="both"/>
              <w:rPr>
                <w:iCs/>
                <w:highlight w:val="yellow"/>
              </w:rPr>
            </w:pPr>
            <w:r w:rsidRPr="00840080">
              <w:rPr>
                <w:iCs/>
              </w:rPr>
              <w:t xml:space="preserve">Grozījumi </w:t>
            </w:r>
            <w:r w:rsidR="00EA4E98" w:rsidRPr="00840080">
              <w:rPr>
                <w:iCs/>
              </w:rPr>
              <w:t>Ministru kabi</w:t>
            </w:r>
            <w:r w:rsidR="00E706F0" w:rsidRPr="00840080">
              <w:rPr>
                <w:iCs/>
              </w:rPr>
              <w:t xml:space="preserve">neta </w:t>
            </w:r>
            <w:r w:rsidRPr="00840080">
              <w:rPr>
                <w:iCs/>
              </w:rPr>
              <w:t>2012.</w:t>
            </w:r>
            <w:r w:rsidR="0030778B" w:rsidRPr="00840080">
              <w:rPr>
                <w:iCs/>
              </w:rPr>
              <w:t> </w:t>
            </w:r>
            <w:r w:rsidRPr="00840080">
              <w:rPr>
                <w:iCs/>
              </w:rPr>
              <w:t>gada 5.</w:t>
            </w:r>
            <w:r w:rsidR="0030778B" w:rsidRPr="00840080">
              <w:rPr>
                <w:iCs/>
              </w:rPr>
              <w:t> </w:t>
            </w:r>
            <w:r w:rsidR="0030604D" w:rsidRPr="00840080">
              <w:rPr>
                <w:iCs/>
              </w:rPr>
              <w:t>j</w:t>
            </w:r>
            <w:r w:rsidRPr="00840080">
              <w:rPr>
                <w:iCs/>
              </w:rPr>
              <w:t xml:space="preserve">ūnija </w:t>
            </w:r>
            <w:r w:rsidR="00E706F0" w:rsidRPr="00840080">
              <w:rPr>
                <w:iCs/>
              </w:rPr>
              <w:t>noteikum</w:t>
            </w:r>
            <w:r w:rsidRPr="00840080">
              <w:rPr>
                <w:iCs/>
              </w:rPr>
              <w:t>os Nr.</w:t>
            </w:r>
            <w:r w:rsidR="0030778B" w:rsidRPr="00840080">
              <w:rPr>
                <w:iCs/>
              </w:rPr>
              <w:t> </w:t>
            </w:r>
            <w:r w:rsidRPr="00840080">
              <w:rPr>
                <w:iCs/>
              </w:rPr>
              <w:t xml:space="preserve">387 </w:t>
            </w:r>
            <w:r w:rsidR="00B50589" w:rsidRPr="00840080">
              <w:rPr>
                <w:iCs/>
              </w:rPr>
              <w:t>„</w:t>
            </w:r>
            <w:r w:rsidRPr="00840080">
              <w:rPr>
                <w:bCs/>
              </w:rPr>
              <w:t>Kārtība, kādā Valsts kase nodrošina maksājumu pakalpojumu sniegšanu</w:t>
            </w:r>
            <w:r w:rsidR="00B50589" w:rsidRPr="00840080">
              <w:rPr>
                <w:iCs/>
              </w:rPr>
              <w:t>”</w:t>
            </w:r>
          </w:p>
        </w:tc>
      </w:tr>
      <w:tr w:rsidR="0084772A" w:rsidRPr="00840080" w:rsidTr="00464B35">
        <w:trPr>
          <w:jc w:val="center"/>
        </w:trPr>
        <w:tc>
          <w:tcPr>
            <w:tcW w:w="562" w:type="dxa"/>
          </w:tcPr>
          <w:p w:rsidR="0084772A" w:rsidRPr="00840080" w:rsidRDefault="0084772A" w:rsidP="000C5F49">
            <w:pPr>
              <w:pStyle w:val="naiskr"/>
              <w:tabs>
                <w:tab w:val="left" w:pos="2628"/>
              </w:tabs>
              <w:spacing w:before="0" w:after="0"/>
              <w:jc w:val="both"/>
              <w:rPr>
                <w:iCs/>
              </w:rPr>
            </w:pPr>
            <w:r w:rsidRPr="00840080">
              <w:rPr>
                <w:iCs/>
              </w:rPr>
              <w:t>2.</w:t>
            </w:r>
          </w:p>
        </w:tc>
        <w:tc>
          <w:tcPr>
            <w:tcW w:w="2552" w:type="dxa"/>
          </w:tcPr>
          <w:p w:rsidR="0084772A" w:rsidRPr="00840080" w:rsidRDefault="0084772A" w:rsidP="000C5F49">
            <w:pPr>
              <w:pStyle w:val="naiskr"/>
              <w:tabs>
                <w:tab w:val="left" w:pos="2628"/>
              </w:tabs>
              <w:spacing w:before="0" w:after="0"/>
              <w:jc w:val="both"/>
            </w:pPr>
            <w:r w:rsidRPr="00840080">
              <w:t>Atbildīgā institūcija</w:t>
            </w:r>
          </w:p>
        </w:tc>
        <w:tc>
          <w:tcPr>
            <w:tcW w:w="6984" w:type="dxa"/>
          </w:tcPr>
          <w:p w:rsidR="0084772A" w:rsidRPr="00840080" w:rsidRDefault="00260935" w:rsidP="00C80950">
            <w:pPr>
              <w:pStyle w:val="naiskr"/>
              <w:tabs>
                <w:tab w:val="left" w:pos="2628"/>
              </w:tabs>
              <w:spacing w:before="0" w:after="0"/>
              <w:jc w:val="both"/>
              <w:rPr>
                <w:iCs/>
                <w:highlight w:val="yellow"/>
              </w:rPr>
            </w:pPr>
            <w:r w:rsidRPr="00840080">
              <w:t>Valsts kase</w:t>
            </w:r>
          </w:p>
        </w:tc>
      </w:tr>
      <w:tr w:rsidR="002C10A7" w:rsidRPr="00840080" w:rsidTr="00464B35">
        <w:trPr>
          <w:jc w:val="center"/>
        </w:trPr>
        <w:tc>
          <w:tcPr>
            <w:tcW w:w="562" w:type="dxa"/>
          </w:tcPr>
          <w:p w:rsidR="002C10A7" w:rsidRPr="00840080" w:rsidRDefault="0084772A" w:rsidP="000C5F49">
            <w:pPr>
              <w:pStyle w:val="naiskr"/>
              <w:tabs>
                <w:tab w:val="left" w:pos="2628"/>
              </w:tabs>
              <w:spacing w:before="0" w:after="0"/>
              <w:jc w:val="both"/>
              <w:rPr>
                <w:iCs/>
              </w:rPr>
            </w:pPr>
            <w:r w:rsidRPr="00840080">
              <w:rPr>
                <w:iCs/>
              </w:rPr>
              <w:t>3.</w:t>
            </w:r>
          </w:p>
        </w:tc>
        <w:tc>
          <w:tcPr>
            <w:tcW w:w="2552" w:type="dxa"/>
          </w:tcPr>
          <w:p w:rsidR="002C10A7" w:rsidRPr="00840080" w:rsidRDefault="002C10A7" w:rsidP="000C5F49">
            <w:pPr>
              <w:pStyle w:val="naiskr"/>
              <w:tabs>
                <w:tab w:val="left" w:pos="2628"/>
              </w:tabs>
              <w:spacing w:before="0" w:after="0"/>
              <w:jc w:val="both"/>
              <w:rPr>
                <w:iCs/>
              </w:rPr>
            </w:pPr>
            <w:r w:rsidRPr="00840080">
              <w:t>Cita informācija</w:t>
            </w:r>
          </w:p>
        </w:tc>
        <w:tc>
          <w:tcPr>
            <w:tcW w:w="6984" w:type="dxa"/>
          </w:tcPr>
          <w:p w:rsidR="002C10A7" w:rsidRPr="00840080" w:rsidRDefault="002C10A7" w:rsidP="00C80950">
            <w:pPr>
              <w:pStyle w:val="naiskr"/>
              <w:tabs>
                <w:tab w:val="left" w:pos="2628"/>
              </w:tabs>
              <w:spacing w:before="0" w:after="0"/>
              <w:jc w:val="both"/>
              <w:rPr>
                <w:iCs/>
              </w:rPr>
            </w:pPr>
            <w:r w:rsidRPr="00840080">
              <w:t>Nav</w:t>
            </w:r>
          </w:p>
        </w:tc>
      </w:tr>
    </w:tbl>
    <w:p w:rsidR="000F737F" w:rsidRPr="00840080" w:rsidRDefault="000F737F" w:rsidP="000C5F49">
      <w:pPr>
        <w:pStyle w:val="naisf"/>
        <w:spacing w:before="0" w:after="0"/>
      </w:pPr>
    </w:p>
    <w:p w:rsidR="00CC7E8C" w:rsidRPr="00840080" w:rsidRDefault="00CC7E8C" w:rsidP="000C5F49">
      <w:pPr>
        <w:pStyle w:val="naisf"/>
        <w:spacing w:before="0" w:after="0"/>
      </w:pPr>
    </w:p>
    <w:tbl>
      <w:tblPr>
        <w:tblW w:w="10029"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0029"/>
      </w:tblGrid>
      <w:tr w:rsidR="002C10A7" w:rsidRPr="00840080" w:rsidTr="00464B35">
        <w:tc>
          <w:tcPr>
            <w:tcW w:w="10029" w:type="dxa"/>
            <w:tcBorders>
              <w:top w:val="outset" w:sz="6" w:space="0" w:color="auto"/>
              <w:left w:val="outset" w:sz="6" w:space="0" w:color="auto"/>
              <w:bottom w:val="outset" w:sz="6" w:space="0" w:color="auto"/>
              <w:right w:val="outset" w:sz="6" w:space="0" w:color="auto"/>
            </w:tcBorders>
            <w:vAlign w:val="center"/>
          </w:tcPr>
          <w:p w:rsidR="002C10A7" w:rsidRPr="00840080" w:rsidRDefault="002C10A7" w:rsidP="00C80950">
            <w:pPr>
              <w:jc w:val="center"/>
              <w:rPr>
                <w:b/>
              </w:rPr>
            </w:pPr>
            <w:r w:rsidRPr="00840080">
              <w:rPr>
                <w:b/>
              </w:rPr>
              <w:t>V. Tiesību akta projekta atbilstība Latvijas Republikas starptautiskajām saistībām</w:t>
            </w:r>
          </w:p>
        </w:tc>
      </w:tr>
      <w:tr w:rsidR="002C10A7" w:rsidRPr="00840080" w:rsidTr="00464B35">
        <w:tc>
          <w:tcPr>
            <w:tcW w:w="10029" w:type="dxa"/>
            <w:tcBorders>
              <w:top w:val="outset" w:sz="6" w:space="0" w:color="auto"/>
              <w:left w:val="outset" w:sz="6" w:space="0" w:color="auto"/>
              <w:bottom w:val="outset" w:sz="6" w:space="0" w:color="auto"/>
              <w:right w:val="outset" w:sz="6" w:space="0" w:color="auto"/>
            </w:tcBorders>
            <w:vAlign w:val="center"/>
          </w:tcPr>
          <w:p w:rsidR="002C10A7" w:rsidRPr="00840080" w:rsidRDefault="00D02F2C" w:rsidP="000C5F49">
            <w:pPr>
              <w:jc w:val="center"/>
            </w:pPr>
            <w:r w:rsidRPr="00840080">
              <w:rPr>
                <w:i/>
              </w:rPr>
              <w:t>Likumprojekts šo jomu neskar.</w:t>
            </w:r>
          </w:p>
        </w:tc>
      </w:tr>
    </w:tbl>
    <w:p w:rsidR="000F737F" w:rsidRPr="00840080" w:rsidRDefault="000F737F" w:rsidP="000C5F49">
      <w:pPr>
        <w:pStyle w:val="naiskr"/>
        <w:tabs>
          <w:tab w:val="left" w:pos="2628"/>
        </w:tabs>
        <w:spacing w:before="0" w:after="0"/>
        <w:rPr>
          <w:i/>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2552"/>
        <w:gridCol w:w="6946"/>
      </w:tblGrid>
      <w:tr w:rsidR="00464B35" w:rsidRPr="00840080" w:rsidTr="00464B35">
        <w:trPr>
          <w:trHeight w:val="268"/>
        </w:trPr>
        <w:tc>
          <w:tcPr>
            <w:tcW w:w="10060" w:type="dxa"/>
            <w:gridSpan w:val="3"/>
          </w:tcPr>
          <w:p w:rsidR="00464B35" w:rsidRPr="00840080" w:rsidRDefault="00464B35" w:rsidP="004932F9">
            <w:pPr>
              <w:pStyle w:val="naiskr"/>
              <w:spacing w:before="0" w:after="0"/>
              <w:ind w:left="142" w:right="81"/>
              <w:jc w:val="center"/>
            </w:pPr>
            <w:r w:rsidRPr="00840080">
              <w:rPr>
                <w:rFonts w:eastAsia="Calibri"/>
                <w:b/>
                <w:bCs/>
                <w:lang w:eastAsia="en-US"/>
              </w:rPr>
              <w:t>VI. Sabiedrības līdzdalība un komunikācijas aktivitātes</w:t>
            </w:r>
          </w:p>
        </w:tc>
      </w:tr>
      <w:tr w:rsidR="00464B35" w:rsidRPr="00840080" w:rsidTr="00464B35">
        <w:trPr>
          <w:trHeight w:val="476"/>
        </w:trPr>
        <w:tc>
          <w:tcPr>
            <w:tcW w:w="562" w:type="dxa"/>
          </w:tcPr>
          <w:p w:rsidR="00464B35" w:rsidRPr="00840080" w:rsidRDefault="00464B35" w:rsidP="004932F9">
            <w:pPr>
              <w:pStyle w:val="naiskr"/>
              <w:spacing w:before="0" w:after="0"/>
            </w:pPr>
            <w:r w:rsidRPr="00840080">
              <w:t>1.</w:t>
            </w:r>
          </w:p>
        </w:tc>
        <w:tc>
          <w:tcPr>
            <w:tcW w:w="2552" w:type="dxa"/>
          </w:tcPr>
          <w:p w:rsidR="00464B35" w:rsidRPr="00840080" w:rsidRDefault="00464B35" w:rsidP="004932F9">
            <w:pPr>
              <w:pStyle w:val="naiskr"/>
              <w:spacing w:before="0" w:after="0"/>
            </w:pPr>
            <w:r w:rsidRPr="00840080">
              <w:t>Plānotās sabiedrības līdzdalības un komunikācijas aktivitātes saistībā ar projektu</w:t>
            </w:r>
          </w:p>
        </w:tc>
        <w:tc>
          <w:tcPr>
            <w:tcW w:w="6946" w:type="dxa"/>
          </w:tcPr>
          <w:p w:rsidR="00464B35" w:rsidRPr="00840080" w:rsidRDefault="00464B35" w:rsidP="00464B35">
            <w:pPr>
              <w:pStyle w:val="naiskr"/>
              <w:spacing w:before="0" w:after="0"/>
              <w:ind w:right="81"/>
              <w:jc w:val="both"/>
            </w:pPr>
            <w:r w:rsidRPr="00840080">
              <w:t xml:space="preserve"> Sabiedrības līdzdalības un komunikācijas aktivitātes netika organizētas, jo noteikumu projekts tieši sabiedrības intereses neskar. </w:t>
            </w:r>
          </w:p>
        </w:tc>
      </w:tr>
      <w:tr w:rsidR="00464B35" w:rsidRPr="00840080" w:rsidTr="00464B35">
        <w:trPr>
          <w:trHeight w:val="252"/>
        </w:trPr>
        <w:tc>
          <w:tcPr>
            <w:tcW w:w="562" w:type="dxa"/>
          </w:tcPr>
          <w:p w:rsidR="00464B35" w:rsidRPr="00840080" w:rsidRDefault="00464B35" w:rsidP="00464B35">
            <w:pPr>
              <w:pStyle w:val="naiskr"/>
              <w:spacing w:before="0" w:after="0"/>
            </w:pPr>
            <w:r w:rsidRPr="00840080">
              <w:t>2.</w:t>
            </w:r>
          </w:p>
        </w:tc>
        <w:tc>
          <w:tcPr>
            <w:tcW w:w="2552" w:type="dxa"/>
          </w:tcPr>
          <w:p w:rsidR="00464B35" w:rsidRPr="00840080" w:rsidRDefault="00464B35" w:rsidP="00464B35">
            <w:pPr>
              <w:pStyle w:val="naiskr"/>
              <w:spacing w:before="0" w:after="0"/>
            </w:pPr>
            <w:r w:rsidRPr="00840080">
              <w:t>Sabiedrības līdzdalība projekta izstrādē</w:t>
            </w:r>
          </w:p>
        </w:tc>
        <w:tc>
          <w:tcPr>
            <w:tcW w:w="6946" w:type="dxa"/>
          </w:tcPr>
          <w:p w:rsidR="00464B35" w:rsidRPr="00840080" w:rsidRDefault="00464B35" w:rsidP="00464B35">
            <w:pPr>
              <w:ind w:left="51"/>
              <w:jc w:val="both"/>
            </w:pPr>
            <w:r w:rsidRPr="00840080">
              <w:t>Likumprojekts šo jomu neskar</w:t>
            </w:r>
          </w:p>
        </w:tc>
      </w:tr>
      <w:tr w:rsidR="00464B35" w:rsidRPr="00840080" w:rsidTr="00464B35">
        <w:trPr>
          <w:trHeight w:val="316"/>
        </w:trPr>
        <w:tc>
          <w:tcPr>
            <w:tcW w:w="562" w:type="dxa"/>
          </w:tcPr>
          <w:p w:rsidR="00464B35" w:rsidRPr="00840080" w:rsidRDefault="00464B35" w:rsidP="00464B35">
            <w:pPr>
              <w:pStyle w:val="naiskr"/>
              <w:spacing w:before="0" w:after="0"/>
            </w:pPr>
            <w:r w:rsidRPr="00840080">
              <w:t>3.</w:t>
            </w:r>
          </w:p>
        </w:tc>
        <w:tc>
          <w:tcPr>
            <w:tcW w:w="2552" w:type="dxa"/>
          </w:tcPr>
          <w:p w:rsidR="00464B35" w:rsidRPr="00840080" w:rsidRDefault="00464B35" w:rsidP="00464B35">
            <w:pPr>
              <w:pStyle w:val="naiskr"/>
              <w:spacing w:before="0" w:after="0"/>
            </w:pPr>
            <w:r w:rsidRPr="00840080">
              <w:t>Sabiedrības līdzdalības rezultāti</w:t>
            </w:r>
          </w:p>
        </w:tc>
        <w:tc>
          <w:tcPr>
            <w:tcW w:w="6946" w:type="dxa"/>
          </w:tcPr>
          <w:p w:rsidR="00464B35" w:rsidRPr="00840080" w:rsidRDefault="00464B35" w:rsidP="00464B35">
            <w:pPr>
              <w:ind w:left="51"/>
              <w:jc w:val="both"/>
            </w:pPr>
            <w:r w:rsidRPr="00840080">
              <w:t>Likumprojekts šo jomu neskar</w:t>
            </w:r>
          </w:p>
        </w:tc>
      </w:tr>
      <w:tr w:rsidR="00464B35" w:rsidRPr="00840080" w:rsidTr="00464B35">
        <w:tc>
          <w:tcPr>
            <w:tcW w:w="562" w:type="dxa"/>
          </w:tcPr>
          <w:p w:rsidR="00464B35" w:rsidRPr="00840080" w:rsidRDefault="00464B35" w:rsidP="004932F9">
            <w:pPr>
              <w:pStyle w:val="naiskr"/>
              <w:spacing w:before="0" w:after="0"/>
            </w:pPr>
            <w:r w:rsidRPr="00840080">
              <w:t>4.</w:t>
            </w:r>
          </w:p>
        </w:tc>
        <w:tc>
          <w:tcPr>
            <w:tcW w:w="2552" w:type="dxa"/>
          </w:tcPr>
          <w:p w:rsidR="00464B35" w:rsidRPr="00840080" w:rsidRDefault="00464B35" w:rsidP="004932F9">
            <w:pPr>
              <w:pStyle w:val="naiskr"/>
              <w:spacing w:before="0" w:after="0"/>
            </w:pPr>
            <w:r w:rsidRPr="00840080">
              <w:t>Cita informācija</w:t>
            </w:r>
          </w:p>
        </w:tc>
        <w:tc>
          <w:tcPr>
            <w:tcW w:w="6946" w:type="dxa"/>
          </w:tcPr>
          <w:p w:rsidR="00464B35" w:rsidRPr="00840080" w:rsidRDefault="00464B35" w:rsidP="00464B35">
            <w:pPr>
              <w:pStyle w:val="naiskr"/>
              <w:spacing w:before="0" w:after="0"/>
              <w:ind w:right="81"/>
            </w:pPr>
            <w:r w:rsidRPr="00840080">
              <w:t xml:space="preserve"> Sabiedrība pēc normatīvā akta pieņemšanas tiks informēta ar publikāciju laikrakstā "Latvijas Vēstnesis" un bezmaksas normatīvo aktu datu bāzē </w:t>
            </w:r>
            <w:r w:rsidRPr="00840080">
              <w:rPr>
                <w:rFonts w:eastAsia="Calibri"/>
              </w:rPr>
              <w:t>www.likumi.lv</w:t>
            </w:r>
            <w:r w:rsidRPr="00840080">
              <w:t>.</w:t>
            </w:r>
          </w:p>
        </w:tc>
      </w:tr>
    </w:tbl>
    <w:p w:rsidR="00464B35" w:rsidRPr="00840080" w:rsidRDefault="00464B35" w:rsidP="000C5F49">
      <w:pPr>
        <w:pStyle w:val="naiskr"/>
        <w:tabs>
          <w:tab w:val="left" w:pos="2628"/>
        </w:tabs>
        <w:spacing w:before="0" w:after="0"/>
        <w:rPr>
          <w:i/>
        </w:rPr>
      </w:pPr>
    </w:p>
    <w:tbl>
      <w:tblPr>
        <w:tblW w:w="10036"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38"/>
        <w:gridCol w:w="2552"/>
        <w:gridCol w:w="6946"/>
      </w:tblGrid>
      <w:tr w:rsidR="004C49D2" w:rsidRPr="00840080" w:rsidTr="00464B35">
        <w:tc>
          <w:tcPr>
            <w:tcW w:w="10036" w:type="dxa"/>
            <w:gridSpan w:val="3"/>
            <w:tcBorders>
              <w:top w:val="single" w:sz="4" w:space="0" w:color="auto"/>
              <w:left w:val="single" w:sz="4" w:space="0" w:color="auto"/>
              <w:bottom w:val="single" w:sz="4" w:space="0" w:color="auto"/>
              <w:right w:val="single" w:sz="4" w:space="0" w:color="auto"/>
            </w:tcBorders>
          </w:tcPr>
          <w:p w:rsidR="004C49D2" w:rsidRPr="00840080" w:rsidRDefault="004C49D2" w:rsidP="00722478">
            <w:pPr>
              <w:pStyle w:val="naisnod"/>
              <w:spacing w:before="0" w:after="0"/>
              <w:ind w:left="57" w:right="57"/>
            </w:pPr>
            <w:r w:rsidRPr="00840080">
              <w:t>VII. Tiesību akta projekta izpildes nodrošināšana un tās ietekme uz institūcijām</w:t>
            </w:r>
          </w:p>
        </w:tc>
      </w:tr>
      <w:tr w:rsidR="004C49D2" w:rsidRPr="00840080" w:rsidTr="00464B3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538" w:type="dxa"/>
            <w:tcBorders>
              <w:top w:val="outset" w:sz="6" w:space="0" w:color="000000"/>
              <w:left w:val="outset" w:sz="6" w:space="0" w:color="000000"/>
              <w:bottom w:val="outset" w:sz="6" w:space="0" w:color="000000"/>
              <w:right w:val="outset" w:sz="6" w:space="0" w:color="000000"/>
            </w:tcBorders>
            <w:hideMark/>
          </w:tcPr>
          <w:p w:rsidR="004C49D2" w:rsidRPr="00840080" w:rsidRDefault="004C49D2" w:rsidP="000C5F49">
            <w:pPr>
              <w:pStyle w:val="NormalWeb"/>
              <w:spacing w:before="0" w:beforeAutospacing="0" w:after="0" w:afterAutospacing="0"/>
              <w:jc w:val="center"/>
              <w:rPr>
                <w:rFonts w:ascii="Times New Roman" w:hAnsi="Times New Roman" w:cs="Times New Roman"/>
                <w:lang w:val="lv-LV"/>
              </w:rPr>
            </w:pPr>
            <w:r w:rsidRPr="00840080">
              <w:rPr>
                <w:rFonts w:ascii="Times New Roman" w:hAnsi="Times New Roman" w:cs="Times New Roman"/>
                <w:lang w:val="lv-LV"/>
              </w:rPr>
              <w:t>1.</w:t>
            </w:r>
          </w:p>
        </w:tc>
        <w:tc>
          <w:tcPr>
            <w:tcW w:w="2552" w:type="dxa"/>
            <w:tcBorders>
              <w:top w:val="outset" w:sz="6" w:space="0" w:color="000000"/>
              <w:left w:val="outset" w:sz="6" w:space="0" w:color="000000"/>
              <w:bottom w:val="outset" w:sz="6" w:space="0" w:color="000000"/>
              <w:right w:val="outset" w:sz="6" w:space="0" w:color="000000"/>
            </w:tcBorders>
            <w:hideMark/>
          </w:tcPr>
          <w:p w:rsidR="004C49D2" w:rsidRPr="00840080" w:rsidRDefault="004C49D2" w:rsidP="000C5F49">
            <w:pPr>
              <w:pStyle w:val="NormalWeb"/>
              <w:spacing w:before="0" w:beforeAutospacing="0" w:after="0" w:afterAutospacing="0"/>
              <w:rPr>
                <w:rFonts w:ascii="Times New Roman" w:hAnsi="Times New Roman" w:cs="Times New Roman"/>
                <w:lang w:val="lv-LV"/>
              </w:rPr>
            </w:pPr>
            <w:r w:rsidRPr="00840080">
              <w:rPr>
                <w:rFonts w:ascii="Times New Roman" w:hAnsi="Times New Roman" w:cs="Times New Roman"/>
                <w:lang w:val="lv-LV"/>
              </w:rPr>
              <w:t>Projekta izpildē iesaistītās institūcijas</w:t>
            </w:r>
          </w:p>
        </w:tc>
        <w:tc>
          <w:tcPr>
            <w:tcW w:w="6946" w:type="dxa"/>
            <w:tcBorders>
              <w:top w:val="outset" w:sz="6" w:space="0" w:color="000000"/>
              <w:left w:val="outset" w:sz="6" w:space="0" w:color="000000"/>
              <w:bottom w:val="outset" w:sz="6" w:space="0" w:color="000000"/>
              <w:right w:val="outset" w:sz="6" w:space="0" w:color="000000"/>
            </w:tcBorders>
            <w:hideMark/>
          </w:tcPr>
          <w:p w:rsidR="004C49D2" w:rsidRPr="00840080" w:rsidRDefault="00D02F2C" w:rsidP="00D02F2C">
            <w:pPr>
              <w:pStyle w:val="NormalWeb"/>
              <w:spacing w:before="0" w:beforeAutospacing="0" w:after="0" w:afterAutospacing="0"/>
              <w:jc w:val="both"/>
              <w:rPr>
                <w:rFonts w:ascii="Times New Roman" w:hAnsi="Times New Roman" w:cs="Times New Roman"/>
                <w:lang w:val="lv-LV"/>
              </w:rPr>
            </w:pPr>
            <w:r w:rsidRPr="00840080">
              <w:rPr>
                <w:rFonts w:ascii="Times New Roman" w:hAnsi="Times New Roman" w:cs="Times New Roman"/>
                <w:lang w:val="lv-LV"/>
              </w:rPr>
              <w:t xml:space="preserve">  </w:t>
            </w:r>
            <w:r w:rsidR="00260935" w:rsidRPr="00840080">
              <w:rPr>
                <w:rFonts w:ascii="Times New Roman" w:hAnsi="Times New Roman" w:cs="Times New Roman"/>
                <w:lang w:val="lv-LV"/>
              </w:rPr>
              <w:t>Valsts kase</w:t>
            </w:r>
          </w:p>
        </w:tc>
      </w:tr>
      <w:tr w:rsidR="004C49D2" w:rsidRPr="00840080" w:rsidTr="00464B3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538" w:type="dxa"/>
            <w:tcBorders>
              <w:top w:val="outset" w:sz="6" w:space="0" w:color="000000"/>
              <w:left w:val="outset" w:sz="6" w:space="0" w:color="000000"/>
              <w:bottom w:val="outset" w:sz="6" w:space="0" w:color="000000"/>
              <w:right w:val="outset" w:sz="6" w:space="0" w:color="000000"/>
            </w:tcBorders>
            <w:hideMark/>
          </w:tcPr>
          <w:p w:rsidR="004C49D2" w:rsidRPr="00840080" w:rsidRDefault="004C49D2" w:rsidP="000C5F49">
            <w:pPr>
              <w:pStyle w:val="NormalWeb"/>
              <w:spacing w:before="0" w:beforeAutospacing="0" w:after="0" w:afterAutospacing="0"/>
              <w:jc w:val="center"/>
              <w:rPr>
                <w:rFonts w:ascii="Times New Roman" w:hAnsi="Times New Roman" w:cs="Times New Roman"/>
                <w:lang w:val="lv-LV"/>
              </w:rPr>
            </w:pPr>
            <w:r w:rsidRPr="00840080">
              <w:rPr>
                <w:rFonts w:ascii="Times New Roman" w:hAnsi="Times New Roman" w:cs="Times New Roman"/>
                <w:lang w:val="lv-LV"/>
              </w:rPr>
              <w:t>2.</w:t>
            </w:r>
          </w:p>
        </w:tc>
        <w:tc>
          <w:tcPr>
            <w:tcW w:w="2552" w:type="dxa"/>
            <w:tcBorders>
              <w:top w:val="outset" w:sz="6" w:space="0" w:color="000000"/>
              <w:left w:val="outset" w:sz="6" w:space="0" w:color="000000"/>
              <w:bottom w:val="outset" w:sz="6" w:space="0" w:color="000000"/>
              <w:right w:val="outset" w:sz="6" w:space="0" w:color="000000"/>
            </w:tcBorders>
            <w:hideMark/>
          </w:tcPr>
          <w:p w:rsidR="004C49D2" w:rsidRPr="00840080" w:rsidRDefault="004C49D2" w:rsidP="000C5F49">
            <w:pPr>
              <w:pStyle w:val="NormalWeb"/>
              <w:spacing w:before="0" w:beforeAutospacing="0" w:after="0" w:afterAutospacing="0"/>
              <w:jc w:val="both"/>
              <w:rPr>
                <w:rFonts w:ascii="Times New Roman" w:hAnsi="Times New Roman" w:cs="Times New Roman"/>
                <w:lang w:val="lv-LV"/>
              </w:rPr>
            </w:pPr>
            <w:r w:rsidRPr="00840080">
              <w:rPr>
                <w:rFonts w:ascii="Times New Roman" w:hAnsi="Times New Roman" w:cs="Times New Roman"/>
                <w:lang w:val="lv-LV"/>
              </w:rPr>
              <w:t>Projekta izpildes ietekme uz pārvaldes funkcijām</w:t>
            </w:r>
            <w:r w:rsidR="009B253E" w:rsidRPr="00840080">
              <w:rPr>
                <w:rFonts w:ascii="Times New Roman" w:hAnsi="Times New Roman" w:cs="Times New Roman"/>
                <w:lang w:val="lv-LV"/>
              </w:rPr>
              <w:t xml:space="preserve"> un institucionālo struktūru.</w:t>
            </w:r>
          </w:p>
          <w:p w:rsidR="009B253E" w:rsidRPr="00840080" w:rsidRDefault="009B253E" w:rsidP="00C80950">
            <w:pPr>
              <w:pStyle w:val="NormalWeb"/>
              <w:spacing w:before="0" w:beforeAutospacing="0" w:after="0" w:afterAutospacing="0"/>
              <w:jc w:val="both"/>
              <w:rPr>
                <w:rFonts w:ascii="Times New Roman" w:hAnsi="Times New Roman" w:cs="Times New Roman"/>
                <w:lang w:val="lv-LV"/>
              </w:rPr>
            </w:pPr>
            <w:r w:rsidRPr="00840080">
              <w:rPr>
                <w:rFonts w:ascii="Times New Roman" w:hAnsi="Times New Roman" w:cs="Times New Roman"/>
                <w:lang w:val="lv-LV"/>
              </w:rPr>
              <w:t xml:space="preserve">Jaunu institūciju izveide, esošo institūciju likvidācija vai reorganizācija, to ietekme </w:t>
            </w:r>
            <w:r w:rsidRPr="00840080">
              <w:rPr>
                <w:rFonts w:ascii="Times New Roman" w:hAnsi="Times New Roman" w:cs="Times New Roman"/>
                <w:lang w:val="lv-LV"/>
              </w:rPr>
              <w:lastRenderedPageBreak/>
              <w:t>uz institūcijas cilvēkresursiem</w:t>
            </w:r>
          </w:p>
        </w:tc>
        <w:tc>
          <w:tcPr>
            <w:tcW w:w="6946" w:type="dxa"/>
            <w:tcBorders>
              <w:top w:val="outset" w:sz="6" w:space="0" w:color="000000"/>
              <w:left w:val="outset" w:sz="6" w:space="0" w:color="000000"/>
              <w:bottom w:val="outset" w:sz="6" w:space="0" w:color="000000"/>
              <w:right w:val="outset" w:sz="6" w:space="0" w:color="000000"/>
            </w:tcBorders>
            <w:hideMark/>
          </w:tcPr>
          <w:p w:rsidR="004C49D2" w:rsidRPr="00840080" w:rsidRDefault="00D02F2C" w:rsidP="006A419C">
            <w:pPr>
              <w:pStyle w:val="naiskr"/>
              <w:spacing w:before="0" w:after="0"/>
              <w:ind w:left="112"/>
              <w:jc w:val="both"/>
              <w:rPr>
                <w:iCs/>
              </w:rPr>
            </w:pPr>
            <w:r w:rsidRPr="00840080">
              <w:lastRenderedPageBreak/>
              <w:t>Likumprojekts šo jomu neskar</w:t>
            </w:r>
          </w:p>
        </w:tc>
      </w:tr>
      <w:tr w:rsidR="004C49D2" w:rsidRPr="00840080" w:rsidTr="00464B3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538" w:type="dxa"/>
            <w:tcBorders>
              <w:top w:val="outset" w:sz="6" w:space="0" w:color="000000"/>
              <w:left w:val="outset" w:sz="6" w:space="0" w:color="000000"/>
              <w:bottom w:val="outset" w:sz="6" w:space="0" w:color="000000"/>
              <w:right w:val="outset" w:sz="6" w:space="0" w:color="000000"/>
            </w:tcBorders>
            <w:hideMark/>
          </w:tcPr>
          <w:p w:rsidR="004C49D2" w:rsidRPr="00840080" w:rsidRDefault="004C49D2" w:rsidP="000C5F49">
            <w:pPr>
              <w:pStyle w:val="NormalWeb"/>
              <w:spacing w:before="0" w:beforeAutospacing="0" w:after="0" w:afterAutospacing="0"/>
              <w:jc w:val="center"/>
              <w:rPr>
                <w:rFonts w:ascii="Times New Roman" w:hAnsi="Times New Roman" w:cs="Times New Roman"/>
                <w:lang w:val="lv-LV"/>
              </w:rPr>
            </w:pPr>
            <w:r w:rsidRPr="00840080">
              <w:rPr>
                <w:rFonts w:ascii="Times New Roman" w:hAnsi="Times New Roman" w:cs="Times New Roman"/>
                <w:lang w:val="lv-LV"/>
              </w:rPr>
              <w:lastRenderedPageBreak/>
              <w:t>6.</w:t>
            </w:r>
          </w:p>
        </w:tc>
        <w:tc>
          <w:tcPr>
            <w:tcW w:w="2552" w:type="dxa"/>
            <w:tcBorders>
              <w:top w:val="outset" w:sz="6" w:space="0" w:color="000000"/>
              <w:left w:val="outset" w:sz="6" w:space="0" w:color="000000"/>
              <w:bottom w:val="outset" w:sz="6" w:space="0" w:color="000000"/>
              <w:right w:val="outset" w:sz="6" w:space="0" w:color="000000"/>
            </w:tcBorders>
            <w:hideMark/>
          </w:tcPr>
          <w:p w:rsidR="004C49D2" w:rsidRPr="00840080" w:rsidRDefault="004C49D2" w:rsidP="000C5F49">
            <w:pPr>
              <w:pStyle w:val="NormalWeb"/>
              <w:spacing w:before="0" w:beforeAutospacing="0" w:after="0" w:afterAutospacing="0"/>
              <w:rPr>
                <w:rFonts w:ascii="Times New Roman" w:hAnsi="Times New Roman" w:cs="Times New Roman"/>
                <w:lang w:val="lv-LV"/>
              </w:rPr>
            </w:pPr>
            <w:r w:rsidRPr="00840080">
              <w:rPr>
                <w:rFonts w:ascii="Times New Roman" w:hAnsi="Times New Roman" w:cs="Times New Roman"/>
                <w:lang w:val="lv-LV"/>
              </w:rPr>
              <w:t>Cita informācija</w:t>
            </w:r>
          </w:p>
        </w:tc>
        <w:tc>
          <w:tcPr>
            <w:tcW w:w="6946" w:type="dxa"/>
            <w:tcBorders>
              <w:top w:val="outset" w:sz="6" w:space="0" w:color="000000"/>
              <w:left w:val="outset" w:sz="6" w:space="0" w:color="000000"/>
              <w:bottom w:val="outset" w:sz="6" w:space="0" w:color="000000"/>
              <w:right w:val="outset" w:sz="6" w:space="0" w:color="000000"/>
            </w:tcBorders>
            <w:hideMark/>
          </w:tcPr>
          <w:p w:rsidR="004C49D2" w:rsidRPr="00840080" w:rsidRDefault="004C49D2" w:rsidP="000C5F49">
            <w:pPr>
              <w:pStyle w:val="NormalWeb"/>
              <w:spacing w:before="0" w:beforeAutospacing="0" w:after="0" w:afterAutospacing="0"/>
              <w:rPr>
                <w:rFonts w:ascii="Times New Roman" w:hAnsi="Times New Roman" w:cs="Times New Roman"/>
                <w:lang w:val="lv-LV"/>
              </w:rPr>
            </w:pPr>
            <w:r w:rsidRPr="00840080">
              <w:rPr>
                <w:rFonts w:ascii="Times New Roman" w:hAnsi="Times New Roman" w:cs="Times New Roman"/>
                <w:lang w:val="lv-LV"/>
              </w:rPr>
              <w:t>Nav</w:t>
            </w:r>
          </w:p>
        </w:tc>
      </w:tr>
    </w:tbl>
    <w:p w:rsidR="0029614F" w:rsidRPr="00840080" w:rsidRDefault="0029614F" w:rsidP="009E7B56">
      <w:pPr>
        <w:pStyle w:val="naisf"/>
        <w:tabs>
          <w:tab w:val="left" w:pos="6804"/>
        </w:tabs>
        <w:spacing w:before="0" w:after="0"/>
        <w:ind w:firstLine="0"/>
        <w:rPr>
          <w:sz w:val="26"/>
          <w:szCs w:val="26"/>
        </w:rPr>
      </w:pPr>
    </w:p>
    <w:p w:rsidR="00464B35" w:rsidRPr="00840080" w:rsidRDefault="00464B35" w:rsidP="009E7B56">
      <w:pPr>
        <w:pStyle w:val="naisf"/>
        <w:tabs>
          <w:tab w:val="left" w:pos="6804"/>
        </w:tabs>
        <w:spacing w:before="0" w:after="0"/>
        <w:ind w:firstLine="0"/>
        <w:rPr>
          <w:sz w:val="26"/>
          <w:szCs w:val="26"/>
        </w:rPr>
      </w:pPr>
    </w:p>
    <w:p w:rsidR="00C02FC7" w:rsidRPr="00840080" w:rsidRDefault="00C02FC7" w:rsidP="009E7B56">
      <w:pPr>
        <w:pStyle w:val="naisf"/>
        <w:tabs>
          <w:tab w:val="left" w:pos="6804"/>
        </w:tabs>
        <w:spacing w:before="0" w:after="0"/>
        <w:ind w:firstLine="0"/>
        <w:rPr>
          <w:sz w:val="26"/>
          <w:szCs w:val="26"/>
        </w:rPr>
      </w:pPr>
    </w:p>
    <w:p w:rsidR="0029614F" w:rsidRPr="00840080" w:rsidRDefault="0029614F" w:rsidP="009E7B56">
      <w:pPr>
        <w:pStyle w:val="naisf"/>
        <w:tabs>
          <w:tab w:val="left" w:pos="6804"/>
        </w:tabs>
        <w:spacing w:before="0" w:after="0"/>
        <w:ind w:firstLine="0"/>
        <w:rPr>
          <w:sz w:val="26"/>
          <w:szCs w:val="26"/>
        </w:rPr>
      </w:pPr>
    </w:p>
    <w:p w:rsidR="008C1A4B" w:rsidRPr="00840080" w:rsidRDefault="008C1A4B">
      <w:r w:rsidRPr="00840080">
        <w:t>Finanšu ministre</w:t>
      </w:r>
      <w:r w:rsidR="00840080">
        <w:tab/>
      </w:r>
      <w:r w:rsidR="0001670E">
        <w:tab/>
      </w:r>
      <w:r w:rsidR="0001670E">
        <w:tab/>
      </w:r>
      <w:r w:rsidR="0001670E">
        <w:tab/>
      </w:r>
      <w:r w:rsidR="0001670E">
        <w:tab/>
      </w:r>
      <w:r w:rsidR="0001670E">
        <w:tab/>
      </w:r>
      <w:r w:rsidR="0001670E">
        <w:tab/>
      </w:r>
      <w:proofErr w:type="spellStart"/>
      <w:r w:rsidR="00840080">
        <w:t>D.Reizniece</w:t>
      </w:r>
      <w:proofErr w:type="spellEnd"/>
      <w:r w:rsidR="00840080">
        <w:t xml:space="preserve"> – Ozola</w:t>
      </w:r>
    </w:p>
    <w:p w:rsidR="0029614F" w:rsidRPr="00840080" w:rsidRDefault="0029614F" w:rsidP="00722478">
      <w:pPr>
        <w:pStyle w:val="naisf"/>
        <w:tabs>
          <w:tab w:val="left" w:pos="6804"/>
        </w:tabs>
        <w:spacing w:before="0" w:after="0"/>
        <w:ind w:firstLine="0"/>
        <w:rPr>
          <w:sz w:val="26"/>
          <w:szCs w:val="26"/>
        </w:rPr>
      </w:pPr>
    </w:p>
    <w:p w:rsidR="009E7B56" w:rsidRPr="00840080" w:rsidRDefault="009E7B56" w:rsidP="00722478">
      <w:pPr>
        <w:pStyle w:val="naisf"/>
        <w:tabs>
          <w:tab w:val="left" w:pos="6804"/>
        </w:tabs>
        <w:spacing w:before="0" w:after="0"/>
        <w:ind w:firstLine="0"/>
        <w:rPr>
          <w:sz w:val="26"/>
          <w:szCs w:val="26"/>
        </w:rPr>
      </w:pPr>
    </w:p>
    <w:p w:rsidR="00C02FC7" w:rsidRPr="00840080" w:rsidRDefault="00C02FC7" w:rsidP="00722478">
      <w:pPr>
        <w:pStyle w:val="naisf"/>
        <w:tabs>
          <w:tab w:val="left" w:pos="6804"/>
        </w:tabs>
        <w:spacing w:before="0" w:after="0"/>
        <w:ind w:firstLine="0"/>
        <w:rPr>
          <w:sz w:val="26"/>
          <w:szCs w:val="26"/>
        </w:rPr>
      </w:pPr>
    </w:p>
    <w:p w:rsidR="00C02FC7" w:rsidRPr="00840080" w:rsidRDefault="00C02FC7" w:rsidP="00722478">
      <w:pPr>
        <w:pStyle w:val="naisf"/>
        <w:tabs>
          <w:tab w:val="left" w:pos="6804"/>
        </w:tabs>
        <w:spacing w:before="0" w:after="0"/>
        <w:ind w:firstLine="0"/>
        <w:rPr>
          <w:sz w:val="26"/>
          <w:szCs w:val="26"/>
        </w:rPr>
      </w:pPr>
    </w:p>
    <w:p w:rsidR="00C02FC7" w:rsidRPr="00840080" w:rsidRDefault="00C02FC7" w:rsidP="00722478">
      <w:pPr>
        <w:pStyle w:val="naisf"/>
        <w:tabs>
          <w:tab w:val="left" w:pos="6804"/>
        </w:tabs>
        <w:spacing w:before="0" w:after="0"/>
        <w:ind w:firstLine="0"/>
        <w:rPr>
          <w:sz w:val="26"/>
          <w:szCs w:val="26"/>
        </w:rPr>
      </w:pPr>
    </w:p>
    <w:p w:rsidR="0087156B" w:rsidRPr="00840080" w:rsidRDefault="0087156B" w:rsidP="002C2D8B">
      <w:pPr>
        <w:pStyle w:val="naisf"/>
        <w:tabs>
          <w:tab w:val="left" w:pos="6804"/>
        </w:tabs>
        <w:spacing w:before="0" w:after="0"/>
        <w:ind w:firstLine="0"/>
        <w:rPr>
          <w:sz w:val="28"/>
          <w:szCs w:val="28"/>
        </w:rPr>
      </w:pPr>
    </w:p>
    <w:p w:rsidR="00C02FC7" w:rsidRPr="00840080" w:rsidRDefault="00840080" w:rsidP="001C7D9C">
      <w:pPr>
        <w:jc w:val="both"/>
        <w:rPr>
          <w:sz w:val="22"/>
          <w:szCs w:val="22"/>
        </w:rPr>
      </w:pPr>
      <w:r>
        <w:rPr>
          <w:sz w:val="22"/>
          <w:szCs w:val="22"/>
        </w:rPr>
        <w:t>1</w:t>
      </w:r>
      <w:r w:rsidR="00C02FC7" w:rsidRPr="00840080">
        <w:rPr>
          <w:sz w:val="22"/>
          <w:szCs w:val="22"/>
        </w:rPr>
        <w:t xml:space="preserve">6.09.2016     </w:t>
      </w:r>
      <w:r w:rsidR="004C6125" w:rsidRPr="00840080">
        <w:rPr>
          <w:sz w:val="22"/>
          <w:szCs w:val="22"/>
        </w:rPr>
        <w:t>1</w:t>
      </w:r>
      <w:r>
        <w:rPr>
          <w:sz w:val="22"/>
          <w:szCs w:val="22"/>
        </w:rPr>
        <w:t>0</w:t>
      </w:r>
      <w:r w:rsidR="004C6125" w:rsidRPr="00840080">
        <w:rPr>
          <w:sz w:val="22"/>
          <w:szCs w:val="22"/>
        </w:rPr>
        <w:t>:</w:t>
      </w:r>
      <w:r w:rsidR="00820B0A">
        <w:rPr>
          <w:sz w:val="22"/>
          <w:szCs w:val="22"/>
        </w:rPr>
        <w:t>20</w:t>
      </w:r>
    </w:p>
    <w:p w:rsidR="001C7D9C" w:rsidRPr="00840080" w:rsidRDefault="0001670E" w:rsidP="001C7D9C">
      <w:pPr>
        <w:jc w:val="both"/>
        <w:rPr>
          <w:sz w:val="22"/>
          <w:szCs w:val="22"/>
        </w:rPr>
      </w:pPr>
      <w:r>
        <w:rPr>
          <w:sz w:val="22"/>
          <w:szCs w:val="22"/>
        </w:rPr>
        <w:fldChar w:fldCharType="begin"/>
      </w:r>
      <w:r>
        <w:rPr>
          <w:sz w:val="22"/>
          <w:szCs w:val="22"/>
        </w:rPr>
        <w:instrText xml:space="preserve"> NUMWORDS   \* MERGEFORMAT </w:instrText>
      </w:r>
      <w:r>
        <w:rPr>
          <w:sz w:val="22"/>
          <w:szCs w:val="22"/>
        </w:rPr>
        <w:fldChar w:fldCharType="separate"/>
      </w:r>
      <w:r>
        <w:rPr>
          <w:noProof/>
          <w:sz w:val="22"/>
          <w:szCs w:val="22"/>
        </w:rPr>
        <w:t>1904</w:t>
      </w:r>
      <w:r>
        <w:rPr>
          <w:sz w:val="22"/>
          <w:szCs w:val="22"/>
        </w:rPr>
        <w:fldChar w:fldCharType="end"/>
      </w:r>
    </w:p>
    <w:p w:rsidR="0029446D" w:rsidRPr="00840080" w:rsidRDefault="00627AC2" w:rsidP="001C7D9C">
      <w:pPr>
        <w:jc w:val="both"/>
        <w:rPr>
          <w:sz w:val="22"/>
          <w:szCs w:val="22"/>
        </w:rPr>
      </w:pPr>
      <w:r w:rsidRPr="00840080">
        <w:rPr>
          <w:sz w:val="22"/>
          <w:szCs w:val="22"/>
        </w:rPr>
        <w:t>Ģ.Helmanis</w:t>
      </w:r>
    </w:p>
    <w:p w:rsidR="00CC7E8C" w:rsidRPr="00840080" w:rsidRDefault="00471969" w:rsidP="004C13AD">
      <w:pPr>
        <w:rPr>
          <w:i/>
          <w:iCs/>
          <w:sz w:val="22"/>
          <w:szCs w:val="22"/>
        </w:rPr>
      </w:pPr>
      <w:r w:rsidRPr="00840080">
        <w:rPr>
          <w:sz w:val="22"/>
          <w:szCs w:val="22"/>
        </w:rPr>
        <w:t>670</w:t>
      </w:r>
      <w:r w:rsidR="00627AC2" w:rsidRPr="00840080">
        <w:rPr>
          <w:sz w:val="22"/>
          <w:szCs w:val="22"/>
        </w:rPr>
        <w:t>94317</w:t>
      </w:r>
      <w:r w:rsidR="0029446D" w:rsidRPr="00840080">
        <w:rPr>
          <w:sz w:val="22"/>
          <w:szCs w:val="22"/>
        </w:rPr>
        <w:t>,</w:t>
      </w:r>
      <w:r w:rsidR="00627AC2" w:rsidRPr="00840080">
        <w:rPr>
          <w:sz w:val="22"/>
          <w:szCs w:val="22"/>
        </w:rPr>
        <w:t xml:space="preserve"> </w:t>
      </w:r>
      <w:hyperlink r:id="rId12" w:history="1">
        <w:r w:rsidR="00812E2A" w:rsidRPr="00840080">
          <w:rPr>
            <w:rStyle w:val="Hyperlink"/>
            <w:sz w:val="22"/>
            <w:szCs w:val="22"/>
          </w:rPr>
          <w:t>girts.helmanis@kase.gov.lv</w:t>
        </w:r>
      </w:hyperlink>
      <w:r w:rsidR="0029446D" w:rsidRPr="00840080">
        <w:rPr>
          <w:i/>
          <w:iCs/>
          <w:sz w:val="22"/>
          <w:szCs w:val="22"/>
        </w:rPr>
        <w:t> </w:t>
      </w:r>
    </w:p>
    <w:p w:rsidR="00812E2A" w:rsidRPr="0001670E" w:rsidRDefault="00812E2A" w:rsidP="00812E2A">
      <w:pPr>
        <w:jc w:val="both"/>
        <w:rPr>
          <w:sz w:val="22"/>
          <w:szCs w:val="22"/>
        </w:rPr>
      </w:pPr>
      <w:r w:rsidRPr="0001670E">
        <w:rPr>
          <w:sz w:val="22"/>
          <w:szCs w:val="22"/>
        </w:rPr>
        <w:t>Ž.Zvaigzne</w:t>
      </w:r>
    </w:p>
    <w:p w:rsidR="00812E2A" w:rsidRPr="00840080" w:rsidRDefault="00812E2A" w:rsidP="00812E2A">
      <w:pPr>
        <w:rPr>
          <w:sz w:val="22"/>
          <w:szCs w:val="22"/>
        </w:rPr>
      </w:pPr>
      <w:r w:rsidRPr="0001670E">
        <w:rPr>
          <w:sz w:val="22"/>
          <w:szCs w:val="22"/>
        </w:rPr>
        <w:t>67083976,</w:t>
      </w:r>
      <w:r w:rsidRPr="00840080">
        <w:rPr>
          <w:sz w:val="22"/>
          <w:szCs w:val="22"/>
        </w:rPr>
        <w:t xml:space="preserve"> </w:t>
      </w:r>
      <w:hyperlink r:id="rId13" w:history="1">
        <w:r w:rsidRPr="00840080">
          <w:rPr>
            <w:rStyle w:val="Hyperlink"/>
            <w:sz w:val="22"/>
            <w:szCs w:val="22"/>
          </w:rPr>
          <w:t>Zanete.Zvaigzne@fm.gov.lv</w:t>
        </w:r>
      </w:hyperlink>
    </w:p>
    <w:sectPr w:rsidR="00812E2A" w:rsidRPr="00840080" w:rsidSect="00A73E70">
      <w:headerReference w:type="even" r:id="rId14"/>
      <w:headerReference w:type="default" r:id="rId15"/>
      <w:footerReference w:type="default" r:id="rId16"/>
      <w:footerReference w:type="first" r:id="rId17"/>
      <w:pgSz w:w="11906" w:h="16838" w:code="9"/>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930" w:rsidRDefault="00B12930">
      <w:r>
        <w:separator/>
      </w:r>
    </w:p>
  </w:endnote>
  <w:endnote w:type="continuationSeparator" w:id="0">
    <w:p w:rsidR="00B12930" w:rsidRDefault="00B1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E2A" w:rsidRPr="00812E2A" w:rsidRDefault="00812E2A" w:rsidP="00812E2A">
    <w:pPr>
      <w:pStyle w:val="Footer"/>
      <w:jc w:val="both"/>
      <w:rPr>
        <w:sz w:val="22"/>
        <w:szCs w:val="22"/>
      </w:rPr>
    </w:pPr>
    <w:r w:rsidRPr="00812E2A">
      <w:rPr>
        <w:sz w:val="22"/>
        <w:szCs w:val="22"/>
      </w:rPr>
      <w:t>F</w:t>
    </w:r>
    <w:r w:rsidR="00C02FC7">
      <w:rPr>
        <w:sz w:val="22"/>
        <w:szCs w:val="22"/>
      </w:rPr>
      <w:t>MAnot_</w:t>
    </w:r>
    <w:r w:rsidR="00B447C5">
      <w:rPr>
        <w:sz w:val="22"/>
        <w:szCs w:val="22"/>
      </w:rPr>
      <w:t>1</w:t>
    </w:r>
    <w:r w:rsidR="00C02FC7">
      <w:rPr>
        <w:sz w:val="22"/>
        <w:szCs w:val="22"/>
      </w:rPr>
      <w:t>6</w:t>
    </w:r>
    <w:r w:rsidRPr="00812E2A">
      <w:rPr>
        <w:sz w:val="22"/>
        <w:szCs w:val="22"/>
      </w:rPr>
      <w:t>0916_LBFV; Likumprojekta „Grozījumi Likumā par budžetu un finanšu vadību” sākotnējās ietekmes novērtējuma ziņojums (anotācija)</w:t>
    </w:r>
  </w:p>
  <w:p w:rsidR="00F072A8" w:rsidRPr="00667CA2" w:rsidRDefault="00F072A8" w:rsidP="00667C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2A8" w:rsidRPr="006874AD" w:rsidRDefault="006874AD" w:rsidP="006874AD">
    <w:pPr>
      <w:pStyle w:val="Footer"/>
      <w:jc w:val="both"/>
      <w:rPr>
        <w:sz w:val="22"/>
        <w:szCs w:val="22"/>
      </w:rPr>
    </w:pPr>
    <w:r w:rsidRPr="00812E2A">
      <w:rPr>
        <w:sz w:val="22"/>
        <w:szCs w:val="22"/>
      </w:rPr>
      <w:t>F</w:t>
    </w:r>
    <w:r w:rsidR="0001670E">
      <w:rPr>
        <w:sz w:val="22"/>
        <w:szCs w:val="22"/>
      </w:rPr>
      <w:t>MAnot_1</w:t>
    </w:r>
    <w:r w:rsidR="00C02FC7">
      <w:rPr>
        <w:sz w:val="22"/>
        <w:szCs w:val="22"/>
      </w:rPr>
      <w:t>6</w:t>
    </w:r>
    <w:r w:rsidRPr="00812E2A">
      <w:rPr>
        <w:sz w:val="22"/>
        <w:szCs w:val="22"/>
      </w:rPr>
      <w:t>0916_LBFV; Likumprojekta „Grozījumi Likumā par budžetu un finanšu vadību”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930" w:rsidRDefault="00B12930">
      <w:r>
        <w:separator/>
      </w:r>
    </w:p>
  </w:footnote>
  <w:footnote w:type="continuationSeparator" w:id="0">
    <w:p w:rsidR="00B12930" w:rsidRDefault="00B12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2A8" w:rsidRDefault="00F072A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72A8" w:rsidRDefault="00F07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2A8" w:rsidRDefault="00F072A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643D">
      <w:rPr>
        <w:rStyle w:val="PageNumber"/>
        <w:noProof/>
      </w:rPr>
      <w:t>6</w:t>
    </w:r>
    <w:r>
      <w:rPr>
        <w:rStyle w:val="PageNumber"/>
      </w:rPr>
      <w:fldChar w:fldCharType="end"/>
    </w:r>
  </w:p>
  <w:p w:rsidR="00F072A8" w:rsidRPr="002C0A7A" w:rsidRDefault="00F072A8" w:rsidP="007F290E">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42270"/>
    <w:multiLevelType w:val="hybridMultilevel"/>
    <w:tmpl w:val="1C1A84C6"/>
    <w:lvl w:ilvl="0" w:tplc="1584AE16">
      <w:start w:val="1"/>
      <w:numFmt w:val="lowerLetter"/>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58F74EE"/>
    <w:multiLevelType w:val="hybridMultilevel"/>
    <w:tmpl w:val="271E0C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C901E2B"/>
    <w:multiLevelType w:val="hybridMultilevel"/>
    <w:tmpl w:val="4FC49982"/>
    <w:lvl w:ilvl="0" w:tplc="00565304">
      <w:start w:val="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nsid w:val="0E5C1D07"/>
    <w:multiLevelType w:val="hybridMultilevel"/>
    <w:tmpl w:val="B096FA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D920BC"/>
    <w:multiLevelType w:val="hybridMultilevel"/>
    <w:tmpl w:val="137253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17444BBE"/>
    <w:multiLevelType w:val="hybridMultilevel"/>
    <w:tmpl w:val="DC7C412A"/>
    <w:lvl w:ilvl="0" w:tplc="296EDBD4">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8">
    <w:nsid w:val="174856D3"/>
    <w:multiLevelType w:val="hybridMultilevel"/>
    <w:tmpl w:val="874CE0C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A7113BA"/>
    <w:multiLevelType w:val="hybridMultilevel"/>
    <w:tmpl w:val="D3666D7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4">
    <w:nsid w:val="235407EB"/>
    <w:multiLevelType w:val="hybridMultilevel"/>
    <w:tmpl w:val="F2FC313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2BFB7720"/>
    <w:multiLevelType w:val="hybridMultilevel"/>
    <w:tmpl w:val="5ADC00EC"/>
    <w:lvl w:ilvl="0" w:tplc="64F21A68">
      <w:start w:val="1"/>
      <w:numFmt w:val="lowerLetter"/>
      <w:lvlText w:val="%1)"/>
      <w:lvlJc w:val="left"/>
      <w:pPr>
        <w:ind w:left="746" w:hanging="360"/>
      </w:pPr>
      <w:rPr>
        <w:rFonts w:hint="default"/>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1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310D73DC"/>
    <w:multiLevelType w:val="hybridMultilevel"/>
    <w:tmpl w:val="41C238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5AD5C1C"/>
    <w:multiLevelType w:val="hybridMultilevel"/>
    <w:tmpl w:val="D3BED12E"/>
    <w:lvl w:ilvl="0" w:tplc="57A4807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5B223B7"/>
    <w:multiLevelType w:val="hybridMultilevel"/>
    <w:tmpl w:val="ADF2BD02"/>
    <w:lvl w:ilvl="0" w:tplc="55C0291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1">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2">
    <w:nsid w:val="396C30A9"/>
    <w:multiLevelType w:val="hybridMultilevel"/>
    <w:tmpl w:val="FFB2F17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24">
    <w:nsid w:val="3FBA7926"/>
    <w:multiLevelType w:val="hybridMultilevel"/>
    <w:tmpl w:val="4E5C737A"/>
    <w:lvl w:ilvl="0" w:tplc="9308133C">
      <w:start w:val="2"/>
      <w:numFmt w:val="lowerLetter"/>
      <w:lvlText w:val="%1)"/>
      <w:lvlJc w:val="left"/>
      <w:pPr>
        <w:ind w:left="746" w:hanging="360"/>
      </w:pPr>
      <w:rPr>
        <w:rFonts w:hint="default"/>
        <w:i/>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5">
    <w:nsid w:val="4178559A"/>
    <w:multiLevelType w:val="hybridMultilevel"/>
    <w:tmpl w:val="5898538E"/>
    <w:lvl w:ilvl="0" w:tplc="0050359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3386C0C"/>
    <w:multiLevelType w:val="hybridMultilevel"/>
    <w:tmpl w:val="816EF8A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4B497874"/>
    <w:multiLevelType w:val="hybridMultilevel"/>
    <w:tmpl w:val="0BA8A8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F832AE0"/>
    <w:multiLevelType w:val="hybridMultilevel"/>
    <w:tmpl w:val="45FA10E6"/>
    <w:lvl w:ilvl="0" w:tplc="FD1487DA">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58FE5728"/>
    <w:multiLevelType w:val="hybridMultilevel"/>
    <w:tmpl w:val="F2D8DF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36">
    <w:nsid w:val="5C4339F9"/>
    <w:multiLevelType w:val="hybridMultilevel"/>
    <w:tmpl w:val="2968D868"/>
    <w:lvl w:ilvl="0" w:tplc="C408EFE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8">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60CE04DC"/>
    <w:multiLevelType w:val="hybridMultilevel"/>
    <w:tmpl w:val="97087E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8B9456F"/>
    <w:multiLevelType w:val="hybridMultilevel"/>
    <w:tmpl w:val="17707032"/>
    <w:lvl w:ilvl="0" w:tplc="A13ABBDA">
      <w:start w:val="1"/>
      <w:numFmt w:val="lowerLetter"/>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D745B1D"/>
    <w:multiLevelType w:val="hybridMultilevel"/>
    <w:tmpl w:val="884EC0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A810322"/>
    <w:multiLevelType w:val="hybridMultilevel"/>
    <w:tmpl w:val="D57467C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num w:numId="1">
    <w:abstractNumId w:val="16"/>
  </w:num>
  <w:num w:numId="2">
    <w:abstractNumId w:val="38"/>
  </w:num>
  <w:num w:numId="3">
    <w:abstractNumId w:val="12"/>
  </w:num>
  <w:num w:numId="4">
    <w:abstractNumId w:val="9"/>
  </w:num>
  <w:num w:numId="5">
    <w:abstractNumId w:val="3"/>
  </w:num>
  <w:num w:numId="6">
    <w:abstractNumId w:val="32"/>
  </w:num>
  <w:num w:numId="7">
    <w:abstractNumId w:val="40"/>
  </w:num>
  <w:num w:numId="8">
    <w:abstractNumId w:val="27"/>
  </w:num>
  <w:num w:numId="9">
    <w:abstractNumId w:val="11"/>
  </w:num>
  <w:num w:numId="10">
    <w:abstractNumId w:val="28"/>
  </w:num>
  <w:num w:numId="11">
    <w:abstractNumId w:val="29"/>
  </w:num>
  <w:num w:numId="12">
    <w:abstractNumId w:val="33"/>
  </w:num>
  <w:num w:numId="13">
    <w:abstractNumId w:val="37"/>
  </w:num>
  <w:num w:numId="14">
    <w:abstractNumId w:val="0"/>
  </w:num>
  <w:num w:numId="15">
    <w:abstractNumId w:val="1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1"/>
  </w:num>
  <w:num w:numId="19">
    <w:abstractNumId w:val="23"/>
  </w:num>
  <w:num w:numId="20">
    <w:abstractNumId w:val="13"/>
  </w:num>
  <w:num w:numId="21">
    <w:abstractNumId w:val="35"/>
  </w:num>
  <w:num w:numId="22">
    <w:abstractNumId w:val="19"/>
  </w:num>
  <w:num w:numId="23">
    <w:abstractNumId w:val="31"/>
  </w:num>
  <w:num w:numId="24">
    <w:abstractNumId w:val="24"/>
  </w:num>
  <w:num w:numId="25">
    <w:abstractNumId w:val="30"/>
  </w:num>
  <w:num w:numId="26">
    <w:abstractNumId w:val="15"/>
  </w:num>
  <w:num w:numId="27">
    <w:abstractNumId w:val="41"/>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18"/>
  </w:num>
  <w:num w:numId="35">
    <w:abstractNumId w:val="34"/>
  </w:num>
  <w:num w:numId="36">
    <w:abstractNumId w:val="5"/>
  </w:num>
  <w:num w:numId="37">
    <w:abstractNumId w:val="2"/>
  </w:num>
  <w:num w:numId="38">
    <w:abstractNumId w:val="39"/>
  </w:num>
  <w:num w:numId="39">
    <w:abstractNumId w:val="8"/>
  </w:num>
  <w:num w:numId="40">
    <w:abstractNumId w:val="43"/>
  </w:num>
  <w:num w:numId="41">
    <w:abstractNumId w:val="10"/>
  </w:num>
  <w:num w:numId="42">
    <w:abstractNumId w:val="36"/>
  </w:num>
  <w:num w:numId="43">
    <w:abstractNumId w:val="6"/>
  </w:num>
  <w:num w:numId="44">
    <w:abstractNumId w:val="25"/>
  </w:num>
  <w:num w:numId="45">
    <w:abstractNumId w:val="7"/>
  </w:num>
  <w:num w:numId="46">
    <w:abstractNumId w:val="4"/>
  </w:num>
  <w:num w:numId="47">
    <w:abstractNumId w:val="22"/>
  </w:num>
  <w:num w:numId="48">
    <w:abstractNumId w:val="1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308F"/>
    <w:rsid w:val="00003517"/>
    <w:rsid w:val="00003835"/>
    <w:rsid w:val="00003C7B"/>
    <w:rsid w:val="0000414C"/>
    <w:rsid w:val="0000641C"/>
    <w:rsid w:val="00007482"/>
    <w:rsid w:val="000074E0"/>
    <w:rsid w:val="00011C00"/>
    <w:rsid w:val="00011D24"/>
    <w:rsid w:val="000122C5"/>
    <w:rsid w:val="00013FF4"/>
    <w:rsid w:val="00014656"/>
    <w:rsid w:val="00015213"/>
    <w:rsid w:val="0001670E"/>
    <w:rsid w:val="00017EAF"/>
    <w:rsid w:val="00020FE1"/>
    <w:rsid w:val="00022C33"/>
    <w:rsid w:val="00022E13"/>
    <w:rsid w:val="00024B15"/>
    <w:rsid w:val="00027394"/>
    <w:rsid w:val="00032388"/>
    <w:rsid w:val="00032543"/>
    <w:rsid w:val="00035C6E"/>
    <w:rsid w:val="00035CE2"/>
    <w:rsid w:val="00035DDF"/>
    <w:rsid w:val="00037354"/>
    <w:rsid w:val="00041806"/>
    <w:rsid w:val="00041EC3"/>
    <w:rsid w:val="0004515A"/>
    <w:rsid w:val="000473D0"/>
    <w:rsid w:val="00047A4D"/>
    <w:rsid w:val="00051065"/>
    <w:rsid w:val="0005280A"/>
    <w:rsid w:val="00052906"/>
    <w:rsid w:val="00054EC4"/>
    <w:rsid w:val="0005553B"/>
    <w:rsid w:val="00057273"/>
    <w:rsid w:val="00057543"/>
    <w:rsid w:val="000604D2"/>
    <w:rsid w:val="00061587"/>
    <w:rsid w:val="000637E1"/>
    <w:rsid w:val="0006517C"/>
    <w:rsid w:val="00065998"/>
    <w:rsid w:val="00070D7A"/>
    <w:rsid w:val="00080158"/>
    <w:rsid w:val="000806F1"/>
    <w:rsid w:val="00082FB0"/>
    <w:rsid w:val="000870D1"/>
    <w:rsid w:val="0009005E"/>
    <w:rsid w:val="00090AC8"/>
    <w:rsid w:val="0009121E"/>
    <w:rsid w:val="00092367"/>
    <w:rsid w:val="000941C5"/>
    <w:rsid w:val="0009495E"/>
    <w:rsid w:val="00095B88"/>
    <w:rsid w:val="000960B1"/>
    <w:rsid w:val="000A0989"/>
    <w:rsid w:val="000A3697"/>
    <w:rsid w:val="000A45E6"/>
    <w:rsid w:val="000A561F"/>
    <w:rsid w:val="000A6451"/>
    <w:rsid w:val="000A6D61"/>
    <w:rsid w:val="000A7BC4"/>
    <w:rsid w:val="000B064E"/>
    <w:rsid w:val="000B1545"/>
    <w:rsid w:val="000B1F91"/>
    <w:rsid w:val="000B301B"/>
    <w:rsid w:val="000B33B3"/>
    <w:rsid w:val="000B69CF"/>
    <w:rsid w:val="000B6D63"/>
    <w:rsid w:val="000B7357"/>
    <w:rsid w:val="000C0AE4"/>
    <w:rsid w:val="000C1E30"/>
    <w:rsid w:val="000C32C6"/>
    <w:rsid w:val="000C4D73"/>
    <w:rsid w:val="000C5857"/>
    <w:rsid w:val="000C5E59"/>
    <w:rsid w:val="000C5ECF"/>
    <w:rsid w:val="000C5F27"/>
    <w:rsid w:val="000C5F49"/>
    <w:rsid w:val="000C6DD5"/>
    <w:rsid w:val="000C790C"/>
    <w:rsid w:val="000D0891"/>
    <w:rsid w:val="000D3AED"/>
    <w:rsid w:val="000D4868"/>
    <w:rsid w:val="000D6EE3"/>
    <w:rsid w:val="000D7C3C"/>
    <w:rsid w:val="000D7C47"/>
    <w:rsid w:val="000E1B69"/>
    <w:rsid w:val="000E7B95"/>
    <w:rsid w:val="000F0516"/>
    <w:rsid w:val="000F061D"/>
    <w:rsid w:val="000F1982"/>
    <w:rsid w:val="000F3026"/>
    <w:rsid w:val="000F4794"/>
    <w:rsid w:val="000F5458"/>
    <w:rsid w:val="000F737F"/>
    <w:rsid w:val="000F7690"/>
    <w:rsid w:val="000F7CF8"/>
    <w:rsid w:val="001002C6"/>
    <w:rsid w:val="00100EF9"/>
    <w:rsid w:val="001010FC"/>
    <w:rsid w:val="00104061"/>
    <w:rsid w:val="00105059"/>
    <w:rsid w:val="00105634"/>
    <w:rsid w:val="00106FB1"/>
    <w:rsid w:val="00115838"/>
    <w:rsid w:val="00117E30"/>
    <w:rsid w:val="00120881"/>
    <w:rsid w:val="00124F12"/>
    <w:rsid w:val="00125B2C"/>
    <w:rsid w:val="00125C78"/>
    <w:rsid w:val="00133F30"/>
    <w:rsid w:val="001347F7"/>
    <w:rsid w:val="00135100"/>
    <w:rsid w:val="00136A2F"/>
    <w:rsid w:val="00136D9C"/>
    <w:rsid w:val="00141024"/>
    <w:rsid w:val="001417B4"/>
    <w:rsid w:val="00142EFC"/>
    <w:rsid w:val="00144E3A"/>
    <w:rsid w:val="00145747"/>
    <w:rsid w:val="00145EC7"/>
    <w:rsid w:val="001468F3"/>
    <w:rsid w:val="00146D89"/>
    <w:rsid w:val="0015060C"/>
    <w:rsid w:val="0015498F"/>
    <w:rsid w:val="0015566D"/>
    <w:rsid w:val="00155C69"/>
    <w:rsid w:val="0016018A"/>
    <w:rsid w:val="00161F0E"/>
    <w:rsid w:val="00164E48"/>
    <w:rsid w:val="00165B11"/>
    <w:rsid w:val="0016758D"/>
    <w:rsid w:val="00167B4C"/>
    <w:rsid w:val="00167DE7"/>
    <w:rsid w:val="00170CB8"/>
    <w:rsid w:val="00170E2A"/>
    <w:rsid w:val="00172CB0"/>
    <w:rsid w:val="0017387F"/>
    <w:rsid w:val="001756C7"/>
    <w:rsid w:val="00176C74"/>
    <w:rsid w:val="00176FD5"/>
    <w:rsid w:val="00177394"/>
    <w:rsid w:val="00180B1F"/>
    <w:rsid w:val="00180EB9"/>
    <w:rsid w:val="00182462"/>
    <w:rsid w:val="00182C18"/>
    <w:rsid w:val="001838CD"/>
    <w:rsid w:val="00183CC2"/>
    <w:rsid w:val="00184254"/>
    <w:rsid w:val="00186235"/>
    <w:rsid w:val="001900E4"/>
    <w:rsid w:val="00190F88"/>
    <w:rsid w:val="00192B82"/>
    <w:rsid w:val="001A2E25"/>
    <w:rsid w:val="001A4066"/>
    <w:rsid w:val="001A4FCA"/>
    <w:rsid w:val="001A6AE4"/>
    <w:rsid w:val="001A769D"/>
    <w:rsid w:val="001B01FD"/>
    <w:rsid w:val="001B1F86"/>
    <w:rsid w:val="001B3707"/>
    <w:rsid w:val="001B4A71"/>
    <w:rsid w:val="001B52F1"/>
    <w:rsid w:val="001C03A4"/>
    <w:rsid w:val="001C087B"/>
    <w:rsid w:val="001C1198"/>
    <w:rsid w:val="001C1B08"/>
    <w:rsid w:val="001C1D4B"/>
    <w:rsid w:val="001C1F29"/>
    <w:rsid w:val="001C34A0"/>
    <w:rsid w:val="001C3B51"/>
    <w:rsid w:val="001C4A59"/>
    <w:rsid w:val="001C50D2"/>
    <w:rsid w:val="001C558A"/>
    <w:rsid w:val="001C5BF7"/>
    <w:rsid w:val="001C5C2C"/>
    <w:rsid w:val="001C6C16"/>
    <w:rsid w:val="001C6FE5"/>
    <w:rsid w:val="001C7CD0"/>
    <w:rsid w:val="001C7D9C"/>
    <w:rsid w:val="001D166B"/>
    <w:rsid w:val="001D1780"/>
    <w:rsid w:val="001D2483"/>
    <w:rsid w:val="001D507F"/>
    <w:rsid w:val="001D5B54"/>
    <w:rsid w:val="001D6738"/>
    <w:rsid w:val="001D67BA"/>
    <w:rsid w:val="001E1DBF"/>
    <w:rsid w:val="001E2C62"/>
    <w:rsid w:val="001E3070"/>
    <w:rsid w:val="001E3467"/>
    <w:rsid w:val="001E4639"/>
    <w:rsid w:val="001E4A7D"/>
    <w:rsid w:val="001E5781"/>
    <w:rsid w:val="001E61C0"/>
    <w:rsid w:val="001F2E9A"/>
    <w:rsid w:val="001F4209"/>
    <w:rsid w:val="001F43A8"/>
    <w:rsid w:val="001F493E"/>
    <w:rsid w:val="001F56A4"/>
    <w:rsid w:val="001F5857"/>
    <w:rsid w:val="001F5CD6"/>
    <w:rsid w:val="001F5ED0"/>
    <w:rsid w:val="001F6B98"/>
    <w:rsid w:val="001F7C4C"/>
    <w:rsid w:val="00202F4B"/>
    <w:rsid w:val="002030C5"/>
    <w:rsid w:val="00203C4C"/>
    <w:rsid w:val="0020597F"/>
    <w:rsid w:val="00210D0B"/>
    <w:rsid w:val="002111D2"/>
    <w:rsid w:val="0021238E"/>
    <w:rsid w:val="0021263D"/>
    <w:rsid w:val="00212747"/>
    <w:rsid w:val="00212B88"/>
    <w:rsid w:val="0021308A"/>
    <w:rsid w:val="00213F0C"/>
    <w:rsid w:val="00214094"/>
    <w:rsid w:val="0021592D"/>
    <w:rsid w:val="00216438"/>
    <w:rsid w:val="00217559"/>
    <w:rsid w:val="00217F1F"/>
    <w:rsid w:val="0022089B"/>
    <w:rsid w:val="00221040"/>
    <w:rsid w:val="00222D76"/>
    <w:rsid w:val="00223EB1"/>
    <w:rsid w:val="00224225"/>
    <w:rsid w:val="002257D7"/>
    <w:rsid w:val="002259E6"/>
    <w:rsid w:val="002304AA"/>
    <w:rsid w:val="00230FFB"/>
    <w:rsid w:val="00231344"/>
    <w:rsid w:val="00233A92"/>
    <w:rsid w:val="0023436E"/>
    <w:rsid w:val="00234551"/>
    <w:rsid w:val="002345CD"/>
    <w:rsid w:val="002347C0"/>
    <w:rsid w:val="00234D5A"/>
    <w:rsid w:val="00235EC3"/>
    <w:rsid w:val="002364AE"/>
    <w:rsid w:val="00241A6C"/>
    <w:rsid w:val="00242B18"/>
    <w:rsid w:val="00242D2B"/>
    <w:rsid w:val="00245B93"/>
    <w:rsid w:val="002462BB"/>
    <w:rsid w:val="00250F38"/>
    <w:rsid w:val="00251ADB"/>
    <w:rsid w:val="00251B37"/>
    <w:rsid w:val="00252AAD"/>
    <w:rsid w:val="00260935"/>
    <w:rsid w:val="00260C6E"/>
    <w:rsid w:val="00261F68"/>
    <w:rsid w:val="00262117"/>
    <w:rsid w:val="0026261B"/>
    <w:rsid w:val="00262E2B"/>
    <w:rsid w:val="002630DE"/>
    <w:rsid w:val="002640EA"/>
    <w:rsid w:val="002644FC"/>
    <w:rsid w:val="0026641D"/>
    <w:rsid w:val="00270429"/>
    <w:rsid w:val="002719BA"/>
    <w:rsid w:val="002723E9"/>
    <w:rsid w:val="00272882"/>
    <w:rsid w:val="002740F1"/>
    <w:rsid w:val="00274756"/>
    <w:rsid w:val="00276B44"/>
    <w:rsid w:val="00277929"/>
    <w:rsid w:val="00277C8D"/>
    <w:rsid w:val="002818DF"/>
    <w:rsid w:val="002825F3"/>
    <w:rsid w:val="00283255"/>
    <w:rsid w:val="00283B82"/>
    <w:rsid w:val="0028459C"/>
    <w:rsid w:val="002846E9"/>
    <w:rsid w:val="00284C34"/>
    <w:rsid w:val="002850FF"/>
    <w:rsid w:val="002855D3"/>
    <w:rsid w:val="00286A61"/>
    <w:rsid w:val="00287EA5"/>
    <w:rsid w:val="00290595"/>
    <w:rsid w:val="0029066C"/>
    <w:rsid w:val="00292DB4"/>
    <w:rsid w:val="00293E07"/>
    <w:rsid w:val="0029446D"/>
    <w:rsid w:val="00294A8F"/>
    <w:rsid w:val="00294B19"/>
    <w:rsid w:val="00295A0B"/>
    <w:rsid w:val="00295EE4"/>
    <w:rsid w:val="0029614F"/>
    <w:rsid w:val="002969B7"/>
    <w:rsid w:val="00296B45"/>
    <w:rsid w:val="00297DAE"/>
    <w:rsid w:val="002A2D43"/>
    <w:rsid w:val="002A3007"/>
    <w:rsid w:val="002A34BE"/>
    <w:rsid w:val="002A37B8"/>
    <w:rsid w:val="002A3E3E"/>
    <w:rsid w:val="002A41F1"/>
    <w:rsid w:val="002A50A8"/>
    <w:rsid w:val="002A6FD9"/>
    <w:rsid w:val="002A7820"/>
    <w:rsid w:val="002B0982"/>
    <w:rsid w:val="002B50DB"/>
    <w:rsid w:val="002B5CE8"/>
    <w:rsid w:val="002B7034"/>
    <w:rsid w:val="002C0A7A"/>
    <w:rsid w:val="002C10A7"/>
    <w:rsid w:val="002C12AB"/>
    <w:rsid w:val="002C2D8B"/>
    <w:rsid w:val="002C2DFC"/>
    <w:rsid w:val="002C53D3"/>
    <w:rsid w:val="002C5C60"/>
    <w:rsid w:val="002C5FBA"/>
    <w:rsid w:val="002C7669"/>
    <w:rsid w:val="002C7CAC"/>
    <w:rsid w:val="002D01DE"/>
    <w:rsid w:val="002D3306"/>
    <w:rsid w:val="002D48AA"/>
    <w:rsid w:val="002D4F60"/>
    <w:rsid w:val="002D7875"/>
    <w:rsid w:val="002D7BAA"/>
    <w:rsid w:val="002D7F54"/>
    <w:rsid w:val="002E11C7"/>
    <w:rsid w:val="002E1EF3"/>
    <w:rsid w:val="002E28B4"/>
    <w:rsid w:val="002E3BEA"/>
    <w:rsid w:val="002E3FF4"/>
    <w:rsid w:val="002E4126"/>
    <w:rsid w:val="002E5C2D"/>
    <w:rsid w:val="002E7A98"/>
    <w:rsid w:val="002F143C"/>
    <w:rsid w:val="002F25C7"/>
    <w:rsid w:val="002F4440"/>
    <w:rsid w:val="002F581C"/>
    <w:rsid w:val="002F646F"/>
    <w:rsid w:val="002F759C"/>
    <w:rsid w:val="002F78C8"/>
    <w:rsid w:val="003006CA"/>
    <w:rsid w:val="00301CF3"/>
    <w:rsid w:val="00302C7D"/>
    <w:rsid w:val="003032C1"/>
    <w:rsid w:val="003034CF"/>
    <w:rsid w:val="00303F9F"/>
    <w:rsid w:val="003040EA"/>
    <w:rsid w:val="0030604D"/>
    <w:rsid w:val="00306656"/>
    <w:rsid w:val="00306A38"/>
    <w:rsid w:val="0030778B"/>
    <w:rsid w:val="00310310"/>
    <w:rsid w:val="00312C3B"/>
    <w:rsid w:val="003130D6"/>
    <w:rsid w:val="00313191"/>
    <w:rsid w:val="00314CB6"/>
    <w:rsid w:val="00316B71"/>
    <w:rsid w:val="00321247"/>
    <w:rsid w:val="003226A2"/>
    <w:rsid w:val="00323289"/>
    <w:rsid w:val="00324429"/>
    <w:rsid w:val="00324E0E"/>
    <w:rsid w:val="003268AA"/>
    <w:rsid w:val="0032715C"/>
    <w:rsid w:val="00331278"/>
    <w:rsid w:val="0033365E"/>
    <w:rsid w:val="00333EDC"/>
    <w:rsid w:val="003340B1"/>
    <w:rsid w:val="00336B3B"/>
    <w:rsid w:val="00337A03"/>
    <w:rsid w:val="00337CA5"/>
    <w:rsid w:val="00340530"/>
    <w:rsid w:val="0034236C"/>
    <w:rsid w:val="0034270B"/>
    <w:rsid w:val="003457F6"/>
    <w:rsid w:val="00346DC0"/>
    <w:rsid w:val="00347A79"/>
    <w:rsid w:val="003523CF"/>
    <w:rsid w:val="00355E56"/>
    <w:rsid w:val="00357397"/>
    <w:rsid w:val="00360939"/>
    <w:rsid w:val="00361498"/>
    <w:rsid w:val="00361783"/>
    <w:rsid w:val="00362478"/>
    <w:rsid w:val="00364F54"/>
    <w:rsid w:val="003658AE"/>
    <w:rsid w:val="00365DC1"/>
    <w:rsid w:val="003677C2"/>
    <w:rsid w:val="0037076F"/>
    <w:rsid w:val="0037082A"/>
    <w:rsid w:val="003712E7"/>
    <w:rsid w:val="003713B6"/>
    <w:rsid w:val="00371867"/>
    <w:rsid w:val="00374D96"/>
    <w:rsid w:val="00375B25"/>
    <w:rsid w:val="003762C6"/>
    <w:rsid w:val="003807FF"/>
    <w:rsid w:val="0038132C"/>
    <w:rsid w:val="0038759B"/>
    <w:rsid w:val="003904AA"/>
    <w:rsid w:val="00390D8B"/>
    <w:rsid w:val="00396542"/>
    <w:rsid w:val="0039685B"/>
    <w:rsid w:val="003972B9"/>
    <w:rsid w:val="003975EF"/>
    <w:rsid w:val="003A2246"/>
    <w:rsid w:val="003A2510"/>
    <w:rsid w:val="003A31A6"/>
    <w:rsid w:val="003A3906"/>
    <w:rsid w:val="003A473F"/>
    <w:rsid w:val="003A6A3C"/>
    <w:rsid w:val="003A75C0"/>
    <w:rsid w:val="003A7F0C"/>
    <w:rsid w:val="003A7F79"/>
    <w:rsid w:val="003B15BA"/>
    <w:rsid w:val="003B37D6"/>
    <w:rsid w:val="003B3FCF"/>
    <w:rsid w:val="003B6404"/>
    <w:rsid w:val="003B68FB"/>
    <w:rsid w:val="003B6E17"/>
    <w:rsid w:val="003C35C6"/>
    <w:rsid w:val="003C449B"/>
    <w:rsid w:val="003C6409"/>
    <w:rsid w:val="003D1445"/>
    <w:rsid w:val="003D173F"/>
    <w:rsid w:val="003D21FF"/>
    <w:rsid w:val="003D40BF"/>
    <w:rsid w:val="003D6053"/>
    <w:rsid w:val="003D7022"/>
    <w:rsid w:val="003D7DF3"/>
    <w:rsid w:val="003E0628"/>
    <w:rsid w:val="003E27F7"/>
    <w:rsid w:val="003E63D5"/>
    <w:rsid w:val="003E7AD4"/>
    <w:rsid w:val="003F0112"/>
    <w:rsid w:val="003F071A"/>
    <w:rsid w:val="003F160B"/>
    <w:rsid w:val="003F1EF3"/>
    <w:rsid w:val="003F23EF"/>
    <w:rsid w:val="003F2ED6"/>
    <w:rsid w:val="003F3555"/>
    <w:rsid w:val="003F3557"/>
    <w:rsid w:val="003F3B8F"/>
    <w:rsid w:val="003F6631"/>
    <w:rsid w:val="003F6AE4"/>
    <w:rsid w:val="003F7754"/>
    <w:rsid w:val="003F78E2"/>
    <w:rsid w:val="00400032"/>
    <w:rsid w:val="00400B5B"/>
    <w:rsid w:val="00400F6B"/>
    <w:rsid w:val="004029CC"/>
    <w:rsid w:val="00402AED"/>
    <w:rsid w:val="004050F9"/>
    <w:rsid w:val="004056ED"/>
    <w:rsid w:val="00405A00"/>
    <w:rsid w:val="004066ED"/>
    <w:rsid w:val="00410246"/>
    <w:rsid w:val="004105E8"/>
    <w:rsid w:val="00416E10"/>
    <w:rsid w:val="004172BF"/>
    <w:rsid w:val="00417765"/>
    <w:rsid w:val="00420870"/>
    <w:rsid w:val="004219A1"/>
    <w:rsid w:val="00421F93"/>
    <w:rsid w:val="004220DB"/>
    <w:rsid w:val="00427C10"/>
    <w:rsid w:val="00427CE2"/>
    <w:rsid w:val="00432D0C"/>
    <w:rsid w:val="00433F2B"/>
    <w:rsid w:val="004348F5"/>
    <w:rsid w:val="0043791B"/>
    <w:rsid w:val="00441483"/>
    <w:rsid w:val="00441BCB"/>
    <w:rsid w:val="00442BB7"/>
    <w:rsid w:val="00442E92"/>
    <w:rsid w:val="00443489"/>
    <w:rsid w:val="00444363"/>
    <w:rsid w:val="00444F72"/>
    <w:rsid w:val="00445CFC"/>
    <w:rsid w:val="004466F4"/>
    <w:rsid w:val="004505AF"/>
    <w:rsid w:val="0045176A"/>
    <w:rsid w:val="0045202F"/>
    <w:rsid w:val="00454DF0"/>
    <w:rsid w:val="00455BFA"/>
    <w:rsid w:val="00456332"/>
    <w:rsid w:val="00456663"/>
    <w:rsid w:val="00456F74"/>
    <w:rsid w:val="004575FD"/>
    <w:rsid w:val="00457DFA"/>
    <w:rsid w:val="00460ACD"/>
    <w:rsid w:val="00460C2B"/>
    <w:rsid w:val="00461826"/>
    <w:rsid w:val="00461E42"/>
    <w:rsid w:val="004621AB"/>
    <w:rsid w:val="00464B35"/>
    <w:rsid w:val="00466983"/>
    <w:rsid w:val="004706EA"/>
    <w:rsid w:val="00471969"/>
    <w:rsid w:val="0047259E"/>
    <w:rsid w:val="004732A1"/>
    <w:rsid w:val="0047358D"/>
    <w:rsid w:val="004741D2"/>
    <w:rsid w:val="00475011"/>
    <w:rsid w:val="00475ABC"/>
    <w:rsid w:val="00475B77"/>
    <w:rsid w:val="004800F9"/>
    <w:rsid w:val="00481E34"/>
    <w:rsid w:val="004857E7"/>
    <w:rsid w:val="0048589E"/>
    <w:rsid w:val="00487DC0"/>
    <w:rsid w:val="0049134A"/>
    <w:rsid w:val="004918A5"/>
    <w:rsid w:val="00492597"/>
    <w:rsid w:val="004979A6"/>
    <w:rsid w:val="004A0B80"/>
    <w:rsid w:val="004A1600"/>
    <w:rsid w:val="004A288E"/>
    <w:rsid w:val="004A58CB"/>
    <w:rsid w:val="004A68AB"/>
    <w:rsid w:val="004A6A6A"/>
    <w:rsid w:val="004B0913"/>
    <w:rsid w:val="004B1795"/>
    <w:rsid w:val="004B23C7"/>
    <w:rsid w:val="004B25DD"/>
    <w:rsid w:val="004B321D"/>
    <w:rsid w:val="004B4931"/>
    <w:rsid w:val="004B56DD"/>
    <w:rsid w:val="004B5898"/>
    <w:rsid w:val="004B5B0C"/>
    <w:rsid w:val="004C020F"/>
    <w:rsid w:val="004C13AD"/>
    <w:rsid w:val="004C17C2"/>
    <w:rsid w:val="004C1AFD"/>
    <w:rsid w:val="004C3043"/>
    <w:rsid w:val="004C4926"/>
    <w:rsid w:val="004C49D2"/>
    <w:rsid w:val="004C4E8F"/>
    <w:rsid w:val="004C558B"/>
    <w:rsid w:val="004C57AB"/>
    <w:rsid w:val="004C6125"/>
    <w:rsid w:val="004C62BB"/>
    <w:rsid w:val="004D4AEB"/>
    <w:rsid w:val="004D526B"/>
    <w:rsid w:val="004D5749"/>
    <w:rsid w:val="004D74C1"/>
    <w:rsid w:val="004E23A0"/>
    <w:rsid w:val="004E2E8D"/>
    <w:rsid w:val="004E3837"/>
    <w:rsid w:val="004E4B00"/>
    <w:rsid w:val="004E6931"/>
    <w:rsid w:val="004F0809"/>
    <w:rsid w:val="004F17F9"/>
    <w:rsid w:val="004F199A"/>
    <w:rsid w:val="004F1F88"/>
    <w:rsid w:val="004F4AC0"/>
    <w:rsid w:val="004F54AE"/>
    <w:rsid w:val="004F5F1B"/>
    <w:rsid w:val="004F6DCC"/>
    <w:rsid w:val="004F75BF"/>
    <w:rsid w:val="00502374"/>
    <w:rsid w:val="005037C5"/>
    <w:rsid w:val="00504152"/>
    <w:rsid w:val="0050489E"/>
    <w:rsid w:val="0050559F"/>
    <w:rsid w:val="00505ED1"/>
    <w:rsid w:val="005060A1"/>
    <w:rsid w:val="005122BA"/>
    <w:rsid w:val="005139FC"/>
    <w:rsid w:val="00513AAB"/>
    <w:rsid w:val="00514C0E"/>
    <w:rsid w:val="0051501D"/>
    <w:rsid w:val="00515671"/>
    <w:rsid w:val="00515FF6"/>
    <w:rsid w:val="00516072"/>
    <w:rsid w:val="00517D0D"/>
    <w:rsid w:val="0052575C"/>
    <w:rsid w:val="005258C9"/>
    <w:rsid w:val="005259C2"/>
    <w:rsid w:val="0052760F"/>
    <w:rsid w:val="005303C6"/>
    <w:rsid w:val="00531404"/>
    <w:rsid w:val="00532456"/>
    <w:rsid w:val="0053269A"/>
    <w:rsid w:val="005332EC"/>
    <w:rsid w:val="00533ADC"/>
    <w:rsid w:val="005341EC"/>
    <w:rsid w:val="00534418"/>
    <w:rsid w:val="005353AB"/>
    <w:rsid w:val="00535E98"/>
    <w:rsid w:val="00544222"/>
    <w:rsid w:val="0054459C"/>
    <w:rsid w:val="005447D0"/>
    <w:rsid w:val="005461B8"/>
    <w:rsid w:val="00546978"/>
    <w:rsid w:val="00546EBF"/>
    <w:rsid w:val="0055021F"/>
    <w:rsid w:val="00552116"/>
    <w:rsid w:val="00555391"/>
    <w:rsid w:val="005554B2"/>
    <w:rsid w:val="005560BC"/>
    <w:rsid w:val="00556F23"/>
    <w:rsid w:val="005573BE"/>
    <w:rsid w:val="00562633"/>
    <w:rsid w:val="00565FDC"/>
    <w:rsid w:val="00565FF2"/>
    <w:rsid w:val="00570FAC"/>
    <w:rsid w:val="00571979"/>
    <w:rsid w:val="005723EC"/>
    <w:rsid w:val="00572700"/>
    <w:rsid w:val="005739B0"/>
    <w:rsid w:val="00576100"/>
    <w:rsid w:val="00576379"/>
    <w:rsid w:val="00580468"/>
    <w:rsid w:val="00582231"/>
    <w:rsid w:val="005822E1"/>
    <w:rsid w:val="00583F4E"/>
    <w:rsid w:val="00583F9F"/>
    <w:rsid w:val="00584B1A"/>
    <w:rsid w:val="0058603B"/>
    <w:rsid w:val="0058706A"/>
    <w:rsid w:val="00592B2D"/>
    <w:rsid w:val="005932F4"/>
    <w:rsid w:val="00593A8E"/>
    <w:rsid w:val="00593C47"/>
    <w:rsid w:val="0059431B"/>
    <w:rsid w:val="00594B2B"/>
    <w:rsid w:val="005976A3"/>
    <w:rsid w:val="005A37FA"/>
    <w:rsid w:val="005A39CC"/>
    <w:rsid w:val="005A5425"/>
    <w:rsid w:val="005A56BC"/>
    <w:rsid w:val="005A59B7"/>
    <w:rsid w:val="005A6055"/>
    <w:rsid w:val="005A6E9A"/>
    <w:rsid w:val="005A7146"/>
    <w:rsid w:val="005A71D3"/>
    <w:rsid w:val="005A77A7"/>
    <w:rsid w:val="005B2324"/>
    <w:rsid w:val="005B2735"/>
    <w:rsid w:val="005B2DB5"/>
    <w:rsid w:val="005B4730"/>
    <w:rsid w:val="005B551F"/>
    <w:rsid w:val="005B68FD"/>
    <w:rsid w:val="005B6D99"/>
    <w:rsid w:val="005C05FD"/>
    <w:rsid w:val="005C1F07"/>
    <w:rsid w:val="005C1F2A"/>
    <w:rsid w:val="005C280D"/>
    <w:rsid w:val="005C3CBE"/>
    <w:rsid w:val="005C4769"/>
    <w:rsid w:val="005C749F"/>
    <w:rsid w:val="005D2957"/>
    <w:rsid w:val="005D3728"/>
    <w:rsid w:val="005D3D6B"/>
    <w:rsid w:val="005D4A3F"/>
    <w:rsid w:val="005D4D86"/>
    <w:rsid w:val="005E05D7"/>
    <w:rsid w:val="005E099D"/>
    <w:rsid w:val="005E2DB6"/>
    <w:rsid w:val="005E3251"/>
    <w:rsid w:val="005E41E7"/>
    <w:rsid w:val="005E450F"/>
    <w:rsid w:val="005E4D9D"/>
    <w:rsid w:val="005E5560"/>
    <w:rsid w:val="005E6A82"/>
    <w:rsid w:val="005F1B28"/>
    <w:rsid w:val="005F2580"/>
    <w:rsid w:val="005F488E"/>
    <w:rsid w:val="005F5962"/>
    <w:rsid w:val="005F65B5"/>
    <w:rsid w:val="00600219"/>
    <w:rsid w:val="0060223A"/>
    <w:rsid w:val="00602778"/>
    <w:rsid w:val="00603362"/>
    <w:rsid w:val="00603FC9"/>
    <w:rsid w:val="00606BC5"/>
    <w:rsid w:val="00606EF5"/>
    <w:rsid w:val="00607B32"/>
    <w:rsid w:val="00610E52"/>
    <w:rsid w:val="00611406"/>
    <w:rsid w:val="0061156C"/>
    <w:rsid w:val="00613418"/>
    <w:rsid w:val="006135BC"/>
    <w:rsid w:val="00613B7F"/>
    <w:rsid w:val="00614B2F"/>
    <w:rsid w:val="00615E0B"/>
    <w:rsid w:val="00616257"/>
    <w:rsid w:val="00616E9D"/>
    <w:rsid w:val="006213DB"/>
    <w:rsid w:val="006221AB"/>
    <w:rsid w:val="00622796"/>
    <w:rsid w:val="0062298A"/>
    <w:rsid w:val="00622BB8"/>
    <w:rsid w:val="00623CEB"/>
    <w:rsid w:val="0062518B"/>
    <w:rsid w:val="00625328"/>
    <w:rsid w:val="00625C4A"/>
    <w:rsid w:val="00626262"/>
    <w:rsid w:val="00626514"/>
    <w:rsid w:val="00626589"/>
    <w:rsid w:val="00627AC2"/>
    <w:rsid w:val="0063160B"/>
    <w:rsid w:val="00632064"/>
    <w:rsid w:val="00633818"/>
    <w:rsid w:val="006338FB"/>
    <w:rsid w:val="006339A0"/>
    <w:rsid w:val="00633D8F"/>
    <w:rsid w:val="00634677"/>
    <w:rsid w:val="006378E9"/>
    <w:rsid w:val="00637C60"/>
    <w:rsid w:val="00640460"/>
    <w:rsid w:val="006406D4"/>
    <w:rsid w:val="006413A8"/>
    <w:rsid w:val="00641F8C"/>
    <w:rsid w:val="00642E56"/>
    <w:rsid w:val="00642FF6"/>
    <w:rsid w:val="00644238"/>
    <w:rsid w:val="006447FA"/>
    <w:rsid w:val="0064524D"/>
    <w:rsid w:val="006461BE"/>
    <w:rsid w:val="006467FD"/>
    <w:rsid w:val="006476C0"/>
    <w:rsid w:val="00647A66"/>
    <w:rsid w:val="00647B85"/>
    <w:rsid w:val="00651E00"/>
    <w:rsid w:val="00652E17"/>
    <w:rsid w:val="00653EA2"/>
    <w:rsid w:val="006544FC"/>
    <w:rsid w:val="0065656B"/>
    <w:rsid w:val="006571ED"/>
    <w:rsid w:val="00667CA2"/>
    <w:rsid w:val="00672838"/>
    <w:rsid w:val="0067327B"/>
    <w:rsid w:val="00673729"/>
    <w:rsid w:val="00674572"/>
    <w:rsid w:val="00676453"/>
    <w:rsid w:val="006768EE"/>
    <w:rsid w:val="006770DE"/>
    <w:rsid w:val="0068089A"/>
    <w:rsid w:val="00681705"/>
    <w:rsid w:val="00681900"/>
    <w:rsid w:val="006834D9"/>
    <w:rsid w:val="006847CF"/>
    <w:rsid w:val="00685592"/>
    <w:rsid w:val="00685EFE"/>
    <w:rsid w:val="006874AD"/>
    <w:rsid w:val="00687763"/>
    <w:rsid w:val="00692B0D"/>
    <w:rsid w:val="00692ED0"/>
    <w:rsid w:val="00693E0E"/>
    <w:rsid w:val="006945A0"/>
    <w:rsid w:val="0069556C"/>
    <w:rsid w:val="00695BB7"/>
    <w:rsid w:val="0069726B"/>
    <w:rsid w:val="00697D89"/>
    <w:rsid w:val="006A1AE3"/>
    <w:rsid w:val="006A1CF2"/>
    <w:rsid w:val="006A419C"/>
    <w:rsid w:val="006A7456"/>
    <w:rsid w:val="006B2ABB"/>
    <w:rsid w:val="006B380A"/>
    <w:rsid w:val="006B49ED"/>
    <w:rsid w:val="006B6C72"/>
    <w:rsid w:val="006C1F14"/>
    <w:rsid w:val="006C30E1"/>
    <w:rsid w:val="006C3178"/>
    <w:rsid w:val="006C32CE"/>
    <w:rsid w:val="006C3373"/>
    <w:rsid w:val="006C42A9"/>
    <w:rsid w:val="006C4607"/>
    <w:rsid w:val="006C63DC"/>
    <w:rsid w:val="006C7846"/>
    <w:rsid w:val="006D0440"/>
    <w:rsid w:val="006D14F4"/>
    <w:rsid w:val="006D398D"/>
    <w:rsid w:val="006D48F1"/>
    <w:rsid w:val="006D5135"/>
    <w:rsid w:val="006D67E5"/>
    <w:rsid w:val="006D6EB1"/>
    <w:rsid w:val="006D70C8"/>
    <w:rsid w:val="006D7E24"/>
    <w:rsid w:val="006E1682"/>
    <w:rsid w:val="006E2243"/>
    <w:rsid w:val="006E227C"/>
    <w:rsid w:val="006E31A6"/>
    <w:rsid w:val="006E4315"/>
    <w:rsid w:val="006E6F5E"/>
    <w:rsid w:val="006F110A"/>
    <w:rsid w:val="006F14F2"/>
    <w:rsid w:val="006F1503"/>
    <w:rsid w:val="006F45BE"/>
    <w:rsid w:val="006F5826"/>
    <w:rsid w:val="006F7EB7"/>
    <w:rsid w:val="007004FC"/>
    <w:rsid w:val="00701FD4"/>
    <w:rsid w:val="00702985"/>
    <w:rsid w:val="00703131"/>
    <w:rsid w:val="00705F50"/>
    <w:rsid w:val="00706670"/>
    <w:rsid w:val="00706987"/>
    <w:rsid w:val="0071121B"/>
    <w:rsid w:val="00711267"/>
    <w:rsid w:val="00711F59"/>
    <w:rsid w:val="0071352E"/>
    <w:rsid w:val="00714BE2"/>
    <w:rsid w:val="0072111D"/>
    <w:rsid w:val="00721B2D"/>
    <w:rsid w:val="00722478"/>
    <w:rsid w:val="0072417C"/>
    <w:rsid w:val="0072621E"/>
    <w:rsid w:val="00726D7D"/>
    <w:rsid w:val="007319F1"/>
    <w:rsid w:val="00734450"/>
    <w:rsid w:val="007365E7"/>
    <w:rsid w:val="00736BA1"/>
    <w:rsid w:val="00741D3D"/>
    <w:rsid w:val="00744B43"/>
    <w:rsid w:val="007452A9"/>
    <w:rsid w:val="00745F67"/>
    <w:rsid w:val="00746D50"/>
    <w:rsid w:val="00747595"/>
    <w:rsid w:val="00747939"/>
    <w:rsid w:val="00747C7C"/>
    <w:rsid w:val="00747D31"/>
    <w:rsid w:val="0075039E"/>
    <w:rsid w:val="00752C89"/>
    <w:rsid w:val="00752D9D"/>
    <w:rsid w:val="00752F05"/>
    <w:rsid w:val="00754784"/>
    <w:rsid w:val="007568F1"/>
    <w:rsid w:val="00757C6E"/>
    <w:rsid w:val="00757FF6"/>
    <w:rsid w:val="007602BE"/>
    <w:rsid w:val="00762BDA"/>
    <w:rsid w:val="00765346"/>
    <w:rsid w:val="0077032D"/>
    <w:rsid w:val="007714A1"/>
    <w:rsid w:val="007736F1"/>
    <w:rsid w:val="00776EBB"/>
    <w:rsid w:val="00780557"/>
    <w:rsid w:val="007805FD"/>
    <w:rsid w:val="0078317E"/>
    <w:rsid w:val="007831D8"/>
    <w:rsid w:val="00784422"/>
    <w:rsid w:val="00785058"/>
    <w:rsid w:val="00785E78"/>
    <w:rsid w:val="00786D3E"/>
    <w:rsid w:val="007923A7"/>
    <w:rsid w:val="00793C37"/>
    <w:rsid w:val="0079440C"/>
    <w:rsid w:val="007964D6"/>
    <w:rsid w:val="007968A9"/>
    <w:rsid w:val="00796B9A"/>
    <w:rsid w:val="00796DA2"/>
    <w:rsid w:val="007A1B95"/>
    <w:rsid w:val="007A1F73"/>
    <w:rsid w:val="007A28B9"/>
    <w:rsid w:val="007A3115"/>
    <w:rsid w:val="007A3BCF"/>
    <w:rsid w:val="007A45B9"/>
    <w:rsid w:val="007A51ED"/>
    <w:rsid w:val="007A630A"/>
    <w:rsid w:val="007A7CAB"/>
    <w:rsid w:val="007B12AB"/>
    <w:rsid w:val="007B19C2"/>
    <w:rsid w:val="007B28A6"/>
    <w:rsid w:val="007B2E6C"/>
    <w:rsid w:val="007B3B54"/>
    <w:rsid w:val="007B3B7B"/>
    <w:rsid w:val="007B3B90"/>
    <w:rsid w:val="007B3FA0"/>
    <w:rsid w:val="007B4BC6"/>
    <w:rsid w:val="007C09E7"/>
    <w:rsid w:val="007C0A8F"/>
    <w:rsid w:val="007C0F2C"/>
    <w:rsid w:val="007C249A"/>
    <w:rsid w:val="007C2612"/>
    <w:rsid w:val="007C2BCC"/>
    <w:rsid w:val="007C35B2"/>
    <w:rsid w:val="007C402C"/>
    <w:rsid w:val="007C4EF0"/>
    <w:rsid w:val="007C5675"/>
    <w:rsid w:val="007C6503"/>
    <w:rsid w:val="007D099D"/>
    <w:rsid w:val="007D1C3D"/>
    <w:rsid w:val="007D2723"/>
    <w:rsid w:val="007D2EEA"/>
    <w:rsid w:val="007D52EB"/>
    <w:rsid w:val="007D534F"/>
    <w:rsid w:val="007E1089"/>
    <w:rsid w:val="007E140E"/>
    <w:rsid w:val="007E17C0"/>
    <w:rsid w:val="007E1ACD"/>
    <w:rsid w:val="007E2664"/>
    <w:rsid w:val="007E2C13"/>
    <w:rsid w:val="007E2F07"/>
    <w:rsid w:val="007E366A"/>
    <w:rsid w:val="007E3ABF"/>
    <w:rsid w:val="007E402B"/>
    <w:rsid w:val="007E43CC"/>
    <w:rsid w:val="007E44C5"/>
    <w:rsid w:val="007E5BFA"/>
    <w:rsid w:val="007E5EEC"/>
    <w:rsid w:val="007E6689"/>
    <w:rsid w:val="007E731C"/>
    <w:rsid w:val="007E73E5"/>
    <w:rsid w:val="007F01CE"/>
    <w:rsid w:val="007F07AB"/>
    <w:rsid w:val="007F0A03"/>
    <w:rsid w:val="007F290E"/>
    <w:rsid w:val="007F679A"/>
    <w:rsid w:val="007F74FE"/>
    <w:rsid w:val="007F7EAD"/>
    <w:rsid w:val="007F7EC4"/>
    <w:rsid w:val="0080160D"/>
    <w:rsid w:val="00801A70"/>
    <w:rsid w:val="0080361E"/>
    <w:rsid w:val="008051F0"/>
    <w:rsid w:val="00805951"/>
    <w:rsid w:val="008060DF"/>
    <w:rsid w:val="00810040"/>
    <w:rsid w:val="00811A54"/>
    <w:rsid w:val="008121F5"/>
    <w:rsid w:val="00812227"/>
    <w:rsid w:val="00812E2A"/>
    <w:rsid w:val="008134FE"/>
    <w:rsid w:val="0081727D"/>
    <w:rsid w:val="0081754E"/>
    <w:rsid w:val="008201D2"/>
    <w:rsid w:val="0082023A"/>
    <w:rsid w:val="00820B0A"/>
    <w:rsid w:val="00821A7A"/>
    <w:rsid w:val="00823982"/>
    <w:rsid w:val="0082449C"/>
    <w:rsid w:val="008253F8"/>
    <w:rsid w:val="008261DE"/>
    <w:rsid w:val="00826B74"/>
    <w:rsid w:val="00826C67"/>
    <w:rsid w:val="00826F98"/>
    <w:rsid w:val="00827D32"/>
    <w:rsid w:val="00830560"/>
    <w:rsid w:val="00831F31"/>
    <w:rsid w:val="008325E4"/>
    <w:rsid w:val="00832A2B"/>
    <w:rsid w:val="0083498E"/>
    <w:rsid w:val="00834DBF"/>
    <w:rsid w:val="00835036"/>
    <w:rsid w:val="0083777F"/>
    <w:rsid w:val="00837EB5"/>
    <w:rsid w:val="00840080"/>
    <w:rsid w:val="00840E69"/>
    <w:rsid w:val="008416FF"/>
    <w:rsid w:val="0084247E"/>
    <w:rsid w:val="00842D73"/>
    <w:rsid w:val="008433E8"/>
    <w:rsid w:val="00843A2D"/>
    <w:rsid w:val="008454D6"/>
    <w:rsid w:val="00845811"/>
    <w:rsid w:val="00845DF5"/>
    <w:rsid w:val="00846994"/>
    <w:rsid w:val="00846EA9"/>
    <w:rsid w:val="0084772A"/>
    <w:rsid w:val="00847C79"/>
    <w:rsid w:val="00847F4D"/>
    <w:rsid w:val="00850451"/>
    <w:rsid w:val="00850D50"/>
    <w:rsid w:val="00852042"/>
    <w:rsid w:val="00852BD0"/>
    <w:rsid w:val="008534C9"/>
    <w:rsid w:val="00853F9F"/>
    <w:rsid w:val="008544C5"/>
    <w:rsid w:val="008549B3"/>
    <w:rsid w:val="0085547C"/>
    <w:rsid w:val="00855761"/>
    <w:rsid w:val="0085599D"/>
    <w:rsid w:val="00855A34"/>
    <w:rsid w:val="00855FC3"/>
    <w:rsid w:val="00855FF4"/>
    <w:rsid w:val="00857A84"/>
    <w:rsid w:val="008609C7"/>
    <w:rsid w:val="00860EA2"/>
    <w:rsid w:val="0086123D"/>
    <w:rsid w:val="00862E46"/>
    <w:rsid w:val="0086643D"/>
    <w:rsid w:val="008669E2"/>
    <w:rsid w:val="008676FC"/>
    <w:rsid w:val="00870903"/>
    <w:rsid w:val="0087156B"/>
    <w:rsid w:val="0087510C"/>
    <w:rsid w:val="008753A3"/>
    <w:rsid w:val="00875A15"/>
    <w:rsid w:val="00876845"/>
    <w:rsid w:val="00877A5E"/>
    <w:rsid w:val="00881B32"/>
    <w:rsid w:val="008822DB"/>
    <w:rsid w:val="00883649"/>
    <w:rsid w:val="008851F7"/>
    <w:rsid w:val="0088527F"/>
    <w:rsid w:val="00887373"/>
    <w:rsid w:val="008874BC"/>
    <w:rsid w:val="00890442"/>
    <w:rsid w:val="00892025"/>
    <w:rsid w:val="00892E5A"/>
    <w:rsid w:val="00893666"/>
    <w:rsid w:val="00893E73"/>
    <w:rsid w:val="00893ED4"/>
    <w:rsid w:val="00894412"/>
    <w:rsid w:val="00895F5F"/>
    <w:rsid w:val="008968D2"/>
    <w:rsid w:val="0089738E"/>
    <w:rsid w:val="008A1225"/>
    <w:rsid w:val="008A3456"/>
    <w:rsid w:val="008A42B8"/>
    <w:rsid w:val="008A50A6"/>
    <w:rsid w:val="008B2250"/>
    <w:rsid w:val="008B25E2"/>
    <w:rsid w:val="008B354B"/>
    <w:rsid w:val="008B3CA8"/>
    <w:rsid w:val="008B4909"/>
    <w:rsid w:val="008B5FDB"/>
    <w:rsid w:val="008B763D"/>
    <w:rsid w:val="008C0632"/>
    <w:rsid w:val="008C1A4B"/>
    <w:rsid w:val="008C2AD0"/>
    <w:rsid w:val="008C2F07"/>
    <w:rsid w:val="008C4FCD"/>
    <w:rsid w:val="008C50F4"/>
    <w:rsid w:val="008C55BB"/>
    <w:rsid w:val="008C5649"/>
    <w:rsid w:val="008C6369"/>
    <w:rsid w:val="008C6A56"/>
    <w:rsid w:val="008D007B"/>
    <w:rsid w:val="008D24D9"/>
    <w:rsid w:val="008D39A7"/>
    <w:rsid w:val="008D767F"/>
    <w:rsid w:val="008E3D00"/>
    <w:rsid w:val="008E44A2"/>
    <w:rsid w:val="008E697D"/>
    <w:rsid w:val="008E7EBA"/>
    <w:rsid w:val="008F0604"/>
    <w:rsid w:val="008F2E5B"/>
    <w:rsid w:val="008F34D0"/>
    <w:rsid w:val="008F65AD"/>
    <w:rsid w:val="0090267E"/>
    <w:rsid w:val="00903263"/>
    <w:rsid w:val="009058E2"/>
    <w:rsid w:val="00906A21"/>
    <w:rsid w:val="009074C0"/>
    <w:rsid w:val="009079C3"/>
    <w:rsid w:val="00910462"/>
    <w:rsid w:val="00910573"/>
    <w:rsid w:val="009118DE"/>
    <w:rsid w:val="00912AD8"/>
    <w:rsid w:val="00915AB1"/>
    <w:rsid w:val="00915E87"/>
    <w:rsid w:val="00917532"/>
    <w:rsid w:val="009202D1"/>
    <w:rsid w:val="00921518"/>
    <w:rsid w:val="009235BA"/>
    <w:rsid w:val="00924023"/>
    <w:rsid w:val="00924CE2"/>
    <w:rsid w:val="00925B9F"/>
    <w:rsid w:val="00927D59"/>
    <w:rsid w:val="009301A9"/>
    <w:rsid w:val="009309EB"/>
    <w:rsid w:val="0093157F"/>
    <w:rsid w:val="00931742"/>
    <w:rsid w:val="00931AED"/>
    <w:rsid w:val="009321EB"/>
    <w:rsid w:val="00935635"/>
    <w:rsid w:val="00937A2F"/>
    <w:rsid w:val="00940A2B"/>
    <w:rsid w:val="00940ADA"/>
    <w:rsid w:val="00940C31"/>
    <w:rsid w:val="00940CE8"/>
    <w:rsid w:val="00940E07"/>
    <w:rsid w:val="00941903"/>
    <w:rsid w:val="009419F4"/>
    <w:rsid w:val="00945766"/>
    <w:rsid w:val="009465E8"/>
    <w:rsid w:val="009476A3"/>
    <w:rsid w:val="00950C6D"/>
    <w:rsid w:val="00952538"/>
    <w:rsid w:val="0095334F"/>
    <w:rsid w:val="00953D76"/>
    <w:rsid w:val="00954566"/>
    <w:rsid w:val="00955058"/>
    <w:rsid w:val="0095513D"/>
    <w:rsid w:val="00955249"/>
    <w:rsid w:val="00955688"/>
    <w:rsid w:val="009565A0"/>
    <w:rsid w:val="00956612"/>
    <w:rsid w:val="009575CC"/>
    <w:rsid w:val="009575ED"/>
    <w:rsid w:val="009624D8"/>
    <w:rsid w:val="009639C2"/>
    <w:rsid w:val="00963C4B"/>
    <w:rsid w:val="00965897"/>
    <w:rsid w:val="009669C7"/>
    <w:rsid w:val="00966FBC"/>
    <w:rsid w:val="00967535"/>
    <w:rsid w:val="0096765C"/>
    <w:rsid w:val="009700F4"/>
    <w:rsid w:val="00970DCE"/>
    <w:rsid w:val="009727E4"/>
    <w:rsid w:val="0097394B"/>
    <w:rsid w:val="0097501D"/>
    <w:rsid w:val="00980806"/>
    <w:rsid w:val="009810B1"/>
    <w:rsid w:val="00981C4D"/>
    <w:rsid w:val="00982932"/>
    <w:rsid w:val="00985ABB"/>
    <w:rsid w:val="009865F7"/>
    <w:rsid w:val="00986CB6"/>
    <w:rsid w:val="00986FA2"/>
    <w:rsid w:val="0098741E"/>
    <w:rsid w:val="00987B16"/>
    <w:rsid w:val="00990885"/>
    <w:rsid w:val="00990A01"/>
    <w:rsid w:val="00990F31"/>
    <w:rsid w:val="009925AA"/>
    <w:rsid w:val="00992E99"/>
    <w:rsid w:val="009934C5"/>
    <w:rsid w:val="00994C0F"/>
    <w:rsid w:val="00995441"/>
    <w:rsid w:val="00995C43"/>
    <w:rsid w:val="00996B52"/>
    <w:rsid w:val="00996B5C"/>
    <w:rsid w:val="00997F03"/>
    <w:rsid w:val="009A0210"/>
    <w:rsid w:val="009A12DF"/>
    <w:rsid w:val="009A1F24"/>
    <w:rsid w:val="009A2D59"/>
    <w:rsid w:val="009A4B5C"/>
    <w:rsid w:val="009B0072"/>
    <w:rsid w:val="009B118C"/>
    <w:rsid w:val="009B1375"/>
    <w:rsid w:val="009B1A72"/>
    <w:rsid w:val="009B22D7"/>
    <w:rsid w:val="009B253E"/>
    <w:rsid w:val="009B2A92"/>
    <w:rsid w:val="009B4270"/>
    <w:rsid w:val="009B49B6"/>
    <w:rsid w:val="009B72ED"/>
    <w:rsid w:val="009C090C"/>
    <w:rsid w:val="009C1972"/>
    <w:rsid w:val="009C30E0"/>
    <w:rsid w:val="009C5659"/>
    <w:rsid w:val="009C6DEB"/>
    <w:rsid w:val="009C7005"/>
    <w:rsid w:val="009D13DD"/>
    <w:rsid w:val="009D27A6"/>
    <w:rsid w:val="009D4974"/>
    <w:rsid w:val="009D5F10"/>
    <w:rsid w:val="009D5FDC"/>
    <w:rsid w:val="009D6061"/>
    <w:rsid w:val="009D6504"/>
    <w:rsid w:val="009E12D7"/>
    <w:rsid w:val="009E2483"/>
    <w:rsid w:val="009E2C09"/>
    <w:rsid w:val="009E661A"/>
    <w:rsid w:val="009E7815"/>
    <w:rsid w:val="009E7B56"/>
    <w:rsid w:val="009E7D00"/>
    <w:rsid w:val="009F2992"/>
    <w:rsid w:val="009F29AE"/>
    <w:rsid w:val="009F3A73"/>
    <w:rsid w:val="009F3B75"/>
    <w:rsid w:val="009F3C3E"/>
    <w:rsid w:val="009F44A5"/>
    <w:rsid w:val="009F727F"/>
    <w:rsid w:val="009F78F3"/>
    <w:rsid w:val="009F7D7D"/>
    <w:rsid w:val="009F7F71"/>
    <w:rsid w:val="00A00393"/>
    <w:rsid w:val="00A03A5B"/>
    <w:rsid w:val="00A0431A"/>
    <w:rsid w:val="00A04A15"/>
    <w:rsid w:val="00A05E77"/>
    <w:rsid w:val="00A06077"/>
    <w:rsid w:val="00A06781"/>
    <w:rsid w:val="00A0682B"/>
    <w:rsid w:val="00A074C3"/>
    <w:rsid w:val="00A100ED"/>
    <w:rsid w:val="00A12B3E"/>
    <w:rsid w:val="00A1367E"/>
    <w:rsid w:val="00A1509C"/>
    <w:rsid w:val="00A16866"/>
    <w:rsid w:val="00A16B82"/>
    <w:rsid w:val="00A170FB"/>
    <w:rsid w:val="00A1755F"/>
    <w:rsid w:val="00A21B72"/>
    <w:rsid w:val="00A21F48"/>
    <w:rsid w:val="00A249B9"/>
    <w:rsid w:val="00A24DF7"/>
    <w:rsid w:val="00A26187"/>
    <w:rsid w:val="00A26B7F"/>
    <w:rsid w:val="00A31F77"/>
    <w:rsid w:val="00A34260"/>
    <w:rsid w:val="00A36F48"/>
    <w:rsid w:val="00A36F5C"/>
    <w:rsid w:val="00A37D75"/>
    <w:rsid w:val="00A43802"/>
    <w:rsid w:val="00A46362"/>
    <w:rsid w:val="00A4685E"/>
    <w:rsid w:val="00A513CA"/>
    <w:rsid w:val="00A523F9"/>
    <w:rsid w:val="00A530EA"/>
    <w:rsid w:val="00A54A37"/>
    <w:rsid w:val="00A6022F"/>
    <w:rsid w:val="00A6048E"/>
    <w:rsid w:val="00A61C2B"/>
    <w:rsid w:val="00A63CF6"/>
    <w:rsid w:val="00A648A4"/>
    <w:rsid w:val="00A654DE"/>
    <w:rsid w:val="00A67280"/>
    <w:rsid w:val="00A67D25"/>
    <w:rsid w:val="00A70CFD"/>
    <w:rsid w:val="00A710FC"/>
    <w:rsid w:val="00A72A0B"/>
    <w:rsid w:val="00A72CAB"/>
    <w:rsid w:val="00A73E70"/>
    <w:rsid w:val="00A75BA5"/>
    <w:rsid w:val="00A762FC"/>
    <w:rsid w:val="00A77110"/>
    <w:rsid w:val="00A77FCF"/>
    <w:rsid w:val="00A81C89"/>
    <w:rsid w:val="00A81E42"/>
    <w:rsid w:val="00A82F8D"/>
    <w:rsid w:val="00A8598D"/>
    <w:rsid w:val="00A860A8"/>
    <w:rsid w:val="00A864FE"/>
    <w:rsid w:val="00A86F41"/>
    <w:rsid w:val="00A8776B"/>
    <w:rsid w:val="00A87D04"/>
    <w:rsid w:val="00A90160"/>
    <w:rsid w:val="00A92220"/>
    <w:rsid w:val="00A950C5"/>
    <w:rsid w:val="00A95BD9"/>
    <w:rsid w:val="00A964B0"/>
    <w:rsid w:val="00A97DFA"/>
    <w:rsid w:val="00A97FC1"/>
    <w:rsid w:val="00AA1BF0"/>
    <w:rsid w:val="00AA1D25"/>
    <w:rsid w:val="00AA2037"/>
    <w:rsid w:val="00AA289F"/>
    <w:rsid w:val="00AA28BC"/>
    <w:rsid w:val="00AA2E8E"/>
    <w:rsid w:val="00AA32E9"/>
    <w:rsid w:val="00AA3562"/>
    <w:rsid w:val="00AA3CD7"/>
    <w:rsid w:val="00AB05F5"/>
    <w:rsid w:val="00AB268A"/>
    <w:rsid w:val="00AB2B1A"/>
    <w:rsid w:val="00AB397F"/>
    <w:rsid w:val="00AB5637"/>
    <w:rsid w:val="00AB5832"/>
    <w:rsid w:val="00AB6224"/>
    <w:rsid w:val="00AB77C6"/>
    <w:rsid w:val="00AC12C9"/>
    <w:rsid w:val="00AC31A9"/>
    <w:rsid w:val="00AC50B0"/>
    <w:rsid w:val="00AC51F2"/>
    <w:rsid w:val="00AC582E"/>
    <w:rsid w:val="00AD104F"/>
    <w:rsid w:val="00AD3269"/>
    <w:rsid w:val="00AD3936"/>
    <w:rsid w:val="00AD58E0"/>
    <w:rsid w:val="00AD64BC"/>
    <w:rsid w:val="00AD72A5"/>
    <w:rsid w:val="00AE0B4B"/>
    <w:rsid w:val="00AE2DB5"/>
    <w:rsid w:val="00AE2E04"/>
    <w:rsid w:val="00AE5066"/>
    <w:rsid w:val="00AE5E24"/>
    <w:rsid w:val="00AE61B7"/>
    <w:rsid w:val="00AE66CD"/>
    <w:rsid w:val="00AE68B3"/>
    <w:rsid w:val="00AE6CBA"/>
    <w:rsid w:val="00AE79AD"/>
    <w:rsid w:val="00AF01D0"/>
    <w:rsid w:val="00AF1887"/>
    <w:rsid w:val="00AF35E4"/>
    <w:rsid w:val="00AF3612"/>
    <w:rsid w:val="00AF3B0B"/>
    <w:rsid w:val="00AF5CDE"/>
    <w:rsid w:val="00AF6A09"/>
    <w:rsid w:val="00B0225E"/>
    <w:rsid w:val="00B05E37"/>
    <w:rsid w:val="00B06693"/>
    <w:rsid w:val="00B07CBC"/>
    <w:rsid w:val="00B10021"/>
    <w:rsid w:val="00B11A57"/>
    <w:rsid w:val="00B12930"/>
    <w:rsid w:val="00B143BA"/>
    <w:rsid w:val="00B15B50"/>
    <w:rsid w:val="00B16B01"/>
    <w:rsid w:val="00B17B6B"/>
    <w:rsid w:val="00B2011A"/>
    <w:rsid w:val="00B20217"/>
    <w:rsid w:val="00B21087"/>
    <w:rsid w:val="00B211C3"/>
    <w:rsid w:val="00B2239B"/>
    <w:rsid w:val="00B22517"/>
    <w:rsid w:val="00B22F94"/>
    <w:rsid w:val="00B24460"/>
    <w:rsid w:val="00B24937"/>
    <w:rsid w:val="00B24A97"/>
    <w:rsid w:val="00B252C9"/>
    <w:rsid w:val="00B25597"/>
    <w:rsid w:val="00B267B9"/>
    <w:rsid w:val="00B26ABB"/>
    <w:rsid w:val="00B30D8C"/>
    <w:rsid w:val="00B3218C"/>
    <w:rsid w:val="00B33E09"/>
    <w:rsid w:val="00B35749"/>
    <w:rsid w:val="00B37651"/>
    <w:rsid w:val="00B37723"/>
    <w:rsid w:val="00B405DB"/>
    <w:rsid w:val="00B40D37"/>
    <w:rsid w:val="00B41270"/>
    <w:rsid w:val="00B4248B"/>
    <w:rsid w:val="00B4366A"/>
    <w:rsid w:val="00B4461E"/>
    <w:rsid w:val="00B447C5"/>
    <w:rsid w:val="00B50589"/>
    <w:rsid w:val="00B50708"/>
    <w:rsid w:val="00B508C9"/>
    <w:rsid w:val="00B50C68"/>
    <w:rsid w:val="00B51293"/>
    <w:rsid w:val="00B525FF"/>
    <w:rsid w:val="00B52B1E"/>
    <w:rsid w:val="00B5300D"/>
    <w:rsid w:val="00B55481"/>
    <w:rsid w:val="00B55D18"/>
    <w:rsid w:val="00B569D1"/>
    <w:rsid w:val="00B56BE0"/>
    <w:rsid w:val="00B56C32"/>
    <w:rsid w:val="00B56D61"/>
    <w:rsid w:val="00B5796F"/>
    <w:rsid w:val="00B57ACF"/>
    <w:rsid w:val="00B61BC2"/>
    <w:rsid w:val="00B61E4D"/>
    <w:rsid w:val="00B649B4"/>
    <w:rsid w:val="00B64BB1"/>
    <w:rsid w:val="00B65D43"/>
    <w:rsid w:val="00B66CE8"/>
    <w:rsid w:val="00B73166"/>
    <w:rsid w:val="00B73D56"/>
    <w:rsid w:val="00B74C45"/>
    <w:rsid w:val="00B74CFD"/>
    <w:rsid w:val="00B76BEA"/>
    <w:rsid w:val="00B77156"/>
    <w:rsid w:val="00B8426C"/>
    <w:rsid w:val="00B84D94"/>
    <w:rsid w:val="00B86462"/>
    <w:rsid w:val="00B90759"/>
    <w:rsid w:val="00B91B8D"/>
    <w:rsid w:val="00B94E90"/>
    <w:rsid w:val="00B957D7"/>
    <w:rsid w:val="00B96B74"/>
    <w:rsid w:val="00B97360"/>
    <w:rsid w:val="00BA13A5"/>
    <w:rsid w:val="00BA16CB"/>
    <w:rsid w:val="00BA1FD3"/>
    <w:rsid w:val="00BA2916"/>
    <w:rsid w:val="00BA4578"/>
    <w:rsid w:val="00BA7CAD"/>
    <w:rsid w:val="00BB0A82"/>
    <w:rsid w:val="00BB54DC"/>
    <w:rsid w:val="00BB7A9C"/>
    <w:rsid w:val="00BB7C94"/>
    <w:rsid w:val="00BC0A9D"/>
    <w:rsid w:val="00BC1CD8"/>
    <w:rsid w:val="00BC2BFB"/>
    <w:rsid w:val="00BC2EC6"/>
    <w:rsid w:val="00BC3C68"/>
    <w:rsid w:val="00BC43C1"/>
    <w:rsid w:val="00BC4569"/>
    <w:rsid w:val="00BC4605"/>
    <w:rsid w:val="00BD0F53"/>
    <w:rsid w:val="00BD18D0"/>
    <w:rsid w:val="00BD22DE"/>
    <w:rsid w:val="00BD2337"/>
    <w:rsid w:val="00BD244C"/>
    <w:rsid w:val="00BD27F4"/>
    <w:rsid w:val="00BD2987"/>
    <w:rsid w:val="00BD2E3D"/>
    <w:rsid w:val="00BD2FA7"/>
    <w:rsid w:val="00BD3191"/>
    <w:rsid w:val="00BD3D8C"/>
    <w:rsid w:val="00BD412B"/>
    <w:rsid w:val="00BD494D"/>
    <w:rsid w:val="00BD4D26"/>
    <w:rsid w:val="00BD5A4C"/>
    <w:rsid w:val="00BD6911"/>
    <w:rsid w:val="00BD6E42"/>
    <w:rsid w:val="00BD7D4B"/>
    <w:rsid w:val="00BE1763"/>
    <w:rsid w:val="00BE1D98"/>
    <w:rsid w:val="00BE24E4"/>
    <w:rsid w:val="00BE2D6F"/>
    <w:rsid w:val="00BF07A0"/>
    <w:rsid w:val="00BF0810"/>
    <w:rsid w:val="00BF3171"/>
    <w:rsid w:val="00BF40ED"/>
    <w:rsid w:val="00BF5BC2"/>
    <w:rsid w:val="00BF5E6B"/>
    <w:rsid w:val="00BF7260"/>
    <w:rsid w:val="00BF73E3"/>
    <w:rsid w:val="00BF75BE"/>
    <w:rsid w:val="00BF78E2"/>
    <w:rsid w:val="00BF7A4C"/>
    <w:rsid w:val="00C003B9"/>
    <w:rsid w:val="00C01B5C"/>
    <w:rsid w:val="00C02FC7"/>
    <w:rsid w:val="00C031A6"/>
    <w:rsid w:val="00C03D1E"/>
    <w:rsid w:val="00C04A51"/>
    <w:rsid w:val="00C04BEE"/>
    <w:rsid w:val="00C053C0"/>
    <w:rsid w:val="00C10939"/>
    <w:rsid w:val="00C109F4"/>
    <w:rsid w:val="00C10EA6"/>
    <w:rsid w:val="00C1133D"/>
    <w:rsid w:val="00C11B41"/>
    <w:rsid w:val="00C123CF"/>
    <w:rsid w:val="00C12DD2"/>
    <w:rsid w:val="00C21D43"/>
    <w:rsid w:val="00C264B9"/>
    <w:rsid w:val="00C278FF"/>
    <w:rsid w:val="00C27A08"/>
    <w:rsid w:val="00C31312"/>
    <w:rsid w:val="00C31E36"/>
    <w:rsid w:val="00C326C6"/>
    <w:rsid w:val="00C35295"/>
    <w:rsid w:val="00C369DC"/>
    <w:rsid w:val="00C36ADD"/>
    <w:rsid w:val="00C36E74"/>
    <w:rsid w:val="00C3768E"/>
    <w:rsid w:val="00C40595"/>
    <w:rsid w:val="00C40A8D"/>
    <w:rsid w:val="00C40D7B"/>
    <w:rsid w:val="00C41621"/>
    <w:rsid w:val="00C418DB"/>
    <w:rsid w:val="00C41B7C"/>
    <w:rsid w:val="00C41C02"/>
    <w:rsid w:val="00C42688"/>
    <w:rsid w:val="00C42FC3"/>
    <w:rsid w:val="00C43758"/>
    <w:rsid w:val="00C43BA0"/>
    <w:rsid w:val="00C449FA"/>
    <w:rsid w:val="00C452FA"/>
    <w:rsid w:val="00C50D60"/>
    <w:rsid w:val="00C5384F"/>
    <w:rsid w:val="00C53EBF"/>
    <w:rsid w:val="00C55384"/>
    <w:rsid w:val="00C55B22"/>
    <w:rsid w:val="00C56964"/>
    <w:rsid w:val="00C57E0E"/>
    <w:rsid w:val="00C627DB"/>
    <w:rsid w:val="00C62CE4"/>
    <w:rsid w:val="00C62EFE"/>
    <w:rsid w:val="00C64F0E"/>
    <w:rsid w:val="00C656D5"/>
    <w:rsid w:val="00C66065"/>
    <w:rsid w:val="00C67103"/>
    <w:rsid w:val="00C71BB9"/>
    <w:rsid w:val="00C736FB"/>
    <w:rsid w:val="00C74DEE"/>
    <w:rsid w:val="00C80950"/>
    <w:rsid w:val="00C82A12"/>
    <w:rsid w:val="00C8612F"/>
    <w:rsid w:val="00C87007"/>
    <w:rsid w:val="00C90B2F"/>
    <w:rsid w:val="00C924C1"/>
    <w:rsid w:val="00C94C28"/>
    <w:rsid w:val="00C97BEA"/>
    <w:rsid w:val="00CA15AA"/>
    <w:rsid w:val="00CA5E45"/>
    <w:rsid w:val="00CA61E2"/>
    <w:rsid w:val="00CB0247"/>
    <w:rsid w:val="00CB0A64"/>
    <w:rsid w:val="00CB19F9"/>
    <w:rsid w:val="00CB2D45"/>
    <w:rsid w:val="00CB3440"/>
    <w:rsid w:val="00CB3C4C"/>
    <w:rsid w:val="00CB3D16"/>
    <w:rsid w:val="00CB3FC2"/>
    <w:rsid w:val="00CB4084"/>
    <w:rsid w:val="00CB5004"/>
    <w:rsid w:val="00CC1692"/>
    <w:rsid w:val="00CC3303"/>
    <w:rsid w:val="00CC405B"/>
    <w:rsid w:val="00CC59D6"/>
    <w:rsid w:val="00CC5C39"/>
    <w:rsid w:val="00CC64B6"/>
    <w:rsid w:val="00CC7AC4"/>
    <w:rsid w:val="00CC7E8C"/>
    <w:rsid w:val="00CD138B"/>
    <w:rsid w:val="00CD2483"/>
    <w:rsid w:val="00CD3E31"/>
    <w:rsid w:val="00CD44C1"/>
    <w:rsid w:val="00CD6961"/>
    <w:rsid w:val="00CD7117"/>
    <w:rsid w:val="00CD74A3"/>
    <w:rsid w:val="00CE0527"/>
    <w:rsid w:val="00CE0E94"/>
    <w:rsid w:val="00CE1CF3"/>
    <w:rsid w:val="00CE1DEE"/>
    <w:rsid w:val="00CE30D0"/>
    <w:rsid w:val="00CE3C25"/>
    <w:rsid w:val="00CE3D7C"/>
    <w:rsid w:val="00CE5B23"/>
    <w:rsid w:val="00CF0405"/>
    <w:rsid w:val="00CF08C5"/>
    <w:rsid w:val="00CF290F"/>
    <w:rsid w:val="00CF2D40"/>
    <w:rsid w:val="00CF336D"/>
    <w:rsid w:val="00CF573B"/>
    <w:rsid w:val="00CF5FC4"/>
    <w:rsid w:val="00CF6ABB"/>
    <w:rsid w:val="00CF70AD"/>
    <w:rsid w:val="00CF7729"/>
    <w:rsid w:val="00CF7C14"/>
    <w:rsid w:val="00D00059"/>
    <w:rsid w:val="00D009CE"/>
    <w:rsid w:val="00D012DC"/>
    <w:rsid w:val="00D02F2C"/>
    <w:rsid w:val="00D02F34"/>
    <w:rsid w:val="00D0487F"/>
    <w:rsid w:val="00D107FA"/>
    <w:rsid w:val="00D11465"/>
    <w:rsid w:val="00D11555"/>
    <w:rsid w:val="00D120A6"/>
    <w:rsid w:val="00D12275"/>
    <w:rsid w:val="00D12766"/>
    <w:rsid w:val="00D14C4D"/>
    <w:rsid w:val="00D16CA9"/>
    <w:rsid w:val="00D16E6F"/>
    <w:rsid w:val="00D20E4E"/>
    <w:rsid w:val="00D20FF4"/>
    <w:rsid w:val="00D21F3E"/>
    <w:rsid w:val="00D22B0E"/>
    <w:rsid w:val="00D22F0F"/>
    <w:rsid w:val="00D24D2C"/>
    <w:rsid w:val="00D252B9"/>
    <w:rsid w:val="00D26B95"/>
    <w:rsid w:val="00D27FFC"/>
    <w:rsid w:val="00D3317A"/>
    <w:rsid w:val="00D34AA4"/>
    <w:rsid w:val="00D35881"/>
    <w:rsid w:val="00D35D7A"/>
    <w:rsid w:val="00D377B5"/>
    <w:rsid w:val="00D4163B"/>
    <w:rsid w:val="00D43994"/>
    <w:rsid w:val="00D43FC9"/>
    <w:rsid w:val="00D442BD"/>
    <w:rsid w:val="00D44A23"/>
    <w:rsid w:val="00D479AF"/>
    <w:rsid w:val="00D53DAF"/>
    <w:rsid w:val="00D55399"/>
    <w:rsid w:val="00D56A2C"/>
    <w:rsid w:val="00D56F3B"/>
    <w:rsid w:val="00D575F6"/>
    <w:rsid w:val="00D6276A"/>
    <w:rsid w:val="00D64EEA"/>
    <w:rsid w:val="00D65321"/>
    <w:rsid w:val="00D6610F"/>
    <w:rsid w:val="00D6630B"/>
    <w:rsid w:val="00D71E21"/>
    <w:rsid w:val="00D736CA"/>
    <w:rsid w:val="00D76007"/>
    <w:rsid w:val="00D76123"/>
    <w:rsid w:val="00D77F85"/>
    <w:rsid w:val="00D8044E"/>
    <w:rsid w:val="00D80641"/>
    <w:rsid w:val="00D80675"/>
    <w:rsid w:val="00D81818"/>
    <w:rsid w:val="00D827BB"/>
    <w:rsid w:val="00D83E21"/>
    <w:rsid w:val="00D860FC"/>
    <w:rsid w:val="00D87710"/>
    <w:rsid w:val="00D87DC6"/>
    <w:rsid w:val="00D90822"/>
    <w:rsid w:val="00D95F57"/>
    <w:rsid w:val="00D9675C"/>
    <w:rsid w:val="00D97A9E"/>
    <w:rsid w:val="00DA2908"/>
    <w:rsid w:val="00DA42AE"/>
    <w:rsid w:val="00DA522A"/>
    <w:rsid w:val="00DA6168"/>
    <w:rsid w:val="00DA664C"/>
    <w:rsid w:val="00DA78A7"/>
    <w:rsid w:val="00DA7DA5"/>
    <w:rsid w:val="00DB0012"/>
    <w:rsid w:val="00DB0440"/>
    <w:rsid w:val="00DB073B"/>
    <w:rsid w:val="00DB0A02"/>
    <w:rsid w:val="00DB0DE1"/>
    <w:rsid w:val="00DB2297"/>
    <w:rsid w:val="00DB302C"/>
    <w:rsid w:val="00DB7308"/>
    <w:rsid w:val="00DB7630"/>
    <w:rsid w:val="00DB78F0"/>
    <w:rsid w:val="00DC0CEA"/>
    <w:rsid w:val="00DC0E4B"/>
    <w:rsid w:val="00DC2E43"/>
    <w:rsid w:val="00DC34AC"/>
    <w:rsid w:val="00DC78FF"/>
    <w:rsid w:val="00DD095C"/>
    <w:rsid w:val="00DD0A7A"/>
    <w:rsid w:val="00DD1020"/>
    <w:rsid w:val="00DD1330"/>
    <w:rsid w:val="00DD28E0"/>
    <w:rsid w:val="00DD3231"/>
    <w:rsid w:val="00DD3D15"/>
    <w:rsid w:val="00DD63AD"/>
    <w:rsid w:val="00DE0B83"/>
    <w:rsid w:val="00DE0D0F"/>
    <w:rsid w:val="00DE1516"/>
    <w:rsid w:val="00DE1A81"/>
    <w:rsid w:val="00DE1C13"/>
    <w:rsid w:val="00DE2220"/>
    <w:rsid w:val="00DE247F"/>
    <w:rsid w:val="00DE2677"/>
    <w:rsid w:val="00DE42AE"/>
    <w:rsid w:val="00DE4560"/>
    <w:rsid w:val="00DE4D02"/>
    <w:rsid w:val="00DE4E10"/>
    <w:rsid w:val="00DE7083"/>
    <w:rsid w:val="00DE7CD0"/>
    <w:rsid w:val="00DF22DA"/>
    <w:rsid w:val="00DF261C"/>
    <w:rsid w:val="00DF358F"/>
    <w:rsid w:val="00DF4689"/>
    <w:rsid w:val="00DF5923"/>
    <w:rsid w:val="00DF5C90"/>
    <w:rsid w:val="00DF6797"/>
    <w:rsid w:val="00DF6A1A"/>
    <w:rsid w:val="00DF6E70"/>
    <w:rsid w:val="00DF7B08"/>
    <w:rsid w:val="00E003D1"/>
    <w:rsid w:val="00E007BC"/>
    <w:rsid w:val="00E027F2"/>
    <w:rsid w:val="00E02ABF"/>
    <w:rsid w:val="00E03085"/>
    <w:rsid w:val="00E03F42"/>
    <w:rsid w:val="00E04BDE"/>
    <w:rsid w:val="00E04E1F"/>
    <w:rsid w:val="00E0548F"/>
    <w:rsid w:val="00E110F8"/>
    <w:rsid w:val="00E11826"/>
    <w:rsid w:val="00E12DDB"/>
    <w:rsid w:val="00E13D08"/>
    <w:rsid w:val="00E14905"/>
    <w:rsid w:val="00E14995"/>
    <w:rsid w:val="00E166B0"/>
    <w:rsid w:val="00E167B8"/>
    <w:rsid w:val="00E173AF"/>
    <w:rsid w:val="00E179CD"/>
    <w:rsid w:val="00E207B0"/>
    <w:rsid w:val="00E2149F"/>
    <w:rsid w:val="00E22DBD"/>
    <w:rsid w:val="00E23250"/>
    <w:rsid w:val="00E23E8D"/>
    <w:rsid w:val="00E246E3"/>
    <w:rsid w:val="00E253EB"/>
    <w:rsid w:val="00E2611D"/>
    <w:rsid w:val="00E3076A"/>
    <w:rsid w:val="00E30E9F"/>
    <w:rsid w:val="00E311A3"/>
    <w:rsid w:val="00E3180B"/>
    <w:rsid w:val="00E334F6"/>
    <w:rsid w:val="00E37A01"/>
    <w:rsid w:val="00E37F98"/>
    <w:rsid w:val="00E40E32"/>
    <w:rsid w:val="00E4171B"/>
    <w:rsid w:val="00E44A7B"/>
    <w:rsid w:val="00E463A5"/>
    <w:rsid w:val="00E46559"/>
    <w:rsid w:val="00E47EAA"/>
    <w:rsid w:val="00E512BD"/>
    <w:rsid w:val="00E538EE"/>
    <w:rsid w:val="00E54309"/>
    <w:rsid w:val="00E5431F"/>
    <w:rsid w:val="00E57683"/>
    <w:rsid w:val="00E6053F"/>
    <w:rsid w:val="00E60644"/>
    <w:rsid w:val="00E608F7"/>
    <w:rsid w:val="00E60AC9"/>
    <w:rsid w:val="00E64AC6"/>
    <w:rsid w:val="00E651F8"/>
    <w:rsid w:val="00E6536C"/>
    <w:rsid w:val="00E65828"/>
    <w:rsid w:val="00E65A0B"/>
    <w:rsid w:val="00E6670C"/>
    <w:rsid w:val="00E706F0"/>
    <w:rsid w:val="00E707AC"/>
    <w:rsid w:val="00E71969"/>
    <w:rsid w:val="00E758E2"/>
    <w:rsid w:val="00E776E8"/>
    <w:rsid w:val="00E77BBD"/>
    <w:rsid w:val="00E8029E"/>
    <w:rsid w:val="00E82085"/>
    <w:rsid w:val="00E820CC"/>
    <w:rsid w:val="00E82FDF"/>
    <w:rsid w:val="00E83AD7"/>
    <w:rsid w:val="00E83B4A"/>
    <w:rsid w:val="00E85F76"/>
    <w:rsid w:val="00E863A8"/>
    <w:rsid w:val="00E90ADA"/>
    <w:rsid w:val="00E90EF5"/>
    <w:rsid w:val="00E915CB"/>
    <w:rsid w:val="00E9240E"/>
    <w:rsid w:val="00E92C1F"/>
    <w:rsid w:val="00E95D4B"/>
    <w:rsid w:val="00E97CE9"/>
    <w:rsid w:val="00EA2BA8"/>
    <w:rsid w:val="00EA4E98"/>
    <w:rsid w:val="00EA5176"/>
    <w:rsid w:val="00EA6728"/>
    <w:rsid w:val="00EA76B8"/>
    <w:rsid w:val="00EA7FDD"/>
    <w:rsid w:val="00EB053D"/>
    <w:rsid w:val="00EB0D3C"/>
    <w:rsid w:val="00EB199F"/>
    <w:rsid w:val="00EB1E1D"/>
    <w:rsid w:val="00EB4B74"/>
    <w:rsid w:val="00EB55F1"/>
    <w:rsid w:val="00EB7B75"/>
    <w:rsid w:val="00EC139D"/>
    <w:rsid w:val="00EC23F7"/>
    <w:rsid w:val="00EC4BD8"/>
    <w:rsid w:val="00EC63EB"/>
    <w:rsid w:val="00ED3684"/>
    <w:rsid w:val="00ED3A58"/>
    <w:rsid w:val="00ED412F"/>
    <w:rsid w:val="00ED4173"/>
    <w:rsid w:val="00ED4A7B"/>
    <w:rsid w:val="00ED5E13"/>
    <w:rsid w:val="00ED5E93"/>
    <w:rsid w:val="00EE2B43"/>
    <w:rsid w:val="00EE330C"/>
    <w:rsid w:val="00EE3696"/>
    <w:rsid w:val="00EE4736"/>
    <w:rsid w:val="00EE5840"/>
    <w:rsid w:val="00EE6D9A"/>
    <w:rsid w:val="00EE7E43"/>
    <w:rsid w:val="00EF0186"/>
    <w:rsid w:val="00EF36B2"/>
    <w:rsid w:val="00EF47EA"/>
    <w:rsid w:val="00EF55D3"/>
    <w:rsid w:val="00EF684E"/>
    <w:rsid w:val="00EF7E75"/>
    <w:rsid w:val="00F00385"/>
    <w:rsid w:val="00F015EF"/>
    <w:rsid w:val="00F07066"/>
    <w:rsid w:val="00F072A8"/>
    <w:rsid w:val="00F10C7E"/>
    <w:rsid w:val="00F10EF7"/>
    <w:rsid w:val="00F11010"/>
    <w:rsid w:val="00F1230D"/>
    <w:rsid w:val="00F1231C"/>
    <w:rsid w:val="00F1246B"/>
    <w:rsid w:val="00F15459"/>
    <w:rsid w:val="00F201EC"/>
    <w:rsid w:val="00F20222"/>
    <w:rsid w:val="00F202FA"/>
    <w:rsid w:val="00F208A9"/>
    <w:rsid w:val="00F2102F"/>
    <w:rsid w:val="00F22CAF"/>
    <w:rsid w:val="00F23A5E"/>
    <w:rsid w:val="00F26112"/>
    <w:rsid w:val="00F27AAD"/>
    <w:rsid w:val="00F3002C"/>
    <w:rsid w:val="00F3162C"/>
    <w:rsid w:val="00F32728"/>
    <w:rsid w:val="00F36B50"/>
    <w:rsid w:val="00F40F69"/>
    <w:rsid w:val="00F41750"/>
    <w:rsid w:val="00F41D75"/>
    <w:rsid w:val="00F476FC"/>
    <w:rsid w:val="00F478B9"/>
    <w:rsid w:val="00F508C7"/>
    <w:rsid w:val="00F50BA6"/>
    <w:rsid w:val="00F5139D"/>
    <w:rsid w:val="00F51A70"/>
    <w:rsid w:val="00F51F04"/>
    <w:rsid w:val="00F523B6"/>
    <w:rsid w:val="00F52D2E"/>
    <w:rsid w:val="00F5363B"/>
    <w:rsid w:val="00F53FB7"/>
    <w:rsid w:val="00F5498A"/>
    <w:rsid w:val="00F56E87"/>
    <w:rsid w:val="00F571D6"/>
    <w:rsid w:val="00F57628"/>
    <w:rsid w:val="00F621F4"/>
    <w:rsid w:val="00F62F43"/>
    <w:rsid w:val="00F634E7"/>
    <w:rsid w:val="00F63DAC"/>
    <w:rsid w:val="00F63E88"/>
    <w:rsid w:val="00F64F3A"/>
    <w:rsid w:val="00F652AB"/>
    <w:rsid w:val="00F71B07"/>
    <w:rsid w:val="00F71BE2"/>
    <w:rsid w:val="00F71CFB"/>
    <w:rsid w:val="00F7454F"/>
    <w:rsid w:val="00F76049"/>
    <w:rsid w:val="00F76DDE"/>
    <w:rsid w:val="00F77511"/>
    <w:rsid w:val="00F77988"/>
    <w:rsid w:val="00F77F48"/>
    <w:rsid w:val="00F80637"/>
    <w:rsid w:val="00F80A2C"/>
    <w:rsid w:val="00F81E6D"/>
    <w:rsid w:val="00F82FD3"/>
    <w:rsid w:val="00F83F38"/>
    <w:rsid w:val="00F85C7C"/>
    <w:rsid w:val="00F90A76"/>
    <w:rsid w:val="00F9643E"/>
    <w:rsid w:val="00F97531"/>
    <w:rsid w:val="00FA0FD5"/>
    <w:rsid w:val="00FA13E0"/>
    <w:rsid w:val="00FA5A75"/>
    <w:rsid w:val="00FA69D1"/>
    <w:rsid w:val="00FB0959"/>
    <w:rsid w:val="00FB1083"/>
    <w:rsid w:val="00FB253C"/>
    <w:rsid w:val="00FB30F1"/>
    <w:rsid w:val="00FB37FF"/>
    <w:rsid w:val="00FB53E7"/>
    <w:rsid w:val="00FB6203"/>
    <w:rsid w:val="00FB69DD"/>
    <w:rsid w:val="00FC249F"/>
    <w:rsid w:val="00FC32B5"/>
    <w:rsid w:val="00FC39AC"/>
    <w:rsid w:val="00FC529B"/>
    <w:rsid w:val="00FC676F"/>
    <w:rsid w:val="00FD0E32"/>
    <w:rsid w:val="00FD2742"/>
    <w:rsid w:val="00FD2A8A"/>
    <w:rsid w:val="00FD5F84"/>
    <w:rsid w:val="00FD6D7E"/>
    <w:rsid w:val="00FD7E5B"/>
    <w:rsid w:val="00FD7E63"/>
    <w:rsid w:val="00FE1724"/>
    <w:rsid w:val="00FE196D"/>
    <w:rsid w:val="00FE2585"/>
    <w:rsid w:val="00FE39E8"/>
    <w:rsid w:val="00FE5277"/>
    <w:rsid w:val="00FE702F"/>
    <w:rsid w:val="00FF00D0"/>
    <w:rsid w:val="00FF6F20"/>
    <w:rsid w:val="00FF709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82886F-5A6D-4965-88F8-519425D4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0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customStyle="1" w:styleId="list0020paragraph">
    <w:name w:val="list_0020paragraph"/>
    <w:basedOn w:val="Normal"/>
    <w:uiPriority w:val="99"/>
    <w:rsid w:val="00B66CE8"/>
    <w:pPr>
      <w:ind w:left="720"/>
    </w:pPr>
    <w:rPr>
      <w:rFonts w:ascii="Calibri" w:hAnsi="Calibri"/>
      <w:sz w:val="22"/>
      <w:szCs w:val="22"/>
    </w:rPr>
  </w:style>
  <w:style w:type="character" w:customStyle="1" w:styleId="list0020paragraphchar">
    <w:name w:val="list_0020paragraph__char"/>
    <w:rsid w:val="00B66CE8"/>
  </w:style>
  <w:style w:type="paragraph" w:styleId="Revision">
    <w:name w:val="Revision"/>
    <w:hidden/>
    <w:uiPriority w:val="99"/>
    <w:semiHidden/>
    <w:rsid w:val="004E3837"/>
    <w:rPr>
      <w:sz w:val="24"/>
      <w:szCs w:val="24"/>
    </w:rPr>
  </w:style>
  <w:style w:type="paragraph" w:styleId="ListParagraph">
    <w:name w:val="List Paragraph"/>
    <w:basedOn w:val="Normal"/>
    <w:uiPriority w:val="34"/>
    <w:qFormat/>
    <w:rsid w:val="00AA2E8E"/>
    <w:pPr>
      <w:ind w:left="720"/>
      <w:contextualSpacing/>
    </w:pPr>
  </w:style>
  <w:style w:type="paragraph" w:styleId="BodyTextIndent">
    <w:name w:val="Body Text Indent"/>
    <w:basedOn w:val="Normal"/>
    <w:link w:val="BodyTextIndentChar"/>
    <w:unhideWhenUsed/>
    <w:rsid w:val="00DF6E70"/>
    <w:pPr>
      <w:ind w:firstLine="720"/>
      <w:jc w:val="both"/>
    </w:pPr>
  </w:style>
  <w:style w:type="character" w:customStyle="1" w:styleId="BodyTextIndentChar">
    <w:name w:val="Body Text Indent Char"/>
    <w:link w:val="BodyTextIndent"/>
    <w:rsid w:val="00DF6E70"/>
    <w:rPr>
      <w:sz w:val="24"/>
      <w:szCs w:val="24"/>
    </w:rPr>
  </w:style>
  <w:style w:type="paragraph" w:styleId="NoSpacing">
    <w:name w:val="No Spacing"/>
    <w:uiPriority w:val="1"/>
    <w:qFormat/>
    <w:rsid w:val="005A6E9A"/>
    <w:rPr>
      <w:rFonts w:ascii="Calibri" w:eastAsia="Calibri" w:hAnsi="Calibri"/>
      <w:sz w:val="22"/>
      <w:szCs w:val="22"/>
      <w:lang w:eastAsia="en-US"/>
    </w:rPr>
  </w:style>
  <w:style w:type="character" w:styleId="Strong">
    <w:name w:val="Strong"/>
    <w:basedOn w:val="DefaultParagraphFont"/>
    <w:uiPriority w:val="22"/>
    <w:qFormat/>
    <w:rsid w:val="00433F2B"/>
    <w:rPr>
      <w:b/>
      <w:bCs/>
    </w:rPr>
  </w:style>
  <w:style w:type="character" w:customStyle="1" w:styleId="FootnoteTextChar">
    <w:name w:val="Footnote Text Char"/>
    <w:basedOn w:val="DefaultParagraphFont"/>
    <w:link w:val="FootnoteText"/>
    <w:semiHidden/>
    <w:rsid w:val="00433F2B"/>
  </w:style>
  <w:style w:type="paragraph" w:customStyle="1" w:styleId="tv2132">
    <w:name w:val="tv2132"/>
    <w:basedOn w:val="Normal"/>
    <w:rsid w:val="00433F2B"/>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7560">
      <w:bodyDiv w:val="1"/>
      <w:marLeft w:val="0"/>
      <w:marRight w:val="0"/>
      <w:marTop w:val="0"/>
      <w:marBottom w:val="0"/>
      <w:divBdr>
        <w:top w:val="none" w:sz="0" w:space="0" w:color="auto"/>
        <w:left w:val="none" w:sz="0" w:space="0" w:color="auto"/>
        <w:bottom w:val="none" w:sz="0" w:space="0" w:color="auto"/>
        <w:right w:val="none" w:sz="0" w:space="0" w:color="auto"/>
      </w:divBdr>
    </w:div>
    <w:div w:id="243220361">
      <w:bodyDiv w:val="1"/>
      <w:marLeft w:val="0"/>
      <w:marRight w:val="0"/>
      <w:marTop w:val="0"/>
      <w:marBottom w:val="0"/>
      <w:divBdr>
        <w:top w:val="none" w:sz="0" w:space="0" w:color="auto"/>
        <w:left w:val="none" w:sz="0" w:space="0" w:color="auto"/>
        <w:bottom w:val="none" w:sz="0" w:space="0" w:color="auto"/>
        <w:right w:val="none" w:sz="0" w:space="0" w:color="auto"/>
      </w:divBdr>
    </w:div>
    <w:div w:id="271010443">
      <w:bodyDiv w:val="1"/>
      <w:marLeft w:val="0"/>
      <w:marRight w:val="0"/>
      <w:marTop w:val="0"/>
      <w:marBottom w:val="0"/>
      <w:divBdr>
        <w:top w:val="none" w:sz="0" w:space="0" w:color="auto"/>
        <w:left w:val="none" w:sz="0" w:space="0" w:color="auto"/>
        <w:bottom w:val="none" w:sz="0" w:space="0" w:color="auto"/>
        <w:right w:val="none" w:sz="0" w:space="0" w:color="auto"/>
      </w:divBdr>
    </w:div>
    <w:div w:id="1045060648">
      <w:bodyDiv w:val="1"/>
      <w:marLeft w:val="0"/>
      <w:marRight w:val="0"/>
      <w:marTop w:val="0"/>
      <w:marBottom w:val="0"/>
      <w:divBdr>
        <w:top w:val="none" w:sz="0" w:space="0" w:color="auto"/>
        <w:left w:val="none" w:sz="0" w:space="0" w:color="auto"/>
        <w:bottom w:val="none" w:sz="0" w:space="0" w:color="auto"/>
        <w:right w:val="none" w:sz="0" w:space="0" w:color="auto"/>
      </w:divBdr>
    </w:div>
    <w:div w:id="1438864773">
      <w:bodyDiv w:val="1"/>
      <w:marLeft w:val="0"/>
      <w:marRight w:val="0"/>
      <w:marTop w:val="0"/>
      <w:marBottom w:val="0"/>
      <w:divBdr>
        <w:top w:val="none" w:sz="0" w:space="0" w:color="auto"/>
        <w:left w:val="none" w:sz="0" w:space="0" w:color="auto"/>
        <w:bottom w:val="none" w:sz="0" w:space="0" w:color="auto"/>
        <w:right w:val="none" w:sz="0" w:space="0" w:color="auto"/>
      </w:divBdr>
    </w:div>
    <w:div w:id="1951157281">
      <w:bodyDiv w:val="1"/>
      <w:marLeft w:val="0"/>
      <w:marRight w:val="0"/>
      <w:marTop w:val="0"/>
      <w:marBottom w:val="0"/>
      <w:divBdr>
        <w:top w:val="none" w:sz="0" w:space="0" w:color="auto"/>
        <w:left w:val="none" w:sz="0" w:space="0" w:color="auto"/>
        <w:bottom w:val="none" w:sz="0" w:space="0" w:color="auto"/>
        <w:right w:val="none" w:sz="0" w:space="0" w:color="auto"/>
      </w:divBdr>
    </w:div>
    <w:div w:id="20711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anete.Zvaigzne@f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irts.helmanis@kase.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Likumprojekts</Kategorija>
    <DKP xmlns="2e5bb04e-596e-45bd-9003-43ca78b1ba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085CF-864D-4713-9683-21FCA5DBA32A}">
  <ds:schemaRefs>
    <ds:schemaRef ds:uri="http://schemas.microsoft.com/office/2006/metadata/properties"/>
    <ds:schemaRef ds:uri="http://schemas.microsoft.com/office/infopath/2007/PartnerControls"/>
    <ds:schemaRef ds:uri="2e5bb04e-596e-45bd-9003-43ca78b1ba16"/>
  </ds:schemaRefs>
</ds:datastoreItem>
</file>

<file path=customXml/itemProps2.xml><?xml version="1.0" encoding="utf-8"?>
<ds:datastoreItem xmlns:ds="http://schemas.openxmlformats.org/officeDocument/2006/customXml" ds:itemID="{036610A6-7033-43A0-A8DB-D029A74F7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578DF2E-3E46-4EA1-AD7D-EBCCC1A71361}">
  <ds:schemaRefs>
    <ds:schemaRef ds:uri="http://schemas.microsoft.com/office/2006/metadata/longProperties"/>
  </ds:schemaRefs>
</ds:datastoreItem>
</file>

<file path=customXml/itemProps4.xml><?xml version="1.0" encoding="utf-8"?>
<ds:datastoreItem xmlns:ds="http://schemas.openxmlformats.org/officeDocument/2006/customXml" ds:itemID="{9A2D1314-83C5-4743-BEEC-1A9FC2B3ACEA}">
  <ds:schemaRefs>
    <ds:schemaRef ds:uri="http://schemas.microsoft.com/sharepoint/v3/contenttype/forms"/>
  </ds:schemaRefs>
</ds:datastoreItem>
</file>

<file path=customXml/itemProps5.xml><?xml version="1.0" encoding="utf-8"?>
<ds:datastoreItem xmlns:ds="http://schemas.openxmlformats.org/officeDocument/2006/customXml" ds:itemID="{8ACEF405-192A-47ED-A819-6BDEFDDB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9759</Words>
  <Characters>5563</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budžetu un finanšu vadību” sākotnējās ietekmes novērtējuma ziņojums (anotācija)</vt:lpstr>
      <vt:lpstr>Likumprojekta „Grozījumi likumā „Par presi un citiem masu informācijas līdzekļiem”” sākotnējās ietekmes novērtējuma ziņojums (anotācija)</vt:lpstr>
    </vt:vector>
  </TitlesOfParts>
  <Company>Finanšu ministrija</Company>
  <LinksUpToDate>false</LinksUpToDate>
  <CharactersWithSpaces>15292</CharactersWithSpaces>
  <SharedDoc>false</SharedDoc>
  <HLinks>
    <vt:vector size="6" baseType="variant">
      <vt:variant>
        <vt:i4>1114166</vt:i4>
      </vt:variant>
      <vt:variant>
        <vt:i4>3</vt:i4>
      </vt:variant>
      <vt:variant>
        <vt:i4>0</vt:i4>
      </vt:variant>
      <vt:variant>
        <vt:i4>5</vt:i4>
      </vt:variant>
      <vt:variant>
        <vt:lpwstr>mailto:Ilze.Grinberga@em.gov.lv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budžetu un finanšu vadību” sākotnējās ietekmes novērtējuma ziņojums (anotācija)</dc:title>
  <dc:subject>Anotācija</dc:subject>
  <dc:creator>L.Jevčuka</dc:creator>
  <dc:description>L.Jevčuka
67095442; fakss 67095541
Ludmila.Jevcuka@fm.gov.lv  </dc:description>
  <cp:lastModifiedBy>Marija Radeiko</cp:lastModifiedBy>
  <cp:revision>4</cp:revision>
  <cp:lastPrinted>2016-05-11T06:09:00Z</cp:lastPrinted>
  <dcterms:created xsi:type="dcterms:W3CDTF">2016-09-16T07:31:00Z</dcterms:created>
  <dcterms:modified xsi:type="dcterms:W3CDTF">2016-09-19T14:17:00Z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