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FCCCF" w14:textId="77777777" w:rsidR="00D45F3F" w:rsidRPr="00225B51" w:rsidRDefault="00D45F3F" w:rsidP="00F923AC">
      <w:pPr>
        <w:jc w:val="center"/>
        <w:rPr>
          <w:rFonts w:cs="Times New Roman"/>
          <w:b/>
          <w:szCs w:val="24"/>
        </w:rPr>
      </w:pPr>
      <w:r w:rsidRPr="00225B51">
        <w:rPr>
          <w:rFonts w:cs="Times New Roman"/>
          <w:b/>
          <w:szCs w:val="24"/>
        </w:rPr>
        <w:t>Likumprojekta</w:t>
      </w:r>
    </w:p>
    <w:p w14:paraId="59610D2B" w14:textId="583470A2" w:rsidR="00D45F3F" w:rsidRPr="00BB56CE" w:rsidRDefault="00D45F3F" w:rsidP="00936B2E">
      <w:pPr>
        <w:jc w:val="center"/>
        <w:rPr>
          <w:rFonts w:cs="Times New Roman"/>
          <w:b/>
          <w:szCs w:val="24"/>
        </w:rPr>
      </w:pPr>
      <w:r w:rsidRPr="00936B2E">
        <w:rPr>
          <w:rFonts w:cs="Times New Roman"/>
          <w:b/>
          <w:bCs/>
          <w:szCs w:val="24"/>
        </w:rPr>
        <w:t>„</w:t>
      </w:r>
      <w:r w:rsidR="00936B2E" w:rsidRPr="00936B2E">
        <w:rPr>
          <w:rFonts w:cs="Times New Roman"/>
          <w:b/>
          <w:szCs w:val="24"/>
        </w:rPr>
        <w:t xml:space="preserve">Grozījumi </w:t>
      </w:r>
      <w:r w:rsidR="00936B2E" w:rsidRPr="00936B2E">
        <w:rPr>
          <w:rFonts w:cs="Times New Roman"/>
          <w:b/>
          <w:bCs/>
          <w:szCs w:val="24"/>
        </w:rPr>
        <w:t>Sauszemes transportlīdzekļu īpašnieku civiltiesiskās atbildības obligātās apdrošināšanas likumā</w:t>
      </w:r>
      <w:r w:rsidR="00423A98">
        <w:rPr>
          <w:rFonts w:cs="Times New Roman"/>
          <w:b/>
          <w:szCs w:val="24"/>
        </w:rPr>
        <w:t>”</w:t>
      </w:r>
      <w:r w:rsidR="00936B2E">
        <w:rPr>
          <w:rFonts w:cs="Times New Roman"/>
          <w:b/>
          <w:szCs w:val="24"/>
        </w:rPr>
        <w:t xml:space="preserve"> </w:t>
      </w:r>
      <w:r w:rsidRPr="00936B2E">
        <w:rPr>
          <w:rFonts w:cs="Times New Roman"/>
          <w:b/>
          <w:szCs w:val="24"/>
        </w:rPr>
        <w:t>sākotnējās ietekmes novērtējuma ziņojums (anotācija</w:t>
      </w:r>
      <w:r w:rsidRPr="00225B51">
        <w:rPr>
          <w:rFonts w:cs="Times New Roman"/>
          <w:b/>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1"/>
        <w:gridCol w:w="1569"/>
        <w:gridCol w:w="6443"/>
      </w:tblGrid>
      <w:tr w:rsidR="00D45F3F" w:rsidRPr="00225B51" w14:paraId="59590323" w14:textId="77777777" w:rsidTr="0009297F">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432114" w14:textId="77777777" w:rsidR="00D45F3F" w:rsidRPr="00225B51" w:rsidRDefault="00D45F3F" w:rsidP="00F923AC">
            <w:pPr>
              <w:spacing w:before="100" w:beforeAutospacing="1" w:after="100" w:afterAutospacing="1"/>
              <w:ind w:firstLine="300"/>
              <w:jc w:val="center"/>
              <w:rPr>
                <w:rFonts w:eastAsia="Times New Roman" w:cs="Times New Roman"/>
                <w:b/>
                <w:bCs/>
                <w:szCs w:val="24"/>
                <w:lang w:eastAsia="lv-LV"/>
              </w:rPr>
            </w:pPr>
            <w:r w:rsidRPr="00225B51">
              <w:rPr>
                <w:rFonts w:eastAsia="Times New Roman" w:cs="Times New Roman"/>
                <w:b/>
                <w:bCs/>
                <w:szCs w:val="24"/>
                <w:lang w:eastAsia="lv-LV"/>
              </w:rPr>
              <w:t>I. Tiesību akta projekta izstrādes nepieciešamība</w:t>
            </w:r>
          </w:p>
        </w:tc>
      </w:tr>
      <w:tr w:rsidR="00D45F3F" w:rsidRPr="00225B51" w14:paraId="2B4312C6" w14:textId="77777777" w:rsidTr="0009297F">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46DA2DC1" w14:textId="77777777" w:rsidR="00D45F3F" w:rsidRPr="00225B51" w:rsidRDefault="00D45F3F" w:rsidP="00F923AC">
            <w:pPr>
              <w:spacing w:before="100" w:beforeAutospacing="1" w:after="100" w:afterAutospacing="1"/>
              <w:ind w:firstLine="300"/>
              <w:jc w:val="center"/>
              <w:rPr>
                <w:rFonts w:eastAsia="Times New Roman" w:cs="Times New Roman"/>
                <w:szCs w:val="24"/>
                <w:lang w:eastAsia="lv-LV"/>
              </w:rPr>
            </w:pPr>
            <w:r w:rsidRPr="00225B51">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14:paraId="3B1A2F5D"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14:paraId="7697CBFD" w14:textId="77777777" w:rsidR="00B70B3A" w:rsidRPr="00B70B3A" w:rsidRDefault="006964FC" w:rsidP="00F923AC">
            <w:pPr>
              <w:autoSpaceDE w:val="0"/>
              <w:autoSpaceDN w:val="0"/>
              <w:adjustRightInd w:val="0"/>
              <w:jc w:val="both"/>
              <w:rPr>
                <w:rFonts w:cs="Times New Roman"/>
                <w:szCs w:val="24"/>
              </w:rPr>
            </w:pPr>
            <w:r>
              <w:rPr>
                <w:rFonts w:cs="Times New Roman"/>
                <w:bCs/>
                <w:szCs w:val="24"/>
              </w:rPr>
              <w:t>In</w:t>
            </w:r>
            <w:r w:rsidR="00B70B3A">
              <w:rPr>
                <w:rFonts w:cs="Times New Roman"/>
                <w:bCs/>
                <w:szCs w:val="24"/>
              </w:rPr>
              <w:t>formatīvajā</w:t>
            </w:r>
            <w:r>
              <w:rPr>
                <w:rFonts w:cs="Times New Roman"/>
                <w:bCs/>
                <w:szCs w:val="24"/>
              </w:rPr>
              <w:t xml:space="preserve"> zi</w:t>
            </w:r>
            <w:r w:rsidR="00B70B3A">
              <w:rPr>
                <w:rFonts w:cs="Times New Roman"/>
                <w:bCs/>
                <w:szCs w:val="24"/>
              </w:rPr>
              <w:t>ņojumā</w:t>
            </w:r>
            <w:r>
              <w:rPr>
                <w:rFonts w:cs="Times New Roman"/>
                <w:bCs/>
                <w:szCs w:val="24"/>
              </w:rPr>
              <w:t xml:space="preserve"> “Par iespējām palielināt ieņēmumus”</w:t>
            </w:r>
            <w:r w:rsidR="00B70B3A">
              <w:rPr>
                <w:rFonts w:cs="Times New Roman"/>
                <w:bCs/>
                <w:szCs w:val="24"/>
              </w:rPr>
              <w:t xml:space="preserve"> (</w:t>
            </w:r>
            <w:r>
              <w:rPr>
                <w:rFonts w:cs="Times New Roman"/>
                <w:bCs/>
                <w:szCs w:val="24"/>
              </w:rPr>
              <w:t>Ministru kabineta 2016.gada 2.augusta sēdes protokola Nr.38 49.§</w:t>
            </w:r>
            <w:r w:rsidR="00B70B3A">
              <w:rPr>
                <w:rFonts w:cs="Times New Roman"/>
                <w:bCs/>
                <w:szCs w:val="24"/>
              </w:rPr>
              <w:t>) tika iekļauts priekšlikums i</w:t>
            </w:r>
            <w:r w:rsidR="00B70B3A" w:rsidRPr="00B70B3A">
              <w:rPr>
                <w:rFonts w:cs="Times New Roman"/>
                <w:szCs w:val="24"/>
              </w:rPr>
              <w:t>erobežot nodokļu nemaksāšanas riskus transportlīdzekļu apkopes un remonta nozarē, kad kā apdrošināšanas atlīdzības veids tiek izvēlēts remonta pakalpojuma kompensācija</w:t>
            </w:r>
            <w:r w:rsidR="00B70B3A">
              <w:rPr>
                <w:rFonts w:cs="Times New Roman"/>
                <w:szCs w:val="24"/>
              </w:rPr>
              <w:t xml:space="preserve">. Ziņojumā tika ierosināts </w:t>
            </w:r>
            <w:r w:rsidR="00B70B3A" w:rsidRPr="00A2585C">
              <w:rPr>
                <w:rFonts w:cs="Times New Roman"/>
                <w:szCs w:val="24"/>
              </w:rPr>
              <w:t xml:space="preserve">Sauszemes transportlīdzekļu īpašnieku civiltiesiskās atbildības obligātās apdrošināšanas likuma </w:t>
            </w:r>
            <w:r w:rsidR="00423A98">
              <w:rPr>
                <w:rFonts w:cs="Times New Roman"/>
                <w:szCs w:val="24"/>
              </w:rPr>
              <w:t xml:space="preserve">(turpmāk – OCTA likums) </w:t>
            </w:r>
            <w:r w:rsidR="00B70B3A" w:rsidRPr="00A2585C">
              <w:rPr>
                <w:rFonts w:cs="Times New Roman"/>
                <w:szCs w:val="24"/>
              </w:rPr>
              <w:t>25.pantā papildus pievienotās vērtības nodokļa summas 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p w14:paraId="38799482" w14:textId="77777777" w:rsidR="00D45F3F" w:rsidRPr="0036214C" w:rsidRDefault="00936B2E" w:rsidP="00F923AC">
            <w:pPr>
              <w:autoSpaceDE w:val="0"/>
              <w:autoSpaceDN w:val="0"/>
              <w:adjustRightInd w:val="0"/>
              <w:jc w:val="both"/>
              <w:rPr>
                <w:rFonts w:cs="Times New Roman"/>
                <w:szCs w:val="24"/>
              </w:rPr>
            </w:pPr>
            <w:r w:rsidRPr="00882C2E">
              <w:rPr>
                <w:rFonts w:cs="Times New Roman"/>
                <w:bCs/>
                <w:szCs w:val="24"/>
              </w:rPr>
              <w:t xml:space="preserve"> </w:t>
            </w:r>
          </w:p>
        </w:tc>
      </w:tr>
      <w:tr w:rsidR="00D45F3F" w:rsidRPr="00225B51" w14:paraId="307C45F2" w14:textId="77777777" w:rsidTr="0009297F">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4733FDB6" w14:textId="77777777" w:rsidR="00D45F3F" w:rsidRPr="00225B51" w:rsidRDefault="00D45F3F" w:rsidP="00F923AC">
            <w:pPr>
              <w:spacing w:before="100" w:beforeAutospacing="1" w:after="100" w:afterAutospacing="1"/>
              <w:ind w:firstLine="300"/>
              <w:jc w:val="center"/>
              <w:rPr>
                <w:rFonts w:eastAsia="Times New Roman" w:cs="Times New Roman"/>
                <w:szCs w:val="24"/>
                <w:lang w:eastAsia="lv-LV"/>
              </w:rPr>
            </w:pPr>
            <w:r w:rsidRPr="00225B51">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14:paraId="30990968"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14:paraId="7D07D4D1" w14:textId="6321595A" w:rsidR="00F40933" w:rsidRPr="00E91FB6" w:rsidRDefault="00E94986" w:rsidP="00E91FB6">
            <w:pPr>
              <w:jc w:val="both"/>
              <w:rPr>
                <w:bCs/>
              </w:rPr>
            </w:pPr>
            <w:r>
              <w:rPr>
                <w:szCs w:val="24"/>
              </w:rPr>
              <w:t xml:space="preserve">Ar šo likumprojektu </w:t>
            </w:r>
            <w:r>
              <w:rPr>
                <w:bCs/>
                <w:szCs w:val="24"/>
              </w:rPr>
              <w:t>OCTA likumā</w:t>
            </w:r>
            <w:r w:rsidR="00423A98">
              <w:rPr>
                <w:bCs/>
                <w:szCs w:val="24"/>
              </w:rPr>
              <w:t xml:space="preserve"> </w:t>
            </w:r>
            <w:r w:rsidRPr="00E91FB6">
              <w:t>25.panta</w:t>
            </w:r>
            <w:r w:rsidRPr="00423A98">
              <w:rPr>
                <w:b/>
              </w:rPr>
              <w:t xml:space="preserve"> </w:t>
            </w:r>
            <w:r>
              <w:t xml:space="preserve">otrā daļa tiek izteikta jaunā redakcijā un pants tiek papildināts ar trešo, ceturto  un piekto daļu, lai </w:t>
            </w:r>
            <w:r w:rsidRPr="00423A98">
              <w:rPr>
                <w:bCs/>
              </w:rPr>
              <w:t>samazinātu gadījumu skaitu, kad, izmaksājot apdrošināšanas atlīdzību, notiek tīša un apzināta komersanta izvairīšanās no nodokļu nomaksas,</w:t>
            </w:r>
            <w:r>
              <w:t xml:space="preserve"> ve</w:t>
            </w:r>
            <w:r w:rsidRPr="00423A98">
              <w:rPr>
                <w:bCs/>
              </w:rPr>
              <w:t xml:space="preserve">icot bojātā transportlīdzekļa remontu. Nolūkā veicināt nodokļu maksāšanu par transportlīdzekļu remontu, ir izdarīti grozījumi OCTA likuma 25.panta otrajā daļā, piemērojot zaudējumā aprēķinā norādītās summas samazinājumu par 30%, kas izmaksājama personai, gadījumos, kad tā transportlīdzekļa remonta vietā izvēlas apdrošināšanas atlīdzības izmaksu skaidrā naudā. 30% aptuveni atbilst darba spēka nodokļa izmaksām kopējās pakalpojuma izmaksās. Kopējo apdrošināšanas atlīdzības summu veido darba spēka izmaksas un transportlīdzekļa remontam nepieciešamo rezerves daļu un materiālu izmaksas. Pēc Auto asociācijas sniegtajiem datiem 2014. gadā vidējais krāsošanas darbu un mehāniķa darbu īpatsvars tāmē sastādīja 30% no tāmes kopsummas. Turklāt spēkā paliek līdzšinējā kārtība, ka, </w:t>
            </w:r>
            <w:r w:rsidRPr="00423A98">
              <w:rPr>
                <w:bCs/>
              </w:rPr>
              <w:lastRenderedPageBreak/>
              <w:t xml:space="preserve">izmaksājot apdrošināšanas atlīdzību naudā, atlīdzība tiek samazināta par aprēķinātā PVN summu. OCTA likuma 25.panta </w:t>
            </w:r>
            <w:r w:rsidRPr="00E91FB6">
              <w:rPr>
                <w:bCs/>
              </w:rPr>
              <w:t xml:space="preserve">grozījumu rezultātā radītais indivīdu tiesību ir ierobežojums ir attaisnojams, jo grozījumu mērķis ir veicināt godīgu komercdarbības vidi transportlīdzekļu  remonta nozarē, lai samazinātu to komersantu skaitu, kas izvairās no nodokļu nomaksas, tādējādi nodarot kaitējumu valsts budžetam un negatīvi ietekmējot sabiedrības labklājības līmeņa attīstību. Šādu mērķi nav iespējams sasniegt ar mazāk ierobežojošiem līdzekļiem, jo, kā redzams, līdzšinējie centieni, tostarp, 2011.gadā veiktie grozījumi OCTA likumā saistībā ar apdrošināšanas atlīdzības izmaksu skaidrā naudā, nav sasnieguši plānoto mērķi iecerētajā apmērā, jo apdrošināšanas atlīdzību izmaksu skaidrā naudā skaits gandrīz četru gadu laikā ir sarucis tikai par 12,33% un gadījumu skaits, kad komersanti nozarē izvairās no nodokļu nomaksas joprojām ir ievērojami augsts. Turklāt, ja apdrošināšanas atlīdzības izmaksas gadījumā, transportlīdzeklis ir  saremontēts,  personai likumā ir noteiktas tiesības, uzrādot maksājumu apliecinošu dokumentu, saņemt samaksāto starpību par transportlīdzekļa remontu atpakaļ, kā rezultātā apdrošināšanas atlīdzība tiek izmaksāta pilnā apmērā atbilstoši zaudējumu aprēķinā norādītajam. </w:t>
            </w:r>
            <w:r w:rsidRPr="00E91FB6">
              <w:rPr>
                <w:bCs/>
                <w:i/>
              </w:rPr>
              <w:t>“</w:t>
            </w:r>
            <w:r w:rsidRPr="00E91FB6">
              <w:rPr>
                <w:i/>
              </w:rPr>
              <w:t xml:space="preserve">Zaudējumu atlīdzības prasības lietās, kur zaudējumi novērtēti mantas (lietas) sākotnējā stāvokļa atjaunošanas izmaksu apmērā, pievienotās vērtības nodokļa un sociālā nodokļa maksājumi atzīstami par atlīdzināmiem tikai tad, ja tie pierādīti ar attiecīgiem dokumentiem par šādu maksājumu veikšanu. Prasītājam tiek saglabāta tiesība atprasīt šos nodokļu maksājumus, ja nākotnē tādi radīsies (Civillikuma 1771.pants).” </w:t>
            </w:r>
            <w:r>
              <w:t>(Augstākās tiesas Senāta Civillietu departamenta 2010.gada 29.septembra spriedums lietā Nr.SKC-191)</w:t>
            </w:r>
          </w:p>
        </w:tc>
      </w:tr>
      <w:tr w:rsidR="00D45F3F" w:rsidRPr="00225B51" w14:paraId="14B47F24" w14:textId="77777777" w:rsidTr="0009297F">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2A941DAC" w14:textId="77777777" w:rsidR="00D45F3F" w:rsidRPr="00225B51" w:rsidRDefault="00D45F3F" w:rsidP="00F923AC">
            <w:pPr>
              <w:spacing w:before="100" w:beforeAutospacing="1" w:after="100" w:afterAutospacing="1"/>
              <w:ind w:firstLine="300"/>
              <w:jc w:val="center"/>
              <w:rPr>
                <w:rFonts w:eastAsia="Times New Roman" w:cs="Times New Roman"/>
                <w:szCs w:val="24"/>
                <w:lang w:eastAsia="lv-LV"/>
              </w:rPr>
            </w:pPr>
            <w:r w:rsidRPr="00225B51">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14:paraId="0F431146"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14:paraId="1AFA7057" w14:textId="77777777" w:rsidR="00D45F3F" w:rsidRPr="00225B51" w:rsidRDefault="006B589B" w:rsidP="006B589B">
            <w:pPr>
              <w:jc w:val="both"/>
              <w:rPr>
                <w:rFonts w:cs="Times New Roman"/>
                <w:szCs w:val="24"/>
              </w:rPr>
            </w:pPr>
            <w:r>
              <w:rPr>
                <w:rFonts w:eastAsia="Times New Roman" w:cs="Times New Roman"/>
                <w:szCs w:val="24"/>
                <w:lang w:eastAsia="lv-LV"/>
              </w:rPr>
              <w:t xml:space="preserve">Finanšu ministrija, Valsts ieņēmumu dienests, </w:t>
            </w:r>
            <w:r>
              <w:rPr>
                <w:rFonts w:cs="Times New Roman"/>
                <w:iCs/>
                <w:szCs w:val="24"/>
              </w:rPr>
              <w:t>Tieslietu ministrija.</w:t>
            </w:r>
          </w:p>
        </w:tc>
      </w:tr>
      <w:tr w:rsidR="00D45F3F" w:rsidRPr="00225B51" w14:paraId="02154F84" w14:textId="77777777" w:rsidTr="0009297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B7E5122" w14:textId="77777777" w:rsidR="00D45F3F" w:rsidRPr="00225B51" w:rsidRDefault="00D45F3F" w:rsidP="00F923AC">
            <w:pPr>
              <w:spacing w:before="100" w:beforeAutospacing="1" w:after="100" w:afterAutospacing="1"/>
              <w:ind w:firstLine="300"/>
              <w:jc w:val="center"/>
              <w:rPr>
                <w:rFonts w:eastAsia="Times New Roman" w:cs="Times New Roman"/>
                <w:szCs w:val="24"/>
                <w:lang w:eastAsia="lv-LV"/>
              </w:rPr>
            </w:pPr>
            <w:r w:rsidRPr="00225B51">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14:paraId="67FB6303"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32124607" w14:textId="77777777" w:rsidR="00D45F3F" w:rsidRPr="00225B51" w:rsidRDefault="00D45F3F" w:rsidP="00F923AC">
            <w:pPr>
              <w:spacing w:before="100" w:beforeAutospacing="1" w:after="100" w:afterAutospacing="1"/>
              <w:rPr>
                <w:rFonts w:eastAsia="Times New Roman" w:cs="Times New Roman"/>
                <w:szCs w:val="24"/>
                <w:lang w:eastAsia="lv-LV"/>
              </w:rPr>
            </w:pPr>
            <w:r w:rsidRPr="00225B51">
              <w:rPr>
                <w:rFonts w:eastAsia="Times New Roman" w:cs="Times New Roman"/>
                <w:szCs w:val="24"/>
                <w:lang w:eastAsia="lv-LV"/>
              </w:rPr>
              <w:t>Nav</w:t>
            </w:r>
          </w:p>
        </w:tc>
      </w:tr>
    </w:tbl>
    <w:p w14:paraId="06982DAF" w14:textId="77777777" w:rsidR="00D45F3F" w:rsidRPr="00225B51" w:rsidRDefault="00D45F3F" w:rsidP="00F923AC">
      <w:pPr>
        <w:spacing w:before="100" w:beforeAutospacing="1" w:after="100" w:afterAutospacing="1"/>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696"/>
        <w:gridCol w:w="5486"/>
      </w:tblGrid>
      <w:tr w:rsidR="00D45F3F" w:rsidRPr="00225B51" w14:paraId="58EA2B54" w14:textId="77777777" w:rsidTr="0009297F">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D44EE" w14:textId="77777777" w:rsidR="00D45F3F" w:rsidRPr="00225B51" w:rsidRDefault="00D45F3F" w:rsidP="00F923AC">
            <w:pPr>
              <w:spacing w:before="100" w:beforeAutospacing="1" w:after="100" w:afterAutospacing="1"/>
              <w:ind w:firstLine="300"/>
              <w:jc w:val="center"/>
              <w:rPr>
                <w:rFonts w:eastAsia="Times New Roman" w:cs="Times New Roman"/>
                <w:b/>
                <w:bCs/>
                <w:szCs w:val="24"/>
                <w:lang w:eastAsia="lv-LV"/>
              </w:rPr>
            </w:pPr>
            <w:r w:rsidRPr="00225B51">
              <w:rPr>
                <w:rFonts w:eastAsia="Times New Roman" w:cs="Times New Roman"/>
                <w:b/>
                <w:bCs/>
                <w:szCs w:val="24"/>
                <w:lang w:eastAsia="lv-LV"/>
              </w:rPr>
              <w:t>II. Tiesību akta projekta ietekme uz sabiedrību, tautsaimniecības attīstību un administratīvo slogu</w:t>
            </w:r>
          </w:p>
        </w:tc>
      </w:tr>
      <w:tr w:rsidR="00D45F3F" w:rsidRPr="00225B51" w14:paraId="210DE7E0" w14:textId="77777777" w:rsidTr="00B70B3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A8D0E0C"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1.</w:t>
            </w:r>
          </w:p>
        </w:tc>
        <w:tc>
          <w:tcPr>
            <w:tcW w:w="1541" w:type="pct"/>
            <w:tcBorders>
              <w:top w:val="outset" w:sz="6" w:space="0" w:color="auto"/>
              <w:left w:val="outset" w:sz="6" w:space="0" w:color="auto"/>
              <w:bottom w:val="outset" w:sz="6" w:space="0" w:color="auto"/>
              <w:right w:val="outset" w:sz="6" w:space="0" w:color="auto"/>
            </w:tcBorders>
            <w:hideMark/>
          </w:tcPr>
          <w:p w14:paraId="006099F6"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 xml:space="preserve">Sabiedrības </w:t>
            </w:r>
            <w:proofErr w:type="spellStart"/>
            <w:r w:rsidRPr="00225B51">
              <w:rPr>
                <w:rFonts w:eastAsia="Times New Roman" w:cs="Times New Roman"/>
                <w:szCs w:val="24"/>
                <w:lang w:eastAsia="lv-LV"/>
              </w:rPr>
              <w:t>mērķgrupas</w:t>
            </w:r>
            <w:proofErr w:type="spellEnd"/>
            <w:r w:rsidRPr="00225B51">
              <w:rPr>
                <w:rFonts w:eastAsia="Times New Roman" w:cs="Times New Roman"/>
                <w:szCs w:val="24"/>
                <w:lang w:eastAsia="lv-LV"/>
              </w:rPr>
              <w:t>, kuras tiesiskais regulējums ietekmē vai varētu ietekmēt</w:t>
            </w:r>
          </w:p>
        </w:tc>
        <w:tc>
          <w:tcPr>
            <w:tcW w:w="3145" w:type="pct"/>
            <w:tcBorders>
              <w:top w:val="outset" w:sz="6" w:space="0" w:color="auto"/>
              <w:left w:val="outset" w:sz="6" w:space="0" w:color="auto"/>
              <w:bottom w:val="outset" w:sz="6" w:space="0" w:color="auto"/>
              <w:right w:val="outset" w:sz="6" w:space="0" w:color="auto"/>
            </w:tcBorders>
            <w:hideMark/>
          </w:tcPr>
          <w:p w14:paraId="14FF1D4E" w14:textId="77777777" w:rsidR="00936B2E" w:rsidRPr="00882C2E" w:rsidRDefault="00936B2E" w:rsidP="00936B2E">
            <w:pPr>
              <w:jc w:val="both"/>
              <w:rPr>
                <w:rFonts w:cs="Times New Roman"/>
                <w:iCs/>
                <w:szCs w:val="24"/>
              </w:rPr>
            </w:pPr>
            <w:r w:rsidRPr="00882C2E">
              <w:rPr>
                <w:rFonts w:cs="Times New Roman"/>
                <w:iCs/>
                <w:szCs w:val="24"/>
              </w:rPr>
              <w:t>Likumprojektā ietvertais tiesiskais regulējums attiecas uz šādām personām un institūcijām:</w:t>
            </w:r>
          </w:p>
          <w:p w14:paraId="1A13EFE3" w14:textId="77777777" w:rsidR="00936B2E" w:rsidRPr="00882C2E" w:rsidRDefault="00936B2E" w:rsidP="00936B2E">
            <w:pPr>
              <w:pStyle w:val="ListParagraph"/>
              <w:numPr>
                <w:ilvl w:val="0"/>
                <w:numId w:val="2"/>
              </w:numPr>
              <w:jc w:val="both"/>
              <w:rPr>
                <w:iCs/>
              </w:rPr>
            </w:pPr>
            <w:r w:rsidRPr="00882C2E">
              <w:rPr>
                <w:iCs/>
              </w:rPr>
              <w:t>transportlīdzekļa īpašniekiem un tiesīgajiem lietotājiem,</w:t>
            </w:r>
          </w:p>
          <w:p w14:paraId="09E6A24E" w14:textId="77777777" w:rsidR="00936B2E" w:rsidRPr="00FD2A05" w:rsidRDefault="00936B2E" w:rsidP="00936B2E">
            <w:pPr>
              <w:pStyle w:val="ListParagraph"/>
              <w:numPr>
                <w:ilvl w:val="0"/>
                <w:numId w:val="2"/>
              </w:numPr>
              <w:jc w:val="both"/>
              <w:rPr>
                <w:lang w:eastAsia="lv-LV"/>
              </w:rPr>
            </w:pPr>
            <w:r w:rsidRPr="00882C2E">
              <w:rPr>
                <w:iCs/>
              </w:rPr>
              <w:t>apdrošinājuma ņēmējiem, kas slēdz OCTA līgumus,</w:t>
            </w:r>
          </w:p>
          <w:p w14:paraId="6FED30E7" w14:textId="748DBF10" w:rsidR="00936B2E" w:rsidRPr="00882C2E" w:rsidRDefault="00423A98" w:rsidP="00936B2E">
            <w:pPr>
              <w:pStyle w:val="ListParagraph"/>
              <w:numPr>
                <w:ilvl w:val="0"/>
                <w:numId w:val="2"/>
              </w:numPr>
              <w:jc w:val="both"/>
              <w:rPr>
                <w:lang w:eastAsia="lv-LV"/>
              </w:rPr>
            </w:pPr>
            <w:r>
              <w:rPr>
                <w:bCs/>
              </w:rPr>
              <w:lastRenderedPageBreak/>
              <w:t>ceļu satiksmes negadījumā</w:t>
            </w:r>
            <w:r w:rsidR="00936B2E" w:rsidRPr="00882C2E">
              <w:rPr>
                <w:lang w:eastAsia="lv-LV"/>
              </w:rPr>
              <w:t xml:space="preserve"> iesaistītajām personām, </w:t>
            </w:r>
          </w:p>
          <w:p w14:paraId="797A0482" w14:textId="3D885434" w:rsidR="00936B2E" w:rsidRPr="00882C2E" w:rsidRDefault="00E91FB6" w:rsidP="00936B2E">
            <w:pPr>
              <w:pStyle w:val="ListParagraph"/>
              <w:numPr>
                <w:ilvl w:val="0"/>
                <w:numId w:val="2"/>
              </w:numPr>
              <w:jc w:val="both"/>
              <w:rPr>
                <w:lang w:eastAsia="lv-LV"/>
              </w:rPr>
            </w:pPr>
            <w:r>
              <w:rPr>
                <w:lang w:eastAsia="lv-LV"/>
              </w:rPr>
              <w:t xml:space="preserve">Biedrību “Latvijas Transportlīdzekļu apdrošinātāju birojs” </w:t>
            </w:r>
            <w:r w:rsidR="00936B2E" w:rsidRPr="00882C2E">
              <w:rPr>
                <w:lang w:eastAsia="lv-LV"/>
              </w:rPr>
              <w:t>un apdrošinātājiem, kuriem ir tiesības veikt OCTA,</w:t>
            </w:r>
            <w:r w:rsidR="00936B2E">
              <w:rPr>
                <w:lang w:eastAsia="lv-LV"/>
              </w:rPr>
              <w:t xml:space="preserve"> kā arī OCTA jomā sertificētajiem tehniskajiem ekspertiem,</w:t>
            </w:r>
          </w:p>
          <w:p w14:paraId="590BE58A" w14:textId="77777777" w:rsidR="00936B2E" w:rsidRPr="00882C2E" w:rsidRDefault="00936B2E" w:rsidP="00936B2E">
            <w:pPr>
              <w:pStyle w:val="ListParagraph"/>
              <w:numPr>
                <w:ilvl w:val="0"/>
                <w:numId w:val="2"/>
              </w:numPr>
              <w:jc w:val="both"/>
              <w:rPr>
                <w:lang w:eastAsia="lv-LV"/>
              </w:rPr>
            </w:pPr>
            <w:r w:rsidRPr="00882C2E">
              <w:rPr>
                <w:lang w:eastAsia="lv-LV"/>
              </w:rPr>
              <w:t xml:space="preserve">tirdzniecības uzņēmumiem (komersantiem), kas transportlīdzekļus pieņēmuši tirdzniecībā, </w:t>
            </w:r>
          </w:p>
          <w:p w14:paraId="3871B1C8" w14:textId="77777777" w:rsidR="00936B2E" w:rsidRPr="00882C2E" w:rsidRDefault="00936B2E" w:rsidP="00936B2E">
            <w:pPr>
              <w:pStyle w:val="ListParagraph"/>
              <w:numPr>
                <w:ilvl w:val="0"/>
                <w:numId w:val="2"/>
              </w:numPr>
              <w:jc w:val="both"/>
              <w:rPr>
                <w:lang w:eastAsia="lv-LV"/>
              </w:rPr>
            </w:pPr>
            <w:r w:rsidRPr="003F5044">
              <w:rPr>
                <w:bCs/>
              </w:rPr>
              <w:t>transportlīdzekļu remonta nozares komersantiem.</w:t>
            </w:r>
          </w:p>
          <w:p w14:paraId="7CBE068A" w14:textId="77777777" w:rsidR="00D45F3F" w:rsidRPr="00225B51" w:rsidRDefault="00D45F3F" w:rsidP="00F923AC">
            <w:pPr>
              <w:jc w:val="both"/>
              <w:rPr>
                <w:rFonts w:eastAsia="Times New Roman" w:cs="Times New Roman"/>
                <w:szCs w:val="24"/>
                <w:lang w:eastAsia="lv-LV"/>
              </w:rPr>
            </w:pPr>
          </w:p>
        </w:tc>
      </w:tr>
      <w:tr w:rsidR="00D45F3F" w:rsidRPr="00225B51" w14:paraId="7619AA02" w14:textId="77777777" w:rsidTr="00B70B3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D854D13"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lastRenderedPageBreak/>
              <w:t>2.</w:t>
            </w:r>
          </w:p>
        </w:tc>
        <w:tc>
          <w:tcPr>
            <w:tcW w:w="1541" w:type="pct"/>
            <w:tcBorders>
              <w:top w:val="outset" w:sz="6" w:space="0" w:color="auto"/>
              <w:left w:val="outset" w:sz="6" w:space="0" w:color="auto"/>
              <w:bottom w:val="outset" w:sz="6" w:space="0" w:color="auto"/>
              <w:right w:val="outset" w:sz="6" w:space="0" w:color="auto"/>
            </w:tcBorders>
            <w:hideMark/>
          </w:tcPr>
          <w:p w14:paraId="6DEA9D6D"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Tiesiskā regulējuma ietekme uz tautsaimniecību un administratīvo slogu</w:t>
            </w:r>
          </w:p>
        </w:tc>
        <w:tc>
          <w:tcPr>
            <w:tcW w:w="3145" w:type="pct"/>
            <w:tcBorders>
              <w:top w:val="outset" w:sz="6" w:space="0" w:color="auto"/>
              <w:left w:val="outset" w:sz="6" w:space="0" w:color="auto"/>
              <w:bottom w:val="outset" w:sz="6" w:space="0" w:color="auto"/>
              <w:right w:val="outset" w:sz="6" w:space="0" w:color="auto"/>
            </w:tcBorders>
            <w:hideMark/>
          </w:tcPr>
          <w:p w14:paraId="5CA66265" w14:textId="77777777" w:rsidR="00D45F3F" w:rsidRPr="00225B51" w:rsidRDefault="00423A98" w:rsidP="00A40E46">
            <w:pPr>
              <w:jc w:val="both"/>
              <w:rPr>
                <w:rFonts w:cs="Times New Roman"/>
                <w:szCs w:val="24"/>
              </w:rPr>
            </w:pPr>
            <w:r>
              <w:rPr>
                <w:rFonts w:cs="Times New Roman"/>
                <w:szCs w:val="24"/>
              </w:rPr>
              <w:t>Projekts šo jomu neskar.</w:t>
            </w:r>
          </w:p>
        </w:tc>
      </w:tr>
      <w:tr w:rsidR="00D45F3F" w:rsidRPr="00225B51" w14:paraId="43B07B99" w14:textId="77777777" w:rsidTr="00B70B3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19C0F74"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3.</w:t>
            </w:r>
          </w:p>
        </w:tc>
        <w:tc>
          <w:tcPr>
            <w:tcW w:w="1541" w:type="pct"/>
            <w:tcBorders>
              <w:top w:val="outset" w:sz="6" w:space="0" w:color="auto"/>
              <w:left w:val="outset" w:sz="6" w:space="0" w:color="auto"/>
              <w:bottom w:val="outset" w:sz="6" w:space="0" w:color="auto"/>
              <w:right w:val="outset" w:sz="6" w:space="0" w:color="auto"/>
            </w:tcBorders>
            <w:hideMark/>
          </w:tcPr>
          <w:p w14:paraId="6B09B160"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Administratīvo izmaksu monetārs novērtējums</w:t>
            </w:r>
          </w:p>
        </w:tc>
        <w:tc>
          <w:tcPr>
            <w:tcW w:w="3145" w:type="pct"/>
            <w:tcBorders>
              <w:top w:val="outset" w:sz="6" w:space="0" w:color="auto"/>
              <w:left w:val="outset" w:sz="6" w:space="0" w:color="auto"/>
              <w:bottom w:val="outset" w:sz="6" w:space="0" w:color="auto"/>
              <w:right w:val="outset" w:sz="6" w:space="0" w:color="auto"/>
            </w:tcBorders>
            <w:hideMark/>
          </w:tcPr>
          <w:p w14:paraId="6DE6A0B7" w14:textId="77777777" w:rsidR="00D45F3F" w:rsidRPr="00B66FB4" w:rsidRDefault="00423A98" w:rsidP="00F923AC">
            <w:pPr>
              <w:jc w:val="both"/>
              <w:rPr>
                <w:rFonts w:eastAsia="Calibri" w:cs="Times New Roman"/>
                <w:szCs w:val="24"/>
              </w:rPr>
            </w:pPr>
            <w:r w:rsidRPr="00423A98">
              <w:rPr>
                <w:rFonts w:eastAsia="Calibri" w:cs="Times New Roman"/>
                <w:szCs w:val="24"/>
              </w:rPr>
              <w:t>Projekts šo jomu neskar.</w:t>
            </w:r>
          </w:p>
        </w:tc>
      </w:tr>
      <w:tr w:rsidR="00D45F3F" w:rsidRPr="00225B51" w14:paraId="5D7E12B7" w14:textId="77777777" w:rsidTr="00B70B3A">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48284CE"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4.</w:t>
            </w:r>
          </w:p>
        </w:tc>
        <w:tc>
          <w:tcPr>
            <w:tcW w:w="1541" w:type="pct"/>
            <w:tcBorders>
              <w:top w:val="outset" w:sz="6" w:space="0" w:color="auto"/>
              <w:left w:val="outset" w:sz="6" w:space="0" w:color="auto"/>
              <w:bottom w:val="outset" w:sz="6" w:space="0" w:color="auto"/>
              <w:right w:val="outset" w:sz="6" w:space="0" w:color="auto"/>
            </w:tcBorders>
            <w:hideMark/>
          </w:tcPr>
          <w:p w14:paraId="7E2DC612"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Cita informācija</w:t>
            </w:r>
          </w:p>
        </w:tc>
        <w:tc>
          <w:tcPr>
            <w:tcW w:w="3145" w:type="pct"/>
            <w:tcBorders>
              <w:top w:val="outset" w:sz="6" w:space="0" w:color="auto"/>
              <w:left w:val="outset" w:sz="6" w:space="0" w:color="auto"/>
              <w:bottom w:val="outset" w:sz="6" w:space="0" w:color="auto"/>
              <w:right w:val="outset" w:sz="6" w:space="0" w:color="auto"/>
            </w:tcBorders>
            <w:hideMark/>
          </w:tcPr>
          <w:p w14:paraId="3D14AEAE" w14:textId="77777777" w:rsidR="00D45F3F" w:rsidRPr="00225B51" w:rsidRDefault="00D45F3F" w:rsidP="00F923AC">
            <w:pPr>
              <w:spacing w:before="100" w:beforeAutospacing="1" w:after="100" w:afterAutospacing="1"/>
              <w:jc w:val="both"/>
              <w:rPr>
                <w:rFonts w:eastAsia="Times New Roman" w:cs="Times New Roman"/>
                <w:szCs w:val="24"/>
                <w:lang w:eastAsia="lv-LV"/>
              </w:rPr>
            </w:pPr>
            <w:r w:rsidRPr="00225B51">
              <w:rPr>
                <w:rFonts w:eastAsia="Times New Roman" w:cs="Times New Roman"/>
                <w:szCs w:val="24"/>
                <w:lang w:eastAsia="lv-LV"/>
              </w:rPr>
              <w:t xml:space="preserve">Nav </w:t>
            </w:r>
          </w:p>
        </w:tc>
      </w:tr>
    </w:tbl>
    <w:p w14:paraId="48A0D796" w14:textId="77777777" w:rsidR="00B70B3A" w:rsidRDefault="00B70B3A"/>
    <w:tbl>
      <w:tblPr>
        <w:tblW w:w="554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7"/>
        <w:gridCol w:w="1325"/>
        <w:gridCol w:w="1432"/>
        <w:gridCol w:w="1367"/>
        <w:gridCol w:w="1524"/>
        <w:gridCol w:w="2177"/>
        <w:gridCol w:w="109"/>
      </w:tblGrid>
      <w:tr w:rsidR="00B70B3A" w:rsidRPr="00E77F18" w14:paraId="65C0C6A6" w14:textId="77777777" w:rsidTr="008B0955">
        <w:trPr>
          <w:trHeight w:val="360"/>
          <w:tblCellSpacing w:w="15" w:type="dxa"/>
          <w:jc w:val="center"/>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5D7B7EEA" w14:textId="77777777" w:rsidR="00B70B3A" w:rsidRPr="00E77F18" w:rsidRDefault="00B70B3A" w:rsidP="008B0955">
            <w:pPr>
              <w:spacing w:before="100" w:beforeAutospacing="1" w:after="100" w:afterAutospacing="1" w:line="360" w:lineRule="auto"/>
              <w:ind w:firstLine="300"/>
              <w:jc w:val="center"/>
              <w:rPr>
                <w:rFonts w:eastAsia="Times New Roman" w:cs="Times New Roman"/>
                <w:b/>
                <w:bCs/>
                <w:szCs w:val="24"/>
                <w:lang w:eastAsia="lv-LV"/>
              </w:rPr>
            </w:pPr>
            <w:r w:rsidRPr="00E77F18">
              <w:rPr>
                <w:rFonts w:eastAsia="Times New Roman" w:cs="Times New Roman"/>
                <w:b/>
                <w:bCs/>
                <w:szCs w:val="24"/>
                <w:lang w:eastAsia="lv-LV"/>
              </w:rPr>
              <w:t>III. Tiesību akta projekta ietekme uz valsts budžetu un pašvaldību budžetiem</w:t>
            </w:r>
          </w:p>
        </w:tc>
      </w:tr>
      <w:tr w:rsidR="00B70B3A" w:rsidRPr="00E77F18" w14:paraId="2240CF3D" w14:textId="77777777" w:rsidTr="008B0955">
        <w:trPr>
          <w:gridAfter w:val="1"/>
          <w:wAfter w:w="3" w:type="pct"/>
          <w:tblCellSpacing w:w="15" w:type="dxa"/>
          <w:jc w:val="center"/>
        </w:trPr>
        <w:tc>
          <w:tcPr>
            <w:tcW w:w="861" w:type="pct"/>
            <w:vMerge w:val="restart"/>
            <w:tcBorders>
              <w:top w:val="outset" w:sz="6" w:space="0" w:color="auto"/>
              <w:left w:val="outset" w:sz="6" w:space="0" w:color="auto"/>
              <w:bottom w:val="outset" w:sz="6" w:space="0" w:color="auto"/>
              <w:right w:val="outset" w:sz="6" w:space="0" w:color="auto"/>
            </w:tcBorders>
            <w:vAlign w:val="center"/>
            <w:hideMark/>
          </w:tcPr>
          <w:p w14:paraId="2F91C0DF" w14:textId="77777777" w:rsidR="00B70B3A" w:rsidRPr="00E77F18" w:rsidRDefault="00B70B3A" w:rsidP="008B0955">
            <w:pPr>
              <w:spacing w:before="100" w:beforeAutospacing="1" w:after="100" w:afterAutospacing="1" w:line="360" w:lineRule="auto"/>
              <w:ind w:firstLine="300"/>
              <w:jc w:val="center"/>
              <w:rPr>
                <w:rFonts w:eastAsia="Times New Roman" w:cs="Times New Roman"/>
                <w:b/>
                <w:bCs/>
                <w:szCs w:val="24"/>
                <w:lang w:eastAsia="lv-LV"/>
              </w:rPr>
            </w:pPr>
            <w:r w:rsidRPr="00E77F18">
              <w:rPr>
                <w:rFonts w:eastAsia="Times New Roman" w:cs="Times New Roman"/>
                <w:b/>
                <w:bCs/>
                <w:szCs w:val="24"/>
                <w:lang w:eastAsia="lv-LV"/>
              </w:rPr>
              <w:t>Rādītāji</w:t>
            </w:r>
          </w:p>
        </w:tc>
        <w:tc>
          <w:tcPr>
            <w:tcW w:w="14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5A0FA71" w14:textId="77777777" w:rsidR="00B70B3A" w:rsidRPr="00E77F18" w:rsidRDefault="00B70B3A" w:rsidP="008B0955">
            <w:pPr>
              <w:spacing w:before="100" w:beforeAutospacing="1" w:after="100" w:afterAutospacing="1" w:line="360" w:lineRule="auto"/>
              <w:ind w:firstLine="300"/>
              <w:jc w:val="center"/>
              <w:rPr>
                <w:rFonts w:eastAsia="Times New Roman" w:cs="Times New Roman"/>
                <w:b/>
                <w:bCs/>
                <w:szCs w:val="24"/>
                <w:lang w:eastAsia="lv-LV"/>
              </w:rPr>
            </w:pPr>
            <w:r w:rsidRPr="00E77F18">
              <w:rPr>
                <w:rFonts w:eastAsia="Times New Roman" w:cs="Times New Roman"/>
                <w:b/>
                <w:bCs/>
                <w:szCs w:val="24"/>
                <w:lang w:eastAsia="lv-LV"/>
              </w:rPr>
              <w:t>201</w:t>
            </w:r>
            <w:r>
              <w:rPr>
                <w:rFonts w:eastAsia="Times New Roman" w:cs="Times New Roman"/>
                <w:b/>
                <w:bCs/>
                <w:szCs w:val="24"/>
                <w:lang w:eastAsia="lv-LV"/>
              </w:rPr>
              <w:t>6</w:t>
            </w:r>
            <w:r w:rsidRPr="00E77F18">
              <w:rPr>
                <w:rFonts w:eastAsia="Times New Roman" w:cs="Times New Roman"/>
                <w:b/>
                <w:bCs/>
                <w:szCs w:val="24"/>
                <w:lang w:eastAsia="lv-LV"/>
              </w:rPr>
              <w:t>. gads</w:t>
            </w:r>
          </w:p>
        </w:tc>
        <w:tc>
          <w:tcPr>
            <w:tcW w:w="2624" w:type="pct"/>
            <w:gridSpan w:val="3"/>
            <w:tcBorders>
              <w:top w:val="outset" w:sz="6" w:space="0" w:color="auto"/>
              <w:left w:val="outset" w:sz="6" w:space="0" w:color="auto"/>
              <w:bottom w:val="outset" w:sz="6" w:space="0" w:color="auto"/>
              <w:right w:val="outset" w:sz="6" w:space="0" w:color="auto"/>
            </w:tcBorders>
            <w:vAlign w:val="center"/>
            <w:hideMark/>
          </w:tcPr>
          <w:p w14:paraId="0BB462D9"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Turpmākie trīs gadi (</w:t>
            </w:r>
            <w:proofErr w:type="spellStart"/>
            <w:r w:rsidRPr="00E77F18">
              <w:rPr>
                <w:rFonts w:eastAsia="Times New Roman" w:cs="Times New Roman"/>
                <w:i/>
                <w:iCs/>
                <w:szCs w:val="24"/>
                <w:lang w:eastAsia="lv-LV"/>
              </w:rPr>
              <w:t>euro</w:t>
            </w:r>
            <w:proofErr w:type="spellEnd"/>
            <w:r w:rsidRPr="00E77F18">
              <w:rPr>
                <w:rFonts w:eastAsia="Times New Roman" w:cs="Times New Roman"/>
                <w:szCs w:val="24"/>
                <w:lang w:eastAsia="lv-LV"/>
              </w:rPr>
              <w:t>)</w:t>
            </w:r>
          </w:p>
        </w:tc>
      </w:tr>
      <w:tr w:rsidR="00B70B3A" w:rsidRPr="00E77F18" w14:paraId="2FBFFBB4" w14:textId="77777777" w:rsidTr="008B0955">
        <w:trPr>
          <w:gridAfter w:val="1"/>
          <w:wAfter w:w="3" w:type="pct"/>
          <w:tblCellSpacing w:w="15" w:type="dxa"/>
          <w:jc w:val="center"/>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2B5B17AD" w14:textId="77777777" w:rsidR="00B70B3A" w:rsidRPr="00E77F18" w:rsidRDefault="00B70B3A" w:rsidP="008B0955">
            <w:pPr>
              <w:rPr>
                <w:rFonts w:eastAsia="Times New Roman" w:cs="Times New Roman"/>
                <w:b/>
                <w:bCs/>
                <w:szCs w:val="24"/>
                <w:lang w:eastAsia="lv-LV"/>
              </w:rPr>
            </w:pPr>
          </w:p>
        </w:tc>
        <w:tc>
          <w:tcPr>
            <w:tcW w:w="1431" w:type="pct"/>
            <w:gridSpan w:val="2"/>
            <w:vMerge/>
            <w:tcBorders>
              <w:top w:val="outset" w:sz="6" w:space="0" w:color="auto"/>
              <w:left w:val="outset" w:sz="6" w:space="0" w:color="auto"/>
              <w:bottom w:val="outset" w:sz="6" w:space="0" w:color="auto"/>
              <w:right w:val="outset" w:sz="6" w:space="0" w:color="auto"/>
            </w:tcBorders>
            <w:vAlign w:val="center"/>
            <w:hideMark/>
          </w:tcPr>
          <w:p w14:paraId="60A80A62" w14:textId="77777777" w:rsidR="00B70B3A" w:rsidRPr="00E77F18" w:rsidRDefault="00B70B3A" w:rsidP="008B0955">
            <w:pPr>
              <w:rPr>
                <w:rFonts w:eastAsia="Times New Roman" w:cs="Times New Roman"/>
                <w:b/>
                <w:bCs/>
                <w:szCs w:val="24"/>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29A336D5" w14:textId="77777777" w:rsidR="00B70B3A" w:rsidRPr="00E77F18" w:rsidRDefault="00B70B3A" w:rsidP="008B0955">
            <w:pPr>
              <w:spacing w:before="100" w:beforeAutospacing="1" w:after="100" w:afterAutospacing="1" w:line="360" w:lineRule="auto"/>
              <w:ind w:firstLine="300"/>
              <w:jc w:val="center"/>
              <w:rPr>
                <w:rFonts w:eastAsia="Times New Roman" w:cs="Times New Roman"/>
                <w:b/>
                <w:bCs/>
                <w:szCs w:val="24"/>
                <w:lang w:eastAsia="lv-LV"/>
              </w:rPr>
            </w:pPr>
            <w:r w:rsidRPr="00E77F18">
              <w:rPr>
                <w:rFonts w:eastAsia="Times New Roman" w:cs="Times New Roman"/>
                <w:b/>
                <w:bCs/>
                <w:szCs w:val="24"/>
                <w:lang w:eastAsia="lv-LV"/>
              </w:rPr>
              <w:t>201</w:t>
            </w:r>
            <w:r>
              <w:rPr>
                <w:rFonts w:eastAsia="Times New Roman" w:cs="Times New Roman"/>
                <w:b/>
                <w:bCs/>
                <w:szCs w:val="24"/>
                <w:lang w:eastAsia="lv-LV"/>
              </w:rPr>
              <w:t>7</w:t>
            </w:r>
          </w:p>
        </w:tc>
        <w:tc>
          <w:tcPr>
            <w:tcW w:w="793" w:type="pct"/>
            <w:tcBorders>
              <w:top w:val="outset" w:sz="6" w:space="0" w:color="auto"/>
              <w:left w:val="outset" w:sz="6" w:space="0" w:color="auto"/>
              <w:bottom w:val="outset" w:sz="6" w:space="0" w:color="auto"/>
              <w:right w:val="outset" w:sz="6" w:space="0" w:color="auto"/>
            </w:tcBorders>
            <w:vAlign w:val="center"/>
            <w:hideMark/>
          </w:tcPr>
          <w:p w14:paraId="757B4C10" w14:textId="77777777" w:rsidR="00B70B3A" w:rsidRPr="00E77F18" w:rsidRDefault="00B70B3A" w:rsidP="008B0955">
            <w:pPr>
              <w:spacing w:before="100" w:beforeAutospacing="1" w:after="100" w:afterAutospacing="1" w:line="360" w:lineRule="auto"/>
              <w:ind w:firstLine="300"/>
              <w:jc w:val="center"/>
              <w:rPr>
                <w:rFonts w:eastAsia="Times New Roman" w:cs="Times New Roman"/>
                <w:b/>
                <w:bCs/>
                <w:szCs w:val="24"/>
                <w:lang w:eastAsia="lv-LV"/>
              </w:rPr>
            </w:pPr>
            <w:r w:rsidRPr="00E77F18">
              <w:rPr>
                <w:rFonts w:eastAsia="Times New Roman" w:cs="Times New Roman"/>
                <w:b/>
                <w:bCs/>
                <w:szCs w:val="24"/>
                <w:lang w:eastAsia="lv-LV"/>
              </w:rPr>
              <w:t>201</w:t>
            </w:r>
            <w:r>
              <w:rPr>
                <w:rFonts w:eastAsia="Times New Roman" w:cs="Times New Roman"/>
                <w:b/>
                <w:bCs/>
                <w:szCs w:val="24"/>
                <w:lang w:eastAsia="lv-LV"/>
              </w:rPr>
              <w:t>8</w:t>
            </w:r>
          </w:p>
        </w:tc>
        <w:tc>
          <w:tcPr>
            <w:tcW w:w="1089" w:type="pct"/>
            <w:tcBorders>
              <w:top w:val="outset" w:sz="6" w:space="0" w:color="auto"/>
              <w:left w:val="outset" w:sz="6" w:space="0" w:color="auto"/>
              <w:bottom w:val="outset" w:sz="6" w:space="0" w:color="auto"/>
              <w:right w:val="outset" w:sz="6" w:space="0" w:color="auto"/>
            </w:tcBorders>
            <w:vAlign w:val="center"/>
            <w:hideMark/>
          </w:tcPr>
          <w:p w14:paraId="1621F4FB" w14:textId="77777777" w:rsidR="00B70B3A" w:rsidRPr="00E77F18" w:rsidRDefault="00B70B3A" w:rsidP="008B0955">
            <w:pPr>
              <w:spacing w:before="100" w:beforeAutospacing="1" w:after="100" w:afterAutospacing="1" w:line="360" w:lineRule="auto"/>
              <w:ind w:firstLine="300"/>
              <w:jc w:val="center"/>
              <w:rPr>
                <w:rFonts w:eastAsia="Times New Roman" w:cs="Times New Roman"/>
                <w:b/>
                <w:bCs/>
                <w:szCs w:val="24"/>
                <w:lang w:eastAsia="lv-LV"/>
              </w:rPr>
            </w:pPr>
            <w:r w:rsidRPr="00E77F18">
              <w:rPr>
                <w:rFonts w:eastAsia="Times New Roman" w:cs="Times New Roman"/>
                <w:b/>
                <w:bCs/>
                <w:szCs w:val="24"/>
                <w:lang w:eastAsia="lv-LV"/>
              </w:rPr>
              <w:t>201</w:t>
            </w:r>
            <w:r>
              <w:rPr>
                <w:rFonts w:eastAsia="Times New Roman" w:cs="Times New Roman"/>
                <w:b/>
                <w:bCs/>
                <w:szCs w:val="24"/>
                <w:lang w:eastAsia="lv-LV"/>
              </w:rPr>
              <w:t>9</w:t>
            </w:r>
          </w:p>
        </w:tc>
      </w:tr>
      <w:tr w:rsidR="00B70B3A" w:rsidRPr="00E77F18" w14:paraId="7D11BC68" w14:textId="77777777" w:rsidTr="008B0955">
        <w:trPr>
          <w:gridAfter w:val="1"/>
          <w:wAfter w:w="3" w:type="pct"/>
          <w:tblCellSpacing w:w="15" w:type="dxa"/>
          <w:jc w:val="center"/>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7327FCE8" w14:textId="77777777" w:rsidR="00B70B3A" w:rsidRPr="00E77F18" w:rsidRDefault="00B70B3A" w:rsidP="008B0955">
            <w:pPr>
              <w:rPr>
                <w:rFonts w:eastAsia="Times New Roman" w:cs="Times New Roman"/>
                <w:b/>
                <w:bCs/>
                <w:szCs w:val="24"/>
                <w:lang w:eastAsia="lv-LV"/>
              </w:rPr>
            </w:pPr>
          </w:p>
        </w:tc>
        <w:tc>
          <w:tcPr>
            <w:tcW w:w="687" w:type="pct"/>
            <w:tcBorders>
              <w:top w:val="outset" w:sz="6" w:space="0" w:color="auto"/>
              <w:left w:val="outset" w:sz="6" w:space="0" w:color="auto"/>
              <w:bottom w:val="outset" w:sz="6" w:space="0" w:color="auto"/>
              <w:right w:val="outset" w:sz="6" w:space="0" w:color="auto"/>
            </w:tcBorders>
            <w:vAlign w:val="center"/>
            <w:hideMark/>
          </w:tcPr>
          <w:p w14:paraId="601E4C49"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saskaņā ar valsts budžetu kārtējam gadam</w:t>
            </w:r>
          </w:p>
        </w:tc>
        <w:tc>
          <w:tcPr>
            <w:tcW w:w="727" w:type="pct"/>
            <w:tcBorders>
              <w:top w:val="outset" w:sz="6" w:space="0" w:color="auto"/>
              <w:left w:val="outset" w:sz="6" w:space="0" w:color="auto"/>
              <w:bottom w:val="outset" w:sz="6" w:space="0" w:color="auto"/>
              <w:right w:val="outset" w:sz="6" w:space="0" w:color="auto"/>
            </w:tcBorders>
            <w:vAlign w:val="center"/>
            <w:hideMark/>
          </w:tcPr>
          <w:p w14:paraId="05617E0A"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izmaiņas kārtējā gadā, salīdzinot ar valsts budžetu kārtējam gadam</w:t>
            </w:r>
          </w:p>
        </w:tc>
        <w:tc>
          <w:tcPr>
            <w:tcW w:w="709" w:type="pct"/>
            <w:tcBorders>
              <w:top w:val="outset" w:sz="6" w:space="0" w:color="auto"/>
              <w:left w:val="outset" w:sz="6" w:space="0" w:color="auto"/>
              <w:bottom w:val="outset" w:sz="6" w:space="0" w:color="auto"/>
              <w:right w:val="outset" w:sz="6" w:space="0" w:color="auto"/>
            </w:tcBorders>
            <w:vAlign w:val="center"/>
            <w:hideMark/>
          </w:tcPr>
          <w:p w14:paraId="082D003B"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izmaiņas, salīdzinot ar kārtējo (n) gadu</w:t>
            </w:r>
          </w:p>
        </w:tc>
        <w:tc>
          <w:tcPr>
            <w:tcW w:w="793" w:type="pct"/>
            <w:tcBorders>
              <w:top w:val="outset" w:sz="6" w:space="0" w:color="auto"/>
              <w:left w:val="outset" w:sz="6" w:space="0" w:color="auto"/>
              <w:bottom w:val="outset" w:sz="6" w:space="0" w:color="auto"/>
              <w:right w:val="outset" w:sz="6" w:space="0" w:color="auto"/>
            </w:tcBorders>
            <w:vAlign w:val="center"/>
            <w:hideMark/>
          </w:tcPr>
          <w:p w14:paraId="416E8C8F"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izmaiņas, salīdzinot ar kārtējo (n) gadu</w:t>
            </w:r>
          </w:p>
        </w:tc>
        <w:tc>
          <w:tcPr>
            <w:tcW w:w="1089" w:type="pct"/>
            <w:tcBorders>
              <w:top w:val="outset" w:sz="6" w:space="0" w:color="auto"/>
              <w:left w:val="outset" w:sz="6" w:space="0" w:color="auto"/>
              <w:bottom w:val="outset" w:sz="6" w:space="0" w:color="auto"/>
              <w:right w:val="outset" w:sz="6" w:space="0" w:color="auto"/>
            </w:tcBorders>
            <w:vAlign w:val="center"/>
            <w:hideMark/>
          </w:tcPr>
          <w:p w14:paraId="49131B79"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izmaiņas, salīdzinot ar kārtējo (n) gadu</w:t>
            </w:r>
          </w:p>
        </w:tc>
      </w:tr>
      <w:tr w:rsidR="00B70B3A" w:rsidRPr="00E77F18" w14:paraId="5F4C029B"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vAlign w:val="center"/>
            <w:hideMark/>
          </w:tcPr>
          <w:p w14:paraId="2C75DE9D"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1</w:t>
            </w:r>
          </w:p>
        </w:tc>
        <w:tc>
          <w:tcPr>
            <w:tcW w:w="687" w:type="pct"/>
            <w:tcBorders>
              <w:top w:val="outset" w:sz="6" w:space="0" w:color="auto"/>
              <w:left w:val="outset" w:sz="6" w:space="0" w:color="auto"/>
              <w:bottom w:val="outset" w:sz="6" w:space="0" w:color="auto"/>
              <w:right w:val="outset" w:sz="6" w:space="0" w:color="auto"/>
            </w:tcBorders>
            <w:vAlign w:val="center"/>
            <w:hideMark/>
          </w:tcPr>
          <w:p w14:paraId="40E9F830"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2</w:t>
            </w:r>
          </w:p>
        </w:tc>
        <w:tc>
          <w:tcPr>
            <w:tcW w:w="727" w:type="pct"/>
            <w:tcBorders>
              <w:top w:val="outset" w:sz="6" w:space="0" w:color="auto"/>
              <w:left w:val="outset" w:sz="6" w:space="0" w:color="auto"/>
              <w:bottom w:val="outset" w:sz="6" w:space="0" w:color="auto"/>
              <w:right w:val="outset" w:sz="6" w:space="0" w:color="auto"/>
            </w:tcBorders>
            <w:vAlign w:val="center"/>
            <w:hideMark/>
          </w:tcPr>
          <w:p w14:paraId="6AE32A64"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3</w:t>
            </w:r>
          </w:p>
        </w:tc>
        <w:tc>
          <w:tcPr>
            <w:tcW w:w="709" w:type="pct"/>
            <w:tcBorders>
              <w:top w:val="outset" w:sz="6" w:space="0" w:color="auto"/>
              <w:left w:val="outset" w:sz="6" w:space="0" w:color="auto"/>
              <w:bottom w:val="outset" w:sz="6" w:space="0" w:color="auto"/>
              <w:right w:val="outset" w:sz="6" w:space="0" w:color="auto"/>
            </w:tcBorders>
            <w:vAlign w:val="center"/>
            <w:hideMark/>
          </w:tcPr>
          <w:p w14:paraId="27DE402E"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4</w:t>
            </w:r>
          </w:p>
        </w:tc>
        <w:tc>
          <w:tcPr>
            <w:tcW w:w="793" w:type="pct"/>
            <w:tcBorders>
              <w:top w:val="outset" w:sz="6" w:space="0" w:color="auto"/>
              <w:left w:val="outset" w:sz="6" w:space="0" w:color="auto"/>
              <w:bottom w:val="outset" w:sz="6" w:space="0" w:color="auto"/>
              <w:right w:val="outset" w:sz="6" w:space="0" w:color="auto"/>
            </w:tcBorders>
            <w:vAlign w:val="center"/>
            <w:hideMark/>
          </w:tcPr>
          <w:p w14:paraId="1450F650"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5</w:t>
            </w:r>
          </w:p>
        </w:tc>
        <w:tc>
          <w:tcPr>
            <w:tcW w:w="1089" w:type="pct"/>
            <w:tcBorders>
              <w:top w:val="outset" w:sz="6" w:space="0" w:color="auto"/>
              <w:left w:val="outset" w:sz="6" w:space="0" w:color="auto"/>
              <w:bottom w:val="outset" w:sz="6" w:space="0" w:color="auto"/>
              <w:right w:val="outset" w:sz="6" w:space="0" w:color="auto"/>
            </w:tcBorders>
            <w:vAlign w:val="center"/>
            <w:hideMark/>
          </w:tcPr>
          <w:p w14:paraId="01060720" w14:textId="77777777" w:rsidR="00B70B3A" w:rsidRPr="00E77F18" w:rsidRDefault="00B70B3A" w:rsidP="008B0955">
            <w:pPr>
              <w:spacing w:before="100" w:beforeAutospacing="1" w:after="100" w:afterAutospacing="1" w:line="360" w:lineRule="auto"/>
              <w:ind w:firstLine="300"/>
              <w:jc w:val="center"/>
              <w:rPr>
                <w:rFonts w:eastAsia="Times New Roman" w:cs="Times New Roman"/>
                <w:szCs w:val="24"/>
                <w:lang w:eastAsia="lv-LV"/>
              </w:rPr>
            </w:pPr>
            <w:r w:rsidRPr="00E77F18">
              <w:rPr>
                <w:rFonts w:eastAsia="Times New Roman" w:cs="Times New Roman"/>
                <w:szCs w:val="24"/>
                <w:lang w:eastAsia="lv-LV"/>
              </w:rPr>
              <w:t>6</w:t>
            </w:r>
          </w:p>
        </w:tc>
      </w:tr>
      <w:tr w:rsidR="00B70B3A" w:rsidRPr="00E77F18" w14:paraId="40CDA62A"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020CE60E"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1. Budžeta ieņēmumi:</w:t>
            </w:r>
          </w:p>
        </w:tc>
        <w:tc>
          <w:tcPr>
            <w:tcW w:w="687" w:type="pct"/>
            <w:tcBorders>
              <w:top w:val="outset" w:sz="6" w:space="0" w:color="auto"/>
              <w:left w:val="outset" w:sz="6" w:space="0" w:color="auto"/>
              <w:bottom w:val="outset" w:sz="6" w:space="0" w:color="auto"/>
              <w:right w:val="outset" w:sz="6" w:space="0" w:color="auto"/>
            </w:tcBorders>
            <w:hideMark/>
          </w:tcPr>
          <w:p w14:paraId="43E25BB0"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5DE4360C" w14:textId="77777777" w:rsidR="00B70B3A" w:rsidRPr="00E77F18" w:rsidRDefault="00B70B3A" w:rsidP="008B0955">
            <w:pPr>
              <w:jc w:val="right"/>
              <w:rPr>
                <w:rFonts w:eastAsia="Times New Roman" w:cs="Times New Roman"/>
                <w:szCs w:val="24"/>
                <w:lang w:eastAsia="lv-LV"/>
              </w:rPr>
            </w:pPr>
          </w:p>
        </w:tc>
        <w:tc>
          <w:tcPr>
            <w:tcW w:w="709" w:type="pct"/>
            <w:tcBorders>
              <w:top w:val="outset" w:sz="6" w:space="0" w:color="auto"/>
              <w:left w:val="outset" w:sz="6" w:space="0" w:color="auto"/>
              <w:bottom w:val="outset" w:sz="6" w:space="0" w:color="auto"/>
              <w:right w:val="outset" w:sz="6" w:space="0" w:color="auto"/>
            </w:tcBorders>
            <w:hideMark/>
          </w:tcPr>
          <w:p w14:paraId="16FA434D"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+330 000</w:t>
            </w: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19F4ABC1"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+340 000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5A6DC93A"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+340 000</w:t>
            </w:r>
          </w:p>
        </w:tc>
      </w:tr>
      <w:tr w:rsidR="00B70B3A" w:rsidRPr="00E77F18" w14:paraId="74E580AE"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2C6C68E8"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xml:space="preserve">1.1. valsts pamatbudžets, tai skaitā ieņēmumi no maksas pakalpojumiem </w:t>
            </w:r>
            <w:r w:rsidRPr="00E77F18">
              <w:rPr>
                <w:rFonts w:eastAsia="Times New Roman" w:cs="Times New Roman"/>
                <w:szCs w:val="24"/>
                <w:lang w:eastAsia="lv-LV"/>
              </w:rPr>
              <w:lastRenderedPageBreak/>
              <w:t>un citi pašu ieņēmumi</w:t>
            </w:r>
          </w:p>
        </w:tc>
        <w:tc>
          <w:tcPr>
            <w:tcW w:w="687" w:type="pct"/>
            <w:tcBorders>
              <w:top w:val="outset" w:sz="6" w:space="0" w:color="auto"/>
              <w:left w:val="outset" w:sz="6" w:space="0" w:color="auto"/>
              <w:bottom w:val="outset" w:sz="6" w:space="0" w:color="auto"/>
              <w:right w:val="outset" w:sz="6" w:space="0" w:color="auto"/>
            </w:tcBorders>
            <w:hideMark/>
          </w:tcPr>
          <w:p w14:paraId="56016957"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0F331F60"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37476783"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495AEAED"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+90 000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3FF353E0"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+90 000</w:t>
            </w:r>
            <w:r w:rsidRPr="00E77F18">
              <w:rPr>
                <w:rFonts w:eastAsia="Times New Roman" w:cs="Times New Roman"/>
                <w:szCs w:val="24"/>
                <w:lang w:eastAsia="lv-LV"/>
              </w:rPr>
              <w:t> </w:t>
            </w:r>
          </w:p>
        </w:tc>
      </w:tr>
      <w:tr w:rsidR="00B70B3A" w:rsidRPr="00E77F18" w14:paraId="1DA8B552"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238677EB"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lastRenderedPageBreak/>
              <w:t>1.2. valsts speciālais budžets</w:t>
            </w:r>
          </w:p>
        </w:tc>
        <w:tc>
          <w:tcPr>
            <w:tcW w:w="687" w:type="pct"/>
            <w:tcBorders>
              <w:top w:val="outset" w:sz="6" w:space="0" w:color="auto"/>
              <w:left w:val="outset" w:sz="6" w:space="0" w:color="auto"/>
              <w:bottom w:val="outset" w:sz="6" w:space="0" w:color="auto"/>
              <w:right w:val="outset" w:sz="6" w:space="0" w:color="auto"/>
            </w:tcBorders>
            <w:hideMark/>
          </w:tcPr>
          <w:p w14:paraId="78B32AA4"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0C77BF3B" w14:textId="77777777" w:rsidR="00B70B3A" w:rsidRPr="00E77F18" w:rsidRDefault="00B70B3A" w:rsidP="008B0955">
            <w:pPr>
              <w:jc w:val="right"/>
              <w:rPr>
                <w:rFonts w:eastAsia="Times New Roman" w:cs="Times New Roman"/>
                <w:szCs w:val="24"/>
                <w:lang w:eastAsia="lv-LV"/>
              </w:rPr>
            </w:pPr>
          </w:p>
        </w:tc>
        <w:tc>
          <w:tcPr>
            <w:tcW w:w="709" w:type="pct"/>
            <w:tcBorders>
              <w:top w:val="outset" w:sz="6" w:space="0" w:color="auto"/>
              <w:left w:val="outset" w:sz="6" w:space="0" w:color="auto"/>
              <w:bottom w:val="outset" w:sz="6" w:space="0" w:color="auto"/>
              <w:right w:val="outset" w:sz="6" w:space="0" w:color="auto"/>
            </w:tcBorders>
            <w:hideMark/>
          </w:tcPr>
          <w:p w14:paraId="68EFF267"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+170 000</w:t>
            </w: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58334D8E"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+170 000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43332F41"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+170 000</w:t>
            </w:r>
            <w:r w:rsidRPr="00E77F18">
              <w:rPr>
                <w:rFonts w:eastAsia="Times New Roman" w:cs="Times New Roman"/>
                <w:szCs w:val="24"/>
                <w:lang w:eastAsia="lv-LV"/>
              </w:rPr>
              <w:t> </w:t>
            </w:r>
          </w:p>
        </w:tc>
      </w:tr>
      <w:tr w:rsidR="00B70B3A" w:rsidRPr="00E77F18" w14:paraId="110F694B"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6C40C30F"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1.3. pašvaldību budžets</w:t>
            </w:r>
          </w:p>
        </w:tc>
        <w:tc>
          <w:tcPr>
            <w:tcW w:w="687" w:type="pct"/>
            <w:tcBorders>
              <w:top w:val="outset" w:sz="6" w:space="0" w:color="auto"/>
              <w:left w:val="outset" w:sz="6" w:space="0" w:color="auto"/>
              <w:bottom w:val="outset" w:sz="6" w:space="0" w:color="auto"/>
              <w:right w:val="outset" w:sz="6" w:space="0" w:color="auto"/>
            </w:tcBorders>
            <w:hideMark/>
          </w:tcPr>
          <w:p w14:paraId="0B88001A"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7B789D6A" w14:textId="77777777" w:rsidR="00B70B3A" w:rsidRPr="00E77F18" w:rsidRDefault="00B70B3A" w:rsidP="008B0955">
            <w:pPr>
              <w:jc w:val="right"/>
              <w:rPr>
                <w:rFonts w:eastAsia="Times New Roman" w:cs="Times New Roman"/>
                <w:szCs w:val="24"/>
                <w:lang w:eastAsia="lv-LV"/>
              </w:rPr>
            </w:pPr>
          </w:p>
        </w:tc>
        <w:tc>
          <w:tcPr>
            <w:tcW w:w="709" w:type="pct"/>
            <w:tcBorders>
              <w:top w:val="outset" w:sz="6" w:space="0" w:color="auto"/>
              <w:left w:val="outset" w:sz="6" w:space="0" w:color="auto"/>
              <w:bottom w:val="outset" w:sz="6" w:space="0" w:color="auto"/>
              <w:right w:val="outset" w:sz="6" w:space="0" w:color="auto"/>
            </w:tcBorders>
            <w:hideMark/>
          </w:tcPr>
          <w:p w14:paraId="5D3BDFA5"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p>
        </w:tc>
        <w:tc>
          <w:tcPr>
            <w:tcW w:w="793" w:type="pct"/>
            <w:tcBorders>
              <w:top w:val="outset" w:sz="6" w:space="0" w:color="auto"/>
              <w:left w:val="outset" w:sz="6" w:space="0" w:color="auto"/>
              <w:bottom w:val="outset" w:sz="6" w:space="0" w:color="auto"/>
              <w:right w:val="outset" w:sz="6" w:space="0" w:color="auto"/>
            </w:tcBorders>
            <w:hideMark/>
          </w:tcPr>
          <w:p w14:paraId="5CFFABC2"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576D241E"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r w:rsidRPr="00E77F18">
              <w:rPr>
                <w:rFonts w:eastAsia="Times New Roman" w:cs="Times New Roman"/>
                <w:szCs w:val="24"/>
                <w:lang w:eastAsia="lv-LV"/>
              </w:rPr>
              <w:t> </w:t>
            </w:r>
          </w:p>
        </w:tc>
      </w:tr>
      <w:tr w:rsidR="00B70B3A" w:rsidRPr="00E77F18" w14:paraId="29715973"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17472649"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2. Budžeta izdevumi:</w:t>
            </w:r>
          </w:p>
        </w:tc>
        <w:tc>
          <w:tcPr>
            <w:tcW w:w="687" w:type="pct"/>
            <w:tcBorders>
              <w:top w:val="outset" w:sz="6" w:space="0" w:color="auto"/>
              <w:left w:val="outset" w:sz="6" w:space="0" w:color="auto"/>
              <w:bottom w:val="outset" w:sz="6" w:space="0" w:color="auto"/>
              <w:right w:val="outset" w:sz="6" w:space="0" w:color="auto"/>
            </w:tcBorders>
            <w:hideMark/>
          </w:tcPr>
          <w:p w14:paraId="1F946F4D"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1C7E99F7" w14:textId="77777777" w:rsidR="00B70B3A" w:rsidRPr="00E77F18" w:rsidRDefault="00B70B3A" w:rsidP="008B0955">
            <w:pPr>
              <w:jc w:val="right"/>
              <w:rPr>
                <w:rFonts w:eastAsia="Times New Roman" w:cs="Times New Roman"/>
                <w:szCs w:val="24"/>
                <w:lang w:eastAsia="lv-LV"/>
              </w:rPr>
            </w:pPr>
          </w:p>
        </w:tc>
        <w:tc>
          <w:tcPr>
            <w:tcW w:w="709" w:type="pct"/>
            <w:tcBorders>
              <w:top w:val="outset" w:sz="6" w:space="0" w:color="auto"/>
              <w:left w:val="outset" w:sz="6" w:space="0" w:color="auto"/>
              <w:bottom w:val="outset" w:sz="6" w:space="0" w:color="auto"/>
              <w:right w:val="outset" w:sz="6" w:space="0" w:color="auto"/>
            </w:tcBorders>
          </w:tcPr>
          <w:p w14:paraId="3FE56D06" w14:textId="77777777" w:rsidR="00B70B3A" w:rsidRPr="00E77F18" w:rsidRDefault="00B70B3A" w:rsidP="008B0955">
            <w:pPr>
              <w:jc w:val="right"/>
              <w:rPr>
                <w:rFonts w:eastAsia="Times New Roman" w:cs="Times New Roman"/>
                <w:szCs w:val="24"/>
                <w:lang w:eastAsia="lv-LV"/>
              </w:rPr>
            </w:pPr>
          </w:p>
        </w:tc>
        <w:tc>
          <w:tcPr>
            <w:tcW w:w="793" w:type="pct"/>
            <w:tcBorders>
              <w:top w:val="outset" w:sz="6" w:space="0" w:color="auto"/>
              <w:left w:val="outset" w:sz="6" w:space="0" w:color="auto"/>
              <w:bottom w:val="outset" w:sz="6" w:space="0" w:color="auto"/>
              <w:right w:val="outset" w:sz="6" w:space="0" w:color="auto"/>
            </w:tcBorders>
          </w:tcPr>
          <w:p w14:paraId="5F946648"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tcPr>
          <w:p w14:paraId="5B24AF99" w14:textId="77777777" w:rsidR="00B70B3A" w:rsidRPr="00E77F18" w:rsidRDefault="00B70B3A" w:rsidP="008B0955">
            <w:pPr>
              <w:jc w:val="right"/>
              <w:rPr>
                <w:rFonts w:eastAsia="Times New Roman" w:cs="Times New Roman"/>
                <w:szCs w:val="24"/>
                <w:lang w:eastAsia="lv-LV"/>
              </w:rPr>
            </w:pPr>
          </w:p>
        </w:tc>
      </w:tr>
      <w:tr w:rsidR="00B70B3A" w:rsidRPr="00E77F18" w14:paraId="6D582443"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7C815496"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2.1. valsts pamatbudžets</w:t>
            </w:r>
          </w:p>
        </w:tc>
        <w:tc>
          <w:tcPr>
            <w:tcW w:w="687" w:type="pct"/>
            <w:tcBorders>
              <w:top w:val="outset" w:sz="6" w:space="0" w:color="auto"/>
              <w:left w:val="outset" w:sz="6" w:space="0" w:color="auto"/>
              <w:bottom w:val="outset" w:sz="6" w:space="0" w:color="auto"/>
              <w:right w:val="outset" w:sz="6" w:space="0" w:color="auto"/>
            </w:tcBorders>
            <w:hideMark/>
          </w:tcPr>
          <w:p w14:paraId="0896E719"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202C4D13" w14:textId="77777777" w:rsidR="00B70B3A" w:rsidRPr="00E77F18" w:rsidRDefault="00B70B3A" w:rsidP="008B0955">
            <w:pPr>
              <w:jc w:val="right"/>
              <w:rPr>
                <w:rFonts w:eastAsia="Times New Roman" w:cs="Times New Roman"/>
                <w:szCs w:val="24"/>
                <w:lang w:eastAsia="lv-LV"/>
              </w:rPr>
            </w:pPr>
          </w:p>
        </w:tc>
        <w:tc>
          <w:tcPr>
            <w:tcW w:w="709" w:type="pct"/>
            <w:tcBorders>
              <w:top w:val="outset" w:sz="6" w:space="0" w:color="auto"/>
              <w:left w:val="outset" w:sz="6" w:space="0" w:color="auto"/>
              <w:bottom w:val="outset" w:sz="6" w:space="0" w:color="auto"/>
              <w:right w:val="outset" w:sz="6" w:space="0" w:color="auto"/>
            </w:tcBorders>
          </w:tcPr>
          <w:p w14:paraId="5E95A512" w14:textId="77777777" w:rsidR="00B70B3A" w:rsidRPr="00E77F18" w:rsidRDefault="00B70B3A" w:rsidP="008B0955">
            <w:pPr>
              <w:jc w:val="right"/>
              <w:rPr>
                <w:rFonts w:eastAsia="Times New Roman" w:cs="Times New Roman"/>
                <w:szCs w:val="24"/>
                <w:lang w:eastAsia="lv-LV"/>
              </w:rPr>
            </w:pPr>
          </w:p>
        </w:tc>
        <w:tc>
          <w:tcPr>
            <w:tcW w:w="793" w:type="pct"/>
            <w:tcBorders>
              <w:top w:val="outset" w:sz="6" w:space="0" w:color="auto"/>
              <w:left w:val="outset" w:sz="6" w:space="0" w:color="auto"/>
              <w:bottom w:val="outset" w:sz="6" w:space="0" w:color="auto"/>
              <w:right w:val="outset" w:sz="6" w:space="0" w:color="auto"/>
            </w:tcBorders>
          </w:tcPr>
          <w:p w14:paraId="2DEA9535"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tcPr>
          <w:p w14:paraId="1B6ADAC9" w14:textId="77777777" w:rsidR="00B70B3A" w:rsidRPr="00E77F18" w:rsidRDefault="00B70B3A" w:rsidP="008B0955">
            <w:pPr>
              <w:jc w:val="right"/>
              <w:rPr>
                <w:rFonts w:eastAsia="Times New Roman" w:cs="Times New Roman"/>
                <w:szCs w:val="24"/>
                <w:lang w:eastAsia="lv-LV"/>
              </w:rPr>
            </w:pPr>
          </w:p>
        </w:tc>
      </w:tr>
      <w:tr w:rsidR="00B70B3A" w:rsidRPr="00E77F18" w14:paraId="74CEAA1B"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697416F9"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2.2. valsts speciālais budžets</w:t>
            </w:r>
          </w:p>
        </w:tc>
        <w:tc>
          <w:tcPr>
            <w:tcW w:w="687" w:type="pct"/>
            <w:tcBorders>
              <w:top w:val="outset" w:sz="6" w:space="0" w:color="auto"/>
              <w:left w:val="outset" w:sz="6" w:space="0" w:color="auto"/>
              <w:bottom w:val="outset" w:sz="6" w:space="0" w:color="auto"/>
              <w:right w:val="outset" w:sz="6" w:space="0" w:color="auto"/>
            </w:tcBorders>
            <w:hideMark/>
          </w:tcPr>
          <w:p w14:paraId="25A23962"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5B801FCB"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5D509B9E"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786ED350" w14:textId="77777777" w:rsidR="00B70B3A" w:rsidRPr="00E77F18" w:rsidRDefault="00B70B3A" w:rsidP="008B0955">
            <w:pPr>
              <w:jc w:val="right"/>
              <w:rPr>
                <w:rFonts w:eastAsia="Times New Roman" w:cs="Times New Roman"/>
                <w:szCs w:val="24"/>
                <w:lang w:eastAsia="lv-LV"/>
              </w:rPr>
            </w:pPr>
          </w:p>
        </w:tc>
        <w:tc>
          <w:tcPr>
            <w:tcW w:w="1089" w:type="pct"/>
            <w:tcBorders>
              <w:top w:val="outset" w:sz="6" w:space="0" w:color="auto"/>
              <w:left w:val="outset" w:sz="6" w:space="0" w:color="auto"/>
              <w:bottom w:val="outset" w:sz="6" w:space="0" w:color="auto"/>
              <w:right w:val="outset" w:sz="6" w:space="0" w:color="auto"/>
            </w:tcBorders>
            <w:hideMark/>
          </w:tcPr>
          <w:p w14:paraId="4EAD98E0" w14:textId="77777777" w:rsidR="00B70B3A" w:rsidRPr="00E77F18" w:rsidRDefault="00B70B3A" w:rsidP="008B0955">
            <w:pPr>
              <w:jc w:val="right"/>
              <w:rPr>
                <w:rFonts w:eastAsia="Times New Roman" w:cs="Times New Roman"/>
                <w:szCs w:val="24"/>
                <w:lang w:eastAsia="lv-LV"/>
              </w:rPr>
            </w:pPr>
          </w:p>
        </w:tc>
      </w:tr>
      <w:tr w:rsidR="00B70B3A" w:rsidRPr="00E77F18" w14:paraId="283034A8"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3760BAC1"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2.3. pašvaldību budžets</w:t>
            </w:r>
          </w:p>
        </w:tc>
        <w:tc>
          <w:tcPr>
            <w:tcW w:w="687" w:type="pct"/>
            <w:tcBorders>
              <w:top w:val="outset" w:sz="6" w:space="0" w:color="auto"/>
              <w:left w:val="outset" w:sz="6" w:space="0" w:color="auto"/>
              <w:bottom w:val="outset" w:sz="6" w:space="0" w:color="auto"/>
              <w:right w:val="outset" w:sz="6" w:space="0" w:color="auto"/>
            </w:tcBorders>
            <w:hideMark/>
          </w:tcPr>
          <w:p w14:paraId="14E95C27"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5780F612" w14:textId="77777777" w:rsidR="00B70B3A" w:rsidRPr="00E77F18" w:rsidRDefault="00B70B3A" w:rsidP="008B0955">
            <w:pPr>
              <w:jc w:val="right"/>
              <w:rPr>
                <w:rFonts w:eastAsia="Times New Roman" w:cs="Times New Roman"/>
                <w:szCs w:val="24"/>
                <w:lang w:eastAsia="lv-LV"/>
              </w:rPr>
            </w:pPr>
          </w:p>
        </w:tc>
        <w:tc>
          <w:tcPr>
            <w:tcW w:w="709" w:type="pct"/>
            <w:tcBorders>
              <w:top w:val="outset" w:sz="6" w:space="0" w:color="auto"/>
              <w:left w:val="outset" w:sz="6" w:space="0" w:color="auto"/>
              <w:bottom w:val="outset" w:sz="6" w:space="0" w:color="auto"/>
              <w:right w:val="outset" w:sz="6" w:space="0" w:color="auto"/>
            </w:tcBorders>
            <w:hideMark/>
          </w:tcPr>
          <w:p w14:paraId="096CE955"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32401EB9"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60E76590"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r>
      <w:tr w:rsidR="00B70B3A" w:rsidRPr="00E77F18" w14:paraId="551F7551"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5C60E7B9"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3. Finansiālā ietekme:</w:t>
            </w:r>
          </w:p>
        </w:tc>
        <w:tc>
          <w:tcPr>
            <w:tcW w:w="687" w:type="pct"/>
            <w:tcBorders>
              <w:top w:val="outset" w:sz="6" w:space="0" w:color="auto"/>
              <w:left w:val="outset" w:sz="6" w:space="0" w:color="auto"/>
              <w:bottom w:val="outset" w:sz="6" w:space="0" w:color="auto"/>
              <w:right w:val="outset" w:sz="6" w:space="0" w:color="auto"/>
            </w:tcBorders>
            <w:vAlign w:val="center"/>
            <w:hideMark/>
          </w:tcPr>
          <w:p w14:paraId="0CA6841E"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6B27398E"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tcPr>
          <w:p w14:paraId="5AD7E170"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+330 000</w:t>
            </w: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tcPr>
          <w:p w14:paraId="26F07269"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+340 000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tcPr>
          <w:p w14:paraId="7161EF1F"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+340 000</w:t>
            </w:r>
          </w:p>
        </w:tc>
      </w:tr>
      <w:tr w:rsidR="00B70B3A" w:rsidRPr="00E77F18" w14:paraId="00B4298E"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32E48469"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3.1. valsts pamatbudžets</w:t>
            </w:r>
          </w:p>
        </w:tc>
        <w:tc>
          <w:tcPr>
            <w:tcW w:w="687" w:type="pct"/>
            <w:tcBorders>
              <w:top w:val="outset" w:sz="6" w:space="0" w:color="auto"/>
              <w:left w:val="outset" w:sz="6" w:space="0" w:color="auto"/>
              <w:bottom w:val="outset" w:sz="6" w:space="0" w:color="auto"/>
              <w:right w:val="outset" w:sz="6" w:space="0" w:color="auto"/>
            </w:tcBorders>
            <w:hideMark/>
          </w:tcPr>
          <w:p w14:paraId="03B87DC6"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57BDCF4C" w14:textId="77777777" w:rsidR="00B70B3A" w:rsidRPr="00E77F18" w:rsidRDefault="00B70B3A" w:rsidP="008B0955">
            <w:pPr>
              <w:jc w:val="right"/>
              <w:rPr>
                <w:rFonts w:eastAsia="Times New Roman" w:cs="Times New Roman"/>
                <w:szCs w:val="24"/>
                <w:lang w:eastAsia="lv-LV"/>
              </w:rPr>
            </w:pPr>
          </w:p>
        </w:tc>
        <w:tc>
          <w:tcPr>
            <w:tcW w:w="709" w:type="pct"/>
            <w:tcBorders>
              <w:top w:val="outset" w:sz="6" w:space="0" w:color="auto"/>
              <w:left w:val="outset" w:sz="6" w:space="0" w:color="auto"/>
              <w:bottom w:val="outset" w:sz="6" w:space="0" w:color="auto"/>
              <w:right w:val="outset" w:sz="6" w:space="0" w:color="auto"/>
            </w:tcBorders>
          </w:tcPr>
          <w:p w14:paraId="27C6838F"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tcPr>
          <w:p w14:paraId="05B1BC7A"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+90 000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tcPr>
          <w:p w14:paraId="0E98384A"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+90 000</w:t>
            </w:r>
            <w:r w:rsidRPr="00E77F18">
              <w:rPr>
                <w:rFonts w:eastAsia="Times New Roman" w:cs="Times New Roman"/>
                <w:szCs w:val="24"/>
                <w:lang w:eastAsia="lv-LV"/>
              </w:rPr>
              <w:t> </w:t>
            </w:r>
          </w:p>
        </w:tc>
      </w:tr>
      <w:tr w:rsidR="00B70B3A" w:rsidRPr="00E77F18" w14:paraId="2E0CFD8D"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1AAAE8AE"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3.2. speciālais budžets</w:t>
            </w:r>
          </w:p>
        </w:tc>
        <w:tc>
          <w:tcPr>
            <w:tcW w:w="687" w:type="pct"/>
            <w:tcBorders>
              <w:top w:val="outset" w:sz="6" w:space="0" w:color="auto"/>
              <w:left w:val="outset" w:sz="6" w:space="0" w:color="auto"/>
              <w:bottom w:val="outset" w:sz="6" w:space="0" w:color="auto"/>
              <w:right w:val="outset" w:sz="6" w:space="0" w:color="auto"/>
            </w:tcBorders>
            <w:hideMark/>
          </w:tcPr>
          <w:p w14:paraId="29AD289D" w14:textId="77777777" w:rsidR="00B70B3A" w:rsidRPr="00E77F18" w:rsidRDefault="00B70B3A" w:rsidP="008B0955">
            <w:pPr>
              <w:jc w:val="center"/>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72FBE65C"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44C15F61"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+170 000</w:t>
            </w: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4974E986"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+170 000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252F98FE"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+170 000</w:t>
            </w:r>
            <w:r w:rsidRPr="00E77F18">
              <w:rPr>
                <w:rFonts w:eastAsia="Times New Roman" w:cs="Times New Roman"/>
                <w:szCs w:val="24"/>
                <w:lang w:eastAsia="lv-LV"/>
              </w:rPr>
              <w:t> </w:t>
            </w:r>
          </w:p>
        </w:tc>
      </w:tr>
      <w:tr w:rsidR="00B70B3A" w:rsidRPr="00E77F18" w14:paraId="4C294A4F"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4367C351"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3.3. pašvaldību budžets</w:t>
            </w:r>
          </w:p>
        </w:tc>
        <w:tc>
          <w:tcPr>
            <w:tcW w:w="687" w:type="pct"/>
            <w:tcBorders>
              <w:top w:val="outset" w:sz="6" w:space="0" w:color="auto"/>
              <w:left w:val="outset" w:sz="6" w:space="0" w:color="auto"/>
              <w:bottom w:val="outset" w:sz="6" w:space="0" w:color="auto"/>
              <w:right w:val="outset" w:sz="6" w:space="0" w:color="auto"/>
            </w:tcBorders>
            <w:hideMark/>
          </w:tcPr>
          <w:p w14:paraId="7EBCE3FF"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14:paraId="2F83AB38"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694C474D"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p>
        </w:tc>
        <w:tc>
          <w:tcPr>
            <w:tcW w:w="793" w:type="pct"/>
            <w:tcBorders>
              <w:top w:val="outset" w:sz="6" w:space="0" w:color="auto"/>
              <w:left w:val="outset" w:sz="6" w:space="0" w:color="auto"/>
              <w:bottom w:val="outset" w:sz="6" w:space="0" w:color="auto"/>
              <w:right w:val="outset" w:sz="6" w:space="0" w:color="auto"/>
            </w:tcBorders>
            <w:hideMark/>
          </w:tcPr>
          <w:p w14:paraId="2E584B83"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0C55A1B5" w14:textId="77777777" w:rsidR="00B70B3A" w:rsidRPr="00E77F18" w:rsidRDefault="00B70B3A" w:rsidP="008B0955">
            <w:pPr>
              <w:jc w:val="right"/>
              <w:rPr>
                <w:rFonts w:eastAsia="Times New Roman" w:cs="Times New Roman"/>
                <w:szCs w:val="24"/>
                <w:lang w:eastAsia="lv-LV"/>
              </w:rPr>
            </w:pPr>
            <w:r>
              <w:rPr>
                <w:rFonts w:eastAsia="Times New Roman" w:cs="Times New Roman"/>
                <w:szCs w:val="24"/>
                <w:lang w:eastAsia="lv-LV"/>
              </w:rPr>
              <w:t>+80 000</w:t>
            </w:r>
            <w:r w:rsidRPr="00E77F18">
              <w:rPr>
                <w:rFonts w:eastAsia="Times New Roman" w:cs="Times New Roman"/>
                <w:szCs w:val="24"/>
                <w:lang w:eastAsia="lv-LV"/>
              </w:rPr>
              <w:t> </w:t>
            </w:r>
          </w:p>
        </w:tc>
      </w:tr>
      <w:tr w:rsidR="00B70B3A" w:rsidRPr="00E77F18" w14:paraId="3FBF9A52" w14:textId="77777777" w:rsidTr="008B0955">
        <w:trPr>
          <w:gridAfter w:val="1"/>
          <w:wAfter w:w="3" w:type="pct"/>
          <w:tblCellSpacing w:w="15" w:type="dxa"/>
          <w:jc w:val="center"/>
        </w:trPr>
        <w:tc>
          <w:tcPr>
            <w:tcW w:w="861" w:type="pct"/>
            <w:vMerge w:val="restart"/>
            <w:tcBorders>
              <w:top w:val="outset" w:sz="6" w:space="0" w:color="auto"/>
              <w:left w:val="outset" w:sz="6" w:space="0" w:color="auto"/>
              <w:bottom w:val="outset" w:sz="6" w:space="0" w:color="auto"/>
              <w:right w:val="outset" w:sz="6" w:space="0" w:color="auto"/>
            </w:tcBorders>
            <w:hideMark/>
          </w:tcPr>
          <w:p w14:paraId="6714A352"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4. Finanšu līdzekļi papildu izdevumu finansēšanai (kompensējošu izdevumu samazinājumu norāda ar "+" zīmi)</w:t>
            </w:r>
          </w:p>
        </w:tc>
        <w:tc>
          <w:tcPr>
            <w:tcW w:w="687" w:type="pct"/>
            <w:vMerge w:val="restart"/>
            <w:tcBorders>
              <w:top w:val="outset" w:sz="6" w:space="0" w:color="auto"/>
              <w:left w:val="outset" w:sz="6" w:space="0" w:color="auto"/>
              <w:bottom w:val="outset" w:sz="6" w:space="0" w:color="auto"/>
              <w:right w:val="outset" w:sz="6" w:space="0" w:color="auto"/>
            </w:tcBorders>
            <w:hideMark/>
          </w:tcPr>
          <w:p w14:paraId="1DCA6CD7" w14:textId="77777777" w:rsidR="00B70B3A" w:rsidRPr="00E77F18" w:rsidRDefault="00B70B3A" w:rsidP="008B0955">
            <w:pPr>
              <w:spacing w:before="100" w:beforeAutospacing="1" w:after="100" w:afterAutospacing="1" w:line="360" w:lineRule="auto"/>
              <w:ind w:firstLine="300"/>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79BE24BB"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tcPr>
          <w:p w14:paraId="0E9415B8"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tcPr>
          <w:p w14:paraId="6211EA04" w14:textId="77777777" w:rsidR="00B70B3A" w:rsidRPr="00E77F18" w:rsidRDefault="00B70B3A" w:rsidP="008B0955">
            <w:pPr>
              <w:jc w:val="right"/>
              <w:rPr>
                <w:rFonts w:eastAsia="Times New Roman" w:cs="Times New Roman"/>
                <w:szCs w:val="24"/>
                <w:lang w:eastAsia="lv-LV"/>
              </w:rPr>
            </w:pPr>
          </w:p>
        </w:tc>
        <w:tc>
          <w:tcPr>
            <w:tcW w:w="1089" w:type="pct"/>
            <w:tcBorders>
              <w:top w:val="outset" w:sz="6" w:space="0" w:color="auto"/>
              <w:left w:val="outset" w:sz="6" w:space="0" w:color="auto"/>
              <w:bottom w:val="outset" w:sz="6" w:space="0" w:color="auto"/>
              <w:right w:val="outset" w:sz="6" w:space="0" w:color="auto"/>
            </w:tcBorders>
          </w:tcPr>
          <w:p w14:paraId="644B81CE" w14:textId="77777777" w:rsidR="00B70B3A" w:rsidRPr="00E77F18" w:rsidRDefault="00B70B3A" w:rsidP="008B0955">
            <w:pPr>
              <w:jc w:val="right"/>
              <w:rPr>
                <w:rFonts w:eastAsia="Times New Roman" w:cs="Times New Roman"/>
                <w:szCs w:val="24"/>
                <w:lang w:eastAsia="lv-LV"/>
              </w:rPr>
            </w:pPr>
          </w:p>
        </w:tc>
      </w:tr>
      <w:tr w:rsidR="00B70B3A" w:rsidRPr="00E77F18" w14:paraId="6D23B8D4" w14:textId="77777777" w:rsidTr="008B0955">
        <w:trPr>
          <w:gridAfter w:val="1"/>
          <w:wAfter w:w="3" w:type="pct"/>
          <w:tblCellSpacing w:w="15" w:type="dxa"/>
          <w:jc w:val="center"/>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34901781" w14:textId="77777777" w:rsidR="00B70B3A" w:rsidRPr="00E77F18" w:rsidRDefault="00B70B3A" w:rsidP="008B0955">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E26FEE" w14:textId="77777777" w:rsidR="00B70B3A" w:rsidRPr="00E77F18" w:rsidRDefault="00B70B3A" w:rsidP="008B0955">
            <w:pPr>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07ECBC8E"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200A44D1"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44FEC65D"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7D0CBFB7"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r>
      <w:tr w:rsidR="00B70B3A" w:rsidRPr="00E77F18" w14:paraId="10F295D7" w14:textId="77777777" w:rsidTr="008B0955">
        <w:trPr>
          <w:gridAfter w:val="1"/>
          <w:wAfter w:w="3" w:type="pct"/>
          <w:tblCellSpacing w:w="15" w:type="dxa"/>
          <w:jc w:val="center"/>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0E7685D8" w14:textId="77777777" w:rsidR="00B70B3A" w:rsidRPr="00E77F18" w:rsidRDefault="00B70B3A" w:rsidP="008B0955">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96770" w14:textId="77777777" w:rsidR="00B70B3A" w:rsidRPr="00E77F18" w:rsidRDefault="00B70B3A" w:rsidP="008B0955">
            <w:pPr>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420227D4"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67BEB878"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1AB7C63D"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173CC231"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 </w:t>
            </w:r>
          </w:p>
        </w:tc>
      </w:tr>
      <w:tr w:rsidR="00B70B3A" w:rsidRPr="00E77F18" w14:paraId="63FE4D3C"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456B09E2"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5. Precizēta finansiālā ietekme:</w:t>
            </w:r>
          </w:p>
        </w:tc>
        <w:tc>
          <w:tcPr>
            <w:tcW w:w="687" w:type="pct"/>
            <w:vMerge w:val="restart"/>
            <w:tcBorders>
              <w:top w:val="outset" w:sz="6" w:space="0" w:color="auto"/>
              <w:left w:val="outset" w:sz="6" w:space="0" w:color="auto"/>
              <w:bottom w:val="outset" w:sz="6" w:space="0" w:color="auto"/>
              <w:right w:val="outset" w:sz="6" w:space="0" w:color="auto"/>
            </w:tcBorders>
            <w:hideMark/>
          </w:tcPr>
          <w:p w14:paraId="36670675" w14:textId="77777777" w:rsidR="00B70B3A" w:rsidRPr="00E77F18" w:rsidRDefault="00B70B3A" w:rsidP="008B0955">
            <w:pPr>
              <w:spacing w:before="100" w:beforeAutospacing="1" w:after="100" w:afterAutospacing="1" w:line="360" w:lineRule="auto"/>
              <w:ind w:firstLine="300"/>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296F8ACD"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tcPr>
          <w:p w14:paraId="372C9B36" w14:textId="77777777" w:rsidR="00B70B3A" w:rsidRPr="00E77F18" w:rsidRDefault="00B70B3A" w:rsidP="008B0955">
            <w:pPr>
              <w:jc w:val="right"/>
              <w:rPr>
                <w:rFonts w:eastAsia="Times New Roman" w:cs="Times New Roman"/>
                <w:szCs w:val="24"/>
                <w:lang w:eastAsia="lv-LV"/>
              </w:rPr>
            </w:pPr>
          </w:p>
        </w:tc>
        <w:tc>
          <w:tcPr>
            <w:tcW w:w="793" w:type="pct"/>
            <w:tcBorders>
              <w:top w:val="outset" w:sz="6" w:space="0" w:color="auto"/>
              <w:left w:val="outset" w:sz="6" w:space="0" w:color="auto"/>
              <w:bottom w:val="outset" w:sz="6" w:space="0" w:color="auto"/>
              <w:right w:val="outset" w:sz="6" w:space="0" w:color="auto"/>
            </w:tcBorders>
          </w:tcPr>
          <w:p w14:paraId="454B3E0F" w14:textId="77777777" w:rsidR="00B70B3A" w:rsidRPr="00E77F18" w:rsidRDefault="00B70B3A" w:rsidP="008B0955">
            <w:pPr>
              <w:jc w:val="right"/>
              <w:rPr>
                <w:rFonts w:eastAsia="Times New Roman" w:cs="Times New Roman"/>
                <w:szCs w:val="24"/>
                <w:lang w:eastAsia="lv-LV"/>
              </w:rPr>
            </w:pPr>
          </w:p>
        </w:tc>
        <w:tc>
          <w:tcPr>
            <w:tcW w:w="1089" w:type="pct"/>
            <w:tcBorders>
              <w:top w:val="outset" w:sz="6" w:space="0" w:color="auto"/>
              <w:left w:val="outset" w:sz="6" w:space="0" w:color="auto"/>
              <w:bottom w:val="outset" w:sz="6" w:space="0" w:color="auto"/>
              <w:right w:val="outset" w:sz="6" w:space="0" w:color="auto"/>
            </w:tcBorders>
          </w:tcPr>
          <w:p w14:paraId="72989E50" w14:textId="77777777" w:rsidR="00B70B3A" w:rsidRPr="00E77F18" w:rsidRDefault="00B70B3A" w:rsidP="008B0955">
            <w:pPr>
              <w:jc w:val="right"/>
              <w:rPr>
                <w:rFonts w:eastAsia="Times New Roman" w:cs="Times New Roman"/>
                <w:szCs w:val="24"/>
                <w:lang w:eastAsia="lv-LV"/>
              </w:rPr>
            </w:pPr>
          </w:p>
        </w:tc>
      </w:tr>
      <w:tr w:rsidR="00B70B3A" w:rsidRPr="00E77F18" w14:paraId="5B87569E"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2DE5DF79"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BAF547"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2D609A35"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6E08AEEE"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5E2BCBD5"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51378F75"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r>
      <w:tr w:rsidR="00B70B3A" w:rsidRPr="00E77F18" w14:paraId="6CAC800E"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7212C070"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6D8F1C"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0A17F9EB"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54DB708E"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0179DCAB"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3B1340DF"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r>
      <w:tr w:rsidR="00B70B3A" w:rsidRPr="00E77F18" w14:paraId="6BF838BF"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30B9849C"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212153" w14:textId="77777777" w:rsidR="00B70B3A" w:rsidRPr="00E77F18" w:rsidRDefault="00B70B3A" w:rsidP="008B0955">
            <w:pPr>
              <w:jc w:val="right"/>
              <w:rPr>
                <w:rFonts w:eastAsia="Times New Roman" w:cs="Times New Roman"/>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14:paraId="0A084007"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14:paraId="798CFBF8"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793" w:type="pct"/>
            <w:tcBorders>
              <w:top w:val="outset" w:sz="6" w:space="0" w:color="auto"/>
              <w:left w:val="outset" w:sz="6" w:space="0" w:color="auto"/>
              <w:bottom w:val="outset" w:sz="6" w:space="0" w:color="auto"/>
              <w:right w:val="outset" w:sz="6" w:space="0" w:color="auto"/>
            </w:tcBorders>
            <w:hideMark/>
          </w:tcPr>
          <w:p w14:paraId="30AB5879"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c>
          <w:tcPr>
            <w:tcW w:w="1089" w:type="pct"/>
            <w:tcBorders>
              <w:top w:val="outset" w:sz="6" w:space="0" w:color="auto"/>
              <w:left w:val="outset" w:sz="6" w:space="0" w:color="auto"/>
              <w:bottom w:val="outset" w:sz="6" w:space="0" w:color="auto"/>
              <w:right w:val="outset" w:sz="6" w:space="0" w:color="auto"/>
            </w:tcBorders>
            <w:hideMark/>
          </w:tcPr>
          <w:p w14:paraId="386DEBB4" w14:textId="77777777" w:rsidR="00B70B3A" w:rsidRPr="00E77F18" w:rsidRDefault="00B70B3A" w:rsidP="008B0955">
            <w:pPr>
              <w:jc w:val="right"/>
              <w:rPr>
                <w:rFonts w:eastAsia="Times New Roman" w:cs="Times New Roman"/>
                <w:szCs w:val="24"/>
                <w:lang w:eastAsia="lv-LV"/>
              </w:rPr>
            </w:pPr>
            <w:r w:rsidRPr="00E77F18">
              <w:rPr>
                <w:rFonts w:eastAsia="Times New Roman" w:cs="Times New Roman"/>
                <w:szCs w:val="24"/>
                <w:lang w:eastAsia="lv-LV"/>
              </w:rPr>
              <w:t> </w:t>
            </w:r>
          </w:p>
        </w:tc>
      </w:tr>
      <w:tr w:rsidR="00B70B3A" w:rsidRPr="00E77F18" w14:paraId="0DFC56C1"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2CA5E7DB"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lastRenderedPageBreak/>
              <w:t>6. Detalizēts ieņēmumu un izdevumu aprēķins (ja nepieciešams, detalizētu ieņēmumu un izdevumu aprēķinu var pievienot anotācijas pielikumā):</w:t>
            </w:r>
          </w:p>
        </w:tc>
        <w:tc>
          <w:tcPr>
            <w:tcW w:w="4072"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73BC88C2" w14:textId="5B95C6F2" w:rsidR="00B70B3A" w:rsidRDefault="00423A98" w:rsidP="008B0955">
            <w:pPr>
              <w:pStyle w:val="Default"/>
              <w:jc w:val="both"/>
            </w:pPr>
            <w:r>
              <w:rPr>
                <w:bCs/>
                <w:color w:val="000000" w:themeColor="text1"/>
              </w:rPr>
              <w:t>Likumprojekts</w:t>
            </w:r>
            <w:r w:rsidR="00B70B3A">
              <w:rPr>
                <w:bCs/>
                <w:color w:val="000000" w:themeColor="text1"/>
              </w:rPr>
              <w:t>, piemērojot zaudējuma</w:t>
            </w:r>
            <w:r w:rsidR="00B70B3A" w:rsidRPr="00B13C88">
              <w:rPr>
                <w:bCs/>
                <w:color w:val="000000" w:themeColor="text1"/>
              </w:rPr>
              <w:t xml:space="preserve"> aprēķinā norādītās summas samazinājumu par 30%, kas izmaksājama personai, gadījumos, kad tā transportlīdzekļa remonta vietā izvēlas apdrošināšanas atlīdzības izmaksu </w:t>
            </w:r>
            <w:r w:rsidR="00B70B3A" w:rsidRPr="003D77CE">
              <w:rPr>
                <w:bCs/>
                <w:color w:val="000000" w:themeColor="text1"/>
              </w:rPr>
              <w:t>skaidrā naudā,</w:t>
            </w:r>
            <w:r>
              <w:rPr>
                <w:bCs/>
                <w:color w:val="000000" w:themeColor="text1"/>
              </w:rPr>
              <w:t xml:space="preserve"> </w:t>
            </w:r>
            <w:r w:rsidR="00B70B3A" w:rsidRPr="003D77CE">
              <w:rPr>
                <w:rFonts w:eastAsia="Times New Roman"/>
                <w:bCs/>
                <w:color w:val="000000" w:themeColor="text1"/>
              </w:rPr>
              <w:t>samazinās</w:t>
            </w:r>
            <w:r>
              <w:rPr>
                <w:rFonts w:eastAsia="Times New Roman"/>
                <w:bCs/>
                <w:color w:val="000000" w:themeColor="text1"/>
              </w:rPr>
              <w:t xml:space="preserve"> </w:t>
            </w:r>
            <w:r w:rsidR="00B70B3A" w:rsidRPr="003D77CE">
              <w:rPr>
                <w:rFonts w:eastAsia="Times New Roman"/>
                <w:bCs/>
                <w:color w:val="000000" w:themeColor="text1"/>
              </w:rPr>
              <w:t>izvairīšan</w:t>
            </w:r>
            <w:r>
              <w:rPr>
                <w:rFonts w:eastAsia="Times New Roman"/>
                <w:bCs/>
                <w:color w:val="000000" w:themeColor="text1"/>
              </w:rPr>
              <w:t>os</w:t>
            </w:r>
            <w:r w:rsidR="00B70B3A" w:rsidRPr="003D77CE">
              <w:rPr>
                <w:rFonts w:eastAsia="Times New Roman"/>
                <w:bCs/>
                <w:color w:val="000000" w:themeColor="text1"/>
              </w:rPr>
              <w:t xml:space="preserve"> no nodokļu nomaksas</w:t>
            </w:r>
            <w:r>
              <w:rPr>
                <w:rFonts w:eastAsia="Times New Roman"/>
                <w:bCs/>
                <w:color w:val="000000" w:themeColor="text1"/>
              </w:rPr>
              <w:t>,</w:t>
            </w:r>
            <w:r w:rsidR="00B70B3A" w:rsidRPr="003D77CE">
              <w:rPr>
                <w:rFonts w:eastAsia="Times New Roman"/>
                <w:bCs/>
                <w:color w:val="000000" w:themeColor="text1"/>
              </w:rPr>
              <w:t xml:space="preserve"> kā rezultātā palielināsies valsts budžeta ieņ</w:t>
            </w:r>
            <w:r w:rsidR="00B70B3A">
              <w:rPr>
                <w:rFonts w:eastAsia="Times New Roman"/>
                <w:bCs/>
                <w:color w:val="000000" w:themeColor="text1"/>
              </w:rPr>
              <w:t>ēmumi (galvenokārt grozījumi ietekmēs</w:t>
            </w:r>
            <w:r w:rsidR="00B70B3A">
              <w:t xml:space="preserve"> sociālās apdrošināšanas obligāto iemaksu, iedzīvotāju ienākuma nodokļa un pievienotās vērtības nodokļa ieņēmumus). </w:t>
            </w:r>
            <w:proofErr w:type="spellStart"/>
            <w:r>
              <w:t>Likumoprojekts</w:t>
            </w:r>
            <w:proofErr w:type="spellEnd"/>
            <w:r w:rsidR="00B70B3A">
              <w:t xml:space="preserve"> ietekmēs nodokļu maksātājus, kas darbojās </w:t>
            </w:r>
            <w:r w:rsidR="00B70B3A" w:rsidRPr="00241EF2">
              <w:rPr>
                <w:rFonts w:eastAsia="Times New Roman"/>
                <w:bCs/>
                <w:color w:val="000000" w:themeColor="text1"/>
              </w:rPr>
              <w:t>auto</w:t>
            </w:r>
            <w:r w:rsidR="00B70B3A">
              <w:rPr>
                <w:rFonts w:eastAsia="Times New Roman"/>
                <w:bCs/>
                <w:color w:val="000000" w:themeColor="text1"/>
              </w:rPr>
              <w:t xml:space="preserve">mobiļu apkopes un remonta nozarē. Pēc Valsts ieņēmumu dienesta sniegtās informācijas 2016.gada 4.janvārī automobiļu apkopes un remonta nozarē (kam </w:t>
            </w:r>
            <w:r w:rsidR="00B70B3A" w:rsidRPr="00E902C2">
              <w:t>pamatdarbības veida kods</w:t>
            </w:r>
            <w:r w:rsidR="00B70B3A">
              <w:rPr>
                <w:rFonts w:eastAsia="Times New Roman"/>
                <w:bCs/>
                <w:color w:val="000000" w:themeColor="text1"/>
              </w:rPr>
              <w:t xml:space="preserve"> s</w:t>
            </w:r>
            <w:r w:rsidR="00B70B3A" w:rsidRPr="00E902C2">
              <w:t>askaņā ar Saimnieciskās darbības statistisko klasifikāciju Eiropas Kopienā (NACE 2.red.)</w:t>
            </w:r>
            <w:r w:rsidR="00B70B3A">
              <w:t xml:space="preserve"> ir 4520) darbojās 5 019 nodokļu maksātāji, no tiem 3 500 ir juridiskās personas un 1 094 ir PVN maksātāji, un 1 737 </w:t>
            </w:r>
            <w:proofErr w:type="spellStart"/>
            <w:r w:rsidR="00B70B3A">
              <w:t>mikrouzņēmumu</w:t>
            </w:r>
            <w:proofErr w:type="spellEnd"/>
            <w:r w:rsidR="00B70B3A">
              <w:t xml:space="preserve"> nodokļa maksātāji. Ņemot vērā, ka 34,6% no visiem nozares nodokļu maksātājiem ir </w:t>
            </w:r>
            <w:proofErr w:type="spellStart"/>
            <w:r w:rsidR="00B70B3A">
              <w:t>mikrouzņēmumu</w:t>
            </w:r>
            <w:proofErr w:type="spellEnd"/>
            <w:r w:rsidR="00B70B3A">
              <w:t xml:space="preserve"> nodokļa maksātāji, pieņemam, ka no šīs grupas nodokļu maksātājiem arī veidosies ietekme uz valsts budžeta ieņēmumiem.</w:t>
            </w:r>
          </w:p>
          <w:p w14:paraId="22D77044" w14:textId="77777777" w:rsidR="00B70B3A" w:rsidRDefault="00B70B3A" w:rsidP="008B0955">
            <w:pPr>
              <w:pStyle w:val="Default"/>
              <w:rPr>
                <w:rFonts w:eastAsia="Times New Roman"/>
                <w:lang w:eastAsia="lv-LV"/>
              </w:rPr>
            </w:pPr>
          </w:p>
          <w:p w14:paraId="3DFAA8DC" w14:textId="7D3AEF97" w:rsidR="00B70B3A" w:rsidRDefault="00B70B3A" w:rsidP="008B0955">
            <w:pPr>
              <w:pStyle w:val="Default"/>
              <w:jc w:val="both"/>
              <w:rPr>
                <w:rFonts w:eastAsia="Times New Roman"/>
                <w:lang w:eastAsia="lv-LV"/>
              </w:rPr>
            </w:pPr>
            <w:r>
              <w:rPr>
                <w:rFonts w:eastAsia="Times New Roman"/>
                <w:lang w:eastAsia="lv-LV"/>
              </w:rPr>
              <w:t>Saskaņā ar Latvijas Transportlīdzekļu apdrošināšanas biroja sagatavotajā pārskatā “Sauszemes transportlīdzekļu īpašnieku civiltiesiskās atbildības obligātā apdrošināšana. 2015.gada 12 mēnešu rezultāti” pieejamo informāciju, 2015.gadā transportlīdzekļu bojājumu kopējā atlīdzību summa bija 25,5 milj. </w:t>
            </w:r>
            <w:proofErr w:type="spellStart"/>
            <w:r w:rsidRPr="009E4662">
              <w:rPr>
                <w:rFonts w:eastAsia="Times New Roman"/>
                <w:i/>
                <w:lang w:eastAsia="lv-LV"/>
              </w:rPr>
              <w:t>euro</w:t>
            </w:r>
            <w:proofErr w:type="spellEnd"/>
            <w:r>
              <w:rPr>
                <w:rFonts w:eastAsia="Times New Roman"/>
                <w:lang w:eastAsia="lv-LV"/>
              </w:rPr>
              <w:t xml:space="preserve"> apmērā. Ņemot vērā: </w:t>
            </w:r>
          </w:p>
          <w:p w14:paraId="542CD6B0" w14:textId="77777777" w:rsidR="00B70B3A" w:rsidRDefault="00B70B3A" w:rsidP="00B70B3A">
            <w:pPr>
              <w:pStyle w:val="Default"/>
              <w:numPr>
                <w:ilvl w:val="0"/>
                <w:numId w:val="10"/>
              </w:numPr>
              <w:jc w:val="both"/>
            </w:pPr>
            <w:r>
              <w:rPr>
                <w:rFonts w:eastAsia="Times New Roman"/>
                <w:lang w:eastAsia="lv-LV"/>
              </w:rPr>
              <w:t xml:space="preserve">ka no kopējās atlīdzību summas apmēram </w:t>
            </w:r>
            <w:r>
              <w:t>65% tiek izmaksāti skaidrā naudā;</w:t>
            </w:r>
          </w:p>
          <w:p w14:paraId="573504D0" w14:textId="59067541" w:rsidR="00B70B3A" w:rsidRDefault="00B70B3A" w:rsidP="00B70B3A">
            <w:pPr>
              <w:pStyle w:val="Default"/>
              <w:numPr>
                <w:ilvl w:val="0"/>
                <w:numId w:val="10"/>
              </w:numPr>
              <w:jc w:val="both"/>
            </w:pPr>
            <w:r>
              <w:t>likumprojekt</w:t>
            </w:r>
            <w:r w:rsidR="00423A98">
              <w:t>u</w:t>
            </w:r>
            <w:r>
              <w:t>, ka apdrošinātājs vai Latvijas T</w:t>
            </w:r>
            <w:r w:rsidRPr="00CF27BB">
              <w:t>ransportlīdzekļu apdrošinātāju birojs izmaksā apdrošināšanas atlīdzību 70% apmērā no zaudējumu aprēķinā norādītās zaudējumu summas</w:t>
            </w:r>
            <w:r>
              <w:t>;</w:t>
            </w:r>
          </w:p>
          <w:p w14:paraId="28068877" w14:textId="77777777" w:rsidR="00B70B3A" w:rsidRPr="00313C35" w:rsidRDefault="00B70B3A" w:rsidP="00B70B3A">
            <w:pPr>
              <w:pStyle w:val="Default"/>
              <w:numPr>
                <w:ilvl w:val="0"/>
                <w:numId w:val="10"/>
              </w:numPr>
              <w:jc w:val="both"/>
              <w:rPr>
                <w:color w:val="000000" w:themeColor="text1"/>
              </w:rPr>
            </w:pPr>
            <w:r w:rsidRPr="00313C35">
              <w:rPr>
                <w:color w:val="000000" w:themeColor="text1"/>
              </w:rPr>
              <w:t>ka, no izmaksājamā summa tiek samazināta par aprēķināto pievienotās vērtības nodokli 21% apmērā;</w:t>
            </w:r>
          </w:p>
          <w:p w14:paraId="1DADFC19" w14:textId="77777777" w:rsidR="00B70B3A" w:rsidRDefault="00B70B3A" w:rsidP="00B70B3A">
            <w:pPr>
              <w:pStyle w:val="Default"/>
              <w:numPr>
                <w:ilvl w:val="0"/>
                <w:numId w:val="10"/>
              </w:numPr>
              <w:jc w:val="both"/>
            </w:pPr>
            <w:r>
              <w:t>nedeklarēto ienākumu īpatsvaru (ienākumu plaisa no aplokšņu algām) 30% apmērā - a</w:t>
            </w:r>
            <w:r w:rsidRPr="001B2E35">
              <w:t>utomobiļu un motociklu vairumtirdzniecība</w:t>
            </w:r>
            <w:r>
              <w:t>s</w:t>
            </w:r>
            <w:r w:rsidRPr="001B2E35">
              <w:t>, mazumtirdzniecība</w:t>
            </w:r>
            <w:r>
              <w:t>s un remonta</w:t>
            </w:r>
            <w:r w:rsidRPr="00E43C75">
              <w:t xml:space="preserve"> nozarē</w:t>
            </w:r>
            <w:r>
              <w:t>;</w:t>
            </w:r>
          </w:p>
          <w:p w14:paraId="36AD0DC5" w14:textId="77777777" w:rsidR="00B70B3A" w:rsidRDefault="00B70B3A" w:rsidP="00B70B3A">
            <w:pPr>
              <w:pStyle w:val="Default"/>
              <w:numPr>
                <w:ilvl w:val="0"/>
                <w:numId w:val="10"/>
              </w:numPr>
              <w:jc w:val="both"/>
            </w:pPr>
            <w:r>
              <w:t>pieņēmumu, ka ieviešot likumprojekta 25. panta grozījumus</w:t>
            </w:r>
            <w:r>
              <w:rPr>
                <w:rFonts w:eastAsia="Times New Roman"/>
                <w:bCs/>
                <w:color w:val="000000" w:themeColor="text1"/>
              </w:rPr>
              <w:t>, ka krāpnieciskie darījumi ar remontam paredzēto izmaksāto skaidro naudu pēc grozījumu ieviešanas samazināsies par  70%</w:t>
            </w:r>
            <w:r>
              <w:t xml:space="preserve">; </w:t>
            </w:r>
          </w:p>
          <w:p w14:paraId="27F60B5F" w14:textId="77777777" w:rsidR="00B70B3A" w:rsidRPr="00E52A74" w:rsidRDefault="00B70B3A" w:rsidP="00B70B3A">
            <w:pPr>
              <w:pStyle w:val="Default"/>
              <w:numPr>
                <w:ilvl w:val="0"/>
                <w:numId w:val="10"/>
              </w:numPr>
              <w:jc w:val="both"/>
            </w:pPr>
            <w:r>
              <w:rPr>
                <w:bCs/>
              </w:rPr>
              <w:t xml:space="preserve">ka </w:t>
            </w:r>
            <w:r w:rsidRPr="00A70F53">
              <w:rPr>
                <w:bCs/>
              </w:rPr>
              <w:t>aptuveni 30% kopējā</w:t>
            </w:r>
            <w:r>
              <w:rPr>
                <w:bCs/>
              </w:rPr>
              <w:t xml:space="preserve">m pakalpojuma izmaksām sastāda </w:t>
            </w:r>
            <w:r w:rsidRPr="00A70F53">
              <w:rPr>
                <w:bCs/>
              </w:rPr>
              <w:t>da</w:t>
            </w:r>
            <w:r>
              <w:rPr>
                <w:bCs/>
              </w:rPr>
              <w:t>rba spēka nodokļi.</w:t>
            </w:r>
          </w:p>
          <w:p w14:paraId="251EF5F5" w14:textId="77777777" w:rsidR="00B70B3A" w:rsidRDefault="00B70B3A" w:rsidP="008B0955">
            <w:pPr>
              <w:pStyle w:val="Default"/>
              <w:jc w:val="both"/>
              <w:rPr>
                <w:bCs/>
              </w:rPr>
            </w:pPr>
            <w:r>
              <w:rPr>
                <w:bCs/>
              </w:rPr>
              <w:t xml:space="preserve">Ar darba spēka nodokli apliekamā bāze būtu 0,6 milj. </w:t>
            </w:r>
            <w:proofErr w:type="spellStart"/>
            <w:r w:rsidRPr="002020FA">
              <w:rPr>
                <w:bCs/>
                <w:i/>
              </w:rPr>
              <w:t>euro</w:t>
            </w:r>
            <w:proofErr w:type="spellEnd"/>
            <w:r>
              <w:rPr>
                <w:bCs/>
              </w:rPr>
              <w:t>:</w:t>
            </w:r>
          </w:p>
          <w:p w14:paraId="2FCE858E" w14:textId="77777777" w:rsidR="00B70B3A" w:rsidRDefault="00B70B3A" w:rsidP="008B0955">
            <w:pPr>
              <w:pStyle w:val="Default"/>
              <w:jc w:val="both"/>
              <w:rPr>
                <w:bCs/>
              </w:rPr>
            </w:pPr>
            <w:r>
              <w:rPr>
                <w:bCs/>
              </w:rPr>
              <w:t>(25,5 milj. </w:t>
            </w:r>
            <w:proofErr w:type="spellStart"/>
            <w:r w:rsidRPr="00E52A74">
              <w:rPr>
                <w:bCs/>
                <w:i/>
              </w:rPr>
              <w:t>euro</w:t>
            </w:r>
            <w:proofErr w:type="spellEnd"/>
            <w:r>
              <w:rPr>
                <w:bCs/>
              </w:rPr>
              <w:t>*65%)*70%/121%*30%*70%*30%=0,6 milj. </w:t>
            </w:r>
            <w:proofErr w:type="spellStart"/>
            <w:r w:rsidRPr="00E52A74">
              <w:rPr>
                <w:bCs/>
                <w:i/>
              </w:rPr>
              <w:t>euro</w:t>
            </w:r>
            <w:proofErr w:type="spellEnd"/>
            <w:r>
              <w:rPr>
                <w:bCs/>
              </w:rPr>
              <w:t xml:space="preserve"> </w:t>
            </w:r>
          </w:p>
          <w:p w14:paraId="20E6725A" w14:textId="77777777" w:rsidR="00B70B3A" w:rsidRDefault="00B70B3A" w:rsidP="008B0955">
            <w:pPr>
              <w:pStyle w:val="Default"/>
              <w:rPr>
                <w:bCs/>
              </w:rPr>
            </w:pPr>
          </w:p>
          <w:p w14:paraId="43BDB166" w14:textId="77777777" w:rsidR="00B70B3A" w:rsidRDefault="00B70B3A" w:rsidP="008B0955">
            <w:pPr>
              <w:pStyle w:val="Default"/>
              <w:jc w:val="both"/>
            </w:pPr>
            <w:r>
              <w:rPr>
                <w:bCs/>
              </w:rPr>
              <w:t>Ņ</w:t>
            </w:r>
            <w:r>
              <w:t>emot vērā valsts sociālās apdrošināšanas obligāto iemaksu un iedzīvotāju ienākuma nodokļa iekasēšanas koeficientu  a</w:t>
            </w:r>
            <w:r w:rsidRPr="001B2E35">
              <w:t>utomobiļu un motociklu vairumtirdzniecība</w:t>
            </w:r>
            <w:r>
              <w:t>s</w:t>
            </w:r>
            <w:r w:rsidRPr="001B2E35">
              <w:t>, mazumtirdzniecība</w:t>
            </w:r>
            <w:r>
              <w:t>s un remonta</w:t>
            </w:r>
            <w:r w:rsidRPr="00E43C75">
              <w:t xml:space="preserve"> nozarē</w:t>
            </w:r>
            <w:r>
              <w:t>, ieviešot likumprojekta grozījumus, fiskālās ietekmes uz darba spēka nodokļiem* būtu šādas:</w:t>
            </w:r>
          </w:p>
          <w:p w14:paraId="5F4B7390" w14:textId="77777777" w:rsidR="00B70B3A" w:rsidRDefault="00B70B3A" w:rsidP="008B0955">
            <w:pPr>
              <w:pStyle w:val="Default"/>
            </w:pPr>
          </w:p>
          <w:tbl>
            <w:tblPr>
              <w:tblW w:w="7355" w:type="dxa"/>
              <w:tblLook w:val="04A0" w:firstRow="1" w:lastRow="0" w:firstColumn="1" w:lastColumn="0" w:noHBand="0" w:noVBand="1"/>
            </w:tblPr>
            <w:tblGrid>
              <w:gridCol w:w="3823"/>
              <w:gridCol w:w="1270"/>
              <w:gridCol w:w="1126"/>
              <w:gridCol w:w="1136"/>
            </w:tblGrid>
            <w:tr w:rsidR="00B70B3A" w:rsidRPr="00331348" w14:paraId="67245A34" w14:textId="77777777" w:rsidTr="008B0955">
              <w:trPr>
                <w:trHeight w:val="315"/>
              </w:trPr>
              <w:tc>
                <w:tcPr>
                  <w:tcW w:w="38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9D4F86" w14:textId="77777777" w:rsidR="00B70B3A" w:rsidRPr="00331348" w:rsidRDefault="00B70B3A" w:rsidP="008B0955">
                  <w:pPr>
                    <w:rPr>
                      <w:rFonts w:eastAsia="Times New Roman" w:cs="Times New Roman"/>
                      <w:color w:val="000000"/>
                      <w:sz w:val="20"/>
                      <w:szCs w:val="20"/>
                      <w:lang w:eastAsia="lv-LV"/>
                    </w:rPr>
                  </w:pPr>
                  <w:r w:rsidRPr="00331348">
                    <w:rPr>
                      <w:rFonts w:eastAsia="Times New Roman" w:cs="Times New Roman"/>
                      <w:color w:val="000000"/>
                      <w:sz w:val="20"/>
                      <w:szCs w:val="20"/>
                      <w:lang w:eastAsia="lv-LV"/>
                    </w:rPr>
                    <w:t xml:space="preserve">milj. </w:t>
                  </w:r>
                  <w:proofErr w:type="spellStart"/>
                  <w:r w:rsidRPr="00331348">
                    <w:rPr>
                      <w:rFonts w:eastAsia="Times New Roman" w:cs="Times New Roman"/>
                      <w:i/>
                      <w:color w:val="000000"/>
                      <w:sz w:val="20"/>
                      <w:szCs w:val="20"/>
                      <w:lang w:eastAsia="lv-LV"/>
                    </w:rPr>
                    <w:t>euro</w:t>
                  </w:r>
                  <w:proofErr w:type="spellEnd"/>
                </w:p>
              </w:tc>
              <w:tc>
                <w:tcPr>
                  <w:tcW w:w="1270" w:type="dxa"/>
                  <w:tcBorders>
                    <w:top w:val="single" w:sz="8" w:space="0" w:color="auto"/>
                    <w:left w:val="nil"/>
                    <w:bottom w:val="single" w:sz="4" w:space="0" w:color="auto"/>
                    <w:right w:val="single" w:sz="4" w:space="0" w:color="auto"/>
                  </w:tcBorders>
                  <w:shd w:val="clear" w:color="auto" w:fill="auto"/>
                  <w:noWrap/>
                  <w:vAlign w:val="bottom"/>
                  <w:hideMark/>
                </w:tcPr>
                <w:p w14:paraId="6A00BD51" w14:textId="77777777" w:rsidR="00B70B3A" w:rsidRPr="00331348" w:rsidRDefault="00B70B3A" w:rsidP="008B0955">
                  <w:pPr>
                    <w:jc w:val="center"/>
                    <w:rPr>
                      <w:rFonts w:eastAsia="Times New Roman" w:cs="Times New Roman"/>
                      <w:color w:val="000000"/>
                      <w:sz w:val="20"/>
                      <w:szCs w:val="20"/>
                      <w:lang w:eastAsia="lv-LV"/>
                    </w:rPr>
                  </w:pPr>
                  <w:r w:rsidRPr="00331348">
                    <w:rPr>
                      <w:rFonts w:eastAsia="Times New Roman" w:cs="Times New Roman"/>
                      <w:color w:val="000000"/>
                      <w:sz w:val="20"/>
                      <w:szCs w:val="20"/>
                      <w:lang w:eastAsia="lv-LV"/>
                    </w:rPr>
                    <w:t>2017</w:t>
                  </w:r>
                </w:p>
              </w:tc>
              <w:tc>
                <w:tcPr>
                  <w:tcW w:w="1126" w:type="dxa"/>
                  <w:tcBorders>
                    <w:top w:val="single" w:sz="8" w:space="0" w:color="auto"/>
                    <w:left w:val="nil"/>
                    <w:bottom w:val="single" w:sz="4" w:space="0" w:color="auto"/>
                    <w:right w:val="single" w:sz="4" w:space="0" w:color="auto"/>
                  </w:tcBorders>
                  <w:shd w:val="clear" w:color="auto" w:fill="auto"/>
                  <w:noWrap/>
                  <w:vAlign w:val="bottom"/>
                  <w:hideMark/>
                </w:tcPr>
                <w:p w14:paraId="396BAD29" w14:textId="77777777" w:rsidR="00B70B3A" w:rsidRPr="00331348" w:rsidRDefault="00B70B3A" w:rsidP="008B0955">
                  <w:pPr>
                    <w:jc w:val="center"/>
                    <w:rPr>
                      <w:rFonts w:eastAsia="Times New Roman" w:cs="Times New Roman"/>
                      <w:color w:val="000000"/>
                      <w:sz w:val="20"/>
                      <w:szCs w:val="20"/>
                      <w:lang w:eastAsia="lv-LV"/>
                    </w:rPr>
                  </w:pPr>
                  <w:r w:rsidRPr="00331348">
                    <w:rPr>
                      <w:rFonts w:eastAsia="Times New Roman" w:cs="Times New Roman"/>
                      <w:color w:val="000000"/>
                      <w:sz w:val="20"/>
                      <w:szCs w:val="20"/>
                      <w:lang w:eastAsia="lv-LV"/>
                    </w:rPr>
                    <w:t>2018</w:t>
                  </w:r>
                </w:p>
              </w:tc>
              <w:tc>
                <w:tcPr>
                  <w:tcW w:w="1136" w:type="dxa"/>
                  <w:tcBorders>
                    <w:top w:val="single" w:sz="8" w:space="0" w:color="auto"/>
                    <w:left w:val="nil"/>
                    <w:bottom w:val="single" w:sz="4" w:space="0" w:color="auto"/>
                    <w:right w:val="single" w:sz="8" w:space="0" w:color="auto"/>
                  </w:tcBorders>
                  <w:shd w:val="clear" w:color="auto" w:fill="auto"/>
                  <w:noWrap/>
                  <w:vAlign w:val="bottom"/>
                  <w:hideMark/>
                </w:tcPr>
                <w:p w14:paraId="72DEC479" w14:textId="77777777" w:rsidR="00B70B3A" w:rsidRPr="00331348" w:rsidRDefault="00B70B3A" w:rsidP="008B0955">
                  <w:pPr>
                    <w:jc w:val="center"/>
                    <w:rPr>
                      <w:rFonts w:eastAsia="Times New Roman" w:cs="Times New Roman"/>
                      <w:color w:val="000000"/>
                      <w:sz w:val="20"/>
                      <w:szCs w:val="20"/>
                      <w:lang w:eastAsia="lv-LV"/>
                    </w:rPr>
                  </w:pPr>
                  <w:r w:rsidRPr="00331348">
                    <w:rPr>
                      <w:rFonts w:eastAsia="Times New Roman" w:cs="Times New Roman"/>
                      <w:color w:val="000000"/>
                      <w:sz w:val="20"/>
                      <w:szCs w:val="20"/>
                      <w:lang w:eastAsia="lv-LV"/>
                    </w:rPr>
                    <w:t>2019</w:t>
                  </w:r>
                </w:p>
              </w:tc>
            </w:tr>
            <w:tr w:rsidR="00B70B3A" w:rsidRPr="00331348" w14:paraId="4E59A926" w14:textId="77777777" w:rsidTr="008B0955">
              <w:trPr>
                <w:trHeight w:val="315"/>
              </w:trPr>
              <w:tc>
                <w:tcPr>
                  <w:tcW w:w="3823" w:type="dxa"/>
                  <w:tcBorders>
                    <w:top w:val="nil"/>
                    <w:left w:val="single" w:sz="8" w:space="0" w:color="auto"/>
                    <w:bottom w:val="single" w:sz="4" w:space="0" w:color="auto"/>
                    <w:right w:val="single" w:sz="4" w:space="0" w:color="auto"/>
                  </w:tcBorders>
                  <w:shd w:val="clear" w:color="auto" w:fill="auto"/>
                  <w:noWrap/>
                  <w:vAlign w:val="bottom"/>
                  <w:hideMark/>
                </w:tcPr>
                <w:p w14:paraId="78A56DA8" w14:textId="77777777" w:rsidR="00B70B3A" w:rsidRPr="00331348" w:rsidRDefault="00B70B3A" w:rsidP="008B0955">
                  <w:pPr>
                    <w:rPr>
                      <w:rFonts w:eastAsia="Times New Roman" w:cs="Times New Roman"/>
                      <w:b/>
                      <w:color w:val="000000"/>
                      <w:sz w:val="20"/>
                      <w:szCs w:val="20"/>
                      <w:lang w:eastAsia="lv-LV"/>
                    </w:rPr>
                  </w:pPr>
                  <w:r w:rsidRPr="00331348">
                    <w:rPr>
                      <w:rFonts w:eastAsia="Times New Roman" w:cs="Times New Roman"/>
                      <w:b/>
                      <w:color w:val="000000"/>
                      <w:sz w:val="20"/>
                      <w:szCs w:val="20"/>
                      <w:lang w:eastAsia="lv-LV"/>
                    </w:rPr>
                    <w:t>Valsts sociālās apdrošināšanas iemaksas, t.sk.,</w:t>
                  </w:r>
                </w:p>
              </w:tc>
              <w:tc>
                <w:tcPr>
                  <w:tcW w:w="1270" w:type="dxa"/>
                  <w:tcBorders>
                    <w:top w:val="nil"/>
                    <w:left w:val="nil"/>
                    <w:bottom w:val="single" w:sz="4" w:space="0" w:color="auto"/>
                    <w:right w:val="single" w:sz="4" w:space="0" w:color="auto"/>
                  </w:tcBorders>
                  <w:shd w:val="clear" w:color="auto" w:fill="auto"/>
                  <w:noWrap/>
                  <w:vAlign w:val="bottom"/>
                  <w:hideMark/>
                </w:tcPr>
                <w:p w14:paraId="7D6CAE07"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0,20</w:t>
                  </w:r>
                </w:p>
              </w:tc>
              <w:tc>
                <w:tcPr>
                  <w:tcW w:w="1126" w:type="dxa"/>
                  <w:tcBorders>
                    <w:top w:val="nil"/>
                    <w:left w:val="nil"/>
                    <w:bottom w:val="single" w:sz="4" w:space="0" w:color="auto"/>
                    <w:right w:val="single" w:sz="4" w:space="0" w:color="auto"/>
                  </w:tcBorders>
                  <w:shd w:val="clear" w:color="auto" w:fill="auto"/>
                  <w:noWrap/>
                  <w:vAlign w:val="bottom"/>
                  <w:hideMark/>
                </w:tcPr>
                <w:p w14:paraId="4D5D473E"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0,20</w:t>
                  </w:r>
                </w:p>
              </w:tc>
              <w:tc>
                <w:tcPr>
                  <w:tcW w:w="1136" w:type="dxa"/>
                  <w:tcBorders>
                    <w:top w:val="nil"/>
                    <w:left w:val="nil"/>
                    <w:bottom w:val="single" w:sz="4" w:space="0" w:color="auto"/>
                    <w:right w:val="single" w:sz="4" w:space="0" w:color="auto"/>
                  </w:tcBorders>
                  <w:shd w:val="clear" w:color="auto" w:fill="auto"/>
                  <w:noWrap/>
                  <w:vAlign w:val="bottom"/>
                  <w:hideMark/>
                </w:tcPr>
                <w:p w14:paraId="0E82E361"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0,20</w:t>
                  </w:r>
                </w:p>
              </w:tc>
            </w:tr>
            <w:tr w:rsidR="00B70B3A" w:rsidRPr="00331348" w14:paraId="0373BF7D" w14:textId="77777777" w:rsidTr="008B0955">
              <w:trPr>
                <w:trHeight w:val="315"/>
              </w:trPr>
              <w:tc>
                <w:tcPr>
                  <w:tcW w:w="3823" w:type="dxa"/>
                  <w:tcBorders>
                    <w:top w:val="nil"/>
                    <w:left w:val="single" w:sz="8" w:space="0" w:color="auto"/>
                    <w:bottom w:val="single" w:sz="4" w:space="0" w:color="auto"/>
                    <w:right w:val="single" w:sz="4" w:space="0" w:color="auto"/>
                  </w:tcBorders>
                  <w:shd w:val="clear" w:color="auto" w:fill="auto"/>
                  <w:noWrap/>
                  <w:vAlign w:val="bottom"/>
                  <w:hideMark/>
                </w:tcPr>
                <w:p w14:paraId="60BAF763"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lastRenderedPageBreak/>
                    <w:t>valsts speciālais budžets</w:t>
                  </w:r>
                </w:p>
              </w:tc>
              <w:tc>
                <w:tcPr>
                  <w:tcW w:w="1270" w:type="dxa"/>
                  <w:tcBorders>
                    <w:top w:val="nil"/>
                    <w:left w:val="nil"/>
                    <w:bottom w:val="single" w:sz="4" w:space="0" w:color="auto"/>
                    <w:right w:val="single" w:sz="4" w:space="0" w:color="auto"/>
                  </w:tcBorders>
                  <w:shd w:val="clear" w:color="auto" w:fill="auto"/>
                  <w:noWrap/>
                  <w:vAlign w:val="bottom"/>
                  <w:hideMark/>
                </w:tcPr>
                <w:p w14:paraId="7FB16FF8"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0,17</w:t>
                  </w:r>
                </w:p>
              </w:tc>
              <w:tc>
                <w:tcPr>
                  <w:tcW w:w="1126" w:type="dxa"/>
                  <w:tcBorders>
                    <w:top w:val="nil"/>
                    <w:left w:val="nil"/>
                    <w:bottom w:val="single" w:sz="4" w:space="0" w:color="auto"/>
                    <w:right w:val="single" w:sz="4" w:space="0" w:color="auto"/>
                  </w:tcBorders>
                  <w:shd w:val="clear" w:color="auto" w:fill="auto"/>
                  <w:noWrap/>
                  <w:vAlign w:val="bottom"/>
                  <w:hideMark/>
                </w:tcPr>
                <w:p w14:paraId="55218995"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0,17</w:t>
                  </w:r>
                </w:p>
              </w:tc>
              <w:tc>
                <w:tcPr>
                  <w:tcW w:w="1136" w:type="dxa"/>
                  <w:tcBorders>
                    <w:top w:val="nil"/>
                    <w:left w:val="nil"/>
                    <w:bottom w:val="single" w:sz="4" w:space="0" w:color="auto"/>
                    <w:right w:val="single" w:sz="4" w:space="0" w:color="auto"/>
                  </w:tcBorders>
                  <w:shd w:val="clear" w:color="auto" w:fill="auto"/>
                  <w:noWrap/>
                  <w:vAlign w:val="bottom"/>
                  <w:hideMark/>
                </w:tcPr>
                <w:p w14:paraId="02A80927"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0,17</w:t>
                  </w:r>
                </w:p>
              </w:tc>
            </w:tr>
            <w:tr w:rsidR="00B70B3A" w:rsidRPr="00331348" w14:paraId="32947064" w14:textId="77777777" w:rsidTr="008B0955">
              <w:trPr>
                <w:trHeight w:val="315"/>
              </w:trPr>
              <w:tc>
                <w:tcPr>
                  <w:tcW w:w="3823" w:type="dxa"/>
                  <w:tcBorders>
                    <w:top w:val="nil"/>
                    <w:left w:val="single" w:sz="8" w:space="0" w:color="auto"/>
                    <w:bottom w:val="single" w:sz="4" w:space="0" w:color="auto"/>
                    <w:right w:val="single" w:sz="4" w:space="0" w:color="auto"/>
                  </w:tcBorders>
                  <w:shd w:val="clear" w:color="auto" w:fill="auto"/>
                  <w:noWrap/>
                  <w:vAlign w:val="bottom"/>
                  <w:hideMark/>
                </w:tcPr>
                <w:p w14:paraId="0A85D93C"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 xml:space="preserve">valsts </w:t>
                  </w:r>
                  <w:proofErr w:type="spellStart"/>
                  <w:r w:rsidRPr="00331348">
                    <w:rPr>
                      <w:rFonts w:eastAsia="Times New Roman" w:cs="Times New Roman"/>
                      <w:i/>
                      <w:iCs/>
                      <w:color w:val="000000"/>
                      <w:sz w:val="20"/>
                      <w:szCs w:val="20"/>
                      <w:lang w:eastAsia="lv-LV"/>
                    </w:rPr>
                    <w:t>fondētais</w:t>
                  </w:r>
                  <w:proofErr w:type="spellEnd"/>
                  <w:r w:rsidRPr="00331348">
                    <w:rPr>
                      <w:rFonts w:eastAsia="Times New Roman" w:cs="Times New Roman"/>
                      <w:i/>
                      <w:iCs/>
                      <w:color w:val="000000"/>
                      <w:sz w:val="20"/>
                      <w:szCs w:val="20"/>
                      <w:lang w:eastAsia="lv-LV"/>
                    </w:rPr>
                    <w:t xml:space="preserve"> pensiju budžets**</w:t>
                  </w:r>
                </w:p>
              </w:tc>
              <w:tc>
                <w:tcPr>
                  <w:tcW w:w="1270" w:type="dxa"/>
                  <w:tcBorders>
                    <w:top w:val="nil"/>
                    <w:left w:val="nil"/>
                    <w:bottom w:val="single" w:sz="4" w:space="0" w:color="auto"/>
                    <w:right w:val="single" w:sz="4" w:space="0" w:color="auto"/>
                  </w:tcBorders>
                  <w:shd w:val="clear" w:color="auto" w:fill="auto"/>
                  <w:noWrap/>
                  <w:vAlign w:val="bottom"/>
                  <w:hideMark/>
                </w:tcPr>
                <w:p w14:paraId="4BEB8D75"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0,03</w:t>
                  </w:r>
                </w:p>
              </w:tc>
              <w:tc>
                <w:tcPr>
                  <w:tcW w:w="1126" w:type="dxa"/>
                  <w:tcBorders>
                    <w:top w:val="nil"/>
                    <w:left w:val="nil"/>
                    <w:bottom w:val="single" w:sz="4" w:space="0" w:color="auto"/>
                    <w:right w:val="single" w:sz="4" w:space="0" w:color="auto"/>
                  </w:tcBorders>
                  <w:shd w:val="clear" w:color="auto" w:fill="auto"/>
                  <w:noWrap/>
                  <w:vAlign w:val="bottom"/>
                  <w:hideMark/>
                </w:tcPr>
                <w:p w14:paraId="269E94B4"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0,03</w:t>
                  </w:r>
                </w:p>
              </w:tc>
              <w:tc>
                <w:tcPr>
                  <w:tcW w:w="1136" w:type="dxa"/>
                  <w:tcBorders>
                    <w:top w:val="nil"/>
                    <w:left w:val="nil"/>
                    <w:bottom w:val="single" w:sz="4" w:space="0" w:color="auto"/>
                    <w:right w:val="single" w:sz="4" w:space="0" w:color="auto"/>
                  </w:tcBorders>
                  <w:shd w:val="clear" w:color="auto" w:fill="auto"/>
                  <w:noWrap/>
                  <w:vAlign w:val="bottom"/>
                  <w:hideMark/>
                </w:tcPr>
                <w:p w14:paraId="2CBB901D"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0,03</w:t>
                  </w:r>
                </w:p>
              </w:tc>
            </w:tr>
            <w:tr w:rsidR="00B70B3A" w:rsidRPr="00331348" w14:paraId="5DF86E55" w14:textId="77777777" w:rsidTr="008B0955">
              <w:trPr>
                <w:trHeight w:val="315"/>
              </w:trPr>
              <w:tc>
                <w:tcPr>
                  <w:tcW w:w="3823" w:type="dxa"/>
                  <w:tcBorders>
                    <w:top w:val="nil"/>
                    <w:left w:val="single" w:sz="8" w:space="0" w:color="auto"/>
                    <w:bottom w:val="single" w:sz="4" w:space="0" w:color="auto"/>
                    <w:right w:val="single" w:sz="4" w:space="0" w:color="auto"/>
                  </w:tcBorders>
                  <w:shd w:val="clear" w:color="auto" w:fill="auto"/>
                  <w:noWrap/>
                  <w:vAlign w:val="bottom"/>
                  <w:hideMark/>
                </w:tcPr>
                <w:p w14:paraId="03A88D97" w14:textId="77777777" w:rsidR="00B70B3A" w:rsidRPr="00331348" w:rsidRDefault="00B70B3A" w:rsidP="008B0955">
                  <w:pPr>
                    <w:rPr>
                      <w:rFonts w:eastAsia="Times New Roman" w:cs="Times New Roman"/>
                      <w:b/>
                      <w:color w:val="000000"/>
                      <w:sz w:val="20"/>
                      <w:szCs w:val="20"/>
                      <w:lang w:eastAsia="lv-LV"/>
                    </w:rPr>
                  </w:pPr>
                  <w:r w:rsidRPr="00331348">
                    <w:rPr>
                      <w:rFonts w:eastAsia="Times New Roman" w:cs="Times New Roman"/>
                      <w:b/>
                      <w:color w:val="000000"/>
                      <w:sz w:val="20"/>
                      <w:szCs w:val="20"/>
                      <w:lang w:eastAsia="lv-LV"/>
                    </w:rPr>
                    <w:t>Iedzīvotāju ienākuma nodoklis, t.sk.</w:t>
                  </w:r>
                </w:p>
              </w:tc>
              <w:tc>
                <w:tcPr>
                  <w:tcW w:w="1270" w:type="dxa"/>
                  <w:tcBorders>
                    <w:top w:val="nil"/>
                    <w:left w:val="nil"/>
                    <w:bottom w:val="single" w:sz="4" w:space="0" w:color="auto"/>
                    <w:right w:val="single" w:sz="4" w:space="0" w:color="auto"/>
                  </w:tcBorders>
                  <w:shd w:val="clear" w:color="auto" w:fill="auto"/>
                  <w:noWrap/>
                  <w:vAlign w:val="bottom"/>
                  <w:hideMark/>
                </w:tcPr>
                <w:p w14:paraId="744C847D"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0,10</w:t>
                  </w:r>
                </w:p>
              </w:tc>
              <w:tc>
                <w:tcPr>
                  <w:tcW w:w="1126" w:type="dxa"/>
                  <w:tcBorders>
                    <w:top w:val="nil"/>
                    <w:left w:val="nil"/>
                    <w:bottom w:val="single" w:sz="4" w:space="0" w:color="auto"/>
                    <w:right w:val="single" w:sz="4" w:space="0" w:color="auto"/>
                  </w:tcBorders>
                  <w:shd w:val="clear" w:color="auto" w:fill="auto"/>
                  <w:noWrap/>
                  <w:vAlign w:val="bottom"/>
                  <w:hideMark/>
                </w:tcPr>
                <w:p w14:paraId="368396D0"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0,10</w:t>
                  </w:r>
                </w:p>
              </w:tc>
              <w:tc>
                <w:tcPr>
                  <w:tcW w:w="1136" w:type="dxa"/>
                  <w:tcBorders>
                    <w:top w:val="nil"/>
                    <w:left w:val="nil"/>
                    <w:bottom w:val="single" w:sz="4" w:space="0" w:color="auto"/>
                    <w:right w:val="single" w:sz="4" w:space="0" w:color="auto"/>
                  </w:tcBorders>
                  <w:shd w:val="clear" w:color="auto" w:fill="auto"/>
                  <w:noWrap/>
                  <w:vAlign w:val="bottom"/>
                  <w:hideMark/>
                </w:tcPr>
                <w:p w14:paraId="713D7683"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0,10</w:t>
                  </w:r>
                </w:p>
              </w:tc>
            </w:tr>
            <w:tr w:rsidR="00B70B3A" w:rsidRPr="00331348" w14:paraId="696C2179" w14:textId="77777777" w:rsidTr="008B0955">
              <w:trPr>
                <w:trHeight w:val="315"/>
              </w:trPr>
              <w:tc>
                <w:tcPr>
                  <w:tcW w:w="3823" w:type="dxa"/>
                  <w:tcBorders>
                    <w:top w:val="nil"/>
                    <w:left w:val="single" w:sz="8" w:space="0" w:color="auto"/>
                    <w:bottom w:val="single" w:sz="4" w:space="0" w:color="auto"/>
                    <w:right w:val="single" w:sz="4" w:space="0" w:color="auto"/>
                  </w:tcBorders>
                  <w:shd w:val="clear" w:color="auto" w:fill="auto"/>
                  <w:noWrap/>
                  <w:vAlign w:val="bottom"/>
                  <w:hideMark/>
                </w:tcPr>
                <w:p w14:paraId="1EAD9EB4"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valsts budžets</w:t>
                  </w:r>
                </w:p>
              </w:tc>
              <w:tc>
                <w:tcPr>
                  <w:tcW w:w="1270" w:type="dxa"/>
                  <w:tcBorders>
                    <w:top w:val="nil"/>
                    <w:left w:val="nil"/>
                    <w:bottom w:val="single" w:sz="4" w:space="0" w:color="auto"/>
                    <w:right w:val="single" w:sz="4" w:space="0" w:color="auto"/>
                  </w:tcBorders>
                  <w:shd w:val="clear" w:color="auto" w:fill="auto"/>
                  <w:noWrap/>
                  <w:vAlign w:val="bottom"/>
                  <w:hideMark/>
                </w:tcPr>
                <w:p w14:paraId="05AE217B"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0,02</w:t>
                  </w:r>
                </w:p>
              </w:tc>
              <w:tc>
                <w:tcPr>
                  <w:tcW w:w="1126" w:type="dxa"/>
                  <w:tcBorders>
                    <w:top w:val="nil"/>
                    <w:left w:val="nil"/>
                    <w:bottom w:val="single" w:sz="4" w:space="0" w:color="auto"/>
                    <w:right w:val="single" w:sz="4" w:space="0" w:color="auto"/>
                  </w:tcBorders>
                  <w:shd w:val="clear" w:color="auto" w:fill="auto"/>
                  <w:noWrap/>
                  <w:vAlign w:val="bottom"/>
                  <w:hideMark/>
                </w:tcPr>
                <w:p w14:paraId="0447271B"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0,02</w:t>
                  </w:r>
                </w:p>
              </w:tc>
              <w:tc>
                <w:tcPr>
                  <w:tcW w:w="1136" w:type="dxa"/>
                  <w:tcBorders>
                    <w:top w:val="nil"/>
                    <w:left w:val="nil"/>
                    <w:bottom w:val="single" w:sz="4" w:space="0" w:color="auto"/>
                    <w:right w:val="single" w:sz="4" w:space="0" w:color="auto"/>
                  </w:tcBorders>
                  <w:shd w:val="clear" w:color="auto" w:fill="auto"/>
                  <w:noWrap/>
                  <w:vAlign w:val="bottom"/>
                  <w:hideMark/>
                </w:tcPr>
                <w:p w14:paraId="38B3EBDC"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0,02</w:t>
                  </w:r>
                </w:p>
              </w:tc>
            </w:tr>
            <w:tr w:rsidR="00B70B3A" w:rsidRPr="00331348" w14:paraId="4EA76682" w14:textId="77777777" w:rsidTr="008B0955">
              <w:trPr>
                <w:trHeight w:val="330"/>
              </w:trPr>
              <w:tc>
                <w:tcPr>
                  <w:tcW w:w="3823" w:type="dxa"/>
                  <w:tcBorders>
                    <w:top w:val="nil"/>
                    <w:left w:val="single" w:sz="8" w:space="0" w:color="auto"/>
                    <w:bottom w:val="nil"/>
                    <w:right w:val="single" w:sz="4" w:space="0" w:color="auto"/>
                  </w:tcBorders>
                  <w:shd w:val="clear" w:color="auto" w:fill="auto"/>
                  <w:noWrap/>
                  <w:vAlign w:val="bottom"/>
                  <w:hideMark/>
                </w:tcPr>
                <w:p w14:paraId="744D14E4"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pašvaldību budžets</w:t>
                  </w:r>
                </w:p>
              </w:tc>
              <w:tc>
                <w:tcPr>
                  <w:tcW w:w="1270" w:type="dxa"/>
                  <w:tcBorders>
                    <w:top w:val="nil"/>
                    <w:left w:val="nil"/>
                    <w:bottom w:val="nil"/>
                    <w:right w:val="single" w:sz="4" w:space="0" w:color="auto"/>
                  </w:tcBorders>
                  <w:shd w:val="clear" w:color="auto" w:fill="auto"/>
                  <w:noWrap/>
                  <w:vAlign w:val="bottom"/>
                  <w:hideMark/>
                </w:tcPr>
                <w:p w14:paraId="4C276B49"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0,08</w:t>
                  </w:r>
                </w:p>
              </w:tc>
              <w:tc>
                <w:tcPr>
                  <w:tcW w:w="1126" w:type="dxa"/>
                  <w:tcBorders>
                    <w:top w:val="nil"/>
                    <w:left w:val="nil"/>
                    <w:bottom w:val="nil"/>
                    <w:right w:val="single" w:sz="4" w:space="0" w:color="auto"/>
                  </w:tcBorders>
                  <w:shd w:val="clear" w:color="auto" w:fill="auto"/>
                  <w:noWrap/>
                  <w:vAlign w:val="bottom"/>
                  <w:hideMark/>
                </w:tcPr>
                <w:p w14:paraId="1F4B9E1F"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0,08</w:t>
                  </w:r>
                </w:p>
              </w:tc>
              <w:tc>
                <w:tcPr>
                  <w:tcW w:w="1136" w:type="dxa"/>
                  <w:tcBorders>
                    <w:top w:val="nil"/>
                    <w:left w:val="nil"/>
                    <w:bottom w:val="nil"/>
                    <w:right w:val="single" w:sz="4" w:space="0" w:color="auto"/>
                  </w:tcBorders>
                  <w:shd w:val="clear" w:color="auto" w:fill="auto"/>
                  <w:noWrap/>
                  <w:vAlign w:val="bottom"/>
                  <w:hideMark/>
                </w:tcPr>
                <w:p w14:paraId="32FDD37E" w14:textId="77777777" w:rsidR="00B70B3A" w:rsidRPr="00331348" w:rsidRDefault="00B70B3A" w:rsidP="008B0955">
                  <w:pPr>
                    <w:jc w:val="right"/>
                    <w:rPr>
                      <w:rFonts w:eastAsia="Times New Roman" w:cs="Times New Roman"/>
                      <w:i/>
                      <w:iCs/>
                      <w:color w:val="000000"/>
                      <w:sz w:val="20"/>
                      <w:szCs w:val="20"/>
                      <w:lang w:eastAsia="lv-LV"/>
                    </w:rPr>
                  </w:pPr>
                  <w:r w:rsidRPr="00331348">
                    <w:rPr>
                      <w:rFonts w:eastAsia="Times New Roman" w:cs="Times New Roman"/>
                      <w:i/>
                      <w:iCs/>
                      <w:color w:val="000000"/>
                      <w:sz w:val="20"/>
                      <w:szCs w:val="20"/>
                      <w:lang w:eastAsia="lv-LV"/>
                    </w:rPr>
                    <w:t>0,08</w:t>
                  </w:r>
                </w:p>
              </w:tc>
            </w:tr>
            <w:tr w:rsidR="00B70B3A" w:rsidRPr="00331348" w14:paraId="33392390" w14:textId="77777777" w:rsidTr="008B0955">
              <w:trPr>
                <w:trHeight w:val="330"/>
              </w:trPr>
              <w:tc>
                <w:tcPr>
                  <w:tcW w:w="3823" w:type="dxa"/>
                  <w:tcBorders>
                    <w:top w:val="single" w:sz="8" w:space="0" w:color="auto"/>
                    <w:left w:val="single" w:sz="8" w:space="0" w:color="auto"/>
                    <w:bottom w:val="single" w:sz="8" w:space="0" w:color="auto"/>
                    <w:right w:val="nil"/>
                  </w:tcBorders>
                  <w:shd w:val="clear" w:color="auto" w:fill="auto"/>
                  <w:noWrap/>
                  <w:vAlign w:val="bottom"/>
                  <w:hideMark/>
                </w:tcPr>
                <w:p w14:paraId="07146BFC" w14:textId="77777777" w:rsidR="00B70B3A" w:rsidRPr="00331348" w:rsidRDefault="00B70B3A" w:rsidP="008B0955">
                  <w:pPr>
                    <w:rPr>
                      <w:rFonts w:eastAsia="Times New Roman" w:cs="Times New Roman"/>
                      <w:b/>
                      <w:bCs/>
                      <w:i/>
                      <w:iCs/>
                      <w:color w:val="000000"/>
                      <w:sz w:val="20"/>
                      <w:szCs w:val="20"/>
                      <w:lang w:eastAsia="lv-LV"/>
                    </w:rPr>
                  </w:pPr>
                  <w:r w:rsidRPr="00331348">
                    <w:rPr>
                      <w:rFonts w:eastAsia="Times New Roman" w:cs="Times New Roman"/>
                      <w:b/>
                      <w:bCs/>
                      <w:i/>
                      <w:iCs/>
                      <w:color w:val="000000"/>
                      <w:sz w:val="20"/>
                      <w:szCs w:val="20"/>
                      <w:lang w:eastAsia="lv-LV"/>
                    </w:rPr>
                    <w:t>Kopā</w:t>
                  </w:r>
                </w:p>
              </w:tc>
              <w:tc>
                <w:tcPr>
                  <w:tcW w:w="12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7F6575"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0,30</w:t>
                  </w:r>
                </w:p>
              </w:tc>
              <w:tc>
                <w:tcPr>
                  <w:tcW w:w="1126" w:type="dxa"/>
                  <w:tcBorders>
                    <w:top w:val="single" w:sz="8" w:space="0" w:color="auto"/>
                    <w:left w:val="nil"/>
                    <w:bottom w:val="single" w:sz="8" w:space="0" w:color="auto"/>
                    <w:right w:val="nil"/>
                  </w:tcBorders>
                  <w:shd w:val="clear" w:color="auto" w:fill="auto"/>
                  <w:noWrap/>
                  <w:vAlign w:val="bottom"/>
                  <w:hideMark/>
                </w:tcPr>
                <w:p w14:paraId="73641B35"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0,30</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4BB0F" w14:textId="77777777" w:rsidR="00B70B3A" w:rsidRPr="00331348" w:rsidRDefault="00B70B3A" w:rsidP="008B0955">
                  <w:pPr>
                    <w:jc w:val="center"/>
                    <w:rPr>
                      <w:rFonts w:eastAsia="Times New Roman" w:cs="Times New Roman"/>
                      <w:b/>
                      <w:bCs/>
                      <w:color w:val="000000"/>
                      <w:sz w:val="20"/>
                      <w:szCs w:val="20"/>
                      <w:lang w:eastAsia="lv-LV"/>
                    </w:rPr>
                  </w:pPr>
                  <w:r w:rsidRPr="00331348">
                    <w:rPr>
                      <w:rFonts w:eastAsia="Times New Roman" w:cs="Times New Roman"/>
                      <w:b/>
                      <w:bCs/>
                      <w:color w:val="000000"/>
                      <w:sz w:val="20"/>
                      <w:szCs w:val="20"/>
                      <w:lang w:eastAsia="lv-LV"/>
                    </w:rPr>
                    <w:t>0,30</w:t>
                  </w:r>
                </w:p>
              </w:tc>
            </w:tr>
          </w:tbl>
          <w:p w14:paraId="3216217B" w14:textId="77777777" w:rsidR="00B70B3A" w:rsidRPr="00331348" w:rsidRDefault="00B70B3A" w:rsidP="008B0955">
            <w:pPr>
              <w:pStyle w:val="Default"/>
              <w:rPr>
                <w:sz w:val="18"/>
                <w:szCs w:val="18"/>
                <w:shd w:val="clear" w:color="auto" w:fill="FFFFFF"/>
              </w:rPr>
            </w:pPr>
            <w:r w:rsidRPr="00331348">
              <w:rPr>
                <w:sz w:val="18"/>
                <w:szCs w:val="18"/>
                <w:shd w:val="clear" w:color="auto" w:fill="FFFFFF"/>
              </w:rPr>
              <w:t>*ietekme uz Solidaritātes nodokļa ieņēmumiem nav nosakāma</w:t>
            </w:r>
          </w:p>
          <w:p w14:paraId="160F412E" w14:textId="77777777" w:rsidR="00B70B3A" w:rsidRDefault="00B70B3A" w:rsidP="008B0955">
            <w:pPr>
              <w:pStyle w:val="Default"/>
              <w:rPr>
                <w:sz w:val="18"/>
                <w:szCs w:val="18"/>
                <w:shd w:val="clear" w:color="auto" w:fill="FFFFFF"/>
              </w:rPr>
            </w:pPr>
            <w:r>
              <w:rPr>
                <w:rFonts w:eastAsia="Times New Roman"/>
                <w:lang w:eastAsia="lv-LV"/>
              </w:rPr>
              <w:t>**</w:t>
            </w:r>
            <w:r>
              <w:rPr>
                <w:sz w:val="18"/>
                <w:szCs w:val="18"/>
                <w:shd w:val="clear" w:color="auto" w:fill="FFFFFF"/>
              </w:rPr>
              <w:t xml:space="preserve">*aprēķins veikts, ņemot vērā, ka budžeta bāzes projektā iemaksas valsts </w:t>
            </w:r>
            <w:proofErr w:type="spellStart"/>
            <w:r>
              <w:rPr>
                <w:sz w:val="18"/>
                <w:szCs w:val="18"/>
                <w:shd w:val="clear" w:color="auto" w:fill="FFFFFF"/>
              </w:rPr>
              <w:t>fondētajā</w:t>
            </w:r>
            <w:proofErr w:type="spellEnd"/>
            <w:r>
              <w:rPr>
                <w:sz w:val="18"/>
                <w:szCs w:val="18"/>
                <w:shd w:val="clear" w:color="auto" w:fill="FFFFFF"/>
              </w:rPr>
              <w:t xml:space="preserve"> pensiju budžetā plānotas aptuveni 17.3% no kopējām plānotajām valsts sociālās apdrošināšanas iemaksām</w:t>
            </w:r>
          </w:p>
          <w:p w14:paraId="62443EDA" w14:textId="77777777" w:rsidR="00B70B3A" w:rsidRPr="00E77F18" w:rsidRDefault="00B70B3A" w:rsidP="008B0955">
            <w:pPr>
              <w:pStyle w:val="Default"/>
              <w:rPr>
                <w:rFonts w:eastAsia="Times New Roman"/>
                <w:lang w:eastAsia="lv-LV"/>
              </w:rPr>
            </w:pPr>
          </w:p>
          <w:p w14:paraId="6F2C136C" w14:textId="4604DE0D" w:rsidR="00B70B3A" w:rsidRDefault="00B70B3A" w:rsidP="008B0955">
            <w:pPr>
              <w:spacing w:line="252" w:lineRule="auto"/>
              <w:jc w:val="both"/>
              <w:rPr>
                <w:rFonts w:eastAsia="Times New Roman" w:cs="Times New Roman"/>
                <w:bCs/>
                <w:color w:val="000000" w:themeColor="text1"/>
                <w:szCs w:val="24"/>
              </w:rPr>
            </w:pPr>
            <w:r>
              <w:rPr>
                <w:bCs/>
                <w:color w:val="000000" w:themeColor="text1"/>
              </w:rPr>
              <w:t>F</w:t>
            </w:r>
            <w:r w:rsidRPr="00B13C88">
              <w:rPr>
                <w:rFonts w:eastAsia="Times New Roman" w:cs="Times New Roman"/>
                <w:bCs/>
                <w:color w:val="000000" w:themeColor="text1"/>
                <w:szCs w:val="24"/>
              </w:rPr>
              <w:t>iskālā</w:t>
            </w:r>
            <w:r w:rsidRPr="00B13C88">
              <w:rPr>
                <w:rFonts w:eastAsia="Times New Roman" w:cs="Times New Roman"/>
                <w:b/>
                <w:bCs/>
                <w:color w:val="000000" w:themeColor="text1"/>
                <w:szCs w:val="24"/>
              </w:rPr>
              <w:t xml:space="preserve"> </w:t>
            </w:r>
            <w:r w:rsidRPr="00B13C88">
              <w:rPr>
                <w:rFonts w:eastAsia="Times New Roman" w:cs="Times New Roman"/>
                <w:bCs/>
                <w:color w:val="000000" w:themeColor="text1"/>
                <w:szCs w:val="24"/>
              </w:rPr>
              <w:t xml:space="preserve">ietekme uz </w:t>
            </w:r>
            <w:r>
              <w:rPr>
                <w:rFonts w:eastAsia="Times New Roman" w:cs="Times New Roman"/>
                <w:bCs/>
                <w:color w:val="000000" w:themeColor="text1"/>
                <w:szCs w:val="24"/>
              </w:rPr>
              <w:t>PVN</w:t>
            </w:r>
            <w:r w:rsidRPr="00B13C88">
              <w:rPr>
                <w:rFonts w:eastAsia="Times New Roman" w:cs="Times New Roman"/>
                <w:bCs/>
                <w:color w:val="000000" w:themeColor="text1"/>
                <w:szCs w:val="24"/>
              </w:rPr>
              <w:t xml:space="preserve"> ieņēmumiem ir aprēķināta</w:t>
            </w:r>
            <w:r w:rsidR="00423A98">
              <w:rPr>
                <w:rFonts w:eastAsia="Times New Roman" w:cs="Times New Roman"/>
                <w:bCs/>
                <w:color w:val="000000" w:themeColor="text1"/>
                <w:szCs w:val="24"/>
              </w:rPr>
              <w:t>,</w:t>
            </w:r>
            <w:r w:rsidRPr="00B13C88">
              <w:rPr>
                <w:rFonts w:eastAsia="Times New Roman" w:cs="Times New Roman"/>
                <w:bCs/>
                <w:color w:val="000000" w:themeColor="text1"/>
                <w:szCs w:val="24"/>
              </w:rPr>
              <w:t xml:space="preserve"> ņemot vērā PVN maksāšanas kārtību valsts budžetā un grozījumu</w:t>
            </w:r>
            <w:r w:rsidR="00423A98">
              <w:rPr>
                <w:rFonts w:eastAsia="Times New Roman" w:cs="Times New Roman"/>
                <w:bCs/>
                <w:color w:val="000000" w:themeColor="text1"/>
                <w:szCs w:val="24"/>
              </w:rPr>
              <w:t xml:space="preserve"> Pievienotās vērtības nodokļa likumā</w:t>
            </w:r>
            <w:r w:rsidRPr="00B13C88">
              <w:rPr>
                <w:rFonts w:eastAsia="Times New Roman" w:cs="Times New Roman"/>
                <w:bCs/>
                <w:color w:val="000000" w:themeColor="text1"/>
                <w:szCs w:val="24"/>
              </w:rPr>
              <w:t xml:space="preserve"> </w:t>
            </w:r>
            <w:r w:rsidRPr="009A468F">
              <w:rPr>
                <w:rFonts w:eastAsia="Times New Roman" w:cs="Times New Roman"/>
                <w:bCs/>
                <w:color w:val="000000" w:themeColor="text1"/>
                <w:szCs w:val="24"/>
              </w:rPr>
              <w:t xml:space="preserve">stāšanos spēkā </w:t>
            </w:r>
            <w:r>
              <w:rPr>
                <w:rFonts w:eastAsia="Times New Roman" w:cs="Times New Roman"/>
                <w:bCs/>
                <w:color w:val="000000" w:themeColor="text1"/>
                <w:szCs w:val="24"/>
              </w:rPr>
              <w:t>2017.gada 1.janvār</w:t>
            </w:r>
            <w:r w:rsidR="00423A98">
              <w:rPr>
                <w:rFonts w:eastAsia="Times New Roman" w:cs="Times New Roman"/>
                <w:bCs/>
                <w:color w:val="000000" w:themeColor="text1"/>
                <w:szCs w:val="24"/>
              </w:rPr>
              <w:t xml:space="preserve">ī </w:t>
            </w:r>
            <w:r w:rsidRPr="009A468F">
              <w:rPr>
                <w:rFonts w:eastAsia="Times New Roman" w:cs="Times New Roman"/>
                <w:bCs/>
                <w:color w:val="000000" w:themeColor="text1"/>
                <w:szCs w:val="24"/>
              </w:rPr>
              <w:t xml:space="preserve">un 2017.gadā ir 0,06 milj. </w:t>
            </w:r>
            <w:proofErr w:type="spellStart"/>
            <w:r w:rsidRPr="009A468F">
              <w:rPr>
                <w:rFonts w:eastAsia="Times New Roman" w:cs="Times New Roman"/>
                <w:bCs/>
                <w:i/>
                <w:color w:val="000000" w:themeColor="text1"/>
                <w:szCs w:val="24"/>
              </w:rPr>
              <w:t>euro</w:t>
            </w:r>
            <w:proofErr w:type="spellEnd"/>
            <w:r w:rsidRPr="009A468F">
              <w:rPr>
                <w:rFonts w:eastAsia="Times New Roman" w:cs="Times New Roman"/>
                <w:bCs/>
                <w:color w:val="000000" w:themeColor="text1"/>
                <w:szCs w:val="24"/>
              </w:rPr>
              <w:t>, 2</w:t>
            </w:r>
            <w:r w:rsidRPr="00B13C88">
              <w:rPr>
                <w:rFonts w:eastAsia="Times New Roman" w:cs="Times New Roman"/>
                <w:bCs/>
                <w:color w:val="000000" w:themeColor="text1"/>
                <w:szCs w:val="24"/>
              </w:rPr>
              <w:t>018. </w:t>
            </w:r>
            <w:r>
              <w:rPr>
                <w:rFonts w:eastAsia="Times New Roman" w:cs="Times New Roman"/>
                <w:bCs/>
                <w:color w:val="000000" w:themeColor="text1"/>
                <w:szCs w:val="24"/>
              </w:rPr>
              <w:t>un 2019. </w:t>
            </w:r>
            <w:r w:rsidRPr="00B13C88">
              <w:rPr>
                <w:rFonts w:eastAsia="Times New Roman" w:cs="Times New Roman"/>
                <w:bCs/>
                <w:color w:val="000000" w:themeColor="text1"/>
                <w:szCs w:val="24"/>
              </w:rPr>
              <w:t xml:space="preserve">gadā – </w:t>
            </w:r>
            <w:r>
              <w:rPr>
                <w:rFonts w:eastAsia="Times New Roman" w:cs="Times New Roman"/>
                <w:bCs/>
                <w:color w:val="000000" w:themeColor="text1"/>
                <w:szCs w:val="24"/>
              </w:rPr>
              <w:t>0,07</w:t>
            </w:r>
            <w:r w:rsidRPr="00B13C88">
              <w:rPr>
                <w:rFonts w:eastAsia="Times New Roman" w:cs="Times New Roman"/>
                <w:bCs/>
                <w:color w:val="000000" w:themeColor="text1"/>
                <w:szCs w:val="24"/>
              </w:rPr>
              <w:t xml:space="preserve"> milj. </w:t>
            </w:r>
            <w:proofErr w:type="spellStart"/>
            <w:r w:rsidRPr="00B13C88">
              <w:rPr>
                <w:rFonts w:eastAsia="Times New Roman" w:cs="Times New Roman"/>
                <w:bCs/>
                <w:i/>
                <w:color w:val="000000" w:themeColor="text1"/>
                <w:szCs w:val="24"/>
              </w:rPr>
              <w:t>euro</w:t>
            </w:r>
            <w:proofErr w:type="spellEnd"/>
            <w:r>
              <w:rPr>
                <w:rFonts w:eastAsia="Times New Roman" w:cs="Times New Roman"/>
                <w:bCs/>
                <w:color w:val="000000" w:themeColor="text1"/>
                <w:szCs w:val="24"/>
              </w:rPr>
              <w:t>.</w:t>
            </w:r>
          </w:p>
          <w:p w14:paraId="08F21B76" w14:textId="77777777" w:rsidR="00B70B3A" w:rsidRDefault="00B70B3A" w:rsidP="008B0955">
            <w:pPr>
              <w:spacing w:line="252" w:lineRule="auto"/>
              <w:ind w:right="125" w:firstLine="709"/>
              <w:jc w:val="both"/>
              <w:rPr>
                <w:rFonts w:eastAsia="Times New Roman" w:cs="Times New Roman"/>
                <w:bCs/>
                <w:color w:val="000000" w:themeColor="text1"/>
                <w:szCs w:val="24"/>
              </w:rPr>
            </w:pPr>
            <w:r w:rsidRPr="00A009FA">
              <w:rPr>
                <w:rFonts w:eastAsia="Times New Roman" w:cs="Times New Roman"/>
                <w:bCs/>
                <w:color w:val="000000" w:themeColor="text1"/>
                <w:szCs w:val="24"/>
              </w:rPr>
              <w:t xml:space="preserve">Ietekme uz </w:t>
            </w:r>
            <w:r>
              <w:rPr>
                <w:rFonts w:eastAsia="Times New Roman" w:cs="Times New Roman"/>
                <w:bCs/>
                <w:color w:val="000000" w:themeColor="text1"/>
                <w:szCs w:val="24"/>
              </w:rPr>
              <w:t>PVN ieņēmumiem</w:t>
            </w:r>
            <w:r w:rsidRPr="00A009FA">
              <w:rPr>
                <w:rFonts w:eastAsia="Times New Roman" w:cs="Times New Roman"/>
                <w:bCs/>
                <w:color w:val="000000" w:themeColor="text1"/>
                <w:szCs w:val="24"/>
              </w:rPr>
              <w:t xml:space="preserve"> ir aprēķināta</w:t>
            </w:r>
            <w:r w:rsidR="00423A98">
              <w:rPr>
                <w:rFonts w:eastAsia="Times New Roman" w:cs="Times New Roman"/>
                <w:bCs/>
                <w:color w:val="000000" w:themeColor="text1"/>
                <w:szCs w:val="24"/>
              </w:rPr>
              <w:t>,</w:t>
            </w:r>
            <w:r w:rsidRPr="00A009FA">
              <w:rPr>
                <w:rFonts w:eastAsia="Times New Roman" w:cs="Times New Roman"/>
                <w:bCs/>
                <w:color w:val="000000" w:themeColor="text1"/>
                <w:szCs w:val="24"/>
              </w:rPr>
              <w:t xml:space="preserve"> ņemot vērā:</w:t>
            </w:r>
          </w:p>
          <w:p w14:paraId="4B142FD8" w14:textId="43C770C3" w:rsidR="00B70B3A" w:rsidRDefault="00B70B3A" w:rsidP="008B0955">
            <w:pPr>
              <w:tabs>
                <w:tab w:val="left" w:pos="999"/>
              </w:tabs>
              <w:spacing w:line="252" w:lineRule="auto"/>
              <w:ind w:right="125" w:firstLine="857"/>
              <w:jc w:val="both"/>
              <w:rPr>
                <w:rFonts w:eastAsia="Times New Roman" w:cs="Times New Roman"/>
                <w:bCs/>
                <w:color w:val="000000" w:themeColor="text1"/>
                <w:szCs w:val="24"/>
              </w:rPr>
            </w:pPr>
            <w:r>
              <w:rPr>
                <w:rFonts w:eastAsia="Times New Roman" w:cs="Times New Roman"/>
                <w:bCs/>
                <w:color w:val="000000" w:themeColor="text1"/>
                <w:szCs w:val="24"/>
              </w:rPr>
              <w:t xml:space="preserve">- </w:t>
            </w:r>
            <w:r w:rsidRPr="002F3F5F">
              <w:rPr>
                <w:rFonts w:eastAsia="Times New Roman" w:cs="Times New Roman"/>
                <w:bCs/>
                <w:color w:val="000000" w:themeColor="text1"/>
                <w:szCs w:val="24"/>
              </w:rPr>
              <w:t>OCTA izmaksas 2015.gadā par transportlīdzekļa bojājumiem</w:t>
            </w:r>
            <w:r>
              <w:rPr>
                <w:rFonts w:eastAsia="Times New Roman" w:cs="Times New Roman"/>
                <w:bCs/>
                <w:color w:val="000000" w:themeColor="text1"/>
                <w:szCs w:val="24"/>
              </w:rPr>
              <w:t xml:space="preserve">, kas ir 25,5 milj. </w:t>
            </w:r>
            <w:proofErr w:type="spellStart"/>
            <w:r w:rsidRPr="006812A7">
              <w:rPr>
                <w:rFonts w:eastAsia="Times New Roman" w:cs="Times New Roman"/>
                <w:bCs/>
                <w:i/>
                <w:color w:val="000000" w:themeColor="text1"/>
                <w:szCs w:val="24"/>
              </w:rPr>
              <w:t>euro</w:t>
            </w:r>
            <w:proofErr w:type="spellEnd"/>
            <w:r>
              <w:rPr>
                <w:rFonts w:eastAsia="Times New Roman" w:cs="Times New Roman"/>
                <w:bCs/>
                <w:color w:val="000000" w:themeColor="text1"/>
                <w:szCs w:val="24"/>
              </w:rPr>
              <w:t xml:space="preserve"> apmērā, pieņemot, ka </w:t>
            </w:r>
            <w:r w:rsidRPr="00334CEB">
              <w:rPr>
                <w:rFonts w:eastAsia="Times New Roman" w:cs="Times New Roman"/>
                <w:bCs/>
                <w:color w:val="000000" w:themeColor="text1"/>
                <w:szCs w:val="24"/>
              </w:rPr>
              <w:t>65% no atlīdzībām izmaksāti skaidrā naudā</w:t>
            </w:r>
            <w:r>
              <w:rPr>
                <w:rFonts w:eastAsia="Times New Roman" w:cs="Times New Roman"/>
                <w:bCs/>
                <w:color w:val="000000" w:themeColor="text1"/>
                <w:szCs w:val="24"/>
              </w:rPr>
              <w:t xml:space="preserve"> un ņemot vērā grozījumus OCTA likumā,</w:t>
            </w:r>
            <w:r w:rsidRPr="00334CEB">
              <w:rPr>
                <w:rFonts w:eastAsia="Times New Roman" w:cs="Times New Roman"/>
                <w:bCs/>
                <w:color w:val="000000" w:themeColor="text1"/>
                <w:szCs w:val="24"/>
              </w:rPr>
              <w:t xml:space="preserve"> piemērojot zaudējum</w:t>
            </w:r>
            <w:r>
              <w:rPr>
                <w:rFonts w:eastAsia="Times New Roman" w:cs="Times New Roman"/>
                <w:bCs/>
                <w:color w:val="000000" w:themeColor="text1"/>
                <w:szCs w:val="24"/>
              </w:rPr>
              <w:t>a</w:t>
            </w:r>
            <w:r w:rsidRPr="00334CEB">
              <w:rPr>
                <w:rFonts w:eastAsia="Times New Roman" w:cs="Times New Roman"/>
                <w:bCs/>
                <w:color w:val="000000" w:themeColor="text1"/>
                <w:szCs w:val="24"/>
              </w:rPr>
              <w:t xml:space="preserve"> aprēķinā norādī</w:t>
            </w:r>
            <w:r>
              <w:rPr>
                <w:rFonts w:eastAsia="Times New Roman" w:cs="Times New Roman"/>
                <w:bCs/>
                <w:color w:val="000000" w:themeColor="text1"/>
                <w:szCs w:val="24"/>
              </w:rPr>
              <w:t>tās summas samazinājumu par 30%</w:t>
            </w:r>
            <w:r w:rsidRPr="00334CEB">
              <w:rPr>
                <w:rFonts w:eastAsia="Times New Roman" w:cs="Times New Roman"/>
                <w:bCs/>
                <w:color w:val="000000" w:themeColor="text1"/>
                <w:szCs w:val="24"/>
              </w:rPr>
              <w:t xml:space="preserve"> </w:t>
            </w:r>
            <w:r>
              <w:rPr>
                <w:rFonts w:eastAsia="Times New Roman" w:cs="Times New Roman"/>
                <w:bCs/>
                <w:color w:val="000000" w:themeColor="text1"/>
                <w:szCs w:val="24"/>
              </w:rPr>
              <w:t>izmaksām</w:t>
            </w:r>
            <w:r w:rsidRPr="00334CEB">
              <w:rPr>
                <w:rFonts w:eastAsia="Times New Roman" w:cs="Times New Roman"/>
                <w:bCs/>
                <w:color w:val="000000" w:themeColor="text1"/>
                <w:szCs w:val="24"/>
              </w:rPr>
              <w:t xml:space="preserve"> skaidrā naudā</w:t>
            </w:r>
            <w:r>
              <w:rPr>
                <w:rFonts w:eastAsia="Times New Roman" w:cs="Times New Roman"/>
                <w:bCs/>
                <w:color w:val="000000" w:themeColor="text1"/>
                <w:szCs w:val="24"/>
              </w:rPr>
              <w:t xml:space="preserve"> un ņemot vērā spēkā esošo kārtību, ka izmaksājot apdrošināšanas atlīdzību naudā, atlīdzība tiek samazināta par aprēķinātā PVN summu, tādējādi p</w:t>
            </w:r>
            <w:r w:rsidRPr="00F34AA9">
              <w:rPr>
                <w:rFonts w:eastAsia="Times New Roman" w:cs="Times New Roman"/>
                <w:bCs/>
                <w:color w:val="000000" w:themeColor="text1"/>
                <w:szCs w:val="24"/>
              </w:rPr>
              <w:t>ēc OCTA grozījumiem izmaksātā skaidrā nauda transportlīdzekļa remontam</w:t>
            </w:r>
            <w:r>
              <w:rPr>
                <w:rFonts w:eastAsia="Times New Roman" w:cs="Times New Roman"/>
                <w:bCs/>
                <w:color w:val="000000" w:themeColor="text1"/>
                <w:szCs w:val="24"/>
              </w:rPr>
              <w:t xml:space="preserve"> ir aprēķināta 9,6 milj. </w:t>
            </w:r>
            <w:proofErr w:type="spellStart"/>
            <w:r w:rsidRPr="006812A7">
              <w:rPr>
                <w:rFonts w:eastAsia="Times New Roman" w:cs="Times New Roman"/>
                <w:bCs/>
                <w:i/>
                <w:color w:val="000000" w:themeColor="text1"/>
                <w:szCs w:val="24"/>
              </w:rPr>
              <w:t>euro</w:t>
            </w:r>
            <w:proofErr w:type="spellEnd"/>
            <w:r>
              <w:rPr>
                <w:rFonts w:eastAsia="Times New Roman" w:cs="Times New Roman"/>
                <w:bCs/>
                <w:color w:val="000000" w:themeColor="text1"/>
                <w:szCs w:val="24"/>
              </w:rPr>
              <w:t xml:space="preserve"> apmērā ((25,5*65%*(100% – 30%))/1,21);</w:t>
            </w:r>
          </w:p>
          <w:p w14:paraId="607C513A" w14:textId="77777777" w:rsidR="00B70B3A" w:rsidRDefault="00B70B3A" w:rsidP="008B0955">
            <w:pPr>
              <w:spacing w:line="252" w:lineRule="auto"/>
              <w:ind w:right="125" w:firstLine="851"/>
              <w:jc w:val="both"/>
              <w:rPr>
                <w:rFonts w:eastAsia="Times New Roman" w:cs="Times New Roman"/>
                <w:bCs/>
                <w:color w:val="000000" w:themeColor="text1"/>
                <w:szCs w:val="24"/>
              </w:rPr>
            </w:pPr>
            <w:r>
              <w:rPr>
                <w:rFonts w:eastAsia="Times New Roman" w:cs="Times New Roman"/>
                <w:bCs/>
                <w:color w:val="000000" w:themeColor="text1"/>
                <w:szCs w:val="24"/>
              </w:rPr>
              <w:t xml:space="preserve">- nodokļu maksātāju īpatsvaru, kam ir </w:t>
            </w:r>
            <w:r w:rsidRPr="00241EF2">
              <w:rPr>
                <w:rFonts w:eastAsia="Times New Roman" w:cs="Times New Roman"/>
                <w:bCs/>
                <w:color w:val="000000" w:themeColor="text1"/>
                <w:szCs w:val="24"/>
              </w:rPr>
              <w:t xml:space="preserve">PVN </w:t>
            </w:r>
            <w:r>
              <w:rPr>
                <w:rFonts w:eastAsia="Times New Roman" w:cs="Times New Roman"/>
                <w:bCs/>
                <w:color w:val="000000" w:themeColor="text1"/>
                <w:szCs w:val="24"/>
              </w:rPr>
              <w:t>ieņēmumi 2015.gadā, kas ir 51</w:t>
            </w:r>
            <w:r w:rsidRPr="00241EF2">
              <w:rPr>
                <w:rFonts w:eastAsia="Times New Roman" w:cs="Times New Roman"/>
                <w:bCs/>
                <w:color w:val="000000" w:themeColor="text1"/>
                <w:szCs w:val="24"/>
              </w:rPr>
              <w:t>%</w:t>
            </w:r>
            <w:r>
              <w:rPr>
                <w:rFonts w:eastAsia="Times New Roman" w:cs="Times New Roman"/>
                <w:bCs/>
                <w:color w:val="000000" w:themeColor="text1"/>
                <w:szCs w:val="24"/>
              </w:rPr>
              <w:t xml:space="preserve"> no</w:t>
            </w:r>
            <w:r w:rsidRPr="00241EF2">
              <w:rPr>
                <w:rFonts w:eastAsia="Times New Roman" w:cs="Times New Roman"/>
                <w:bCs/>
                <w:color w:val="000000" w:themeColor="text1"/>
                <w:szCs w:val="24"/>
              </w:rPr>
              <w:t xml:space="preserve"> visiem automobiļu apkopes un remonta nozares (NACE </w:t>
            </w:r>
            <w:proofErr w:type="spellStart"/>
            <w:r>
              <w:rPr>
                <w:rFonts w:eastAsia="Times New Roman" w:cs="Times New Roman"/>
                <w:bCs/>
                <w:color w:val="000000" w:themeColor="text1"/>
                <w:szCs w:val="24"/>
              </w:rPr>
              <w:t>red</w:t>
            </w:r>
            <w:proofErr w:type="spellEnd"/>
            <w:r>
              <w:rPr>
                <w:rFonts w:eastAsia="Times New Roman" w:cs="Times New Roman"/>
                <w:bCs/>
                <w:color w:val="000000" w:themeColor="text1"/>
                <w:szCs w:val="24"/>
              </w:rPr>
              <w:t xml:space="preserve">. </w:t>
            </w:r>
            <w:r w:rsidRPr="00241EF2">
              <w:rPr>
                <w:rFonts w:eastAsia="Times New Roman" w:cs="Times New Roman"/>
                <w:bCs/>
                <w:color w:val="000000" w:themeColor="text1"/>
                <w:szCs w:val="24"/>
              </w:rPr>
              <w:t>kods 4520) nodokļu maksātājiem</w:t>
            </w:r>
            <w:r>
              <w:rPr>
                <w:rFonts w:eastAsia="Times New Roman" w:cs="Times New Roman"/>
                <w:bCs/>
                <w:color w:val="000000" w:themeColor="text1"/>
                <w:szCs w:val="24"/>
              </w:rPr>
              <w:t>, kam</w:t>
            </w:r>
            <w:r w:rsidRPr="00241EF2">
              <w:rPr>
                <w:rFonts w:eastAsia="Times New Roman" w:cs="Times New Roman"/>
                <w:bCs/>
                <w:color w:val="000000" w:themeColor="text1"/>
                <w:szCs w:val="24"/>
              </w:rPr>
              <w:t xml:space="preserve"> ir </w:t>
            </w:r>
            <w:r>
              <w:rPr>
                <w:rFonts w:eastAsia="Times New Roman" w:cs="Times New Roman"/>
                <w:bCs/>
                <w:color w:val="000000" w:themeColor="text1"/>
                <w:szCs w:val="24"/>
              </w:rPr>
              <w:t xml:space="preserve">nodokļu ieņēmumi </w:t>
            </w:r>
            <w:r w:rsidRPr="00241EF2">
              <w:rPr>
                <w:rFonts w:eastAsia="Times New Roman" w:cs="Times New Roman"/>
                <w:bCs/>
                <w:color w:val="000000" w:themeColor="text1"/>
                <w:szCs w:val="24"/>
              </w:rPr>
              <w:t>2015.gadā (neņemot vērā trīs transportlīdzekļu nodokļus)</w:t>
            </w:r>
            <w:r>
              <w:rPr>
                <w:rFonts w:eastAsia="Times New Roman" w:cs="Times New Roman"/>
                <w:bCs/>
                <w:color w:val="000000" w:themeColor="text1"/>
                <w:szCs w:val="24"/>
              </w:rPr>
              <w:t xml:space="preserve">, tādejādi ar PVN apliekamā bāze ir aprēķināta 4,9 milj. </w:t>
            </w:r>
            <w:proofErr w:type="spellStart"/>
            <w:r w:rsidRPr="00073095">
              <w:rPr>
                <w:rFonts w:eastAsia="Times New Roman" w:cs="Times New Roman"/>
                <w:bCs/>
                <w:i/>
                <w:color w:val="000000" w:themeColor="text1"/>
                <w:szCs w:val="24"/>
              </w:rPr>
              <w:t>euro</w:t>
            </w:r>
            <w:proofErr w:type="spellEnd"/>
            <w:r>
              <w:rPr>
                <w:rFonts w:eastAsia="Times New Roman" w:cs="Times New Roman"/>
                <w:bCs/>
                <w:color w:val="000000" w:themeColor="text1"/>
                <w:szCs w:val="24"/>
              </w:rPr>
              <w:t xml:space="preserve"> apmērā (9,6*51%);</w:t>
            </w:r>
          </w:p>
          <w:p w14:paraId="1C44FD28" w14:textId="553DD316" w:rsidR="00B70B3A" w:rsidRPr="00241EF2" w:rsidRDefault="00B70B3A" w:rsidP="008B0955">
            <w:pPr>
              <w:spacing w:line="252" w:lineRule="auto"/>
              <w:ind w:right="125" w:firstLine="851"/>
              <w:jc w:val="both"/>
              <w:rPr>
                <w:rFonts w:eastAsia="Times New Roman" w:cs="Times New Roman"/>
                <w:bCs/>
                <w:color w:val="000000" w:themeColor="text1"/>
                <w:szCs w:val="24"/>
              </w:rPr>
            </w:pPr>
            <w:r>
              <w:rPr>
                <w:rFonts w:eastAsia="Times New Roman" w:cs="Times New Roman"/>
                <w:bCs/>
                <w:color w:val="000000" w:themeColor="text1"/>
                <w:szCs w:val="24"/>
              </w:rPr>
              <w:t>- A</w:t>
            </w:r>
            <w:r w:rsidRPr="00047588">
              <w:rPr>
                <w:rFonts w:eastAsia="Times New Roman" w:cs="Times New Roman"/>
                <w:bCs/>
                <w:color w:val="000000" w:themeColor="text1"/>
                <w:szCs w:val="24"/>
              </w:rPr>
              <w:t>uto asociācijas sniegt</w:t>
            </w:r>
            <w:r>
              <w:rPr>
                <w:rFonts w:eastAsia="Times New Roman" w:cs="Times New Roman"/>
                <w:bCs/>
                <w:color w:val="000000" w:themeColor="text1"/>
                <w:szCs w:val="24"/>
              </w:rPr>
              <w:t xml:space="preserve">o informāciju par </w:t>
            </w:r>
            <w:r w:rsidRPr="00047588">
              <w:rPr>
                <w:rFonts w:eastAsia="Times New Roman" w:cs="Times New Roman"/>
                <w:bCs/>
                <w:color w:val="000000" w:themeColor="text1"/>
                <w:szCs w:val="24"/>
              </w:rPr>
              <w:t>vidēj</w:t>
            </w:r>
            <w:r>
              <w:rPr>
                <w:rFonts w:eastAsia="Times New Roman" w:cs="Times New Roman"/>
                <w:bCs/>
                <w:color w:val="000000" w:themeColor="text1"/>
                <w:szCs w:val="24"/>
              </w:rPr>
              <w:t>o</w:t>
            </w:r>
            <w:r w:rsidRPr="00047588">
              <w:rPr>
                <w:rFonts w:eastAsia="Times New Roman" w:cs="Times New Roman"/>
                <w:bCs/>
                <w:color w:val="000000" w:themeColor="text1"/>
                <w:szCs w:val="24"/>
              </w:rPr>
              <w:t xml:space="preserve"> krāsošanas darbu un mehāniķa darb</w:t>
            </w:r>
            <w:r>
              <w:rPr>
                <w:rFonts w:eastAsia="Times New Roman" w:cs="Times New Roman"/>
                <w:bCs/>
                <w:color w:val="000000" w:themeColor="text1"/>
                <w:szCs w:val="24"/>
              </w:rPr>
              <w:t>a īpatsvaru tāmē, kas 2014.gadā bija</w:t>
            </w:r>
            <w:r w:rsidRPr="00047588">
              <w:rPr>
                <w:rFonts w:eastAsia="Times New Roman" w:cs="Times New Roman"/>
                <w:bCs/>
                <w:color w:val="000000" w:themeColor="text1"/>
                <w:szCs w:val="24"/>
              </w:rPr>
              <w:t xml:space="preserve"> 30% no tāmes kopsummas</w:t>
            </w:r>
            <w:r>
              <w:rPr>
                <w:rFonts w:eastAsia="Times New Roman" w:cs="Times New Roman"/>
                <w:bCs/>
                <w:color w:val="000000" w:themeColor="text1"/>
                <w:szCs w:val="24"/>
              </w:rPr>
              <w:t xml:space="preserve"> un izejot no tā ir pieņemts, ka 70% no </w:t>
            </w:r>
            <w:r w:rsidRPr="00047588">
              <w:rPr>
                <w:rFonts w:eastAsia="Times New Roman" w:cs="Times New Roman"/>
                <w:bCs/>
                <w:color w:val="000000" w:themeColor="text1"/>
                <w:szCs w:val="24"/>
              </w:rPr>
              <w:t>apliekam</w:t>
            </w:r>
            <w:r>
              <w:rPr>
                <w:rFonts w:eastAsia="Times New Roman" w:cs="Times New Roman"/>
                <w:bCs/>
                <w:color w:val="000000" w:themeColor="text1"/>
                <w:szCs w:val="24"/>
              </w:rPr>
              <w:t>ajiem darījumiem</w:t>
            </w:r>
            <w:r w:rsidRPr="00047588">
              <w:rPr>
                <w:rFonts w:eastAsia="Times New Roman" w:cs="Times New Roman"/>
                <w:bCs/>
                <w:color w:val="000000" w:themeColor="text1"/>
                <w:szCs w:val="24"/>
              </w:rPr>
              <w:t xml:space="preserve"> ir saimnieciskās darbības no</w:t>
            </w:r>
            <w:r>
              <w:rPr>
                <w:rFonts w:eastAsia="Times New Roman" w:cs="Times New Roman"/>
                <w:bCs/>
                <w:color w:val="000000" w:themeColor="text1"/>
                <w:szCs w:val="24"/>
              </w:rPr>
              <w:t>drošināšanai (detaļas, materiāls, krāsas u.c.</w:t>
            </w:r>
            <w:r w:rsidRPr="00047588">
              <w:rPr>
                <w:rFonts w:eastAsia="Times New Roman" w:cs="Times New Roman"/>
                <w:bCs/>
                <w:color w:val="000000" w:themeColor="text1"/>
                <w:szCs w:val="24"/>
              </w:rPr>
              <w:t>)</w:t>
            </w:r>
            <w:r>
              <w:rPr>
                <w:rFonts w:eastAsia="Times New Roman" w:cs="Times New Roman"/>
                <w:bCs/>
                <w:color w:val="000000" w:themeColor="text1"/>
                <w:szCs w:val="24"/>
              </w:rPr>
              <w:t xml:space="preserve"> un PVN par šiem darījumiem ir atskaitāms no budžeta kā priekšnodoklis. </w:t>
            </w:r>
            <w:r w:rsidRPr="00073095">
              <w:rPr>
                <w:rFonts w:eastAsia="Times New Roman" w:cs="Times New Roman"/>
                <w:bCs/>
                <w:color w:val="000000" w:themeColor="text1"/>
                <w:szCs w:val="24"/>
              </w:rPr>
              <w:t xml:space="preserve">Aprēķinātais </w:t>
            </w:r>
            <w:r>
              <w:rPr>
                <w:rFonts w:eastAsia="Times New Roman" w:cs="Times New Roman"/>
                <w:bCs/>
                <w:color w:val="000000" w:themeColor="text1"/>
                <w:szCs w:val="24"/>
              </w:rPr>
              <w:t xml:space="preserve">bāzes </w:t>
            </w:r>
            <w:r w:rsidRPr="00073095">
              <w:rPr>
                <w:rFonts w:eastAsia="Times New Roman" w:cs="Times New Roman"/>
                <w:bCs/>
                <w:color w:val="000000" w:themeColor="text1"/>
                <w:szCs w:val="24"/>
              </w:rPr>
              <w:t>PVN, ar pieņēmumu, ka 70% apliekamo darījumu ir saimnieciskās darbības nodrošināšanai (detaļas, materiāls)</w:t>
            </w:r>
            <w:r>
              <w:rPr>
                <w:rFonts w:eastAsia="Times New Roman" w:cs="Times New Roman"/>
                <w:bCs/>
                <w:color w:val="000000" w:themeColor="text1"/>
                <w:szCs w:val="24"/>
              </w:rPr>
              <w:t xml:space="preserve"> ir 0,3 milj. </w:t>
            </w:r>
            <w:proofErr w:type="spellStart"/>
            <w:r w:rsidRPr="00073095">
              <w:rPr>
                <w:rFonts w:eastAsia="Times New Roman" w:cs="Times New Roman"/>
                <w:bCs/>
                <w:i/>
                <w:color w:val="000000" w:themeColor="text1"/>
                <w:szCs w:val="24"/>
              </w:rPr>
              <w:t>euro</w:t>
            </w:r>
            <w:proofErr w:type="spellEnd"/>
            <w:r>
              <w:rPr>
                <w:rFonts w:eastAsia="Times New Roman" w:cs="Times New Roman"/>
                <w:bCs/>
                <w:color w:val="000000" w:themeColor="text1"/>
                <w:szCs w:val="24"/>
              </w:rPr>
              <w:t xml:space="preserve"> apmērā (4,9*30%*21%);</w:t>
            </w:r>
          </w:p>
          <w:p w14:paraId="1DB0AE44" w14:textId="77777777" w:rsidR="00B70B3A" w:rsidRDefault="00B70B3A" w:rsidP="008B0955">
            <w:pPr>
              <w:spacing w:line="252" w:lineRule="auto"/>
              <w:ind w:firstLine="851"/>
              <w:jc w:val="both"/>
              <w:rPr>
                <w:rFonts w:eastAsia="Times New Roman" w:cs="Times New Roman"/>
                <w:bCs/>
                <w:color w:val="000000" w:themeColor="text1"/>
                <w:szCs w:val="24"/>
              </w:rPr>
            </w:pPr>
            <w:r>
              <w:rPr>
                <w:rFonts w:eastAsia="Times New Roman" w:cs="Times New Roman"/>
                <w:bCs/>
                <w:color w:val="000000" w:themeColor="text1"/>
                <w:szCs w:val="24"/>
              </w:rPr>
              <w:t xml:space="preserve">- </w:t>
            </w:r>
            <w:r w:rsidRPr="00A009FA">
              <w:rPr>
                <w:rFonts w:eastAsia="Times New Roman" w:cs="Times New Roman"/>
                <w:bCs/>
                <w:color w:val="000000" w:themeColor="text1"/>
                <w:szCs w:val="24"/>
              </w:rPr>
              <w:t>nedeklarēto PVN apmēru – nodokļu plaisas dinamiku 2012. – 2014.gadā un prognozēto PVN plaisas apmēru 2017.–2019.</w:t>
            </w:r>
            <w:r>
              <w:rPr>
                <w:rFonts w:eastAsia="Times New Roman" w:cs="Times New Roman"/>
                <w:bCs/>
                <w:color w:val="000000" w:themeColor="text1"/>
                <w:szCs w:val="24"/>
              </w:rPr>
              <w:t> </w:t>
            </w:r>
            <w:r w:rsidRPr="00A009FA">
              <w:rPr>
                <w:rFonts w:eastAsia="Times New Roman" w:cs="Times New Roman"/>
                <w:bCs/>
                <w:color w:val="000000" w:themeColor="text1"/>
                <w:szCs w:val="24"/>
              </w:rPr>
              <w:t xml:space="preserve">gadam. </w:t>
            </w:r>
            <w:r>
              <w:rPr>
                <w:rFonts w:eastAsia="Times New Roman" w:cs="Times New Roman"/>
                <w:bCs/>
                <w:color w:val="000000" w:themeColor="text1"/>
                <w:szCs w:val="24"/>
              </w:rPr>
              <w:t>PVN plaisas a</w:t>
            </w:r>
            <w:r w:rsidRPr="00A009FA">
              <w:rPr>
                <w:rFonts w:eastAsia="Times New Roman" w:cs="Times New Roman"/>
                <w:bCs/>
                <w:color w:val="000000" w:themeColor="text1"/>
                <w:szCs w:val="24"/>
              </w:rPr>
              <w:t>prēķinos tiek ņemta vērā PVN plaisa, kas attiecās uz nedeklarēto nodokļa a</w:t>
            </w:r>
            <w:r>
              <w:rPr>
                <w:rFonts w:eastAsia="Times New Roman" w:cs="Times New Roman"/>
                <w:bCs/>
                <w:color w:val="000000" w:themeColor="text1"/>
                <w:szCs w:val="24"/>
              </w:rPr>
              <w:t>pmēru,</w:t>
            </w:r>
            <w:r w:rsidRPr="00A009FA">
              <w:rPr>
                <w:rFonts w:eastAsia="Times New Roman" w:cs="Times New Roman"/>
                <w:bCs/>
                <w:color w:val="000000" w:themeColor="text1"/>
                <w:szCs w:val="24"/>
              </w:rPr>
              <w:t xml:space="preserve"> neņemot vērā nodokļu plaisu, kas veidojās j</w:t>
            </w:r>
            <w:r>
              <w:rPr>
                <w:rFonts w:eastAsia="Times New Roman" w:cs="Times New Roman"/>
                <w:bCs/>
                <w:color w:val="000000" w:themeColor="text1"/>
                <w:szCs w:val="24"/>
              </w:rPr>
              <w:t xml:space="preserve">aunu nodokļa parādu rašanas dēļ, tādējādi PVN plaisa tiek aprēķināta 2017. – 2018. gadam 0,04 </w:t>
            </w:r>
            <w:proofErr w:type="spellStart"/>
            <w:r w:rsidRPr="00D7189A">
              <w:rPr>
                <w:rFonts w:eastAsia="Times New Roman" w:cs="Times New Roman"/>
                <w:bCs/>
                <w:i/>
                <w:color w:val="000000" w:themeColor="text1"/>
                <w:szCs w:val="24"/>
              </w:rPr>
              <w:t>euro</w:t>
            </w:r>
            <w:proofErr w:type="spellEnd"/>
            <w:r>
              <w:rPr>
                <w:rFonts w:eastAsia="Times New Roman" w:cs="Times New Roman"/>
                <w:bCs/>
                <w:color w:val="000000" w:themeColor="text1"/>
                <w:szCs w:val="24"/>
              </w:rPr>
              <w:t xml:space="preserve"> apmērā un 2019. gadam – 0,03 milj. </w:t>
            </w:r>
            <w:proofErr w:type="spellStart"/>
            <w:r w:rsidRPr="00D7189A">
              <w:rPr>
                <w:rFonts w:eastAsia="Times New Roman" w:cs="Times New Roman"/>
                <w:bCs/>
                <w:i/>
                <w:color w:val="000000" w:themeColor="text1"/>
                <w:szCs w:val="24"/>
              </w:rPr>
              <w:t>euro</w:t>
            </w:r>
            <w:proofErr w:type="spellEnd"/>
            <w:r>
              <w:rPr>
                <w:rFonts w:eastAsia="Times New Roman" w:cs="Times New Roman"/>
                <w:bCs/>
                <w:color w:val="000000" w:themeColor="text1"/>
                <w:szCs w:val="24"/>
              </w:rPr>
              <w:t xml:space="preserve"> apmērā;</w:t>
            </w:r>
          </w:p>
          <w:p w14:paraId="1E1A2C2A" w14:textId="77777777" w:rsidR="00B70B3A" w:rsidRDefault="00B70B3A" w:rsidP="008B0955">
            <w:pPr>
              <w:spacing w:line="252" w:lineRule="auto"/>
              <w:ind w:firstLine="851"/>
              <w:jc w:val="both"/>
              <w:rPr>
                <w:rFonts w:eastAsia="Times New Roman" w:cs="Times New Roman"/>
                <w:bCs/>
                <w:color w:val="000000" w:themeColor="text1"/>
                <w:szCs w:val="24"/>
              </w:rPr>
            </w:pPr>
            <w:r>
              <w:rPr>
                <w:rFonts w:eastAsia="Times New Roman" w:cs="Times New Roman"/>
                <w:bCs/>
                <w:color w:val="000000" w:themeColor="text1"/>
                <w:szCs w:val="24"/>
              </w:rPr>
              <w:t>- pieņēmumu, ka krāpnieciskie darījumi ar remontam paredzēto izmaksāto skaidro naudu pēc grozījumu ieviešanas samazināsies par 70%.</w:t>
            </w:r>
          </w:p>
          <w:p w14:paraId="6D1D0958" w14:textId="77777777" w:rsidR="00B70B3A" w:rsidRPr="00E77F18" w:rsidRDefault="00B70B3A" w:rsidP="008B0955">
            <w:pPr>
              <w:rPr>
                <w:rFonts w:eastAsia="Times New Roman" w:cs="Times New Roman"/>
                <w:szCs w:val="24"/>
                <w:lang w:eastAsia="lv-LV"/>
              </w:rPr>
            </w:pPr>
          </w:p>
        </w:tc>
      </w:tr>
      <w:tr w:rsidR="00B70B3A" w:rsidRPr="00E77F18" w14:paraId="2E291D07"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2498DF3D"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17B8F8AF" w14:textId="77777777" w:rsidR="00B70B3A" w:rsidRPr="00E77F18" w:rsidRDefault="00B70B3A" w:rsidP="008B0955">
            <w:pPr>
              <w:rPr>
                <w:rFonts w:eastAsia="Times New Roman" w:cs="Times New Roman"/>
                <w:szCs w:val="24"/>
                <w:lang w:eastAsia="lv-LV"/>
              </w:rPr>
            </w:pPr>
          </w:p>
        </w:tc>
      </w:tr>
      <w:tr w:rsidR="00B70B3A" w:rsidRPr="00E77F18" w14:paraId="2E07BDD1" w14:textId="77777777" w:rsidTr="008B0955">
        <w:trPr>
          <w:gridAfter w:val="1"/>
          <w:wAfter w:w="3" w:type="pct"/>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7A4B6C02"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A7B7A18" w14:textId="77777777" w:rsidR="00B70B3A" w:rsidRPr="00E77F18" w:rsidRDefault="00B70B3A" w:rsidP="008B0955">
            <w:pPr>
              <w:rPr>
                <w:rFonts w:eastAsia="Times New Roman" w:cs="Times New Roman"/>
                <w:szCs w:val="24"/>
                <w:lang w:eastAsia="lv-LV"/>
              </w:rPr>
            </w:pPr>
          </w:p>
        </w:tc>
      </w:tr>
      <w:tr w:rsidR="00B70B3A" w:rsidRPr="00E77F18" w14:paraId="5AEC9838" w14:textId="77777777" w:rsidTr="008B0955">
        <w:trPr>
          <w:gridAfter w:val="1"/>
          <w:wAfter w:w="3" w:type="pct"/>
          <w:trHeight w:val="555"/>
          <w:tblCellSpacing w:w="15" w:type="dxa"/>
          <w:jc w:val="center"/>
        </w:trPr>
        <w:tc>
          <w:tcPr>
            <w:tcW w:w="861" w:type="pct"/>
            <w:tcBorders>
              <w:top w:val="outset" w:sz="6" w:space="0" w:color="auto"/>
              <w:left w:val="outset" w:sz="6" w:space="0" w:color="auto"/>
              <w:bottom w:val="outset" w:sz="6" w:space="0" w:color="auto"/>
              <w:right w:val="outset" w:sz="6" w:space="0" w:color="auto"/>
            </w:tcBorders>
            <w:hideMark/>
          </w:tcPr>
          <w:p w14:paraId="7A09BF42" w14:textId="77777777" w:rsidR="00B70B3A" w:rsidRPr="00E77F18" w:rsidRDefault="00B70B3A" w:rsidP="008B0955">
            <w:pPr>
              <w:rPr>
                <w:rFonts w:eastAsia="Times New Roman" w:cs="Times New Roman"/>
                <w:szCs w:val="24"/>
                <w:lang w:eastAsia="lv-LV"/>
              </w:rPr>
            </w:pPr>
            <w:r w:rsidRPr="00E77F18">
              <w:rPr>
                <w:rFonts w:eastAsia="Times New Roman" w:cs="Times New Roman"/>
                <w:szCs w:val="24"/>
                <w:lang w:eastAsia="lv-LV"/>
              </w:rPr>
              <w:lastRenderedPageBreak/>
              <w:t>7. Cita informācija</w:t>
            </w:r>
          </w:p>
        </w:tc>
        <w:tc>
          <w:tcPr>
            <w:tcW w:w="4072" w:type="pct"/>
            <w:gridSpan w:val="5"/>
            <w:tcBorders>
              <w:top w:val="outset" w:sz="6" w:space="0" w:color="auto"/>
              <w:left w:val="outset" w:sz="6" w:space="0" w:color="auto"/>
              <w:bottom w:val="outset" w:sz="6" w:space="0" w:color="auto"/>
              <w:right w:val="outset" w:sz="6" w:space="0" w:color="auto"/>
            </w:tcBorders>
            <w:hideMark/>
          </w:tcPr>
          <w:p w14:paraId="62FB39FD" w14:textId="77777777" w:rsidR="00B70B3A" w:rsidRPr="00E77F18" w:rsidRDefault="00B70B3A" w:rsidP="008B0955">
            <w:pPr>
              <w:jc w:val="both"/>
              <w:rPr>
                <w:rFonts w:cs="Times New Roman"/>
                <w:szCs w:val="24"/>
              </w:rPr>
            </w:pPr>
            <w:r w:rsidRPr="00E77F18">
              <w:rPr>
                <w:rFonts w:eastAsia="Times New Roman" w:cs="Times New Roman"/>
                <w:szCs w:val="28"/>
                <w:lang w:eastAsia="lv-LV"/>
              </w:rPr>
              <w:t xml:space="preserve"> </w:t>
            </w:r>
            <w:r>
              <w:rPr>
                <w:rFonts w:eastAsia="Times New Roman" w:cs="Times New Roman"/>
                <w:szCs w:val="28"/>
                <w:lang w:eastAsia="lv-LV"/>
              </w:rPr>
              <w:t>Nav.</w:t>
            </w:r>
          </w:p>
        </w:tc>
      </w:tr>
    </w:tbl>
    <w:p w14:paraId="4198791B" w14:textId="77777777" w:rsidR="00B70B3A" w:rsidRDefault="00B70B3A"/>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2581"/>
        <w:gridCol w:w="5602"/>
      </w:tblGrid>
      <w:tr w:rsidR="00D45F3F" w:rsidRPr="00225B51" w14:paraId="4A952C83" w14:textId="77777777" w:rsidTr="0009297F">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6AD5B5" w14:textId="77777777" w:rsidR="00D45F3F" w:rsidRPr="00225B51" w:rsidRDefault="00D45F3F" w:rsidP="00F923AC">
            <w:pPr>
              <w:spacing w:before="100" w:beforeAutospacing="1" w:after="100" w:afterAutospacing="1"/>
              <w:ind w:firstLine="300"/>
              <w:jc w:val="center"/>
              <w:rPr>
                <w:rFonts w:eastAsia="Times New Roman" w:cs="Times New Roman"/>
                <w:b/>
                <w:bCs/>
                <w:szCs w:val="24"/>
                <w:lang w:eastAsia="lv-LV"/>
              </w:rPr>
            </w:pPr>
            <w:r w:rsidRPr="00225B51">
              <w:rPr>
                <w:rFonts w:eastAsia="Times New Roman" w:cs="Times New Roman"/>
                <w:b/>
                <w:bCs/>
                <w:szCs w:val="24"/>
                <w:lang w:eastAsia="lv-LV"/>
              </w:rPr>
              <w:t>VI. Sabiedrības līdzdalība un komunikācijas aktivitātes</w:t>
            </w:r>
          </w:p>
        </w:tc>
      </w:tr>
      <w:tr w:rsidR="00B70B3A" w:rsidRPr="00225B51" w14:paraId="0E5108DD" w14:textId="77777777" w:rsidTr="00B70B3A">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7D97A6D"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1.</w:t>
            </w:r>
          </w:p>
        </w:tc>
        <w:tc>
          <w:tcPr>
            <w:tcW w:w="1474" w:type="pct"/>
            <w:tcBorders>
              <w:top w:val="outset" w:sz="6" w:space="0" w:color="auto"/>
              <w:left w:val="outset" w:sz="6" w:space="0" w:color="auto"/>
              <w:bottom w:val="outset" w:sz="6" w:space="0" w:color="auto"/>
              <w:right w:val="outset" w:sz="6" w:space="0" w:color="auto"/>
            </w:tcBorders>
            <w:hideMark/>
          </w:tcPr>
          <w:p w14:paraId="4D3A8376"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Plānotās sabiedrības līdzdalības un komunikācijas aktivitātes saistībā ar projektu</w:t>
            </w:r>
          </w:p>
        </w:tc>
        <w:tc>
          <w:tcPr>
            <w:tcW w:w="3211" w:type="pct"/>
            <w:tcBorders>
              <w:top w:val="outset" w:sz="6" w:space="0" w:color="auto"/>
              <w:left w:val="outset" w:sz="6" w:space="0" w:color="auto"/>
              <w:bottom w:val="outset" w:sz="6" w:space="0" w:color="auto"/>
              <w:right w:val="outset" w:sz="6" w:space="0" w:color="auto"/>
            </w:tcBorders>
            <w:hideMark/>
          </w:tcPr>
          <w:p w14:paraId="58D213DE" w14:textId="77777777" w:rsidR="00B70B3A" w:rsidRPr="00882C2E" w:rsidRDefault="00B70B3A" w:rsidP="00B70B3A">
            <w:pPr>
              <w:jc w:val="both"/>
              <w:rPr>
                <w:rFonts w:eastAsia="Times New Roman" w:cs="Times New Roman"/>
                <w:szCs w:val="24"/>
                <w:lang w:eastAsia="lv-LV"/>
              </w:rPr>
            </w:pPr>
            <w:r w:rsidRPr="00882C2E">
              <w:rPr>
                <w:rFonts w:cs="Times New Roman"/>
                <w:szCs w:val="24"/>
              </w:rPr>
              <w:t xml:space="preserve">Likumprojekta izstrādes gaitā notikušas konsultācijas ar LTAB un </w:t>
            </w:r>
            <w:r w:rsidRPr="00882C2E">
              <w:rPr>
                <w:rFonts w:cs="Times New Roman"/>
                <w:iCs/>
                <w:szCs w:val="24"/>
              </w:rPr>
              <w:t>Konsultatīvo padomi</w:t>
            </w:r>
            <w:r w:rsidRPr="00882C2E">
              <w:rPr>
                <w:rFonts w:cs="Times New Roman"/>
                <w:szCs w:val="24"/>
              </w:rPr>
              <w:t>. Sabiedrības informēšanai un iesaistīšanai Likumprojekts tika ievietots Finanšu ministrijas mājaslapas sadaļā "Sabiedrības līdzdalība".</w:t>
            </w:r>
          </w:p>
        </w:tc>
      </w:tr>
      <w:tr w:rsidR="00B70B3A" w:rsidRPr="00225B51" w14:paraId="3A14F05B" w14:textId="77777777" w:rsidTr="00B70B3A">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5CDB843"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2.</w:t>
            </w:r>
          </w:p>
        </w:tc>
        <w:tc>
          <w:tcPr>
            <w:tcW w:w="1474" w:type="pct"/>
            <w:tcBorders>
              <w:top w:val="outset" w:sz="6" w:space="0" w:color="auto"/>
              <w:left w:val="outset" w:sz="6" w:space="0" w:color="auto"/>
              <w:bottom w:val="outset" w:sz="6" w:space="0" w:color="auto"/>
              <w:right w:val="outset" w:sz="6" w:space="0" w:color="auto"/>
            </w:tcBorders>
            <w:hideMark/>
          </w:tcPr>
          <w:p w14:paraId="5022C219"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Sabiedrības līdzdalība projekta izstrādē</w:t>
            </w:r>
          </w:p>
        </w:tc>
        <w:tc>
          <w:tcPr>
            <w:tcW w:w="3211" w:type="pct"/>
            <w:tcBorders>
              <w:top w:val="outset" w:sz="6" w:space="0" w:color="auto"/>
              <w:left w:val="outset" w:sz="6" w:space="0" w:color="auto"/>
              <w:bottom w:val="outset" w:sz="6" w:space="0" w:color="auto"/>
              <w:right w:val="outset" w:sz="6" w:space="0" w:color="auto"/>
            </w:tcBorders>
            <w:hideMark/>
          </w:tcPr>
          <w:p w14:paraId="607D182A" w14:textId="77777777" w:rsidR="00B70B3A" w:rsidRPr="00882C2E" w:rsidRDefault="00B70B3A" w:rsidP="00B70B3A">
            <w:pPr>
              <w:jc w:val="both"/>
              <w:rPr>
                <w:rFonts w:cs="Times New Roman"/>
                <w:szCs w:val="24"/>
              </w:rPr>
            </w:pPr>
            <w:r w:rsidRPr="00882C2E">
              <w:rPr>
                <w:rFonts w:cs="Times New Roman"/>
                <w:szCs w:val="24"/>
              </w:rPr>
              <w:t>Finanšu ministrijas mājaslapā tika ievietota iepriekšējā punktā minētā Uzziņa un notikušas minētās konsultācijas.</w:t>
            </w:r>
          </w:p>
        </w:tc>
      </w:tr>
      <w:tr w:rsidR="00B70B3A" w:rsidRPr="00225B51" w14:paraId="43B50C0D" w14:textId="77777777" w:rsidTr="00B70B3A">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0559884"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3.</w:t>
            </w:r>
          </w:p>
        </w:tc>
        <w:tc>
          <w:tcPr>
            <w:tcW w:w="1474" w:type="pct"/>
            <w:tcBorders>
              <w:top w:val="outset" w:sz="6" w:space="0" w:color="auto"/>
              <w:left w:val="outset" w:sz="6" w:space="0" w:color="auto"/>
              <w:bottom w:val="outset" w:sz="6" w:space="0" w:color="auto"/>
              <w:right w:val="outset" w:sz="6" w:space="0" w:color="auto"/>
            </w:tcBorders>
            <w:hideMark/>
          </w:tcPr>
          <w:p w14:paraId="7EC8E866"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Sabiedrības līdzdalības rezultāti</w:t>
            </w:r>
          </w:p>
        </w:tc>
        <w:tc>
          <w:tcPr>
            <w:tcW w:w="3211" w:type="pct"/>
            <w:tcBorders>
              <w:top w:val="outset" w:sz="6" w:space="0" w:color="auto"/>
              <w:left w:val="outset" w:sz="6" w:space="0" w:color="auto"/>
              <w:bottom w:val="outset" w:sz="6" w:space="0" w:color="auto"/>
              <w:right w:val="outset" w:sz="6" w:space="0" w:color="auto"/>
            </w:tcBorders>
            <w:hideMark/>
          </w:tcPr>
          <w:p w14:paraId="7C889932" w14:textId="77777777" w:rsidR="00B70B3A" w:rsidRPr="00882C2E" w:rsidRDefault="00B70B3A" w:rsidP="00B70B3A">
            <w:pPr>
              <w:rPr>
                <w:rFonts w:cs="Times New Roman"/>
                <w:szCs w:val="24"/>
              </w:rPr>
            </w:pPr>
            <w:r w:rsidRPr="00882C2E">
              <w:rPr>
                <w:rFonts w:cs="Times New Roman"/>
                <w:szCs w:val="24"/>
              </w:rPr>
              <w:t>Pēc Uzziņas publicēšanas netika izrādīta sabiedrības interese, kā arī netika saņemti priekšlikumi.</w:t>
            </w:r>
          </w:p>
          <w:p w14:paraId="1F6A1504" w14:textId="3FD7E290" w:rsidR="00B70B3A" w:rsidRPr="00882C2E" w:rsidRDefault="00B70B3A" w:rsidP="00B70B3A">
            <w:pPr>
              <w:jc w:val="both"/>
              <w:rPr>
                <w:rFonts w:cs="Times New Roman"/>
                <w:szCs w:val="24"/>
              </w:rPr>
            </w:pPr>
            <w:r w:rsidRPr="00882C2E">
              <w:rPr>
                <w:rFonts w:cs="Times New Roman"/>
                <w:iCs/>
                <w:szCs w:val="24"/>
              </w:rPr>
              <w:t>Konsultatīvās padomes 2015.</w:t>
            </w:r>
            <w:r w:rsidR="00423A98">
              <w:rPr>
                <w:rFonts w:cs="Times New Roman"/>
                <w:iCs/>
                <w:szCs w:val="24"/>
              </w:rPr>
              <w:t>gada 19.oktobra</w:t>
            </w:r>
            <w:r>
              <w:rPr>
                <w:rFonts w:cs="Times New Roman"/>
                <w:iCs/>
                <w:szCs w:val="24"/>
              </w:rPr>
              <w:t xml:space="preserve"> </w:t>
            </w:r>
            <w:r w:rsidRPr="00882C2E">
              <w:rPr>
                <w:rFonts w:cs="Times New Roman"/>
                <w:iCs/>
                <w:szCs w:val="24"/>
              </w:rPr>
              <w:t>sēdē, kur tika skatīti iesniegtie priekšlikumi grozījumiem OCTA likumā</w:t>
            </w:r>
            <w:r>
              <w:rPr>
                <w:rFonts w:cs="Times New Roman"/>
                <w:szCs w:val="24"/>
              </w:rPr>
              <w:t xml:space="preserve"> un</w:t>
            </w:r>
            <w:r w:rsidRPr="00882C2E">
              <w:rPr>
                <w:rFonts w:cs="Times New Roman"/>
                <w:szCs w:val="24"/>
              </w:rPr>
              <w:t xml:space="preserve"> atbalstīti</w:t>
            </w:r>
            <w:r>
              <w:rPr>
                <w:rFonts w:cs="Times New Roman"/>
                <w:szCs w:val="24"/>
              </w:rPr>
              <w:t>.</w:t>
            </w:r>
            <w:r w:rsidRPr="00882C2E">
              <w:rPr>
                <w:rFonts w:cs="Times New Roman"/>
                <w:szCs w:val="24"/>
              </w:rPr>
              <w:t xml:space="preserve"> </w:t>
            </w:r>
          </w:p>
        </w:tc>
      </w:tr>
      <w:tr w:rsidR="00B70B3A" w:rsidRPr="00225B51" w14:paraId="20178257" w14:textId="77777777" w:rsidTr="00B70B3A">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39C2126"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4.</w:t>
            </w:r>
          </w:p>
        </w:tc>
        <w:tc>
          <w:tcPr>
            <w:tcW w:w="1474" w:type="pct"/>
            <w:tcBorders>
              <w:top w:val="outset" w:sz="6" w:space="0" w:color="auto"/>
              <w:left w:val="outset" w:sz="6" w:space="0" w:color="auto"/>
              <w:bottom w:val="outset" w:sz="6" w:space="0" w:color="auto"/>
              <w:right w:val="outset" w:sz="6" w:space="0" w:color="auto"/>
            </w:tcBorders>
            <w:hideMark/>
          </w:tcPr>
          <w:p w14:paraId="67B05AC9" w14:textId="77777777" w:rsidR="00B70B3A" w:rsidRPr="00225B51" w:rsidRDefault="00B70B3A" w:rsidP="00B70B3A">
            <w:pPr>
              <w:rPr>
                <w:rFonts w:eastAsia="Times New Roman" w:cs="Times New Roman"/>
                <w:szCs w:val="24"/>
                <w:lang w:eastAsia="lv-LV"/>
              </w:rPr>
            </w:pPr>
            <w:r w:rsidRPr="00225B51">
              <w:rPr>
                <w:rFonts w:eastAsia="Times New Roman" w:cs="Times New Roman"/>
                <w:szCs w:val="24"/>
                <w:lang w:eastAsia="lv-LV"/>
              </w:rPr>
              <w:t>Cita informācija</w:t>
            </w:r>
          </w:p>
        </w:tc>
        <w:tc>
          <w:tcPr>
            <w:tcW w:w="3211" w:type="pct"/>
            <w:tcBorders>
              <w:top w:val="outset" w:sz="6" w:space="0" w:color="auto"/>
              <w:left w:val="outset" w:sz="6" w:space="0" w:color="auto"/>
              <w:bottom w:val="outset" w:sz="6" w:space="0" w:color="auto"/>
              <w:right w:val="outset" w:sz="6" w:space="0" w:color="auto"/>
            </w:tcBorders>
            <w:hideMark/>
          </w:tcPr>
          <w:p w14:paraId="7397C2C2" w14:textId="77777777" w:rsidR="00B70B3A" w:rsidRPr="00225B51" w:rsidRDefault="00B70B3A" w:rsidP="00B70B3A">
            <w:pPr>
              <w:spacing w:before="100" w:beforeAutospacing="1" w:after="100" w:afterAutospacing="1"/>
              <w:rPr>
                <w:rFonts w:eastAsia="Times New Roman" w:cs="Times New Roman"/>
                <w:szCs w:val="24"/>
                <w:lang w:eastAsia="lv-LV"/>
              </w:rPr>
            </w:pPr>
            <w:r w:rsidRPr="00225B51">
              <w:rPr>
                <w:rFonts w:eastAsia="Times New Roman" w:cs="Times New Roman"/>
                <w:szCs w:val="24"/>
                <w:lang w:eastAsia="lv-LV"/>
              </w:rPr>
              <w:t>Nav</w:t>
            </w:r>
          </w:p>
        </w:tc>
      </w:tr>
    </w:tbl>
    <w:p w14:paraId="40F012CE" w14:textId="77777777" w:rsidR="00D45F3F" w:rsidRPr="00225B51" w:rsidRDefault="00D45F3F" w:rsidP="00F923AC">
      <w:pPr>
        <w:spacing w:before="100" w:beforeAutospacing="1" w:after="100" w:afterAutospacing="1"/>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3273"/>
        <w:gridCol w:w="4909"/>
      </w:tblGrid>
      <w:tr w:rsidR="00D45F3F" w:rsidRPr="00225B51" w14:paraId="1F1818E9" w14:textId="77777777" w:rsidTr="0009297F">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0E4273" w14:textId="77777777" w:rsidR="00D45F3F" w:rsidRPr="00225B51" w:rsidRDefault="00D45F3F" w:rsidP="00F923AC">
            <w:pPr>
              <w:spacing w:before="100" w:beforeAutospacing="1" w:after="100" w:afterAutospacing="1"/>
              <w:ind w:firstLine="300"/>
              <w:jc w:val="center"/>
              <w:rPr>
                <w:rFonts w:eastAsia="Times New Roman" w:cs="Times New Roman"/>
                <w:b/>
                <w:bCs/>
                <w:szCs w:val="24"/>
                <w:lang w:eastAsia="lv-LV"/>
              </w:rPr>
            </w:pPr>
            <w:r w:rsidRPr="00225B51">
              <w:rPr>
                <w:rFonts w:eastAsia="Times New Roman" w:cs="Times New Roman"/>
                <w:b/>
                <w:bCs/>
                <w:szCs w:val="24"/>
                <w:lang w:eastAsia="lv-LV"/>
              </w:rPr>
              <w:t>VII. Tiesību akta projekta izpildes nodrošināšana un tās ietekme uz institūcijām</w:t>
            </w:r>
          </w:p>
        </w:tc>
      </w:tr>
      <w:tr w:rsidR="00D45F3F" w:rsidRPr="00225B51" w14:paraId="79ECD250" w14:textId="77777777" w:rsidTr="0009297F">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A806208"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A3DC05F"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1E09D2E8" w14:textId="77777777" w:rsidR="00D45F3F" w:rsidRPr="00225B51" w:rsidRDefault="006B589B" w:rsidP="00B70B3A">
            <w:pPr>
              <w:jc w:val="both"/>
              <w:rPr>
                <w:rFonts w:eastAsia="Times New Roman" w:cs="Times New Roman"/>
                <w:szCs w:val="24"/>
                <w:lang w:eastAsia="lv-LV"/>
              </w:rPr>
            </w:pPr>
            <w:r>
              <w:rPr>
                <w:rFonts w:eastAsia="Times New Roman" w:cs="Times New Roman"/>
                <w:szCs w:val="24"/>
                <w:lang w:eastAsia="lv-LV"/>
              </w:rPr>
              <w:t xml:space="preserve">Finanšu ministrija, </w:t>
            </w:r>
            <w:r w:rsidR="00B70B3A">
              <w:rPr>
                <w:rFonts w:eastAsia="Times New Roman" w:cs="Times New Roman"/>
                <w:szCs w:val="24"/>
                <w:lang w:eastAsia="lv-LV"/>
              </w:rPr>
              <w:t>Valsts ieņēmumu dienests, Latvijas Transportlīdzekļu apdrošināšanas birojs.</w:t>
            </w:r>
          </w:p>
        </w:tc>
      </w:tr>
      <w:tr w:rsidR="00D45F3F" w:rsidRPr="00225B51" w14:paraId="1345E023" w14:textId="77777777" w:rsidTr="0009297F">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D4D4492"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684C521A"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 xml:space="preserve">Projekta izpildes ietekme uz pārvaldes funkcijām un institucionālo struktūru. </w:t>
            </w:r>
          </w:p>
          <w:p w14:paraId="52F6B112" w14:textId="77777777" w:rsidR="00D45F3F" w:rsidRPr="00225B51" w:rsidRDefault="00D45F3F" w:rsidP="00F923AC">
            <w:pPr>
              <w:spacing w:before="100" w:beforeAutospacing="1" w:after="100" w:afterAutospacing="1"/>
              <w:rPr>
                <w:rFonts w:eastAsia="Times New Roman" w:cs="Times New Roman"/>
                <w:szCs w:val="24"/>
                <w:lang w:eastAsia="lv-LV"/>
              </w:rPr>
            </w:pPr>
            <w:r w:rsidRPr="00225B51">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CF3E285" w14:textId="77777777" w:rsidR="00D45F3F" w:rsidRPr="0030354A" w:rsidRDefault="00423A98" w:rsidP="006E7C6F">
            <w:pPr>
              <w:jc w:val="both"/>
              <w:rPr>
                <w:rFonts w:cs="Times New Roman"/>
                <w:szCs w:val="24"/>
              </w:rPr>
            </w:pPr>
            <w:r>
              <w:rPr>
                <w:rFonts w:cs="Times New Roman"/>
                <w:szCs w:val="24"/>
              </w:rPr>
              <w:t>Projekts šo jomu neskar.</w:t>
            </w:r>
          </w:p>
        </w:tc>
      </w:tr>
      <w:tr w:rsidR="00D45F3F" w:rsidRPr="00225B51" w14:paraId="606F1235" w14:textId="77777777" w:rsidTr="0009297F">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AB44DB1"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72157B3B" w14:textId="77777777" w:rsidR="00D45F3F" w:rsidRPr="00225B51" w:rsidRDefault="00D45F3F" w:rsidP="00F923AC">
            <w:pPr>
              <w:rPr>
                <w:rFonts w:eastAsia="Times New Roman" w:cs="Times New Roman"/>
                <w:szCs w:val="24"/>
                <w:lang w:eastAsia="lv-LV"/>
              </w:rPr>
            </w:pPr>
            <w:r w:rsidRPr="00225B51">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3D25710F" w14:textId="77777777" w:rsidR="00D45F3F" w:rsidRPr="00225B51" w:rsidRDefault="00D45F3F" w:rsidP="00F923AC">
            <w:pPr>
              <w:spacing w:before="100" w:beforeAutospacing="1" w:after="100" w:afterAutospacing="1"/>
              <w:rPr>
                <w:rFonts w:eastAsia="Times New Roman" w:cs="Times New Roman"/>
                <w:szCs w:val="24"/>
                <w:lang w:eastAsia="lv-LV"/>
              </w:rPr>
            </w:pPr>
            <w:r w:rsidRPr="00225B51">
              <w:rPr>
                <w:rFonts w:eastAsia="Times New Roman" w:cs="Times New Roman"/>
                <w:szCs w:val="24"/>
                <w:lang w:eastAsia="lv-LV"/>
              </w:rPr>
              <w:t>Nav</w:t>
            </w:r>
          </w:p>
        </w:tc>
      </w:tr>
    </w:tbl>
    <w:p w14:paraId="201A5937" w14:textId="77777777" w:rsidR="00D45F3F" w:rsidRDefault="00D45F3F" w:rsidP="00F923AC">
      <w:pPr>
        <w:rPr>
          <w:rFonts w:cs="Times New Roman"/>
          <w:szCs w:val="24"/>
        </w:rPr>
      </w:pPr>
    </w:p>
    <w:p w14:paraId="0158E03A" w14:textId="77777777" w:rsidR="007B17C4" w:rsidRDefault="007B17C4" w:rsidP="00F923AC">
      <w:pPr>
        <w:rPr>
          <w:rFonts w:cs="Times New Roman"/>
          <w:szCs w:val="24"/>
        </w:rPr>
      </w:pPr>
    </w:p>
    <w:p w14:paraId="499EB496" w14:textId="77777777" w:rsidR="007B17C4" w:rsidRPr="00225B51" w:rsidRDefault="007B17C4" w:rsidP="00F923AC">
      <w:pPr>
        <w:rPr>
          <w:rFonts w:cs="Times New Roman"/>
          <w:szCs w:val="24"/>
        </w:rPr>
      </w:pPr>
    </w:p>
    <w:p w14:paraId="6882BC14" w14:textId="77777777" w:rsidR="00D45F3F" w:rsidRDefault="00D45F3F" w:rsidP="00F923AC">
      <w:pPr>
        <w:pStyle w:val="NormalWeb"/>
        <w:tabs>
          <w:tab w:val="left" w:pos="6521"/>
        </w:tabs>
        <w:spacing w:before="0" w:beforeAutospacing="0" w:after="0" w:afterAutospacing="0"/>
        <w:ind w:left="540" w:hanging="540"/>
      </w:pPr>
      <w:r w:rsidRPr="00225B51">
        <w:t>Finanšu ministr</w:t>
      </w:r>
      <w:r w:rsidR="005E625B">
        <w:t>e</w:t>
      </w:r>
      <w:r w:rsidRPr="00225B51">
        <w:t xml:space="preserve">       </w:t>
      </w:r>
      <w:r w:rsidR="005E625B">
        <w:t xml:space="preserve">                                                            </w:t>
      </w:r>
      <w:r w:rsidRPr="00225B51">
        <w:t xml:space="preserve"> </w:t>
      </w:r>
      <w:proofErr w:type="spellStart"/>
      <w:r w:rsidR="005E625B">
        <w:t>D.Reizniece</w:t>
      </w:r>
      <w:proofErr w:type="spellEnd"/>
      <w:r w:rsidR="005E625B">
        <w:t>- Ozola</w:t>
      </w:r>
    </w:p>
    <w:p w14:paraId="7A762B8C" w14:textId="77777777" w:rsidR="00D45F3F" w:rsidRPr="00225B51" w:rsidRDefault="00D45F3F" w:rsidP="00F923AC">
      <w:pPr>
        <w:pStyle w:val="NormalWeb"/>
        <w:tabs>
          <w:tab w:val="left" w:pos="6521"/>
        </w:tabs>
        <w:spacing w:before="0" w:beforeAutospacing="0" w:after="0" w:afterAutospacing="0"/>
        <w:ind w:left="540" w:hanging="540"/>
      </w:pPr>
      <w:r w:rsidRPr="00225B51">
        <w:t xml:space="preserve">                                                                                        </w:t>
      </w:r>
      <w:r>
        <w:t xml:space="preserve"> </w:t>
      </w:r>
      <w:r w:rsidRPr="00225B51">
        <w:t xml:space="preserve">   </w:t>
      </w:r>
      <w:r>
        <w:t xml:space="preserve">                  </w:t>
      </w:r>
    </w:p>
    <w:p w14:paraId="2271835C" w14:textId="698A660F" w:rsidR="00E4339E" w:rsidRDefault="00E4339E" w:rsidP="00F923AC">
      <w:pPr>
        <w:tabs>
          <w:tab w:val="left" w:pos="7088"/>
        </w:tabs>
        <w:rPr>
          <w:rFonts w:eastAsia="Times New Roman" w:cs="Times New Roman"/>
          <w:sz w:val="20"/>
          <w:szCs w:val="20"/>
        </w:rPr>
      </w:pPr>
      <w:r>
        <w:rPr>
          <w:rFonts w:eastAsia="Times New Roman" w:cs="Times New Roman"/>
          <w:sz w:val="20"/>
          <w:szCs w:val="20"/>
        </w:rPr>
        <w:fldChar w:fldCharType="begin"/>
      </w:r>
      <w:r>
        <w:rPr>
          <w:rFonts w:eastAsia="Times New Roman" w:cs="Times New Roman"/>
          <w:sz w:val="20"/>
          <w:szCs w:val="20"/>
        </w:rPr>
        <w:instrText xml:space="preserve"> DATE  \@ "dd.MM.yyyy H:mm"  \* MERGEFORMAT </w:instrText>
      </w:r>
      <w:r>
        <w:rPr>
          <w:rFonts w:eastAsia="Times New Roman" w:cs="Times New Roman"/>
          <w:sz w:val="20"/>
          <w:szCs w:val="20"/>
        </w:rPr>
        <w:fldChar w:fldCharType="separate"/>
      </w:r>
      <w:r w:rsidR="000537E1">
        <w:rPr>
          <w:rFonts w:eastAsia="Times New Roman" w:cs="Times New Roman"/>
          <w:noProof/>
          <w:sz w:val="20"/>
          <w:szCs w:val="20"/>
        </w:rPr>
        <w:t>26.09.2016 11:54</w:t>
      </w:r>
      <w:r>
        <w:rPr>
          <w:rFonts w:eastAsia="Times New Roman" w:cs="Times New Roman"/>
          <w:sz w:val="20"/>
          <w:szCs w:val="20"/>
        </w:rPr>
        <w:fldChar w:fldCharType="end"/>
      </w:r>
      <w:r w:rsidR="00C341B4">
        <w:rPr>
          <w:rFonts w:eastAsia="Times New Roman" w:cs="Times New Roman"/>
          <w:sz w:val="20"/>
          <w:szCs w:val="20"/>
        </w:rPr>
        <w:t xml:space="preserve"> </w:t>
      </w:r>
    </w:p>
    <w:p w14:paraId="77C930AB" w14:textId="24141F59" w:rsidR="00E4339E" w:rsidRDefault="00E91FB6" w:rsidP="00F923AC">
      <w:pPr>
        <w:tabs>
          <w:tab w:val="left" w:pos="7088"/>
        </w:tabs>
        <w:rPr>
          <w:rFonts w:eastAsia="Times New Roman" w:cs="Times New Roman"/>
          <w:sz w:val="20"/>
          <w:szCs w:val="20"/>
        </w:rPr>
      </w:pPr>
      <w:r>
        <w:rPr>
          <w:rFonts w:eastAsia="Times New Roman" w:cs="Times New Roman"/>
          <w:sz w:val="20"/>
          <w:szCs w:val="20"/>
        </w:rPr>
        <w:t>1758</w:t>
      </w:r>
    </w:p>
    <w:p w14:paraId="7C5CFE90" w14:textId="77777777" w:rsidR="005E625B" w:rsidRPr="005E625B" w:rsidRDefault="005E625B" w:rsidP="00F923AC">
      <w:pPr>
        <w:tabs>
          <w:tab w:val="left" w:pos="7088"/>
        </w:tabs>
        <w:rPr>
          <w:sz w:val="20"/>
          <w:szCs w:val="20"/>
        </w:rPr>
      </w:pPr>
      <w:bookmarkStart w:id="0" w:name="_GoBack"/>
      <w:r w:rsidRPr="005E625B">
        <w:rPr>
          <w:sz w:val="20"/>
          <w:szCs w:val="20"/>
        </w:rPr>
        <w:t xml:space="preserve">Finanšu tirgus politikas departamenta </w:t>
      </w:r>
    </w:p>
    <w:p w14:paraId="169ED0A1" w14:textId="77777777" w:rsidR="005E625B" w:rsidRPr="005E625B" w:rsidRDefault="005E625B" w:rsidP="00F923AC">
      <w:pPr>
        <w:tabs>
          <w:tab w:val="left" w:pos="7088"/>
        </w:tabs>
        <w:rPr>
          <w:sz w:val="20"/>
          <w:szCs w:val="20"/>
        </w:rPr>
      </w:pPr>
      <w:r w:rsidRPr="005E625B">
        <w:rPr>
          <w:sz w:val="20"/>
          <w:szCs w:val="20"/>
        </w:rPr>
        <w:t>Finanšu sektora p</w:t>
      </w:r>
      <w:r w:rsidR="00BE432A">
        <w:rPr>
          <w:sz w:val="20"/>
          <w:szCs w:val="20"/>
        </w:rPr>
        <w:t>ārvaldības nodaļas juriskonsults</w:t>
      </w:r>
      <w:r w:rsidRPr="005E625B">
        <w:rPr>
          <w:sz w:val="20"/>
          <w:szCs w:val="20"/>
        </w:rPr>
        <w:t xml:space="preserve"> </w:t>
      </w:r>
    </w:p>
    <w:p w14:paraId="65B65CC5" w14:textId="77777777" w:rsidR="005E625B" w:rsidRPr="005E625B" w:rsidRDefault="000F35E2" w:rsidP="00F923AC">
      <w:pPr>
        <w:tabs>
          <w:tab w:val="left" w:pos="7088"/>
        </w:tabs>
        <w:rPr>
          <w:sz w:val="20"/>
          <w:szCs w:val="20"/>
        </w:rPr>
      </w:pPr>
      <w:r>
        <w:rPr>
          <w:sz w:val="20"/>
          <w:szCs w:val="20"/>
        </w:rPr>
        <w:t>Silvestrs Kūliņš</w:t>
      </w:r>
      <w:r w:rsidR="005E625B" w:rsidRPr="005E625B">
        <w:rPr>
          <w:rFonts w:cs="Times New Roman"/>
          <w:color w:val="000000"/>
          <w:sz w:val="20"/>
          <w:szCs w:val="20"/>
        </w:rPr>
        <w:t xml:space="preserve"> </w:t>
      </w:r>
      <w:bookmarkEnd w:id="0"/>
      <w:r w:rsidR="005E625B" w:rsidRPr="005E625B">
        <w:rPr>
          <w:rFonts w:cs="Times New Roman"/>
          <w:color w:val="000000"/>
          <w:sz w:val="20"/>
          <w:szCs w:val="20"/>
        </w:rPr>
        <w:t xml:space="preserve">                                                                                 </w:t>
      </w:r>
    </w:p>
    <w:p w14:paraId="2011D8D2" w14:textId="77777777" w:rsidR="005E625B" w:rsidRPr="005E625B" w:rsidRDefault="005E625B" w:rsidP="00F923AC">
      <w:pPr>
        <w:rPr>
          <w:sz w:val="20"/>
          <w:szCs w:val="20"/>
        </w:rPr>
      </w:pPr>
      <w:r w:rsidRPr="005E625B">
        <w:rPr>
          <w:sz w:val="20"/>
          <w:szCs w:val="20"/>
        </w:rPr>
        <w:t xml:space="preserve">67083857, </w:t>
      </w:r>
      <w:r w:rsidR="000F35E2">
        <w:rPr>
          <w:sz w:val="20"/>
          <w:szCs w:val="20"/>
        </w:rPr>
        <w:t>silvestrs.kulins</w:t>
      </w:r>
      <w:r w:rsidRPr="005E625B">
        <w:rPr>
          <w:sz w:val="20"/>
          <w:szCs w:val="20"/>
        </w:rPr>
        <w:t>@fm.gov.lv</w:t>
      </w:r>
    </w:p>
    <w:p w14:paraId="67B7AF4D" w14:textId="77777777" w:rsidR="005E625B" w:rsidRPr="005E625B" w:rsidRDefault="005E625B" w:rsidP="00F923AC">
      <w:pPr>
        <w:rPr>
          <w:rFonts w:eastAsia="Times New Roman" w:cs="Times New Roman"/>
          <w:color w:val="000000"/>
          <w:sz w:val="20"/>
          <w:szCs w:val="20"/>
        </w:rPr>
      </w:pPr>
    </w:p>
    <w:p w14:paraId="0CCD13F6" w14:textId="77777777" w:rsidR="004E6A3D" w:rsidRPr="005E625B" w:rsidRDefault="004E6A3D" w:rsidP="00F923AC">
      <w:pPr>
        <w:rPr>
          <w:sz w:val="20"/>
          <w:szCs w:val="20"/>
        </w:rPr>
      </w:pPr>
    </w:p>
    <w:sectPr w:rsidR="004E6A3D" w:rsidRPr="005E625B" w:rsidSect="000D3407">
      <w:headerReference w:type="default" r:id="rId7"/>
      <w:footerReference w:type="default" r:id="rId8"/>
      <w:footerReference w:type="first" r:id="rId9"/>
      <w:pgSz w:w="11906" w:h="16838"/>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D5ED" w14:textId="77777777" w:rsidR="00051713" w:rsidRDefault="00051713">
      <w:r>
        <w:separator/>
      </w:r>
    </w:p>
  </w:endnote>
  <w:endnote w:type="continuationSeparator" w:id="0">
    <w:p w14:paraId="718CE3BD" w14:textId="77777777" w:rsidR="00051713" w:rsidRDefault="0005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6B39" w14:textId="698DFEB5" w:rsidR="00BA4503" w:rsidRPr="00A227AD" w:rsidRDefault="00936B2E" w:rsidP="00A227A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61A09">
      <w:rPr>
        <w:noProof/>
        <w:sz w:val="20"/>
        <w:szCs w:val="20"/>
      </w:rPr>
      <w:t>FMAnot_220916_OCTA.docx</w:t>
    </w:r>
    <w:r>
      <w:rPr>
        <w:sz w:val="20"/>
        <w:szCs w:val="20"/>
      </w:rPr>
      <w:fldChar w:fldCharType="end"/>
    </w:r>
    <w:r w:rsidRPr="007C61EF">
      <w:rPr>
        <w:sz w:val="20"/>
        <w:szCs w:val="20"/>
      </w:rPr>
      <w:t xml:space="preserve">; </w:t>
    </w:r>
    <w:r w:rsidRPr="007C61EF">
      <w:rPr>
        <w:rFonts w:eastAsia="Times New Roman"/>
        <w:sz w:val="20"/>
        <w:szCs w:val="20"/>
      </w:rPr>
      <w:t>likumprojekt</w:t>
    </w:r>
    <w:r>
      <w:rPr>
        <w:rFonts w:eastAsia="Times New Roman"/>
        <w:sz w:val="20"/>
        <w:szCs w:val="20"/>
      </w:rPr>
      <w:t>s</w:t>
    </w:r>
    <w:r w:rsidRPr="007C61EF">
      <w:rPr>
        <w:rFonts w:cs="Times New Roman"/>
        <w:bCs/>
        <w:sz w:val="20"/>
        <w:szCs w:val="20"/>
      </w:rPr>
      <w:t xml:space="preserve"> „Grozījumi </w:t>
    </w:r>
    <w:r w:rsidRPr="007C61EF">
      <w:rPr>
        <w:sz w:val="20"/>
        <w:szCs w:val="20"/>
      </w:rPr>
      <w:t>Sauszemes transportlīdzekļu īpašnieku civiltiesiskās atbildības obligātās apdrošināšanas likumā</w:t>
    </w:r>
    <w:r w:rsidRPr="007C61EF">
      <w:rPr>
        <w:rFonts w:cs="Times New Roman"/>
        <w:bCs/>
        <w:sz w:val="20"/>
        <w:szCs w:val="20"/>
      </w:rPr>
      <w:t>”</w:t>
    </w:r>
    <w:r w:rsidRPr="00991FDE">
      <w:rPr>
        <w:rFonts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991FDE">
        <w:rPr>
          <w:rFonts w:cs="Times New Roman"/>
          <w:sz w:val="20"/>
          <w:szCs w:val="20"/>
        </w:rPr>
        <w:t>ziņojums</w:t>
      </w:r>
    </w:smartTag>
    <w:r>
      <w:rPr>
        <w:rFonts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B703" w14:textId="396C7E90" w:rsidR="00936B2E" w:rsidRPr="006C2ABC" w:rsidRDefault="00936B2E" w:rsidP="00936B2E">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61A09">
      <w:rPr>
        <w:noProof/>
        <w:sz w:val="20"/>
        <w:szCs w:val="20"/>
      </w:rPr>
      <w:t>FMAnot_220916_OCTA.docx</w:t>
    </w:r>
    <w:r>
      <w:rPr>
        <w:sz w:val="20"/>
        <w:szCs w:val="20"/>
      </w:rPr>
      <w:fldChar w:fldCharType="end"/>
    </w:r>
    <w:r w:rsidRPr="007C61EF">
      <w:rPr>
        <w:sz w:val="20"/>
        <w:szCs w:val="20"/>
      </w:rPr>
      <w:t xml:space="preserve">; </w:t>
    </w:r>
    <w:r w:rsidRPr="007C61EF">
      <w:rPr>
        <w:rFonts w:eastAsia="Times New Roman"/>
        <w:sz w:val="20"/>
        <w:szCs w:val="20"/>
      </w:rPr>
      <w:t>likumprojekt</w:t>
    </w:r>
    <w:r>
      <w:rPr>
        <w:rFonts w:eastAsia="Times New Roman"/>
        <w:sz w:val="20"/>
        <w:szCs w:val="20"/>
      </w:rPr>
      <w:t>s</w:t>
    </w:r>
    <w:r w:rsidRPr="007C61EF">
      <w:rPr>
        <w:rFonts w:cs="Times New Roman"/>
        <w:bCs/>
        <w:sz w:val="20"/>
        <w:szCs w:val="20"/>
      </w:rPr>
      <w:t xml:space="preserve"> „Grozījumi </w:t>
    </w:r>
    <w:r w:rsidRPr="007C61EF">
      <w:rPr>
        <w:sz w:val="20"/>
        <w:szCs w:val="20"/>
      </w:rPr>
      <w:t>Sauszemes transportlīdzekļu īpašnieku civiltiesiskās atbildības obligātās apdrošināšanas likumā</w:t>
    </w:r>
    <w:r w:rsidRPr="007C61EF">
      <w:rPr>
        <w:rFonts w:cs="Times New Roman"/>
        <w:bCs/>
        <w:sz w:val="20"/>
        <w:szCs w:val="20"/>
      </w:rPr>
      <w:t>”</w:t>
    </w:r>
    <w:r w:rsidRPr="00991FDE">
      <w:rPr>
        <w:rFonts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991FDE">
        <w:rPr>
          <w:rFonts w:cs="Times New Roman"/>
          <w:sz w:val="20"/>
          <w:szCs w:val="20"/>
        </w:rPr>
        <w:t>ziņojums</w:t>
      </w:r>
    </w:smartTag>
    <w:r>
      <w:rPr>
        <w:rFonts w:cs="Times New Roman"/>
        <w:sz w:val="20"/>
        <w:szCs w:val="20"/>
      </w:rPr>
      <w:t xml:space="preserve"> (anotācija)</w:t>
    </w:r>
  </w:p>
  <w:p w14:paraId="2289C742" w14:textId="4B37C111" w:rsidR="00BA4503" w:rsidRPr="001D31FF" w:rsidRDefault="00E91FB6" w:rsidP="00E91FB6">
    <w:pPr>
      <w:pStyle w:val="Footer"/>
      <w:tabs>
        <w:tab w:val="clear" w:pos="4153"/>
        <w:tab w:val="clear" w:pos="8306"/>
        <w:tab w:val="left" w:pos="23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3B560" w14:textId="77777777" w:rsidR="00051713" w:rsidRDefault="00051713">
      <w:r>
        <w:separator/>
      </w:r>
    </w:p>
  </w:footnote>
  <w:footnote w:type="continuationSeparator" w:id="0">
    <w:p w14:paraId="35722C88" w14:textId="77777777" w:rsidR="00051713" w:rsidRDefault="0005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92685"/>
      <w:docPartObj>
        <w:docPartGallery w:val="Page Numbers (Top of Page)"/>
        <w:docPartUnique/>
      </w:docPartObj>
    </w:sdtPr>
    <w:sdtEndPr>
      <w:rPr>
        <w:noProof/>
      </w:rPr>
    </w:sdtEndPr>
    <w:sdtContent>
      <w:p w14:paraId="3FB037EB" w14:textId="77777777" w:rsidR="00BA4503" w:rsidRDefault="002A3A41">
        <w:pPr>
          <w:pStyle w:val="Header"/>
          <w:jc w:val="center"/>
        </w:pPr>
        <w:r>
          <w:fldChar w:fldCharType="begin"/>
        </w:r>
        <w:r>
          <w:instrText xml:space="preserve"> PAGE   \* MERGEFORMAT </w:instrText>
        </w:r>
        <w:r>
          <w:fldChar w:fldCharType="separate"/>
        </w:r>
        <w:r w:rsidR="000537E1">
          <w:rPr>
            <w:noProof/>
          </w:rPr>
          <w:t>2</w:t>
        </w:r>
        <w:r>
          <w:rPr>
            <w:noProof/>
          </w:rPr>
          <w:fldChar w:fldCharType="end"/>
        </w:r>
      </w:p>
    </w:sdtContent>
  </w:sdt>
  <w:p w14:paraId="665E00AB" w14:textId="77777777" w:rsidR="00BA4503" w:rsidRDefault="00051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F2845"/>
    <w:multiLevelType w:val="hybridMultilevel"/>
    <w:tmpl w:val="874AC330"/>
    <w:lvl w:ilvl="0" w:tplc="DF404E6A">
      <w:start w:val="5"/>
      <w:numFmt w:val="bullet"/>
      <w:lvlText w:val="-"/>
      <w:lvlJc w:val="left"/>
      <w:pPr>
        <w:ind w:left="420" w:hanging="360"/>
      </w:pPr>
      <w:rPr>
        <w:rFonts w:ascii="Times New Roman" w:eastAsiaTheme="minorEastAsia"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1">
    <w:nsid w:val="489A7A91"/>
    <w:multiLevelType w:val="multilevel"/>
    <w:tmpl w:val="B2609DA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8570EE"/>
    <w:multiLevelType w:val="hybridMultilevel"/>
    <w:tmpl w:val="5A721C64"/>
    <w:lvl w:ilvl="0" w:tplc="91281858">
      <w:start w:val="1"/>
      <w:numFmt w:val="decimal"/>
      <w:lvlText w:val="%1)"/>
      <w:lvlJc w:val="left"/>
      <w:pPr>
        <w:ind w:left="502"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3BB7D32"/>
    <w:multiLevelType w:val="multilevel"/>
    <w:tmpl w:val="E0CA38B6"/>
    <w:lvl w:ilvl="0">
      <w:start w:val="1"/>
      <w:numFmt w:val="decimal"/>
      <w:pStyle w:val="napunkts1"/>
      <w:suff w:val="space"/>
      <w:lvlText w:val="%1."/>
      <w:lvlJc w:val="left"/>
      <w:pPr>
        <w:ind w:left="0" w:firstLine="0"/>
      </w:pPr>
    </w:lvl>
    <w:lvl w:ilvl="1">
      <w:start w:val="1"/>
      <w:numFmt w:val="decimal"/>
      <w:pStyle w:val="napunkts2"/>
      <w:suff w:val="space"/>
      <w:lvlText w:val="%1.%2."/>
      <w:lvlJc w:val="left"/>
      <w:pPr>
        <w:ind w:left="0" w:firstLine="0"/>
      </w:pPr>
    </w:lvl>
    <w:lvl w:ilvl="2">
      <w:start w:val="1"/>
      <w:numFmt w:val="decimal"/>
      <w:pStyle w:val="napunkts3"/>
      <w:suff w:val="space"/>
      <w:lvlText w:val="%1.%2.%3."/>
      <w:lvlJc w:val="left"/>
      <w:pPr>
        <w:ind w:left="0" w:firstLine="0"/>
      </w:pPr>
    </w:lvl>
    <w:lvl w:ilvl="3">
      <w:start w:val="1"/>
      <w:numFmt w:val="decimal"/>
      <w:pStyle w:val="napunkts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AB77C9"/>
    <w:multiLevelType w:val="hybridMultilevel"/>
    <w:tmpl w:val="509825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8A076AE"/>
    <w:multiLevelType w:val="hybridMultilevel"/>
    <w:tmpl w:val="34422AB6"/>
    <w:lvl w:ilvl="0" w:tplc="A538CE5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821EC9"/>
    <w:multiLevelType w:val="hybridMultilevel"/>
    <w:tmpl w:val="782CB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CC14863"/>
    <w:multiLevelType w:val="hybridMultilevel"/>
    <w:tmpl w:val="995AABDC"/>
    <w:lvl w:ilvl="0" w:tplc="33A0D31C">
      <w:start w:val="1"/>
      <w:numFmt w:val="decimal"/>
      <w:lvlText w:val="%1)"/>
      <w:lvlJc w:val="left"/>
      <w:pPr>
        <w:ind w:left="3762" w:hanging="360"/>
      </w:pPr>
    </w:lvl>
    <w:lvl w:ilvl="1" w:tplc="04260019">
      <w:start w:val="1"/>
      <w:numFmt w:val="lowerLetter"/>
      <w:lvlText w:val="%2."/>
      <w:lvlJc w:val="left"/>
      <w:pPr>
        <w:ind w:left="4482" w:hanging="360"/>
      </w:pPr>
    </w:lvl>
    <w:lvl w:ilvl="2" w:tplc="0426001B">
      <w:start w:val="1"/>
      <w:numFmt w:val="lowerRoman"/>
      <w:lvlText w:val="%3."/>
      <w:lvlJc w:val="right"/>
      <w:pPr>
        <w:ind w:left="5202" w:hanging="180"/>
      </w:pPr>
    </w:lvl>
    <w:lvl w:ilvl="3" w:tplc="0426000F">
      <w:start w:val="1"/>
      <w:numFmt w:val="decimal"/>
      <w:lvlText w:val="%4."/>
      <w:lvlJc w:val="left"/>
      <w:pPr>
        <w:ind w:left="5922" w:hanging="360"/>
      </w:pPr>
    </w:lvl>
    <w:lvl w:ilvl="4" w:tplc="04260019">
      <w:start w:val="1"/>
      <w:numFmt w:val="lowerLetter"/>
      <w:lvlText w:val="%5."/>
      <w:lvlJc w:val="left"/>
      <w:pPr>
        <w:ind w:left="6642" w:hanging="360"/>
      </w:pPr>
    </w:lvl>
    <w:lvl w:ilvl="5" w:tplc="0426001B">
      <w:start w:val="1"/>
      <w:numFmt w:val="lowerRoman"/>
      <w:lvlText w:val="%6."/>
      <w:lvlJc w:val="right"/>
      <w:pPr>
        <w:ind w:left="7362" w:hanging="180"/>
      </w:pPr>
    </w:lvl>
    <w:lvl w:ilvl="6" w:tplc="0426000F">
      <w:start w:val="1"/>
      <w:numFmt w:val="decimal"/>
      <w:lvlText w:val="%7."/>
      <w:lvlJc w:val="left"/>
      <w:pPr>
        <w:ind w:left="8082" w:hanging="360"/>
      </w:pPr>
    </w:lvl>
    <w:lvl w:ilvl="7" w:tplc="04260019">
      <w:start w:val="1"/>
      <w:numFmt w:val="lowerLetter"/>
      <w:lvlText w:val="%8."/>
      <w:lvlJc w:val="left"/>
      <w:pPr>
        <w:ind w:left="8802" w:hanging="360"/>
      </w:pPr>
    </w:lvl>
    <w:lvl w:ilvl="8" w:tplc="0426001B">
      <w:start w:val="1"/>
      <w:numFmt w:val="lowerRoman"/>
      <w:lvlText w:val="%9."/>
      <w:lvlJc w:val="right"/>
      <w:pPr>
        <w:ind w:left="952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3F"/>
    <w:rsid w:val="00051713"/>
    <w:rsid w:val="000537E1"/>
    <w:rsid w:val="0009470C"/>
    <w:rsid w:val="000F35E2"/>
    <w:rsid w:val="00175ED7"/>
    <w:rsid w:val="001841A6"/>
    <w:rsid w:val="001945B3"/>
    <w:rsid w:val="001B56CA"/>
    <w:rsid w:val="001D31FF"/>
    <w:rsid w:val="00212664"/>
    <w:rsid w:val="00217EC1"/>
    <w:rsid w:val="00284EB9"/>
    <w:rsid w:val="002A3A41"/>
    <w:rsid w:val="002C0C00"/>
    <w:rsid w:val="003B280A"/>
    <w:rsid w:val="00423A98"/>
    <w:rsid w:val="0045449E"/>
    <w:rsid w:val="004E6A3D"/>
    <w:rsid w:val="00535057"/>
    <w:rsid w:val="0056549D"/>
    <w:rsid w:val="005E625B"/>
    <w:rsid w:val="00614D0F"/>
    <w:rsid w:val="006964FC"/>
    <w:rsid w:val="006A7F7F"/>
    <w:rsid w:val="006B26EE"/>
    <w:rsid w:val="006B589B"/>
    <w:rsid w:val="006E7C6F"/>
    <w:rsid w:val="007328A8"/>
    <w:rsid w:val="00737EC1"/>
    <w:rsid w:val="00790A2A"/>
    <w:rsid w:val="007B17C4"/>
    <w:rsid w:val="007B5F30"/>
    <w:rsid w:val="00936B2E"/>
    <w:rsid w:val="00963F34"/>
    <w:rsid w:val="009C7B3C"/>
    <w:rsid w:val="00A144B6"/>
    <w:rsid w:val="00A227AD"/>
    <w:rsid w:val="00A40E46"/>
    <w:rsid w:val="00A53E82"/>
    <w:rsid w:val="00A65422"/>
    <w:rsid w:val="00A72800"/>
    <w:rsid w:val="00B11C90"/>
    <w:rsid w:val="00B70B3A"/>
    <w:rsid w:val="00BD186B"/>
    <w:rsid w:val="00BE432A"/>
    <w:rsid w:val="00BE7628"/>
    <w:rsid w:val="00C00C4F"/>
    <w:rsid w:val="00C3057F"/>
    <w:rsid w:val="00C341B4"/>
    <w:rsid w:val="00C8294E"/>
    <w:rsid w:val="00C85563"/>
    <w:rsid w:val="00CE5377"/>
    <w:rsid w:val="00D27505"/>
    <w:rsid w:val="00D44270"/>
    <w:rsid w:val="00D45942"/>
    <w:rsid w:val="00D45F3F"/>
    <w:rsid w:val="00D612FD"/>
    <w:rsid w:val="00D911E6"/>
    <w:rsid w:val="00DE2132"/>
    <w:rsid w:val="00E279A7"/>
    <w:rsid w:val="00E4339E"/>
    <w:rsid w:val="00E603CF"/>
    <w:rsid w:val="00E719FF"/>
    <w:rsid w:val="00E91FB6"/>
    <w:rsid w:val="00E94986"/>
    <w:rsid w:val="00EA192E"/>
    <w:rsid w:val="00ED3B07"/>
    <w:rsid w:val="00EE5C6B"/>
    <w:rsid w:val="00F40933"/>
    <w:rsid w:val="00F57589"/>
    <w:rsid w:val="00F61A09"/>
    <w:rsid w:val="00F923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BE87A55"/>
  <w15:chartTrackingRefBased/>
  <w15:docId w15:val="{1C6D41A2-4DF7-43BF-87D3-6CC55564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D45F3F"/>
    <w:pPr>
      <w:spacing w:before="150" w:after="150"/>
      <w:jc w:val="center"/>
    </w:pPr>
    <w:rPr>
      <w:rFonts w:eastAsia="Times New Roman" w:cs="Times New Roman"/>
      <w:b/>
      <w:bCs/>
      <w:szCs w:val="24"/>
      <w:lang w:eastAsia="lv-LV"/>
    </w:rPr>
  </w:style>
  <w:style w:type="paragraph" w:customStyle="1" w:styleId="naisf">
    <w:name w:val="naisf"/>
    <w:basedOn w:val="Normal"/>
    <w:rsid w:val="00D45F3F"/>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rsid w:val="00D45F3F"/>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D45F3F"/>
    <w:rPr>
      <w:rFonts w:eastAsia="Times New Roman" w:cs="Times New Roman"/>
      <w:szCs w:val="24"/>
      <w:lang w:eastAsia="lv-LV"/>
    </w:rPr>
  </w:style>
  <w:style w:type="paragraph" w:styleId="Footer">
    <w:name w:val="footer"/>
    <w:basedOn w:val="Normal"/>
    <w:link w:val="FooterChar"/>
    <w:uiPriority w:val="99"/>
    <w:rsid w:val="00D45F3F"/>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D45F3F"/>
    <w:rPr>
      <w:rFonts w:eastAsia="Times New Roman" w:cs="Times New Roman"/>
      <w:szCs w:val="24"/>
      <w:lang w:eastAsia="lv-LV"/>
    </w:rPr>
  </w:style>
  <w:style w:type="paragraph" w:customStyle="1" w:styleId="naiskr">
    <w:name w:val="naiskr"/>
    <w:basedOn w:val="Normal"/>
    <w:rsid w:val="00D45F3F"/>
    <w:pPr>
      <w:spacing w:before="75" w:after="75"/>
    </w:pPr>
    <w:rPr>
      <w:rFonts w:eastAsia="Times New Roman" w:cs="Times New Roman"/>
      <w:szCs w:val="24"/>
      <w:lang w:eastAsia="lv-LV"/>
    </w:rPr>
  </w:style>
  <w:style w:type="paragraph" w:styleId="NormalWeb">
    <w:name w:val="Normal (Web)"/>
    <w:basedOn w:val="Normal"/>
    <w:semiHidden/>
    <w:rsid w:val="00D45F3F"/>
    <w:pPr>
      <w:spacing w:before="100" w:beforeAutospacing="1" w:after="100" w:afterAutospacing="1"/>
    </w:pPr>
    <w:rPr>
      <w:rFonts w:eastAsia="Times New Roman" w:cs="Times New Roman"/>
      <w:szCs w:val="24"/>
      <w:lang w:eastAsia="lv-LV"/>
    </w:rPr>
  </w:style>
  <w:style w:type="character" w:styleId="Hyperlink">
    <w:name w:val="Hyperlink"/>
    <w:semiHidden/>
    <w:rsid w:val="00D45F3F"/>
    <w:rPr>
      <w:color w:val="0000FF"/>
      <w:u w:val="single"/>
    </w:rPr>
  </w:style>
  <w:style w:type="paragraph" w:styleId="PlainText">
    <w:name w:val="Plain Text"/>
    <w:basedOn w:val="Normal"/>
    <w:link w:val="PlainTextChar"/>
    <w:uiPriority w:val="99"/>
    <w:unhideWhenUsed/>
    <w:rsid w:val="00D45F3F"/>
    <w:rPr>
      <w:rFonts w:ascii="Calibri" w:hAnsi="Calibri"/>
      <w:sz w:val="22"/>
      <w:szCs w:val="21"/>
    </w:rPr>
  </w:style>
  <w:style w:type="character" w:customStyle="1" w:styleId="PlainTextChar">
    <w:name w:val="Plain Text Char"/>
    <w:basedOn w:val="DefaultParagraphFont"/>
    <w:link w:val="PlainText"/>
    <w:uiPriority w:val="99"/>
    <w:rsid w:val="00D45F3F"/>
    <w:rPr>
      <w:rFonts w:ascii="Calibri" w:hAnsi="Calibri"/>
      <w:sz w:val="22"/>
      <w:szCs w:val="21"/>
    </w:rPr>
  </w:style>
  <w:style w:type="paragraph" w:customStyle="1" w:styleId="napunkts1">
    <w:name w:val="na punkts 1"/>
    <w:basedOn w:val="Normal"/>
    <w:rsid w:val="00F40933"/>
    <w:pPr>
      <w:numPr>
        <w:numId w:val="1"/>
      </w:numPr>
      <w:spacing w:before="240"/>
      <w:jc w:val="both"/>
    </w:pPr>
    <w:rPr>
      <w:rFonts w:cs="Times New Roman"/>
      <w:szCs w:val="24"/>
      <w:lang w:eastAsia="lv-LV"/>
    </w:rPr>
  </w:style>
  <w:style w:type="paragraph" w:customStyle="1" w:styleId="napunkts2">
    <w:name w:val="na punkts 2"/>
    <w:basedOn w:val="Normal"/>
    <w:rsid w:val="00F40933"/>
    <w:pPr>
      <w:numPr>
        <w:ilvl w:val="1"/>
        <w:numId w:val="1"/>
      </w:numPr>
      <w:jc w:val="both"/>
    </w:pPr>
    <w:rPr>
      <w:rFonts w:cs="Times New Roman"/>
      <w:szCs w:val="24"/>
      <w:lang w:eastAsia="lv-LV"/>
    </w:rPr>
  </w:style>
  <w:style w:type="paragraph" w:customStyle="1" w:styleId="napunkts3">
    <w:name w:val="na punkts 3"/>
    <w:basedOn w:val="Normal"/>
    <w:rsid w:val="00F40933"/>
    <w:pPr>
      <w:numPr>
        <w:ilvl w:val="2"/>
        <w:numId w:val="1"/>
      </w:numPr>
      <w:jc w:val="both"/>
    </w:pPr>
    <w:rPr>
      <w:rFonts w:cs="Times New Roman"/>
      <w:szCs w:val="24"/>
      <w:lang w:eastAsia="lv-LV"/>
    </w:rPr>
  </w:style>
  <w:style w:type="paragraph" w:customStyle="1" w:styleId="napunkts4">
    <w:name w:val="na punkts 4"/>
    <w:basedOn w:val="Normal"/>
    <w:rsid w:val="00F40933"/>
    <w:pPr>
      <w:numPr>
        <w:ilvl w:val="3"/>
        <w:numId w:val="1"/>
      </w:numPr>
      <w:jc w:val="both"/>
    </w:pPr>
    <w:rPr>
      <w:rFonts w:cs="Times New Roman"/>
      <w:szCs w:val="24"/>
      <w:lang w:eastAsia="lv-LV"/>
    </w:rPr>
  </w:style>
  <w:style w:type="paragraph" w:styleId="BalloonText">
    <w:name w:val="Balloon Text"/>
    <w:basedOn w:val="Normal"/>
    <w:link w:val="BalloonTextChar"/>
    <w:uiPriority w:val="99"/>
    <w:semiHidden/>
    <w:unhideWhenUsed/>
    <w:rsid w:val="00EE5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6B"/>
    <w:rPr>
      <w:rFonts w:ascii="Segoe UI" w:hAnsi="Segoe UI" w:cs="Segoe UI"/>
      <w:sz w:val="18"/>
      <w:szCs w:val="18"/>
    </w:rPr>
  </w:style>
  <w:style w:type="paragraph" w:styleId="ListParagraph">
    <w:name w:val="List Paragraph"/>
    <w:basedOn w:val="Normal"/>
    <w:uiPriority w:val="34"/>
    <w:qFormat/>
    <w:rsid w:val="00936B2E"/>
    <w:pPr>
      <w:ind w:left="720"/>
      <w:contextualSpacing/>
    </w:pPr>
    <w:rPr>
      <w:rFonts w:eastAsia="Times New Roman" w:cs="Times New Roman"/>
      <w:szCs w:val="24"/>
    </w:rPr>
  </w:style>
  <w:style w:type="paragraph" w:customStyle="1" w:styleId="Default">
    <w:name w:val="Default"/>
    <w:rsid w:val="00B70B3A"/>
    <w:pPr>
      <w:autoSpaceDE w:val="0"/>
      <w:autoSpaceDN w:val="0"/>
      <w:adjustRightInd w:val="0"/>
    </w:pPr>
    <w:rPr>
      <w:rFonts w:cs="Times New Roman"/>
      <w:color w:val="000000"/>
      <w:szCs w:val="24"/>
    </w:rPr>
  </w:style>
  <w:style w:type="character" w:styleId="CommentReference">
    <w:name w:val="annotation reference"/>
    <w:basedOn w:val="DefaultParagraphFont"/>
    <w:uiPriority w:val="99"/>
    <w:semiHidden/>
    <w:unhideWhenUsed/>
    <w:rsid w:val="00423A98"/>
    <w:rPr>
      <w:sz w:val="16"/>
      <w:szCs w:val="16"/>
    </w:rPr>
  </w:style>
  <w:style w:type="paragraph" w:styleId="CommentText">
    <w:name w:val="annotation text"/>
    <w:basedOn w:val="Normal"/>
    <w:link w:val="CommentTextChar"/>
    <w:uiPriority w:val="99"/>
    <w:semiHidden/>
    <w:unhideWhenUsed/>
    <w:rsid w:val="00423A98"/>
    <w:rPr>
      <w:sz w:val="20"/>
      <w:szCs w:val="20"/>
    </w:rPr>
  </w:style>
  <w:style w:type="character" w:customStyle="1" w:styleId="CommentTextChar">
    <w:name w:val="Comment Text Char"/>
    <w:basedOn w:val="DefaultParagraphFont"/>
    <w:link w:val="CommentText"/>
    <w:uiPriority w:val="99"/>
    <w:semiHidden/>
    <w:rsid w:val="00423A98"/>
    <w:rPr>
      <w:sz w:val="20"/>
      <w:szCs w:val="20"/>
    </w:rPr>
  </w:style>
  <w:style w:type="paragraph" w:styleId="CommentSubject">
    <w:name w:val="annotation subject"/>
    <w:basedOn w:val="CommentText"/>
    <w:next w:val="CommentText"/>
    <w:link w:val="CommentSubjectChar"/>
    <w:uiPriority w:val="99"/>
    <w:semiHidden/>
    <w:unhideWhenUsed/>
    <w:rsid w:val="00423A98"/>
    <w:rPr>
      <w:b/>
      <w:bCs/>
    </w:rPr>
  </w:style>
  <w:style w:type="character" w:customStyle="1" w:styleId="CommentSubjectChar">
    <w:name w:val="Comment Subject Char"/>
    <w:basedOn w:val="CommentTextChar"/>
    <w:link w:val="CommentSubject"/>
    <w:uiPriority w:val="99"/>
    <w:semiHidden/>
    <w:rsid w:val="00423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13701">
      <w:bodyDiv w:val="1"/>
      <w:marLeft w:val="0"/>
      <w:marRight w:val="0"/>
      <w:marTop w:val="0"/>
      <w:marBottom w:val="0"/>
      <w:divBdr>
        <w:top w:val="none" w:sz="0" w:space="0" w:color="auto"/>
        <w:left w:val="none" w:sz="0" w:space="0" w:color="auto"/>
        <w:bottom w:val="none" w:sz="0" w:space="0" w:color="auto"/>
        <w:right w:val="none" w:sz="0" w:space="0" w:color="auto"/>
      </w:divBdr>
    </w:div>
    <w:div w:id="10785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9277</Words>
  <Characters>5288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2.	Likumprojekta “Grozījumi Sauszemes transportlīdzekļu īpašnieku civiltiesiskās atbildības obligātās apdrošināšanas likumā” sākotnējās ietekmes novērtējuma ziņojums (anotācija)</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Likumprojekta “Grozījumi Sauszemes transportlīdzekļu īpašnieku civiltiesiskās atbildības obligātās apdrošināšanas likumā” sākotnējās ietekmes novērtējuma ziņojums (anotācija)</dc:title>
  <dc:subject>2.	Likumprojekta “Grozījumi Sauszemes transportlīdzekļu īpašnieku civiltiesiskās atbildības obligātās apdrošināšanas likumā” sākotnējās ietekmes novērtējuma ziņojums (anotācija)</dc:subject>
  <dc:creator>Silvestrs Kūliņš</dc:creator>
  <cp:keywords/>
  <dc:description>Finanšu tirgus politikas departamenta _x000d_
Finanšu sektora pārvaldības nodaļas juriskonsults _x000d_
Silvestrs Kūliņš _x000d_
</dc:description>
  <cp:lastModifiedBy>Silvestrs Kūliņš</cp:lastModifiedBy>
  <cp:revision>5</cp:revision>
  <cp:lastPrinted>2016-09-22T11:05:00Z</cp:lastPrinted>
  <dcterms:created xsi:type="dcterms:W3CDTF">2016-09-22T10:56:00Z</dcterms:created>
  <dcterms:modified xsi:type="dcterms:W3CDTF">2016-09-26T08:55:00Z</dcterms:modified>
</cp:coreProperties>
</file>