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808" w:rsidRPr="00EF6146" w:rsidRDefault="00713808" w:rsidP="00713808">
      <w:pPr>
        <w:pStyle w:val="naisc"/>
        <w:spacing w:before="0" w:after="0"/>
      </w:pPr>
      <w:r w:rsidRPr="00EF6146">
        <w:t xml:space="preserve">Ministru kabineta rīkojuma projekta </w:t>
      </w:r>
    </w:p>
    <w:p w:rsidR="00713808" w:rsidRPr="004D7884" w:rsidRDefault="00713808" w:rsidP="004D7884">
      <w:pPr>
        <w:spacing w:after="0"/>
        <w:jc w:val="center"/>
        <w:rPr>
          <w:b/>
          <w:sz w:val="24"/>
          <w:szCs w:val="24"/>
        </w:rPr>
      </w:pPr>
      <w:r w:rsidRPr="004D7884">
        <w:rPr>
          <w:rFonts w:asciiTheme="minorHAnsi" w:hAnsiTheme="minorHAnsi" w:cstheme="minorHAnsi"/>
          <w:b/>
          <w:sz w:val="24"/>
          <w:szCs w:val="24"/>
        </w:rPr>
        <w:t>„</w:t>
      </w:r>
      <w:r w:rsidR="004D7884" w:rsidRPr="004D7884">
        <w:rPr>
          <w:b/>
          <w:sz w:val="24"/>
          <w:szCs w:val="24"/>
        </w:rPr>
        <w:t>Par atļauju izbeigt līdzdalību un uzsākt reorganizāciju</w:t>
      </w:r>
      <w:r w:rsidRPr="004D7884">
        <w:rPr>
          <w:rFonts w:asciiTheme="minorHAnsi" w:hAnsiTheme="minorHAnsi" w:cstheme="minorHAnsi"/>
          <w:b/>
          <w:sz w:val="24"/>
          <w:szCs w:val="24"/>
        </w:rPr>
        <w:t>”</w:t>
      </w:r>
    </w:p>
    <w:p w:rsidR="00713808" w:rsidRPr="00EF6146" w:rsidRDefault="00713808" w:rsidP="00713808">
      <w:pPr>
        <w:pStyle w:val="naisc"/>
        <w:spacing w:before="0" w:after="0"/>
        <w:rPr>
          <w:b/>
        </w:rPr>
      </w:pPr>
      <w:r w:rsidRPr="00EF6146">
        <w:t>sākotnējās ietekmes novērtējuma ziņojums (anotācija)</w:t>
      </w:r>
    </w:p>
    <w:p w:rsidR="00713808" w:rsidRDefault="00713808" w:rsidP="00713808">
      <w:pPr>
        <w:pStyle w:val="naisc"/>
        <w:spacing w:before="0" w:after="0"/>
        <w:jc w:val="left"/>
        <w:rPr>
          <w:bCs/>
          <w:caps/>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9"/>
        <w:gridCol w:w="1727"/>
        <w:gridCol w:w="7101"/>
      </w:tblGrid>
      <w:tr w:rsidR="00713808" w:rsidTr="00D3237B">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hideMark/>
          </w:tcPr>
          <w:p w:rsidR="00713808" w:rsidRDefault="00713808" w:rsidP="00D3237B">
            <w:pPr>
              <w:spacing w:before="100" w:beforeAutospacing="1" w:after="100" w:afterAutospacing="1" w:line="240" w:lineRule="auto"/>
              <w:jc w:val="center"/>
              <w:rPr>
                <w:b/>
                <w:bCs/>
                <w:sz w:val="24"/>
                <w:szCs w:val="24"/>
                <w:lang w:eastAsia="lv-LV"/>
              </w:rPr>
            </w:pPr>
            <w:r>
              <w:rPr>
                <w:b/>
                <w:bCs/>
                <w:sz w:val="24"/>
                <w:szCs w:val="24"/>
                <w:lang w:eastAsia="lv-LV"/>
              </w:rPr>
              <w:t>I. Tiesību akta projekta izstrādes nepieciešamība</w:t>
            </w:r>
          </w:p>
        </w:tc>
      </w:tr>
      <w:tr w:rsidR="00713808" w:rsidTr="00D3237B">
        <w:trPr>
          <w:tblCellSpacing w:w="15" w:type="dxa"/>
        </w:trPr>
        <w:tc>
          <w:tcPr>
            <w:tcW w:w="151" w:type="pct"/>
            <w:tcBorders>
              <w:top w:val="outset" w:sz="6" w:space="0" w:color="000000"/>
              <w:left w:val="nil"/>
              <w:bottom w:val="outset" w:sz="6" w:space="0" w:color="000000"/>
              <w:right w:val="outset" w:sz="6" w:space="0" w:color="000000"/>
            </w:tcBorders>
            <w:hideMark/>
          </w:tcPr>
          <w:p w:rsidR="00713808" w:rsidRDefault="00713808" w:rsidP="00D3237B">
            <w:pPr>
              <w:spacing w:before="100" w:beforeAutospacing="1" w:after="100" w:afterAutospacing="1" w:line="240" w:lineRule="auto"/>
              <w:rPr>
                <w:sz w:val="24"/>
                <w:szCs w:val="24"/>
                <w:lang w:eastAsia="lv-LV"/>
              </w:rPr>
            </w:pPr>
            <w:r>
              <w:rPr>
                <w:sz w:val="24"/>
                <w:szCs w:val="24"/>
                <w:lang w:eastAsia="lv-LV"/>
              </w:rPr>
              <w:t>1.</w:t>
            </w:r>
          </w:p>
        </w:tc>
        <w:tc>
          <w:tcPr>
            <w:tcW w:w="934" w:type="pct"/>
            <w:tcBorders>
              <w:top w:val="outset" w:sz="6" w:space="0" w:color="000000"/>
              <w:left w:val="outset" w:sz="6" w:space="0" w:color="000000"/>
              <w:bottom w:val="outset" w:sz="6" w:space="0" w:color="000000"/>
              <w:right w:val="outset" w:sz="6" w:space="0" w:color="000000"/>
            </w:tcBorders>
            <w:hideMark/>
          </w:tcPr>
          <w:p w:rsidR="00713808" w:rsidRDefault="00713808" w:rsidP="00D3237B">
            <w:pPr>
              <w:spacing w:before="100" w:beforeAutospacing="1" w:after="100" w:afterAutospacing="1" w:line="240" w:lineRule="auto"/>
              <w:rPr>
                <w:sz w:val="24"/>
                <w:szCs w:val="24"/>
                <w:lang w:eastAsia="lv-LV"/>
              </w:rPr>
            </w:pPr>
            <w:r>
              <w:rPr>
                <w:sz w:val="24"/>
                <w:szCs w:val="24"/>
                <w:lang w:eastAsia="lv-LV"/>
              </w:rPr>
              <w:t>Pamatojums</w:t>
            </w:r>
          </w:p>
        </w:tc>
        <w:tc>
          <w:tcPr>
            <w:tcW w:w="3849" w:type="pct"/>
            <w:tcBorders>
              <w:top w:val="outset" w:sz="6" w:space="0" w:color="000000"/>
              <w:left w:val="outset" w:sz="6" w:space="0" w:color="000000"/>
              <w:bottom w:val="outset" w:sz="6" w:space="0" w:color="000000"/>
              <w:right w:val="nil"/>
            </w:tcBorders>
            <w:hideMark/>
          </w:tcPr>
          <w:p w:rsidR="00583BEA" w:rsidRDefault="00713808" w:rsidP="00C17C18">
            <w:pPr>
              <w:pStyle w:val="BodyText2"/>
              <w:spacing w:after="0" w:line="240" w:lineRule="auto"/>
              <w:ind w:firstLine="403"/>
              <w:jc w:val="both"/>
            </w:pPr>
            <w:r>
              <w:t xml:space="preserve"> </w:t>
            </w:r>
            <w:r w:rsidR="00C17C18" w:rsidRPr="00C06640">
              <w:t>Publiskas personas kapitāla daļu un kapitālsabiedrību pārvaldības likuma</w:t>
            </w:r>
            <w:r w:rsidR="00252B90">
              <w:t xml:space="preserve"> (turpmāk – Pārvaldības likums)</w:t>
            </w:r>
            <w:r w:rsidR="00C17C18" w:rsidRPr="00C06640">
              <w:t xml:space="preserve"> 9.panta </w:t>
            </w:r>
            <w:r w:rsidR="00C17C18">
              <w:t>otrā un ceturtā daļa</w:t>
            </w:r>
            <w:r w:rsidR="00C17C18" w:rsidRPr="00C06640">
              <w:t xml:space="preserve"> un 118</w:t>
            </w:r>
            <w:r w:rsidR="00C17C18">
              <w:t>.panta otrā daļa.</w:t>
            </w:r>
          </w:p>
          <w:p w:rsidR="00757FB4" w:rsidRPr="00D9760E" w:rsidRDefault="00D806BD" w:rsidP="002F4177">
            <w:pPr>
              <w:pStyle w:val="BodyText2"/>
              <w:spacing w:after="0" w:line="240" w:lineRule="auto"/>
              <w:ind w:firstLine="403"/>
              <w:jc w:val="both"/>
              <w:rPr>
                <w:rFonts w:cstheme="minorHAnsi"/>
              </w:rPr>
            </w:pPr>
            <w:r>
              <w:t>V</w:t>
            </w:r>
            <w:r w:rsidRPr="00427709">
              <w:t>alsts akciju sabiedrības „Valsts nekustamie īpašumi”</w:t>
            </w:r>
            <w:r w:rsidR="002F4177">
              <w:t xml:space="preserve"> (turpmāk – VNĪ)</w:t>
            </w:r>
            <w:r>
              <w:t xml:space="preserve"> valdes 2016.gada 12.aprīļa lēmums (prot</w:t>
            </w:r>
            <w:r w:rsidR="00DA754F">
              <w:t>. </w:t>
            </w:r>
            <w:r>
              <w:t>Nr</w:t>
            </w:r>
            <w:r w:rsidRPr="005F765A">
              <w:t>.VP-16/</w:t>
            </w:r>
            <w:r>
              <w:t>19-2,</w:t>
            </w:r>
            <w:r w:rsidR="00DA754F">
              <w:t> </w:t>
            </w:r>
            <w:r>
              <w:t>2.p</w:t>
            </w:r>
            <w:r w:rsidR="00DA754F">
              <w:t>.)</w:t>
            </w:r>
            <w:r>
              <w:t xml:space="preserve">, ar kuru tika nolemts uzsākt </w:t>
            </w:r>
            <w:r w:rsidR="00DA754F">
              <w:t>s</w:t>
            </w:r>
            <w:r w:rsidR="00DA754F" w:rsidRPr="00DA754F">
              <w:t>abiedrība</w:t>
            </w:r>
            <w:r w:rsidR="00DA754F">
              <w:t>s</w:t>
            </w:r>
            <w:r w:rsidR="00DA754F" w:rsidRPr="00DA754F">
              <w:t xml:space="preserve"> ar ierobežotu atbildību „Biroju centrs Ezerparks”, vienotais reģistrācijas Nr. 40103175644 (juridiskā adrese:</w:t>
            </w:r>
            <w:r w:rsidR="002F4177">
              <w:t> Talejas iela 1, Rīga, LV-1026</w:t>
            </w:r>
            <w:r w:rsidR="00DA754F" w:rsidRPr="00DA754F">
              <w:t>) (turpmāk – BCE)</w:t>
            </w:r>
            <w:r>
              <w:t xml:space="preserve"> darbības iz</w:t>
            </w:r>
            <w:r w:rsidR="00D71DD9">
              <w:t>beigšanu, veicot reorganizāciju, apstiprināt reorganizācijas plānu</w:t>
            </w:r>
            <w:r w:rsidR="00DA754F">
              <w:t xml:space="preserve">, uzsākt reorganizācijas plāna </w:t>
            </w:r>
            <w:r w:rsidR="00D71DD9">
              <w:t>īst</w:t>
            </w:r>
            <w:r w:rsidR="00207690">
              <w:t>e</w:t>
            </w:r>
            <w:r w:rsidR="00D71DD9">
              <w:t>nošanu.</w:t>
            </w:r>
          </w:p>
        </w:tc>
      </w:tr>
      <w:tr w:rsidR="00713808" w:rsidTr="00D3237B">
        <w:trPr>
          <w:tblCellSpacing w:w="15" w:type="dxa"/>
        </w:trPr>
        <w:tc>
          <w:tcPr>
            <w:tcW w:w="151" w:type="pct"/>
            <w:tcBorders>
              <w:top w:val="outset" w:sz="6" w:space="0" w:color="000000"/>
              <w:left w:val="nil"/>
              <w:bottom w:val="outset" w:sz="6" w:space="0" w:color="000000"/>
              <w:right w:val="outset" w:sz="6" w:space="0" w:color="000000"/>
            </w:tcBorders>
            <w:hideMark/>
          </w:tcPr>
          <w:p w:rsidR="00713808" w:rsidRDefault="00713808" w:rsidP="00D3237B">
            <w:pPr>
              <w:spacing w:before="100" w:beforeAutospacing="1" w:after="100" w:afterAutospacing="1" w:line="240" w:lineRule="auto"/>
              <w:rPr>
                <w:sz w:val="24"/>
                <w:szCs w:val="24"/>
                <w:lang w:eastAsia="lv-LV"/>
              </w:rPr>
            </w:pPr>
            <w:r>
              <w:rPr>
                <w:sz w:val="24"/>
                <w:szCs w:val="24"/>
                <w:lang w:eastAsia="lv-LV"/>
              </w:rPr>
              <w:t>2.</w:t>
            </w:r>
          </w:p>
        </w:tc>
        <w:tc>
          <w:tcPr>
            <w:tcW w:w="934" w:type="pct"/>
            <w:tcBorders>
              <w:top w:val="outset" w:sz="6" w:space="0" w:color="000000"/>
              <w:left w:val="outset" w:sz="6" w:space="0" w:color="000000"/>
              <w:bottom w:val="outset" w:sz="6" w:space="0" w:color="000000"/>
              <w:right w:val="outset" w:sz="6" w:space="0" w:color="000000"/>
            </w:tcBorders>
            <w:hideMark/>
          </w:tcPr>
          <w:p w:rsidR="00713808" w:rsidRDefault="00713808" w:rsidP="00D3237B">
            <w:pPr>
              <w:spacing w:before="100" w:beforeAutospacing="1" w:after="100" w:afterAutospacing="1" w:line="240" w:lineRule="auto"/>
              <w:rPr>
                <w:sz w:val="24"/>
                <w:szCs w:val="24"/>
                <w:lang w:eastAsia="lv-LV"/>
              </w:rPr>
            </w:pPr>
            <w:r>
              <w:rPr>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right w:val="nil"/>
            </w:tcBorders>
            <w:hideMark/>
          </w:tcPr>
          <w:p w:rsidR="002565B4" w:rsidRPr="00427709" w:rsidRDefault="00713808" w:rsidP="008E24E3">
            <w:pPr>
              <w:pStyle w:val="NoSpacing"/>
              <w:ind w:firstLine="408"/>
              <w:jc w:val="both"/>
              <w:rPr>
                <w:rFonts w:ascii="Times New Roman" w:hAnsi="Times New Roman"/>
                <w:sz w:val="24"/>
                <w:szCs w:val="24"/>
              </w:rPr>
            </w:pPr>
            <w:r w:rsidRPr="00583BEA">
              <w:t xml:space="preserve"> </w:t>
            </w:r>
            <w:r w:rsidR="002565B4" w:rsidRPr="00F4632F">
              <w:t xml:space="preserve"> </w:t>
            </w:r>
            <w:r w:rsidR="00C17C18" w:rsidRPr="00427709">
              <w:rPr>
                <w:rFonts w:ascii="Times New Roman" w:hAnsi="Times New Roman"/>
                <w:sz w:val="24"/>
                <w:szCs w:val="24"/>
              </w:rPr>
              <w:t xml:space="preserve">Ministru kabineta rīkojuma projekts </w:t>
            </w:r>
            <w:r w:rsidR="00892E1C">
              <w:rPr>
                <w:rFonts w:ascii="Times New Roman" w:hAnsi="Times New Roman"/>
                <w:sz w:val="24"/>
                <w:szCs w:val="24"/>
              </w:rPr>
              <w:t>„</w:t>
            </w:r>
            <w:r w:rsidR="00892E1C" w:rsidRPr="00892E1C">
              <w:rPr>
                <w:rFonts w:ascii="Times New Roman" w:hAnsi="Times New Roman"/>
                <w:sz w:val="24"/>
                <w:szCs w:val="24"/>
              </w:rPr>
              <w:t>Par atļauju izbeigt līdzdalību un uzsākt reorganizāciju</w:t>
            </w:r>
            <w:r w:rsidR="00C17C18" w:rsidRPr="00427709">
              <w:rPr>
                <w:rFonts w:ascii="Times New Roman" w:hAnsi="Times New Roman"/>
                <w:sz w:val="24"/>
                <w:szCs w:val="24"/>
              </w:rPr>
              <w:t xml:space="preserve">” (turpmāk - rīkojuma projekts) sagatavots, lai saskaņā ar </w:t>
            </w:r>
            <w:r w:rsidR="00252B90" w:rsidRPr="00427709">
              <w:rPr>
                <w:rFonts w:ascii="Times New Roman" w:hAnsi="Times New Roman"/>
                <w:sz w:val="24"/>
                <w:szCs w:val="24"/>
              </w:rPr>
              <w:t>P</w:t>
            </w:r>
            <w:r w:rsidR="00C17C18" w:rsidRPr="00427709">
              <w:rPr>
                <w:rFonts w:ascii="Times New Roman" w:hAnsi="Times New Roman"/>
                <w:sz w:val="24"/>
                <w:szCs w:val="24"/>
              </w:rPr>
              <w:t xml:space="preserve">ārvaldības likuma 9.panta otro un ceturto daļu un 118.panta otro daļu atļautu </w:t>
            </w:r>
            <w:r w:rsidR="002F4177">
              <w:rPr>
                <w:rFonts w:ascii="Times New Roman" w:hAnsi="Times New Roman"/>
                <w:sz w:val="24"/>
                <w:szCs w:val="24"/>
              </w:rPr>
              <w:t xml:space="preserve">VNĪ </w:t>
            </w:r>
            <w:r w:rsidR="009105A3" w:rsidRPr="00427709">
              <w:rPr>
                <w:rFonts w:ascii="Times New Roman" w:hAnsi="Times New Roman"/>
                <w:sz w:val="24"/>
                <w:szCs w:val="24"/>
              </w:rPr>
              <w:t xml:space="preserve">izbeigt </w:t>
            </w:r>
            <w:r w:rsidR="003B55E0" w:rsidRPr="003B55E0">
              <w:rPr>
                <w:rFonts w:ascii="Times New Roman" w:hAnsi="Times New Roman"/>
                <w:sz w:val="24"/>
                <w:szCs w:val="24"/>
              </w:rPr>
              <w:t xml:space="preserve">līdzdalību </w:t>
            </w:r>
            <w:r w:rsidR="00DA754F">
              <w:rPr>
                <w:rFonts w:ascii="Times New Roman" w:hAnsi="Times New Roman"/>
                <w:sz w:val="24"/>
                <w:szCs w:val="24"/>
              </w:rPr>
              <w:t xml:space="preserve">BCE </w:t>
            </w:r>
            <w:r w:rsidR="003B55E0" w:rsidRPr="003B55E0">
              <w:rPr>
                <w:rFonts w:ascii="Times New Roman" w:hAnsi="Times New Roman"/>
                <w:sz w:val="24"/>
                <w:szCs w:val="24"/>
              </w:rPr>
              <w:t xml:space="preserve">un uzsākt </w:t>
            </w:r>
            <w:r w:rsidR="002F4177">
              <w:rPr>
                <w:rFonts w:ascii="Times New Roman" w:hAnsi="Times New Roman"/>
                <w:sz w:val="24"/>
                <w:szCs w:val="24"/>
              </w:rPr>
              <w:t xml:space="preserve">VNĪ </w:t>
            </w:r>
            <w:r w:rsidR="003B55E0" w:rsidRPr="003B55E0">
              <w:rPr>
                <w:rFonts w:ascii="Times New Roman" w:hAnsi="Times New Roman"/>
                <w:sz w:val="24"/>
                <w:szCs w:val="24"/>
              </w:rPr>
              <w:t xml:space="preserve">un </w:t>
            </w:r>
            <w:r w:rsidR="00DA754F">
              <w:rPr>
                <w:rFonts w:ascii="Times New Roman" w:hAnsi="Times New Roman"/>
                <w:sz w:val="24"/>
                <w:szCs w:val="24"/>
              </w:rPr>
              <w:t xml:space="preserve">BCE </w:t>
            </w:r>
            <w:r w:rsidR="003B55E0" w:rsidRPr="003B55E0">
              <w:rPr>
                <w:rFonts w:ascii="Times New Roman" w:hAnsi="Times New Roman"/>
                <w:sz w:val="24"/>
                <w:szCs w:val="24"/>
              </w:rPr>
              <w:t xml:space="preserve">reorganizāciju, </w:t>
            </w:r>
            <w:r w:rsidR="00CE394F">
              <w:rPr>
                <w:rFonts w:ascii="Times New Roman" w:hAnsi="Times New Roman"/>
                <w:sz w:val="24"/>
                <w:szCs w:val="24"/>
              </w:rPr>
              <w:t>BCE</w:t>
            </w:r>
            <w:r w:rsidR="00CE394F" w:rsidRPr="003B55E0">
              <w:rPr>
                <w:rFonts w:ascii="Times New Roman" w:hAnsi="Times New Roman"/>
                <w:sz w:val="24"/>
                <w:szCs w:val="24"/>
              </w:rPr>
              <w:t xml:space="preserve"> </w:t>
            </w:r>
            <w:r w:rsidR="003B55E0" w:rsidRPr="003B55E0">
              <w:rPr>
                <w:rFonts w:ascii="Times New Roman" w:hAnsi="Times New Roman"/>
                <w:sz w:val="24"/>
                <w:szCs w:val="24"/>
              </w:rPr>
              <w:t xml:space="preserve">pievienojot </w:t>
            </w:r>
            <w:r w:rsidR="002F4177">
              <w:rPr>
                <w:rFonts w:ascii="Times New Roman" w:hAnsi="Times New Roman"/>
                <w:sz w:val="24"/>
                <w:szCs w:val="24"/>
              </w:rPr>
              <w:t>VNĪ.</w:t>
            </w:r>
          </w:p>
          <w:p w:rsidR="00DA754F" w:rsidRDefault="00DA754F" w:rsidP="003B55E0">
            <w:pPr>
              <w:pStyle w:val="BodyText2"/>
              <w:spacing w:before="120" w:line="240" w:lineRule="auto"/>
              <w:ind w:firstLine="401"/>
              <w:jc w:val="both"/>
            </w:pPr>
            <w:r>
              <w:t>BCE</w:t>
            </w:r>
            <w:r w:rsidR="003B55E0">
              <w:t xml:space="preserve"> tika dibināta 2008. gada 12. jūnijā ar mērķi uzbūvēt un apsaimniekot biroju ēkas, kas piemērotas Valsts ieņēmumu dienesta (turpmāk – VID) centrālā aparāta struktūrvienību un citu valsts iestāžu (institūciju) vajadzībām. BCE pamatkapitāls ir 14 454 570 EUR (četrpadsmit miljoni četri simti piecdesmit četri tūkstoši pieci simti septiņdesmit </w:t>
            </w:r>
            <w:r w:rsidR="003B55E0" w:rsidRPr="002F4177">
              <w:rPr>
                <w:i/>
              </w:rPr>
              <w:t>euro</w:t>
            </w:r>
            <w:r w:rsidR="003B55E0">
              <w:t xml:space="preserve">), kas sadalīts 14 454 570 kapitāla daļās, ar vienas kapitāla daļas nominālvērtību 1 EUR (viens </w:t>
            </w:r>
            <w:r w:rsidR="003B55E0" w:rsidRPr="002F4177">
              <w:rPr>
                <w:i/>
              </w:rPr>
              <w:t>euro</w:t>
            </w:r>
            <w:r w:rsidR="003B55E0">
              <w:t>). BCE galvenais aktīvs ir nekustamais īpašums</w:t>
            </w:r>
            <w:r w:rsidR="002F4177">
              <w:t xml:space="preserve"> (nekustamā īpašuma kadastra Nr. 0100 085 2143)</w:t>
            </w:r>
            <w:r w:rsidR="003B55E0">
              <w:t xml:space="preserve"> Talejas ielā 1, Rīgā, kura sastāvā ietilpst zeme ar kopējo platību 32 840 m² un biroja ēka ar kopējo platību 44 798,4 m² </w:t>
            </w:r>
            <w:r w:rsidR="000D5ED2">
              <w:t>(turpmāk – Nekustamais īpašums)</w:t>
            </w:r>
            <w:r w:rsidR="003B55E0">
              <w:t xml:space="preserve"> ar tajā esošo aprīkojumu, kas pamatā ir būvēta VID vajadzībām. Nekustamajā īpašumā ir izvietots arī Valsts vienots klientu apkalpošanas centrs, kurā pakalpojumus sniedz arī Valsts sociālās apdrošināšanas aģentūra, Valsts darba inspekcija, Nodarbinātības valsts aģentūra.</w:t>
            </w:r>
            <w:r>
              <w:t xml:space="preserve"> </w:t>
            </w:r>
          </w:p>
          <w:p w:rsidR="003B55E0" w:rsidRDefault="00DA754F" w:rsidP="003B55E0">
            <w:pPr>
              <w:pStyle w:val="BodyText2"/>
              <w:spacing w:before="120" w:line="240" w:lineRule="auto"/>
              <w:ind w:firstLine="401"/>
              <w:jc w:val="both"/>
            </w:pPr>
            <w:r w:rsidRPr="00DA754F">
              <w:t xml:space="preserve">BCE īpašumā un pārvaldīšanā uz 2016. gada 1. aprīli ir </w:t>
            </w:r>
            <w:r w:rsidR="00C21937">
              <w:t>Nekustamais īpašums</w:t>
            </w:r>
            <w:r w:rsidR="00C21937" w:rsidRPr="00DA754F">
              <w:t xml:space="preserve"> </w:t>
            </w:r>
            <w:r w:rsidR="00C21937">
              <w:t xml:space="preserve">un </w:t>
            </w:r>
            <w:r w:rsidRPr="00DA754F">
              <w:t>nekustamais īpašums</w:t>
            </w:r>
            <w:r w:rsidR="00894157">
              <w:t xml:space="preserve"> (nekustamā īpašuma kadastra Nr. 0100 085 2142)</w:t>
            </w:r>
            <w:r w:rsidRPr="00DA754F">
              <w:t xml:space="preserve"> Kadagas ielā </w:t>
            </w:r>
            <w:r w:rsidR="000D5ED2">
              <w:t>1, Rīgā</w:t>
            </w:r>
            <w:r w:rsidR="009B1C5A">
              <w:t>,</w:t>
            </w:r>
            <w:r w:rsidR="00894157">
              <w:t xml:space="preserve"> kura sastāvā ietilpst zeme ar kopējo platību </w:t>
            </w:r>
            <w:r w:rsidR="00F74815">
              <w:t>611 m</w:t>
            </w:r>
            <w:r w:rsidR="00F74815" w:rsidRPr="00F74815">
              <w:rPr>
                <w:vertAlign w:val="superscript"/>
              </w:rPr>
              <w:t>2</w:t>
            </w:r>
            <w:r w:rsidR="00F74815">
              <w:t>.</w:t>
            </w:r>
            <w:r w:rsidR="009B1C5A">
              <w:t xml:space="preserve"> </w:t>
            </w:r>
            <w:r w:rsidR="00F74815">
              <w:t>To</w:t>
            </w:r>
            <w:r w:rsidR="009B1C5A">
              <w:t xml:space="preserve"> pārvaldīšanā nav nepieciešams veikt specifiskas pārvaldīšanas darbības, kas būtiski atšķirtos no VNĪ pārvaldīšanā esošo nekustamo īpašumu pārvaldīšanas darbībām.</w:t>
            </w:r>
            <w:r w:rsidR="001C720D">
              <w:t xml:space="preserve"> </w:t>
            </w:r>
            <w:r w:rsidR="001C720D" w:rsidRPr="001C720D">
              <w:t>Nekustamā īpašuma un nekustamā īpašuma Kadagas ielā 1, Rīgā, pārvaldīšana šobrīd ir BCE vienīgais saimnieciskās darbības virziens.</w:t>
            </w:r>
          </w:p>
          <w:p w:rsidR="001C720D" w:rsidRDefault="001C720D" w:rsidP="000D06A6">
            <w:pPr>
              <w:pStyle w:val="BodyText2"/>
              <w:spacing w:before="120" w:line="240" w:lineRule="auto"/>
              <w:ind w:firstLine="401"/>
              <w:jc w:val="both"/>
            </w:pPr>
            <w:r w:rsidRPr="001C720D">
              <w:t xml:space="preserve">Pārvaldības likuma 7.pantā noteikts, ka publiskai personai ir pienākums ne retāk kā reizi piecos gados pārvērtēt katru tās tiešo līdzdalību kapitālsabiedrībā un atbilstību šā likuma 4.panta </w:t>
            </w:r>
            <w:r w:rsidRPr="001C720D">
              <w:lastRenderedPageBreak/>
              <w:t xml:space="preserve">nosacījumiem. Lai gan Pārvaldības likuma 7.pantā noteiktais pienākums pārvērtēt tiešo līdzdalību kapitālsabiedrībā ir noteikts publiskai personai, VNĪ, ievērojot labas korporatīvās pārvaldības principus </w:t>
            </w:r>
            <w:r>
              <w:t xml:space="preserve">un </w:t>
            </w:r>
            <w:r w:rsidRPr="001C720D">
              <w:t>ievērojot Pārvald</w:t>
            </w:r>
            <w:r>
              <w:t>ības likuma 4.panta nosacījumus</w:t>
            </w:r>
            <w:r w:rsidRPr="001C720D">
              <w:t>, ir vērtējusi lietderību turpināt BCE darbību</w:t>
            </w:r>
            <w:r>
              <w:t xml:space="preserve">, kā arī </w:t>
            </w:r>
            <w:r w:rsidRPr="001C720D">
              <w:t>BCE darbības izbeigšan</w:t>
            </w:r>
            <w:r>
              <w:t>u</w:t>
            </w:r>
            <w:r w:rsidRPr="001C720D">
              <w:t>, reorganizējot vai likvidējot to</w:t>
            </w:r>
            <w:r>
              <w:t>.</w:t>
            </w:r>
            <w:r w:rsidRPr="001C720D">
              <w:t xml:space="preserve"> </w:t>
            </w:r>
          </w:p>
          <w:p w:rsidR="008E24E3" w:rsidRPr="008E24E3" w:rsidRDefault="00721CD4" w:rsidP="008E24E3">
            <w:pPr>
              <w:pStyle w:val="NoSpacing"/>
              <w:ind w:firstLine="379"/>
              <w:jc w:val="both"/>
              <w:rPr>
                <w:rFonts w:ascii="Times New Roman" w:hAnsi="Times New Roman"/>
                <w:sz w:val="24"/>
                <w:szCs w:val="24"/>
              </w:rPr>
            </w:pPr>
            <w:r>
              <w:rPr>
                <w:rFonts w:ascii="Times New Roman" w:hAnsi="Times New Roman"/>
                <w:sz w:val="24"/>
                <w:szCs w:val="24"/>
              </w:rPr>
              <w:t>Veicot i</w:t>
            </w:r>
            <w:r w:rsidR="008E24E3" w:rsidRPr="008E24E3">
              <w:rPr>
                <w:rFonts w:ascii="Times New Roman" w:hAnsi="Times New Roman"/>
                <w:sz w:val="24"/>
                <w:szCs w:val="24"/>
              </w:rPr>
              <w:t>zvērtējum</w:t>
            </w:r>
            <w:r>
              <w:rPr>
                <w:rFonts w:ascii="Times New Roman" w:hAnsi="Times New Roman"/>
                <w:sz w:val="24"/>
                <w:szCs w:val="24"/>
              </w:rPr>
              <w:t>u,</w:t>
            </w:r>
            <w:r w:rsidR="008E24E3" w:rsidRPr="008E24E3">
              <w:rPr>
                <w:rFonts w:ascii="Times New Roman" w:hAnsi="Times New Roman"/>
                <w:sz w:val="24"/>
                <w:szCs w:val="24"/>
              </w:rPr>
              <w:t xml:space="preserve"> izdar</w:t>
            </w:r>
            <w:r w:rsidR="008E24E3">
              <w:rPr>
                <w:rFonts w:ascii="Times New Roman" w:hAnsi="Times New Roman"/>
                <w:sz w:val="24"/>
                <w:szCs w:val="24"/>
              </w:rPr>
              <w:t>īti</w:t>
            </w:r>
            <w:r w:rsidR="008E24E3" w:rsidRPr="008E24E3">
              <w:rPr>
                <w:rFonts w:ascii="Times New Roman" w:hAnsi="Times New Roman"/>
                <w:sz w:val="24"/>
                <w:szCs w:val="24"/>
              </w:rPr>
              <w:t xml:space="preserve"> šādi </w:t>
            </w:r>
            <w:r w:rsidR="000D06A6">
              <w:rPr>
                <w:rFonts w:ascii="Times New Roman" w:hAnsi="Times New Roman"/>
                <w:sz w:val="24"/>
                <w:szCs w:val="24"/>
              </w:rPr>
              <w:t xml:space="preserve"> galvenie </w:t>
            </w:r>
            <w:r w:rsidR="008E24E3" w:rsidRPr="008E24E3">
              <w:rPr>
                <w:rFonts w:ascii="Times New Roman" w:hAnsi="Times New Roman"/>
                <w:sz w:val="24"/>
                <w:szCs w:val="24"/>
              </w:rPr>
              <w:t>secinājumi:</w:t>
            </w:r>
          </w:p>
          <w:p w:rsidR="008E24E3" w:rsidRPr="008E24E3" w:rsidRDefault="008E24E3" w:rsidP="00C51239">
            <w:pPr>
              <w:pStyle w:val="NoSpacing"/>
              <w:ind w:firstLine="663"/>
              <w:jc w:val="both"/>
              <w:rPr>
                <w:rFonts w:ascii="Times New Roman" w:hAnsi="Times New Roman"/>
                <w:sz w:val="24"/>
                <w:szCs w:val="24"/>
              </w:rPr>
            </w:pPr>
            <w:r w:rsidRPr="008E24E3">
              <w:rPr>
                <w:rFonts w:ascii="Times New Roman" w:hAnsi="Times New Roman"/>
                <w:sz w:val="24"/>
                <w:szCs w:val="24"/>
              </w:rPr>
              <w:t>1.</w:t>
            </w:r>
            <w:r w:rsidRPr="008E24E3">
              <w:rPr>
                <w:rFonts w:ascii="Times New Roman" w:hAnsi="Times New Roman"/>
                <w:sz w:val="24"/>
                <w:szCs w:val="24"/>
              </w:rPr>
              <w:tab/>
              <w:t xml:space="preserve">BCE galvenais saimnieciskās darbības veids ir Nekustamā īpašuma, kuru </w:t>
            </w:r>
            <w:r w:rsidR="00147D9B">
              <w:rPr>
                <w:rFonts w:ascii="Times New Roman" w:hAnsi="Times New Roman"/>
                <w:sz w:val="24"/>
                <w:szCs w:val="24"/>
              </w:rPr>
              <w:t>lieto</w:t>
            </w:r>
            <w:r w:rsidR="00147D9B" w:rsidRPr="008E24E3">
              <w:rPr>
                <w:rFonts w:ascii="Times New Roman" w:hAnsi="Times New Roman"/>
                <w:sz w:val="24"/>
                <w:szCs w:val="24"/>
              </w:rPr>
              <w:t xml:space="preserve"> </w:t>
            </w:r>
            <w:r w:rsidRPr="008E24E3">
              <w:rPr>
                <w:rFonts w:ascii="Times New Roman" w:hAnsi="Times New Roman"/>
                <w:sz w:val="24"/>
                <w:szCs w:val="24"/>
              </w:rPr>
              <w:t>VID, Valsts sociālās apdrošināšanas aģe</w:t>
            </w:r>
            <w:r w:rsidR="008E7F62">
              <w:rPr>
                <w:rFonts w:ascii="Times New Roman" w:hAnsi="Times New Roman"/>
                <w:sz w:val="24"/>
                <w:szCs w:val="24"/>
              </w:rPr>
              <w:t>ntūra, Valsts darba inspekcija</w:t>
            </w:r>
            <w:r w:rsidR="00455FF7">
              <w:rPr>
                <w:rFonts w:ascii="Times New Roman" w:hAnsi="Times New Roman"/>
                <w:sz w:val="24"/>
                <w:szCs w:val="24"/>
              </w:rPr>
              <w:t xml:space="preserve"> un</w:t>
            </w:r>
            <w:r w:rsidRPr="008E24E3">
              <w:rPr>
                <w:rFonts w:ascii="Times New Roman" w:hAnsi="Times New Roman"/>
                <w:sz w:val="24"/>
                <w:szCs w:val="24"/>
              </w:rPr>
              <w:t xml:space="preserve"> Nodarbinātības valsts aģentūra, pārvaldīšana</w:t>
            </w:r>
            <w:r w:rsidR="001C720D">
              <w:rPr>
                <w:rFonts w:ascii="Times New Roman" w:hAnsi="Times New Roman"/>
                <w:sz w:val="24"/>
                <w:szCs w:val="24"/>
              </w:rPr>
              <w:t>.</w:t>
            </w:r>
            <w:r w:rsidR="001C720D" w:rsidRPr="008E24E3">
              <w:rPr>
                <w:rFonts w:ascii="Times New Roman" w:hAnsi="Times New Roman"/>
                <w:sz w:val="24"/>
                <w:szCs w:val="24"/>
              </w:rPr>
              <w:t xml:space="preserve"> </w:t>
            </w:r>
          </w:p>
          <w:p w:rsidR="00EE00C1" w:rsidRPr="008E24E3" w:rsidRDefault="00EE00C1" w:rsidP="00C51239">
            <w:pPr>
              <w:pStyle w:val="NoSpacing"/>
              <w:ind w:firstLine="663"/>
              <w:jc w:val="both"/>
              <w:rPr>
                <w:rFonts w:ascii="Times New Roman" w:hAnsi="Times New Roman"/>
                <w:sz w:val="24"/>
                <w:szCs w:val="24"/>
              </w:rPr>
            </w:pPr>
            <w:r>
              <w:rPr>
                <w:rFonts w:ascii="Times New Roman" w:hAnsi="Times New Roman"/>
                <w:sz w:val="24"/>
                <w:szCs w:val="24"/>
              </w:rPr>
              <w:t xml:space="preserve">2. </w:t>
            </w:r>
            <w:r w:rsidRPr="00EE00C1">
              <w:rPr>
                <w:rFonts w:ascii="Times New Roman" w:hAnsi="Times New Roman"/>
                <w:sz w:val="24"/>
                <w:szCs w:val="24"/>
              </w:rPr>
              <w:t>BCE darbība atbilst Valsts pārvaldes iekārtas likuma 88. panta pirmās daļas nosacījumiem</w:t>
            </w:r>
            <w:r w:rsidR="006946F3">
              <w:rPr>
                <w:rFonts w:ascii="Times New Roman" w:hAnsi="Times New Roman"/>
                <w:sz w:val="24"/>
                <w:szCs w:val="24"/>
              </w:rPr>
              <w:t xml:space="preserve"> </w:t>
            </w:r>
            <w:r w:rsidRPr="00EE00C1">
              <w:rPr>
                <w:rFonts w:ascii="Times New Roman" w:hAnsi="Times New Roman"/>
                <w:sz w:val="24"/>
                <w:szCs w:val="24"/>
              </w:rPr>
              <w:t>– tā pārvalda Nekustamo īpašumu, kas ir stratēģiski svarīgs valsts un pašvaldības administratīvās teritorijas attīstībai un valsts drošībai. Nekustamajā īpašumā tiek nodrošināta valstij būtiska valsts pārvaldes funkcija - nodokļu maksājumu un nodokļu maksātāju uzskaite, valsts nodokļu, nodevu un citu valsts noteikto obligāto maksājumu iekasēšana Latvijas Republikas teritorijā, kā arī tiek iekasēti nodokļi, nodevas un citi obligātie maksājumi Eiropas Savienības budžetam, īstenota muitas politika un kārtotas muitas lietas. Maksājumu iekasēšana ir būtiska tālākai valsts attīstībai, turklāt muitas politikas īstenošana ir būtiska valsts drošībai, ņemot vērā apstākli, ka preču pārvietošanas kārtības uzturēšana pie ārējās valsts robežas, pierobežā un robežšķērsošanas vietās, ir daļa no nacionālās drošības sistēmas. Nekustamajā īpašumā ir izvietots Valsts vienots klientu apkalpošanas centrs, kurā pakalpojumus sniedz arī Valsts sociālās apdrošināšanas aģentūra, Valsts darba inspekcija, Nodarbinātības valsts aģentūra. Saskaņā ar Ministru kabineta 2013.gada 19.februāra rīkojumu „Par Koncepciju par publisko pakalpojumu sistēmas pilnveidi” atbalstītajā koncepcijā norādīto,  uzlabojot klātienes pakalpojumu sniegšanas organizāciju, tiek sasniegts ieguldījums publisko pakalpojumu sistēmas pilnveides mērķa sasniegšanā - iedzīvotāju, uzņēmēju un citu pakalpojumu saņēmēju vajadzībām atbilstošu pakalpojumu izveide un to sniegšanas organizēšana, vienlaikus samazinot administratīvo slogu, uzlabojot uzņēmējdarbības vidi, nodrošinot pakalpojumu pieejamību un veicinot efektīvāku valsts pārvaldi.</w:t>
            </w:r>
            <w:r w:rsidR="00721CD4">
              <w:rPr>
                <w:rFonts w:ascii="Times New Roman" w:hAnsi="Times New Roman"/>
                <w:sz w:val="24"/>
                <w:szCs w:val="24"/>
              </w:rPr>
              <w:t xml:space="preserve"> </w:t>
            </w:r>
          </w:p>
          <w:p w:rsidR="000D06A6" w:rsidRDefault="008E24E3" w:rsidP="00C51239">
            <w:pPr>
              <w:pStyle w:val="NoSpacing"/>
              <w:ind w:firstLine="663"/>
              <w:jc w:val="both"/>
              <w:rPr>
                <w:rFonts w:ascii="Times New Roman" w:hAnsi="Times New Roman"/>
                <w:sz w:val="24"/>
                <w:szCs w:val="24"/>
              </w:rPr>
            </w:pPr>
            <w:r w:rsidRPr="008E24E3">
              <w:rPr>
                <w:rFonts w:ascii="Times New Roman" w:hAnsi="Times New Roman"/>
                <w:sz w:val="24"/>
                <w:szCs w:val="24"/>
              </w:rPr>
              <w:t>3.</w:t>
            </w:r>
            <w:r w:rsidRPr="008E24E3">
              <w:rPr>
                <w:rFonts w:ascii="Times New Roman" w:hAnsi="Times New Roman"/>
                <w:sz w:val="24"/>
                <w:szCs w:val="24"/>
              </w:rPr>
              <w:tab/>
              <w:t xml:space="preserve">BCE un VNĪ darbības mērķi ir līdzīgi </w:t>
            </w:r>
            <w:r w:rsidR="000D06A6" w:rsidRPr="000D06A6">
              <w:rPr>
                <w:rFonts w:ascii="Times New Roman" w:hAnsi="Times New Roman"/>
                <w:sz w:val="24"/>
                <w:szCs w:val="24"/>
              </w:rPr>
              <w:t>– nodrošināt valsts attīstībai un pašvaldību administratīvās teritorijas attīstībai un valsts drošībai būtisku nekustamo īpašumu pārvaldīšanu, atbrīvojot valsts iestādes no neraksturīgu funkciju veikšanas un nodrošinot nekustamā īpašuma efektīvu pārvaldīšanu, tai skaitā apsaimniekošanu un attīstību</w:t>
            </w:r>
            <w:r w:rsidR="006946F3">
              <w:rPr>
                <w:rFonts w:ascii="Times New Roman" w:hAnsi="Times New Roman"/>
                <w:sz w:val="24"/>
                <w:szCs w:val="24"/>
              </w:rPr>
              <w:t xml:space="preserve"> - </w:t>
            </w:r>
            <w:r w:rsidR="006946F3">
              <w:t xml:space="preserve"> </w:t>
            </w:r>
            <w:r w:rsidR="006946F3" w:rsidRPr="006946F3">
              <w:rPr>
                <w:rFonts w:ascii="Times New Roman" w:hAnsi="Times New Roman"/>
                <w:sz w:val="24"/>
                <w:szCs w:val="24"/>
              </w:rPr>
              <w:t>un līdzdalība tieši nodrošina publiskas personas kapitālsabiedrības vispārējo stratēģisko mērķu un vidēja termiņa darbības stratēģijā noteikto mērķu sasniegšanu.</w:t>
            </w:r>
          </w:p>
          <w:p w:rsidR="00355FBA" w:rsidRDefault="006946F3" w:rsidP="00C51239">
            <w:pPr>
              <w:pStyle w:val="NoSpacing"/>
              <w:ind w:firstLine="663"/>
              <w:jc w:val="both"/>
              <w:rPr>
                <w:rFonts w:ascii="Times New Roman" w:hAnsi="Times New Roman"/>
                <w:sz w:val="24"/>
                <w:szCs w:val="24"/>
              </w:rPr>
            </w:pPr>
            <w:r>
              <w:rPr>
                <w:rFonts w:ascii="Times New Roman" w:hAnsi="Times New Roman"/>
                <w:sz w:val="24"/>
                <w:szCs w:val="24"/>
              </w:rPr>
              <w:t xml:space="preserve">4. </w:t>
            </w:r>
            <w:r w:rsidRPr="006946F3">
              <w:rPr>
                <w:rFonts w:ascii="Times New Roman" w:hAnsi="Times New Roman"/>
                <w:sz w:val="24"/>
                <w:szCs w:val="24"/>
              </w:rPr>
              <w:t>Lai gan BCE darbība atbilst Pārvaldības likuma 4.panta otrās daļas nosacījum</w:t>
            </w:r>
            <w:r>
              <w:rPr>
                <w:rFonts w:ascii="Times New Roman" w:hAnsi="Times New Roman"/>
                <w:sz w:val="24"/>
                <w:szCs w:val="24"/>
              </w:rPr>
              <w:t>ie</w:t>
            </w:r>
            <w:r w:rsidRPr="006946F3">
              <w:rPr>
                <w:rFonts w:ascii="Times New Roman" w:hAnsi="Times New Roman"/>
                <w:sz w:val="24"/>
                <w:szCs w:val="24"/>
              </w:rPr>
              <w:t>m, t.i.</w:t>
            </w:r>
            <w:r w:rsidR="00F20621">
              <w:rPr>
                <w:rFonts w:ascii="Times New Roman" w:hAnsi="Times New Roman"/>
                <w:sz w:val="24"/>
                <w:szCs w:val="24"/>
              </w:rPr>
              <w:t>,</w:t>
            </w:r>
            <w:r w:rsidRPr="006946F3">
              <w:rPr>
                <w:rFonts w:ascii="Times New Roman" w:hAnsi="Times New Roman"/>
                <w:sz w:val="24"/>
                <w:szCs w:val="24"/>
              </w:rPr>
              <w:t xml:space="preserve"> BCE darbība atbilst Valsts pārvaldes iekārtas likuma 88. panta pirmās daļas 3. punkta nosacījumiem un VNĪ līdzdalība BCE tieši nodrošina VNĪ vispārējo stratēģisko mērķu un vidēja termiņa darbības stratēģijā noteikto mērķu sasniegšanu, tomēr </w:t>
            </w:r>
            <w:r w:rsidRPr="006946F3">
              <w:rPr>
                <w:rFonts w:ascii="Times New Roman" w:hAnsi="Times New Roman"/>
                <w:sz w:val="24"/>
                <w:szCs w:val="24"/>
              </w:rPr>
              <w:lastRenderedPageBreak/>
              <w:t>atbilstoši Pārvaldības likuma 4.panta trešajā daļā noteiktajam vērtējot, vai ar līdzdalību BCE racionāli un ekonomiski pamatoti tiek izmantoti finanšu resursi, ievērojot labas korporatīvās pārvaldības principus, apzinot BCE nekustamo īpašumu pārvaldīšanas izmaksas un izmaksas, ja šo pakalpojuma kopumu veiktu VNĪ, secināts, ka nav pamata VNĪ saglabāt līdzdalību BCE</w:t>
            </w:r>
            <w:r w:rsidR="00355FBA">
              <w:rPr>
                <w:rFonts w:ascii="Times New Roman" w:hAnsi="Times New Roman"/>
                <w:sz w:val="24"/>
                <w:szCs w:val="24"/>
              </w:rPr>
              <w:t>.</w:t>
            </w:r>
          </w:p>
          <w:p w:rsidR="00355FBA" w:rsidRPr="00355FBA" w:rsidRDefault="00355FBA" w:rsidP="00355FBA">
            <w:pPr>
              <w:pStyle w:val="NoSpacing"/>
              <w:ind w:firstLine="379"/>
              <w:jc w:val="both"/>
              <w:rPr>
                <w:rFonts w:ascii="Times New Roman" w:hAnsi="Times New Roman"/>
                <w:sz w:val="24"/>
                <w:szCs w:val="24"/>
              </w:rPr>
            </w:pPr>
            <w:r w:rsidRPr="00355FBA">
              <w:rPr>
                <w:rFonts w:ascii="Times New Roman" w:hAnsi="Times New Roman"/>
                <w:sz w:val="24"/>
                <w:szCs w:val="24"/>
              </w:rPr>
              <w:t xml:space="preserve">Analizējot BCE izmaksu struktūru, VNĪ </w:t>
            </w:r>
            <w:r w:rsidR="00D17FC0">
              <w:rPr>
                <w:rFonts w:ascii="Times New Roman" w:hAnsi="Times New Roman"/>
                <w:sz w:val="24"/>
                <w:szCs w:val="24"/>
              </w:rPr>
              <w:t>prognozē</w:t>
            </w:r>
            <w:r w:rsidRPr="00355FBA">
              <w:rPr>
                <w:rFonts w:ascii="Times New Roman" w:hAnsi="Times New Roman"/>
                <w:sz w:val="24"/>
                <w:szCs w:val="24"/>
              </w:rPr>
              <w:t xml:space="preserve">, ka reorganizējot BCE un iekļaujot BCE pamatdarbību pilnībā VNĪ, būtu iespējams atteikties no </w:t>
            </w:r>
            <w:r w:rsidR="002C673A" w:rsidRPr="00355FBA">
              <w:rPr>
                <w:rFonts w:ascii="Times New Roman" w:hAnsi="Times New Roman"/>
                <w:sz w:val="24"/>
                <w:szCs w:val="24"/>
              </w:rPr>
              <w:t>se</w:t>
            </w:r>
            <w:r w:rsidR="002C673A">
              <w:rPr>
                <w:rFonts w:ascii="Times New Roman" w:hAnsi="Times New Roman"/>
                <w:sz w:val="24"/>
                <w:szCs w:val="24"/>
              </w:rPr>
              <w:t xml:space="preserve">kojošām </w:t>
            </w:r>
            <w:r w:rsidR="00F258F1">
              <w:rPr>
                <w:rFonts w:ascii="Times New Roman" w:hAnsi="Times New Roman"/>
                <w:sz w:val="24"/>
                <w:szCs w:val="24"/>
              </w:rPr>
              <w:t xml:space="preserve">netiešajām </w:t>
            </w:r>
            <w:r>
              <w:rPr>
                <w:rFonts w:ascii="Times New Roman" w:hAnsi="Times New Roman"/>
                <w:sz w:val="24"/>
                <w:szCs w:val="24"/>
              </w:rPr>
              <w:t>izmaksu kategorijām</w:t>
            </w:r>
            <w:r w:rsidR="00F258F1">
              <w:rPr>
                <w:rFonts w:ascii="Times New Roman" w:hAnsi="Times New Roman"/>
                <w:sz w:val="24"/>
                <w:szCs w:val="24"/>
              </w:rPr>
              <w:t>, ko VNĪ nodrošinātu esošo resursu ietvaros</w:t>
            </w:r>
            <w:r>
              <w:rPr>
                <w:rFonts w:ascii="Times New Roman" w:hAnsi="Times New Roman"/>
                <w:sz w:val="24"/>
                <w:szCs w:val="24"/>
              </w:rPr>
              <w:t>:</w:t>
            </w:r>
          </w:p>
          <w:p w:rsidR="00355FBA" w:rsidRPr="00355FBA" w:rsidRDefault="007360BD" w:rsidP="00355FBA">
            <w:pPr>
              <w:pStyle w:val="NoSpacing"/>
              <w:ind w:firstLine="379"/>
              <w:jc w:val="both"/>
              <w:rPr>
                <w:rFonts w:ascii="Times New Roman" w:hAnsi="Times New Roman"/>
                <w:sz w:val="24"/>
                <w:szCs w:val="24"/>
              </w:rPr>
            </w:pPr>
            <w:r>
              <w:rPr>
                <w:rFonts w:ascii="Times New Roman" w:hAnsi="Times New Roman"/>
                <w:sz w:val="24"/>
                <w:szCs w:val="24"/>
              </w:rPr>
              <w:t>-</w:t>
            </w:r>
            <w:r w:rsidR="00355FBA" w:rsidRPr="00355FBA">
              <w:rPr>
                <w:rFonts w:ascii="Times New Roman" w:hAnsi="Times New Roman"/>
                <w:sz w:val="24"/>
                <w:szCs w:val="24"/>
              </w:rPr>
              <w:t xml:space="preserve"> BCE personāla izmaksas: darba algas un darba algas nodokļu izmaksas (98,3 tūkst. EUR/gadā), veselības apdrošināšanas </w:t>
            </w:r>
            <w:r w:rsidR="00355FBA">
              <w:rPr>
                <w:rFonts w:ascii="Times New Roman" w:hAnsi="Times New Roman"/>
                <w:sz w:val="24"/>
                <w:szCs w:val="24"/>
              </w:rPr>
              <w:t>izmaksas (2,4 tūkst. EUR/gadā</w:t>
            </w:r>
            <w:r>
              <w:rPr>
                <w:rFonts w:ascii="Times New Roman" w:hAnsi="Times New Roman"/>
                <w:sz w:val="24"/>
                <w:szCs w:val="24"/>
              </w:rPr>
              <w:t>)</w:t>
            </w:r>
            <w:r w:rsidR="0063532A">
              <w:rPr>
                <w:rFonts w:ascii="Times New Roman" w:hAnsi="Times New Roman"/>
                <w:sz w:val="24"/>
                <w:szCs w:val="24"/>
              </w:rPr>
              <w:t xml:space="preserve"> – šobrīd BCE budžetā ir paredzēts atalgojums valdes priekšsēdētājam, biroja administratorei, ugunsdrošības un civilās aizsardzības tehniķim, VNĪ paredz, ka pēc BCE reorganizācijas un pievienošanas VNĪ iepriekšminētās amata pozīcijas nebūs nepieciešamas un VNĪ spēs nodrošināt operatīvo darbību ar VNĪ esošajiem cilvēkresursiem</w:t>
            </w:r>
            <w:r>
              <w:rPr>
                <w:rFonts w:ascii="Times New Roman" w:hAnsi="Times New Roman"/>
                <w:sz w:val="24"/>
                <w:szCs w:val="24"/>
              </w:rPr>
              <w:t>;</w:t>
            </w:r>
          </w:p>
          <w:p w:rsidR="00355FBA" w:rsidRPr="00355FBA" w:rsidRDefault="007360BD" w:rsidP="00355FBA">
            <w:pPr>
              <w:pStyle w:val="NoSpacing"/>
              <w:ind w:firstLine="379"/>
              <w:jc w:val="both"/>
              <w:rPr>
                <w:rFonts w:ascii="Times New Roman" w:hAnsi="Times New Roman"/>
                <w:sz w:val="24"/>
                <w:szCs w:val="24"/>
              </w:rPr>
            </w:pPr>
            <w:r>
              <w:rPr>
                <w:rFonts w:ascii="Times New Roman" w:hAnsi="Times New Roman"/>
                <w:sz w:val="24"/>
                <w:szCs w:val="24"/>
              </w:rPr>
              <w:t>-</w:t>
            </w:r>
            <w:r w:rsidR="00355FBA" w:rsidRPr="00355FBA">
              <w:rPr>
                <w:rFonts w:ascii="Times New Roman" w:hAnsi="Times New Roman"/>
                <w:sz w:val="24"/>
                <w:szCs w:val="24"/>
              </w:rPr>
              <w:t xml:space="preserve"> BCE ārpakalpojumu izmaksas: grāmatvedības un jurista pakalpojumu i</w:t>
            </w:r>
            <w:r w:rsidR="00355FBA">
              <w:rPr>
                <w:rFonts w:ascii="Times New Roman" w:hAnsi="Times New Roman"/>
                <w:sz w:val="24"/>
                <w:szCs w:val="24"/>
              </w:rPr>
              <w:t>zmaksas (33,5 tūkst. EUR/gadā</w:t>
            </w:r>
            <w:r>
              <w:rPr>
                <w:rFonts w:ascii="Times New Roman" w:hAnsi="Times New Roman"/>
                <w:sz w:val="24"/>
                <w:szCs w:val="24"/>
              </w:rPr>
              <w:t>);</w:t>
            </w:r>
          </w:p>
          <w:p w:rsidR="00355FBA" w:rsidRPr="00355FBA" w:rsidRDefault="007360BD" w:rsidP="00355FBA">
            <w:pPr>
              <w:pStyle w:val="NoSpacing"/>
              <w:ind w:firstLine="379"/>
              <w:jc w:val="both"/>
              <w:rPr>
                <w:rFonts w:ascii="Times New Roman" w:hAnsi="Times New Roman"/>
                <w:sz w:val="24"/>
                <w:szCs w:val="24"/>
              </w:rPr>
            </w:pPr>
            <w:r>
              <w:rPr>
                <w:rFonts w:ascii="Times New Roman" w:hAnsi="Times New Roman"/>
                <w:sz w:val="24"/>
                <w:szCs w:val="24"/>
              </w:rPr>
              <w:t>-</w:t>
            </w:r>
            <w:r w:rsidR="00355FBA" w:rsidRPr="00355FBA">
              <w:rPr>
                <w:rFonts w:ascii="Times New Roman" w:hAnsi="Times New Roman"/>
                <w:sz w:val="24"/>
                <w:szCs w:val="24"/>
              </w:rPr>
              <w:t xml:space="preserve"> BCE profesionālo pakalpojumu izmaksas</w:t>
            </w:r>
            <w:r w:rsidR="00355FBA">
              <w:rPr>
                <w:rFonts w:ascii="Times New Roman" w:hAnsi="Times New Roman"/>
                <w:sz w:val="24"/>
                <w:szCs w:val="24"/>
              </w:rPr>
              <w:t xml:space="preserve">, </w:t>
            </w:r>
            <w:r w:rsidR="00355FBA" w:rsidRPr="00355FBA">
              <w:rPr>
                <w:rFonts w:ascii="Times New Roman" w:hAnsi="Times New Roman"/>
                <w:sz w:val="24"/>
                <w:szCs w:val="24"/>
              </w:rPr>
              <w:t>tai skaitā sabiedrisko attiecību pakalpojumi, IT pakalpojumi, revīzijas pakalpojumi, tehniskās uzraudzības izmaksas u.c. i</w:t>
            </w:r>
            <w:r w:rsidR="00355FBA">
              <w:rPr>
                <w:rFonts w:ascii="Times New Roman" w:hAnsi="Times New Roman"/>
                <w:sz w:val="24"/>
                <w:szCs w:val="24"/>
              </w:rPr>
              <w:t>zmaksas (40,6 tūkst. EUR/gadā</w:t>
            </w:r>
            <w:r>
              <w:rPr>
                <w:rFonts w:ascii="Times New Roman" w:hAnsi="Times New Roman"/>
                <w:sz w:val="24"/>
                <w:szCs w:val="24"/>
              </w:rPr>
              <w:t>);</w:t>
            </w:r>
          </w:p>
          <w:p w:rsidR="005234FB" w:rsidRDefault="007360BD" w:rsidP="00965568">
            <w:pPr>
              <w:pStyle w:val="NoSpacing"/>
              <w:ind w:firstLine="379"/>
              <w:jc w:val="both"/>
              <w:rPr>
                <w:rFonts w:ascii="Times New Roman" w:hAnsi="Times New Roman"/>
                <w:sz w:val="24"/>
                <w:szCs w:val="24"/>
              </w:rPr>
            </w:pPr>
            <w:r>
              <w:rPr>
                <w:rFonts w:ascii="Times New Roman" w:hAnsi="Times New Roman"/>
                <w:sz w:val="24"/>
                <w:szCs w:val="24"/>
              </w:rPr>
              <w:t>-</w:t>
            </w:r>
            <w:r w:rsidR="00355FBA" w:rsidRPr="00355FBA">
              <w:rPr>
                <w:rFonts w:ascii="Times New Roman" w:hAnsi="Times New Roman"/>
                <w:sz w:val="24"/>
                <w:szCs w:val="24"/>
              </w:rPr>
              <w:t xml:space="preserve"> BCE operatīvās darbības nodrošināšanas izmaksas</w:t>
            </w:r>
            <w:r w:rsidR="005234FB">
              <w:rPr>
                <w:rFonts w:ascii="Times New Roman" w:hAnsi="Times New Roman"/>
                <w:sz w:val="24"/>
                <w:szCs w:val="24"/>
              </w:rPr>
              <w:t xml:space="preserve"> </w:t>
            </w:r>
            <w:r w:rsidR="00355FBA">
              <w:rPr>
                <w:rFonts w:ascii="Times New Roman" w:hAnsi="Times New Roman"/>
                <w:sz w:val="24"/>
                <w:szCs w:val="24"/>
              </w:rPr>
              <w:t xml:space="preserve">- </w:t>
            </w:r>
            <w:r w:rsidR="00355FBA" w:rsidRPr="00355FBA">
              <w:rPr>
                <w:rFonts w:ascii="Times New Roman" w:hAnsi="Times New Roman"/>
                <w:sz w:val="24"/>
                <w:szCs w:val="24"/>
              </w:rPr>
              <w:t>biroju un administrācijas izmaksas, tai skaitā biroja noma, stāvvietas, biroja apsaimniekošana un komunālie maksājumi, kancelejas preces, reprezentācijas izmaksas, sakaru pakalpojumi, komandēj</w:t>
            </w:r>
            <w:r w:rsidR="00355FBA">
              <w:rPr>
                <w:rFonts w:ascii="Times New Roman" w:hAnsi="Times New Roman"/>
                <w:sz w:val="24"/>
                <w:szCs w:val="24"/>
              </w:rPr>
              <w:t>um</w:t>
            </w:r>
            <w:r w:rsidR="00355FBA" w:rsidRPr="00355FBA">
              <w:rPr>
                <w:rFonts w:ascii="Times New Roman" w:hAnsi="Times New Roman"/>
                <w:sz w:val="24"/>
                <w:szCs w:val="24"/>
              </w:rPr>
              <w:t>i, transporta izmaksas, apmācības u.c. izmaksas</w:t>
            </w:r>
            <w:r w:rsidR="00355FBA">
              <w:rPr>
                <w:rFonts w:ascii="Times New Roman" w:hAnsi="Times New Roman"/>
                <w:sz w:val="24"/>
                <w:szCs w:val="24"/>
              </w:rPr>
              <w:t xml:space="preserve"> (</w:t>
            </w:r>
            <w:r w:rsidR="00355FBA" w:rsidRPr="00355FBA">
              <w:rPr>
                <w:rFonts w:ascii="Times New Roman" w:hAnsi="Times New Roman"/>
                <w:sz w:val="24"/>
                <w:szCs w:val="24"/>
              </w:rPr>
              <w:t>22,8 tūkst. EUR/gadā</w:t>
            </w:r>
            <w:r w:rsidR="00355FBA">
              <w:rPr>
                <w:rFonts w:ascii="Times New Roman" w:hAnsi="Times New Roman"/>
                <w:sz w:val="24"/>
                <w:szCs w:val="24"/>
              </w:rPr>
              <w:t>)</w:t>
            </w:r>
            <w:r w:rsidR="00355FBA" w:rsidRPr="00355FBA">
              <w:rPr>
                <w:rFonts w:ascii="Times New Roman" w:hAnsi="Times New Roman"/>
                <w:sz w:val="24"/>
                <w:szCs w:val="24"/>
              </w:rPr>
              <w:t>.</w:t>
            </w:r>
          </w:p>
          <w:p w:rsidR="00D17FC0" w:rsidRDefault="00355FBA" w:rsidP="00965568">
            <w:pPr>
              <w:pStyle w:val="NoSpacing"/>
              <w:ind w:firstLine="379"/>
              <w:jc w:val="both"/>
              <w:rPr>
                <w:rFonts w:ascii="Times New Roman" w:hAnsi="Times New Roman"/>
                <w:sz w:val="24"/>
                <w:szCs w:val="24"/>
              </w:rPr>
            </w:pPr>
            <w:r>
              <w:rPr>
                <w:rFonts w:ascii="Times New Roman" w:hAnsi="Times New Roman"/>
                <w:sz w:val="24"/>
                <w:szCs w:val="24"/>
              </w:rPr>
              <w:t xml:space="preserve">Kopējais izmaksu ietaupījums </w:t>
            </w:r>
            <w:r w:rsidRPr="00355FBA">
              <w:rPr>
                <w:rFonts w:ascii="Times New Roman" w:hAnsi="Times New Roman"/>
                <w:sz w:val="24"/>
                <w:szCs w:val="24"/>
              </w:rPr>
              <w:t>pēc BCE reorganizācijas un pievienošanas VNĪ</w:t>
            </w:r>
            <w:r w:rsidR="007360BD">
              <w:rPr>
                <w:rFonts w:ascii="Times New Roman" w:hAnsi="Times New Roman"/>
                <w:sz w:val="24"/>
                <w:szCs w:val="24"/>
              </w:rPr>
              <w:t xml:space="preserve"> ir prognozējams</w:t>
            </w:r>
            <w:r w:rsidRPr="00355FBA">
              <w:rPr>
                <w:rFonts w:ascii="Times New Roman" w:hAnsi="Times New Roman"/>
                <w:sz w:val="24"/>
                <w:szCs w:val="24"/>
              </w:rPr>
              <w:t xml:space="preserve"> </w:t>
            </w:r>
            <w:r w:rsidR="007360BD">
              <w:rPr>
                <w:rFonts w:ascii="Times New Roman" w:hAnsi="Times New Roman"/>
                <w:sz w:val="24"/>
                <w:szCs w:val="24"/>
              </w:rPr>
              <w:t xml:space="preserve">vidēji </w:t>
            </w:r>
            <w:r w:rsidRPr="00355FBA">
              <w:rPr>
                <w:rFonts w:ascii="Times New Roman" w:hAnsi="Times New Roman"/>
                <w:sz w:val="24"/>
                <w:szCs w:val="24"/>
              </w:rPr>
              <w:t>197,7 tūkst. EUR/gadā.</w:t>
            </w:r>
            <w:r w:rsidRPr="006946F3">
              <w:rPr>
                <w:rFonts w:ascii="Times New Roman" w:hAnsi="Times New Roman"/>
                <w:sz w:val="24"/>
                <w:szCs w:val="24"/>
              </w:rPr>
              <w:t xml:space="preserve"> </w:t>
            </w:r>
            <w:r w:rsidR="00D17FC0" w:rsidRPr="00D17FC0">
              <w:rPr>
                <w:rFonts w:ascii="Times New Roman" w:hAnsi="Times New Roman"/>
                <w:sz w:val="24"/>
                <w:szCs w:val="24"/>
              </w:rPr>
              <w:t>Iespējamo izmaksu ietaupījuma aplēsēm VNĪ balstās uz BCE 2016.gada budžetu. Analīzē netiek ņemts vērā, ka BCE faktiskās izmaksas var būtiski vai nebūtiski atšķirties no budžetā paredzētajām.</w:t>
            </w:r>
          </w:p>
          <w:p w:rsidR="00B706A8" w:rsidRPr="00BC68F0" w:rsidRDefault="00B355A0" w:rsidP="00965568">
            <w:pPr>
              <w:pStyle w:val="NoSpacing"/>
              <w:ind w:firstLine="379"/>
              <w:jc w:val="both"/>
              <w:rPr>
                <w:rFonts w:ascii="Times New Roman" w:hAnsi="Times New Roman"/>
                <w:sz w:val="24"/>
                <w:szCs w:val="24"/>
              </w:rPr>
            </w:pPr>
            <w:r w:rsidRPr="00BC68F0">
              <w:rPr>
                <w:rFonts w:ascii="Times New Roman" w:hAnsi="Times New Roman"/>
                <w:sz w:val="24"/>
                <w:szCs w:val="24"/>
              </w:rPr>
              <w:t xml:space="preserve">Reorganizācijas rezultātā VNĪ pārņems BCE ilgtermiņa </w:t>
            </w:r>
            <w:r w:rsidR="00066A59" w:rsidRPr="00BC68F0">
              <w:rPr>
                <w:rFonts w:ascii="Times New Roman" w:hAnsi="Times New Roman"/>
                <w:sz w:val="24"/>
                <w:szCs w:val="24"/>
              </w:rPr>
              <w:t>kredīt</w:t>
            </w:r>
            <w:r w:rsidRPr="00BC68F0">
              <w:rPr>
                <w:rFonts w:ascii="Times New Roman" w:hAnsi="Times New Roman"/>
                <w:sz w:val="24"/>
                <w:szCs w:val="24"/>
              </w:rPr>
              <w:t>saistības 5</w:t>
            </w:r>
            <w:r w:rsidR="00E427D6" w:rsidRPr="00BC68F0">
              <w:rPr>
                <w:rFonts w:ascii="Times New Roman" w:hAnsi="Times New Roman"/>
                <w:sz w:val="24"/>
                <w:szCs w:val="24"/>
              </w:rPr>
              <w:t>1</w:t>
            </w:r>
            <w:r w:rsidRPr="00BC68F0">
              <w:rPr>
                <w:rFonts w:ascii="Times New Roman" w:hAnsi="Times New Roman"/>
                <w:sz w:val="24"/>
                <w:szCs w:val="24"/>
              </w:rPr>
              <w:t>,</w:t>
            </w:r>
            <w:r w:rsidR="00E427D6" w:rsidRPr="00BC68F0">
              <w:rPr>
                <w:rFonts w:ascii="Times New Roman" w:hAnsi="Times New Roman"/>
                <w:sz w:val="24"/>
                <w:szCs w:val="24"/>
              </w:rPr>
              <w:t>6</w:t>
            </w:r>
            <w:r w:rsidRPr="00BC68F0">
              <w:rPr>
                <w:rFonts w:ascii="Times New Roman" w:hAnsi="Times New Roman"/>
                <w:sz w:val="24"/>
                <w:szCs w:val="24"/>
              </w:rPr>
              <w:t xml:space="preserve"> milj. EUR (dati uz 30.06.2016) apmērā un aktīvu, kura naudas plūsma pilnībā nosedz pārņemtās saist</w:t>
            </w:r>
            <w:r w:rsidR="00D475CE" w:rsidRPr="00BC68F0">
              <w:rPr>
                <w:rFonts w:ascii="Times New Roman" w:hAnsi="Times New Roman"/>
                <w:sz w:val="24"/>
                <w:szCs w:val="24"/>
              </w:rPr>
              <w:t xml:space="preserve">ības. </w:t>
            </w:r>
            <w:r w:rsidR="000A62B6" w:rsidRPr="000A62B6">
              <w:rPr>
                <w:rFonts w:ascii="Times New Roman" w:hAnsi="Times New Roman"/>
                <w:sz w:val="24"/>
                <w:szCs w:val="24"/>
              </w:rPr>
              <w:t>VNĪ koncerna saistību seguma rādītājs (DSCR), ņemot vērā VNĪ un BCE 2016.gada 1.pusgada finanšu rezultātus, ir virs 2, kas būtiski pārsniedz minimāli pieļaujamo saistību seguma rādītāju atbilstoši VNĪ un BCE noslēgtajiem aizdevuma līgumiem ar bankām.</w:t>
            </w:r>
          </w:p>
          <w:p w:rsidR="004E53B5" w:rsidRDefault="004E53B5" w:rsidP="00965568">
            <w:pPr>
              <w:pStyle w:val="NoSpacing"/>
              <w:ind w:firstLine="379"/>
              <w:jc w:val="both"/>
              <w:rPr>
                <w:rFonts w:ascii="Times New Roman" w:hAnsi="Times New Roman"/>
                <w:sz w:val="24"/>
                <w:szCs w:val="24"/>
              </w:rPr>
            </w:pPr>
            <w:r w:rsidRPr="000A62B6">
              <w:rPr>
                <w:rFonts w:ascii="Times New Roman" w:hAnsi="Times New Roman"/>
                <w:sz w:val="24"/>
                <w:szCs w:val="24"/>
              </w:rPr>
              <w:t>2016.gada 26.janvārī Ministru kabinets lēma, ka Valsts ieņēmumu dienesta nomas maksas izdevumu segšanai par telpām Talejas ielā 1 2017.gadā un turpmākajos gados no budžeta līdzekļiem  novirzīt 6 413 392 EUR</w:t>
            </w:r>
            <w:r w:rsidRPr="00BC68F0">
              <w:rPr>
                <w:rFonts w:ascii="Times New Roman" w:hAnsi="Times New Roman"/>
                <w:sz w:val="24"/>
                <w:szCs w:val="24"/>
              </w:rPr>
              <w:t xml:space="preserve">, tai skaitā, </w:t>
            </w:r>
            <w:r w:rsidR="00066A59" w:rsidRPr="00BC68F0">
              <w:rPr>
                <w:rFonts w:ascii="Times New Roman" w:hAnsi="Times New Roman"/>
                <w:sz w:val="24"/>
                <w:szCs w:val="24"/>
              </w:rPr>
              <w:t xml:space="preserve">telpu </w:t>
            </w:r>
            <w:r w:rsidRPr="00BC68F0">
              <w:rPr>
                <w:rFonts w:ascii="Times New Roman" w:hAnsi="Times New Roman"/>
                <w:sz w:val="24"/>
                <w:szCs w:val="24"/>
              </w:rPr>
              <w:t>apsaimniekošanai un ilgtermiņa saistību dzēšanai. Jāņem vērā, ka nomas maksu apmērs līguma darbības laikā līdz 2044.gadam var mainīties, jo nomas</w:t>
            </w:r>
            <w:r w:rsidRPr="004E53B5">
              <w:rPr>
                <w:rFonts w:ascii="Times New Roman" w:hAnsi="Times New Roman"/>
                <w:sz w:val="24"/>
                <w:szCs w:val="24"/>
              </w:rPr>
              <w:t xml:space="preserve"> maksa sevī ietver tādus izmaksu posteņus kā nekustamā īpašuma apdrošināšana, nekustamā īpašuma nodoklis un apsaimniekošana, kuru svārstības ilgākā laika periodā šobrīd nav iespējams prognozēt</w:t>
            </w:r>
            <w:r>
              <w:rPr>
                <w:rFonts w:ascii="Times New Roman" w:hAnsi="Times New Roman"/>
                <w:sz w:val="24"/>
                <w:szCs w:val="24"/>
              </w:rPr>
              <w:t>.</w:t>
            </w:r>
            <w:r w:rsidRPr="004E53B5">
              <w:rPr>
                <w:rFonts w:ascii="Times New Roman" w:hAnsi="Times New Roman"/>
                <w:sz w:val="24"/>
                <w:szCs w:val="24"/>
              </w:rPr>
              <w:t xml:space="preserve"> </w:t>
            </w:r>
          </w:p>
          <w:p w:rsidR="0070741B" w:rsidRDefault="0070741B" w:rsidP="00965568">
            <w:pPr>
              <w:pStyle w:val="NoSpacing"/>
              <w:ind w:firstLine="379"/>
              <w:jc w:val="both"/>
              <w:rPr>
                <w:rFonts w:ascii="Times New Roman" w:hAnsi="Times New Roman"/>
                <w:sz w:val="24"/>
                <w:szCs w:val="24"/>
              </w:rPr>
            </w:pPr>
            <w:r w:rsidRPr="00561E96">
              <w:rPr>
                <w:rFonts w:ascii="Times New Roman" w:hAnsi="Times New Roman"/>
                <w:sz w:val="24"/>
                <w:szCs w:val="24"/>
              </w:rPr>
              <w:t xml:space="preserve">Apzinot izmaksas, cik </w:t>
            </w:r>
            <w:r>
              <w:rPr>
                <w:rFonts w:ascii="Times New Roman" w:hAnsi="Times New Roman"/>
                <w:sz w:val="24"/>
                <w:szCs w:val="24"/>
              </w:rPr>
              <w:t xml:space="preserve">BCE izmaksā </w:t>
            </w:r>
            <w:r w:rsidR="00147D9B">
              <w:rPr>
                <w:rFonts w:ascii="Times New Roman" w:hAnsi="Times New Roman"/>
                <w:sz w:val="24"/>
                <w:szCs w:val="24"/>
              </w:rPr>
              <w:t>n</w:t>
            </w:r>
            <w:r w:rsidRPr="00561E96">
              <w:rPr>
                <w:rFonts w:ascii="Times New Roman" w:hAnsi="Times New Roman"/>
                <w:sz w:val="24"/>
                <w:szCs w:val="24"/>
              </w:rPr>
              <w:t>ekustam</w:t>
            </w:r>
            <w:r w:rsidR="00147D9B">
              <w:rPr>
                <w:rFonts w:ascii="Times New Roman" w:hAnsi="Times New Roman"/>
                <w:sz w:val="24"/>
                <w:szCs w:val="24"/>
              </w:rPr>
              <w:t>o</w:t>
            </w:r>
            <w:r w:rsidRPr="00561E96">
              <w:rPr>
                <w:rFonts w:ascii="Times New Roman" w:hAnsi="Times New Roman"/>
                <w:sz w:val="24"/>
                <w:szCs w:val="24"/>
              </w:rPr>
              <w:t xml:space="preserve"> īpašumu </w:t>
            </w:r>
            <w:r w:rsidRPr="00561E96">
              <w:rPr>
                <w:rFonts w:ascii="Times New Roman" w:hAnsi="Times New Roman"/>
                <w:sz w:val="24"/>
                <w:szCs w:val="24"/>
              </w:rPr>
              <w:lastRenderedPageBreak/>
              <w:t xml:space="preserve">pārvaldīšana </w:t>
            </w:r>
            <w:r>
              <w:rPr>
                <w:rFonts w:ascii="Times New Roman" w:hAnsi="Times New Roman"/>
                <w:sz w:val="24"/>
                <w:szCs w:val="24"/>
              </w:rPr>
              <w:t>un cik tas maksātu, ja š</w:t>
            </w:r>
            <w:r w:rsidR="00147D9B">
              <w:rPr>
                <w:rFonts w:ascii="Times New Roman" w:hAnsi="Times New Roman"/>
                <w:sz w:val="24"/>
                <w:szCs w:val="24"/>
              </w:rPr>
              <w:t>o</w:t>
            </w:r>
            <w:r>
              <w:rPr>
                <w:rFonts w:ascii="Times New Roman" w:hAnsi="Times New Roman"/>
                <w:sz w:val="24"/>
                <w:szCs w:val="24"/>
              </w:rPr>
              <w:t xml:space="preserve"> pašu </w:t>
            </w:r>
            <w:r w:rsidR="00147D9B">
              <w:rPr>
                <w:rFonts w:ascii="Times New Roman" w:hAnsi="Times New Roman"/>
                <w:sz w:val="24"/>
                <w:szCs w:val="24"/>
              </w:rPr>
              <w:t>n</w:t>
            </w:r>
            <w:r>
              <w:rPr>
                <w:rFonts w:ascii="Times New Roman" w:hAnsi="Times New Roman"/>
                <w:sz w:val="24"/>
                <w:szCs w:val="24"/>
              </w:rPr>
              <w:t>ekustam</w:t>
            </w:r>
            <w:r w:rsidR="00147D9B">
              <w:rPr>
                <w:rFonts w:ascii="Times New Roman" w:hAnsi="Times New Roman"/>
                <w:sz w:val="24"/>
                <w:szCs w:val="24"/>
              </w:rPr>
              <w:t>o</w:t>
            </w:r>
            <w:r>
              <w:rPr>
                <w:rFonts w:ascii="Times New Roman" w:hAnsi="Times New Roman"/>
                <w:sz w:val="24"/>
                <w:szCs w:val="24"/>
              </w:rPr>
              <w:t xml:space="preserve"> īpašum</w:t>
            </w:r>
            <w:r w:rsidR="00147D9B">
              <w:rPr>
                <w:rFonts w:ascii="Times New Roman" w:hAnsi="Times New Roman"/>
                <w:sz w:val="24"/>
                <w:szCs w:val="24"/>
              </w:rPr>
              <w:t>u</w:t>
            </w:r>
            <w:r w:rsidRPr="00561E96">
              <w:rPr>
                <w:rFonts w:ascii="Times New Roman" w:hAnsi="Times New Roman"/>
                <w:sz w:val="24"/>
                <w:szCs w:val="24"/>
              </w:rPr>
              <w:t xml:space="preserve"> pārvaldī</w:t>
            </w:r>
            <w:r>
              <w:rPr>
                <w:rFonts w:ascii="Times New Roman" w:hAnsi="Times New Roman"/>
                <w:sz w:val="24"/>
                <w:szCs w:val="24"/>
              </w:rPr>
              <w:t>ša</w:t>
            </w:r>
            <w:r w:rsidRPr="00561E96">
              <w:rPr>
                <w:rFonts w:ascii="Times New Roman" w:hAnsi="Times New Roman"/>
                <w:sz w:val="24"/>
                <w:szCs w:val="24"/>
              </w:rPr>
              <w:t xml:space="preserve">nas pakalpojuma kopumu veiktu VNĪ, VNĪ secināja, ka nav viennozīmīgi salīdzināmas VNĪ un </w:t>
            </w:r>
            <w:r>
              <w:rPr>
                <w:rFonts w:ascii="Times New Roman" w:hAnsi="Times New Roman"/>
                <w:sz w:val="24"/>
                <w:szCs w:val="24"/>
              </w:rPr>
              <w:t>BCE</w:t>
            </w:r>
            <w:r w:rsidRPr="00561E96">
              <w:rPr>
                <w:rFonts w:ascii="Times New Roman" w:hAnsi="Times New Roman"/>
                <w:sz w:val="24"/>
                <w:szCs w:val="24"/>
              </w:rPr>
              <w:t xml:space="preserve"> </w:t>
            </w:r>
            <w:r>
              <w:rPr>
                <w:rFonts w:ascii="Times New Roman" w:hAnsi="Times New Roman"/>
                <w:sz w:val="24"/>
                <w:szCs w:val="24"/>
              </w:rPr>
              <w:t xml:space="preserve">pakalpojuma sniegšanā piemērojamās netiešās </w:t>
            </w:r>
            <w:r w:rsidRPr="00561E96">
              <w:rPr>
                <w:rFonts w:ascii="Times New Roman" w:hAnsi="Times New Roman"/>
                <w:sz w:val="24"/>
                <w:szCs w:val="24"/>
              </w:rPr>
              <w:t xml:space="preserve">izmaksas </w:t>
            </w:r>
            <w:r>
              <w:rPr>
                <w:rFonts w:ascii="Times New Roman" w:hAnsi="Times New Roman"/>
                <w:sz w:val="24"/>
                <w:szCs w:val="24"/>
              </w:rPr>
              <w:t>(t.i.</w:t>
            </w:r>
            <w:r w:rsidR="00F20621">
              <w:rPr>
                <w:rFonts w:ascii="Times New Roman" w:hAnsi="Times New Roman"/>
                <w:sz w:val="24"/>
                <w:szCs w:val="24"/>
              </w:rPr>
              <w:t>,</w:t>
            </w:r>
            <w:r>
              <w:rPr>
                <w:rFonts w:ascii="Times New Roman" w:hAnsi="Times New Roman"/>
                <w:sz w:val="24"/>
                <w:szCs w:val="24"/>
              </w:rPr>
              <w:t xml:space="preserve"> administrācijas izmaksas) </w:t>
            </w:r>
            <w:r w:rsidR="00147D9B">
              <w:rPr>
                <w:rFonts w:ascii="Times New Roman" w:hAnsi="Times New Roman"/>
                <w:sz w:val="24"/>
                <w:szCs w:val="24"/>
              </w:rPr>
              <w:t>n</w:t>
            </w:r>
            <w:r w:rsidRPr="00561E96">
              <w:rPr>
                <w:rFonts w:ascii="Times New Roman" w:hAnsi="Times New Roman"/>
                <w:sz w:val="24"/>
                <w:szCs w:val="24"/>
              </w:rPr>
              <w:t>ekustamo īpašumu pārvaldīšanā. VNĪ</w:t>
            </w:r>
            <w:r>
              <w:rPr>
                <w:rFonts w:ascii="Times New Roman" w:hAnsi="Times New Roman"/>
                <w:sz w:val="24"/>
                <w:szCs w:val="24"/>
              </w:rPr>
              <w:t xml:space="preserve"> ir</w:t>
            </w:r>
            <w:r w:rsidRPr="00561E96">
              <w:rPr>
                <w:rFonts w:ascii="Times New Roman" w:hAnsi="Times New Roman"/>
                <w:sz w:val="24"/>
                <w:szCs w:val="24"/>
              </w:rPr>
              <w:t xml:space="preserve"> liela kapitālsabiedrība, kurā ir izveidota atbilstoša struktūra, VNĪ darbības īstenošanai ir piesaistīti atbilstošas kvalifikācijas speciālisti, ir izstrādāti virkne iekšējās darbības un procesu regulējošie dokumenti, VNĪ ir izsniegts Lloyd’s Register Quality Assurance sertifikāts un kvalitātes pārvaldības sistēma atbilst standartam ISO 9001:2008, tiek nodrošināta regulāra audita veikšana VNĪ darbības nodrošināšanā, </w:t>
            </w:r>
            <w:r>
              <w:rPr>
                <w:rFonts w:ascii="Times New Roman" w:hAnsi="Times New Roman"/>
                <w:sz w:val="24"/>
                <w:szCs w:val="24"/>
              </w:rPr>
              <w:t>tiek īstenota personāla vadības sistēma,</w:t>
            </w:r>
            <w:r w:rsidRPr="00561E96">
              <w:rPr>
                <w:rFonts w:ascii="Times New Roman" w:hAnsi="Times New Roman"/>
                <w:sz w:val="24"/>
                <w:szCs w:val="24"/>
              </w:rPr>
              <w:t xml:space="preserve"> tiek veiktas normatīvajos aktos noteiktās iepirkuma procedūras, nekustamo īpašumu iznomāšana notiek saskaņā ar normatīvajiem aktiem</w:t>
            </w:r>
            <w:r>
              <w:rPr>
                <w:rFonts w:ascii="Times New Roman" w:hAnsi="Times New Roman"/>
                <w:sz w:val="24"/>
                <w:szCs w:val="24"/>
              </w:rPr>
              <w:t xml:space="preserve">, un kuras </w:t>
            </w:r>
            <w:r w:rsidRPr="00195BBA">
              <w:rPr>
                <w:rFonts w:ascii="Times New Roman" w:hAnsi="Times New Roman"/>
                <w:sz w:val="24"/>
                <w:szCs w:val="24"/>
              </w:rPr>
              <w:t xml:space="preserve">apsaimniekošanā esošo </w:t>
            </w:r>
            <w:r w:rsidR="00E77006">
              <w:rPr>
                <w:rFonts w:ascii="Times New Roman" w:hAnsi="Times New Roman"/>
                <w:sz w:val="24"/>
                <w:szCs w:val="24"/>
              </w:rPr>
              <w:t>ēku</w:t>
            </w:r>
            <w:r>
              <w:rPr>
                <w:rFonts w:ascii="Times New Roman" w:hAnsi="Times New Roman"/>
                <w:sz w:val="24"/>
                <w:szCs w:val="24"/>
              </w:rPr>
              <w:t xml:space="preserve"> apjoms</w:t>
            </w:r>
            <w:r w:rsidR="00E77006">
              <w:rPr>
                <w:rFonts w:ascii="Times New Roman" w:hAnsi="Times New Roman"/>
                <w:sz w:val="24"/>
                <w:szCs w:val="24"/>
              </w:rPr>
              <w:t xml:space="preserve"> uz 2016.gada februāri</w:t>
            </w:r>
            <w:r w:rsidRPr="00195BBA">
              <w:rPr>
                <w:rFonts w:ascii="Times New Roman" w:hAnsi="Times New Roman"/>
                <w:sz w:val="24"/>
                <w:szCs w:val="24"/>
              </w:rPr>
              <w:t xml:space="preserve"> </w:t>
            </w:r>
            <w:r>
              <w:rPr>
                <w:rFonts w:ascii="Times New Roman" w:hAnsi="Times New Roman"/>
                <w:sz w:val="24"/>
                <w:szCs w:val="24"/>
              </w:rPr>
              <w:t xml:space="preserve">ir </w:t>
            </w:r>
            <w:r w:rsidRPr="00456B7D">
              <w:rPr>
                <w:rFonts w:ascii="Times New Roman" w:hAnsi="Times New Roman"/>
                <w:sz w:val="24"/>
                <w:szCs w:val="24"/>
              </w:rPr>
              <w:t>792 718 m²</w:t>
            </w:r>
            <w:r>
              <w:rPr>
                <w:rFonts w:ascii="Times New Roman" w:hAnsi="Times New Roman"/>
                <w:sz w:val="24"/>
                <w:szCs w:val="24"/>
              </w:rPr>
              <w:t>. Savukārt BCE ir maza kapitālsabiedrība, kuras darbību nodrošina neliels personāla</w:t>
            </w:r>
            <w:r w:rsidRPr="00BA497A">
              <w:rPr>
                <w:rFonts w:ascii="Times New Roman" w:hAnsi="Times New Roman"/>
                <w:sz w:val="24"/>
                <w:szCs w:val="24"/>
              </w:rPr>
              <w:t xml:space="preserve"> </w:t>
            </w:r>
            <w:r>
              <w:rPr>
                <w:rFonts w:ascii="Times New Roman" w:hAnsi="Times New Roman"/>
                <w:sz w:val="24"/>
                <w:szCs w:val="24"/>
              </w:rPr>
              <w:t>skaits, kurai nav izstrādāta ne kvalitātes vadības sistēma, ne personāla vadības sistēma, darbības īstenošanā netiek piesaistīts audits un pārvaldīšanā ir tikai vien</w:t>
            </w:r>
            <w:r w:rsidR="004F5CEE">
              <w:rPr>
                <w:rFonts w:ascii="Times New Roman" w:hAnsi="Times New Roman"/>
                <w:sz w:val="24"/>
                <w:szCs w:val="24"/>
              </w:rPr>
              <w:t>a</w:t>
            </w:r>
            <w:r w:rsidR="00147D9B">
              <w:rPr>
                <w:rFonts w:ascii="Times New Roman" w:hAnsi="Times New Roman"/>
                <w:sz w:val="24"/>
                <w:szCs w:val="24"/>
              </w:rPr>
              <w:t xml:space="preserve"> </w:t>
            </w:r>
            <w:r>
              <w:rPr>
                <w:rFonts w:ascii="Times New Roman" w:hAnsi="Times New Roman"/>
                <w:sz w:val="24"/>
                <w:szCs w:val="24"/>
              </w:rPr>
              <w:t xml:space="preserve"> </w:t>
            </w:r>
            <w:r w:rsidR="00E77006">
              <w:rPr>
                <w:rFonts w:ascii="Times New Roman" w:hAnsi="Times New Roman"/>
                <w:sz w:val="24"/>
                <w:szCs w:val="24"/>
              </w:rPr>
              <w:t>ēka</w:t>
            </w:r>
            <w:r>
              <w:rPr>
                <w:rFonts w:ascii="Times New Roman" w:hAnsi="Times New Roman"/>
                <w:sz w:val="24"/>
                <w:szCs w:val="24"/>
              </w:rPr>
              <w:t xml:space="preserve"> ar kopējo platību </w:t>
            </w:r>
            <w:r w:rsidRPr="00BA497A">
              <w:rPr>
                <w:rFonts w:ascii="Times New Roman" w:hAnsi="Times New Roman"/>
                <w:sz w:val="24"/>
                <w:szCs w:val="24"/>
              </w:rPr>
              <w:t>44 798,4 m²</w:t>
            </w:r>
            <w:r>
              <w:rPr>
                <w:rFonts w:ascii="Times New Roman" w:hAnsi="Times New Roman"/>
                <w:sz w:val="24"/>
                <w:szCs w:val="24"/>
              </w:rPr>
              <w:t xml:space="preserve">. VNĪ pakalpojuma sniegšanā piemērojamās netiešās izmaksas tiek aprēķinātas uz visu VNĪ apsaimniekošanā esošo </w:t>
            </w:r>
            <w:r w:rsidR="004F5CEE">
              <w:rPr>
                <w:rFonts w:ascii="Times New Roman" w:hAnsi="Times New Roman"/>
                <w:sz w:val="24"/>
                <w:szCs w:val="24"/>
              </w:rPr>
              <w:t>būvju</w:t>
            </w:r>
            <w:r>
              <w:rPr>
                <w:rFonts w:ascii="Times New Roman" w:hAnsi="Times New Roman"/>
                <w:sz w:val="24"/>
                <w:szCs w:val="24"/>
              </w:rPr>
              <w:t xml:space="preserve"> apjomu un VNĪ nav iespējams izdalīt netiešo izmaksu aprēķinu tikai uz </w:t>
            </w:r>
            <w:r w:rsidR="00531801">
              <w:rPr>
                <w:rFonts w:ascii="Times New Roman" w:hAnsi="Times New Roman"/>
                <w:sz w:val="24"/>
                <w:szCs w:val="24"/>
              </w:rPr>
              <w:t>BCE pārvaldīšanā esoš</w:t>
            </w:r>
            <w:r w:rsidR="004F5CEE">
              <w:rPr>
                <w:rFonts w:ascii="Times New Roman" w:hAnsi="Times New Roman"/>
                <w:sz w:val="24"/>
                <w:szCs w:val="24"/>
              </w:rPr>
              <w:t>o būvi</w:t>
            </w:r>
            <w:r>
              <w:rPr>
                <w:rFonts w:ascii="Times New Roman" w:hAnsi="Times New Roman"/>
                <w:sz w:val="24"/>
                <w:szCs w:val="24"/>
              </w:rPr>
              <w:t>, līdz ar to VNĪ un BCE pakalpojuma sniegšanā piemērojamās netiešās izmaksas</w:t>
            </w:r>
            <w:r w:rsidRPr="00BA497A">
              <w:rPr>
                <w:rFonts w:ascii="Times New Roman" w:hAnsi="Times New Roman"/>
                <w:sz w:val="24"/>
                <w:szCs w:val="24"/>
              </w:rPr>
              <w:t xml:space="preserve"> </w:t>
            </w:r>
            <w:r>
              <w:rPr>
                <w:rFonts w:ascii="Times New Roman" w:hAnsi="Times New Roman"/>
                <w:sz w:val="24"/>
                <w:szCs w:val="24"/>
              </w:rPr>
              <w:t>nav salīdzināmas.</w:t>
            </w:r>
          </w:p>
          <w:p w:rsidR="00E270BA" w:rsidRPr="00E270BA" w:rsidRDefault="007360BD" w:rsidP="00C51239">
            <w:pPr>
              <w:pStyle w:val="NoSpacing"/>
              <w:ind w:firstLine="663"/>
              <w:jc w:val="both"/>
              <w:rPr>
                <w:rFonts w:ascii="Times New Roman" w:hAnsi="Times New Roman"/>
                <w:sz w:val="24"/>
                <w:szCs w:val="24"/>
              </w:rPr>
            </w:pPr>
            <w:r>
              <w:rPr>
                <w:rFonts w:ascii="Times New Roman" w:hAnsi="Times New Roman"/>
                <w:sz w:val="24"/>
                <w:szCs w:val="24"/>
              </w:rPr>
              <w:t>5</w:t>
            </w:r>
            <w:r w:rsidR="00EE00C1">
              <w:rPr>
                <w:rFonts w:ascii="Times New Roman" w:hAnsi="Times New Roman"/>
                <w:sz w:val="24"/>
                <w:szCs w:val="24"/>
              </w:rPr>
              <w:t xml:space="preserve">. </w:t>
            </w:r>
            <w:r w:rsidR="00E270BA" w:rsidRPr="00E270BA">
              <w:rPr>
                <w:rFonts w:ascii="Times New Roman" w:hAnsi="Times New Roman"/>
                <w:sz w:val="24"/>
                <w:szCs w:val="24"/>
              </w:rPr>
              <w:t>Starp VNĪ un BCE 2014. gada 30. aprīlī tika noslēgts Nekustamā īpašuma Rīgā, Talejas ielā 1 nomas līgums (turpmāk – Nomas līgums) par daļēju Nekustamā īpašuma 40 037 m</w:t>
            </w:r>
            <w:r w:rsidR="00E270BA" w:rsidRPr="00965568">
              <w:rPr>
                <w:rFonts w:ascii="Times New Roman" w:hAnsi="Times New Roman"/>
                <w:sz w:val="24"/>
                <w:szCs w:val="24"/>
                <w:vertAlign w:val="superscript"/>
              </w:rPr>
              <w:t>2</w:t>
            </w:r>
            <w:r w:rsidR="00E270BA" w:rsidRPr="00E270BA">
              <w:rPr>
                <w:rFonts w:ascii="Times New Roman" w:hAnsi="Times New Roman"/>
                <w:sz w:val="24"/>
                <w:szCs w:val="24"/>
              </w:rPr>
              <w:t xml:space="preserve"> platībā nomu uz 30 gadiem. Saskaņā ar noslēgto Nomas līgumu gan BCE, gan VNĪ veic iznomātā Nekustamā īpašuma apsaimniekošanu – VNĪ nodrošina vājstrāvu sistēmu (sakaru, datu tīkla), ugunsgrēka atklāšanas un trauksmes atklāšanas, ugunsgrēka izziņošanas, apsardzes, piekļuves kontroles un videonovērošanu sistēmu tehnisko apkopi un telpu uzkopšanu, savukārt BCE veic telpu uzko</w:t>
            </w:r>
            <w:r w:rsidR="00F20621">
              <w:rPr>
                <w:rFonts w:ascii="Times New Roman" w:hAnsi="Times New Roman"/>
                <w:sz w:val="24"/>
                <w:szCs w:val="24"/>
              </w:rPr>
              <w:t>p</w:t>
            </w:r>
            <w:r w:rsidR="00E270BA" w:rsidRPr="00E270BA">
              <w:rPr>
                <w:rFonts w:ascii="Times New Roman" w:hAnsi="Times New Roman"/>
                <w:sz w:val="24"/>
                <w:szCs w:val="24"/>
              </w:rPr>
              <w:t>šan</w:t>
            </w:r>
            <w:r w:rsidR="00F20621">
              <w:rPr>
                <w:rFonts w:ascii="Times New Roman" w:hAnsi="Times New Roman"/>
                <w:sz w:val="24"/>
                <w:szCs w:val="24"/>
              </w:rPr>
              <w:t>u</w:t>
            </w:r>
            <w:r w:rsidR="00E270BA" w:rsidRPr="00E270BA">
              <w:rPr>
                <w:rFonts w:ascii="Times New Roman" w:hAnsi="Times New Roman"/>
                <w:sz w:val="24"/>
                <w:szCs w:val="24"/>
              </w:rPr>
              <w:t>, kārtējo</w:t>
            </w:r>
            <w:r w:rsidR="00F20621">
              <w:rPr>
                <w:rFonts w:ascii="Times New Roman" w:hAnsi="Times New Roman"/>
                <w:sz w:val="24"/>
                <w:szCs w:val="24"/>
              </w:rPr>
              <w:t>s</w:t>
            </w:r>
            <w:r w:rsidR="00E270BA" w:rsidRPr="00E270BA">
              <w:rPr>
                <w:rFonts w:ascii="Times New Roman" w:hAnsi="Times New Roman"/>
                <w:sz w:val="24"/>
                <w:szCs w:val="24"/>
              </w:rPr>
              <w:t xml:space="preserve"> un kapitālo</w:t>
            </w:r>
            <w:r w:rsidR="00F20621">
              <w:rPr>
                <w:rFonts w:ascii="Times New Roman" w:hAnsi="Times New Roman"/>
                <w:sz w:val="24"/>
                <w:szCs w:val="24"/>
              </w:rPr>
              <w:t>s</w:t>
            </w:r>
            <w:r w:rsidR="00E270BA" w:rsidRPr="00E270BA">
              <w:rPr>
                <w:rFonts w:ascii="Times New Roman" w:hAnsi="Times New Roman"/>
                <w:sz w:val="24"/>
                <w:szCs w:val="24"/>
              </w:rPr>
              <w:t xml:space="preserve"> remontdarbu</w:t>
            </w:r>
            <w:r w:rsidR="00F20621">
              <w:rPr>
                <w:rFonts w:ascii="Times New Roman" w:hAnsi="Times New Roman"/>
                <w:sz w:val="24"/>
                <w:szCs w:val="24"/>
              </w:rPr>
              <w:t>s</w:t>
            </w:r>
            <w:r w:rsidR="00E270BA" w:rsidRPr="00E270BA">
              <w:rPr>
                <w:rFonts w:ascii="Times New Roman" w:hAnsi="Times New Roman"/>
                <w:sz w:val="24"/>
                <w:szCs w:val="24"/>
              </w:rPr>
              <w:t xml:space="preserve"> u.c.</w:t>
            </w:r>
          </w:p>
          <w:p w:rsidR="008E24E3" w:rsidRPr="008E24E3" w:rsidRDefault="001D0C0A" w:rsidP="00C51239">
            <w:pPr>
              <w:pStyle w:val="NoSpacing"/>
              <w:ind w:firstLine="663"/>
              <w:jc w:val="both"/>
              <w:rPr>
                <w:rFonts w:ascii="Times New Roman" w:hAnsi="Times New Roman"/>
                <w:sz w:val="24"/>
                <w:szCs w:val="24"/>
              </w:rPr>
            </w:pPr>
            <w:r>
              <w:rPr>
                <w:rFonts w:ascii="Times New Roman" w:hAnsi="Times New Roman"/>
                <w:sz w:val="24"/>
                <w:szCs w:val="24"/>
              </w:rPr>
              <w:t>6</w:t>
            </w:r>
            <w:r w:rsidR="00E270BA">
              <w:rPr>
                <w:rFonts w:ascii="Times New Roman" w:hAnsi="Times New Roman"/>
                <w:sz w:val="24"/>
                <w:szCs w:val="24"/>
              </w:rPr>
              <w:t>.</w:t>
            </w:r>
            <w:r w:rsidR="00E270BA" w:rsidRPr="00E270BA">
              <w:rPr>
                <w:rFonts w:ascii="Times New Roman" w:hAnsi="Times New Roman"/>
                <w:sz w:val="24"/>
                <w:szCs w:val="24"/>
              </w:rPr>
              <w:tab/>
            </w:r>
            <w:r w:rsidR="0070741B">
              <w:rPr>
                <w:rFonts w:ascii="Times New Roman" w:hAnsi="Times New Roman"/>
                <w:sz w:val="24"/>
                <w:szCs w:val="24"/>
              </w:rPr>
              <w:t xml:space="preserve">Kā jau tas minēts iepriekš, </w:t>
            </w:r>
            <w:r w:rsidR="00E270BA" w:rsidRPr="00E270BA">
              <w:rPr>
                <w:rFonts w:ascii="Times New Roman" w:hAnsi="Times New Roman"/>
                <w:sz w:val="24"/>
                <w:szCs w:val="24"/>
              </w:rPr>
              <w:t>VNĪ ir izveidota atbilstoša struktūra, VNĪ darbības īstenošanai ir piesaistīti atbilstoši speciālisti, ir izstrādāti virkne iekšējās darbības un procesu regulējošie dokumenti, VNĪ ir izsniegts Lloyd’s Register Quality Assurance sertifikāts un kvalitātes pārvaldības sistēma atbilst standartam ISO 9001:2008, tiek veiktas normatīvajos aktos noteiktās iepirkuma procedūras, tād</w:t>
            </w:r>
            <w:r w:rsidR="00F20621">
              <w:rPr>
                <w:rFonts w:ascii="Times New Roman" w:hAnsi="Times New Roman"/>
                <w:sz w:val="24"/>
                <w:szCs w:val="24"/>
              </w:rPr>
              <w:t>ē</w:t>
            </w:r>
            <w:r w:rsidR="00E270BA" w:rsidRPr="00E270BA">
              <w:rPr>
                <w:rFonts w:ascii="Times New Roman" w:hAnsi="Times New Roman"/>
                <w:sz w:val="24"/>
                <w:szCs w:val="24"/>
              </w:rPr>
              <w:t>jādi nodrošinot vienotu un efektīvu nekustamo īpašumu pārvaldīšanas darbību īstenošanu</w:t>
            </w:r>
            <w:r w:rsidR="008E24E3" w:rsidRPr="008E24E3">
              <w:rPr>
                <w:rFonts w:ascii="Times New Roman" w:hAnsi="Times New Roman"/>
                <w:sz w:val="24"/>
                <w:szCs w:val="24"/>
              </w:rPr>
              <w:t>.</w:t>
            </w:r>
          </w:p>
          <w:p w:rsidR="000D06A6" w:rsidRDefault="001D0C0A" w:rsidP="00C51239">
            <w:pPr>
              <w:pStyle w:val="NoSpacing"/>
              <w:ind w:firstLine="663"/>
              <w:jc w:val="both"/>
              <w:rPr>
                <w:rFonts w:ascii="Times New Roman" w:hAnsi="Times New Roman"/>
                <w:sz w:val="24"/>
                <w:szCs w:val="24"/>
              </w:rPr>
            </w:pPr>
            <w:r>
              <w:rPr>
                <w:rFonts w:ascii="Times New Roman" w:hAnsi="Times New Roman"/>
                <w:sz w:val="24"/>
                <w:szCs w:val="24"/>
              </w:rPr>
              <w:t>7</w:t>
            </w:r>
            <w:r w:rsidR="008E24E3" w:rsidRPr="008E24E3">
              <w:rPr>
                <w:rFonts w:ascii="Times New Roman" w:hAnsi="Times New Roman"/>
                <w:sz w:val="24"/>
                <w:szCs w:val="24"/>
              </w:rPr>
              <w:t>.</w:t>
            </w:r>
            <w:r w:rsidR="008E24E3" w:rsidRPr="008E24E3">
              <w:rPr>
                <w:rFonts w:ascii="Times New Roman" w:hAnsi="Times New Roman"/>
                <w:sz w:val="24"/>
                <w:szCs w:val="24"/>
              </w:rPr>
              <w:tab/>
              <w:t>Nepastāv šķēršļi, kādēļ VNĪ nevarētu veikt Nekustamā īpašuma pārvaldīšanu.</w:t>
            </w:r>
          </w:p>
          <w:p w:rsidR="008E24E3" w:rsidRPr="008E24E3" w:rsidRDefault="008E24E3" w:rsidP="000435BF">
            <w:pPr>
              <w:spacing w:after="0" w:line="240" w:lineRule="auto"/>
              <w:jc w:val="both"/>
              <w:rPr>
                <w:sz w:val="24"/>
                <w:szCs w:val="24"/>
              </w:rPr>
            </w:pPr>
            <w:r w:rsidRPr="008E24E3">
              <w:rPr>
                <w:sz w:val="24"/>
                <w:szCs w:val="24"/>
              </w:rPr>
              <w:tab/>
            </w:r>
            <w:r w:rsidR="001D0C0A">
              <w:rPr>
                <w:sz w:val="24"/>
                <w:szCs w:val="24"/>
              </w:rPr>
              <w:t>8</w:t>
            </w:r>
            <w:r w:rsidR="000435BF">
              <w:rPr>
                <w:sz w:val="24"/>
                <w:szCs w:val="24"/>
              </w:rPr>
              <w:t xml:space="preserve">. </w:t>
            </w:r>
            <w:r w:rsidR="001D0C0A">
              <w:rPr>
                <w:sz w:val="24"/>
                <w:szCs w:val="24"/>
              </w:rPr>
              <w:t xml:space="preserve">BCE </w:t>
            </w:r>
            <w:r w:rsidR="000435BF">
              <w:rPr>
                <w:sz w:val="24"/>
                <w:szCs w:val="24"/>
              </w:rPr>
              <w:t xml:space="preserve"> </w:t>
            </w:r>
            <w:r w:rsidRPr="008E24E3">
              <w:rPr>
                <w:sz w:val="24"/>
                <w:szCs w:val="24"/>
              </w:rPr>
              <w:t xml:space="preserve">reorganizācijas gadījumā VNĪ kā tiesību un saistību </w:t>
            </w:r>
            <w:r w:rsidR="001D0C0A" w:rsidRPr="008E24E3">
              <w:rPr>
                <w:sz w:val="24"/>
                <w:szCs w:val="24"/>
              </w:rPr>
              <w:t>pārņēmēj</w:t>
            </w:r>
            <w:r w:rsidR="001D0C0A">
              <w:rPr>
                <w:sz w:val="24"/>
                <w:szCs w:val="24"/>
              </w:rPr>
              <w:t>ai</w:t>
            </w:r>
            <w:r w:rsidR="001D0C0A" w:rsidRPr="008E24E3">
              <w:rPr>
                <w:sz w:val="24"/>
                <w:szCs w:val="24"/>
              </w:rPr>
              <w:t xml:space="preserve"> </w:t>
            </w:r>
            <w:r w:rsidR="001D0C0A">
              <w:rPr>
                <w:sz w:val="24"/>
                <w:szCs w:val="24"/>
              </w:rPr>
              <w:t>pastāv iespēja</w:t>
            </w:r>
            <w:r w:rsidR="001D0C0A" w:rsidRPr="008E24E3">
              <w:rPr>
                <w:sz w:val="24"/>
                <w:szCs w:val="24"/>
              </w:rPr>
              <w:t xml:space="preserve"> turpin</w:t>
            </w:r>
            <w:r w:rsidR="001D0C0A">
              <w:rPr>
                <w:sz w:val="24"/>
                <w:szCs w:val="24"/>
              </w:rPr>
              <w:t>āt</w:t>
            </w:r>
            <w:r w:rsidR="001D0C0A" w:rsidRPr="008E24E3">
              <w:rPr>
                <w:sz w:val="24"/>
                <w:szCs w:val="24"/>
              </w:rPr>
              <w:t xml:space="preserve"> </w:t>
            </w:r>
            <w:r w:rsidR="00F60411">
              <w:rPr>
                <w:sz w:val="24"/>
                <w:szCs w:val="24"/>
              </w:rPr>
              <w:t xml:space="preserve">BCE uzsāktos </w:t>
            </w:r>
            <w:r w:rsidRPr="008E24E3">
              <w:rPr>
                <w:sz w:val="24"/>
                <w:szCs w:val="24"/>
              </w:rPr>
              <w:t>tiesvedības</w:t>
            </w:r>
            <w:r w:rsidR="00F60411">
              <w:rPr>
                <w:sz w:val="24"/>
                <w:szCs w:val="24"/>
              </w:rPr>
              <w:t xml:space="preserve"> procesus</w:t>
            </w:r>
            <w:r w:rsidRPr="008E24E3">
              <w:rPr>
                <w:sz w:val="24"/>
                <w:szCs w:val="24"/>
              </w:rPr>
              <w:t xml:space="preserve">, savukārt likvidācijas gadījumā – uzsāktie tiesvedības procesi tiek izbeigti, jo administratīvajā procesā nav pieļaujama arī cesija. </w:t>
            </w:r>
            <w:r w:rsidR="00F60411">
              <w:rPr>
                <w:sz w:val="24"/>
                <w:szCs w:val="24"/>
              </w:rPr>
              <w:t>I</w:t>
            </w:r>
            <w:r w:rsidR="00F60411" w:rsidRPr="001D0C0A">
              <w:rPr>
                <w:sz w:val="24"/>
                <w:szCs w:val="24"/>
              </w:rPr>
              <w:t>r uzsākti divi tiesvedības procesi Administratīvā procesa likumā noteiktajā kārtībā</w:t>
            </w:r>
            <w:r w:rsidR="00F60411">
              <w:rPr>
                <w:sz w:val="24"/>
                <w:szCs w:val="24"/>
              </w:rPr>
              <w:t xml:space="preserve"> par </w:t>
            </w:r>
            <w:r w:rsidR="00F60411" w:rsidRPr="00F60411">
              <w:rPr>
                <w:sz w:val="24"/>
                <w:szCs w:val="24"/>
              </w:rPr>
              <w:t xml:space="preserve">aprēķināto pašvaldības nodevu (otro maksājumu) par </w:t>
            </w:r>
            <w:r w:rsidR="00F60411" w:rsidRPr="00F60411">
              <w:rPr>
                <w:sz w:val="24"/>
                <w:szCs w:val="24"/>
              </w:rPr>
              <w:lastRenderedPageBreak/>
              <w:t>pašvaldības infrastruktūras uzturēšanu un attīstību Rīgā</w:t>
            </w:r>
            <w:r w:rsidR="00F60411">
              <w:rPr>
                <w:sz w:val="24"/>
                <w:szCs w:val="24"/>
              </w:rPr>
              <w:t xml:space="preserve"> un par </w:t>
            </w:r>
            <w:r w:rsidR="00F60411" w:rsidRPr="00F60411">
              <w:rPr>
                <w:sz w:val="24"/>
                <w:szCs w:val="24"/>
              </w:rPr>
              <w:t xml:space="preserve">nekustamā īpašuma nodokļa </w:t>
            </w:r>
            <w:r w:rsidR="00FA0E1F">
              <w:rPr>
                <w:sz w:val="24"/>
                <w:szCs w:val="24"/>
              </w:rPr>
              <w:t>N</w:t>
            </w:r>
            <w:r w:rsidR="00FA0E1F" w:rsidRPr="00F60411">
              <w:rPr>
                <w:sz w:val="24"/>
                <w:szCs w:val="24"/>
              </w:rPr>
              <w:t xml:space="preserve">ekustamajam </w:t>
            </w:r>
            <w:r w:rsidR="00F60411" w:rsidRPr="00F60411">
              <w:rPr>
                <w:sz w:val="24"/>
                <w:szCs w:val="24"/>
              </w:rPr>
              <w:t xml:space="preserve">īpašumam pārrēķinu par 2014. </w:t>
            </w:r>
            <w:r w:rsidR="00F60411">
              <w:rPr>
                <w:sz w:val="24"/>
                <w:szCs w:val="24"/>
              </w:rPr>
              <w:t>g</w:t>
            </w:r>
            <w:r w:rsidR="00F60411" w:rsidRPr="00F60411">
              <w:rPr>
                <w:sz w:val="24"/>
                <w:szCs w:val="24"/>
              </w:rPr>
              <w:t>adu</w:t>
            </w:r>
            <w:r w:rsidR="00F60411">
              <w:rPr>
                <w:sz w:val="24"/>
                <w:szCs w:val="24"/>
              </w:rPr>
              <w:t>.</w:t>
            </w:r>
            <w:r w:rsidR="00F60411" w:rsidRPr="001D0C0A">
              <w:rPr>
                <w:sz w:val="24"/>
                <w:szCs w:val="24"/>
              </w:rPr>
              <w:t xml:space="preserve"> </w:t>
            </w:r>
            <w:r w:rsidRPr="008E24E3">
              <w:rPr>
                <w:sz w:val="24"/>
                <w:szCs w:val="24"/>
              </w:rPr>
              <w:t xml:space="preserve">Ir jāņem vērā, ka reorganizācijas gadījumā administratīvajā procesā, ja BCE pieteikums tiks apmierināts, pastāv iespēja iegūt infrastruktūras nodevas un nekustamā īpašuma nodokļa samazinājumu. Savukārt, likvidācijas gadījumā – nepastāv iespēja iegūt infrastruktūras nodevas un nekustamā īpašuma nodokļa samazinājumu. </w:t>
            </w:r>
          </w:p>
          <w:p w:rsidR="00DF6F72" w:rsidRPr="00B85FDA" w:rsidRDefault="00DF6F72" w:rsidP="00B85FDA">
            <w:pPr>
              <w:pStyle w:val="NoSpacing"/>
              <w:ind w:firstLine="663"/>
              <w:jc w:val="both"/>
            </w:pPr>
            <w:r>
              <w:rPr>
                <w:rFonts w:ascii="Times New Roman" w:hAnsi="Times New Roman"/>
                <w:sz w:val="24"/>
                <w:szCs w:val="24"/>
              </w:rPr>
              <w:t>9</w:t>
            </w:r>
            <w:r w:rsidR="008E24E3" w:rsidRPr="008E24E3">
              <w:rPr>
                <w:rFonts w:ascii="Times New Roman" w:hAnsi="Times New Roman"/>
                <w:sz w:val="24"/>
                <w:szCs w:val="24"/>
              </w:rPr>
              <w:t>.</w:t>
            </w:r>
            <w:r w:rsidR="002E4403">
              <w:rPr>
                <w:rFonts w:ascii="Times New Roman" w:hAnsi="Times New Roman"/>
                <w:sz w:val="24"/>
                <w:szCs w:val="24"/>
              </w:rPr>
              <w:t> BCE l</w:t>
            </w:r>
            <w:r w:rsidR="008E24E3" w:rsidRPr="008E24E3">
              <w:rPr>
                <w:rFonts w:ascii="Times New Roman" w:hAnsi="Times New Roman"/>
                <w:sz w:val="24"/>
                <w:szCs w:val="24"/>
              </w:rPr>
              <w:t xml:space="preserve">ikvidācijas gadījumā </w:t>
            </w:r>
            <w:r w:rsidRPr="008E24E3">
              <w:rPr>
                <w:rFonts w:ascii="Times New Roman" w:hAnsi="Times New Roman"/>
                <w:sz w:val="24"/>
                <w:szCs w:val="24"/>
              </w:rPr>
              <w:t>bū</w:t>
            </w:r>
            <w:r>
              <w:rPr>
                <w:rFonts w:ascii="Times New Roman" w:hAnsi="Times New Roman"/>
                <w:sz w:val="24"/>
                <w:szCs w:val="24"/>
              </w:rPr>
              <w:t>tu</w:t>
            </w:r>
            <w:r w:rsidRPr="008E24E3">
              <w:rPr>
                <w:rFonts w:ascii="Times New Roman" w:hAnsi="Times New Roman"/>
                <w:sz w:val="24"/>
                <w:szCs w:val="24"/>
              </w:rPr>
              <w:t xml:space="preserve"> </w:t>
            </w:r>
            <w:r w:rsidR="008E24E3" w:rsidRPr="008E24E3">
              <w:rPr>
                <w:rFonts w:ascii="Times New Roman" w:hAnsi="Times New Roman"/>
                <w:sz w:val="24"/>
                <w:szCs w:val="24"/>
              </w:rPr>
              <w:t>jāizbeidz BCE līgumsaistība</w:t>
            </w:r>
            <w:r w:rsidR="002E4403">
              <w:rPr>
                <w:rFonts w:ascii="Times New Roman" w:hAnsi="Times New Roman"/>
                <w:sz w:val="24"/>
                <w:szCs w:val="24"/>
              </w:rPr>
              <w:t>s</w:t>
            </w:r>
            <w:r>
              <w:rPr>
                <w:rFonts w:ascii="Times New Roman" w:hAnsi="Times New Roman"/>
                <w:sz w:val="24"/>
                <w:szCs w:val="24"/>
              </w:rPr>
              <w:t xml:space="preserve">. </w:t>
            </w:r>
            <w:r w:rsidR="0098561D">
              <w:rPr>
                <w:rFonts w:ascii="Times New Roman" w:hAnsi="Times New Roman"/>
                <w:sz w:val="24"/>
                <w:szCs w:val="24"/>
              </w:rPr>
              <w:t>A</w:t>
            </w:r>
            <w:r>
              <w:rPr>
                <w:rFonts w:ascii="Times New Roman" w:hAnsi="Times New Roman"/>
                <w:sz w:val="24"/>
                <w:szCs w:val="24"/>
              </w:rPr>
              <w:t>tsevišķos līgumos paredzētas soda sankcijas</w:t>
            </w:r>
            <w:r w:rsidR="0098561D">
              <w:rPr>
                <w:rFonts w:ascii="Times New Roman" w:hAnsi="Times New Roman"/>
                <w:sz w:val="24"/>
                <w:szCs w:val="24"/>
              </w:rPr>
              <w:t xml:space="preserve"> pirmstermiņa līguma izbeigšanas gadījumā. Atsevišķu līgumu pirmstermiņa izbeigšanas gadījumā paredzama kreditoru prasījumu pieteikšana</w:t>
            </w:r>
            <w:r w:rsidR="0098561D">
              <w:t xml:space="preserve"> </w:t>
            </w:r>
            <w:r w:rsidR="0098561D" w:rsidRPr="0098561D">
              <w:rPr>
                <w:rFonts w:ascii="Times New Roman" w:hAnsi="Times New Roman"/>
                <w:sz w:val="24"/>
                <w:szCs w:val="24"/>
              </w:rPr>
              <w:t>un</w:t>
            </w:r>
            <w:r w:rsidR="0098561D">
              <w:rPr>
                <w:rFonts w:ascii="Times New Roman" w:hAnsi="Times New Roman"/>
                <w:sz w:val="24"/>
                <w:szCs w:val="24"/>
              </w:rPr>
              <w:t>,</w:t>
            </w:r>
            <w:r w:rsidR="0098561D" w:rsidRPr="0098561D">
              <w:rPr>
                <w:rFonts w:ascii="Times New Roman" w:hAnsi="Times New Roman"/>
                <w:sz w:val="24"/>
                <w:szCs w:val="24"/>
              </w:rPr>
              <w:t xml:space="preserve"> </w:t>
            </w:r>
            <w:r w:rsidR="0098561D">
              <w:rPr>
                <w:rFonts w:ascii="Times New Roman" w:hAnsi="Times New Roman"/>
                <w:sz w:val="24"/>
                <w:szCs w:val="24"/>
              </w:rPr>
              <w:t>ņ</w:t>
            </w:r>
            <w:r w:rsidR="0098561D" w:rsidRPr="0098561D">
              <w:rPr>
                <w:rFonts w:ascii="Times New Roman" w:hAnsi="Times New Roman"/>
                <w:sz w:val="24"/>
                <w:szCs w:val="24"/>
              </w:rPr>
              <w:t>emot vērā, ka BCE nav uzkrāti finanšu līdzekļi, kreditoru prasījumi varētu tikt vērsti pret Nekustamo īpašumu</w:t>
            </w:r>
            <w:r w:rsidR="0098561D">
              <w:rPr>
                <w:rFonts w:ascii="Times New Roman" w:hAnsi="Times New Roman"/>
                <w:sz w:val="24"/>
                <w:szCs w:val="24"/>
              </w:rPr>
              <w:t>, kas šobrīd ir būtisks valsts pārvaldes funkciju veikšanai</w:t>
            </w:r>
            <w:r w:rsidR="00696275">
              <w:rPr>
                <w:rFonts w:ascii="Times New Roman" w:hAnsi="Times New Roman"/>
                <w:sz w:val="24"/>
                <w:szCs w:val="24"/>
              </w:rPr>
              <w:t>.</w:t>
            </w:r>
            <w:r w:rsidR="00696275">
              <w:t xml:space="preserve"> </w:t>
            </w:r>
            <w:r w:rsidR="00696275" w:rsidRPr="00386554">
              <w:rPr>
                <w:rFonts w:ascii="Times New Roman" w:hAnsi="Times New Roman"/>
                <w:sz w:val="24"/>
                <w:szCs w:val="24"/>
              </w:rPr>
              <w:t xml:space="preserve">BCE likvidācijas gadījumā tiktu zaudēta </w:t>
            </w:r>
            <w:r w:rsidR="00386554" w:rsidRPr="00386554">
              <w:rPr>
                <w:rFonts w:ascii="Times New Roman" w:hAnsi="Times New Roman"/>
                <w:sz w:val="24"/>
                <w:szCs w:val="24"/>
              </w:rPr>
              <w:t xml:space="preserve">līgumā pielīgtā galvenā būvuzņēmēja </w:t>
            </w:r>
            <w:r w:rsidR="00386554" w:rsidRPr="00696275">
              <w:rPr>
                <w:rFonts w:ascii="Times New Roman" w:hAnsi="Times New Roman"/>
                <w:sz w:val="24"/>
                <w:szCs w:val="24"/>
              </w:rPr>
              <w:t>5 gadu vispārējā būvniecības garantija un 10 gadu garantija Nekustamā īpašuma biroja ēkas fasādēm un jumtiem</w:t>
            </w:r>
            <w:r w:rsidR="00386554" w:rsidRPr="00B85FDA">
              <w:rPr>
                <w:rFonts w:ascii="Times New Roman" w:hAnsi="Times New Roman"/>
                <w:sz w:val="24"/>
                <w:szCs w:val="24"/>
              </w:rPr>
              <w:t xml:space="preserve"> </w:t>
            </w:r>
            <w:r w:rsidR="00386554" w:rsidRPr="00386554">
              <w:rPr>
                <w:rFonts w:ascii="Times New Roman" w:hAnsi="Times New Roman"/>
                <w:sz w:val="24"/>
                <w:szCs w:val="24"/>
              </w:rPr>
              <w:t>sākot no Nekustamā īpašuma pieņemšanas lietošanā, t.i.</w:t>
            </w:r>
            <w:r w:rsidR="00386554">
              <w:rPr>
                <w:rFonts w:ascii="Times New Roman" w:hAnsi="Times New Roman"/>
                <w:sz w:val="24"/>
                <w:szCs w:val="24"/>
              </w:rPr>
              <w:t xml:space="preserve"> sākot ar 2014. gada 30. aprīli</w:t>
            </w:r>
            <w:r w:rsidR="00386554" w:rsidRPr="00386554">
              <w:rPr>
                <w:rFonts w:ascii="Times New Roman" w:hAnsi="Times New Roman"/>
                <w:sz w:val="24"/>
                <w:szCs w:val="24"/>
              </w:rPr>
              <w:t>, jo nepastāvēs BCE tiesību un saistību pārņēmēja (būvniekam būs jānodrošina tikai normatīvajos aktos noteiktā divu gadu garantija)</w:t>
            </w:r>
            <w:r w:rsidR="00B85FDA">
              <w:rPr>
                <w:rFonts w:ascii="Times New Roman" w:hAnsi="Times New Roman"/>
                <w:sz w:val="24"/>
                <w:szCs w:val="24"/>
              </w:rPr>
              <w:t>.</w:t>
            </w:r>
          </w:p>
          <w:p w:rsidR="002E4403" w:rsidRPr="002E4403" w:rsidRDefault="002E4403" w:rsidP="00B85FDA">
            <w:pPr>
              <w:pStyle w:val="NoSpacing"/>
              <w:ind w:firstLine="663"/>
              <w:jc w:val="both"/>
              <w:rPr>
                <w:rFonts w:ascii="Times New Roman" w:hAnsi="Times New Roman"/>
                <w:sz w:val="24"/>
                <w:szCs w:val="24"/>
              </w:rPr>
            </w:pPr>
          </w:p>
          <w:p w:rsidR="008E24E3" w:rsidRPr="008E24E3" w:rsidRDefault="008E24E3" w:rsidP="008E24E3">
            <w:pPr>
              <w:pStyle w:val="NoSpacing"/>
              <w:ind w:firstLine="379"/>
              <w:jc w:val="both"/>
              <w:rPr>
                <w:rFonts w:ascii="Times New Roman" w:hAnsi="Times New Roman"/>
                <w:sz w:val="24"/>
                <w:szCs w:val="24"/>
              </w:rPr>
            </w:pPr>
            <w:r w:rsidRPr="008E24E3">
              <w:rPr>
                <w:rFonts w:ascii="Times New Roman" w:hAnsi="Times New Roman"/>
                <w:sz w:val="24"/>
                <w:szCs w:val="24"/>
              </w:rPr>
              <w:t xml:space="preserve">Ņemot vērā visu iepriekš minēto, secināms, ka izbeidzot BCE darbību, nepastāv šķēršļi, kādēļ VNĪ nevarētu turpināt Nekustamā īpašuma pārvaldīšanu, </w:t>
            </w:r>
            <w:r w:rsidR="00455FF7">
              <w:rPr>
                <w:rFonts w:ascii="Times New Roman" w:hAnsi="Times New Roman"/>
                <w:sz w:val="24"/>
                <w:szCs w:val="24"/>
              </w:rPr>
              <w:t>kā arī</w:t>
            </w:r>
            <w:r w:rsidRPr="008E24E3">
              <w:rPr>
                <w:rFonts w:ascii="Times New Roman" w:hAnsi="Times New Roman"/>
                <w:sz w:val="24"/>
                <w:szCs w:val="24"/>
              </w:rPr>
              <w:t xml:space="preserve"> tiktu ekonomēti un racionāli izmantoti finanšu līdzekļi saistībā ar BCE personāla, biroja un administratīvo un profesionālo pakalpojumu izmaksu samazinājumu. Līdz ar to VNĪ ir izbeidzama līdzdalība BCE. Izvērtējot BCE darbības izbeigšanas veidu, reorganizējot vai likvidējot to, secināms, ka likvidācijas gadījumā BCE</w:t>
            </w:r>
            <w:r w:rsidR="000D3B10">
              <w:rPr>
                <w:rFonts w:ascii="Times New Roman" w:hAnsi="Times New Roman"/>
                <w:sz w:val="24"/>
                <w:szCs w:val="24"/>
              </w:rPr>
              <w:t xml:space="preserve"> var nespēt</w:t>
            </w:r>
            <w:r w:rsidRPr="008E24E3">
              <w:rPr>
                <w:rFonts w:ascii="Times New Roman" w:hAnsi="Times New Roman"/>
                <w:sz w:val="24"/>
                <w:szCs w:val="24"/>
              </w:rPr>
              <w:t xml:space="preserve"> segt savu kreditoru saistības un kreditoru prasījumi var tikt vērsti pret Nekustamo īpašumu,</w:t>
            </w:r>
            <w:r w:rsidR="00D17FC0">
              <w:rPr>
                <w:rFonts w:ascii="Times New Roman" w:hAnsi="Times New Roman"/>
                <w:sz w:val="24"/>
                <w:szCs w:val="24"/>
              </w:rPr>
              <w:t xml:space="preserve"> kas nebūtu pieļaujams, ņemot vērā to, ka Nekustamais īpašums būvēts un pielāgots konkrētu valsts pārvaldes iestāžu funkciju veikšanai, turklāt tas radītu nepieciešamību meklēt risinājumus valsts pārvaldes iestāžu izvietošanai citās telpās,</w:t>
            </w:r>
            <w:r w:rsidRPr="008E24E3">
              <w:rPr>
                <w:rFonts w:ascii="Times New Roman" w:hAnsi="Times New Roman"/>
                <w:sz w:val="24"/>
                <w:szCs w:val="24"/>
              </w:rPr>
              <w:t xml:space="preserve"> varētu tikt zaudēta galvenā būvuzņēmēja garantija, jo nepastāvēs BCE tiesību un saistību pārņēmēja (būvniekam ir jānodrošina tikai normatīvajos aktos noteiktā divu gadu garantija), kā arī nepastāv iespēja turpināt uzsāktos tiesvedības procesus un cedēt prasījuma tiesības, līdz ar to BCE darbība ir izbeidzama, veicot reorganizāciju un pievienojot VNĪ.  </w:t>
            </w:r>
          </w:p>
          <w:p w:rsidR="004F2BCF" w:rsidRDefault="008E24E3" w:rsidP="00593DA3">
            <w:pPr>
              <w:pStyle w:val="NoSpacing"/>
              <w:spacing w:after="120"/>
              <w:ind w:left="125" w:firstLine="283"/>
              <w:jc w:val="both"/>
              <w:rPr>
                <w:rFonts w:ascii="Times New Roman" w:hAnsi="Times New Roman"/>
                <w:sz w:val="24"/>
                <w:szCs w:val="24"/>
              </w:rPr>
            </w:pPr>
            <w:r w:rsidRPr="008E24E3">
              <w:rPr>
                <w:rFonts w:ascii="Times New Roman" w:hAnsi="Times New Roman"/>
                <w:sz w:val="24"/>
                <w:szCs w:val="24"/>
              </w:rPr>
              <w:tab/>
            </w:r>
            <w:r w:rsidR="0061367C">
              <w:rPr>
                <w:rFonts w:ascii="Times New Roman" w:hAnsi="Times New Roman"/>
                <w:sz w:val="24"/>
                <w:szCs w:val="24"/>
              </w:rPr>
              <w:t xml:space="preserve">BCE reorganizācijas gadījumam </w:t>
            </w:r>
            <w:r w:rsidR="00DF64DF" w:rsidRPr="00DF64DF">
              <w:rPr>
                <w:rFonts w:ascii="Times New Roman" w:hAnsi="Times New Roman"/>
                <w:sz w:val="24"/>
                <w:szCs w:val="24"/>
              </w:rPr>
              <w:t>saskaņā ar noslēgto līgumu nosacījumiem ir saņemtas AS „Swedbank”  un Nordea Bank AB (kas saskaņā ar starp Nordea Bank AB un Nordea Bank Finland Plc 2014.gada 14.februārī noslēgto Uzņēmuma pārejas līgumu ir pārņēmusi daļu no Nordea Bank Finland Plc komercdarbības Latvijā</w:t>
            </w:r>
            <w:r w:rsidR="00587F65">
              <w:rPr>
                <w:rFonts w:ascii="Times New Roman" w:hAnsi="Times New Roman"/>
                <w:sz w:val="24"/>
                <w:szCs w:val="24"/>
              </w:rPr>
              <w:t xml:space="preserve">. Nordea Bank </w:t>
            </w:r>
            <w:r w:rsidR="008F5982">
              <w:rPr>
                <w:rFonts w:ascii="Times New Roman" w:hAnsi="Times New Roman"/>
                <w:sz w:val="24"/>
                <w:szCs w:val="24"/>
              </w:rPr>
              <w:t>Finland Plc ir paturējusi s</w:t>
            </w:r>
            <w:r w:rsidR="00587F65">
              <w:rPr>
                <w:rFonts w:ascii="Times New Roman" w:hAnsi="Times New Roman"/>
                <w:sz w:val="24"/>
                <w:szCs w:val="24"/>
              </w:rPr>
              <w:t xml:space="preserve">aistības, kas izriet no Nordea klientu līgumiem par darījumiem ar atvasinātajiem finanšu instrumentiem, tā realizē caur pilnvarojumu Nordea Bank AB </w:t>
            </w:r>
            <w:r w:rsidR="00DF64DF" w:rsidRPr="00DF64DF">
              <w:rPr>
                <w:rFonts w:ascii="Times New Roman" w:hAnsi="Times New Roman"/>
                <w:sz w:val="24"/>
                <w:szCs w:val="24"/>
              </w:rPr>
              <w:t xml:space="preserve">) rakstiskas piekrišanas VNĪ un </w:t>
            </w:r>
            <w:r w:rsidR="00A543E8">
              <w:rPr>
                <w:rFonts w:ascii="Times New Roman" w:hAnsi="Times New Roman"/>
                <w:sz w:val="24"/>
                <w:szCs w:val="24"/>
              </w:rPr>
              <w:t>BCE</w:t>
            </w:r>
            <w:r w:rsidR="00DF64DF" w:rsidRPr="00DF64DF">
              <w:rPr>
                <w:rFonts w:ascii="Times New Roman" w:hAnsi="Times New Roman"/>
                <w:sz w:val="24"/>
                <w:szCs w:val="24"/>
              </w:rPr>
              <w:t xml:space="preserve"> reorganizācijai, </w:t>
            </w:r>
            <w:r w:rsidR="00A543E8">
              <w:rPr>
                <w:rFonts w:ascii="Times New Roman" w:hAnsi="Times New Roman"/>
                <w:sz w:val="24"/>
                <w:szCs w:val="24"/>
              </w:rPr>
              <w:t>BCE</w:t>
            </w:r>
            <w:r w:rsidR="00DF64DF" w:rsidRPr="00DF64DF">
              <w:rPr>
                <w:rFonts w:ascii="Times New Roman" w:hAnsi="Times New Roman"/>
                <w:sz w:val="24"/>
                <w:szCs w:val="24"/>
              </w:rPr>
              <w:t xml:space="preserve"> pievienojot VNĪ. 2016.gada 14.aprīlī ar Nordea Bank Finland Plc ir noslēgts jauns Nordea klientu līgums par darījumiem ar atvasinātajiem finanšu instrumentiem Nr.4/2016, saskaņā ar kura nosacījumiem VNĪ ir tiesības veikt jebkuru pasākumu vai pieņemt lēmumu saistībā ar </w:t>
            </w:r>
            <w:r w:rsidR="00DF64DF" w:rsidRPr="00DF64DF">
              <w:rPr>
                <w:rFonts w:ascii="Times New Roman" w:hAnsi="Times New Roman"/>
                <w:sz w:val="24"/>
                <w:szCs w:val="24"/>
              </w:rPr>
              <w:lastRenderedPageBreak/>
              <w:t>uzņēmējdarbības reorganizāciju, ja valstij pieder balsstiesību vairākums VNĪ pārraudzības vai izpildinstitūcijas locekļu ievēlēšanā vai VNĪ vadības iecelšanā, t.i., pieder vairāk kā 50% (plus 1 viena balss).</w:t>
            </w:r>
          </w:p>
          <w:p w:rsidR="00593DA3" w:rsidRPr="00593DA3" w:rsidRDefault="004F2BCF" w:rsidP="00593DA3">
            <w:pPr>
              <w:pStyle w:val="NoSpacing"/>
              <w:spacing w:after="120"/>
              <w:ind w:left="125" w:firstLine="283"/>
              <w:jc w:val="both"/>
              <w:rPr>
                <w:rFonts w:ascii="Times New Roman" w:hAnsi="Times New Roman"/>
                <w:sz w:val="24"/>
                <w:szCs w:val="24"/>
                <w:shd w:val="clear" w:color="auto" w:fill="FFFFFF"/>
              </w:rPr>
            </w:pPr>
            <w:r>
              <w:rPr>
                <w:rFonts w:ascii="Times New Roman" w:hAnsi="Times New Roman"/>
                <w:sz w:val="24"/>
                <w:szCs w:val="24"/>
              </w:rPr>
              <w:t xml:space="preserve"> </w:t>
            </w:r>
            <w:r w:rsidR="00593DA3" w:rsidRPr="00593DA3">
              <w:rPr>
                <w:rFonts w:ascii="Times New Roman" w:hAnsi="Times New Roman"/>
                <w:sz w:val="24"/>
                <w:szCs w:val="24"/>
                <w:shd w:val="clear" w:color="auto" w:fill="FFFFFF"/>
              </w:rPr>
              <w:t xml:space="preserve">Ar VNĪ un </w:t>
            </w:r>
            <w:r>
              <w:rPr>
                <w:rFonts w:ascii="Times New Roman" w:hAnsi="Times New Roman"/>
                <w:sz w:val="24"/>
                <w:szCs w:val="24"/>
                <w:shd w:val="clear" w:color="auto" w:fill="FFFFFF"/>
              </w:rPr>
              <w:t>BCE</w:t>
            </w:r>
            <w:r w:rsidRPr="00593DA3">
              <w:rPr>
                <w:rFonts w:ascii="Times New Roman" w:hAnsi="Times New Roman"/>
                <w:sz w:val="24"/>
                <w:szCs w:val="24"/>
                <w:shd w:val="clear" w:color="auto" w:fill="FFFFFF"/>
              </w:rPr>
              <w:t xml:space="preserve"> </w:t>
            </w:r>
            <w:r w:rsidR="00593DA3" w:rsidRPr="00593DA3">
              <w:rPr>
                <w:rFonts w:ascii="Times New Roman" w:hAnsi="Times New Roman"/>
                <w:sz w:val="24"/>
                <w:szCs w:val="24"/>
                <w:shd w:val="clear" w:color="auto" w:fill="FFFFFF"/>
              </w:rPr>
              <w:t xml:space="preserve">reorganizāciju saistītās izmaksas – izmaksas par paziņojumu publicēšanu oficiālajā izdevumā „Latvijas Vēstnesis” un valsts nodeva par izmaiņu veikšanu komercreģistrā, kopā EUR 156,52 - tiks segtas no </w:t>
            </w:r>
            <w:r>
              <w:rPr>
                <w:rFonts w:ascii="Times New Roman" w:hAnsi="Times New Roman"/>
                <w:sz w:val="24"/>
                <w:szCs w:val="24"/>
                <w:shd w:val="clear" w:color="auto" w:fill="FFFFFF"/>
              </w:rPr>
              <w:t>BCE</w:t>
            </w:r>
            <w:r w:rsidR="003600AE">
              <w:rPr>
                <w:rFonts w:ascii="Times New Roman" w:hAnsi="Times New Roman"/>
                <w:sz w:val="24"/>
                <w:szCs w:val="24"/>
                <w:shd w:val="clear" w:color="auto" w:fill="FFFFFF"/>
              </w:rPr>
              <w:t xml:space="preserve"> un VNĪ </w:t>
            </w:r>
            <w:r w:rsidRPr="00593DA3">
              <w:rPr>
                <w:rFonts w:ascii="Times New Roman" w:hAnsi="Times New Roman"/>
                <w:sz w:val="24"/>
                <w:szCs w:val="24"/>
                <w:shd w:val="clear" w:color="auto" w:fill="FFFFFF"/>
              </w:rPr>
              <w:t xml:space="preserve"> </w:t>
            </w:r>
            <w:r w:rsidR="00593DA3" w:rsidRPr="00593DA3">
              <w:rPr>
                <w:rFonts w:ascii="Times New Roman" w:hAnsi="Times New Roman"/>
                <w:sz w:val="24"/>
                <w:szCs w:val="24"/>
                <w:shd w:val="clear" w:color="auto" w:fill="FFFFFF"/>
              </w:rPr>
              <w:t>finanšu līdzekļiem.</w:t>
            </w:r>
          </w:p>
          <w:p w:rsidR="00D71CD9" w:rsidRPr="00666361" w:rsidRDefault="00D71CD9" w:rsidP="00D71CD9">
            <w:pPr>
              <w:pStyle w:val="NoSpacing"/>
              <w:ind w:firstLine="379"/>
              <w:jc w:val="both"/>
              <w:rPr>
                <w:rFonts w:ascii="Times New Roman" w:hAnsi="Times New Roman"/>
                <w:sz w:val="24"/>
                <w:szCs w:val="24"/>
              </w:rPr>
            </w:pPr>
            <w:r w:rsidRPr="00D71CD9">
              <w:rPr>
                <w:rFonts w:ascii="Times New Roman" w:hAnsi="Times New Roman"/>
                <w:sz w:val="24"/>
                <w:szCs w:val="24"/>
              </w:rPr>
              <w:t>Rīkojuma projekts attiecas uz publiskās pārvaldes politiku.</w:t>
            </w:r>
          </w:p>
        </w:tc>
      </w:tr>
      <w:tr w:rsidR="00713808" w:rsidTr="00D3237B">
        <w:trPr>
          <w:tblCellSpacing w:w="15" w:type="dxa"/>
        </w:trPr>
        <w:tc>
          <w:tcPr>
            <w:tcW w:w="151" w:type="pct"/>
            <w:tcBorders>
              <w:top w:val="outset" w:sz="6" w:space="0" w:color="000000"/>
              <w:left w:val="nil"/>
              <w:bottom w:val="outset" w:sz="6" w:space="0" w:color="000000"/>
              <w:right w:val="outset" w:sz="6" w:space="0" w:color="000000"/>
            </w:tcBorders>
            <w:hideMark/>
          </w:tcPr>
          <w:p w:rsidR="00713808" w:rsidRDefault="00713808" w:rsidP="00D3237B">
            <w:pPr>
              <w:spacing w:before="100" w:beforeAutospacing="1" w:after="100" w:afterAutospacing="1" w:line="240" w:lineRule="auto"/>
              <w:rPr>
                <w:sz w:val="24"/>
                <w:szCs w:val="24"/>
                <w:lang w:eastAsia="lv-LV"/>
              </w:rPr>
            </w:pPr>
          </w:p>
        </w:tc>
        <w:tc>
          <w:tcPr>
            <w:tcW w:w="934" w:type="pct"/>
            <w:tcBorders>
              <w:top w:val="outset" w:sz="6" w:space="0" w:color="000000"/>
              <w:left w:val="outset" w:sz="6" w:space="0" w:color="000000"/>
              <w:bottom w:val="outset" w:sz="6" w:space="0" w:color="000000"/>
              <w:right w:val="outset" w:sz="6" w:space="0" w:color="000000"/>
            </w:tcBorders>
            <w:hideMark/>
          </w:tcPr>
          <w:p w:rsidR="00713808" w:rsidRDefault="00713808" w:rsidP="00D3237B">
            <w:pPr>
              <w:spacing w:before="100" w:beforeAutospacing="1" w:after="100" w:afterAutospacing="1" w:line="240" w:lineRule="auto"/>
              <w:rPr>
                <w:sz w:val="24"/>
                <w:szCs w:val="24"/>
                <w:lang w:eastAsia="lv-LV"/>
              </w:rPr>
            </w:pPr>
            <w:r>
              <w:rPr>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right w:val="nil"/>
            </w:tcBorders>
            <w:hideMark/>
          </w:tcPr>
          <w:p w:rsidR="00713808" w:rsidRDefault="00A46F64" w:rsidP="00666361">
            <w:pPr>
              <w:spacing w:before="100" w:beforeAutospacing="1" w:after="100" w:afterAutospacing="1" w:line="240" w:lineRule="auto"/>
              <w:ind w:firstLine="401"/>
              <w:jc w:val="both"/>
              <w:rPr>
                <w:sz w:val="24"/>
                <w:szCs w:val="24"/>
                <w:lang w:eastAsia="lv-LV"/>
              </w:rPr>
            </w:pPr>
            <w:r>
              <w:rPr>
                <w:sz w:val="24"/>
                <w:szCs w:val="24"/>
                <w:lang w:eastAsia="lv-LV"/>
              </w:rPr>
              <w:t>Rīkojuma p</w:t>
            </w:r>
            <w:r w:rsidR="00713808">
              <w:rPr>
                <w:sz w:val="24"/>
                <w:szCs w:val="24"/>
                <w:lang w:eastAsia="lv-LV"/>
              </w:rPr>
              <w:t xml:space="preserve">rojekta izstrādē ir iesaistīta </w:t>
            </w:r>
            <w:r>
              <w:rPr>
                <w:sz w:val="24"/>
                <w:szCs w:val="24"/>
                <w:lang w:eastAsia="lv-LV"/>
              </w:rPr>
              <w:t>VNĪ</w:t>
            </w:r>
            <w:r w:rsidR="00002CE5">
              <w:rPr>
                <w:sz w:val="24"/>
                <w:szCs w:val="24"/>
                <w:lang w:eastAsia="lv-LV"/>
              </w:rPr>
              <w:t>.</w:t>
            </w:r>
          </w:p>
        </w:tc>
      </w:tr>
      <w:tr w:rsidR="00713808" w:rsidTr="00D3237B">
        <w:trPr>
          <w:tblCellSpacing w:w="15" w:type="dxa"/>
        </w:trPr>
        <w:tc>
          <w:tcPr>
            <w:tcW w:w="151" w:type="pct"/>
            <w:tcBorders>
              <w:top w:val="outset" w:sz="6" w:space="0" w:color="000000"/>
              <w:left w:val="nil"/>
              <w:bottom w:val="outset" w:sz="6" w:space="0" w:color="000000"/>
              <w:right w:val="outset" w:sz="6" w:space="0" w:color="000000"/>
            </w:tcBorders>
            <w:hideMark/>
          </w:tcPr>
          <w:p w:rsidR="00713808" w:rsidRDefault="00713808" w:rsidP="00D3237B">
            <w:pPr>
              <w:spacing w:before="100" w:beforeAutospacing="1" w:after="100" w:afterAutospacing="1" w:line="240" w:lineRule="auto"/>
              <w:rPr>
                <w:sz w:val="24"/>
                <w:szCs w:val="24"/>
                <w:lang w:eastAsia="lv-LV"/>
              </w:rPr>
            </w:pPr>
            <w:r>
              <w:rPr>
                <w:sz w:val="24"/>
                <w:szCs w:val="24"/>
                <w:lang w:eastAsia="lv-LV"/>
              </w:rPr>
              <w:t>4.</w:t>
            </w:r>
          </w:p>
        </w:tc>
        <w:tc>
          <w:tcPr>
            <w:tcW w:w="934" w:type="pct"/>
            <w:tcBorders>
              <w:top w:val="outset" w:sz="6" w:space="0" w:color="000000"/>
              <w:left w:val="outset" w:sz="6" w:space="0" w:color="000000"/>
              <w:bottom w:val="outset" w:sz="6" w:space="0" w:color="000000"/>
              <w:right w:val="outset" w:sz="6" w:space="0" w:color="000000"/>
            </w:tcBorders>
            <w:hideMark/>
          </w:tcPr>
          <w:p w:rsidR="00713808" w:rsidRDefault="00713808" w:rsidP="00D3237B">
            <w:pPr>
              <w:spacing w:before="100" w:beforeAutospacing="1" w:after="100" w:afterAutospacing="1" w:line="240" w:lineRule="auto"/>
              <w:rPr>
                <w:sz w:val="24"/>
                <w:szCs w:val="24"/>
                <w:lang w:eastAsia="lv-LV"/>
              </w:rPr>
            </w:pPr>
            <w:r>
              <w:rPr>
                <w:sz w:val="24"/>
                <w:szCs w:val="24"/>
                <w:lang w:eastAsia="lv-LV"/>
              </w:rPr>
              <w:t>Cita informācija</w:t>
            </w:r>
          </w:p>
        </w:tc>
        <w:tc>
          <w:tcPr>
            <w:tcW w:w="3849" w:type="pct"/>
            <w:tcBorders>
              <w:top w:val="outset" w:sz="6" w:space="0" w:color="000000"/>
              <w:left w:val="outset" w:sz="6" w:space="0" w:color="000000"/>
              <w:bottom w:val="outset" w:sz="6" w:space="0" w:color="000000"/>
              <w:right w:val="nil"/>
            </w:tcBorders>
            <w:hideMark/>
          </w:tcPr>
          <w:p w:rsidR="00713808" w:rsidRDefault="00B82C34" w:rsidP="00C32C84">
            <w:pPr>
              <w:spacing w:before="100" w:beforeAutospacing="1" w:after="100" w:afterAutospacing="1" w:line="240" w:lineRule="auto"/>
              <w:ind w:firstLine="401"/>
              <w:jc w:val="both"/>
              <w:rPr>
                <w:sz w:val="24"/>
                <w:szCs w:val="24"/>
                <w:lang w:eastAsia="lv-LV"/>
              </w:rPr>
            </w:pPr>
            <w:r>
              <w:rPr>
                <w:sz w:val="24"/>
                <w:szCs w:val="24"/>
                <w:lang w:eastAsia="lv-LV"/>
              </w:rPr>
              <w:t>Nav.</w:t>
            </w:r>
          </w:p>
        </w:tc>
      </w:tr>
    </w:tbl>
    <w:p w:rsidR="008465CD" w:rsidRDefault="00556469" w:rsidP="00713808">
      <w:pPr>
        <w:spacing w:after="0" w:line="240" w:lineRule="auto"/>
        <w:rPr>
          <w:sz w:val="24"/>
          <w:szCs w:val="24"/>
          <w:lang w:eastAsia="lv-LV"/>
        </w:rPr>
      </w:pPr>
      <w:r>
        <w:rPr>
          <w:sz w:val="24"/>
          <w:szCs w:val="24"/>
          <w:lang w:eastAsia="lv-LV"/>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80"/>
        <w:gridCol w:w="2400"/>
        <w:gridCol w:w="6319"/>
      </w:tblGrid>
      <w:tr w:rsidR="00B82C34" w:rsidRPr="00801DFB" w:rsidTr="00D3237B">
        <w:trPr>
          <w:trHeight w:val="336"/>
          <w:tblCellSpacing w:w="15" w:type="dxa"/>
          <w:jc w:val="center"/>
        </w:trPr>
        <w:tc>
          <w:tcPr>
            <w:tcW w:w="4967" w:type="pct"/>
            <w:gridSpan w:val="3"/>
            <w:tcBorders>
              <w:top w:val="single" w:sz="4" w:space="0" w:color="auto"/>
              <w:left w:val="single" w:sz="4" w:space="0" w:color="auto"/>
              <w:bottom w:val="single" w:sz="4" w:space="0" w:color="auto"/>
              <w:right w:val="single" w:sz="4" w:space="0" w:color="auto"/>
            </w:tcBorders>
            <w:hideMark/>
          </w:tcPr>
          <w:p w:rsidR="00713808" w:rsidRPr="00801DFB" w:rsidRDefault="00713808" w:rsidP="00D3237B">
            <w:pPr>
              <w:spacing w:before="100" w:beforeAutospacing="1" w:after="100" w:afterAutospacing="1" w:line="360" w:lineRule="auto"/>
              <w:ind w:firstLine="300"/>
              <w:jc w:val="center"/>
              <w:rPr>
                <w:b/>
                <w:bCs/>
                <w:sz w:val="24"/>
                <w:szCs w:val="24"/>
                <w:lang w:eastAsia="lv-LV"/>
              </w:rPr>
            </w:pPr>
            <w:r w:rsidRPr="00801DFB">
              <w:rPr>
                <w:b/>
                <w:bCs/>
                <w:sz w:val="24"/>
                <w:szCs w:val="24"/>
                <w:lang w:eastAsia="lv-LV"/>
              </w:rPr>
              <w:t>VI. Sabiedrības līdzdalība un komunikācijas aktivitātes</w:t>
            </w:r>
          </w:p>
        </w:tc>
      </w:tr>
      <w:tr w:rsidR="00B82C34" w:rsidRPr="00801DFB" w:rsidTr="00D3237B">
        <w:trPr>
          <w:trHeight w:val="432"/>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713808" w:rsidRPr="00801DFB" w:rsidRDefault="00713808" w:rsidP="00D3237B">
            <w:pPr>
              <w:spacing w:after="0" w:line="240" w:lineRule="auto"/>
              <w:rPr>
                <w:sz w:val="24"/>
                <w:szCs w:val="24"/>
                <w:lang w:eastAsia="lv-LV"/>
              </w:rPr>
            </w:pPr>
            <w:r w:rsidRPr="00801DFB">
              <w:rPr>
                <w:sz w:val="24"/>
                <w:szCs w:val="24"/>
                <w:lang w:eastAsia="lv-LV"/>
              </w:rPr>
              <w:t>1.</w:t>
            </w:r>
          </w:p>
        </w:tc>
        <w:tc>
          <w:tcPr>
            <w:tcW w:w="1297" w:type="pct"/>
            <w:tcBorders>
              <w:top w:val="single" w:sz="4" w:space="0" w:color="auto"/>
              <w:left w:val="single" w:sz="4" w:space="0" w:color="auto"/>
              <w:bottom w:val="single" w:sz="4" w:space="0" w:color="auto"/>
              <w:right w:val="single" w:sz="4" w:space="0" w:color="auto"/>
            </w:tcBorders>
            <w:hideMark/>
          </w:tcPr>
          <w:p w:rsidR="00713808" w:rsidRPr="00801DFB" w:rsidRDefault="00713808" w:rsidP="00D3237B">
            <w:pPr>
              <w:spacing w:after="0" w:line="240" w:lineRule="auto"/>
              <w:rPr>
                <w:sz w:val="24"/>
                <w:szCs w:val="24"/>
                <w:lang w:eastAsia="lv-LV"/>
              </w:rPr>
            </w:pPr>
            <w:r w:rsidRPr="00801DFB">
              <w:rPr>
                <w:sz w:val="24"/>
                <w:szCs w:val="24"/>
                <w:lang w:eastAsia="lv-LV"/>
              </w:rPr>
              <w:t>Plānotās sabiedrības līdzdalības un komunikācijas aktivitātes saistībā ar projektu</w:t>
            </w:r>
          </w:p>
        </w:tc>
        <w:tc>
          <w:tcPr>
            <w:tcW w:w="3400" w:type="pct"/>
            <w:tcBorders>
              <w:top w:val="single" w:sz="4" w:space="0" w:color="auto"/>
              <w:left w:val="single" w:sz="4" w:space="0" w:color="auto"/>
              <w:bottom w:val="single" w:sz="4" w:space="0" w:color="auto"/>
              <w:right w:val="single" w:sz="4" w:space="0" w:color="auto"/>
            </w:tcBorders>
            <w:hideMark/>
          </w:tcPr>
          <w:p w:rsidR="00713808" w:rsidRPr="00801DFB" w:rsidRDefault="00713808" w:rsidP="00B3443B">
            <w:pPr>
              <w:spacing w:after="0" w:line="240" w:lineRule="auto"/>
              <w:ind w:left="112" w:firstLine="284"/>
              <w:jc w:val="both"/>
              <w:rPr>
                <w:sz w:val="24"/>
                <w:szCs w:val="24"/>
                <w:lang w:eastAsia="lv-LV"/>
              </w:rPr>
            </w:pPr>
            <w:r w:rsidRPr="00801DFB">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w:t>
            </w:r>
          </w:p>
          <w:p w:rsidR="00713808" w:rsidRPr="00801DFB" w:rsidRDefault="00713808" w:rsidP="00B3443B">
            <w:pPr>
              <w:spacing w:after="0" w:line="240" w:lineRule="auto"/>
              <w:ind w:left="112" w:firstLine="284"/>
              <w:jc w:val="both"/>
              <w:rPr>
                <w:sz w:val="24"/>
                <w:szCs w:val="24"/>
                <w:lang w:eastAsia="lv-LV"/>
              </w:rPr>
            </w:pPr>
            <w:r w:rsidRPr="00801DFB">
              <w:rPr>
                <w:sz w:val="24"/>
                <w:szCs w:val="24"/>
                <w:lang w:eastAsia="lv-LV"/>
              </w:rPr>
              <w:t xml:space="preserve">Rīkojuma projekts un tā anotācija pēc tā izsludināšanas Valsts sekretāru sanāksmē būs publiski pieejami Ministru kabineta mājas lapā - sadaļā </w:t>
            </w:r>
            <w:r w:rsidRPr="00801DFB">
              <w:rPr>
                <w:i/>
                <w:iCs/>
                <w:sz w:val="24"/>
                <w:szCs w:val="24"/>
                <w:lang w:eastAsia="lv-LV"/>
              </w:rPr>
              <w:t>Tiesību aktu projekti.</w:t>
            </w:r>
          </w:p>
        </w:tc>
      </w:tr>
      <w:tr w:rsidR="00B82C34" w:rsidRPr="00801DFB" w:rsidTr="00D3237B">
        <w:trPr>
          <w:trHeight w:val="264"/>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713808" w:rsidRPr="00801DFB" w:rsidRDefault="00713808" w:rsidP="00D3237B">
            <w:pPr>
              <w:spacing w:after="0" w:line="240" w:lineRule="auto"/>
              <w:rPr>
                <w:sz w:val="24"/>
                <w:szCs w:val="24"/>
                <w:lang w:eastAsia="lv-LV"/>
              </w:rPr>
            </w:pPr>
            <w:r w:rsidRPr="00801DFB">
              <w:rPr>
                <w:sz w:val="24"/>
                <w:szCs w:val="24"/>
                <w:lang w:eastAsia="lv-LV"/>
              </w:rPr>
              <w:t>2.</w:t>
            </w:r>
          </w:p>
        </w:tc>
        <w:tc>
          <w:tcPr>
            <w:tcW w:w="1297" w:type="pct"/>
            <w:tcBorders>
              <w:top w:val="single" w:sz="4" w:space="0" w:color="auto"/>
              <w:left w:val="single" w:sz="4" w:space="0" w:color="auto"/>
              <w:bottom w:val="single" w:sz="4" w:space="0" w:color="auto"/>
              <w:right w:val="single" w:sz="4" w:space="0" w:color="auto"/>
            </w:tcBorders>
            <w:hideMark/>
          </w:tcPr>
          <w:p w:rsidR="00713808" w:rsidRPr="00801DFB" w:rsidRDefault="00713808" w:rsidP="00D3237B">
            <w:pPr>
              <w:spacing w:after="0" w:line="240" w:lineRule="auto"/>
              <w:rPr>
                <w:sz w:val="24"/>
                <w:szCs w:val="24"/>
                <w:lang w:eastAsia="lv-LV"/>
              </w:rPr>
            </w:pPr>
            <w:r w:rsidRPr="00801DFB">
              <w:rPr>
                <w:sz w:val="24"/>
                <w:szCs w:val="24"/>
                <w:lang w:eastAsia="lv-LV"/>
              </w:rPr>
              <w:t>Sabiedrības līdzdalība projekta izstrādē</w:t>
            </w:r>
          </w:p>
        </w:tc>
        <w:tc>
          <w:tcPr>
            <w:tcW w:w="3400" w:type="pct"/>
            <w:tcBorders>
              <w:top w:val="single" w:sz="4" w:space="0" w:color="auto"/>
              <w:left w:val="single" w:sz="4" w:space="0" w:color="auto"/>
              <w:bottom w:val="single" w:sz="4" w:space="0" w:color="auto"/>
              <w:right w:val="single" w:sz="4" w:space="0" w:color="auto"/>
            </w:tcBorders>
            <w:hideMark/>
          </w:tcPr>
          <w:p w:rsidR="00713808" w:rsidRPr="00801DFB" w:rsidRDefault="00713808" w:rsidP="00B3443B">
            <w:pPr>
              <w:spacing w:after="0" w:line="240" w:lineRule="auto"/>
              <w:ind w:firstLine="396"/>
              <w:jc w:val="both"/>
              <w:rPr>
                <w:sz w:val="24"/>
                <w:szCs w:val="24"/>
                <w:lang w:eastAsia="lv-LV"/>
              </w:rPr>
            </w:pPr>
            <w:r w:rsidRPr="00801DFB">
              <w:rPr>
                <w:sz w:val="24"/>
                <w:szCs w:val="24"/>
                <w:lang w:eastAsia="lv-LV"/>
              </w:rPr>
              <w:t>Projekts šo jomu neskar.</w:t>
            </w:r>
          </w:p>
        </w:tc>
      </w:tr>
      <w:tr w:rsidR="00B82C34" w:rsidRPr="00801DFB" w:rsidTr="00D3237B">
        <w:trPr>
          <w:trHeight w:val="372"/>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713808" w:rsidRPr="00801DFB" w:rsidRDefault="00713808" w:rsidP="00D3237B">
            <w:pPr>
              <w:spacing w:after="0" w:line="240" w:lineRule="auto"/>
              <w:rPr>
                <w:sz w:val="24"/>
                <w:szCs w:val="24"/>
                <w:lang w:eastAsia="lv-LV"/>
              </w:rPr>
            </w:pPr>
            <w:r w:rsidRPr="00801DFB">
              <w:rPr>
                <w:sz w:val="24"/>
                <w:szCs w:val="24"/>
                <w:lang w:eastAsia="lv-LV"/>
              </w:rPr>
              <w:t>3.</w:t>
            </w:r>
          </w:p>
        </w:tc>
        <w:tc>
          <w:tcPr>
            <w:tcW w:w="1297" w:type="pct"/>
            <w:tcBorders>
              <w:top w:val="single" w:sz="4" w:space="0" w:color="auto"/>
              <w:left w:val="single" w:sz="4" w:space="0" w:color="auto"/>
              <w:bottom w:val="single" w:sz="4" w:space="0" w:color="auto"/>
              <w:right w:val="single" w:sz="4" w:space="0" w:color="auto"/>
            </w:tcBorders>
            <w:hideMark/>
          </w:tcPr>
          <w:p w:rsidR="00713808" w:rsidRPr="00801DFB" w:rsidRDefault="00713808" w:rsidP="00D3237B">
            <w:pPr>
              <w:spacing w:after="0" w:line="240" w:lineRule="auto"/>
              <w:rPr>
                <w:sz w:val="24"/>
                <w:szCs w:val="24"/>
                <w:lang w:eastAsia="lv-LV"/>
              </w:rPr>
            </w:pPr>
            <w:r w:rsidRPr="00801DFB">
              <w:rPr>
                <w:sz w:val="24"/>
                <w:szCs w:val="24"/>
                <w:lang w:eastAsia="lv-LV"/>
              </w:rPr>
              <w:t>Sabiedrības līdzdalības rezultāti</w:t>
            </w:r>
          </w:p>
        </w:tc>
        <w:tc>
          <w:tcPr>
            <w:tcW w:w="3400" w:type="pct"/>
            <w:tcBorders>
              <w:top w:val="single" w:sz="4" w:space="0" w:color="auto"/>
              <w:left w:val="single" w:sz="4" w:space="0" w:color="auto"/>
              <w:bottom w:val="single" w:sz="4" w:space="0" w:color="auto"/>
              <w:right w:val="single" w:sz="4" w:space="0" w:color="auto"/>
            </w:tcBorders>
            <w:hideMark/>
          </w:tcPr>
          <w:p w:rsidR="00713808" w:rsidRPr="00801DFB" w:rsidRDefault="00713808" w:rsidP="00B3443B">
            <w:pPr>
              <w:spacing w:after="0" w:line="240" w:lineRule="auto"/>
              <w:ind w:firstLine="396"/>
              <w:jc w:val="both"/>
              <w:rPr>
                <w:sz w:val="24"/>
                <w:szCs w:val="24"/>
                <w:lang w:eastAsia="lv-LV"/>
              </w:rPr>
            </w:pPr>
            <w:r w:rsidRPr="00801DFB">
              <w:rPr>
                <w:sz w:val="24"/>
                <w:szCs w:val="24"/>
              </w:rPr>
              <w:t>Projekts šo jomu neskar.</w:t>
            </w:r>
          </w:p>
        </w:tc>
      </w:tr>
      <w:tr w:rsidR="00B82C34" w:rsidRPr="00801DFB" w:rsidTr="00D3237B">
        <w:trPr>
          <w:trHeight w:val="372"/>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713808" w:rsidRPr="00801DFB" w:rsidRDefault="00713808" w:rsidP="00D3237B">
            <w:pPr>
              <w:spacing w:after="0" w:line="240" w:lineRule="auto"/>
              <w:rPr>
                <w:sz w:val="24"/>
                <w:szCs w:val="24"/>
                <w:lang w:eastAsia="lv-LV"/>
              </w:rPr>
            </w:pPr>
            <w:r w:rsidRPr="00801DFB">
              <w:rPr>
                <w:sz w:val="24"/>
                <w:szCs w:val="24"/>
                <w:lang w:eastAsia="lv-LV"/>
              </w:rPr>
              <w:t>4.</w:t>
            </w:r>
          </w:p>
        </w:tc>
        <w:tc>
          <w:tcPr>
            <w:tcW w:w="1297" w:type="pct"/>
            <w:tcBorders>
              <w:top w:val="single" w:sz="4" w:space="0" w:color="auto"/>
              <w:left w:val="single" w:sz="4" w:space="0" w:color="auto"/>
              <w:bottom w:val="single" w:sz="4" w:space="0" w:color="auto"/>
              <w:right w:val="single" w:sz="4" w:space="0" w:color="auto"/>
            </w:tcBorders>
            <w:hideMark/>
          </w:tcPr>
          <w:p w:rsidR="00713808" w:rsidRPr="00801DFB" w:rsidRDefault="00713808" w:rsidP="00D3237B">
            <w:pPr>
              <w:spacing w:after="0" w:line="240" w:lineRule="auto"/>
              <w:rPr>
                <w:sz w:val="24"/>
                <w:szCs w:val="24"/>
                <w:lang w:eastAsia="lv-LV"/>
              </w:rPr>
            </w:pPr>
            <w:r w:rsidRPr="00801DFB">
              <w:rPr>
                <w:sz w:val="24"/>
                <w:szCs w:val="24"/>
                <w:lang w:eastAsia="lv-LV"/>
              </w:rPr>
              <w:t>Cita informācija</w:t>
            </w:r>
          </w:p>
        </w:tc>
        <w:tc>
          <w:tcPr>
            <w:tcW w:w="3400" w:type="pct"/>
            <w:tcBorders>
              <w:top w:val="single" w:sz="4" w:space="0" w:color="auto"/>
              <w:left w:val="single" w:sz="4" w:space="0" w:color="auto"/>
              <w:bottom w:val="single" w:sz="4" w:space="0" w:color="auto"/>
              <w:right w:val="single" w:sz="4" w:space="0" w:color="auto"/>
            </w:tcBorders>
            <w:hideMark/>
          </w:tcPr>
          <w:p w:rsidR="00713808" w:rsidRPr="00801DFB" w:rsidRDefault="00713808" w:rsidP="00B3443B">
            <w:pPr>
              <w:spacing w:before="100" w:beforeAutospacing="1" w:after="100" w:afterAutospacing="1" w:line="240" w:lineRule="auto"/>
              <w:ind w:left="112" w:firstLine="189"/>
              <w:jc w:val="both"/>
              <w:rPr>
                <w:sz w:val="24"/>
                <w:szCs w:val="24"/>
                <w:lang w:eastAsia="lv-LV"/>
              </w:rPr>
            </w:pPr>
            <w:r w:rsidRPr="00801DFB">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713808" w:rsidRDefault="00713808" w:rsidP="00713808">
      <w:pPr>
        <w:spacing w:after="0" w:line="240" w:lineRule="auto"/>
        <w:rPr>
          <w:sz w:val="26"/>
          <w:szCs w:val="28"/>
          <w:lang w:eastAsia="lv-LV"/>
        </w:rPr>
      </w:pPr>
    </w:p>
    <w:p w:rsidR="00187E8C" w:rsidRPr="00801DFB" w:rsidRDefault="00187E8C" w:rsidP="00713808">
      <w:pPr>
        <w:spacing w:after="0" w:line="240" w:lineRule="auto"/>
        <w:rPr>
          <w:sz w:val="26"/>
          <w:szCs w:val="28"/>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6"/>
        <w:gridCol w:w="2293"/>
        <w:gridCol w:w="6233"/>
      </w:tblGrid>
      <w:tr w:rsidR="00B82C34" w:rsidRPr="00801DFB" w:rsidTr="00D3237B">
        <w:trPr>
          <w:tblCellSpacing w:w="15" w:type="dxa"/>
        </w:trPr>
        <w:tc>
          <w:tcPr>
            <w:tcW w:w="4967" w:type="pct"/>
            <w:gridSpan w:val="3"/>
            <w:tcBorders>
              <w:top w:val="outset" w:sz="6" w:space="0" w:color="000000"/>
              <w:left w:val="nil"/>
              <w:bottom w:val="outset" w:sz="6" w:space="0" w:color="000000"/>
              <w:right w:val="nil"/>
            </w:tcBorders>
            <w:hideMark/>
          </w:tcPr>
          <w:p w:rsidR="00713808" w:rsidRPr="00801DFB" w:rsidRDefault="00713808" w:rsidP="00D3237B">
            <w:pPr>
              <w:spacing w:before="100" w:beforeAutospacing="1" w:after="100" w:afterAutospacing="1" w:line="240" w:lineRule="auto"/>
              <w:jc w:val="center"/>
              <w:rPr>
                <w:b/>
                <w:bCs/>
                <w:sz w:val="24"/>
                <w:szCs w:val="24"/>
                <w:lang w:eastAsia="lv-LV"/>
              </w:rPr>
            </w:pPr>
            <w:r w:rsidRPr="00801DFB">
              <w:rPr>
                <w:b/>
                <w:bCs/>
                <w:sz w:val="24"/>
                <w:szCs w:val="24"/>
                <w:lang w:eastAsia="lv-LV"/>
              </w:rPr>
              <w:t>VII. Tiesību akta projekta izpildes nodrošināšana un tās ietekme uz institūcijām</w:t>
            </w:r>
          </w:p>
        </w:tc>
      </w:tr>
      <w:tr w:rsidR="00B82C34" w:rsidRPr="00801DFB" w:rsidTr="00D3237B">
        <w:trPr>
          <w:tblCellSpacing w:w="15" w:type="dxa"/>
        </w:trPr>
        <w:tc>
          <w:tcPr>
            <w:tcW w:w="262" w:type="pct"/>
            <w:tcBorders>
              <w:top w:val="outset" w:sz="6" w:space="0" w:color="000000"/>
              <w:left w:val="nil"/>
              <w:bottom w:val="outset" w:sz="6" w:space="0" w:color="000000"/>
              <w:right w:val="outset" w:sz="6" w:space="0" w:color="000000"/>
            </w:tcBorders>
            <w:hideMark/>
          </w:tcPr>
          <w:p w:rsidR="00713808" w:rsidRPr="00801DFB" w:rsidRDefault="00713808" w:rsidP="00D3237B">
            <w:pPr>
              <w:spacing w:before="100" w:beforeAutospacing="1" w:after="100" w:afterAutospacing="1" w:line="240" w:lineRule="auto"/>
              <w:rPr>
                <w:sz w:val="26"/>
                <w:szCs w:val="28"/>
                <w:lang w:eastAsia="lv-LV"/>
              </w:rPr>
            </w:pPr>
            <w:r w:rsidRPr="00801DFB">
              <w:rPr>
                <w:sz w:val="26"/>
                <w:szCs w:val="28"/>
                <w:lang w:eastAsia="lv-LV"/>
              </w:rPr>
              <w:t>1.</w:t>
            </w:r>
          </w:p>
        </w:tc>
        <w:tc>
          <w:tcPr>
            <w:tcW w:w="1260" w:type="pct"/>
            <w:tcBorders>
              <w:top w:val="outset" w:sz="6" w:space="0" w:color="000000"/>
              <w:left w:val="outset" w:sz="6" w:space="0" w:color="000000"/>
              <w:bottom w:val="outset" w:sz="6" w:space="0" w:color="000000"/>
              <w:right w:val="outset" w:sz="6" w:space="0" w:color="000000"/>
            </w:tcBorders>
            <w:hideMark/>
          </w:tcPr>
          <w:p w:rsidR="00713808" w:rsidRPr="00801DFB" w:rsidRDefault="00713808" w:rsidP="00D3237B">
            <w:pPr>
              <w:spacing w:before="100" w:beforeAutospacing="1" w:after="100" w:afterAutospacing="1" w:line="240" w:lineRule="auto"/>
              <w:rPr>
                <w:sz w:val="24"/>
                <w:szCs w:val="24"/>
                <w:lang w:eastAsia="lv-LV"/>
              </w:rPr>
            </w:pPr>
            <w:r w:rsidRPr="00801DFB">
              <w:rPr>
                <w:sz w:val="24"/>
                <w:szCs w:val="24"/>
                <w:lang w:eastAsia="lv-LV"/>
              </w:rPr>
              <w:t>Projekta izpildē iesaistītās institūcijas</w:t>
            </w:r>
          </w:p>
        </w:tc>
        <w:tc>
          <w:tcPr>
            <w:tcW w:w="3412" w:type="pct"/>
            <w:tcBorders>
              <w:top w:val="outset" w:sz="6" w:space="0" w:color="000000"/>
              <w:left w:val="outset" w:sz="6" w:space="0" w:color="000000"/>
              <w:bottom w:val="outset" w:sz="6" w:space="0" w:color="000000"/>
              <w:right w:val="nil"/>
            </w:tcBorders>
            <w:hideMark/>
          </w:tcPr>
          <w:p w:rsidR="00713808" w:rsidRPr="00801DFB" w:rsidRDefault="00E37DF7" w:rsidP="00E37DF7">
            <w:pPr>
              <w:spacing w:before="100" w:beforeAutospacing="1" w:after="100" w:afterAutospacing="1" w:line="240" w:lineRule="auto"/>
              <w:ind w:firstLine="377"/>
              <w:jc w:val="both"/>
              <w:rPr>
                <w:sz w:val="24"/>
                <w:szCs w:val="24"/>
                <w:lang w:eastAsia="lv-LV"/>
              </w:rPr>
            </w:pPr>
            <w:r w:rsidRPr="00E37DF7">
              <w:rPr>
                <w:sz w:val="24"/>
                <w:szCs w:val="24"/>
                <w:lang w:eastAsia="lv-LV"/>
              </w:rPr>
              <w:t xml:space="preserve">Par rīkojuma projekta izpildi atbildīgā ir Finanšu ministrija kā VNĪ kapitāldaļu turētāja, VNĪ un </w:t>
            </w:r>
            <w:r>
              <w:rPr>
                <w:sz w:val="24"/>
                <w:szCs w:val="24"/>
                <w:lang w:eastAsia="lv-LV"/>
              </w:rPr>
              <w:t>BCE</w:t>
            </w:r>
            <w:r w:rsidRPr="00E37DF7">
              <w:rPr>
                <w:sz w:val="24"/>
                <w:szCs w:val="24"/>
                <w:lang w:eastAsia="lv-LV"/>
              </w:rPr>
              <w:t>.</w:t>
            </w:r>
          </w:p>
        </w:tc>
      </w:tr>
      <w:tr w:rsidR="00B82C34" w:rsidRPr="00801DFB" w:rsidTr="00D3237B">
        <w:trPr>
          <w:tblCellSpacing w:w="15" w:type="dxa"/>
        </w:trPr>
        <w:tc>
          <w:tcPr>
            <w:tcW w:w="262" w:type="pct"/>
            <w:tcBorders>
              <w:top w:val="outset" w:sz="6" w:space="0" w:color="000000"/>
              <w:left w:val="nil"/>
              <w:bottom w:val="outset" w:sz="6" w:space="0" w:color="000000"/>
              <w:right w:val="outset" w:sz="6" w:space="0" w:color="000000"/>
            </w:tcBorders>
            <w:hideMark/>
          </w:tcPr>
          <w:p w:rsidR="00713808" w:rsidRPr="00801DFB" w:rsidRDefault="00713808" w:rsidP="00D3237B">
            <w:pPr>
              <w:spacing w:before="100" w:beforeAutospacing="1" w:after="100" w:afterAutospacing="1" w:line="240" w:lineRule="auto"/>
              <w:rPr>
                <w:sz w:val="26"/>
                <w:szCs w:val="28"/>
                <w:lang w:eastAsia="lv-LV"/>
              </w:rPr>
            </w:pPr>
            <w:r w:rsidRPr="00801DFB">
              <w:rPr>
                <w:sz w:val="26"/>
                <w:szCs w:val="28"/>
                <w:lang w:eastAsia="lv-LV"/>
              </w:rPr>
              <w:t>2.</w:t>
            </w:r>
          </w:p>
        </w:tc>
        <w:tc>
          <w:tcPr>
            <w:tcW w:w="1260" w:type="pct"/>
            <w:tcBorders>
              <w:top w:val="outset" w:sz="6" w:space="0" w:color="000000"/>
              <w:left w:val="outset" w:sz="6" w:space="0" w:color="000000"/>
              <w:bottom w:val="outset" w:sz="6" w:space="0" w:color="000000"/>
              <w:right w:val="outset" w:sz="6" w:space="0" w:color="000000"/>
            </w:tcBorders>
            <w:hideMark/>
          </w:tcPr>
          <w:p w:rsidR="00713808" w:rsidRPr="00801DFB" w:rsidRDefault="00713808" w:rsidP="00D3237B">
            <w:pPr>
              <w:spacing w:before="100" w:beforeAutospacing="1" w:after="100" w:afterAutospacing="1" w:line="240" w:lineRule="auto"/>
              <w:rPr>
                <w:sz w:val="24"/>
                <w:szCs w:val="24"/>
                <w:lang w:eastAsia="lv-LV"/>
              </w:rPr>
            </w:pPr>
            <w:r w:rsidRPr="00801DFB">
              <w:rPr>
                <w:sz w:val="24"/>
                <w:szCs w:val="24"/>
                <w:lang w:eastAsia="lv-LV"/>
              </w:rPr>
              <w:t xml:space="preserve">Projekta izpildes ietekme uz pārvaldes funkcijām un institucionālo </w:t>
            </w:r>
            <w:r w:rsidRPr="00801DFB">
              <w:rPr>
                <w:sz w:val="24"/>
                <w:szCs w:val="24"/>
                <w:lang w:eastAsia="lv-LV"/>
              </w:rPr>
              <w:lastRenderedPageBreak/>
              <w:t xml:space="preserve">struktūru. </w:t>
            </w:r>
          </w:p>
          <w:p w:rsidR="00713808" w:rsidRPr="00801DFB" w:rsidRDefault="00713808" w:rsidP="00D3237B">
            <w:pPr>
              <w:spacing w:before="100" w:beforeAutospacing="1" w:after="100" w:afterAutospacing="1" w:line="240" w:lineRule="auto"/>
              <w:rPr>
                <w:sz w:val="24"/>
                <w:szCs w:val="24"/>
                <w:lang w:eastAsia="lv-LV"/>
              </w:rPr>
            </w:pPr>
            <w:r w:rsidRPr="00801DFB">
              <w:rPr>
                <w:sz w:val="24"/>
                <w:szCs w:val="24"/>
                <w:lang w:eastAsia="lv-LV"/>
              </w:rPr>
              <w:t>Jaunu institūciju izveide, esošu institūciju likvidācija vai reorganizācija, to ietekme uz institūcijas cilvēkresursiem</w:t>
            </w:r>
          </w:p>
        </w:tc>
        <w:tc>
          <w:tcPr>
            <w:tcW w:w="3412" w:type="pct"/>
            <w:tcBorders>
              <w:top w:val="outset" w:sz="6" w:space="0" w:color="000000"/>
              <w:left w:val="outset" w:sz="6" w:space="0" w:color="000000"/>
              <w:bottom w:val="outset" w:sz="6" w:space="0" w:color="000000"/>
              <w:right w:val="nil"/>
            </w:tcBorders>
            <w:hideMark/>
          </w:tcPr>
          <w:p w:rsidR="00713808" w:rsidRPr="00801DFB" w:rsidRDefault="00593DA3" w:rsidP="00B3443B">
            <w:pPr>
              <w:spacing w:before="100" w:beforeAutospacing="1" w:after="100" w:afterAutospacing="1" w:line="240" w:lineRule="auto"/>
              <w:ind w:firstLine="377"/>
              <w:jc w:val="both"/>
              <w:rPr>
                <w:sz w:val="24"/>
                <w:szCs w:val="24"/>
                <w:lang w:eastAsia="lv-LV"/>
              </w:rPr>
            </w:pPr>
            <w:r>
              <w:lastRenderedPageBreak/>
              <w:t xml:space="preserve"> </w:t>
            </w:r>
            <w:r w:rsidRPr="00593DA3">
              <w:rPr>
                <w:sz w:val="24"/>
                <w:szCs w:val="24"/>
                <w:lang w:eastAsia="lv-LV"/>
              </w:rPr>
              <w:t>Jaunu institūciju izveide, esošo institūciju likvidācija vai reorganizācija nav nepieciešama.</w:t>
            </w:r>
          </w:p>
        </w:tc>
      </w:tr>
      <w:tr w:rsidR="00B82C34" w:rsidRPr="00801DFB" w:rsidTr="00D3237B">
        <w:trPr>
          <w:tblCellSpacing w:w="15" w:type="dxa"/>
        </w:trPr>
        <w:tc>
          <w:tcPr>
            <w:tcW w:w="262" w:type="pct"/>
            <w:tcBorders>
              <w:top w:val="outset" w:sz="6" w:space="0" w:color="000000"/>
              <w:left w:val="nil"/>
              <w:bottom w:val="outset" w:sz="6" w:space="0" w:color="000000"/>
              <w:right w:val="outset" w:sz="6" w:space="0" w:color="000000"/>
            </w:tcBorders>
            <w:hideMark/>
          </w:tcPr>
          <w:p w:rsidR="00713808" w:rsidRPr="00801DFB" w:rsidRDefault="00713808" w:rsidP="00D3237B">
            <w:pPr>
              <w:spacing w:after="0" w:line="240" w:lineRule="auto"/>
              <w:rPr>
                <w:sz w:val="26"/>
                <w:szCs w:val="28"/>
                <w:lang w:eastAsia="lv-LV"/>
              </w:rPr>
            </w:pPr>
            <w:r w:rsidRPr="00801DFB">
              <w:rPr>
                <w:sz w:val="26"/>
                <w:szCs w:val="28"/>
                <w:lang w:eastAsia="lv-LV"/>
              </w:rPr>
              <w:t>3.</w:t>
            </w:r>
          </w:p>
        </w:tc>
        <w:tc>
          <w:tcPr>
            <w:tcW w:w="1260" w:type="pct"/>
            <w:tcBorders>
              <w:top w:val="outset" w:sz="6" w:space="0" w:color="000000"/>
              <w:left w:val="outset" w:sz="6" w:space="0" w:color="000000"/>
              <w:bottom w:val="outset" w:sz="6" w:space="0" w:color="000000"/>
              <w:right w:val="outset" w:sz="6" w:space="0" w:color="000000"/>
            </w:tcBorders>
            <w:hideMark/>
          </w:tcPr>
          <w:p w:rsidR="00713808" w:rsidRPr="00801DFB" w:rsidRDefault="00713808" w:rsidP="00D3237B">
            <w:pPr>
              <w:spacing w:after="0" w:line="240" w:lineRule="auto"/>
              <w:rPr>
                <w:sz w:val="24"/>
                <w:szCs w:val="24"/>
                <w:lang w:eastAsia="lv-LV"/>
              </w:rPr>
            </w:pPr>
            <w:r w:rsidRPr="00801DFB">
              <w:rPr>
                <w:sz w:val="24"/>
                <w:szCs w:val="24"/>
                <w:lang w:eastAsia="lv-LV"/>
              </w:rPr>
              <w:t>Cita informācija</w:t>
            </w:r>
          </w:p>
        </w:tc>
        <w:tc>
          <w:tcPr>
            <w:tcW w:w="3412" w:type="pct"/>
            <w:tcBorders>
              <w:top w:val="outset" w:sz="6" w:space="0" w:color="000000"/>
              <w:left w:val="outset" w:sz="6" w:space="0" w:color="000000"/>
              <w:bottom w:val="outset" w:sz="6" w:space="0" w:color="000000"/>
              <w:right w:val="nil"/>
            </w:tcBorders>
            <w:hideMark/>
          </w:tcPr>
          <w:p w:rsidR="00713808" w:rsidRPr="00801DFB" w:rsidRDefault="00713808" w:rsidP="00B3443B">
            <w:pPr>
              <w:spacing w:after="0" w:line="240" w:lineRule="auto"/>
              <w:ind w:firstLine="377"/>
              <w:jc w:val="both"/>
              <w:rPr>
                <w:sz w:val="24"/>
                <w:szCs w:val="24"/>
                <w:lang w:eastAsia="lv-LV"/>
              </w:rPr>
            </w:pPr>
            <w:r w:rsidRPr="00801DFB">
              <w:rPr>
                <w:sz w:val="24"/>
                <w:szCs w:val="24"/>
                <w:lang w:eastAsia="lv-LV"/>
              </w:rPr>
              <w:t>Nav.</w:t>
            </w:r>
          </w:p>
        </w:tc>
      </w:tr>
    </w:tbl>
    <w:p w:rsidR="00EB1785" w:rsidRPr="00556469" w:rsidRDefault="00EB1785" w:rsidP="00EB1785">
      <w:pPr>
        <w:spacing w:after="0" w:line="240" w:lineRule="auto"/>
        <w:ind w:firstLine="720"/>
        <w:rPr>
          <w:sz w:val="24"/>
          <w:szCs w:val="24"/>
          <w:lang w:eastAsia="lv-LV"/>
        </w:rPr>
      </w:pPr>
      <w:r w:rsidRPr="00556469">
        <w:rPr>
          <w:bCs/>
          <w:i/>
          <w:sz w:val="24"/>
          <w:szCs w:val="24"/>
        </w:rPr>
        <w:t>Anotācijas</w:t>
      </w:r>
      <w:r w:rsidR="00556469" w:rsidRPr="00556469">
        <w:rPr>
          <w:bCs/>
          <w:i/>
          <w:sz w:val="24"/>
          <w:szCs w:val="24"/>
        </w:rPr>
        <w:t xml:space="preserve"> </w:t>
      </w:r>
      <w:r w:rsidR="00593DA3">
        <w:rPr>
          <w:bCs/>
          <w:i/>
          <w:sz w:val="24"/>
          <w:szCs w:val="24"/>
        </w:rPr>
        <w:t xml:space="preserve">II, </w:t>
      </w:r>
      <w:r w:rsidR="00841516">
        <w:rPr>
          <w:bCs/>
          <w:i/>
          <w:sz w:val="24"/>
          <w:szCs w:val="24"/>
        </w:rPr>
        <w:t xml:space="preserve">III, </w:t>
      </w:r>
      <w:r w:rsidRPr="00556469">
        <w:rPr>
          <w:bCs/>
          <w:i/>
          <w:sz w:val="24"/>
          <w:szCs w:val="24"/>
        </w:rPr>
        <w:t>IV un V sadaļa –projekts šīs jomas neskar.</w:t>
      </w:r>
    </w:p>
    <w:p w:rsidR="00187E8C" w:rsidRDefault="00187E8C" w:rsidP="00713808">
      <w:pPr>
        <w:spacing w:after="0" w:line="240" w:lineRule="auto"/>
        <w:ind w:firstLine="720"/>
        <w:rPr>
          <w:sz w:val="24"/>
          <w:szCs w:val="24"/>
          <w:lang w:eastAsia="lv-LV"/>
        </w:rPr>
      </w:pPr>
    </w:p>
    <w:p w:rsidR="00421921" w:rsidRDefault="00421921" w:rsidP="00187E8C">
      <w:pPr>
        <w:spacing w:after="0" w:line="240" w:lineRule="auto"/>
        <w:ind w:firstLine="709"/>
        <w:rPr>
          <w:sz w:val="24"/>
          <w:szCs w:val="24"/>
          <w:lang w:eastAsia="lv-LV"/>
        </w:rPr>
      </w:pPr>
    </w:p>
    <w:p w:rsidR="00357393" w:rsidRDefault="00357393" w:rsidP="00187E8C">
      <w:pPr>
        <w:spacing w:after="0" w:line="240" w:lineRule="auto"/>
        <w:ind w:firstLine="709"/>
        <w:rPr>
          <w:sz w:val="24"/>
          <w:szCs w:val="24"/>
          <w:lang w:eastAsia="lv-LV"/>
        </w:rPr>
      </w:pPr>
      <w:bookmarkStart w:id="0" w:name="_GoBack"/>
      <w:bookmarkEnd w:id="0"/>
    </w:p>
    <w:p w:rsidR="00421921" w:rsidRDefault="00357393" w:rsidP="00187E8C">
      <w:pPr>
        <w:spacing w:after="0" w:line="240" w:lineRule="auto"/>
        <w:ind w:firstLine="709"/>
        <w:rPr>
          <w:sz w:val="24"/>
          <w:szCs w:val="24"/>
          <w:lang w:eastAsia="lv-LV"/>
        </w:rPr>
      </w:pPr>
      <w:r>
        <w:rPr>
          <w:sz w:val="24"/>
          <w:szCs w:val="24"/>
          <w:lang w:eastAsia="lv-LV"/>
        </w:rPr>
        <w:t>Finanšu ministres vietā</w:t>
      </w:r>
    </w:p>
    <w:p w:rsidR="00357393" w:rsidRDefault="00357393" w:rsidP="00187E8C">
      <w:pPr>
        <w:spacing w:after="0" w:line="240" w:lineRule="auto"/>
        <w:ind w:firstLine="709"/>
        <w:rPr>
          <w:sz w:val="24"/>
          <w:szCs w:val="24"/>
          <w:lang w:eastAsia="lv-LV"/>
        </w:rPr>
      </w:pPr>
      <w:r>
        <w:rPr>
          <w:sz w:val="24"/>
          <w:szCs w:val="24"/>
          <w:lang w:eastAsia="lv-LV"/>
        </w:rPr>
        <w:t>Ministru prezidents</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t>M.Kučinskis</w:t>
      </w:r>
    </w:p>
    <w:p w:rsidR="00421921" w:rsidRDefault="00421921" w:rsidP="00187E8C">
      <w:pPr>
        <w:spacing w:after="0" w:line="240" w:lineRule="auto"/>
        <w:ind w:firstLine="709"/>
        <w:rPr>
          <w:sz w:val="18"/>
          <w:szCs w:val="18"/>
          <w:lang w:eastAsia="lv-LV"/>
        </w:rPr>
      </w:pPr>
    </w:p>
    <w:p w:rsidR="00421921" w:rsidRDefault="00421921" w:rsidP="00187E8C">
      <w:pPr>
        <w:spacing w:after="0" w:line="240" w:lineRule="auto"/>
        <w:ind w:firstLine="709"/>
        <w:rPr>
          <w:sz w:val="18"/>
          <w:szCs w:val="18"/>
          <w:lang w:eastAsia="lv-LV"/>
        </w:rPr>
      </w:pPr>
    </w:p>
    <w:p w:rsidR="00421921" w:rsidRDefault="00421921" w:rsidP="00187E8C">
      <w:pPr>
        <w:spacing w:after="0" w:line="240" w:lineRule="auto"/>
        <w:ind w:firstLine="709"/>
        <w:rPr>
          <w:sz w:val="18"/>
          <w:szCs w:val="18"/>
          <w:lang w:eastAsia="lv-LV"/>
        </w:rPr>
      </w:pPr>
    </w:p>
    <w:p w:rsidR="00421921" w:rsidRDefault="00421921" w:rsidP="00187E8C">
      <w:pPr>
        <w:spacing w:after="0" w:line="240" w:lineRule="auto"/>
        <w:ind w:firstLine="709"/>
        <w:rPr>
          <w:sz w:val="18"/>
          <w:szCs w:val="18"/>
          <w:lang w:eastAsia="lv-LV"/>
        </w:rPr>
      </w:pPr>
    </w:p>
    <w:p w:rsidR="00421921" w:rsidRDefault="00421921" w:rsidP="00187E8C">
      <w:pPr>
        <w:spacing w:after="0" w:line="240" w:lineRule="auto"/>
        <w:ind w:firstLine="709"/>
        <w:rPr>
          <w:sz w:val="18"/>
          <w:szCs w:val="18"/>
          <w:lang w:eastAsia="lv-LV"/>
        </w:rPr>
      </w:pPr>
    </w:p>
    <w:p w:rsidR="00421921" w:rsidRDefault="00421921" w:rsidP="00187E8C">
      <w:pPr>
        <w:spacing w:after="0" w:line="240" w:lineRule="auto"/>
        <w:ind w:firstLine="709"/>
        <w:rPr>
          <w:sz w:val="18"/>
          <w:szCs w:val="18"/>
          <w:lang w:eastAsia="lv-LV"/>
        </w:rPr>
      </w:pPr>
    </w:p>
    <w:p w:rsidR="00421921" w:rsidRDefault="00421921" w:rsidP="00187E8C">
      <w:pPr>
        <w:spacing w:after="0" w:line="240" w:lineRule="auto"/>
        <w:ind w:firstLine="709"/>
        <w:rPr>
          <w:sz w:val="18"/>
          <w:szCs w:val="18"/>
          <w:lang w:eastAsia="lv-LV"/>
        </w:rPr>
      </w:pPr>
    </w:p>
    <w:p w:rsidR="00421921" w:rsidRDefault="00421921" w:rsidP="00187E8C">
      <w:pPr>
        <w:spacing w:after="0" w:line="240" w:lineRule="auto"/>
        <w:ind w:firstLine="709"/>
        <w:rPr>
          <w:sz w:val="18"/>
          <w:szCs w:val="18"/>
          <w:lang w:eastAsia="lv-LV"/>
        </w:rPr>
      </w:pPr>
    </w:p>
    <w:p w:rsidR="00421921" w:rsidRDefault="00421921" w:rsidP="00187E8C">
      <w:pPr>
        <w:spacing w:after="0" w:line="240" w:lineRule="auto"/>
        <w:ind w:firstLine="709"/>
        <w:rPr>
          <w:sz w:val="18"/>
          <w:szCs w:val="18"/>
          <w:lang w:eastAsia="lv-LV"/>
        </w:rPr>
      </w:pPr>
    </w:p>
    <w:p w:rsidR="00713808" w:rsidRDefault="00357393" w:rsidP="00187E8C">
      <w:pPr>
        <w:spacing w:after="0" w:line="240" w:lineRule="auto"/>
        <w:ind w:firstLine="709"/>
        <w:rPr>
          <w:sz w:val="18"/>
          <w:szCs w:val="18"/>
          <w:lang w:eastAsia="lv-LV"/>
        </w:rPr>
      </w:pPr>
      <w:r>
        <w:rPr>
          <w:sz w:val="18"/>
          <w:szCs w:val="18"/>
          <w:lang w:eastAsia="lv-LV"/>
        </w:rPr>
        <w:t>05</w:t>
      </w:r>
      <w:r w:rsidR="00455FF7">
        <w:rPr>
          <w:sz w:val="18"/>
          <w:szCs w:val="18"/>
          <w:lang w:eastAsia="lv-LV"/>
        </w:rPr>
        <w:t>.0</w:t>
      </w:r>
      <w:r>
        <w:rPr>
          <w:sz w:val="18"/>
          <w:szCs w:val="18"/>
          <w:lang w:eastAsia="lv-LV"/>
        </w:rPr>
        <w:t>9</w:t>
      </w:r>
      <w:r w:rsidR="00455FF7">
        <w:rPr>
          <w:sz w:val="18"/>
          <w:szCs w:val="18"/>
          <w:lang w:eastAsia="lv-LV"/>
        </w:rPr>
        <w:t>.</w:t>
      </w:r>
      <w:r w:rsidR="00137C34">
        <w:rPr>
          <w:sz w:val="18"/>
          <w:szCs w:val="18"/>
          <w:lang w:eastAsia="lv-LV"/>
        </w:rPr>
        <w:t>2016</w:t>
      </w:r>
      <w:r w:rsidR="00713808">
        <w:rPr>
          <w:sz w:val="18"/>
          <w:szCs w:val="18"/>
          <w:lang w:eastAsia="lv-LV"/>
        </w:rPr>
        <w:t xml:space="preserve">. </w:t>
      </w:r>
      <w:r>
        <w:rPr>
          <w:sz w:val="18"/>
          <w:szCs w:val="18"/>
          <w:lang w:eastAsia="lv-LV"/>
        </w:rPr>
        <w:t>9.30</w:t>
      </w:r>
    </w:p>
    <w:p w:rsidR="00713808" w:rsidRDefault="00DF64DF" w:rsidP="00187E8C">
      <w:pPr>
        <w:spacing w:after="0" w:line="240" w:lineRule="auto"/>
        <w:ind w:firstLine="709"/>
        <w:rPr>
          <w:sz w:val="18"/>
          <w:szCs w:val="18"/>
          <w:lang w:eastAsia="lv-LV"/>
        </w:rPr>
      </w:pPr>
      <w:r>
        <w:rPr>
          <w:sz w:val="18"/>
          <w:szCs w:val="18"/>
          <w:lang w:eastAsia="lv-LV"/>
        </w:rPr>
        <w:t>2</w:t>
      </w:r>
      <w:r w:rsidR="000A62B6">
        <w:rPr>
          <w:sz w:val="18"/>
          <w:szCs w:val="18"/>
          <w:lang w:eastAsia="lv-LV"/>
        </w:rPr>
        <w:t>29</w:t>
      </w:r>
      <w:r w:rsidR="00357393">
        <w:rPr>
          <w:sz w:val="18"/>
          <w:szCs w:val="18"/>
          <w:lang w:eastAsia="lv-LV"/>
        </w:rPr>
        <w:t>6</w:t>
      </w:r>
    </w:p>
    <w:p w:rsidR="00556469" w:rsidRPr="003D099F" w:rsidRDefault="008E24E3" w:rsidP="00187E8C">
      <w:pPr>
        <w:spacing w:after="0"/>
        <w:ind w:firstLine="709"/>
        <w:rPr>
          <w:sz w:val="18"/>
          <w:szCs w:val="18"/>
        </w:rPr>
      </w:pPr>
      <w:r>
        <w:rPr>
          <w:sz w:val="18"/>
          <w:szCs w:val="18"/>
        </w:rPr>
        <w:t>M.Reders</w:t>
      </w:r>
    </w:p>
    <w:p w:rsidR="007D088B" w:rsidRPr="0040520F" w:rsidRDefault="00556469" w:rsidP="00187E8C">
      <w:pPr>
        <w:ind w:firstLine="709"/>
        <w:rPr>
          <w:sz w:val="18"/>
          <w:szCs w:val="18"/>
          <w:lang w:eastAsia="lv-LV"/>
        </w:rPr>
      </w:pPr>
      <w:r w:rsidRPr="003D099F">
        <w:rPr>
          <w:sz w:val="18"/>
          <w:szCs w:val="18"/>
        </w:rPr>
        <w:t>67024</w:t>
      </w:r>
      <w:r w:rsidR="008E24E3">
        <w:rPr>
          <w:sz w:val="18"/>
          <w:szCs w:val="18"/>
        </w:rPr>
        <w:t>635</w:t>
      </w:r>
      <w:r w:rsidRPr="003D099F">
        <w:rPr>
          <w:sz w:val="18"/>
          <w:szCs w:val="18"/>
        </w:rPr>
        <w:t xml:space="preserve">, </w:t>
      </w:r>
      <w:r w:rsidR="00986707">
        <w:rPr>
          <w:sz w:val="18"/>
          <w:szCs w:val="18"/>
        </w:rPr>
        <w:t>Mareks.reders@vni.lv</w:t>
      </w:r>
    </w:p>
    <w:sectPr w:rsidR="007D088B" w:rsidRPr="0040520F" w:rsidSect="00E81A2C">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C4F" w:rsidRDefault="00EB6C4F">
      <w:pPr>
        <w:spacing w:after="0" w:line="240" w:lineRule="auto"/>
      </w:pPr>
      <w:r>
        <w:separator/>
      </w:r>
    </w:p>
  </w:endnote>
  <w:endnote w:type="continuationSeparator" w:id="0">
    <w:p w:rsidR="00EB6C4F" w:rsidRDefault="00EB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F65" w:rsidRDefault="00587F65" w:rsidP="00D3237B">
    <w:pPr>
      <w:pStyle w:val="naisc"/>
      <w:spacing w:before="0" w:after="0"/>
      <w:rPr>
        <w:sz w:val="18"/>
        <w:szCs w:val="18"/>
      </w:rPr>
    </w:pPr>
  </w:p>
  <w:p w:rsidR="00587F65" w:rsidRPr="00FE3155" w:rsidRDefault="00587F65" w:rsidP="003073EA">
    <w:pPr>
      <w:pStyle w:val="naisc"/>
      <w:spacing w:before="0" w:after="0"/>
      <w:jc w:val="both"/>
      <w:rPr>
        <w:sz w:val="20"/>
        <w:szCs w:val="20"/>
      </w:rPr>
    </w:pPr>
    <w:r w:rsidRPr="00AB5849">
      <w:rPr>
        <w:sz w:val="20"/>
        <w:szCs w:val="20"/>
      </w:rPr>
      <w:t>FManot_</w:t>
    </w:r>
    <w:r w:rsidR="00357393">
      <w:rPr>
        <w:sz w:val="20"/>
        <w:szCs w:val="20"/>
      </w:rPr>
      <w:t>0509</w:t>
    </w:r>
    <w:r w:rsidR="004E2BA5">
      <w:rPr>
        <w:sz w:val="20"/>
        <w:szCs w:val="20"/>
      </w:rPr>
      <w:t>16</w:t>
    </w:r>
    <w:r w:rsidRPr="00AB5849">
      <w:rPr>
        <w:sz w:val="20"/>
        <w:szCs w:val="20"/>
      </w:rPr>
      <w:t>_</w:t>
    </w:r>
    <w:r>
      <w:rPr>
        <w:sz w:val="20"/>
        <w:szCs w:val="20"/>
      </w:rPr>
      <w:t>BE</w:t>
    </w:r>
    <w:r w:rsidR="004E2BA5">
      <w:rPr>
        <w:sz w:val="20"/>
        <w:szCs w:val="20"/>
      </w:rPr>
      <w:t>I</w:t>
    </w:r>
    <w:r w:rsidRPr="00AB5849">
      <w:rPr>
        <w:sz w:val="20"/>
        <w:szCs w:val="20"/>
      </w:rPr>
      <w:t xml:space="preserve">; </w:t>
    </w:r>
    <w:r w:rsidRPr="003073EA">
      <w:rPr>
        <w:sz w:val="20"/>
        <w:szCs w:val="20"/>
      </w:rPr>
      <w:t>Ministru kabineta rīkojuma projekta „</w:t>
    </w:r>
    <w:r w:rsidRPr="004D7884">
      <w:rPr>
        <w:sz w:val="20"/>
        <w:szCs w:val="20"/>
      </w:rPr>
      <w:t>Par atļauju izbeigt līdzdalību un uzsākt reorganizāciju</w:t>
    </w:r>
    <w:r w:rsidRPr="003073EA">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F65" w:rsidRDefault="00587F65" w:rsidP="00D3237B">
    <w:pPr>
      <w:pStyle w:val="naisc"/>
      <w:spacing w:before="0" w:after="0"/>
      <w:rPr>
        <w:sz w:val="18"/>
        <w:szCs w:val="18"/>
      </w:rPr>
    </w:pPr>
  </w:p>
  <w:p w:rsidR="00587F65" w:rsidRPr="00AB5849" w:rsidRDefault="00587F65" w:rsidP="003073EA">
    <w:pPr>
      <w:pStyle w:val="naisc"/>
      <w:spacing w:before="0" w:after="0"/>
      <w:jc w:val="both"/>
      <w:rPr>
        <w:sz w:val="20"/>
        <w:szCs w:val="20"/>
      </w:rPr>
    </w:pPr>
    <w:r w:rsidRPr="00AB5849">
      <w:rPr>
        <w:sz w:val="20"/>
        <w:szCs w:val="20"/>
      </w:rPr>
      <w:t>FManot_</w:t>
    </w:r>
    <w:r w:rsidR="00357393">
      <w:rPr>
        <w:sz w:val="20"/>
        <w:szCs w:val="20"/>
      </w:rPr>
      <w:t>0509</w:t>
    </w:r>
    <w:r>
      <w:rPr>
        <w:sz w:val="20"/>
        <w:szCs w:val="20"/>
      </w:rPr>
      <w:t>16</w:t>
    </w:r>
    <w:r w:rsidRPr="00AB5849">
      <w:rPr>
        <w:sz w:val="20"/>
        <w:szCs w:val="20"/>
      </w:rPr>
      <w:t>_</w:t>
    </w:r>
    <w:r>
      <w:rPr>
        <w:sz w:val="20"/>
        <w:szCs w:val="20"/>
      </w:rPr>
      <w:t>BE</w:t>
    </w:r>
    <w:r w:rsidR="004E2BA5">
      <w:rPr>
        <w:sz w:val="20"/>
        <w:szCs w:val="20"/>
      </w:rPr>
      <w:t>I</w:t>
    </w:r>
    <w:r w:rsidRPr="00AB5849">
      <w:rPr>
        <w:sz w:val="20"/>
        <w:szCs w:val="20"/>
      </w:rPr>
      <w:t xml:space="preserve">; </w:t>
    </w:r>
    <w:r w:rsidRPr="003073EA">
      <w:rPr>
        <w:sz w:val="20"/>
        <w:szCs w:val="20"/>
      </w:rPr>
      <w:t>Ministru kabineta rīkojuma projekta „</w:t>
    </w:r>
    <w:r w:rsidRPr="004D7884">
      <w:rPr>
        <w:sz w:val="20"/>
        <w:szCs w:val="20"/>
      </w:rPr>
      <w:t>Par atļauju izbeigt līdzdalību un uzsākt reorganizāciju</w:t>
    </w:r>
    <w:r w:rsidRPr="003073EA">
      <w:rPr>
        <w:sz w:val="20"/>
        <w:szCs w:val="20"/>
      </w:rPr>
      <w:t>” sākotnējās ietekmes novērtējuma ziņojums (anotācija)</w:t>
    </w:r>
  </w:p>
  <w:p w:rsidR="00587F65" w:rsidRDefault="00587F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C4F" w:rsidRDefault="00EB6C4F">
      <w:pPr>
        <w:spacing w:after="0" w:line="240" w:lineRule="auto"/>
      </w:pPr>
      <w:r>
        <w:separator/>
      </w:r>
    </w:p>
  </w:footnote>
  <w:footnote w:type="continuationSeparator" w:id="0">
    <w:p w:rsidR="00EB6C4F" w:rsidRDefault="00EB6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361128"/>
      <w:docPartObj>
        <w:docPartGallery w:val="Page Numbers (Top of Page)"/>
        <w:docPartUnique/>
      </w:docPartObj>
    </w:sdtPr>
    <w:sdtEndPr>
      <w:rPr>
        <w:noProof/>
      </w:rPr>
    </w:sdtEndPr>
    <w:sdtContent>
      <w:p w:rsidR="00587F65" w:rsidRDefault="00587F65">
        <w:pPr>
          <w:pStyle w:val="Header"/>
          <w:jc w:val="center"/>
        </w:pPr>
        <w:r>
          <w:fldChar w:fldCharType="begin"/>
        </w:r>
        <w:r>
          <w:instrText xml:space="preserve"> PAGE   \* MERGEFORMAT </w:instrText>
        </w:r>
        <w:r>
          <w:fldChar w:fldCharType="separate"/>
        </w:r>
        <w:r w:rsidR="00357393">
          <w:rPr>
            <w:noProof/>
          </w:rPr>
          <w:t>7</w:t>
        </w:r>
        <w:r>
          <w:rPr>
            <w:noProof/>
          </w:rPr>
          <w:fldChar w:fldCharType="end"/>
        </w:r>
      </w:p>
    </w:sdtContent>
  </w:sdt>
  <w:p w:rsidR="00587F65" w:rsidRDefault="00587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4C2"/>
    <w:multiLevelType w:val="hybridMultilevel"/>
    <w:tmpl w:val="134E028A"/>
    <w:lvl w:ilvl="0" w:tplc="04260001">
      <w:start w:val="1"/>
      <w:numFmt w:val="bullet"/>
      <w:lvlText w:val=""/>
      <w:lvlJc w:val="left"/>
      <w:pPr>
        <w:ind w:left="1080" w:hanging="360"/>
      </w:pPr>
      <w:rPr>
        <w:rFonts w:ascii="Symbol" w:hAnsi="Symbol" w:hint="default"/>
        <w:b w:val="0"/>
      </w:rPr>
    </w:lvl>
    <w:lvl w:ilvl="1" w:tplc="04260001">
      <w:start w:val="1"/>
      <w:numFmt w:val="bullet"/>
      <w:lvlText w:val=""/>
      <w:lvlJc w:val="left"/>
      <w:pPr>
        <w:ind w:left="1800" w:hanging="360"/>
      </w:pPr>
      <w:rPr>
        <w:rFonts w:ascii="Symbol" w:hAnsi="Symbo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3307676"/>
    <w:multiLevelType w:val="hybridMultilevel"/>
    <w:tmpl w:val="9F24AE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3B56CE4"/>
    <w:multiLevelType w:val="hybridMultilevel"/>
    <w:tmpl w:val="68E80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8A843B6"/>
    <w:multiLevelType w:val="hybridMultilevel"/>
    <w:tmpl w:val="FC68B236"/>
    <w:lvl w:ilvl="0" w:tplc="DB947BEE">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ABA24E6"/>
    <w:multiLevelType w:val="hybridMultilevel"/>
    <w:tmpl w:val="60AAC460"/>
    <w:lvl w:ilvl="0" w:tplc="2FB225D6">
      <w:start w:val="1"/>
      <w:numFmt w:val="decimal"/>
      <w:lvlText w:val="%1."/>
      <w:lvlJc w:val="left"/>
      <w:pPr>
        <w:ind w:left="768" w:hanging="360"/>
      </w:pPr>
      <w:rPr>
        <w:rFonts w:hint="default"/>
        <w:b/>
        <w:u w:val="single"/>
      </w:rPr>
    </w:lvl>
    <w:lvl w:ilvl="1" w:tplc="04260019" w:tentative="1">
      <w:start w:val="1"/>
      <w:numFmt w:val="lowerLetter"/>
      <w:lvlText w:val="%2."/>
      <w:lvlJc w:val="left"/>
      <w:pPr>
        <w:ind w:left="1488" w:hanging="360"/>
      </w:pPr>
    </w:lvl>
    <w:lvl w:ilvl="2" w:tplc="0426001B" w:tentative="1">
      <w:start w:val="1"/>
      <w:numFmt w:val="lowerRoman"/>
      <w:lvlText w:val="%3."/>
      <w:lvlJc w:val="right"/>
      <w:pPr>
        <w:ind w:left="2208" w:hanging="180"/>
      </w:pPr>
    </w:lvl>
    <w:lvl w:ilvl="3" w:tplc="0426000F" w:tentative="1">
      <w:start w:val="1"/>
      <w:numFmt w:val="decimal"/>
      <w:lvlText w:val="%4."/>
      <w:lvlJc w:val="left"/>
      <w:pPr>
        <w:ind w:left="2928" w:hanging="360"/>
      </w:pPr>
    </w:lvl>
    <w:lvl w:ilvl="4" w:tplc="04260019" w:tentative="1">
      <w:start w:val="1"/>
      <w:numFmt w:val="lowerLetter"/>
      <w:lvlText w:val="%5."/>
      <w:lvlJc w:val="left"/>
      <w:pPr>
        <w:ind w:left="3648" w:hanging="360"/>
      </w:pPr>
    </w:lvl>
    <w:lvl w:ilvl="5" w:tplc="0426001B" w:tentative="1">
      <w:start w:val="1"/>
      <w:numFmt w:val="lowerRoman"/>
      <w:lvlText w:val="%6."/>
      <w:lvlJc w:val="right"/>
      <w:pPr>
        <w:ind w:left="4368" w:hanging="180"/>
      </w:pPr>
    </w:lvl>
    <w:lvl w:ilvl="6" w:tplc="0426000F" w:tentative="1">
      <w:start w:val="1"/>
      <w:numFmt w:val="decimal"/>
      <w:lvlText w:val="%7."/>
      <w:lvlJc w:val="left"/>
      <w:pPr>
        <w:ind w:left="5088" w:hanging="360"/>
      </w:pPr>
    </w:lvl>
    <w:lvl w:ilvl="7" w:tplc="04260019" w:tentative="1">
      <w:start w:val="1"/>
      <w:numFmt w:val="lowerLetter"/>
      <w:lvlText w:val="%8."/>
      <w:lvlJc w:val="left"/>
      <w:pPr>
        <w:ind w:left="5808" w:hanging="360"/>
      </w:pPr>
    </w:lvl>
    <w:lvl w:ilvl="8" w:tplc="0426001B" w:tentative="1">
      <w:start w:val="1"/>
      <w:numFmt w:val="lowerRoman"/>
      <w:lvlText w:val="%9."/>
      <w:lvlJc w:val="right"/>
      <w:pPr>
        <w:ind w:left="6528" w:hanging="180"/>
      </w:pPr>
    </w:lvl>
  </w:abstractNum>
  <w:abstractNum w:abstractNumId="5" w15:restartNumberingAfterBreak="0">
    <w:nsid w:val="0CA7164A"/>
    <w:multiLevelType w:val="hybridMultilevel"/>
    <w:tmpl w:val="5D2609AC"/>
    <w:lvl w:ilvl="0" w:tplc="DE82B8A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B87628"/>
    <w:multiLevelType w:val="hybridMultilevel"/>
    <w:tmpl w:val="765C1C6E"/>
    <w:lvl w:ilvl="0" w:tplc="141AA71C">
      <w:start w:val="1"/>
      <w:numFmt w:val="decimal"/>
      <w:lvlText w:val="%1."/>
      <w:lvlJc w:val="left"/>
      <w:pPr>
        <w:ind w:left="761" w:hanging="360"/>
      </w:pPr>
      <w:rPr>
        <w:rFonts w:ascii="Times New Roman" w:hAnsi="Times New Roman" w:cs="Times New Roman" w:hint="default"/>
        <w:b/>
        <w:u w:val="none"/>
      </w:rPr>
    </w:lvl>
    <w:lvl w:ilvl="1" w:tplc="04260019">
      <w:start w:val="1"/>
      <w:numFmt w:val="lowerLetter"/>
      <w:lvlText w:val="%2."/>
      <w:lvlJc w:val="left"/>
      <w:pPr>
        <w:ind w:left="1481" w:hanging="360"/>
      </w:pPr>
    </w:lvl>
    <w:lvl w:ilvl="2" w:tplc="0426001B" w:tentative="1">
      <w:start w:val="1"/>
      <w:numFmt w:val="lowerRoman"/>
      <w:lvlText w:val="%3."/>
      <w:lvlJc w:val="right"/>
      <w:pPr>
        <w:ind w:left="2201" w:hanging="180"/>
      </w:pPr>
    </w:lvl>
    <w:lvl w:ilvl="3" w:tplc="0426000F" w:tentative="1">
      <w:start w:val="1"/>
      <w:numFmt w:val="decimal"/>
      <w:lvlText w:val="%4."/>
      <w:lvlJc w:val="left"/>
      <w:pPr>
        <w:ind w:left="2921" w:hanging="360"/>
      </w:pPr>
    </w:lvl>
    <w:lvl w:ilvl="4" w:tplc="04260019" w:tentative="1">
      <w:start w:val="1"/>
      <w:numFmt w:val="lowerLetter"/>
      <w:lvlText w:val="%5."/>
      <w:lvlJc w:val="left"/>
      <w:pPr>
        <w:ind w:left="3641" w:hanging="360"/>
      </w:pPr>
    </w:lvl>
    <w:lvl w:ilvl="5" w:tplc="0426001B" w:tentative="1">
      <w:start w:val="1"/>
      <w:numFmt w:val="lowerRoman"/>
      <w:lvlText w:val="%6."/>
      <w:lvlJc w:val="right"/>
      <w:pPr>
        <w:ind w:left="4361" w:hanging="180"/>
      </w:pPr>
    </w:lvl>
    <w:lvl w:ilvl="6" w:tplc="0426000F" w:tentative="1">
      <w:start w:val="1"/>
      <w:numFmt w:val="decimal"/>
      <w:lvlText w:val="%7."/>
      <w:lvlJc w:val="left"/>
      <w:pPr>
        <w:ind w:left="5081" w:hanging="360"/>
      </w:pPr>
    </w:lvl>
    <w:lvl w:ilvl="7" w:tplc="04260019" w:tentative="1">
      <w:start w:val="1"/>
      <w:numFmt w:val="lowerLetter"/>
      <w:lvlText w:val="%8."/>
      <w:lvlJc w:val="left"/>
      <w:pPr>
        <w:ind w:left="5801" w:hanging="360"/>
      </w:pPr>
    </w:lvl>
    <w:lvl w:ilvl="8" w:tplc="0426001B" w:tentative="1">
      <w:start w:val="1"/>
      <w:numFmt w:val="lowerRoman"/>
      <w:lvlText w:val="%9."/>
      <w:lvlJc w:val="right"/>
      <w:pPr>
        <w:ind w:left="6521" w:hanging="180"/>
      </w:pPr>
    </w:lvl>
  </w:abstractNum>
  <w:abstractNum w:abstractNumId="7" w15:restartNumberingAfterBreak="0">
    <w:nsid w:val="1A7E024F"/>
    <w:multiLevelType w:val="hybridMultilevel"/>
    <w:tmpl w:val="A5820962"/>
    <w:styleLink w:val="2"/>
    <w:lvl w:ilvl="0" w:tplc="593819CC">
      <w:start w:val="1"/>
      <w:numFmt w:val="bullet"/>
      <w:lvlText w:val="-"/>
      <w:lvlJc w:val="left"/>
      <w:pPr>
        <w:ind w:left="107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3037BC">
      <w:start w:val="1"/>
      <w:numFmt w:val="bullet"/>
      <w:lvlText w:val="o"/>
      <w:lvlJc w:val="left"/>
      <w:pPr>
        <w:ind w:left="179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242F6E">
      <w:start w:val="1"/>
      <w:numFmt w:val="bullet"/>
      <w:lvlText w:val="▪"/>
      <w:lvlJc w:val="left"/>
      <w:pPr>
        <w:ind w:left="251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CC0DF0">
      <w:start w:val="1"/>
      <w:numFmt w:val="bullet"/>
      <w:lvlText w:val="•"/>
      <w:lvlJc w:val="left"/>
      <w:pPr>
        <w:ind w:left="323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5E3ABE">
      <w:start w:val="1"/>
      <w:numFmt w:val="bullet"/>
      <w:lvlText w:val="o"/>
      <w:lvlJc w:val="left"/>
      <w:pPr>
        <w:ind w:left="395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4CC56">
      <w:start w:val="1"/>
      <w:numFmt w:val="bullet"/>
      <w:lvlText w:val="▪"/>
      <w:lvlJc w:val="left"/>
      <w:pPr>
        <w:ind w:left="467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B41526">
      <w:start w:val="1"/>
      <w:numFmt w:val="bullet"/>
      <w:lvlText w:val="•"/>
      <w:lvlJc w:val="left"/>
      <w:pPr>
        <w:ind w:left="539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6AD898">
      <w:start w:val="1"/>
      <w:numFmt w:val="bullet"/>
      <w:lvlText w:val="o"/>
      <w:lvlJc w:val="left"/>
      <w:pPr>
        <w:ind w:left="611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8EA378">
      <w:start w:val="1"/>
      <w:numFmt w:val="bullet"/>
      <w:lvlText w:val="▪"/>
      <w:lvlJc w:val="left"/>
      <w:pPr>
        <w:ind w:left="683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AE5027F"/>
    <w:multiLevelType w:val="multilevel"/>
    <w:tmpl w:val="E83841E0"/>
    <w:lvl w:ilvl="0">
      <w:start w:val="2"/>
      <w:numFmt w:val="decimal"/>
      <w:lvlText w:val="%1."/>
      <w:lvlJc w:val="left"/>
      <w:pPr>
        <w:ind w:left="540" w:hanging="540"/>
      </w:pPr>
      <w:rPr>
        <w:rFonts w:eastAsia="Calibri" w:cs="Calibri" w:hint="default"/>
      </w:rPr>
    </w:lvl>
    <w:lvl w:ilvl="1">
      <w:start w:val="2"/>
      <w:numFmt w:val="decimal"/>
      <w:lvlText w:val="%1.%2."/>
      <w:lvlJc w:val="left"/>
      <w:pPr>
        <w:ind w:left="540" w:hanging="54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9" w15:restartNumberingAfterBreak="0">
    <w:nsid w:val="1BCC1064"/>
    <w:multiLevelType w:val="hybridMultilevel"/>
    <w:tmpl w:val="0F64C4B2"/>
    <w:lvl w:ilvl="0" w:tplc="2272F70C">
      <w:start w:val="23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D5A2C6B"/>
    <w:multiLevelType w:val="hybridMultilevel"/>
    <w:tmpl w:val="E6B2D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1A6144D"/>
    <w:multiLevelType w:val="hybridMultilevel"/>
    <w:tmpl w:val="0E2C2C9E"/>
    <w:lvl w:ilvl="0" w:tplc="DD385BE4">
      <w:start w:val="1"/>
      <w:numFmt w:val="bullet"/>
      <w:lvlText w:val=""/>
      <w:lvlJc w:val="left"/>
      <w:pPr>
        <w:tabs>
          <w:tab w:val="num" w:pos="1134"/>
        </w:tabs>
        <w:ind w:left="567" w:firstLine="567"/>
      </w:pPr>
      <w:rPr>
        <w:rFonts w:ascii="Symbol" w:hAnsi="Symbol" w:hint="default"/>
        <w:b w:val="0"/>
        <w:i w:val="0"/>
        <w:sz w:val="26"/>
        <w:szCs w:val="26"/>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54D2DAB"/>
    <w:multiLevelType w:val="hybridMultilevel"/>
    <w:tmpl w:val="028276F0"/>
    <w:lvl w:ilvl="0" w:tplc="79F2C76C">
      <w:start w:val="1"/>
      <w:numFmt w:val="bullet"/>
      <w:lvlText w:val="-"/>
      <w:lvlJc w:val="left"/>
      <w:pPr>
        <w:ind w:left="1080" w:hanging="360"/>
      </w:pPr>
      <w:rPr>
        <w:rFonts w:ascii="Times New Roman" w:eastAsiaTheme="minorHAnsi" w:hAnsi="Times New Roman" w:cs="Times New Roman" w:hint="default"/>
        <w:b/>
        <w:color w:val="auto"/>
        <w:sz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257D6C93"/>
    <w:multiLevelType w:val="multilevel"/>
    <w:tmpl w:val="45D6A3B8"/>
    <w:lvl w:ilvl="0">
      <w:start w:val="2"/>
      <w:numFmt w:val="decimal"/>
      <w:lvlText w:val="%1."/>
      <w:lvlJc w:val="left"/>
      <w:pPr>
        <w:ind w:left="360" w:hanging="360"/>
      </w:pPr>
      <w:rPr>
        <w:rFonts w:hint="default"/>
      </w:rPr>
    </w:lvl>
    <w:lvl w:ilvl="1">
      <w:start w:val="1"/>
      <w:numFmt w:val="decimal"/>
      <w:lvlText w:val="%1.%2."/>
      <w:lvlJc w:val="left"/>
      <w:pPr>
        <w:ind w:left="1481" w:hanging="360"/>
      </w:pPr>
      <w:rPr>
        <w:rFonts w:hint="default"/>
      </w:rPr>
    </w:lvl>
    <w:lvl w:ilvl="2">
      <w:start w:val="1"/>
      <w:numFmt w:val="decimal"/>
      <w:lvlText w:val="%1.%2.%3."/>
      <w:lvlJc w:val="left"/>
      <w:pPr>
        <w:ind w:left="2962" w:hanging="720"/>
      </w:pPr>
      <w:rPr>
        <w:rFonts w:hint="default"/>
      </w:rPr>
    </w:lvl>
    <w:lvl w:ilvl="3">
      <w:start w:val="1"/>
      <w:numFmt w:val="decimal"/>
      <w:lvlText w:val="%1.%2.%3.%4."/>
      <w:lvlJc w:val="left"/>
      <w:pPr>
        <w:ind w:left="4083" w:hanging="720"/>
      </w:pPr>
      <w:rPr>
        <w:rFonts w:hint="default"/>
      </w:rPr>
    </w:lvl>
    <w:lvl w:ilvl="4">
      <w:start w:val="1"/>
      <w:numFmt w:val="decimal"/>
      <w:lvlText w:val="%1.%2.%3.%4.%5."/>
      <w:lvlJc w:val="left"/>
      <w:pPr>
        <w:ind w:left="5564" w:hanging="1080"/>
      </w:pPr>
      <w:rPr>
        <w:rFonts w:hint="default"/>
      </w:rPr>
    </w:lvl>
    <w:lvl w:ilvl="5">
      <w:start w:val="1"/>
      <w:numFmt w:val="decimal"/>
      <w:lvlText w:val="%1.%2.%3.%4.%5.%6."/>
      <w:lvlJc w:val="left"/>
      <w:pPr>
        <w:ind w:left="6685" w:hanging="1080"/>
      </w:pPr>
      <w:rPr>
        <w:rFonts w:hint="default"/>
      </w:rPr>
    </w:lvl>
    <w:lvl w:ilvl="6">
      <w:start w:val="1"/>
      <w:numFmt w:val="decimal"/>
      <w:lvlText w:val="%1.%2.%3.%4.%5.%6.%7."/>
      <w:lvlJc w:val="left"/>
      <w:pPr>
        <w:ind w:left="8166" w:hanging="1440"/>
      </w:pPr>
      <w:rPr>
        <w:rFonts w:hint="default"/>
      </w:rPr>
    </w:lvl>
    <w:lvl w:ilvl="7">
      <w:start w:val="1"/>
      <w:numFmt w:val="decimal"/>
      <w:lvlText w:val="%1.%2.%3.%4.%5.%6.%7.%8."/>
      <w:lvlJc w:val="left"/>
      <w:pPr>
        <w:ind w:left="9287" w:hanging="1440"/>
      </w:pPr>
      <w:rPr>
        <w:rFonts w:hint="default"/>
      </w:rPr>
    </w:lvl>
    <w:lvl w:ilvl="8">
      <w:start w:val="1"/>
      <w:numFmt w:val="decimal"/>
      <w:lvlText w:val="%1.%2.%3.%4.%5.%6.%7.%8.%9."/>
      <w:lvlJc w:val="left"/>
      <w:pPr>
        <w:ind w:left="10768" w:hanging="1800"/>
      </w:pPr>
      <w:rPr>
        <w:rFonts w:hint="default"/>
      </w:rPr>
    </w:lvl>
  </w:abstractNum>
  <w:abstractNum w:abstractNumId="14" w15:restartNumberingAfterBreak="0">
    <w:nsid w:val="2C1269DA"/>
    <w:multiLevelType w:val="hybridMultilevel"/>
    <w:tmpl w:val="44D4D646"/>
    <w:lvl w:ilvl="0" w:tplc="3482A604">
      <w:numFmt w:val="bullet"/>
      <w:lvlText w:val="-"/>
      <w:lvlJc w:val="left"/>
      <w:pPr>
        <w:ind w:left="1080" w:hanging="360"/>
      </w:pPr>
      <w:rPr>
        <w:rFonts w:ascii="Times New Roman" w:eastAsiaTheme="minorHAnsi" w:hAnsi="Times New Roman" w:cs="Times New Roman" w:hint="default"/>
        <w:b w:val="0"/>
      </w:rPr>
    </w:lvl>
    <w:lvl w:ilvl="1" w:tplc="79F2C76C">
      <w:start w:val="1"/>
      <w:numFmt w:val="bullet"/>
      <w:lvlText w:val="-"/>
      <w:lvlJc w:val="left"/>
      <w:pPr>
        <w:ind w:left="1800" w:hanging="360"/>
      </w:pPr>
      <w:rPr>
        <w:rFonts w:ascii="Times New Roman" w:eastAsiaTheme="minorHAnsi" w:hAnsi="Times New Roman" w:cs="Times New Roman" w:hint="default"/>
        <w:b/>
        <w:color w:val="auto"/>
        <w:sz w:val="28"/>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2E2E6709"/>
    <w:multiLevelType w:val="hybridMultilevel"/>
    <w:tmpl w:val="0F7C718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42C330C"/>
    <w:multiLevelType w:val="hybridMultilevel"/>
    <w:tmpl w:val="C7A4961A"/>
    <w:numStyleLink w:val="5"/>
  </w:abstractNum>
  <w:abstractNum w:abstractNumId="17" w15:restartNumberingAfterBreak="0">
    <w:nsid w:val="38E3097D"/>
    <w:multiLevelType w:val="multilevel"/>
    <w:tmpl w:val="D8109184"/>
    <w:lvl w:ilvl="0">
      <w:start w:val="1"/>
      <w:numFmt w:val="decimal"/>
      <w:lvlText w:val="%1."/>
      <w:lvlJc w:val="left"/>
      <w:pPr>
        <w:ind w:left="720" w:hanging="360"/>
      </w:pPr>
      <w:rPr>
        <w:rFonts w:eastAsia="Calibri" w:cs="Calibri" w:hint="default"/>
      </w:rPr>
    </w:lvl>
    <w:lvl w:ilvl="1">
      <w:start w:val="1"/>
      <w:numFmt w:val="decimal"/>
      <w:isLgl/>
      <w:lvlText w:val="%1.%2."/>
      <w:lvlJc w:val="left"/>
      <w:pPr>
        <w:ind w:left="1834" w:hanging="1125"/>
      </w:pPr>
      <w:rPr>
        <w:rFonts w:eastAsia="Calibri" w:hint="default"/>
        <w:i w:val="0"/>
      </w:rPr>
    </w:lvl>
    <w:lvl w:ilvl="2">
      <w:start w:val="1"/>
      <w:numFmt w:val="decimal"/>
      <w:isLgl/>
      <w:lvlText w:val="%1.%2.%3."/>
      <w:lvlJc w:val="left"/>
      <w:pPr>
        <w:ind w:left="2183" w:hanging="1125"/>
      </w:pPr>
      <w:rPr>
        <w:rFonts w:eastAsia="Calibri" w:hint="default"/>
      </w:rPr>
    </w:lvl>
    <w:lvl w:ilvl="3">
      <w:start w:val="1"/>
      <w:numFmt w:val="decimal"/>
      <w:isLgl/>
      <w:lvlText w:val="%1.%2.%3.%4."/>
      <w:lvlJc w:val="left"/>
      <w:pPr>
        <w:ind w:left="2532" w:hanging="1125"/>
      </w:pPr>
      <w:rPr>
        <w:rFonts w:eastAsia="Calibri" w:hint="default"/>
      </w:rPr>
    </w:lvl>
    <w:lvl w:ilvl="4">
      <w:start w:val="1"/>
      <w:numFmt w:val="decimal"/>
      <w:isLgl/>
      <w:lvlText w:val="%1.%2.%3.%4.%5."/>
      <w:lvlJc w:val="left"/>
      <w:pPr>
        <w:ind w:left="2881" w:hanging="1125"/>
      </w:pPr>
      <w:rPr>
        <w:rFonts w:eastAsia="Calibri" w:hint="default"/>
      </w:rPr>
    </w:lvl>
    <w:lvl w:ilvl="5">
      <w:start w:val="1"/>
      <w:numFmt w:val="decimal"/>
      <w:isLgl/>
      <w:lvlText w:val="%1.%2.%3.%4.%5.%6."/>
      <w:lvlJc w:val="left"/>
      <w:pPr>
        <w:ind w:left="3230" w:hanging="1125"/>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18" w15:restartNumberingAfterBreak="0">
    <w:nsid w:val="475B2691"/>
    <w:multiLevelType w:val="hybridMultilevel"/>
    <w:tmpl w:val="A8B6B7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A223563"/>
    <w:multiLevelType w:val="multilevel"/>
    <w:tmpl w:val="A3EAC8FC"/>
    <w:lvl w:ilvl="0">
      <w:start w:val="1"/>
      <w:numFmt w:val="decimal"/>
      <w:lvlText w:val="%1."/>
      <w:lvlJc w:val="left"/>
      <w:pPr>
        <w:ind w:left="360" w:hanging="360"/>
      </w:pPr>
      <w:rPr>
        <w:rFonts w:hint="default"/>
      </w:rPr>
    </w:lvl>
    <w:lvl w:ilvl="1">
      <w:start w:val="1"/>
      <w:numFmt w:val="decimal"/>
      <w:lvlText w:val="%1.%2."/>
      <w:lvlJc w:val="left"/>
      <w:pPr>
        <w:ind w:left="1481" w:hanging="360"/>
      </w:pPr>
      <w:rPr>
        <w:rFonts w:hint="default"/>
      </w:rPr>
    </w:lvl>
    <w:lvl w:ilvl="2">
      <w:start w:val="1"/>
      <w:numFmt w:val="decimal"/>
      <w:lvlText w:val="%1.%2.%3."/>
      <w:lvlJc w:val="left"/>
      <w:pPr>
        <w:ind w:left="2962" w:hanging="720"/>
      </w:pPr>
      <w:rPr>
        <w:rFonts w:hint="default"/>
      </w:rPr>
    </w:lvl>
    <w:lvl w:ilvl="3">
      <w:start w:val="1"/>
      <w:numFmt w:val="decimal"/>
      <w:lvlText w:val="%1.%2.%3.%4."/>
      <w:lvlJc w:val="left"/>
      <w:pPr>
        <w:ind w:left="4083" w:hanging="720"/>
      </w:pPr>
      <w:rPr>
        <w:rFonts w:hint="default"/>
      </w:rPr>
    </w:lvl>
    <w:lvl w:ilvl="4">
      <w:start w:val="1"/>
      <w:numFmt w:val="decimal"/>
      <w:lvlText w:val="%1.%2.%3.%4.%5."/>
      <w:lvlJc w:val="left"/>
      <w:pPr>
        <w:ind w:left="5564" w:hanging="1080"/>
      </w:pPr>
      <w:rPr>
        <w:rFonts w:hint="default"/>
      </w:rPr>
    </w:lvl>
    <w:lvl w:ilvl="5">
      <w:start w:val="1"/>
      <w:numFmt w:val="decimal"/>
      <w:lvlText w:val="%1.%2.%3.%4.%5.%6."/>
      <w:lvlJc w:val="left"/>
      <w:pPr>
        <w:ind w:left="6685" w:hanging="1080"/>
      </w:pPr>
      <w:rPr>
        <w:rFonts w:hint="default"/>
      </w:rPr>
    </w:lvl>
    <w:lvl w:ilvl="6">
      <w:start w:val="1"/>
      <w:numFmt w:val="decimal"/>
      <w:lvlText w:val="%1.%2.%3.%4.%5.%6.%7."/>
      <w:lvlJc w:val="left"/>
      <w:pPr>
        <w:ind w:left="8166" w:hanging="1440"/>
      </w:pPr>
      <w:rPr>
        <w:rFonts w:hint="default"/>
      </w:rPr>
    </w:lvl>
    <w:lvl w:ilvl="7">
      <w:start w:val="1"/>
      <w:numFmt w:val="decimal"/>
      <w:lvlText w:val="%1.%2.%3.%4.%5.%6.%7.%8."/>
      <w:lvlJc w:val="left"/>
      <w:pPr>
        <w:ind w:left="9287" w:hanging="1440"/>
      </w:pPr>
      <w:rPr>
        <w:rFonts w:hint="default"/>
      </w:rPr>
    </w:lvl>
    <w:lvl w:ilvl="8">
      <w:start w:val="1"/>
      <w:numFmt w:val="decimal"/>
      <w:lvlText w:val="%1.%2.%3.%4.%5.%6.%7.%8.%9."/>
      <w:lvlJc w:val="left"/>
      <w:pPr>
        <w:ind w:left="10768" w:hanging="1800"/>
      </w:pPr>
      <w:rPr>
        <w:rFonts w:hint="default"/>
      </w:rPr>
    </w:lvl>
  </w:abstractNum>
  <w:abstractNum w:abstractNumId="20" w15:restartNumberingAfterBreak="0">
    <w:nsid w:val="4BE55484"/>
    <w:multiLevelType w:val="multilevel"/>
    <w:tmpl w:val="B616F2C8"/>
    <w:lvl w:ilvl="0">
      <w:start w:val="1"/>
      <w:numFmt w:val="decimal"/>
      <w:lvlText w:val="%1."/>
      <w:lvlJc w:val="left"/>
      <w:pPr>
        <w:ind w:left="761" w:hanging="360"/>
      </w:pPr>
      <w:rPr>
        <w:rFonts w:hint="default"/>
      </w:rPr>
    </w:lvl>
    <w:lvl w:ilvl="1">
      <w:start w:val="1"/>
      <w:numFmt w:val="decimal"/>
      <w:isLgl/>
      <w:lvlText w:val="%1.%2."/>
      <w:lvlJc w:val="left"/>
      <w:pPr>
        <w:ind w:left="761" w:hanging="360"/>
      </w:pPr>
      <w:rPr>
        <w:rFonts w:ascii="Times New Roman" w:hAnsi="Times New Roman" w:cs="Times New Roman" w:hint="default"/>
      </w:rPr>
    </w:lvl>
    <w:lvl w:ilvl="2">
      <w:start w:val="1"/>
      <w:numFmt w:val="decimal"/>
      <w:isLgl/>
      <w:lvlText w:val="%1.%2.%3."/>
      <w:lvlJc w:val="left"/>
      <w:pPr>
        <w:ind w:left="1121" w:hanging="720"/>
      </w:pPr>
      <w:rPr>
        <w:rFonts w:ascii="Times New Roman" w:hAnsi="Times New Roman" w:cs="Times New Roman" w:hint="default"/>
      </w:rPr>
    </w:lvl>
    <w:lvl w:ilvl="3">
      <w:start w:val="1"/>
      <w:numFmt w:val="decimal"/>
      <w:isLgl/>
      <w:lvlText w:val="%1.%2.%3.%4."/>
      <w:lvlJc w:val="left"/>
      <w:pPr>
        <w:ind w:left="1121" w:hanging="720"/>
      </w:pPr>
      <w:rPr>
        <w:rFonts w:ascii="Times New Roman" w:hAnsi="Times New Roman" w:cs="Times New Roman" w:hint="default"/>
      </w:rPr>
    </w:lvl>
    <w:lvl w:ilvl="4">
      <w:start w:val="1"/>
      <w:numFmt w:val="decimal"/>
      <w:isLgl/>
      <w:lvlText w:val="%1.%2.%3.%4.%5."/>
      <w:lvlJc w:val="left"/>
      <w:pPr>
        <w:ind w:left="1481" w:hanging="1080"/>
      </w:pPr>
      <w:rPr>
        <w:rFonts w:ascii="Times New Roman" w:hAnsi="Times New Roman" w:cs="Times New Roman" w:hint="default"/>
      </w:rPr>
    </w:lvl>
    <w:lvl w:ilvl="5">
      <w:start w:val="1"/>
      <w:numFmt w:val="decimal"/>
      <w:isLgl/>
      <w:lvlText w:val="%1.%2.%3.%4.%5.%6."/>
      <w:lvlJc w:val="left"/>
      <w:pPr>
        <w:ind w:left="1481" w:hanging="1080"/>
      </w:pPr>
      <w:rPr>
        <w:rFonts w:ascii="Times New Roman" w:hAnsi="Times New Roman" w:cs="Times New Roman" w:hint="default"/>
      </w:rPr>
    </w:lvl>
    <w:lvl w:ilvl="6">
      <w:start w:val="1"/>
      <w:numFmt w:val="decimal"/>
      <w:isLgl/>
      <w:lvlText w:val="%1.%2.%3.%4.%5.%6.%7."/>
      <w:lvlJc w:val="left"/>
      <w:pPr>
        <w:ind w:left="1841" w:hanging="1440"/>
      </w:pPr>
      <w:rPr>
        <w:rFonts w:ascii="Times New Roman" w:hAnsi="Times New Roman" w:cs="Times New Roman" w:hint="default"/>
      </w:rPr>
    </w:lvl>
    <w:lvl w:ilvl="7">
      <w:start w:val="1"/>
      <w:numFmt w:val="decimal"/>
      <w:isLgl/>
      <w:lvlText w:val="%1.%2.%3.%4.%5.%6.%7.%8."/>
      <w:lvlJc w:val="left"/>
      <w:pPr>
        <w:ind w:left="1841" w:hanging="1440"/>
      </w:pPr>
      <w:rPr>
        <w:rFonts w:ascii="Times New Roman" w:hAnsi="Times New Roman" w:cs="Times New Roman" w:hint="default"/>
      </w:rPr>
    </w:lvl>
    <w:lvl w:ilvl="8">
      <w:start w:val="1"/>
      <w:numFmt w:val="decimal"/>
      <w:isLgl/>
      <w:lvlText w:val="%1.%2.%3.%4.%5.%6.%7.%8.%9."/>
      <w:lvlJc w:val="left"/>
      <w:pPr>
        <w:ind w:left="2201" w:hanging="1800"/>
      </w:pPr>
      <w:rPr>
        <w:rFonts w:ascii="Times New Roman" w:hAnsi="Times New Roman" w:cs="Times New Roman" w:hint="default"/>
      </w:rPr>
    </w:lvl>
  </w:abstractNum>
  <w:abstractNum w:abstractNumId="21" w15:restartNumberingAfterBreak="0">
    <w:nsid w:val="51EF7ADA"/>
    <w:multiLevelType w:val="hybridMultilevel"/>
    <w:tmpl w:val="5E4C280A"/>
    <w:lvl w:ilvl="0" w:tplc="04260001">
      <w:start w:val="1"/>
      <w:numFmt w:val="bullet"/>
      <w:lvlText w:val=""/>
      <w:lvlJc w:val="left"/>
      <w:pPr>
        <w:tabs>
          <w:tab w:val="num" w:pos="1134"/>
        </w:tabs>
        <w:ind w:left="567" w:firstLine="567"/>
      </w:pPr>
      <w:rPr>
        <w:rFonts w:ascii="Symbol" w:hAnsi="Symbol" w:hint="default"/>
        <w:b w:val="0"/>
        <w:i w:val="0"/>
        <w:sz w:val="26"/>
        <w:szCs w:val="26"/>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4CD0BF6"/>
    <w:multiLevelType w:val="hybridMultilevel"/>
    <w:tmpl w:val="842CEFAE"/>
    <w:lvl w:ilvl="0" w:tplc="F0F6C98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0E4054"/>
    <w:multiLevelType w:val="hybridMultilevel"/>
    <w:tmpl w:val="3E2EEC54"/>
    <w:lvl w:ilvl="0" w:tplc="04260001">
      <w:start w:val="1"/>
      <w:numFmt w:val="bullet"/>
      <w:lvlText w:val=""/>
      <w:lvlJc w:val="left"/>
      <w:pPr>
        <w:ind w:left="1121" w:hanging="360"/>
      </w:pPr>
      <w:rPr>
        <w:rFonts w:ascii="Symbol" w:hAnsi="Symbol" w:hint="default"/>
      </w:rPr>
    </w:lvl>
    <w:lvl w:ilvl="1" w:tplc="04260003" w:tentative="1">
      <w:start w:val="1"/>
      <w:numFmt w:val="bullet"/>
      <w:lvlText w:val="o"/>
      <w:lvlJc w:val="left"/>
      <w:pPr>
        <w:ind w:left="1841" w:hanging="360"/>
      </w:pPr>
      <w:rPr>
        <w:rFonts w:ascii="Courier New" w:hAnsi="Courier New" w:cs="Courier New" w:hint="default"/>
      </w:rPr>
    </w:lvl>
    <w:lvl w:ilvl="2" w:tplc="04260005" w:tentative="1">
      <w:start w:val="1"/>
      <w:numFmt w:val="bullet"/>
      <w:lvlText w:val=""/>
      <w:lvlJc w:val="left"/>
      <w:pPr>
        <w:ind w:left="2561" w:hanging="360"/>
      </w:pPr>
      <w:rPr>
        <w:rFonts w:ascii="Wingdings" w:hAnsi="Wingdings" w:hint="default"/>
      </w:rPr>
    </w:lvl>
    <w:lvl w:ilvl="3" w:tplc="04260001" w:tentative="1">
      <w:start w:val="1"/>
      <w:numFmt w:val="bullet"/>
      <w:lvlText w:val=""/>
      <w:lvlJc w:val="left"/>
      <w:pPr>
        <w:ind w:left="3281" w:hanging="360"/>
      </w:pPr>
      <w:rPr>
        <w:rFonts w:ascii="Symbol" w:hAnsi="Symbol" w:hint="default"/>
      </w:rPr>
    </w:lvl>
    <w:lvl w:ilvl="4" w:tplc="04260003" w:tentative="1">
      <w:start w:val="1"/>
      <w:numFmt w:val="bullet"/>
      <w:lvlText w:val="o"/>
      <w:lvlJc w:val="left"/>
      <w:pPr>
        <w:ind w:left="4001" w:hanging="360"/>
      </w:pPr>
      <w:rPr>
        <w:rFonts w:ascii="Courier New" w:hAnsi="Courier New" w:cs="Courier New" w:hint="default"/>
      </w:rPr>
    </w:lvl>
    <w:lvl w:ilvl="5" w:tplc="04260005" w:tentative="1">
      <w:start w:val="1"/>
      <w:numFmt w:val="bullet"/>
      <w:lvlText w:val=""/>
      <w:lvlJc w:val="left"/>
      <w:pPr>
        <w:ind w:left="4721" w:hanging="360"/>
      </w:pPr>
      <w:rPr>
        <w:rFonts w:ascii="Wingdings" w:hAnsi="Wingdings" w:hint="default"/>
      </w:rPr>
    </w:lvl>
    <w:lvl w:ilvl="6" w:tplc="04260001" w:tentative="1">
      <w:start w:val="1"/>
      <w:numFmt w:val="bullet"/>
      <w:lvlText w:val=""/>
      <w:lvlJc w:val="left"/>
      <w:pPr>
        <w:ind w:left="5441" w:hanging="360"/>
      </w:pPr>
      <w:rPr>
        <w:rFonts w:ascii="Symbol" w:hAnsi="Symbol" w:hint="default"/>
      </w:rPr>
    </w:lvl>
    <w:lvl w:ilvl="7" w:tplc="04260003" w:tentative="1">
      <w:start w:val="1"/>
      <w:numFmt w:val="bullet"/>
      <w:lvlText w:val="o"/>
      <w:lvlJc w:val="left"/>
      <w:pPr>
        <w:ind w:left="6161" w:hanging="360"/>
      </w:pPr>
      <w:rPr>
        <w:rFonts w:ascii="Courier New" w:hAnsi="Courier New" w:cs="Courier New" w:hint="default"/>
      </w:rPr>
    </w:lvl>
    <w:lvl w:ilvl="8" w:tplc="04260005" w:tentative="1">
      <w:start w:val="1"/>
      <w:numFmt w:val="bullet"/>
      <w:lvlText w:val=""/>
      <w:lvlJc w:val="left"/>
      <w:pPr>
        <w:ind w:left="6881" w:hanging="360"/>
      </w:pPr>
      <w:rPr>
        <w:rFonts w:ascii="Wingdings" w:hAnsi="Wingdings" w:hint="default"/>
      </w:rPr>
    </w:lvl>
  </w:abstractNum>
  <w:abstractNum w:abstractNumId="24" w15:restartNumberingAfterBreak="0">
    <w:nsid w:val="5A3C7B6A"/>
    <w:multiLevelType w:val="hybridMultilevel"/>
    <w:tmpl w:val="A5820962"/>
    <w:numStyleLink w:val="2"/>
  </w:abstractNum>
  <w:abstractNum w:abstractNumId="25" w15:restartNumberingAfterBreak="0">
    <w:nsid w:val="5A4D7A49"/>
    <w:multiLevelType w:val="hybridMultilevel"/>
    <w:tmpl w:val="5454A7A0"/>
    <w:lvl w:ilvl="0" w:tplc="6BBA4A2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5DD031BB"/>
    <w:multiLevelType w:val="hybridMultilevel"/>
    <w:tmpl w:val="B3D21C7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2727E71"/>
    <w:multiLevelType w:val="hybridMultilevel"/>
    <w:tmpl w:val="950A0C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6E520D7F"/>
    <w:multiLevelType w:val="hybridMultilevel"/>
    <w:tmpl w:val="C7A4961A"/>
    <w:styleLink w:val="5"/>
    <w:lvl w:ilvl="0" w:tplc="019E5826">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145366">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6CFEA8">
      <w:start w:val="1"/>
      <w:numFmt w:val="lowerRoman"/>
      <w:lvlText w:val="%3."/>
      <w:lvlJc w:val="left"/>
      <w:pPr>
        <w:ind w:left="25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29E8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A8B00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F0C02E">
      <w:start w:val="1"/>
      <w:numFmt w:val="lowerRoman"/>
      <w:lvlText w:val="%6."/>
      <w:lvlJc w:val="left"/>
      <w:pPr>
        <w:ind w:left="46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86A92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42B85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BC9C6A">
      <w:start w:val="1"/>
      <w:numFmt w:val="lowerRoman"/>
      <w:lvlText w:val="%9."/>
      <w:lvlJc w:val="left"/>
      <w:pPr>
        <w:ind w:left="684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7D16939"/>
    <w:multiLevelType w:val="hybridMultilevel"/>
    <w:tmpl w:val="113A3C62"/>
    <w:lvl w:ilvl="0" w:tplc="04260001">
      <w:start w:val="1"/>
      <w:numFmt w:val="bullet"/>
      <w:lvlText w:val=""/>
      <w:lvlJc w:val="left"/>
      <w:pPr>
        <w:ind w:left="1142" w:hanging="360"/>
      </w:pPr>
      <w:rPr>
        <w:rFonts w:ascii="Symbol" w:hAnsi="Symbol" w:hint="default"/>
      </w:rPr>
    </w:lvl>
    <w:lvl w:ilvl="1" w:tplc="04260003" w:tentative="1">
      <w:start w:val="1"/>
      <w:numFmt w:val="bullet"/>
      <w:lvlText w:val="o"/>
      <w:lvlJc w:val="left"/>
      <w:pPr>
        <w:ind w:left="1862" w:hanging="360"/>
      </w:pPr>
      <w:rPr>
        <w:rFonts w:ascii="Courier New" w:hAnsi="Courier New" w:cs="Courier New" w:hint="default"/>
      </w:rPr>
    </w:lvl>
    <w:lvl w:ilvl="2" w:tplc="04260005" w:tentative="1">
      <w:start w:val="1"/>
      <w:numFmt w:val="bullet"/>
      <w:lvlText w:val=""/>
      <w:lvlJc w:val="left"/>
      <w:pPr>
        <w:ind w:left="2582" w:hanging="360"/>
      </w:pPr>
      <w:rPr>
        <w:rFonts w:ascii="Wingdings" w:hAnsi="Wingdings" w:hint="default"/>
      </w:rPr>
    </w:lvl>
    <w:lvl w:ilvl="3" w:tplc="04260001" w:tentative="1">
      <w:start w:val="1"/>
      <w:numFmt w:val="bullet"/>
      <w:lvlText w:val=""/>
      <w:lvlJc w:val="left"/>
      <w:pPr>
        <w:ind w:left="3302" w:hanging="360"/>
      </w:pPr>
      <w:rPr>
        <w:rFonts w:ascii="Symbol" w:hAnsi="Symbol" w:hint="default"/>
      </w:rPr>
    </w:lvl>
    <w:lvl w:ilvl="4" w:tplc="04260003" w:tentative="1">
      <w:start w:val="1"/>
      <w:numFmt w:val="bullet"/>
      <w:lvlText w:val="o"/>
      <w:lvlJc w:val="left"/>
      <w:pPr>
        <w:ind w:left="4022" w:hanging="360"/>
      </w:pPr>
      <w:rPr>
        <w:rFonts w:ascii="Courier New" w:hAnsi="Courier New" w:cs="Courier New" w:hint="default"/>
      </w:rPr>
    </w:lvl>
    <w:lvl w:ilvl="5" w:tplc="04260005" w:tentative="1">
      <w:start w:val="1"/>
      <w:numFmt w:val="bullet"/>
      <w:lvlText w:val=""/>
      <w:lvlJc w:val="left"/>
      <w:pPr>
        <w:ind w:left="4742" w:hanging="360"/>
      </w:pPr>
      <w:rPr>
        <w:rFonts w:ascii="Wingdings" w:hAnsi="Wingdings" w:hint="default"/>
      </w:rPr>
    </w:lvl>
    <w:lvl w:ilvl="6" w:tplc="04260001" w:tentative="1">
      <w:start w:val="1"/>
      <w:numFmt w:val="bullet"/>
      <w:lvlText w:val=""/>
      <w:lvlJc w:val="left"/>
      <w:pPr>
        <w:ind w:left="5462" w:hanging="360"/>
      </w:pPr>
      <w:rPr>
        <w:rFonts w:ascii="Symbol" w:hAnsi="Symbol" w:hint="default"/>
      </w:rPr>
    </w:lvl>
    <w:lvl w:ilvl="7" w:tplc="04260003" w:tentative="1">
      <w:start w:val="1"/>
      <w:numFmt w:val="bullet"/>
      <w:lvlText w:val="o"/>
      <w:lvlJc w:val="left"/>
      <w:pPr>
        <w:ind w:left="6182" w:hanging="360"/>
      </w:pPr>
      <w:rPr>
        <w:rFonts w:ascii="Courier New" w:hAnsi="Courier New" w:cs="Courier New" w:hint="default"/>
      </w:rPr>
    </w:lvl>
    <w:lvl w:ilvl="8" w:tplc="04260005" w:tentative="1">
      <w:start w:val="1"/>
      <w:numFmt w:val="bullet"/>
      <w:lvlText w:val=""/>
      <w:lvlJc w:val="left"/>
      <w:pPr>
        <w:ind w:left="6902" w:hanging="360"/>
      </w:pPr>
      <w:rPr>
        <w:rFonts w:ascii="Wingdings" w:hAnsi="Wingdings" w:hint="default"/>
      </w:rPr>
    </w:lvl>
  </w:abstractNum>
  <w:abstractNum w:abstractNumId="30" w15:restartNumberingAfterBreak="0">
    <w:nsid w:val="78A22234"/>
    <w:multiLevelType w:val="hybridMultilevel"/>
    <w:tmpl w:val="4552EE9A"/>
    <w:lvl w:ilvl="0" w:tplc="819827B8">
      <w:start w:val="201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636"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8B3326B"/>
    <w:multiLevelType w:val="hybridMultilevel"/>
    <w:tmpl w:val="C682E2E0"/>
    <w:lvl w:ilvl="0" w:tplc="04260001">
      <w:start w:val="1"/>
      <w:numFmt w:val="bullet"/>
      <w:lvlText w:val=""/>
      <w:lvlJc w:val="left"/>
      <w:pPr>
        <w:ind w:left="1080" w:hanging="360"/>
      </w:pPr>
      <w:rPr>
        <w:rFonts w:ascii="Symbol" w:hAnsi="Symbol" w:hint="default"/>
        <w:b w:val="0"/>
      </w:rPr>
    </w:lvl>
    <w:lvl w:ilvl="1" w:tplc="04260001">
      <w:start w:val="1"/>
      <w:numFmt w:val="bullet"/>
      <w:lvlText w:val=""/>
      <w:lvlJc w:val="left"/>
      <w:pPr>
        <w:ind w:left="1800" w:hanging="360"/>
      </w:pPr>
      <w:rPr>
        <w:rFonts w:ascii="Symbol" w:hAnsi="Symbo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7DFA2157"/>
    <w:multiLevelType w:val="hybridMultilevel"/>
    <w:tmpl w:val="13C4BFF0"/>
    <w:lvl w:ilvl="0" w:tplc="3482A604">
      <w:numFmt w:val="bullet"/>
      <w:lvlText w:val="-"/>
      <w:lvlJc w:val="left"/>
      <w:pPr>
        <w:ind w:left="1080" w:hanging="360"/>
      </w:pPr>
      <w:rPr>
        <w:rFonts w:ascii="Times New Roman" w:eastAsiaTheme="minorHAnsi" w:hAnsi="Times New Roman" w:cs="Times New Roman" w:hint="default"/>
        <w:b w:val="0"/>
      </w:rPr>
    </w:lvl>
    <w:lvl w:ilvl="1" w:tplc="04260001">
      <w:start w:val="1"/>
      <w:numFmt w:val="bullet"/>
      <w:lvlText w:val=""/>
      <w:lvlJc w:val="left"/>
      <w:pPr>
        <w:ind w:left="1800" w:hanging="360"/>
      </w:pPr>
      <w:rPr>
        <w:rFonts w:ascii="Symbol" w:hAnsi="Symbo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29"/>
  </w:num>
  <w:num w:numId="4">
    <w:abstractNumId w:val="32"/>
  </w:num>
  <w:num w:numId="5">
    <w:abstractNumId w:val="18"/>
  </w:num>
  <w:num w:numId="6">
    <w:abstractNumId w:val="15"/>
  </w:num>
  <w:num w:numId="7">
    <w:abstractNumId w:val="21"/>
  </w:num>
  <w:num w:numId="8">
    <w:abstractNumId w:val="2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4"/>
  </w:num>
  <w:num w:numId="13">
    <w:abstractNumId w:val="3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2"/>
  </w:num>
  <w:num w:numId="17">
    <w:abstractNumId w:val="9"/>
  </w:num>
  <w:num w:numId="18">
    <w:abstractNumId w:val="23"/>
  </w:num>
  <w:num w:numId="19">
    <w:abstractNumId w:val="7"/>
  </w:num>
  <w:num w:numId="20">
    <w:abstractNumId w:val="24"/>
  </w:num>
  <w:num w:numId="21">
    <w:abstractNumId w:val="24"/>
    <w:lvlOverride w:ilvl="0">
      <w:lvl w:ilvl="0" w:tplc="0AEC3EE0">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788D84" w:tentative="1">
        <w:start w:val="1"/>
        <w:numFmt w:val="bullet"/>
        <w:lvlText w:val="o"/>
        <w:lvlJc w:val="left"/>
        <w:pPr>
          <w:ind w:left="1440" w:hanging="360"/>
        </w:pPr>
        <w:rPr>
          <w:rFonts w:ascii="Courier New" w:hAnsi="Courier New" w:cs="Courier New" w:hint="default"/>
        </w:rPr>
      </w:lvl>
    </w:lvlOverride>
    <w:lvlOverride w:ilvl="2">
      <w:lvl w:ilvl="2" w:tplc="6672A860" w:tentative="1">
        <w:start w:val="1"/>
        <w:numFmt w:val="bullet"/>
        <w:lvlText w:val=""/>
        <w:lvlJc w:val="left"/>
        <w:pPr>
          <w:ind w:left="2160" w:hanging="360"/>
        </w:pPr>
        <w:rPr>
          <w:rFonts w:ascii="Wingdings" w:hAnsi="Wingdings" w:hint="default"/>
        </w:rPr>
      </w:lvl>
    </w:lvlOverride>
    <w:lvlOverride w:ilvl="3">
      <w:lvl w:ilvl="3" w:tplc="F3886948" w:tentative="1">
        <w:start w:val="1"/>
        <w:numFmt w:val="bullet"/>
        <w:lvlText w:val=""/>
        <w:lvlJc w:val="left"/>
        <w:pPr>
          <w:ind w:left="2880" w:hanging="360"/>
        </w:pPr>
        <w:rPr>
          <w:rFonts w:ascii="Symbol" w:hAnsi="Symbol" w:hint="default"/>
        </w:rPr>
      </w:lvl>
    </w:lvlOverride>
    <w:lvlOverride w:ilvl="4">
      <w:lvl w:ilvl="4" w:tplc="609A4A86" w:tentative="1">
        <w:start w:val="1"/>
        <w:numFmt w:val="bullet"/>
        <w:lvlText w:val="o"/>
        <w:lvlJc w:val="left"/>
        <w:pPr>
          <w:ind w:left="3600" w:hanging="360"/>
        </w:pPr>
        <w:rPr>
          <w:rFonts w:ascii="Courier New" w:hAnsi="Courier New" w:cs="Courier New" w:hint="default"/>
        </w:rPr>
      </w:lvl>
    </w:lvlOverride>
    <w:lvlOverride w:ilvl="5">
      <w:lvl w:ilvl="5" w:tplc="6428B142" w:tentative="1">
        <w:start w:val="1"/>
        <w:numFmt w:val="bullet"/>
        <w:lvlText w:val=""/>
        <w:lvlJc w:val="left"/>
        <w:pPr>
          <w:ind w:left="4320" w:hanging="360"/>
        </w:pPr>
        <w:rPr>
          <w:rFonts w:ascii="Wingdings" w:hAnsi="Wingdings" w:hint="default"/>
        </w:rPr>
      </w:lvl>
    </w:lvlOverride>
    <w:lvlOverride w:ilvl="6">
      <w:lvl w:ilvl="6" w:tplc="BB02DF12" w:tentative="1">
        <w:start w:val="1"/>
        <w:numFmt w:val="bullet"/>
        <w:lvlText w:val=""/>
        <w:lvlJc w:val="left"/>
        <w:pPr>
          <w:ind w:left="5040" w:hanging="360"/>
        </w:pPr>
        <w:rPr>
          <w:rFonts w:ascii="Symbol" w:hAnsi="Symbol" w:hint="default"/>
        </w:rPr>
      </w:lvl>
    </w:lvlOverride>
    <w:lvlOverride w:ilvl="7">
      <w:lvl w:ilvl="7" w:tplc="74C87DBC" w:tentative="1">
        <w:start w:val="1"/>
        <w:numFmt w:val="bullet"/>
        <w:lvlText w:val="o"/>
        <w:lvlJc w:val="left"/>
        <w:pPr>
          <w:ind w:left="5760" w:hanging="360"/>
        </w:pPr>
        <w:rPr>
          <w:rFonts w:ascii="Courier New" w:hAnsi="Courier New" w:cs="Courier New" w:hint="default"/>
        </w:rPr>
      </w:lvl>
    </w:lvlOverride>
    <w:lvlOverride w:ilvl="8">
      <w:lvl w:ilvl="8" w:tplc="2D2C70F8" w:tentative="1">
        <w:start w:val="1"/>
        <w:numFmt w:val="bullet"/>
        <w:lvlText w:val=""/>
        <w:lvlJc w:val="left"/>
        <w:pPr>
          <w:ind w:left="6480" w:hanging="360"/>
        </w:pPr>
        <w:rPr>
          <w:rFonts w:ascii="Wingdings" w:hAnsi="Wingdings" w:hint="default"/>
        </w:rPr>
      </w:lvl>
    </w:lvlOverride>
  </w:num>
  <w:num w:numId="22">
    <w:abstractNumId w:val="17"/>
  </w:num>
  <w:num w:numId="23">
    <w:abstractNumId w:val="3"/>
  </w:num>
  <w:num w:numId="24">
    <w:abstractNumId w:val="20"/>
  </w:num>
  <w:num w:numId="25">
    <w:abstractNumId w:val="8"/>
  </w:num>
  <w:num w:numId="26">
    <w:abstractNumId w:val="28"/>
  </w:num>
  <w:num w:numId="27">
    <w:abstractNumId w:val="16"/>
  </w:num>
  <w:num w:numId="28">
    <w:abstractNumId w:val="6"/>
  </w:num>
  <w:num w:numId="29">
    <w:abstractNumId w:val="19"/>
  </w:num>
  <w:num w:numId="30">
    <w:abstractNumId w:val="13"/>
  </w:num>
  <w:num w:numId="31">
    <w:abstractNumId w:val="1"/>
  </w:num>
  <w:num w:numId="32">
    <w:abstractNumId w:val="30"/>
  </w:num>
  <w:num w:numId="33">
    <w:abstractNumId w:val="4"/>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08"/>
    <w:rsid w:val="00002125"/>
    <w:rsid w:val="00002CE5"/>
    <w:rsid w:val="000053EF"/>
    <w:rsid w:val="000073C6"/>
    <w:rsid w:val="00014DE2"/>
    <w:rsid w:val="000170B0"/>
    <w:rsid w:val="00024F18"/>
    <w:rsid w:val="0003354D"/>
    <w:rsid w:val="000435BF"/>
    <w:rsid w:val="0005038E"/>
    <w:rsid w:val="000518A3"/>
    <w:rsid w:val="00055D7E"/>
    <w:rsid w:val="00062EDB"/>
    <w:rsid w:val="00066A59"/>
    <w:rsid w:val="00067B3B"/>
    <w:rsid w:val="00070C69"/>
    <w:rsid w:val="000727AF"/>
    <w:rsid w:val="0007443F"/>
    <w:rsid w:val="00077986"/>
    <w:rsid w:val="00087CDF"/>
    <w:rsid w:val="000909ED"/>
    <w:rsid w:val="00091B20"/>
    <w:rsid w:val="000948AE"/>
    <w:rsid w:val="00095072"/>
    <w:rsid w:val="000A62B6"/>
    <w:rsid w:val="000C7132"/>
    <w:rsid w:val="000C7491"/>
    <w:rsid w:val="000D06A6"/>
    <w:rsid w:val="000D3B10"/>
    <w:rsid w:val="000D44D8"/>
    <w:rsid w:val="000D5854"/>
    <w:rsid w:val="000D5ED2"/>
    <w:rsid w:val="000D5FB6"/>
    <w:rsid w:val="000E4B94"/>
    <w:rsid w:val="000F145D"/>
    <w:rsid w:val="001027E4"/>
    <w:rsid w:val="00105540"/>
    <w:rsid w:val="00113F6C"/>
    <w:rsid w:val="00121555"/>
    <w:rsid w:val="00124F02"/>
    <w:rsid w:val="00126AC0"/>
    <w:rsid w:val="00134E4D"/>
    <w:rsid w:val="00136145"/>
    <w:rsid w:val="00137C34"/>
    <w:rsid w:val="00147D9B"/>
    <w:rsid w:val="00155EF3"/>
    <w:rsid w:val="00164165"/>
    <w:rsid w:val="0017137F"/>
    <w:rsid w:val="00171EF9"/>
    <w:rsid w:val="001720E4"/>
    <w:rsid w:val="001774EE"/>
    <w:rsid w:val="00181FF8"/>
    <w:rsid w:val="001825D2"/>
    <w:rsid w:val="00183CE1"/>
    <w:rsid w:val="00186113"/>
    <w:rsid w:val="00187E8C"/>
    <w:rsid w:val="001905EF"/>
    <w:rsid w:val="00191AA9"/>
    <w:rsid w:val="00194246"/>
    <w:rsid w:val="001A1623"/>
    <w:rsid w:val="001A7AE6"/>
    <w:rsid w:val="001B49FB"/>
    <w:rsid w:val="001B7CBF"/>
    <w:rsid w:val="001C148F"/>
    <w:rsid w:val="001C18C9"/>
    <w:rsid w:val="001C304C"/>
    <w:rsid w:val="001C720D"/>
    <w:rsid w:val="001D0C0A"/>
    <w:rsid w:val="001D0D7A"/>
    <w:rsid w:val="001D1A76"/>
    <w:rsid w:val="001D4CC5"/>
    <w:rsid w:val="001D537E"/>
    <w:rsid w:val="001D7150"/>
    <w:rsid w:val="001E0768"/>
    <w:rsid w:val="001E2447"/>
    <w:rsid w:val="001E27DA"/>
    <w:rsid w:val="00203122"/>
    <w:rsid w:val="002045D4"/>
    <w:rsid w:val="00206ECF"/>
    <w:rsid w:val="00207690"/>
    <w:rsid w:val="00213075"/>
    <w:rsid w:val="00214AEC"/>
    <w:rsid w:val="0022677B"/>
    <w:rsid w:val="00226AFD"/>
    <w:rsid w:val="00227564"/>
    <w:rsid w:val="002275D3"/>
    <w:rsid w:val="002308FC"/>
    <w:rsid w:val="0023133F"/>
    <w:rsid w:val="0023427F"/>
    <w:rsid w:val="00235893"/>
    <w:rsid w:val="0023606E"/>
    <w:rsid w:val="002479A8"/>
    <w:rsid w:val="0025210D"/>
    <w:rsid w:val="00252430"/>
    <w:rsid w:val="00252B90"/>
    <w:rsid w:val="0025519F"/>
    <w:rsid w:val="002565B4"/>
    <w:rsid w:val="00263FC5"/>
    <w:rsid w:val="00270F13"/>
    <w:rsid w:val="00271F9C"/>
    <w:rsid w:val="0027521B"/>
    <w:rsid w:val="00280E13"/>
    <w:rsid w:val="00284BEE"/>
    <w:rsid w:val="00287FBB"/>
    <w:rsid w:val="002904D2"/>
    <w:rsid w:val="00295BFD"/>
    <w:rsid w:val="00297DE9"/>
    <w:rsid w:val="002A15C3"/>
    <w:rsid w:val="002A454B"/>
    <w:rsid w:val="002B31CE"/>
    <w:rsid w:val="002B71FF"/>
    <w:rsid w:val="002C2CA7"/>
    <w:rsid w:val="002C673A"/>
    <w:rsid w:val="002D42C5"/>
    <w:rsid w:val="002D6CC7"/>
    <w:rsid w:val="002D7379"/>
    <w:rsid w:val="002D74E3"/>
    <w:rsid w:val="002E4403"/>
    <w:rsid w:val="002F3C18"/>
    <w:rsid w:val="002F4177"/>
    <w:rsid w:val="002F4A40"/>
    <w:rsid w:val="002F702C"/>
    <w:rsid w:val="00305A45"/>
    <w:rsid w:val="003073EA"/>
    <w:rsid w:val="00332BC2"/>
    <w:rsid w:val="0033404E"/>
    <w:rsid w:val="00335F60"/>
    <w:rsid w:val="00336CAB"/>
    <w:rsid w:val="003420DA"/>
    <w:rsid w:val="00342DFA"/>
    <w:rsid w:val="003446AD"/>
    <w:rsid w:val="00344D91"/>
    <w:rsid w:val="00347D80"/>
    <w:rsid w:val="003542E1"/>
    <w:rsid w:val="00355FBA"/>
    <w:rsid w:val="00357393"/>
    <w:rsid w:val="003600AE"/>
    <w:rsid w:val="00360B44"/>
    <w:rsid w:val="00364A4B"/>
    <w:rsid w:val="0037737B"/>
    <w:rsid w:val="003778A4"/>
    <w:rsid w:val="00386554"/>
    <w:rsid w:val="00391043"/>
    <w:rsid w:val="00393EE1"/>
    <w:rsid w:val="00394E47"/>
    <w:rsid w:val="003B55E0"/>
    <w:rsid w:val="003C26E2"/>
    <w:rsid w:val="003C34A3"/>
    <w:rsid w:val="003C3624"/>
    <w:rsid w:val="003C4601"/>
    <w:rsid w:val="003C73D8"/>
    <w:rsid w:val="003E2E54"/>
    <w:rsid w:val="003E32D6"/>
    <w:rsid w:val="003F18C4"/>
    <w:rsid w:val="003F2933"/>
    <w:rsid w:val="003F39AE"/>
    <w:rsid w:val="003F71B0"/>
    <w:rsid w:val="00404B3F"/>
    <w:rsid w:val="0040520F"/>
    <w:rsid w:val="004057F5"/>
    <w:rsid w:val="00416F7A"/>
    <w:rsid w:val="00421921"/>
    <w:rsid w:val="00424304"/>
    <w:rsid w:val="00427709"/>
    <w:rsid w:val="004502F2"/>
    <w:rsid w:val="00451FE4"/>
    <w:rsid w:val="00455FF7"/>
    <w:rsid w:val="00456EF0"/>
    <w:rsid w:val="00461A41"/>
    <w:rsid w:val="0046310C"/>
    <w:rsid w:val="00463A36"/>
    <w:rsid w:val="00464416"/>
    <w:rsid w:val="004761C6"/>
    <w:rsid w:val="00486664"/>
    <w:rsid w:val="004867EB"/>
    <w:rsid w:val="00493622"/>
    <w:rsid w:val="004A0302"/>
    <w:rsid w:val="004A352D"/>
    <w:rsid w:val="004A4F90"/>
    <w:rsid w:val="004A5CDA"/>
    <w:rsid w:val="004A66B7"/>
    <w:rsid w:val="004A71B7"/>
    <w:rsid w:val="004C0C6D"/>
    <w:rsid w:val="004C264D"/>
    <w:rsid w:val="004D7791"/>
    <w:rsid w:val="004D7884"/>
    <w:rsid w:val="004E00BA"/>
    <w:rsid w:val="004E063F"/>
    <w:rsid w:val="004E2BA5"/>
    <w:rsid w:val="004E3114"/>
    <w:rsid w:val="004E3A14"/>
    <w:rsid w:val="004E53B5"/>
    <w:rsid w:val="004F19E0"/>
    <w:rsid w:val="004F2BCF"/>
    <w:rsid w:val="004F59F9"/>
    <w:rsid w:val="004F5CEE"/>
    <w:rsid w:val="004F5FCE"/>
    <w:rsid w:val="004F62B3"/>
    <w:rsid w:val="00505577"/>
    <w:rsid w:val="005070E2"/>
    <w:rsid w:val="00510187"/>
    <w:rsid w:val="0051269A"/>
    <w:rsid w:val="00512EB9"/>
    <w:rsid w:val="005134AC"/>
    <w:rsid w:val="005234FB"/>
    <w:rsid w:val="00527E32"/>
    <w:rsid w:val="00531658"/>
    <w:rsid w:val="00531801"/>
    <w:rsid w:val="00533E93"/>
    <w:rsid w:val="00534236"/>
    <w:rsid w:val="00541F67"/>
    <w:rsid w:val="00545B40"/>
    <w:rsid w:val="00556469"/>
    <w:rsid w:val="00561688"/>
    <w:rsid w:val="00561FD0"/>
    <w:rsid w:val="005634C4"/>
    <w:rsid w:val="00575E7E"/>
    <w:rsid w:val="00576C4E"/>
    <w:rsid w:val="00582B4C"/>
    <w:rsid w:val="005834E7"/>
    <w:rsid w:val="00583BEA"/>
    <w:rsid w:val="0058766A"/>
    <w:rsid w:val="00587F65"/>
    <w:rsid w:val="00590446"/>
    <w:rsid w:val="00593DA3"/>
    <w:rsid w:val="005C7773"/>
    <w:rsid w:val="005E379E"/>
    <w:rsid w:val="005E53E0"/>
    <w:rsid w:val="005F7986"/>
    <w:rsid w:val="0060538E"/>
    <w:rsid w:val="00612982"/>
    <w:rsid w:val="0061367C"/>
    <w:rsid w:val="00615380"/>
    <w:rsid w:val="00622304"/>
    <w:rsid w:val="00632647"/>
    <w:rsid w:val="006333E6"/>
    <w:rsid w:val="0063532A"/>
    <w:rsid w:val="00636BC0"/>
    <w:rsid w:val="00653E08"/>
    <w:rsid w:val="00655588"/>
    <w:rsid w:val="006572B2"/>
    <w:rsid w:val="006574B1"/>
    <w:rsid w:val="0066241F"/>
    <w:rsid w:val="00666361"/>
    <w:rsid w:val="0066727D"/>
    <w:rsid w:val="006810A2"/>
    <w:rsid w:val="00682268"/>
    <w:rsid w:val="0068430D"/>
    <w:rsid w:val="006908EE"/>
    <w:rsid w:val="006946F3"/>
    <w:rsid w:val="00696275"/>
    <w:rsid w:val="00697257"/>
    <w:rsid w:val="00697F5B"/>
    <w:rsid w:val="006A083B"/>
    <w:rsid w:val="006A1777"/>
    <w:rsid w:val="006A35FE"/>
    <w:rsid w:val="006A72D3"/>
    <w:rsid w:val="006B363F"/>
    <w:rsid w:val="006B450E"/>
    <w:rsid w:val="006B7507"/>
    <w:rsid w:val="006C1098"/>
    <w:rsid w:val="006C1FE0"/>
    <w:rsid w:val="006C78DB"/>
    <w:rsid w:val="006C7BF1"/>
    <w:rsid w:val="006D0089"/>
    <w:rsid w:val="006D02B7"/>
    <w:rsid w:val="006D3EC2"/>
    <w:rsid w:val="006D4CCC"/>
    <w:rsid w:val="006E3313"/>
    <w:rsid w:val="006E610A"/>
    <w:rsid w:val="006F0C77"/>
    <w:rsid w:val="006F6506"/>
    <w:rsid w:val="006F6BB4"/>
    <w:rsid w:val="0070741B"/>
    <w:rsid w:val="00713808"/>
    <w:rsid w:val="007210F8"/>
    <w:rsid w:val="00721CD4"/>
    <w:rsid w:val="00722FFA"/>
    <w:rsid w:val="00730E1A"/>
    <w:rsid w:val="007360BD"/>
    <w:rsid w:val="0073717C"/>
    <w:rsid w:val="00741DFD"/>
    <w:rsid w:val="007421CC"/>
    <w:rsid w:val="007444AF"/>
    <w:rsid w:val="0074476B"/>
    <w:rsid w:val="007501EB"/>
    <w:rsid w:val="0075144E"/>
    <w:rsid w:val="00757FB4"/>
    <w:rsid w:val="00762E0D"/>
    <w:rsid w:val="007653F0"/>
    <w:rsid w:val="00771586"/>
    <w:rsid w:val="00774CC3"/>
    <w:rsid w:val="00777036"/>
    <w:rsid w:val="00791366"/>
    <w:rsid w:val="007A04DB"/>
    <w:rsid w:val="007A6940"/>
    <w:rsid w:val="007B616B"/>
    <w:rsid w:val="007B65E0"/>
    <w:rsid w:val="007C1F88"/>
    <w:rsid w:val="007C380C"/>
    <w:rsid w:val="007C78A5"/>
    <w:rsid w:val="007D088B"/>
    <w:rsid w:val="007D1109"/>
    <w:rsid w:val="007D1D79"/>
    <w:rsid w:val="007D6E53"/>
    <w:rsid w:val="007E0E57"/>
    <w:rsid w:val="007E1F68"/>
    <w:rsid w:val="007E43B9"/>
    <w:rsid w:val="007E6972"/>
    <w:rsid w:val="007F7C5D"/>
    <w:rsid w:val="00801DFB"/>
    <w:rsid w:val="00806E0F"/>
    <w:rsid w:val="00816616"/>
    <w:rsid w:val="008212E5"/>
    <w:rsid w:val="008337B0"/>
    <w:rsid w:val="008356ED"/>
    <w:rsid w:val="0083631E"/>
    <w:rsid w:val="008373BC"/>
    <w:rsid w:val="00837A2A"/>
    <w:rsid w:val="00841516"/>
    <w:rsid w:val="00845C83"/>
    <w:rsid w:val="008465CD"/>
    <w:rsid w:val="00863730"/>
    <w:rsid w:val="00871314"/>
    <w:rsid w:val="008771D8"/>
    <w:rsid w:val="00882622"/>
    <w:rsid w:val="00890CE5"/>
    <w:rsid w:val="00892E1C"/>
    <w:rsid w:val="00894157"/>
    <w:rsid w:val="00897174"/>
    <w:rsid w:val="008A1C30"/>
    <w:rsid w:val="008A1C37"/>
    <w:rsid w:val="008A202A"/>
    <w:rsid w:val="008A30CC"/>
    <w:rsid w:val="008A37ED"/>
    <w:rsid w:val="008C1764"/>
    <w:rsid w:val="008C7DE4"/>
    <w:rsid w:val="008D62ED"/>
    <w:rsid w:val="008E24E3"/>
    <w:rsid w:val="008E27BF"/>
    <w:rsid w:val="008E2A1C"/>
    <w:rsid w:val="008E3909"/>
    <w:rsid w:val="008E782E"/>
    <w:rsid w:val="008E7DCC"/>
    <w:rsid w:val="008E7F62"/>
    <w:rsid w:val="008F195A"/>
    <w:rsid w:val="008F21D9"/>
    <w:rsid w:val="008F3BF8"/>
    <w:rsid w:val="008F43E6"/>
    <w:rsid w:val="008F5982"/>
    <w:rsid w:val="008F724A"/>
    <w:rsid w:val="00900F52"/>
    <w:rsid w:val="00904A7D"/>
    <w:rsid w:val="009105A3"/>
    <w:rsid w:val="009208AA"/>
    <w:rsid w:val="00930FCA"/>
    <w:rsid w:val="00932780"/>
    <w:rsid w:val="009443A8"/>
    <w:rsid w:val="009448A9"/>
    <w:rsid w:val="00953F07"/>
    <w:rsid w:val="0096158E"/>
    <w:rsid w:val="009626F9"/>
    <w:rsid w:val="00965568"/>
    <w:rsid w:val="0097175C"/>
    <w:rsid w:val="0097655F"/>
    <w:rsid w:val="00976742"/>
    <w:rsid w:val="00980AD3"/>
    <w:rsid w:val="0098561D"/>
    <w:rsid w:val="0098655D"/>
    <w:rsid w:val="00986707"/>
    <w:rsid w:val="00996288"/>
    <w:rsid w:val="009A757B"/>
    <w:rsid w:val="009A782C"/>
    <w:rsid w:val="009B1C5A"/>
    <w:rsid w:val="009B48BF"/>
    <w:rsid w:val="009C6414"/>
    <w:rsid w:val="009D06F6"/>
    <w:rsid w:val="009E03E5"/>
    <w:rsid w:val="009E06CD"/>
    <w:rsid w:val="009E3936"/>
    <w:rsid w:val="009E3A12"/>
    <w:rsid w:val="009F10FC"/>
    <w:rsid w:val="009F68AA"/>
    <w:rsid w:val="00A01C14"/>
    <w:rsid w:val="00A03D8D"/>
    <w:rsid w:val="00A0425F"/>
    <w:rsid w:val="00A13703"/>
    <w:rsid w:val="00A308EA"/>
    <w:rsid w:val="00A35F8D"/>
    <w:rsid w:val="00A37C81"/>
    <w:rsid w:val="00A42BF4"/>
    <w:rsid w:val="00A4301F"/>
    <w:rsid w:val="00A43283"/>
    <w:rsid w:val="00A438EE"/>
    <w:rsid w:val="00A44042"/>
    <w:rsid w:val="00A45779"/>
    <w:rsid w:val="00A46F64"/>
    <w:rsid w:val="00A543E8"/>
    <w:rsid w:val="00A552CC"/>
    <w:rsid w:val="00A63D85"/>
    <w:rsid w:val="00A67750"/>
    <w:rsid w:val="00A77F1B"/>
    <w:rsid w:val="00A87709"/>
    <w:rsid w:val="00A92814"/>
    <w:rsid w:val="00AA1E60"/>
    <w:rsid w:val="00AA7160"/>
    <w:rsid w:val="00AB079C"/>
    <w:rsid w:val="00AB18B1"/>
    <w:rsid w:val="00AB5849"/>
    <w:rsid w:val="00AB75B6"/>
    <w:rsid w:val="00AC4B92"/>
    <w:rsid w:val="00AC7819"/>
    <w:rsid w:val="00AC7CD3"/>
    <w:rsid w:val="00AD20C9"/>
    <w:rsid w:val="00AD548D"/>
    <w:rsid w:val="00AD6F60"/>
    <w:rsid w:val="00AD7AF8"/>
    <w:rsid w:val="00AE574E"/>
    <w:rsid w:val="00AF353C"/>
    <w:rsid w:val="00B05AF3"/>
    <w:rsid w:val="00B060F5"/>
    <w:rsid w:val="00B079E6"/>
    <w:rsid w:val="00B15926"/>
    <w:rsid w:val="00B203F5"/>
    <w:rsid w:val="00B21D37"/>
    <w:rsid w:val="00B22CF0"/>
    <w:rsid w:val="00B30AE9"/>
    <w:rsid w:val="00B3443B"/>
    <w:rsid w:val="00B355A0"/>
    <w:rsid w:val="00B37FD1"/>
    <w:rsid w:val="00B4006D"/>
    <w:rsid w:val="00B460EC"/>
    <w:rsid w:val="00B52637"/>
    <w:rsid w:val="00B53866"/>
    <w:rsid w:val="00B54BD9"/>
    <w:rsid w:val="00B5603B"/>
    <w:rsid w:val="00B576A6"/>
    <w:rsid w:val="00B65E81"/>
    <w:rsid w:val="00B706A8"/>
    <w:rsid w:val="00B726C1"/>
    <w:rsid w:val="00B776CD"/>
    <w:rsid w:val="00B82837"/>
    <w:rsid w:val="00B82C34"/>
    <w:rsid w:val="00B850C2"/>
    <w:rsid w:val="00B85FDA"/>
    <w:rsid w:val="00B92074"/>
    <w:rsid w:val="00BA4DEC"/>
    <w:rsid w:val="00BB40C7"/>
    <w:rsid w:val="00BC2D8E"/>
    <w:rsid w:val="00BC388D"/>
    <w:rsid w:val="00BC39DE"/>
    <w:rsid w:val="00BC4FE1"/>
    <w:rsid w:val="00BC6040"/>
    <w:rsid w:val="00BC68F0"/>
    <w:rsid w:val="00BC7EC7"/>
    <w:rsid w:val="00BD33A8"/>
    <w:rsid w:val="00BD5AC8"/>
    <w:rsid w:val="00BD67C8"/>
    <w:rsid w:val="00BD7CF6"/>
    <w:rsid w:val="00BE1B11"/>
    <w:rsid w:val="00BE38AE"/>
    <w:rsid w:val="00BE7115"/>
    <w:rsid w:val="00BF41F7"/>
    <w:rsid w:val="00C04585"/>
    <w:rsid w:val="00C05127"/>
    <w:rsid w:val="00C069DF"/>
    <w:rsid w:val="00C07CF0"/>
    <w:rsid w:val="00C11F47"/>
    <w:rsid w:val="00C15BC8"/>
    <w:rsid w:val="00C17C18"/>
    <w:rsid w:val="00C21937"/>
    <w:rsid w:val="00C22AAB"/>
    <w:rsid w:val="00C23207"/>
    <w:rsid w:val="00C241C7"/>
    <w:rsid w:val="00C27C95"/>
    <w:rsid w:val="00C30633"/>
    <w:rsid w:val="00C3091E"/>
    <w:rsid w:val="00C32C84"/>
    <w:rsid w:val="00C33484"/>
    <w:rsid w:val="00C33E57"/>
    <w:rsid w:val="00C51239"/>
    <w:rsid w:val="00C51F67"/>
    <w:rsid w:val="00C530DE"/>
    <w:rsid w:val="00C5499B"/>
    <w:rsid w:val="00C63B18"/>
    <w:rsid w:val="00C6495D"/>
    <w:rsid w:val="00C803DE"/>
    <w:rsid w:val="00C814B0"/>
    <w:rsid w:val="00C84FE3"/>
    <w:rsid w:val="00C86E78"/>
    <w:rsid w:val="00C9074D"/>
    <w:rsid w:val="00CA7DF7"/>
    <w:rsid w:val="00CB3934"/>
    <w:rsid w:val="00CB39AB"/>
    <w:rsid w:val="00CC1676"/>
    <w:rsid w:val="00CC344E"/>
    <w:rsid w:val="00CC3BD7"/>
    <w:rsid w:val="00CD3F2E"/>
    <w:rsid w:val="00CD44E4"/>
    <w:rsid w:val="00CE126B"/>
    <w:rsid w:val="00CE394F"/>
    <w:rsid w:val="00CF1094"/>
    <w:rsid w:val="00CF3A4F"/>
    <w:rsid w:val="00CF4431"/>
    <w:rsid w:val="00CF7458"/>
    <w:rsid w:val="00CF7C89"/>
    <w:rsid w:val="00D049DA"/>
    <w:rsid w:val="00D10BC7"/>
    <w:rsid w:val="00D10EEA"/>
    <w:rsid w:val="00D11CF0"/>
    <w:rsid w:val="00D154E0"/>
    <w:rsid w:val="00D17120"/>
    <w:rsid w:val="00D17FC0"/>
    <w:rsid w:val="00D266D6"/>
    <w:rsid w:val="00D27396"/>
    <w:rsid w:val="00D3237B"/>
    <w:rsid w:val="00D34393"/>
    <w:rsid w:val="00D36604"/>
    <w:rsid w:val="00D404E7"/>
    <w:rsid w:val="00D4660D"/>
    <w:rsid w:val="00D475CE"/>
    <w:rsid w:val="00D5258E"/>
    <w:rsid w:val="00D54407"/>
    <w:rsid w:val="00D60D98"/>
    <w:rsid w:val="00D67B17"/>
    <w:rsid w:val="00D71CD9"/>
    <w:rsid w:val="00D71DD9"/>
    <w:rsid w:val="00D80687"/>
    <w:rsid w:val="00D806BD"/>
    <w:rsid w:val="00D81050"/>
    <w:rsid w:val="00D818EF"/>
    <w:rsid w:val="00D90CC8"/>
    <w:rsid w:val="00D937D7"/>
    <w:rsid w:val="00D9760E"/>
    <w:rsid w:val="00DA2550"/>
    <w:rsid w:val="00DA754F"/>
    <w:rsid w:val="00DC2C46"/>
    <w:rsid w:val="00DC64D5"/>
    <w:rsid w:val="00DC6D53"/>
    <w:rsid w:val="00DC7BFE"/>
    <w:rsid w:val="00DD08A1"/>
    <w:rsid w:val="00DD2BB7"/>
    <w:rsid w:val="00DD493C"/>
    <w:rsid w:val="00DD51CF"/>
    <w:rsid w:val="00DE6EC9"/>
    <w:rsid w:val="00DF64DF"/>
    <w:rsid w:val="00DF6F72"/>
    <w:rsid w:val="00E02C9A"/>
    <w:rsid w:val="00E0779A"/>
    <w:rsid w:val="00E12B92"/>
    <w:rsid w:val="00E25206"/>
    <w:rsid w:val="00E26861"/>
    <w:rsid w:val="00E270BA"/>
    <w:rsid w:val="00E271B0"/>
    <w:rsid w:val="00E37DF7"/>
    <w:rsid w:val="00E427D6"/>
    <w:rsid w:val="00E429CF"/>
    <w:rsid w:val="00E514BF"/>
    <w:rsid w:val="00E64F93"/>
    <w:rsid w:val="00E77006"/>
    <w:rsid w:val="00E81A2C"/>
    <w:rsid w:val="00E83508"/>
    <w:rsid w:val="00E92787"/>
    <w:rsid w:val="00E93138"/>
    <w:rsid w:val="00E9706E"/>
    <w:rsid w:val="00E97C95"/>
    <w:rsid w:val="00EA337B"/>
    <w:rsid w:val="00EB101D"/>
    <w:rsid w:val="00EB1785"/>
    <w:rsid w:val="00EB6C4F"/>
    <w:rsid w:val="00EC5966"/>
    <w:rsid w:val="00ED4CA4"/>
    <w:rsid w:val="00EE00C1"/>
    <w:rsid w:val="00EF3553"/>
    <w:rsid w:val="00F04BA0"/>
    <w:rsid w:val="00F144C0"/>
    <w:rsid w:val="00F20621"/>
    <w:rsid w:val="00F2292D"/>
    <w:rsid w:val="00F2412C"/>
    <w:rsid w:val="00F2561E"/>
    <w:rsid w:val="00F258F1"/>
    <w:rsid w:val="00F25FDE"/>
    <w:rsid w:val="00F27ADF"/>
    <w:rsid w:val="00F30825"/>
    <w:rsid w:val="00F33F87"/>
    <w:rsid w:val="00F35918"/>
    <w:rsid w:val="00F41D6B"/>
    <w:rsid w:val="00F44BFF"/>
    <w:rsid w:val="00F47243"/>
    <w:rsid w:val="00F51F62"/>
    <w:rsid w:val="00F55453"/>
    <w:rsid w:val="00F55959"/>
    <w:rsid w:val="00F60411"/>
    <w:rsid w:val="00F60DD7"/>
    <w:rsid w:val="00F6371D"/>
    <w:rsid w:val="00F66F1B"/>
    <w:rsid w:val="00F74815"/>
    <w:rsid w:val="00F7748D"/>
    <w:rsid w:val="00F83520"/>
    <w:rsid w:val="00F83907"/>
    <w:rsid w:val="00F848EF"/>
    <w:rsid w:val="00F86248"/>
    <w:rsid w:val="00F95CE4"/>
    <w:rsid w:val="00FA0614"/>
    <w:rsid w:val="00FA0E1F"/>
    <w:rsid w:val="00FA447E"/>
    <w:rsid w:val="00FC02EA"/>
    <w:rsid w:val="00FC30AC"/>
    <w:rsid w:val="00FC3CD9"/>
    <w:rsid w:val="00FC6CCA"/>
    <w:rsid w:val="00FF2B9F"/>
    <w:rsid w:val="00FF4E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E2A54-6AE9-46F5-B157-47263D07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08"/>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13808"/>
    <w:rPr>
      <w:color w:val="0000FF"/>
      <w:u w:val="single"/>
    </w:rPr>
  </w:style>
  <w:style w:type="paragraph" w:customStyle="1" w:styleId="naisc">
    <w:name w:val="naisc"/>
    <w:basedOn w:val="Normal"/>
    <w:rsid w:val="00713808"/>
    <w:pPr>
      <w:spacing w:before="100" w:after="100" w:line="240" w:lineRule="auto"/>
      <w:jc w:val="center"/>
    </w:pPr>
    <w:rPr>
      <w:sz w:val="24"/>
      <w:szCs w:val="24"/>
      <w:lang w:eastAsia="lv-LV"/>
    </w:rPr>
  </w:style>
  <w:style w:type="paragraph" w:styleId="Header">
    <w:name w:val="header"/>
    <w:basedOn w:val="Normal"/>
    <w:link w:val="HeaderChar"/>
    <w:uiPriority w:val="99"/>
    <w:unhideWhenUsed/>
    <w:rsid w:val="007138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3808"/>
    <w:rPr>
      <w:rFonts w:ascii="Times New Roman" w:eastAsia="Times New Roman" w:hAnsi="Times New Roman" w:cs="Times New Roman"/>
      <w:sz w:val="28"/>
    </w:rPr>
  </w:style>
  <w:style w:type="paragraph" w:styleId="BodyText2">
    <w:name w:val="Body Text 2"/>
    <w:basedOn w:val="Normal"/>
    <w:link w:val="BodyText2Char"/>
    <w:unhideWhenUsed/>
    <w:rsid w:val="00713808"/>
    <w:pPr>
      <w:spacing w:after="120" w:line="480" w:lineRule="auto"/>
    </w:pPr>
    <w:rPr>
      <w:sz w:val="24"/>
      <w:szCs w:val="24"/>
      <w:lang w:eastAsia="lv-LV"/>
    </w:rPr>
  </w:style>
  <w:style w:type="character" w:customStyle="1" w:styleId="BodyText2Char">
    <w:name w:val="Body Text 2 Char"/>
    <w:basedOn w:val="DefaultParagraphFont"/>
    <w:link w:val="BodyText2"/>
    <w:rsid w:val="00713808"/>
    <w:rPr>
      <w:rFonts w:ascii="Times New Roman" w:eastAsia="Times New Roman" w:hAnsi="Times New Roman" w:cs="Times New Roman"/>
      <w:sz w:val="24"/>
      <w:szCs w:val="24"/>
      <w:lang w:eastAsia="lv-LV"/>
    </w:rPr>
  </w:style>
  <w:style w:type="paragraph" w:customStyle="1" w:styleId="naisvisr">
    <w:name w:val="naisvisr"/>
    <w:basedOn w:val="Normal"/>
    <w:rsid w:val="00713808"/>
    <w:pPr>
      <w:spacing w:before="150" w:after="150" w:line="240" w:lineRule="auto"/>
      <w:ind w:firstLine="375"/>
      <w:jc w:val="center"/>
    </w:pPr>
    <w:rPr>
      <w:b/>
      <w:bCs/>
      <w:szCs w:val="28"/>
      <w:lang w:eastAsia="lv-LV"/>
    </w:rPr>
  </w:style>
  <w:style w:type="paragraph" w:customStyle="1" w:styleId="naisal">
    <w:name w:val="naisal"/>
    <w:basedOn w:val="Normal"/>
    <w:rsid w:val="00713808"/>
    <w:pPr>
      <w:spacing w:after="0" w:line="240" w:lineRule="auto"/>
    </w:pPr>
    <w:rPr>
      <w:sz w:val="24"/>
      <w:szCs w:val="24"/>
      <w:lang w:eastAsia="lv-LV"/>
    </w:rPr>
  </w:style>
  <w:style w:type="paragraph" w:styleId="ListParagraph">
    <w:name w:val="List Paragraph"/>
    <w:basedOn w:val="Normal"/>
    <w:link w:val="ListParagraphChar"/>
    <w:qFormat/>
    <w:rsid w:val="00583BEA"/>
    <w:pPr>
      <w:spacing w:after="0" w:line="240" w:lineRule="auto"/>
      <w:ind w:left="720"/>
    </w:pPr>
    <w:rPr>
      <w:rFonts w:ascii="Calibri" w:eastAsiaTheme="minorHAnsi" w:hAnsi="Calibri"/>
      <w:sz w:val="22"/>
    </w:rPr>
  </w:style>
  <w:style w:type="character" w:customStyle="1" w:styleId="ListParagraphChar">
    <w:name w:val="List Paragraph Char"/>
    <w:basedOn w:val="DefaultParagraphFont"/>
    <w:link w:val="ListParagraph"/>
    <w:uiPriority w:val="34"/>
    <w:locked/>
    <w:rsid w:val="00583BEA"/>
    <w:rPr>
      <w:rFonts w:ascii="Calibri" w:hAnsi="Calibri" w:cs="Times New Roman"/>
    </w:rPr>
  </w:style>
  <w:style w:type="paragraph" w:customStyle="1" w:styleId="naisf">
    <w:name w:val="naisf"/>
    <w:basedOn w:val="Normal"/>
    <w:rsid w:val="00583BEA"/>
    <w:pPr>
      <w:spacing w:after="0" w:line="240" w:lineRule="auto"/>
    </w:pPr>
    <w:rPr>
      <w:sz w:val="24"/>
      <w:szCs w:val="24"/>
      <w:lang w:eastAsia="lv-LV"/>
    </w:rPr>
  </w:style>
  <w:style w:type="paragraph" w:customStyle="1" w:styleId="Sarakstarindkopa1">
    <w:name w:val="Saraksta rindkopa1"/>
    <w:basedOn w:val="Normal"/>
    <w:uiPriority w:val="34"/>
    <w:rsid w:val="007B616B"/>
    <w:pPr>
      <w:ind w:left="720"/>
    </w:pPr>
    <w:rPr>
      <w:rFonts w:ascii="Calibri" w:eastAsia="Calibri" w:hAnsi="Calibri" w:cs="Calibri"/>
      <w:sz w:val="22"/>
      <w:lang w:eastAsia="lv-LV"/>
    </w:rPr>
  </w:style>
  <w:style w:type="character" w:customStyle="1" w:styleId="spelle">
    <w:name w:val="spelle"/>
    <w:basedOn w:val="DefaultParagraphFont"/>
    <w:rsid w:val="004A4F90"/>
  </w:style>
  <w:style w:type="paragraph" w:styleId="FootnoteText">
    <w:name w:val="footnote text"/>
    <w:basedOn w:val="Normal"/>
    <w:link w:val="FootnoteTextChar"/>
    <w:uiPriority w:val="99"/>
    <w:rsid w:val="004A4F90"/>
    <w:pPr>
      <w:spacing w:after="0" w:line="240" w:lineRule="auto"/>
    </w:pPr>
    <w:rPr>
      <w:sz w:val="20"/>
      <w:szCs w:val="20"/>
      <w:lang w:eastAsia="lv-LV"/>
    </w:rPr>
  </w:style>
  <w:style w:type="character" w:customStyle="1" w:styleId="FootnoteTextChar">
    <w:name w:val="Footnote Text Char"/>
    <w:basedOn w:val="DefaultParagraphFont"/>
    <w:link w:val="FootnoteText"/>
    <w:uiPriority w:val="99"/>
    <w:rsid w:val="004A4F90"/>
    <w:rPr>
      <w:rFonts w:ascii="Times New Roman" w:eastAsia="Times New Roman" w:hAnsi="Times New Roman" w:cs="Times New Roman"/>
      <w:sz w:val="20"/>
      <w:szCs w:val="20"/>
      <w:lang w:eastAsia="lv-LV"/>
    </w:rPr>
  </w:style>
  <w:style w:type="character" w:styleId="Emphasis">
    <w:name w:val="Emphasis"/>
    <w:uiPriority w:val="20"/>
    <w:qFormat/>
    <w:rsid w:val="004A4F90"/>
    <w:rPr>
      <w:i/>
      <w:iCs/>
    </w:rPr>
  </w:style>
  <w:style w:type="paragraph" w:styleId="NoSpacing">
    <w:name w:val="No Spacing"/>
    <w:uiPriority w:val="1"/>
    <w:qFormat/>
    <w:rsid w:val="00280E13"/>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ED4CA4"/>
    <w:pPr>
      <w:spacing w:after="120"/>
    </w:pPr>
  </w:style>
  <w:style w:type="character" w:customStyle="1" w:styleId="BodyTextChar">
    <w:name w:val="Body Text Char"/>
    <w:basedOn w:val="DefaultParagraphFont"/>
    <w:link w:val="BodyText"/>
    <w:uiPriority w:val="99"/>
    <w:semiHidden/>
    <w:rsid w:val="00ED4CA4"/>
    <w:rPr>
      <w:rFonts w:ascii="Times New Roman" w:eastAsia="Times New Roman" w:hAnsi="Times New Roman" w:cs="Times New Roman"/>
      <w:sz w:val="28"/>
    </w:rPr>
  </w:style>
  <w:style w:type="paragraph" w:styleId="Footer">
    <w:name w:val="footer"/>
    <w:basedOn w:val="Normal"/>
    <w:link w:val="FooterChar"/>
    <w:uiPriority w:val="99"/>
    <w:unhideWhenUsed/>
    <w:rsid w:val="00AB58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849"/>
    <w:rPr>
      <w:rFonts w:ascii="Times New Roman" w:eastAsia="Times New Roman" w:hAnsi="Times New Roman" w:cs="Times New Roman"/>
      <w:sz w:val="28"/>
    </w:rPr>
  </w:style>
  <w:style w:type="character" w:customStyle="1" w:styleId="projektin12aadreses">
    <w:name w:val="projekti_n12a_adreses"/>
    <w:basedOn w:val="DefaultParagraphFont"/>
    <w:rsid w:val="00E9706E"/>
  </w:style>
  <w:style w:type="paragraph" w:styleId="NormalWeb">
    <w:name w:val="Normal (Web)"/>
    <w:basedOn w:val="Normal"/>
    <w:uiPriority w:val="99"/>
    <w:semiHidden/>
    <w:unhideWhenUsed/>
    <w:rsid w:val="00EC5966"/>
    <w:pPr>
      <w:spacing w:before="100" w:beforeAutospacing="1" w:after="100" w:afterAutospacing="1" w:line="240" w:lineRule="auto"/>
    </w:pPr>
    <w:rPr>
      <w:sz w:val="24"/>
      <w:szCs w:val="24"/>
      <w:lang w:eastAsia="lv-LV"/>
    </w:rPr>
  </w:style>
  <w:style w:type="paragraph" w:styleId="BalloonText">
    <w:name w:val="Balloon Text"/>
    <w:basedOn w:val="Normal"/>
    <w:link w:val="BalloonTextChar"/>
    <w:uiPriority w:val="99"/>
    <w:semiHidden/>
    <w:unhideWhenUsed/>
    <w:rsid w:val="00B776CD"/>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B776CD"/>
    <w:rPr>
      <w:rFonts w:ascii="Calibri" w:eastAsia="Times New Roman" w:hAnsi="Calibri" w:cs="Times New Roman"/>
      <w:sz w:val="16"/>
      <w:szCs w:val="16"/>
    </w:rPr>
  </w:style>
  <w:style w:type="paragraph" w:customStyle="1" w:styleId="naispant">
    <w:name w:val="naispant"/>
    <w:basedOn w:val="Normal"/>
    <w:rsid w:val="00B776CD"/>
    <w:pPr>
      <w:spacing w:after="0" w:line="240" w:lineRule="auto"/>
    </w:pPr>
    <w:rPr>
      <w:sz w:val="24"/>
      <w:szCs w:val="24"/>
      <w:lang w:eastAsia="lv-LV"/>
    </w:rPr>
  </w:style>
  <w:style w:type="paragraph" w:customStyle="1" w:styleId="nais1">
    <w:name w:val="nais1"/>
    <w:basedOn w:val="Normal"/>
    <w:rsid w:val="00B776CD"/>
    <w:pPr>
      <w:spacing w:after="0" w:line="240" w:lineRule="auto"/>
    </w:pPr>
    <w:rPr>
      <w:sz w:val="24"/>
      <w:szCs w:val="24"/>
      <w:lang w:eastAsia="lv-LV"/>
    </w:rPr>
  </w:style>
  <w:style w:type="paragraph" w:customStyle="1" w:styleId="Default">
    <w:name w:val="Default"/>
    <w:rsid w:val="00D937D7"/>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8E3909"/>
    <w:rPr>
      <w:b/>
      <w:bCs/>
    </w:rPr>
  </w:style>
  <w:style w:type="character" w:customStyle="1" w:styleId="st1">
    <w:name w:val="st1"/>
    <w:rsid w:val="00014DE2"/>
  </w:style>
  <w:style w:type="character" w:styleId="CommentReference">
    <w:name w:val="annotation reference"/>
    <w:basedOn w:val="DefaultParagraphFont"/>
    <w:uiPriority w:val="99"/>
    <w:semiHidden/>
    <w:unhideWhenUsed/>
    <w:rsid w:val="00AA7160"/>
    <w:rPr>
      <w:sz w:val="16"/>
      <w:szCs w:val="16"/>
    </w:rPr>
  </w:style>
  <w:style w:type="paragraph" w:styleId="CommentText">
    <w:name w:val="annotation text"/>
    <w:basedOn w:val="Normal"/>
    <w:link w:val="CommentTextChar"/>
    <w:uiPriority w:val="99"/>
    <w:semiHidden/>
    <w:unhideWhenUsed/>
    <w:rsid w:val="00AA7160"/>
    <w:pPr>
      <w:spacing w:line="240" w:lineRule="auto"/>
    </w:pPr>
    <w:rPr>
      <w:sz w:val="20"/>
      <w:szCs w:val="20"/>
    </w:rPr>
  </w:style>
  <w:style w:type="character" w:customStyle="1" w:styleId="CommentTextChar">
    <w:name w:val="Comment Text Char"/>
    <w:basedOn w:val="DefaultParagraphFont"/>
    <w:link w:val="CommentText"/>
    <w:uiPriority w:val="99"/>
    <w:semiHidden/>
    <w:rsid w:val="00AA71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631E"/>
    <w:rPr>
      <w:b/>
      <w:bCs/>
    </w:rPr>
  </w:style>
  <w:style w:type="character" w:customStyle="1" w:styleId="CommentSubjectChar">
    <w:name w:val="Comment Subject Char"/>
    <w:basedOn w:val="CommentTextChar"/>
    <w:link w:val="CommentSubject"/>
    <w:uiPriority w:val="99"/>
    <w:semiHidden/>
    <w:rsid w:val="0083631E"/>
    <w:rPr>
      <w:rFonts w:ascii="Times New Roman" w:eastAsia="Times New Roman" w:hAnsi="Times New Roman" w:cs="Times New Roman"/>
      <w:b/>
      <w:bCs/>
      <w:sz w:val="20"/>
      <w:szCs w:val="20"/>
    </w:rPr>
  </w:style>
  <w:style w:type="paragraph" w:customStyle="1" w:styleId="a">
    <w:name w:val="Текстовый блок"/>
    <w:rsid w:val="009105A3"/>
    <w:pPr>
      <w:pBdr>
        <w:top w:val="nil"/>
        <w:left w:val="nil"/>
        <w:bottom w:val="nil"/>
        <w:right w:val="nil"/>
        <w:between w:val="nil"/>
        <w:bar w:val="nil"/>
      </w:pBdr>
    </w:pPr>
    <w:rPr>
      <w:rFonts w:ascii="Calibri" w:eastAsia="Calibri" w:hAnsi="Calibri" w:cs="Calibri"/>
      <w:color w:val="000000"/>
      <w:u w:color="000000"/>
      <w:bdr w:val="nil"/>
      <w:lang w:eastAsia="lv-LV"/>
    </w:rPr>
  </w:style>
  <w:style w:type="numbering" w:customStyle="1" w:styleId="2">
    <w:name w:val="Импортированный стиль 2"/>
    <w:rsid w:val="009105A3"/>
    <w:pPr>
      <w:numPr>
        <w:numId w:val="19"/>
      </w:numPr>
    </w:pPr>
  </w:style>
  <w:style w:type="numbering" w:customStyle="1" w:styleId="5">
    <w:name w:val="Импортированный стиль 5"/>
    <w:rsid w:val="00FC6CCA"/>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7524">
      <w:bodyDiv w:val="1"/>
      <w:marLeft w:val="0"/>
      <w:marRight w:val="0"/>
      <w:marTop w:val="0"/>
      <w:marBottom w:val="0"/>
      <w:divBdr>
        <w:top w:val="none" w:sz="0" w:space="0" w:color="auto"/>
        <w:left w:val="none" w:sz="0" w:space="0" w:color="auto"/>
        <w:bottom w:val="none" w:sz="0" w:space="0" w:color="auto"/>
        <w:right w:val="none" w:sz="0" w:space="0" w:color="auto"/>
      </w:divBdr>
    </w:div>
    <w:div w:id="67120421">
      <w:bodyDiv w:val="1"/>
      <w:marLeft w:val="0"/>
      <w:marRight w:val="0"/>
      <w:marTop w:val="0"/>
      <w:marBottom w:val="0"/>
      <w:divBdr>
        <w:top w:val="none" w:sz="0" w:space="0" w:color="auto"/>
        <w:left w:val="none" w:sz="0" w:space="0" w:color="auto"/>
        <w:bottom w:val="none" w:sz="0" w:space="0" w:color="auto"/>
        <w:right w:val="none" w:sz="0" w:space="0" w:color="auto"/>
      </w:divBdr>
    </w:div>
    <w:div w:id="163012212">
      <w:bodyDiv w:val="1"/>
      <w:marLeft w:val="0"/>
      <w:marRight w:val="0"/>
      <w:marTop w:val="0"/>
      <w:marBottom w:val="0"/>
      <w:divBdr>
        <w:top w:val="none" w:sz="0" w:space="0" w:color="auto"/>
        <w:left w:val="none" w:sz="0" w:space="0" w:color="auto"/>
        <w:bottom w:val="none" w:sz="0" w:space="0" w:color="auto"/>
        <w:right w:val="none" w:sz="0" w:space="0" w:color="auto"/>
      </w:divBdr>
    </w:div>
    <w:div w:id="166990197">
      <w:bodyDiv w:val="1"/>
      <w:marLeft w:val="0"/>
      <w:marRight w:val="0"/>
      <w:marTop w:val="0"/>
      <w:marBottom w:val="0"/>
      <w:divBdr>
        <w:top w:val="none" w:sz="0" w:space="0" w:color="auto"/>
        <w:left w:val="none" w:sz="0" w:space="0" w:color="auto"/>
        <w:bottom w:val="none" w:sz="0" w:space="0" w:color="auto"/>
        <w:right w:val="none" w:sz="0" w:space="0" w:color="auto"/>
      </w:divBdr>
    </w:div>
    <w:div w:id="612176688">
      <w:bodyDiv w:val="1"/>
      <w:marLeft w:val="0"/>
      <w:marRight w:val="0"/>
      <w:marTop w:val="0"/>
      <w:marBottom w:val="0"/>
      <w:divBdr>
        <w:top w:val="none" w:sz="0" w:space="0" w:color="auto"/>
        <w:left w:val="none" w:sz="0" w:space="0" w:color="auto"/>
        <w:bottom w:val="none" w:sz="0" w:space="0" w:color="auto"/>
        <w:right w:val="none" w:sz="0" w:space="0" w:color="auto"/>
      </w:divBdr>
    </w:div>
    <w:div w:id="705836979">
      <w:bodyDiv w:val="1"/>
      <w:marLeft w:val="0"/>
      <w:marRight w:val="0"/>
      <w:marTop w:val="0"/>
      <w:marBottom w:val="0"/>
      <w:divBdr>
        <w:top w:val="none" w:sz="0" w:space="0" w:color="auto"/>
        <w:left w:val="none" w:sz="0" w:space="0" w:color="auto"/>
        <w:bottom w:val="none" w:sz="0" w:space="0" w:color="auto"/>
        <w:right w:val="none" w:sz="0" w:space="0" w:color="auto"/>
      </w:divBdr>
      <w:divsChild>
        <w:div w:id="382212599">
          <w:marLeft w:val="0"/>
          <w:marRight w:val="0"/>
          <w:marTop w:val="0"/>
          <w:marBottom w:val="0"/>
          <w:divBdr>
            <w:top w:val="none" w:sz="0" w:space="0" w:color="auto"/>
            <w:left w:val="none" w:sz="0" w:space="0" w:color="auto"/>
            <w:bottom w:val="none" w:sz="0" w:space="0" w:color="auto"/>
            <w:right w:val="none" w:sz="0" w:space="0" w:color="auto"/>
          </w:divBdr>
          <w:divsChild>
            <w:div w:id="1106076770">
              <w:marLeft w:val="0"/>
              <w:marRight w:val="0"/>
              <w:marTop w:val="100"/>
              <w:marBottom w:val="100"/>
              <w:divBdr>
                <w:top w:val="none" w:sz="0" w:space="0" w:color="auto"/>
                <w:left w:val="none" w:sz="0" w:space="0" w:color="auto"/>
                <w:bottom w:val="none" w:sz="0" w:space="0" w:color="auto"/>
                <w:right w:val="none" w:sz="0" w:space="0" w:color="auto"/>
              </w:divBdr>
              <w:divsChild>
                <w:div w:id="1457140334">
                  <w:marLeft w:val="0"/>
                  <w:marRight w:val="0"/>
                  <w:marTop w:val="0"/>
                  <w:marBottom w:val="0"/>
                  <w:divBdr>
                    <w:top w:val="none" w:sz="0" w:space="0" w:color="auto"/>
                    <w:left w:val="none" w:sz="0" w:space="0" w:color="auto"/>
                    <w:bottom w:val="none" w:sz="0" w:space="0" w:color="auto"/>
                    <w:right w:val="none" w:sz="0" w:space="0" w:color="auto"/>
                  </w:divBdr>
                  <w:divsChild>
                    <w:div w:id="526647688">
                      <w:marLeft w:val="0"/>
                      <w:marRight w:val="0"/>
                      <w:marTop w:val="0"/>
                      <w:marBottom w:val="0"/>
                      <w:divBdr>
                        <w:top w:val="none" w:sz="0" w:space="0" w:color="auto"/>
                        <w:left w:val="none" w:sz="0" w:space="0" w:color="auto"/>
                        <w:bottom w:val="none" w:sz="0" w:space="0" w:color="auto"/>
                        <w:right w:val="none" w:sz="0" w:space="0" w:color="auto"/>
                      </w:divBdr>
                      <w:divsChild>
                        <w:div w:id="20444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163319">
      <w:bodyDiv w:val="1"/>
      <w:marLeft w:val="0"/>
      <w:marRight w:val="0"/>
      <w:marTop w:val="0"/>
      <w:marBottom w:val="0"/>
      <w:divBdr>
        <w:top w:val="none" w:sz="0" w:space="0" w:color="auto"/>
        <w:left w:val="none" w:sz="0" w:space="0" w:color="auto"/>
        <w:bottom w:val="none" w:sz="0" w:space="0" w:color="auto"/>
        <w:right w:val="none" w:sz="0" w:space="0" w:color="auto"/>
      </w:divBdr>
    </w:div>
    <w:div w:id="783839875">
      <w:bodyDiv w:val="1"/>
      <w:marLeft w:val="0"/>
      <w:marRight w:val="0"/>
      <w:marTop w:val="0"/>
      <w:marBottom w:val="0"/>
      <w:divBdr>
        <w:top w:val="none" w:sz="0" w:space="0" w:color="auto"/>
        <w:left w:val="none" w:sz="0" w:space="0" w:color="auto"/>
        <w:bottom w:val="none" w:sz="0" w:space="0" w:color="auto"/>
        <w:right w:val="none" w:sz="0" w:space="0" w:color="auto"/>
      </w:divBdr>
    </w:div>
    <w:div w:id="815757137">
      <w:bodyDiv w:val="1"/>
      <w:marLeft w:val="0"/>
      <w:marRight w:val="0"/>
      <w:marTop w:val="0"/>
      <w:marBottom w:val="0"/>
      <w:divBdr>
        <w:top w:val="none" w:sz="0" w:space="0" w:color="auto"/>
        <w:left w:val="none" w:sz="0" w:space="0" w:color="auto"/>
        <w:bottom w:val="none" w:sz="0" w:space="0" w:color="auto"/>
        <w:right w:val="none" w:sz="0" w:space="0" w:color="auto"/>
      </w:divBdr>
    </w:div>
    <w:div w:id="1011030128">
      <w:bodyDiv w:val="1"/>
      <w:marLeft w:val="0"/>
      <w:marRight w:val="0"/>
      <w:marTop w:val="0"/>
      <w:marBottom w:val="0"/>
      <w:divBdr>
        <w:top w:val="none" w:sz="0" w:space="0" w:color="auto"/>
        <w:left w:val="none" w:sz="0" w:space="0" w:color="auto"/>
        <w:bottom w:val="none" w:sz="0" w:space="0" w:color="auto"/>
        <w:right w:val="none" w:sz="0" w:space="0" w:color="auto"/>
      </w:divBdr>
    </w:div>
    <w:div w:id="1174149337">
      <w:bodyDiv w:val="1"/>
      <w:marLeft w:val="0"/>
      <w:marRight w:val="0"/>
      <w:marTop w:val="0"/>
      <w:marBottom w:val="0"/>
      <w:divBdr>
        <w:top w:val="none" w:sz="0" w:space="0" w:color="auto"/>
        <w:left w:val="none" w:sz="0" w:space="0" w:color="auto"/>
        <w:bottom w:val="none" w:sz="0" w:space="0" w:color="auto"/>
        <w:right w:val="none" w:sz="0" w:space="0" w:color="auto"/>
      </w:divBdr>
    </w:div>
    <w:div w:id="1508985244">
      <w:bodyDiv w:val="1"/>
      <w:marLeft w:val="0"/>
      <w:marRight w:val="0"/>
      <w:marTop w:val="0"/>
      <w:marBottom w:val="0"/>
      <w:divBdr>
        <w:top w:val="none" w:sz="0" w:space="0" w:color="auto"/>
        <w:left w:val="none" w:sz="0" w:space="0" w:color="auto"/>
        <w:bottom w:val="none" w:sz="0" w:space="0" w:color="auto"/>
        <w:right w:val="none" w:sz="0" w:space="0" w:color="auto"/>
      </w:divBdr>
    </w:div>
    <w:div w:id="1558203092">
      <w:bodyDiv w:val="1"/>
      <w:marLeft w:val="0"/>
      <w:marRight w:val="0"/>
      <w:marTop w:val="0"/>
      <w:marBottom w:val="0"/>
      <w:divBdr>
        <w:top w:val="none" w:sz="0" w:space="0" w:color="auto"/>
        <w:left w:val="none" w:sz="0" w:space="0" w:color="auto"/>
        <w:bottom w:val="none" w:sz="0" w:space="0" w:color="auto"/>
        <w:right w:val="none" w:sz="0" w:space="0" w:color="auto"/>
      </w:divBdr>
    </w:div>
    <w:div w:id="1587422608">
      <w:bodyDiv w:val="1"/>
      <w:marLeft w:val="0"/>
      <w:marRight w:val="0"/>
      <w:marTop w:val="0"/>
      <w:marBottom w:val="0"/>
      <w:divBdr>
        <w:top w:val="none" w:sz="0" w:space="0" w:color="auto"/>
        <w:left w:val="none" w:sz="0" w:space="0" w:color="auto"/>
        <w:bottom w:val="none" w:sz="0" w:space="0" w:color="auto"/>
        <w:right w:val="none" w:sz="0" w:space="0" w:color="auto"/>
      </w:divBdr>
    </w:div>
    <w:div w:id="1675061773">
      <w:bodyDiv w:val="1"/>
      <w:marLeft w:val="0"/>
      <w:marRight w:val="0"/>
      <w:marTop w:val="0"/>
      <w:marBottom w:val="0"/>
      <w:divBdr>
        <w:top w:val="none" w:sz="0" w:space="0" w:color="auto"/>
        <w:left w:val="none" w:sz="0" w:space="0" w:color="auto"/>
        <w:bottom w:val="none" w:sz="0" w:space="0" w:color="auto"/>
        <w:right w:val="none" w:sz="0" w:space="0" w:color="auto"/>
      </w:divBdr>
      <w:divsChild>
        <w:div w:id="971255140">
          <w:marLeft w:val="0"/>
          <w:marRight w:val="0"/>
          <w:marTop w:val="0"/>
          <w:marBottom w:val="0"/>
          <w:divBdr>
            <w:top w:val="none" w:sz="0" w:space="0" w:color="auto"/>
            <w:left w:val="none" w:sz="0" w:space="0" w:color="auto"/>
            <w:bottom w:val="none" w:sz="0" w:space="0" w:color="auto"/>
            <w:right w:val="none" w:sz="0" w:space="0" w:color="auto"/>
          </w:divBdr>
          <w:divsChild>
            <w:div w:id="1616909411">
              <w:marLeft w:val="0"/>
              <w:marRight w:val="0"/>
              <w:marTop w:val="100"/>
              <w:marBottom w:val="100"/>
              <w:divBdr>
                <w:top w:val="none" w:sz="0" w:space="0" w:color="auto"/>
                <w:left w:val="none" w:sz="0" w:space="0" w:color="auto"/>
                <w:bottom w:val="none" w:sz="0" w:space="0" w:color="auto"/>
                <w:right w:val="none" w:sz="0" w:space="0" w:color="auto"/>
              </w:divBdr>
              <w:divsChild>
                <w:div w:id="1634871541">
                  <w:marLeft w:val="0"/>
                  <w:marRight w:val="0"/>
                  <w:marTop w:val="0"/>
                  <w:marBottom w:val="0"/>
                  <w:divBdr>
                    <w:top w:val="none" w:sz="0" w:space="0" w:color="auto"/>
                    <w:left w:val="none" w:sz="0" w:space="0" w:color="auto"/>
                    <w:bottom w:val="none" w:sz="0" w:space="0" w:color="auto"/>
                    <w:right w:val="none" w:sz="0" w:space="0" w:color="auto"/>
                  </w:divBdr>
                  <w:divsChild>
                    <w:div w:id="1522236364">
                      <w:marLeft w:val="0"/>
                      <w:marRight w:val="0"/>
                      <w:marTop w:val="0"/>
                      <w:marBottom w:val="0"/>
                      <w:divBdr>
                        <w:top w:val="none" w:sz="0" w:space="0" w:color="auto"/>
                        <w:left w:val="none" w:sz="0" w:space="0" w:color="auto"/>
                        <w:bottom w:val="none" w:sz="0" w:space="0" w:color="auto"/>
                        <w:right w:val="none" w:sz="0" w:space="0" w:color="auto"/>
                      </w:divBdr>
                      <w:divsChild>
                        <w:div w:id="20033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4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44CAE-D6BF-4F61-8B1B-7A8BEEF9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11501</Words>
  <Characters>6557</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Ministru kabineta rīkojuma projekta „Par atļauju izbeigt līdzdalību un uzsākt reorganizāciju” sākotnējās ietekmes novērtējuma ziņojums (anotācija)</vt:lpstr>
    </vt:vector>
  </TitlesOfParts>
  <Company>Valsts nekustamie īpašumi</Company>
  <LinksUpToDate>false</LinksUpToDate>
  <CharactersWithSpaces>18022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izbeigt līdzdalību un uzsākt reorganizāciju” sākotnējās ietekmes novērtējuma ziņojums (anotācija)</dc:title>
  <dc:creator>mareks.reders@vni.lv</dc:creator>
  <cp:lastModifiedBy>Vineta Dadeka</cp:lastModifiedBy>
  <cp:revision>2</cp:revision>
  <cp:lastPrinted>2016-09-02T11:00:00Z</cp:lastPrinted>
  <dcterms:created xsi:type="dcterms:W3CDTF">2016-09-05T06:36:00Z</dcterms:created>
  <dcterms:modified xsi:type="dcterms:W3CDTF">2016-09-05T06:36:00Z</dcterms:modified>
</cp:coreProperties>
</file>