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033F" w14:textId="3B424804" w:rsidR="009C0862" w:rsidRPr="00B57653" w:rsidRDefault="00D80F36" w:rsidP="00DC4E3D">
      <w:pPr>
        <w:pStyle w:val="BodyText"/>
        <w:jc w:val="both"/>
        <w:rPr>
          <w:b w:val="0"/>
          <w:color w:val="000000" w:themeColor="text1"/>
          <w:highlight w:val="yellow"/>
          <w:lang w:val="lv-LV"/>
        </w:rPr>
      </w:pPr>
      <w:r w:rsidRPr="00B57653">
        <w:rPr>
          <w:noProof/>
          <w:color w:val="000000" w:themeColor="text1"/>
          <w:highlight w:val="yellow"/>
          <w:lang w:val="lv-LV" w:eastAsia="lv-LV"/>
        </w:rPr>
        <w:drawing>
          <wp:anchor distT="0" distB="0" distL="114300" distR="114300" simplePos="0" relativeHeight="251661312" behindDoc="0" locked="0" layoutInCell="1" allowOverlap="1" wp14:anchorId="78D19884" wp14:editId="0551B61A">
            <wp:simplePos x="0" y="0"/>
            <wp:positionH relativeFrom="column">
              <wp:posOffset>736600</wp:posOffset>
            </wp:positionH>
            <wp:positionV relativeFrom="paragraph">
              <wp:posOffset>126822</wp:posOffset>
            </wp:positionV>
            <wp:extent cx="2604770" cy="701675"/>
            <wp:effectExtent l="0" t="0" r="5080" b="3175"/>
            <wp:wrapSquare wrapText="bothSides"/>
            <wp:docPr id="33" name="Picture 27" descr="Description: Description: Description: Description: Swiss Contribution_garaa_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Description: Swiss Contribution_garaa_versija"/>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2604770" cy="701675"/>
                    </a:xfrm>
                    <a:prstGeom prst="rect">
                      <a:avLst/>
                    </a:prstGeom>
                    <a:noFill/>
                    <a:ln>
                      <a:noFill/>
                    </a:ln>
                  </pic:spPr>
                </pic:pic>
              </a:graphicData>
            </a:graphic>
          </wp:anchor>
        </w:drawing>
      </w:r>
      <w:r w:rsidRPr="00B57653">
        <w:rPr>
          <w:noProof/>
          <w:color w:val="000000" w:themeColor="text1"/>
          <w:highlight w:val="yellow"/>
          <w:lang w:val="lv-LV" w:eastAsia="lv-LV"/>
        </w:rPr>
        <w:drawing>
          <wp:anchor distT="0" distB="0" distL="114300" distR="114300" simplePos="0" relativeHeight="251659264" behindDoc="0" locked="0" layoutInCell="1" allowOverlap="1" wp14:anchorId="0CD65753" wp14:editId="3C5381F4">
            <wp:simplePos x="0" y="0"/>
            <wp:positionH relativeFrom="column">
              <wp:posOffset>-520995</wp:posOffset>
            </wp:positionH>
            <wp:positionV relativeFrom="paragraph">
              <wp:posOffset>73482</wp:posOffset>
            </wp:positionV>
            <wp:extent cx="1137285" cy="924560"/>
            <wp:effectExtent l="0" t="0" r="5715" b="8890"/>
            <wp:wrapSquare wrapText="bothSides"/>
            <wp:docPr id="31" name="Picture 26" descr="Description: Description: http://www.esfondi.lv/upload/Logotipi/EK_logo_ar_atsau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www.esfondi.lv/upload/Logotipi/EK_logo_ar_atsauci.bmp"/>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1137285" cy="924560"/>
                    </a:xfrm>
                    <a:prstGeom prst="rect">
                      <a:avLst/>
                    </a:prstGeom>
                    <a:noFill/>
                    <a:ln>
                      <a:noFill/>
                    </a:ln>
                  </pic:spPr>
                </pic:pic>
              </a:graphicData>
            </a:graphic>
          </wp:anchor>
        </w:drawing>
      </w:r>
      <w:r w:rsidR="0024778B">
        <w:rPr>
          <w:noProof/>
          <w:lang w:val="lv-LV" w:eastAsia="lv-LV"/>
        </w:rPr>
        <w:drawing>
          <wp:inline distT="0" distB="0" distL="0" distR="0" wp14:anchorId="37A0ED0B" wp14:editId="37D581A6">
            <wp:extent cx="2038350" cy="75509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8960" cy="762733"/>
                    </a:xfrm>
                    <a:prstGeom prst="rect">
                      <a:avLst/>
                    </a:prstGeom>
                  </pic:spPr>
                </pic:pic>
              </a:graphicData>
            </a:graphic>
          </wp:inline>
        </w:drawing>
      </w:r>
      <w:r w:rsidR="009C0862" w:rsidRPr="00B57653">
        <w:rPr>
          <w:b w:val="0"/>
          <w:color w:val="000000" w:themeColor="text1"/>
          <w:highlight w:val="yellow"/>
          <w:lang w:val="lv-LV"/>
        </w:rPr>
        <w:t xml:space="preserve"> </w:t>
      </w:r>
    </w:p>
    <w:p w14:paraId="24F083F8" w14:textId="77777777" w:rsidR="009C0862" w:rsidRPr="00B57653" w:rsidRDefault="009C0862" w:rsidP="00DC4E3D">
      <w:pPr>
        <w:pStyle w:val="BodyText"/>
        <w:jc w:val="both"/>
        <w:rPr>
          <w:b w:val="0"/>
          <w:color w:val="000000" w:themeColor="text1"/>
          <w:lang w:val="lv-LV"/>
        </w:rPr>
      </w:pPr>
    </w:p>
    <w:p w14:paraId="3A039324" w14:textId="77777777" w:rsidR="009C0862" w:rsidRPr="00B57653" w:rsidRDefault="009C0862" w:rsidP="00DC4E3D">
      <w:pPr>
        <w:pStyle w:val="BodyText"/>
        <w:jc w:val="both"/>
        <w:rPr>
          <w:b w:val="0"/>
          <w:color w:val="000000" w:themeColor="text1"/>
          <w:lang w:val="lv-LV"/>
        </w:rPr>
      </w:pPr>
    </w:p>
    <w:p w14:paraId="3630A1F2" w14:textId="77777777" w:rsidR="009C0862" w:rsidRPr="00B57653" w:rsidRDefault="009C0862" w:rsidP="00DC4E3D">
      <w:pPr>
        <w:pStyle w:val="BodyText"/>
        <w:jc w:val="both"/>
        <w:rPr>
          <w:b w:val="0"/>
          <w:color w:val="000000" w:themeColor="text1"/>
          <w:lang w:val="lv-LV"/>
        </w:rPr>
      </w:pPr>
    </w:p>
    <w:p w14:paraId="02C1A0E7" w14:textId="77777777" w:rsidR="009C0862" w:rsidRPr="00B57653" w:rsidRDefault="009C0862" w:rsidP="00DC4E3D">
      <w:pPr>
        <w:pStyle w:val="BodyText"/>
        <w:jc w:val="both"/>
        <w:rPr>
          <w:b w:val="0"/>
          <w:color w:val="000000" w:themeColor="text1"/>
          <w:lang w:val="lv-LV"/>
        </w:rPr>
      </w:pPr>
    </w:p>
    <w:p w14:paraId="5946652E" w14:textId="77777777" w:rsidR="009C0862" w:rsidRPr="00B57653" w:rsidRDefault="009C0862" w:rsidP="00DC4E3D">
      <w:pPr>
        <w:pStyle w:val="BodyText"/>
        <w:jc w:val="both"/>
        <w:rPr>
          <w:b w:val="0"/>
          <w:color w:val="000000" w:themeColor="text1"/>
          <w:lang w:val="lv-LV"/>
        </w:rPr>
      </w:pPr>
    </w:p>
    <w:p w14:paraId="7CA47671" w14:textId="77777777" w:rsidR="009C0862" w:rsidRPr="00B57653" w:rsidRDefault="009C0862" w:rsidP="00DC4E3D">
      <w:pPr>
        <w:pStyle w:val="BodyText"/>
        <w:jc w:val="both"/>
        <w:rPr>
          <w:b w:val="0"/>
          <w:color w:val="000000" w:themeColor="text1"/>
          <w:lang w:val="lv-LV"/>
        </w:rPr>
      </w:pPr>
    </w:p>
    <w:p w14:paraId="4C60D100" w14:textId="77777777" w:rsidR="009C0862" w:rsidRPr="00B57653" w:rsidRDefault="009C0862" w:rsidP="00DC4E3D">
      <w:pPr>
        <w:pStyle w:val="BodyText"/>
        <w:tabs>
          <w:tab w:val="left" w:pos="3765"/>
        </w:tabs>
        <w:jc w:val="both"/>
        <w:rPr>
          <w:b w:val="0"/>
          <w:color w:val="000000" w:themeColor="text1"/>
          <w:lang w:val="lv-LV"/>
        </w:rPr>
      </w:pPr>
      <w:r w:rsidRPr="00B57653">
        <w:rPr>
          <w:b w:val="0"/>
          <w:color w:val="000000" w:themeColor="text1"/>
          <w:lang w:val="lv-LV"/>
        </w:rPr>
        <w:tab/>
      </w:r>
    </w:p>
    <w:p w14:paraId="393EC1E5" w14:textId="77777777" w:rsidR="009C0862" w:rsidRPr="00B57653" w:rsidRDefault="009C0862" w:rsidP="00DC4E3D">
      <w:pPr>
        <w:pStyle w:val="BodyText"/>
        <w:jc w:val="both"/>
        <w:rPr>
          <w:b w:val="0"/>
          <w:color w:val="000000" w:themeColor="text1"/>
          <w:lang w:val="lv-LV"/>
        </w:rPr>
      </w:pPr>
    </w:p>
    <w:p w14:paraId="37A14050" w14:textId="77777777" w:rsidR="009C0862" w:rsidRPr="00B57653" w:rsidDel="00392FDF" w:rsidRDefault="009C0862" w:rsidP="00DC4E3D">
      <w:pPr>
        <w:pStyle w:val="BodyText"/>
        <w:spacing w:before="0" w:after="0"/>
        <w:jc w:val="center"/>
        <w:rPr>
          <w:color w:val="000000" w:themeColor="text1"/>
          <w:lang w:val="lv-LV"/>
        </w:rPr>
      </w:pPr>
      <w:bookmarkStart w:id="0" w:name="OLE_LINK8"/>
      <w:bookmarkStart w:id="1" w:name="OLE_LINK9"/>
      <w:r w:rsidRPr="00B57653">
        <w:rPr>
          <w:color w:val="000000" w:themeColor="text1"/>
          <w:lang w:val="lv-LV"/>
        </w:rPr>
        <w:t>Informatīvais ziņojums par</w:t>
      </w:r>
    </w:p>
    <w:p w14:paraId="402D19E6" w14:textId="1700101D" w:rsidR="009C0862" w:rsidRPr="00B57653" w:rsidRDefault="009C0862" w:rsidP="00DC4E3D">
      <w:pPr>
        <w:pStyle w:val="Title"/>
        <w:spacing w:before="0" w:after="0"/>
        <w:rPr>
          <w:color w:val="000000" w:themeColor="text1"/>
          <w:sz w:val="24"/>
          <w:szCs w:val="24"/>
        </w:rPr>
      </w:pPr>
      <w:r w:rsidRPr="00B57653">
        <w:rPr>
          <w:color w:val="000000" w:themeColor="text1"/>
          <w:sz w:val="24"/>
          <w:szCs w:val="24"/>
        </w:rPr>
        <w:t xml:space="preserve">Eiropas Savienības struktūrfondu un Kohēzijas fonda, Eiropas Ekonomikas zonas finanšu instrumenta, Norvēģijas finanšu instrumenta un Latvijas un Šveices sadarbības programmas investīciju progresu </w:t>
      </w:r>
      <w:r w:rsidR="00B47A78">
        <w:rPr>
          <w:color w:val="000000" w:themeColor="text1"/>
          <w:sz w:val="24"/>
          <w:szCs w:val="24"/>
        </w:rPr>
        <w:t>līdz 2016</w:t>
      </w:r>
      <w:r>
        <w:rPr>
          <w:color w:val="000000" w:themeColor="text1"/>
          <w:sz w:val="24"/>
          <w:szCs w:val="24"/>
        </w:rPr>
        <w:t xml:space="preserve">.gada </w:t>
      </w:r>
      <w:r w:rsidR="00B47A78">
        <w:rPr>
          <w:color w:val="000000" w:themeColor="text1"/>
          <w:sz w:val="24"/>
          <w:szCs w:val="24"/>
        </w:rPr>
        <w:t>30.jūnijam</w:t>
      </w:r>
    </w:p>
    <w:bookmarkEnd w:id="0"/>
    <w:bookmarkEnd w:id="1"/>
    <w:p w14:paraId="1D47686B" w14:textId="77777777" w:rsidR="009C0862" w:rsidRPr="00B57653" w:rsidRDefault="009C0862" w:rsidP="00DC4E3D">
      <w:pPr>
        <w:spacing w:line="276" w:lineRule="auto"/>
        <w:rPr>
          <w:b/>
        </w:rPr>
      </w:pPr>
      <w:r w:rsidRPr="00B57653">
        <w:br w:type="page"/>
      </w:r>
    </w:p>
    <w:sdt>
      <w:sdtPr>
        <w:rPr>
          <w:rFonts w:ascii="Times New Roman" w:eastAsiaTheme="minorHAnsi" w:hAnsi="Times New Roman" w:cstheme="minorBidi"/>
          <w:color w:val="auto"/>
          <w:sz w:val="24"/>
          <w:szCs w:val="22"/>
          <w:lang w:val="lv-LV"/>
        </w:rPr>
        <w:id w:val="1547027860"/>
        <w:docPartObj>
          <w:docPartGallery w:val="Table of Contents"/>
          <w:docPartUnique/>
        </w:docPartObj>
      </w:sdtPr>
      <w:sdtEndPr>
        <w:rPr>
          <w:bCs/>
        </w:rPr>
      </w:sdtEndPr>
      <w:sdtContent>
        <w:p w14:paraId="577D9EDF" w14:textId="1E92C57C" w:rsidR="009C0862" w:rsidRPr="00647189" w:rsidRDefault="009C0862" w:rsidP="00DC4E3D">
          <w:pPr>
            <w:pStyle w:val="TOCHeading"/>
            <w:tabs>
              <w:tab w:val="left" w:pos="2277"/>
            </w:tabs>
            <w:spacing w:line="276" w:lineRule="auto"/>
            <w:rPr>
              <w:rFonts w:ascii="Times New Roman" w:hAnsi="Times New Roman" w:cs="Times New Roman"/>
              <w:color w:val="auto"/>
              <w:lang w:val="lv-LV"/>
            </w:rPr>
          </w:pPr>
          <w:r w:rsidRPr="00D05205">
            <w:rPr>
              <w:rFonts w:ascii="Times New Roman" w:hAnsi="Times New Roman" w:cs="Times New Roman"/>
              <w:color w:val="auto"/>
              <w:lang w:val="lv-LV"/>
            </w:rPr>
            <w:t>Sat</w:t>
          </w:r>
          <w:r w:rsidRPr="004C5227">
            <w:rPr>
              <w:rFonts w:ascii="Times New Roman" w:hAnsi="Times New Roman" w:cs="Times New Roman"/>
              <w:color w:val="auto"/>
              <w:lang w:val="lv-LV"/>
            </w:rPr>
            <w:t xml:space="preserve">ura </w:t>
          </w:r>
          <w:r w:rsidRPr="00647189">
            <w:rPr>
              <w:rFonts w:ascii="Times New Roman" w:hAnsi="Times New Roman" w:cs="Times New Roman"/>
              <w:color w:val="auto"/>
              <w:lang w:val="lv-LV"/>
            </w:rPr>
            <w:t>rādītājs</w:t>
          </w:r>
          <w:r w:rsidR="00BB21DD" w:rsidRPr="00647189">
            <w:rPr>
              <w:rFonts w:ascii="Times New Roman" w:hAnsi="Times New Roman" w:cs="Times New Roman"/>
              <w:color w:val="auto"/>
              <w:lang w:val="lv-LV"/>
            </w:rPr>
            <w:tab/>
          </w:r>
        </w:p>
        <w:p w14:paraId="30E45991" w14:textId="77777777" w:rsidR="00647189" w:rsidRPr="00647189" w:rsidRDefault="009C0862">
          <w:pPr>
            <w:pStyle w:val="TOC1"/>
            <w:rPr>
              <w:rFonts w:asciiTheme="minorHAnsi" w:eastAsiaTheme="minorEastAsia" w:hAnsiTheme="minorHAnsi" w:cstheme="minorBidi"/>
              <w:b w:val="0"/>
              <w:bCs w:val="0"/>
              <w:sz w:val="22"/>
              <w:szCs w:val="22"/>
              <w:lang w:eastAsia="lv-LV"/>
            </w:rPr>
          </w:pPr>
          <w:r w:rsidRPr="00647189">
            <w:rPr>
              <w:b w:val="0"/>
              <w:noProof w:val="0"/>
            </w:rPr>
            <w:fldChar w:fldCharType="begin"/>
          </w:r>
          <w:r w:rsidRPr="00647189">
            <w:rPr>
              <w:b w:val="0"/>
              <w:noProof w:val="0"/>
            </w:rPr>
            <w:instrText xml:space="preserve"> TOC \o "1-3" \h \z \u </w:instrText>
          </w:r>
          <w:r w:rsidRPr="00647189">
            <w:rPr>
              <w:b w:val="0"/>
              <w:noProof w:val="0"/>
            </w:rPr>
            <w:fldChar w:fldCharType="separate"/>
          </w:r>
          <w:hyperlink w:anchor="_Toc459713612" w:history="1">
            <w:r w:rsidR="00647189" w:rsidRPr="00647189">
              <w:rPr>
                <w:rStyle w:val="Hyperlink"/>
                <w:b w:val="0"/>
              </w:rPr>
              <w:t>Kopsavilkums</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_Toc459713612 \h </w:instrText>
            </w:r>
            <w:r w:rsidR="00647189" w:rsidRPr="00647189">
              <w:rPr>
                <w:b w:val="0"/>
                <w:webHidden/>
              </w:rPr>
            </w:r>
            <w:r w:rsidR="00647189" w:rsidRPr="00647189">
              <w:rPr>
                <w:b w:val="0"/>
                <w:webHidden/>
              </w:rPr>
              <w:fldChar w:fldCharType="separate"/>
            </w:r>
            <w:r w:rsidR="00647189" w:rsidRPr="00647189">
              <w:rPr>
                <w:b w:val="0"/>
                <w:webHidden/>
              </w:rPr>
              <w:t>4</w:t>
            </w:r>
            <w:r w:rsidR="00647189" w:rsidRPr="00647189">
              <w:rPr>
                <w:b w:val="0"/>
                <w:webHidden/>
              </w:rPr>
              <w:fldChar w:fldCharType="end"/>
            </w:r>
          </w:hyperlink>
        </w:p>
        <w:p w14:paraId="434CDBCE"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13" w:history="1">
            <w:r w:rsidR="00647189" w:rsidRPr="00647189">
              <w:rPr>
                <w:rStyle w:val="Hyperlink"/>
                <w:b w:val="0"/>
                <w:lang w:eastAsia="lv-LV"/>
              </w:rPr>
              <w:t>1.</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ES fondu finansējuma ietekme uz Latvijas tautsaimniecības attīstību</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_Toc459713613 \h </w:instrText>
            </w:r>
            <w:r w:rsidR="00647189" w:rsidRPr="00647189">
              <w:rPr>
                <w:b w:val="0"/>
                <w:webHidden/>
              </w:rPr>
            </w:r>
            <w:r w:rsidR="00647189" w:rsidRPr="00647189">
              <w:rPr>
                <w:b w:val="0"/>
                <w:webHidden/>
              </w:rPr>
              <w:fldChar w:fldCharType="separate"/>
            </w:r>
            <w:r w:rsidR="00647189" w:rsidRPr="00647189">
              <w:rPr>
                <w:b w:val="0"/>
                <w:webHidden/>
              </w:rPr>
              <w:t>6</w:t>
            </w:r>
            <w:r w:rsidR="00647189" w:rsidRPr="00647189">
              <w:rPr>
                <w:b w:val="0"/>
                <w:webHidden/>
              </w:rPr>
              <w:fldChar w:fldCharType="end"/>
            </w:r>
          </w:hyperlink>
        </w:p>
        <w:p w14:paraId="7699364A"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14" w:history="1">
            <w:r w:rsidR="00647189" w:rsidRPr="00647189">
              <w:rPr>
                <w:rStyle w:val="Hyperlink"/>
                <w:b w:val="0"/>
              </w:rPr>
              <w:t>2.</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2007. -2013.gada plānošanas perioda ES fondu investīciju statuss un slēgšana</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_Toc459713614 \h </w:instrText>
            </w:r>
            <w:r w:rsidR="00647189" w:rsidRPr="00647189">
              <w:rPr>
                <w:b w:val="0"/>
                <w:webHidden/>
              </w:rPr>
            </w:r>
            <w:r w:rsidR="00647189" w:rsidRPr="00647189">
              <w:rPr>
                <w:b w:val="0"/>
                <w:webHidden/>
              </w:rPr>
              <w:fldChar w:fldCharType="separate"/>
            </w:r>
            <w:r w:rsidR="00647189" w:rsidRPr="00647189">
              <w:rPr>
                <w:b w:val="0"/>
                <w:webHidden/>
              </w:rPr>
              <w:t>8</w:t>
            </w:r>
            <w:r w:rsidR="00647189" w:rsidRPr="00647189">
              <w:rPr>
                <w:b w:val="0"/>
                <w:webHidden/>
              </w:rPr>
              <w:fldChar w:fldCharType="end"/>
            </w:r>
          </w:hyperlink>
        </w:p>
        <w:p w14:paraId="6EC4A785"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15" w:history="1">
            <w:r w:rsidR="00647189" w:rsidRPr="00647189">
              <w:rPr>
                <w:rStyle w:val="Hyperlink"/>
                <w:b w:val="0"/>
              </w:rPr>
              <w:t>3.</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EEZ/Norvēģijas finanšu instrumentu ieviešana</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_Toc459713615 \h </w:instrText>
            </w:r>
            <w:r w:rsidR="00647189" w:rsidRPr="00647189">
              <w:rPr>
                <w:b w:val="0"/>
                <w:webHidden/>
              </w:rPr>
            </w:r>
            <w:r w:rsidR="00647189" w:rsidRPr="00647189">
              <w:rPr>
                <w:b w:val="0"/>
                <w:webHidden/>
              </w:rPr>
              <w:fldChar w:fldCharType="separate"/>
            </w:r>
            <w:r w:rsidR="00647189" w:rsidRPr="00647189">
              <w:rPr>
                <w:b w:val="0"/>
                <w:webHidden/>
              </w:rPr>
              <w:t>11</w:t>
            </w:r>
            <w:r w:rsidR="00647189" w:rsidRPr="00647189">
              <w:rPr>
                <w:b w:val="0"/>
                <w:webHidden/>
              </w:rPr>
              <w:fldChar w:fldCharType="end"/>
            </w:r>
          </w:hyperlink>
        </w:p>
        <w:p w14:paraId="095B963A" w14:textId="77777777" w:rsidR="00647189" w:rsidRPr="00647189" w:rsidRDefault="006D6B53">
          <w:pPr>
            <w:pStyle w:val="TOC2"/>
            <w:rPr>
              <w:rFonts w:asciiTheme="minorHAnsi" w:eastAsiaTheme="minorEastAsia" w:hAnsiTheme="minorHAnsi" w:cstheme="minorBidi"/>
              <w:bCs w:val="0"/>
              <w:sz w:val="22"/>
              <w:szCs w:val="22"/>
              <w:lang w:eastAsia="lv-LV"/>
            </w:rPr>
          </w:pPr>
          <w:hyperlink w:anchor="_Toc459713616" w:history="1">
            <w:r w:rsidR="00647189" w:rsidRPr="00647189">
              <w:rPr>
                <w:rStyle w:val="Hyperlink"/>
              </w:rPr>
              <w:t>3.1.</w:t>
            </w:r>
            <w:r w:rsidR="00647189" w:rsidRPr="00647189">
              <w:rPr>
                <w:rFonts w:asciiTheme="minorHAnsi" w:eastAsiaTheme="minorEastAsia" w:hAnsiTheme="minorHAnsi" w:cstheme="minorBidi"/>
                <w:bCs w:val="0"/>
                <w:sz w:val="22"/>
                <w:szCs w:val="22"/>
                <w:lang w:eastAsia="lv-LV"/>
              </w:rPr>
              <w:tab/>
            </w:r>
            <w:r w:rsidR="00647189" w:rsidRPr="00647189">
              <w:rPr>
                <w:rStyle w:val="Hyperlink"/>
              </w:rPr>
              <w:t>EEZ/Norvēģijas finanšu instrumentu jaunā perioda plānošana</w:t>
            </w:r>
            <w:r w:rsidR="00647189" w:rsidRPr="00647189">
              <w:rPr>
                <w:webHidden/>
              </w:rPr>
              <w:tab/>
            </w:r>
            <w:r w:rsidR="00647189" w:rsidRPr="00647189">
              <w:rPr>
                <w:webHidden/>
              </w:rPr>
              <w:fldChar w:fldCharType="begin"/>
            </w:r>
            <w:r w:rsidR="00647189" w:rsidRPr="00647189">
              <w:rPr>
                <w:webHidden/>
              </w:rPr>
              <w:instrText xml:space="preserve"> PAGEREF _Toc459713616 \h </w:instrText>
            </w:r>
            <w:r w:rsidR="00647189" w:rsidRPr="00647189">
              <w:rPr>
                <w:webHidden/>
              </w:rPr>
            </w:r>
            <w:r w:rsidR="00647189" w:rsidRPr="00647189">
              <w:rPr>
                <w:webHidden/>
              </w:rPr>
              <w:fldChar w:fldCharType="separate"/>
            </w:r>
            <w:r w:rsidR="00647189" w:rsidRPr="00647189">
              <w:rPr>
                <w:webHidden/>
              </w:rPr>
              <w:t>15</w:t>
            </w:r>
            <w:r w:rsidR="00647189" w:rsidRPr="00647189">
              <w:rPr>
                <w:webHidden/>
              </w:rPr>
              <w:fldChar w:fldCharType="end"/>
            </w:r>
          </w:hyperlink>
        </w:p>
        <w:p w14:paraId="199EDAC2"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17" w:history="1">
            <w:r w:rsidR="00647189" w:rsidRPr="00647189">
              <w:rPr>
                <w:rStyle w:val="Hyperlink"/>
                <w:b w:val="0"/>
              </w:rPr>
              <w:t>4.</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Šveices programmas ieviešana</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_Toc459713617 \h </w:instrText>
            </w:r>
            <w:r w:rsidR="00647189" w:rsidRPr="00647189">
              <w:rPr>
                <w:b w:val="0"/>
                <w:webHidden/>
              </w:rPr>
            </w:r>
            <w:r w:rsidR="00647189" w:rsidRPr="00647189">
              <w:rPr>
                <w:b w:val="0"/>
                <w:webHidden/>
              </w:rPr>
              <w:fldChar w:fldCharType="separate"/>
            </w:r>
            <w:r w:rsidR="00647189" w:rsidRPr="00647189">
              <w:rPr>
                <w:b w:val="0"/>
                <w:webHidden/>
              </w:rPr>
              <w:t>16</w:t>
            </w:r>
            <w:r w:rsidR="00647189" w:rsidRPr="00647189">
              <w:rPr>
                <w:b w:val="0"/>
                <w:webHidden/>
              </w:rPr>
              <w:fldChar w:fldCharType="end"/>
            </w:r>
          </w:hyperlink>
        </w:p>
        <w:p w14:paraId="7E3AF3FA"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18" w:history="1">
            <w:r w:rsidR="00647189" w:rsidRPr="00647189">
              <w:rPr>
                <w:rStyle w:val="Hyperlink"/>
                <w:b w:val="0"/>
              </w:rPr>
              <w:t>5.</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2014.–2020.gada plānošanas perioda ES fondu ieviešana</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_Toc459713618 \h </w:instrText>
            </w:r>
            <w:r w:rsidR="00647189" w:rsidRPr="00647189">
              <w:rPr>
                <w:b w:val="0"/>
                <w:webHidden/>
              </w:rPr>
            </w:r>
            <w:r w:rsidR="00647189" w:rsidRPr="00647189">
              <w:rPr>
                <w:b w:val="0"/>
                <w:webHidden/>
              </w:rPr>
              <w:fldChar w:fldCharType="separate"/>
            </w:r>
            <w:r w:rsidR="00647189" w:rsidRPr="00647189">
              <w:rPr>
                <w:b w:val="0"/>
                <w:webHidden/>
              </w:rPr>
              <w:t>17</w:t>
            </w:r>
            <w:r w:rsidR="00647189" w:rsidRPr="00647189">
              <w:rPr>
                <w:b w:val="0"/>
                <w:webHidden/>
              </w:rPr>
              <w:fldChar w:fldCharType="end"/>
            </w:r>
          </w:hyperlink>
        </w:p>
        <w:p w14:paraId="36AEC42B" w14:textId="77777777" w:rsidR="00647189" w:rsidRPr="00647189" w:rsidRDefault="006D6B53">
          <w:pPr>
            <w:pStyle w:val="TOC2"/>
            <w:rPr>
              <w:rFonts w:asciiTheme="minorHAnsi" w:eastAsiaTheme="minorEastAsia" w:hAnsiTheme="minorHAnsi" w:cstheme="minorBidi"/>
              <w:bCs w:val="0"/>
              <w:sz w:val="22"/>
              <w:szCs w:val="22"/>
              <w:lang w:eastAsia="lv-LV"/>
            </w:rPr>
          </w:pPr>
          <w:hyperlink w:anchor="_Toc459713619" w:history="1">
            <w:r w:rsidR="00647189" w:rsidRPr="00647189">
              <w:rPr>
                <w:rStyle w:val="Hyperlink"/>
              </w:rPr>
              <w:t>5.1.</w:t>
            </w:r>
            <w:r w:rsidR="00647189" w:rsidRPr="00647189">
              <w:rPr>
                <w:rFonts w:asciiTheme="minorHAnsi" w:eastAsiaTheme="minorEastAsia" w:hAnsiTheme="minorHAnsi" w:cstheme="minorBidi"/>
                <w:bCs w:val="0"/>
                <w:sz w:val="22"/>
                <w:szCs w:val="22"/>
                <w:lang w:eastAsia="lv-LV"/>
              </w:rPr>
              <w:tab/>
            </w:r>
            <w:r w:rsidR="00647189" w:rsidRPr="00647189">
              <w:rPr>
                <w:rStyle w:val="Hyperlink"/>
              </w:rPr>
              <w:t>2014.-2020.gada plānošanas perioda SI aktualitātes</w:t>
            </w:r>
            <w:r w:rsidR="00647189" w:rsidRPr="00647189">
              <w:rPr>
                <w:webHidden/>
              </w:rPr>
              <w:tab/>
            </w:r>
            <w:r w:rsidR="00647189" w:rsidRPr="00647189">
              <w:rPr>
                <w:webHidden/>
              </w:rPr>
              <w:fldChar w:fldCharType="begin"/>
            </w:r>
            <w:r w:rsidR="00647189" w:rsidRPr="00647189">
              <w:rPr>
                <w:webHidden/>
              </w:rPr>
              <w:instrText xml:space="preserve"> PAGEREF _Toc459713619 \h </w:instrText>
            </w:r>
            <w:r w:rsidR="00647189" w:rsidRPr="00647189">
              <w:rPr>
                <w:webHidden/>
              </w:rPr>
            </w:r>
            <w:r w:rsidR="00647189" w:rsidRPr="00647189">
              <w:rPr>
                <w:webHidden/>
              </w:rPr>
              <w:fldChar w:fldCharType="separate"/>
            </w:r>
            <w:r w:rsidR="00647189" w:rsidRPr="00647189">
              <w:rPr>
                <w:webHidden/>
              </w:rPr>
              <w:t>23</w:t>
            </w:r>
            <w:r w:rsidR="00647189" w:rsidRPr="00647189">
              <w:rPr>
                <w:webHidden/>
              </w:rPr>
              <w:fldChar w:fldCharType="end"/>
            </w:r>
          </w:hyperlink>
        </w:p>
        <w:p w14:paraId="69A87352"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20" w:history="1">
            <w:r w:rsidR="00647189" w:rsidRPr="00647189">
              <w:rPr>
                <w:rStyle w:val="Hyperlink"/>
                <w:b w:val="0"/>
              </w:rPr>
              <w:t>6.</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Neatbilstības ES fondu un citas ārvalstu finanšu palīdzības līdzfinansētos projektos</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_Toc459713620 \h </w:instrText>
            </w:r>
            <w:r w:rsidR="00647189" w:rsidRPr="00647189">
              <w:rPr>
                <w:b w:val="0"/>
                <w:webHidden/>
              </w:rPr>
            </w:r>
            <w:r w:rsidR="00647189" w:rsidRPr="00647189">
              <w:rPr>
                <w:b w:val="0"/>
                <w:webHidden/>
              </w:rPr>
              <w:fldChar w:fldCharType="separate"/>
            </w:r>
            <w:r w:rsidR="00647189" w:rsidRPr="00647189">
              <w:rPr>
                <w:b w:val="0"/>
                <w:webHidden/>
              </w:rPr>
              <w:t>24</w:t>
            </w:r>
            <w:r w:rsidR="00647189" w:rsidRPr="00647189">
              <w:rPr>
                <w:b w:val="0"/>
                <w:webHidden/>
              </w:rPr>
              <w:fldChar w:fldCharType="end"/>
            </w:r>
          </w:hyperlink>
        </w:p>
        <w:p w14:paraId="7E5CF87D" w14:textId="77777777" w:rsidR="00647189" w:rsidRPr="00647189" w:rsidRDefault="006D6B53">
          <w:pPr>
            <w:pStyle w:val="TOC2"/>
            <w:rPr>
              <w:rFonts w:asciiTheme="minorHAnsi" w:eastAsiaTheme="minorEastAsia" w:hAnsiTheme="minorHAnsi" w:cstheme="minorBidi"/>
              <w:bCs w:val="0"/>
              <w:sz w:val="22"/>
              <w:szCs w:val="22"/>
              <w:lang w:eastAsia="lv-LV"/>
            </w:rPr>
          </w:pPr>
          <w:hyperlink w:anchor="_Toc459713621" w:history="1">
            <w:r w:rsidR="00647189" w:rsidRPr="00647189">
              <w:rPr>
                <w:rStyle w:val="Hyperlink"/>
              </w:rPr>
              <w:t>6.1.</w:t>
            </w:r>
            <w:r w:rsidR="00647189" w:rsidRPr="00647189">
              <w:rPr>
                <w:rFonts w:asciiTheme="minorHAnsi" w:eastAsiaTheme="minorEastAsia" w:hAnsiTheme="minorHAnsi" w:cstheme="minorBidi"/>
                <w:bCs w:val="0"/>
                <w:sz w:val="22"/>
                <w:szCs w:val="22"/>
                <w:lang w:eastAsia="lv-LV"/>
              </w:rPr>
              <w:tab/>
            </w:r>
            <w:r w:rsidR="00647189" w:rsidRPr="00647189">
              <w:rPr>
                <w:rStyle w:val="Hyperlink"/>
              </w:rPr>
              <w:t>Neatbilstības ar finansiālu ietekmi ES fondu 2007.-2013.gada plānošanas periodā ES fondos līdz 2016.gada 30.jūnijam</w:t>
            </w:r>
            <w:r w:rsidR="00647189" w:rsidRPr="00647189">
              <w:rPr>
                <w:webHidden/>
              </w:rPr>
              <w:tab/>
            </w:r>
            <w:r w:rsidR="00647189" w:rsidRPr="00647189">
              <w:rPr>
                <w:webHidden/>
              </w:rPr>
              <w:fldChar w:fldCharType="begin"/>
            </w:r>
            <w:r w:rsidR="00647189" w:rsidRPr="00647189">
              <w:rPr>
                <w:webHidden/>
              </w:rPr>
              <w:instrText xml:space="preserve"> PAGEREF _Toc459713621 \h </w:instrText>
            </w:r>
            <w:r w:rsidR="00647189" w:rsidRPr="00647189">
              <w:rPr>
                <w:webHidden/>
              </w:rPr>
            </w:r>
            <w:r w:rsidR="00647189" w:rsidRPr="00647189">
              <w:rPr>
                <w:webHidden/>
              </w:rPr>
              <w:fldChar w:fldCharType="separate"/>
            </w:r>
            <w:r w:rsidR="00647189" w:rsidRPr="00647189">
              <w:rPr>
                <w:webHidden/>
              </w:rPr>
              <w:t>25</w:t>
            </w:r>
            <w:r w:rsidR="00647189" w:rsidRPr="00647189">
              <w:rPr>
                <w:webHidden/>
              </w:rPr>
              <w:fldChar w:fldCharType="end"/>
            </w:r>
          </w:hyperlink>
        </w:p>
        <w:p w14:paraId="4FB5BC3C" w14:textId="77777777" w:rsidR="00647189" w:rsidRPr="00647189" w:rsidRDefault="006D6B53">
          <w:pPr>
            <w:pStyle w:val="TOC2"/>
            <w:rPr>
              <w:rFonts w:asciiTheme="minorHAnsi" w:eastAsiaTheme="minorEastAsia" w:hAnsiTheme="minorHAnsi" w:cstheme="minorBidi"/>
              <w:bCs w:val="0"/>
              <w:sz w:val="22"/>
              <w:szCs w:val="22"/>
              <w:lang w:eastAsia="lv-LV"/>
            </w:rPr>
          </w:pPr>
          <w:hyperlink w:anchor="_Toc459713622" w:history="1">
            <w:r w:rsidR="00647189" w:rsidRPr="00647189">
              <w:rPr>
                <w:rStyle w:val="Hyperlink"/>
              </w:rPr>
              <w:t>6.2.</w:t>
            </w:r>
            <w:r w:rsidR="00647189" w:rsidRPr="00647189">
              <w:rPr>
                <w:rFonts w:asciiTheme="minorHAnsi" w:eastAsiaTheme="minorEastAsia" w:hAnsiTheme="minorHAnsi" w:cstheme="minorBidi"/>
                <w:bCs w:val="0"/>
                <w:sz w:val="22"/>
                <w:szCs w:val="22"/>
                <w:lang w:eastAsia="lv-LV"/>
              </w:rPr>
              <w:tab/>
            </w:r>
            <w:r w:rsidR="00647189" w:rsidRPr="00647189">
              <w:rPr>
                <w:rStyle w:val="Hyperlink"/>
              </w:rPr>
              <w:t>Neatbilstības ES fondu 2014.-2020.gada plānošanas periodā ES fondos līdz 2016.gada 30.jūnijam</w:t>
            </w:r>
            <w:r w:rsidR="00647189" w:rsidRPr="00647189">
              <w:rPr>
                <w:webHidden/>
              </w:rPr>
              <w:tab/>
            </w:r>
            <w:r w:rsidR="00647189" w:rsidRPr="00647189">
              <w:rPr>
                <w:webHidden/>
              </w:rPr>
              <w:fldChar w:fldCharType="begin"/>
            </w:r>
            <w:r w:rsidR="00647189" w:rsidRPr="00647189">
              <w:rPr>
                <w:webHidden/>
              </w:rPr>
              <w:instrText xml:space="preserve"> PAGEREF _Toc459713622 \h </w:instrText>
            </w:r>
            <w:r w:rsidR="00647189" w:rsidRPr="00647189">
              <w:rPr>
                <w:webHidden/>
              </w:rPr>
            </w:r>
            <w:r w:rsidR="00647189" w:rsidRPr="00647189">
              <w:rPr>
                <w:webHidden/>
              </w:rPr>
              <w:fldChar w:fldCharType="separate"/>
            </w:r>
            <w:r w:rsidR="00647189" w:rsidRPr="00647189">
              <w:rPr>
                <w:webHidden/>
              </w:rPr>
              <w:t>30</w:t>
            </w:r>
            <w:r w:rsidR="00647189" w:rsidRPr="00647189">
              <w:rPr>
                <w:webHidden/>
              </w:rPr>
              <w:fldChar w:fldCharType="end"/>
            </w:r>
          </w:hyperlink>
        </w:p>
        <w:p w14:paraId="0A032823" w14:textId="77777777" w:rsidR="00647189" w:rsidRPr="00647189" w:rsidRDefault="006D6B53">
          <w:pPr>
            <w:pStyle w:val="TOC2"/>
            <w:rPr>
              <w:rFonts w:asciiTheme="minorHAnsi" w:eastAsiaTheme="minorEastAsia" w:hAnsiTheme="minorHAnsi" w:cstheme="minorBidi"/>
              <w:bCs w:val="0"/>
              <w:sz w:val="22"/>
              <w:szCs w:val="22"/>
              <w:lang w:eastAsia="lv-LV"/>
            </w:rPr>
          </w:pPr>
          <w:hyperlink w:anchor="_Toc459713623" w:history="1">
            <w:r w:rsidR="00647189" w:rsidRPr="00647189">
              <w:rPr>
                <w:rStyle w:val="Hyperlink"/>
              </w:rPr>
              <w:t>6.3.</w:t>
            </w:r>
            <w:r w:rsidR="00647189" w:rsidRPr="00647189">
              <w:rPr>
                <w:rFonts w:asciiTheme="minorHAnsi" w:eastAsiaTheme="minorEastAsia" w:hAnsiTheme="minorHAnsi" w:cstheme="minorBidi"/>
                <w:bCs w:val="0"/>
                <w:sz w:val="22"/>
                <w:szCs w:val="22"/>
                <w:lang w:eastAsia="lv-LV"/>
              </w:rPr>
              <w:tab/>
            </w:r>
            <w:r w:rsidR="00647189" w:rsidRPr="00647189">
              <w:rPr>
                <w:rStyle w:val="Hyperlink"/>
              </w:rPr>
              <w:t>Neatbilstības EEZ/Norvēģijas finanšu instrumentos un Šveices programmā</w:t>
            </w:r>
            <w:r w:rsidR="00647189" w:rsidRPr="00647189">
              <w:rPr>
                <w:webHidden/>
              </w:rPr>
              <w:tab/>
            </w:r>
            <w:r w:rsidR="00647189" w:rsidRPr="00647189">
              <w:rPr>
                <w:webHidden/>
              </w:rPr>
              <w:fldChar w:fldCharType="begin"/>
            </w:r>
            <w:r w:rsidR="00647189" w:rsidRPr="00647189">
              <w:rPr>
                <w:webHidden/>
              </w:rPr>
              <w:instrText xml:space="preserve"> PAGEREF _Toc459713623 \h </w:instrText>
            </w:r>
            <w:r w:rsidR="00647189" w:rsidRPr="00647189">
              <w:rPr>
                <w:webHidden/>
              </w:rPr>
            </w:r>
            <w:r w:rsidR="00647189" w:rsidRPr="00647189">
              <w:rPr>
                <w:webHidden/>
              </w:rPr>
              <w:fldChar w:fldCharType="separate"/>
            </w:r>
            <w:r w:rsidR="00647189" w:rsidRPr="00647189">
              <w:rPr>
                <w:webHidden/>
              </w:rPr>
              <w:t>31</w:t>
            </w:r>
            <w:r w:rsidR="00647189" w:rsidRPr="00647189">
              <w:rPr>
                <w:webHidden/>
              </w:rPr>
              <w:fldChar w:fldCharType="end"/>
            </w:r>
          </w:hyperlink>
        </w:p>
        <w:p w14:paraId="36276E21" w14:textId="77777777" w:rsidR="00647189" w:rsidRPr="00647189" w:rsidRDefault="006D6B53">
          <w:pPr>
            <w:pStyle w:val="TOC2"/>
            <w:rPr>
              <w:rFonts w:asciiTheme="minorHAnsi" w:eastAsiaTheme="minorEastAsia" w:hAnsiTheme="minorHAnsi" w:cstheme="minorBidi"/>
              <w:bCs w:val="0"/>
              <w:sz w:val="22"/>
              <w:szCs w:val="22"/>
              <w:lang w:eastAsia="lv-LV"/>
            </w:rPr>
          </w:pPr>
          <w:hyperlink w:anchor="_Toc459713624" w:history="1">
            <w:r w:rsidR="00647189" w:rsidRPr="00647189">
              <w:rPr>
                <w:rStyle w:val="Hyperlink"/>
              </w:rPr>
              <w:t>6.4.</w:t>
            </w:r>
            <w:r w:rsidR="00647189" w:rsidRPr="00647189">
              <w:rPr>
                <w:rFonts w:asciiTheme="minorHAnsi" w:eastAsiaTheme="minorEastAsia" w:hAnsiTheme="minorHAnsi" w:cstheme="minorBidi"/>
                <w:bCs w:val="0"/>
                <w:sz w:val="22"/>
                <w:szCs w:val="22"/>
                <w:lang w:eastAsia="lv-LV"/>
              </w:rPr>
              <w:tab/>
            </w:r>
            <w:r w:rsidR="00647189" w:rsidRPr="00647189">
              <w:rPr>
                <w:rStyle w:val="Hyperlink"/>
              </w:rPr>
              <w:t>Neatbilstības PHARE/ Pārejas programmas projektos</w:t>
            </w:r>
            <w:r w:rsidR="00647189" w:rsidRPr="00647189">
              <w:rPr>
                <w:webHidden/>
              </w:rPr>
              <w:tab/>
            </w:r>
            <w:r w:rsidR="00647189" w:rsidRPr="00647189">
              <w:rPr>
                <w:webHidden/>
              </w:rPr>
              <w:fldChar w:fldCharType="begin"/>
            </w:r>
            <w:r w:rsidR="00647189" w:rsidRPr="00647189">
              <w:rPr>
                <w:webHidden/>
              </w:rPr>
              <w:instrText xml:space="preserve"> PAGEREF _Toc459713624 \h </w:instrText>
            </w:r>
            <w:r w:rsidR="00647189" w:rsidRPr="00647189">
              <w:rPr>
                <w:webHidden/>
              </w:rPr>
            </w:r>
            <w:r w:rsidR="00647189" w:rsidRPr="00647189">
              <w:rPr>
                <w:webHidden/>
              </w:rPr>
              <w:fldChar w:fldCharType="separate"/>
            </w:r>
            <w:r w:rsidR="00647189" w:rsidRPr="00647189">
              <w:rPr>
                <w:webHidden/>
              </w:rPr>
              <w:t>31</w:t>
            </w:r>
            <w:r w:rsidR="00647189" w:rsidRPr="00647189">
              <w:rPr>
                <w:webHidden/>
              </w:rPr>
              <w:fldChar w:fldCharType="end"/>
            </w:r>
          </w:hyperlink>
        </w:p>
        <w:p w14:paraId="21B8B04C"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25" w:history="1">
            <w:r w:rsidR="00647189" w:rsidRPr="00647189">
              <w:rPr>
                <w:rStyle w:val="Hyperlink"/>
                <w:b w:val="0"/>
              </w:rPr>
              <w:t>7.</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ES fondu ieviešanas, vadības, kontroles un uzraudzības sistēmas darbība un pasākumi tās pilnveidošanai</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_Toc459713625 \h </w:instrText>
            </w:r>
            <w:r w:rsidR="00647189" w:rsidRPr="00647189">
              <w:rPr>
                <w:b w:val="0"/>
                <w:webHidden/>
              </w:rPr>
            </w:r>
            <w:r w:rsidR="00647189" w:rsidRPr="00647189">
              <w:rPr>
                <w:b w:val="0"/>
                <w:webHidden/>
              </w:rPr>
              <w:fldChar w:fldCharType="separate"/>
            </w:r>
            <w:r w:rsidR="00647189" w:rsidRPr="00647189">
              <w:rPr>
                <w:b w:val="0"/>
                <w:webHidden/>
              </w:rPr>
              <w:t>33</w:t>
            </w:r>
            <w:r w:rsidR="00647189" w:rsidRPr="00647189">
              <w:rPr>
                <w:b w:val="0"/>
                <w:webHidden/>
              </w:rPr>
              <w:fldChar w:fldCharType="end"/>
            </w:r>
          </w:hyperlink>
        </w:p>
        <w:p w14:paraId="455011F3" w14:textId="77777777" w:rsidR="00647189" w:rsidRPr="00647189" w:rsidRDefault="006D6B53">
          <w:pPr>
            <w:pStyle w:val="TOC1"/>
            <w:rPr>
              <w:rFonts w:asciiTheme="minorHAnsi" w:eastAsiaTheme="minorEastAsia" w:hAnsiTheme="minorHAnsi" w:cstheme="minorBidi"/>
              <w:b w:val="0"/>
              <w:bCs w:val="0"/>
              <w:sz w:val="22"/>
              <w:szCs w:val="22"/>
              <w:lang w:eastAsia="lv-LV"/>
            </w:rPr>
          </w:pPr>
          <w:hyperlink w:anchor="_Toc459713626" w:history="1">
            <w:r w:rsidR="00647189" w:rsidRPr="00647189">
              <w:rPr>
                <w:rStyle w:val="Hyperlink"/>
                <w:b w:val="0"/>
              </w:rPr>
              <w:t>8.</w:t>
            </w:r>
            <w:r w:rsidR="00647189" w:rsidRPr="00647189">
              <w:rPr>
                <w:rFonts w:asciiTheme="minorHAnsi" w:eastAsiaTheme="minorEastAsia" w:hAnsiTheme="minorHAnsi" w:cstheme="minorBidi"/>
                <w:b w:val="0"/>
                <w:bCs w:val="0"/>
                <w:sz w:val="22"/>
                <w:szCs w:val="22"/>
                <w:lang w:eastAsia="lv-LV"/>
              </w:rPr>
              <w:tab/>
            </w:r>
            <w:r w:rsidR="00647189" w:rsidRPr="00647189">
              <w:rPr>
                <w:rStyle w:val="Hyperlink"/>
                <w:b w:val="0"/>
              </w:rPr>
              <w:t>Nākamā pārskata perioda aktualitātes</w:t>
            </w:r>
            <w:r w:rsidR="00647189" w:rsidRPr="00647189">
              <w:rPr>
                <w:b w:val="0"/>
                <w:webHidden/>
              </w:rPr>
              <w:tab/>
            </w:r>
            <w:r w:rsidR="00647189" w:rsidRPr="00647189">
              <w:rPr>
                <w:b w:val="0"/>
                <w:webHidden/>
              </w:rPr>
              <w:fldChar w:fldCharType="begin"/>
            </w:r>
            <w:r w:rsidR="00647189" w:rsidRPr="00647189">
              <w:rPr>
                <w:b w:val="0"/>
                <w:webHidden/>
              </w:rPr>
              <w:instrText xml:space="preserve"> PAGEREF _Toc459713626 \h </w:instrText>
            </w:r>
            <w:r w:rsidR="00647189" w:rsidRPr="00647189">
              <w:rPr>
                <w:b w:val="0"/>
                <w:webHidden/>
              </w:rPr>
            </w:r>
            <w:r w:rsidR="00647189" w:rsidRPr="00647189">
              <w:rPr>
                <w:b w:val="0"/>
                <w:webHidden/>
              </w:rPr>
              <w:fldChar w:fldCharType="separate"/>
            </w:r>
            <w:r w:rsidR="00647189" w:rsidRPr="00647189">
              <w:rPr>
                <w:b w:val="0"/>
                <w:webHidden/>
              </w:rPr>
              <w:t>36</w:t>
            </w:r>
            <w:r w:rsidR="00647189" w:rsidRPr="00647189">
              <w:rPr>
                <w:b w:val="0"/>
                <w:webHidden/>
              </w:rPr>
              <w:fldChar w:fldCharType="end"/>
            </w:r>
          </w:hyperlink>
        </w:p>
        <w:p w14:paraId="0A0044C6" w14:textId="739E0511" w:rsidR="009C0862" w:rsidRPr="00A676F1" w:rsidRDefault="009C0862" w:rsidP="00A676F1">
          <w:pPr>
            <w:tabs>
              <w:tab w:val="left" w:pos="3690"/>
            </w:tabs>
            <w:spacing w:line="276" w:lineRule="auto"/>
          </w:pPr>
          <w:r w:rsidRPr="00647189">
            <w:rPr>
              <w:bCs/>
            </w:rPr>
            <w:fldChar w:fldCharType="end"/>
          </w:r>
          <w:r w:rsidR="00A676F1" w:rsidRPr="00A676F1">
            <w:rPr>
              <w:bCs/>
            </w:rPr>
            <w:tab/>
          </w:r>
        </w:p>
      </w:sdtContent>
    </w:sdt>
    <w:p w14:paraId="475B076B" w14:textId="77777777" w:rsidR="009C0862" w:rsidRPr="00B57653" w:rsidRDefault="009C0862" w:rsidP="00DC4E3D">
      <w:pPr>
        <w:tabs>
          <w:tab w:val="right" w:leader="dot" w:pos="9072"/>
        </w:tabs>
        <w:spacing w:line="276" w:lineRule="auto"/>
        <w:rPr>
          <w:bCs/>
          <w:color w:val="000000" w:themeColor="text1"/>
          <w:szCs w:val="24"/>
        </w:rPr>
      </w:pPr>
    </w:p>
    <w:p w14:paraId="0A386326" w14:textId="77777777" w:rsidR="009C0862" w:rsidRPr="00B57653" w:rsidRDefault="009C0862" w:rsidP="00DC4E3D">
      <w:pPr>
        <w:tabs>
          <w:tab w:val="right" w:leader="dot" w:pos="9072"/>
        </w:tabs>
        <w:spacing w:line="276" w:lineRule="auto"/>
        <w:rPr>
          <w:bCs/>
          <w:color w:val="000000" w:themeColor="text1"/>
          <w:szCs w:val="24"/>
        </w:rPr>
      </w:pPr>
    </w:p>
    <w:p w14:paraId="30406306" w14:textId="77777777" w:rsidR="009C0862" w:rsidRPr="00B57653" w:rsidRDefault="009C0862" w:rsidP="00DC4E3D">
      <w:pPr>
        <w:tabs>
          <w:tab w:val="right" w:leader="dot" w:pos="9072"/>
        </w:tabs>
        <w:spacing w:line="276" w:lineRule="auto"/>
        <w:rPr>
          <w:bCs/>
          <w:color w:val="000000" w:themeColor="text1"/>
          <w:szCs w:val="24"/>
        </w:rPr>
      </w:pPr>
    </w:p>
    <w:p w14:paraId="43CA192E" w14:textId="1843DD1C" w:rsidR="009C0862" w:rsidRPr="00B57653" w:rsidRDefault="00CD0471" w:rsidP="00DC4E3D">
      <w:r>
        <w:rPr>
          <w:bCs/>
          <w:color w:val="000000" w:themeColor="text1"/>
          <w:szCs w:val="24"/>
        </w:rPr>
        <w:br w:type="page"/>
      </w:r>
      <w:r w:rsidR="009C0862" w:rsidRPr="00B57653">
        <w:lastRenderedPageBreak/>
        <w:t>Saīsinājumi</w:t>
      </w:r>
    </w:p>
    <w:p w14:paraId="3B34C264"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AI</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ES fondu atbildīgā iestāde</w:t>
      </w:r>
    </w:p>
    <w:p w14:paraId="44B4069E"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CFLA</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Centrālā finanšu un līgumu aģentūra</w:t>
      </w:r>
    </w:p>
    <w:p w14:paraId="496EC6EC"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DP</w:t>
      </w:r>
      <w:r w:rsidRPr="00B57653">
        <w:rPr>
          <w:color w:val="000000" w:themeColor="text1"/>
          <w:szCs w:val="24"/>
        </w:rPr>
        <w:tab/>
        <w:t>-</w:t>
      </w:r>
      <w:r w:rsidRPr="00B57653">
        <w:rPr>
          <w:color w:val="000000" w:themeColor="text1"/>
          <w:szCs w:val="24"/>
        </w:rPr>
        <w:tab/>
      </w:r>
      <w:r w:rsidRPr="00B57653">
        <w:rPr>
          <w:color w:val="000000" w:themeColor="text1"/>
          <w:szCs w:val="24"/>
        </w:rPr>
        <w:tab/>
        <w:t>Darbības programma</w:t>
      </w:r>
    </w:p>
    <w:p w14:paraId="39D21850"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DPP</w:t>
      </w:r>
      <w:r w:rsidRPr="00B57653">
        <w:rPr>
          <w:color w:val="000000" w:themeColor="text1"/>
          <w:szCs w:val="24"/>
        </w:rPr>
        <w:tab/>
        <w:t>-</w:t>
      </w:r>
      <w:r w:rsidRPr="00B57653">
        <w:rPr>
          <w:color w:val="000000" w:themeColor="text1"/>
          <w:szCs w:val="24"/>
        </w:rPr>
        <w:tab/>
      </w:r>
      <w:r w:rsidRPr="00B57653">
        <w:rPr>
          <w:color w:val="000000" w:themeColor="text1"/>
          <w:szCs w:val="24"/>
        </w:rPr>
        <w:tab/>
        <w:t>Darbības programmas papildinājums</w:t>
      </w:r>
    </w:p>
    <w:p w14:paraId="4BFB80F7"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EEZ</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Eiropas Ekonomikas zona</w:t>
      </w:r>
    </w:p>
    <w:p w14:paraId="4F00CD3E" w14:textId="4A3B37CB" w:rsidR="00896E2C" w:rsidRDefault="009C0862" w:rsidP="00DC4E3D">
      <w:pPr>
        <w:tabs>
          <w:tab w:val="left" w:pos="3686"/>
          <w:tab w:val="left" w:pos="3969"/>
        </w:tabs>
        <w:rPr>
          <w:rFonts w:eastAsia="EUAlbertina-Bold-Identity-H"/>
          <w:color w:val="000000" w:themeColor="text1"/>
          <w:szCs w:val="24"/>
          <w:lang w:eastAsia="lv-LV"/>
        </w:rPr>
      </w:pPr>
      <w:r w:rsidRPr="00B57653">
        <w:rPr>
          <w:rFonts w:eastAsia="EUAlbertina-Bold-Identity-H"/>
          <w:color w:val="000000" w:themeColor="text1"/>
          <w:szCs w:val="24"/>
          <w:lang w:eastAsia="lv-LV"/>
        </w:rPr>
        <w:t>EEZ/Norvēģijas finanšu instrumenti – 2009. – 2014.gada</w:t>
      </w:r>
      <w:r w:rsidR="00896E2C">
        <w:rPr>
          <w:rFonts w:eastAsia="EUAlbertina-Bold-Identity-H"/>
          <w:color w:val="000000" w:themeColor="text1"/>
          <w:szCs w:val="24"/>
          <w:lang w:eastAsia="lv-LV"/>
        </w:rPr>
        <w:t xml:space="preserve"> un </w:t>
      </w:r>
      <w:r w:rsidR="00896E2C" w:rsidRPr="00896E2C">
        <w:rPr>
          <w:rFonts w:eastAsia="EUAlbertina-Bold-Identity-H"/>
          <w:color w:val="000000" w:themeColor="text1"/>
          <w:szCs w:val="24"/>
          <w:lang w:eastAsia="lv-LV"/>
        </w:rPr>
        <w:t>2014-2021.gada</w:t>
      </w:r>
      <w:r w:rsidRPr="00B57653">
        <w:rPr>
          <w:rFonts w:eastAsia="EUAlbertina-Bold-Identity-H"/>
          <w:color w:val="000000" w:themeColor="text1"/>
          <w:szCs w:val="24"/>
          <w:lang w:eastAsia="lv-LV"/>
        </w:rPr>
        <w:t xml:space="preserve"> perioda </w:t>
      </w:r>
      <w:r w:rsidR="00896E2C">
        <w:rPr>
          <w:rFonts w:eastAsia="EUAlbertina-Bold-Identity-H"/>
          <w:color w:val="000000" w:themeColor="text1"/>
          <w:szCs w:val="24"/>
          <w:lang w:eastAsia="lv-LV"/>
        </w:rPr>
        <w:tab/>
      </w:r>
      <w:r w:rsidR="00896E2C">
        <w:rPr>
          <w:rFonts w:eastAsia="EUAlbertina-Bold-Identity-H"/>
          <w:color w:val="000000" w:themeColor="text1"/>
          <w:szCs w:val="24"/>
          <w:lang w:eastAsia="lv-LV"/>
        </w:rPr>
        <w:tab/>
      </w:r>
      <w:r w:rsidRPr="00B57653">
        <w:rPr>
          <w:rFonts w:eastAsia="EUAlbertina-Bold-Identity-H"/>
          <w:color w:val="000000" w:themeColor="text1"/>
          <w:szCs w:val="24"/>
          <w:lang w:eastAsia="lv-LV"/>
        </w:rPr>
        <w:t xml:space="preserve">Eiropas Ekonomikas zonas finanšu instruments </w:t>
      </w:r>
    </w:p>
    <w:p w14:paraId="10AE3867" w14:textId="7443059C" w:rsidR="009C0862" w:rsidRPr="00B57653" w:rsidRDefault="00896E2C" w:rsidP="00DC4E3D">
      <w:pPr>
        <w:tabs>
          <w:tab w:val="left" w:pos="3686"/>
          <w:tab w:val="left" w:pos="3969"/>
        </w:tabs>
        <w:rPr>
          <w:rFonts w:eastAsia="EUAlbertina-Bold-Identity-H"/>
          <w:color w:val="000000" w:themeColor="text1"/>
          <w:szCs w:val="24"/>
          <w:lang w:eastAsia="lv-LV"/>
        </w:rPr>
      </w:pPr>
      <w:r>
        <w:rPr>
          <w:rFonts w:eastAsia="EUAlbertina-Bold-Identity-H"/>
          <w:color w:val="000000" w:themeColor="text1"/>
          <w:szCs w:val="24"/>
          <w:lang w:eastAsia="lv-LV"/>
        </w:rPr>
        <w:tab/>
      </w:r>
      <w:r w:rsidR="009C0862" w:rsidRPr="00B57653">
        <w:rPr>
          <w:rFonts w:eastAsia="EUAlbertina-Bold-Identity-H"/>
          <w:color w:val="000000" w:themeColor="text1"/>
          <w:szCs w:val="24"/>
          <w:lang w:eastAsia="lv-LV"/>
        </w:rPr>
        <w:t>un Norvēģijas finanšu</w:t>
      </w:r>
      <w:r>
        <w:rPr>
          <w:rFonts w:eastAsia="EUAlbertina-Bold-Identity-H"/>
          <w:color w:val="000000" w:themeColor="text1"/>
          <w:szCs w:val="24"/>
          <w:lang w:eastAsia="lv-LV"/>
        </w:rPr>
        <w:t xml:space="preserve"> </w:t>
      </w:r>
      <w:r w:rsidR="009C0862" w:rsidRPr="00B57653">
        <w:rPr>
          <w:rFonts w:eastAsia="EUAlbertina-Bold-Identity-H"/>
          <w:color w:val="000000" w:themeColor="text1"/>
          <w:szCs w:val="24"/>
          <w:lang w:eastAsia="lv-LV"/>
        </w:rPr>
        <w:t>instruments</w:t>
      </w:r>
    </w:p>
    <w:p w14:paraId="06B66FA9"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EK</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Eiropas Komisija</w:t>
      </w:r>
    </w:p>
    <w:p w14:paraId="1FE64844"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ERAF</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Eiropas Reģionālās attīstības fonds</w:t>
      </w:r>
    </w:p>
    <w:p w14:paraId="606F1013"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ES</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Eiropas Savienība</w:t>
      </w:r>
    </w:p>
    <w:p w14:paraId="1FC88BA9"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ESF</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Eiropas Sociālais fonds</w:t>
      </w:r>
    </w:p>
    <w:p w14:paraId="6BA2954E"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ES fondi</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r>
      <w:r w:rsidRPr="00B57653">
        <w:rPr>
          <w:rFonts w:eastAsia="EUAlbertina-Bold-Identity-H"/>
          <w:color w:val="000000" w:themeColor="text1"/>
          <w:szCs w:val="24"/>
          <w:lang w:eastAsia="lv-LV"/>
        </w:rPr>
        <w:t>2007. – 2013.g. plānošanas perioda 1.mērķa</w:t>
      </w:r>
      <w:r w:rsidRPr="00B57653">
        <w:rPr>
          <w:rStyle w:val="FootnoteReference"/>
          <w:rFonts w:eastAsia="EUAlbertina-Bold-Identity-H"/>
          <w:color w:val="000000" w:themeColor="text1"/>
          <w:szCs w:val="24"/>
          <w:lang w:eastAsia="lv-LV"/>
        </w:rPr>
        <w:footnoteReference w:id="1"/>
      </w:r>
      <w:r w:rsidRPr="00B57653">
        <w:rPr>
          <w:rFonts w:eastAsia="EUAlbertina-Bold-Identity-H"/>
          <w:color w:val="000000" w:themeColor="text1"/>
          <w:szCs w:val="24"/>
          <w:lang w:eastAsia="lv-LV"/>
        </w:rPr>
        <w:t xml:space="preserve"> Eiropas Sociālais</w:t>
      </w:r>
    </w:p>
    <w:p w14:paraId="5746B30B"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 xml:space="preserve">fonds, </w:t>
      </w:r>
      <w:r w:rsidRPr="00B57653">
        <w:rPr>
          <w:color w:val="000000" w:themeColor="text1"/>
          <w:szCs w:val="24"/>
        </w:rPr>
        <w:t>Eiropas Reģionālās attīstības fonds</w:t>
      </w:r>
      <w:r w:rsidRPr="00B57653">
        <w:rPr>
          <w:rFonts w:eastAsia="EUAlbertina-Bold-Identity-H"/>
          <w:color w:val="000000" w:themeColor="text1"/>
          <w:szCs w:val="24"/>
          <w:lang w:eastAsia="lv-LV"/>
        </w:rPr>
        <w:t xml:space="preserve"> un Kohēzijas fonds</w:t>
      </w:r>
    </w:p>
    <w:p w14:paraId="4E4F8171"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EM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Ekonomikas ministrija</w:t>
      </w:r>
    </w:p>
    <w:p w14:paraId="5B259AB9"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FM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Finanšu ministrija</w:t>
      </w:r>
    </w:p>
    <w:p w14:paraId="4CADA0C5"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IKP</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Iekšzemes kopprodukts</w:t>
      </w:r>
      <w:r w:rsidRPr="00B57653">
        <w:rPr>
          <w:rFonts w:eastAsia="EUAlbertina-Bold-Identity-H"/>
          <w:color w:val="000000" w:themeColor="text1"/>
          <w:szCs w:val="24"/>
          <w:lang w:eastAsia="lv-LV"/>
        </w:rPr>
        <w:tab/>
      </w:r>
    </w:p>
    <w:p w14:paraId="3BFD7F2E"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IUB</w:t>
      </w:r>
      <w:r w:rsidRPr="00B57653">
        <w:rPr>
          <w:color w:val="000000" w:themeColor="text1"/>
          <w:szCs w:val="24"/>
        </w:rPr>
        <w:tab/>
        <w:t>-</w:t>
      </w:r>
      <w:r w:rsidRPr="00B57653">
        <w:rPr>
          <w:color w:val="000000" w:themeColor="text1"/>
          <w:szCs w:val="24"/>
        </w:rPr>
        <w:tab/>
      </w:r>
      <w:r w:rsidRPr="00B57653">
        <w:rPr>
          <w:color w:val="000000" w:themeColor="text1"/>
          <w:szCs w:val="24"/>
        </w:rPr>
        <w:tab/>
        <w:t>Iepirkumu uzraudzības birojs</w:t>
      </w:r>
    </w:p>
    <w:p w14:paraId="0704EAD8" w14:textId="25E59EDA" w:rsidR="009C0862" w:rsidRPr="00B57653" w:rsidRDefault="009C0862" w:rsidP="00DC4E3D">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IZM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Izglītības un zinātnes ministrija</w:t>
      </w:r>
    </w:p>
    <w:p w14:paraId="667D0805"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KF</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Kohēzijas fonds</w:t>
      </w:r>
    </w:p>
    <w:p w14:paraId="65A9A47F"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KM</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Kultūras ministrija</w:t>
      </w:r>
    </w:p>
    <w:p w14:paraId="38187F91"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JASPERS</w:t>
      </w:r>
      <w:r w:rsidRPr="00B57653">
        <w:rPr>
          <w:color w:val="000000" w:themeColor="text1"/>
          <w:szCs w:val="24"/>
        </w:rPr>
        <w:tab/>
        <w:t>-</w:t>
      </w:r>
      <w:r w:rsidRPr="00B57653">
        <w:rPr>
          <w:color w:val="000000" w:themeColor="text1"/>
          <w:szCs w:val="24"/>
        </w:rPr>
        <w:tab/>
      </w:r>
      <w:r w:rsidRPr="00B57653">
        <w:rPr>
          <w:color w:val="000000" w:themeColor="text1"/>
          <w:szCs w:val="24"/>
        </w:rPr>
        <w:tab/>
      </w:r>
      <w:proofErr w:type="spellStart"/>
      <w:r w:rsidRPr="00B57653">
        <w:rPr>
          <w:color w:val="000000" w:themeColor="text1"/>
          <w:szCs w:val="24"/>
        </w:rPr>
        <w:t>Joint</w:t>
      </w:r>
      <w:proofErr w:type="spellEnd"/>
      <w:r w:rsidRPr="00B57653">
        <w:rPr>
          <w:color w:val="000000" w:themeColor="text1"/>
          <w:szCs w:val="24"/>
        </w:rPr>
        <w:t xml:space="preserve"> </w:t>
      </w:r>
      <w:proofErr w:type="spellStart"/>
      <w:r w:rsidRPr="00B57653">
        <w:rPr>
          <w:color w:val="000000" w:themeColor="text1"/>
          <w:szCs w:val="24"/>
        </w:rPr>
        <w:t>Assistance</w:t>
      </w:r>
      <w:proofErr w:type="spellEnd"/>
      <w:r w:rsidRPr="00B57653">
        <w:rPr>
          <w:color w:val="000000" w:themeColor="text1"/>
          <w:szCs w:val="24"/>
        </w:rPr>
        <w:t xml:space="preserve"> to </w:t>
      </w:r>
      <w:proofErr w:type="spellStart"/>
      <w:r w:rsidRPr="00B57653">
        <w:rPr>
          <w:color w:val="000000" w:themeColor="text1"/>
          <w:szCs w:val="24"/>
        </w:rPr>
        <w:t>Support</w:t>
      </w:r>
      <w:proofErr w:type="spellEnd"/>
      <w:r w:rsidRPr="00B57653">
        <w:rPr>
          <w:color w:val="000000" w:themeColor="text1"/>
          <w:szCs w:val="24"/>
        </w:rPr>
        <w:t xml:space="preserve"> </w:t>
      </w:r>
      <w:proofErr w:type="spellStart"/>
      <w:r w:rsidRPr="00B57653">
        <w:rPr>
          <w:color w:val="000000" w:themeColor="text1"/>
          <w:szCs w:val="24"/>
        </w:rPr>
        <w:t>Projects</w:t>
      </w:r>
      <w:proofErr w:type="spellEnd"/>
      <w:r w:rsidRPr="00B57653">
        <w:rPr>
          <w:color w:val="000000" w:themeColor="text1"/>
          <w:szCs w:val="24"/>
        </w:rPr>
        <w:t xml:space="preserve"> </w:t>
      </w:r>
      <w:proofErr w:type="spellStart"/>
      <w:r w:rsidRPr="00B57653">
        <w:rPr>
          <w:color w:val="000000" w:themeColor="text1"/>
          <w:szCs w:val="24"/>
        </w:rPr>
        <w:t>in</w:t>
      </w:r>
      <w:proofErr w:type="spellEnd"/>
      <w:r w:rsidRPr="00B57653">
        <w:rPr>
          <w:color w:val="000000" w:themeColor="text1"/>
          <w:szCs w:val="24"/>
        </w:rPr>
        <w:t xml:space="preserve"> European </w:t>
      </w:r>
      <w:proofErr w:type="spellStart"/>
      <w:r w:rsidRPr="00B57653">
        <w:rPr>
          <w:color w:val="000000" w:themeColor="text1"/>
          <w:szCs w:val="24"/>
        </w:rPr>
        <w:t>Regions</w:t>
      </w:r>
      <w:proofErr w:type="spellEnd"/>
      <w:r w:rsidRPr="00B57653">
        <w:rPr>
          <w:color w:val="000000" w:themeColor="text1"/>
          <w:szCs w:val="24"/>
        </w:rPr>
        <w:t xml:space="preserve"> </w:t>
      </w:r>
    </w:p>
    <w:p w14:paraId="1EE2B8F1"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ab/>
      </w:r>
      <w:r w:rsidRPr="00B57653">
        <w:rPr>
          <w:color w:val="000000" w:themeColor="text1"/>
          <w:szCs w:val="24"/>
        </w:rPr>
        <w:tab/>
      </w:r>
      <w:r w:rsidRPr="00B57653">
        <w:rPr>
          <w:color w:val="000000" w:themeColor="text1"/>
          <w:szCs w:val="24"/>
        </w:rPr>
        <w:tab/>
        <w:t>(Kopējā palīdzība projektu sagatavošanai Eiropas reģionos)</w:t>
      </w:r>
    </w:p>
    <w:p w14:paraId="7ADDB22A" w14:textId="45A8F28D"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color w:val="000000" w:themeColor="text1"/>
          <w:szCs w:val="24"/>
        </w:rPr>
        <w:t>LIAA</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Latvijas Inv</w:t>
      </w:r>
      <w:r w:rsidR="00862A8A">
        <w:rPr>
          <w:color w:val="000000" w:themeColor="text1"/>
          <w:szCs w:val="24"/>
        </w:rPr>
        <w:t>estīciju un attīstības aģentūra</w:t>
      </w:r>
    </w:p>
    <w:p w14:paraId="406FE508" w14:textId="77777777" w:rsidR="009C0862" w:rsidRPr="00B57653" w:rsidRDefault="009C0862" w:rsidP="00DC4E3D">
      <w:pPr>
        <w:tabs>
          <w:tab w:val="left" w:pos="1276"/>
          <w:tab w:val="left" w:pos="1418"/>
          <w:tab w:val="left" w:pos="2127"/>
          <w:tab w:val="left" w:pos="5556"/>
        </w:tabs>
        <w:rPr>
          <w:color w:val="000000" w:themeColor="text1"/>
          <w:szCs w:val="24"/>
        </w:rPr>
      </w:pPr>
      <w:r w:rsidRPr="00B57653">
        <w:rPr>
          <w:rFonts w:eastAsia="EUAlbertina-Bold-Identity-H"/>
          <w:color w:val="000000" w:themeColor="text1"/>
          <w:szCs w:val="24"/>
          <w:lang w:eastAsia="lv-LV"/>
        </w:rPr>
        <w:t>LM</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color w:val="000000" w:themeColor="text1"/>
          <w:szCs w:val="24"/>
        </w:rPr>
        <w:t>Labklājības ministrija</w:t>
      </w:r>
      <w:r w:rsidRPr="00B57653">
        <w:rPr>
          <w:color w:val="000000" w:themeColor="text1"/>
          <w:szCs w:val="24"/>
        </w:rPr>
        <w:tab/>
      </w:r>
    </w:p>
    <w:p w14:paraId="1FB2397A"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 xml:space="preserve">MK </w:t>
      </w:r>
      <w:r w:rsidRPr="00B57653">
        <w:rPr>
          <w:color w:val="000000" w:themeColor="text1"/>
          <w:szCs w:val="24"/>
        </w:rPr>
        <w:tab/>
        <w:t>-</w:t>
      </w:r>
      <w:r w:rsidRPr="00B57653">
        <w:rPr>
          <w:color w:val="000000" w:themeColor="text1"/>
          <w:szCs w:val="24"/>
        </w:rPr>
        <w:tab/>
        <w:t xml:space="preserve"> </w:t>
      </w:r>
      <w:r w:rsidRPr="00B57653">
        <w:rPr>
          <w:color w:val="000000" w:themeColor="text1"/>
          <w:szCs w:val="24"/>
        </w:rPr>
        <w:tab/>
        <w:t>Ministru kabinets</w:t>
      </w:r>
    </w:p>
    <w:p w14:paraId="5154CCC6" w14:textId="77777777" w:rsidR="009C0862" w:rsidRDefault="009C0862" w:rsidP="00DC4E3D">
      <w:pPr>
        <w:tabs>
          <w:tab w:val="left" w:pos="1276"/>
          <w:tab w:val="left" w:pos="1418"/>
          <w:tab w:val="left" w:pos="2127"/>
        </w:tabs>
        <w:rPr>
          <w:color w:val="000000" w:themeColor="text1"/>
          <w:szCs w:val="24"/>
        </w:rPr>
      </w:pPr>
      <w:r w:rsidRPr="00B57653">
        <w:rPr>
          <w:color w:val="000000" w:themeColor="text1"/>
          <w:szCs w:val="24"/>
        </w:rPr>
        <w:t>NVO</w:t>
      </w:r>
      <w:r w:rsidRPr="00B57653">
        <w:rPr>
          <w:color w:val="000000" w:themeColor="text1"/>
          <w:szCs w:val="24"/>
        </w:rPr>
        <w:tab/>
        <w:t xml:space="preserve">- </w:t>
      </w:r>
      <w:r w:rsidRPr="00B57653">
        <w:rPr>
          <w:color w:val="000000" w:themeColor="text1"/>
          <w:szCs w:val="24"/>
        </w:rPr>
        <w:tab/>
      </w:r>
      <w:r w:rsidRPr="00B57653">
        <w:rPr>
          <w:color w:val="000000" w:themeColor="text1"/>
          <w:szCs w:val="24"/>
        </w:rPr>
        <w:tab/>
        <w:t>Nevalstiskā organizācija</w:t>
      </w:r>
    </w:p>
    <w:p w14:paraId="77027717"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RI</w:t>
      </w:r>
      <w:r w:rsidRPr="00B57653">
        <w:rPr>
          <w:color w:val="000000" w:themeColor="text1"/>
          <w:szCs w:val="24"/>
        </w:rPr>
        <w:tab/>
        <w:t>-</w:t>
      </w:r>
      <w:r w:rsidRPr="00B57653">
        <w:rPr>
          <w:color w:val="000000" w:themeColor="text1"/>
          <w:szCs w:val="24"/>
        </w:rPr>
        <w:tab/>
      </w:r>
      <w:r w:rsidRPr="00B57653">
        <w:rPr>
          <w:color w:val="000000" w:themeColor="text1"/>
          <w:szCs w:val="24"/>
        </w:rPr>
        <w:tab/>
        <w:t xml:space="preserve">ES fondu, </w:t>
      </w:r>
      <w:r w:rsidRPr="00B57653">
        <w:rPr>
          <w:rFonts w:eastAsia="EUAlbertina-Bold-Identity-H"/>
          <w:color w:val="000000" w:themeColor="text1"/>
          <w:szCs w:val="24"/>
          <w:lang w:eastAsia="lv-LV"/>
        </w:rPr>
        <w:t>EEZ/Norvēģijas finanšu instrumentu</w:t>
      </w:r>
      <w:r w:rsidRPr="00B57653">
        <w:rPr>
          <w:color w:val="000000" w:themeColor="text1"/>
          <w:szCs w:val="24"/>
        </w:rPr>
        <w:t xml:space="preserve"> revīzijas iestāde</w:t>
      </w:r>
    </w:p>
    <w:p w14:paraId="349FAE75" w14:textId="77777777" w:rsidR="009C0862" w:rsidRPr="00B57653" w:rsidRDefault="009C0862" w:rsidP="00DC4E3D">
      <w:pPr>
        <w:tabs>
          <w:tab w:val="left" w:pos="1276"/>
          <w:tab w:val="left" w:pos="1418"/>
          <w:tab w:val="left" w:pos="2127"/>
        </w:tabs>
        <w:rPr>
          <w:color w:val="000000" w:themeColor="text1"/>
          <w:szCs w:val="24"/>
        </w:rPr>
      </w:pPr>
      <w:r w:rsidRPr="00B57653">
        <w:rPr>
          <w:color w:val="000000" w:themeColor="text1"/>
          <w:szCs w:val="24"/>
        </w:rPr>
        <w:t xml:space="preserve">SAM </w:t>
      </w:r>
      <w:r w:rsidRPr="00B57653">
        <w:rPr>
          <w:color w:val="000000" w:themeColor="text1"/>
          <w:szCs w:val="24"/>
        </w:rPr>
        <w:tab/>
        <w:t>-</w:t>
      </w:r>
      <w:r w:rsidRPr="00B57653">
        <w:rPr>
          <w:color w:val="000000" w:themeColor="text1"/>
          <w:szCs w:val="24"/>
        </w:rPr>
        <w:tab/>
      </w:r>
      <w:r w:rsidRPr="00B57653">
        <w:rPr>
          <w:color w:val="000000" w:themeColor="text1"/>
          <w:szCs w:val="24"/>
        </w:rPr>
        <w:tab/>
        <w:t>Specifiskais atbalsta mērķis</w:t>
      </w:r>
    </w:p>
    <w:p w14:paraId="6CF49724"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SM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Satiksmes ministrija</w:t>
      </w:r>
    </w:p>
    <w:p w14:paraId="7E573BB5"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 xml:space="preserve">SI </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ES fondu sadarbības iestāde</w:t>
      </w:r>
    </w:p>
    <w:p w14:paraId="739A83DD"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SIA</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Sabiedrība ar ierobežotu atbildību</w:t>
      </w:r>
    </w:p>
    <w:p w14:paraId="09C1B1E5" w14:textId="77777777" w:rsidR="009C0862" w:rsidRPr="00B57653" w:rsidRDefault="009C0862" w:rsidP="00DC4E3D">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SIF</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Sabiedrības integrācijas fonds</w:t>
      </w:r>
    </w:p>
    <w:p w14:paraId="66D2545D" w14:textId="77777777" w:rsidR="009C0862" w:rsidRPr="00B57653" w:rsidRDefault="009C0862" w:rsidP="00DC4E3D">
      <w:pPr>
        <w:tabs>
          <w:tab w:val="left" w:pos="2694"/>
          <w:tab w:val="left" w:pos="3261"/>
        </w:tabs>
        <w:rPr>
          <w:color w:val="000000" w:themeColor="text1"/>
          <w:szCs w:val="24"/>
        </w:rPr>
      </w:pPr>
      <w:r w:rsidRPr="00B57653">
        <w:rPr>
          <w:color w:val="000000" w:themeColor="text1"/>
          <w:szCs w:val="24"/>
        </w:rPr>
        <w:t xml:space="preserve">Šveices programma </w:t>
      </w:r>
      <w:r w:rsidRPr="00B57653">
        <w:rPr>
          <w:color w:val="000000" w:themeColor="text1"/>
          <w:szCs w:val="24"/>
        </w:rPr>
        <w:tab/>
        <w:t>-</w:t>
      </w:r>
      <w:r w:rsidRPr="00B57653">
        <w:rPr>
          <w:color w:val="000000" w:themeColor="text1"/>
          <w:szCs w:val="24"/>
        </w:rPr>
        <w:tab/>
        <w:t>Latvijas un Šveices sadarbības programma</w:t>
      </w:r>
    </w:p>
    <w:p w14:paraId="2DFB5A23" w14:textId="77777777" w:rsidR="009C0862" w:rsidRPr="00B57653"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TM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Tieslietu ministrija</w:t>
      </w:r>
    </w:p>
    <w:p w14:paraId="1EBDCF34" w14:textId="77777777" w:rsidR="009C0862" w:rsidRDefault="009C0862" w:rsidP="00DC4E3D">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TP</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 xml:space="preserve">ES fondu tehniskā palīdzība </w:t>
      </w:r>
    </w:p>
    <w:p w14:paraId="72C2B33D" w14:textId="77777777" w:rsidR="009C0862" w:rsidRPr="00B57653" w:rsidRDefault="009C0862" w:rsidP="00DC4E3D">
      <w:pPr>
        <w:tabs>
          <w:tab w:val="left" w:pos="1276"/>
          <w:tab w:val="left" w:pos="1418"/>
          <w:tab w:val="left" w:pos="2127"/>
        </w:tabs>
        <w:rPr>
          <w:color w:val="000000" w:themeColor="text1"/>
          <w:szCs w:val="24"/>
        </w:rPr>
      </w:pPr>
      <w:r>
        <w:rPr>
          <w:color w:val="000000" w:themeColor="text1"/>
          <w:szCs w:val="24"/>
        </w:rPr>
        <w:t xml:space="preserve">UK </w:t>
      </w:r>
      <w:r>
        <w:rPr>
          <w:color w:val="000000" w:themeColor="text1"/>
          <w:szCs w:val="24"/>
        </w:rPr>
        <w:tab/>
        <w:t xml:space="preserve">- </w:t>
      </w:r>
      <w:r>
        <w:rPr>
          <w:color w:val="000000" w:themeColor="text1"/>
          <w:szCs w:val="24"/>
        </w:rPr>
        <w:tab/>
      </w:r>
      <w:r>
        <w:rPr>
          <w:color w:val="000000" w:themeColor="text1"/>
          <w:szCs w:val="24"/>
        </w:rPr>
        <w:tab/>
        <w:t>Uzraudzības komiteja</w:t>
      </w:r>
    </w:p>
    <w:p w14:paraId="32631197" w14:textId="77777777" w:rsidR="009C0862" w:rsidRPr="00B57653" w:rsidRDefault="009C0862" w:rsidP="00DC4E3D">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VARAM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Vides aizsardzības un reģionālās attīstības ministrija</w:t>
      </w:r>
    </w:p>
    <w:p w14:paraId="1DA68D06" w14:textId="77777777" w:rsidR="009C0862" w:rsidRPr="00B57653" w:rsidRDefault="009C0862" w:rsidP="00DC4E3D">
      <w:pPr>
        <w:tabs>
          <w:tab w:val="left" w:pos="1276"/>
          <w:tab w:val="left" w:pos="2127"/>
        </w:tabs>
        <w:ind w:left="1275" w:hanging="1275"/>
        <w:rPr>
          <w:color w:val="000000" w:themeColor="text1"/>
          <w:szCs w:val="24"/>
        </w:rPr>
      </w:pPr>
      <w:r w:rsidRPr="00B57653">
        <w:rPr>
          <w:rFonts w:eastAsia="EUAlbertina-Bold-Identity-H"/>
          <w:color w:val="000000" w:themeColor="text1"/>
          <w:szCs w:val="24"/>
          <w:lang w:eastAsia="lv-LV"/>
        </w:rPr>
        <w:t>VI</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t>ES fondu,</w:t>
      </w:r>
      <w:r w:rsidRPr="00B57653">
        <w:rPr>
          <w:color w:val="000000" w:themeColor="text1"/>
          <w:szCs w:val="24"/>
        </w:rPr>
        <w:t xml:space="preserve"> EEZ/Norvēģijas finanšu instrumentu un Šveices</w:t>
      </w:r>
    </w:p>
    <w:p w14:paraId="197CD761" w14:textId="77777777" w:rsidR="009C0862" w:rsidRPr="00B57653" w:rsidRDefault="009C0862" w:rsidP="00DC4E3D">
      <w:pPr>
        <w:tabs>
          <w:tab w:val="left" w:pos="1276"/>
          <w:tab w:val="left" w:pos="2127"/>
        </w:tabs>
        <w:ind w:left="1275" w:hanging="1275"/>
        <w:rPr>
          <w:rFonts w:eastAsia="EUAlbertina-Bold-Identity-H"/>
          <w:color w:val="000000" w:themeColor="text1"/>
          <w:szCs w:val="24"/>
          <w:lang w:eastAsia="lv-LV"/>
        </w:rPr>
      </w:pP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r>
      <w:r w:rsidRPr="00B57653">
        <w:rPr>
          <w:color w:val="000000" w:themeColor="text1"/>
          <w:szCs w:val="24"/>
        </w:rPr>
        <w:t>programmas</w:t>
      </w:r>
      <w:r w:rsidRPr="00B57653">
        <w:rPr>
          <w:rFonts w:eastAsia="EUAlbertina-Bold-Identity-H"/>
          <w:color w:val="000000" w:themeColor="text1"/>
          <w:szCs w:val="24"/>
          <w:lang w:eastAsia="lv-LV"/>
        </w:rPr>
        <w:t xml:space="preserve"> vadošā iestāde</w:t>
      </w:r>
    </w:p>
    <w:p w14:paraId="170809E5" w14:textId="24D3D5EF" w:rsidR="009C0862" w:rsidRPr="00B57653" w:rsidRDefault="009C0862" w:rsidP="00DC4E3D">
      <w:pPr>
        <w:tabs>
          <w:tab w:val="left" w:pos="1276"/>
          <w:tab w:val="left" w:pos="2127"/>
        </w:tabs>
        <w:ind w:left="1275" w:hanging="1275"/>
        <w:rPr>
          <w:color w:val="000000" w:themeColor="text1"/>
          <w:szCs w:val="24"/>
        </w:rPr>
      </w:pPr>
      <w:r w:rsidRPr="00B57653">
        <w:rPr>
          <w:rFonts w:eastAsia="EUAlbertina-Bold-Identity-H"/>
          <w:color w:val="000000" w:themeColor="text1"/>
          <w:szCs w:val="24"/>
          <w:lang w:eastAsia="lv-LV"/>
        </w:rPr>
        <w:t>VIAA</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color w:val="000000" w:themeColor="text1"/>
          <w:szCs w:val="24"/>
        </w:rPr>
        <w:t xml:space="preserve">Valsts </w:t>
      </w:r>
      <w:r w:rsidR="00AB4B28">
        <w:rPr>
          <w:color w:val="000000" w:themeColor="text1"/>
          <w:szCs w:val="24"/>
        </w:rPr>
        <w:t>i</w:t>
      </w:r>
      <w:r w:rsidRPr="00B57653">
        <w:rPr>
          <w:color w:val="000000" w:themeColor="text1"/>
          <w:szCs w:val="24"/>
        </w:rPr>
        <w:t>zglītības attīstības aģentūra</w:t>
      </w:r>
    </w:p>
    <w:p w14:paraId="2A7055A8" w14:textId="77777777" w:rsidR="009C0862" w:rsidRPr="00B57653" w:rsidRDefault="009C0862" w:rsidP="00DC4E3D">
      <w:pPr>
        <w:tabs>
          <w:tab w:val="left" w:pos="1276"/>
          <w:tab w:val="left" w:pos="1418"/>
          <w:tab w:val="left" w:pos="2127"/>
        </w:tabs>
        <w:rPr>
          <w:color w:val="000000" w:themeColor="text1"/>
          <w:szCs w:val="24"/>
        </w:rPr>
      </w:pPr>
      <w:r w:rsidRPr="00B57653">
        <w:rPr>
          <w:rFonts w:eastAsia="EUAlbertina-Bold-Identity-H"/>
          <w:color w:val="000000" w:themeColor="text1"/>
          <w:szCs w:val="24"/>
          <w:lang w:eastAsia="lv-LV"/>
        </w:rPr>
        <w:t>VIS</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ES fondu vadības informācijas sistēmas</w:t>
      </w:r>
      <w:r w:rsidRPr="00B57653">
        <w:rPr>
          <w:color w:val="000000" w:themeColor="text1"/>
          <w:szCs w:val="24"/>
        </w:rPr>
        <w:t xml:space="preserve"> </w:t>
      </w:r>
    </w:p>
    <w:p w14:paraId="47F8D1A4" w14:textId="77777777" w:rsidR="009C0862"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VM</w:t>
      </w:r>
      <w:r w:rsidRPr="00B57653">
        <w:rPr>
          <w:rFonts w:eastAsia="EUAlbertina-Bold-Identity-H"/>
          <w:color w:val="000000" w:themeColor="text1"/>
          <w:szCs w:val="24"/>
          <w:lang w:eastAsia="lv-LV"/>
        </w:rPr>
        <w:tab/>
        <w:t xml:space="preserve">- </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Veselības ministrija</w:t>
      </w:r>
    </w:p>
    <w:p w14:paraId="2F8F6462" w14:textId="77777777" w:rsidR="009C0862" w:rsidRPr="003D57A3" w:rsidRDefault="009C0862" w:rsidP="00DC4E3D">
      <w:pPr>
        <w:tabs>
          <w:tab w:val="left" w:pos="1276"/>
          <w:tab w:val="left" w:pos="1418"/>
          <w:tab w:val="left" w:pos="2127"/>
        </w:tabs>
        <w:rPr>
          <w:rFonts w:eastAsia="Times New Roman" w:cs="Times New Roman"/>
          <w:color w:val="000000"/>
        </w:rPr>
      </w:pPr>
      <w:r>
        <w:rPr>
          <w:rFonts w:eastAsia="Times New Roman" w:cs="Times New Roman"/>
          <w:color w:val="000000"/>
        </w:rPr>
        <w:t>VRAA</w:t>
      </w:r>
      <w:r>
        <w:rPr>
          <w:rFonts w:eastAsia="Times New Roman" w:cs="Times New Roman"/>
          <w:color w:val="000000"/>
        </w:rPr>
        <w:tab/>
        <w:t>-</w:t>
      </w:r>
      <w:r>
        <w:rPr>
          <w:rFonts w:eastAsia="Times New Roman" w:cs="Times New Roman"/>
          <w:color w:val="000000"/>
        </w:rPr>
        <w:tab/>
        <w:t xml:space="preserve"> </w:t>
      </w:r>
      <w:r>
        <w:rPr>
          <w:rFonts w:eastAsia="Times New Roman" w:cs="Times New Roman"/>
          <w:color w:val="000000"/>
        </w:rPr>
        <w:tab/>
        <w:t>Valsts reģionālās attīstības aģentūra</w:t>
      </w:r>
    </w:p>
    <w:p w14:paraId="037442A9" w14:textId="092E0B68" w:rsidR="009C0862" w:rsidRPr="00862A8A" w:rsidRDefault="009C0862" w:rsidP="00DC4E3D">
      <w:pPr>
        <w:tabs>
          <w:tab w:val="left" w:pos="1276"/>
          <w:tab w:val="left" w:pos="1418"/>
          <w:tab w:val="left" w:pos="2127"/>
        </w:tabs>
        <w:rPr>
          <w:rFonts w:eastAsia="EUAlbertina-Bold-Identity-H"/>
          <w:color w:val="000000" w:themeColor="text1"/>
          <w:szCs w:val="24"/>
          <w:lang w:eastAsia="lv-LV"/>
        </w:rPr>
      </w:pPr>
      <w:r w:rsidRPr="00B57653">
        <w:rPr>
          <w:rFonts w:eastAsia="EUAlbertina-Bold-Identity-H"/>
          <w:color w:val="000000" w:themeColor="text1"/>
          <w:szCs w:val="24"/>
          <w:lang w:eastAsia="lv-LV"/>
        </w:rPr>
        <w:t>VVD</w:t>
      </w:r>
      <w:r w:rsidRPr="00B57653">
        <w:rPr>
          <w:rFonts w:eastAsia="EUAlbertina-Bold-Identity-H"/>
          <w:color w:val="000000" w:themeColor="text1"/>
          <w:szCs w:val="24"/>
          <w:lang w:eastAsia="lv-LV"/>
        </w:rPr>
        <w:tab/>
        <w:t>-</w:t>
      </w:r>
      <w:r w:rsidRPr="00B57653">
        <w:rPr>
          <w:rFonts w:eastAsia="EUAlbertina-Bold-Identity-H"/>
          <w:color w:val="000000" w:themeColor="text1"/>
          <w:szCs w:val="24"/>
          <w:lang w:eastAsia="lv-LV"/>
        </w:rPr>
        <w:tab/>
      </w:r>
      <w:r w:rsidRPr="00B57653">
        <w:rPr>
          <w:rFonts w:eastAsia="EUAlbertina-Bold-Identity-H"/>
          <w:color w:val="000000" w:themeColor="text1"/>
          <w:szCs w:val="24"/>
          <w:lang w:eastAsia="lv-LV"/>
        </w:rPr>
        <w:tab/>
        <w:t>Valsts vides dienests</w:t>
      </w:r>
    </w:p>
    <w:p w14:paraId="1E2E1122" w14:textId="77777777" w:rsidR="009C0862" w:rsidRPr="000022B9" w:rsidRDefault="009C0862" w:rsidP="00CE0CD0">
      <w:pPr>
        <w:pStyle w:val="1lmenis"/>
        <w:numPr>
          <w:ilvl w:val="0"/>
          <w:numId w:val="0"/>
        </w:numPr>
      </w:pPr>
      <w:bookmarkStart w:id="2" w:name="_Toc459713612"/>
      <w:r w:rsidRPr="000022B9">
        <w:lastRenderedPageBreak/>
        <w:t>Kopsavilkums</w:t>
      </w:r>
      <w:bookmarkEnd w:id="2"/>
    </w:p>
    <w:p w14:paraId="4704E699" w14:textId="4B500B8C" w:rsidR="00230E91" w:rsidRPr="00230E91" w:rsidRDefault="00230E91" w:rsidP="00DC4E3D">
      <w:pPr>
        <w:spacing w:before="120" w:after="120" w:line="276" w:lineRule="auto"/>
        <w:jc w:val="both"/>
        <w:rPr>
          <w:lang w:eastAsia="lv-LV"/>
        </w:rPr>
      </w:pPr>
      <w:r w:rsidRPr="00517B67">
        <w:rPr>
          <w:szCs w:val="24"/>
        </w:rPr>
        <w:t xml:space="preserve">Ņemot vērā statistikas publicēšanas periodiskumu, informācija par makroekonomiskās situācijas attīstību </w:t>
      </w:r>
      <w:r>
        <w:rPr>
          <w:szCs w:val="24"/>
        </w:rPr>
        <w:t xml:space="preserve">ir </w:t>
      </w:r>
      <w:r w:rsidRPr="00517B67">
        <w:rPr>
          <w:szCs w:val="24"/>
        </w:rPr>
        <w:t>par 201</w:t>
      </w:r>
      <w:r>
        <w:rPr>
          <w:szCs w:val="24"/>
        </w:rPr>
        <w:t>6</w:t>
      </w:r>
      <w:r w:rsidRPr="00517B67">
        <w:rPr>
          <w:szCs w:val="24"/>
        </w:rPr>
        <w:t xml:space="preserve">.gada </w:t>
      </w:r>
      <w:r>
        <w:rPr>
          <w:szCs w:val="24"/>
        </w:rPr>
        <w:t>pirmo</w:t>
      </w:r>
      <w:r w:rsidRPr="00517B67">
        <w:rPr>
          <w:szCs w:val="24"/>
        </w:rPr>
        <w:t xml:space="preserve"> ceturksni. </w:t>
      </w:r>
      <w:r>
        <w:rPr>
          <w:szCs w:val="24"/>
        </w:rPr>
        <w:t xml:space="preserve">2015.gadā ekonomikas izaugsme kļuva nedaudz straujāka, sasniedzot 2,7%, bet 2016.gada pirmajā ceturksnī tā atkal palēninājās līdz 2,1%. Lēnāka izaugsme ir saistīta ar ārējās vides negatīvo ietekmi, tajā skaitā saspīlēto ģeopolitisko situāciju reģionā un lēno ekonomikas izaugsmi </w:t>
      </w:r>
      <w:proofErr w:type="spellStart"/>
      <w:r>
        <w:rPr>
          <w:szCs w:val="24"/>
        </w:rPr>
        <w:t>eirozonā</w:t>
      </w:r>
      <w:proofErr w:type="spellEnd"/>
      <w:r>
        <w:rPr>
          <w:szCs w:val="24"/>
        </w:rPr>
        <w:t xml:space="preserve">, kā arī ar ES fondu līdzekļu plūsmas īslaicīgu samazināšanos, sākoties jaunajam ES fondu plānošanas periodam. Galvenais izaugsmes nodrošinātājs joprojām ir iekšzemes pieprasījums, pirmām kārtām privātais patēriņš, kas 2016.gada pirmajā ceturksnī, salīdzinot ar attiecīgo ceturksni pirms gada, palielinājies par 3,7%. </w:t>
      </w:r>
      <w:r w:rsidRPr="00167723">
        <w:t xml:space="preserve">Saskaņā ar Finanšu ministrijas novērtējumu, ES fondu investīcijas 2015.gadā IKP izaugsmi palielināja par 1,4 procentpunktiem, privātā patēriņa izaugsmes tempu par 0,9 procentpunktiem, </w:t>
      </w:r>
      <w:r w:rsidRPr="00167723">
        <w:rPr>
          <w:szCs w:val="24"/>
        </w:rPr>
        <w:t xml:space="preserve">kā arī saglabājusi pozitīvu ietekmi uz nodarbinātības dinamiku. </w:t>
      </w:r>
      <w:r w:rsidRPr="00167723">
        <w:t xml:space="preserve">Savukārt ES fondu ietekme uz pieprasījumu </w:t>
      </w:r>
      <w:r w:rsidRPr="00167723">
        <w:rPr>
          <w:lang w:eastAsia="lv-LV"/>
        </w:rPr>
        <w:t>pēc ārvalstu precēm un pakalpojumiem 2015.gadā salīdzinājumā ar iepriekšējo gadu ir samazinājusies.</w:t>
      </w:r>
    </w:p>
    <w:p w14:paraId="79A8A13C" w14:textId="29E40246" w:rsidR="009C0862" w:rsidRPr="00BA6715" w:rsidRDefault="00BA6715" w:rsidP="00DC4E3D">
      <w:pPr>
        <w:spacing w:before="120" w:after="120" w:line="276" w:lineRule="auto"/>
        <w:jc w:val="both"/>
      </w:pPr>
      <w:r w:rsidRPr="00BA6715">
        <w:t xml:space="preserve">2016.gada 31.marts bija galējais termiņš maksājumu veikšanai 2007.-2013.gada plānošanas periodā. </w:t>
      </w:r>
      <w:r w:rsidRPr="00BA6715">
        <w:rPr>
          <w:color w:val="000000" w:themeColor="text1"/>
          <w:szCs w:val="24"/>
        </w:rPr>
        <w:t>Notiek koordinēta slēgšanas procesa organizācija. Atbilstoši plānotajam turpinās noslēguma dokumentācijas sagatavošana un atsevišķu projektu, kuriem pagarināts funkcionalitātes nodrošināšanas termiņš, uzraudzība.</w:t>
      </w:r>
      <w:r w:rsidRPr="00BA6715">
        <w:t xml:space="preserve"> Prognozējams, ka kopā plānošanas periodā Latvija būs spējusi pilnībā izmantot ES finansējuma iespējas investīcijām Latvijā</w:t>
      </w:r>
      <w:r w:rsidR="00D70E0F">
        <w:t>.</w:t>
      </w:r>
      <w:r w:rsidR="00D70E0F" w:rsidRPr="00D70E0F">
        <w:rPr>
          <w:shd w:val="clear" w:color="auto" w:fill="FFFFFF"/>
        </w:rPr>
        <w:t xml:space="preserve"> F</w:t>
      </w:r>
      <w:r w:rsidR="00D70E0F" w:rsidRPr="00D70E0F">
        <w:rPr>
          <w:rFonts w:eastAsia="Calibri" w:cs="Times New Roman"/>
          <w:szCs w:val="24"/>
          <w:lang w:eastAsia="ar-SA"/>
        </w:rPr>
        <w:t xml:space="preserve">inanšu vadības instrumentos vēl līdz 2016.gada 31.oktobrim </w:t>
      </w:r>
      <w:r w:rsidR="00D70E0F" w:rsidRPr="00E76DDA">
        <w:rPr>
          <w:rFonts w:eastAsia="Calibri" w:cs="Times New Roman"/>
          <w:szCs w:val="24"/>
          <w:lang w:eastAsia="ar-SA"/>
        </w:rPr>
        <w:t xml:space="preserve">ir </w:t>
      </w:r>
      <w:r w:rsidR="00D70E0F">
        <w:rPr>
          <w:rFonts w:eastAsia="Calibri" w:cs="Times New Roman"/>
          <w:szCs w:val="24"/>
          <w:lang w:eastAsia="ar-SA"/>
        </w:rPr>
        <w:t xml:space="preserve">pieejams finansējums, kas </w:t>
      </w:r>
      <w:r w:rsidR="00D70E0F" w:rsidRPr="00E76DDA">
        <w:rPr>
          <w:rFonts w:eastAsia="Calibri" w:cs="Times New Roman"/>
          <w:szCs w:val="24"/>
          <w:lang w:eastAsia="ar-SA"/>
        </w:rPr>
        <w:t>mazina risku finanšu pieejamībai un finansējuma “pārrāvumam” starp periodiem.</w:t>
      </w:r>
    </w:p>
    <w:p w14:paraId="3217A1A3" w14:textId="237CA91C" w:rsidR="00776D04" w:rsidRDefault="004A6AB9" w:rsidP="00DC4E3D">
      <w:pPr>
        <w:shd w:val="clear" w:color="auto" w:fill="FFFFFF"/>
        <w:spacing w:before="120" w:after="120" w:line="276" w:lineRule="auto"/>
        <w:jc w:val="both"/>
        <w:rPr>
          <w:shd w:val="clear" w:color="auto" w:fill="FFFFFF"/>
        </w:rPr>
      </w:pPr>
      <w:r w:rsidRPr="00BA6715">
        <w:rPr>
          <w:szCs w:val="24"/>
        </w:rPr>
        <w:t xml:space="preserve">Vienlaikus aizvien aktīvāk sākas reāls investīciju cikls </w:t>
      </w:r>
      <w:r w:rsidR="002B0E3B" w:rsidRPr="00BA6715">
        <w:rPr>
          <w:szCs w:val="24"/>
        </w:rPr>
        <w:t>ES fondu</w:t>
      </w:r>
      <w:r w:rsidRPr="00BA6715">
        <w:rPr>
          <w:szCs w:val="24"/>
        </w:rPr>
        <w:t xml:space="preserve"> 2014.–2020.gada plānošanas perioda </w:t>
      </w:r>
      <w:r w:rsidRPr="00AB5F24">
        <w:rPr>
          <w:szCs w:val="24"/>
        </w:rPr>
        <w:t xml:space="preserve">ietvaros. </w:t>
      </w:r>
      <w:r w:rsidR="003313A6" w:rsidRPr="00C14808">
        <w:rPr>
          <w:rFonts w:cs="Times New Roman"/>
          <w:szCs w:val="24"/>
        </w:rPr>
        <w:t xml:space="preserve">Līdz 2016.gada 30.jūnijam ir izstrādāti un apstiprināti 75 </w:t>
      </w:r>
      <w:r w:rsidR="003313A6">
        <w:rPr>
          <w:rFonts w:cs="Times New Roman"/>
          <w:szCs w:val="24"/>
        </w:rPr>
        <w:t>Ministru kabineta</w:t>
      </w:r>
      <w:r w:rsidR="003313A6" w:rsidRPr="00C14808">
        <w:rPr>
          <w:rFonts w:cs="Times New Roman"/>
          <w:szCs w:val="24"/>
        </w:rPr>
        <w:t xml:space="preserve"> noteikumi par </w:t>
      </w:r>
      <w:r w:rsidR="003313A6">
        <w:rPr>
          <w:rFonts w:cs="Times New Roman"/>
          <w:szCs w:val="24"/>
        </w:rPr>
        <w:t>specifisko atbalsta mē</w:t>
      </w:r>
      <w:r w:rsidR="007469E1">
        <w:rPr>
          <w:rFonts w:cs="Times New Roman"/>
          <w:szCs w:val="24"/>
        </w:rPr>
        <w:t>rķ</w:t>
      </w:r>
      <w:r w:rsidR="003313A6">
        <w:rPr>
          <w:rFonts w:cs="Times New Roman"/>
          <w:szCs w:val="24"/>
        </w:rPr>
        <w:t xml:space="preserve">u un to pasākumu īstenošanu, </w:t>
      </w:r>
      <w:r w:rsidR="003313A6" w:rsidRPr="00C14808">
        <w:rPr>
          <w:rFonts w:cs="Times New Roman"/>
          <w:szCs w:val="24"/>
        </w:rPr>
        <w:t>ir izsludinātas 55 projektu iesniegumu atlases par kopējo ES fondu finansējumu</w:t>
      </w:r>
      <w:r w:rsidR="003313A6">
        <w:rPr>
          <w:rFonts w:cs="Times New Roman"/>
          <w:szCs w:val="24"/>
        </w:rPr>
        <w:t xml:space="preserve"> </w:t>
      </w:r>
      <w:r w:rsidR="003313A6" w:rsidRPr="00C14808">
        <w:rPr>
          <w:rFonts w:cs="Times New Roman"/>
          <w:szCs w:val="24"/>
        </w:rPr>
        <w:t xml:space="preserve">1,8 mljrd. </w:t>
      </w:r>
      <w:r w:rsidR="003313A6" w:rsidRPr="00C14808">
        <w:rPr>
          <w:rFonts w:cs="Times New Roman"/>
          <w:i/>
          <w:szCs w:val="24"/>
        </w:rPr>
        <w:t>euro</w:t>
      </w:r>
      <w:r w:rsidR="003313A6" w:rsidRPr="00C14808">
        <w:rPr>
          <w:rFonts w:cs="Times New Roman"/>
          <w:szCs w:val="24"/>
        </w:rPr>
        <w:t xml:space="preserve"> apmērā. </w:t>
      </w:r>
      <w:r w:rsidR="003313A6" w:rsidRPr="00395039">
        <w:rPr>
          <w:shd w:val="clear" w:color="auto" w:fill="FFFFFF"/>
        </w:rPr>
        <w:t>A</w:t>
      </w:r>
      <w:r w:rsidRPr="00395039">
        <w:rPr>
          <w:shd w:val="clear" w:color="auto" w:fill="FFFFFF"/>
        </w:rPr>
        <w:t xml:space="preserve">pstiprināti projekti par </w:t>
      </w:r>
      <w:r w:rsidR="00395039" w:rsidRPr="00395039">
        <w:rPr>
          <w:shd w:val="clear" w:color="auto" w:fill="FFFFFF"/>
        </w:rPr>
        <w:t>835,6</w:t>
      </w:r>
      <w:r w:rsidRPr="00395039">
        <w:rPr>
          <w:shd w:val="clear" w:color="auto" w:fill="FFFFFF"/>
        </w:rPr>
        <w:t xml:space="preserve"> milj. </w:t>
      </w:r>
      <w:r w:rsidRPr="00395039">
        <w:rPr>
          <w:i/>
          <w:iCs/>
          <w:shd w:val="clear" w:color="auto" w:fill="FFFFFF"/>
        </w:rPr>
        <w:t>euro</w:t>
      </w:r>
      <w:r w:rsidRPr="00395039">
        <w:rPr>
          <w:shd w:val="clear" w:color="auto" w:fill="FFFFFF"/>
        </w:rPr>
        <w:t xml:space="preserve"> jeb </w:t>
      </w:r>
      <w:r w:rsidR="00AB5F24" w:rsidRPr="00395039">
        <w:rPr>
          <w:shd w:val="clear" w:color="auto" w:fill="FFFFFF"/>
        </w:rPr>
        <w:t>18,9</w:t>
      </w:r>
      <w:r w:rsidRPr="00395039">
        <w:rPr>
          <w:shd w:val="clear" w:color="auto" w:fill="FFFFFF"/>
        </w:rPr>
        <w:t xml:space="preserve">%, noslēgti līgumi par </w:t>
      </w:r>
      <w:r w:rsidR="00395039" w:rsidRPr="00395039">
        <w:rPr>
          <w:shd w:val="clear" w:color="auto" w:fill="FFFFFF"/>
        </w:rPr>
        <w:t>785,2</w:t>
      </w:r>
      <w:r w:rsidRPr="00395039">
        <w:rPr>
          <w:shd w:val="clear" w:color="auto" w:fill="FFFFFF"/>
        </w:rPr>
        <w:t xml:space="preserve"> milj. </w:t>
      </w:r>
      <w:r w:rsidRPr="00395039">
        <w:rPr>
          <w:i/>
          <w:iCs/>
          <w:shd w:val="clear" w:color="auto" w:fill="FFFFFF"/>
        </w:rPr>
        <w:t>euro</w:t>
      </w:r>
      <w:r w:rsidRPr="00395039">
        <w:rPr>
          <w:shd w:val="clear" w:color="auto" w:fill="FFFFFF"/>
        </w:rPr>
        <w:t xml:space="preserve"> jeb </w:t>
      </w:r>
      <w:r w:rsidR="00395039" w:rsidRPr="00395039">
        <w:rPr>
          <w:shd w:val="clear" w:color="auto" w:fill="FFFFFF"/>
        </w:rPr>
        <w:t>17,8</w:t>
      </w:r>
      <w:r w:rsidRPr="00395039">
        <w:rPr>
          <w:shd w:val="clear" w:color="auto" w:fill="FFFFFF"/>
        </w:rPr>
        <w:t>%</w:t>
      </w:r>
      <w:r w:rsidR="00405866" w:rsidRPr="00395039">
        <w:rPr>
          <w:shd w:val="clear" w:color="auto" w:fill="FFFFFF"/>
        </w:rPr>
        <w:t>, m</w:t>
      </w:r>
      <w:r w:rsidRPr="00395039">
        <w:rPr>
          <w:shd w:val="clear" w:color="auto" w:fill="FFFFFF"/>
        </w:rPr>
        <w:t xml:space="preserve">aksājumi finansējuma saņēmējiem veikti </w:t>
      </w:r>
      <w:r w:rsidR="00395039" w:rsidRPr="00395039">
        <w:rPr>
          <w:shd w:val="clear" w:color="auto" w:fill="FFFFFF"/>
        </w:rPr>
        <w:t>101,1</w:t>
      </w:r>
      <w:r w:rsidRPr="00395039">
        <w:rPr>
          <w:shd w:val="clear" w:color="auto" w:fill="FFFFFF"/>
        </w:rPr>
        <w:t xml:space="preserve"> milj. </w:t>
      </w:r>
      <w:r w:rsidRPr="00395039">
        <w:rPr>
          <w:i/>
          <w:iCs/>
          <w:shd w:val="clear" w:color="auto" w:fill="FFFFFF"/>
        </w:rPr>
        <w:t>euro</w:t>
      </w:r>
      <w:r w:rsidR="00AB5F24" w:rsidRPr="00395039">
        <w:rPr>
          <w:shd w:val="clear" w:color="auto" w:fill="FFFFFF"/>
        </w:rPr>
        <w:t> jeb 2,3</w:t>
      </w:r>
      <w:r w:rsidRPr="00395039">
        <w:rPr>
          <w:shd w:val="clear" w:color="auto" w:fill="FFFFFF"/>
        </w:rPr>
        <w:t>%</w:t>
      </w:r>
      <w:r w:rsidR="00405866" w:rsidRPr="00395039">
        <w:rPr>
          <w:shd w:val="clear" w:color="auto" w:fill="FFFFFF"/>
        </w:rPr>
        <w:t xml:space="preserve"> no pieejamā </w:t>
      </w:r>
      <w:r w:rsidR="00395039" w:rsidRPr="00395039">
        <w:rPr>
          <w:shd w:val="clear" w:color="auto" w:fill="FFFFFF"/>
        </w:rPr>
        <w:t>ES</w:t>
      </w:r>
      <w:r w:rsidR="00405866" w:rsidRPr="00395039">
        <w:rPr>
          <w:shd w:val="clear" w:color="auto" w:fill="FFFFFF"/>
        </w:rPr>
        <w:t xml:space="preserve"> finansējuma</w:t>
      </w:r>
      <w:r w:rsidR="00AB5F24" w:rsidRPr="00395039">
        <w:rPr>
          <w:shd w:val="clear" w:color="auto" w:fill="FFFFFF"/>
        </w:rPr>
        <w:t>.</w:t>
      </w:r>
      <w:r w:rsidR="00AB5F24" w:rsidRPr="00EC7B54">
        <w:rPr>
          <w:shd w:val="clear" w:color="auto" w:fill="FFFFFF"/>
        </w:rPr>
        <w:t xml:space="preserve"> </w:t>
      </w:r>
      <w:r w:rsidR="00405866" w:rsidRPr="00EC7B54">
        <w:rPr>
          <w:shd w:val="clear" w:color="auto" w:fill="FFFFFF"/>
        </w:rPr>
        <w:t xml:space="preserve">Lai arī programmas ieviešanas plānā konstatējami </w:t>
      </w:r>
      <w:r w:rsidR="00EC7B54" w:rsidRPr="00EC7B54">
        <w:rPr>
          <w:shd w:val="clear" w:color="auto" w:fill="FFFFFF"/>
        </w:rPr>
        <w:t xml:space="preserve">atsevišķi </w:t>
      </w:r>
      <w:r w:rsidR="00405866" w:rsidRPr="00EC7B54">
        <w:rPr>
          <w:shd w:val="clear" w:color="auto" w:fill="FFFFFF"/>
        </w:rPr>
        <w:t xml:space="preserve">kavējumi, </w:t>
      </w:r>
      <w:r w:rsidRPr="00EC7B54">
        <w:rPr>
          <w:shd w:val="clear" w:color="auto" w:fill="FFFFFF"/>
        </w:rPr>
        <w:t xml:space="preserve">prognozes liecina par Latvijai joprojām iespējamu, atbilstoši un </w:t>
      </w:r>
      <w:proofErr w:type="spellStart"/>
      <w:r w:rsidRPr="00EC7B54">
        <w:rPr>
          <w:shd w:val="clear" w:color="auto" w:fill="FFFFFF"/>
        </w:rPr>
        <w:t>proaktīvi</w:t>
      </w:r>
      <w:proofErr w:type="spellEnd"/>
      <w:r w:rsidRPr="00EC7B54">
        <w:rPr>
          <w:shd w:val="clear" w:color="auto" w:fill="FFFFFF"/>
        </w:rPr>
        <w:t xml:space="preserve"> vadot konstatētos investīciju uzsākšanas kavējumu un citus riskus, izpildīt Eiropas Komisijas noteiktos maksājumu mērķus (sarkanās līnijas), lai neiestātos ES finansējuma zaudēšana.</w:t>
      </w:r>
      <w:r w:rsidR="00405866" w:rsidRPr="00EC7B54">
        <w:rPr>
          <w:shd w:val="clear" w:color="auto" w:fill="FFFFFF"/>
        </w:rPr>
        <w:t xml:space="preserve"> </w:t>
      </w:r>
    </w:p>
    <w:p w14:paraId="15535865" w14:textId="297A003C" w:rsidR="00AE160D" w:rsidRPr="00A27744" w:rsidRDefault="003313A6" w:rsidP="00DC4E3D">
      <w:pPr>
        <w:spacing w:after="120" w:line="276" w:lineRule="auto"/>
        <w:jc w:val="both"/>
        <w:rPr>
          <w:szCs w:val="24"/>
        </w:rPr>
      </w:pPr>
      <w:r>
        <w:rPr>
          <w:rFonts w:cs="Times New Roman"/>
          <w:szCs w:val="24"/>
        </w:rPr>
        <w:t>L</w:t>
      </w:r>
      <w:r w:rsidRPr="00C14808">
        <w:rPr>
          <w:rFonts w:cs="Times New Roman"/>
          <w:szCs w:val="24"/>
        </w:rPr>
        <w:t xml:space="preserve">ai </w:t>
      </w:r>
      <w:r w:rsidR="002471B7" w:rsidRPr="00C14808">
        <w:rPr>
          <w:rFonts w:cs="Times New Roman"/>
          <w:szCs w:val="24"/>
        </w:rPr>
        <w:t>nodrošinātu</w:t>
      </w:r>
      <w:r w:rsidR="002471B7">
        <w:rPr>
          <w:rFonts w:cs="Times New Roman"/>
          <w:szCs w:val="24"/>
        </w:rPr>
        <w:t xml:space="preserve"> pēc iespējas savlaicīgu un uz efektīvas partnerības principiem balstītu </w:t>
      </w:r>
      <w:r w:rsidR="002471B7" w:rsidRPr="00AE160D">
        <w:rPr>
          <w:shd w:val="clear" w:color="auto" w:fill="FFFFFF"/>
        </w:rPr>
        <w:t xml:space="preserve"> </w:t>
      </w:r>
      <w:r w:rsidR="003230F6" w:rsidRPr="00AE160D">
        <w:rPr>
          <w:shd w:val="clear" w:color="auto" w:fill="FFFFFF"/>
        </w:rPr>
        <w:t xml:space="preserve">lēmumu </w:t>
      </w:r>
      <w:r w:rsidR="003230F6">
        <w:rPr>
          <w:shd w:val="clear" w:color="auto" w:fill="FFFFFF"/>
        </w:rPr>
        <w:t xml:space="preserve">par </w:t>
      </w:r>
      <w:r w:rsidR="00AE160D" w:rsidRPr="00C14808">
        <w:rPr>
          <w:rFonts w:cs="Times New Roman"/>
          <w:szCs w:val="24"/>
        </w:rPr>
        <w:t xml:space="preserve">ES fondu </w:t>
      </w:r>
      <w:r w:rsidR="00AE160D" w:rsidRPr="00AE160D">
        <w:rPr>
          <w:rFonts w:cs="Times New Roman"/>
          <w:szCs w:val="24"/>
        </w:rPr>
        <w:t>2014.–2020.gada plānošanas perioda investīcij</w:t>
      </w:r>
      <w:r w:rsidR="003230F6">
        <w:rPr>
          <w:rFonts w:cs="Times New Roman"/>
          <w:szCs w:val="24"/>
        </w:rPr>
        <w:t xml:space="preserve">ām </w:t>
      </w:r>
      <w:r w:rsidR="003230F6" w:rsidRPr="00AE160D">
        <w:rPr>
          <w:shd w:val="clear" w:color="auto" w:fill="FFFFFF"/>
        </w:rPr>
        <w:t>pieņemšanas procesu</w:t>
      </w:r>
      <w:r w:rsidR="002471B7">
        <w:rPr>
          <w:shd w:val="clear" w:color="auto" w:fill="FFFFFF"/>
        </w:rPr>
        <w:t>,</w:t>
      </w:r>
      <w:r w:rsidR="00AE160D" w:rsidRPr="00AE160D">
        <w:rPr>
          <w:shd w:val="clear" w:color="auto" w:fill="FFFFFF"/>
        </w:rPr>
        <w:t xml:space="preserve">, </w:t>
      </w:r>
      <w:r w:rsidR="002471B7">
        <w:rPr>
          <w:shd w:val="clear" w:color="auto" w:fill="FFFFFF"/>
        </w:rPr>
        <w:t xml:space="preserve"> arvien aktīvāk tiek </w:t>
      </w:r>
      <w:r w:rsidR="00AE160D" w:rsidRPr="00AE160D">
        <w:rPr>
          <w:shd w:val="clear" w:color="auto" w:fill="FFFFFF"/>
        </w:rPr>
        <w:t xml:space="preserve"> izmantoti ES fondu uzraudzības komitejas un tās apakškomiteju forumi, kā arī jautājumi skatīti Koalīcijas partneru darba grupas par ES fondu jautājumiem sanāksmēs. </w:t>
      </w:r>
      <w:r w:rsidR="00A27744" w:rsidRPr="00A96FAA">
        <w:rPr>
          <w:szCs w:val="24"/>
        </w:rPr>
        <w:t>Lai maksimāli efektīvi novērstu</w:t>
      </w:r>
      <w:r w:rsidR="00A27744">
        <w:rPr>
          <w:szCs w:val="24"/>
        </w:rPr>
        <w:t xml:space="preserve"> un</w:t>
      </w:r>
      <w:r w:rsidR="00A27744" w:rsidRPr="00A96FAA">
        <w:rPr>
          <w:szCs w:val="24"/>
        </w:rPr>
        <w:t xml:space="preserve"> mazinātu potenciālos riskus </w:t>
      </w:r>
      <w:r w:rsidR="00A27744">
        <w:rPr>
          <w:szCs w:val="24"/>
        </w:rPr>
        <w:t xml:space="preserve">specifisko atbalsta mērķu un pasākumu ieviešanā, finanšu ministre vairākkārt tikās ar atbildīgajiem nozaru ministriem, pārrunājot aktuālo specifisko atbalsta mērķu un pasākumu ieviešanas progresu un </w:t>
      </w:r>
      <w:proofErr w:type="spellStart"/>
      <w:r w:rsidR="00A27744">
        <w:rPr>
          <w:szCs w:val="24"/>
        </w:rPr>
        <w:t>problēmjautājumus</w:t>
      </w:r>
      <w:proofErr w:type="spellEnd"/>
      <w:r w:rsidR="003230F6">
        <w:rPr>
          <w:szCs w:val="24"/>
        </w:rPr>
        <w:t>, vienojoties par optimālu rīcību</w:t>
      </w:r>
      <w:r w:rsidR="00A27744">
        <w:rPr>
          <w:szCs w:val="24"/>
        </w:rPr>
        <w:t xml:space="preserve">. </w:t>
      </w:r>
      <w:r w:rsidR="00276085" w:rsidRPr="00276085">
        <w:rPr>
          <w:szCs w:val="24"/>
        </w:rPr>
        <w:t xml:space="preserve">Tāpat arī atbildīgās nozaru ministrijas </w:t>
      </w:r>
      <w:r w:rsidR="003230F6">
        <w:rPr>
          <w:szCs w:val="24"/>
        </w:rPr>
        <w:t xml:space="preserve">dažādos līmeņos </w:t>
      </w:r>
      <w:r w:rsidR="00276085" w:rsidRPr="00276085">
        <w:rPr>
          <w:szCs w:val="24"/>
        </w:rPr>
        <w:t xml:space="preserve">ir veikušas preventīvus pasākumus potenciālo risku </w:t>
      </w:r>
      <w:r w:rsidR="003230F6">
        <w:rPr>
          <w:szCs w:val="24"/>
        </w:rPr>
        <w:t xml:space="preserve">sekmīgai investīciju veikšanai </w:t>
      </w:r>
      <w:r w:rsidR="00276085" w:rsidRPr="00276085">
        <w:rPr>
          <w:szCs w:val="24"/>
        </w:rPr>
        <w:t>novēršanā un mazināšanā</w:t>
      </w:r>
      <w:r w:rsidR="003230F6">
        <w:rPr>
          <w:szCs w:val="24"/>
        </w:rPr>
        <w:t xml:space="preserve">, kā arī </w:t>
      </w:r>
      <w:proofErr w:type="spellStart"/>
      <w:r w:rsidR="003230F6">
        <w:rPr>
          <w:szCs w:val="24"/>
        </w:rPr>
        <w:t>problēmsituāciju</w:t>
      </w:r>
      <w:proofErr w:type="spellEnd"/>
      <w:r w:rsidR="003230F6">
        <w:rPr>
          <w:szCs w:val="24"/>
        </w:rPr>
        <w:t xml:space="preserve"> risināšanā</w:t>
      </w:r>
      <w:r w:rsidR="00690CFA">
        <w:rPr>
          <w:szCs w:val="24"/>
        </w:rPr>
        <w:t xml:space="preserve">, t.sk. saistībā ar lielo projektu sagatavošanu un nepieciešamo lēmumu pieņemšanu </w:t>
      </w:r>
      <w:r w:rsidR="00276085">
        <w:rPr>
          <w:szCs w:val="24"/>
        </w:rPr>
        <w:t>.</w:t>
      </w:r>
    </w:p>
    <w:p w14:paraId="5787A120" w14:textId="0EF43436" w:rsidR="004A6AB9" w:rsidRPr="00AE160D" w:rsidRDefault="00776D04" w:rsidP="00DC4E3D">
      <w:pPr>
        <w:shd w:val="clear" w:color="auto" w:fill="FFFFFF"/>
        <w:spacing w:before="120" w:after="120" w:line="276" w:lineRule="auto"/>
        <w:jc w:val="both"/>
        <w:rPr>
          <w:shd w:val="clear" w:color="auto" w:fill="FFFFFF"/>
        </w:rPr>
      </w:pPr>
      <w:r w:rsidRPr="00AE160D">
        <w:rPr>
          <w:shd w:val="clear" w:color="auto" w:fill="FFFFFF"/>
        </w:rPr>
        <w:lastRenderedPageBreak/>
        <w:t xml:space="preserve">Lai nodrošinātu valdības un plašākas sabiedrības informētību par </w:t>
      </w:r>
      <w:r w:rsidR="004A6AB9" w:rsidRPr="00AE160D">
        <w:rPr>
          <w:shd w:val="clear" w:color="auto" w:fill="FFFFFF"/>
        </w:rPr>
        <w:t xml:space="preserve">ES fondu </w:t>
      </w:r>
      <w:r w:rsidRPr="00AE160D">
        <w:rPr>
          <w:shd w:val="clear" w:color="auto" w:fill="FFFFFF"/>
        </w:rPr>
        <w:t xml:space="preserve">ieviešana gaitu, </w:t>
      </w:r>
      <w:r w:rsidR="00BD3346" w:rsidRPr="00AE160D">
        <w:rPr>
          <w:shd w:val="clear" w:color="auto" w:fill="FFFFFF"/>
        </w:rPr>
        <w:t>Finanšu ministrija</w:t>
      </w:r>
      <w:r w:rsidR="004A6AB9" w:rsidRPr="00AE160D">
        <w:rPr>
          <w:shd w:val="clear" w:color="auto" w:fill="FFFFFF"/>
        </w:rPr>
        <w:t xml:space="preserve"> sniedz Ministru kabinetam ikmēneša operatīvo informāciju par ES Kohēzijas politikas fondu ieviešanas plānu izpildi, kā arī reizi pusgadā - informatīvo ziņojumu par investīciju progresu, minot būtiskas problēmas ES fondu ieviešanā un sniedzot priekšlikumus to risinājumiem</w:t>
      </w:r>
      <w:r w:rsidR="00AE160D" w:rsidRPr="00AE160D">
        <w:rPr>
          <w:rStyle w:val="FootnoteReference"/>
          <w:shd w:val="clear" w:color="auto" w:fill="FFFFFF"/>
        </w:rPr>
        <w:footnoteReference w:id="2"/>
      </w:r>
      <w:r w:rsidR="004A6AB9" w:rsidRPr="00AE160D">
        <w:rPr>
          <w:color w:val="212121"/>
          <w:shd w:val="clear" w:color="auto" w:fill="FFFFFF"/>
        </w:rPr>
        <w:t>.</w:t>
      </w:r>
      <w:r w:rsidR="00BD3346" w:rsidRPr="00AE160D">
        <w:rPr>
          <w:color w:val="212121"/>
          <w:shd w:val="clear" w:color="auto" w:fill="FFFFFF"/>
        </w:rPr>
        <w:t xml:space="preserve"> </w:t>
      </w:r>
      <w:r w:rsidR="00BD3346" w:rsidRPr="00AE160D">
        <w:rPr>
          <w:shd w:val="clear" w:color="auto" w:fill="FFFFFF"/>
        </w:rPr>
        <w:t>Papildus, s</w:t>
      </w:r>
      <w:r w:rsidR="004A6AB9" w:rsidRPr="00AE160D">
        <w:rPr>
          <w:shd w:val="clear" w:color="auto" w:fill="FFFFFF"/>
        </w:rPr>
        <w:t>ākot ar 2016.gadu ES fondu vadošā iestāde katru ceturksni iesniedz pārskatus par ES fondu investīciju progresu Saeimas Publisko izdevumu un revīzijas komisijai</w:t>
      </w:r>
      <w:r w:rsidR="00AE160D" w:rsidRPr="00AE160D">
        <w:rPr>
          <w:rStyle w:val="FootnoteReference"/>
          <w:shd w:val="clear" w:color="auto" w:fill="FFFFFF"/>
        </w:rPr>
        <w:footnoteReference w:id="3"/>
      </w:r>
      <w:r w:rsidR="004A6AB9" w:rsidRPr="00AE160D">
        <w:rPr>
          <w:color w:val="212121"/>
          <w:shd w:val="clear" w:color="auto" w:fill="FFFFFF"/>
        </w:rPr>
        <w:t xml:space="preserve">. </w:t>
      </w:r>
    </w:p>
    <w:p w14:paraId="69CDD165" w14:textId="77777777" w:rsidR="006273E4" w:rsidRPr="006273E4" w:rsidRDefault="006273E4" w:rsidP="00DC4E3D">
      <w:pPr>
        <w:pStyle w:val="Default"/>
        <w:spacing w:line="276" w:lineRule="auto"/>
        <w:rPr>
          <w:b/>
          <w:i/>
          <w:color w:val="auto"/>
        </w:rPr>
      </w:pPr>
      <w:r w:rsidRPr="006273E4">
        <w:rPr>
          <w:b/>
          <w:i/>
          <w:color w:val="auto"/>
        </w:rPr>
        <w:t>EEZ/Norvēģijas finanšu instrumentu un Šveices programmas ieviešana</w:t>
      </w:r>
    </w:p>
    <w:p w14:paraId="3638B04A" w14:textId="77777777" w:rsidR="003313A6" w:rsidRDefault="006273E4" w:rsidP="00DC4E3D">
      <w:pPr>
        <w:spacing w:before="120" w:after="120" w:line="276" w:lineRule="auto"/>
        <w:jc w:val="both"/>
        <w:rPr>
          <w:i/>
        </w:rPr>
      </w:pPr>
      <w:r w:rsidRPr="00765CAB">
        <w:rPr>
          <w:rFonts w:eastAsia="Times New Roman"/>
          <w:color w:val="000000"/>
          <w:szCs w:val="24"/>
          <w:lang w:eastAsia="lv-LV"/>
        </w:rPr>
        <w:t xml:space="preserve">Pārskata periodā turpinājās 7 </w:t>
      </w:r>
      <w:r w:rsidRPr="00765CAB">
        <w:rPr>
          <w:rFonts w:eastAsia="Times New Roman"/>
          <w:b/>
          <w:color w:val="000000"/>
          <w:szCs w:val="24"/>
          <w:lang w:eastAsia="lv-LV"/>
        </w:rPr>
        <w:t>EEZ/Norvēģijas finanšu instrumentu</w:t>
      </w:r>
      <w:r w:rsidRPr="00765CAB">
        <w:rPr>
          <w:rFonts w:eastAsia="Times New Roman"/>
          <w:color w:val="000000"/>
          <w:szCs w:val="24"/>
          <w:lang w:eastAsia="lv-LV"/>
        </w:rPr>
        <w:t xml:space="preserve"> līdzfinansēto programmu ieviešana. Līdz 2016.gada 30.aprīlim tika pabeigti visi 205 projekti NVO fonda ietvaros, savukārt pārējās 6 programmās projekti tiks īstenoti līdz pat 2017.gada 30.aprīlim. Līdz pārskata perioda beigām jau noslēgusies 252 projektu (no 343 projektiem) īstenošana.</w:t>
      </w:r>
      <w:r w:rsidRPr="00765CAB">
        <w:rPr>
          <w:rFonts w:eastAsia="Times New Roman"/>
          <w:szCs w:val="24"/>
          <w:lang w:eastAsia="lv-LV"/>
        </w:rPr>
        <w:t xml:space="preserve"> </w:t>
      </w:r>
      <w:r w:rsidR="003313A6" w:rsidRPr="006E0FA2">
        <w:t>2016.</w:t>
      </w:r>
      <w:r w:rsidR="003313A6">
        <w:t xml:space="preserve">gadā ir uzsākts darbs pie EEZ/Norvēģijas finanšu instrumentu 2014. – 2021.gada plānošanas perioda sagatavošanas, kurā Latvijai paredzētais finansējums no abiem instrumentiem kopā ir 102,1 milj. </w:t>
      </w:r>
      <w:r w:rsidR="003313A6" w:rsidRPr="006E0FA2">
        <w:rPr>
          <w:i/>
        </w:rPr>
        <w:t>euro</w:t>
      </w:r>
      <w:r w:rsidR="003313A6">
        <w:rPr>
          <w:i/>
        </w:rPr>
        <w:t>.</w:t>
      </w:r>
    </w:p>
    <w:p w14:paraId="6E0E3DDF" w14:textId="0F56CFBE" w:rsidR="004068CE" w:rsidRPr="000C1234" w:rsidRDefault="00B62913" w:rsidP="00DC4E3D">
      <w:pPr>
        <w:spacing w:before="120" w:after="120" w:line="276" w:lineRule="auto"/>
        <w:jc w:val="both"/>
        <w:rPr>
          <w:rFonts w:eastAsia="Times New Roman" w:cs="Times New Roman"/>
          <w:color w:val="000000"/>
          <w:highlight w:val="yellow"/>
        </w:rPr>
      </w:pPr>
      <w:r w:rsidRPr="00B62913">
        <w:rPr>
          <w:rFonts w:eastAsia="Times New Roman" w:cs="Times New Roman"/>
          <w:color w:val="000000"/>
        </w:rPr>
        <w:t xml:space="preserve">Savukārt Šveices programmā </w:t>
      </w:r>
      <w:r w:rsidR="003313A6">
        <w:rPr>
          <w:rFonts w:eastAsia="Times New Roman" w:cs="Times New Roman"/>
          <w:color w:val="000000"/>
        </w:rPr>
        <w:t xml:space="preserve">no 12 projektiem </w:t>
      </w:r>
      <w:r w:rsidRPr="00B62913">
        <w:rPr>
          <w:rFonts w:eastAsia="Times New Roman" w:cs="Times New Roman"/>
          <w:color w:val="000000"/>
        </w:rPr>
        <w:t>atlikušo 4 projektu īstenošana vēl turpināsies 2016. un 2017.</w:t>
      </w:r>
      <w:r w:rsidRPr="006E0FA2">
        <w:rPr>
          <w:rFonts w:eastAsia="Times New Roman" w:cs="Times New Roman"/>
          <w:color w:val="000000"/>
        </w:rPr>
        <w:t xml:space="preserve">gadā. </w:t>
      </w:r>
      <w:r w:rsidR="004068CE" w:rsidRPr="006E0FA2">
        <w:rPr>
          <w:rFonts w:eastAsia="Times New Roman" w:cs="Times New Roman"/>
          <w:color w:val="000000"/>
        </w:rPr>
        <w:t xml:space="preserve"> </w:t>
      </w:r>
    </w:p>
    <w:p w14:paraId="652EEE89" w14:textId="77777777" w:rsidR="001E4C59" w:rsidRDefault="001E4C59" w:rsidP="00DC4E3D">
      <w:pPr>
        <w:spacing w:line="276" w:lineRule="auto"/>
        <w:rPr>
          <w:rFonts w:eastAsia="Times New Roman" w:cs="Times New Roman"/>
          <w:color w:val="000000"/>
          <w:szCs w:val="24"/>
          <w:lang w:eastAsia="lv-LV"/>
        </w:rPr>
      </w:pPr>
      <w:r>
        <w:rPr>
          <w:rFonts w:eastAsia="Times New Roman" w:cs="Times New Roman"/>
          <w:color w:val="000000"/>
          <w:szCs w:val="24"/>
          <w:lang w:eastAsia="lv-LV"/>
        </w:rPr>
        <w:br w:type="page"/>
      </w:r>
    </w:p>
    <w:p w14:paraId="3BE8FE86" w14:textId="77777777" w:rsidR="00942C37" w:rsidRPr="00D53808" w:rsidRDefault="00942C37" w:rsidP="00DC4E3D">
      <w:pPr>
        <w:spacing w:before="120" w:after="120" w:line="276" w:lineRule="auto"/>
        <w:jc w:val="both"/>
        <w:rPr>
          <w:rFonts w:eastAsia="Times New Roman" w:cs="Times New Roman"/>
          <w:color w:val="000000"/>
          <w:szCs w:val="24"/>
          <w:lang w:eastAsia="lv-LV"/>
        </w:rPr>
      </w:pPr>
    </w:p>
    <w:p w14:paraId="6E29FC47" w14:textId="73794FB9" w:rsidR="009C0862" w:rsidRPr="004145C0" w:rsidRDefault="009C0862" w:rsidP="00CE0CD0">
      <w:pPr>
        <w:pStyle w:val="1lmenis"/>
        <w:rPr>
          <w:rFonts w:eastAsia="Calibri"/>
          <w:lang w:eastAsia="lv-LV"/>
        </w:rPr>
      </w:pPr>
      <w:bookmarkStart w:id="3" w:name="_Toc459713613"/>
      <w:r w:rsidRPr="004145C0">
        <w:t>ES fondu finansējuma ietekme uz Latvijas tautsaimniecības attīstību</w:t>
      </w:r>
      <w:r w:rsidRPr="004145C0">
        <w:rPr>
          <w:rStyle w:val="FootnoteReference"/>
        </w:rPr>
        <w:footnoteReference w:id="4"/>
      </w:r>
      <w:bookmarkStart w:id="4" w:name="_Toc378254572"/>
      <w:bookmarkStart w:id="5" w:name="_Toc378256172"/>
      <w:bookmarkEnd w:id="3"/>
    </w:p>
    <w:bookmarkEnd w:id="4"/>
    <w:bookmarkEnd w:id="5"/>
    <w:p w14:paraId="3D389BA0" w14:textId="77777777" w:rsidR="00230E91" w:rsidRPr="00517B67" w:rsidRDefault="00230E91" w:rsidP="00DC4E3D">
      <w:pPr>
        <w:spacing w:before="120" w:after="120" w:line="276" w:lineRule="auto"/>
        <w:jc w:val="both"/>
      </w:pPr>
      <w:r w:rsidRPr="00517B67">
        <w:t>Ņemot vērā statistikas publicēšanas periodiskumu, šī ziņojuma ietvaros tiek sniegts apskats par makroekonomiskās situācijas attīstību, ietverot 201</w:t>
      </w:r>
      <w:r>
        <w:t>6</w:t>
      </w:r>
      <w:r w:rsidRPr="00517B67">
        <w:t xml:space="preserve">.gada </w:t>
      </w:r>
      <w:r>
        <w:t>pirmo</w:t>
      </w:r>
      <w:r w:rsidRPr="00517B67">
        <w:t xml:space="preserve"> ceturksni. Informācija par taut</w:t>
      </w:r>
      <w:r>
        <w:t>saimniecības attīstību līdz 2016</w:t>
      </w:r>
      <w:r w:rsidRPr="00517B67">
        <w:t>.gada 3</w:t>
      </w:r>
      <w:r>
        <w:t>0.jūnijam</w:t>
      </w:r>
      <w:r w:rsidRPr="00517B67">
        <w:t xml:space="preserve"> tiks iekļauta nākamajā ziņojum</w:t>
      </w:r>
      <w:r>
        <w:t>ā par pārskata periodu līdz 2016.gada 31.decembrim</w:t>
      </w:r>
      <w:r w:rsidRPr="00517B67">
        <w:t>.</w:t>
      </w:r>
    </w:p>
    <w:p w14:paraId="3FB724FD" w14:textId="2B25C79E" w:rsidR="00230E91" w:rsidRPr="00F717EF" w:rsidRDefault="00230E91" w:rsidP="00DC4E3D">
      <w:pPr>
        <w:spacing w:before="120" w:after="120" w:line="276" w:lineRule="auto"/>
        <w:jc w:val="both"/>
        <w:rPr>
          <w:szCs w:val="24"/>
        </w:rPr>
      </w:pPr>
      <w:r w:rsidRPr="00517B67">
        <w:rPr>
          <w:szCs w:val="24"/>
        </w:rPr>
        <w:t>Saskaņā ar</w:t>
      </w:r>
      <w:r>
        <w:rPr>
          <w:szCs w:val="24"/>
        </w:rPr>
        <w:t xml:space="preserve"> CSP datiem Latvijas IKP 2015.gadā, salīdzinot ar iepriekšējo gadu bija palielinājies par 2,7%, kas bija nedaudz straujāks pieaugums nekā iepriekšējā gadā, kad Latvijas ekonomika auga par 2,4%. 2016.gada pirmajā ceturksnī ekonomikas izaugsme palēninājās līdz 2,1%, kas saistīts ar ārējās vides negatīvo ietekmi, tajā skaitā saspīlēto ģeopolitisko situāciju reģionā un lēno ekonomikas izaugsmi </w:t>
      </w:r>
      <w:proofErr w:type="spellStart"/>
      <w:r>
        <w:rPr>
          <w:szCs w:val="24"/>
        </w:rPr>
        <w:t>eirozonā</w:t>
      </w:r>
      <w:proofErr w:type="spellEnd"/>
      <w:r>
        <w:rPr>
          <w:szCs w:val="24"/>
        </w:rPr>
        <w:t>, kā arī ar ES fondu līdzekļu plūsmas īslaicīgu samazināšanos, sākoties jaunajam ES fondu plānošanas periodam. Savukārt izaugsmi turpināja veicināt spēcīgi augošais iekšzemes pieprasījums, veicinot ar to saistīto nozaru attīstību</w:t>
      </w:r>
      <w:r w:rsidRPr="00517B67">
        <w:rPr>
          <w:szCs w:val="24"/>
        </w:rPr>
        <w:t>.</w:t>
      </w:r>
      <w:r w:rsidRPr="00517B67">
        <w:t xml:space="preserve"> </w:t>
      </w:r>
      <w:r w:rsidRPr="00167723">
        <w:t>Analīzes rezultāti rāda, ka 2015.gadā bez ES fondu ieguldījumiem (plašākā izpratnē)</w:t>
      </w:r>
      <w:r w:rsidRPr="00167723">
        <w:rPr>
          <w:rStyle w:val="FootnoteReference"/>
        </w:rPr>
        <w:footnoteReference w:id="5"/>
      </w:r>
      <w:r w:rsidRPr="00167723">
        <w:t xml:space="preserve"> IKP pieaugums būtu aptuveni par 1,4 procentpunktiem zemāks. Līdzīga pozitīva ES fondu ietekme vērojama arī turpmāk, un saskaņā ar FM novērtējumu ES fondu investīcijas 2016.gadā varētu būt palielinājušas Latvijas reālo IKP izaugsmi iepriekšējā gada līmenī.</w:t>
      </w:r>
      <w:r>
        <w:t xml:space="preserve"> </w:t>
      </w:r>
    </w:p>
    <w:p w14:paraId="7012CBE8" w14:textId="77777777" w:rsidR="00230E91" w:rsidRDefault="00230E91" w:rsidP="00DC4E3D">
      <w:pPr>
        <w:spacing w:before="120" w:after="120" w:line="276" w:lineRule="auto"/>
        <w:jc w:val="both"/>
        <w:rPr>
          <w:szCs w:val="24"/>
        </w:rPr>
      </w:pPr>
      <w:r w:rsidRPr="00517B67">
        <w:rPr>
          <w:szCs w:val="24"/>
        </w:rPr>
        <w:t xml:space="preserve">No izlietojuma puses lielāko pozitīvo devumu izaugsmē </w:t>
      </w:r>
      <w:r>
        <w:rPr>
          <w:szCs w:val="24"/>
        </w:rPr>
        <w:t xml:space="preserve">2015.gadā un arī 2016.gada pirmajā ceturksnī deva privātais </w:t>
      </w:r>
      <w:r w:rsidRPr="00517B67">
        <w:rPr>
          <w:szCs w:val="24"/>
        </w:rPr>
        <w:t xml:space="preserve">patēriņš, atspoguļojot uzlabojumus darba tirgū un </w:t>
      </w:r>
      <w:r>
        <w:rPr>
          <w:szCs w:val="24"/>
        </w:rPr>
        <w:t xml:space="preserve">spēcīgo </w:t>
      </w:r>
      <w:r w:rsidRPr="00517B67">
        <w:rPr>
          <w:szCs w:val="24"/>
        </w:rPr>
        <w:t>algu pieaugumu.</w:t>
      </w:r>
      <w:r w:rsidRPr="00517B67">
        <w:rPr>
          <w:color w:val="FF0000"/>
          <w:szCs w:val="24"/>
        </w:rPr>
        <w:t xml:space="preserve"> </w:t>
      </w:r>
      <w:r>
        <w:rPr>
          <w:szCs w:val="24"/>
        </w:rPr>
        <w:t>2016</w:t>
      </w:r>
      <w:r w:rsidRPr="00517B67">
        <w:rPr>
          <w:szCs w:val="24"/>
        </w:rPr>
        <w:t>.gada</w:t>
      </w:r>
      <w:r>
        <w:rPr>
          <w:szCs w:val="24"/>
        </w:rPr>
        <w:t xml:space="preserve"> pirmajā ceturksnī</w:t>
      </w:r>
      <w:r w:rsidRPr="00517B67">
        <w:rPr>
          <w:szCs w:val="24"/>
        </w:rPr>
        <w:t xml:space="preserve">, salīdzinot ar iepriekšējā gada attiecīgo </w:t>
      </w:r>
      <w:r>
        <w:rPr>
          <w:szCs w:val="24"/>
        </w:rPr>
        <w:t>ceturksni</w:t>
      </w:r>
      <w:r w:rsidRPr="00517B67">
        <w:rPr>
          <w:szCs w:val="24"/>
        </w:rPr>
        <w:t>, privā</w:t>
      </w:r>
      <w:r>
        <w:rPr>
          <w:szCs w:val="24"/>
        </w:rPr>
        <w:t>tais patēriņš palielinājās par 3,7</w:t>
      </w:r>
      <w:r w:rsidRPr="00517B67">
        <w:rPr>
          <w:szCs w:val="24"/>
        </w:rPr>
        <w:t xml:space="preserve">%. </w:t>
      </w:r>
      <w:r w:rsidRPr="00167723">
        <w:rPr>
          <w:szCs w:val="24"/>
        </w:rPr>
        <w:t>Prognozējams, ka 2016.gadā ES fondu investīcijas būs labvēlīgi ietekmējušas privātā patēriņa izaugsmi, palielinot pieauguma tempu par aptuveni 0,5 procentpunktiem.</w:t>
      </w:r>
      <w:r>
        <w:rPr>
          <w:szCs w:val="24"/>
        </w:rPr>
        <w:t xml:space="preserve"> 2016.gada pirmajā ceturksnī </w:t>
      </w:r>
      <w:r w:rsidRPr="00517B67">
        <w:t xml:space="preserve">palielinājies arī </w:t>
      </w:r>
      <w:r>
        <w:t>sabiedriskais patēriņš – par 2,2</w:t>
      </w:r>
      <w:r w:rsidRPr="00517B67">
        <w:t>%</w:t>
      </w:r>
      <w:r>
        <w:t xml:space="preserve">, salīdzinot ar 2015.gada attiecīgo ceturksni. Savukārt preču un pakalpojumu eksports un investīcijas pirmajā ceturksnī piedzīvoja kritumu. Preču un pakalpojumu eksports, salīdzinot ar 2015.gada pirmo ceturksni, samazinājies par 1,9%, bet investīcijas pamatkapitālā kritušās par 15,8%. </w:t>
      </w:r>
      <w:r w:rsidRPr="00517B67">
        <w:rPr>
          <w:szCs w:val="24"/>
        </w:rPr>
        <w:t xml:space="preserve">Kopējo investīciju </w:t>
      </w:r>
      <w:r>
        <w:rPr>
          <w:szCs w:val="24"/>
        </w:rPr>
        <w:t xml:space="preserve">kritumu noteikusi gan joprojām pastāvošā </w:t>
      </w:r>
      <w:r w:rsidRPr="00517B67">
        <w:rPr>
          <w:szCs w:val="24"/>
        </w:rPr>
        <w:t xml:space="preserve">nenoteiktība ārējā vidē, </w:t>
      </w:r>
      <w:r>
        <w:rPr>
          <w:szCs w:val="24"/>
        </w:rPr>
        <w:t>gan ES fondu līdzekļu plūsmas mazināšanās, kur jau nākamajos ceturkšņos situācija varētu uzlaboties.</w:t>
      </w:r>
    </w:p>
    <w:p w14:paraId="1C2586DC" w14:textId="77777777" w:rsidR="00230E91" w:rsidRDefault="00230E91" w:rsidP="00DC4E3D">
      <w:pPr>
        <w:spacing w:before="120" w:after="120" w:line="276" w:lineRule="auto"/>
        <w:jc w:val="both"/>
        <w:rPr>
          <w:lang w:eastAsia="lv-LV"/>
        </w:rPr>
      </w:pPr>
      <w:r>
        <w:t>Līdz ar</w:t>
      </w:r>
      <w:r w:rsidRPr="00517B67">
        <w:t xml:space="preserve"> </w:t>
      </w:r>
      <w:r>
        <w:t>sarežģīto situāciju ārējā vidē un Krievijas noteiktajām sankcijām</w:t>
      </w:r>
      <w:r w:rsidRPr="00517B67">
        <w:t xml:space="preserve">, </w:t>
      </w:r>
      <w:r>
        <w:t xml:space="preserve">kā arī samazinoties reeksporta apjomiem, Latvijas kopējais </w:t>
      </w:r>
      <w:r w:rsidRPr="00517B67">
        <w:t xml:space="preserve">preču eksports </w:t>
      </w:r>
      <w:r>
        <w:t>faktiskajās cenās</w:t>
      </w:r>
      <w:r w:rsidRPr="00517B67">
        <w:t xml:space="preserve"> </w:t>
      </w:r>
      <w:r>
        <w:t xml:space="preserve">2016.gada pirmajā ceturksnī samazinājies par 4,9%. Tajā skaitā eksports uz Krieviju sarucis par 17,7%, savukārt lielākie pieaugumi bijuši preču eksportā uz tādām valstīm kā Dānija, Uzbekistāna, Alžīrija, Ēģipte un Etiopija. No preču grupām visvairāk audzis lauksaimniecības un pārtikas preču eksports, bet visvairāk samazinājies mehānismu un ierīču eksports. </w:t>
      </w:r>
      <w:r w:rsidRPr="00975495">
        <w:rPr>
          <w:iCs/>
        </w:rPr>
        <w:t>Preču un pak</w:t>
      </w:r>
      <w:r>
        <w:rPr>
          <w:iCs/>
        </w:rPr>
        <w:t xml:space="preserve">alpojumu </w:t>
      </w:r>
      <w:r>
        <w:rPr>
          <w:iCs/>
        </w:rPr>
        <w:lastRenderedPageBreak/>
        <w:t>imports 2016</w:t>
      </w:r>
      <w:r w:rsidRPr="00975495">
        <w:rPr>
          <w:iCs/>
        </w:rPr>
        <w:t xml:space="preserve">.gada </w:t>
      </w:r>
      <w:r>
        <w:rPr>
          <w:iCs/>
        </w:rPr>
        <w:t>pirmajā ceturksnī, salīdzinot ar 2015.gada pirmo ceturksni, palielinājies par 5,0</w:t>
      </w:r>
      <w:r w:rsidRPr="00975495">
        <w:rPr>
          <w:iCs/>
        </w:rPr>
        <w:t xml:space="preserve">%. </w:t>
      </w:r>
      <w:r w:rsidRPr="00167723">
        <w:t xml:space="preserve">Jāatzīmē, ka ES fondu ietekme uz pieprasījumu </w:t>
      </w:r>
      <w:r w:rsidRPr="00167723">
        <w:rPr>
          <w:lang w:eastAsia="lv-LV"/>
        </w:rPr>
        <w:t>pēc ārvalstu precēm un pakalpojumiem 2015.gadā samazinājusies salīdzinājumā ar iepriekšējo gadu un bija vien 0,1 procentpunkta apmērā.</w:t>
      </w:r>
      <w:r>
        <w:rPr>
          <w:lang w:eastAsia="lv-LV"/>
        </w:rPr>
        <w:t xml:space="preserve"> </w:t>
      </w:r>
    </w:p>
    <w:p w14:paraId="66B357E6" w14:textId="30AAB88D" w:rsidR="00230E91" w:rsidRDefault="00230E91" w:rsidP="00DC4E3D">
      <w:pPr>
        <w:spacing w:before="120" w:after="120" w:line="276" w:lineRule="auto"/>
        <w:jc w:val="both"/>
        <w:rPr>
          <w:szCs w:val="24"/>
        </w:rPr>
      </w:pPr>
      <w:r>
        <w:rPr>
          <w:szCs w:val="24"/>
        </w:rPr>
        <w:t xml:space="preserve">Nozaru griezumā pieaugumu pirmajā ceturksnī uzrādījušas visas ekonomikas nozares, izņemot būvniecību un finanšu pakalpojumus, kur gada griezumā fiksēts attiecīgi 19,0% un 4,7% kritums, un būvniecības nozares lejupslīdi noteikusi galvenokārt </w:t>
      </w:r>
      <w:r w:rsidR="00806CDA">
        <w:rPr>
          <w:szCs w:val="24"/>
        </w:rPr>
        <w:t xml:space="preserve">lēna </w:t>
      </w:r>
      <w:r w:rsidRPr="005A3F17">
        <w:rPr>
          <w:rFonts w:cs="Times New Roman"/>
        </w:rPr>
        <w:t xml:space="preserve">ES fondu </w:t>
      </w:r>
      <w:r>
        <w:rPr>
          <w:rFonts w:cs="Times New Roman"/>
        </w:rPr>
        <w:t>līdzekļu ieplūd</w:t>
      </w:r>
      <w:r w:rsidR="00806CDA">
        <w:rPr>
          <w:rFonts w:cs="Times New Roman"/>
        </w:rPr>
        <w:t>e</w:t>
      </w:r>
      <w:r>
        <w:rPr>
          <w:rFonts w:cs="Times New Roman"/>
        </w:rPr>
        <w:t xml:space="preserve"> nozarē</w:t>
      </w:r>
      <w:r>
        <w:rPr>
          <w:szCs w:val="24"/>
        </w:rPr>
        <w:t xml:space="preserve">. Pārējās nozares šā gada pirmajā ceturksnī bija ar pieaugumu, no kuriem </w:t>
      </w:r>
      <w:r w:rsidRPr="00A77D93">
        <w:rPr>
          <w:szCs w:val="24"/>
        </w:rPr>
        <w:t>lielākie bijuši izmitināšanas un ēdināšanas pakalpojumu nozarē, kā arī i</w:t>
      </w:r>
      <w:r w:rsidRPr="00440F2D">
        <w:rPr>
          <w:szCs w:val="24"/>
        </w:rPr>
        <w:t>nformāci</w:t>
      </w:r>
      <w:r w:rsidRPr="00A77D93">
        <w:rPr>
          <w:szCs w:val="24"/>
        </w:rPr>
        <w:t>jas un komunikācijas pakalpojumu nozarē - par 6,8%, salīdzinot ar 2015.gada pirmo ceturksni.</w:t>
      </w:r>
      <w:r w:rsidRPr="00D27141">
        <w:rPr>
          <w:rFonts w:cs="Times New Roman"/>
        </w:rPr>
        <w:t xml:space="preserve"> </w:t>
      </w:r>
      <w:r w:rsidRPr="00594BDD">
        <w:rPr>
          <w:rFonts w:cs="Times New Roman"/>
        </w:rPr>
        <w:t>Pateicoties laikapstākļiem, ļoti augstu izaugsmi sasniegusi arī ie</w:t>
      </w:r>
      <w:r>
        <w:rPr>
          <w:rFonts w:cs="Times New Roman"/>
        </w:rPr>
        <w:t>guves rūpniecība un enerģētika.</w:t>
      </w:r>
      <w:r w:rsidRPr="00A77D93">
        <w:rPr>
          <w:szCs w:val="24"/>
        </w:rPr>
        <w:t xml:space="preserve"> Apstrādes rūpniecība pirmajā ceturksnī pieaugusi par 0,5%, ko pozitīvi ietekmēja kokapstrādes nozares, kā  arī tekstilizstrādājumu un gatavo metālizstrādājumu ražošanas labie rezultāti</w:t>
      </w:r>
      <w:r>
        <w:rPr>
          <w:szCs w:val="24"/>
        </w:rPr>
        <w:t xml:space="preserve">. Neskatoties uz tranzīta apjomu kritumu caur Latvijas ostām, pieaugums pirmajā ceturksnī sasniegts arī transporta un uzglabāšanas nozarē, - par 1,6%, ko nodrošinājis pieaugums </w:t>
      </w:r>
      <w:r>
        <w:t>starptautiskajos kravu autopārvadājumos, kā arī pasažieru skaita kāpums lidostā “Rīga”.</w:t>
      </w:r>
    </w:p>
    <w:p w14:paraId="093FF251" w14:textId="5A6D144C" w:rsidR="00230E91" w:rsidRPr="00517B67" w:rsidRDefault="00230E91" w:rsidP="00DC4E3D">
      <w:pPr>
        <w:spacing w:before="120" w:after="120" w:line="276" w:lineRule="auto"/>
        <w:jc w:val="both"/>
        <w:rPr>
          <w:szCs w:val="24"/>
        </w:rPr>
      </w:pPr>
      <w:r w:rsidRPr="00517B67">
        <w:t xml:space="preserve">Saglabājoties </w:t>
      </w:r>
      <w:r>
        <w:t xml:space="preserve">mērenai </w:t>
      </w:r>
      <w:r w:rsidRPr="00517B67">
        <w:t>ekonomikas izaugsmei, turpina uzlaboties situācija darba tirgū. Pēc CSP veiktā darbas</w:t>
      </w:r>
      <w:r>
        <w:t xml:space="preserve">pēka </w:t>
      </w:r>
      <w:proofErr w:type="spellStart"/>
      <w:r>
        <w:t>apsekojuma</w:t>
      </w:r>
      <w:proofErr w:type="spellEnd"/>
      <w:r>
        <w:t xml:space="preserve"> rezultātiem 2016</w:t>
      </w:r>
      <w:r w:rsidRPr="00517B67">
        <w:t xml:space="preserve">.gada </w:t>
      </w:r>
      <w:r>
        <w:t>pirmajā ceturksnī</w:t>
      </w:r>
      <w:r w:rsidRPr="00517B67">
        <w:t xml:space="preserve"> nodarbināto </w:t>
      </w:r>
      <w:r>
        <w:t xml:space="preserve">iedzīvotāju skaits 15-74 gadu vecumā bijis par 0,6% lielāks nekā attiecīgajā laika posmā pirms gada, sasniedzot 889,2 tūkstošus, kamēr 2015.gadā kopā nodarbināto skaits bija audzis par 1,3%. </w:t>
      </w:r>
      <w:r w:rsidRPr="00167723">
        <w:rPr>
          <w:szCs w:val="24"/>
        </w:rPr>
        <w:t>ES fondu projektu īstenošana būs saglabājusi pozitīvu ietekmi uz nodarbinātības dina</w:t>
      </w:r>
      <w:r w:rsidR="00947502">
        <w:rPr>
          <w:szCs w:val="24"/>
        </w:rPr>
        <w:t>miku arī 2016</w:t>
      </w:r>
      <w:r w:rsidRPr="00167723">
        <w:rPr>
          <w:szCs w:val="24"/>
        </w:rPr>
        <w:t xml:space="preserve">.gadā, palielinot nodarbināto skaita pieauguma tempu aptuveni par 0,3 procentpunktiem, un jāatzīmē, ka ES fondu investīcijas pēdējos gados ir būtiski stimulējušas </w:t>
      </w:r>
      <w:proofErr w:type="spellStart"/>
      <w:r w:rsidRPr="00167723">
        <w:rPr>
          <w:szCs w:val="24"/>
        </w:rPr>
        <w:t>cilvēkkapitāla</w:t>
      </w:r>
      <w:proofErr w:type="spellEnd"/>
      <w:r w:rsidRPr="00167723">
        <w:rPr>
          <w:szCs w:val="24"/>
        </w:rPr>
        <w:t xml:space="preserve"> attīstību.</w:t>
      </w:r>
    </w:p>
    <w:p w14:paraId="753FC625" w14:textId="77777777" w:rsidR="00230E91" w:rsidRPr="00517B67" w:rsidRDefault="00230E91" w:rsidP="00DC4E3D">
      <w:pPr>
        <w:spacing w:before="120" w:after="120" w:line="276" w:lineRule="auto"/>
        <w:jc w:val="both"/>
      </w:pPr>
      <w:r w:rsidRPr="00517B67">
        <w:rPr>
          <w:szCs w:val="24"/>
        </w:rPr>
        <w:t>Darba meklētāju īpatsvars 2015.gadā turpināja samazināties,</w:t>
      </w:r>
      <w:r w:rsidRPr="00517B67">
        <w:t xml:space="preserve"> veidojot </w:t>
      </w:r>
      <w:r>
        <w:t>9,9</w:t>
      </w:r>
      <w:r w:rsidRPr="00517B67">
        <w:t xml:space="preserve">% no ekonomiski aktīvajiem iedzīvotājiem, kas </w:t>
      </w:r>
      <w:r>
        <w:t>bija</w:t>
      </w:r>
      <w:r w:rsidRPr="00517B67">
        <w:t xml:space="preserve"> par </w:t>
      </w:r>
      <w:r>
        <w:t>0,9</w:t>
      </w:r>
      <w:r w:rsidRPr="00517B67">
        <w:t xml:space="preserve"> procentpunktiem mazāk nekā </w:t>
      </w:r>
      <w:r>
        <w:t>pirms gada. 2016.gada pirmajā ceturksnī bezdarba samazināšanās ir apstājusies, darba meklētāju īpatsvaram veidojot 10,3%, salīdzinot ar 10,2% pagājušā gada pirmajā ceturksnī. Sagaidāms, ka v</w:t>
      </w:r>
      <w:r w:rsidRPr="00517B67">
        <w:t>idējā termiņā nodarbinātības pieaugums turpinās pakāpeniski samazināsies, un ekonomikas izaugsme galvenokārt balstīsies uz produktivitātes pieaugumu.</w:t>
      </w:r>
    </w:p>
    <w:p w14:paraId="2AA1668A" w14:textId="77777777" w:rsidR="00230E91" w:rsidRDefault="00230E91" w:rsidP="00DC4E3D">
      <w:pPr>
        <w:pStyle w:val="Default"/>
        <w:spacing w:line="276" w:lineRule="auto"/>
      </w:pPr>
      <w:r w:rsidRPr="00517B67">
        <w:t xml:space="preserve">Lai gan ekonomikā saglabājās </w:t>
      </w:r>
      <w:r>
        <w:t>mēreni</w:t>
      </w:r>
      <w:r w:rsidRPr="00517B67">
        <w:t xml:space="preserve"> izaugsmes t</w:t>
      </w:r>
      <w:r>
        <w:t>empi, patēriņa cenas vidēji 2015.gadā kopā palielinājās tikai par 0,2</w:t>
      </w:r>
      <w:r w:rsidRPr="00517B67">
        <w:t xml:space="preserve">%, </w:t>
      </w:r>
      <w:r>
        <w:t>bet 2016.gada pirmajā ceturksnī, salīdzinot ar iepriekšējā gada pirmo ceturksni, samazinājās par 0,4%. Zemo inflācijas līmeni turpina</w:t>
      </w:r>
      <w:r w:rsidRPr="00517B67">
        <w:t xml:space="preserve"> noteikt ārējie procesi jeb tā sauktā importētā inflācija, pirmkārt energoresursu un </w:t>
      </w:r>
      <w:r>
        <w:t>pārtikas izejvielu cenu kritums pasaules tirgū.</w:t>
      </w:r>
      <w:r w:rsidRPr="00517B67">
        <w:t xml:space="preserve"> Preču cenas, ko vairāk ietekmē importētā inflācija, </w:t>
      </w:r>
      <w:r>
        <w:t>2016.gada pirmajā ceturksnī</w:t>
      </w:r>
      <w:r w:rsidRPr="00517B67">
        <w:t xml:space="preserve"> samazinājās par </w:t>
      </w:r>
      <w:r>
        <w:t>1,2</w:t>
      </w:r>
      <w:r w:rsidRPr="00517B67">
        <w:t>%, bet pakalpojumu cenas</w:t>
      </w:r>
      <w:r>
        <w:t>, kuras nosaka iekšējie procesi,</w:t>
      </w:r>
      <w:r w:rsidRPr="00517B67">
        <w:t xml:space="preserve"> pieauga par </w:t>
      </w:r>
      <w:r>
        <w:t>1,7</w:t>
      </w:r>
      <w:r w:rsidRPr="00517B67">
        <w:t>%.</w:t>
      </w:r>
      <w:r>
        <w:t xml:space="preserve"> </w:t>
      </w:r>
      <w:r w:rsidRPr="00167723">
        <w:t>Inflāciju paaugstinošu efektu rada ES fondi,  Kohēzijas politikas investīcijas 2015.gadā palielināja inflāciju par aptuveni 0,5 procentpunktiem.</w:t>
      </w:r>
      <w:r w:rsidRPr="007B7DBF">
        <w:t xml:space="preserve"> </w:t>
      </w:r>
    </w:p>
    <w:p w14:paraId="251BF953" w14:textId="77777777" w:rsidR="00230E91" w:rsidRPr="000C1234" w:rsidRDefault="00230E91" w:rsidP="00DC4E3D">
      <w:pPr>
        <w:spacing w:before="120" w:after="120" w:line="276" w:lineRule="auto"/>
        <w:jc w:val="both"/>
        <w:rPr>
          <w:highlight w:val="yellow"/>
        </w:rPr>
      </w:pPr>
    </w:p>
    <w:p w14:paraId="26D1D966" w14:textId="4BDC2F85" w:rsidR="009C0862" w:rsidRPr="00DB530C" w:rsidRDefault="009C0862" w:rsidP="00CE0CD0">
      <w:pPr>
        <w:pStyle w:val="1lmenis"/>
      </w:pPr>
      <w:bookmarkStart w:id="6" w:name="_Toc459713614"/>
      <w:r w:rsidRPr="00DB530C">
        <w:lastRenderedPageBreak/>
        <w:t xml:space="preserve">2007. -2013.gada plānošanas perioda ES fondu </w:t>
      </w:r>
      <w:r w:rsidR="002F7AB7">
        <w:t>investīciju statuss un slēgšana</w:t>
      </w:r>
      <w:bookmarkEnd w:id="6"/>
    </w:p>
    <w:p w14:paraId="3D3DD02C" w14:textId="6D41AD09" w:rsidR="00627E79" w:rsidRDefault="002F7AB7" w:rsidP="00DC4E3D">
      <w:pPr>
        <w:spacing w:before="120" w:after="120" w:line="276" w:lineRule="auto"/>
        <w:jc w:val="both"/>
      </w:pPr>
      <w:r>
        <w:t xml:space="preserve">Saskaņā ar </w:t>
      </w:r>
      <w:r w:rsidR="00627E79">
        <w:t xml:space="preserve"> aktuālāk</w:t>
      </w:r>
      <w:r>
        <w:t>ajiem datiem</w:t>
      </w:r>
      <w:r w:rsidR="00627E79">
        <w:t xml:space="preserve"> ir pārliecība, ka Latvija saņems ES fondu finansējumu</w:t>
      </w:r>
      <w:r w:rsidR="00627E79" w:rsidRPr="00E9483B">
        <w:t xml:space="preserve"> 100% </w:t>
      </w:r>
      <w:r w:rsidR="00627E79">
        <w:t xml:space="preserve">apmērā – kopumā </w:t>
      </w:r>
      <w:r w:rsidR="00B77C9C">
        <w:t xml:space="preserve">4,5 miljardu </w:t>
      </w:r>
      <w:r w:rsidR="00B77C9C" w:rsidRPr="001C2CF4">
        <w:rPr>
          <w:i/>
        </w:rPr>
        <w:t>euro</w:t>
      </w:r>
      <w:r w:rsidR="00B77C9C">
        <w:t xml:space="preserve"> </w:t>
      </w:r>
      <w:r w:rsidR="00627E79" w:rsidRPr="00E9483B">
        <w:t>plānošanas perioda beigās</w:t>
      </w:r>
      <w:r w:rsidR="00B77C9C">
        <w:t>, ņemot vērā “rezervi”</w:t>
      </w:r>
      <w:r w:rsidR="00627E79">
        <w:t xml:space="preserve">  </w:t>
      </w:r>
      <w:r w:rsidR="00044F03">
        <w:t xml:space="preserve">336 </w:t>
      </w:r>
      <w:r w:rsidR="00627E79">
        <w:t xml:space="preserve">milj. </w:t>
      </w:r>
      <w:r w:rsidR="00627E79" w:rsidRPr="00B91E85">
        <w:rPr>
          <w:i/>
        </w:rPr>
        <w:t>euro</w:t>
      </w:r>
      <w:r w:rsidR="00627E79" w:rsidRPr="00E9483B">
        <w:t xml:space="preserve"> jeb ~7% virs aploksnes</w:t>
      </w:r>
      <w:r w:rsidR="00627E79">
        <w:t xml:space="preserve">. </w:t>
      </w:r>
      <w:r w:rsidR="00627E79" w:rsidRPr="002D629C">
        <w:t>Jāsecina, ka 2012</w:t>
      </w:r>
      <w:r w:rsidR="00B77C9C">
        <w:t>.gadā pieņemtie valdības lēmumi</w:t>
      </w:r>
      <w:r w:rsidR="00627E79" w:rsidRPr="002D629C">
        <w:t xml:space="preserve"> par valsts budžeta </w:t>
      </w:r>
      <w:proofErr w:type="spellStart"/>
      <w:r w:rsidR="00627E79" w:rsidRPr="002D629C">
        <w:t>virssaistību</w:t>
      </w:r>
      <w:proofErr w:type="spellEnd"/>
      <w:r w:rsidR="00627E79" w:rsidRPr="002D629C">
        <w:t xml:space="preserve"> konceptuālu piešķiršanu ES fondu projektiem, ir attaisnojušies un </w:t>
      </w:r>
      <w:proofErr w:type="spellStart"/>
      <w:r w:rsidR="00627E79" w:rsidRPr="002D629C">
        <w:t>virssaistības</w:t>
      </w:r>
      <w:proofErr w:type="spellEnd"/>
      <w:r w:rsidR="00627E79" w:rsidRPr="002D629C">
        <w:t xml:space="preserve"> nodrošināja  iespēju izmantot pieejamo ES fondu finansējumu pilnā apmērā, nosedzot lauztos līgumus, neatbilstības un neveiksmīgos projektus, kā rezultātā </w:t>
      </w:r>
      <w:r w:rsidR="00627E79">
        <w:t xml:space="preserve">atsevišķās prioritātēs – tehniskās palīdzības un vides jomās - </w:t>
      </w:r>
      <w:r w:rsidR="00627E79" w:rsidRPr="00B55234">
        <w:t xml:space="preserve">netika izmantots viss piešķirtais finansējums, </w:t>
      </w:r>
      <w:r w:rsidR="00627E79">
        <w:t>taču tas</w:t>
      </w:r>
      <w:r w:rsidR="00627E79" w:rsidRPr="00B55234">
        <w:t xml:space="preserve"> neietekmē noslēguma maksājumu, ņemot vērā 10% elastības principu, kompensējot trūkstošo finansējumu starp prioritātēm.</w:t>
      </w:r>
      <w:r w:rsidR="00627E79">
        <w:t xml:space="preserve"> Tāpat pozitīvi vērtējams papildu piesaistītais privātais un pašvaldību finansējums, kas ļāvis ātrāk saņemt jau visus pieejamos ES fondu līdzekļus no EK, noslēguma maksājumā ats</w:t>
      </w:r>
      <w:r w:rsidR="00806CDA">
        <w:t>t</w:t>
      </w:r>
      <w:r w:rsidR="00627E79">
        <w:t>ājot tikai regulā</w:t>
      </w:r>
      <w:r w:rsidR="00224C47">
        <w:rPr>
          <w:rStyle w:val="FootnoteReference"/>
        </w:rPr>
        <w:footnoteReference w:id="6"/>
      </w:r>
      <w:r w:rsidR="00627E79">
        <w:t xml:space="preserve"> izmaksājamos 5% - </w:t>
      </w:r>
      <w:r w:rsidR="002F1C18">
        <w:t>226,5</w:t>
      </w:r>
      <w:r w:rsidR="00627E79">
        <w:t xml:space="preserve"> milj. </w:t>
      </w:r>
      <w:r w:rsidR="00627E79" w:rsidRPr="00B91E85">
        <w:rPr>
          <w:i/>
        </w:rPr>
        <w:t>euro</w:t>
      </w:r>
      <w:r w:rsidR="00627E79">
        <w:t>.</w:t>
      </w:r>
    </w:p>
    <w:p w14:paraId="0767EF78" w14:textId="62C60255" w:rsidR="00627E79" w:rsidRDefault="000D1CD9" w:rsidP="00DC4E3D">
      <w:pPr>
        <w:spacing w:before="120" w:after="120" w:line="276" w:lineRule="auto"/>
        <w:jc w:val="both"/>
      </w:pPr>
      <w:r>
        <w:t>Šobrīd norit aktīvs darbs pie visu trīs DP noslēguma ziņojumiem, kuros sniegta informācija par finanšu un rādītāju sniegumu, kā arī citiem ar DP sai</w:t>
      </w:r>
      <w:r w:rsidR="007B1B21">
        <w:t>s</w:t>
      </w:r>
      <w:r>
        <w:t>tītiem jautājumiem</w:t>
      </w:r>
      <w:r>
        <w:rPr>
          <w:rStyle w:val="FootnoteReference"/>
        </w:rPr>
        <w:footnoteReference w:id="7"/>
      </w:r>
      <w:r>
        <w:t xml:space="preserve">. </w:t>
      </w:r>
      <w:r w:rsidR="00627E79">
        <w:t xml:space="preserve">Attiecībā uz ESF un </w:t>
      </w:r>
      <w:r w:rsidR="009349B4">
        <w:t>DP</w:t>
      </w:r>
      <w:r w:rsidR="00627E79">
        <w:t xml:space="preserve"> “</w:t>
      </w:r>
      <w:r w:rsidR="00627E79" w:rsidRPr="001B5CCE">
        <w:t>Cilvēkresursi un nodarbinātība</w:t>
      </w:r>
      <w:r w:rsidR="009349B4">
        <w:t>”</w:t>
      </w:r>
      <w:r>
        <w:t xml:space="preserve"> </w:t>
      </w:r>
      <w:r w:rsidR="00627E79">
        <w:t>jāsecina, ka iznākums ir sekmīgāks un rezultāti ir veiksmīgāki nekā plānoti</w:t>
      </w:r>
      <w:r w:rsidR="002F7AB7">
        <w:t>,</w:t>
      </w:r>
      <w:r w:rsidR="00DF00AB">
        <w:t xml:space="preserve"> </w:t>
      </w:r>
      <w:r w:rsidR="00627E79">
        <w:t xml:space="preserve">ņemot vērā lielāku piesaistīto </w:t>
      </w:r>
      <w:r w:rsidR="00627E79" w:rsidRPr="001B5CCE">
        <w:t xml:space="preserve"> </w:t>
      </w:r>
      <w:r w:rsidR="00627E79">
        <w:t>nacionālo finansējumu, vienlaikus nodrošinot potenciālu</w:t>
      </w:r>
      <w:r w:rsidR="00627E79" w:rsidRPr="001B5CCE">
        <w:t xml:space="preserve"> ilgtermiņa ietekmei (t.sk. strukturālās reformas)</w:t>
      </w:r>
      <w:r w:rsidR="00627E79">
        <w:t xml:space="preserve">. </w:t>
      </w:r>
    </w:p>
    <w:p w14:paraId="79825B0A" w14:textId="6631B4AB" w:rsidR="00627E79" w:rsidRPr="00157FA9" w:rsidRDefault="00627E79" w:rsidP="00DC4E3D">
      <w:pPr>
        <w:spacing w:before="120" w:after="120" w:line="276" w:lineRule="auto"/>
        <w:jc w:val="both"/>
        <w:rPr>
          <w:rFonts w:eastAsia="EUAlbertina-Bold-Identity-H"/>
          <w:color w:val="000000" w:themeColor="text1"/>
          <w:szCs w:val="24"/>
          <w:lang w:eastAsia="lv-LV"/>
        </w:rPr>
      </w:pPr>
      <w:r w:rsidRPr="006C6A55">
        <w:rPr>
          <w:rFonts w:eastAsia="EUAlbertina-Bold-Identity-H"/>
          <w:color w:val="000000" w:themeColor="text1"/>
        </w:rPr>
        <w:t xml:space="preserve">Arī </w:t>
      </w:r>
      <w:r w:rsidR="009349B4" w:rsidRPr="006C6A55">
        <w:rPr>
          <w:rFonts w:eastAsia="EUAlbertina-Bold-Identity-H"/>
          <w:color w:val="000000" w:themeColor="text1"/>
        </w:rPr>
        <w:t>DP</w:t>
      </w:r>
      <w:r w:rsidRPr="006C6A55">
        <w:rPr>
          <w:rFonts w:eastAsia="EUAlbertina-Bold-Identity-H"/>
          <w:color w:val="000000" w:themeColor="text1"/>
        </w:rPr>
        <w:t xml:space="preserve"> </w:t>
      </w:r>
      <w:r w:rsidR="009349B4" w:rsidRPr="006C6A55">
        <w:rPr>
          <w:rFonts w:eastAsia="EUAlbertina-Bold-Identity-H"/>
          <w:color w:val="000000" w:themeColor="text1"/>
        </w:rPr>
        <w:t>“</w:t>
      </w:r>
      <w:r w:rsidRPr="006C6A55">
        <w:rPr>
          <w:rFonts w:eastAsia="EUAlbertina-Bold-Identity-H"/>
          <w:color w:val="000000" w:themeColor="text1"/>
        </w:rPr>
        <w:t>Uzņēmējdarbība un inovācijas</w:t>
      </w:r>
      <w:r w:rsidR="009349B4" w:rsidRPr="006C6A55">
        <w:rPr>
          <w:rFonts w:eastAsia="EUAlbertina-Bold-Identity-H"/>
          <w:color w:val="000000" w:themeColor="text1"/>
        </w:rPr>
        <w:t>”</w:t>
      </w:r>
      <w:r w:rsidRPr="006C6A55">
        <w:rPr>
          <w:rFonts w:eastAsia="EUAlbertina-Bold-Identity-H"/>
          <w:color w:val="000000" w:themeColor="text1"/>
        </w:rPr>
        <w:t xml:space="preserve"> vairums rezultātu ir </w:t>
      </w:r>
      <w:r w:rsidR="009349B4" w:rsidRPr="006C6A55">
        <w:rPr>
          <w:rFonts w:eastAsia="EUAlbertina-Bold-Identity-H"/>
          <w:color w:val="000000" w:themeColor="text1"/>
        </w:rPr>
        <w:t>pārsnieguši plānotās vērtības</w:t>
      </w:r>
      <w:r w:rsidR="002F7AB7">
        <w:rPr>
          <w:rFonts w:eastAsia="EUAlbertina-Bold-Identity-H"/>
          <w:color w:val="000000" w:themeColor="text1"/>
        </w:rPr>
        <w:t xml:space="preserve"> </w:t>
      </w:r>
      <w:r w:rsidRPr="006C6A55">
        <w:rPr>
          <w:rFonts w:eastAsia="EUAlbertina-Bold-Identity-H"/>
          <w:color w:val="000000" w:themeColor="text1"/>
        </w:rPr>
        <w:t xml:space="preserve">papildus piesaistītā gan nacionālā publiskā, gan privātā finansējuma dēļ, nodrošinot būtisku stimulu uzņēmējdarbības un inovāciju vides pievilcībai un </w:t>
      </w:r>
      <w:r w:rsidR="009349B4" w:rsidRPr="006C6A55">
        <w:rPr>
          <w:rFonts w:eastAsia="EUAlbertina-Bold-Identity-H"/>
          <w:color w:val="000000" w:themeColor="text1"/>
        </w:rPr>
        <w:t>“</w:t>
      </w:r>
      <w:proofErr w:type="spellStart"/>
      <w:r w:rsidRPr="006C6A55">
        <w:rPr>
          <w:rFonts w:eastAsia="EUAlbertina-Bold-Identity-H"/>
          <w:color w:val="000000" w:themeColor="text1"/>
        </w:rPr>
        <w:t>sazobei</w:t>
      </w:r>
      <w:proofErr w:type="spellEnd"/>
      <w:r w:rsidR="009349B4" w:rsidRPr="006C6A55">
        <w:rPr>
          <w:rFonts w:eastAsia="EUAlbertina-Bold-Identity-H"/>
          <w:color w:val="000000" w:themeColor="text1"/>
        </w:rPr>
        <w:t>”</w:t>
      </w:r>
      <w:r w:rsidRPr="006C6A55">
        <w:rPr>
          <w:rFonts w:eastAsia="EUAlbertina-Bold-Identity-H"/>
          <w:color w:val="000000" w:themeColor="text1"/>
        </w:rPr>
        <w:t xml:space="preserve"> turpmākai attīstībai augstākā līmenī</w:t>
      </w:r>
      <w:r w:rsidR="003D0D52" w:rsidRPr="006C6A55">
        <w:rPr>
          <w:rFonts w:eastAsia="EUAlbertina-Bold-Identity-H"/>
          <w:color w:val="000000" w:themeColor="text1"/>
        </w:rPr>
        <w:t>.</w:t>
      </w:r>
      <w:r w:rsidRPr="006C6A55">
        <w:rPr>
          <w:rFonts w:eastAsia="EUAlbertina-Bold-Identity-H"/>
          <w:color w:val="000000" w:themeColor="text1"/>
        </w:rPr>
        <w:t xml:space="preserve"> </w:t>
      </w:r>
      <w:r w:rsidR="003D0D52" w:rsidRPr="006C6A55">
        <w:rPr>
          <w:rFonts w:eastAsia="EUAlbertina-Bold-Identity-H"/>
          <w:color w:val="000000" w:themeColor="text1"/>
        </w:rPr>
        <w:t>Finanšu instrumentu ieviešana</w:t>
      </w:r>
      <w:r w:rsidR="002F7AB7">
        <w:rPr>
          <w:rFonts w:eastAsia="EUAlbertina-Bold-Identity-H"/>
          <w:color w:val="000000" w:themeColor="text1"/>
        </w:rPr>
        <w:t>s</w:t>
      </w:r>
      <w:r w:rsidR="003D0D52" w:rsidRPr="006C6A55">
        <w:rPr>
          <w:rFonts w:eastAsia="EUAlbertina-Bold-Identity-H"/>
          <w:color w:val="000000" w:themeColor="text1"/>
        </w:rPr>
        <w:t xml:space="preserve"> gūtā pieredze tiks izmantota jaunajā plānošanas periodā papildus paplašinot pieejamo instrumentu klāstu ar tādu, kas paredzēts daudzdzīvokļu dzīvojamo māju siltināšanai. Vairākās finanšu instrumentu aktivitātēs pagarināts projektu </w:t>
      </w:r>
      <w:r w:rsidR="00F7266F" w:rsidRPr="006C6A55">
        <w:rPr>
          <w:rFonts w:eastAsia="EUAlbertina-Bold-Identity-H"/>
          <w:color w:val="000000" w:themeColor="text1"/>
        </w:rPr>
        <w:t>ī</w:t>
      </w:r>
      <w:r w:rsidR="003D0D52" w:rsidRPr="006C6A55">
        <w:rPr>
          <w:rFonts w:eastAsia="EUAlbertina-Bold-Identity-H"/>
          <w:color w:val="000000" w:themeColor="text1"/>
        </w:rPr>
        <w:t>stenošanas termiņš</w:t>
      </w:r>
      <w:r w:rsidR="00F7266F" w:rsidRPr="006C6A55">
        <w:rPr>
          <w:rFonts w:eastAsia="EUAlbertina-Bold-Identity-H"/>
          <w:color w:val="000000" w:themeColor="text1"/>
        </w:rPr>
        <w:t xml:space="preserve"> -</w:t>
      </w:r>
      <w:r w:rsidR="003D0D52" w:rsidRPr="006C6A55">
        <w:rPr>
          <w:rFonts w:eastAsia="EUAlbertina-Bold-Identity-H"/>
          <w:color w:val="000000" w:themeColor="text1"/>
        </w:rPr>
        <w:t xml:space="preserve"> “Atbalsts aizdevumu veidā komersantu konkurētspējas uzlabošanai” projektus īsteno</w:t>
      </w:r>
      <w:r w:rsidR="00F7266F" w:rsidRPr="006C6A55">
        <w:rPr>
          <w:rFonts w:eastAsia="EUAlbertina-Bold-Identity-H"/>
          <w:color w:val="000000" w:themeColor="text1"/>
        </w:rPr>
        <w:t>ja</w:t>
      </w:r>
      <w:r w:rsidR="003D0D52" w:rsidRPr="006C6A55">
        <w:rPr>
          <w:rFonts w:eastAsia="EUAlbertina-Bold-Identity-H"/>
          <w:color w:val="000000" w:themeColor="text1"/>
        </w:rPr>
        <w:t xml:space="preserve"> līdz 2016.gada 30.jūnijam, bet “</w:t>
      </w:r>
      <w:proofErr w:type="spellStart"/>
      <w:r w:rsidR="003D0D52" w:rsidRPr="006C6A55">
        <w:rPr>
          <w:rFonts w:eastAsia="EUAlbertina-Bold-Identity-H"/>
          <w:color w:val="000000" w:themeColor="text1"/>
        </w:rPr>
        <w:t>Mezanīna</w:t>
      </w:r>
      <w:proofErr w:type="spellEnd"/>
      <w:r w:rsidR="003D0D52" w:rsidRPr="006C6A55">
        <w:rPr>
          <w:rFonts w:eastAsia="EUAlbertina-Bold-Identity-H"/>
          <w:color w:val="000000" w:themeColor="text1"/>
        </w:rPr>
        <w:t xml:space="preserve"> aizdevumi un nodrošinājuma garantijas saimnieciskās darbības veicēju konkurētspējas uzlabošanai” un “Ieguldījumu fonds investīcijām garantijās, paaugstināta riska aizdevumos, riska kapitāla fondos un citos finanšu instrumentos” līdz 2016.gada 31.oktobim. Termiņa pagarinājums finanšu instrumentos un pieejamās atmaksas palīdz kompensēt pārrāvumu starp  plānošanas period</w:t>
      </w:r>
      <w:r w:rsidR="00F7266F" w:rsidRPr="006C6A55">
        <w:rPr>
          <w:rFonts w:eastAsia="EUAlbertina-Bold-Identity-H"/>
          <w:color w:val="000000" w:themeColor="text1"/>
        </w:rPr>
        <w:t>iem</w:t>
      </w:r>
      <w:r w:rsidR="003D0D52" w:rsidRPr="006C6A55">
        <w:rPr>
          <w:rFonts w:eastAsia="EUAlbertina-Bold-Identity-H"/>
          <w:color w:val="000000" w:themeColor="text1"/>
        </w:rPr>
        <w:t xml:space="preserve">. </w:t>
      </w:r>
      <w:r w:rsidR="00F7266F" w:rsidRPr="006C6A55">
        <w:rPr>
          <w:rFonts w:eastAsia="EUAlbertina-Bold-Identity-H"/>
          <w:color w:val="000000" w:themeColor="text1"/>
        </w:rPr>
        <w:t>MK</w:t>
      </w:r>
      <w:r w:rsidR="003D0D52" w:rsidRPr="006C6A55">
        <w:rPr>
          <w:rFonts w:eastAsia="EUAlbertina-Bold-Identity-H"/>
          <w:color w:val="000000" w:themeColor="text1"/>
        </w:rPr>
        <w:t xml:space="preserve"> tiek regulāri ziņots par finanšu </w:t>
      </w:r>
      <w:r w:rsidR="006C6A55">
        <w:rPr>
          <w:rFonts w:eastAsia="EUAlbertina-Bold-Identity-H"/>
          <w:color w:val="000000" w:themeColor="text1"/>
        </w:rPr>
        <w:t>instrumentu ieviešanas progresu</w:t>
      </w:r>
      <w:r w:rsidR="003D0D52" w:rsidRPr="006C6A55">
        <w:rPr>
          <w:rStyle w:val="FootnoteReference"/>
          <w:color w:val="000000" w:themeColor="text1"/>
        </w:rPr>
        <w:footnoteReference w:id="8"/>
      </w:r>
      <w:r w:rsidR="003D0D52" w:rsidRPr="006C6A55">
        <w:rPr>
          <w:vertAlign w:val="superscript"/>
        </w:rPr>
        <w:t>,</w:t>
      </w:r>
      <w:r w:rsidR="003D0D52" w:rsidRPr="006C6A55">
        <w:rPr>
          <w:rStyle w:val="FootnoteReference"/>
          <w:color w:val="000000" w:themeColor="text1"/>
        </w:rPr>
        <w:footnoteReference w:id="9"/>
      </w:r>
      <w:r w:rsidR="006C6A55">
        <w:t>.</w:t>
      </w:r>
      <w:r w:rsidR="003D0D52" w:rsidRPr="006C6A55">
        <w:rPr>
          <w:rFonts w:eastAsia="EUAlbertina-Bold-Identity-H"/>
          <w:color w:val="000000" w:themeColor="text1"/>
        </w:rPr>
        <w:t xml:space="preserve"> </w:t>
      </w:r>
    </w:p>
    <w:p w14:paraId="18EB938F" w14:textId="69942026" w:rsidR="00627E79" w:rsidRPr="00CC6602" w:rsidRDefault="006C6A55" w:rsidP="00DC4E3D">
      <w:pPr>
        <w:spacing w:line="276" w:lineRule="auto"/>
        <w:rPr>
          <w:rFonts w:eastAsia="EUAlbertina-Bold-Identity-H"/>
          <w:b/>
          <w:i/>
          <w:color w:val="000000" w:themeColor="text1"/>
          <w:sz w:val="20"/>
          <w:szCs w:val="24"/>
          <w:lang w:eastAsia="lv-LV"/>
        </w:rPr>
      </w:pPr>
      <w:r>
        <w:rPr>
          <w:rFonts w:eastAsia="EUAlbertina-Bold-Identity-H"/>
          <w:b/>
          <w:i/>
          <w:color w:val="000000" w:themeColor="text1"/>
          <w:sz w:val="20"/>
          <w:szCs w:val="24"/>
          <w:lang w:eastAsia="lv-LV"/>
        </w:rPr>
        <w:br w:type="page"/>
      </w:r>
    </w:p>
    <w:p w14:paraId="2088916B" w14:textId="72A24F88" w:rsidR="00627E79" w:rsidRPr="00E9483B" w:rsidRDefault="00627E79" w:rsidP="00DC4E3D">
      <w:pPr>
        <w:spacing w:after="240" w:line="276" w:lineRule="auto"/>
        <w:jc w:val="both"/>
        <w:rPr>
          <w:rFonts w:eastAsia="EUAlbertina-Bold-Identity-H"/>
          <w:color w:val="000000" w:themeColor="text1"/>
          <w:szCs w:val="24"/>
          <w:lang w:eastAsia="lv-LV"/>
        </w:rPr>
      </w:pPr>
    </w:p>
    <w:p w14:paraId="36347EF7" w14:textId="1D4330E7" w:rsidR="00627E79" w:rsidRPr="00E04434" w:rsidRDefault="00627E79" w:rsidP="00DC4E3D">
      <w:pPr>
        <w:spacing w:before="120" w:after="120" w:line="276" w:lineRule="auto"/>
        <w:jc w:val="both"/>
      </w:pPr>
      <w:r>
        <w:t xml:space="preserve">Savukārt </w:t>
      </w:r>
      <w:r w:rsidR="00504A75">
        <w:t>DP</w:t>
      </w:r>
      <w:r w:rsidRPr="005D561E">
        <w:t xml:space="preserve"> “Infrastruktūra un pakalpojumi”</w:t>
      </w:r>
      <w:r>
        <w:t xml:space="preserve">, piesaistot lielāku </w:t>
      </w:r>
      <w:r w:rsidRPr="005D561E">
        <w:t>nacionāl</w:t>
      </w:r>
      <w:r>
        <w:t xml:space="preserve">o </w:t>
      </w:r>
      <w:r w:rsidRPr="005D561E">
        <w:t>finansējum</w:t>
      </w:r>
      <w:r>
        <w:t xml:space="preserve">u, </w:t>
      </w:r>
      <w:r w:rsidRPr="005D561E">
        <w:t xml:space="preserve">ievērojami uzlabota pamata infrastruktūra un pakalpojumu </w:t>
      </w:r>
      <w:r w:rsidRPr="006C6A55">
        <w:t>pieejamība , nodrošinot pievilcību turpmākai tautsaimniecības attīstībai un iedzīvotāju labklājības</w:t>
      </w:r>
      <w:r w:rsidRPr="005D561E">
        <w:t xml:space="preserve"> veic</w:t>
      </w:r>
      <w:r>
        <w:t>ināšanai, koncentrējoties īpaši uz ilgtspējīgu attīstību.</w:t>
      </w:r>
    </w:p>
    <w:p w14:paraId="70F41EE3" w14:textId="12215BA7" w:rsidR="00082977" w:rsidRDefault="00082977" w:rsidP="00DC4E3D">
      <w:pPr>
        <w:spacing w:before="120" w:after="120" w:line="276" w:lineRule="auto"/>
        <w:jc w:val="both"/>
        <w:rPr>
          <w:rFonts w:eastAsia="Times New Roman" w:cs="Times New Roman"/>
          <w:szCs w:val="24"/>
          <w:lang w:eastAsia="lv-LV"/>
        </w:rPr>
      </w:pPr>
      <w:r>
        <w:rPr>
          <w:rFonts w:eastAsia="Times New Roman" w:cs="Times New Roman"/>
          <w:szCs w:val="24"/>
          <w:lang w:eastAsia="lv-LV"/>
        </w:rPr>
        <w:t xml:space="preserve">Vienlaikus ir gūtas </w:t>
      </w:r>
      <w:r w:rsidRPr="00082977">
        <w:rPr>
          <w:rFonts w:eastAsia="Times New Roman" w:cs="Times New Roman"/>
          <w:szCs w:val="24"/>
          <w:lang w:eastAsia="lv-LV"/>
        </w:rPr>
        <w:t>kritiskas mācības</w:t>
      </w:r>
      <w:r>
        <w:rPr>
          <w:rFonts w:eastAsia="Times New Roman" w:cs="Times New Roman"/>
          <w:szCs w:val="24"/>
          <w:lang w:eastAsia="lv-LV"/>
        </w:rPr>
        <w:t>, ko ņemam vērā</w:t>
      </w:r>
      <w:r w:rsidRPr="00082977">
        <w:rPr>
          <w:rFonts w:eastAsia="Times New Roman" w:cs="Times New Roman"/>
          <w:szCs w:val="24"/>
          <w:lang w:eastAsia="lv-LV"/>
        </w:rPr>
        <w:t xml:space="preserve"> 2014</w:t>
      </w:r>
      <w:r>
        <w:rPr>
          <w:rFonts w:eastAsia="Times New Roman" w:cs="Times New Roman"/>
          <w:szCs w:val="24"/>
          <w:lang w:eastAsia="lv-LV"/>
        </w:rPr>
        <w:t>.</w:t>
      </w:r>
      <w:r w:rsidRPr="00082977">
        <w:rPr>
          <w:rFonts w:eastAsia="Times New Roman" w:cs="Times New Roman"/>
          <w:szCs w:val="24"/>
          <w:lang w:eastAsia="lv-LV"/>
        </w:rPr>
        <w:t>-2020</w:t>
      </w:r>
      <w:r>
        <w:rPr>
          <w:rFonts w:eastAsia="Times New Roman" w:cs="Times New Roman"/>
          <w:szCs w:val="24"/>
          <w:lang w:eastAsia="lv-LV"/>
        </w:rPr>
        <w:t>.gada plānošanas</w:t>
      </w:r>
      <w:r w:rsidRPr="00082977">
        <w:rPr>
          <w:rFonts w:eastAsia="Times New Roman" w:cs="Times New Roman"/>
          <w:szCs w:val="24"/>
          <w:lang w:eastAsia="lv-LV"/>
        </w:rPr>
        <w:t xml:space="preserve"> period</w:t>
      </w:r>
      <w:r>
        <w:rPr>
          <w:rFonts w:eastAsia="Times New Roman" w:cs="Times New Roman"/>
          <w:szCs w:val="24"/>
          <w:lang w:eastAsia="lv-LV"/>
        </w:rPr>
        <w:t>ā, kas saistītas, piemēram, ar lielo projektu īstenošanas un uzraudzīb</w:t>
      </w:r>
      <w:r w:rsidR="009C2F95">
        <w:rPr>
          <w:rFonts w:eastAsia="Times New Roman" w:cs="Times New Roman"/>
          <w:szCs w:val="24"/>
          <w:lang w:eastAsia="lv-LV"/>
        </w:rPr>
        <w:t>as kapacitātes stiprināšan</w:t>
      </w:r>
      <w:r>
        <w:rPr>
          <w:rFonts w:eastAsia="Times New Roman" w:cs="Times New Roman"/>
          <w:szCs w:val="24"/>
          <w:lang w:eastAsia="lv-LV"/>
        </w:rPr>
        <w:t>u</w:t>
      </w:r>
      <w:r w:rsidRPr="00082977">
        <w:rPr>
          <w:rFonts w:eastAsia="Times New Roman" w:cs="Times New Roman"/>
          <w:szCs w:val="24"/>
          <w:lang w:eastAsia="lv-LV"/>
        </w:rPr>
        <w:t xml:space="preserve">, </w:t>
      </w:r>
      <w:r>
        <w:rPr>
          <w:rFonts w:eastAsia="Times New Roman" w:cs="Times New Roman"/>
          <w:szCs w:val="24"/>
          <w:lang w:eastAsia="lv-LV"/>
        </w:rPr>
        <w:t>informāciju sistēmas lietderības pamatojumu</w:t>
      </w:r>
      <w:r w:rsidRPr="00082977">
        <w:rPr>
          <w:rFonts w:eastAsia="Times New Roman" w:cs="Times New Roman"/>
          <w:szCs w:val="24"/>
          <w:lang w:eastAsia="lv-LV"/>
        </w:rPr>
        <w:t>, iepi</w:t>
      </w:r>
      <w:r>
        <w:rPr>
          <w:rFonts w:eastAsia="Times New Roman" w:cs="Times New Roman"/>
          <w:szCs w:val="24"/>
          <w:lang w:eastAsia="lv-LV"/>
        </w:rPr>
        <w:t xml:space="preserve">rkumu jautājumu risku novēršanu u.c. </w:t>
      </w:r>
    </w:p>
    <w:p w14:paraId="19EC8649" w14:textId="2048EA6E" w:rsidR="00627E79" w:rsidRDefault="00504A75" w:rsidP="00DC4E3D">
      <w:pPr>
        <w:spacing w:before="120" w:after="120" w:line="276" w:lineRule="auto"/>
        <w:jc w:val="both"/>
        <w:rPr>
          <w:rFonts w:eastAsia="+mn-ea" w:cs="Times New Roman"/>
          <w:kern w:val="24"/>
          <w:szCs w:val="24"/>
          <w:lang w:eastAsia="lv-LV"/>
        </w:rPr>
      </w:pPr>
      <w:r>
        <w:rPr>
          <w:rFonts w:eastAsia="Times New Roman" w:cs="Times New Roman"/>
          <w:szCs w:val="24"/>
          <w:lang w:eastAsia="lv-LV"/>
        </w:rPr>
        <w:t>VI</w:t>
      </w:r>
      <w:r w:rsidR="00627E79">
        <w:rPr>
          <w:rFonts w:eastAsia="Times New Roman" w:cs="Times New Roman"/>
          <w:szCs w:val="24"/>
          <w:lang w:eastAsia="lv-LV"/>
        </w:rPr>
        <w:t xml:space="preserve"> t</w:t>
      </w:r>
      <w:r w:rsidR="00627E79" w:rsidRPr="001C399A">
        <w:rPr>
          <w:rFonts w:eastAsia="Times New Roman" w:cs="Times New Roman"/>
          <w:szCs w:val="24"/>
          <w:lang w:eastAsia="lv-LV"/>
        </w:rPr>
        <w:t>urpinās savlaicīgi uzsāktā</w:t>
      </w:r>
      <w:r w:rsidR="00627E79">
        <w:rPr>
          <w:rFonts w:eastAsia="Times New Roman" w:cs="Times New Roman"/>
          <w:szCs w:val="24"/>
          <w:lang w:eastAsia="lv-LV"/>
        </w:rPr>
        <w:t xml:space="preserve"> koordinēta procesa organizāciju</w:t>
      </w:r>
      <w:r w:rsidR="00082977">
        <w:rPr>
          <w:rFonts w:eastAsia="Times New Roman" w:cs="Times New Roman"/>
          <w:szCs w:val="24"/>
          <w:lang w:eastAsia="lv-LV"/>
        </w:rPr>
        <w:t xml:space="preserve"> saskaņā ar slēgšanas grafiku</w:t>
      </w:r>
      <w:r w:rsidR="00082977">
        <w:rPr>
          <w:rStyle w:val="FootnoteReference"/>
          <w:rFonts w:eastAsia="Times New Roman" w:cs="Times New Roman"/>
          <w:szCs w:val="24"/>
          <w:lang w:eastAsia="lv-LV"/>
        </w:rPr>
        <w:footnoteReference w:id="10"/>
      </w:r>
      <w:r w:rsidR="00627E79">
        <w:rPr>
          <w:rFonts w:eastAsia="Times New Roman" w:cs="Times New Roman"/>
          <w:szCs w:val="24"/>
          <w:lang w:eastAsia="lv-LV"/>
        </w:rPr>
        <w:t xml:space="preserve">, nodrošinot </w:t>
      </w:r>
      <w:r w:rsidR="00627E79" w:rsidRPr="001C399A">
        <w:rPr>
          <w:rFonts w:eastAsia="Times New Roman" w:cs="Times New Roman"/>
          <w:szCs w:val="24"/>
          <w:lang w:eastAsia="lv-LV"/>
        </w:rPr>
        <w:t>efektīv</w:t>
      </w:r>
      <w:r w:rsidR="00627E79">
        <w:rPr>
          <w:rFonts w:eastAsia="Times New Roman" w:cs="Times New Roman"/>
          <w:szCs w:val="24"/>
          <w:lang w:eastAsia="lv-LV"/>
        </w:rPr>
        <w:t>u</w:t>
      </w:r>
      <w:r w:rsidR="00627E79" w:rsidRPr="001C399A">
        <w:rPr>
          <w:rFonts w:eastAsia="Times New Roman" w:cs="Times New Roman"/>
          <w:szCs w:val="24"/>
          <w:lang w:eastAsia="lv-LV"/>
        </w:rPr>
        <w:t xml:space="preserve"> sadarbīb</w:t>
      </w:r>
      <w:r w:rsidR="00627E79">
        <w:rPr>
          <w:rFonts w:eastAsia="Times New Roman" w:cs="Times New Roman"/>
          <w:szCs w:val="24"/>
          <w:lang w:eastAsia="lv-LV"/>
        </w:rPr>
        <w:t>u</w:t>
      </w:r>
      <w:r w:rsidR="00627E79" w:rsidRPr="001C399A">
        <w:rPr>
          <w:rFonts w:eastAsia="Times New Roman" w:cs="Times New Roman"/>
          <w:szCs w:val="24"/>
          <w:lang w:eastAsia="lv-LV"/>
        </w:rPr>
        <w:t xml:space="preserve"> ar v</w:t>
      </w:r>
      <w:r w:rsidR="00627E79">
        <w:rPr>
          <w:rFonts w:eastAsia="Times New Roman" w:cs="Times New Roman"/>
          <w:szCs w:val="24"/>
          <w:lang w:eastAsia="lv-LV"/>
        </w:rPr>
        <w:t>isām iestādēm slēgšanas procesā, kā arī p</w:t>
      </w:r>
      <w:r w:rsidR="00627E79">
        <w:rPr>
          <w:rFonts w:eastAsia="+mn-ea" w:cs="Times New Roman"/>
          <w:kern w:val="24"/>
          <w:szCs w:val="24"/>
          <w:lang w:eastAsia="lv-LV"/>
        </w:rPr>
        <w:t xml:space="preserve">astiprinātu un </w:t>
      </w:r>
      <w:r w:rsidR="00250882" w:rsidRPr="001C399A">
        <w:rPr>
          <w:rFonts w:eastAsia="+mn-ea" w:cs="Times New Roman"/>
          <w:kern w:val="24"/>
          <w:szCs w:val="24"/>
          <w:lang w:eastAsia="lv-LV"/>
        </w:rPr>
        <w:t>īpaš</w:t>
      </w:r>
      <w:r w:rsidR="00627E79">
        <w:rPr>
          <w:rFonts w:eastAsia="+mn-ea" w:cs="Times New Roman"/>
          <w:kern w:val="24"/>
          <w:szCs w:val="24"/>
          <w:lang w:eastAsia="lv-LV"/>
        </w:rPr>
        <w:t>u</w:t>
      </w:r>
      <w:r w:rsidR="00250882" w:rsidRPr="001C399A">
        <w:rPr>
          <w:rFonts w:eastAsia="+mn-ea" w:cs="Times New Roman"/>
          <w:kern w:val="24"/>
          <w:szCs w:val="24"/>
          <w:lang w:eastAsia="lv-LV"/>
        </w:rPr>
        <w:t xml:space="preserve"> uzraudzīb</w:t>
      </w:r>
      <w:r>
        <w:rPr>
          <w:rFonts w:eastAsia="+mn-ea" w:cs="Times New Roman"/>
          <w:kern w:val="24"/>
          <w:szCs w:val="24"/>
          <w:lang w:eastAsia="lv-LV"/>
        </w:rPr>
        <w:t>u</w:t>
      </w:r>
      <w:r w:rsidR="00250882" w:rsidRPr="001C399A">
        <w:rPr>
          <w:rFonts w:eastAsia="+mn-ea" w:cs="Times New Roman"/>
          <w:kern w:val="24"/>
          <w:szCs w:val="24"/>
          <w:lang w:eastAsia="lv-LV"/>
        </w:rPr>
        <w:t xml:space="preserve"> slēgšanas procesā</w:t>
      </w:r>
      <w:r w:rsidR="00627E79">
        <w:rPr>
          <w:rFonts w:eastAsia="+mn-ea" w:cs="Times New Roman"/>
          <w:kern w:val="24"/>
          <w:szCs w:val="24"/>
          <w:lang w:eastAsia="lv-LV"/>
        </w:rPr>
        <w:t xml:space="preserve"> šādiem atlikušajiem jautājumiem:</w:t>
      </w:r>
    </w:p>
    <w:p w14:paraId="21E8687A" w14:textId="4DF5DF90" w:rsidR="00250882" w:rsidRPr="00627E79" w:rsidRDefault="00627E79" w:rsidP="00DC4E3D">
      <w:pPr>
        <w:pStyle w:val="ListParagraph"/>
        <w:numPr>
          <w:ilvl w:val="0"/>
          <w:numId w:val="29"/>
        </w:numPr>
        <w:tabs>
          <w:tab w:val="left" w:pos="284"/>
        </w:tabs>
        <w:spacing w:before="120" w:after="120" w:line="276" w:lineRule="auto"/>
        <w:ind w:left="0" w:firstLine="0"/>
        <w:contextualSpacing w:val="0"/>
        <w:jc w:val="both"/>
        <w:rPr>
          <w:rFonts w:eastAsia="Times New Roman" w:cs="Times New Roman"/>
          <w:szCs w:val="24"/>
          <w:lang w:eastAsia="lv-LV"/>
        </w:rPr>
      </w:pPr>
      <w:r w:rsidRPr="00627E79">
        <w:rPr>
          <w:rFonts w:eastAsia="+mn-ea" w:cs="Times New Roman"/>
          <w:kern w:val="24"/>
          <w:szCs w:val="24"/>
          <w:lang w:eastAsia="lv-LV"/>
        </w:rPr>
        <w:t>ņemot vērā, ka</w:t>
      </w:r>
      <w:r w:rsidR="00250882" w:rsidRPr="00627E79">
        <w:rPr>
          <w:rFonts w:eastAsia="+mn-ea" w:cs="Times New Roman"/>
          <w:kern w:val="24"/>
          <w:szCs w:val="24"/>
          <w:lang w:eastAsia="lv-LV"/>
        </w:rPr>
        <w:t xml:space="preserve"> nacionāli ar MK lēmumu dota iespēja pabeigt atsevišķus projektus pēc </w:t>
      </w:r>
      <w:r w:rsidR="00504A75">
        <w:rPr>
          <w:rFonts w:eastAsia="+mn-ea" w:cs="Times New Roman"/>
          <w:kern w:val="24"/>
          <w:szCs w:val="24"/>
          <w:lang w:eastAsia="lv-LV"/>
        </w:rPr>
        <w:t>2015.gada 31.decemba</w:t>
      </w:r>
      <w:r w:rsidR="00250882" w:rsidRPr="00627E79">
        <w:rPr>
          <w:rFonts w:eastAsia="+mn-ea" w:cs="Times New Roman"/>
          <w:kern w:val="24"/>
          <w:szCs w:val="24"/>
          <w:lang w:eastAsia="lv-LV"/>
        </w:rPr>
        <w:t xml:space="preserve"> līdz noslēguma deklarācijas iesniegšanai EK – </w:t>
      </w:r>
      <w:r w:rsidR="00504A75">
        <w:rPr>
          <w:rFonts w:eastAsia="+mn-ea" w:cs="Times New Roman"/>
          <w:kern w:val="24"/>
          <w:szCs w:val="24"/>
          <w:lang w:eastAsia="lv-LV"/>
        </w:rPr>
        <w:t>2017.gada 31.martam</w:t>
      </w:r>
      <w:r w:rsidR="00250882" w:rsidRPr="00627E79">
        <w:rPr>
          <w:rFonts w:eastAsia="+mn-ea" w:cs="Times New Roman"/>
          <w:kern w:val="24"/>
          <w:szCs w:val="24"/>
          <w:lang w:eastAsia="lv-LV"/>
        </w:rPr>
        <w:t xml:space="preserve"> </w:t>
      </w:r>
      <w:r w:rsidRPr="00627E79">
        <w:rPr>
          <w:rFonts w:eastAsia="+mn-ea" w:cs="Times New Roman"/>
          <w:kern w:val="24"/>
          <w:szCs w:val="24"/>
          <w:lang w:eastAsia="lv-LV"/>
        </w:rPr>
        <w:t xml:space="preserve">ar </w:t>
      </w:r>
      <w:r w:rsidR="00250882" w:rsidRPr="00627E79">
        <w:rPr>
          <w:rFonts w:eastAsia="+mn-ea" w:cs="Times New Roman"/>
          <w:kern w:val="24"/>
          <w:szCs w:val="24"/>
          <w:lang w:eastAsia="lv-LV"/>
        </w:rPr>
        <w:t>pamatmērķi novērst risku, ka Latvija nesaņem pilnā apmērā paredzēto ES fondu finansējumu</w:t>
      </w:r>
      <w:r w:rsidRPr="00627E79">
        <w:rPr>
          <w:rFonts w:eastAsia="+mn-ea" w:cs="Times New Roman"/>
          <w:kern w:val="24"/>
          <w:szCs w:val="24"/>
          <w:lang w:eastAsia="lv-LV"/>
        </w:rPr>
        <w:t>. P</w:t>
      </w:r>
      <w:r w:rsidR="00250882" w:rsidRPr="00627E79">
        <w:rPr>
          <w:rFonts w:eastAsia="+mn-ea" w:cs="Times New Roman"/>
          <w:bCs/>
          <w:kern w:val="24"/>
          <w:szCs w:val="24"/>
          <w:lang w:eastAsia="lv-LV"/>
        </w:rPr>
        <w:t xml:space="preserve">ēc </w:t>
      </w:r>
      <w:r w:rsidR="00504A75">
        <w:rPr>
          <w:rFonts w:eastAsia="+mn-ea" w:cs="Times New Roman"/>
          <w:bCs/>
          <w:kern w:val="24"/>
          <w:szCs w:val="24"/>
          <w:lang w:eastAsia="lv-LV"/>
        </w:rPr>
        <w:t>2015.gada 31.decembra</w:t>
      </w:r>
      <w:r w:rsidR="00250882" w:rsidRPr="00627E79">
        <w:rPr>
          <w:rFonts w:eastAsia="+mn-ea" w:cs="Times New Roman"/>
          <w:bCs/>
          <w:kern w:val="24"/>
          <w:szCs w:val="24"/>
          <w:lang w:eastAsia="lv-LV"/>
        </w:rPr>
        <w:t xml:space="preserve"> </w:t>
      </w:r>
      <w:r w:rsidR="0005487E">
        <w:rPr>
          <w:rFonts w:eastAsia="+mn-ea" w:cs="Times New Roman"/>
          <w:bCs/>
          <w:kern w:val="24"/>
          <w:szCs w:val="24"/>
          <w:lang w:eastAsia="lv-LV"/>
        </w:rPr>
        <w:t xml:space="preserve">turpināta </w:t>
      </w:r>
      <w:r w:rsidR="00250882" w:rsidRPr="00627E79">
        <w:rPr>
          <w:rFonts w:eastAsia="+mn-ea" w:cs="Times New Roman"/>
          <w:bCs/>
          <w:kern w:val="24"/>
          <w:szCs w:val="24"/>
          <w:lang w:eastAsia="lv-LV"/>
        </w:rPr>
        <w:t>21 projekt</w:t>
      </w:r>
      <w:r w:rsidR="0005487E">
        <w:rPr>
          <w:rFonts w:eastAsia="+mn-ea" w:cs="Times New Roman"/>
          <w:bCs/>
          <w:kern w:val="24"/>
          <w:szCs w:val="24"/>
          <w:lang w:eastAsia="lv-LV"/>
        </w:rPr>
        <w:t xml:space="preserve">a </w:t>
      </w:r>
      <w:r w:rsidR="0005487E" w:rsidRPr="00627E79">
        <w:rPr>
          <w:rFonts w:eastAsia="+mn-ea" w:cs="Times New Roman"/>
          <w:bCs/>
          <w:kern w:val="24"/>
          <w:szCs w:val="24"/>
          <w:lang w:eastAsia="lv-LV"/>
        </w:rPr>
        <w:t>īsteno</w:t>
      </w:r>
      <w:r w:rsidR="0005487E">
        <w:rPr>
          <w:rFonts w:eastAsia="+mn-ea" w:cs="Times New Roman"/>
          <w:bCs/>
          <w:kern w:val="24"/>
          <w:szCs w:val="24"/>
          <w:lang w:eastAsia="lv-LV"/>
        </w:rPr>
        <w:t>šana</w:t>
      </w:r>
      <w:r w:rsidR="0005487E" w:rsidDel="0005487E">
        <w:rPr>
          <w:rFonts w:eastAsia="+mn-ea" w:cs="Times New Roman"/>
          <w:bCs/>
          <w:kern w:val="24"/>
          <w:szCs w:val="24"/>
          <w:lang w:eastAsia="lv-LV"/>
        </w:rPr>
        <w:t xml:space="preserve"> </w:t>
      </w:r>
      <w:r w:rsidR="00250882" w:rsidRPr="00627E79">
        <w:rPr>
          <w:rFonts w:eastAsia="+mn-ea" w:cs="Times New Roman"/>
          <w:bCs/>
          <w:kern w:val="24"/>
          <w:szCs w:val="24"/>
          <w:lang w:eastAsia="lv-LV"/>
        </w:rPr>
        <w:t xml:space="preserve"> (0,2% no kopskaita) </w:t>
      </w:r>
      <w:r w:rsidRPr="00627E79">
        <w:rPr>
          <w:rFonts w:eastAsia="+mn-ea" w:cs="Times New Roman"/>
          <w:bCs/>
          <w:kern w:val="24"/>
          <w:szCs w:val="24"/>
          <w:lang w:eastAsia="lv-LV"/>
        </w:rPr>
        <w:t xml:space="preserve">par </w:t>
      </w:r>
      <w:r w:rsidR="00250882" w:rsidRPr="00627E79">
        <w:rPr>
          <w:rFonts w:eastAsia="+mn-ea" w:cs="Times New Roman"/>
          <w:bCs/>
          <w:kern w:val="24"/>
          <w:szCs w:val="24"/>
          <w:lang w:eastAsia="lv-LV"/>
        </w:rPr>
        <w:t>attiecināmie</w:t>
      </w:r>
      <w:r w:rsidRPr="00627E79">
        <w:rPr>
          <w:rFonts w:eastAsia="+mn-ea" w:cs="Times New Roman"/>
          <w:bCs/>
          <w:kern w:val="24"/>
          <w:szCs w:val="24"/>
          <w:lang w:eastAsia="lv-LV"/>
        </w:rPr>
        <w:t>m</w:t>
      </w:r>
      <w:r w:rsidR="00250882" w:rsidRPr="00627E79">
        <w:rPr>
          <w:rFonts w:eastAsia="+mn-ea" w:cs="Times New Roman"/>
          <w:bCs/>
          <w:kern w:val="24"/>
          <w:szCs w:val="24"/>
          <w:lang w:eastAsia="lv-LV"/>
        </w:rPr>
        <w:t xml:space="preserve"> izdevumi</w:t>
      </w:r>
      <w:r w:rsidRPr="00627E79">
        <w:rPr>
          <w:rFonts w:eastAsia="+mn-ea" w:cs="Times New Roman"/>
          <w:bCs/>
          <w:kern w:val="24"/>
          <w:szCs w:val="24"/>
          <w:lang w:eastAsia="lv-LV"/>
        </w:rPr>
        <w:t>em</w:t>
      </w:r>
      <w:r w:rsidR="00250882" w:rsidRPr="00627E79">
        <w:rPr>
          <w:rFonts w:eastAsia="+mn-ea" w:cs="Times New Roman"/>
          <w:bCs/>
          <w:kern w:val="24"/>
          <w:szCs w:val="24"/>
          <w:lang w:eastAsia="lv-LV"/>
        </w:rPr>
        <w:t xml:space="preserve"> 148,9 milj. </w:t>
      </w:r>
      <w:r w:rsidRPr="00627E79">
        <w:rPr>
          <w:rFonts w:eastAsia="+mn-ea" w:cs="Times New Roman"/>
          <w:bCs/>
          <w:i/>
          <w:kern w:val="24"/>
          <w:szCs w:val="24"/>
          <w:lang w:eastAsia="lv-LV"/>
        </w:rPr>
        <w:t>euro</w:t>
      </w:r>
      <w:r w:rsidR="00250882" w:rsidRPr="00627E79">
        <w:rPr>
          <w:rFonts w:eastAsia="+mn-ea" w:cs="Times New Roman"/>
          <w:bCs/>
          <w:kern w:val="24"/>
          <w:szCs w:val="24"/>
          <w:lang w:eastAsia="lv-LV"/>
        </w:rPr>
        <w:t xml:space="preserve"> (2,4% no kopējiem deklarējamiem izdevumiem):</w:t>
      </w:r>
    </w:p>
    <w:p w14:paraId="6BFCCE82" w14:textId="7E9140F9" w:rsidR="00250882" w:rsidRPr="001C399A" w:rsidRDefault="00250882" w:rsidP="00DC4E3D">
      <w:pPr>
        <w:numPr>
          <w:ilvl w:val="0"/>
          <w:numId w:val="28"/>
        </w:numPr>
        <w:tabs>
          <w:tab w:val="clear" w:pos="2160"/>
          <w:tab w:val="left" w:pos="567"/>
        </w:tabs>
        <w:spacing w:before="120" w:after="120" w:line="276" w:lineRule="auto"/>
        <w:ind w:left="142" w:firstLine="0"/>
        <w:jc w:val="both"/>
        <w:rPr>
          <w:rFonts w:eastAsia="Times New Roman" w:cs="Times New Roman"/>
          <w:szCs w:val="24"/>
          <w:lang w:eastAsia="lv-LV"/>
        </w:rPr>
      </w:pPr>
      <w:r w:rsidRPr="001C399A">
        <w:rPr>
          <w:rFonts w:eastAsia="+mn-ea" w:cs="Times New Roman"/>
          <w:kern w:val="24"/>
          <w:szCs w:val="24"/>
          <w:lang w:eastAsia="lv-LV"/>
        </w:rPr>
        <w:t xml:space="preserve">aktivitātes </w:t>
      </w:r>
      <w:r w:rsidR="00504A75">
        <w:rPr>
          <w:rFonts w:eastAsia="+mn-ea" w:cs="Times New Roman"/>
          <w:kern w:val="24"/>
          <w:szCs w:val="24"/>
          <w:lang w:eastAsia="lv-LV"/>
        </w:rPr>
        <w:t>“</w:t>
      </w:r>
      <w:r w:rsidRPr="001C399A">
        <w:rPr>
          <w:rFonts w:eastAsia="+mn-ea" w:cs="Times New Roman"/>
          <w:kern w:val="24"/>
          <w:szCs w:val="24"/>
          <w:lang w:eastAsia="lv-LV"/>
        </w:rPr>
        <w:t>Atbalsts ieguldījumiem ražošanas telpu izveidei vai rekonstrukcijai</w:t>
      </w:r>
      <w:r w:rsidR="00504A75">
        <w:rPr>
          <w:rFonts w:eastAsia="+mn-ea" w:cs="Times New Roman"/>
          <w:kern w:val="24"/>
          <w:szCs w:val="24"/>
          <w:lang w:eastAsia="lv-LV"/>
        </w:rPr>
        <w:t>”</w:t>
      </w:r>
      <w:r w:rsidRPr="001C399A">
        <w:rPr>
          <w:rFonts w:eastAsia="+mn-ea" w:cs="Times New Roman"/>
          <w:kern w:val="24"/>
          <w:szCs w:val="24"/>
          <w:lang w:eastAsia="lv-LV"/>
        </w:rPr>
        <w:t xml:space="preserve"> </w:t>
      </w:r>
      <w:r w:rsidR="00216F68">
        <w:rPr>
          <w:rFonts w:eastAsia="+mn-ea" w:cs="Times New Roman"/>
          <w:kern w:val="24"/>
          <w:szCs w:val="24"/>
          <w:lang w:eastAsia="lv-LV"/>
        </w:rPr>
        <w:t xml:space="preserve">4 </w:t>
      </w:r>
      <w:r w:rsidRPr="001C399A">
        <w:rPr>
          <w:rFonts w:eastAsia="+mn-ea" w:cs="Times New Roman"/>
          <w:kern w:val="24"/>
          <w:szCs w:val="24"/>
          <w:lang w:eastAsia="lv-LV"/>
        </w:rPr>
        <w:t>projekti (attiecināmi</w:t>
      </w:r>
      <w:r w:rsidR="00627E79">
        <w:rPr>
          <w:rFonts w:eastAsia="+mn-ea" w:cs="Times New Roman"/>
          <w:kern w:val="24"/>
          <w:szCs w:val="24"/>
          <w:lang w:eastAsia="lv-LV"/>
        </w:rPr>
        <w:t>e izdevumi</w:t>
      </w:r>
      <w:r w:rsidRPr="001C399A">
        <w:rPr>
          <w:rFonts w:eastAsia="+mn-ea" w:cs="Times New Roman"/>
          <w:kern w:val="24"/>
          <w:szCs w:val="24"/>
          <w:lang w:eastAsia="lv-LV"/>
        </w:rPr>
        <w:t xml:space="preserve"> 10,8 milj. </w:t>
      </w:r>
      <w:r w:rsidR="00627E79" w:rsidRPr="0061760A">
        <w:rPr>
          <w:rFonts w:eastAsia="+mn-ea" w:cs="Times New Roman"/>
          <w:bCs/>
          <w:i/>
          <w:kern w:val="24"/>
          <w:szCs w:val="24"/>
          <w:lang w:eastAsia="lv-LV"/>
        </w:rPr>
        <w:t>euro</w:t>
      </w:r>
      <w:r w:rsidRPr="001C399A">
        <w:rPr>
          <w:rFonts w:eastAsia="+mn-ea" w:cs="Times New Roman"/>
          <w:kern w:val="24"/>
          <w:szCs w:val="24"/>
          <w:lang w:eastAsia="lv-LV"/>
        </w:rPr>
        <w:t>)</w:t>
      </w:r>
      <w:r w:rsidR="00216F68">
        <w:rPr>
          <w:rFonts w:eastAsia="+mn-ea" w:cs="Times New Roman"/>
          <w:kern w:val="24"/>
          <w:szCs w:val="24"/>
          <w:lang w:eastAsia="lv-LV"/>
        </w:rPr>
        <w:t>;</w:t>
      </w:r>
    </w:p>
    <w:p w14:paraId="5C8B4849" w14:textId="5ADC1862" w:rsidR="00250882" w:rsidRPr="001C399A" w:rsidRDefault="00250882" w:rsidP="00DC4E3D">
      <w:pPr>
        <w:numPr>
          <w:ilvl w:val="0"/>
          <w:numId w:val="28"/>
        </w:numPr>
        <w:tabs>
          <w:tab w:val="clear" w:pos="2160"/>
          <w:tab w:val="left" w:pos="567"/>
        </w:tabs>
        <w:spacing w:before="120" w:after="120" w:line="276" w:lineRule="auto"/>
        <w:ind w:left="142" w:firstLine="0"/>
        <w:jc w:val="both"/>
        <w:rPr>
          <w:rFonts w:eastAsia="Times New Roman" w:cs="Times New Roman"/>
          <w:szCs w:val="24"/>
          <w:lang w:eastAsia="lv-LV"/>
        </w:rPr>
      </w:pPr>
      <w:r w:rsidRPr="001C399A">
        <w:rPr>
          <w:rFonts w:eastAsia="+mn-ea" w:cs="Times New Roman"/>
          <w:kern w:val="24"/>
          <w:szCs w:val="24"/>
          <w:lang w:eastAsia="lv-LV"/>
        </w:rPr>
        <w:t>Stradiņu slimnīcas un Bērnu klīniskās universitātes slim</w:t>
      </w:r>
      <w:r w:rsidR="00C30E9D">
        <w:rPr>
          <w:rFonts w:eastAsia="+mn-ea" w:cs="Times New Roman"/>
          <w:kern w:val="24"/>
          <w:szCs w:val="24"/>
          <w:lang w:eastAsia="lv-LV"/>
        </w:rPr>
        <w:t>n</w:t>
      </w:r>
      <w:r w:rsidRPr="001C399A">
        <w:rPr>
          <w:rFonts w:eastAsia="+mn-ea" w:cs="Times New Roman"/>
          <w:kern w:val="24"/>
          <w:szCs w:val="24"/>
          <w:lang w:eastAsia="lv-LV"/>
        </w:rPr>
        <w:t xml:space="preserve">īcas </w:t>
      </w:r>
      <w:r w:rsidR="00216F68">
        <w:rPr>
          <w:rFonts w:eastAsia="+mn-ea" w:cs="Times New Roman"/>
          <w:kern w:val="24"/>
          <w:szCs w:val="24"/>
          <w:lang w:eastAsia="lv-LV"/>
        </w:rPr>
        <w:t xml:space="preserve">2 </w:t>
      </w:r>
      <w:r w:rsidRPr="001C399A">
        <w:rPr>
          <w:rFonts w:eastAsia="+mn-ea" w:cs="Times New Roman"/>
          <w:kern w:val="24"/>
          <w:szCs w:val="24"/>
          <w:lang w:eastAsia="lv-LV"/>
        </w:rPr>
        <w:t>projekti (–attiecināmi</w:t>
      </w:r>
      <w:r w:rsidR="00216F68">
        <w:rPr>
          <w:rFonts w:eastAsia="+mn-ea" w:cs="Times New Roman"/>
          <w:kern w:val="24"/>
          <w:szCs w:val="24"/>
          <w:lang w:eastAsia="lv-LV"/>
        </w:rPr>
        <w:t>e izdevumi</w:t>
      </w:r>
      <w:r w:rsidRPr="001C399A">
        <w:rPr>
          <w:rFonts w:eastAsia="+mn-ea" w:cs="Times New Roman"/>
          <w:kern w:val="24"/>
          <w:szCs w:val="24"/>
          <w:lang w:eastAsia="lv-LV"/>
        </w:rPr>
        <w:t xml:space="preserve"> 42,2 milj. </w:t>
      </w:r>
      <w:r w:rsidR="00216F68" w:rsidRPr="00216F68">
        <w:rPr>
          <w:rFonts w:eastAsia="+mn-ea" w:cs="Times New Roman"/>
          <w:i/>
          <w:kern w:val="24"/>
          <w:szCs w:val="24"/>
          <w:lang w:eastAsia="lv-LV"/>
        </w:rPr>
        <w:t>euro</w:t>
      </w:r>
      <w:r w:rsidR="00216F68">
        <w:rPr>
          <w:rFonts w:eastAsia="+mn-ea" w:cs="Times New Roman"/>
          <w:kern w:val="24"/>
          <w:szCs w:val="24"/>
          <w:lang w:eastAsia="lv-LV"/>
        </w:rPr>
        <w:t xml:space="preserve"> ;</w:t>
      </w:r>
    </w:p>
    <w:p w14:paraId="66610A7C" w14:textId="31B3A850" w:rsidR="00250882" w:rsidRPr="001C399A" w:rsidRDefault="00250882" w:rsidP="00DC4E3D">
      <w:pPr>
        <w:numPr>
          <w:ilvl w:val="0"/>
          <w:numId w:val="28"/>
        </w:numPr>
        <w:tabs>
          <w:tab w:val="clear" w:pos="2160"/>
          <w:tab w:val="left" w:pos="567"/>
        </w:tabs>
        <w:spacing w:before="120" w:after="120" w:line="276" w:lineRule="auto"/>
        <w:ind w:left="142" w:firstLine="0"/>
        <w:jc w:val="both"/>
        <w:rPr>
          <w:rFonts w:eastAsia="Times New Roman" w:cs="Times New Roman"/>
          <w:szCs w:val="24"/>
          <w:lang w:eastAsia="lv-LV"/>
        </w:rPr>
      </w:pPr>
      <w:r w:rsidRPr="001C399A">
        <w:rPr>
          <w:rFonts w:eastAsia="+mn-ea" w:cs="Times New Roman"/>
          <w:kern w:val="24"/>
          <w:szCs w:val="24"/>
          <w:lang w:eastAsia="lv-LV"/>
        </w:rPr>
        <w:t xml:space="preserve">E-veselības </w:t>
      </w:r>
      <w:r w:rsidR="00216F68">
        <w:rPr>
          <w:rFonts w:eastAsia="+mn-ea" w:cs="Times New Roman"/>
          <w:kern w:val="24"/>
          <w:szCs w:val="24"/>
          <w:lang w:eastAsia="lv-LV"/>
        </w:rPr>
        <w:t xml:space="preserve">4 </w:t>
      </w:r>
      <w:r w:rsidRPr="001C399A">
        <w:rPr>
          <w:rFonts w:eastAsia="+mn-ea" w:cs="Times New Roman"/>
          <w:kern w:val="24"/>
          <w:szCs w:val="24"/>
          <w:lang w:eastAsia="lv-LV"/>
        </w:rPr>
        <w:t>projekti (attiecināmi</w:t>
      </w:r>
      <w:r w:rsidR="00216F68">
        <w:rPr>
          <w:rFonts w:eastAsia="+mn-ea" w:cs="Times New Roman"/>
          <w:kern w:val="24"/>
          <w:szCs w:val="24"/>
          <w:lang w:eastAsia="lv-LV"/>
        </w:rPr>
        <w:t>e izdevumi</w:t>
      </w:r>
      <w:r w:rsidRPr="001C399A">
        <w:rPr>
          <w:rFonts w:eastAsia="+mn-ea" w:cs="Times New Roman"/>
          <w:kern w:val="24"/>
          <w:szCs w:val="24"/>
          <w:lang w:eastAsia="lv-LV"/>
        </w:rPr>
        <w:t xml:space="preserve"> 10,2 milj. </w:t>
      </w:r>
      <w:r w:rsidR="00627E79" w:rsidRPr="0061760A">
        <w:rPr>
          <w:rFonts w:eastAsia="+mn-ea" w:cs="Times New Roman"/>
          <w:bCs/>
          <w:i/>
          <w:kern w:val="24"/>
          <w:szCs w:val="24"/>
          <w:lang w:eastAsia="lv-LV"/>
        </w:rPr>
        <w:t>euro</w:t>
      </w:r>
      <w:r w:rsidRPr="001C399A">
        <w:rPr>
          <w:rFonts w:eastAsia="+mn-ea" w:cs="Times New Roman"/>
          <w:kern w:val="24"/>
          <w:szCs w:val="24"/>
          <w:lang w:eastAsia="lv-LV"/>
        </w:rPr>
        <w:t>)</w:t>
      </w:r>
      <w:r w:rsidR="00216F68">
        <w:rPr>
          <w:rFonts w:eastAsia="+mn-ea" w:cs="Times New Roman"/>
          <w:kern w:val="24"/>
          <w:szCs w:val="24"/>
          <w:lang w:eastAsia="lv-LV"/>
        </w:rPr>
        <w:t>;</w:t>
      </w:r>
    </w:p>
    <w:p w14:paraId="33DC1B74" w14:textId="544CCF17" w:rsidR="00250882" w:rsidRPr="001C399A" w:rsidRDefault="00250882" w:rsidP="00DC4E3D">
      <w:pPr>
        <w:numPr>
          <w:ilvl w:val="0"/>
          <w:numId w:val="28"/>
        </w:numPr>
        <w:tabs>
          <w:tab w:val="clear" w:pos="2160"/>
          <w:tab w:val="left" w:pos="567"/>
        </w:tabs>
        <w:spacing w:before="120" w:after="120" w:line="276" w:lineRule="auto"/>
        <w:ind w:left="142" w:firstLine="0"/>
        <w:jc w:val="both"/>
        <w:rPr>
          <w:rFonts w:eastAsia="Times New Roman" w:cs="Times New Roman"/>
          <w:szCs w:val="24"/>
          <w:lang w:eastAsia="lv-LV"/>
        </w:rPr>
      </w:pPr>
      <w:r w:rsidRPr="001C399A">
        <w:rPr>
          <w:rFonts w:eastAsia="+mn-ea" w:cs="Times New Roman"/>
          <w:kern w:val="24"/>
          <w:szCs w:val="24"/>
          <w:lang w:eastAsia="lv-LV"/>
        </w:rPr>
        <w:t xml:space="preserve">Ventspils brīvostas, Liepājas lidostas un dīzeļvilcienu modernizācijas </w:t>
      </w:r>
      <w:r w:rsidR="00216F68">
        <w:rPr>
          <w:rFonts w:eastAsia="+mn-ea" w:cs="Times New Roman"/>
          <w:kern w:val="24"/>
          <w:szCs w:val="24"/>
          <w:lang w:eastAsia="lv-LV"/>
        </w:rPr>
        <w:t xml:space="preserve">5 </w:t>
      </w:r>
      <w:r w:rsidRPr="001C399A">
        <w:rPr>
          <w:rFonts w:eastAsia="+mn-ea" w:cs="Times New Roman"/>
          <w:kern w:val="24"/>
          <w:szCs w:val="24"/>
          <w:lang w:eastAsia="lv-LV"/>
        </w:rPr>
        <w:t>projekti (attiecināmi</w:t>
      </w:r>
      <w:r w:rsidR="00216F68">
        <w:rPr>
          <w:rFonts w:eastAsia="+mn-ea" w:cs="Times New Roman"/>
          <w:kern w:val="24"/>
          <w:szCs w:val="24"/>
          <w:lang w:eastAsia="lv-LV"/>
        </w:rPr>
        <w:t>e izdevumi</w:t>
      </w:r>
      <w:r w:rsidRPr="001C399A">
        <w:rPr>
          <w:rFonts w:eastAsia="+mn-ea" w:cs="Times New Roman"/>
          <w:kern w:val="24"/>
          <w:szCs w:val="24"/>
          <w:lang w:eastAsia="lv-LV"/>
        </w:rPr>
        <w:t xml:space="preserve"> 61,2 milj. </w:t>
      </w:r>
      <w:r w:rsidR="00627E79" w:rsidRPr="0061760A">
        <w:rPr>
          <w:rFonts w:eastAsia="+mn-ea" w:cs="Times New Roman"/>
          <w:bCs/>
          <w:i/>
          <w:kern w:val="24"/>
          <w:szCs w:val="24"/>
          <w:lang w:eastAsia="lv-LV"/>
        </w:rPr>
        <w:t>euro</w:t>
      </w:r>
      <w:r w:rsidRPr="001C399A">
        <w:rPr>
          <w:rFonts w:eastAsia="+mn-ea" w:cs="Times New Roman"/>
          <w:kern w:val="24"/>
          <w:szCs w:val="24"/>
          <w:lang w:eastAsia="lv-LV"/>
        </w:rPr>
        <w:t>) – 2 pabeigti</w:t>
      </w:r>
      <w:r w:rsidR="00216F68">
        <w:rPr>
          <w:rFonts w:eastAsia="+mn-ea" w:cs="Times New Roman"/>
          <w:kern w:val="24"/>
          <w:szCs w:val="24"/>
          <w:lang w:eastAsia="lv-LV"/>
        </w:rPr>
        <w:t>;</w:t>
      </w:r>
    </w:p>
    <w:p w14:paraId="1E15F3E7" w14:textId="5E50F354" w:rsidR="00250882" w:rsidRPr="001C399A" w:rsidRDefault="00250882" w:rsidP="00DC4E3D">
      <w:pPr>
        <w:numPr>
          <w:ilvl w:val="0"/>
          <w:numId w:val="28"/>
        </w:numPr>
        <w:tabs>
          <w:tab w:val="clear" w:pos="2160"/>
          <w:tab w:val="left" w:pos="567"/>
        </w:tabs>
        <w:spacing w:before="120" w:after="120" w:line="276" w:lineRule="auto"/>
        <w:ind w:left="142" w:firstLine="0"/>
        <w:jc w:val="both"/>
        <w:rPr>
          <w:rFonts w:eastAsia="Times New Roman" w:cs="Times New Roman"/>
          <w:szCs w:val="24"/>
          <w:lang w:eastAsia="lv-LV"/>
        </w:rPr>
      </w:pPr>
      <w:r w:rsidRPr="001C399A">
        <w:rPr>
          <w:rFonts w:eastAsia="+mn-ea" w:cs="Times New Roman"/>
          <w:kern w:val="24"/>
          <w:szCs w:val="24"/>
          <w:lang w:eastAsia="lv-LV"/>
        </w:rPr>
        <w:t xml:space="preserve">Ūdenssaimniecības un siltumapgādes </w:t>
      </w:r>
      <w:r w:rsidR="00216F68">
        <w:rPr>
          <w:rFonts w:eastAsia="+mn-ea" w:cs="Times New Roman"/>
          <w:kern w:val="24"/>
          <w:szCs w:val="24"/>
          <w:lang w:eastAsia="lv-LV"/>
        </w:rPr>
        <w:t xml:space="preserve">6 </w:t>
      </w:r>
      <w:r w:rsidRPr="001C399A">
        <w:rPr>
          <w:rFonts w:eastAsia="+mn-ea" w:cs="Times New Roman"/>
          <w:kern w:val="24"/>
          <w:szCs w:val="24"/>
          <w:lang w:eastAsia="lv-LV"/>
        </w:rPr>
        <w:t>projekti (attiecināmi</w:t>
      </w:r>
      <w:r w:rsidR="00216F68">
        <w:rPr>
          <w:rFonts w:eastAsia="+mn-ea" w:cs="Times New Roman"/>
          <w:kern w:val="24"/>
          <w:szCs w:val="24"/>
          <w:lang w:eastAsia="lv-LV"/>
        </w:rPr>
        <w:t>e izdevumi</w:t>
      </w:r>
      <w:r w:rsidRPr="001C399A">
        <w:rPr>
          <w:rFonts w:eastAsia="+mn-ea" w:cs="Times New Roman"/>
          <w:kern w:val="24"/>
          <w:szCs w:val="24"/>
          <w:lang w:eastAsia="lv-LV"/>
        </w:rPr>
        <w:t xml:space="preserve"> 24,6 milj. </w:t>
      </w:r>
      <w:r w:rsidR="00216F68" w:rsidRPr="00216F68">
        <w:rPr>
          <w:rFonts w:eastAsia="+mn-ea" w:cs="Times New Roman"/>
          <w:i/>
          <w:kern w:val="24"/>
          <w:szCs w:val="24"/>
          <w:lang w:eastAsia="lv-LV"/>
        </w:rPr>
        <w:t>euro</w:t>
      </w:r>
      <w:r w:rsidRPr="001C399A">
        <w:rPr>
          <w:rFonts w:eastAsia="+mn-ea" w:cs="Times New Roman"/>
          <w:kern w:val="24"/>
          <w:szCs w:val="24"/>
          <w:lang w:eastAsia="lv-LV"/>
        </w:rPr>
        <w:t>)</w:t>
      </w:r>
      <w:r w:rsidR="00216F68">
        <w:rPr>
          <w:rFonts w:eastAsia="+mn-ea" w:cs="Times New Roman"/>
          <w:kern w:val="24"/>
          <w:szCs w:val="24"/>
          <w:lang w:eastAsia="lv-LV"/>
        </w:rPr>
        <w:t>;</w:t>
      </w:r>
    </w:p>
    <w:p w14:paraId="4B3AB8B0" w14:textId="6293B76E" w:rsidR="00250882" w:rsidRPr="001C399A" w:rsidRDefault="00250882" w:rsidP="00DC4E3D">
      <w:pPr>
        <w:numPr>
          <w:ilvl w:val="0"/>
          <w:numId w:val="28"/>
        </w:numPr>
        <w:tabs>
          <w:tab w:val="clear" w:pos="2160"/>
          <w:tab w:val="left" w:pos="567"/>
        </w:tabs>
        <w:spacing w:before="120" w:after="120" w:line="276" w:lineRule="auto"/>
        <w:ind w:left="142" w:firstLine="0"/>
        <w:jc w:val="both"/>
        <w:rPr>
          <w:rFonts w:eastAsia="Times New Roman" w:cs="Times New Roman"/>
          <w:szCs w:val="24"/>
          <w:lang w:eastAsia="lv-LV"/>
        </w:rPr>
      </w:pPr>
      <w:r w:rsidRPr="001C399A">
        <w:rPr>
          <w:rFonts w:eastAsia="+mn-ea" w:cs="Times New Roman"/>
          <w:kern w:val="24"/>
          <w:szCs w:val="24"/>
          <w:lang w:eastAsia="lv-LV"/>
        </w:rPr>
        <w:t xml:space="preserve">Līdz </w:t>
      </w:r>
      <w:r w:rsidR="00216F68">
        <w:rPr>
          <w:rFonts w:eastAsia="+mn-ea" w:cs="Times New Roman"/>
          <w:kern w:val="24"/>
          <w:szCs w:val="24"/>
          <w:lang w:eastAsia="lv-LV"/>
        </w:rPr>
        <w:t>2016.gada 31.oktobrim</w:t>
      </w:r>
      <w:r w:rsidRPr="001C399A">
        <w:rPr>
          <w:rFonts w:eastAsia="+mn-ea" w:cs="Times New Roman"/>
          <w:kern w:val="24"/>
          <w:szCs w:val="24"/>
          <w:lang w:eastAsia="lv-LV"/>
        </w:rPr>
        <w:t xml:space="preserve"> pagarināta aizdevumu izsniegšana </w:t>
      </w:r>
      <w:r w:rsidR="00627E79">
        <w:rPr>
          <w:rFonts w:eastAsia="+mn-ea" w:cs="Times New Roman"/>
          <w:kern w:val="24"/>
          <w:szCs w:val="24"/>
          <w:lang w:eastAsia="lv-LV"/>
        </w:rPr>
        <w:t>finanšu instrumentu</w:t>
      </w:r>
      <w:r w:rsidRPr="001C399A">
        <w:rPr>
          <w:rFonts w:eastAsia="+mn-ea" w:cs="Times New Roman"/>
          <w:kern w:val="24"/>
          <w:szCs w:val="24"/>
          <w:lang w:eastAsia="lv-LV"/>
        </w:rPr>
        <w:t xml:space="preserve"> riska kapitāla un </w:t>
      </w:r>
      <w:proofErr w:type="spellStart"/>
      <w:r w:rsidRPr="001C399A">
        <w:rPr>
          <w:rFonts w:eastAsia="+mn-ea" w:cs="Times New Roman"/>
          <w:kern w:val="24"/>
          <w:szCs w:val="24"/>
          <w:lang w:eastAsia="lv-LV"/>
        </w:rPr>
        <w:t>mezanīna</w:t>
      </w:r>
      <w:proofErr w:type="spellEnd"/>
      <w:r w:rsidRPr="001C399A">
        <w:rPr>
          <w:rFonts w:eastAsia="+mn-ea" w:cs="Times New Roman"/>
          <w:kern w:val="24"/>
          <w:szCs w:val="24"/>
          <w:lang w:eastAsia="lv-LV"/>
        </w:rPr>
        <w:t xml:space="preserve"> aizdevumu programmās. </w:t>
      </w:r>
    </w:p>
    <w:p w14:paraId="26CC14A0" w14:textId="2A5571E8" w:rsidR="00627E79" w:rsidRPr="001C399A" w:rsidRDefault="00627E79" w:rsidP="00DC4E3D">
      <w:pPr>
        <w:pStyle w:val="ListParagraph"/>
        <w:numPr>
          <w:ilvl w:val="0"/>
          <w:numId w:val="29"/>
        </w:numPr>
        <w:tabs>
          <w:tab w:val="left" w:pos="284"/>
        </w:tabs>
        <w:spacing w:before="120" w:after="120" w:line="276" w:lineRule="auto"/>
        <w:ind w:left="0" w:firstLine="0"/>
        <w:contextualSpacing w:val="0"/>
        <w:jc w:val="both"/>
        <w:rPr>
          <w:rFonts w:eastAsia="Times New Roman" w:cs="Times New Roman"/>
          <w:szCs w:val="24"/>
          <w:lang w:eastAsia="lv-LV"/>
        </w:rPr>
      </w:pPr>
      <w:r w:rsidRPr="001C399A">
        <w:rPr>
          <w:rFonts w:eastAsia="+mn-ea" w:cs="Times New Roman"/>
          <w:kern w:val="24"/>
          <w:szCs w:val="24"/>
          <w:lang w:eastAsia="lv-LV"/>
        </w:rPr>
        <w:t xml:space="preserve">Krievu salas ostas aktivitāšu pārcelšanas no pilsētas centra projekta mērķu sasniegšana ne vēlāk kā </w:t>
      </w:r>
      <w:r w:rsidR="0005487E" w:rsidRPr="001C399A">
        <w:rPr>
          <w:rFonts w:eastAsia="+mn-ea" w:cs="Times New Roman"/>
          <w:kern w:val="24"/>
          <w:szCs w:val="24"/>
          <w:lang w:eastAsia="lv-LV"/>
        </w:rPr>
        <w:t>līdz</w:t>
      </w:r>
      <w:r w:rsidR="0005487E">
        <w:rPr>
          <w:rFonts w:eastAsia="+mn-ea" w:cs="Times New Roman"/>
          <w:kern w:val="24"/>
          <w:szCs w:val="24"/>
          <w:lang w:eastAsia="lv-LV"/>
        </w:rPr>
        <w:t xml:space="preserve"> </w:t>
      </w:r>
      <w:r w:rsidR="00216F68">
        <w:rPr>
          <w:rFonts w:eastAsia="+mn-ea" w:cs="Times New Roman"/>
          <w:kern w:val="24"/>
          <w:szCs w:val="24"/>
          <w:lang w:eastAsia="lv-LV"/>
        </w:rPr>
        <w:t>2019.gada 31.martam</w:t>
      </w:r>
      <w:r w:rsidRPr="001C399A">
        <w:rPr>
          <w:rFonts w:eastAsia="+mn-ea" w:cs="Times New Roman"/>
          <w:b/>
          <w:bCs/>
          <w:kern w:val="24"/>
          <w:szCs w:val="24"/>
          <w:lang w:eastAsia="lv-LV"/>
        </w:rPr>
        <w:t xml:space="preserve"> </w:t>
      </w:r>
      <w:r w:rsidRPr="001C399A">
        <w:rPr>
          <w:rFonts w:eastAsia="+mn-ea" w:cs="Times New Roman"/>
          <w:kern w:val="24"/>
          <w:szCs w:val="24"/>
          <w:lang w:eastAsia="lv-LV"/>
        </w:rPr>
        <w:t>(attiecināmi</w:t>
      </w:r>
      <w:r w:rsidR="00216F68">
        <w:rPr>
          <w:rFonts w:eastAsia="+mn-ea" w:cs="Times New Roman"/>
          <w:kern w:val="24"/>
          <w:szCs w:val="24"/>
          <w:lang w:eastAsia="lv-LV"/>
        </w:rPr>
        <w:t>e izdevumi</w:t>
      </w:r>
      <w:r w:rsidR="00F34CA2">
        <w:rPr>
          <w:rFonts w:eastAsia="+mn-ea" w:cs="Times New Roman"/>
          <w:kern w:val="24"/>
          <w:szCs w:val="24"/>
          <w:lang w:eastAsia="lv-LV"/>
        </w:rPr>
        <w:t xml:space="preserve"> </w:t>
      </w:r>
      <w:r w:rsidRPr="001C399A">
        <w:rPr>
          <w:rFonts w:eastAsia="+mn-ea" w:cs="Times New Roman"/>
          <w:kern w:val="24"/>
          <w:szCs w:val="24"/>
          <w:lang w:eastAsia="lv-LV"/>
        </w:rPr>
        <w:t xml:space="preserve">123,3 milj. </w:t>
      </w:r>
      <w:r w:rsidR="00216F68" w:rsidRPr="00216F68">
        <w:rPr>
          <w:rFonts w:eastAsia="+mn-ea" w:cs="Times New Roman"/>
          <w:i/>
          <w:kern w:val="24"/>
          <w:szCs w:val="24"/>
          <w:lang w:eastAsia="lv-LV"/>
        </w:rPr>
        <w:t>euro</w:t>
      </w:r>
      <w:r w:rsidRPr="001C399A">
        <w:rPr>
          <w:rFonts w:eastAsia="+mn-ea" w:cs="Times New Roman"/>
          <w:kern w:val="24"/>
          <w:szCs w:val="24"/>
          <w:lang w:eastAsia="lv-LV"/>
        </w:rPr>
        <w:t>)</w:t>
      </w:r>
      <w:r w:rsidR="00F96C37">
        <w:rPr>
          <w:rFonts w:eastAsia="+mn-ea" w:cs="Times New Roman"/>
          <w:kern w:val="24"/>
          <w:szCs w:val="24"/>
          <w:lang w:eastAsia="lv-LV"/>
        </w:rPr>
        <w:t>;</w:t>
      </w:r>
    </w:p>
    <w:p w14:paraId="61BB7CB5" w14:textId="47461A5C" w:rsidR="004674DE" w:rsidRDefault="00C30E9D" w:rsidP="00DC4E3D">
      <w:pPr>
        <w:pStyle w:val="ListParagraph"/>
        <w:numPr>
          <w:ilvl w:val="0"/>
          <w:numId w:val="29"/>
        </w:numPr>
        <w:tabs>
          <w:tab w:val="left" w:pos="284"/>
        </w:tabs>
        <w:spacing w:before="120" w:after="120" w:line="276" w:lineRule="auto"/>
        <w:ind w:left="0" w:firstLine="0"/>
        <w:contextualSpacing w:val="0"/>
        <w:jc w:val="both"/>
        <w:rPr>
          <w:color w:val="000000" w:themeColor="text1"/>
        </w:rPr>
      </w:pPr>
      <w:r>
        <w:rPr>
          <w:rFonts w:eastAsia="+mn-ea" w:cs="Times New Roman"/>
          <w:kern w:val="24"/>
          <w:szCs w:val="24"/>
          <w:lang w:eastAsia="lv-LV"/>
        </w:rPr>
        <w:t>Inčukalna gu</w:t>
      </w:r>
      <w:r w:rsidR="00627E79" w:rsidRPr="001C399A">
        <w:rPr>
          <w:rFonts w:eastAsia="+mn-ea" w:cs="Times New Roman"/>
          <w:kern w:val="24"/>
          <w:szCs w:val="24"/>
          <w:lang w:eastAsia="lv-LV"/>
        </w:rPr>
        <w:t xml:space="preserve">drona dīķu sanācijas projekts – dalīts posmos un </w:t>
      </w:r>
      <w:r w:rsidR="00627E79" w:rsidRPr="001C399A">
        <w:rPr>
          <w:rFonts w:eastAsia="+mn-ea" w:cs="Times New Roman"/>
          <w:bCs/>
          <w:kern w:val="24"/>
          <w:szCs w:val="24"/>
          <w:lang w:eastAsia="lv-LV"/>
        </w:rPr>
        <w:t>pabeigšana jānodrošina 2014-2020</w:t>
      </w:r>
      <w:r w:rsidR="00216F68">
        <w:rPr>
          <w:rFonts w:eastAsia="+mn-ea" w:cs="Times New Roman"/>
          <w:bCs/>
          <w:kern w:val="24"/>
          <w:szCs w:val="24"/>
          <w:lang w:eastAsia="lv-LV"/>
        </w:rPr>
        <w:t xml:space="preserve">.gada </w:t>
      </w:r>
      <w:r w:rsidR="0005487E">
        <w:rPr>
          <w:rFonts w:eastAsia="+mn-ea" w:cs="Times New Roman"/>
          <w:bCs/>
          <w:kern w:val="24"/>
          <w:szCs w:val="24"/>
          <w:lang w:eastAsia="lv-LV"/>
        </w:rPr>
        <w:t>plānošanas</w:t>
      </w:r>
      <w:r w:rsidR="0005487E" w:rsidRPr="001C399A">
        <w:rPr>
          <w:rFonts w:eastAsia="+mn-ea" w:cs="Times New Roman"/>
          <w:bCs/>
          <w:kern w:val="24"/>
          <w:szCs w:val="24"/>
          <w:lang w:eastAsia="lv-LV"/>
        </w:rPr>
        <w:t xml:space="preserve"> </w:t>
      </w:r>
      <w:r w:rsidR="00627E79" w:rsidRPr="001C399A">
        <w:rPr>
          <w:rFonts w:eastAsia="+mn-ea" w:cs="Times New Roman"/>
          <w:bCs/>
          <w:kern w:val="24"/>
          <w:szCs w:val="24"/>
          <w:lang w:eastAsia="lv-LV"/>
        </w:rPr>
        <w:t>perioda ietvaros</w:t>
      </w:r>
      <w:r w:rsidR="00627E79" w:rsidRPr="001C399A">
        <w:rPr>
          <w:rFonts w:eastAsia="+mn-ea" w:cs="Times New Roman"/>
          <w:b/>
          <w:bCs/>
          <w:kern w:val="24"/>
          <w:szCs w:val="24"/>
          <w:lang w:eastAsia="lv-LV"/>
        </w:rPr>
        <w:t xml:space="preserve"> </w:t>
      </w:r>
      <w:r w:rsidR="00627E79" w:rsidRPr="001C399A">
        <w:rPr>
          <w:rFonts w:eastAsia="+mn-ea" w:cs="Times New Roman"/>
          <w:kern w:val="24"/>
          <w:szCs w:val="24"/>
          <w:lang w:eastAsia="lv-LV"/>
        </w:rPr>
        <w:t>(2007-2013</w:t>
      </w:r>
      <w:r w:rsidR="00216F68">
        <w:rPr>
          <w:rFonts w:eastAsia="+mn-ea" w:cs="Times New Roman"/>
          <w:kern w:val="24"/>
          <w:szCs w:val="24"/>
          <w:lang w:eastAsia="lv-LV"/>
        </w:rPr>
        <w:t>.gada plānošanas periodā</w:t>
      </w:r>
      <w:r w:rsidR="00627E79" w:rsidRPr="001C399A">
        <w:rPr>
          <w:rFonts w:eastAsia="+mn-ea" w:cs="Times New Roman"/>
          <w:kern w:val="24"/>
          <w:szCs w:val="24"/>
          <w:lang w:eastAsia="lv-LV"/>
        </w:rPr>
        <w:t xml:space="preserve"> </w:t>
      </w:r>
      <w:r w:rsidR="00627E79" w:rsidRPr="006C6A55">
        <w:rPr>
          <w:rFonts w:eastAsia="+mn-ea" w:cs="Times New Roman"/>
          <w:kern w:val="24"/>
          <w:szCs w:val="24"/>
          <w:lang w:eastAsia="lv-LV"/>
        </w:rPr>
        <w:t>attiecināmi</w:t>
      </w:r>
      <w:r w:rsidR="00216F68" w:rsidRPr="006C6A55">
        <w:rPr>
          <w:rFonts w:eastAsia="+mn-ea" w:cs="Times New Roman"/>
          <w:kern w:val="24"/>
          <w:szCs w:val="24"/>
          <w:lang w:eastAsia="lv-LV"/>
        </w:rPr>
        <w:t>e izdevumi</w:t>
      </w:r>
      <w:r w:rsidR="00627E79" w:rsidRPr="006C6A55">
        <w:rPr>
          <w:rFonts w:eastAsia="+mn-ea" w:cs="Times New Roman"/>
          <w:kern w:val="24"/>
          <w:szCs w:val="24"/>
          <w:lang w:eastAsia="lv-LV"/>
        </w:rPr>
        <w:t xml:space="preserve"> 27,6 milj. </w:t>
      </w:r>
      <w:r w:rsidR="00216F68" w:rsidRPr="006C6A55">
        <w:rPr>
          <w:rFonts w:eastAsia="+mn-ea" w:cs="Times New Roman"/>
          <w:i/>
          <w:kern w:val="24"/>
          <w:szCs w:val="24"/>
          <w:lang w:eastAsia="lv-LV"/>
        </w:rPr>
        <w:t>euro</w:t>
      </w:r>
      <w:r w:rsidR="00627E79" w:rsidRPr="006C6A55">
        <w:rPr>
          <w:rFonts w:eastAsia="+mn-ea" w:cs="Times New Roman"/>
          <w:kern w:val="24"/>
          <w:szCs w:val="24"/>
          <w:lang w:eastAsia="lv-LV"/>
        </w:rPr>
        <w:t>)</w:t>
      </w:r>
      <w:r w:rsidR="004674DE">
        <w:rPr>
          <w:rFonts w:eastAsia="+mn-ea" w:cs="Times New Roman"/>
          <w:kern w:val="24"/>
          <w:szCs w:val="24"/>
          <w:lang w:eastAsia="lv-LV"/>
        </w:rPr>
        <w:t xml:space="preserve">. </w:t>
      </w:r>
      <w:r w:rsidR="004674DE" w:rsidRPr="00911643">
        <w:rPr>
          <w:color w:val="000000" w:themeColor="text1"/>
        </w:rPr>
        <w:t xml:space="preserve">2016.gada 7.jūnijā </w:t>
      </w:r>
      <w:r w:rsidR="00963EB4">
        <w:rPr>
          <w:color w:val="000000" w:themeColor="text1"/>
        </w:rPr>
        <w:t>EK</w:t>
      </w:r>
      <w:r w:rsidR="004674DE">
        <w:rPr>
          <w:color w:val="000000" w:themeColor="text1"/>
        </w:rPr>
        <w:t xml:space="preserve"> </w:t>
      </w:r>
      <w:r w:rsidR="004674DE" w:rsidRPr="00911643">
        <w:rPr>
          <w:color w:val="000000" w:themeColor="text1"/>
        </w:rPr>
        <w:t>apstiprinā</w:t>
      </w:r>
      <w:r w:rsidR="004674DE">
        <w:rPr>
          <w:color w:val="000000" w:themeColor="text1"/>
        </w:rPr>
        <w:t>jusi</w:t>
      </w:r>
      <w:r w:rsidR="004674DE" w:rsidRPr="00911643">
        <w:rPr>
          <w:color w:val="000000" w:themeColor="text1"/>
        </w:rPr>
        <w:t xml:space="preserve"> iespēj</w:t>
      </w:r>
      <w:r w:rsidR="004674DE">
        <w:rPr>
          <w:color w:val="000000" w:themeColor="text1"/>
        </w:rPr>
        <w:t>u</w:t>
      </w:r>
      <w:r w:rsidR="004674DE" w:rsidRPr="00911643">
        <w:rPr>
          <w:color w:val="000000" w:themeColor="text1"/>
        </w:rPr>
        <w:t xml:space="preserve"> </w:t>
      </w:r>
      <w:r w:rsidR="004674DE">
        <w:rPr>
          <w:color w:val="000000" w:themeColor="text1"/>
        </w:rPr>
        <w:t xml:space="preserve">ES fondu </w:t>
      </w:r>
      <w:r w:rsidR="004674DE" w:rsidRPr="00911643">
        <w:rPr>
          <w:color w:val="000000" w:themeColor="text1"/>
        </w:rPr>
        <w:t xml:space="preserve">projektu “Vēsturiski piesārņoto vietu „Inčukalna </w:t>
      </w:r>
      <w:proofErr w:type="spellStart"/>
      <w:r w:rsidR="004674DE" w:rsidRPr="00911643">
        <w:rPr>
          <w:color w:val="000000" w:themeColor="text1"/>
        </w:rPr>
        <w:t>sērskābie</w:t>
      </w:r>
      <w:proofErr w:type="spellEnd"/>
      <w:r w:rsidR="004674DE" w:rsidRPr="00911643">
        <w:rPr>
          <w:color w:val="000000" w:themeColor="text1"/>
        </w:rPr>
        <w:t xml:space="preserve"> gudrona dīķi” sanācijas darbi” īstenot, </w:t>
      </w:r>
      <w:r w:rsidR="004674DE">
        <w:rPr>
          <w:color w:val="000000" w:themeColor="text1"/>
        </w:rPr>
        <w:t xml:space="preserve">to </w:t>
      </w:r>
      <w:r w:rsidR="004674DE" w:rsidRPr="00911643">
        <w:rPr>
          <w:color w:val="000000" w:themeColor="text1"/>
        </w:rPr>
        <w:t>dalot posmos starp periodiem</w:t>
      </w:r>
      <w:r w:rsidR="004674DE">
        <w:rPr>
          <w:color w:val="000000" w:themeColor="text1"/>
        </w:rPr>
        <w:t>. Tādējādi</w:t>
      </w:r>
      <w:r w:rsidR="004674DE" w:rsidRPr="00911643">
        <w:rPr>
          <w:color w:val="000000" w:themeColor="text1"/>
        </w:rPr>
        <w:t xml:space="preserve"> </w:t>
      </w:r>
      <w:r w:rsidR="004674DE">
        <w:rPr>
          <w:color w:val="000000" w:themeColor="text1"/>
        </w:rPr>
        <w:t xml:space="preserve">tiks </w:t>
      </w:r>
      <w:r w:rsidR="004674DE" w:rsidRPr="00911643">
        <w:rPr>
          <w:color w:val="000000" w:themeColor="text1"/>
        </w:rPr>
        <w:t>saglabāt</w:t>
      </w:r>
      <w:r w:rsidR="004674DE">
        <w:rPr>
          <w:color w:val="000000" w:themeColor="text1"/>
        </w:rPr>
        <w:t>s</w:t>
      </w:r>
      <w:r w:rsidR="004674DE" w:rsidRPr="00911643">
        <w:rPr>
          <w:color w:val="000000" w:themeColor="text1"/>
        </w:rPr>
        <w:t xml:space="preserve"> </w:t>
      </w:r>
      <w:r w:rsidR="004674DE">
        <w:rPr>
          <w:color w:val="000000" w:themeColor="text1"/>
        </w:rPr>
        <w:t>2007. – 2013.gada</w:t>
      </w:r>
      <w:r w:rsidR="004674DE" w:rsidRPr="00911643">
        <w:rPr>
          <w:color w:val="000000" w:themeColor="text1"/>
        </w:rPr>
        <w:t xml:space="preserve"> plānošanas perioda ES līdzfinansējum</w:t>
      </w:r>
      <w:r w:rsidR="004674DE">
        <w:rPr>
          <w:color w:val="000000" w:themeColor="text1"/>
        </w:rPr>
        <w:t>s</w:t>
      </w:r>
      <w:r w:rsidR="004674DE" w:rsidRPr="00911643">
        <w:rPr>
          <w:color w:val="000000" w:themeColor="text1"/>
        </w:rPr>
        <w:t xml:space="preserve"> par līdz šim projekt</w:t>
      </w:r>
      <w:r w:rsidR="004674DE">
        <w:rPr>
          <w:color w:val="000000" w:themeColor="text1"/>
        </w:rPr>
        <w:t>a īstenošanā</w:t>
      </w:r>
      <w:r w:rsidR="004674DE" w:rsidRPr="00911643">
        <w:rPr>
          <w:color w:val="000000" w:themeColor="text1"/>
        </w:rPr>
        <w:t xml:space="preserve"> ieguldīt</w:t>
      </w:r>
      <w:r w:rsidR="004674DE">
        <w:rPr>
          <w:color w:val="000000" w:themeColor="text1"/>
        </w:rPr>
        <w:t>ajie</w:t>
      </w:r>
      <w:r w:rsidR="004674DE" w:rsidRPr="00911643">
        <w:rPr>
          <w:color w:val="000000" w:themeColor="text1"/>
        </w:rPr>
        <w:t xml:space="preserve">m 19,4 </w:t>
      </w:r>
      <w:r w:rsidR="00963EB4">
        <w:rPr>
          <w:color w:val="000000" w:themeColor="text1"/>
        </w:rPr>
        <w:lastRenderedPageBreak/>
        <w:t xml:space="preserve">milj. </w:t>
      </w:r>
      <w:r w:rsidR="00963EB4" w:rsidRPr="00963EB4">
        <w:rPr>
          <w:i/>
          <w:color w:val="000000" w:themeColor="text1"/>
        </w:rPr>
        <w:t>euro</w:t>
      </w:r>
      <w:r w:rsidR="00963EB4">
        <w:rPr>
          <w:color w:val="000000" w:themeColor="text1"/>
        </w:rPr>
        <w:t xml:space="preserve"> ERAF</w:t>
      </w:r>
      <w:r w:rsidR="004674DE">
        <w:rPr>
          <w:color w:val="000000" w:themeColor="text1"/>
        </w:rPr>
        <w:t xml:space="preserve"> finansējuma. Savukārt atlikušie sanācijas da</w:t>
      </w:r>
      <w:r w:rsidR="00F61BA2">
        <w:rPr>
          <w:color w:val="000000" w:themeColor="text1"/>
        </w:rPr>
        <w:t>rbi tiks pabeigti 2014. – 2020.</w:t>
      </w:r>
      <w:r w:rsidR="004674DE">
        <w:rPr>
          <w:color w:val="000000" w:themeColor="text1"/>
        </w:rPr>
        <w:t>gada plānošanas perioda ietvaros.</w:t>
      </w:r>
    </w:p>
    <w:p w14:paraId="20E9C44C" w14:textId="506BAACC" w:rsidR="00F96C37" w:rsidRPr="004674DE" w:rsidRDefault="00F96C37" w:rsidP="00DC4E3D">
      <w:pPr>
        <w:pStyle w:val="ListParagraph"/>
        <w:numPr>
          <w:ilvl w:val="0"/>
          <w:numId w:val="29"/>
        </w:numPr>
        <w:tabs>
          <w:tab w:val="left" w:pos="284"/>
        </w:tabs>
        <w:spacing w:before="120" w:after="120" w:line="276" w:lineRule="auto"/>
        <w:ind w:left="0" w:firstLine="0"/>
        <w:contextualSpacing w:val="0"/>
        <w:jc w:val="both"/>
        <w:rPr>
          <w:rFonts w:eastAsia="Times New Roman" w:cs="Times New Roman"/>
          <w:szCs w:val="24"/>
          <w:lang w:eastAsia="lv-LV"/>
        </w:rPr>
      </w:pPr>
      <w:r w:rsidRPr="004674DE">
        <w:rPr>
          <w:rFonts w:eastAsia="+mn-ea" w:cs="Times New Roman"/>
          <w:kern w:val="24"/>
          <w:szCs w:val="24"/>
          <w:lang w:eastAsia="lv-LV"/>
        </w:rPr>
        <w:t>Finanšu instrumentu pabeigšana;</w:t>
      </w:r>
    </w:p>
    <w:p w14:paraId="63FDC0B9" w14:textId="0651F015" w:rsidR="00904123" w:rsidRDefault="00F96C37" w:rsidP="00904123">
      <w:pPr>
        <w:pStyle w:val="ListParagraph"/>
        <w:numPr>
          <w:ilvl w:val="0"/>
          <w:numId w:val="29"/>
        </w:numPr>
        <w:tabs>
          <w:tab w:val="left" w:pos="284"/>
        </w:tabs>
        <w:spacing w:before="120" w:after="120" w:line="276" w:lineRule="auto"/>
        <w:ind w:left="0" w:firstLine="0"/>
        <w:contextualSpacing w:val="0"/>
        <w:jc w:val="both"/>
      </w:pPr>
      <w:r w:rsidRPr="008761F9">
        <w:rPr>
          <w:rFonts w:eastAsia="+mn-ea" w:cs="Times New Roman"/>
          <w:kern w:val="24"/>
          <w:szCs w:val="24"/>
          <w:lang w:eastAsia="lv-LV"/>
        </w:rPr>
        <w:t xml:space="preserve">Citu </w:t>
      </w:r>
      <w:proofErr w:type="spellStart"/>
      <w:r w:rsidRPr="008761F9">
        <w:rPr>
          <w:rFonts w:eastAsia="+mn-ea" w:cs="Times New Roman"/>
          <w:kern w:val="24"/>
          <w:szCs w:val="24"/>
          <w:lang w:eastAsia="lv-LV"/>
        </w:rPr>
        <w:t>problēmgadījumu</w:t>
      </w:r>
      <w:proofErr w:type="spellEnd"/>
      <w:r w:rsidRPr="008761F9">
        <w:rPr>
          <w:rFonts w:eastAsia="+mn-ea" w:cs="Times New Roman"/>
          <w:kern w:val="24"/>
          <w:szCs w:val="24"/>
          <w:lang w:eastAsia="lv-LV"/>
        </w:rPr>
        <w:t xml:space="preserve"> risināšana</w:t>
      </w:r>
      <w:r w:rsidR="001F0498" w:rsidRPr="008761F9">
        <w:rPr>
          <w:rFonts w:eastAsia="+mn-ea" w:cs="Times New Roman"/>
          <w:kern w:val="24"/>
          <w:szCs w:val="24"/>
          <w:lang w:eastAsia="lv-LV"/>
        </w:rPr>
        <w:t xml:space="preserve"> - balstoties uz šobrīd pieejamajiem datiem,  </w:t>
      </w:r>
      <w:r w:rsidR="00B40366">
        <w:rPr>
          <w:rFonts w:eastAsia="+mn-ea" w:cs="Times New Roman"/>
          <w:kern w:val="24"/>
          <w:szCs w:val="24"/>
          <w:lang w:eastAsia="lv-LV"/>
        </w:rPr>
        <w:t xml:space="preserve">turpmāk vēl ir </w:t>
      </w:r>
      <w:r w:rsidR="001F0498" w:rsidRPr="008761F9">
        <w:rPr>
          <w:rFonts w:eastAsia="+mn-ea" w:cs="Times New Roman"/>
          <w:kern w:val="24"/>
          <w:szCs w:val="24"/>
          <w:lang w:eastAsia="lv-LV"/>
        </w:rPr>
        <w:t>iespējam</w:t>
      </w:r>
      <w:r w:rsidR="00412851">
        <w:rPr>
          <w:rFonts w:eastAsia="+mn-ea" w:cs="Times New Roman"/>
          <w:kern w:val="24"/>
          <w:szCs w:val="24"/>
          <w:lang w:eastAsia="lv-LV"/>
        </w:rPr>
        <w:t>i</w:t>
      </w:r>
      <w:r w:rsidR="001F0498" w:rsidRPr="008761F9">
        <w:rPr>
          <w:rFonts w:eastAsia="+mn-ea" w:cs="Times New Roman"/>
          <w:kern w:val="24"/>
          <w:szCs w:val="24"/>
          <w:lang w:eastAsia="lv-LV"/>
        </w:rPr>
        <w:t xml:space="preserve"> </w:t>
      </w:r>
      <w:r w:rsidR="00412851">
        <w:rPr>
          <w:rFonts w:eastAsia="+mn-ea" w:cs="Times New Roman"/>
          <w:kern w:val="24"/>
          <w:szCs w:val="24"/>
          <w:lang w:eastAsia="lv-LV"/>
        </w:rPr>
        <w:t xml:space="preserve">papildu valsts budžeta izdevumi </w:t>
      </w:r>
      <w:r w:rsidR="00B40366" w:rsidRPr="00B40366">
        <w:rPr>
          <w:rFonts w:eastAsia="+mn-ea" w:cs="Times New Roman"/>
          <w:kern w:val="24"/>
          <w:szCs w:val="24"/>
          <w:lang w:eastAsia="lv-LV"/>
        </w:rPr>
        <w:t xml:space="preserve">par tiešiem ES fondu projektu maksājumiem </w:t>
      </w:r>
      <w:r w:rsidR="00412851">
        <w:rPr>
          <w:rFonts w:eastAsia="+mn-ea" w:cs="Times New Roman"/>
          <w:kern w:val="24"/>
          <w:szCs w:val="24"/>
          <w:lang w:eastAsia="lv-LV"/>
        </w:rPr>
        <w:t xml:space="preserve">indikatīvi </w:t>
      </w:r>
      <w:r w:rsidR="00ED18EA">
        <w:rPr>
          <w:rFonts w:eastAsia="+mn-ea" w:cs="Times New Roman"/>
          <w:kern w:val="24"/>
          <w:szCs w:val="24"/>
          <w:lang w:eastAsia="lv-LV"/>
        </w:rPr>
        <w:t>21,0</w:t>
      </w:r>
      <w:r w:rsidR="00412851">
        <w:rPr>
          <w:rFonts w:eastAsia="+mn-ea" w:cs="Times New Roman"/>
          <w:kern w:val="24"/>
          <w:szCs w:val="24"/>
          <w:lang w:eastAsia="lv-LV"/>
        </w:rPr>
        <w:t xml:space="preserve"> milj. </w:t>
      </w:r>
      <w:r w:rsidR="00412851" w:rsidRPr="00412851">
        <w:rPr>
          <w:rFonts w:eastAsia="+mn-ea" w:cs="Times New Roman"/>
          <w:i/>
          <w:kern w:val="24"/>
          <w:szCs w:val="24"/>
          <w:lang w:eastAsia="lv-LV"/>
        </w:rPr>
        <w:t>euro</w:t>
      </w:r>
      <w:r w:rsidR="00412851">
        <w:rPr>
          <w:rFonts w:eastAsia="+mn-ea" w:cs="Times New Roman"/>
          <w:kern w:val="24"/>
          <w:szCs w:val="24"/>
          <w:lang w:eastAsia="lv-LV"/>
        </w:rPr>
        <w:t xml:space="preserve"> apmērā </w:t>
      </w:r>
      <w:r w:rsidR="001F0498" w:rsidRPr="008761F9">
        <w:rPr>
          <w:rFonts w:eastAsia="+mn-ea" w:cs="Times New Roman"/>
          <w:kern w:val="24"/>
          <w:szCs w:val="24"/>
          <w:lang w:eastAsia="lv-LV"/>
        </w:rPr>
        <w:t>saistībā ar esošajām un iespē</w:t>
      </w:r>
      <w:r w:rsidR="00487829">
        <w:rPr>
          <w:rFonts w:eastAsia="+mn-ea" w:cs="Times New Roman"/>
          <w:kern w:val="24"/>
          <w:szCs w:val="24"/>
          <w:lang w:eastAsia="lv-LV"/>
        </w:rPr>
        <w:t>ja</w:t>
      </w:r>
      <w:r w:rsidR="001F0498" w:rsidRPr="008761F9">
        <w:rPr>
          <w:rFonts w:eastAsia="+mn-ea" w:cs="Times New Roman"/>
          <w:kern w:val="24"/>
          <w:szCs w:val="24"/>
          <w:lang w:eastAsia="lv-LV"/>
        </w:rPr>
        <w:t>majām tiesvedībām</w:t>
      </w:r>
      <w:r w:rsidR="00412851">
        <w:rPr>
          <w:rFonts w:eastAsia="+mn-ea" w:cs="Times New Roman"/>
          <w:kern w:val="24"/>
          <w:szCs w:val="24"/>
          <w:lang w:eastAsia="lv-LV"/>
        </w:rPr>
        <w:t>,</w:t>
      </w:r>
      <w:r w:rsidR="001F0498" w:rsidRPr="008761F9">
        <w:rPr>
          <w:rFonts w:eastAsia="+mn-ea" w:cs="Times New Roman"/>
          <w:kern w:val="24"/>
          <w:szCs w:val="24"/>
          <w:lang w:eastAsia="lv-LV"/>
        </w:rPr>
        <w:t xml:space="preserve"> neatbilstību lēmumu pārsūdzībām</w:t>
      </w:r>
      <w:r w:rsidR="00412851">
        <w:rPr>
          <w:rFonts w:eastAsia="+mn-ea" w:cs="Times New Roman"/>
          <w:kern w:val="24"/>
          <w:szCs w:val="24"/>
          <w:lang w:eastAsia="lv-LV"/>
        </w:rPr>
        <w:t xml:space="preserve"> un apstrīdēšanām ES fondu projektu ietvaros</w:t>
      </w:r>
      <w:r w:rsidR="001F0498" w:rsidRPr="008761F9">
        <w:rPr>
          <w:rFonts w:eastAsia="+mn-ea" w:cs="Times New Roman"/>
          <w:kern w:val="24"/>
          <w:szCs w:val="24"/>
          <w:lang w:eastAsia="lv-LV"/>
        </w:rPr>
        <w:t xml:space="preserve"> – </w:t>
      </w:r>
      <w:r w:rsidR="00412851">
        <w:rPr>
          <w:rFonts w:eastAsia="+mn-ea" w:cs="Times New Roman"/>
          <w:kern w:val="24"/>
          <w:szCs w:val="24"/>
          <w:lang w:eastAsia="lv-LV"/>
        </w:rPr>
        <w:t>gadījumā, ja stāsies spēkā finansējuma saņēmējam labvēlīgs lēmums un būs jānodrošina maksājumi finansējuma saņēmējiem</w:t>
      </w:r>
      <w:r w:rsidR="001F0498" w:rsidRPr="008761F9">
        <w:rPr>
          <w:rFonts w:eastAsia="+mn-ea" w:cs="Times New Roman"/>
          <w:kern w:val="24"/>
          <w:szCs w:val="24"/>
          <w:lang w:eastAsia="lv-LV"/>
        </w:rPr>
        <w:t xml:space="preserve">. </w:t>
      </w:r>
      <w:r w:rsidR="00B40366" w:rsidRPr="00B40366">
        <w:rPr>
          <w:rFonts w:eastAsia="+mn-ea" w:cs="Times New Roman"/>
          <w:kern w:val="24"/>
          <w:szCs w:val="24"/>
          <w:lang w:eastAsia="lv-LV"/>
        </w:rPr>
        <w:t xml:space="preserve">Tāpat </w:t>
      </w:r>
      <w:r w:rsidR="00B40366" w:rsidRPr="00492D8E">
        <w:rPr>
          <w:rFonts w:eastAsia="+mn-ea" w:cs="Times New Roman"/>
          <w:kern w:val="24"/>
          <w:szCs w:val="24"/>
          <w:lang w:eastAsia="lv-LV"/>
        </w:rPr>
        <w:t>iespējami papildus tiesas lēmumi par citiem saistītiem izdevumiem. Piemēram, p</w:t>
      </w:r>
      <w:r w:rsidR="00677669" w:rsidRPr="00492D8E">
        <w:rPr>
          <w:rFonts w:eastAsia="+mn-ea" w:cs="Times New Roman"/>
          <w:kern w:val="24"/>
          <w:szCs w:val="24"/>
          <w:lang w:eastAsia="lv-LV"/>
        </w:rPr>
        <w:t>ēc plānošanas perioda pēdējā maksāšanas termiņa beigām</w:t>
      </w:r>
      <w:r w:rsidR="00412851" w:rsidRPr="00492D8E">
        <w:rPr>
          <w:rFonts w:eastAsia="+mn-ea" w:cs="Times New Roman"/>
          <w:kern w:val="24"/>
          <w:szCs w:val="24"/>
          <w:lang w:eastAsia="lv-LV"/>
        </w:rPr>
        <w:t xml:space="preserve"> (2016.gada 31.marts) –</w:t>
      </w:r>
      <w:r w:rsidR="00677669" w:rsidRPr="00492D8E">
        <w:rPr>
          <w:rFonts w:eastAsia="+mn-ea" w:cs="Times New Roman"/>
          <w:kern w:val="24"/>
          <w:szCs w:val="24"/>
          <w:lang w:eastAsia="lv-LV"/>
        </w:rPr>
        <w:t xml:space="preserve"> 2016.gada maijā un jūnijā </w:t>
      </w:r>
      <w:r w:rsidR="001F0498" w:rsidRPr="00492D8E">
        <w:rPr>
          <w:rFonts w:eastAsia="+mn-ea" w:cs="Times New Roman"/>
          <w:kern w:val="24"/>
          <w:szCs w:val="24"/>
          <w:lang w:eastAsia="lv-LV"/>
        </w:rPr>
        <w:t xml:space="preserve">VIAA </w:t>
      </w:r>
      <w:r w:rsidR="00677669" w:rsidRPr="00492D8E">
        <w:rPr>
          <w:rFonts w:eastAsia="+mn-ea" w:cs="Times New Roman"/>
          <w:kern w:val="24"/>
          <w:szCs w:val="24"/>
          <w:lang w:eastAsia="lv-LV"/>
        </w:rPr>
        <w:t xml:space="preserve">jau </w:t>
      </w:r>
      <w:r w:rsidR="001F0498" w:rsidRPr="00492D8E">
        <w:rPr>
          <w:rFonts w:eastAsia="+mn-ea" w:cs="Times New Roman"/>
          <w:kern w:val="24"/>
          <w:szCs w:val="24"/>
          <w:lang w:eastAsia="lv-LV"/>
        </w:rPr>
        <w:t>ir pieņēmusi lēmumu</w:t>
      </w:r>
      <w:r w:rsidR="00677669" w:rsidRPr="00492D8E">
        <w:rPr>
          <w:rFonts w:eastAsia="+mn-ea" w:cs="Times New Roman"/>
          <w:kern w:val="24"/>
          <w:szCs w:val="24"/>
          <w:lang w:eastAsia="lv-LV"/>
        </w:rPr>
        <w:t>s</w:t>
      </w:r>
      <w:r w:rsidR="001F0498" w:rsidRPr="00492D8E">
        <w:rPr>
          <w:rFonts w:eastAsia="+mn-ea" w:cs="Times New Roman"/>
          <w:kern w:val="24"/>
          <w:szCs w:val="24"/>
          <w:lang w:eastAsia="lv-LV"/>
        </w:rPr>
        <w:t xml:space="preserve"> par labu finansējuma saņēmējam pēc tā sūdzības par neatbilstību lēmumu izskatīšanas</w:t>
      </w:r>
      <w:r w:rsidR="00677669" w:rsidRPr="00492D8E">
        <w:rPr>
          <w:rFonts w:eastAsia="+mn-ea" w:cs="Times New Roman"/>
          <w:kern w:val="24"/>
          <w:szCs w:val="24"/>
          <w:lang w:eastAsia="lv-LV"/>
        </w:rPr>
        <w:t xml:space="preserve"> </w:t>
      </w:r>
      <w:r w:rsidR="00D620E6" w:rsidRPr="00492D8E">
        <w:rPr>
          <w:rFonts w:eastAsia="+mn-ea" w:cs="Times New Roman"/>
          <w:kern w:val="24"/>
          <w:szCs w:val="24"/>
          <w:lang w:eastAsia="lv-LV"/>
        </w:rPr>
        <w:t xml:space="preserve">5 </w:t>
      </w:r>
      <w:r w:rsidR="00677669" w:rsidRPr="00492D8E">
        <w:rPr>
          <w:rFonts w:eastAsia="+mn-ea" w:cs="Times New Roman"/>
          <w:kern w:val="24"/>
          <w:szCs w:val="24"/>
          <w:lang w:eastAsia="lv-LV"/>
        </w:rPr>
        <w:t>gadījumos</w:t>
      </w:r>
      <w:r w:rsidR="00712FA4" w:rsidRPr="00492D8E">
        <w:rPr>
          <w:rFonts w:eastAsia="+mn-ea" w:cs="Times New Roman"/>
          <w:kern w:val="24"/>
          <w:szCs w:val="24"/>
          <w:lang w:eastAsia="lv-LV"/>
        </w:rPr>
        <w:t xml:space="preserve"> (4 projektos)</w:t>
      </w:r>
      <w:r w:rsidR="00677669" w:rsidRPr="00492D8E">
        <w:rPr>
          <w:rFonts w:eastAsia="+mn-ea" w:cs="Times New Roman"/>
          <w:kern w:val="24"/>
          <w:szCs w:val="24"/>
          <w:lang w:eastAsia="lv-LV"/>
        </w:rPr>
        <w:t xml:space="preserve"> kopumā par summu </w:t>
      </w:r>
      <w:r w:rsidR="00D620E6" w:rsidRPr="00492D8E">
        <w:rPr>
          <w:iCs/>
          <w:sz w:val="22"/>
        </w:rPr>
        <w:t xml:space="preserve">18 936 </w:t>
      </w:r>
      <w:r w:rsidR="00677669" w:rsidRPr="00492D8E">
        <w:rPr>
          <w:rFonts w:eastAsia="+mn-ea" w:cs="Times New Roman"/>
          <w:i/>
          <w:kern w:val="24"/>
          <w:szCs w:val="24"/>
          <w:lang w:eastAsia="lv-LV"/>
        </w:rPr>
        <w:t>euro</w:t>
      </w:r>
      <w:r w:rsidR="00677669" w:rsidRPr="00492D8E">
        <w:rPr>
          <w:rFonts w:eastAsia="+mn-ea" w:cs="Times New Roman"/>
          <w:kern w:val="24"/>
          <w:szCs w:val="24"/>
          <w:lang w:eastAsia="lv-LV"/>
        </w:rPr>
        <w:t>. Attiecībā uz</w:t>
      </w:r>
      <w:r w:rsidR="00677669">
        <w:rPr>
          <w:rFonts w:eastAsia="+mn-ea" w:cs="Times New Roman"/>
          <w:kern w:val="24"/>
          <w:szCs w:val="24"/>
          <w:lang w:eastAsia="lv-LV"/>
        </w:rPr>
        <w:t xml:space="preserve"> konkrētajiem VIAA gadījumiem, kur nepieciešam</w:t>
      </w:r>
      <w:r w:rsidR="00412851">
        <w:rPr>
          <w:rFonts w:eastAsia="+mn-ea" w:cs="Times New Roman"/>
          <w:kern w:val="24"/>
          <w:szCs w:val="24"/>
          <w:lang w:eastAsia="lv-LV"/>
        </w:rPr>
        <w:t>a</w:t>
      </w:r>
      <w:r w:rsidR="00677669">
        <w:rPr>
          <w:rFonts w:eastAsia="+mn-ea" w:cs="Times New Roman"/>
          <w:kern w:val="24"/>
          <w:szCs w:val="24"/>
          <w:lang w:eastAsia="lv-LV"/>
        </w:rPr>
        <w:t xml:space="preserve"> operatīvāka rīcība, ir paredzēts </w:t>
      </w:r>
      <w:r w:rsidR="00412851">
        <w:rPr>
          <w:rFonts w:eastAsia="+mn-ea" w:cs="Times New Roman"/>
          <w:kern w:val="24"/>
          <w:szCs w:val="24"/>
          <w:lang w:eastAsia="lv-LV"/>
        </w:rPr>
        <w:t xml:space="preserve">ar MK </w:t>
      </w:r>
      <w:proofErr w:type="spellStart"/>
      <w:r w:rsidR="00677669">
        <w:rPr>
          <w:rFonts w:eastAsia="+mn-ea" w:cs="Times New Roman"/>
          <w:kern w:val="24"/>
          <w:szCs w:val="24"/>
          <w:lang w:eastAsia="lv-LV"/>
        </w:rPr>
        <w:t>protokollēmum</w:t>
      </w:r>
      <w:r w:rsidR="00412851">
        <w:rPr>
          <w:rFonts w:eastAsia="+mn-ea" w:cs="Times New Roman"/>
          <w:kern w:val="24"/>
          <w:szCs w:val="24"/>
          <w:lang w:eastAsia="lv-LV"/>
        </w:rPr>
        <w:t>u</w:t>
      </w:r>
      <w:proofErr w:type="spellEnd"/>
      <w:r w:rsidR="00677669">
        <w:rPr>
          <w:rFonts w:eastAsia="+mn-ea" w:cs="Times New Roman"/>
          <w:kern w:val="24"/>
          <w:szCs w:val="24"/>
          <w:lang w:eastAsia="lv-LV"/>
        </w:rPr>
        <w:t xml:space="preserve"> atbalstīt </w:t>
      </w:r>
      <w:r w:rsidR="00412851">
        <w:rPr>
          <w:rFonts w:eastAsia="+mn-ea" w:cs="Times New Roman"/>
          <w:kern w:val="24"/>
          <w:szCs w:val="24"/>
          <w:lang w:eastAsia="lv-LV"/>
        </w:rPr>
        <w:t xml:space="preserve">valsts budžeta </w:t>
      </w:r>
      <w:r w:rsidR="00677669">
        <w:rPr>
          <w:rFonts w:eastAsia="+mn-ea" w:cs="Times New Roman"/>
          <w:kern w:val="24"/>
          <w:szCs w:val="24"/>
          <w:lang w:eastAsia="lv-LV"/>
        </w:rPr>
        <w:t xml:space="preserve">līdzekļu pārdali šo </w:t>
      </w:r>
      <w:r w:rsidR="00677669" w:rsidRPr="00233E5E">
        <w:t xml:space="preserve">izdevumu </w:t>
      </w:r>
      <w:r w:rsidR="00677669" w:rsidRPr="00894FE8">
        <w:t>segšanai</w:t>
      </w:r>
      <w:r w:rsidR="00677669">
        <w:t xml:space="preserve">. </w:t>
      </w:r>
      <w:r w:rsidR="00677669">
        <w:rPr>
          <w:rFonts w:eastAsia="+mn-ea" w:cs="Times New Roman"/>
          <w:kern w:val="24"/>
          <w:szCs w:val="24"/>
          <w:lang w:eastAsia="lv-LV"/>
        </w:rPr>
        <w:t>Detālāku info</w:t>
      </w:r>
      <w:r w:rsidR="00D66010">
        <w:rPr>
          <w:rFonts w:eastAsia="+mn-ea" w:cs="Times New Roman"/>
          <w:kern w:val="24"/>
          <w:szCs w:val="24"/>
          <w:lang w:eastAsia="lv-LV"/>
        </w:rPr>
        <w:t>rmāciju skatīt šī ziņojuma 6.1.</w:t>
      </w:r>
      <w:r w:rsidR="00677669">
        <w:rPr>
          <w:rFonts w:eastAsia="+mn-ea" w:cs="Times New Roman"/>
          <w:kern w:val="24"/>
          <w:szCs w:val="24"/>
          <w:lang w:eastAsia="lv-LV"/>
        </w:rPr>
        <w:t>sadaļā</w:t>
      </w:r>
      <w:r w:rsidR="00412851">
        <w:rPr>
          <w:rFonts w:eastAsia="+mn-ea" w:cs="Times New Roman"/>
          <w:kern w:val="24"/>
          <w:szCs w:val="24"/>
          <w:lang w:eastAsia="lv-LV"/>
        </w:rPr>
        <w:t>.</w:t>
      </w:r>
      <w:r w:rsidR="00677669">
        <w:t xml:space="preserve"> </w:t>
      </w:r>
      <w:r w:rsidR="005E286C">
        <w:t>Attiecīgi</w:t>
      </w:r>
      <w:r w:rsidR="00677669">
        <w:t>, attiecībā uz citiem nākotnē iespējamiem līdzīgiem gadījumiem, kad nepi</w:t>
      </w:r>
      <w:r w:rsidR="007C2B69">
        <w:t>e</w:t>
      </w:r>
      <w:r w:rsidR="00677669">
        <w:t xml:space="preserve">ciešami valsts budžeta </w:t>
      </w:r>
      <w:r w:rsidR="00412851">
        <w:t xml:space="preserve">līdzekļi </w:t>
      </w:r>
      <w:r w:rsidR="00677669">
        <w:t>saistību segšanai, FM</w:t>
      </w:r>
      <w:r w:rsidR="00412851">
        <w:t xml:space="preserve"> informatīvā ziņojuma </w:t>
      </w:r>
      <w:proofErr w:type="spellStart"/>
      <w:r w:rsidR="00412851">
        <w:t>protokollēmum</w:t>
      </w:r>
      <w:r w:rsidR="00392314">
        <w:t>s</w:t>
      </w:r>
      <w:proofErr w:type="spellEnd"/>
      <w:r w:rsidR="00412851">
        <w:t xml:space="preserve"> paredz noteikt, ka gadījumā, ja stāsies spēkā </w:t>
      </w:r>
      <w:r w:rsidR="00412851" w:rsidRPr="00412851">
        <w:t xml:space="preserve">finansējuma saņēmējam labvēlīgs lēmums  un būs nepieciešams nodrošināt faktiskos izdevumus no valsts budžeta ES fondu projektu ietvaros, </w:t>
      </w:r>
      <w:r w:rsidR="00ED18EA">
        <w:t>tad</w:t>
      </w:r>
      <w:r w:rsidR="00392314">
        <w:t>, ņemot vērā situāciju dažādību attiecībā uz pārsūdzību, apstrīdēšanu un tiesvedību gadījumiem</w:t>
      </w:r>
      <w:r w:rsidR="00ED18EA">
        <w:t xml:space="preserve"> </w:t>
      </w:r>
      <w:r w:rsidR="00BD4731">
        <w:t xml:space="preserve">Valsts kancelejai vai </w:t>
      </w:r>
      <w:r w:rsidR="00412851" w:rsidRPr="00412851">
        <w:t>ministrija</w:t>
      </w:r>
      <w:r w:rsidR="00ED18EA">
        <w:t>i jāsagatavo un jāiesniedz MK attiecīgs informatīvais ziņojums, kurā norādīts detalizēts apraksts par pārsūdzības gadījumu un finansiālo ietekmi, lēmuma pieņemšanai par finansējuma pārdali</w:t>
      </w:r>
      <w:r w:rsidR="00412851" w:rsidRPr="00412851">
        <w:t xml:space="preserve"> no 74.resora “Gadskārtējā valsts budžeta izpildes procesā pārdalāmais finansējums” 80.00.00 programmas “Nesadalītais finansējums Eiropas Savienības politiku instrumentu un pārējās ārvalstu finanšu palīdzības līdzfinansēto projekt</w:t>
      </w:r>
      <w:r w:rsidR="00C30E9D">
        <w:t xml:space="preserve">u un </w:t>
      </w:r>
      <w:r w:rsidR="00412851" w:rsidRPr="00412851">
        <w:t>pasākumu īstenošanai”</w:t>
      </w:r>
      <w:r w:rsidR="00412851">
        <w:t>.</w:t>
      </w:r>
      <w:r w:rsidR="00392314">
        <w:t xml:space="preserve"> </w:t>
      </w:r>
      <w:proofErr w:type="spellStart"/>
      <w:r w:rsidR="008A7D94">
        <w:t>Līgumslēdzējiestāde</w:t>
      </w:r>
      <w:proofErr w:type="spellEnd"/>
      <w:r w:rsidR="008A7D94">
        <w:t xml:space="preserve"> pēc pozitīva lēmuma pieņemšanas informē</w:t>
      </w:r>
      <w:r w:rsidR="00E0315F">
        <w:t xml:space="preserve"> finansējuma saņē</w:t>
      </w:r>
      <w:r w:rsidR="008A7D94">
        <w:t xml:space="preserve">mēju </w:t>
      </w:r>
      <w:r w:rsidR="0030457F">
        <w:t>tikai pēc</w:t>
      </w:r>
      <w:r w:rsidR="008A7D94">
        <w:t xml:space="preserve"> MK lēmum</w:t>
      </w:r>
      <w:r w:rsidR="0030457F">
        <w:t>a pieņemšanas</w:t>
      </w:r>
      <w:r w:rsidR="008A7D94">
        <w:t xml:space="preserve">. </w:t>
      </w:r>
      <w:r w:rsidR="00412851">
        <w:t>Papildus, ņemot vērā, ka saskaņā ar EK regulas 1083/2006</w:t>
      </w:r>
      <w:r w:rsidR="00412851">
        <w:rPr>
          <w:rStyle w:val="FootnoteReference"/>
        </w:rPr>
        <w:footnoteReference w:id="11"/>
      </w:r>
      <w:r w:rsidR="00412851">
        <w:t xml:space="preserve"> 56. un 77.pantu ir attiecināmi izdevumi</w:t>
      </w:r>
      <w:r w:rsidR="00ED18EA">
        <w:t xml:space="preserve"> finansēšanai no ES fondiem</w:t>
      </w:r>
      <w:r w:rsidR="00412851">
        <w:t>, kas projektos faktiski veikti l</w:t>
      </w:r>
      <w:r w:rsidR="00ED18EA">
        <w:t>īdz 2015.gada 31.decembrim,</w:t>
      </w:r>
      <w:r w:rsidR="00412851">
        <w:t xml:space="preserve"> un tie var tikt iekļauti izdevumu deklarācijā EK,</w:t>
      </w:r>
      <w:r w:rsidR="00412851" w:rsidRPr="00412851">
        <w:t xml:space="preserve"> informatīvā ziņojuma </w:t>
      </w:r>
      <w:proofErr w:type="spellStart"/>
      <w:r w:rsidR="00412851" w:rsidRPr="00412851">
        <w:t>protokollēmumā</w:t>
      </w:r>
      <w:proofErr w:type="spellEnd"/>
      <w:r w:rsidR="00412851" w:rsidRPr="00412851">
        <w:t xml:space="preserve"> tiek noteikts, ka Valsts kasei kā</w:t>
      </w:r>
      <w:r w:rsidR="00BD4731">
        <w:t xml:space="preserve"> sertifikācijas iestādei ir</w:t>
      </w:r>
      <w:r w:rsidR="00412851" w:rsidRPr="00412851">
        <w:t xml:space="preserve"> tiesības </w:t>
      </w:r>
      <w:r w:rsidR="00BD4731">
        <w:t>līdz 2016.gada 30.novembrim veikto</w:t>
      </w:r>
      <w:r w:rsidR="00392314">
        <w:t>s</w:t>
      </w:r>
      <w:r w:rsidR="00BD4731">
        <w:t xml:space="preserve"> izdevumus </w:t>
      </w:r>
      <w:r w:rsidR="00412851" w:rsidRPr="00412851">
        <w:t>iekļaut noslēguma izdevumu deklarācijā EK</w:t>
      </w:r>
      <w:r w:rsidR="00ED18EA">
        <w:t xml:space="preserve"> izdevumus</w:t>
      </w:r>
      <w:r w:rsidR="00412851" w:rsidRPr="00412851">
        <w:t>,</w:t>
      </w:r>
      <w:r w:rsidR="00ED18EA">
        <w:t xml:space="preserve"> kuru apmaksa veikta, ņemot vēr</w:t>
      </w:r>
      <w:r w:rsidR="00200D49">
        <w:t xml:space="preserve">ā </w:t>
      </w:r>
      <w:r w:rsidR="00ED18EA">
        <w:t>pārsūdzības par labu finansējuma saņēmējiem,</w:t>
      </w:r>
      <w:r w:rsidR="00412851" w:rsidRPr="00412851">
        <w:t xml:space="preserve"> par izdevumu deklarēšanas nepieciešamību savstarpēji vienojoties ar VI un RI ar mērķi nodrošināt ES fondu līdzekļu pieprasīšanu no EK pilnā apmērā. Detalizēt</w:t>
      </w:r>
      <w:r w:rsidR="0023324F">
        <w:t>i</w:t>
      </w:r>
      <w:r w:rsidR="00412851" w:rsidRPr="00412851">
        <w:t xml:space="preserve"> iespējami izmaksājamo finansējumu skatīt Tabulā Nr.1.</w:t>
      </w:r>
      <w:r w:rsidR="00677669">
        <w:t xml:space="preserve"> </w:t>
      </w:r>
    </w:p>
    <w:p w14:paraId="34D627A2" w14:textId="03F5805E" w:rsidR="00412851" w:rsidRPr="00904123" w:rsidRDefault="00904123" w:rsidP="00904123">
      <w:r>
        <w:br w:type="page"/>
      </w:r>
    </w:p>
    <w:p w14:paraId="5DE5AD7E" w14:textId="0AFEC08A" w:rsidR="00412851" w:rsidRPr="00577059" w:rsidRDefault="00412851" w:rsidP="00904123">
      <w:pPr>
        <w:pStyle w:val="ListParagraph"/>
        <w:tabs>
          <w:tab w:val="left" w:pos="284"/>
        </w:tabs>
        <w:spacing w:before="120" w:after="120"/>
        <w:ind w:left="0"/>
        <w:contextualSpacing w:val="0"/>
        <w:jc w:val="both"/>
        <w:rPr>
          <w:rFonts w:eastAsia="+mn-ea" w:cs="Times New Roman"/>
          <w:i/>
          <w:kern w:val="24"/>
          <w:sz w:val="22"/>
          <w:szCs w:val="24"/>
          <w:lang w:eastAsia="lv-LV"/>
        </w:rPr>
      </w:pPr>
      <w:r w:rsidRPr="00577059">
        <w:rPr>
          <w:rFonts w:cs="Times New Roman"/>
          <w:b/>
          <w:i/>
          <w:sz w:val="22"/>
        </w:rPr>
        <w:lastRenderedPageBreak/>
        <w:t>Tabula Nr.1</w:t>
      </w:r>
      <w:r w:rsidRPr="00577059">
        <w:rPr>
          <w:rFonts w:cs="Times New Roman"/>
          <w:i/>
          <w:sz w:val="22"/>
        </w:rPr>
        <w:t xml:space="preserve"> Indikatīvs izdevumu apmērs, ko iespējams var nākties segt no budžeta izdevumi</w:t>
      </w:r>
      <w:r w:rsidR="0064709A" w:rsidRPr="00577059">
        <w:rPr>
          <w:rFonts w:cs="Times New Roman"/>
          <w:i/>
          <w:sz w:val="22"/>
        </w:rPr>
        <w:t>em (investīciju jomu dalījumā</w:t>
      </w:r>
      <w:r w:rsidR="00ED18EA" w:rsidRPr="00577059">
        <w:rPr>
          <w:rFonts w:cs="Times New Roman"/>
          <w:i/>
          <w:sz w:val="22"/>
        </w:rPr>
        <w:t>, izdalot tiesvedību gadījumus un lēmumu apstrīdēšanu sadarbības iestādes līmenī</w:t>
      </w:r>
      <w:r w:rsidR="0064709A" w:rsidRPr="00577059">
        <w:rPr>
          <w:rFonts w:cs="Times New Roman"/>
          <w:i/>
          <w:sz w:val="22"/>
        </w:rPr>
        <w:t>)</w:t>
      </w:r>
    </w:p>
    <w:tbl>
      <w:tblPr>
        <w:tblW w:w="0" w:type="auto"/>
        <w:tblInd w:w="360" w:type="dxa"/>
        <w:tblLayout w:type="fixed"/>
        <w:tblCellMar>
          <w:left w:w="0" w:type="dxa"/>
          <w:right w:w="0" w:type="dxa"/>
        </w:tblCellMar>
        <w:tblLook w:val="04A0" w:firstRow="1" w:lastRow="0" w:firstColumn="1" w:lastColumn="0" w:noHBand="0" w:noVBand="1"/>
      </w:tblPr>
      <w:tblGrid>
        <w:gridCol w:w="623"/>
        <w:gridCol w:w="3607"/>
        <w:gridCol w:w="2381"/>
        <w:gridCol w:w="1909"/>
      </w:tblGrid>
      <w:tr w:rsidR="00ED18EA" w:rsidRPr="00912844" w14:paraId="0BDC5D58" w14:textId="596AE8C2" w:rsidTr="00904123">
        <w:trPr>
          <w:trHeight w:val="219"/>
        </w:trPr>
        <w:tc>
          <w:tcPr>
            <w:tcW w:w="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DA16D" w14:textId="77777777" w:rsidR="00ED18EA" w:rsidRPr="00912844" w:rsidRDefault="00ED18EA" w:rsidP="00ED18EA">
            <w:pPr>
              <w:pStyle w:val="ListParagraph"/>
              <w:spacing w:before="120" w:after="120" w:line="276" w:lineRule="auto"/>
              <w:ind w:left="0"/>
              <w:jc w:val="both"/>
              <w:rPr>
                <w:rFonts w:cs="Times New Roman"/>
              </w:rPr>
            </w:pPr>
            <w:proofErr w:type="spellStart"/>
            <w:r w:rsidRPr="00912844">
              <w:rPr>
                <w:rFonts w:cs="Times New Roman"/>
              </w:rPr>
              <w:t>Nr.p.k</w:t>
            </w:r>
            <w:proofErr w:type="spellEnd"/>
            <w:r w:rsidRPr="00912844">
              <w:rPr>
                <w:rFonts w:cs="Times New Roman"/>
              </w:rPr>
              <w:t>.</w:t>
            </w:r>
          </w:p>
        </w:tc>
        <w:tc>
          <w:tcPr>
            <w:tcW w:w="3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66A699" w14:textId="77777777" w:rsidR="00ED18EA" w:rsidRPr="00912844" w:rsidRDefault="00ED18EA" w:rsidP="00ED18EA">
            <w:pPr>
              <w:pStyle w:val="ListParagraph"/>
              <w:spacing w:before="120" w:after="120" w:line="276" w:lineRule="auto"/>
              <w:ind w:left="0"/>
              <w:jc w:val="both"/>
              <w:rPr>
                <w:rFonts w:cs="Times New Roman"/>
              </w:rPr>
            </w:pPr>
            <w:r w:rsidRPr="00912844">
              <w:rPr>
                <w:rFonts w:cs="Times New Roman"/>
              </w:rPr>
              <w:t>Investīciju joma</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1E073" w14:textId="4EFF645A" w:rsidR="00ED18EA" w:rsidRPr="00912844" w:rsidRDefault="00ED18EA" w:rsidP="00ED18EA">
            <w:pPr>
              <w:pStyle w:val="ListParagraph"/>
              <w:spacing w:before="120" w:after="120" w:line="276" w:lineRule="auto"/>
              <w:ind w:left="0"/>
              <w:jc w:val="both"/>
              <w:rPr>
                <w:rFonts w:cs="Times New Roman"/>
              </w:rPr>
            </w:pPr>
            <w:r>
              <w:rPr>
                <w:rFonts w:cs="Times New Roman"/>
              </w:rPr>
              <w:t>Lēmumu apstrīdēšana</w:t>
            </w:r>
          </w:p>
        </w:tc>
        <w:tc>
          <w:tcPr>
            <w:tcW w:w="1909" w:type="dxa"/>
            <w:tcBorders>
              <w:top w:val="single" w:sz="8" w:space="0" w:color="auto"/>
              <w:left w:val="nil"/>
              <w:bottom w:val="single" w:sz="8" w:space="0" w:color="auto"/>
              <w:right w:val="single" w:sz="8" w:space="0" w:color="auto"/>
            </w:tcBorders>
          </w:tcPr>
          <w:p w14:paraId="757036B6" w14:textId="0A716B39" w:rsidR="00ED18EA" w:rsidRPr="00912844" w:rsidRDefault="00ED18EA" w:rsidP="00ED18EA">
            <w:pPr>
              <w:pStyle w:val="ListParagraph"/>
              <w:spacing w:before="120" w:after="120" w:line="276" w:lineRule="auto"/>
              <w:ind w:left="0"/>
              <w:jc w:val="center"/>
              <w:rPr>
                <w:rFonts w:cs="Times New Roman"/>
              </w:rPr>
            </w:pPr>
            <w:r>
              <w:rPr>
                <w:rFonts w:cs="Times New Roman"/>
              </w:rPr>
              <w:t>Tiesvedības riski</w:t>
            </w:r>
          </w:p>
        </w:tc>
      </w:tr>
      <w:tr w:rsidR="00ED18EA" w:rsidRPr="00912844" w14:paraId="71D25322" w14:textId="6CEFD4F5" w:rsidTr="00904123">
        <w:trPr>
          <w:trHeight w:val="21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5A9F9" w14:textId="77777777" w:rsidR="00ED18EA" w:rsidRPr="00912844" w:rsidRDefault="00ED18EA" w:rsidP="00ED18EA">
            <w:pPr>
              <w:pStyle w:val="ListParagraph"/>
              <w:spacing w:before="120" w:after="120" w:line="276" w:lineRule="auto"/>
              <w:ind w:left="0"/>
              <w:jc w:val="both"/>
              <w:rPr>
                <w:rFonts w:cs="Times New Roman"/>
              </w:rPr>
            </w:pPr>
            <w:r w:rsidRPr="00912844">
              <w:rPr>
                <w:rFonts w:cs="Times New Roman"/>
              </w:rPr>
              <w:t>1.</w:t>
            </w:r>
          </w:p>
        </w:tc>
        <w:tc>
          <w:tcPr>
            <w:tcW w:w="3607" w:type="dxa"/>
            <w:tcBorders>
              <w:top w:val="nil"/>
              <w:left w:val="nil"/>
              <w:bottom w:val="single" w:sz="8" w:space="0" w:color="auto"/>
              <w:right w:val="single" w:sz="8" w:space="0" w:color="auto"/>
            </w:tcBorders>
            <w:tcMar>
              <w:top w:w="0" w:type="dxa"/>
              <w:left w:w="108" w:type="dxa"/>
              <w:bottom w:w="0" w:type="dxa"/>
              <w:right w:w="108" w:type="dxa"/>
            </w:tcMar>
          </w:tcPr>
          <w:p w14:paraId="2E86875B" w14:textId="20502A22" w:rsidR="00ED18EA" w:rsidRPr="00912844" w:rsidRDefault="00ED18EA" w:rsidP="00ED18EA">
            <w:pPr>
              <w:pStyle w:val="ListParagraph"/>
              <w:spacing w:before="120" w:after="120" w:line="276" w:lineRule="auto"/>
              <w:ind w:left="0"/>
              <w:jc w:val="both"/>
              <w:rPr>
                <w:rFonts w:cs="Times New Roman"/>
              </w:rPr>
            </w:pPr>
            <w:r>
              <w:rPr>
                <w:rFonts w:cs="Times New Roman"/>
              </w:rPr>
              <w:t>Komercdarbības atbalsts</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14:paraId="7A0375FD" w14:textId="3AFFB41D" w:rsidR="00ED18EA" w:rsidRPr="00912844" w:rsidRDefault="00ED18EA" w:rsidP="00ED18EA">
            <w:pPr>
              <w:pStyle w:val="ListParagraph"/>
              <w:spacing w:before="120" w:after="120" w:line="276" w:lineRule="auto"/>
              <w:ind w:left="0"/>
              <w:jc w:val="center"/>
              <w:rPr>
                <w:rFonts w:cs="Times New Roman"/>
              </w:rPr>
            </w:pPr>
            <w:r>
              <w:rPr>
                <w:rFonts w:cs="Times New Roman"/>
              </w:rPr>
              <w:t xml:space="preserve">7,29 milj. </w:t>
            </w:r>
            <w:r w:rsidRPr="0064709A">
              <w:rPr>
                <w:rFonts w:cs="Times New Roman"/>
                <w:i/>
              </w:rPr>
              <w:t>euro</w:t>
            </w:r>
          </w:p>
        </w:tc>
        <w:tc>
          <w:tcPr>
            <w:tcW w:w="1909" w:type="dxa"/>
            <w:tcBorders>
              <w:top w:val="nil"/>
              <w:left w:val="nil"/>
              <w:bottom w:val="single" w:sz="8" w:space="0" w:color="auto"/>
              <w:right w:val="single" w:sz="8" w:space="0" w:color="auto"/>
            </w:tcBorders>
          </w:tcPr>
          <w:p w14:paraId="47C9AA1F" w14:textId="467F0487" w:rsidR="00ED18EA" w:rsidRDefault="00ED18EA" w:rsidP="00ED18EA">
            <w:pPr>
              <w:pStyle w:val="ListParagraph"/>
              <w:spacing w:before="120" w:after="120" w:line="276" w:lineRule="auto"/>
              <w:ind w:left="0"/>
              <w:jc w:val="center"/>
              <w:rPr>
                <w:rFonts w:cs="Times New Roman"/>
              </w:rPr>
            </w:pPr>
            <w:r>
              <w:rPr>
                <w:rFonts w:cs="Times New Roman"/>
              </w:rPr>
              <w:t xml:space="preserve">0,29 milj. </w:t>
            </w:r>
            <w:r w:rsidRPr="00ED18EA">
              <w:rPr>
                <w:rFonts w:cs="Times New Roman"/>
                <w:i/>
              </w:rPr>
              <w:t>euro</w:t>
            </w:r>
          </w:p>
        </w:tc>
      </w:tr>
      <w:tr w:rsidR="00ED18EA" w:rsidRPr="00912844" w14:paraId="08DBF064" w14:textId="1E904F7D" w:rsidTr="00904123">
        <w:trPr>
          <w:trHeight w:val="21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C32AB" w14:textId="77777777" w:rsidR="00ED18EA" w:rsidRPr="00912844" w:rsidRDefault="00ED18EA" w:rsidP="00ED18EA">
            <w:pPr>
              <w:pStyle w:val="ListParagraph"/>
              <w:spacing w:before="120" w:after="120" w:line="276" w:lineRule="auto"/>
              <w:ind w:left="0"/>
              <w:jc w:val="both"/>
              <w:rPr>
                <w:rFonts w:cs="Times New Roman"/>
              </w:rPr>
            </w:pPr>
            <w:r w:rsidRPr="00912844">
              <w:rPr>
                <w:rFonts w:cs="Times New Roman"/>
              </w:rPr>
              <w:t>2.</w:t>
            </w:r>
          </w:p>
        </w:tc>
        <w:tc>
          <w:tcPr>
            <w:tcW w:w="3607" w:type="dxa"/>
            <w:tcBorders>
              <w:top w:val="nil"/>
              <w:left w:val="nil"/>
              <w:bottom w:val="single" w:sz="8" w:space="0" w:color="auto"/>
              <w:right w:val="single" w:sz="8" w:space="0" w:color="auto"/>
            </w:tcBorders>
            <w:tcMar>
              <w:top w:w="0" w:type="dxa"/>
              <w:left w:w="108" w:type="dxa"/>
              <w:bottom w:w="0" w:type="dxa"/>
              <w:right w:w="108" w:type="dxa"/>
            </w:tcMar>
          </w:tcPr>
          <w:p w14:paraId="30C09294" w14:textId="66B94F9F" w:rsidR="00ED18EA" w:rsidRPr="00912844" w:rsidRDefault="00ED18EA" w:rsidP="00ED18EA">
            <w:pPr>
              <w:pStyle w:val="ListParagraph"/>
              <w:spacing w:before="120" w:after="120" w:line="276" w:lineRule="auto"/>
              <w:ind w:left="0"/>
              <w:jc w:val="both"/>
              <w:rPr>
                <w:rFonts w:cs="Times New Roman"/>
              </w:rPr>
            </w:pPr>
            <w:r>
              <w:rPr>
                <w:rFonts w:cs="Times New Roman"/>
              </w:rPr>
              <w:t>Zinātnes un izglītības infrastruktūra</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14:paraId="66C4040A" w14:textId="2E4D3973" w:rsidR="00ED18EA" w:rsidRPr="00912844" w:rsidRDefault="00ED18EA" w:rsidP="00ED18EA">
            <w:pPr>
              <w:pStyle w:val="ListParagraph"/>
              <w:spacing w:before="120" w:after="120" w:line="276" w:lineRule="auto"/>
              <w:ind w:left="0"/>
              <w:jc w:val="center"/>
              <w:rPr>
                <w:rFonts w:cs="Times New Roman"/>
              </w:rPr>
            </w:pPr>
            <w:r>
              <w:rPr>
                <w:rFonts w:cs="Times New Roman"/>
              </w:rPr>
              <w:t xml:space="preserve">0,20 milj. </w:t>
            </w:r>
            <w:r w:rsidRPr="0064709A">
              <w:rPr>
                <w:rFonts w:cs="Times New Roman"/>
                <w:i/>
              </w:rPr>
              <w:t>euro</w:t>
            </w:r>
          </w:p>
        </w:tc>
        <w:tc>
          <w:tcPr>
            <w:tcW w:w="1909" w:type="dxa"/>
            <w:tcBorders>
              <w:top w:val="nil"/>
              <w:left w:val="nil"/>
              <w:bottom w:val="single" w:sz="8" w:space="0" w:color="auto"/>
              <w:right w:val="single" w:sz="8" w:space="0" w:color="auto"/>
            </w:tcBorders>
          </w:tcPr>
          <w:p w14:paraId="21463B4A" w14:textId="11DD8F41" w:rsidR="00ED18EA" w:rsidRDefault="00ED18EA" w:rsidP="00ED18EA">
            <w:pPr>
              <w:pStyle w:val="ListParagraph"/>
              <w:spacing w:before="120" w:after="120" w:line="276" w:lineRule="auto"/>
              <w:ind w:left="0"/>
              <w:jc w:val="center"/>
              <w:rPr>
                <w:rFonts w:cs="Times New Roman"/>
              </w:rPr>
            </w:pPr>
            <w:r>
              <w:rPr>
                <w:rFonts w:cs="Times New Roman"/>
              </w:rPr>
              <w:t xml:space="preserve">3,68 milj. </w:t>
            </w:r>
            <w:r w:rsidRPr="00ED18EA">
              <w:rPr>
                <w:rFonts w:cs="Times New Roman"/>
                <w:i/>
              </w:rPr>
              <w:t>euro</w:t>
            </w:r>
          </w:p>
        </w:tc>
      </w:tr>
      <w:tr w:rsidR="00ED18EA" w:rsidRPr="00912844" w14:paraId="1FDDA762" w14:textId="1E5D474C" w:rsidTr="00904123">
        <w:trPr>
          <w:trHeight w:val="21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1F05C" w14:textId="77777777" w:rsidR="00ED18EA" w:rsidRPr="00912844" w:rsidRDefault="00ED18EA" w:rsidP="00ED18EA">
            <w:pPr>
              <w:pStyle w:val="ListParagraph"/>
              <w:spacing w:before="120" w:after="120" w:line="276" w:lineRule="auto"/>
              <w:ind w:left="0"/>
              <w:jc w:val="both"/>
              <w:rPr>
                <w:rFonts w:cs="Times New Roman"/>
              </w:rPr>
            </w:pPr>
            <w:r w:rsidRPr="00912844">
              <w:rPr>
                <w:rFonts w:cs="Times New Roman"/>
              </w:rPr>
              <w:t>3.</w:t>
            </w:r>
          </w:p>
        </w:tc>
        <w:tc>
          <w:tcPr>
            <w:tcW w:w="3607" w:type="dxa"/>
            <w:tcBorders>
              <w:top w:val="nil"/>
              <w:left w:val="nil"/>
              <w:bottom w:val="single" w:sz="8" w:space="0" w:color="auto"/>
              <w:right w:val="single" w:sz="8" w:space="0" w:color="auto"/>
            </w:tcBorders>
            <w:tcMar>
              <w:top w:w="0" w:type="dxa"/>
              <w:left w:w="108" w:type="dxa"/>
              <w:bottom w:w="0" w:type="dxa"/>
              <w:right w:w="108" w:type="dxa"/>
            </w:tcMar>
          </w:tcPr>
          <w:p w14:paraId="778EF6EC" w14:textId="5C70270C" w:rsidR="00ED18EA" w:rsidRPr="00912844" w:rsidRDefault="00ED18EA" w:rsidP="00ED18EA">
            <w:pPr>
              <w:pStyle w:val="ListParagraph"/>
              <w:spacing w:before="120" w:after="120" w:line="276" w:lineRule="auto"/>
              <w:ind w:left="0"/>
              <w:jc w:val="both"/>
              <w:rPr>
                <w:rFonts w:cs="Times New Roman"/>
              </w:rPr>
            </w:pPr>
            <w:r>
              <w:rPr>
                <w:rFonts w:cs="Times New Roman"/>
              </w:rPr>
              <w:t>Transports</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14:paraId="42A3C587" w14:textId="5D14DE2D" w:rsidR="00ED18EA" w:rsidRPr="00912844" w:rsidRDefault="00ED18EA" w:rsidP="00ED18EA">
            <w:pPr>
              <w:pStyle w:val="ListParagraph"/>
              <w:spacing w:before="120" w:after="120" w:line="276" w:lineRule="auto"/>
              <w:ind w:left="0"/>
              <w:jc w:val="center"/>
              <w:rPr>
                <w:rFonts w:cs="Times New Roman"/>
              </w:rPr>
            </w:pPr>
            <w:r>
              <w:rPr>
                <w:rFonts w:cs="Times New Roman"/>
              </w:rPr>
              <w:t xml:space="preserve">0,13 milj. </w:t>
            </w:r>
            <w:r w:rsidRPr="0064709A">
              <w:rPr>
                <w:rFonts w:cs="Times New Roman"/>
                <w:i/>
              </w:rPr>
              <w:t>euro</w:t>
            </w:r>
          </w:p>
        </w:tc>
        <w:tc>
          <w:tcPr>
            <w:tcW w:w="1909" w:type="dxa"/>
            <w:tcBorders>
              <w:top w:val="nil"/>
              <w:left w:val="nil"/>
              <w:bottom w:val="single" w:sz="8" w:space="0" w:color="auto"/>
              <w:right w:val="single" w:sz="8" w:space="0" w:color="auto"/>
            </w:tcBorders>
          </w:tcPr>
          <w:p w14:paraId="7B84F809" w14:textId="7BCD6CC7" w:rsidR="00ED18EA" w:rsidRDefault="00ED18EA" w:rsidP="00ED18EA">
            <w:pPr>
              <w:pStyle w:val="ListParagraph"/>
              <w:spacing w:before="120" w:after="120" w:line="276" w:lineRule="auto"/>
              <w:ind w:left="0"/>
              <w:jc w:val="center"/>
              <w:rPr>
                <w:rFonts w:cs="Times New Roman"/>
              </w:rPr>
            </w:pPr>
            <w:r>
              <w:rPr>
                <w:rFonts w:cs="Times New Roman"/>
              </w:rPr>
              <w:t xml:space="preserve">3,23 milj. </w:t>
            </w:r>
            <w:r w:rsidRPr="00ED18EA">
              <w:rPr>
                <w:rFonts w:cs="Times New Roman"/>
                <w:i/>
              </w:rPr>
              <w:t>euro</w:t>
            </w:r>
          </w:p>
        </w:tc>
      </w:tr>
      <w:tr w:rsidR="00ED18EA" w:rsidRPr="00912844" w14:paraId="33D77D96" w14:textId="372C71C6" w:rsidTr="00904123">
        <w:trPr>
          <w:trHeight w:val="212"/>
        </w:trPr>
        <w:tc>
          <w:tcPr>
            <w:tcW w:w="6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6B1E31" w14:textId="77777777" w:rsidR="00ED18EA" w:rsidRPr="00912844" w:rsidRDefault="00ED18EA" w:rsidP="00ED18EA">
            <w:pPr>
              <w:pStyle w:val="ListParagraph"/>
              <w:spacing w:before="120" w:after="120" w:line="276" w:lineRule="auto"/>
              <w:ind w:left="0"/>
              <w:jc w:val="both"/>
              <w:rPr>
                <w:rFonts w:cs="Times New Roman"/>
              </w:rPr>
            </w:pPr>
            <w:r w:rsidRPr="00912844">
              <w:rPr>
                <w:rFonts w:cs="Times New Roman"/>
              </w:rPr>
              <w:t>4.</w:t>
            </w:r>
          </w:p>
        </w:tc>
        <w:tc>
          <w:tcPr>
            <w:tcW w:w="3607" w:type="dxa"/>
            <w:tcBorders>
              <w:top w:val="nil"/>
              <w:left w:val="nil"/>
              <w:bottom w:val="single" w:sz="4" w:space="0" w:color="auto"/>
              <w:right w:val="single" w:sz="8" w:space="0" w:color="auto"/>
            </w:tcBorders>
            <w:tcMar>
              <w:top w:w="0" w:type="dxa"/>
              <w:left w:w="108" w:type="dxa"/>
              <w:bottom w:w="0" w:type="dxa"/>
              <w:right w:w="108" w:type="dxa"/>
            </w:tcMar>
          </w:tcPr>
          <w:p w14:paraId="4971EB22" w14:textId="7180D4FB" w:rsidR="00ED18EA" w:rsidRPr="00912844" w:rsidRDefault="00ED18EA" w:rsidP="00ED18EA">
            <w:pPr>
              <w:pStyle w:val="ListParagraph"/>
              <w:spacing w:before="120" w:after="120" w:line="276" w:lineRule="auto"/>
              <w:ind w:left="0"/>
              <w:jc w:val="both"/>
              <w:rPr>
                <w:rFonts w:cs="Times New Roman"/>
              </w:rPr>
            </w:pPr>
            <w:r>
              <w:rPr>
                <w:rFonts w:cs="Times New Roman"/>
              </w:rPr>
              <w:t>Vide, pilsētvide, kultūras infrastruktūra</w:t>
            </w:r>
          </w:p>
        </w:tc>
        <w:tc>
          <w:tcPr>
            <w:tcW w:w="2381" w:type="dxa"/>
            <w:tcBorders>
              <w:top w:val="nil"/>
              <w:left w:val="nil"/>
              <w:bottom w:val="single" w:sz="4" w:space="0" w:color="auto"/>
              <w:right w:val="single" w:sz="8" w:space="0" w:color="auto"/>
            </w:tcBorders>
            <w:tcMar>
              <w:top w:w="0" w:type="dxa"/>
              <w:left w:w="108" w:type="dxa"/>
              <w:bottom w:w="0" w:type="dxa"/>
              <w:right w:w="108" w:type="dxa"/>
            </w:tcMar>
          </w:tcPr>
          <w:p w14:paraId="32564D12" w14:textId="64A6FFA9" w:rsidR="00ED18EA" w:rsidRPr="00912844" w:rsidRDefault="00ED18EA" w:rsidP="00ED18EA">
            <w:pPr>
              <w:pStyle w:val="ListParagraph"/>
              <w:spacing w:before="120" w:after="120" w:line="276" w:lineRule="auto"/>
              <w:ind w:left="0"/>
              <w:jc w:val="center"/>
              <w:rPr>
                <w:rFonts w:cs="Times New Roman"/>
              </w:rPr>
            </w:pPr>
            <w:r>
              <w:rPr>
                <w:rFonts w:cs="Times New Roman"/>
              </w:rPr>
              <w:t xml:space="preserve">3,50 milj. </w:t>
            </w:r>
            <w:r w:rsidRPr="0064709A">
              <w:rPr>
                <w:rFonts w:cs="Times New Roman"/>
                <w:i/>
              </w:rPr>
              <w:t>euro</w:t>
            </w:r>
          </w:p>
        </w:tc>
        <w:tc>
          <w:tcPr>
            <w:tcW w:w="1909" w:type="dxa"/>
            <w:tcBorders>
              <w:top w:val="nil"/>
              <w:left w:val="nil"/>
              <w:bottom w:val="single" w:sz="4" w:space="0" w:color="auto"/>
              <w:right w:val="single" w:sz="8" w:space="0" w:color="auto"/>
            </w:tcBorders>
          </w:tcPr>
          <w:p w14:paraId="3F158030" w14:textId="12D30907" w:rsidR="00ED18EA" w:rsidRDefault="00ED18EA" w:rsidP="00ED18EA">
            <w:pPr>
              <w:pStyle w:val="ListParagraph"/>
              <w:spacing w:before="120" w:after="120" w:line="276" w:lineRule="auto"/>
              <w:ind w:left="0"/>
              <w:jc w:val="center"/>
              <w:rPr>
                <w:rFonts w:cs="Times New Roman"/>
              </w:rPr>
            </w:pPr>
            <w:r>
              <w:rPr>
                <w:rFonts w:cs="Times New Roman"/>
              </w:rPr>
              <w:t xml:space="preserve">1,36 milj. </w:t>
            </w:r>
            <w:r w:rsidRPr="00ED18EA">
              <w:rPr>
                <w:rFonts w:cs="Times New Roman"/>
                <w:i/>
              </w:rPr>
              <w:t>euro</w:t>
            </w:r>
          </w:p>
        </w:tc>
      </w:tr>
      <w:tr w:rsidR="00ED18EA" w:rsidRPr="00912844" w14:paraId="5D75BEF5" w14:textId="36E38150" w:rsidTr="00904123">
        <w:trPr>
          <w:trHeight w:val="212"/>
        </w:trPr>
        <w:tc>
          <w:tcPr>
            <w:tcW w:w="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7B5A2" w14:textId="1DE4438B" w:rsidR="00ED18EA" w:rsidRPr="00912844" w:rsidRDefault="00ED18EA" w:rsidP="00ED18EA">
            <w:pPr>
              <w:pStyle w:val="ListParagraph"/>
              <w:spacing w:before="120" w:after="120" w:line="276" w:lineRule="auto"/>
              <w:ind w:left="0"/>
              <w:jc w:val="both"/>
              <w:rPr>
                <w:rFonts w:cs="Times New Roman"/>
              </w:rPr>
            </w:pPr>
            <w:r>
              <w:rPr>
                <w:rFonts w:cs="Times New Roman"/>
              </w:rPr>
              <w:t>5.</w:t>
            </w:r>
          </w:p>
        </w:tc>
        <w:tc>
          <w:tcPr>
            <w:tcW w:w="3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FFACB" w14:textId="3C7D9FC8" w:rsidR="00ED18EA" w:rsidRPr="00912844" w:rsidRDefault="00ED18EA" w:rsidP="00ED18EA">
            <w:pPr>
              <w:pStyle w:val="ListParagraph"/>
              <w:spacing w:before="120" w:after="120" w:line="276" w:lineRule="auto"/>
              <w:ind w:left="0"/>
              <w:jc w:val="both"/>
              <w:rPr>
                <w:rFonts w:cs="Times New Roman"/>
              </w:rPr>
            </w:pPr>
            <w:r w:rsidRPr="0064709A">
              <w:rPr>
                <w:rFonts w:cs="Times New Roman"/>
              </w:rPr>
              <w:t>Atbalsts cilvēkresursiem (nodarbinātība, zinātne, izglītība)</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509CD" w14:textId="78082895" w:rsidR="00ED18EA" w:rsidRPr="00912844" w:rsidRDefault="00ED18EA" w:rsidP="00ED18EA">
            <w:pPr>
              <w:pStyle w:val="ListParagraph"/>
              <w:spacing w:before="120" w:after="120" w:line="276" w:lineRule="auto"/>
              <w:ind w:left="0"/>
              <w:jc w:val="center"/>
              <w:rPr>
                <w:rFonts w:cs="Times New Roman"/>
              </w:rPr>
            </w:pPr>
            <w:r>
              <w:rPr>
                <w:rFonts w:cs="Times New Roman"/>
              </w:rPr>
              <w:t xml:space="preserve">1,31 milj. </w:t>
            </w:r>
            <w:r w:rsidRPr="0064709A">
              <w:rPr>
                <w:rFonts w:cs="Times New Roman"/>
                <w:i/>
              </w:rPr>
              <w:t>euro</w:t>
            </w:r>
          </w:p>
        </w:tc>
        <w:tc>
          <w:tcPr>
            <w:tcW w:w="1909" w:type="dxa"/>
            <w:tcBorders>
              <w:top w:val="single" w:sz="4" w:space="0" w:color="auto"/>
              <w:left w:val="single" w:sz="4" w:space="0" w:color="auto"/>
              <w:bottom w:val="single" w:sz="4" w:space="0" w:color="auto"/>
              <w:right w:val="single" w:sz="4" w:space="0" w:color="auto"/>
            </w:tcBorders>
          </w:tcPr>
          <w:p w14:paraId="50E4A5AA" w14:textId="450E1966" w:rsidR="00ED18EA" w:rsidRDefault="00ED18EA" w:rsidP="00ED18EA">
            <w:pPr>
              <w:pStyle w:val="ListParagraph"/>
              <w:spacing w:before="120" w:after="120" w:line="276" w:lineRule="auto"/>
              <w:ind w:left="0"/>
              <w:jc w:val="center"/>
              <w:rPr>
                <w:rFonts w:cs="Times New Roman"/>
              </w:rPr>
            </w:pPr>
            <w:r>
              <w:rPr>
                <w:rFonts w:cs="Times New Roman"/>
              </w:rPr>
              <w:t xml:space="preserve">0,03 milj. </w:t>
            </w:r>
            <w:r w:rsidRPr="00ED18EA">
              <w:rPr>
                <w:rFonts w:cs="Times New Roman"/>
                <w:i/>
              </w:rPr>
              <w:t>euro</w:t>
            </w:r>
          </w:p>
        </w:tc>
      </w:tr>
      <w:tr w:rsidR="00ED18EA" w:rsidRPr="00912844" w14:paraId="31BB4A7C" w14:textId="6EB44F29" w:rsidTr="00904123">
        <w:trPr>
          <w:trHeight w:val="212"/>
        </w:trPr>
        <w:tc>
          <w:tcPr>
            <w:tcW w:w="42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E0298" w14:textId="3C34B08C" w:rsidR="00ED18EA" w:rsidRPr="0064709A" w:rsidRDefault="00ED18EA" w:rsidP="00577059">
            <w:pPr>
              <w:pStyle w:val="ListParagraph"/>
              <w:spacing w:before="120" w:after="120" w:line="276" w:lineRule="auto"/>
              <w:ind w:left="0"/>
              <w:jc w:val="right"/>
              <w:rPr>
                <w:rFonts w:cs="Times New Roman"/>
              </w:rPr>
            </w:pPr>
            <w:r>
              <w:rPr>
                <w:rFonts w:cs="Times New Roman"/>
              </w:rPr>
              <w:t>Kopā</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62FFA" w14:textId="7D4CE74D" w:rsidR="00ED18EA" w:rsidRDefault="00ED18EA" w:rsidP="00ED18EA">
            <w:pPr>
              <w:pStyle w:val="ListParagraph"/>
              <w:spacing w:before="120" w:after="120" w:line="276" w:lineRule="auto"/>
              <w:ind w:left="0"/>
              <w:jc w:val="center"/>
              <w:rPr>
                <w:rFonts w:cs="Times New Roman"/>
              </w:rPr>
            </w:pPr>
            <w:r>
              <w:rPr>
                <w:rFonts w:cs="Times New Roman"/>
              </w:rPr>
              <w:t xml:space="preserve">12,34 milj. </w:t>
            </w:r>
            <w:r w:rsidRPr="0064709A">
              <w:rPr>
                <w:rFonts w:cs="Times New Roman"/>
                <w:i/>
              </w:rPr>
              <w:t>euro</w:t>
            </w:r>
          </w:p>
        </w:tc>
        <w:tc>
          <w:tcPr>
            <w:tcW w:w="1909" w:type="dxa"/>
            <w:tcBorders>
              <w:top w:val="single" w:sz="4" w:space="0" w:color="auto"/>
              <w:left w:val="single" w:sz="4" w:space="0" w:color="auto"/>
              <w:bottom w:val="single" w:sz="4" w:space="0" w:color="auto"/>
              <w:right w:val="single" w:sz="4" w:space="0" w:color="auto"/>
            </w:tcBorders>
          </w:tcPr>
          <w:p w14:paraId="164DC106" w14:textId="32135D30" w:rsidR="00ED18EA" w:rsidRDefault="00ED18EA" w:rsidP="00ED18EA">
            <w:pPr>
              <w:pStyle w:val="ListParagraph"/>
              <w:spacing w:before="120" w:after="120" w:line="276" w:lineRule="auto"/>
              <w:ind w:left="0"/>
              <w:jc w:val="center"/>
              <w:rPr>
                <w:rFonts w:cs="Times New Roman"/>
              </w:rPr>
            </w:pPr>
            <w:r>
              <w:rPr>
                <w:rFonts w:cs="Times New Roman"/>
              </w:rPr>
              <w:t xml:space="preserve">8,59 milj. </w:t>
            </w:r>
            <w:r w:rsidRPr="0064709A">
              <w:rPr>
                <w:rFonts w:cs="Times New Roman"/>
                <w:i/>
              </w:rPr>
              <w:t>euro</w:t>
            </w:r>
          </w:p>
        </w:tc>
      </w:tr>
    </w:tbl>
    <w:p w14:paraId="6D21C02E" w14:textId="0885A28F" w:rsidR="00412851" w:rsidRPr="00412851" w:rsidRDefault="00392314" w:rsidP="00904123">
      <w:pPr>
        <w:tabs>
          <w:tab w:val="left" w:pos="0"/>
        </w:tabs>
        <w:spacing w:before="120" w:after="120" w:line="276" w:lineRule="auto"/>
        <w:jc w:val="both"/>
        <w:rPr>
          <w:rFonts w:eastAsia="+mn-ea" w:cs="Times New Roman"/>
          <w:kern w:val="24"/>
          <w:szCs w:val="24"/>
          <w:lang w:eastAsia="lv-LV"/>
        </w:rPr>
      </w:pPr>
      <w:r>
        <w:rPr>
          <w:rFonts w:eastAsia="+mn-ea" w:cs="Times New Roman"/>
          <w:kern w:val="24"/>
          <w:szCs w:val="24"/>
          <w:lang w:eastAsia="lv-LV"/>
        </w:rPr>
        <w:t xml:space="preserve">Lai nodrošinātu, ka atbilstošā kārtībā Valsts kasē tiek iesniegti maksājumu pieprasījumi ar </w:t>
      </w:r>
      <w:proofErr w:type="spellStart"/>
      <w:r>
        <w:rPr>
          <w:rFonts w:eastAsia="+mn-ea" w:cs="Times New Roman"/>
          <w:kern w:val="24"/>
          <w:szCs w:val="24"/>
          <w:lang w:eastAsia="lv-LV"/>
        </w:rPr>
        <w:t>protokollēmumu</w:t>
      </w:r>
      <w:proofErr w:type="spellEnd"/>
      <w:r>
        <w:rPr>
          <w:rFonts w:eastAsia="+mn-ea" w:cs="Times New Roman"/>
          <w:kern w:val="24"/>
          <w:szCs w:val="24"/>
          <w:lang w:eastAsia="lv-LV"/>
        </w:rPr>
        <w:t xml:space="preserve"> tiek uzdots</w:t>
      </w:r>
      <w:r w:rsidRPr="00392314">
        <w:rPr>
          <w:rFonts w:eastAsia="+mn-ea" w:cs="Times New Roman"/>
          <w:kern w:val="24"/>
          <w:szCs w:val="24"/>
          <w:lang w:eastAsia="lv-LV"/>
        </w:rPr>
        <w:t xml:space="preserve"> </w:t>
      </w:r>
      <w:r w:rsidR="00AF141C">
        <w:rPr>
          <w:rFonts w:eastAsia="+mn-ea" w:cs="Times New Roman"/>
          <w:kern w:val="24"/>
          <w:szCs w:val="24"/>
          <w:lang w:eastAsia="lv-LV"/>
        </w:rPr>
        <w:t>AI</w:t>
      </w:r>
      <w:r w:rsidRPr="00392314">
        <w:rPr>
          <w:rFonts w:eastAsia="+mn-ea" w:cs="Times New Roman"/>
          <w:kern w:val="24"/>
          <w:szCs w:val="24"/>
          <w:lang w:eastAsia="lv-LV"/>
        </w:rPr>
        <w:t xml:space="preserve"> un </w:t>
      </w:r>
      <w:r w:rsidR="00AF141C">
        <w:rPr>
          <w:rFonts w:eastAsia="+mn-ea" w:cs="Times New Roman"/>
          <w:kern w:val="24"/>
          <w:szCs w:val="24"/>
          <w:lang w:eastAsia="lv-LV"/>
        </w:rPr>
        <w:t>SI</w:t>
      </w:r>
      <w:r w:rsidRPr="00392314">
        <w:rPr>
          <w:rFonts w:eastAsia="+mn-ea" w:cs="Times New Roman"/>
          <w:kern w:val="24"/>
          <w:szCs w:val="24"/>
          <w:lang w:eastAsia="lv-LV"/>
        </w:rPr>
        <w:t xml:space="preserve"> </w:t>
      </w:r>
      <w:r>
        <w:rPr>
          <w:rFonts w:eastAsia="+mn-ea" w:cs="Times New Roman"/>
          <w:kern w:val="24"/>
          <w:szCs w:val="24"/>
          <w:lang w:eastAsia="lv-LV"/>
        </w:rPr>
        <w:t>pārsūdzību, pastrīdēšanu un tiesvedību gadījumos par labu finansējuma saņēmējiem</w:t>
      </w:r>
      <w:r w:rsidRPr="00392314">
        <w:rPr>
          <w:rFonts w:eastAsia="+mn-ea" w:cs="Times New Roman"/>
          <w:kern w:val="24"/>
          <w:szCs w:val="24"/>
          <w:lang w:eastAsia="lv-LV"/>
        </w:rPr>
        <w:t xml:space="preserve"> pēc 2016.gada 31.marta, bet ne ilgāk kā līdz 2016.gada 30.novembrim</w:t>
      </w:r>
      <w:r>
        <w:rPr>
          <w:rFonts w:eastAsia="+mn-ea" w:cs="Times New Roman"/>
          <w:kern w:val="24"/>
          <w:szCs w:val="24"/>
          <w:lang w:eastAsia="lv-LV"/>
        </w:rPr>
        <w:t xml:space="preserve"> </w:t>
      </w:r>
      <w:r w:rsidRPr="00392314">
        <w:rPr>
          <w:rFonts w:eastAsia="+mn-ea" w:cs="Times New Roman"/>
          <w:kern w:val="24"/>
          <w:szCs w:val="24"/>
          <w:lang w:eastAsia="lv-LV"/>
        </w:rPr>
        <w:t xml:space="preserve">iesniegt maksājumu rīkojumus Valsts kasē </w:t>
      </w:r>
      <w:r w:rsidR="00AF141C">
        <w:rPr>
          <w:rFonts w:eastAsia="+mn-ea" w:cs="Times New Roman"/>
          <w:kern w:val="24"/>
          <w:szCs w:val="24"/>
          <w:lang w:eastAsia="lv-LV"/>
        </w:rPr>
        <w:t>MK</w:t>
      </w:r>
      <w:r w:rsidRPr="00392314">
        <w:rPr>
          <w:rFonts w:eastAsia="+mn-ea" w:cs="Times New Roman"/>
          <w:kern w:val="24"/>
          <w:szCs w:val="24"/>
          <w:lang w:eastAsia="lv-LV"/>
        </w:rPr>
        <w:t xml:space="preserve"> 2010.gada 9.novembra noteikumos Nr.1041 “Kārtība, kādā paredzami valsts budžeta līdzekļi Eiropas Savienības struktūrfondu un Kohēzijas fonda līdzfinansēto projektu īstenošanai, kā arī maksājumu veikšanas un izdevumu deklarācijas sagatavošanas kārtība” 27.punktā noteiktajā kārtībā.</w:t>
      </w:r>
    </w:p>
    <w:p w14:paraId="424E7D3F" w14:textId="531513F7" w:rsidR="006D46FF" w:rsidRPr="006C6A55" w:rsidRDefault="009C0862" w:rsidP="00CE0CD0">
      <w:pPr>
        <w:pStyle w:val="1lmenis"/>
      </w:pPr>
      <w:bookmarkStart w:id="7" w:name="_Toc459713615"/>
      <w:r w:rsidRPr="006C6A55">
        <w:t>EEZ/Norvēģijas finanšu instrumentu ieviešana</w:t>
      </w:r>
      <w:r w:rsidRPr="006C6A55">
        <w:rPr>
          <w:rStyle w:val="FootnoteReference"/>
        </w:rPr>
        <w:footnoteReference w:id="12"/>
      </w:r>
      <w:bookmarkEnd w:id="7"/>
    </w:p>
    <w:p w14:paraId="68BFC493" w14:textId="7E25BA4A" w:rsidR="002A1BC1" w:rsidRPr="006273E4" w:rsidRDefault="0064346D" w:rsidP="00DC4E3D">
      <w:pPr>
        <w:spacing w:line="276" w:lineRule="auto"/>
        <w:jc w:val="both"/>
        <w:rPr>
          <w:lang w:eastAsia="lv-LV"/>
        </w:rPr>
      </w:pPr>
      <w:r w:rsidRPr="0064346D">
        <w:rPr>
          <w:lang w:eastAsia="lv-LV"/>
        </w:rPr>
        <w:t xml:space="preserve">2016.gada 9.jūnijā FM notika jau piektā ikgadējā EEZ/Norvēģijas finanšu instrumentu sanāksme. Tās laikā FM un citu nozaru ministriju pārstāvji ar Norvēģijas Ārlietu ministrijas, Finanšu instrumenta biroja, kā arī Norvēģijas un Islandes vēstniecības Latvijā pārstāvjiem pārrunāja EEZ/Norvēģijas finanšu instrumentu programmu ieviešanas līdzšinējo progresu. </w:t>
      </w:r>
      <w:proofErr w:type="spellStart"/>
      <w:r w:rsidRPr="0064346D">
        <w:rPr>
          <w:lang w:eastAsia="lv-LV"/>
        </w:rPr>
        <w:t>Donorvalstu</w:t>
      </w:r>
      <w:proofErr w:type="spellEnd"/>
      <w:r w:rsidRPr="0064346D">
        <w:rPr>
          <w:lang w:eastAsia="lv-LV"/>
        </w:rPr>
        <w:t xml:space="preserve"> pārstāvji atzinīgi novērtēja Latvijas attieksmi, līdz šim paveikto darbu un ievērojamo progresu programmu īstenošanā, kā arī risku vadību, kas ļauj sasniegt un pat pārsniegt izvirzītos mērķus. Latvija joprojām uzrāda vienu no labākajiem sniegumiem programmu ieviešanā starp citām finanšu instrumentu saņēmējvalstīm. </w:t>
      </w:r>
    </w:p>
    <w:p w14:paraId="2A63D2C2" w14:textId="77777777" w:rsidR="009C0862" w:rsidRPr="006D46FF" w:rsidRDefault="009C0862" w:rsidP="00DC4E3D">
      <w:pPr>
        <w:spacing w:before="120" w:after="120" w:line="276" w:lineRule="auto"/>
        <w:jc w:val="both"/>
        <w:rPr>
          <w:rFonts w:eastAsia="Times New Roman" w:cs="Times New Roman"/>
          <w:b/>
          <w:i/>
          <w:color w:val="000000"/>
        </w:rPr>
      </w:pPr>
      <w:r w:rsidRPr="006D46FF">
        <w:rPr>
          <w:rFonts w:eastAsia="Times New Roman" w:cs="Times New Roman"/>
          <w:b/>
          <w:i/>
          <w:color w:val="000000"/>
        </w:rPr>
        <w:t>Finanšu progress</w:t>
      </w:r>
    </w:p>
    <w:p w14:paraId="726A18A0" w14:textId="77777777" w:rsidR="006D46FF" w:rsidRPr="006118E7" w:rsidRDefault="006D46FF" w:rsidP="00DC4E3D">
      <w:pPr>
        <w:spacing w:before="120" w:after="120" w:line="276" w:lineRule="auto"/>
        <w:jc w:val="both"/>
        <w:rPr>
          <w:color w:val="000000"/>
          <w:szCs w:val="24"/>
          <w:lang w:eastAsia="lv-LV"/>
        </w:rPr>
      </w:pPr>
      <w:r w:rsidRPr="00D6395A">
        <w:rPr>
          <w:color w:val="000000"/>
          <w:szCs w:val="24"/>
          <w:lang w:eastAsia="lv-LV"/>
        </w:rPr>
        <w:t xml:space="preserve">Līdz 2017.gada 31.decembrim kopumā ir plānots veikt investīcijas 75,1 milj. </w:t>
      </w:r>
      <w:r w:rsidRPr="00D6395A">
        <w:rPr>
          <w:i/>
          <w:color w:val="000000"/>
          <w:szCs w:val="24"/>
          <w:lang w:eastAsia="lv-LV"/>
        </w:rPr>
        <w:t>euro</w:t>
      </w:r>
      <w:r>
        <w:rPr>
          <w:color w:val="000000"/>
          <w:szCs w:val="24"/>
          <w:lang w:eastAsia="lv-LV"/>
        </w:rPr>
        <w:t xml:space="preserve"> apmērā, ieviešot septiņas </w:t>
      </w:r>
      <w:r w:rsidRPr="00D6395A">
        <w:rPr>
          <w:color w:val="000000"/>
          <w:szCs w:val="24"/>
          <w:lang w:eastAsia="lv-LV"/>
        </w:rPr>
        <w:t xml:space="preserve">EEZ/Norvēģijas finanšu instrumentu </w:t>
      </w:r>
      <w:r>
        <w:rPr>
          <w:color w:val="000000"/>
          <w:szCs w:val="24"/>
          <w:lang w:eastAsia="lv-LV"/>
        </w:rPr>
        <w:t xml:space="preserve">programmas. </w:t>
      </w:r>
      <w:r w:rsidRPr="00A13B53">
        <w:rPr>
          <w:szCs w:val="24"/>
          <w:lang w:eastAsia="lv-LV"/>
        </w:rPr>
        <w:t xml:space="preserve">Līdz pārskata perioda </w:t>
      </w:r>
      <w:r>
        <w:rPr>
          <w:szCs w:val="24"/>
          <w:lang w:eastAsia="lv-LV"/>
        </w:rPr>
        <w:t>beigām programmās izmaksāti</w:t>
      </w:r>
      <w:r w:rsidRPr="00D252D9">
        <w:rPr>
          <w:szCs w:val="24"/>
          <w:lang w:eastAsia="lv-LV"/>
        </w:rPr>
        <w:t xml:space="preserve"> </w:t>
      </w:r>
      <w:r w:rsidRPr="00BE64E0">
        <w:rPr>
          <w:color w:val="000000"/>
          <w:szCs w:val="24"/>
          <w:lang w:eastAsia="lv-LV"/>
        </w:rPr>
        <w:t xml:space="preserve">49,7 milj. </w:t>
      </w:r>
      <w:r w:rsidRPr="00BE64E0">
        <w:rPr>
          <w:i/>
          <w:color w:val="000000"/>
          <w:szCs w:val="24"/>
          <w:lang w:eastAsia="lv-LV"/>
        </w:rPr>
        <w:t>euro</w:t>
      </w:r>
      <w:r w:rsidRPr="00BE64E0">
        <w:rPr>
          <w:color w:val="000000"/>
          <w:szCs w:val="24"/>
          <w:lang w:eastAsia="lv-LV"/>
        </w:rPr>
        <w:t xml:space="preserve"> jeb 66%</w:t>
      </w:r>
      <w:r w:rsidRPr="00235AFE">
        <w:rPr>
          <w:color w:val="000000"/>
          <w:szCs w:val="24"/>
          <w:lang w:eastAsia="lv-LV"/>
        </w:rPr>
        <w:t xml:space="preserve"> no </w:t>
      </w:r>
      <w:r w:rsidRPr="00A13B53">
        <w:rPr>
          <w:szCs w:val="24"/>
          <w:lang w:eastAsia="lv-LV"/>
        </w:rPr>
        <w:t>kopējā</w:t>
      </w:r>
      <w:r w:rsidRPr="00D252D9">
        <w:rPr>
          <w:szCs w:val="24"/>
          <w:lang w:eastAsia="lv-LV"/>
        </w:rPr>
        <w:t xml:space="preserve"> </w:t>
      </w:r>
      <w:r>
        <w:rPr>
          <w:szCs w:val="24"/>
          <w:lang w:eastAsia="lv-LV"/>
        </w:rPr>
        <w:t xml:space="preserve">pieejamā </w:t>
      </w:r>
      <w:r w:rsidRPr="00D252D9">
        <w:rPr>
          <w:szCs w:val="24"/>
          <w:lang w:eastAsia="lv-LV"/>
        </w:rPr>
        <w:t>EEZ/Norvēģijas</w:t>
      </w:r>
      <w:r w:rsidRPr="00A13B53">
        <w:rPr>
          <w:szCs w:val="24"/>
          <w:lang w:eastAsia="lv-LV"/>
        </w:rPr>
        <w:t xml:space="preserve"> finanšu </w:t>
      </w:r>
      <w:r w:rsidRPr="006118E7">
        <w:rPr>
          <w:szCs w:val="24"/>
          <w:lang w:eastAsia="lv-LV"/>
        </w:rPr>
        <w:t>instrumentu finansējuma</w:t>
      </w:r>
      <w:r w:rsidRPr="006118E7">
        <w:rPr>
          <w:color w:val="000000"/>
          <w:szCs w:val="24"/>
          <w:lang w:eastAsia="lv-LV"/>
        </w:rPr>
        <w:t xml:space="preserve">, progress pusgadā pieaudzis par 12,2 milj. </w:t>
      </w:r>
      <w:r w:rsidRPr="006118E7">
        <w:rPr>
          <w:i/>
          <w:color w:val="000000"/>
          <w:szCs w:val="24"/>
          <w:lang w:eastAsia="lv-LV"/>
        </w:rPr>
        <w:t>euro</w:t>
      </w:r>
      <w:r w:rsidRPr="006118E7">
        <w:rPr>
          <w:color w:val="000000"/>
          <w:szCs w:val="24"/>
          <w:lang w:eastAsia="lv-LV"/>
        </w:rPr>
        <w:t xml:space="preserve"> jeb 24,6%.</w:t>
      </w:r>
    </w:p>
    <w:p w14:paraId="705CFCDB" w14:textId="77777777" w:rsidR="001E5F50" w:rsidRDefault="001E5F50" w:rsidP="00DC4E3D">
      <w:pPr>
        <w:spacing w:line="276" w:lineRule="auto"/>
        <w:rPr>
          <w:b/>
          <w:i/>
          <w:sz w:val="22"/>
          <w:szCs w:val="24"/>
          <w:lang w:eastAsia="lv-LV"/>
        </w:rPr>
      </w:pPr>
      <w:r>
        <w:rPr>
          <w:b/>
          <w:i/>
          <w:sz w:val="22"/>
          <w:szCs w:val="24"/>
          <w:lang w:eastAsia="lv-LV"/>
        </w:rPr>
        <w:br w:type="page"/>
      </w:r>
    </w:p>
    <w:p w14:paraId="6B3FB7B8" w14:textId="3E7A2EAA" w:rsidR="006D46FF" w:rsidRPr="00650D48" w:rsidRDefault="006D46FF" w:rsidP="00DC4E3D">
      <w:pPr>
        <w:spacing w:before="120" w:after="120" w:line="276" w:lineRule="auto"/>
        <w:jc w:val="both"/>
        <w:rPr>
          <w:i/>
          <w:sz w:val="22"/>
          <w:szCs w:val="24"/>
          <w:lang w:eastAsia="lv-LV"/>
        </w:rPr>
      </w:pPr>
      <w:r w:rsidRPr="00650D48">
        <w:rPr>
          <w:b/>
          <w:i/>
          <w:sz w:val="22"/>
          <w:szCs w:val="24"/>
          <w:lang w:eastAsia="lv-LV"/>
        </w:rPr>
        <w:lastRenderedPageBreak/>
        <w:t>Grafiks Nr.</w:t>
      </w:r>
      <w:r w:rsidR="006C6A55" w:rsidRPr="00650D48">
        <w:rPr>
          <w:b/>
          <w:i/>
          <w:sz w:val="22"/>
          <w:szCs w:val="24"/>
          <w:lang w:eastAsia="lv-LV"/>
        </w:rPr>
        <w:t>1</w:t>
      </w:r>
      <w:r w:rsidRPr="00650D48">
        <w:rPr>
          <w:b/>
          <w:i/>
          <w:sz w:val="22"/>
          <w:szCs w:val="24"/>
          <w:lang w:eastAsia="lv-LV"/>
        </w:rPr>
        <w:t xml:space="preserve"> </w:t>
      </w:r>
      <w:r w:rsidRPr="00650D48">
        <w:rPr>
          <w:i/>
          <w:sz w:val="22"/>
          <w:szCs w:val="24"/>
          <w:lang w:eastAsia="lv-LV"/>
        </w:rPr>
        <w:t>„EEZ/Norvēģijas finanšu instrumentu programmās pieejamais un izmaksātais finansējums līdz 2016.gada 30.jūnijam, milj. euro”</w:t>
      </w:r>
    </w:p>
    <w:p w14:paraId="1380C059" w14:textId="1F8678A0" w:rsidR="0023012A" w:rsidRPr="002A1BC1" w:rsidRDefault="00686C4C" w:rsidP="00DC4E3D">
      <w:pPr>
        <w:spacing w:line="276" w:lineRule="auto"/>
        <w:rPr>
          <w:rFonts w:eastAsia="Calibri" w:cs="Times New Roman"/>
          <w:color w:val="000000"/>
          <w:szCs w:val="24"/>
          <w:highlight w:val="yellow"/>
          <w:lang w:eastAsia="lv-LV"/>
        </w:rPr>
      </w:pPr>
      <w:r>
        <w:rPr>
          <w:noProof/>
          <w:lang w:eastAsia="lv-LV"/>
        </w:rPr>
        <w:drawing>
          <wp:inline distT="0" distB="0" distL="0" distR="0" wp14:anchorId="4253D8BB" wp14:editId="25AE5920">
            <wp:extent cx="5518150" cy="4508390"/>
            <wp:effectExtent l="0" t="0" r="635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63BBE4" w14:textId="52562052" w:rsidR="006273E4" w:rsidRDefault="006D46FF" w:rsidP="00DC4E3D">
      <w:pPr>
        <w:spacing w:before="120" w:after="120" w:line="276" w:lineRule="auto"/>
        <w:jc w:val="both"/>
        <w:rPr>
          <w:color w:val="000000"/>
          <w:szCs w:val="24"/>
          <w:lang w:eastAsia="lv-LV"/>
        </w:rPr>
      </w:pPr>
      <w:r>
        <w:rPr>
          <w:color w:val="000000"/>
          <w:szCs w:val="24"/>
          <w:lang w:eastAsia="lv-LV"/>
        </w:rPr>
        <w:t>S</w:t>
      </w:r>
      <w:r w:rsidRPr="00960E67">
        <w:rPr>
          <w:color w:val="000000"/>
          <w:szCs w:val="24"/>
          <w:lang w:eastAsia="lv-LV"/>
        </w:rPr>
        <w:t xml:space="preserve">askaņā ar MK </w:t>
      </w:r>
      <w:r>
        <w:rPr>
          <w:color w:val="000000"/>
          <w:szCs w:val="24"/>
          <w:lang w:eastAsia="lv-LV"/>
        </w:rPr>
        <w:t xml:space="preserve">2016.gada 22.aprīļa sēdes </w:t>
      </w:r>
      <w:proofErr w:type="spellStart"/>
      <w:r>
        <w:rPr>
          <w:color w:val="000000"/>
          <w:szCs w:val="24"/>
          <w:lang w:eastAsia="lv-LV"/>
        </w:rPr>
        <w:t>protokollēmuma</w:t>
      </w:r>
      <w:proofErr w:type="spellEnd"/>
      <w:r>
        <w:rPr>
          <w:color w:val="000000"/>
          <w:szCs w:val="24"/>
          <w:lang w:eastAsia="lv-LV"/>
        </w:rPr>
        <w:t xml:space="preserve"> (Nr.14 34.§) 9</w:t>
      </w:r>
      <w:r w:rsidRPr="00960E67">
        <w:rPr>
          <w:color w:val="000000"/>
          <w:szCs w:val="24"/>
          <w:lang w:eastAsia="lv-LV"/>
        </w:rPr>
        <w:t xml:space="preserve">.punktu </w:t>
      </w:r>
      <w:r>
        <w:rPr>
          <w:color w:val="000000"/>
          <w:szCs w:val="24"/>
          <w:lang w:eastAsia="lv-LV"/>
        </w:rPr>
        <w:t>2016.gadā ir</w:t>
      </w:r>
      <w:r w:rsidRPr="00960E67">
        <w:rPr>
          <w:color w:val="000000"/>
          <w:szCs w:val="24"/>
          <w:lang w:eastAsia="lv-LV"/>
        </w:rPr>
        <w:t xml:space="preserve"> plānots veikt EEZ/Norvēģijas finanšu instrumentu finansējuma </w:t>
      </w:r>
      <w:r w:rsidRPr="00583925">
        <w:rPr>
          <w:color w:val="000000"/>
          <w:szCs w:val="24"/>
          <w:lang w:eastAsia="lv-LV"/>
        </w:rPr>
        <w:t xml:space="preserve">investīcijas 29,9 milj. </w:t>
      </w:r>
      <w:r w:rsidRPr="00583925">
        <w:rPr>
          <w:i/>
          <w:color w:val="000000"/>
          <w:szCs w:val="24"/>
          <w:lang w:eastAsia="lv-LV"/>
        </w:rPr>
        <w:t>euro</w:t>
      </w:r>
      <w:r w:rsidRPr="00583925">
        <w:rPr>
          <w:color w:val="000000"/>
          <w:szCs w:val="24"/>
          <w:lang w:eastAsia="lv-LV"/>
        </w:rPr>
        <w:t xml:space="preserve"> apmērā, tai skaitā 26,5 milj. </w:t>
      </w:r>
      <w:r w:rsidRPr="00583925">
        <w:rPr>
          <w:i/>
          <w:color w:val="000000"/>
          <w:szCs w:val="24"/>
          <w:lang w:eastAsia="lv-LV"/>
        </w:rPr>
        <w:t>euro</w:t>
      </w:r>
      <w:r w:rsidRPr="00583925">
        <w:rPr>
          <w:color w:val="000000"/>
          <w:szCs w:val="24"/>
          <w:lang w:eastAsia="lv-LV"/>
        </w:rPr>
        <w:t xml:space="preserve"> –</w:t>
      </w:r>
      <w:r w:rsidRPr="00960E67">
        <w:rPr>
          <w:color w:val="000000"/>
          <w:szCs w:val="24"/>
          <w:lang w:eastAsia="lv-LV"/>
        </w:rPr>
        <w:t xml:space="preserve"> EEZ/Norvēģijas finanšu instrumentu finansējums</w:t>
      </w:r>
      <w:r>
        <w:rPr>
          <w:color w:val="000000"/>
          <w:szCs w:val="24"/>
          <w:lang w:eastAsia="lv-LV"/>
        </w:rPr>
        <w:t>. P</w:t>
      </w:r>
      <w:r w:rsidRPr="00F718A5">
        <w:rPr>
          <w:color w:val="000000"/>
          <w:szCs w:val="24"/>
          <w:lang w:eastAsia="lv-LV"/>
        </w:rPr>
        <w:t xml:space="preserve">rogrammu </w:t>
      </w:r>
      <w:proofErr w:type="spellStart"/>
      <w:r w:rsidRPr="00F718A5">
        <w:rPr>
          <w:color w:val="000000"/>
          <w:szCs w:val="24"/>
          <w:lang w:eastAsia="lv-LV"/>
        </w:rPr>
        <w:t>apsaimniekotāji</w:t>
      </w:r>
      <w:proofErr w:type="spellEnd"/>
      <w:r w:rsidRPr="00F718A5">
        <w:rPr>
          <w:color w:val="000000"/>
          <w:szCs w:val="24"/>
          <w:lang w:eastAsia="lv-LV"/>
        </w:rPr>
        <w:t xml:space="preserve"> pārskata periodā plānoja nodr</w:t>
      </w:r>
      <w:r>
        <w:rPr>
          <w:color w:val="000000"/>
          <w:szCs w:val="24"/>
          <w:lang w:eastAsia="lv-LV"/>
        </w:rPr>
        <w:t xml:space="preserve">ošināt investīcijas Latvijā </w:t>
      </w:r>
      <w:r w:rsidRPr="00725C40">
        <w:rPr>
          <w:color w:val="000000"/>
          <w:szCs w:val="24"/>
          <w:lang w:eastAsia="lv-LV"/>
        </w:rPr>
        <w:t>19,9</w:t>
      </w:r>
      <w:r w:rsidRPr="00F718A5">
        <w:rPr>
          <w:color w:val="000000"/>
          <w:szCs w:val="24"/>
          <w:lang w:eastAsia="lv-LV"/>
        </w:rPr>
        <w:t xml:space="preserve"> milj. </w:t>
      </w:r>
      <w:r w:rsidRPr="006C6A55">
        <w:rPr>
          <w:i/>
          <w:color w:val="000000"/>
          <w:szCs w:val="24"/>
          <w:lang w:eastAsia="lv-LV"/>
        </w:rPr>
        <w:t>euro</w:t>
      </w:r>
      <w:r w:rsidRPr="00F718A5">
        <w:rPr>
          <w:color w:val="000000"/>
          <w:szCs w:val="24"/>
          <w:lang w:eastAsia="lv-LV"/>
        </w:rPr>
        <w:t xml:space="preserve"> </w:t>
      </w:r>
      <w:r w:rsidRPr="00725C40">
        <w:rPr>
          <w:color w:val="000000"/>
          <w:szCs w:val="24"/>
          <w:lang w:eastAsia="lv-LV"/>
        </w:rPr>
        <w:t xml:space="preserve">apmērā, tomēr pusgada beigās veiktās investīcijas bija tikai 12,2 milj. </w:t>
      </w:r>
      <w:r w:rsidRPr="006C6A55">
        <w:rPr>
          <w:i/>
          <w:color w:val="000000"/>
          <w:szCs w:val="24"/>
          <w:lang w:eastAsia="lv-LV"/>
        </w:rPr>
        <w:t>euro</w:t>
      </w:r>
      <w:r w:rsidRPr="00725C40">
        <w:rPr>
          <w:color w:val="000000"/>
          <w:szCs w:val="24"/>
          <w:lang w:eastAsia="lv-LV"/>
        </w:rPr>
        <w:t xml:space="preserve"> apmērā jeb par 38,7% (jeb 7,7 milj. </w:t>
      </w:r>
      <w:r w:rsidRPr="00725C40">
        <w:rPr>
          <w:i/>
          <w:color w:val="000000"/>
          <w:szCs w:val="24"/>
          <w:lang w:eastAsia="lv-LV"/>
        </w:rPr>
        <w:t>euro</w:t>
      </w:r>
      <w:r w:rsidRPr="00725C40">
        <w:rPr>
          <w:color w:val="000000"/>
          <w:szCs w:val="24"/>
          <w:lang w:eastAsia="lv-LV"/>
        </w:rPr>
        <w:t>) mazākas nekā plānotas.</w:t>
      </w:r>
    </w:p>
    <w:p w14:paraId="7347724F" w14:textId="77777777" w:rsidR="0005123E" w:rsidRDefault="0005123E" w:rsidP="00DC4E3D">
      <w:pPr>
        <w:spacing w:line="276" w:lineRule="auto"/>
        <w:rPr>
          <w:color w:val="000000"/>
          <w:szCs w:val="24"/>
          <w:lang w:eastAsia="lv-LV"/>
        </w:rPr>
      </w:pPr>
      <w:r>
        <w:rPr>
          <w:color w:val="000000"/>
          <w:szCs w:val="24"/>
          <w:lang w:eastAsia="lv-LV"/>
        </w:rPr>
        <w:br w:type="page"/>
      </w:r>
    </w:p>
    <w:p w14:paraId="257E977D" w14:textId="55947E64" w:rsidR="002A1BC1" w:rsidRPr="00650D48" w:rsidRDefault="006D46FF" w:rsidP="00DC4E3D">
      <w:pPr>
        <w:spacing w:before="120" w:after="120" w:line="276" w:lineRule="auto"/>
        <w:jc w:val="both"/>
        <w:rPr>
          <w:i/>
          <w:color w:val="000000"/>
          <w:sz w:val="22"/>
          <w:szCs w:val="24"/>
          <w:lang w:eastAsia="lv-LV"/>
        </w:rPr>
      </w:pPr>
      <w:r w:rsidRPr="00650D48">
        <w:rPr>
          <w:b/>
          <w:i/>
          <w:color w:val="000000"/>
          <w:sz w:val="22"/>
          <w:szCs w:val="24"/>
          <w:lang w:eastAsia="lv-LV"/>
        </w:rPr>
        <w:lastRenderedPageBreak/>
        <w:t>Grafiks Nr.</w:t>
      </w:r>
      <w:r w:rsidR="006C6A55" w:rsidRPr="00650D48">
        <w:rPr>
          <w:b/>
          <w:i/>
          <w:color w:val="000000"/>
          <w:sz w:val="22"/>
          <w:szCs w:val="24"/>
          <w:lang w:eastAsia="lv-LV"/>
        </w:rPr>
        <w:t>2</w:t>
      </w:r>
      <w:r w:rsidRPr="00650D48">
        <w:rPr>
          <w:i/>
          <w:color w:val="000000"/>
          <w:sz w:val="22"/>
          <w:szCs w:val="24"/>
          <w:lang w:eastAsia="lv-LV"/>
        </w:rPr>
        <w:t xml:space="preserve"> „EEZ/Norvēģijas finanšu instrumentu investīciju plāns un tā izpilde 2016.gada 1.pusgadā, milj. euro.”</w:t>
      </w:r>
    </w:p>
    <w:p w14:paraId="21A03C05" w14:textId="78F2BC2D" w:rsidR="00001327" w:rsidRPr="002A1BC1" w:rsidRDefault="006D46FF" w:rsidP="00DC4E3D">
      <w:pPr>
        <w:tabs>
          <w:tab w:val="left" w:pos="7652"/>
        </w:tabs>
        <w:spacing w:line="276" w:lineRule="auto"/>
        <w:rPr>
          <w:rFonts w:eastAsia="Calibri" w:cs="Times New Roman"/>
          <w:szCs w:val="24"/>
          <w:highlight w:val="yellow"/>
          <w:lang w:eastAsia="lv-LV"/>
        </w:rPr>
      </w:pPr>
      <w:r>
        <w:rPr>
          <w:noProof/>
          <w:color w:val="000000"/>
          <w:szCs w:val="24"/>
          <w:lang w:eastAsia="lv-LV"/>
        </w:rPr>
        <w:drawing>
          <wp:inline distT="0" distB="0" distL="0" distR="0" wp14:anchorId="5BC4BC78" wp14:editId="751647A7">
            <wp:extent cx="5574183" cy="2753789"/>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183" cy="2753789"/>
                    </a:xfrm>
                    <a:prstGeom prst="rect">
                      <a:avLst/>
                    </a:prstGeom>
                    <a:noFill/>
                  </pic:spPr>
                </pic:pic>
              </a:graphicData>
            </a:graphic>
          </wp:inline>
        </w:drawing>
      </w:r>
    </w:p>
    <w:p w14:paraId="1CC1A801" w14:textId="77777777" w:rsidR="006D46FF" w:rsidRDefault="006D46FF" w:rsidP="00DC4E3D">
      <w:pPr>
        <w:spacing w:line="276" w:lineRule="auto"/>
        <w:rPr>
          <w:rFonts w:eastAsia="Calibri" w:cs="Times New Roman"/>
          <w:color w:val="000000"/>
          <w:szCs w:val="24"/>
          <w:highlight w:val="yellow"/>
          <w:lang w:eastAsia="lv-LV"/>
        </w:rPr>
      </w:pPr>
    </w:p>
    <w:p w14:paraId="76C9965C" w14:textId="77777777" w:rsidR="006D46FF" w:rsidRPr="008D0BFD" w:rsidRDefault="006D46FF" w:rsidP="00DC4E3D">
      <w:pPr>
        <w:spacing w:line="276" w:lineRule="auto"/>
        <w:jc w:val="both"/>
        <w:rPr>
          <w:color w:val="000000"/>
          <w:szCs w:val="24"/>
          <w:lang w:eastAsia="lv-LV"/>
        </w:rPr>
      </w:pPr>
      <w:r>
        <w:rPr>
          <w:color w:val="000000"/>
          <w:szCs w:val="24"/>
          <w:lang w:eastAsia="lv-LV"/>
        </w:rPr>
        <w:t>Novirzes no investīciju plāna</w:t>
      </w:r>
      <w:r w:rsidRPr="008D0BFD">
        <w:rPr>
          <w:color w:val="000000"/>
          <w:szCs w:val="24"/>
          <w:lang w:eastAsia="lv-LV"/>
        </w:rPr>
        <w:t xml:space="preserve"> uz pārskata perioda</w:t>
      </w:r>
      <w:r>
        <w:rPr>
          <w:color w:val="000000"/>
          <w:szCs w:val="24"/>
          <w:lang w:eastAsia="lv-LV"/>
        </w:rPr>
        <w:t xml:space="preserve"> beigām bija visām </w:t>
      </w:r>
      <w:r w:rsidRPr="008D0BFD">
        <w:rPr>
          <w:color w:val="000000"/>
          <w:szCs w:val="24"/>
          <w:lang w:eastAsia="lv-LV"/>
        </w:rPr>
        <w:t>ministrijām</w:t>
      </w:r>
      <w:r>
        <w:rPr>
          <w:color w:val="000000"/>
          <w:szCs w:val="24"/>
          <w:lang w:eastAsia="lv-LV"/>
        </w:rPr>
        <w:t xml:space="preserve">, bet tomēr </w:t>
      </w:r>
      <w:r w:rsidRPr="00AC7424">
        <w:rPr>
          <w:color w:val="000000"/>
          <w:szCs w:val="24"/>
          <w:lang w:eastAsia="lv-LV"/>
        </w:rPr>
        <w:t xml:space="preserve">vislielākās novirzes </w:t>
      </w:r>
      <w:r>
        <w:rPr>
          <w:color w:val="000000"/>
          <w:szCs w:val="24"/>
          <w:lang w:eastAsia="lv-LV"/>
        </w:rPr>
        <w:t xml:space="preserve">– IZM, VARAM, KM un TM programmās, kas </w:t>
      </w:r>
      <w:r w:rsidRPr="008D0BFD">
        <w:rPr>
          <w:rFonts w:eastAsia="Times New Roman"/>
          <w:color w:val="000000"/>
          <w:szCs w:val="24"/>
          <w:lang w:eastAsia="lv-LV"/>
        </w:rPr>
        <w:t>radušās šādu iemeslu dēļ:</w:t>
      </w:r>
    </w:p>
    <w:p w14:paraId="2E9A35B8" w14:textId="77777777" w:rsidR="006D46FF" w:rsidRDefault="006D46FF" w:rsidP="00DC4E3D">
      <w:pPr>
        <w:spacing w:before="120" w:after="120" w:line="276" w:lineRule="auto"/>
        <w:jc w:val="both"/>
      </w:pPr>
      <w:r>
        <w:rPr>
          <w:rFonts w:eastAsia="Times New Roman"/>
          <w:color w:val="000000"/>
          <w:szCs w:val="24"/>
          <w:lang w:eastAsia="lv-LV"/>
        </w:rPr>
        <w:t>1)</w:t>
      </w:r>
      <w:r>
        <w:t xml:space="preserve"> IZM programmā “Pētniecība un stipendijas” novirze radusies, jo 50% no saņemtajiem projektu starpposma pārskatiem bija</w:t>
      </w:r>
      <w:r w:rsidRPr="00B5048F">
        <w:t xml:space="preserve"> nepieciešams </w:t>
      </w:r>
      <w:r>
        <w:t>labot un līdz ar to nebija iespējams savlaicīgi izmaksāt projektu īstenotājiem starpposma maksājumus.</w:t>
      </w:r>
    </w:p>
    <w:p w14:paraId="6D0BACC8" w14:textId="2C3D799E" w:rsidR="006D46FF" w:rsidRDefault="006D46FF" w:rsidP="00DC4E3D">
      <w:pPr>
        <w:spacing w:before="120" w:after="120" w:line="276" w:lineRule="auto"/>
        <w:jc w:val="both"/>
        <w:rPr>
          <w:rFonts w:eastAsia="Times New Roman"/>
          <w:color w:val="000000"/>
          <w:szCs w:val="24"/>
          <w:lang w:eastAsia="lv-LV"/>
        </w:rPr>
      </w:pPr>
      <w:r>
        <w:t xml:space="preserve">2) </w:t>
      </w:r>
      <w:r w:rsidRPr="00076639">
        <w:rPr>
          <w:rFonts w:eastAsia="Times New Roman"/>
          <w:color w:val="000000"/>
          <w:szCs w:val="24"/>
          <w:lang w:eastAsia="lv-LV"/>
        </w:rPr>
        <w:t xml:space="preserve">VARAM programmā </w:t>
      </w:r>
      <w:r>
        <w:rPr>
          <w:rFonts w:eastAsia="Times New Roman"/>
          <w:color w:val="000000"/>
          <w:szCs w:val="24"/>
          <w:lang w:eastAsia="lv-LV"/>
        </w:rPr>
        <w:t>“</w:t>
      </w:r>
      <w:r w:rsidRPr="00076639">
        <w:rPr>
          <w:rFonts w:eastAsia="Times New Roman"/>
          <w:color w:val="000000"/>
          <w:szCs w:val="24"/>
          <w:lang w:eastAsia="lv-LV"/>
        </w:rPr>
        <w:t>Nacionālā klimata politika</w:t>
      </w:r>
      <w:r>
        <w:rPr>
          <w:rFonts w:eastAsia="Times New Roman"/>
          <w:color w:val="000000"/>
          <w:szCs w:val="24"/>
          <w:lang w:eastAsia="lv-LV"/>
        </w:rPr>
        <w:t>”</w:t>
      </w:r>
      <w:r w:rsidRPr="00076639">
        <w:rPr>
          <w:rFonts w:eastAsia="Times New Roman"/>
          <w:color w:val="000000"/>
          <w:szCs w:val="24"/>
          <w:lang w:eastAsia="lv-LV"/>
        </w:rPr>
        <w:t xml:space="preserve"> </w:t>
      </w:r>
      <w:r>
        <w:rPr>
          <w:rFonts w:eastAsia="Times New Roman"/>
          <w:color w:val="000000"/>
          <w:szCs w:val="24"/>
          <w:lang w:eastAsia="lv-LV"/>
        </w:rPr>
        <w:t>kavējās</w:t>
      </w:r>
      <w:r w:rsidRPr="00F42FDE">
        <w:rPr>
          <w:rFonts w:eastAsia="Times New Roman"/>
          <w:color w:val="000000"/>
          <w:szCs w:val="24"/>
          <w:lang w:eastAsia="lv-LV"/>
        </w:rPr>
        <w:t xml:space="preserve"> </w:t>
      </w:r>
      <w:r>
        <w:rPr>
          <w:rFonts w:eastAsia="Times New Roman"/>
          <w:color w:val="000000"/>
          <w:szCs w:val="24"/>
          <w:lang w:eastAsia="lv-LV"/>
        </w:rPr>
        <w:t xml:space="preserve">precizēto </w:t>
      </w:r>
      <w:r w:rsidRPr="00F42FDE">
        <w:rPr>
          <w:rFonts w:eastAsia="Times New Roman"/>
          <w:color w:val="000000"/>
          <w:szCs w:val="24"/>
          <w:lang w:eastAsia="lv-LV"/>
        </w:rPr>
        <w:t xml:space="preserve">projektu </w:t>
      </w:r>
      <w:r>
        <w:rPr>
          <w:rFonts w:eastAsia="Times New Roman"/>
          <w:color w:val="000000"/>
          <w:szCs w:val="24"/>
          <w:lang w:eastAsia="lv-LV"/>
        </w:rPr>
        <w:t xml:space="preserve">starpposma </w:t>
      </w:r>
      <w:r w:rsidRPr="00F42FDE">
        <w:rPr>
          <w:rFonts w:eastAsia="Times New Roman"/>
          <w:color w:val="000000"/>
          <w:szCs w:val="24"/>
          <w:lang w:eastAsia="lv-LV"/>
        </w:rPr>
        <w:t xml:space="preserve">pārskatu </w:t>
      </w:r>
      <w:r>
        <w:rPr>
          <w:rFonts w:eastAsia="Times New Roman"/>
          <w:color w:val="000000"/>
          <w:szCs w:val="24"/>
          <w:lang w:eastAsia="lv-LV"/>
        </w:rPr>
        <w:t>iesniegšana</w:t>
      </w:r>
      <w:r w:rsidRPr="00F42FDE">
        <w:rPr>
          <w:rFonts w:eastAsia="Times New Roman"/>
          <w:color w:val="000000"/>
          <w:szCs w:val="24"/>
          <w:lang w:eastAsia="lv-LV"/>
        </w:rPr>
        <w:t xml:space="preserve">, līdz ar to maksājumi projektu īstenotājiem tika veikti </w:t>
      </w:r>
      <w:r>
        <w:rPr>
          <w:rFonts w:eastAsia="Times New Roman"/>
          <w:color w:val="000000"/>
          <w:szCs w:val="24"/>
          <w:lang w:eastAsia="lv-LV"/>
        </w:rPr>
        <w:t>vēlāk nekā plānots, kā arī 1 no 2 iepriekš noteiktajiem projektiem</w:t>
      </w:r>
      <w:r w:rsidRPr="00FB6DC3">
        <w:rPr>
          <w:rFonts w:eastAsia="Times New Roman"/>
          <w:color w:val="000000"/>
          <w:szCs w:val="24"/>
          <w:lang w:eastAsia="lv-LV"/>
        </w:rPr>
        <w:t xml:space="preserve"> </w:t>
      </w:r>
      <w:r>
        <w:rPr>
          <w:rFonts w:eastAsia="Times New Roman"/>
          <w:color w:val="000000"/>
          <w:szCs w:val="24"/>
          <w:lang w:eastAsia="lv-LV"/>
        </w:rPr>
        <w:t xml:space="preserve">bija </w:t>
      </w:r>
      <w:r w:rsidRPr="00FB6DC3">
        <w:rPr>
          <w:rFonts w:eastAsia="Times New Roman"/>
          <w:color w:val="000000"/>
          <w:szCs w:val="24"/>
          <w:lang w:eastAsia="lv-LV"/>
        </w:rPr>
        <w:t xml:space="preserve">radušies ietaupījumi, kuri </w:t>
      </w:r>
      <w:r>
        <w:rPr>
          <w:rFonts w:eastAsia="Times New Roman"/>
          <w:color w:val="000000"/>
          <w:szCs w:val="24"/>
          <w:lang w:eastAsia="lv-LV"/>
        </w:rPr>
        <w:t xml:space="preserve">tiks izlietoti </w:t>
      </w:r>
      <w:r w:rsidRPr="00FB6DC3">
        <w:rPr>
          <w:rFonts w:eastAsia="Times New Roman"/>
          <w:color w:val="000000"/>
          <w:szCs w:val="24"/>
          <w:lang w:eastAsia="lv-LV"/>
        </w:rPr>
        <w:t xml:space="preserve">papildu aktivitāšu īstenošanai </w:t>
      </w:r>
      <w:r>
        <w:rPr>
          <w:rFonts w:eastAsia="Times New Roman"/>
          <w:color w:val="000000"/>
          <w:szCs w:val="24"/>
          <w:lang w:eastAsia="lv-LV"/>
        </w:rPr>
        <w:t>2016.gada 2.pusgadā</w:t>
      </w:r>
      <w:r w:rsidRPr="00FB6DC3">
        <w:rPr>
          <w:rFonts w:eastAsia="Times New Roman"/>
          <w:color w:val="000000"/>
          <w:szCs w:val="24"/>
          <w:lang w:eastAsia="lv-LV"/>
        </w:rPr>
        <w:t>.</w:t>
      </w:r>
      <w:r>
        <w:rPr>
          <w:rFonts w:eastAsia="Times New Roman"/>
          <w:color w:val="000000"/>
          <w:szCs w:val="24"/>
          <w:lang w:eastAsia="lv-LV"/>
        </w:rPr>
        <w:t xml:space="preserve"> Savukārt, </w:t>
      </w:r>
      <w:r w:rsidRPr="00076639">
        <w:rPr>
          <w:rFonts w:eastAsia="Times New Roman"/>
          <w:color w:val="000000"/>
          <w:szCs w:val="24"/>
          <w:lang w:eastAsia="lv-LV"/>
        </w:rPr>
        <w:t>VARAM programmā</w:t>
      </w:r>
      <w:r>
        <w:rPr>
          <w:rFonts w:eastAsia="Times New Roman"/>
          <w:color w:val="000000"/>
          <w:szCs w:val="24"/>
          <w:lang w:eastAsia="lv-LV"/>
        </w:rPr>
        <w:t xml:space="preserve"> “</w:t>
      </w:r>
      <w:r w:rsidRPr="0017190C">
        <w:rPr>
          <w:rFonts w:eastAsia="Times New Roman"/>
          <w:color w:val="000000"/>
          <w:szCs w:val="24"/>
          <w:lang w:eastAsia="lv-LV"/>
        </w:rPr>
        <w:t>Kapacitātes stiprināšana un institucionālā sadarbība starp Latvijas un Norvēģijas valsts institūcijām, vietējām un reģionālām iestādēm</w:t>
      </w:r>
      <w:r>
        <w:rPr>
          <w:rFonts w:eastAsia="Times New Roman"/>
          <w:color w:val="000000"/>
          <w:szCs w:val="24"/>
          <w:lang w:eastAsia="lv-LV"/>
        </w:rPr>
        <w:t>” 1 no 4 iepriekš noteiktajiem projektiem noslēdzās ar ietaupījumiem</w:t>
      </w:r>
      <w:r w:rsidRPr="007F7B9D">
        <w:rPr>
          <w:rFonts w:eastAsia="Times New Roman"/>
          <w:color w:val="000000"/>
          <w:szCs w:val="24"/>
          <w:lang w:eastAsia="lv-LV"/>
        </w:rPr>
        <w:t xml:space="preserve">, kā arī </w:t>
      </w:r>
      <w:r w:rsidR="00702A6E">
        <w:rPr>
          <w:rFonts w:eastAsia="Times New Roman"/>
          <w:color w:val="000000"/>
          <w:szCs w:val="24"/>
          <w:lang w:eastAsia="lv-LV"/>
        </w:rPr>
        <w:t>šajā projektā</w:t>
      </w:r>
      <w:r>
        <w:rPr>
          <w:rFonts w:eastAsia="Times New Roman"/>
          <w:color w:val="000000"/>
          <w:szCs w:val="24"/>
          <w:lang w:eastAsia="lv-LV"/>
        </w:rPr>
        <w:t xml:space="preserve"> par </w:t>
      </w:r>
      <w:r w:rsidR="00763D15">
        <w:rPr>
          <w:rFonts w:eastAsia="Times New Roman"/>
          <w:color w:val="000000"/>
          <w:szCs w:val="24"/>
          <w:lang w:eastAsia="lv-LV"/>
        </w:rPr>
        <w:t>5</w:t>
      </w:r>
      <w:r>
        <w:rPr>
          <w:rFonts w:eastAsia="Times New Roman"/>
          <w:color w:val="000000"/>
          <w:szCs w:val="24"/>
          <w:lang w:eastAsia="lv-LV"/>
        </w:rPr>
        <w:t xml:space="preserve"> iepirkumu līgum</w:t>
      </w:r>
      <w:r w:rsidRPr="007F7B9D">
        <w:rPr>
          <w:rFonts w:eastAsia="Times New Roman"/>
          <w:color w:val="000000"/>
          <w:szCs w:val="24"/>
          <w:lang w:eastAsia="lv-LV"/>
        </w:rPr>
        <w:t>os aprēķinātajām so</w:t>
      </w:r>
      <w:r>
        <w:rPr>
          <w:rFonts w:eastAsia="Times New Roman"/>
          <w:color w:val="000000"/>
          <w:szCs w:val="24"/>
          <w:lang w:eastAsia="lv-LV"/>
        </w:rPr>
        <w:t xml:space="preserve">da naudām </w:t>
      </w:r>
      <w:r w:rsidRPr="007F7B9D">
        <w:rPr>
          <w:rFonts w:eastAsia="Times New Roman"/>
          <w:color w:val="000000"/>
          <w:szCs w:val="24"/>
          <w:lang w:eastAsia="lv-LV"/>
        </w:rPr>
        <w:t xml:space="preserve">tika samazināti </w:t>
      </w:r>
      <w:r w:rsidRPr="00560E54">
        <w:rPr>
          <w:rFonts w:eastAsia="Times New Roman"/>
          <w:color w:val="000000"/>
          <w:szCs w:val="24"/>
          <w:lang w:eastAsia="lv-LV"/>
        </w:rPr>
        <w:t>izpildītājiem veicamie maksājumi</w:t>
      </w:r>
      <w:r w:rsidRPr="007F7B9D">
        <w:rPr>
          <w:rFonts w:eastAsia="Times New Roman"/>
          <w:color w:val="000000"/>
          <w:szCs w:val="24"/>
          <w:lang w:eastAsia="lv-LV"/>
        </w:rPr>
        <w:t xml:space="preserve">. </w:t>
      </w:r>
    </w:p>
    <w:p w14:paraId="73F065CC" w14:textId="77777777" w:rsidR="006D46FF" w:rsidRPr="00A1687F" w:rsidRDefault="006D46FF" w:rsidP="00DC4E3D">
      <w:pPr>
        <w:spacing w:before="120" w:after="120" w:line="276" w:lineRule="auto"/>
        <w:jc w:val="both"/>
        <w:rPr>
          <w:rFonts w:eastAsia="Times New Roman"/>
          <w:color w:val="000000"/>
          <w:szCs w:val="24"/>
          <w:lang w:eastAsia="lv-LV"/>
        </w:rPr>
      </w:pPr>
      <w:r w:rsidRPr="003A4955">
        <w:rPr>
          <w:rFonts w:eastAsia="Times New Roman"/>
          <w:color w:val="000000"/>
          <w:szCs w:val="24"/>
          <w:lang w:eastAsia="lv-LV"/>
        </w:rPr>
        <w:t xml:space="preserve">3) KM programmā “Kultūras un dabas mantojuma saglabāšana un atjaunināšana” </w:t>
      </w:r>
      <w:r>
        <w:rPr>
          <w:rFonts w:eastAsia="Times New Roman"/>
          <w:color w:val="000000"/>
          <w:szCs w:val="24"/>
          <w:lang w:eastAsia="lv-LV"/>
        </w:rPr>
        <w:t>2 iepriekš noteiktajos projektos</w:t>
      </w:r>
      <w:r w:rsidRPr="003A4955">
        <w:rPr>
          <w:rFonts w:eastAsia="Times New Roman"/>
          <w:color w:val="000000"/>
          <w:szCs w:val="24"/>
          <w:lang w:eastAsia="lv-LV"/>
        </w:rPr>
        <w:t xml:space="preserve"> bija nozīmīgi sarežģījumi iepirkumu procedūrās</w:t>
      </w:r>
      <w:r>
        <w:rPr>
          <w:rFonts w:eastAsia="Times New Roman"/>
          <w:color w:val="000000"/>
          <w:szCs w:val="24"/>
          <w:lang w:eastAsia="lv-LV"/>
        </w:rPr>
        <w:t xml:space="preserve">, t.sk. saņemtas vairākas pārsūdzības, kuru dēļ </w:t>
      </w:r>
      <w:r w:rsidRPr="003A4955">
        <w:rPr>
          <w:rFonts w:eastAsia="Times New Roman"/>
          <w:color w:val="000000"/>
          <w:szCs w:val="24"/>
          <w:lang w:eastAsia="lv-LV"/>
        </w:rPr>
        <w:t>būtiski aizkavē</w:t>
      </w:r>
      <w:r>
        <w:rPr>
          <w:rFonts w:eastAsia="Times New Roman"/>
          <w:color w:val="000000"/>
          <w:szCs w:val="24"/>
          <w:lang w:eastAsia="lv-LV"/>
        </w:rPr>
        <w:t>jās darbu uzsākšana/īstenošana, līdz ar to šajos projektos apjomīgi būvdarbi ir uzsākti</w:t>
      </w:r>
      <w:r w:rsidRPr="008F7F80">
        <w:rPr>
          <w:rFonts w:eastAsia="Times New Roman"/>
          <w:color w:val="000000"/>
          <w:szCs w:val="24"/>
          <w:lang w:eastAsia="lv-LV"/>
        </w:rPr>
        <w:t xml:space="preserve"> </w:t>
      </w:r>
      <w:r>
        <w:rPr>
          <w:rFonts w:eastAsia="Times New Roman"/>
          <w:color w:val="000000"/>
          <w:szCs w:val="24"/>
          <w:lang w:eastAsia="lv-LV"/>
        </w:rPr>
        <w:t>tikai pārskata perioda beigās.</w:t>
      </w:r>
    </w:p>
    <w:p w14:paraId="687E27BC" w14:textId="77777777" w:rsidR="006D46FF" w:rsidRDefault="006D46FF" w:rsidP="00DC4E3D">
      <w:pPr>
        <w:spacing w:before="120" w:after="120" w:line="276" w:lineRule="auto"/>
        <w:jc w:val="both"/>
        <w:rPr>
          <w:rFonts w:eastAsia="Times New Roman"/>
          <w:color w:val="000000"/>
          <w:szCs w:val="24"/>
          <w:lang w:eastAsia="lv-LV"/>
        </w:rPr>
      </w:pPr>
      <w:r w:rsidRPr="00DB781F">
        <w:rPr>
          <w:rFonts w:eastAsia="Times New Roman"/>
          <w:color w:val="000000"/>
          <w:szCs w:val="24"/>
          <w:lang w:eastAsia="lv-LV"/>
        </w:rPr>
        <w:t>4) TM programmā “Latvijas korekcijas dienestu un Valsts policijas īslaicī</w:t>
      </w:r>
      <w:r>
        <w:rPr>
          <w:rFonts w:eastAsia="Times New Roman"/>
          <w:color w:val="000000"/>
          <w:szCs w:val="24"/>
          <w:lang w:eastAsia="lv-LV"/>
        </w:rPr>
        <w:t>gās aizturēšanas vietu reforma”</w:t>
      </w:r>
      <w:r w:rsidRPr="00DB781F">
        <w:t xml:space="preserve"> </w:t>
      </w:r>
      <w:r w:rsidRPr="00DB781F">
        <w:rPr>
          <w:rFonts w:eastAsia="Times New Roman"/>
          <w:color w:val="000000"/>
          <w:szCs w:val="24"/>
          <w:lang w:eastAsia="lv-LV"/>
        </w:rPr>
        <w:t>Olaines cietuma projektā</w:t>
      </w:r>
      <w:r>
        <w:rPr>
          <w:rFonts w:eastAsia="Times New Roman"/>
          <w:color w:val="000000"/>
          <w:szCs w:val="24"/>
          <w:lang w:eastAsia="lv-LV"/>
        </w:rPr>
        <w:t xml:space="preserve"> nepieciešamās</w:t>
      </w:r>
      <w:r w:rsidRPr="00DB781F">
        <w:rPr>
          <w:rFonts w:eastAsia="Times New Roman"/>
          <w:color w:val="000000"/>
          <w:szCs w:val="24"/>
          <w:lang w:eastAsia="lv-LV"/>
        </w:rPr>
        <w:t xml:space="preserve"> </w:t>
      </w:r>
      <w:r>
        <w:rPr>
          <w:rFonts w:eastAsia="Times New Roman"/>
          <w:color w:val="000000"/>
          <w:szCs w:val="24"/>
          <w:lang w:eastAsia="lv-LV"/>
        </w:rPr>
        <w:t>žoga konstrukcijas pārbūves dēļ aizkavējās būvdarbi, līdz ar to arī cietuma apkārtnes labiekārtošanas darbi un iekštelpu mēbelēšana, kā rezultātā maksājumi pakalpojuma sniedzējam tiks veikti 2016.gada 2.pusgadā.</w:t>
      </w:r>
    </w:p>
    <w:p w14:paraId="1DC0EB6D" w14:textId="77777777" w:rsidR="00DC4E3D" w:rsidRDefault="00DC4E3D">
      <w:pPr>
        <w:rPr>
          <w:rFonts w:eastAsia="Times New Roman"/>
          <w:b/>
          <w:i/>
          <w:color w:val="000000"/>
          <w:szCs w:val="24"/>
          <w:lang w:eastAsia="lv-LV"/>
        </w:rPr>
      </w:pPr>
      <w:r>
        <w:rPr>
          <w:rFonts w:eastAsia="Times New Roman"/>
          <w:b/>
          <w:i/>
          <w:color w:val="000000"/>
          <w:szCs w:val="24"/>
          <w:lang w:eastAsia="lv-LV"/>
        </w:rPr>
        <w:br w:type="page"/>
      </w:r>
    </w:p>
    <w:p w14:paraId="4997A238" w14:textId="02E17137" w:rsidR="006D46FF" w:rsidRPr="002A1BC1" w:rsidRDefault="006D46FF" w:rsidP="00DC4E3D">
      <w:pPr>
        <w:spacing w:before="120" w:after="120" w:line="276" w:lineRule="auto"/>
        <w:jc w:val="both"/>
        <w:rPr>
          <w:rFonts w:eastAsia="Times New Roman"/>
          <w:b/>
          <w:i/>
          <w:color w:val="000000"/>
          <w:szCs w:val="24"/>
          <w:lang w:eastAsia="lv-LV"/>
        </w:rPr>
      </w:pPr>
      <w:r w:rsidRPr="002A1BC1">
        <w:rPr>
          <w:rFonts w:eastAsia="Times New Roman"/>
          <w:b/>
          <w:i/>
          <w:color w:val="000000"/>
          <w:szCs w:val="24"/>
          <w:lang w:eastAsia="lv-LV"/>
        </w:rPr>
        <w:lastRenderedPageBreak/>
        <w:t>Programmu īstenošana</w:t>
      </w:r>
    </w:p>
    <w:p w14:paraId="59370AEB" w14:textId="6B99C0D7" w:rsidR="006D46FF" w:rsidRDefault="00CE0CD0" w:rsidP="00DC4E3D">
      <w:pPr>
        <w:pStyle w:val="Default"/>
        <w:spacing w:line="276" w:lineRule="auto"/>
        <w:rPr>
          <w:rFonts w:eastAsiaTheme="minorHAnsi"/>
          <w:color w:val="auto"/>
          <w:szCs w:val="20"/>
          <w:lang w:eastAsia="en-US"/>
        </w:rPr>
      </w:pPr>
      <w:r w:rsidRPr="00610DFA">
        <w:t xml:space="preserve">VARAM programmā </w:t>
      </w:r>
      <w:r w:rsidRPr="00610DFA">
        <w:rPr>
          <w:b/>
        </w:rPr>
        <w:t>“Nacionālā klimata politika”</w:t>
      </w:r>
      <w:r w:rsidRPr="00610DFA">
        <w:t xml:space="preserve"> ir noslēgušies 17 no 25 atklāto konkursu projektiem, uzbūvējot energoefektīvu sporta zāli Ādažos, izveidojot inovatīvu biomasas gazifikācijas tehnoloģisko risinājumu, kā arī izstrādājot apmācību programmas, sagatavojot pētījumus un organizējot radošas informatīvas kampaņas par klimata </w:t>
      </w:r>
      <w:r>
        <w:t>pārmaiņu ietekmi un novēršanu. Divos</w:t>
      </w:r>
      <w:r w:rsidRPr="00610DFA">
        <w:t xml:space="preserve"> iepriekš noteiktajos projektos noslēdzās 4 pētījumu izstrāde siltumnīcefekta gāzu inventarizācijas uzlabošanai un izstrādāts jūras telpiskais plānojums Latvijas teritoriālajiem ūdeņiem, kā arī, ņemot vērā, ka joprojām noris tādas projektu aktivitātes kā datu vākšana un datu analīze klimata pārmaiņu modelēšanai, līdz š.g. septembrim tiks nodrošināta pēdējo iepirkumu izsludināšana</w:t>
      </w:r>
      <w:r w:rsidR="006D46FF">
        <w:rPr>
          <w:rFonts w:eastAsiaTheme="minorHAnsi"/>
          <w:color w:val="auto"/>
          <w:szCs w:val="20"/>
          <w:lang w:eastAsia="en-US"/>
        </w:rPr>
        <w:t>.</w:t>
      </w:r>
    </w:p>
    <w:p w14:paraId="2FAACBA3" w14:textId="689490CA" w:rsidR="006D46FF" w:rsidRPr="009F4236" w:rsidRDefault="006D46FF" w:rsidP="00DC4E3D">
      <w:pPr>
        <w:pStyle w:val="Default"/>
        <w:spacing w:line="276" w:lineRule="auto"/>
        <w:rPr>
          <w:rFonts w:eastAsia="Times New Roman"/>
          <w:szCs w:val="20"/>
        </w:rPr>
      </w:pPr>
      <w:r w:rsidRPr="00395FF4">
        <w:rPr>
          <w:rFonts w:eastAsia="Times New Roman"/>
          <w:szCs w:val="20"/>
        </w:rPr>
        <w:t>SIF programmā</w:t>
      </w:r>
      <w:r>
        <w:rPr>
          <w:rFonts w:eastAsia="Times New Roman"/>
          <w:b/>
          <w:szCs w:val="20"/>
        </w:rPr>
        <w:t xml:space="preserve"> “NVO fonds” </w:t>
      </w:r>
      <w:r w:rsidRPr="009F4236">
        <w:rPr>
          <w:rFonts w:eastAsia="Times New Roman"/>
          <w:szCs w:val="20"/>
        </w:rPr>
        <w:t>ir noslēgušies visi 205 projekti</w:t>
      </w:r>
      <w:r>
        <w:rPr>
          <w:rFonts w:eastAsia="Times New Roman"/>
          <w:szCs w:val="20"/>
        </w:rPr>
        <w:t xml:space="preserve">. Lai arī programmas </w:t>
      </w:r>
      <w:proofErr w:type="spellStart"/>
      <w:r>
        <w:rPr>
          <w:rFonts w:eastAsia="Times New Roman"/>
          <w:szCs w:val="20"/>
        </w:rPr>
        <w:t>izvērtējuma</w:t>
      </w:r>
      <w:proofErr w:type="spellEnd"/>
      <w:r>
        <w:rPr>
          <w:rFonts w:eastAsia="Times New Roman"/>
          <w:szCs w:val="20"/>
        </w:rPr>
        <w:t xml:space="preserve"> rezultāti gaidāmi 2016.gada novembrī, </w:t>
      </w:r>
      <w:r w:rsidR="006306DB">
        <w:rPr>
          <w:rFonts w:eastAsia="Times New Roman"/>
          <w:szCs w:val="20"/>
        </w:rPr>
        <w:t xml:space="preserve">jau tagad secināms, ka </w:t>
      </w:r>
      <w:r>
        <w:rPr>
          <w:rFonts w:eastAsia="Times New Roman"/>
          <w:szCs w:val="20"/>
        </w:rPr>
        <w:t xml:space="preserve">tā ir sniegusi būtisku ieguldījumu NVO attīstībā. Tika izstrādāti priekšlikumi efektīvai NVO atbalsta sistēmai Latvijā, kas veicināja valsts budžeta finansētās programmas “NVO fonds” izveidošanu (2016.gadam novirzīti 400 tūkst. </w:t>
      </w:r>
      <w:r w:rsidRPr="00DB1EF2">
        <w:rPr>
          <w:rFonts w:eastAsia="Times New Roman"/>
          <w:i/>
          <w:szCs w:val="20"/>
        </w:rPr>
        <w:t>euro</w:t>
      </w:r>
      <w:r>
        <w:rPr>
          <w:rFonts w:eastAsia="Times New Roman"/>
          <w:szCs w:val="20"/>
        </w:rPr>
        <w:t>). 2016.gada 1.jūnija SIF padomes sēdē apstiprināti 66 projekti tādos darbības virzienos kā NVO darbības stiprināšana, atbalsts NVO pilsoniskās sabiedrības aktivitātēm un NVO interešu aizstāvība.</w:t>
      </w:r>
    </w:p>
    <w:p w14:paraId="46530621" w14:textId="77777777" w:rsidR="006D46FF" w:rsidRPr="00792897" w:rsidRDefault="006D46FF" w:rsidP="00DC4E3D">
      <w:pPr>
        <w:pStyle w:val="Default"/>
        <w:spacing w:line="276" w:lineRule="auto"/>
        <w:rPr>
          <w:rFonts w:eastAsia="Times New Roman"/>
          <w:szCs w:val="20"/>
        </w:rPr>
      </w:pPr>
      <w:r w:rsidRPr="00395FF4">
        <w:rPr>
          <w:rFonts w:eastAsia="Times New Roman"/>
          <w:szCs w:val="20"/>
        </w:rPr>
        <w:t>KM programmā</w:t>
      </w:r>
      <w:r>
        <w:rPr>
          <w:rFonts w:eastAsia="Times New Roman"/>
          <w:b/>
          <w:szCs w:val="20"/>
        </w:rPr>
        <w:t xml:space="preserve"> “</w:t>
      </w:r>
      <w:r w:rsidRPr="008B5419">
        <w:rPr>
          <w:rFonts w:eastAsiaTheme="minorHAnsi"/>
          <w:b/>
          <w:color w:val="auto"/>
          <w:szCs w:val="20"/>
          <w:lang w:eastAsia="en-US"/>
        </w:rPr>
        <w:t>Kultūras un dabas mantojuma saglabāšana un atjaunināšana</w:t>
      </w:r>
      <w:r>
        <w:rPr>
          <w:rFonts w:eastAsia="Times New Roman"/>
          <w:b/>
          <w:szCs w:val="20"/>
        </w:rPr>
        <w:t xml:space="preserve">” </w:t>
      </w:r>
      <w:r w:rsidRPr="00792897">
        <w:rPr>
          <w:rFonts w:eastAsia="Times New Roman"/>
          <w:szCs w:val="20"/>
        </w:rPr>
        <w:t xml:space="preserve">ir </w:t>
      </w:r>
      <w:r>
        <w:rPr>
          <w:rFonts w:eastAsia="Times New Roman"/>
          <w:szCs w:val="20"/>
        </w:rPr>
        <w:t xml:space="preserve">pabeigti visi 11 kultūras apmaiņas projekti, kuru ietvaros tika atbalstītas dažāda veida kultūras aktivitātes, kā piemēram, folkloras un nacionālo tradīciju festivāli, koncerti un izstādes gan Latvijā, gan Norvēģijā. 2016.gada 28.-29.aprīlī Latvijas Etnogrāfiskajā brīvdabas muzejā tika organizēts seminārs “Vēsturisku ēku restaurācijas gaita un ilgtspējīga izmantošana”, kas pulcēja lielu skaitu nozares speciālistu gan no Latvijas, gan Norvēģijas. Pārskata periodā arī uzsākti rekonstrukcijas darbi Rakstniecības un mūzikas muzejā un Latvijas Etnogrāfiskā brīvdabas muzeja Ostas noliktavas ēkā, kurus plānots pabeigt līdz 2017.gada 31.martam. </w:t>
      </w:r>
    </w:p>
    <w:p w14:paraId="7A1EF8A0" w14:textId="67152033" w:rsidR="006D46FF" w:rsidRPr="009507E7" w:rsidRDefault="006D46FF" w:rsidP="00DC4E3D">
      <w:pPr>
        <w:pStyle w:val="Default"/>
        <w:spacing w:line="276" w:lineRule="auto"/>
        <w:rPr>
          <w:rFonts w:eastAsiaTheme="minorHAnsi"/>
          <w:szCs w:val="20"/>
        </w:rPr>
      </w:pPr>
      <w:r w:rsidRPr="00395FF4">
        <w:rPr>
          <w:rFonts w:eastAsia="Times New Roman"/>
          <w:szCs w:val="20"/>
        </w:rPr>
        <w:t>IZM</w:t>
      </w:r>
      <w:r w:rsidRPr="00395FF4">
        <w:rPr>
          <w:rFonts w:eastAsiaTheme="minorHAnsi"/>
          <w:szCs w:val="20"/>
        </w:rPr>
        <w:t xml:space="preserve"> </w:t>
      </w:r>
      <w:r w:rsidRPr="00FD22CB">
        <w:rPr>
          <w:rFonts w:eastAsiaTheme="minorHAnsi"/>
          <w:szCs w:val="20"/>
        </w:rPr>
        <w:t xml:space="preserve">programmā </w:t>
      </w:r>
      <w:r w:rsidRPr="00FD22CB">
        <w:rPr>
          <w:rFonts w:eastAsiaTheme="minorHAnsi"/>
          <w:b/>
          <w:szCs w:val="20"/>
        </w:rPr>
        <w:t>“Pētniecība un stipendijas”</w:t>
      </w:r>
      <w:r>
        <w:rPr>
          <w:rFonts w:eastAsiaTheme="minorHAnsi"/>
          <w:szCs w:val="20"/>
        </w:rPr>
        <w:t xml:space="preserve"> </w:t>
      </w:r>
      <w:r w:rsidR="00FC4C8D">
        <w:rPr>
          <w:rFonts w:eastAsiaTheme="minorHAnsi"/>
          <w:szCs w:val="20"/>
        </w:rPr>
        <w:t xml:space="preserve">ir </w:t>
      </w:r>
      <w:r>
        <w:rPr>
          <w:rFonts w:eastAsiaTheme="minorHAnsi"/>
          <w:szCs w:val="20"/>
        </w:rPr>
        <w:t xml:space="preserve">notikušas 48 studentu mobilitātes (kopā plānotas 70) un 50 augstskolu personāla mobilitātes (kopā plānotas 44) uz </w:t>
      </w:r>
      <w:proofErr w:type="spellStart"/>
      <w:r>
        <w:rPr>
          <w:rFonts w:eastAsiaTheme="minorHAnsi"/>
          <w:szCs w:val="20"/>
        </w:rPr>
        <w:t>donorvalstīm</w:t>
      </w:r>
      <w:proofErr w:type="spellEnd"/>
      <w:r>
        <w:rPr>
          <w:rFonts w:eastAsiaTheme="minorHAnsi"/>
          <w:szCs w:val="20"/>
        </w:rPr>
        <w:t xml:space="preserve">. 11 pētniecības projektos noris aktīvs darbs pie pētījumu izstrādes, t. sk. uzsākta 5 publikāciju kopīgi ar </w:t>
      </w:r>
      <w:proofErr w:type="spellStart"/>
      <w:r>
        <w:rPr>
          <w:rFonts w:eastAsiaTheme="minorHAnsi"/>
          <w:szCs w:val="20"/>
        </w:rPr>
        <w:t>donorvalstu</w:t>
      </w:r>
      <w:proofErr w:type="spellEnd"/>
      <w:r>
        <w:rPr>
          <w:rFonts w:eastAsiaTheme="minorHAnsi"/>
          <w:szCs w:val="20"/>
        </w:rPr>
        <w:t xml:space="preserve"> projektu partneriem (kopā plānotas 38) un 17 starptautisku publikāciju izstrāde (kopā plānotas 40).</w:t>
      </w:r>
    </w:p>
    <w:p w14:paraId="11350DC3" w14:textId="1F5812F3" w:rsidR="006D46FF" w:rsidRDefault="006D46FF" w:rsidP="00DC4E3D">
      <w:pPr>
        <w:pStyle w:val="Default"/>
        <w:spacing w:line="276" w:lineRule="auto"/>
        <w:rPr>
          <w:rFonts w:eastAsia="Times New Roman"/>
          <w:szCs w:val="20"/>
        </w:rPr>
      </w:pPr>
      <w:r w:rsidRPr="00395FF4">
        <w:rPr>
          <w:rFonts w:eastAsia="Times New Roman"/>
          <w:szCs w:val="20"/>
        </w:rPr>
        <w:t>EM programmā</w:t>
      </w:r>
      <w:r>
        <w:rPr>
          <w:rFonts w:eastAsia="Times New Roman"/>
          <w:b/>
          <w:szCs w:val="20"/>
        </w:rPr>
        <w:t xml:space="preserve"> </w:t>
      </w:r>
      <w:r w:rsidRPr="00906C0D">
        <w:rPr>
          <w:rFonts w:eastAsiaTheme="minorHAnsi"/>
          <w:b/>
          <w:szCs w:val="20"/>
        </w:rPr>
        <w:t>“Inovācijas „zaļās” ražošanas jomā”</w:t>
      </w:r>
      <w:r w:rsidRPr="001527BE">
        <w:rPr>
          <w:rFonts w:eastAsia="Times New Roman"/>
          <w:b/>
          <w:szCs w:val="20"/>
        </w:rPr>
        <w:t xml:space="preserve"> </w:t>
      </w:r>
      <w:r>
        <w:rPr>
          <w:rFonts w:eastAsia="Times New Roman"/>
          <w:szCs w:val="20"/>
        </w:rPr>
        <w:t>ir noslēgušies 1</w:t>
      </w:r>
      <w:r w:rsidR="00FC4C8D">
        <w:rPr>
          <w:rFonts w:eastAsia="Times New Roman"/>
          <w:szCs w:val="20"/>
        </w:rPr>
        <w:t>6 (</w:t>
      </w:r>
      <w:r w:rsidR="00502109">
        <w:rPr>
          <w:rFonts w:eastAsia="Times New Roman"/>
          <w:szCs w:val="20"/>
        </w:rPr>
        <w:t xml:space="preserve">noslēguma maksājums veikts </w:t>
      </w:r>
      <w:r w:rsidR="00FC4C8D">
        <w:rPr>
          <w:rFonts w:eastAsia="Times New Roman"/>
          <w:szCs w:val="20"/>
        </w:rPr>
        <w:t>6 pr</w:t>
      </w:r>
      <w:r w:rsidR="00774A2B">
        <w:rPr>
          <w:rFonts w:eastAsia="Times New Roman"/>
          <w:szCs w:val="20"/>
        </w:rPr>
        <w:t>o</w:t>
      </w:r>
      <w:r w:rsidR="00FC4C8D">
        <w:rPr>
          <w:rFonts w:eastAsia="Times New Roman"/>
          <w:szCs w:val="20"/>
        </w:rPr>
        <w:t>jektiem</w:t>
      </w:r>
      <w:r w:rsidR="00774A2B">
        <w:rPr>
          <w:rFonts w:eastAsia="Times New Roman"/>
          <w:szCs w:val="20"/>
        </w:rPr>
        <w:t xml:space="preserve">) </w:t>
      </w:r>
      <w:r>
        <w:rPr>
          <w:rFonts w:eastAsia="Times New Roman"/>
          <w:szCs w:val="20"/>
        </w:rPr>
        <w:t xml:space="preserve">no </w:t>
      </w:r>
      <w:r w:rsidR="00774A2B">
        <w:rPr>
          <w:rFonts w:eastAsia="Times New Roman"/>
          <w:szCs w:val="20"/>
        </w:rPr>
        <w:t>39</w:t>
      </w:r>
      <w:r>
        <w:rPr>
          <w:rFonts w:eastAsia="Times New Roman"/>
          <w:szCs w:val="20"/>
        </w:rPr>
        <w:t xml:space="preserve"> projektiem, ļaujot Latvijas uzņēmējiem saņemt inkubācijas pakalpojumus jaunu un zaļāku produktu pakalpojumu izstrādei, kā arī iegādāties jaunu/uzlabotu tehnoloģiju iekārtas, nodrošinot videi draudzīgāku ražošanas procesu. Zaļo</w:t>
      </w:r>
      <w:r w:rsidRPr="001527BE">
        <w:rPr>
          <w:rFonts w:eastAsia="Times New Roman"/>
          <w:szCs w:val="20"/>
        </w:rPr>
        <w:t xml:space="preserve"> Tehnoloģiju inkubators izsludin</w:t>
      </w:r>
      <w:r>
        <w:rPr>
          <w:rFonts w:eastAsia="Times New Roman"/>
          <w:szCs w:val="20"/>
        </w:rPr>
        <w:t>āja</w:t>
      </w:r>
      <w:r w:rsidRPr="001527BE">
        <w:rPr>
          <w:rFonts w:eastAsia="Times New Roman"/>
          <w:szCs w:val="20"/>
        </w:rPr>
        <w:t xml:space="preserve"> </w:t>
      </w:r>
      <w:r>
        <w:rPr>
          <w:rFonts w:eastAsia="Times New Roman"/>
          <w:szCs w:val="20"/>
        </w:rPr>
        <w:t xml:space="preserve">papildu </w:t>
      </w:r>
      <w:r w:rsidRPr="001527BE">
        <w:rPr>
          <w:rFonts w:eastAsia="Times New Roman"/>
          <w:szCs w:val="20"/>
        </w:rPr>
        <w:t xml:space="preserve">2 </w:t>
      </w:r>
      <w:r>
        <w:rPr>
          <w:rFonts w:eastAsia="Times New Roman"/>
          <w:szCs w:val="20"/>
        </w:rPr>
        <w:t xml:space="preserve">pirms inkubācijas kārtas – pirmajā kārtā tika apstiprinātas 20 idejas no 62 iesniegtajām, otrā kārta noslēdzās 2016.gada 4.jūlijā </w:t>
      </w:r>
      <w:r w:rsidR="006306DB">
        <w:rPr>
          <w:rFonts w:eastAsia="Times New Roman"/>
          <w:szCs w:val="20"/>
        </w:rPr>
        <w:t xml:space="preserve">un </w:t>
      </w:r>
      <w:r>
        <w:rPr>
          <w:rFonts w:eastAsia="Times New Roman"/>
          <w:szCs w:val="20"/>
        </w:rPr>
        <w:t xml:space="preserve">šobrīd notiek ideju izvērtēšana. </w:t>
      </w:r>
    </w:p>
    <w:p w14:paraId="3B5D9A3A" w14:textId="10DBB23F" w:rsidR="006D46FF" w:rsidRPr="00105D5A" w:rsidRDefault="006D46FF" w:rsidP="00DC4E3D">
      <w:pPr>
        <w:pStyle w:val="Default"/>
        <w:spacing w:line="276" w:lineRule="auto"/>
        <w:rPr>
          <w:rFonts w:eastAsiaTheme="minorHAnsi"/>
          <w:szCs w:val="20"/>
        </w:rPr>
      </w:pPr>
      <w:r w:rsidRPr="00A01EC2">
        <w:rPr>
          <w:rFonts w:eastAsiaTheme="minorHAnsi"/>
          <w:szCs w:val="20"/>
        </w:rPr>
        <w:t xml:space="preserve">VARAM programmā </w:t>
      </w:r>
      <w:r w:rsidRPr="00A01EC2">
        <w:rPr>
          <w:rFonts w:eastAsiaTheme="minorHAnsi"/>
          <w:b/>
          <w:szCs w:val="20"/>
        </w:rPr>
        <w:t>“Kapacitātes stiprināšana un institucionālā sadarbība starp Latvijas un Norvēģijas valsts institūcijām, vietējām un reģionālām iestādēm”</w:t>
      </w:r>
      <w:r>
        <w:rPr>
          <w:rFonts w:eastAsiaTheme="minorHAnsi"/>
          <w:b/>
          <w:szCs w:val="20"/>
        </w:rPr>
        <w:t xml:space="preserve"> </w:t>
      </w:r>
      <w:r>
        <w:rPr>
          <w:rFonts w:eastAsiaTheme="minorHAnsi"/>
          <w:szCs w:val="20"/>
        </w:rPr>
        <w:t xml:space="preserve"> 1 no 4 iepriekš noteiktajiem projektiem ir noslēdzies, kura rezultātā izstrādāti 15 dabas aizsardzības plāni</w:t>
      </w:r>
      <w:r w:rsidR="00BB0E6D">
        <w:rPr>
          <w:rFonts w:eastAsiaTheme="minorHAnsi"/>
          <w:szCs w:val="20"/>
        </w:rPr>
        <w:t xml:space="preserve">, </w:t>
      </w:r>
      <w:r>
        <w:rPr>
          <w:rFonts w:eastAsiaTheme="minorHAnsi"/>
          <w:szCs w:val="20"/>
        </w:rPr>
        <w:t>koncepcija un vadlīnijas par minēto plānu integrēšanu</w:t>
      </w:r>
      <w:r w:rsidRPr="00B50471">
        <w:rPr>
          <w:rFonts w:eastAsiaTheme="minorHAnsi"/>
          <w:szCs w:val="20"/>
        </w:rPr>
        <w:t xml:space="preserve"> </w:t>
      </w:r>
      <w:r>
        <w:rPr>
          <w:rFonts w:eastAsiaTheme="minorHAnsi"/>
          <w:szCs w:val="20"/>
        </w:rPr>
        <w:t xml:space="preserve">pašvaldību teritoriju plānojumos.  </w:t>
      </w:r>
      <w:r>
        <w:rPr>
          <w:rFonts w:eastAsiaTheme="minorHAnsi"/>
          <w:szCs w:val="20"/>
        </w:rPr>
        <w:lastRenderedPageBreak/>
        <w:t xml:space="preserve">Pārējos projektos noslēdzās </w:t>
      </w:r>
      <w:r w:rsidRPr="00057927">
        <w:rPr>
          <w:rFonts w:eastAsiaTheme="minorHAnsi"/>
          <w:szCs w:val="20"/>
        </w:rPr>
        <w:t>ilgtermiņa tematiskā plānojuma izstrāde Baltijas jūras piekraste</w:t>
      </w:r>
      <w:r>
        <w:rPr>
          <w:rFonts w:eastAsiaTheme="minorHAnsi"/>
          <w:szCs w:val="20"/>
        </w:rPr>
        <w:t xml:space="preserve">i, apmācības pašvaldībām par uzņēmējdarbības un inovāciju veicināšanu, izveidota datu bāze pašvaldību pakalpojumu analīzei un pabeigta vietējo kopienu apmācību programma. </w:t>
      </w:r>
    </w:p>
    <w:p w14:paraId="10F2793E" w14:textId="77777777" w:rsidR="006D46FF" w:rsidRDefault="006D46FF" w:rsidP="00DC4E3D">
      <w:pPr>
        <w:pStyle w:val="Default"/>
        <w:spacing w:line="276" w:lineRule="auto"/>
        <w:rPr>
          <w:rFonts w:eastAsiaTheme="minorHAnsi"/>
          <w:color w:val="auto"/>
          <w:szCs w:val="20"/>
          <w:lang w:eastAsia="en-US"/>
        </w:rPr>
      </w:pPr>
      <w:r w:rsidRPr="00AA7F15">
        <w:rPr>
          <w:rFonts w:eastAsiaTheme="minorHAnsi"/>
          <w:color w:val="auto"/>
          <w:szCs w:val="20"/>
          <w:lang w:eastAsia="en-US"/>
        </w:rPr>
        <w:t xml:space="preserve">TM programmā </w:t>
      </w:r>
      <w:r w:rsidRPr="00AA7F15">
        <w:rPr>
          <w:rFonts w:eastAsiaTheme="minorHAnsi"/>
          <w:b/>
          <w:color w:val="auto"/>
          <w:szCs w:val="20"/>
          <w:lang w:eastAsia="en-US"/>
        </w:rPr>
        <w:t>“Latvijas korekcijas dienestu un Valsts policijas īslaicīgās aizturēšanas vietu reforma”</w:t>
      </w:r>
      <w:r>
        <w:rPr>
          <w:rFonts w:eastAsiaTheme="minorHAnsi"/>
          <w:b/>
          <w:color w:val="auto"/>
          <w:szCs w:val="20"/>
          <w:lang w:eastAsia="en-US"/>
        </w:rPr>
        <w:t xml:space="preserve"> </w:t>
      </w:r>
      <w:r>
        <w:rPr>
          <w:rFonts w:eastAsiaTheme="minorHAnsi"/>
          <w:color w:val="auto"/>
          <w:szCs w:val="20"/>
          <w:lang w:eastAsia="en-US"/>
        </w:rPr>
        <w:t xml:space="preserve">ir noslēgušies rekonstrukcijas/renovācijas darbi visā 21 Valsts policijas īslaicīgās aizturēšanas vietā/pagaidu turēšanas telpā. Līdz 2016.gada 1.jūnijam elektroniskā uzraudzība, kas paredzēta pirms termiņa no soda izciešanas atbrīvotajiem, piemērota jau 51 personai, </w:t>
      </w:r>
      <w:r w:rsidRPr="00D71EB5">
        <w:rPr>
          <w:rFonts w:eastAsiaTheme="minorHAnsi"/>
          <w:color w:val="auto"/>
          <w:szCs w:val="20"/>
          <w:lang w:eastAsia="en-US"/>
        </w:rPr>
        <w:t>tādējādi nodrošinot pakāpenisku no</w:t>
      </w:r>
      <w:r>
        <w:rPr>
          <w:rFonts w:eastAsiaTheme="minorHAnsi"/>
          <w:color w:val="auto"/>
          <w:szCs w:val="20"/>
          <w:lang w:eastAsia="en-US"/>
        </w:rPr>
        <w:t>tiesātā integrēšanos sabiedrībā</w:t>
      </w:r>
      <w:r w:rsidRPr="00D71EB5">
        <w:rPr>
          <w:rFonts w:eastAsiaTheme="minorHAnsi"/>
          <w:color w:val="auto"/>
          <w:szCs w:val="20"/>
          <w:lang w:eastAsia="en-US"/>
        </w:rPr>
        <w:t>.</w:t>
      </w:r>
      <w:r>
        <w:rPr>
          <w:rFonts w:eastAsiaTheme="minorHAnsi"/>
          <w:color w:val="auto"/>
          <w:szCs w:val="20"/>
          <w:lang w:eastAsia="en-US"/>
        </w:rPr>
        <w:t xml:space="preserve"> Vienlaikus ir noslēgusies Atkarīgo </w:t>
      </w:r>
      <w:proofErr w:type="spellStart"/>
      <w:r>
        <w:rPr>
          <w:rFonts w:eastAsiaTheme="minorHAnsi"/>
          <w:color w:val="auto"/>
          <w:szCs w:val="20"/>
          <w:lang w:eastAsia="en-US"/>
        </w:rPr>
        <w:t>resocializācijas</w:t>
      </w:r>
      <w:proofErr w:type="spellEnd"/>
      <w:r>
        <w:rPr>
          <w:rFonts w:eastAsiaTheme="minorHAnsi"/>
          <w:color w:val="auto"/>
          <w:szCs w:val="20"/>
          <w:lang w:eastAsia="en-US"/>
        </w:rPr>
        <w:t xml:space="preserve"> centra būvniecība Olaines cietumā, tomēr līdz klientu uzņemšanai centrā, kas plānota 2016.gada septembrī, nepieciešams veikt vēl labiekārtošanas un aprīkošanas darbus, kā arī nomainīt teritorijas nožogojumu. Tāpat ir noslēgušās apmācības 23 jaunajiem centra speciālistiem, kā arī uzsāktas mācības vēl vienai personālai grupai.</w:t>
      </w:r>
    </w:p>
    <w:p w14:paraId="3271352E" w14:textId="26839104" w:rsidR="006D46FF" w:rsidRPr="006D46FF" w:rsidRDefault="006D46FF" w:rsidP="00DC4E3D">
      <w:pPr>
        <w:pStyle w:val="Default"/>
        <w:spacing w:line="276" w:lineRule="auto"/>
        <w:rPr>
          <w:rFonts w:eastAsia="Times New Roman"/>
          <w:szCs w:val="20"/>
        </w:rPr>
      </w:pPr>
      <w:r>
        <w:rPr>
          <w:rFonts w:eastAsia="Times New Roman"/>
          <w:szCs w:val="20"/>
        </w:rPr>
        <w:t xml:space="preserve">Plašāka informācija par EEZ/Norvēģijas finanšu instrumentu ieviešanu Latvijā, t.sk. aktuālajiem publicitātes pasākumiem, ir pieejama VI uzturētajās </w:t>
      </w:r>
      <w:r w:rsidR="006306DB">
        <w:rPr>
          <w:rFonts w:eastAsia="Times New Roman"/>
          <w:szCs w:val="20"/>
        </w:rPr>
        <w:t xml:space="preserve">tīmekļa vietnēs </w:t>
      </w:r>
      <w:hyperlink r:id="rId15" w:history="1">
        <w:r w:rsidRPr="00873EF7">
          <w:rPr>
            <w:rStyle w:val="Hyperlink"/>
            <w:szCs w:val="20"/>
          </w:rPr>
          <w:t>www.eeagrants.lv</w:t>
        </w:r>
      </w:hyperlink>
      <w:r>
        <w:rPr>
          <w:rFonts w:eastAsia="Times New Roman"/>
          <w:szCs w:val="20"/>
        </w:rPr>
        <w:t xml:space="preserve"> un </w:t>
      </w:r>
      <w:hyperlink r:id="rId16" w:history="1">
        <w:r w:rsidRPr="00873EF7">
          <w:rPr>
            <w:rStyle w:val="Hyperlink"/>
            <w:szCs w:val="20"/>
          </w:rPr>
          <w:t>www.norwaygrants.lv</w:t>
        </w:r>
      </w:hyperlink>
      <w:r>
        <w:rPr>
          <w:rFonts w:eastAsia="Times New Roman"/>
          <w:szCs w:val="20"/>
        </w:rPr>
        <w:t>.</w:t>
      </w:r>
    </w:p>
    <w:p w14:paraId="68FC2958" w14:textId="04AAED6E" w:rsidR="002538AE" w:rsidRPr="002A1BC1" w:rsidRDefault="002538AE" w:rsidP="00DC4E3D">
      <w:pPr>
        <w:autoSpaceDE w:val="0"/>
        <w:autoSpaceDN w:val="0"/>
        <w:adjustRightInd w:val="0"/>
        <w:spacing w:before="120" w:after="120" w:line="276" w:lineRule="auto"/>
        <w:jc w:val="both"/>
        <w:rPr>
          <w:rFonts w:eastAsia="Times New Roman" w:cs="Times New Roman"/>
          <w:b/>
          <w:i/>
          <w:color w:val="000000"/>
          <w:szCs w:val="20"/>
          <w:lang w:eastAsia="lv-LV"/>
        </w:rPr>
      </w:pPr>
      <w:r w:rsidRPr="002A1BC1">
        <w:rPr>
          <w:rFonts w:eastAsia="Times New Roman" w:cs="Times New Roman"/>
          <w:b/>
          <w:i/>
          <w:color w:val="000000"/>
          <w:szCs w:val="20"/>
          <w:lang w:eastAsia="lv-LV"/>
        </w:rPr>
        <w:t>Pārskata periodā normatīvās bāzes sti</w:t>
      </w:r>
      <w:r w:rsidR="002A1BC1" w:rsidRPr="002A1BC1">
        <w:rPr>
          <w:rFonts w:eastAsia="Times New Roman" w:cs="Times New Roman"/>
          <w:b/>
          <w:i/>
          <w:color w:val="000000"/>
          <w:szCs w:val="20"/>
          <w:lang w:eastAsia="lv-LV"/>
        </w:rPr>
        <w:t>prināšana</w:t>
      </w:r>
    </w:p>
    <w:p w14:paraId="7106EC21" w14:textId="5A5DCFA4" w:rsidR="002538AE" w:rsidRDefault="002538AE" w:rsidP="00DC4E3D">
      <w:pPr>
        <w:autoSpaceDE w:val="0"/>
        <w:autoSpaceDN w:val="0"/>
        <w:adjustRightInd w:val="0"/>
        <w:spacing w:before="120" w:after="120" w:line="276" w:lineRule="auto"/>
        <w:jc w:val="both"/>
        <w:rPr>
          <w:rFonts w:eastAsia="Times New Roman" w:cs="Times New Roman"/>
          <w:i/>
          <w:color w:val="000000"/>
          <w:szCs w:val="20"/>
          <w:lang w:eastAsia="lv-LV"/>
        </w:rPr>
      </w:pPr>
      <w:r w:rsidRPr="002538AE">
        <w:rPr>
          <w:rFonts w:eastAsia="Times New Roman" w:cs="Times New Roman"/>
          <w:i/>
          <w:color w:val="000000"/>
          <w:szCs w:val="20"/>
          <w:lang w:eastAsia="lv-LV"/>
        </w:rPr>
        <w:t>Grozījumi Ministru kabineta 2012.gada 9.oktobra noteikumos Nr.694 “Eiropas Ekonomikas zonas finanšu instrumenta un Norvēģijas finanšu instrumenta 2009.-2014.gada perioda vadības noteikumi”</w:t>
      </w:r>
    </w:p>
    <w:p w14:paraId="687B37F7" w14:textId="7AB78250" w:rsidR="006D46FF" w:rsidRDefault="00EB5D02" w:rsidP="00DC4E3D">
      <w:pPr>
        <w:autoSpaceDE w:val="0"/>
        <w:autoSpaceDN w:val="0"/>
        <w:adjustRightInd w:val="0"/>
        <w:spacing w:before="120" w:after="120" w:line="276" w:lineRule="auto"/>
        <w:jc w:val="both"/>
        <w:rPr>
          <w:rFonts w:eastAsia="Times New Roman" w:cs="Times New Roman"/>
          <w:color w:val="000000"/>
          <w:szCs w:val="20"/>
          <w:lang w:eastAsia="lv-LV"/>
        </w:rPr>
      </w:pPr>
      <w:r w:rsidRPr="00EB5D02">
        <w:rPr>
          <w:rFonts w:eastAsia="Times New Roman" w:cs="Times New Roman"/>
          <w:color w:val="000000"/>
          <w:szCs w:val="20"/>
          <w:lang w:eastAsia="lv-LV"/>
        </w:rPr>
        <w:t xml:space="preserve">Ņemot vērā </w:t>
      </w:r>
      <w:proofErr w:type="spellStart"/>
      <w:r w:rsidRPr="00EB5D02">
        <w:rPr>
          <w:rFonts w:eastAsia="Times New Roman" w:cs="Times New Roman"/>
          <w:color w:val="000000"/>
          <w:szCs w:val="20"/>
          <w:lang w:eastAsia="lv-LV"/>
        </w:rPr>
        <w:t>donorvalstu</w:t>
      </w:r>
      <w:proofErr w:type="spellEnd"/>
      <w:r w:rsidRPr="00EB5D02">
        <w:rPr>
          <w:rFonts w:eastAsia="Times New Roman" w:cs="Times New Roman"/>
          <w:color w:val="000000"/>
          <w:szCs w:val="20"/>
          <w:lang w:eastAsia="lv-LV"/>
        </w:rPr>
        <w:t xml:space="preserve"> noteikto programmas noslēguma pārskata iesniegšanas termiņu un projektu īstenošanas termiņa pagarināšanu, </w:t>
      </w:r>
      <w:r>
        <w:rPr>
          <w:rFonts w:eastAsia="Times New Roman" w:cs="Times New Roman"/>
          <w:color w:val="000000"/>
          <w:szCs w:val="20"/>
          <w:lang w:eastAsia="lv-LV"/>
        </w:rPr>
        <w:t xml:space="preserve">ar </w:t>
      </w:r>
      <w:r w:rsidRPr="00EB5D02">
        <w:rPr>
          <w:rFonts w:eastAsia="Times New Roman" w:cs="Times New Roman"/>
          <w:color w:val="000000"/>
          <w:szCs w:val="20"/>
          <w:lang w:eastAsia="lv-LV"/>
        </w:rPr>
        <w:t>MK noteikumu projekt</w:t>
      </w:r>
      <w:r>
        <w:rPr>
          <w:rFonts w:eastAsia="Times New Roman" w:cs="Times New Roman"/>
          <w:color w:val="000000"/>
          <w:szCs w:val="20"/>
          <w:lang w:eastAsia="lv-LV"/>
        </w:rPr>
        <w:t>u</w:t>
      </w:r>
      <w:r w:rsidRPr="00EB5D02">
        <w:rPr>
          <w:rFonts w:eastAsia="Times New Roman" w:cs="Times New Roman"/>
          <w:color w:val="000000"/>
          <w:szCs w:val="20"/>
          <w:lang w:eastAsia="lv-LV"/>
        </w:rPr>
        <w:t xml:space="preserve"> precizē</w:t>
      </w:r>
      <w:r>
        <w:rPr>
          <w:rFonts w:eastAsia="Times New Roman" w:cs="Times New Roman"/>
          <w:color w:val="000000"/>
          <w:szCs w:val="20"/>
          <w:lang w:eastAsia="lv-LV"/>
        </w:rPr>
        <w:t>s</w:t>
      </w:r>
      <w:r w:rsidRPr="00EB5D02">
        <w:rPr>
          <w:rFonts w:eastAsia="Times New Roman" w:cs="Times New Roman"/>
          <w:color w:val="000000"/>
          <w:szCs w:val="20"/>
          <w:lang w:eastAsia="lv-LV"/>
        </w:rPr>
        <w:t xml:space="preserve"> programmas noslēguma pārskatu iesniegšanas termiņus, pagarinot projektu īstenošanas termiņu</w:t>
      </w:r>
      <w:r>
        <w:rPr>
          <w:rFonts w:eastAsia="Times New Roman" w:cs="Times New Roman"/>
          <w:color w:val="000000"/>
          <w:szCs w:val="20"/>
          <w:lang w:eastAsia="lv-LV"/>
        </w:rPr>
        <w:t>,</w:t>
      </w:r>
      <w:r w:rsidRPr="00EB5D02">
        <w:rPr>
          <w:rFonts w:eastAsia="Times New Roman" w:cs="Times New Roman"/>
          <w:color w:val="000000"/>
          <w:szCs w:val="20"/>
          <w:lang w:eastAsia="lv-LV"/>
        </w:rPr>
        <w:t xml:space="preserve"> pagarināts arī programmas </w:t>
      </w:r>
      <w:proofErr w:type="spellStart"/>
      <w:r w:rsidRPr="00EB5D02">
        <w:rPr>
          <w:rFonts w:eastAsia="Times New Roman" w:cs="Times New Roman"/>
          <w:color w:val="000000"/>
          <w:szCs w:val="20"/>
          <w:lang w:eastAsia="lv-LV"/>
        </w:rPr>
        <w:t>attiecināmības</w:t>
      </w:r>
      <w:proofErr w:type="spellEnd"/>
      <w:r w:rsidRPr="00EB5D02">
        <w:rPr>
          <w:rFonts w:eastAsia="Times New Roman" w:cs="Times New Roman"/>
          <w:color w:val="000000"/>
          <w:szCs w:val="20"/>
          <w:lang w:eastAsia="lv-LV"/>
        </w:rPr>
        <w:t xml:space="preserve"> periods, maksimāli līdz 2017.gada 31.decembrim</w:t>
      </w:r>
      <w:r>
        <w:rPr>
          <w:rFonts w:eastAsia="Times New Roman" w:cs="Times New Roman"/>
          <w:color w:val="000000"/>
          <w:szCs w:val="20"/>
          <w:lang w:eastAsia="lv-LV"/>
        </w:rPr>
        <w:t xml:space="preserve">. Papildus </w:t>
      </w:r>
      <w:r w:rsidRPr="00EB5D02">
        <w:rPr>
          <w:rFonts w:eastAsia="Times New Roman" w:cs="Times New Roman"/>
          <w:color w:val="000000"/>
          <w:szCs w:val="20"/>
          <w:lang w:eastAsia="lv-LV"/>
        </w:rPr>
        <w:t>no</w:t>
      </w:r>
      <w:r>
        <w:rPr>
          <w:rFonts w:eastAsia="Times New Roman" w:cs="Times New Roman"/>
          <w:color w:val="000000"/>
          <w:szCs w:val="20"/>
          <w:lang w:eastAsia="lv-LV"/>
        </w:rPr>
        <w:t>teiks</w:t>
      </w:r>
      <w:r w:rsidRPr="00EB5D02">
        <w:rPr>
          <w:rFonts w:eastAsia="Times New Roman" w:cs="Times New Roman"/>
          <w:color w:val="000000"/>
          <w:szCs w:val="20"/>
          <w:lang w:eastAsia="lv-LV"/>
        </w:rPr>
        <w:t xml:space="preserve">, ka programmas </w:t>
      </w:r>
      <w:proofErr w:type="spellStart"/>
      <w:r w:rsidRPr="00EB5D02">
        <w:rPr>
          <w:rFonts w:eastAsia="Times New Roman" w:cs="Times New Roman"/>
          <w:color w:val="000000"/>
          <w:szCs w:val="20"/>
          <w:lang w:eastAsia="lv-LV"/>
        </w:rPr>
        <w:t>apsaimniekotājs</w:t>
      </w:r>
      <w:proofErr w:type="spellEnd"/>
      <w:r w:rsidRPr="00EB5D02">
        <w:rPr>
          <w:rFonts w:eastAsia="Times New Roman" w:cs="Times New Roman"/>
          <w:color w:val="000000"/>
          <w:szCs w:val="20"/>
          <w:lang w:eastAsia="lv-LV"/>
        </w:rPr>
        <w:t xml:space="preserve"> vai aģentūra pagarina projekta </w:t>
      </w:r>
      <w:r>
        <w:rPr>
          <w:rFonts w:eastAsia="Times New Roman" w:cs="Times New Roman"/>
          <w:color w:val="000000"/>
          <w:szCs w:val="20"/>
          <w:lang w:eastAsia="lv-LV"/>
        </w:rPr>
        <w:t xml:space="preserve">īstenošanas termiņu atbilstoši </w:t>
      </w:r>
      <w:proofErr w:type="spellStart"/>
      <w:r w:rsidRPr="00EB5D02">
        <w:rPr>
          <w:rFonts w:eastAsia="Times New Roman" w:cs="Times New Roman"/>
          <w:color w:val="000000"/>
          <w:szCs w:val="20"/>
          <w:lang w:eastAsia="lv-LV"/>
        </w:rPr>
        <w:t>donorvalstu</w:t>
      </w:r>
      <w:proofErr w:type="spellEnd"/>
      <w:r w:rsidRPr="00EB5D02">
        <w:rPr>
          <w:rFonts w:eastAsia="Times New Roman" w:cs="Times New Roman"/>
          <w:color w:val="000000"/>
          <w:szCs w:val="20"/>
          <w:lang w:eastAsia="lv-LV"/>
        </w:rPr>
        <w:t xml:space="preserve"> lēmumam par attiecīgā projekta īstenošanas termiņa pagarināšanu, kas ir ne vēlāk kā līdz 2017.gada 30.aprīlim</w:t>
      </w:r>
      <w:r>
        <w:rPr>
          <w:rFonts w:eastAsia="Times New Roman" w:cs="Times New Roman"/>
          <w:color w:val="000000"/>
          <w:szCs w:val="20"/>
          <w:lang w:eastAsia="lv-LV"/>
        </w:rPr>
        <w:t xml:space="preserve">. </w:t>
      </w:r>
      <w:r w:rsidR="0050173B">
        <w:rPr>
          <w:rFonts w:eastAsia="Times New Roman" w:cs="Times New Roman"/>
          <w:color w:val="000000"/>
          <w:szCs w:val="20"/>
          <w:lang w:eastAsia="lv-LV"/>
        </w:rPr>
        <w:t>Minētie grozījumi</w:t>
      </w:r>
      <w:r w:rsidR="004030FF">
        <w:rPr>
          <w:rFonts w:eastAsia="Times New Roman" w:cs="Times New Roman"/>
          <w:color w:val="000000"/>
          <w:szCs w:val="20"/>
          <w:lang w:eastAsia="lv-LV"/>
        </w:rPr>
        <w:t xml:space="preserve"> stājās spēkā 2016.gada 8.janvārī.</w:t>
      </w:r>
    </w:p>
    <w:p w14:paraId="602420B3" w14:textId="77777777" w:rsidR="00DC67FA" w:rsidRPr="00A94A8F" w:rsidRDefault="00DC67FA" w:rsidP="00DB0769">
      <w:pPr>
        <w:pStyle w:val="2lmenis"/>
      </w:pPr>
      <w:bookmarkStart w:id="8" w:name="_Toc459713616"/>
      <w:r w:rsidRPr="00A94A8F">
        <w:t>EEZ/Norvēģijas finanšu instrumentu jaunā perioda plānošana</w:t>
      </w:r>
      <w:bookmarkEnd w:id="8"/>
    </w:p>
    <w:p w14:paraId="187EA0F6" w14:textId="2D1EDEDC" w:rsidR="00DC67FA" w:rsidRDefault="00DC67FA" w:rsidP="00DC4E3D">
      <w:pPr>
        <w:spacing w:before="120" w:after="120" w:line="276" w:lineRule="auto"/>
        <w:jc w:val="both"/>
      </w:pPr>
      <w:r>
        <w:t xml:space="preserve">Paralēli EEZ/Norvēģijas iepriekšējā perioda 2009. – 2014.gadam projektu īstenošanai, 2016.gadā ir uzsākts darbs pie EEZ/Norvēģijas finanšu instrumentu 2014. – 2021.gada perioda sagatavošanas, kurā Latvijai paredzētais finansējums no abiem instrumentiem kopā ir 102,1 milj. </w:t>
      </w:r>
      <w:r w:rsidRPr="001C2CF4">
        <w:rPr>
          <w:i/>
        </w:rPr>
        <w:t>euro</w:t>
      </w:r>
      <w:r>
        <w:t xml:space="preserve"> (saskaņā ar regulu prasībām,</w:t>
      </w:r>
      <w:r w:rsidR="000F3BC7">
        <w:t xml:space="preserve"> </w:t>
      </w:r>
      <w:r>
        <w:t xml:space="preserve"> no šīs summas aptuveni 20 milj. </w:t>
      </w:r>
      <w:r w:rsidRPr="001C2CF4">
        <w:rPr>
          <w:i/>
        </w:rPr>
        <w:t>euro</w:t>
      </w:r>
      <w:r>
        <w:t xml:space="preserve"> jau ir iezīmēti</w:t>
      </w:r>
      <w:r w:rsidR="008E0B71">
        <w:t xml:space="preserve"> noteiktiem mērķiem</w:t>
      </w:r>
      <w:r>
        <w:t>).</w:t>
      </w:r>
    </w:p>
    <w:p w14:paraId="4CF1CC57" w14:textId="77777777" w:rsidR="00DC67FA" w:rsidRDefault="00DC67FA" w:rsidP="00DC4E3D">
      <w:pPr>
        <w:spacing w:before="120" w:after="120" w:line="276" w:lineRule="auto"/>
        <w:jc w:val="both"/>
      </w:pPr>
      <w:r>
        <w:t>2016.gada 27.maijā publiskām konsultācijām tika nodoti EEZ/Norvēģijas finanšu instrumentu jaunā perioda plānošanas dokumenti un</w:t>
      </w:r>
      <w:r>
        <w:rPr>
          <w:color w:val="FF0000"/>
        </w:rPr>
        <w:t xml:space="preserve"> </w:t>
      </w:r>
      <w:r>
        <w:t>ieviešanas regulas. Ir izvirzīti pieci prioritārie finansēšanas virzieni un 23 programmu jomas, kurās plānots finansējums saņēmējvalstīm.</w:t>
      </w:r>
    </w:p>
    <w:p w14:paraId="6F41AC57" w14:textId="6D0F3B29" w:rsidR="00DC67FA" w:rsidRDefault="00DC67FA" w:rsidP="00DC4E3D">
      <w:pPr>
        <w:spacing w:before="120" w:after="120" w:line="276" w:lineRule="auto"/>
        <w:jc w:val="both"/>
      </w:pPr>
      <w:r>
        <w:t xml:space="preserve">2016.gada 9.jūnijā FM notika pirmā tikšanās ar </w:t>
      </w:r>
      <w:proofErr w:type="spellStart"/>
      <w:r>
        <w:t>donorvalstu</w:t>
      </w:r>
      <w:proofErr w:type="spellEnd"/>
      <w:r>
        <w:t xml:space="preserve"> pārstāvjiem, kurā puses apmainījās ar redzējumu par prioritātēm un turpmāko sarunu procesa virzību. Attiecībā uz Latviju no </w:t>
      </w:r>
      <w:proofErr w:type="spellStart"/>
      <w:r>
        <w:t>donorvalstu</w:t>
      </w:r>
      <w:proofErr w:type="spellEnd"/>
      <w:r>
        <w:t xml:space="preserve"> puses tika nosauktas trīs prioritārās jomas: </w:t>
      </w:r>
      <w:r w:rsidR="004E357E">
        <w:t xml:space="preserve">1) </w:t>
      </w:r>
      <w:r>
        <w:t xml:space="preserve">Inovācijas, pētniecība, </w:t>
      </w:r>
      <w:r>
        <w:lastRenderedPageBreak/>
        <w:t xml:space="preserve">izglītība un konkurētspēja, </w:t>
      </w:r>
      <w:r w:rsidR="004E357E">
        <w:t xml:space="preserve">2) </w:t>
      </w:r>
      <w:r>
        <w:t xml:space="preserve">Vide, enerģētika, klimata pārmaiņas un </w:t>
      </w:r>
      <w:proofErr w:type="spellStart"/>
      <w:r>
        <w:t>mazoglekļa</w:t>
      </w:r>
      <w:proofErr w:type="spellEnd"/>
      <w:r>
        <w:t xml:space="preserve"> ekonomika, </w:t>
      </w:r>
      <w:r w:rsidR="004E357E">
        <w:t>3)</w:t>
      </w:r>
      <w:r>
        <w:t xml:space="preserve"> Tieslietas un </w:t>
      </w:r>
      <w:proofErr w:type="spellStart"/>
      <w:r>
        <w:t>iekšlietas</w:t>
      </w:r>
      <w:proofErr w:type="spellEnd"/>
      <w:r>
        <w:t xml:space="preserve">. 2016.gada 17.jūnijā FM organizēja tikšanos ar nozaru ministrijām, kurā informēja par 2016.gada 9.jūnija sanāksmes rezultātiem un </w:t>
      </w:r>
      <w:proofErr w:type="spellStart"/>
      <w:r>
        <w:t>donorvalstu</w:t>
      </w:r>
      <w:proofErr w:type="spellEnd"/>
      <w:r>
        <w:t xml:space="preserve"> prioritātēm un vēlmēm attiecībā uz programmām un turpmāko sarunu gaitu</w:t>
      </w:r>
      <w:r w:rsidRPr="00DC67FA">
        <w:t>. 2016.gada</w:t>
      </w:r>
      <w:r>
        <w:rPr>
          <w:color w:val="1F497D"/>
        </w:rPr>
        <w:t xml:space="preserve"> </w:t>
      </w:r>
      <w:r>
        <w:t xml:space="preserve">29.jūnija NVO Memoranda padomes sēdē nevalstiskais sektors tika informēts par līdzšinējo procesu, </w:t>
      </w:r>
      <w:proofErr w:type="spellStart"/>
      <w:r>
        <w:t>donorvalstu</w:t>
      </w:r>
      <w:proofErr w:type="spellEnd"/>
      <w:r>
        <w:t xml:space="preserve"> prioritātēm un turpmāk plānoto sarunu grafiku. </w:t>
      </w:r>
    </w:p>
    <w:p w14:paraId="77615789" w14:textId="7C5D76B9" w:rsidR="00DC67FA" w:rsidRDefault="00DC67FA" w:rsidP="00DC4E3D">
      <w:pPr>
        <w:spacing w:before="120" w:after="120" w:line="276" w:lineRule="auto"/>
        <w:jc w:val="both"/>
      </w:pPr>
      <w:r>
        <w:t xml:space="preserve">Pašlaik ministrijās norit aktīvs darbs pie visu programmu stratēģiskā redzējuma izstrādes. 2016.gada jūlija beigās un augustā tiek plānotas ekspertu tikšanās par katru no prioritārajiem sektoriem. 2016.gada septembrī plānots izstrādāt Saprašanās memorandu pirmos projektus (tiks parakstīti atsevišķi memorandi par EEZ un Norvēģu finansējuma daļu). Rudenī paredzēts organizēt oficiālas sarunas ar </w:t>
      </w:r>
      <w:proofErr w:type="spellStart"/>
      <w:r>
        <w:t>donorvalstu</w:t>
      </w:r>
      <w:proofErr w:type="spellEnd"/>
      <w:r>
        <w:t xml:space="preserve"> pārstāvjiem ar mērķi līdz 2016.gada beigām parakstīt Saprašanās memorandus. </w:t>
      </w:r>
    </w:p>
    <w:p w14:paraId="287B9238" w14:textId="0D0280A2" w:rsidR="00DC67FA" w:rsidRPr="00DC67FA" w:rsidRDefault="00DC67FA" w:rsidP="00DC4E3D">
      <w:pPr>
        <w:spacing w:before="120" w:after="120" w:line="276" w:lineRule="auto"/>
        <w:jc w:val="both"/>
      </w:pPr>
      <w:r>
        <w:t>Pēc Memorandu parakstīšanas tiks uzsākts formāls darbs pie programmu konceptu izstrādes, lai pēc iespējas ātrāk uzsāktu programmu ieviešanu – vēlams, jau 2017.gada otrajā pusē.</w:t>
      </w:r>
    </w:p>
    <w:p w14:paraId="69AF254D" w14:textId="77777777" w:rsidR="009C0862" w:rsidRPr="0026357A" w:rsidRDefault="009C0862" w:rsidP="00CE0CD0">
      <w:pPr>
        <w:pStyle w:val="1lmenis"/>
      </w:pPr>
      <w:bookmarkStart w:id="9" w:name="_Toc459713617"/>
      <w:r w:rsidRPr="0026357A">
        <w:t>Šveices programmas ieviešana</w:t>
      </w:r>
      <w:bookmarkEnd w:id="9"/>
    </w:p>
    <w:p w14:paraId="79B8BC0B" w14:textId="6E9600FE" w:rsidR="00745AFF" w:rsidRDefault="00745AFF" w:rsidP="00DC4E3D">
      <w:pPr>
        <w:spacing w:before="120" w:after="120" w:line="276" w:lineRule="auto"/>
        <w:jc w:val="both"/>
        <w:rPr>
          <w:rFonts w:eastAsia="Times New Roman"/>
          <w:szCs w:val="24"/>
        </w:rPr>
      </w:pPr>
      <w:r>
        <w:rPr>
          <w:rFonts w:eastAsia="Times New Roman"/>
          <w:szCs w:val="24"/>
        </w:rPr>
        <w:t xml:space="preserve">2016.gada 21. aprīlī </w:t>
      </w:r>
      <w:r w:rsidR="00732F26">
        <w:rPr>
          <w:rFonts w:eastAsia="Times New Roman"/>
          <w:szCs w:val="24"/>
        </w:rPr>
        <w:t>FM</w:t>
      </w:r>
      <w:r>
        <w:rPr>
          <w:rFonts w:eastAsia="Times New Roman"/>
          <w:szCs w:val="24"/>
        </w:rPr>
        <w:t xml:space="preserve"> norisinājās jau astotā Šveices programmas gada sanāksme. Tajā </w:t>
      </w:r>
      <w:r w:rsidR="00732F26">
        <w:rPr>
          <w:rFonts w:eastAsia="Times New Roman"/>
          <w:szCs w:val="24"/>
        </w:rPr>
        <w:t>FM</w:t>
      </w:r>
      <w:r>
        <w:rPr>
          <w:rFonts w:eastAsia="Times New Roman"/>
          <w:szCs w:val="24"/>
        </w:rPr>
        <w:t xml:space="preserve"> pārstāvji un projektu ieviesēji ar Šveices institūciju un Šveices vēstniecības Latvijā pārstāvjiem pārrunāja Šveices sadarbības programmas īstenošanas progresu Latvijā. Sanāksmes dalībnieki atzina, ka Latvijai ir sekmīgi izdevies sasniegt un pat pārsniegt programmas sākotnēji plānotos rezultātus, sniedzot lielāku ieguvumu valsts iedzīvotājiem, kā arī Šveices puse atzinīgi novērtēja projektu </w:t>
      </w:r>
      <w:proofErr w:type="spellStart"/>
      <w:r>
        <w:rPr>
          <w:rFonts w:eastAsia="Times New Roman"/>
          <w:szCs w:val="24"/>
        </w:rPr>
        <w:t>pēcuzraudzību</w:t>
      </w:r>
      <w:proofErr w:type="spellEnd"/>
      <w:r>
        <w:rPr>
          <w:rFonts w:eastAsia="Times New Roman"/>
          <w:szCs w:val="24"/>
        </w:rPr>
        <w:t xml:space="preserve"> Latvijā un atzīmēja, ka tas varētu kalpot kā labs piemērs citām Šveices finansējuma saņēmējvalstīm, lai nodrošinātu ieguldīto investīciju izlietošanu atbilstoši mērķim.</w:t>
      </w:r>
    </w:p>
    <w:p w14:paraId="3F12FBDD" w14:textId="77777777" w:rsidR="00745AFF" w:rsidRDefault="00745AFF" w:rsidP="00DC4E3D">
      <w:pPr>
        <w:spacing w:before="120" w:after="120" w:line="276" w:lineRule="auto"/>
        <w:jc w:val="both"/>
        <w:rPr>
          <w:rFonts w:eastAsia="Times New Roman"/>
          <w:szCs w:val="24"/>
        </w:rPr>
      </w:pPr>
      <w:r>
        <w:rPr>
          <w:rFonts w:eastAsia="Times New Roman"/>
          <w:szCs w:val="24"/>
        </w:rPr>
        <w:t xml:space="preserve">Finansējums Latvijai ir pieejams no 2007.gada 14.jūnija un iespēja īstenot projektus būs līdz 2017.gada 14.jūnijam. Latvijai kopumā ir pieejami 56,7 milj. Šveices franku jeb 52,3 milj. </w:t>
      </w:r>
      <w:r>
        <w:rPr>
          <w:rFonts w:eastAsia="Times New Roman"/>
          <w:i/>
          <w:szCs w:val="24"/>
        </w:rPr>
        <w:t>euro</w:t>
      </w:r>
      <w:r>
        <w:rPr>
          <w:rFonts w:eastAsia="Times New Roman"/>
          <w:szCs w:val="24"/>
        </w:rPr>
        <w:t>,</w:t>
      </w:r>
      <w:r>
        <w:rPr>
          <w:rFonts w:eastAsia="Times New Roman"/>
          <w:i/>
          <w:szCs w:val="24"/>
        </w:rPr>
        <w:t xml:space="preserve"> </w:t>
      </w:r>
      <w:r>
        <w:rPr>
          <w:rFonts w:eastAsia="Times New Roman"/>
          <w:szCs w:val="24"/>
        </w:rPr>
        <w:t xml:space="preserve">par kuriem ir kopumā noslēgti līgumi par 12 dažādu projektu ieviešanu (6 individuālie projekti, 1 programma un 3 </w:t>
      </w:r>
      <w:proofErr w:type="spellStart"/>
      <w:r>
        <w:rPr>
          <w:rFonts w:eastAsia="Times New Roman"/>
          <w:szCs w:val="24"/>
        </w:rPr>
        <w:t>grantu</w:t>
      </w:r>
      <w:proofErr w:type="spellEnd"/>
      <w:r>
        <w:rPr>
          <w:rFonts w:eastAsia="Times New Roman"/>
          <w:szCs w:val="24"/>
        </w:rPr>
        <w:t xml:space="preserve"> shēmas, 1 TP, t.sk., Projektu sagatavošanas fonds). 8 projekti ir jau pabeigti – „Pašvaldību aktivitāšu īstenošana, lai nodrošinātu skolnieku pārvadāšanu un ar to saistītos atbalsta pasākumus”, “Projektu sagatavošanas fonds”, „NVO fonds”, „Tiesu modernizācija Latvijā”, “</w:t>
      </w:r>
      <w:proofErr w:type="spellStart"/>
      <w:r>
        <w:rPr>
          <w:rFonts w:eastAsia="Times New Roman"/>
          <w:szCs w:val="24"/>
        </w:rPr>
        <w:t>Mikrokreditēšanas</w:t>
      </w:r>
      <w:proofErr w:type="spellEnd"/>
      <w:r>
        <w:rPr>
          <w:rFonts w:eastAsia="Times New Roman"/>
          <w:szCs w:val="24"/>
        </w:rPr>
        <w:t xml:space="preserve"> programma”, “Atbalsts ugunsdrošības pasākumiem pašvaldību vispārējās izglītības iestādēs”, “Šveices pētnieku aktivitātes Latvijā” un “Stipendiju fonds”. Noslēgtajos projektos investīciju ieguldījums tautsaimniecībā nodrošināts vidēji 97,9% līmenī no pieejamā finansējuma.</w:t>
      </w:r>
    </w:p>
    <w:p w14:paraId="1D0CB9D1" w14:textId="77777777" w:rsidR="00745AFF" w:rsidRDefault="00745AFF" w:rsidP="00DC4E3D">
      <w:pPr>
        <w:spacing w:before="120" w:after="120" w:line="276" w:lineRule="auto"/>
        <w:jc w:val="both"/>
        <w:rPr>
          <w:rFonts w:eastAsia="Times New Roman"/>
          <w:szCs w:val="24"/>
        </w:rPr>
      </w:pPr>
      <w:r>
        <w:rPr>
          <w:rFonts w:eastAsia="Times New Roman"/>
          <w:szCs w:val="24"/>
        </w:rPr>
        <w:t>Līdz pārskata perioda beigām atmaksas Šveices programmas finansējuma saņēmējiem ir veiktas 41,1 milj</w:t>
      </w:r>
      <w:r>
        <w:rPr>
          <w:rFonts w:eastAsia="Times New Roman"/>
          <w:i/>
          <w:szCs w:val="24"/>
        </w:rPr>
        <w:t>. euro</w:t>
      </w:r>
      <w:r>
        <w:rPr>
          <w:rFonts w:eastAsia="Times New Roman"/>
          <w:szCs w:val="24"/>
        </w:rPr>
        <w:t xml:space="preserve"> apmērā jeb 78,5% no Šveices programmas kopējā finansējuma, progress pusgadā pieaudzis par 2,3 milj. </w:t>
      </w:r>
      <w:r>
        <w:rPr>
          <w:rFonts w:eastAsia="Times New Roman"/>
          <w:i/>
          <w:szCs w:val="24"/>
        </w:rPr>
        <w:t>euro</w:t>
      </w:r>
      <w:r>
        <w:rPr>
          <w:rFonts w:eastAsia="Times New Roman"/>
          <w:szCs w:val="24"/>
        </w:rPr>
        <w:t xml:space="preserve"> jeb 4,1%, ļaujot Latvijai joprojām būt starp līderiem 12 saņēmējvalstu starpā (1. vietā - Malta; 2.- Slovēnija; 3.- Igaunija/Latvija).</w:t>
      </w:r>
    </w:p>
    <w:p w14:paraId="0C4138C2" w14:textId="77777777" w:rsidR="00745AFF" w:rsidRDefault="00745AFF" w:rsidP="00DC4E3D">
      <w:pPr>
        <w:spacing w:before="120" w:after="120" w:line="276" w:lineRule="auto"/>
        <w:jc w:val="both"/>
        <w:rPr>
          <w:rFonts w:eastAsia="Calibri"/>
          <w:iCs/>
          <w:szCs w:val="24"/>
        </w:rPr>
      </w:pPr>
      <w:r>
        <w:rPr>
          <w:rFonts w:eastAsia="Times New Roman"/>
          <w:szCs w:val="24"/>
        </w:rPr>
        <w:t xml:space="preserve">Pamatojoties uz finansējuma saņēmēju 2016.gada valsts budžetā plānotajiem maksājumiem līdz pārskata beigām veiktas investīcijas 99,4% no plānotā jeb 1,6 milj. </w:t>
      </w:r>
      <w:r>
        <w:rPr>
          <w:rFonts w:eastAsia="Times New Roman"/>
          <w:i/>
          <w:szCs w:val="24"/>
        </w:rPr>
        <w:t>euro</w:t>
      </w:r>
      <w:r>
        <w:rPr>
          <w:rFonts w:eastAsia="Times New Roman"/>
          <w:szCs w:val="24"/>
        </w:rPr>
        <w:t>.</w:t>
      </w:r>
    </w:p>
    <w:p w14:paraId="3D2B15EF" w14:textId="317C044F" w:rsidR="00745AFF" w:rsidRDefault="00745AFF" w:rsidP="00DC4E3D">
      <w:pPr>
        <w:spacing w:before="120" w:after="120" w:line="276" w:lineRule="auto"/>
        <w:jc w:val="both"/>
        <w:rPr>
          <w:rFonts w:eastAsia="Times New Roman"/>
          <w:szCs w:val="24"/>
        </w:rPr>
      </w:pPr>
      <w:r>
        <w:rPr>
          <w:szCs w:val="24"/>
        </w:rPr>
        <w:t xml:space="preserve">Projektā </w:t>
      </w:r>
      <w:r w:rsidRPr="0026357A">
        <w:rPr>
          <w:b/>
          <w:szCs w:val="24"/>
        </w:rPr>
        <w:t>„Vēsturiski piesārņoto vietu sanācija – Sarkandaugavas teritorijā</w:t>
      </w:r>
      <w:r w:rsidRPr="00745AFF">
        <w:rPr>
          <w:i/>
          <w:szCs w:val="24"/>
        </w:rPr>
        <w:t>”</w:t>
      </w:r>
      <w:r>
        <w:rPr>
          <w:szCs w:val="24"/>
        </w:rPr>
        <w:t xml:space="preserve"> galvenais sasniedzamais rezultāts ir sanācijas darbu veikšana 5 objektos Rīgas Brīvostas teritorijā </w:t>
      </w:r>
      <w:r>
        <w:rPr>
          <w:szCs w:val="24"/>
        </w:rPr>
        <w:lastRenderedPageBreak/>
        <w:t>kopumā aptuveni 8 ha lielā platībā. Pirmajā teritorijā (5,5 ha) VVD darbus uzsāka 2013.gada martā, bet otrajā (2,5 ha) - 2015.gada maijā. Uzstādītās tehnoloģijas darbojas un darbi norit sekmīgi. Pirmajā teritorijā ir jau izsūknēt</w:t>
      </w:r>
      <w:r w:rsidR="004E357E">
        <w:rPr>
          <w:szCs w:val="24"/>
        </w:rPr>
        <w:t>i</w:t>
      </w:r>
      <w:r>
        <w:rPr>
          <w:szCs w:val="24"/>
        </w:rPr>
        <w:t xml:space="preserve"> 103%, bet otrajā - 90% no projekta līgumā paredzētā piesārņojuma apjoma. Ņemot vērā būtiskos ietaupījumus, 2016.gadā uzsākti papildu attīrīšanas darbi abās teritorijās ilgtspējas nodrošināšanai.</w:t>
      </w:r>
      <w:r>
        <w:rPr>
          <w:rFonts w:eastAsia="Times New Roman"/>
          <w:szCs w:val="24"/>
        </w:rPr>
        <w:t xml:space="preserve"> Projekta noslēgums plānots 2017.gada februārī.</w:t>
      </w:r>
    </w:p>
    <w:p w14:paraId="38F55927" w14:textId="77777777" w:rsidR="00745AFF" w:rsidRDefault="00745AFF" w:rsidP="00DC4E3D">
      <w:pPr>
        <w:spacing w:before="120" w:after="120" w:line="276" w:lineRule="auto"/>
        <w:jc w:val="both"/>
        <w:rPr>
          <w:rFonts w:eastAsia="Times New Roman"/>
          <w:szCs w:val="24"/>
        </w:rPr>
      </w:pPr>
      <w:r>
        <w:rPr>
          <w:rFonts w:eastAsia="Times New Roman"/>
          <w:szCs w:val="24"/>
        </w:rPr>
        <w:t xml:space="preserve">Programmā </w:t>
      </w:r>
      <w:r w:rsidRPr="0026357A">
        <w:rPr>
          <w:rFonts w:eastAsia="Times New Roman"/>
          <w:b/>
          <w:szCs w:val="24"/>
        </w:rPr>
        <w:t>„Atbalsts jaunatnes iniciatīvu attīstībai attālos vai mazattīstītos reģionos”</w:t>
      </w:r>
      <w:r>
        <w:rPr>
          <w:rFonts w:eastAsia="Times New Roman"/>
          <w:szCs w:val="24"/>
        </w:rPr>
        <w:t xml:space="preserve"> ir paveikta 22 </w:t>
      </w:r>
      <w:proofErr w:type="spellStart"/>
      <w:r>
        <w:rPr>
          <w:rFonts w:eastAsia="Times New Roman"/>
          <w:szCs w:val="24"/>
        </w:rPr>
        <w:t>multifunkcionālu</w:t>
      </w:r>
      <w:proofErr w:type="spellEnd"/>
      <w:r>
        <w:rPr>
          <w:rFonts w:eastAsia="Times New Roman"/>
          <w:szCs w:val="24"/>
        </w:rPr>
        <w:t xml:space="preserve"> jauniešu iniciatīvu centru izveide 22 dažādās Latvijas pašvaldībās un līdz 2016.gada beigām ir plānots vēl papildus izveidot 3 centrus, tādejādi nozīmīgi pārsniedzot projektā ieplānotos rezultātus (sākotnējais plāns – 17 centru izveide). Līdz pārskata perioda beigām ir notikuši 161 no sākotnēji kopumā 160 plānotajiem semināriem, kā arī turpinās konferenču un forumu organizēšana visā Latvijā jauniešiem un personām, kas iesaistītas darbā ar jauniešiem, par jauniešiem aktuālām tēmām. Programmas noslēgums plānots 2017.gada martā.</w:t>
      </w:r>
    </w:p>
    <w:p w14:paraId="3769F327" w14:textId="7DBE225D" w:rsidR="00745AFF" w:rsidRDefault="00745AFF" w:rsidP="00DC4E3D">
      <w:pPr>
        <w:spacing w:before="120" w:after="120" w:line="276" w:lineRule="auto"/>
        <w:jc w:val="both"/>
        <w:rPr>
          <w:rFonts w:eastAsia="Times New Roman"/>
          <w:szCs w:val="24"/>
        </w:rPr>
      </w:pPr>
      <w:r>
        <w:rPr>
          <w:rFonts w:eastAsia="Times New Roman"/>
          <w:szCs w:val="24"/>
        </w:rPr>
        <w:t xml:space="preserve">Projekta </w:t>
      </w:r>
      <w:r w:rsidRPr="0026357A">
        <w:rPr>
          <w:rFonts w:eastAsia="Times New Roman"/>
          <w:b/>
          <w:szCs w:val="24"/>
        </w:rPr>
        <w:t>“Tehniskā palīdzība finanšu pārskatu sagatavošanā”</w:t>
      </w:r>
      <w:r>
        <w:rPr>
          <w:rFonts w:eastAsia="Times New Roman"/>
          <w:szCs w:val="24"/>
        </w:rPr>
        <w:t xml:space="preserve"> mērķis ir stiprināt valsts pārvaldes iestāžu un nevalstisko organizāciju administratīvo kapacitāti grāmatvedības, tās pārskatu un komercsabiedrību revīzijas politikas plānošanas, izstrādes un īstenošanas jomā, lai nodrošinātu Latvijas grāmatvedību un komercsabiedrību revīziju regulējošo tiesību aktu atbilstību </w:t>
      </w:r>
      <w:proofErr w:type="spellStart"/>
      <w:r>
        <w:rPr>
          <w:rFonts w:eastAsia="Times New Roman"/>
          <w:szCs w:val="24"/>
        </w:rPr>
        <w:t>acquis</w:t>
      </w:r>
      <w:proofErr w:type="spellEnd"/>
      <w:r>
        <w:rPr>
          <w:rFonts w:eastAsia="Times New Roman"/>
          <w:szCs w:val="24"/>
        </w:rPr>
        <w:t xml:space="preserve"> </w:t>
      </w:r>
      <w:proofErr w:type="spellStart"/>
      <w:r>
        <w:rPr>
          <w:rFonts w:eastAsia="Times New Roman"/>
          <w:szCs w:val="24"/>
        </w:rPr>
        <w:t>communautaire</w:t>
      </w:r>
      <w:proofErr w:type="spellEnd"/>
      <w:r>
        <w:rPr>
          <w:rFonts w:eastAsia="Times New Roman"/>
          <w:szCs w:val="24"/>
        </w:rPr>
        <w:t>. Līdz pārskata beigām ir notikuši visi 17 plānotie semināri un papildus</w:t>
      </w:r>
      <w:r>
        <w:t xml:space="preserve"> </w:t>
      </w:r>
      <w:r>
        <w:rPr>
          <w:rFonts w:eastAsia="Times New Roman"/>
          <w:szCs w:val="24"/>
        </w:rPr>
        <w:t>plānots izstrādāt IT sistēmu (datu bāzi), lai stiprinātu administratīvo kapacitāti attiecībā uz zvērinātu revidentu un zvērinātu revidentu komercsabiedrību uzraudzību Latvijā un revīzijas pakalpojumu kvalitātes kontroles prasību ievērošanas pārbaudēs piemērot</w:t>
      </w:r>
      <w:r w:rsidR="008E0B71">
        <w:rPr>
          <w:rFonts w:eastAsia="Times New Roman"/>
          <w:szCs w:val="24"/>
        </w:rPr>
        <w:t>u</w:t>
      </w:r>
      <w:r>
        <w:rPr>
          <w:rFonts w:eastAsia="Times New Roman"/>
          <w:szCs w:val="24"/>
        </w:rPr>
        <w:t xml:space="preserve"> uz risku analīzi balstītu pieeju. Projekta noslēgums plānots 2017.gada jūnijā.</w:t>
      </w:r>
    </w:p>
    <w:p w14:paraId="12EF0AAD" w14:textId="0239378F" w:rsidR="00745AFF" w:rsidRDefault="00745AFF" w:rsidP="00DC4E3D">
      <w:pPr>
        <w:spacing w:before="120" w:after="120" w:line="276" w:lineRule="auto"/>
        <w:jc w:val="both"/>
        <w:rPr>
          <w:rFonts w:eastAsia="Times New Roman"/>
          <w:szCs w:val="24"/>
        </w:rPr>
      </w:pPr>
      <w:r>
        <w:rPr>
          <w:rFonts w:eastAsia="Times New Roman"/>
          <w:szCs w:val="24"/>
        </w:rPr>
        <w:t xml:space="preserve">Plašāka informācija par Šveices programmas projektiem pieejama </w:t>
      </w:r>
      <w:r w:rsidR="008E0B71">
        <w:rPr>
          <w:rFonts w:eastAsia="Times New Roman"/>
          <w:szCs w:val="24"/>
        </w:rPr>
        <w:t xml:space="preserve">tīmekļa vietnē </w:t>
      </w:r>
      <w:hyperlink r:id="rId17" w:history="1">
        <w:r>
          <w:rPr>
            <w:rStyle w:val="Hyperlink"/>
            <w:rFonts w:eastAsia="Times New Roman"/>
            <w:szCs w:val="24"/>
          </w:rPr>
          <w:t>www.swiss-contribution.lv</w:t>
        </w:r>
      </w:hyperlink>
      <w:r>
        <w:rPr>
          <w:rFonts w:eastAsia="Times New Roman"/>
          <w:szCs w:val="24"/>
        </w:rPr>
        <w:t>.</w:t>
      </w:r>
    </w:p>
    <w:p w14:paraId="37209D8E" w14:textId="09A7D512" w:rsidR="000B6EF0" w:rsidRDefault="000B6EF0" w:rsidP="00CE0CD0">
      <w:pPr>
        <w:pStyle w:val="1lmenis"/>
      </w:pPr>
      <w:bookmarkStart w:id="10" w:name="_Toc459713618"/>
      <w:r w:rsidRPr="00FC59D3">
        <w:t>2014.–2020.gada plānošanas perioda ES fondu ievieša</w:t>
      </w:r>
      <w:r>
        <w:t>na</w:t>
      </w:r>
      <w:bookmarkEnd w:id="10"/>
    </w:p>
    <w:p w14:paraId="45DF13CB" w14:textId="3BF6AEE1" w:rsidR="000B6EF0" w:rsidRPr="002B5C10" w:rsidRDefault="000B6EF0" w:rsidP="00DC4E3D">
      <w:pPr>
        <w:spacing w:after="120" w:line="276" w:lineRule="auto"/>
        <w:jc w:val="both"/>
        <w:rPr>
          <w:rFonts w:cs="Times New Roman"/>
          <w:szCs w:val="24"/>
        </w:rPr>
      </w:pPr>
      <w:r w:rsidRPr="00C14808">
        <w:rPr>
          <w:rFonts w:eastAsia="Times New Roman" w:cs="Times New Roman"/>
          <w:szCs w:val="24"/>
        </w:rPr>
        <w:t xml:space="preserve">Pārskata periodā ir veikti nozīmīgi soļi ES fondu 2014.–2020.gada plānošanas perioda ieviešanā. </w:t>
      </w:r>
      <w:r w:rsidRPr="00C14808">
        <w:rPr>
          <w:rFonts w:cs="Times New Roman"/>
          <w:szCs w:val="24"/>
        </w:rPr>
        <w:t>Līdz 2016.gada 30.jūnijam ir izstrādāti un apstiprināti 75 MK noteikumi par SAM un to pasākumu īstenošanu, kas ir aptuveni divas reizes vairāk salīdzinot ar progresu</w:t>
      </w:r>
      <w:r>
        <w:rPr>
          <w:rFonts w:cs="Times New Roman"/>
          <w:szCs w:val="24"/>
        </w:rPr>
        <w:t xml:space="preserve"> 2015.gada beigās</w:t>
      </w:r>
      <w:r w:rsidRPr="00C14808">
        <w:rPr>
          <w:rFonts w:cs="Times New Roman"/>
          <w:szCs w:val="24"/>
        </w:rPr>
        <w:t>. Tāpat ir izsludinātas 55 projektu iesniegumu atlases par kopējo ES fondu finansējumu</w:t>
      </w:r>
      <w:r>
        <w:rPr>
          <w:rFonts w:cs="Times New Roman"/>
          <w:szCs w:val="24"/>
        </w:rPr>
        <w:t xml:space="preserve"> </w:t>
      </w:r>
      <w:r w:rsidRPr="00C14808">
        <w:rPr>
          <w:rFonts w:cs="Times New Roman"/>
          <w:szCs w:val="24"/>
        </w:rPr>
        <w:t xml:space="preserve">1,8 mljrd. </w:t>
      </w:r>
      <w:r w:rsidRPr="00C14808">
        <w:rPr>
          <w:rFonts w:cs="Times New Roman"/>
          <w:i/>
          <w:szCs w:val="24"/>
        </w:rPr>
        <w:t>euro</w:t>
      </w:r>
      <w:r w:rsidRPr="00C14808">
        <w:rPr>
          <w:rFonts w:cs="Times New Roman"/>
          <w:szCs w:val="24"/>
        </w:rPr>
        <w:t xml:space="preserve"> apmērā</w:t>
      </w:r>
      <w:r>
        <w:rPr>
          <w:rFonts w:cs="Times New Roman"/>
          <w:szCs w:val="24"/>
        </w:rPr>
        <w:t xml:space="preserve"> (</w:t>
      </w:r>
      <w:r w:rsidRPr="002B5C10">
        <w:rPr>
          <w:rFonts w:cs="Times New Roman"/>
          <w:szCs w:val="24"/>
        </w:rPr>
        <w:t>progress pusgada laikā – 28,1%)</w:t>
      </w:r>
      <w:r w:rsidRPr="002B5C10">
        <w:rPr>
          <w:rStyle w:val="FootnoteReference"/>
          <w:rFonts w:cs="Times New Roman"/>
          <w:szCs w:val="24"/>
        </w:rPr>
        <w:footnoteReference w:id="13"/>
      </w:r>
      <w:r w:rsidRPr="002B5C10">
        <w:rPr>
          <w:rFonts w:cs="Times New Roman"/>
          <w:szCs w:val="24"/>
        </w:rPr>
        <w:t xml:space="preserve">. </w:t>
      </w:r>
      <w:r>
        <w:rPr>
          <w:rFonts w:cs="Times New Roman"/>
          <w:szCs w:val="24"/>
        </w:rPr>
        <w:t xml:space="preserve"> Kā arī noslēgti līgumi 785,2 milj. </w:t>
      </w:r>
      <w:r w:rsidRPr="00750C67">
        <w:rPr>
          <w:rFonts w:cs="Times New Roman"/>
          <w:i/>
          <w:szCs w:val="24"/>
        </w:rPr>
        <w:t>euro</w:t>
      </w:r>
      <w:r>
        <w:rPr>
          <w:rFonts w:cs="Times New Roman"/>
          <w:szCs w:val="24"/>
        </w:rPr>
        <w:t xml:space="preserve"> apmērā jeb 17,8% no pieejamā ES fondu finansējuma. S</w:t>
      </w:r>
      <w:r w:rsidRPr="002B5C10">
        <w:rPr>
          <w:rFonts w:cs="Times New Roman"/>
          <w:szCs w:val="24"/>
        </w:rPr>
        <w:t>asniegts būtisks progress citu investīciju uzsākšanas priekšnosacījumu izpildē, lai nodrošinātu savlaicīgu ES fondu 2014.–2020.gada plānošanas perioda investīciju uzsākšanu un finansēšanas nepārtraukt</w:t>
      </w:r>
      <w:r w:rsidR="001E5F50">
        <w:rPr>
          <w:rFonts w:cs="Times New Roman"/>
          <w:szCs w:val="24"/>
        </w:rPr>
        <w:t>ību nozarēs (skatīt grafiku Nr.3</w:t>
      </w:r>
      <w:r w:rsidRPr="002B5C10">
        <w:rPr>
          <w:rFonts w:cs="Times New Roman"/>
          <w:szCs w:val="24"/>
        </w:rPr>
        <w:t>).</w:t>
      </w:r>
      <w:r>
        <w:rPr>
          <w:rFonts w:cs="Times New Roman"/>
          <w:szCs w:val="24"/>
        </w:rPr>
        <w:t xml:space="preserve"> </w:t>
      </w:r>
    </w:p>
    <w:p w14:paraId="696AADED" w14:textId="77777777" w:rsidR="001E5F50" w:rsidRDefault="001E5F50" w:rsidP="00DC4E3D">
      <w:pPr>
        <w:spacing w:line="276" w:lineRule="auto"/>
        <w:rPr>
          <w:rFonts w:eastAsia="Times New Roman" w:cs="Times New Roman"/>
          <w:b/>
          <w:i/>
          <w:color w:val="000000"/>
          <w:sz w:val="22"/>
          <w:szCs w:val="24"/>
        </w:rPr>
      </w:pPr>
      <w:r>
        <w:rPr>
          <w:rFonts w:eastAsia="Times New Roman" w:cs="Times New Roman"/>
          <w:b/>
          <w:i/>
          <w:color w:val="000000"/>
          <w:sz w:val="22"/>
          <w:szCs w:val="24"/>
        </w:rPr>
        <w:br w:type="page"/>
      </w:r>
    </w:p>
    <w:p w14:paraId="1A073D86" w14:textId="07EC1C65" w:rsidR="000B6EF0" w:rsidRPr="008707D8" w:rsidRDefault="001E5F50" w:rsidP="00DC4E3D">
      <w:pPr>
        <w:spacing w:before="120" w:after="120" w:line="276" w:lineRule="auto"/>
        <w:rPr>
          <w:rFonts w:eastAsia="Times New Roman" w:cs="Times New Roman"/>
          <w:b/>
          <w:i/>
          <w:color w:val="000000"/>
          <w:sz w:val="22"/>
          <w:szCs w:val="24"/>
        </w:rPr>
      </w:pPr>
      <w:r>
        <w:rPr>
          <w:rFonts w:eastAsia="Times New Roman" w:cs="Times New Roman"/>
          <w:b/>
          <w:i/>
          <w:color w:val="000000"/>
          <w:sz w:val="22"/>
          <w:szCs w:val="24"/>
        </w:rPr>
        <w:lastRenderedPageBreak/>
        <w:t>Grafiks Nr.3</w:t>
      </w:r>
      <w:r w:rsidR="000B6EF0" w:rsidRPr="000A358E">
        <w:rPr>
          <w:rFonts w:eastAsia="Times New Roman" w:cs="Times New Roman"/>
          <w:i/>
          <w:color w:val="000000"/>
          <w:sz w:val="22"/>
          <w:szCs w:val="24"/>
        </w:rPr>
        <w:t xml:space="preserve"> “</w:t>
      </w:r>
      <w:r w:rsidR="000B6EF0" w:rsidRPr="000A358E">
        <w:rPr>
          <w:rFonts w:eastAsia="Times New Roman" w:cs="Times New Roman"/>
          <w:bCs/>
          <w:i/>
          <w:color w:val="000000"/>
          <w:sz w:val="22"/>
          <w:szCs w:val="24"/>
        </w:rPr>
        <w:t>ES fondu investīciju statuss līdz 2016.gada 30.jūnijam milj. euro, % no ES fondu finansējuma; progress pret datiem līdz 2015.gada 31.decembrim”</w:t>
      </w:r>
    </w:p>
    <w:p w14:paraId="22CFEAF0" w14:textId="5CCD88AD" w:rsidR="000B6EF0" w:rsidRPr="000A358E" w:rsidRDefault="00AB475B" w:rsidP="00DC4E3D">
      <w:pPr>
        <w:spacing w:after="120" w:line="276" w:lineRule="auto"/>
        <w:jc w:val="both"/>
        <w:rPr>
          <w:rFonts w:cs="Times New Roman"/>
          <w:szCs w:val="24"/>
          <w:highlight w:val="yellow"/>
        </w:rPr>
      </w:pPr>
      <w:r w:rsidRPr="00AB475B">
        <w:rPr>
          <w:rFonts w:cs="Times New Roman"/>
          <w:noProof/>
          <w:szCs w:val="24"/>
          <w:lang w:eastAsia="lv-LV"/>
        </w:rPr>
        <w:drawing>
          <wp:inline distT="0" distB="0" distL="0" distR="0" wp14:anchorId="4704F1D5" wp14:editId="3D930398">
            <wp:extent cx="5663565" cy="3554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3565" cy="3554095"/>
                    </a:xfrm>
                    <a:prstGeom prst="rect">
                      <a:avLst/>
                    </a:prstGeom>
                    <a:noFill/>
                  </pic:spPr>
                </pic:pic>
              </a:graphicData>
            </a:graphic>
          </wp:inline>
        </w:drawing>
      </w:r>
    </w:p>
    <w:p w14:paraId="1D74C7F1" w14:textId="77777777" w:rsidR="000B6EF0" w:rsidRDefault="000B6EF0" w:rsidP="00DC4E3D">
      <w:pPr>
        <w:spacing w:after="120" w:line="276" w:lineRule="auto"/>
        <w:jc w:val="both"/>
        <w:rPr>
          <w:rFonts w:cs="Times New Roman"/>
          <w:highlight w:val="yellow"/>
        </w:rPr>
      </w:pPr>
      <w:r>
        <w:rPr>
          <w:rFonts w:eastAsia="Calibri" w:cs="Times New Roman"/>
          <w:szCs w:val="24"/>
          <w:lang w:eastAsia="ar-SA"/>
        </w:rPr>
        <w:t>Detalizētāka informācija, t.sk. par</w:t>
      </w:r>
      <w:r w:rsidRPr="00DA2248">
        <w:rPr>
          <w:color w:val="000000" w:themeColor="text1"/>
        </w:rPr>
        <w:t xml:space="preserve"> </w:t>
      </w:r>
      <w:r w:rsidRPr="000F3EBA">
        <w:rPr>
          <w:color w:val="000000" w:themeColor="text1"/>
        </w:rPr>
        <w:t>ve</w:t>
      </w:r>
      <w:r>
        <w:rPr>
          <w:color w:val="000000" w:themeColor="text1"/>
        </w:rPr>
        <w:t xml:space="preserve">iktajām finanšu investīcijām, </w:t>
      </w:r>
      <w:r w:rsidRPr="000F3EBA">
        <w:rPr>
          <w:color w:val="000000" w:themeColor="text1"/>
        </w:rPr>
        <w:t>finanšu progresu</w:t>
      </w:r>
      <w:r>
        <w:rPr>
          <w:rStyle w:val="FootnoteReference"/>
          <w:color w:val="000000" w:themeColor="text1"/>
        </w:rPr>
        <w:footnoteReference w:id="14"/>
      </w:r>
      <w:r>
        <w:rPr>
          <w:color w:val="000000" w:themeColor="text1"/>
        </w:rPr>
        <w:t>, kā arī maksājumu plānu izpildi,</w:t>
      </w:r>
      <w:r>
        <w:rPr>
          <w:rFonts w:eastAsia="Calibri" w:cs="Times New Roman"/>
          <w:szCs w:val="24"/>
          <w:lang w:eastAsia="ar-SA"/>
        </w:rPr>
        <w:t xml:space="preserve"> katru mēnesi tiek </w:t>
      </w:r>
      <w:r w:rsidRPr="00C731D5">
        <w:rPr>
          <w:rFonts w:eastAsia="Calibri" w:cs="Times New Roman"/>
          <w:szCs w:val="24"/>
          <w:lang w:eastAsia="ar-SA"/>
        </w:rPr>
        <w:t xml:space="preserve">apkopota un iesniegta MK ar </w:t>
      </w:r>
      <w:r w:rsidRPr="00C731D5">
        <w:rPr>
          <w:shd w:val="clear" w:color="auto" w:fill="FFFFFF"/>
        </w:rPr>
        <w:t xml:space="preserve">operatīvo pārskatu par ES Kohēzijas politikas fondu </w:t>
      </w:r>
      <w:r>
        <w:rPr>
          <w:shd w:val="clear" w:color="auto" w:fill="FFFFFF"/>
        </w:rPr>
        <w:t>investīciju ieviešanas statusu</w:t>
      </w:r>
      <w:r w:rsidRPr="00C731D5">
        <w:rPr>
          <w:rStyle w:val="FootnoteReference"/>
          <w:shd w:val="clear" w:color="auto" w:fill="FFFFFF"/>
        </w:rPr>
        <w:footnoteReference w:id="15"/>
      </w:r>
      <w:r>
        <w:rPr>
          <w:shd w:val="clear" w:color="auto" w:fill="FFFFFF"/>
        </w:rPr>
        <w:t>.</w:t>
      </w:r>
    </w:p>
    <w:p w14:paraId="2427185B" w14:textId="77777777" w:rsidR="000B6EF0" w:rsidRDefault="000B6EF0" w:rsidP="00DC4E3D">
      <w:pPr>
        <w:spacing w:after="120" w:line="276" w:lineRule="auto"/>
        <w:jc w:val="both"/>
        <w:rPr>
          <w:rFonts w:cs="Times New Roman"/>
          <w:szCs w:val="24"/>
        </w:rPr>
      </w:pPr>
      <w:r>
        <w:rPr>
          <w:b/>
          <w:i/>
          <w:color w:val="000000" w:themeColor="text1"/>
          <w:szCs w:val="24"/>
        </w:rPr>
        <w:t xml:space="preserve">Aktuālie </w:t>
      </w:r>
      <w:proofErr w:type="spellStart"/>
      <w:r>
        <w:rPr>
          <w:b/>
          <w:i/>
          <w:color w:val="000000" w:themeColor="text1"/>
          <w:szCs w:val="24"/>
        </w:rPr>
        <w:t>problēmjautājumi</w:t>
      </w:r>
      <w:proofErr w:type="spellEnd"/>
      <w:r>
        <w:rPr>
          <w:b/>
          <w:i/>
          <w:color w:val="000000" w:themeColor="text1"/>
          <w:szCs w:val="24"/>
        </w:rPr>
        <w:t xml:space="preserve"> un riski SAM/pasākumu ieviešanas uzsākšanā</w:t>
      </w:r>
    </w:p>
    <w:p w14:paraId="0ADE308E" w14:textId="77777777" w:rsidR="000B6EF0" w:rsidRDefault="000B6EF0" w:rsidP="00DC4E3D">
      <w:pPr>
        <w:spacing w:after="120" w:line="276" w:lineRule="auto"/>
        <w:jc w:val="both"/>
      </w:pPr>
      <w:r>
        <w:rPr>
          <w:rFonts w:cs="Times New Roman"/>
          <w:szCs w:val="24"/>
        </w:rPr>
        <w:t>Ieviešanas uzsākšanas</w:t>
      </w:r>
      <w:r w:rsidRPr="00CB70DC">
        <w:rPr>
          <w:rFonts w:cs="Times New Roman"/>
          <w:szCs w:val="24"/>
        </w:rPr>
        <w:t xml:space="preserve"> progress kopumā vērtējams pozitīvi</w:t>
      </w:r>
      <w:r w:rsidRPr="00A020DF">
        <w:t>, taču</w:t>
      </w:r>
      <w:r>
        <w:t xml:space="preserve"> ir arī radušies izaicinājumi ar atsevišķu SAM un pasākumu ieviešanu, un kas tiek intensīvi risināti, lai pēc iespējas mazinātu riskus un veicinātu savlaicīgu investīciju uzsākšanu. </w:t>
      </w:r>
    </w:p>
    <w:p w14:paraId="08F974BB" w14:textId="10B1C837" w:rsidR="000B6EF0" w:rsidRDefault="000B6EF0" w:rsidP="00DC4E3D">
      <w:pPr>
        <w:spacing w:before="120" w:after="120" w:line="276" w:lineRule="auto"/>
        <w:jc w:val="both"/>
      </w:pPr>
      <w:r>
        <w:t xml:space="preserve">1) </w:t>
      </w:r>
      <w:r>
        <w:rPr>
          <w:color w:val="000000" w:themeColor="text1"/>
        </w:rPr>
        <w:t xml:space="preserve">Ir konstatēts </w:t>
      </w:r>
      <w:r w:rsidRPr="002E6092">
        <w:rPr>
          <w:color w:val="000000" w:themeColor="text1"/>
        </w:rPr>
        <w:t>6.3.1.</w:t>
      </w:r>
      <w:r>
        <w:rPr>
          <w:color w:val="000000" w:themeColor="text1"/>
        </w:rPr>
        <w:t>SAM</w:t>
      </w:r>
      <w:r w:rsidRPr="002E6092">
        <w:rPr>
          <w:color w:val="000000" w:themeColor="text1"/>
        </w:rPr>
        <w:t xml:space="preserve"> </w:t>
      </w:r>
      <w:r>
        <w:rPr>
          <w:color w:val="000000" w:themeColor="text1"/>
        </w:rPr>
        <w:t>“</w:t>
      </w:r>
      <w:r w:rsidRPr="002E6092">
        <w:rPr>
          <w:color w:val="000000" w:themeColor="text1"/>
        </w:rPr>
        <w:t>Palielināt reģionālo mobilitāti, uzlabojot, valsts reģionālo autoceļu kvalitāti</w:t>
      </w:r>
      <w:r>
        <w:rPr>
          <w:color w:val="000000" w:themeColor="text1"/>
        </w:rPr>
        <w:t>”</w:t>
      </w:r>
      <w:r w:rsidRPr="002E6092">
        <w:rPr>
          <w:color w:val="000000" w:themeColor="text1"/>
        </w:rPr>
        <w:t xml:space="preserve"> un  6.1.5.</w:t>
      </w:r>
      <w:r>
        <w:rPr>
          <w:color w:val="000000" w:themeColor="text1"/>
        </w:rPr>
        <w:t>SAM</w:t>
      </w:r>
      <w:r w:rsidRPr="002E6092">
        <w:rPr>
          <w:color w:val="000000" w:themeColor="text1"/>
        </w:rPr>
        <w:t xml:space="preserve"> </w:t>
      </w:r>
      <w:r>
        <w:rPr>
          <w:color w:val="000000" w:themeColor="text1"/>
        </w:rPr>
        <w:t>“</w:t>
      </w:r>
      <w:r w:rsidRPr="002E6092">
        <w:rPr>
          <w:color w:val="000000" w:themeColor="text1"/>
        </w:rPr>
        <w:t>Valsts galveno autoceļu segu pārbūve, ne</w:t>
      </w:r>
      <w:r>
        <w:rPr>
          <w:color w:val="000000" w:themeColor="text1"/>
        </w:rPr>
        <w:t xml:space="preserve">stspējas palielināšana” </w:t>
      </w:r>
      <w:r>
        <w:t xml:space="preserve">plānoto rādītāju nesasniegšanas risks, īpaši attiecībā uz reģionālo ceļu projektiem, kur apstiprinātajos projektos šī </w:t>
      </w:r>
      <w:r w:rsidRPr="00AB0093">
        <w:t>brīža novirze ir apm</w:t>
      </w:r>
      <w:r>
        <w:t xml:space="preserve">ēram 50% no plānotā. </w:t>
      </w:r>
      <w:r w:rsidR="006E3CAA">
        <w:t>Saskaņā ar</w:t>
      </w:r>
      <w:r w:rsidR="007C2B69">
        <w:t xml:space="preserve"> Valsts akciju sabiedrības “Latvijas Valsts ceļi”</w:t>
      </w:r>
      <w:r w:rsidR="006E3CAA">
        <w:t xml:space="preserve"> un SM skaidrojumiem t</w:t>
      </w:r>
      <w:r>
        <w:t xml:space="preserve">as saistīts ar objektīvu izmaksu pieaugumu, kā pamatā ir: </w:t>
      </w:r>
    </w:p>
    <w:p w14:paraId="64FFE5CD" w14:textId="70924EC2" w:rsidR="000B6EF0" w:rsidRDefault="000B6EF0" w:rsidP="00521DA1">
      <w:pPr>
        <w:pStyle w:val="ListParagraph"/>
        <w:numPr>
          <w:ilvl w:val="0"/>
          <w:numId w:val="36"/>
        </w:numPr>
        <w:spacing w:before="120" w:after="120" w:line="276" w:lineRule="auto"/>
        <w:jc w:val="both"/>
      </w:pPr>
      <w:r>
        <w:t>paaugstinātas kvalitātes prasības, ņemot vērā EK audita un JASPERS</w:t>
      </w:r>
      <w:r>
        <w:rPr>
          <w:rStyle w:val="FootnoteReference"/>
        </w:rPr>
        <w:footnoteReference w:id="16"/>
      </w:r>
      <w:r>
        <w:t xml:space="preserve"> ieteikumus, kas atspoguļojās</w:t>
      </w:r>
      <w:r w:rsidR="00111AE0">
        <w:t xml:space="preserve"> tikai</w:t>
      </w:r>
      <w:r>
        <w:t xml:space="preserve"> jaunajās </w:t>
      </w:r>
      <w:r w:rsidR="00111AE0">
        <w:t xml:space="preserve">Ceļu specifikācijās </w:t>
      </w:r>
      <w:r w:rsidR="00111AE0" w:rsidRPr="00521DA1">
        <w:t>2014.gadā</w:t>
      </w:r>
      <w:r w:rsidR="00111AE0">
        <w:t>, bet</w:t>
      </w:r>
      <w:r>
        <w:t xml:space="preserve"> rādītāju plānošanas aprēķinā ir ņemta vērā 2007.–2013.g</w:t>
      </w:r>
      <w:r w:rsidR="00AC7ECF">
        <w:t>ada</w:t>
      </w:r>
      <w:r>
        <w:t xml:space="preserve"> plānošanas perioda pieredze;</w:t>
      </w:r>
    </w:p>
    <w:p w14:paraId="481FC855" w14:textId="77777777" w:rsidR="000B6EF0" w:rsidRDefault="000B6EF0" w:rsidP="00DC4E3D">
      <w:pPr>
        <w:pStyle w:val="ListParagraph"/>
        <w:numPr>
          <w:ilvl w:val="0"/>
          <w:numId w:val="36"/>
        </w:numPr>
        <w:spacing w:before="120" w:after="120" w:line="276" w:lineRule="auto"/>
        <w:jc w:val="both"/>
      </w:pPr>
      <w:r>
        <w:lastRenderedPageBreak/>
        <w:t>Būvniecības likuma izmaiņas, t.sk. attiecībā uz civiltiesisko apdrošināšanu projektētājiem u.c. (īpaši pēc Zolitūdes traģēdijas veiktie valstiska mēroga sistēmiskie papildu kontroles pasākumi).</w:t>
      </w:r>
    </w:p>
    <w:p w14:paraId="06553D13" w14:textId="7D272535" w:rsidR="000B6EF0" w:rsidRDefault="000B6EF0" w:rsidP="00DC4E3D">
      <w:pPr>
        <w:spacing w:before="120" w:after="120" w:line="276" w:lineRule="auto"/>
        <w:jc w:val="both"/>
      </w:pPr>
      <w:r>
        <w:t>Izmaksu pieaugums var attiekties arī uz citām jomām, piemēram, dzelzce</w:t>
      </w:r>
      <w:r w:rsidR="0075345E">
        <w:t>ļu u.c., bet šobrīd izmaksu pie</w:t>
      </w:r>
      <w:r>
        <w:t xml:space="preserve">augums citās jomās būtu risināms uz finansējuma saņēmēja rēķina. Kā risinājumi šobrīd paredzēti: </w:t>
      </w:r>
    </w:p>
    <w:p w14:paraId="0F14AD5D" w14:textId="4F4632D5" w:rsidR="000B6EF0" w:rsidRDefault="00521DA1" w:rsidP="00DC4E3D">
      <w:pPr>
        <w:spacing w:before="120" w:after="120" w:line="276" w:lineRule="auto"/>
        <w:jc w:val="both"/>
      </w:pPr>
      <w:r w:rsidRPr="00521DA1">
        <w:t>Daļēji situāciju var uzlabot, attiecīgi SM pārskatot projektu sarakstu, t.sk. izmantojot 5% rezerves ietaupījumu esošajos projektos, valsts akciju sabiedrība “Latvijas Valsts ceļi”</w:t>
      </w:r>
      <w:r w:rsidR="00A15071">
        <w:t xml:space="preserve"> </w:t>
      </w:r>
      <w:r w:rsidRPr="00521DA1">
        <w:t xml:space="preserve">prognozē, ka nākamo projektu 1 km izmaksas varētu samazināties. </w:t>
      </w:r>
      <w:r w:rsidR="000B6EF0">
        <w:t xml:space="preserve"> </w:t>
      </w:r>
    </w:p>
    <w:p w14:paraId="17F050BC" w14:textId="536D3734" w:rsidR="000B6EF0" w:rsidRPr="00904123" w:rsidRDefault="0069455F" w:rsidP="00DC4E3D">
      <w:pPr>
        <w:spacing w:before="120" w:after="120" w:line="276" w:lineRule="auto"/>
        <w:jc w:val="both"/>
        <w:rPr>
          <w:szCs w:val="24"/>
        </w:rPr>
      </w:pPr>
      <w:r w:rsidRPr="00904123">
        <w:rPr>
          <w:szCs w:val="24"/>
        </w:rPr>
        <w:t>2016.gada 2.pusē SM sagatavos darba uzdevumu JASPERS par faktisko izmaksu pieaugumu novērtējumu saistībā ar kvalitātes paaugstinātajām prasībām, ieviešot EK audita un JASPERS u.c. ieteikumus, t.sk. ietekmi iespējamo pozitīvo ietekmi ilgtermiņā, kā arī aicinot JASPERS veikt novērtējumu par esošo situāciju ar ceļu projektu ieviešanas kvalitāti un veikto pasākumu ietekmi un atbilstību labākai praksei. VI nosūtīs SM sagatavoto darba uzdevumu JASPERS, un uzsāks sadarbību ar mērķi saņemt rezultātu iespējami ātrāk.</w:t>
      </w:r>
      <w:r w:rsidR="000B6EF0" w:rsidRPr="00904123">
        <w:rPr>
          <w:szCs w:val="24"/>
        </w:rPr>
        <w:t>SM turpinās sarunas ar FM par iespējām piesaistīt valsts budžeta līdzekļus, t.sk. sarunas par transporta infrastruktūras fonda iespējamības izveidi u. tml., kā arī izvērtēs dažādas aizņēmuma iespējas.</w:t>
      </w:r>
    </w:p>
    <w:p w14:paraId="795608CC" w14:textId="77777777" w:rsidR="000B6EF0" w:rsidRDefault="000B6EF0" w:rsidP="00DC4E3D">
      <w:pPr>
        <w:spacing w:before="120" w:after="120" w:line="276" w:lineRule="auto"/>
        <w:jc w:val="both"/>
      </w:pPr>
      <w:r>
        <w:t xml:space="preserve">2) </w:t>
      </w:r>
      <w:r>
        <w:rPr>
          <w:szCs w:val="24"/>
        </w:rPr>
        <w:t>V</w:t>
      </w:r>
      <w:r w:rsidRPr="00412B09">
        <w:rPr>
          <w:szCs w:val="24"/>
        </w:rPr>
        <w:t xml:space="preserve">eselības aprūpes jomā arvien kritiskāk pieaug risks </w:t>
      </w:r>
      <w:r>
        <w:rPr>
          <w:szCs w:val="24"/>
        </w:rPr>
        <w:t>DP</w:t>
      </w:r>
      <w:r w:rsidRPr="00412B09">
        <w:rPr>
          <w:szCs w:val="24"/>
        </w:rPr>
        <w:t xml:space="preserve"> </w:t>
      </w:r>
      <w:r>
        <w:rPr>
          <w:szCs w:val="24"/>
        </w:rPr>
        <w:t xml:space="preserve">“Izaugsme un nodarbinātība” </w:t>
      </w:r>
      <w:r w:rsidRPr="00412B09">
        <w:rPr>
          <w:szCs w:val="24"/>
        </w:rPr>
        <w:t xml:space="preserve">izvirzīto uzraudzības un finanšu rādītāju sasniegšanai, ko ietekmē Pasaules bankas veiktā infrastruktūras un cilvēkresursu attīstības veselības aprūpē ieguldījumu kartējuma, kas ir svarīgs priekšnosacījums ES fondu investīciju plānošanai un uzsākšanai, nodevumu kavēšanās un vairākkārtēja termiņa pagarināšana. Lai sniegtu atbalstu šī jautājuma risināšanā, FM 2016.gada 14.jūnijā ir nosūtījusi oficiālu vēstuli Pasaules bankai, aicinot veikt tūlītējus pasākumus minētās problēmas sekmīgai risināšanai, kā arī 2016.gada 20.jūnijā tika organizēta videokonference, piedaloties FM, </w:t>
      </w:r>
      <w:r>
        <w:rPr>
          <w:szCs w:val="24"/>
        </w:rPr>
        <w:t>VM</w:t>
      </w:r>
      <w:r w:rsidRPr="00412B09">
        <w:rPr>
          <w:szCs w:val="24"/>
        </w:rPr>
        <w:t>, Nacionālā veselības dienesta un Pasaules bankas ekspertiem, kuras ietvaros saņemta informācija par kārtējo kavēšanos</w:t>
      </w:r>
      <w:r w:rsidRPr="00412B09">
        <w:t xml:space="preserve"> </w:t>
      </w:r>
      <w:r w:rsidRPr="00412B09">
        <w:rPr>
          <w:szCs w:val="24"/>
        </w:rPr>
        <w:t xml:space="preserve">infrastruktūras un cilvēkresursu attīstības veselības aprūpē ieguldījumu </w:t>
      </w:r>
      <w:r w:rsidRPr="00412B09">
        <w:rPr>
          <w:bCs/>
        </w:rPr>
        <w:t>kartējuma nodevumu izstrādē, kuri indikatīvi varētu būt</w:t>
      </w:r>
      <w:r w:rsidRPr="00412B09">
        <w:t xml:space="preserve"> </w:t>
      </w:r>
      <w:r w:rsidRPr="00412B09">
        <w:rPr>
          <w:bCs/>
        </w:rPr>
        <w:t>pieejami tikai uz 2016.gada jūlija beigām/augusta sākumu.</w:t>
      </w:r>
      <w:r w:rsidRPr="00412B09">
        <w:rPr>
          <w:szCs w:val="24"/>
        </w:rPr>
        <w:t xml:space="preserve"> Kā galvenais kavējuma iemesls tiek minēts neveiksmīgā sadarbība ar Pasaules bankas piesaistīto apakšuzņēmēju, kurš atbildīgs par attiecīgo nodevumu sagatavošanu. Lai izvērtētu plānoto nodevumu satura atbilstību DP</w:t>
      </w:r>
      <w:r>
        <w:rPr>
          <w:szCs w:val="24"/>
        </w:rPr>
        <w:t xml:space="preserve"> “Izaugsme un nodarbinātība”</w:t>
      </w:r>
      <w:r w:rsidRPr="00412B09">
        <w:rPr>
          <w:szCs w:val="24"/>
        </w:rPr>
        <w:t>, nodrošinot koncentrēšanos uz DP</w:t>
      </w:r>
      <w:r>
        <w:rPr>
          <w:szCs w:val="24"/>
        </w:rPr>
        <w:t xml:space="preserve"> “Izaugsme un nodarbinātība”</w:t>
      </w:r>
      <w:r w:rsidRPr="00412B09">
        <w:rPr>
          <w:szCs w:val="24"/>
        </w:rPr>
        <w:t xml:space="preserve"> noteiktajām četrām prioritārajām veselības aprūpes jomām un primāri novirzot atbalstu sociālās atstumtības riskam pakļautajām iedzīvotāju grupām, kā arī DP</w:t>
      </w:r>
      <w:r>
        <w:rPr>
          <w:szCs w:val="24"/>
        </w:rPr>
        <w:t xml:space="preserve"> “Izaugsme un nodarbinātība”</w:t>
      </w:r>
      <w:r w:rsidRPr="00412B09">
        <w:rPr>
          <w:szCs w:val="24"/>
        </w:rPr>
        <w:t xml:space="preserve"> grozījumu nepieciešamību, Pasaules bankas eksperti 2016.gada 11.jūlijā iesniedza sākotnējos secinājumus, lai VM varētu virzīties uz priekšu ar attiecīgo SAM īstenošanas nosacījumu dokumentācijas izstrādi.</w:t>
      </w:r>
      <w:r w:rsidRPr="00AB0F86">
        <w:t xml:space="preserve"> </w:t>
      </w:r>
    </w:p>
    <w:p w14:paraId="749C6567" w14:textId="3607973B" w:rsidR="000B6EF0" w:rsidRPr="00AB0F86" w:rsidRDefault="000B6EF0" w:rsidP="00DC4E3D">
      <w:pPr>
        <w:spacing w:before="120" w:after="120" w:line="276" w:lineRule="auto"/>
        <w:jc w:val="both"/>
      </w:pPr>
      <w:r>
        <w:t>Attiecīgi būtiski riski saskatāmi 9.prioritārā virziena “</w:t>
      </w:r>
      <w:r w:rsidRPr="004F1CD7">
        <w:t>Sociālā iekļaušana un nabadzības apkarošana</w:t>
      </w:r>
      <w:r>
        <w:t xml:space="preserve">” 2018.gadam noteikto </w:t>
      </w:r>
      <w:r w:rsidR="00A27744">
        <w:t xml:space="preserve">snieguma ietvara </w:t>
      </w:r>
      <w:r>
        <w:t>mērķu sasniegšanai ERAF daļā. FM rūpīgi seko līdzi VM darbībām, par ko informācija tiek sniegta arī MK. FM turpinās sniegt VM atbalstu, lai nodrošinātu projektu pēc iespējas ātrāku un sekmīgu uzsākšanu un īstenošanu. Negatīvu scenāriju gadījumā tiks vērtēta nepieciešamība veikt grozījumus DP.</w:t>
      </w:r>
    </w:p>
    <w:p w14:paraId="2EEB24D1" w14:textId="14335FC5" w:rsidR="000B6EF0" w:rsidRDefault="000B6EF0" w:rsidP="00DC4E3D">
      <w:pPr>
        <w:spacing w:after="120" w:line="276" w:lineRule="auto"/>
        <w:jc w:val="both"/>
        <w:rPr>
          <w:szCs w:val="24"/>
        </w:rPr>
      </w:pPr>
      <w:r>
        <w:rPr>
          <w:szCs w:val="24"/>
        </w:rPr>
        <w:lastRenderedPageBreak/>
        <w:t xml:space="preserve">3) </w:t>
      </w:r>
      <w:r w:rsidR="00521DA1" w:rsidRPr="00521DA1">
        <w:rPr>
          <w:szCs w:val="24"/>
        </w:rPr>
        <w:t xml:space="preserve">Joprojām nav panākta skaidrība par 6.2.1.2.pasākuma “Latvijas dzelzceļa tīkla elektrifikācija” ietvaros plānotā dzelzceļa elektrifikācijas lielā projekta īstenošanu (346,6 milj. </w:t>
      </w:r>
      <w:r w:rsidR="00521DA1" w:rsidRPr="002279BA">
        <w:rPr>
          <w:i/>
          <w:szCs w:val="24"/>
        </w:rPr>
        <w:t>euro,</w:t>
      </w:r>
      <w:r w:rsidR="00521DA1" w:rsidRPr="00521DA1">
        <w:rPr>
          <w:szCs w:val="24"/>
        </w:rPr>
        <w:t xml:space="preserve"> KF). SM kārtējo ziņojumu par projekta sagatavošanas gaitu un </w:t>
      </w:r>
      <w:proofErr w:type="spellStart"/>
      <w:r w:rsidR="00521DA1" w:rsidRPr="00521DA1">
        <w:rPr>
          <w:szCs w:val="24"/>
        </w:rPr>
        <w:t>multikritēriju</w:t>
      </w:r>
      <w:proofErr w:type="spellEnd"/>
      <w:r w:rsidR="00521DA1" w:rsidRPr="00521DA1">
        <w:rPr>
          <w:szCs w:val="24"/>
        </w:rPr>
        <w:t xml:space="preserve"> analīzes rezultātiem skatīja Latvijas Ostu, tranzīta un loģistikas padomes 2016.gada 30.jūnija sēdē bija noteikts termiņš 2016.gada 15.jūlijā iesniegt ziņojumu MK. Jautājums pārrunāts arī 2016.gada 6.jūlija UK sēdē, 2016.gada 11.jūlijā saņemta arī EK vēstule, paužot bažas par projekta nākotni, un norādot, ka kritiski tuvākajā laikā pieņemt nacionālu lēmumu par projekta tālāku virzību vai arī lemt par alternatīviem risinājumiem pieejamā finansējuma izmantošanā. SM 2016.gada 19.augustā plāno iesniegt starpziņojumu MK ar lūgumu atbalstīt valsts akciju sabiedrības “Latvijas dzelzceļš” priekšlikumu, turpmākā iesnieguma sagatavošanas procesā veikt padziļinātu izpēti projekta izmaksu - ieguvumu analīzes ietvaros un sniegt ziņojumu par tās rezultātiem MK līdz 2016.gada 31.oktobrim, lēmuma par projekta tālāku virzību pieņemšanai.</w:t>
      </w:r>
    </w:p>
    <w:p w14:paraId="0DF03E45" w14:textId="77777777" w:rsidR="000B6EF0" w:rsidRDefault="000B6EF0" w:rsidP="00DC4E3D">
      <w:pPr>
        <w:spacing w:after="120" w:line="276" w:lineRule="auto"/>
        <w:jc w:val="both"/>
        <w:rPr>
          <w:szCs w:val="24"/>
        </w:rPr>
      </w:pPr>
      <w:r>
        <w:rPr>
          <w:rFonts w:eastAsia="Times New Roman"/>
          <w:szCs w:val="24"/>
          <w:lang w:eastAsia="lv-LV"/>
        </w:rPr>
        <w:t xml:space="preserve">4) </w:t>
      </w:r>
      <w:r w:rsidRPr="00CB70DC">
        <w:rPr>
          <w:rFonts w:eastAsia="Times New Roman"/>
          <w:szCs w:val="24"/>
          <w:lang w:eastAsia="lv-LV"/>
        </w:rPr>
        <w:t xml:space="preserve">Aizkavējusies arī degradēto teritoriju </w:t>
      </w:r>
      <w:proofErr w:type="spellStart"/>
      <w:r w:rsidRPr="00CB70DC">
        <w:rPr>
          <w:rFonts w:eastAsia="Times New Roman"/>
          <w:szCs w:val="24"/>
          <w:lang w:eastAsia="lv-LV"/>
        </w:rPr>
        <w:t>revitalizācijas</w:t>
      </w:r>
      <w:proofErr w:type="spellEnd"/>
      <w:r w:rsidRPr="00CB70DC">
        <w:rPr>
          <w:rFonts w:eastAsia="Times New Roman"/>
          <w:szCs w:val="24"/>
          <w:lang w:eastAsia="lv-LV"/>
        </w:rPr>
        <w:t xml:space="preserve"> projektu īstenošana</w:t>
      </w:r>
      <w:r>
        <w:rPr>
          <w:rFonts w:eastAsia="Times New Roman"/>
          <w:szCs w:val="24"/>
          <w:lang w:eastAsia="lv-LV"/>
        </w:rPr>
        <w:t xml:space="preserve"> 5.6.1.SAM “</w:t>
      </w:r>
      <w:r w:rsidRPr="00805555">
        <w:t xml:space="preserve">Veicināt Rīgas pilsētas </w:t>
      </w:r>
      <w:proofErr w:type="spellStart"/>
      <w:r w:rsidRPr="00805555">
        <w:t>revitalizāciju</w:t>
      </w:r>
      <w:proofErr w:type="spellEnd"/>
      <w:r w:rsidRPr="00805555">
        <w:t>, nodrošinot teritorijas efektī</w:t>
      </w:r>
      <w:r>
        <w:t>vu sociālekonomisko izmantošanu</w:t>
      </w:r>
      <w:r>
        <w:rPr>
          <w:rFonts w:eastAsia="Times New Roman"/>
          <w:szCs w:val="24"/>
          <w:lang w:eastAsia="lv-LV"/>
        </w:rPr>
        <w:t xml:space="preserve">”, </w:t>
      </w:r>
      <w:r>
        <w:rPr>
          <w:szCs w:val="24"/>
        </w:rPr>
        <w:t>tomēr pozitīvi, ka 2016.gada jūnijā apstiprināti kritēriji</w:t>
      </w:r>
      <w:r w:rsidRPr="00CB70DC">
        <w:rPr>
          <w:rFonts w:eastAsia="Times New Roman"/>
          <w:szCs w:val="24"/>
          <w:lang w:eastAsia="lv-LV"/>
        </w:rPr>
        <w:t xml:space="preserve">. Līdz 2016.gada 30.aprīlim bija jāiesniedz izskatīšanai MK visu teritoriju stratēģijas, tomēr līdz šim apstiprinātas tikai divas – Grīziņkalna un Teikas-Čiekurkalna (kopā par ~45 milj. </w:t>
      </w:r>
      <w:r w:rsidRPr="00CB70DC">
        <w:rPr>
          <w:rFonts w:eastAsia="Times New Roman"/>
          <w:i/>
          <w:szCs w:val="24"/>
          <w:lang w:eastAsia="lv-LV"/>
        </w:rPr>
        <w:t xml:space="preserve">euro </w:t>
      </w:r>
      <w:r w:rsidRPr="00CB70DC">
        <w:rPr>
          <w:rFonts w:eastAsia="Times New Roman"/>
          <w:szCs w:val="24"/>
          <w:lang w:eastAsia="lv-LV"/>
        </w:rPr>
        <w:t>ERAF)</w:t>
      </w:r>
      <w:r>
        <w:rPr>
          <w:rFonts w:eastAsia="Times New Roman"/>
          <w:szCs w:val="24"/>
          <w:lang w:eastAsia="lv-LV"/>
        </w:rPr>
        <w:t>.</w:t>
      </w:r>
      <w:r w:rsidRPr="00CB70DC">
        <w:rPr>
          <w:rFonts w:eastAsia="Times New Roman"/>
          <w:szCs w:val="24"/>
          <w:lang w:eastAsia="lv-LV"/>
        </w:rPr>
        <w:t xml:space="preserve"> Nav apstiprinātas stratēģijas </w:t>
      </w:r>
      <w:r w:rsidRPr="00CB70DC">
        <w:rPr>
          <w:szCs w:val="24"/>
        </w:rPr>
        <w:t xml:space="preserve">Brasas apkaimei, Šķirotavas apkaimei, Imantas apkaimei (stratēģiju projektos investīcijas par ~19 milj. </w:t>
      </w:r>
      <w:r w:rsidRPr="00CB70DC">
        <w:rPr>
          <w:i/>
          <w:szCs w:val="24"/>
        </w:rPr>
        <w:t>euro</w:t>
      </w:r>
      <w:r w:rsidRPr="00CB70DC">
        <w:rPr>
          <w:szCs w:val="24"/>
        </w:rPr>
        <w:t xml:space="preserve"> ERAF). Saskaņošanā ir ziņojums par iespējamām Koncertzāles projekta īstenošanai </w:t>
      </w:r>
      <w:r>
        <w:rPr>
          <w:szCs w:val="24"/>
        </w:rPr>
        <w:t>šī</w:t>
      </w:r>
      <w:r w:rsidRPr="00CB70DC">
        <w:rPr>
          <w:szCs w:val="24"/>
        </w:rPr>
        <w:t>s programmas ietvaros.</w:t>
      </w:r>
      <w:r>
        <w:rPr>
          <w:szCs w:val="24"/>
        </w:rPr>
        <w:t xml:space="preserve"> Paralēli šobrīd tiek virzīti grozījumi 5.6.1.SAM īstenošanas nosacījumos, ņemot vērā EK atbildi par finansējuma ierobežojuma izņēmumu UNESCO gadījumā. 5.6.1.SAM paredz investīcijas </w:t>
      </w:r>
      <w:r w:rsidRPr="008B24B1">
        <w:rPr>
          <w:rFonts w:cs="Times New Roman"/>
          <w:szCs w:val="24"/>
        </w:rPr>
        <w:t>maz</w:t>
      </w:r>
      <w:r>
        <w:rPr>
          <w:rFonts w:cs="Times New Roman"/>
          <w:szCs w:val="24"/>
        </w:rPr>
        <w:t>a mēroga infrastruktūras objektos, kas</w:t>
      </w:r>
      <w:r w:rsidRPr="008B24B1">
        <w:rPr>
          <w:rFonts w:cs="Times New Roman"/>
          <w:szCs w:val="24"/>
        </w:rPr>
        <w:t xml:space="preserve"> ir tāds, kura kopējās projekta izmaksas nepārsniedz piecus miljonus </w:t>
      </w:r>
      <w:r w:rsidRPr="008B24B1">
        <w:rPr>
          <w:rFonts w:cs="Times New Roman"/>
          <w:i/>
          <w:szCs w:val="24"/>
        </w:rPr>
        <w:t>euro</w:t>
      </w:r>
      <w:r w:rsidRPr="008B24B1">
        <w:rPr>
          <w:rFonts w:cs="Times New Roman"/>
          <w:szCs w:val="24"/>
        </w:rPr>
        <w:t xml:space="preserve">, taču </w:t>
      </w:r>
      <w:r>
        <w:rPr>
          <w:rFonts w:cs="Times New Roman"/>
          <w:szCs w:val="24"/>
        </w:rPr>
        <w:t xml:space="preserve">tika saņemts EK apstiprinājums, ka </w:t>
      </w:r>
      <w:r w:rsidRPr="008B24B1">
        <w:rPr>
          <w:rFonts w:cs="Times New Roman"/>
          <w:szCs w:val="24"/>
        </w:rPr>
        <w:t xml:space="preserve">kopējais izmaksu apjoms var tikt palielināts līdz 10 miljoniem </w:t>
      </w:r>
      <w:r w:rsidRPr="008B24B1">
        <w:rPr>
          <w:rFonts w:cs="Times New Roman"/>
          <w:i/>
          <w:szCs w:val="24"/>
        </w:rPr>
        <w:t>euro</w:t>
      </w:r>
      <w:r w:rsidRPr="008B24B1">
        <w:rPr>
          <w:rFonts w:cs="Times New Roman"/>
          <w:szCs w:val="24"/>
        </w:rPr>
        <w:t>, ja infrastruktūras objekts ir uzskatāms par pasaules mantojumu atbilstoši 1972.gada Konvencijas par pasaules kultūras un dabas mantojuma aizsardzību 1.pantā noteiktajam.</w:t>
      </w:r>
    </w:p>
    <w:p w14:paraId="54919676" w14:textId="77777777" w:rsidR="000B6EF0" w:rsidRPr="00DA2248" w:rsidRDefault="000B6EF0" w:rsidP="00DC4E3D">
      <w:pPr>
        <w:spacing w:after="120" w:line="276" w:lineRule="auto"/>
        <w:jc w:val="both"/>
        <w:rPr>
          <w:b/>
          <w:i/>
          <w:szCs w:val="24"/>
        </w:rPr>
      </w:pPr>
      <w:r>
        <w:rPr>
          <w:b/>
          <w:i/>
          <w:szCs w:val="24"/>
        </w:rPr>
        <w:t>Vadības iesaiste</w:t>
      </w:r>
    </w:p>
    <w:p w14:paraId="70460BF3" w14:textId="1FEB976A" w:rsidR="000B6EF0" w:rsidRDefault="000B6EF0" w:rsidP="00DC4E3D">
      <w:pPr>
        <w:spacing w:after="120" w:line="276" w:lineRule="auto"/>
        <w:jc w:val="both"/>
        <w:rPr>
          <w:szCs w:val="24"/>
        </w:rPr>
      </w:pPr>
      <w:r w:rsidRPr="00A96FAA">
        <w:rPr>
          <w:szCs w:val="24"/>
        </w:rPr>
        <w:t>Lai maksimāli efektīvi novērstu</w:t>
      </w:r>
      <w:r>
        <w:rPr>
          <w:szCs w:val="24"/>
        </w:rPr>
        <w:t xml:space="preserve"> un</w:t>
      </w:r>
      <w:r w:rsidRPr="00A96FAA">
        <w:rPr>
          <w:szCs w:val="24"/>
        </w:rPr>
        <w:t xml:space="preserve"> mazinātu </w:t>
      </w:r>
      <w:r>
        <w:rPr>
          <w:szCs w:val="24"/>
        </w:rPr>
        <w:t xml:space="preserve">šos un citus </w:t>
      </w:r>
      <w:r w:rsidRPr="00A96FAA">
        <w:rPr>
          <w:szCs w:val="24"/>
        </w:rPr>
        <w:t xml:space="preserve">potenciālos riskus </w:t>
      </w:r>
      <w:r>
        <w:rPr>
          <w:szCs w:val="24"/>
        </w:rPr>
        <w:t xml:space="preserve">SAM un pasākumu ieviešanā, finanšu ministre </w:t>
      </w:r>
      <w:proofErr w:type="spellStart"/>
      <w:r w:rsidR="006E3CAA">
        <w:rPr>
          <w:szCs w:val="24"/>
        </w:rPr>
        <w:t>proaktīvi</w:t>
      </w:r>
      <w:proofErr w:type="spellEnd"/>
      <w:r w:rsidR="006E3CAA">
        <w:rPr>
          <w:szCs w:val="24"/>
        </w:rPr>
        <w:t xml:space="preserve"> </w:t>
      </w:r>
      <w:r>
        <w:rPr>
          <w:szCs w:val="24"/>
        </w:rPr>
        <w:t>vairākkārt tikās ar atbildīgajiem nozaru ministriem. Martā norisinājās tikšanās ar satiksmes, izglītības un zinātnes, ekonomikas un kultūras ministriem. Savukārt, aprīļa beigās un maija sākumā finanšu ministre tikās ar veselības, kultū</w:t>
      </w:r>
      <w:r w:rsidR="00943597">
        <w:rPr>
          <w:szCs w:val="24"/>
        </w:rPr>
        <w:t>r</w:t>
      </w:r>
      <w:r>
        <w:rPr>
          <w:szCs w:val="24"/>
        </w:rPr>
        <w:t xml:space="preserve">as un izglītības un zinātnes ministriem. Sanāksmēs tika pārrunāts </w:t>
      </w:r>
      <w:r w:rsidR="006E3CAA">
        <w:rPr>
          <w:szCs w:val="24"/>
        </w:rPr>
        <w:t xml:space="preserve">investīciju </w:t>
      </w:r>
      <w:r>
        <w:rPr>
          <w:szCs w:val="24"/>
        </w:rPr>
        <w:t xml:space="preserve">ieviešanas progress un </w:t>
      </w:r>
      <w:proofErr w:type="spellStart"/>
      <w:r>
        <w:rPr>
          <w:szCs w:val="24"/>
        </w:rPr>
        <w:t>problēmjautājumi</w:t>
      </w:r>
      <w:proofErr w:type="spellEnd"/>
      <w:r w:rsidR="006E3CAA">
        <w:rPr>
          <w:szCs w:val="24"/>
        </w:rPr>
        <w:t>, kā arī nepieciešamā turpmākā rīcība</w:t>
      </w:r>
      <w:r>
        <w:rPr>
          <w:szCs w:val="24"/>
        </w:rPr>
        <w:t xml:space="preserve">. </w:t>
      </w:r>
    </w:p>
    <w:p w14:paraId="4A45565F" w14:textId="77777777" w:rsidR="000B6EF0" w:rsidRPr="003A495E" w:rsidRDefault="000B6EF0" w:rsidP="00DC4E3D">
      <w:pPr>
        <w:pStyle w:val="ListParagraph"/>
        <w:numPr>
          <w:ilvl w:val="0"/>
          <w:numId w:val="34"/>
        </w:numPr>
        <w:spacing w:after="120" w:line="276" w:lineRule="auto"/>
        <w:ind w:left="709"/>
        <w:jc w:val="both"/>
        <w:rPr>
          <w:szCs w:val="24"/>
        </w:rPr>
      </w:pPr>
      <w:r w:rsidRPr="00DD6839">
        <w:rPr>
          <w:szCs w:val="24"/>
        </w:rPr>
        <w:t>Ar satiksmes ministru norisinājās sarunas par dzelzceļa elektrifikācijas pasākumu, 4.5.1.SAM “Attīstīt videi draudzīgu sabiedriskā transporta infrastruktūru” pasākumu ieviešanas progresu, kā arī 2007.</w:t>
      </w:r>
      <w:r w:rsidRPr="004F388C">
        <w:rPr>
          <w:szCs w:val="24"/>
        </w:rPr>
        <w:t>–2013.gada ES fondu plānošanas perioda projektu Krievu salā.</w:t>
      </w:r>
    </w:p>
    <w:p w14:paraId="610F6655" w14:textId="77777777" w:rsidR="000B6EF0" w:rsidRPr="003A495E" w:rsidRDefault="000B6EF0" w:rsidP="00DC4E3D">
      <w:pPr>
        <w:pStyle w:val="ListParagraph"/>
        <w:numPr>
          <w:ilvl w:val="0"/>
          <w:numId w:val="34"/>
        </w:numPr>
        <w:spacing w:after="120" w:line="276" w:lineRule="auto"/>
        <w:ind w:left="709"/>
        <w:jc w:val="both"/>
        <w:rPr>
          <w:szCs w:val="24"/>
        </w:rPr>
      </w:pPr>
      <w:r w:rsidRPr="003A495E">
        <w:rPr>
          <w:szCs w:val="24"/>
        </w:rPr>
        <w:t>A</w:t>
      </w:r>
      <w:r w:rsidRPr="00DD6839">
        <w:rPr>
          <w:szCs w:val="24"/>
        </w:rPr>
        <w:t>r izglītības un zinātnes ministru pārrunāja 8.1.3.SAM “Palielināt modernizēto profesionālās izglītības iestāžu skaitu</w:t>
      </w:r>
      <w:r w:rsidRPr="004F388C">
        <w:rPr>
          <w:szCs w:val="24"/>
        </w:rPr>
        <w:t xml:space="preserve">” dalīšanu kārtās, CFLA un IZM lomu </w:t>
      </w:r>
      <w:r w:rsidRPr="004F388C">
        <w:rPr>
          <w:szCs w:val="24"/>
        </w:rPr>
        <w:lastRenderedPageBreak/>
        <w:t>sadalījumu zinātnes projektu atlašu sagatavošanā un 1.1.1.6.pasākuma “RIS3 pārvaldības atbalsts”</w:t>
      </w:r>
      <w:r w:rsidRPr="003A495E">
        <w:rPr>
          <w:szCs w:val="24"/>
        </w:rPr>
        <w:t xml:space="preserve"> ieviešanu. </w:t>
      </w:r>
    </w:p>
    <w:p w14:paraId="26D5B355" w14:textId="61CB6F58" w:rsidR="000B6EF0" w:rsidRPr="004F388C" w:rsidRDefault="000B6EF0" w:rsidP="00DC4E3D">
      <w:pPr>
        <w:pStyle w:val="ListParagraph"/>
        <w:numPr>
          <w:ilvl w:val="0"/>
          <w:numId w:val="34"/>
        </w:numPr>
        <w:spacing w:after="120" w:line="276" w:lineRule="auto"/>
        <w:ind w:left="709"/>
        <w:jc w:val="both"/>
        <w:rPr>
          <w:szCs w:val="24"/>
        </w:rPr>
      </w:pPr>
      <w:r w:rsidRPr="003A495E">
        <w:rPr>
          <w:szCs w:val="24"/>
        </w:rPr>
        <w:t>E</w:t>
      </w:r>
      <w:r w:rsidRPr="00DD6839">
        <w:rPr>
          <w:szCs w:val="24"/>
        </w:rPr>
        <w:t>konomikas ministrs iepazīstināja ar info</w:t>
      </w:r>
      <w:r w:rsidR="0075345E">
        <w:rPr>
          <w:szCs w:val="24"/>
        </w:rPr>
        <w:t>r</w:t>
      </w:r>
      <w:r w:rsidRPr="00DD6839">
        <w:rPr>
          <w:szCs w:val="24"/>
        </w:rPr>
        <w:t>māciju par 4.2.1.2.pasākuma “Veicināt energoefektivitātes paaugstināšanu valsts ēkās</w:t>
      </w:r>
      <w:r w:rsidRPr="004F388C">
        <w:rPr>
          <w:szCs w:val="24"/>
        </w:rPr>
        <w:t>” pirmās kārtas virzību, kā arī tika pārrunāta iespējamā ārējo ekspertu iesaistīšana finanšu instrumentu ieviešanā.</w:t>
      </w:r>
    </w:p>
    <w:p w14:paraId="6F4D7F4B" w14:textId="77777777" w:rsidR="000B6EF0" w:rsidRPr="00DD6839" w:rsidRDefault="000B6EF0" w:rsidP="00DC4E3D">
      <w:pPr>
        <w:pStyle w:val="ListParagraph"/>
        <w:numPr>
          <w:ilvl w:val="0"/>
          <w:numId w:val="34"/>
        </w:numPr>
        <w:spacing w:after="120" w:line="276" w:lineRule="auto"/>
        <w:ind w:left="709"/>
        <w:jc w:val="both"/>
        <w:rPr>
          <w:rFonts w:eastAsia="Times New Roman"/>
          <w:szCs w:val="24"/>
          <w:lang w:eastAsia="lv-LV"/>
        </w:rPr>
      </w:pPr>
      <w:r w:rsidRPr="003A495E">
        <w:rPr>
          <w:szCs w:val="24"/>
        </w:rPr>
        <w:t>S</w:t>
      </w:r>
      <w:r w:rsidRPr="00DD6839">
        <w:rPr>
          <w:szCs w:val="24"/>
        </w:rPr>
        <w:t xml:space="preserve">arunā ar kultūras ministri vienojās uz doto brīdi neveikt finansējuma pārdali </w:t>
      </w:r>
      <w:r>
        <w:rPr>
          <w:szCs w:val="24"/>
        </w:rPr>
        <w:t>par labu</w:t>
      </w:r>
      <w:r w:rsidRPr="00DD6839">
        <w:rPr>
          <w:szCs w:val="24"/>
        </w:rPr>
        <w:t xml:space="preserve"> 5.5.1.SAM “Saglabāt, aizsargāt un attīstīt nozīmīgu kultūras un dabas mantojumu, kā arī attīstīt ar to saistītos pakalpojumus”, ņemot vērā lielo projektu ideju apjomu. KM informēja par </w:t>
      </w:r>
      <w:r w:rsidRPr="00DD6839">
        <w:rPr>
          <w:rFonts w:eastAsia="Times New Roman"/>
          <w:szCs w:val="24"/>
          <w:lang w:eastAsia="lv-LV"/>
        </w:rPr>
        <w:t>5.6.1.SAM “</w:t>
      </w:r>
      <w:r w:rsidRPr="00805555">
        <w:t xml:space="preserve">Veicināt Rīgas pilsētas </w:t>
      </w:r>
      <w:proofErr w:type="spellStart"/>
      <w:r w:rsidRPr="00805555">
        <w:t>revitalizāciju</w:t>
      </w:r>
      <w:proofErr w:type="spellEnd"/>
      <w:r w:rsidRPr="00805555">
        <w:t>, nodrošinot teritorijas efektī</w:t>
      </w:r>
      <w:r>
        <w:t>vu sociālekonomisko izmantošanu</w:t>
      </w:r>
      <w:r w:rsidRPr="00DD6839">
        <w:rPr>
          <w:rFonts w:eastAsia="Times New Roman"/>
          <w:szCs w:val="24"/>
          <w:lang w:eastAsia="lv-LV"/>
        </w:rPr>
        <w:t>” ieviešanas progresu.</w:t>
      </w:r>
    </w:p>
    <w:p w14:paraId="0B196207" w14:textId="77777777" w:rsidR="000B6EF0" w:rsidRPr="004F388C" w:rsidRDefault="000B6EF0" w:rsidP="00DC4E3D">
      <w:pPr>
        <w:pStyle w:val="ListParagraph"/>
        <w:numPr>
          <w:ilvl w:val="0"/>
          <w:numId w:val="34"/>
        </w:numPr>
        <w:spacing w:after="120" w:line="276" w:lineRule="auto"/>
        <w:ind w:left="709"/>
        <w:jc w:val="both"/>
        <w:rPr>
          <w:szCs w:val="24"/>
        </w:rPr>
      </w:pPr>
      <w:r w:rsidRPr="00DD6839">
        <w:rPr>
          <w:rFonts w:eastAsia="Times New Roman"/>
          <w:szCs w:val="24"/>
          <w:lang w:eastAsia="lv-LV"/>
        </w:rPr>
        <w:t xml:space="preserve">Ar veselības ministru tika pārrunāta </w:t>
      </w:r>
      <w:r w:rsidRPr="00DD6839">
        <w:rPr>
          <w:szCs w:val="24"/>
        </w:rPr>
        <w:t>Pasaules bankas veiktā infrastruktūras un cilvēkresursu attīstības veselības aprūpē ieguldījumu kartējuma</w:t>
      </w:r>
      <w:r w:rsidRPr="004F388C">
        <w:rPr>
          <w:szCs w:val="24"/>
        </w:rPr>
        <w:t xml:space="preserve"> izstrāde un citi ar SAM un pasākumu ieviešanu saistītie jautājumi.</w:t>
      </w:r>
    </w:p>
    <w:p w14:paraId="0989DDE0" w14:textId="18BD3444" w:rsidR="000B6EF0" w:rsidRPr="004F388C" w:rsidRDefault="000B6EF0" w:rsidP="00DC4E3D">
      <w:pPr>
        <w:spacing w:before="120" w:after="120" w:line="276" w:lineRule="auto"/>
        <w:rPr>
          <w:rStyle w:val="Strong"/>
          <w:i/>
          <w:szCs w:val="24"/>
        </w:rPr>
      </w:pPr>
      <w:r w:rsidRPr="004F388C">
        <w:rPr>
          <w:rStyle w:val="Strong"/>
          <w:i/>
          <w:szCs w:val="24"/>
        </w:rPr>
        <w:t>DP “Izaugsme un nodarbinātība” grozījumi</w:t>
      </w:r>
    </w:p>
    <w:p w14:paraId="09118A1C" w14:textId="0D6B04CB" w:rsidR="000B6EF0" w:rsidRDefault="000B6EF0" w:rsidP="00DC4E3D">
      <w:pPr>
        <w:spacing w:after="120" w:line="276" w:lineRule="auto"/>
        <w:jc w:val="both"/>
        <w:rPr>
          <w:rStyle w:val="Strong"/>
          <w:b w:val="0"/>
          <w:szCs w:val="24"/>
        </w:rPr>
      </w:pPr>
      <w:r>
        <w:rPr>
          <w:rStyle w:val="Strong"/>
          <w:b w:val="0"/>
          <w:szCs w:val="24"/>
        </w:rPr>
        <w:t>2016.gada</w:t>
      </w:r>
      <w:r w:rsidRPr="00863CF1">
        <w:rPr>
          <w:rStyle w:val="Strong"/>
          <w:b w:val="0"/>
          <w:szCs w:val="24"/>
        </w:rPr>
        <w:t xml:space="preserve"> </w:t>
      </w:r>
      <w:r>
        <w:rPr>
          <w:rStyle w:val="Strong"/>
          <w:b w:val="0"/>
          <w:szCs w:val="24"/>
        </w:rPr>
        <w:t>12.aprīlī</w:t>
      </w:r>
      <w:r w:rsidRPr="00863CF1">
        <w:rPr>
          <w:rStyle w:val="Strong"/>
          <w:b w:val="0"/>
          <w:szCs w:val="24"/>
        </w:rPr>
        <w:t xml:space="preserve"> </w:t>
      </w:r>
      <w:r>
        <w:rPr>
          <w:rStyle w:val="Strong"/>
          <w:b w:val="0"/>
          <w:szCs w:val="24"/>
        </w:rPr>
        <w:t>MK</w:t>
      </w:r>
      <w:r w:rsidRPr="00863CF1">
        <w:rPr>
          <w:rStyle w:val="Strong"/>
          <w:b w:val="0"/>
          <w:szCs w:val="24"/>
        </w:rPr>
        <w:t xml:space="preserve"> tika apstiprināts </w:t>
      </w:r>
      <w:r>
        <w:rPr>
          <w:rStyle w:val="Strong"/>
          <w:b w:val="0"/>
          <w:szCs w:val="24"/>
        </w:rPr>
        <w:t>rīkojums</w:t>
      </w:r>
      <w:r w:rsidRPr="00863CF1">
        <w:rPr>
          <w:rStyle w:val="Strong"/>
          <w:b w:val="0"/>
          <w:szCs w:val="24"/>
        </w:rPr>
        <w:t xml:space="preserve"> par </w:t>
      </w:r>
      <w:r>
        <w:rPr>
          <w:rStyle w:val="Strong"/>
          <w:b w:val="0"/>
          <w:szCs w:val="24"/>
        </w:rPr>
        <w:t>grozījumiem ES fondu</w:t>
      </w:r>
      <w:r w:rsidRPr="0060638B">
        <w:rPr>
          <w:rStyle w:val="Strong"/>
          <w:b w:val="0"/>
          <w:szCs w:val="24"/>
        </w:rPr>
        <w:t xml:space="preserve"> 2014.</w:t>
      </w:r>
      <w:r>
        <w:rPr>
          <w:rStyle w:val="Strong"/>
          <w:b w:val="0"/>
          <w:szCs w:val="24"/>
        </w:rPr>
        <w:t xml:space="preserve"> </w:t>
      </w:r>
      <w:r w:rsidRPr="0060638B">
        <w:rPr>
          <w:rStyle w:val="Strong"/>
          <w:b w:val="0"/>
          <w:szCs w:val="24"/>
        </w:rPr>
        <w:t>–</w:t>
      </w:r>
      <w:r>
        <w:rPr>
          <w:rStyle w:val="Strong"/>
          <w:b w:val="0"/>
          <w:szCs w:val="24"/>
        </w:rPr>
        <w:t xml:space="preserve"> </w:t>
      </w:r>
      <w:r w:rsidRPr="0060638B">
        <w:rPr>
          <w:rStyle w:val="Strong"/>
          <w:b w:val="0"/>
          <w:szCs w:val="24"/>
        </w:rPr>
        <w:t>2020.</w:t>
      </w:r>
      <w:r>
        <w:rPr>
          <w:rStyle w:val="Strong"/>
          <w:b w:val="0"/>
          <w:szCs w:val="24"/>
        </w:rPr>
        <w:t xml:space="preserve"> </w:t>
      </w:r>
      <w:r w:rsidRPr="0060638B">
        <w:rPr>
          <w:rStyle w:val="Strong"/>
          <w:b w:val="0"/>
          <w:szCs w:val="24"/>
        </w:rPr>
        <w:t>gada plānoša</w:t>
      </w:r>
      <w:r>
        <w:rPr>
          <w:rStyle w:val="Strong"/>
          <w:b w:val="0"/>
          <w:szCs w:val="24"/>
        </w:rPr>
        <w:t xml:space="preserve">nas perioda DP “Izaugsme un nodarbinātība”. Apstiprinātie grozījumi ir ar </w:t>
      </w:r>
      <w:r>
        <w:rPr>
          <w:szCs w:val="24"/>
        </w:rPr>
        <w:t>fokusētu mērķi,</w:t>
      </w:r>
      <w:r w:rsidRPr="00E62DB3">
        <w:rPr>
          <w:szCs w:val="24"/>
        </w:rPr>
        <w:t xml:space="preserve"> lai izpildītu ES fondu plānošanas dokumentos noteiktos investīciju uzsākšanas nosacījumus</w:t>
      </w:r>
      <w:r>
        <w:rPr>
          <w:szCs w:val="24"/>
        </w:rPr>
        <w:t>,</w:t>
      </w:r>
      <w:r w:rsidRPr="00E62DB3">
        <w:rPr>
          <w:szCs w:val="24"/>
        </w:rPr>
        <w:t xml:space="preserve"> </w:t>
      </w:r>
      <w:r>
        <w:rPr>
          <w:rStyle w:val="Strong"/>
          <w:b w:val="0"/>
          <w:szCs w:val="24"/>
        </w:rPr>
        <w:t xml:space="preserve">nodrošinot iespēju uzsākt </w:t>
      </w:r>
      <w:r w:rsidRPr="00162178">
        <w:rPr>
          <w:rStyle w:val="Strong"/>
          <w:b w:val="0"/>
          <w:szCs w:val="24"/>
        </w:rPr>
        <w:t xml:space="preserve">uz </w:t>
      </w:r>
      <w:proofErr w:type="spellStart"/>
      <w:r w:rsidRPr="00162178">
        <w:rPr>
          <w:rStyle w:val="Strong"/>
          <w:b w:val="0"/>
          <w:szCs w:val="24"/>
        </w:rPr>
        <w:t>priekšizpētes</w:t>
      </w:r>
      <w:proofErr w:type="spellEnd"/>
      <w:r w:rsidRPr="00162178">
        <w:rPr>
          <w:rStyle w:val="Strong"/>
          <w:b w:val="0"/>
          <w:szCs w:val="24"/>
        </w:rPr>
        <w:t xml:space="preserve"> rezultātiem </w:t>
      </w:r>
      <w:r>
        <w:rPr>
          <w:rStyle w:val="Strong"/>
          <w:b w:val="0"/>
          <w:szCs w:val="24"/>
        </w:rPr>
        <w:t xml:space="preserve">balstītas ES fondu investīcijas izglītības jomā </w:t>
      </w:r>
      <w:r w:rsidRPr="00B80421">
        <w:rPr>
          <w:rStyle w:val="Strong"/>
          <w:b w:val="0"/>
          <w:szCs w:val="24"/>
        </w:rPr>
        <w:t>priekšlaicīg</w:t>
      </w:r>
      <w:r>
        <w:rPr>
          <w:rStyle w:val="Strong"/>
          <w:b w:val="0"/>
          <w:szCs w:val="24"/>
        </w:rPr>
        <w:t>as</w:t>
      </w:r>
      <w:r w:rsidRPr="00B80421">
        <w:rPr>
          <w:rStyle w:val="Strong"/>
          <w:b w:val="0"/>
          <w:szCs w:val="24"/>
        </w:rPr>
        <w:t xml:space="preserve"> mācību pārtraukšan</w:t>
      </w:r>
      <w:r>
        <w:rPr>
          <w:rStyle w:val="Strong"/>
          <w:b w:val="0"/>
          <w:szCs w:val="24"/>
        </w:rPr>
        <w:t>as novēršanā,</w:t>
      </w:r>
      <w:r w:rsidRPr="00E62DB3">
        <w:rPr>
          <w:szCs w:val="24"/>
        </w:rPr>
        <w:t xml:space="preserve"> </w:t>
      </w:r>
      <w:r>
        <w:rPr>
          <w:szCs w:val="24"/>
        </w:rPr>
        <w:t>kā arī, lai nodrošinātu</w:t>
      </w:r>
      <w:r w:rsidRPr="00E62DB3">
        <w:rPr>
          <w:szCs w:val="24"/>
        </w:rPr>
        <w:t xml:space="preserve"> vairākus </w:t>
      </w:r>
      <w:r>
        <w:rPr>
          <w:szCs w:val="24"/>
        </w:rPr>
        <w:t>MK</w:t>
      </w:r>
      <w:r w:rsidRPr="00E62DB3">
        <w:rPr>
          <w:szCs w:val="24"/>
        </w:rPr>
        <w:t xml:space="preserve"> dotos uzdevumus, t.sk., </w:t>
      </w:r>
      <w:r>
        <w:rPr>
          <w:szCs w:val="24"/>
        </w:rPr>
        <w:t>nodrošinot finansējuma pārdali</w:t>
      </w:r>
      <w:r w:rsidR="000974B0">
        <w:rPr>
          <w:szCs w:val="24"/>
        </w:rPr>
        <w:t xml:space="preserve"> </w:t>
      </w:r>
      <w:r>
        <w:rPr>
          <w:szCs w:val="24"/>
        </w:rPr>
        <w:t xml:space="preserve"> </w:t>
      </w:r>
      <w:r w:rsidR="001D294A">
        <w:t>nodrošinot finansējuma pārdali nodarbināto jauniešu atbalstam</w:t>
      </w:r>
      <w:r>
        <w:rPr>
          <w:szCs w:val="24"/>
        </w:rPr>
        <w:t xml:space="preserve"> un veiktu nepieciešamos precizējumus attiecībā uz plānoto atbalstu </w:t>
      </w:r>
      <w:r>
        <w:rPr>
          <w:rStyle w:val="Strong"/>
          <w:b w:val="0"/>
          <w:szCs w:val="24"/>
        </w:rPr>
        <w:t>atkritumu pārstrādes un nodarbinātības veicināšanā, veicinot</w:t>
      </w:r>
      <w:r w:rsidRPr="005B0B44">
        <w:rPr>
          <w:rStyle w:val="Strong"/>
          <w:b w:val="0"/>
          <w:szCs w:val="24"/>
        </w:rPr>
        <w:t xml:space="preserve"> ES fondu atbalsta efektīvu un racionālu izmantošanu</w:t>
      </w:r>
      <w:r>
        <w:rPr>
          <w:rStyle w:val="Strong"/>
          <w:b w:val="0"/>
          <w:szCs w:val="24"/>
        </w:rPr>
        <w:t>.</w:t>
      </w:r>
    </w:p>
    <w:p w14:paraId="00EBFC56" w14:textId="77777777" w:rsidR="000B6EF0" w:rsidRDefault="000B6EF0" w:rsidP="00DC4E3D">
      <w:pPr>
        <w:spacing w:after="120" w:line="276" w:lineRule="auto"/>
        <w:jc w:val="both"/>
        <w:rPr>
          <w:rStyle w:val="Strong"/>
          <w:i/>
          <w:szCs w:val="24"/>
        </w:rPr>
      </w:pPr>
      <w:proofErr w:type="spellStart"/>
      <w:r>
        <w:rPr>
          <w:rStyle w:val="Strong"/>
          <w:i/>
          <w:szCs w:val="24"/>
        </w:rPr>
        <w:t>Ex-ante</w:t>
      </w:r>
      <w:proofErr w:type="spellEnd"/>
      <w:r>
        <w:rPr>
          <w:rStyle w:val="Strong"/>
          <w:i/>
          <w:szCs w:val="24"/>
        </w:rPr>
        <w:t xml:space="preserve"> nosacījumu izpilde</w:t>
      </w:r>
    </w:p>
    <w:p w14:paraId="783C3080" w14:textId="041E4AF0" w:rsidR="000B6EF0" w:rsidRDefault="000B6EF0" w:rsidP="00DC4E3D">
      <w:pPr>
        <w:spacing w:after="120" w:line="276" w:lineRule="auto"/>
        <w:jc w:val="both"/>
        <w:rPr>
          <w:szCs w:val="24"/>
        </w:rPr>
      </w:pPr>
      <w:r>
        <w:rPr>
          <w:szCs w:val="24"/>
        </w:rPr>
        <w:t>Vē</w:t>
      </w:r>
      <w:r w:rsidR="000C4479">
        <w:rPr>
          <w:szCs w:val="24"/>
        </w:rPr>
        <w:t>rtējot Partnerības līgumā notei</w:t>
      </w:r>
      <w:r>
        <w:rPr>
          <w:szCs w:val="24"/>
        </w:rPr>
        <w:t>k</w:t>
      </w:r>
      <w:r w:rsidR="000C4479">
        <w:rPr>
          <w:szCs w:val="24"/>
        </w:rPr>
        <w:t>t</w:t>
      </w:r>
      <w:r>
        <w:rPr>
          <w:szCs w:val="24"/>
        </w:rPr>
        <w:t xml:space="preserve">o </w:t>
      </w:r>
      <w:proofErr w:type="spellStart"/>
      <w:r>
        <w:rPr>
          <w:i/>
          <w:szCs w:val="24"/>
        </w:rPr>
        <w:t>ex</w:t>
      </w:r>
      <w:proofErr w:type="spellEnd"/>
      <w:r>
        <w:rPr>
          <w:i/>
          <w:szCs w:val="24"/>
        </w:rPr>
        <w:t xml:space="preserve"> </w:t>
      </w:r>
      <w:proofErr w:type="spellStart"/>
      <w:r>
        <w:rPr>
          <w:i/>
          <w:szCs w:val="24"/>
        </w:rPr>
        <w:t>ante</w:t>
      </w:r>
      <w:proofErr w:type="spellEnd"/>
      <w:r>
        <w:rPr>
          <w:i/>
          <w:szCs w:val="24"/>
        </w:rPr>
        <w:t xml:space="preserve"> </w:t>
      </w:r>
      <w:r>
        <w:rPr>
          <w:szCs w:val="24"/>
        </w:rPr>
        <w:t>nosacījumu izpildi uz 2016.gada 30.jūniju, ir i</w:t>
      </w:r>
      <w:r w:rsidRPr="00860447">
        <w:rPr>
          <w:szCs w:val="24"/>
        </w:rPr>
        <w:t>zpildīti 13</w:t>
      </w:r>
      <w:r>
        <w:rPr>
          <w:szCs w:val="24"/>
        </w:rPr>
        <w:t xml:space="preserve"> no 15</w:t>
      </w:r>
      <w:r w:rsidRPr="00860447">
        <w:rPr>
          <w:szCs w:val="24"/>
        </w:rPr>
        <w:t xml:space="preserve"> </w:t>
      </w:r>
      <w:proofErr w:type="spellStart"/>
      <w:r w:rsidRPr="00860447">
        <w:rPr>
          <w:i/>
          <w:szCs w:val="24"/>
        </w:rPr>
        <w:t>ex</w:t>
      </w:r>
      <w:proofErr w:type="spellEnd"/>
      <w:r w:rsidRPr="00860447">
        <w:rPr>
          <w:i/>
          <w:szCs w:val="24"/>
        </w:rPr>
        <w:t xml:space="preserve"> </w:t>
      </w:r>
      <w:proofErr w:type="spellStart"/>
      <w:r w:rsidRPr="00860447">
        <w:rPr>
          <w:i/>
          <w:szCs w:val="24"/>
        </w:rPr>
        <w:t>ante</w:t>
      </w:r>
      <w:proofErr w:type="spellEnd"/>
      <w:r w:rsidRPr="00860447">
        <w:rPr>
          <w:szCs w:val="24"/>
        </w:rPr>
        <w:t xml:space="preserve"> nosacījumi</w:t>
      </w:r>
      <w:r>
        <w:rPr>
          <w:szCs w:val="24"/>
        </w:rPr>
        <w:t>em</w:t>
      </w:r>
      <w:r w:rsidRPr="00860447">
        <w:rPr>
          <w:szCs w:val="24"/>
        </w:rPr>
        <w:t xml:space="preserve"> transporta, izglītības un zinātnes, veselības, sociālās iekļaušanas, valsts pārvaldes kapacitātes stiprināšanas jomās, kā arī atkritumu, ūdenssaimniecīb</w:t>
      </w:r>
      <w:r>
        <w:rPr>
          <w:szCs w:val="24"/>
        </w:rPr>
        <w:t xml:space="preserve">as un risku pārvaldības nozarē. </w:t>
      </w:r>
    </w:p>
    <w:p w14:paraId="58E46C91" w14:textId="77777777" w:rsidR="006E0445" w:rsidRDefault="006E0445" w:rsidP="00DC4E3D">
      <w:pPr>
        <w:spacing w:after="120" w:line="276" w:lineRule="auto"/>
        <w:jc w:val="both"/>
        <w:rPr>
          <w:szCs w:val="24"/>
        </w:rPr>
      </w:pPr>
      <w:r>
        <w:rPr>
          <w:szCs w:val="24"/>
        </w:rPr>
        <w:t>Viena</w:t>
      </w:r>
      <w:r w:rsidRPr="00860447">
        <w:rPr>
          <w:szCs w:val="24"/>
        </w:rPr>
        <w:t xml:space="preserve"> </w:t>
      </w:r>
      <w:proofErr w:type="spellStart"/>
      <w:r w:rsidRPr="00860447">
        <w:rPr>
          <w:i/>
          <w:szCs w:val="24"/>
        </w:rPr>
        <w:t>ex</w:t>
      </w:r>
      <w:proofErr w:type="spellEnd"/>
      <w:r w:rsidRPr="00860447">
        <w:rPr>
          <w:i/>
          <w:szCs w:val="24"/>
        </w:rPr>
        <w:t xml:space="preserve"> </w:t>
      </w:r>
      <w:proofErr w:type="spellStart"/>
      <w:r w:rsidRPr="00860447">
        <w:rPr>
          <w:i/>
          <w:szCs w:val="24"/>
        </w:rPr>
        <w:t>ante</w:t>
      </w:r>
      <w:proofErr w:type="spellEnd"/>
      <w:r w:rsidRPr="00860447">
        <w:rPr>
          <w:szCs w:val="24"/>
        </w:rPr>
        <w:t xml:space="preserve"> nosacījuma izpildei nepieciešamā informācija (e-iepirkumu procedūru ieviešanai) ir iesniegta izvērtē</w:t>
      </w:r>
      <w:r>
        <w:rPr>
          <w:szCs w:val="24"/>
        </w:rPr>
        <w:t>šanai EK – tiek turpināts darbs</w:t>
      </w:r>
      <w:r w:rsidRPr="00860447">
        <w:rPr>
          <w:szCs w:val="24"/>
        </w:rPr>
        <w:t xml:space="preserve"> </w:t>
      </w:r>
      <w:r>
        <w:rPr>
          <w:szCs w:val="24"/>
        </w:rPr>
        <w:t>un ir</w:t>
      </w:r>
      <w:r w:rsidRPr="00860447">
        <w:rPr>
          <w:szCs w:val="24"/>
        </w:rPr>
        <w:t xml:space="preserve"> iesniegt</w:t>
      </w:r>
      <w:r>
        <w:rPr>
          <w:szCs w:val="24"/>
        </w:rPr>
        <w:t>a</w:t>
      </w:r>
      <w:r w:rsidRPr="00860447">
        <w:rPr>
          <w:szCs w:val="24"/>
        </w:rPr>
        <w:t xml:space="preserve"> inform</w:t>
      </w:r>
      <w:r>
        <w:rPr>
          <w:szCs w:val="24"/>
        </w:rPr>
        <w:t xml:space="preserve">ācija atbilstoši EK komentāriem. </w:t>
      </w:r>
      <w:r w:rsidRPr="00860447">
        <w:rPr>
          <w:szCs w:val="24"/>
        </w:rPr>
        <w:t>Lai Latvija</w:t>
      </w:r>
      <w:r>
        <w:rPr>
          <w:szCs w:val="24"/>
        </w:rPr>
        <w:t xml:space="preserve"> pilnībā izpildītu saistības </w:t>
      </w:r>
      <w:proofErr w:type="spellStart"/>
      <w:r w:rsidRPr="00860447">
        <w:rPr>
          <w:i/>
          <w:szCs w:val="24"/>
        </w:rPr>
        <w:t>ex</w:t>
      </w:r>
      <w:proofErr w:type="spellEnd"/>
      <w:r w:rsidRPr="00860447">
        <w:rPr>
          <w:i/>
          <w:szCs w:val="24"/>
        </w:rPr>
        <w:t xml:space="preserve"> </w:t>
      </w:r>
      <w:proofErr w:type="spellStart"/>
      <w:r w:rsidRPr="00860447">
        <w:rPr>
          <w:i/>
          <w:szCs w:val="24"/>
        </w:rPr>
        <w:t>ante</w:t>
      </w:r>
      <w:proofErr w:type="spellEnd"/>
      <w:r w:rsidRPr="00860447">
        <w:rPr>
          <w:szCs w:val="24"/>
        </w:rPr>
        <w:t xml:space="preserve"> nosacījumu izpildē, indikatīvi 2016.gada III ceturksnī pl</w:t>
      </w:r>
      <w:r>
        <w:rPr>
          <w:szCs w:val="24"/>
        </w:rPr>
        <w:t xml:space="preserve">ānots EK iesniegt pēdējā </w:t>
      </w:r>
      <w:proofErr w:type="spellStart"/>
      <w:r w:rsidRPr="00860447">
        <w:rPr>
          <w:i/>
          <w:szCs w:val="24"/>
        </w:rPr>
        <w:t>ex</w:t>
      </w:r>
      <w:proofErr w:type="spellEnd"/>
      <w:r w:rsidRPr="00860447">
        <w:rPr>
          <w:i/>
          <w:szCs w:val="24"/>
        </w:rPr>
        <w:t xml:space="preserve"> </w:t>
      </w:r>
      <w:proofErr w:type="spellStart"/>
      <w:r w:rsidRPr="00860447">
        <w:rPr>
          <w:i/>
          <w:szCs w:val="24"/>
        </w:rPr>
        <w:t>ante</w:t>
      </w:r>
      <w:proofErr w:type="spellEnd"/>
      <w:r w:rsidRPr="00860447">
        <w:rPr>
          <w:szCs w:val="24"/>
        </w:rPr>
        <w:t xml:space="preserve"> nosacījuma izpildes informāciju izglītības jomā par priekšlaicīgas mācību pamešanas iemesliem.</w:t>
      </w:r>
    </w:p>
    <w:p w14:paraId="6491CEC3" w14:textId="77777777" w:rsidR="000B6EF0" w:rsidRPr="00FE6448" w:rsidRDefault="000B6EF0" w:rsidP="00DC4E3D">
      <w:pPr>
        <w:spacing w:before="120" w:after="120" w:line="276" w:lineRule="auto"/>
        <w:rPr>
          <w:b/>
          <w:i/>
        </w:rPr>
      </w:pPr>
      <w:r w:rsidRPr="00FE6448">
        <w:rPr>
          <w:b/>
          <w:i/>
        </w:rPr>
        <w:t xml:space="preserve">Risku pārvaldības rīcības plāna uzdevumi  </w:t>
      </w:r>
    </w:p>
    <w:p w14:paraId="48B5FA96" w14:textId="0E14FD07" w:rsidR="000B6EF0" w:rsidRPr="000A358E" w:rsidRDefault="000B6EF0" w:rsidP="00DC4E3D">
      <w:pPr>
        <w:spacing w:before="120" w:after="120" w:line="276" w:lineRule="auto"/>
        <w:jc w:val="both"/>
        <w:rPr>
          <w:rFonts w:cs="Times New Roman"/>
        </w:rPr>
      </w:pPr>
      <w:r w:rsidRPr="00FE6448">
        <w:t xml:space="preserve">Balstoties uz </w:t>
      </w:r>
      <w:r w:rsidRPr="00FE6448">
        <w:rPr>
          <w:bCs/>
        </w:rPr>
        <w:t xml:space="preserve">SI (CFLA), AI un pilsētu pašvaldību ziņojumos par  </w:t>
      </w:r>
      <w:r w:rsidRPr="00FE6448">
        <w:rPr>
          <w:szCs w:val="24"/>
        </w:rPr>
        <w:t>2014.</w:t>
      </w:r>
      <w:r w:rsidRPr="00FE6448">
        <w:rPr>
          <w:szCs w:val="24"/>
          <w:lang w:eastAsia="lv-LV"/>
        </w:rPr>
        <w:t xml:space="preserve"> –</w:t>
      </w:r>
      <w:r>
        <w:rPr>
          <w:szCs w:val="24"/>
        </w:rPr>
        <w:t xml:space="preserve"> 2020.</w:t>
      </w:r>
      <w:r w:rsidRPr="00FE6448">
        <w:rPr>
          <w:szCs w:val="24"/>
        </w:rPr>
        <w:t xml:space="preserve">gada plānošanas  perioda </w:t>
      </w:r>
      <w:r>
        <w:rPr>
          <w:szCs w:val="24"/>
        </w:rPr>
        <w:t>DP</w:t>
      </w:r>
      <w:r w:rsidRPr="00FE6448">
        <w:rPr>
          <w:szCs w:val="24"/>
        </w:rPr>
        <w:t xml:space="preserve"> “Izaugsme un nodarbinātība” prioritāro virzienu un </w:t>
      </w:r>
      <w:r>
        <w:rPr>
          <w:szCs w:val="24"/>
        </w:rPr>
        <w:t>SAM ieviešanu 2015.</w:t>
      </w:r>
      <w:r w:rsidRPr="00FE6448">
        <w:rPr>
          <w:szCs w:val="24"/>
        </w:rPr>
        <w:t xml:space="preserve">gadā, kā arī </w:t>
      </w:r>
      <w:r w:rsidRPr="00FE6448">
        <w:rPr>
          <w:szCs w:val="24"/>
          <w:lang w:eastAsia="lv-LV"/>
        </w:rPr>
        <w:t>integrētu teritoriālo investīciju projektu iesniegumu atlasēm</w:t>
      </w:r>
      <w:r w:rsidRPr="00FE6448">
        <w:rPr>
          <w:sz w:val="28"/>
          <w:szCs w:val="28"/>
          <w:lang w:eastAsia="lv-LV"/>
        </w:rPr>
        <w:t xml:space="preserve"> </w:t>
      </w:r>
      <w:r w:rsidRPr="00FE6448">
        <w:rPr>
          <w:bCs/>
        </w:rPr>
        <w:t xml:space="preserve">iekļauto informāciju, t.sk. attiecībā  </w:t>
      </w:r>
      <w:r w:rsidRPr="00FE6448">
        <w:t>par problemātiskiem jautājumiem</w:t>
      </w:r>
      <w:r w:rsidRPr="00FE6448">
        <w:rPr>
          <w:bCs/>
        </w:rPr>
        <w:t xml:space="preserve">, </w:t>
      </w:r>
      <w:r>
        <w:rPr>
          <w:bCs/>
        </w:rPr>
        <w:t xml:space="preserve">VI </w:t>
      </w:r>
      <w:r w:rsidRPr="00FE6448">
        <w:rPr>
          <w:bCs/>
        </w:rPr>
        <w:t xml:space="preserve">secināja,  ka  </w:t>
      </w:r>
      <w:r w:rsidRPr="00FE6448">
        <w:t xml:space="preserve">sniegto priekšlikumu vidū nav identificējami gadījumi, kuru risinājumos un korektīvo darbību pārraudzībai būtu nepieciešama UK iesaiste un kuri būtu jāiekļauj </w:t>
      </w:r>
      <w:r>
        <w:t>VI</w:t>
      </w:r>
      <w:r w:rsidRPr="00FE6448">
        <w:t xml:space="preserve"> rīcības plānā. </w:t>
      </w:r>
      <w:r>
        <w:t>VI</w:t>
      </w:r>
      <w:r w:rsidRPr="00FE6448">
        <w:t xml:space="preserve"> sagatavoja informācijas apkopojumu izziņas formātā, attiecīgi sniedzot vadošās iestādes </w:t>
      </w:r>
      <w:r w:rsidRPr="00FE6448">
        <w:lastRenderedPageBreak/>
        <w:t>komentāru/ viedokli par konkrētiem priekšlikumiem un to risinājumiem</w:t>
      </w:r>
      <w:r w:rsidRPr="00FE6448">
        <w:rPr>
          <w:color w:val="1F497D"/>
        </w:rPr>
        <w:t xml:space="preserve">, </w:t>
      </w:r>
      <w:r w:rsidRPr="00FE6448">
        <w:t>t.sk. norādot termiņus atsevišķ</w:t>
      </w:r>
      <w:r w:rsidR="00572372">
        <w:t>ām informatīvām darbībām un apmā</w:t>
      </w:r>
      <w:r w:rsidRPr="00FE6448">
        <w:t>cību pasākumiem (pieejams ES fondu tīmekļa vietnē</w:t>
      </w:r>
      <w:r w:rsidRPr="00FE6448">
        <w:rPr>
          <w:rStyle w:val="FootnoteReference"/>
        </w:rPr>
        <w:footnoteReference w:id="17"/>
      </w:r>
      <w:r w:rsidRPr="00FE6448">
        <w:t>), informējot visas iesaistītās puses</w:t>
      </w:r>
      <w:r w:rsidRPr="00FE6448">
        <w:rPr>
          <w:rFonts w:cs="Times New Roman"/>
        </w:rPr>
        <w:t>.</w:t>
      </w:r>
    </w:p>
    <w:p w14:paraId="085B2DFA" w14:textId="77777777" w:rsidR="000B6EF0" w:rsidRPr="00EC7B54" w:rsidRDefault="000B6EF0" w:rsidP="00DC4E3D">
      <w:pPr>
        <w:spacing w:after="120" w:line="276" w:lineRule="auto"/>
        <w:jc w:val="both"/>
        <w:rPr>
          <w:b/>
          <w:bCs/>
          <w:i/>
          <w:szCs w:val="24"/>
        </w:rPr>
      </w:pPr>
      <w:r w:rsidRPr="005C7175">
        <w:rPr>
          <w:rFonts w:eastAsia="Times New Roman" w:cs="Times New Roman"/>
          <w:b/>
          <w:i/>
          <w:szCs w:val="24"/>
        </w:rPr>
        <w:t>Komunikācijas aktivitātes</w:t>
      </w:r>
    </w:p>
    <w:p w14:paraId="2CFF8F5C" w14:textId="77777777" w:rsidR="000B6EF0" w:rsidRDefault="000B6EF0" w:rsidP="00DC4E3D">
      <w:pPr>
        <w:spacing w:before="120" w:after="120" w:line="276" w:lineRule="auto"/>
        <w:jc w:val="both"/>
      </w:pPr>
      <w:r>
        <w:t xml:space="preserve">2016.gada pirmajā pusgadā īstenota </w:t>
      </w:r>
      <w:r w:rsidRPr="008770C0">
        <w:t>ES fondu Komunikācijas stratēģija 2015. – 2023.gadam</w:t>
      </w:r>
      <w:r>
        <w:rPr>
          <w:rStyle w:val="FootnoteReference"/>
        </w:rPr>
        <w:footnoteReference w:id="18"/>
      </w:r>
      <w:r>
        <w:t xml:space="preserve">, nodrošinot gan ES fondu ieguldījuma un pieejamo iespēju komunikāciju sociālajos tīklos, gan tīmekļa vietnē esfondi.lv un saziņā ar medijiem. </w:t>
      </w:r>
    </w:p>
    <w:p w14:paraId="632B9775" w14:textId="77777777" w:rsidR="000B6EF0" w:rsidRDefault="000B6EF0" w:rsidP="00DC4E3D">
      <w:pPr>
        <w:spacing w:before="120" w:after="120" w:line="276" w:lineRule="auto"/>
        <w:jc w:val="both"/>
      </w:pPr>
      <w:r>
        <w:t>ES fondu komunikācijas mērķis šajā plānošanas periodā ir veicināt sabiedrības izpratni par ES fondu īstenoto projektu ieguldījuma nozīmi Latvijas tautsaimniecībā, ekonomiskajā attīstībā un katra Latvijas iedzīvotāja labklājības līmeņa celšanā, kā arī sekmēt sabiedrības atbalstu un uzticēšanos ES fondu ieguldījumam un Latvijā īstenoto projektu realizācijai. Lai veicinātu sabiedrības izpratni par plānotajiem ieguldījumiem, 2016.gada 6.maijā FM sadarbībā ar CFLA piedalījās  EK</w:t>
      </w:r>
      <w:r w:rsidRPr="008770C0">
        <w:t xml:space="preserve"> pārstāvniecīb</w:t>
      </w:r>
      <w:r>
        <w:t>as</w:t>
      </w:r>
      <w:r w:rsidRPr="008770C0">
        <w:t xml:space="preserve"> Latvijā </w:t>
      </w:r>
      <w:r>
        <w:t xml:space="preserve">organizētajā </w:t>
      </w:r>
      <w:r w:rsidRPr="008770C0">
        <w:t>Eiropas dienu pasākum</w:t>
      </w:r>
      <w:r>
        <w:t>ā</w:t>
      </w:r>
      <w:r w:rsidRPr="008770C0">
        <w:t xml:space="preserve"> “Iepazīsti Eiropu”</w:t>
      </w:r>
      <w:r>
        <w:t>. Tā</w:t>
      </w:r>
      <w:r w:rsidRPr="008770C0">
        <w:t xml:space="preserve"> ietvaros </w:t>
      </w:r>
      <w:r>
        <w:t xml:space="preserve">208 </w:t>
      </w:r>
      <w:r w:rsidRPr="008770C0">
        <w:t xml:space="preserve">skolēnu grupas no </w:t>
      </w:r>
      <w:r>
        <w:t>9 Latvijas reģionālajām skolām</w:t>
      </w:r>
      <w:r w:rsidRPr="008770C0">
        <w:t xml:space="preserve"> apmeklē</w:t>
      </w:r>
      <w:r>
        <w:t>ja</w:t>
      </w:r>
      <w:r w:rsidRPr="008770C0">
        <w:t xml:space="preserve"> trīs </w:t>
      </w:r>
      <w:r>
        <w:t xml:space="preserve">ES </w:t>
      </w:r>
      <w:r w:rsidRPr="008770C0">
        <w:t xml:space="preserve">fondu līdzfinansētos projektus – Latvijas Nacionālo mākslas muzeju, Rīgas Domu un “Laimas” šokolādes muzeju, kā arī ES dalībvalstu vēstniecības, </w:t>
      </w:r>
      <w:r>
        <w:t>ES</w:t>
      </w:r>
      <w:r w:rsidRPr="008770C0">
        <w:t xml:space="preserve"> māju un Eiropas Elektronisko sakaru regulatora iestādes biroju. Apmeklēt šos projektus un iepazīties ar ES fondu ieguldījumu </w:t>
      </w:r>
      <w:r>
        <w:t>bija iespējams jebkuram interesentam</w:t>
      </w:r>
      <w:r w:rsidRPr="008770C0">
        <w:t>.</w:t>
      </w:r>
    </w:p>
    <w:p w14:paraId="1A5E57F2" w14:textId="77777777" w:rsidR="000B6EF0" w:rsidRDefault="000B6EF0" w:rsidP="00DC4E3D">
      <w:pPr>
        <w:spacing w:before="120" w:after="120" w:line="276" w:lineRule="auto"/>
        <w:jc w:val="both"/>
      </w:pPr>
      <w:r>
        <w:t xml:space="preserve">ES fondu projektu atvērto durvju dienas ietvaros Latvijas Nacionālajā mākslas muzejā bija iespējams ne tikai apskatīt rekonstruēto ēku un izzināt tās arhitektūru un izstādes, bet arī piedalīties EK organizētajās “Dārgumu medībās” – atrast muzeja telpās konkursa plakātu, sekot instrukcijām un laimēt ceļojumu divām personām uz kādu no Eiropas galvaspilsētām. </w:t>
      </w:r>
    </w:p>
    <w:p w14:paraId="30609CBB" w14:textId="77777777" w:rsidR="000B6EF0" w:rsidRPr="005C7175" w:rsidRDefault="000B6EF0" w:rsidP="00DC4E3D">
      <w:pPr>
        <w:spacing w:before="120" w:after="120" w:line="276" w:lineRule="auto"/>
        <w:jc w:val="both"/>
      </w:pPr>
      <w:r>
        <w:t>Atvērto durvju dienas ietvaros savas durvis vēra arī Rīgas Doms, sniedzot iespēju skolnieku grupām un citiem interesentiem aplūkot tā telpas un uzzināt, kā veikti Rīgas Doma restaurācijas darbi. Savukārt “Laimas” šokolādes muzejs aicināja izbaudīt šokolādes radīšanas brīnumu. Kopumā ES fondu projektu īstenošanas vietas apmeklēja vairāk kā 400 skolēnu un citu interesentu.</w:t>
      </w:r>
    </w:p>
    <w:p w14:paraId="05698628" w14:textId="77777777" w:rsidR="000B6EF0" w:rsidRPr="00B552D9" w:rsidRDefault="000B6EF0" w:rsidP="00DC4E3D">
      <w:pPr>
        <w:spacing w:before="120" w:after="120" w:line="276" w:lineRule="auto"/>
        <w:jc w:val="both"/>
        <w:rPr>
          <w:b/>
          <w:i/>
        </w:rPr>
      </w:pPr>
      <w:r w:rsidRPr="00B552D9">
        <w:rPr>
          <w:b/>
          <w:i/>
        </w:rPr>
        <w:t>Latvija starp citām valstīm:</w:t>
      </w:r>
    </w:p>
    <w:p w14:paraId="323D0A3C" w14:textId="4C067C54" w:rsidR="00DB0769" w:rsidRDefault="000B6EF0" w:rsidP="00DC4E3D">
      <w:pPr>
        <w:spacing w:before="120" w:after="120" w:line="276" w:lineRule="auto"/>
        <w:jc w:val="both"/>
        <w:rPr>
          <w:color w:val="000000" w:themeColor="text1"/>
          <w:szCs w:val="24"/>
        </w:rPr>
      </w:pPr>
      <w:r w:rsidRPr="006C2A06">
        <w:rPr>
          <w:color w:val="000000" w:themeColor="text1"/>
          <w:szCs w:val="24"/>
        </w:rPr>
        <w:t xml:space="preserve">Salīdzinot ES fondu finanšu rādītājus starp ES dalībvalstīm, ņemot vērā aktuālākos EK datus par EK veiktajiem kopējiem maksājumiem </w:t>
      </w:r>
      <w:r w:rsidRPr="00AD4FF5">
        <w:rPr>
          <w:color w:val="000000" w:themeColor="text1"/>
          <w:szCs w:val="24"/>
        </w:rPr>
        <w:t xml:space="preserve">līdz </w:t>
      </w:r>
      <w:r w:rsidR="00D12C22" w:rsidRPr="00AD4FF5">
        <w:rPr>
          <w:color w:val="000000" w:themeColor="text1"/>
          <w:szCs w:val="24"/>
        </w:rPr>
        <w:t>2016.gada 5</w:t>
      </w:r>
      <w:r w:rsidRPr="00AD4FF5">
        <w:rPr>
          <w:color w:val="000000" w:themeColor="text1"/>
          <w:szCs w:val="24"/>
        </w:rPr>
        <w:t>.</w:t>
      </w:r>
      <w:r w:rsidR="00D12C22" w:rsidRPr="00AD4FF5">
        <w:rPr>
          <w:color w:val="000000" w:themeColor="text1"/>
          <w:szCs w:val="24"/>
        </w:rPr>
        <w:t>augustam</w:t>
      </w:r>
      <w:r w:rsidR="00AD4FF5" w:rsidRPr="00AD4FF5">
        <w:rPr>
          <w:color w:val="000000" w:themeColor="text1"/>
          <w:szCs w:val="24"/>
        </w:rPr>
        <w:t>, Latvija</w:t>
      </w:r>
      <w:r w:rsidR="00AD4FF5">
        <w:rPr>
          <w:color w:val="000000" w:themeColor="text1"/>
          <w:szCs w:val="24"/>
        </w:rPr>
        <w:t xml:space="preserve"> ir 6</w:t>
      </w:r>
      <w:r w:rsidRPr="0082672A">
        <w:rPr>
          <w:color w:val="000000" w:themeColor="text1"/>
          <w:szCs w:val="24"/>
        </w:rPr>
        <w:t xml:space="preserve">.vietā starp </w:t>
      </w:r>
      <w:r w:rsidR="00AD4FF5">
        <w:rPr>
          <w:color w:val="000000" w:themeColor="text1"/>
          <w:szCs w:val="24"/>
        </w:rPr>
        <w:t>visām ES</w:t>
      </w:r>
      <w:r w:rsidRPr="0082672A">
        <w:rPr>
          <w:color w:val="000000" w:themeColor="text1"/>
          <w:szCs w:val="24"/>
        </w:rPr>
        <w:t xml:space="preserve"> dalībvalstīm (saņemti </w:t>
      </w:r>
      <w:r>
        <w:rPr>
          <w:color w:val="000000" w:themeColor="text1"/>
          <w:szCs w:val="24"/>
        </w:rPr>
        <w:t>6,5% no pieeja</w:t>
      </w:r>
      <w:r w:rsidRPr="0082672A">
        <w:rPr>
          <w:color w:val="000000" w:themeColor="text1"/>
          <w:szCs w:val="24"/>
        </w:rPr>
        <w:t xml:space="preserve">mā finansējuma). Detalizētu informāciju skatīt </w:t>
      </w:r>
      <w:hyperlink r:id="rId19" w:history="1">
        <w:r w:rsidRPr="0082672A">
          <w:rPr>
            <w:rStyle w:val="Hyperlink"/>
            <w:rFonts w:cs="Times New Roman"/>
            <w:color w:val="000000" w:themeColor="text1"/>
            <w:szCs w:val="24"/>
          </w:rPr>
          <w:t>ES fondu tīmekļa vietnē</w:t>
        </w:r>
      </w:hyperlink>
      <w:r w:rsidRPr="0082672A">
        <w:rPr>
          <w:rStyle w:val="FootnoteReference"/>
          <w:color w:val="000000" w:themeColor="text1"/>
          <w:szCs w:val="24"/>
        </w:rPr>
        <w:footnoteReference w:id="19"/>
      </w:r>
      <w:r w:rsidR="00AD4FF5" w:rsidRPr="00AD4FF5">
        <w:rPr>
          <w:rStyle w:val="Hyperlink"/>
          <w:rFonts w:cs="Times New Roman"/>
          <w:color w:val="000000" w:themeColor="text1"/>
          <w:szCs w:val="24"/>
          <w:u w:val="none"/>
        </w:rPr>
        <w:t xml:space="preserve"> un zemāk esošajā grafikā</w:t>
      </w:r>
      <w:r w:rsidRPr="0082672A">
        <w:rPr>
          <w:color w:val="000000" w:themeColor="text1"/>
          <w:szCs w:val="24"/>
        </w:rPr>
        <w:t>.</w:t>
      </w:r>
    </w:p>
    <w:p w14:paraId="631661C5" w14:textId="77777777" w:rsidR="00DB0769" w:rsidRDefault="00DB0769">
      <w:pPr>
        <w:rPr>
          <w:color w:val="000000" w:themeColor="text1"/>
          <w:szCs w:val="24"/>
        </w:rPr>
      </w:pPr>
      <w:r>
        <w:rPr>
          <w:color w:val="000000" w:themeColor="text1"/>
          <w:szCs w:val="24"/>
        </w:rPr>
        <w:br w:type="page"/>
      </w:r>
    </w:p>
    <w:p w14:paraId="4EA24EBF" w14:textId="77777777" w:rsidR="00D12C22" w:rsidRDefault="00D12C22" w:rsidP="00DC4E3D">
      <w:pPr>
        <w:spacing w:before="120" w:after="120" w:line="276" w:lineRule="auto"/>
        <w:jc w:val="both"/>
        <w:rPr>
          <w:color w:val="000000" w:themeColor="text1"/>
          <w:szCs w:val="24"/>
        </w:rPr>
      </w:pPr>
    </w:p>
    <w:p w14:paraId="0E16040B" w14:textId="432611C6" w:rsidR="00DB0769" w:rsidRPr="00DB0769" w:rsidRDefault="00DB0769" w:rsidP="00DB0769">
      <w:pPr>
        <w:spacing w:before="120" w:after="120" w:line="276" w:lineRule="auto"/>
        <w:rPr>
          <w:rFonts w:eastAsia="Times New Roman" w:cs="Times New Roman"/>
          <w:b/>
          <w:i/>
          <w:color w:val="000000"/>
          <w:sz w:val="22"/>
          <w:szCs w:val="24"/>
        </w:rPr>
      </w:pPr>
      <w:r w:rsidRPr="00DB0769">
        <w:rPr>
          <w:rFonts w:eastAsia="Times New Roman" w:cs="Times New Roman"/>
          <w:b/>
          <w:i/>
          <w:color w:val="000000"/>
          <w:sz w:val="22"/>
          <w:szCs w:val="24"/>
        </w:rPr>
        <w:t>Grafiks Nr.4</w:t>
      </w:r>
      <w:r w:rsidRPr="00DB0769">
        <w:rPr>
          <w:rFonts w:eastAsia="Times New Roman" w:cs="Times New Roman"/>
          <w:i/>
          <w:color w:val="000000"/>
          <w:sz w:val="22"/>
          <w:szCs w:val="24"/>
        </w:rPr>
        <w:t xml:space="preserve"> “</w:t>
      </w:r>
      <w:r w:rsidRPr="00DB0769">
        <w:rPr>
          <w:rFonts w:eastAsia="Times New Roman" w:cs="Times New Roman"/>
          <w:bCs/>
          <w:i/>
          <w:color w:val="000000"/>
          <w:sz w:val="22"/>
          <w:szCs w:val="24"/>
        </w:rPr>
        <w:t>ES fondu kopējie EK veiktie sākotnējie, ikgadējie avansi un starpposma maksājumi dalībvalstīm, % no pieejamā ES fondu fina</w:t>
      </w:r>
      <w:r w:rsidR="002E604E">
        <w:rPr>
          <w:rFonts w:eastAsia="Times New Roman" w:cs="Times New Roman"/>
          <w:bCs/>
          <w:i/>
          <w:color w:val="000000"/>
          <w:sz w:val="22"/>
          <w:szCs w:val="24"/>
        </w:rPr>
        <w:t>ns</w:t>
      </w:r>
      <w:r w:rsidRPr="00DB0769">
        <w:rPr>
          <w:rFonts w:eastAsia="Times New Roman" w:cs="Times New Roman"/>
          <w:bCs/>
          <w:i/>
          <w:color w:val="000000"/>
          <w:sz w:val="22"/>
          <w:szCs w:val="24"/>
        </w:rPr>
        <w:t>ējuma, dati uz 2016.gada 5.augustu”</w:t>
      </w:r>
    </w:p>
    <w:p w14:paraId="7D1FF696" w14:textId="0364D719" w:rsidR="00DB0769" w:rsidRDefault="00D12C22" w:rsidP="00DB0769">
      <w:pPr>
        <w:spacing w:before="120" w:after="120" w:line="276" w:lineRule="auto"/>
        <w:jc w:val="center"/>
        <w:rPr>
          <w:color w:val="000000" w:themeColor="text1"/>
          <w:szCs w:val="24"/>
        </w:rPr>
      </w:pPr>
      <w:r>
        <w:rPr>
          <w:noProof/>
          <w:color w:val="000000" w:themeColor="text1"/>
          <w:szCs w:val="24"/>
          <w:lang w:eastAsia="lv-LV"/>
        </w:rPr>
        <w:drawing>
          <wp:inline distT="0" distB="0" distL="0" distR="0" wp14:anchorId="3D4B024D" wp14:editId="5C0A474E">
            <wp:extent cx="4584700" cy="572452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5724525"/>
                    </a:xfrm>
                    <a:prstGeom prst="rect">
                      <a:avLst/>
                    </a:prstGeom>
                    <a:noFill/>
                  </pic:spPr>
                </pic:pic>
              </a:graphicData>
            </a:graphic>
          </wp:inline>
        </w:drawing>
      </w:r>
    </w:p>
    <w:p w14:paraId="7FE616A4" w14:textId="181395A5" w:rsidR="00860667" w:rsidRPr="00DB0769" w:rsidRDefault="008347F9" w:rsidP="00860667">
      <w:pPr>
        <w:spacing w:before="120" w:after="120" w:line="276" w:lineRule="auto"/>
        <w:jc w:val="both"/>
        <w:rPr>
          <w:color w:val="000000" w:themeColor="text1"/>
          <w:szCs w:val="24"/>
        </w:rPr>
      </w:pPr>
      <w:r>
        <w:rPr>
          <w:color w:val="000000" w:themeColor="text1"/>
          <w:szCs w:val="24"/>
        </w:rPr>
        <w:t>Neskatoties uz atsevišķiem SAM kavējumiem un nobīdēm laika grafikā saistībā ar normatīvās bāzes izstrādi, k</w:t>
      </w:r>
      <w:r w:rsidR="00860667">
        <w:rPr>
          <w:color w:val="000000" w:themeColor="text1"/>
          <w:szCs w:val="24"/>
        </w:rPr>
        <w:t xml:space="preserve">ā redzams grafikā Nr.4, tad </w:t>
      </w:r>
      <w:r w:rsidR="00B50560">
        <w:rPr>
          <w:color w:val="000000" w:themeColor="text1"/>
          <w:szCs w:val="24"/>
        </w:rPr>
        <w:t xml:space="preserve">Latvija ir viena no </w:t>
      </w:r>
      <w:r w:rsidR="003503E7">
        <w:rPr>
          <w:color w:val="000000" w:themeColor="text1"/>
          <w:szCs w:val="24"/>
        </w:rPr>
        <w:t>pirmajām</w:t>
      </w:r>
      <w:r>
        <w:rPr>
          <w:color w:val="000000" w:themeColor="text1"/>
          <w:szCs w:val="24"/>
        </w:rPr>
        <w:t xml:space="preserve"> valstīm, </w:t>
      </w:r>
      <w:r w:rsidR="00570A38">
        <w:rPr>
          <w:color w:val="000000" w:themeColor="text1"/>
          <w:szCs w:val="24"/>
        </w:rPr>
        <w:t>kas saņēmusi ne tikai avansa</w:t>
      </w:r>
      <w:r w:rsidR="00611755">
        <w:rPr>
          <w:color w:val="000000" w:themeColor="text1"/>
          <w:szCs w:val="24"/>
        </w:rPr>
        <w:t>, bet arī starpposma maksājumus.</w:t>
      </w:r>
      <w:r>
        <w:rPr>
          <w:color w:val="000000" w:themeColor="text1"/>
          <w:szCs w:val="24"/>
        </w:rPr>
        <w:t xml:space="preserve"> </w:t>
      </w:r>
    </w:p>
    <w:p w14:paraId="3D8E5163" w14:textId="4C984667" w:rsidR="000B6EF0" w:rsidRPr="001B6FDA" w:rsidRDefault="000B6EF0" w:rsidP="00DB0769">
      <w:pPr>
        <w:pStyle w:val="2lmenis"/>
      </w:pPr>
      <w:bookmarkStart w:id="11" w:name="_Toc459713619"/>
      <w:r>
        <w:t>2014.-2020.gada plānošanas perioda SI aktualitātes</w:t>
      </w:r>
      <w:bookmarkEnd w:id="11"/>
    </w:p>
    <w:p w14:paraId="59D4F6F1" w14:textId="459B702D" w:rsidR="000B6EF0" w:rsidRPr="002A704F" w:rsidRDefault="000B6EF0" w:rsidP="00DC4E3D">
      <w:pPr>
        <w:spacing w:before="120" w:after="120" w:line="276" w:lineRule="auto"/>
        <w:jc w:val="both"/>
        <w:rPr>
          <w:rFonts w:eastAsia="Times New Roman" w:cs="Times New Roman"/>
          <w:color w:val="000000"/>
          <w:szCs w:val="24"/>
        </w:rPr>
      </w:pPr>
      <w:r w:rsidRPr="00082FF2">
        <w:rPr>
          <w:rFonts w:cs="Times New Roman"/>
        </w:rPr>
        <w:t xml:space="preserve">2016.gada 1.pusgadā </w:t>
      </w:r>
      <w:r>
        <w:rPr>
          <w:rFonts w:cs="Times New Roman"/>
        </w:rPr>
        <w:t xml:space="preserve">CFLA, turpinot 2015.gadā uzsāktās pakāpeniskās izmaiņas institucionālajā struktūrā, atbilstoši 2015.gadā veiktajiem </w:t>
      </w:r>
      <w:proofErr w:type="spellStart"/>
      <w:r>
        <w:rPr>
          <w:rFonts w:cs="Times New Roman"/>
        </w:rPr>
        <w:t>izvērtējumiem</w:t>
      </w:r>
      <w:proofErr w:type="spellEnd"/>
      <w:r>
        <w:rPr>
          <w:rFonts w:cs="Times New Roman"/>
        </w:rPr>
        <w:t xml:space="preserve">, aprēķiniem un ES fondu 2014 – 2020.gada plānošanas perioda ieviešanas intensitāti, </w:t>
      </w:r>
      <w:r w:rsidRPr="00082FF2">
        <w:rPr>
          <w:rFonts w:cs="Times New Roman"/>
        </w:rPr>
        <w:t>veica</w:t>
      </w:r>
      <w:r>
        <w:rPr>
          <w:rFonts w:cs="Times New Roman"/>
        </w:rPr>
        <w:t xml:space="preserve"> būtiskas  izmaiņas</w:t>
      </w:r>
      <w:r w:rsidRPr="00082FF2">
        <w:rPr>
          <w:rFonts w:cs="Times New Roman"/>
        </w:rPr>
        <w:t xml:space="preserve"> struktūrā</w:t>
      </w:r>
      <w:r>
        <w:rPr>
          <w:rFonts w:cs="Times New Roman"/>
        </w:rPr>
        <w:t>, kas attiecas uz struktūrvienībām, kas nodrošina projektu ieviešanas uzraudzības funkcijas. A</w:t>
      </w:r>
      <w:r w:rsidRPr="00082FF2">
        <w:rPr>
          <w:rFonts w:cs="Times New Roman"/>
        </w:rPr>
        <w:t xml:space="preserve">r </w:t>
      </w:r>
      <w:r>
        <w:rPr>
          <w:rFonts w:cs="Times New Roman"/>
        </w:rPr>
        <w:t>2016.gada 4.janvāri</w:t>
      </w:r>
      <w:r w:rsidRPr="00082FF2">
        <w:rPr>
          <w:rFonts w:cs="Times New Roman"/>
        </w:rPr>
        <w:t xml:space="preserve"> </w:t>
      </w:r>
      <w:r>
        <w:rPr>
          <w:rFonts w:cs="Times New Roman"/>
        </w:rPr>
        <w:t>ir reorganizēti trīs esošie operacionālie departamenti</w:t>
      </w:r>
      <w:r w:rsidRPr="00082FF2">
        <w:rPr>
          <w:rFonts w:cs="Times New Roman"/>
        </w:rPr>
        <w:t>, izveidojot piecus operacionālos departamentus</w:t>
      </w:r>
      <w:r>
        <w:rPr>
          <w:rFonts w:cs="Times New Roman"/>
        </w:rPr>
        <w:t xml:space="preserve">, ņemot vērā plānoto projektu nozaru un </w:t>
      </w:r>
      <w:r>
        <w:rPr>
          <w:rFonts w:cs="Times New Roman"/>
        </w:rPr>
        <w:lastRenderedPageBreak/>
        <w:t xml:space="preserve">ieviešanas specifiku. </w:t>
      </w:r>
      <w:r w:rsidRPr="00082FF2">
        <w:rPr>
          <w:rFonts w:cs="Times New Roman"/>
        </w:rPr>
        <w:t xml:space="preserve"> 2016.gada </w:t>
      </w:r>
      <w:r>
        <w:rPr>
          <w:rFonts w:cs="Times New Roman"/>
        </w:rPr>
        <w:t>septembrī tiks atvērta reģionālā nodaļā Jelgavā, kas</w:t>
      </w:r>
      <w:r w:rsidRPr="00082FF2">
        <w:rPr>
          <w:rFonts w:cs="Times New Roman"/>
        </w:rPr>
        <w:t xml:space="preserve"> nepieciešama, lai dažādotu iespējas saņemt informāciju par pieejamo ES fondu līdzfinansējumu projektu īstenošanai un sniegtu atbalstu  projektu īstenošanas procesā Zemgales reģionā.</w:t>
      </w:r>
    </w:p>
    <w:p w14:paraId="5A1264E6" w14:textId="77777777" w:rsidR="000B6EF0" w:rsidRDefault="000B6EF0" w:rsidP="00DC4E3D">
      <w:pPr>
        <w:spacing w:before="120" w:after="120" w:line="276" w:lineRule="auto"/>
        <w:jc w:val="both"/>
        <w:rPr>
          <w:rFonts w:cs="Times New Roman"/>
        </w:rPr>
      </w:pPr>
      <w:r>
        <w:rPr>
          <w:rFonts w:cs="Times New Roman"/>
        </w:rPr>
        <w:t xml:space="preserve">Pārskata periodā CFLA, veicinot sadarbību ar vietējām pašvaldībām, plānošanas reģioniem un citiem interesentiem, ir organizējusi tikšanās reģionālajās nodaļās, kurās sniegta informācija par CFLA kā SI funkcijām, struktūru, kā arī pakalpojumiem, ko var saņemt CFLA reģionālajās nodaļās. </w:t>
      </w:r>
      <w:r w:rsidRPr="00C14543">
        <w:rPr>
          <w:rFonts w:cs="Times New Roman"/>
        </w:rPr>
        <w:t>Tāpat pašvaldību vadītājiem tika sniegta informācija par aktualitātēm ES fondu finansējuma piesaistei un projektu vadībai, piemēram, par ērto ES fondu e-vides izmantošanu projektu vadībai, kā arī pašvaldībām un uzņēmējiem saistošajām aktuālajām projektu iesniegumu atlasēm.</w:t>
      </w:r>
    </w:p>
    <w:p w14:paraId="0EB5B43C" w14:textId="77777777" w:rsidR="000B6EF0" w:rsidRPr="001B6FDA" w:rsidRDefault="000B6EF0" w:rsidP="00DC4E3D">
      <w:pPr>
        <w:tabs>
          <w:tab w:val="left" w:pos="284"/>
        </w:tabs>
        <w:spacing w:before="120" w:after="120" w:line="276" w:lineRule="auto"/>
        <w:jc w:val="both"/>
        <w:rPr>
          <w:rFonts w:cs="Times New Roman"/>
        </w:rPr>
      </w:pPr>
      <w:r>
        <w:rPr>
          <w:rFonts w:cs="Times New Roman"/>
        </w:rPr>
        <w:t>Pārskatā periodā</w:t>
      </w:r>
      <w:r w:rsidRPr="001B6FDA">
        <w:rPr>
          <w:rFonts w:cs="Times New Roman"/>
        </w:rPr>
        <w:t xml:space="preserve"> </w:t>
      </w:r>
      <w:r>
        <w:rPr>
          <w:rFonts w:cs="Times New Roman"/>
        </w:rPr>
        <w:t xml:space="preserve">CFLA </w:t>
      </w:r>
      <w:r w:rsidRPr="001B6FDA">
        <w:rPr>
          <w:rFonts w:cs="Times New Roman"/>
        </w:rPr>
        <w:t xml:space="preserve">turpināja sadarbību ar </w:t>
      </w:r>
      <w:r>
        <w:rPr>
          <w:rFonts w:cs="Times New Roman"/>
        </w:rPr>
        <w:t>VI</w:t>
      </w:r>
      <w:r w:rsidRPr="001B6FDA">
        <w:rPr>
          <w:rFonts w:cs="Times New Roman"/>
        </w:rPr>
        <w:t xml:space="preserve"> un </w:t>
      </w:r>
      <w:r>
        <w:rPr>
          <w:rFonts w:cs="Times New Roman"/>
        </w:rPr>
        <w:t>AI</w:t>
      </w:r>
      <w:r w:rsidRPr="001B6FDA">
        <w:rPr>
          <w:rFonts w:cs="Times New Roman"/>
        </w:rPr>
        <w:t xml:space="preserve"> </w:t>
      </w:r>
      <w:r>
        <w:rPr>
          <w:rFonts w:cs="Times New Roman"/>
        </w:rPr>
        <w:t xml:space="preserve">par SAM </w:t>
      </w:r>
      <w:r w:rsidRPr="001B6FDA">
        <w:rPr>
          <w:rFonts w:cs="Times New Roman"/>
        </w:rPr>
        <w:t xml:space="preserve">ieviešanu regulējošo </w:t>
      </w:r>
      <w:r>
        <w:rPr>
          <w:rFonts w:cs="Times New Roman"/>
        </w:rPr>
        <w:t>MK</w:t>
      </w:r>
      <w:r w:rsidRPr="001B6FDA">
        <w:rPr>
          <w:rFonts w:cs="Times New Roman"/>
        </w:rPr>
        <w:t xml:space="preserve"> noteikumu, projektu iesniegumu atlases kritēriju, projektu iesniegumu vērtēš</w:t>
      </w:r>
      <w:r>
        <w:rPr>
          <w:rFonts w:cs="Times New Roman"/>
        </w:rPr>
        <w:t>anas metodiku  izstrādi</w:t>
      </w:r>
      <w:r w:rsidRPr="001B6FDA">
        <w:rPr>
          <w:rFonts w:cs="Times New Roman"/>
        </w:rPr>
        <w:t xml:space="preserve">. </w:t>
      </w:r>
    </w:p>
    <w:p w14:paraId="6BD00BC1" w14:textId="14B59471" w:rsidR="000B6EF0" w:rsidRDefault="000B6EF0" w:rsidP="00DC4E3D">
      <w:pPr>
        <w:tabs>
          <w:tab w:val="left" w:pos="284"/>
        </w:tabs>
        <w:spacing w:before="120" w:after="120" w:line="276" w:lineRule="auto"/>
        <w:jc w:val="both"/>
        <w:rPr>
          <w:rFonts w:cs="Times New Roman"/>
        </w:rPr>
      </w:pPr>
      <w:r w:rsidRPr="001B6FDA">
        <w:rPr>
          <w:rFonts w:cs="Times New Roman"/>
        </w:rPr>
        <w:t>Salīdzinot ar 2015.gadu, kā jau iepriekš paredzēts, daudz intensīvāks darbs noritēj</w:t>
      </w:r>
      <w:r>
        <w:rPr>
          <w:rFonts w:cs="Times New Roman"/>
        </w:rPr>
        <w:t>a</w:t>
      </w:r>
      <w:r w:rsidRPr="001B6FDA">
        <w:rPr>
          <w:rFonts w:cs="Times New Roman"/>
        </w:rPr>
        <w:t xml:space="preserve"> </w:t>
      </w:r>
      <w:r>
        <w:rPr>
          <w:rFonts w:cs="Times New Roman"/>
        </w:rPr>
        <w:t xml:space="preserve">ne tikai </w:t>
      </w:r>
      <w:r w:rsidRPr="001B6FDA">
        <w:rPr>
          <w:rFonts w:cs="Times New Roman"/>
        </w:rPr>
        <w:t>saistībā ar projektu iesniegumu atlašu izsludināšanai nepiecieša</w:t>
      </w:r>
      <w:r>
        <w:rPr>
          <w:rFonts w:cs="Times New Roman"/>
        </w:rPr>
        <w:t xml:space="preserve">mās informācijas sagatavošanu (piemēram, </w:t>
      </w:r>
      <w:r w:rsidRPr="001B6FDA">
        <w:rPr>
          <w:rFonts w:cs="Times New Roman"/>
        </w:rPr>
        <w:t>projektu iesniegumu vērtēšanas nolikumi, projektu iesniegumu ve</w:t>
      </w:r>
      <w:r>
        <w:rPr>
          <w:rFonts w:cs="Times New Roman"/>
        </w:rPr>
        <w:t>idlapas aizpildīšanas metodikas), bet arī ar</w:t>
      </w:r>
      <w:r w:rsidRPr="001B6FDA">
        <w:rPr>
          <w:rFonts w:cs="Times New Roman"/>
        </w:rPr>
        <w:t xml:space="preserve"> konsultāciju sniegšanu un semināru rīkošanu potenciālajiem finansējuma saņēmējiem par projektu iesniegumu sagatavošanas jautājumiem</w:t>
      </w:r>
      <w:r>
        <w:rPr>
          <w:rFonts w:cs="Times New Roman"/>
        </w:rPr>
        <w:t xml:space="preserve">, projektu vērtēšanas procesu un projektu ieviešanas uzraudzību, kā arī </w:t>
      </w:r>
      <w:r w:rsidRPr="001E21D2">
        <w:rPr>
          <w:rFonts w:cs="Times New Roman"/>
        </w:rPr>
        <w:t xml:space="preserve">Kohēzijas politikas </w:t>
      </w:r>
      <w:r w:rsidR="00424BC1">
        <w:rPr>
          <w:rFonts w:cs="Times New Roman"/>
        </w:rPr>
        <w:t xml:space="preserve">fondu vadības </w:t>
      </w:r>
      <w:r w:rsidRPr="001E21D2">
        <w:rPr>
          <w:rFonts w:cs="Times New Roman"/>
        </w:rPr>
        <w:t>informāc</w:t>
      </w:r>
      <w:r>
        <w:rPr>
          <w:rFonts w:cs="Times New Roman"/>
        </w:rPr>
        <w:t xml:space="preserve">ijas sistēmas </w:t>
      </w:r>
      <w:r w:rsidR="00424BC1">
        <w:rPr>
          <w:rFonts w:cs="Times New Roman"/>
        </w:rPr>
        <w:t>2014.-2020.gadam</w:t>
      </w:r>
      <w:r w:rsidR="006E3196">
        <w:rPr>
          <w:rFonts w:cs="Times New Roman"/>
        </w:rPr>
        <w:t xml:space="preserve"> (turpmāk – KP VIS)</w:t>
      </w:r>
      <w:r w:rsidR="00424BC1">
        <w:rPr>
          <w:rFonts w:cs="Times New Roman"/>
        </w:rPr>
        <w:t xml:space="preserve"> </w:t>
      </w:r>
      <w:r>
        <w:rPr>
          <w:rFonts w:cs="Times New Roman"/>
        </w:rPr>
        <w:t xml:space="preserve">e-vides lietošanu. </w:t>
      </w:r>
      <w:r w:rsidRPr="001E21D2">
        <w:rPr>
          <w:rFonts w:cs="Times New Roman"/>
        </w:rPr>
        <w:t>Arvien vairāk semināru tiek veidoti ar iespēju vērot un uzdot jautājumus tiešsaistē un pēc semināra atkārtoti noskatīties ierakstus.</w:t>
      </w:r>
    </w:p>
    <w:p w14:paraId="275FE087" w14:textId="77777777" w:rsidR="000B6EF0" w:rsidRPr="002A704F" w:rsidRDefault="000B6EF0" w:rsidP="00DC4E3D">
      <w:pPr>
        <w:tabs>
          <w:tab w:val="left" w:pos="284"/>
        </w:tabs>
        <w:spacing w:before="120" w:after="120" w:line="276" w:lineRule="auto"/>
        <w:jc w:val="both"/>
        <w:rPr>
          <w:rFonts w:cs="Times New Roman"/>
          <w:b/>
          <w:i/>
        </w:rPr>
      </w:pPr>
      <w:r w:rsidRPr="002A704F">
        <w:rPr>
          <w:rFonts w:cs="Times New Roman"/>
          <w:b/>
          <w:i/>
        </w:rPr>
        <w:t>Progress un aktualitātes projektu iesniegumu atlases procesā un ieviešanas uzraudzībā</w:t>
      </w:r>
    </w:p>
    <w:p w14:paraId="243566CC" w14:textId="77777777" w:rsidR="000B6EF0" w:rsidRDefault="000B6EF0" w:rsidP="00DC4E3D">
      <w:pPr>
        <w:spacing w:before="120" w:after="120" w:line="276" w:lineRule="auto"/>
        <w:jc w:val="both"/>
        <w:rPr>
          <w:rFonts w:cs="Times New Roman"/>
        </w:rPr>
      </w:pPr>
      <w:r w:rsidRPr="00344447">
        <w:rPr>
          <w:rFonts w:cs="Times New Roman"/>
        </w:rPr>
        <w:t xml:space="preserve">Izvērtējot </w:t>
      </w:r>
      <w:r>
        <w:rPr>
          <w:rFonts w:cs="Times New Roman"/>
        </w:rPr>
        <w:t xml:space="preserve">2016.gada 1.pusgada rezultātus, CFLA konstatē, ka projektu iesniegumu vērtēšana un līgumu slēgšana kopumā tiek nodrošināta īsākos termiņos, nekā to paredz normatīvie akti.  </w:t>
      </w:r>
      <w:r w:rsidRPr="00D82983">
        <w:rPr>
          <w:rFonts w:cs="Times New Roman"/>
        </w:rPr>
        <w:t>Piemēram, iesniegto projektu iesniegumu vērtēšanu CFLA pabeigusi vidēji 27 darbdienu laikā (normatīvajos aktos – 66 darba dienas), bet līgumu slēgšana nodrošināta 17 darbdienu laikā (normatīvajos aktos – 30 darba dienas).</w:t>
      </w:r>
    </w:p>
    <w:p w14:paraId="2FB56C17" w14:textId="77777777" w:rsidR="000B6EF0" w:rsidRDefault="000B6EF0" w:rsidP="00DC4E3D">
      <w:pPr>
        <w:spacing w:before="120" w:after="120" w:line="276" w:lineRule="auto"/>
        <w:jc w:val="both"/>
      </w:pPr>
      <w:r w:rsidRPr="00ED4EA1">
        <w:t>Izvērtējot pārskata periodā iesniegtos</w:t>
      </w:r>
      <w:r>
        <w:t xml:space="preserve"> projekta iesniegumus</w:t>
      </w:r>
      <w:r w:rsidRPr="00ED4EA1">
        <w:t xml:space="preserve">, </w:t>
      </w:r>
      <w:r>
        <w:t>var secināt</w:t>
      </w:r>
      <w:r w:rsidRPr="00ED4EA1">
        <w:t xml:space="preserve">, ka tie ir sagatavoti zemā kvalitātē. </w:t>
      </w:r>
      <w:r>
        <w:t>No visiem noslēgtajiem līgumiem 87% gadījumu projektu iesniegumi bija jāprecizē, turklāt daļai no šiem projektiem precizējumi bija jāveic arī atkārtoti.</w:t>
      </w:r>
      <w:r w:rsidRPr="00ED4EA1">
        <w:t xml:space="preserve"> Biežāk pieļautās nepilnības galvenokārt saistītas ar informācijas nesaskaņotību starp dažādām projekta iesnieguma sadaļām un aritmēt</w:t>
      </w:r>
      <w:r>
        <w:t>iskām neprecizitātēm, kā arī SAM MK</w:t>
      </w:r>
      <w:r w:rsidRPr="00ED4EA1">
        <w:t xml:space="preserve"> noteikumu</w:t>
      </w:r>
      <w:r>
        <w:t xml:space="preserve"> nosacījumu</w:t>
      </w:r>
      <w:r w:rsidRPr="00ED4EA1">
        <w:t xml:space="preserve"> neievērošanu.</w:t>
      </w:r>
      <w:r>
        <w:t xml:space="preserve"> </w:t>
      </w:r>
      <w:r w:rsidRPr="003523F1">
        <w:t>Lai palīdzētu projektu iesniedzējiem sagatavot kvalitatīvus un atbilstošus projektu iesniegumus, regulāri tiek organizēti informatīvie semināri par projekta iesnieguma sagatavošanu un iesniegšanas nosacījumiem, notiek arī individuālās konsultācijas. Pamatojoties uz līdzšinējo pieredzi, konstat</w:t>
      </w:r>
      <w:r>
        <w:t>ētajām kļūdām projektu iesniegumo</w:t>
      </w:r>
      <w:r w:rsidRPr="003523F1">
        <w:t xml:space="preserve">s, kā arī saņemtajiem jautājumiem, regulāri </w:t>
      </w:r>
      <w:r>
        <w:t>tiek uzlabota</w:t>
      </w:r>
      <w:r w:rsidRPr="003523F1">
        <w:t xml:space="preserve"> projekta iesnieguma veidlapas aizpildīšanas metodik</w:t>
      </w:r>
      <w:r>
        <w:t>a</w:t>
      </w:r>
      <w:r w:rsidRPr="003523F1">
        <w:t xml:space="preserve">. </w:t>
      </w:r>
      <w:r>
        <w:t>Visi projektu iesniedzēji</w:t>
      </w:r>
      <w:r w:rsidRPr="003523F1">
        <w:t xml:space="preserve"> </w:t>
      </w:r>
      <w:r>
        <w:t xml:space="preserve">tiek aicināti </w:t>
      </w:r>
      <w:r w:rsidRPr="003523F1">
        <w:t xml:space="preserve">projektus iesniegt KP </w:t>
      </w:r>
      <w:r w:rsidRPr="003523F1">
        <w:lastRenderedPageBreak/>
        <w:t xml:space="preserve">VIS e-vidē, kur jau ir paredzētas vairākas loģisko kļūdu kontroles, tādējādi samazinot šādu </w:t>
      </w:r>
      <w:r>
        <w:t>kļūdu</w:t>
      </w:r>
      <w:r w:rsidRPr="003523F1">
        <w:t xml:space="preserve"> apjomu un uzlabojot projekta iesniegumu kvalitāti.</w:t>
      </w:r>
    </w:p>
    <w:p w14:paraId="5E0068DF" w14:textId="77777777" w:rsidR="000B6EF0" w:rsidRPr="001B6FDA" w:rsidRDefault="000B6EF0" w:rsidP="00DC4E3D">
      <w:pPr>
        <w:spacing w:before="120" w:after="120" w:line="276" w:lineRule="auto"/>
        <w:jc w:val="both"/>
        <w:rPr>
          <w:rFonts w:eastAsia="Times New Roman"/>
        </w:rPr>
      </w:pPr>
      <w:r w:rsidRPr="001B6FDA">
        <w:rPr>
          <w:rFonts w:eastAsia="Times New Roman"/>
        </w:rPr>
        <w:t>Kopumā 2016. gada  1. pusgadā CFLA ir izsludinājusi 27 jaunas projektu</w:t>
      </w:r>
      <w:r>
        <w:rPr>
          <w:rFonts w:eastAsia="Times New Roman"/>
        </w:rPr>
        <w:t xml:space="preserve"> iesniegumu atlases, </w:t>
      </w:r>
      <w:r w:rsidRPr="001B6FDA">
        <w:rPr>
          <w:rFonts w:eastAsia="Times New Roman"/>
        </w:rPr>
        <w:t xml:space="preserve">No izsludinātajām </w:t>
      </w:r>
      <w:r>
        <w:rPr>
          <w:rFonts w:eastAsia="Times New Roman"/>
        </w:rPr>
        <w:t>atklāto projektu iesniegumu atlasēm</w:t>
      </w:r>
      <w:r w:rsidRPr="001B6FDA">
        <w:rPr>
          <w:rFonts w:eastAsia="Times New Roman"/>
        </w:rPr>
        <w:t xml:space="preserve"> kā apjomīgākā ir vērtējama 1.1.1.1. </w:t>
      </w:r>
      <w:r>
        <w:rPr>
          <w:rFonts w:eastAsia="Times New Roman"/>
        </w:rPr>
        <w:t xml:space="preserve">SAM </w:t>
      </w:r>
      <w:r w:rsidRPr="001B6FDA">
        <w:rPr>
          <w:rFonts w:eastAsia="Times New Roman"/>
        </w:rPr>
        <w:t>pasākuma “Praktiskas ievirzes pētījumi” atlase, kur</w:t>
      </w:r>
      <w:r>
        <w:rPr>
          <w:rFonts w:eastAsia="Times New Roman"/>
        </w:rPr>
        <w:t>as ietvaros</w:t>
      </w:r>
      <w:r w:rsidRPr="001B6FDA">
        <w:rPr>
          <w:rFonts w:eastAsia="Times New Roman"/>
        </w:rPr>
        <w:t xml:space="preserve"> ir saņemti 309 projektu iesniegumi</w:t>
      </w:r>
      <w:r>
        <w:rPr>
          <w:rFonts w:eastAsia="Times New Roman"/>
        </w:rPr>
        <w:t>, projektu iesniedzēju aktivitāte ir bijusi krietni lielāka, nekā sākotnēji prognozēts.</w:t>
      </w:r>
      <w:r w:rsidRPr="001B6FDA">
        <w:rPr>
          <w:rFonts w:eastAsia="Times New Roman"/>
        </w:rPr>
        <w:t xml:space="preserve"> </w:t>
      </w:r>
    </w:p>
    <w:p w14:paraId="068F633F" w14:textId="5DBF1BD5" w:rsidR="000B6EF0" w:rsidRPr="000B6EF0" w:rsidRDefault="000B6EF0" w:rsidP="00DC4E3D">
      <w:pPr>
        <w:spacing w:before="120" w:after="120" w:line="276" w:lineRule="auto"/>
        <w:jc w:val="both"/>
        <w:rPr>
          <w:rFonts w:eastAsia="Times New Roman"/>
        </w:rPr>
      </w:pPr>
      <w:r>
        <w:rPr>
          <w:rFonts w:eastAsia="Times New Roman"/>
        </w:rPr>
        <w:t xml:space="preserve">Viena no būtiskākajām 2016.gada prioritātēm CFLA ir </w:t>
      </w:r>
      <w:r w:rsidR="006E3196">
        <w:rPr>
          <w:rFonts w:eastAsia="Times New Roman"/>
        </w:rPr>
        <w:t xml:space="preserve">KP VIS </w:t>
      </w:r>
      <w:r>
        <w:rPr>
          <w:rFonts w:eastAsia="Times New Roman"/>
        </w:rPr>
        <w:t>e-vides lietošanas un e-parakstītu dokumentu aprites veicināšana. Šī pārskata perioda ietvaros strauji</w:t>
      </w:r>
      <w:r w:rsidRPr="00C14543">
        <w:rPr>
          <w:rFonts w:eastAsia="Times New Roman"/>
        </w:rPr>
        <w:t xml:space="preserve"> palielinā</w:t>
      </w:r>
      <w:r>
        <w:rPr>
          <w:rFonts w:eastAsia="Times New Roman"/>
        </w:rPr>
        <w:t>jie</w:t>
      </w:r>
      <w:r w:rsidRPr="00C14543">
        <w:rPr>
          <w:rFonts w:eastAsia="Times New Roman"/>
        </w:rPr>
        <w:t xml:space="preserve">s kopējais </w:t>
      </w:r>
      <w:r w:rsidR="006E3196">
        <w:rPr>
          <w:rFonts w:eastAsia="Times New Roman"/>
        </w:rPr>
        <w:t>KP VIS</w:t>
      </w:r>
      <w:r w:rsidRPr="00C14543">
        <w:rPr>
          <w:rFonts w:eastAsia="Times New Roman"/>
        </w:rPr>
        <w:t xml:space="preserve"> e-vides lietotāju skaits, līdz 2016.gada </w:t>
      </w:r>
      <w:r>
        <w:rPr>
          <w:rFonts w:eastAsia="Times New Roman"/>
        </w:rPr>
        <w:t>1.</w:t>
      </w:r>
      <w:r w:rsidRPr="00C14543">
        <w:rPr>
          <w:rFonts w:eastAsia="Times New Roman"/>
        </w:rPr>
        <w:t xml:space="preserve">pusgada noslēgumam e-vidē jau ir 903 lietotāji un 75% no visiem iesniegtajiem projektu iesniegumiem tiek iesniegti </w:t>
      </w:r>
      <w:r w:rsidR="006E3196">
        <w:rPr>
          <w:rFonts w:eastAsia="Times New Roman"/>
        </w:rPr>
        <w:t xml:space="preserve">minētās sistēmas </w:t>
      </w:r>
      <w:r w:rsidRPr="00C14543">
        <w:rPr>
          <w:rFonts w:eastAsia="Times New Roman"/>
        </w:rPr>
        <w:t>e-vidē.</w:t>
      </w:r>
      <w:r>
        <w:rPr>
          <w:rFonts w:eastAsia="Times New Roman"/>
        </w:rPr>
        <w:t xml:space="preserve"> Kā arī 80% no visiem noslēgtajiem līgumiem tiek parakstīti izmantojot e-parakstus.</w:t>
      </w:r>
    </w:p>
    <w:p w14:paraId="20AABE12" w14:textId="794931B1" w:rsidR="009C0862" w:rsidRPr="00AA4B40" w:rsidRDefault="009C0862" w:rsidP="00CE0CD0">
      <w:pPr>
        <w:pStyle w:val="1lmenis"/>
      </w:pPr>
      <w:bookmarkStart w:id="12" w:name="_Toc459713620"/>
      <w:r w:rsidRPr="00AA4B40">
        <w:t>Neatbilstības ES fondu un citas ārvalstu finanšu palīdzības līdzfinansētos projektos</w:t>
      </w:r>
      <w:bookmarkEnd w:id="12"/>
      <w:r w:rsidRPr="00AA4B40">
        <w:t xml:space="preserve"> </w:t>
      </w:r>
    </w:p>
    <w:p w14:paraId="3F412358" w14:textId="77777777" w:rsidR="003D0179" w:rsidRPr="00055006" w:rsidRDefault="003D0179" w:rsidP="00DC4E3D">
      <w:pPr>
        <w:spacing w:before="120" w:after="120" w:line="276" w:lineRule="auto"/>
        <w:jc w:val="both"/>
        <w:rPr>
          <w:rFonts w:eastAsia="Times New Roman" w:cs="Times New Roman"/>
          <w:szCs w:val="20"/>
        </w:rPr>
      </w:pPr>
      <w:bookmarkStart w:id="13" w:name="_Toc356465234"/>
      <w:bookmarkStart w:id="14" w:name="_Toc381282708"/>
      <w:r w:rsidRPr="00055006">
        <w:rPr>
          <w:rFonts w:eastAsia="Times New Roman" w:cs="Times New Roman"/>
          <w:szCs w:val="20"/>
        </w:rPr>
        <w:t>ES fondu gadījumā</w:t>
      </w:r>
      <w:r w:rsidRPr="00055006">
        <w:rPr>
          <w:rFonts w:eastAsia="Times New Roman" w:cs="Times New Roman"/>
          <w:szCs w:val="20"/>
          <w:vertAlign w:val="superscript"/>
        </w:rPr>
        <w:footnoteReference w:id="20"/>
      </w:r>
      <w:r w:rsidRPr="00055006">
        <w:rPr>
          <w:rFonts w:eastAsia="Times New Roman" w:cs="Times New Roman"/>
          <w:szCs w:val="20"/>
        </w:rPr>
        <w:t xml:space="preserve"> neatbilstība</w:t>
      </w:r>
      <w:r w:rsidRPr="00055006">
        <w:rPr>
          <w:rFonts w:eastAsia="Times New Roman" w:cs="Times New Roman"/>
          <w:szCs w:val="20"/>
          <w:vertAlign w:val="superscript"/>
        </w:rPr>
        <w:footnoteReference w:id="21"/>
      </w:r>
      <w:r w:rsidRPr="00055006">
        <w:rPr>
          <w:rFonts w:eastAsia="Times New Roman" w:cs="Times New Roman"/>
          <w:szCs w:val="20"/>
        </w:rPr>
        <w:t xml:space="preserve"> ir jebkurš ES tiesību aktu pārkāpums, kas noticis saimnieciskās darbības subjekta darbības vai bezdarbības dēļ un kas rada vai varētu radīt kaitējumu ES vispārējam budžetam, prasot no vispārējā budžeta segt nepamatotu izdevumu daļu, un par ko samazina projekta attiecināmās izmaksas. Par neatbilstību ar finansiālu ietekmi tiek uzskatīti gadījumi, kad finansējuma saņēmējam ir izmaksāts ES fondu finansējums un tas ir jāatgūst (tai skaitā ieturot no kārtējā vai nākamā maksājuma), piemērojot finanšu korekciju. Metodoloģiskais atbalsts par neatbilstību administrēšanu pieejams ES fondu tīmekļa vietnē</w:t>
      </w:r>
      <w:r w:rsidRPr="00055006">
        <w:rPr>
          <w:rFonts w:eastAsia="Times New Roman" w:cs="Times New Roman"/>
          <w:szCs w:val="20"/>
          <w:vertAlign w:val="superscript"/>
        </w:rPr>
        <w:footnoteReference w:id="22"/>
      </w:r>
      <w:r w:rsidRPr="00055006">
        <w:rPr>
          <w:rFonts w:eastAsia="Times New Roman" w:cs="Times New Roman"/>
          <w:szCs w:val="20"/>
        </w:rPr>
        <w:t>.</w:t>
      </w:r>
    </w:p>
    <w:p w14:paraId="40F5C23B" w14:textId="77777777" w:rsidR="003D0179" w:rsidRPr="00055006" w:rsidRDefault="003D0179" w:rsidP="00DC4E3D">
      <w:pPr>
        <w:spacing w:before="120" w:after="120" w:line="276" w:lineRule="auto"/>
        <w:jc w:val="both"/>
        <w:rPr>
          <w:rFonts w:eastAsia="Times New Roman" w:cs="Times New Roman"/>
          <w:szCs w:val="20"/>
        </w:rPr>
      </w:pPr>
      <w:r w:rsidRPr="00055006">
        <w:rPr>
          <w:rFonts w:eastAsia="Times New Roman" w:cs="Times New Roman"/>
          <w:szCs w:val="20"/>
        </w:rPr>
        <w:t>Ziņojumā analizētas neatbilstības ar finansiālu ietekmi – neatbilstība, kurā finansējuma saņēmējam ir veikta ES fondu līdzekļu atmaksa, un veiktajā maksājumā ir ietverti neattaisnoti/neattiecināmi/nepamatoti izdevumi, piemērota jebkura no atgūšanas procedūrām, t.sk. samazinot projekta attiecināmās izmaksas.</w:t>
      </w:r>
    </w:p>
    <w:p w14:paraId="1C322F02" w14:textId="73E4D77C" w:rsidR="00F26818" w:rsidRPr="003D0179" w:rsidRDefault="006D6B53" w:rsidP="00DC4E3D">
      <w:pPr>
        <w:spacing w:before="120" w:after="120" w:line="276" w:lineRule="auto"/>
        <w:jc w:val="both"/>
        <w:rPr>
          <w:rFonts w:eastAsia="Times New Roman" w:cs="Times New Roman"/>
          <w:szCs w:val="20"/>
        </w:rPr>
      </w:pPr>
      <w:hyperlink r:id="rId21" w:history="1">
        <w:r w:rsidR="003D0179" w:rsidRPr="00055006">
          <w:rPr>
            <w:rFonts w:eastAsia="Times New Roman" w:cs="Times New Roman"/>
            <w:szCs w:val="20"/>
          </w:rPr>
          <w:t>ES fondu tīmekļa vietnē</w:t>
        </w:r>
      </w:hyperlink>
      <w:r w:rsidR="003D0179" w:rsidRPr="00055006">
        <w:rPr>
          <w:rFonts w:eastAsia="Times New Roman" w:cs="Times New Roman"/>
          <w:szCs w:val="20"/>
          <w:vertAlign w:val="superscript"/>
        </w:rPr>
        <w:footnoteReference w:id="23"/>
      </w:r>
      <w:r w:rsidR="003D0179" w:rsidRPr="00055006">
        <w:rPr>
          <w:rFonts w:eastAsia="Times New Roman" w:cs="Times New Roman"/>
          <w:szCs w:val="20"/>
        </w:rPr>
        <w:t xml:space="preserve"> tabulā Nr.1 pieejama informācija par neatbilstībām un neatbilstoši veiktiem izdevumiem (turpmāk analīzē – neatbilstība) un atgūtiem neatbilstoši veiktiem izdevumiem pārskata periodā un kumulatīvi uz pārskata perioda beigām, tabulā Nr.2 – informācija par 201</w:t>
      </w:r>
      <w:r w:rsidR="003D0179">
        <w:rPr>
          <w:rFonts w:eastAsia="Times New Roman" w:cs="Times New Roman"/>
          <w:szCs w:val="20"/>
        </w:rPr>
        <w:t>6</w:t>
      </w:r>
      <w:r w:rsidR="003D0179" w:rsidRPr="00055006">
        <w:rPr>
          <w:rFonts w:eastAsia="Times New Roman" w:cs="Times New Roman"/>
          <w:szCs w:val="20"/>
        </w:rPr>
        <w:t xml:space="preserve">.gada </w:t>
      </w:r>
      <w:r w:rsidR="003D0179">
        <w:rPr>
          <w:rFonts w:eastAsia="Times New Roman" w:cs="Times New Roman"/>
          <w:szCs w:val="20"/>
        </w:rPr>
        <w:t>1</w:t>
      </w:r>
      <w:r w:rsidR="003D0179" w:rsidRPr="00055006">
        <w:rPr>
          <w:rFonts w:eastAsia="Times New Roman" w:cs="Times New Roman"/>
          <w:szCs w:val="20"/>
        </w:rPr>
        <w:t>.pusgadā</w:t>
      </w:r>
      <w:r w:rsidR="003D0179" w:rsidRPr="00055006">
        <w:rPr>
          <w:rFonts w:eastAsia="Times New Roman" w:cs="Times New Roman"/>
          <w:color w:val="FF0000"/>
          <w:szCs w:val="20"/>
        </w:rPr>
        <w:t xml:space="preserve"> </w:t>
      </w:r>
      <w:r w:rsidR="003D0179" w:rsidRPr="00055006">
        <w:rPr>
          <w:rFonts w:eastAsia="Times New Roman" w:cs="Times New Roman"/>
          <w:szCs w:val="20"/>
        </w:rPr>
        <w:t xml:space="preserve">konstatētajām neatbilstībām tiešo vai pastarpināto valsts pārvaldes iestāžu, atvasināto publisko personu vai citu valsts iestāžu īstenotajos projektos un tabulā Nr.3 informācija par aktivitātēm, kurās konstatēto neatbilstību apjoms pret aktivitātēs pieprasīto finansējumu pārsniedz 2% līmeni, norādot riskantākās aktivitātes, jomas, kurām tiek </w:t>
      </w:r>
      <w:r w:rsidR="003D0179" w:rsidRPr="00C43C2D">
        <w:rPr>
          <w:rFonts w:eastAsia="Times New Roman" w:cs="Times New Roman"/>
          <w:szCs w:val="20"/>
        </w:rPr>
        <w:t>veikta pastiprināta uzraudzība no VI un AI, SI puses.</w:t>
      </w:r>
    </w:p>
    <w:p w14:paraId="72DA18FC" w14:textId="2FC523E3" w:rsidR="009C0862" w:rsidRPr="00AA4B40" w:rsidRDefault="009C0862" w:rsidP="00DB0769">
      <w:pPr>
        <w:pStyle w:val="2lmenis"/>
        <w:rPr>
          <w:rFonts w:eastAsia="Times New Roman"/>
        </w:rPr>
      </w:pPr>
      <w:bookmarkStart w:id="15" w:name="_Toc459713621"/>
      <w:r w:rsidRPr="00AA4B40">
        <w:rPr>
          <w:rFonts w:eastAsia="Times New Roman"/>
        </w:rPr>
        <w:lastRenderedPageBreak/>
        <w:t>Neatbilstības ar finansiālu ietekmi ES fondu 2007.-2013.gada plānošanas periodā ES fondos līdz 201</w:t>
      </w:r>
      <w:r w:rsidR="007B533B" w:rsidRPr="00AA4B40">
        <w:rPr>
          <w:rFonts w:eastAsia="Times New Roman"/>
        </w:rPr>
        <w:t>6</w:t>
      </w:r>
      <w:r w:rsidRPr="00AA4B40">
        <w:rPr>
          <w:rFonts w:eastAsia="Times New Roman"/>
        </w:rPr>
        <w:t>.gada 3</w:t>
      </w:r>
      <w:bookmarkEnd w:id="13"/>
      <w:bookmarkEnd w:id="14"/>
      <w:r w:rsidR="007B533B" w:rsidRPr="00AA4B40">
        <w:rPr>
          <w:rFonts w:eastAsia="Times New Roman"/>
        </w:rPr>
        <w:t>0</w:t>
      </w:r>
      <w:r w:rsidRPr="00AA4B40">
        <w:rPr>
          <w:rFonts w:eastAsia="Times New Roman"/>
        </w:rPr>
        <w:t>.</w:t>
      </w:r>
      <w:r w:rsidR="007B533B" w:rsidRPr="00AA4B40">
        <w:rPr>
          <w:rFonts w:eastAsia="Times New Roman"/>
        </w:rPr>
        <w:t>jūnijam</w:t>
      </w:r>
      <w:bookmarkEnd w:id="15"/>
    </w:p>
    <w:p w14:paraId="6EBBF1AD" w14:textId="7F92B2E3" w:rsidR="00326AFA" w:rsidRPr="00C43C2D" w:rsidRDefault="0072646D" w:rsidP="00DC4E3D">
      <w:pPr>
        <w:spacing w:before="120" w:after="120" w:line="276" w:lineRule="auto"/>
        <w:jc w:val="both"/>
        <w:rPr>
          <w:rFonts w:eastAsia="EUAlbertina-Bold-Identity-H" w:cs="Times New Roman"/>
          <w:szCs w:val="20"/>
        </w:rPr>
      </w:pPr>
      <w:r w:rsidRPr="00C43C2D">
        <w:rPr>
          <w:rFonts w:eastAsia="EUAlbertina-Bold-Identity-H" w:cs="Times New Roman"/>
          <w:szCs w:val="20"/>
        </w:rPr>
        <w:t xml:space="preserve">Kopējais neatbilstību apjoms 2016.gada 1.pusgadā ir </w:t>
      </w:r>
      <w:r>
        <w:rPr>
          <w:rFonts w:eastAsia="EUAlbertina-Bold-Identity-H" w:cs="Times New Roman"/>
          <w:szCs w:val="20"/>
        </w:rPr>
        <w:t xml:space="preserve">44,1 </w:t>
      </w:r>
      <w:r w:rsidRPr="00C43C2D">
        <w:rPr>
          <w:rFonts w:eastAsia="EUAlbertina-Bold-Identity-H" w:cs="Times New Roman"/>
          <w:szCs w:val="20"/>
        </w:rPr>
        <w:t xml:space="preserve">milj. </w:t>
      </w:r>
      <w:r w:rsidRPr="00C43C2D">
        <w:rPr>
          <w:rFonts w:eastAsia="EUAlbertina-Bold-Identity-H" w:cs="Times New Roman"/>
          <w:i/>
          <w:szCs w:val="20"/>
        </w:rPr>
        <w:t xml:space="preserve">euro. </w:t>
      </w:r>
      <w:r>
        <w:rPr>
          <w:rFonts w:eastAsia="EUAlbertina-Bold-Identity-H" w:cs="Times New Roman"/>
          <w:szCs w:val="20"/>
        </w:rPr>
        <w:t xml:space="preserve"> </w:t>
      </w:r>
      <w:r w:rsidR="00265F73">
        <w:rPr>
          <w:rFonts w:eastAsia="EUAlbertina-Bold-Identity-H" w:cs="Times New Roman"/>
          <w:szCs w:val="20"/>
        </w:rPr>
        <w:t>Neatbilstību apjoma palielinājums</w:t>
      </w:r>
      <w:r w:rsidR="00EB2581">
        <w:rPr>
          <w:rFonts w:eastAsia="EUAlbertina-Bold-Identity-H" w:cs="Times New Roman"/>
          <w:szCs w:val="20"/>
        </w:rPr>
        <w:t xml:space="preserve"> </w:t>
      </w:r>
      <w:r w:rsidR="00326AFA">
        <w:rPr>
          <w:rFonts w:eastAsia="EUAlbertina-Bold-Identity-H" w:cs="Times New Roman"/>
          <w:szCs w:val="20"/>
        </w:rPr>
        <w:t>skaidrojams ar 2007.-2013.gada perioda slēgšanu un neatbilstību lēmumu pieņemšanu projektos, kuros pēdējie maksājumu pieprasījumi tika iesniegti pēc 2015.gada 31.decembra</w:t>
      </w:r>
      <w:r w:rsidR="00326AFA" w:rsidRPr="006118E7">
        <w:rPr>
          <w:rFonts w:eastAsia="EUAlbertina-Bold-Identity-H" w:cs="Times New Roman"/>
          <w:szCs w:val="20"/>
        </w:rPr>
        <w:t>.</w:t>
      </w:r>
      <w:r w:rsidR="00326AFA" w:rsidRPr="00C43C2D">
        <w:rPr>
          <w:rFonts w:eastAsia="EUAlbertina-Bold-Identity-H" w:cs="Times New Roman"/>
          <w:szCs w:val="20"/>
        </w:rPr>
        <w:t xml:space="preserve"> </w:t>
      </w:r>
    </w:p>
    <w:p w14:paraId="3E2675C4" w14:textId="5F769BD7" w:rsidR="00326AFA" w:rsidRPr="00650D48" w:rsidRDefault="00326AFA" w:rsidP="00DC4E3D">
      <w:pPr>
        <w:spacing w:before="120" w:after="120" w:line="276" w:lineRule="auto"/>
        <w:jc w:val="both"/>
        <w:rPr>
          <w:rFonts w:eastAsia="EUAlbertina-Bold-Identity-H" w:cs="Times New Roman"/>
          <w:i/>
          <w:sz w:val="22"/>
          <w:szCs w:val="20"/>
          <w:highlight w:val="yellow"/>
        </w:rPr>
      </w:pPr>
      <w:r w:rsidRPr="00650D48">
        <w:rPr>
          <w:rFonts w:eastAsia="EUAlbertina-Bold-Identity-H" w:cs="Times New Roman"/>
          <w:b/>
          <w:i/>
          <w:sz w:val="22"/>
          <w:szCs w:val="20"/>
        </w:rPr>
        <w:t>Grafiks Nr.</w:t>
      </w:r>
      <w:r w:rsidR="003355F9">
        <w:rPr>
          <w:rFonts w:eastAsia="EUAlbertina-Bold-Identity-H" w:cs="Times New Roman"/>
          <w:b/>
          <w:i/>
          <w:sz w:val="22"/>
          <w:szCs w:val="20"/>
        </w:rPr>
        <w:t>5</w:t>
      </w:r>
      <w:r w:rsidRPr="00650D48">
        <w:rPr>
          <w:rFonts w:eastAsia="EUAlbertina-Bold-Identity-H" w:cs="Times New Roman"/>
          <w:i/>
          <w:sz w:val="22"/>
          <w:szCs w:val="20"/>
        </w:rPr>
        <w:t xml:space="preserve"> „Konstatētās neatbilstības sadalījumā pa finansējuma saņēmēju veidiem kumulatīvi uz 2016.gada 30.jūniju un uz 2015.gada 31.decembri; milj. euro (% pieaugums pret iepriekšējo pārskata periodu – 2015.gada 31.decembri un 2015.gada 30.jūniju; % no kopējiem finansējuma saņēmēju pieprasītajiem maksājumiem uz 2016.gada 30.jūniju un 2015.gada 31.decembri)” </w:t>
      </w:r>
    </w:p>
    <w:p w14:paraId="6480C069" w14:textId="77777777" w:rsidR="00326AFA" w:rsidRPr="003F7DB6" w:rsidRDefault="00326AFA" w:rsidP="00DC4E3D">
      <w:pPr>
        <w:spacing w:before="120" w:after="120" w:line="276" w:lineRule="auto"/>
        <w:jc w:val="both"/>
        <w:rPr>
          <w:rFonts w:eastAsia="EUAlbertina-Bold-Identity-H" w:cs="Times New Roman"/>
          <w:szCs w:val="20"/>
        </w:rPr>
      </w:pPr>
      <w:r>
        <w:rPr>
          <w:rFonts w:eastAsia="EUAlbertina-Bold-Identity-H" w:cs="Times New Roman"/>
          <w:noProof/>
          <w:szCs w:val="20"/>
          <w:lang w:eastAsia="lv-LV"/>
        </w:rPr>
        <w:drawing>
          <wp:inline distT="0" distB="0" distL="0" distR="0" wp14:anchorId="051352AC" wp14:editId="515736FF">
            <wp:extent cx="5285171" cy="33120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5171" cy="3312000"/>
                    </a:xfrm>
                    <a:prstGeom prst="rect">
                      <a:avLst/>
                    </a:prstGeom>
                    <a:noFill/>
                  </pic:spPr>
                </pic:pic>
              </a:graphicData>
            </a:graphic>
          </wp:inline>
        </w:drawing>
      </w:r>
    </w:p>
    <w:p w14:paraId="6AD6E737" w14:textId="546B83A3" w:rsidR="00326AFA" w:rsidRPr="00BF4451" w:rsidRDefault="000F2756" w:rsidP="00DC4E3D">
      <w:pPr>
        <w:spacing w:before="120" w:after="120" w:line="276" w:lineRule="auto"/>
        <w:jc w:val="both"/>
        <w:rPr>
          <w:rFonts w:eastAsia="EUAlbertina-Bold-Identity-H" w:cs="Times New Roman"/>
          <w:szCs w:val="24"/>
        </w:rPr>
      </w:pPr>
      <w:r w:rsidRPr="00C07234">
        <w:rPr>
          <w:rFonts w:eastAsia="EUAlbertina-Bold-Identity-H"/>
        </w:rPr>
        <w:t>Līdz 201</w:t>
      </w:r>
      <w:r>
        <w:rPr>
          <w:rFonts w:eastAsia="EUAlbertina-Bold-Identity-H"/>
        </w:rPr>
        <w:t>6</w:t>
      </w:r>
      <w:r w:rsidRPr="00C07234">
        <w:rPr>
          <w:rFonts w:eastAsia="EUAlbertina-Bold-Identity-H"/>
        </w:rPr>
        <w:t xml:space="preserve">.gada </w:t>
      </w:r>
      <w:r>
        <w:rPr>
          <w:rFonts w:eastAsia="EUAlbertina-Bold-Identity-H"/>
        </w:rPr>
        <w:t>30.jūnijam</w:t>
      </w:r>
      <w:r w:rsidRPr="00C07234">
        <w:rPr>
          <w:rFonts w:eastAsia="EUAlbertina-Bold-Identity-H"/>
        </w:rPr>
        <w:t xml:space="preserve"> neatbilstību apjoms </w:t>
      </w:r>
      <w:r w:rsidR="00265F73">
        <w:rPr>
          <w:rFonts w:eastAsia="EUAlbertina-Bold-Identity-H"/>
        </w:rPr>
        <w:t>ir</w:t>
      </w:r>
      <w:r w:rsidRPr="00C07234">
        <w:rPr>
          <w:rFonts w:eastAsia="EUAlbertina-Bold-Identity-H"/>
        </w:rPr>
        <w:t xml:space="preserve"> </w:t>
      </w:r>
      <w:r>
        <w:rPr>
          <w:rFonts w:eastAsia="EUAlbertina-Bold-Identity-H"/>
        </w:rPr>
        <w:t>154,6</w:t>
      </w:r>
      <w:r w:rsidRPr="00C07234">
        <w:rPr>
          <w:rFonts w:eastAsia="EUAlbertina-Bold-Identity-H"/>
        </w:rPr>
        <w:t xml:space="preserve"> milj. </w:t>
      </w:r>
      <w:r w:rsidRPr="002279BA">
        <w:rPr>
          <w:rFonts w:eastAsia="EUAlbertina-Bold-Identity-H"/>
          <w:i/>
        </w:rPr>
        <w:t>euro</w:t>
      </w:r>
      <w:r w:rsidRPr="00C07234">
        <w:rPr>
          <w:rFonts w:eastAsia="EUAlbertina-Bold-Identity-H"/>
        </w:rPr>
        <w:t xml:space="preserve"> </w:t>
      </w:r>
      <w:r>
        <w:rPr>
          <w:rFonts w:eastAsia="EUAlbertina-Bold-Identity-H"/>
        </w:rPr>
        <w:t>jeb 2,9</w:t>
      </w:r>
      <w:r w:rsidRPr="00C07234">
        <w:rPr>
          <w:rFonts w:eastAsia="EUAlbertina-Bold-Identity-H"/>
        </w:rPr>
        <w:t>% no kopējā finansējumu saņēmēju pieprasītā finansējuma (</w:t>
      </w:r>
      <w:r>
        <w:rPr>
          <w:rFonts w:eastAsia="EUAlbertina-Bold-Identity-H"/>
        </w:rPr>
        <w:t>5,3</w:t>
      </w:r>
      <w:r w:rsidRPr="00C07234">
        <w:rPr>
          <w:rFonts w:eastAsia="EUAlbertina-Bold-Identity-H"/>
        </w:rPr>
        <w:t xml:space="preserve"> mljrd. </w:t>
      </w:r>
      <w:r w:rsidRPr="002279BA">
        <w:rPr>
          <w:rFonts w:eastAsia="EUAlbertina-Bold-Identity-H"/>
          <w:i/>
        </w:rPr>
        <w:t>euro</w:t>
      </w:r>
      <w:r w:rsidRPr="00C07234">
        <w:rPr>
          <w:rFonts w:eastAsia="EUAlbertina-Bold-Identity-H"/>
        </w:rPr>
        <w:t>) (</w:t>
      </w:r>
      <w:r w:rsidR="003355F9">
        <w:rPr>
          <w:rFonts w:eastAsia="EUAlbertina-Bold-Identity-H"/>
        </w:rPr>
        <w:t>skatīt grafikā Nr.5</w:t>
      </w:r>
      <w:r w:rsidRPr="000F2756">
        <w:rPr>
          <w:rFonts w:eastAsia="EUAlbertina-Bold-Identity-H"/>
        </w:rPr>
        <w:t>).</w:t>
      </w:r>
      <w:r>
        <w:rPr>
          <w:rFonts w:eastAsia="EUAlbertina-Bold-Identity-H"/>
        </w:rPr>
        <w:t xml:space="preserve"> </w:t>
      </w:r>
      <w:r w:rsidR="00326AFA" w:rsidRPr="00BF4451">
        <w:rPr>
          <w:rFonts w:eastAsia="EUAlbertina-Bold-Identity-H" w:cs="Times New Roman"/>
          <w:szCs w:val="24"/>
        </w:rPr>
        <w:t xml:space="preserve">Kopumā līdz 2016.gada 30.jūnijam atgūti </w:t>
      </w:r>
      <w:r w:rsidR="00326AFA">
        <w:rPr>
          <w:rFonts w:eastAsia="EUAlbertina-Bold-Identity-H" w:cs="Times New Roman"/>
          <w:szCs w:val="24"/>
        </w:rPr>
        <w:t xml:space="preserve">130,6 </w:t>
      </w:r>
      <w:r w:rsidR="00326AFA" w:rsidRPr="00BF4451">
        <w:rPr>
          <w:rFonts w:eastAsia="EUAlbertina-Bold-Identity-H" w:cs="Times New Roman"/>
          <w:szCs w:val="24"/>
        </w:rPr>
        <w:t xml:space="preserve">milj. </w:t>
      </w:r>
      <w:r w:rsidR="00326AFA" w:rsidRPr="00BF4451">
        <w:rPr>
          <w:rFonts w:eastAsia="EUAlbertina-Bold-Identity-H" w:cs="Times New Roman"/>
          <w:i/>
          <w:szCs w:val="24"/>
        </w:rPr>
        <w:t>euro</w:t>
      </w:r>
      <w:r w:rsidR="00326AFA" w:rsidRPr="00BF4451">
        <w:rPr>
          <w:rFonts w:eastAsia="EUAlbertina-Bold-Identity-H" w:cs="Times New Roman"/>
          <w:szCs w:val="24"/>
        </w:rPr>
        <w:t xml:space="preserve">, </w:t>
      </w:r>
      <w:r w:rsidR="00326AFA" w:rsidRPr="00596841">
        <w:rPr>
          <w:rFonts w:eastAsia="EUAlbertina-Bold-Identity-H" w:cs="Times New Roman"/>
          <w:szCs w:val="24"/>
        </w:rPr>
        <w:t>kas ir 84,5% no</w:t>
      </w:r>
      <w:r w:rsidR="00326AFA" w:rsidRPr="00BF4451">
        <w:rPr>
          <w:rFonts w:eastAsia="EUAlbertina-Bold-Identity-H" w:cs="Times New Roman"/>
          <w:szCs w:val="24"/>
        </w:rPr>
        <w:t xml:space="preserve"> neatbilstību kopējā apjoma </w:t>
      </w:r>
      <w:r w:rsidR="00326AFA" w:rsidRPr="001D03B2">
        <w:rPr>
          <w:rFonts w:eastAsia="EUAlbertina-Bold-Identity-H" w:cs="Times New Roman"/>
          <w:szCs w:val="24"/>
        </w:rPr>
        <w:t>1</w:t>
      </w:r>
      <w:r w:rsidR="00326AFA">
        <w:rPr>
          <w:rFonts w:eastAsia="EUAlbertina-Bold-Identity-H" w:cs="Times New Roman"/>
          <w:szCs w:val="24"/>
        </w:rPr>
        <w:t>5</w:t>
      </w:r>
      <w:r w:rsidR="00326AFA" w:rsidRPr="001D03B2">
        <w:rPr>
          <w:rFonts w:eastAsia="EUAlbertina-Bold-Identity-H" w:cs="Times New Roman"/>
          <w:szCs w:val="24"/>
        </w:rPr>
        <w:t>4,6 milj</w:t>
      </w:r>
      <w:r w:rsidR="00326AFA" w:rsidRPr="00BF4451">
        <w:rPr>
          <w:rFonts w:eastAsia="EUAlbertina-Bold-Identity-H" w:cs="Times New Roman"/>
          <w:szCs w:val="24"/>
        </w:rPr>
        <w:t xml:space="preserve">. </w:t>
      </w:r>
      <w:r w:rsidR="00326AFA" w:rsidRPr="00BF4451">
        <w:rPr>
          <w:rFonts w:eastAsia="EUAlbertina-Bold-Identity-H" w:cs="Times New Roman"/>
          <w:i/>
          <w:szCs w:val="24"/>
        </w:rPr>
        <w:t>euro</w:t>
      </w:r>
      <w:r w:rsidR="00326AFA" w:rsidRPr="00BF4451">
        <w:rPr>
          <w:rFonts w:eastAsia="EUAlbertina-Bold-Identity-H" w:cs="Times New Roman"/>
          <w:szCs w:val="24"/>
        </w:rPr>
        <w:t xml:space="preserve">. Savukārt pārskata periodā atgūti </w:t>
      </w:r>
      <w:r w:rsidR="00326AFA">
        <w:rPr>
          <w:rFonts w:eastAsia="EUAlbertina-Bold-Identity-H" w:cs="Times New Roman"/>
          <w:szCs w:val="24"/>
        </w:rPr>
        <w:t xml:space="preserve">30,8 </w:t>
      </w:r>
      <w:r w:rsidR="00326AFA" w:rsidRPr="00BF4451">
        <w:rPr>
          <w:rFonts w:eastAsia="EUAlbertina-Bold-Identity-H" w:cs="Times New Roman"/>
          <w:szCs w:val="24"/>
        </w:rPr>
        <w:t xml:space="preserve">milj. </w:t>
      </w:r>
      <w:r w:rsidR="00326AFA" w:rsidRPr="00BF4451">
        <w:rPr>
          <w:rFonts w:eastAsia="EUAlbertina-Bold-Identity-H" w:cs="Times New Roman"/>
          <w:i/>
          <w:szCs w:val="24"/>
        </w:rPr>
        <w:t>euro</w:t>
      </w:r>
      <w:r w:rsidR="00326AFA" w:rsidRPr="00BF4451">
        <w:rPr>
          <w:rFonts w:eastAsia="EUAlbertina-Bold-Identity-H" w:cs="Times New Roman"/>
          <w:szCs w:val="24"/>
        </w:rPr>
        <w:t xml:space="preserve"> jeb </w:t>
      </w:r>
      <w:r w:rsidR="00326AFA">
        <w:rPr>
          <w:rFonts w:eastAsia="EUAlbertina-Bold-Identity-H" w:cs="Times New Roman"/>
          <w:szCs w:val="24"/>
        </w:rPr>
        <w:t>69,8</w:t>
      </w:r>
      <w:r w:rsidR="00326AFA" w:rsidRPr="00BF4451">
        <w:rPr>
          <w:rFonts w:eastAsia="EUAlbertina-Bold-Identity-H" w:cs="Times New Roman"/>
          <w:szCs w:val="24"/>
        </w:rPr>
        <w:t>%.</w:t>
      </w:r>
    </w:p>
    <w:p w14:paraId="597094C4" w14:textId="77777777" w:rsidR="00650D48" w:rsidRDefault="00650D48" w:rsidP="00DC4E3D">
      <w:pPr>
        <w:spacing w:line="276" w:lineRule="auto"/>
        <w:rPr>
          <w:rFonts w:eastAsia="Calibri" w:cs="Times New Roman"/>
          <w:szCs w:val="24"/>
        </w:rPr>
      </w:pPr>
      <w:r>
        <w:rPr>
          <w:rFonts w:eastAsia="Calibri" w:cs="Times New Roman"/>
          <w:szCs w:val="24"/>
        </w:rPr>
        <w:br w:type="page"/>
      </w:r>
    </w:p>
    <w:p w14:paraId="39995C1B" w14:textId="64DA358A" w:rsidR="00326AFA" w:rsidRPr="00650D48" w:rsidRDefault="00326AFA" w:rsidP="00DC4E3D">
      <w:pPr>
        <w:spacing w:before="120" w:after="120" w:line="276" w:lineRule="auto"/>
        <w:rPr>
          <w:rFonts w:eastAsia="Calibri" w:cs="Times New Roman"/>
          <w:i/>
          <w:sz w:val="22"/>
          <w:szCs w:val="24"/>
          <w:highlight w:val="yellow"/>
        </w:rPr>
      </w:pPr>
      <w:r w:rsidRPr="00650D48">
        <w:rPr>
          <w:rFonts w:eastAsia="Calibri" w:cs="Times New Roman"/>
          <w:b/>
          <w:i/>
          <w:sz w:val="22"/>
          <w:szCs w:val="24"/>
        </w:rPr>
        <w:lastRenderedPageBreak/>
        <w:t>Grafiks Nr.</w:t>
      </w:r>
      <w:r w:rsidR="003355F9">
        <w:rPr>
          <w:rFonts w:eastAsia="Calibri" w:cs="Times New Roman"/>
          <w:b/>
          <w:i/>
          <w:sz w:val="22"/>
          <w:szCs w:val="24"/>
        </w:rPr>
        <w:t>6</w:t>
      </w:r>
      <w:r w:rsidRPr="00650D48">
        <w:rPr>
          <w:rFonts w:eastAsia="Calibri" w:cs="Times New Roman"/>
          <w:i/>
          <w:sz w:val="22"/>
          <w:szCs w:val="24"/>
        </w:rPr>
        <w:t xml:space="preserve"> „Konstatētās neatbilstības sadalījumā pa finansējuma saņēmēju veidiem </w:t>
      </w:r>
      <w:r w:rsidR="003230F6">
        <w:rPr>
          <w:rFonts w:eastAsia="EUAlbertina-Bold-Identity-H" w:cs="Times New Roman"/>
          <w:szCs w:val="20"/>
        </w:rPr>
        <w:t>2016.gada 1.pusgadā</w:t>
      </w:r>
      <w:r w:rsidRPr="00650D48">
        <w:rPr>
          <w:rFonts w:eastAsia="Calibri" w:cs="Times New Roman"/>
          <w:i/>
          <w:sz w:val="22"/>
          <w:szCs w:val="24"/>
        </w:rPr>
        <w:t>, milj. euro”</w:t>
      </w:r>
    </w:p>
    <w:p w14:paraId="4B6F5A57" w14:textId="77777777" w:rsidR="00326AFA" w:rsidRPr="00120427" w:rsidRDefault="00326AFA" w:rsidP="00DC4E3D">
      <w:pPr>
        <w:spacing w:line="276" w:lineRule="auto"/>
        <w:ind w:firstLine="567"/>
        <w:jc w:val="both"/>
        <w:rPr>
          <w:rFonts w:eastAsia="EUAlbertina-Bold-Identity-H" w:cs="Times New Roman"/>
          <w:szCs w:val="24"/>
          <w:highlight w:val="yellow"/>
        </w:rPr>
      </w:pPr>
      <w:r w:rsidRPr="00284736">
        <w:rPr>
          <w:rFonts w:eastAsia="EUAlbertina-Bold-Identity-H" w:cs="Times New Roman"/>
          <w:noProof/>
          <w:szCs w:val="24"/>
          <w:lang w:eastAsia="lv-LV"/>
        </w:rPr>
        <w:drawing>
          <wp:inline distT="0" distB="0" distL="0" distR="0" wp14:anchorId="19E5BC6A" wp14:editId="6D6DB4BF">
            <wp:extent cx="4895850" cy="2447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6668" cy="2448334"/>
                    </a:xfrm>
                    <a:prstGeom prst="rect">
                      <a:avLst/>
                    </a:prstGeom>
                    <a:noFill/>
                  </pic:spPr>
                </pic:pic>
              </a:graphicData>
            </a:graphic>
          </wp:inline>
        </w:drawing>
      </w:r>
    </w:p>
    <w:p w14:paraId="09E98FFA" w14:textId="77777777" w:rsidR="00326AFA" w:rsidRDefault="00326AFA" w:rsidP="00DC4E3D">
      <w:pPr>
        <w:spacing w:before="120" w:after="120" w:line="276" w:lineRule="auto"/>
        <w:jc w:val="both"/>
        <w:rPr>
          <w:rFonts w:eastAsia="EUAlbertina-Bold-Identity-H" w:cs="Times New Roman"/>
          <w:szCs w:val="20"/>
        </w:rPr>
      </w:pPr>
      <w:r w:rsidRPr="00573378">
        <w:rPr>
          <w:rFonts w:eastAsia="EUAlbertina-Bold-Identity-H" w:cs="Times New Roman"/>
          <w:szCs w:val="20"/>
        </w:rPr>
        <w:t xml:space="preserve">Analizējot neatbilstību sadalījumu pārskata periodā pa finansējuma saņēmēju veidiem, secināms, ka </w:t>
      </w:r>
      <w:r>
        <w:rPr>
          <w:rFonts w:eastAsia="EUAlbertina-Bold-Identity-H" w:cs="Times New Roman"/>
          <w:szCs w:val="20"/>
        </w:rPr>
        <w:t>pārskata periodā lielākais neatbilstību apjoms konstatēts valsts iestāžu īstenotajos projektos, savukārt otrais lielākais neatbilstību apjoms 2016.gada 1.pusgadā konstatēts komersantu projektos</w:t>
      </w:r>
      <w:r w:rsidRPr="00573378">
        <w:rPr>
          <w:rFonts w:eastAsia="EUAlbertina-Bold-Identity-H" w:cs="Times New Roman"/>
          <w:szCs w:val="20"/>
        </w:rPr>
        <w:t xml:space="preserve">. </w:t>
      </w:r>
    </w:p>
    <w:p w14:paraId="60453186" w14:textId="77777777" w:rsidR="00326AFA" w:rsidRPr="00573378" w:rsidRDefault="00326AFA" w:rsidP="00DC4E3D">
      <w:pPr>
        <w:spacing w:before="120" w:after="120" w:line="276" w:lineRule="auto"/>
        <w:jc w:val="both"/>
        <w:rPr>
          <w:rFonts w:eastAsia="EUAlbertina-Bold-Identity-H" w:cs="Times New Roman"/>
          <w:szCs w:val="20"/>
        </w:rPr>
      </w:pPr>
      <w:r>
        <w:rPr>
          <w:rFonts w:eastAsia="Times New Roman" w:cs="Times New Roman"/>
        </w:rPr>
        <w:t xml:space="preserve">Valsts iestāžu īstenotājos projektos neatbilstību apjoma kāpums saistīts ar </w:t>
      </w:r>
      <w:r>
        <w:t xml:space="preserve">EK audita </w:t>
      </w:r>
      <w:r w:rsidRPr="00C73472">
        <w:rPr>
          <w:rFonts w:eastAsia="Calibri" w:cs="Times New Roman"/>
          <w:szCs w:val="24"/>
        </w:rPr>
        <w:t xml:space="preserve">“Revīzijas iestādes veiktā darba pārbaude attiecībā uz DP </w:t>
      </w:r>
      <w:r>
        <w:rPr>
          <w:rFonts w:eastAsia="Calibri" w:cs="Times New Roman"/>
          <w:szCs w:val="24"/>
        </w:rPr>
        <w:t>“</w:t>
      </w:r>
      <w:r w:rsidRPr="00C73472">
        <w:rPr>
          <w:rFonts w:eastAsia="Calibri" w:cs="Times New Roman"/>
          <w:szCs w:val="24"/>
        </w:rPr>
        <w:t>Uzņēmējdarbība un inovācijas</w:t>
      </w:r>
      <w:r>
        <w:rPr>
          <w:rFonts w:eastAsia="Calibri" w:cs="Times New Roman"/>
          <w:szCs w:val="24"/>
        </w:rPr>
        <w:t>”</w:t>
      </w:r>
      <w:r w:rsidRPr="00C73472">
        <w:rPr>
          <w:rFonts w:eastAsia="Calibri" w:cs="Times New Roman"/>
          <w:szCs w:val="24"/>
        </w:rPr>
        <w:t xml:space="preserve"> un DP </w:t>
      </w:r>
      <w:r>
        <w:rPr>
          <w:rFonts w:eastAsia="Calibri" w:cs="Times New Roman"/>
          <w:szCs w:val="24"/>
        </w:rPr>
        <w:t>“</w:t>
      </w:r>
      <w:r w:rsidRPr="00C73472">
        <w:rPr>
          <w:rFonts w:eastAsia="Calibri" w:cs="Times New Roman"/>
          <w:szCs w:val="24"/>
        </w:rPr>
        <w:t>Infrastruktūra un pakalpojumi</w:t>
      </w:r>
      <w:r>
        <w:rPr>
          <w:rFonts w:eastAsia="Calibri" w:cs="Times New Roman"/>
          <w:szCs w:val="24"/>
        </w:rPr>
        <w:t>”</w:t>
      </w:r>
      <w:r w:rsidRPr="00C73472">
        <w:rPr>
          <w:rFonts w:eastAsia="Calibri" w:cs="Times New Roman"/>
          <w:szCs w:val="24"/>
        </w:rPr>
        <w:t>”</w:t>
      </w:r>
      <w:r>
        <w:rPr>
          <w:rFonts w:eastAsia="Calibri" w:cs="Times New Roman"/>
          <w:szCs w:val="24"/>
        </w:rPr>
        <w:t xml:space="preserve"> </w:t>
      </w:r>
      <w:r w:rsidRPr="00C73472">
        <w:rPr>
          <w:rFonts w:eastAsia="Calibri" w:cs="Times New Roman"/>
          <w:szCs w:val="24"/>
        </w:rPr>
        <w:t>ietvaros</w:t>
      </w:r>
      <w:r w:rsidRPr="0075551C">
        <w:t xml:space="preserve"> </w:t>
      </w:r>
      <w:r>
        <w:t xml:space="preserve">konstatētajiem pārkāpumiem, kā rezultātā </w:t>
      </w:r>
      <w:r>
        <w:rPr>
          <w:rFonts w:eastAsia="Times New Roman" w:cs="Times New Roman"/>
        </w:rPr>
        <w:t>palielinājies neatbilstības veida “</w:t>
      </w:r>
      <w:r w:rsidRPr="008B0942">
        <w:rPr>
          <w:rFonts w:eastAsia="Times New Roman" w:cs="Times New Roman"/>
        </w:rPr>
        <w:t>Iepirkuma vai konkurences normu pārkāpums</w:t>
      </w:r>
      <w:r>
        <w:rPr>
          <w:rFonts w:eastAsia="Times New Roman" w:cs="Times New Roman"/>
        </w:rPr>
        <w:t xml:space="preserve">” apjoms no 89,2 tūkst. </w:t>
      </w:r>
      <w:r w:rsidRPr="008B0942">
        <w:rPr>
          <w:rFonts w:eastAsia="Times New Roman" w:cs="Times New Roman"/>
          <w:i/>
        </w:rPr>
        <w:t>euro</w:t>
      </w:r>
      <w:r>
        <w:rPr>
          <w:rFonts w:eastAsia="Times New Roman" w:cs="Times New Roman"/>
        </w:rPr>
        <w:t xml:space="preserve"> 2015.gada 2.pusgadā līdz 17,2 milj. </w:t>
      </w:r>
      <w:r w:rsidRPr="008B0942">
        <w:rPr>
          <w:rFonts w:eastAsia="Times New Roman" w:cs="Times New Roman"/>
          <w:i/>
        </w:rPr>
        <w:t>euro</w:t>
      </w:r>
      <w:r>
        <w:rPr>
          <w:rFonts w:eastAsia="Times New Roman" w:cs="Times New Roman"/>
        </w:rPr>
        <w:t xml:space="preserve"> 2016.gada 1.pusgadā, kā arī kopējais šādu pārkāpuma gadījumu skaits. </w:t>
      </w:r>
    </w:p>
    <w:p w14:paraId="5989DB5D" w14:textId="77777777" w:rsidR="00326AFA" w:rsidRPr="00120427" w:rsidRDefault="00326AFA" w:rsidP="00DC4E3D">
      <w:pPr>
        <w:spacing w:before="120" w:after="120" w:line="276" w:lineRule="auto"/>
        <w:jc w:val="both"/>
        <w:rPr>
          <w:rFonts w:eastAsia="EUAlbertina-Bold-Identity-H" w:cs="Times New Roman"/>
          <w:szCs w:val="20"/>
          <w:highlight w:val="yellow"/>
        </w:rPr>
      </w:pPr>
      <w:r w:rsidRPr="00573378">
        <w:rPr>
          <w:rFonts w:eastAsia="EUAlbertina-Bold-Identity-H" w:cs="Times New Roman"/>
          <w:szCs w:val="20"/>
        </w:rPr>
        <w:t xml:space="preserve">Joprojām </w:t>
      </w:r>
      <w:r>
        <w:rPr>
          <w:rFonts w:eastAsia="EUAlbertina-Bold-Identity-H" w:cs="Times New Roman"/>
          <w:szCs w:val="20"/>
        </w:rPr>
        <w:t>liels</w:t>
      </w:r>
      <w:r w:rsidRPr="00573378">
        <w:rPr>
          <w:rFonts w:eastAsia="EUAlbertina-Bold-Identity-H" w:cs="Times New Roman"/>
          <w:szCs w:val="20"/>
        </w:rPr>
        <w:t xml:space="preserve"> neatbilstību apjoms tiek konstatēts komersantu īstenotājos projektos (</w:t>
      </w:r>
      <w:r>
        <w:rPr>
          <w:rFonts w:eastAsia="EUAlbertina-Bold-Identity-H" w:cs="Times New Roman"/>
          <w:szCs w:val="20"/>
        </w:rPr>
        <w:t>38,4</w:t>
      </w:r>
      <w:r w:rsidRPr="00573378">
        <w:rPr>
          <w:rFonts w:eastAsia="EUAlbertina-Bold-Identity-H" w:cs="Times New Roman"/>
          <w:szCs w:val="20"/>
        </w:rPr>
        <w:t>%)</w:t>
      </w:r>
      <w:r>
        <w:rPr>
          <w:rFonts w:eastAsia="EUAlbertina-Bold-Identity-H" w:cs="Times New Roman"/>
          <w:szCs w:val="20"/>
        </w:rPr>
        <w:t>,</w:t>
      </w:r>
      <w:r w:rsidRPr="00573378">
        <w:rPr>
          <w:rFonts w:eastAsia="EUAlbertina-Bold-Identity-H" w:cs="Times New Roman"/>
          <w:szCs w:val="20"/>
        </w:rPr>
        <w:t xml:space="preserve"> </w:t>
      </w:r>
      <w:r>
        <w:rPr>
          <w:rFonts w:eastAsia="EUAlbertina-Bold-Identity-H" w:cs="Times New Roman"/>
          <w:szCs w:val="20"/>
        </w:rPr>
        <w:t>tomēr</w:t>
      </w:r>
      <w:r w:rsidRPr="00573378">
        <w:rPr>
          <w:rFonts w:eastAsia="EUAlbertina-Bold-Identity-H" w:cs="Times New Roman"/>
          <w:szCs w:val="20"/>
        </w:rPr>
        <w:t xml:space="preserve"> salīdzinājumā ar 2015.gada 2.pusgadu, 2016.gada 1.pusgadā komersantu neatbilstību īpatsvars kopējā neatbilstību apjomā </w:t>
      </w:r>
      <w:r>
        <w:rPr>
          <w:rFonts w:eastAsia="EUAlbertina-Bold-Identity-H" w:cs="Times New Roman"/>
          <w:szCs w:val="20"/>
        </w:rPr>
        <w:t xml:space="preserve">ir samazinājies </w:t>
      </w:r>
      <w:r w:rsidRPr="00573378">
        <w:rPr>
          <w:rFonts w:eastAsia="EUAlbertina-Bold-Identity-H" w:cs="Times New Roman"/>
          <w:szCs w:val="20"/>
        </w:rPr>
        <w:t xml:space="preserve">par </w:t>
      </w:r>
      <w:r>
        <w:rPr>
          <w:rFonts w:eastAsia="EUAlbertina-Bold-Identity-H" w:cs="Times New Roman"/>
          <w:szCs w:val="20"/>
        </w:rPr>
        <w:t xml:space="preserve">18,5%, kas skaidrojams ar valsts iestāžu neatbilstību īpatsvara būtisku palielinājumu kopējā </w:t>
      </w:r>
      <w:r w:rsidRPr="00573378">
        <w:rPr>
          <w:rFonts w:eastAsia="EUAlbertina-Bold-Identity-H" w:cs="Times New Roman"/>
          <w:szCs w:val="20"/>
        </w:rPr>
        <w:t>neatbilstību apjomā</w:t>
      </w:r>
      <w:r>
        <w:rPr>
          <w:rFonts w:eastAsia="EUAlbertina-Bold-Identity-H" w:cs="Times New Roman"/>
          <w:szCs w:val="20"/>
        </w:rPr>
        <w:t xml:space="preserve">. </w:t>
      </w:r>
    </w:p>
    <w:p w14:paraId="18B15807" w14:textId="0814977C" w:rsidR="00326AFA" w:rsidRDefault="00326AFA" w:rsidP="00DC4E3D">
      <w:pPr>
        <w:spacing w:before="120" w:after="120" w:line="276" w:lineRule="auto"/>
        <w:jc w:val="both"/>
        <w:rPr>
          <w:rFonts w:eastAsia="Times New Roman" w:cs="Times New Roman"/>
        </w:rPr>
      </w:pPr>
      <w:r w:rsidRPr="00DE5D22">
        <w:rPr>
          <w:rFonts w:eastAsia="Times New Roman" w:cs="Times New Roman"/>
        </w:rPr>
        <w:t xml:space="preserve">Analizējot </w:t>
      </w:r>
      <w:r>
        <w:rPr>
          <w:rFonts w:eastAsia="Times New Roman" w:cs="Times New Roman"/>
        </w:rPr>
        <w:t xml:space="preserve">neatbilstības komersantu īstenotajos projektos, secināms, ka 9,5 milj. </w:t>
      </w:r>
      <w:r w:rsidRPr="00DE5D22">
        <w:rPr>
          <w:rFonts w:eastAsia="Times New Roman" w:cs="Times New Roman"/>
          <w:i/>
        </w:rPr>
        <w:t>euro</w:t>
      </w:r>
      <w:r>
        <w:rPr>
          <w:rFonts w:eastAsia="Times New Roman" w:cs="Times New Roman"/>
        </w:rPr>
        <w:t xml:space="preserve"> jeb 56,0% veido 3 projektu aizdomu par krāpšanu gadījumi, kur lēmumi tika pieņemti 2016.gada 1.pusgadā, pamatojoties uz informāciju no </w:t>
      </w:r>
      <w:proofErr w:type="spellStart"/>
      <w:r>
        <w:rPr>
          <w:rFonts w:eastAsia="Times New Roman" w:cs="Times New Roman"/>
        </w:rPr>
        <w:t>tiesībsargājošajām</w:t>
      </w:r>
      <w:proofErr w:type="spellEnd"/>
      <w:r>
        <w:rPr>
          <w:rFonts w:eastAsia="Times New Roman" w:cs="Times New Roman"/>
        </w:rPr>
        <w:t xml:space="preserve"> iestādēm. Minētais finansējum</w:t>
      </w:r>
      <w:r w:rsidR="000D2C8E">
        <w:rPr>
          <w:rFonts w:eastAsia="Times New Roman" w:cs="Times New Roman"/>
        </w:rPr>
        <w:t>s</w:t>
      </w:r>
      <w:r>
        <w:rPr>
          <w:rFonts w:eastAsia="Times New Roman" w:cs="Times New Roman"/>
        </w:rPr>
        <w:t xml:space="preserve"> pagaidām nav atgūts, jo lietas atrodas izmeklēšanas procesā. Joprojām liels neatbilstību apjoms komersantu projektos saistīts ar iepirkuma pārkāpumiem, taču pozitīvi vērtējams, ka, salīdzinot ar iepriekšējo pārskata periodu, 2016.gada 1.pusgadā to īpatsvars ir samazinājies no 43,8% līdz 20,8%. Būtisks samazinājums ir vērojams arī </w:t>
      </w:r>
      <w:r w:rsidRPr="00212F84">
        <w:rPr>
          <w:rFonts w:eastAsia="Times New Roman" w:cs="Times New Roman"/>
        </w:rPr>
        <w:t>noteikto ieviešanas nosacījumu pārkāp</w:t>
      </w:r>
      <w:r>
        <w:rPr>
          <w:rFonts w:eastAsia="Times New Roman" w:cs="Times New Roman"/>
        </w:rPr>
        <w:t>umu un</w:t>
      </w:r>
      <w:r w:rsidRPr="00212F84">
        <w:rPr>
          <w:rFonts w:eastAsia="Times New Roman" w:cs="Times New Roman"/>
        </w:rPr>
        <w:t xml:space="preserve"> nespēj</w:t>
      </w:r>
      <w:r>
        <w:rPr>
          <w:rFonts w:eastAsia="Times New Roman" w:cs="Times New Roman"/>
        </w:rPr>
        <w:t>as</w:t>
      </w:r>
      <w:r w:rsidRPr="00212F84">
        <w:rPr>
          <w:rFonts w:eastAsia="Times New Roman" w:cs="Times New Roman"/>
        </w:rPr>
        <w:t xml:space="preserve"> izpildīt līguma nosacījumus pārkāpum</w:t>
      </w:r>
      <w:r>
        <w:rPr>
          <w:rFonts w:eastAsia="Times New Roman" w:cs="Times New Roman"/>
        </w:rPr>
        <w:t xml:space="preserve">u īpatsvarā. </w:t>
      </w:r>
    </w:p>
    <w:p w14:paraId="74ADF35F" w14:textId="69B9246D" w:rsidR="00326AFA" w:rsidRPr="002115BD" w:rsidRDefault="00326AFA" w:rsidP="00DC4E3D">
      <w:pPr>
        <w:spacing w:before="120" w:after="120" w:line="276" w:lineRule="auto"/>
        <w:jc w:val="both"/>
        <w:rPr>
          <w:rFonts w:eastAsia="EUAlbertina-Bold-Identity-H" w:cs="Times New Roman"/>
          <w:color w:val="000000"/>
          <w:szCs w:val="24"/>
          <w:lang w:eastAsia="lv-LV"/>
        </w:rPr>
      </w:pPr>
      <w:r w:rsidRPr="002115BD">
        <w:rPr>
          <w:rFonts w:eastAsia="EUAlbertina-Bold-Identity-H" w:cs="Times New Roman"/>
          <w:color w:val="000000"/>
          <w:szCs w:val="24"/>
          <w:lang w:eastAsia="lv-LV"/>
        </w:rPr>
        <w:t xml:space="preserve">Detalizēta informācija par 2007.–2013.gada plānošanas periodā konstatēto neatbilstību apjomu </w:t>
      </w:r>
      <w:r w:rsidRPr="004666D8">
        <w:rPr>
          <w:rFonts w:eastAsia="EUAlbertina-Bold-Identity-H" w:cs="Times New Roman"/>
          <w:color w:val="000000"/>
          <w:szCs w:val="24"/>
          <w:lang w:eastAsia="lv-LV"/>
        </w:rPr>
        <w:t>dalījumā pa finansējumu saņēmēju veidiem un neatbilstību veidiem apkopota ziņojuma grafikā Nr.</w:t>
      </w:r>
      <w:r w:rsidR="003355F9">
        <w:rPr>
          <w:rFonts w:eastAsia="EUAlbertina-Bold-Identity-H" w:cs="Times New Roman"/>
          <w:color w:val="000000"/>
          <w:szCs w:val="24"/>
          <w:lang w:eastAsia="lv-LV"/>
        </w:rPr>
        <w:t>7</w:t>
      </w:r>
      <w:r w:rsidRPr="004666D8">
        <w:rPr>
          <w:rFonts w:eastAsia="EUAlbertina-Bold-Identity-H" w:cs="Times New Roman"/>
          <w:color w:val="000000"/>
          <w:szCs w:val="24"/>
          <w:lang w:eastAsia="lv-LV"/>
        </w:rPr>
        <w:t>.</w:t>
      </w:r>
    </w:p>
    <w:p w14:paraId="505E751A" w14:textId="77777777" w:rsidR="00326AFA" w:rsidRPr="00120427" w:rsidRDefault="00326AFA" w:rsidP="00DC4E3D">
      <w:pPr>
        <w:spacing w:line="276" w:lineRule="auto"/>
        <w:rPr>
          <w:rFonts w:eastAsia="EUAlbertina-Bold-Identity-H" w:cs="Times New Roman"/>
          <w:color w:val="000000"/>
          <w:szCs w:val="24"/>
          <w:highlight w:val="yellow"/>
          <w:lang w:eastAsia="lv-LV"/>
        </w:rPr>
      </w:pPr>
      <w:r w:rsidRPr="00120427">
        <w:rPr>
          <w:rFonts w:eastAsia="EUAlbertina-Bold-Identity-H" w:cs="Times New Roman"/>
          <w:color w:val="000000"/>
          <w:szCs w:val="24"/>
          <w:highlight w:val="yellow"/>
          <w:lang w:eastAsia="lv-LV"/>
        </w:rPr>
        <w:br w:type="page"/>
      </w:r>
    </w:p>
    <w:p w14:paraId="52BF4E5F" w14:textId="4967EA5F" w:rsidR="00326AFA" w:rsidRPr="000A358E" w:rsidRDefault="00326AFA" w:rsidP="00DC4E3D">
      <w:pPr>
        <w:spacing w:before="120" w:after="120" w:line="276" w:lineRule="auto"/>
        <w:jc w:val="both"/>
        <w:rPr>
          <w:rFonts w:eastAsia="EUAlbertina-Bold-Identity-H" w:cs="Times New Roman"/>
          <w:i/>
          <w:color w:val="000000"/>
          <w:sz w:val="22"/>
          <w:szCs w:val="24"/>
          <w:lang w:eastAsia="lv-LV"/>
        </w:rPr>
      </w:pPr>
      <w:r w:rsidRPr="000A358E">
        <w:rPr>
          <w:rFonts w:eastAsia="EUAlbertina-Bold-Identity-H" w:cs="Times New Roman"/>
          <w:b/>
          <w:i/>
          <w:color w:val="000000"/>
          <w:sz w:val="22"/>
          <w:szCs w:val="24"/>
          <w:lang w:eastAsia="lv-LV"/>
        </w:rPr>
        <w:lastRenderedPageBreak/>
        <w:t>Grafiks Nr.</w:t>
      </w:r>
      <w:r w:rsidR="003355F9">
        <w:rPr>
          <w:rFonts w:eastAsia="EUAlbertina-Bold-Identity-H" w:cs="Times New Roman"/>
          <w:b/>
          <w:i/>
          <w:color w:val="000000"/>
          <w:sz w:val="22"/>
          <w:szCs w:val="24"/>
          <w:lang w:eastAsia="lv-LV"/>
        </w:rPr>
        <w:t>7</w:t>
      </w:r>
      <w:r w:rsidRPr="000A358E">
        <w:rPr>
          <w:rFonts w:eastAsia="EUAlbertina-Bold-Identity-H" w:cs="Times New Roman"/>
          <w:i/>
          <w:color w:val="000000"/>
          <w:sz w:val="22"/>
          <w:szCs w:val="24"/>
          <w:lang w:eastAsia="lv-LV"/>
        </w:rPr>
        <w:t xml:space="preserve"> „Konstatētās neatbilstības sadalījumā pa finansējuma saņēmēju veidiem un pa neatbilstību veidiem kumulatīvi uz </w:t>
      </w:r>
      <w:r w:rsidRPr="000A358E">
        <w:rPr>
          <w:rFonts w:eastAsia="EUAlbertina-Bold-Identity-H" w:cs="Times New Roman"/>
          <w:i/>
          <w:sz w:val="22"/>
          <w:szCs w:val="24"/>
          <w:lang w:eastAsia="lv-LV"/>
        </w:rPr>
        <w:t xml:space="preserve">2016.gada 30.jūniju, milj. </w:t>
      </w:r>
      <w:r w:rsidRPr="000A358E">
        <w:rPr>
          <w:rFonts w:eastAsia="EUAlbertina-Bold-Identity-H" w:cs="Times New Roman"/>
          <w:i/>
          <w:color w:val="000000"/>
          <w:sz w:val="22"/>
          <w:szCs w:val="24"/>
          <w:lang w:eastAsia="lv-LV"/>
        </w:rPr>
        <w:t>euro”</w:t>
      </w:r>
    </w:p>
    <w:p w14:paraId="102E69E2" w14:textId="77777777" w:rsidR="00326AFA" w:rsidRPr="00120427" w:rsidRDefault="00326AFA" w:rsidP="00DC4E3D">
      <w:pPr>
        <w:spacing w:before="120" w:after="120" w:line="276" w:lineRule="auto"/>
        <w:ind w:left="-284"/>
        <w:jc w:val="both"/>
        <w:rPr>
          <w:rFonts w:eastAsia="EUAlbertina-Bold-Identity-H" w:cs="Times New Roman"/>
          <w:color w:val="000000"/>
          <w:szCs w:val="24"/>
          <w:highlight w:val="yellow"/>
          <w:lang w:eastAsia="lv-LV"/>
        </w:rPr>
      </w:pPr>
      <w:r w:rsidRPr="00B20A5B">
        <w:rPr>
          <w:rFonts w:eastAsia="EUAlbertina-Bold-Identity-H" w:cs="Times New Roman"/>
          <w:noProof/>
          <w:color w:val="000000"/>
          <w:szCs w:val="24"/>
          <w:lang w:eastAsia="lv-LV"/>
        </w:rPr>
        <w:drawing>
          <wp:inline distT="0" distB="0" distL="0" distR="0" wp14:anchorId="6B298C53" wp14:editId="1DA810E7">
            <wp:extent cx="5848350" cy="394325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6783" cy="3948940"/>
                    </a:xfrm>
                    <a:prstGeom prst="rect">
                      <a:avLst/>
                    </a:prstGeom>
                    <a:noFill/>
                  </pic:spPr>
                </pic:pic>
              </a:graphicData>
            </a:graphic>
          </wp:inline>
        </w:drawing>
      </w:r>
    </w:p>
    <w:p w14:paraId="5FA0AEA2" w14:textId="77777777" w:rsidR="00326AFA" w:rsidRDefault="00326AFA" w:rsidP="00DC4E3D">
      <w:pPr>
        <w:spacing w:before="120" w:after="120" w:line="276" w:lineRule="auto"/>
        <w:jc w:val="both"/>
        <w:rPr>
          <w:rFonts w:eastAsia="EUAlbertina-Bold-Identity-H" w:cs="Times New Roman"/>
          <w:szCs w:val="24"/>
        </w:rPr>
      </w:pPr>
      <w:r w:rsidRPr="00CB4EA7">
        <w:rPr>
          <w:rFonts w:eastAsia="EUAlbertina-Bold-Identity-H" w:cs="Times New Roman"/>
          <w:szCs w:val="24"/>
        </w:rPr>
        <w:t>Pozitīvi vērtējams, ka 2016.gada 1.pusgadā salīdzinājumā ar 2015.gada 2.pusgadu samazinājies noteikto ieviešanas nosacījumu pārkāpumu un nespējas pildīt līguma/vienošanās nosacījumu pārkāpumu apjoms</w:t>
      </w:r>
      <w:r>
        <w:rPr>
          <w:rFonts w:eastAsia="EUAlbertina-Bold-Identity-H" w:cs="Times New Roman"/>
          <w:szCs w:val="24"/>
        </w:rPr>
        <w:t>.</w:t>
      </w:r>
      <w:r w:rsidRPr="00CB4EA7">
        <w:rPr>
          <w:rFonts w:eastAsia="EUAlbertina-Bold-Identity-H" w:cs="Times New Roman"/>
          <w:szCs w:val="24"/>
        </w:rPr>
        <w:t xml:space="preserve"> Ja 2015.gada 2.pusgadā tie veidoja 33,1% no kopējā neatbilstību apjoma, tad 2016.gada 1.pusgadā – tikai</w:t>
      </w:r>
      <w:r>
        <w:rPr>
          <w:rFonts w:eastAsia="EUAlbertina-Bold-Identity-H" w:cs="Times New Roman"/>
          <w:szCs w:val="24"/>
        </w:rPr>
        <w:t xml:space="preserve"> 16,9</w:t>
      </w:r>
      <w:r w:rsidRPr="00CB4EA7">
        <w:rPr>
          <w:rFonts w:eastAsia="EUAlbertina-Bold-Identity-H" w:cs="Times New Roman"/>
          <w:szCs w:val="24"/>
        </w:rPr>
        <w:t>% no kopējā neatbilstību apjoma.</w:t>
      </w:r>
    </w:p>
    <w:p w14:paraId="4C88AA80" w14:textId="67DFEF75" w:rsidR="00CE1D85" w:rsidRPr="00184884" w:rsidRDefault="00326AFA" w:rsidP="00DC4E3D">
      <w:pPr>
        <w:spacing w:before="120" w:after="120" w:line="276" w:lineRule="auto"/>
        <w:jc w:val="both"/>
      </w:pPr>
      <w:r>
        <w:t xml:space="preserve">Pārskata periodā turpinājās darbs ar </w:t>
      </w:r>
      <w:r w:rsidR="0083590D" w:rsidRPr="00EB7670">
        <w:rPr>
          <w:rFonts w:eastAsia="Calibri" w:cs="Times New Roman"/>
          <w:szCs w:val="24"/>
        </w:rPr>
        <w:t>EK veiktā DP „Infrastruktūra un pakalpojumi” audita</w:t>
      </w:r>
      <w:r w:rsidR="0065707B">
        <w:rPr>
          <w:rFonts w:eastAsia="Calibri" w:cs="Times New Roman"/>
          <w:szCs w:val="24"/>
        </w:rPr>
        <w:t xml:space="preserve"> ietvaros</w:t>
      </w:r>
      <w:r>
        <w:t xml:space="preserve"> konstatētajiem pārkāpumiem</w:t>
      </w:r>
      <w:r w:rsidR="0083590D">
        <w:t xml:space="preserve"> – </w:t>
      </w:r>
      <w:r w:rsidR="0083590D" w:rsidRPr="00EB7670">
        <w:rPr>
          <w:rFonts w:eastAsia="Calibri" w:cs="Times New Roman"/>
          <w:szCs w:val="24"/>
        </w:rPr>
        <w:t>nolikumā iekļaut</w:t>
      </w:r>
      <w:r w:rsidR="0083590D">
        <w:rPr>
          <w:rFonts w:eastAsia="Calibri" w:cs="Times New Roman"/>
          <w:szCs w:val="24"/>
        </w:rPr>
        <w:t>o</w:t>
      </w:r>
      <w:r w:rsidR="0083590D" w:rsidRPr="00EB7670">
        <w:rPr>
          <w:rFonts w:eastAsia="Calibri" w:cs="Times New Roman"/>
          <w:szCs w:val="24"/>
        </w:rPr>
        <w:t xml:space="preserve"> diskriminējoš</w:t>
      </w:r>
      <w:r w:rsidR="0083590D">
        <w:rPr>
          <w:rFonts w:eastAsia="Calibri" w:cs="Times New Roman"/>
          <w:szCs w:val="24"/>
        </w:rPr>
        <w:t>o</w:t>
      </w:r>
      <w:r w:rsidR="0083590D" w:rsidRPr="00EB7670">
        <w:rPr>
          <w:rFonts w:eastAsia="Calibri" w:cs="Times New Roman"/>
          <w:szCs w:val="24"/>
        </w:rPr>
        <w:t xml:space="preserve"> prasīb</w:t>
      </w:r>
      <w:r w:rsidR="0083590D">
        <w:rPr>
          <w:rFonts w:eastAsia="Calibri" w:cs="Times New Roman"/>
          <w:szCs w:val="24"/>
        </w:rPr>
        <w:t>u</w:t>
      </w:r>
      <w:r w:rsidR="0083590D" w:rsidRPr="00EB7670">
        <w:rPr>
          <w:rFonts w:eastAsia="Calibri" w:cs="Times New Roman"/>
          <w:szCs w:val="24"/>
        </w:rPr>
        <w:t>, ka apakšuzņēmējiem var nodot ne vairāk kā 70% no kopējā būvdarbu apjoma</w:t>
      </w:r>
      <w:r>
        <w:t xml:space="preserve">, tāpēc 2016.gada 1.pusgadā šis neatbilstības atklāšanas veids veido </w:t>
      </w:r>
      <w:r>
        <w:rPr>
          <w:rFonts w:eastAsia="EUAlbertina-Bold-Identity-H" w:cs="Times New Roman"/>
          <w:szCs w:val="24"/>
        </w:rPr>
        <w:t>lielāko daļu</w:t>
      </w:r>
      <w:r w:rsidRPr="00F87A80">
        <w:rPr>
          <w:rFonts w:eastAsia="EUAlbertina-Bold-Identity-H" w:cs="Times New Roman"/>
          <w:szCs w:val="24"/>
        </w:rPr>
        <w:t xml:space="preserve"> </w:t>
      </w:r>
      <w:r>
        <w:rPr>
          <w:rFonts w:eastAsia="EUAlbertina-Bold-Identity-H" w:cs="Times New Roman"/>
          <w:szCs w:val="24"/>
        </w:rPr>
        <w:t xml:space="preserve">(51,7%) </w:t>
      </w:r>
      <w:r w:rsidRPr="00F87A80">
        <w:rPr>
          <w:rFonts w:eastAsia="EUAlbertina-Bold-Identity-H" w:cs="Times New Roman"/>
          <w:szCs w:val="24"/>
        </w:rPr>
        <w:t>no kopējā neatbilstību apjoma</w:t>
      </w:r>
      <w:r>
        <w:rPr>
          <w:rFonts w:eastAsia="EUAlbertina-Bold-Identity-H" w:cs="Times New Roman"/>
          <w:szCs w:val="24"/>
        </w:rPr>
        <w:t xml:space="preserve"> 44,1</w:t>
      </w:r>
      <w:r w:rsidRPr="00F87A80">
        <w:rPr>
          <w:rFonts w:eastAsia="EUAlbertina-Bold-Identity-H" w:cs="Times New Roman"/>
          <w:szCs w:val="24"/>
        </w:rPr>
        <w:t xml:space="preserve"> milj. </w:t>
      </w:r>
      <w:r w:rsidRPr="00F87A80">
        <w:rPr>
          <w:rFonts w:eastAsia="EUAlbertina-Bold-Identity-H" w:cs="Times New Roman"/>
          <w:i/>
          <w:szCs w:val="24"/>
        </w:rPr>
        <w:t>euro</w:t>
      </w:r>
      <w:r w:rsidRPr="00F87A80">
        <w:rPr>
          <w:rFonts w:eastAsia="EUAlbertina-Bold-Identity-H" w:cs="Times New Roman"/>
          <w:szCs w:val="24"/>
        </w:rPr>
        <w:t xml:space="preserve"> apmērā</w:t>
      </w:r>
      <w:r>
        <w:rPr>
          <w:rFonts w:eastAsia="EUAlbertina-Bold-Identity-H" w:cs="Times New Roman"/>
          <w:szCs w:val="24"/>
        </w:rPr>
        <w:t xml:space="preserve"> </w:t>
      </w:r>
      <w:r w:rsidR="00694157">
        <w:rPr>
          <w:rFonts w:eastAsia="EUAlbertina-Bold-Identity-H" w:cs="Times New Roman"/>
          <w:szCs w:val="24"/>
        </w:rPr>
        <w:t>kā arī ietekmēja kopējo DP</w:t>
      </w:r>
      <w:r w:rsidR="00694157" w:rsidRPr="00E666CB">
        <w:rPr>
          <w:rFonts w:eastAsia="EUAlbertina-Bold-Identity-H" w:cs="Times New Roman"/>
          <w:szCs w:val="24"/>
        </w:rPr>
        <w:t xml:space="preserve"> „Infrastruktūra un pakalpojumi” </w:t>
      </w:r>
      <w:r w:rsidR="00694157">
        <w:rPr>
          <w:rFonts w:eastAsia="EUAlbertina-Bold-Identity-H" w:cs="Times New Roman"/>
          <w:szCs w:val="24"/>
        </w:rPr>
        <w:t xml:space="preserve">neatbilstību apjomu (detalizētāk skatīt zemāk), </w:t>
      </w:r>
      <w:r>
        <w:rPr>
          <w:rFonts w:eastAsia="EUAlbertina-Bold-Identity-H" w:cs="Times New Roman"/>
          <w:szCs w:val="24"/>
        </w:rPr>
        <w:t xml:space="preserve">taču </w:t>
      </w:r>
      <w:r>
        <w:t xml:space="preserve">visi EK audita ietvaros neatbilstoši veikti izdevumi tika atgūti saskaņā ar </w:t>
      </w:r>
      <w:r w:rsidR="00EF4EE2">
        <w:t>MK</w:t>
      </w:r>
      <w:r>
        <w:t xml:space="preserve"> 2016.gada 22.marta sēdes protokola Nr.14 </w:t>
      </w:r>
      <w:r w:rsidRPr="0075551C">
        <w:t>34.§</w:t>
      </w:r>
      <w:r>
        <w:t xml:space="preserve"> 5.punktā minēto</w:t>
      </w:r>
      <w:r>
        <w:rPr>
          <w:rStyle w:val="FootnoteReference"/>
        </w:rPr>
        <w:footnoteReference w:id="24"/>
      </w:r>
      <w:r>
        <w:t>.</w:t>
      </w:r>
    </w:p>
    <w:p w14:paraId="7940F129" w14:textId="19041969" w:rsidR="004666D8" w:rsidRDefault="004666D8" w:rsidP="00DC4E3D">
      <w:pPr>
        <w:spacing w:line="276" w:lineRule="auto"/>
        <w:jc w:val="both"/>
        <w:rPr>
          <w:color w:val="000000"/>
          <w:lang w:eastAsia="lv-LV"/>
        </w:rPr>
      </w:pPr>
      <w:r>
        <w:rPr>
          <w:color w:val="000000"/>
          <w:lang w:eastAsia="lv-LV"/>
        </w:rPr>
        <w:t xml:space="preserve">2016.gada 1.pusgadā DP „Cilvēkresursi un nodarbinātība” konstatētas neatbilstības 0,5 milj. </w:t>
      </w:r>
      <w:r>
        <w:rPr>
          <w:i/>
          <w:iCs/>
          <w:color w:val="000000"/>
          <w:lang w:eastAsia="lv-LV"/>
        </w:rPr>
        <w:t xml:space="preserve">euro </w:t>
      </w:r>
      <w:r>
        <w:rPr>
          <w:color w:val="000000"/>
          <w:lang w:eastAsia="lv-LV"/>
        </w:rPr>
        <w:t xml:space="preserve">apmērā. Apjoms salīdzinājumā pret iepriekšējo pārskata periodu ir divreiz lielāks, tomēr saistāms ar plānošanas perioda noslēgšanos un </w:t>
      </w:r>
      <w:proofErr w:type="spellStart"/>
      <w:r>
        <w:rPr>
          <w:color w:val="000000"/>
          <w:lang w:eastAsia="lv-LV"/>
        </w:rPr>
        <w:t>problēmgadījumu</w:t>
      </w:r>
      <w:proofErr w:type="spellEnd"/>
      <w:r>
        <w:rPr>
          <w:color w:val="000000"/>
          <w:lang w:eastAsia="lv-LV"/>
        </w:rPr>
        <w:t xml:space="preserve"> atrisināšanu un neatbilstību lēmumu pieņemšanu. Lielākās neatbilstības konstatētas EM un IZM administrētajās aktivitātēs un saistāmas ar noteikto ieviešanas nosacījumu pārkāpumiem. Atbalstam darba vietu radīšanai aktivitātē lauzts viens līgums, jo finansējuma saņēmējs nespēja nodrošināt </w:t>
      </w:r>
      <w:r>
        <w:rPr>
          <w:color w:val="000000"/>
          <w:lang w:eastAsia="lv-LV"/>
        </w:rPr>
        <w:lastRenderedPageBreak/>
        <w:t xml:space="preserve">līguma prasības (0,21 milj. </w:t>
      </w:r>
      <w:r>
        <w:rPr>
          <w:i/>
          <w:iCs/>
          <w:color w:val="000000"/>
          <w:lang w:eastAsia="lv-LV"/>
        </w:rPr>
        <w:t>euro</w:t>
      </w:r>
      <w:r>
        <w:rPr>
          <w:color w:val="000000"/>
          <w:lang w:eastAsia="lv-LV"/>
        </w:rPr>
        <w:t>). Atsevišķās IZM aktivitātēs, periodam noslēdzoties, ir veiktas neatbilstību lēmumu pārsūdzības, rezultātā samazinot kopējo neatbilstību apjomu.</w:t>
      </w:r>
    </w:p>
    <w:p w14:paraId="028E2534" w14:textId="3CF75605" w:rsidR="00ED6A5F" w:rsidRPr="00577059" w:rsidRDefault="000D5CB2" w:rsidP="00DC4E3D">
      <w:pPr>
        <w:spacing w:before="120" w:after="120" w:line="276" w:lineRule="auto"/>
        <w:jc w:val="both"/>
        <w:rPr>
          <w:szCs w:val="24"/>
        </w:rPr>
      </w:pPr>
      <w:r w:rsidRPr="00577059">
        <w:rPr>
          <w:szCs w:val="24"/>
        </w:rPr>
        <w:t xml:space="preserve">Pamatojoties uz finansējuma saņēmēju sniegtu papildinošu un precizētu informāciju, </w:t>
      </w:r>
      <w:r w:rsidR="00A16FD2" w:rsidRPr="00577059">
        <w:rPr>
          <w:szCs w:val="24"/>
        </w:rPr>
        <w:t>VIAA</w:t>
      </w:r>
      <w:r w:rsidRPr="00577059">
        <w:rPr>
          <w:szCs w:val="24"/>
        </w:rPr>
        <w:t xml:space="preserve"> </w:t>
      </w:r>
      <w:r w:rsidRPr="00577059">
        <w:rPr>
          <w:color w:val="1F497D"/>
          <w:szCs w:val="24"/>
        </w:rPr>
        <w:t> </w:t>
      </w:r>
      <w:r w:rsidRPr="00577059">
        <w:rPr>
          <w:szCs w:val="24"/>
        </w:rPr>
        <w:t xml:space="preserve">kā </w:t>
      </w:r>
      <w:r w:rsidR="00A16FD2" w:rsidRPr="00577059">
        <w:rPr>
          <w:szCs w:val="24"/>
        </w:rPr>
        <w:t>ES fondu SI</w:t>
      </w:r>
      <w:r w:rsidRPr="00577059">
        <w:rPr>
          <w:szCs w:val="24"/>
        </w:rPr>
        <w:t xml:space="preserve"> pēc 2007.-2013. gada perioda ES fondu izdevumu </w:t>
      </w:r>
      <w:proofErr w:type="spellStart"/>
      <w:r w:rsidRPr="00577059">
        <w:rPr>
          <w:szCs w:val="24"/>
        </w:rPr>
        <w:t>attiecināmības</w:t>
      </w:r>
      <w:proofErr w:type="spellEnd"/>
      <w:r w:rsidRPr="00577059">
        <w:rPr>
          <w:szCs w:val="24"/>
        </w:rPr>
        <w:t xml:space="preserve"> beigu termiņa 2016.gada 31.marta ir apstiprinājusi izdevumus </w:t>
      </w:r>
      <w:r w:rsidR="00ED6A5F" w:rsidRPr="00577059">
        <w:rPr>
          <w:szCs w:val="24"/>
        </w:rPr>
        <w:t xml:space="preserve">četru </w:t>
      </w:r>
      <w:r w:rsidR="00A16FD2" w:rsidRPr="00577059">
        <w:rPr>
          <w:szCs w:val="24"/>
        </w:rPr>
        <w:t>ESF</w:t>
      </w:r>
      <w:r w:rsidRPr="00577059">
        <w:rPr>
          <w:szCs w:val="24"/>
        </w:rPr>
        <w:t xml:space="preserve"> projektu ietvaros, attiecinot izmaksas: </w:t>
      </w:r>
    </w:p>
    <w:p w14:paraId="53A11BAE" w14:textId="1879E2D1" w:rsidR="00ED6A5F" w:rsidRPr="00577059" w:rsidRDefault="000D5CB2" w:rsidP="002279BA">
      <w:pPr>
        <w:pStyle w:val="ListParagraph"/>
        <w:numPr>
          <w:ilvl w:val="0"/>
          <w:numId w:val="38"/>
        </w:numPr>
        <w:spacing w:before="120" w:after="120" w:line="276" w:lineRule="auto"/>
        <w:jc w:val="both"/>
        <w:rPr>
          <w:szCs w:val="24"/>
        </w:rPr>
      </w:pPr>
      <w:r w:rsidRPr="00577059">
        <w:rPr>
          <w:szCs w:val="24"/>
        </w:rPr>
        <w:t>Rīgas Tehniskās universitātes</w:t>
      </w:r>
      <w:r w:rsidR="00A16FD2" w:rsidRPr="00577059">
        <w:rPr>
          <w:szCs w:val="24"/>
        </w:rPr>
        <w:t xml:space="preserve"> (turpmāk – RTU)</w:t>
      </w:r>
      <w:r w:rsidRPr="00577059">
        <w:rPr>
          <w:szCs w:val="24"/>
        </w:rPr>
        <w:t xml:space="preserve"> projektā “Atbalsts RTU maģistra studiju programmu īstenošanai II” (Nr.1DP/1.1.2.1.1/11/IPIA/VIAA/002) –  3 841,75 </w:t>
      </w:r>
      <w:r w:rsidRPr="00577059">
        <w:rPr>
          <w:i/>
          <w:iCs/>
          <w:szCs w:val="24"/>
        </w:rPr>
        <w:t>euro</w:t>
      </w:r>
      <w:r w:rsidRPr="00577059">
        <w:rPr>
          <w:szCs w:val="24"/>
        </w:rPr>
        <w:t xml:space="preserve"> apmērā (t.sk. ESF finansējums  3 439,5</w:t>
      </w:r>
      <w:r w:rsidRPr="00577059">
        <w:rPr>
          <w:i/>
          <w:iCs/>
          <w:szCs w:val="24"/>
        </w:rPr>
        <w:t xml:space="preserve"> euro</w:t>
      </w:r>
      <w:r w:rsidRPr="00577059">
        <w:rPr>
          <w:szCs w:val="24"/>
        </w:rPr>
        <w:t>,  valsts budžeta finansējums 402,25</w:t>
      </w:r>
      <w:r w:rsidRPr="00577059">
        <w:rPr>
          <w:i/>
          <w:iCs/>
          <w:szCs w:val="24"/>
        </w:rPr>
        <w:t xml:space="preserve"> euro</w:t>
      </w:r>
      <w:r w:rsidRPr="00577059">
        <w:rPr>
          <w:szCs w:val="24"/>
        </w:rPr>
        <w:t>)</w:t>
      </w:r>
      <w:r w:rsidR="00E672D3" w:rsidRPr="00577059">
        <w:rPr>
          <w:szCs w:val="24"/>
        </w:rPr>
        <w:t xml:space="preserve">. VIAA </w:t>
      </w:r>
      <w:r w:rsidR="00E672D3" w:rsidRPr="00577059">
        <w:rPr>
          <w:iCs/>
          <w:szCs w:val="24"/>
        </w:rPr>
        <w:t xml:space="preserve">kā ES fondu </w:t>
      </w:r>
      <w:r w:rsidR="002279BA" w:rsidRPr="00577059">
        <w:rPr>
          <w:iCs/>
          <w:szCs w:val="24"/>
        </w:rPr>
        <w:t>SI</w:t>
      </w:r>
      <w:r w:rsidR="00E672D3" w:rsidRPr="00577059">
        <w:rPr>
          <w:szCs w:val="24"/>
        </w:rPr>
        <w:t xml:space="preserve"> lēmumu par izdevumu </w:t>
      </w:r>
      <w:proofErr w:type="spellStart"/>
      <w:r w:rsidR="00E672D3" w:rsidRPr="00577059">
        <w:rPr>
          <w:szCs w:val="24"/>
        </w:rPr>
        <w:t>attiecināmību</w:t>
      </w:r>
      <w:proofErr w:type="spellEnd"/>
      <w:r w:rsidR="00E672D3" w:rsidRPr="00577059">
        <w:rPr>
          <w:szCs w:val="24"/>
        </w:rPr>
        <w:t xml:space="preserve"> pārskatīšanas iemesls RTU projekta gadījumā ir saistīts ar konstatēto un apliecināto faktu, ka RTU kā finansējuma saņēmējs piespiedu piedziņu pret stipendijas saņēmēju vērst nevarēja no finansējuma saņēmēja neatkarīgu juridisku iemeslu dēļ</w:t>
      </w:r>
      <w:r w:rsidR="00E672D3" w:rsidRPr="00577059">
        <w:rPr>
          <w:color w:val="000000"/>
          <w:szCs w:val="24"/>
        </w:rPr>
        <w:t>.</w:t>
      </w:r>
    </w:p>
    <w:p w14:paraId="5C4480C3" w14:textId="16FF1E81" w:rsidR="00ED6A5F" w:rsidRPr="00577059" w:rsidRDefault="000D5CB2" w:rsidP="002279BA">
      <w:pPr>
        <w:pStyle w:val="ListParagraph"/>
        <w:numPr>
          <w:ilvl w:val="0"/>
          <w:numId w:val="38"/>
        </w:numPr>
        <w:spacing w:before="120" w:after="120" w:line="276" w:lineRule="auto"/>
        <w:jc w:val="both"/>
        <w:rPr>
          <w:szCs w:val="24"/>
        </w:rPr>
      </w:pPr>
      <w:r w:rsidRPr="00577059">
        <w:rPr>
          <w:szCs w:val="24"/>
        </w:rPr>
        <w:t>Latvijas Universitātes Bioloģijas institūta projektā “Starpdisciplināra jauno zinātnieku grupa Latvijas purvu un to resursu izpētei, ilgtspējīgai izmantošanai un aizsardzībai (</w:t>
      </w:r>
      <w:proofErr w:type="spellStart"/>
      <w:r w:rsidRPr="00577059">
        <w:rPr>
          <w:szCs w:val="24"/>
        </w:rPr>
        <w:t>PuReST</w:t>
      </w:r>
      <w:proofErr w:type="spellEnd"/>
      <w:r w:rsidRPr="00577059">
        <w:rPr>
          <w:szCs w:val="24"/>
        </w:rPr>
        <w:t xml:space="preserve">)”(Nr.1DP/1.1.1.2.0/13/APIA/VIAA/044 ) – 7432,10 </w:t>
      </w:r>
      <w:r w:rsidRPr="00577059">
        <w:rPr>
          <w:i/>
          <w:iCs/>
          <w:szCs w:val="24"/>
        </w:rPr>
        <w:t>euro</w:t>
      </w:r>
      <w:r w:rsidRPr="00577059">
        <w:rPr>
          <w:szCs w:val="24"/>
        </w:rPr>
        <w:t xml:space="preserve"> apmērā (t.sk. ESF finansējums 6711,98</w:t>
      </w:r>
      <w:r w:rsidRPr="00577059">
        <w:rPr>
          <w:i/>
          <w:iCs/>
          <w:szCs w:val="24"/>
        </w:rPr>
        <w:t xml:space="preserve"> euro</w:t>
      </w:r>
      <w:r w:rsidRPr="00577059">
        <w:rPr>
          <w:szCs w:val="24"/>
        </w:rPr>
        <w:t>,  valsts budžeta finansējums 720,12</w:t>
      </w:r>
      <w:r w:rsidRPr="00577059">
        <w:rPr>
          <w:i/>
          <w:iCs/>
          <w:szCs w:val="24"/>
        </w:rPr>
        <w:t xml:space="preserve"> euro</w:t>
      </w:r>
      <w:r w:rsidRPr="00577059">
        <w:rPr>
          <w:szCs w:val="24"/>
        </w:rPr>
        <w:t>)</w:t>
      </w:r>
      <w:r w:rsidR="00E672D3" w:rsidRPr="00577059">
        <w:rPr>
          <w:szCs w:val="24"/>
        </w:rPr>
        <w:t xml:space="preserve">. Lēmums par izdevumu </w:t>
      </w:r>
      <w:proofErr w:type="spellStart"/>
      <w:r w:rsidR="00E672D3" w:rsidRPr="00577059">
        <w:rPr>
          <w:szCs w:val="24"/>
        </w:rPr>
        <w:t>attiecināmību</w:t>
      </w:r>
      <w:proofErr w:type="spellEnd"/>
      <w:r w:rsidR="00E672D3" w:rsidRPr="00577059">
        <w:rPr>
          <w:szCs w:val="24"/>
        </w:rPr>
        <w:t xml:space="preserve"> tika grozīts, jo finansējuma saņēmēja</w:t>
      </w:r>
      <w:r w:rsidR="00E672D3" w:rsidRPr="00577059">
        <w:rPr>
          <w:color w:val="1F497D"/>
          <w:szCs w:val="24"/>
        </w:rPr>
        <w:t xml:space="preserve"> </w:t>
      </w:r>
      <w:r w:rsidR="00E672D3" w:rsidRPr="00577059">
        <w:rPr>
          <w:szCs w:val="24"/>
        </w:rPr>
        <w:t>papildus iesniegtie skaidrojumi sniedza iespēju identificēt projekta aktivitātes laika posmu, kurā sākotnēji no projekta līdzekļiem neattiecinātie materiāli (laboratorijas trauki, piederumi) tika izlietoti, kā arī ļāva identificēt izpildītos darbus publikāciju izstrādē sākotnēji neattiecinātos darbus.  </w:t>
      </w:r>
    </w:p>
    <w:p w14:paraId="546A98E9" w14:textId="1CD2887C" w:rsidR="000D5CB2" w:rsidRPr="00577059" w:rsidRDefault="00ED6A5F" w:rsidP="002279BA">
      <w:pPr>
        <w:pStyle w:val="ListParagraph"/>
        <w:numPr>
          <w:ilvl w:val="0"/>
          <w:numId w:val="38"/>
        </w:numPr>
        <w:spacing w:before="120" w:after="120" w:line="276" w:lineRule="auto"/>
        <w:jc w:val="both"/>
        <w:rPr>
          <w:szCs w:val="24"/>
        </w:rPr>
      </w:pPr>
      <w:r w:rsidRPr="00577059">
        <w:rPr>
          <w:iCs/>
          <w:szCs w:val="24"/>
        </w:rPr>
        <w:t xml:space="preserve">VIAA projektā “Atbalsts izglītības pētījumiem” (Nr.1DP/1.2.2.3.2/11/IPIA/VIAA/001) - 4 571,78 </w:t>
      </w:r>
      <w:r w:rsidRPr="00577059">
        <w:rPr>
          <w:i/>
          <w:iCs/>
          <w:szCs w:val="24"/>
        </w:rPr>
        <w:t>euro</w:t>
      </w:r>
      <w:r w:rsidRPr="00577059">
        <w:rPr>
          <w:iCs/>
          <w:szCs w:val="24"/>
        </w:rPr>
        <w:t xml:space="preserve"> apmērā (t.sk. ESF finansējums 3 975,46 </w:t>
      </w:r>
      <w:r w:rsidRPr="00577059">
        <w:rPr>
          <w:i/>
          <w:iCs/>
          <w:szCs w:val="24"/>
        </w:rPr>
        <w:t>euro</w:t>
      </w:r>
      <w:r w:rsidRPr="00577059">
        <w:rPr>
          <w:iCs/>
          <w:szCs w:val="24"/>
        </w:rPr>
        <w:t xml:space="preserve">, valsts budžeta finansējums 596,32 </w:t>
      </w:r>
      <w:r w:rsidRPr="00577059">
        <w:rPr>
          <w:i/>
          <w:iCs/>
          <w:szCs w:val="24"/>
        </w:rPr>
        <w:t>euro</w:t>
      </w:r>
      <w:r w:rsidRPr="00577059">
        <w:rPr>
          <w:iCs/>
          <w:szCs w:val="24"/>
        </w:rPr>
        <w:t>)</w:t>
      </w:r>
      <w:r w:rsidR="00E672D3" w:rsidRPr="00577059">
        <w:rPr>
          <w:iCs/>
          <w:szCs w:val="24"/>
        </w:rPr>
        <w:t xml:space="preserve">. VIAA kā ES fondu </w:t>
      </w:r>
      <w:r w:rsidR="002279BA" w:rsidRPr="00577059">
        <w:rPr>
          <w:iCs/>
          <w:szCs w:val="24"/>
        </w:rPr>
        <w:t>SI</w:t>
      </w:r>
      <w:r w:rsidR="00E672D3" w:rsidRPr="00577059">
        <w:rPr>
          <w:iCs/>
          <w:szCs w:val="24"/>
        </w:rPr>
        <w:t xml:space="preserve"> ir grozījusi iepriekš pieņemto lēmumu par izdevumu </w:t>
      </w:r>
      <w:proofErr w:type="spellStart"/>
      <w:r w:rsidR="00E672D3" w:rsidRPr="00577059">
        <w:rPr>
          <w:iCs/>
          <w:szCs w:val="24"/>
        </w:rPr>
        <w:t>attiecināmību</w:t>
      </w:r>
      <w:proofErr w:type="spellEnd"/>
      <w:r w:rsidR="00E672D3" w:rsidRPr="00577059">
        <w:rPr>
          <w:iCs/>
          <w:szCs w:val="24"/>
        </w:rPr>
        <w:t>, jo  finansējuma saņēmēja papildus iesniegtie skaidrojumi par projektā finansētās konferences “Izglītība krustcelēs: iespējas un izvēle” tēmām un mērķa grupu ļāva identificēt tās atbilstību projektā plānotajiem pasākumiem un rezultātiem. Faktiska atmaksa finansējuma saņēmējam kā valsts budžeta iestādei šajā gadījumā nav jāveic.</w:t>
      </w:r>
    </w:p>
    <w:p w14:paraId="18791117" w14:textId="23EB11E8" w:rsidR="000D5CB2" w:rsidRPr="00904123" w:rsidRDefault="00ED6A5F" w:rsidP="00DC4E3D">
      <w:pPr>
        <w:pStyle w:val="ListParagraph"/>
        <w:numPr>
          <w:ilvl w:val="0"/>
          <w:numId w:val="38"/>
        </w:numPr>
        <w:spacing w:before="120" w:after="120" w:line="276" w:lineRule="auto"/>
        <w:jc w:val="both"/>
        <w:rPr>
          <w:szCs w:val="24"/>
        </w:rPr>
      </w:pPr>
      <w:r w:rsidRPr="00577059">
        <w:rPr>
          <w:iCs/>
          <w:szCs w:val="24"/>
        </w:rPr>
        <w:t xml:space="preserve">Elektronikas un datorzinātņu institūta projektā “Inovatīvas </w:t>
      </w:r>
      <w:proofErr w:type="spellStart"/>
      <w:r w:rsidRPr="00577059">
        <w:rPr>
          <w:iCs/>
          <w:szCs w:val="24"/>
        </w:rPr>
        <w:t>biomedicīnisko</w:t>
      </w:r>
      <w:proofErr w:type="spellEnd"/>
      <w:r w:rsidRPr="00577059">
        <w:rPr>
          <w:iCs/>
          <w:szCs w:val="24"/>
        </w:rPr>
        <w:t xml:space="preserve"> attēlu iegūšanas un apstrādes tehnoloģijas” (Nr.1DP/1.1.1.2.0/13/APIA/VIAA/014) - 3 090,29</w:t>
      </w:r>
      <w:r w:rsidRPr="00577059">
        <w:rPr>
          <w:i/>
          <w:iCs/>
          <w:szCs w:val="24"/>
        </w:rPr>
        <w:t xml:space="preserve"> euro</w:t>
      </w:r>
      <w:r w:rsidRPr="00577059">
        <w:rPr>
          <w:iCs/>
          <w:szCs w:val="24"/>
        </w:rPr>
        <w:t xml:space="preserve"> apmērā (t.sk. ESF finansējums 2 790,86 </w:t>
      </w:r>
      <w:r w:rsidRPr="00577059">
        <w:rPr>
          <w:i/>
          <w:iCs/>
          <w:szCs w:val="24"/>
        </w:rPr>
        <w:t>euro</w:t>
      </w:r>
      <w:r w:rsidRPr="00577059">
        <w:rPr>
          <w:iCs/>
          <w:szCs w:val="24"/>
        </w:rPr>
        <w:t xml:space="preserve">, valsts budžeta finansējums 299,43 </w:t>
      </w:r>
      <w:r w:rsidRPr="00577059">
        <w:rPr>
          <w:i/>
          <w:iCs/>
          <w:szCs w:val="24"/>
        </w:rPr>
        <w:t>euro</w:t>
      </w:r>
      <w:r w:rsidRPr="00577059">
        <w:rPr>
          <w:iCs/>
          <w:szCs w:val="24"/>
        </w:rPr>
        <w:t>).</w:t>
      </w:r>
      <w:r w:rsidR="00E672D3" w:rsidRPr="00577059">
        <w:rPr>
          <w:iCs/>
          <w:szCs w:val="24"/>
        </w:rPr>
        <w:t xml:space="preserve"> VIAA kā ES fondu </w:t>
      </w:r>
      <w:r w:rsidR="002279BA" w:rsidRPr="00577059">
        <w:rPr>
          <w:iCs/>
          <w:szCs w:val="24"/>
        </w:rPr>
        <w:t>SI</w:t>
      </w:r>
      <w:r w:rsidR="00E672D3" w:rsidRPr="00577059">
        <w:rPr>
          <w:iCs/>
          <w:szCs w:val="24"/>
        </w:rPr>
        <w:t xml:space="preserve"> ir grozījusi iepriekš pieņemto lēmumu par izdevumu </w:t>
      </w:r>
      <w:proofErr w:type="spellStart"/>
      <w:r w:rsidR="00E672D3" w:rsidRPr="00577059">
        <w:rPr>
          <w:iCs/>
          <w:szCs w:val="24"/>
        </w:rPr>
        <w:t>attiecināmību</w:t>
      </w:r>
      <w:proofErr w:type="spellEnd"/>
      <w:r w:rsidR="00E672D3" w:rsidRPr="00577059">
        <w:rPr>
          <w:iCs/>
          <w:szCs w:val="24"/>
        </w:rPr>
        <w:t>, jo finansējuma saņēmēja papildus iesniegtie skaidrojumi par konferences IGARSS-2015 izmaksām ļāva identificēt tās saistību un atbilstību projekta ietvaros īstenotajam pētījumam.</w:t>
      </w:r>
    </w:p>
    <w:p w14:paraId="4A328744" w14:textId="4AA284B0" w:rsidR="002F3E4B" w:rsidRDefault="002F3E4B" w:rsidP="00DC4E3D">
      <w:pPr>
        <w:spacing w:before="120" w:after="120" w:line="276" w:lineRule="auto"/>
        <w:jc w:val="both"/>
        <w:rPr>
          <w:lang w:eastAsia="lv-LV"/>
        </w:rPr>
      </w:pPr>
      <w:r w:rsidRPr="002B5314">
        <w:rPr>
          <w:rFonts w:eastAsia="EUAlbertina-Bold-Identity-H" w:cs="Times New Roman"/>
          <w:szCs w:val="24"/>
        </w:rPr>
        <w:t xml:space="preserve">DP „Uzņēmējdarbība un inovācijas” pārskata periodā konstatēto neatbilstību apjoms ir 14,6 milj. </w:t>
      </w:r>
      <w:r w:rsidRPr="002B5314">
        <w:rPr>
          <w:rFonts w:eastAsia="EUAlbertina-Bold-Identity-H" w:cs="Times New Roman"/>
          <w:i/>
          <w:szCs w:val="24"/>
        </w:rPr>
        <w:t>euro</w:t>
      </w:r>
      <w:r w:rsidRPr="002B5314">
        <w:rPr>
          <w:rFonts w:eastAsia="EUAlbertina-Bold-Identity-H" w:cs="Times New Roman"/>
          <w:szCs w:val="24"/>
        </w:rPr>
        <w:t>, kas ir par 12,4 milj.</w:t>
      </w:r>
      <w:r w:rsidR="00DF7C1D">
        <w:rPr>
          <w:rFonts w:eastAsia="EUAlbertina-Bold-Identity-H" w:cs="Times New Roman"/>
          <w:szCs w:val="24"/>
        </w:rPr>
        <w:t xml:space="preserve"> </w:t>
      </w:r>
      <w:r w:rsidRPr="002B5314">
        <w:rPr>
          <w:rFonts w:eastAsia="EUAlbertina-Bold-Identity-H" w:cs="Times New Roman"/>
          <w:i/>
          <w:szCs w:val="24"/>
        </w:rPr>
        <w:t>euro</w:t>
      </w:r>
      <w:r w:rsidRPr="002B5314">
        <w:rPr>
          <w:rFonts w:eastAsia="EUAlbertina-Bold-Identity-H" w:cs="Times New Roman"/>
          <w:szCs w:val="24"/>
        </w:rPr>
        <w:t xml:space="preserve"> lielāks, salīdzinot ar iepriekšējo periodu</w:t>
      </w:r>
      <w:r w:rsidR="00841588">
        <w:rPr>
          <w:rFonts w:eastAsia="EUAlbertina-Bold-Identity-H" w:cs="Times New Roman"/>
          <w:szCs w:val="24"/>
        </w:rPr>
        <w:t>.</w:t>
      </w:r>
      <w:r w:rsidRPr="002B5314">
        <w:rPr>
          <w:rFonts w:eastAsia="EUAlbertina-Bold-Identity-H" w:cs="Times New Roman"/>
          <w:szCs w:val="24"/>
        </w:rPr>
        <w:t xml:space="preserve"> 9,5 milj. </w:t>
      </w:r>
      <w:r w:rsidRPr="002653F4">
        <w:rPr>
          <w:rFonts w:eastAsia="EUAlbertina-Bold-Identity-H" w:cs="Times New Roman"/>
          <w:i/>
          <w:szCs w:val="24"/>
        </w:rPr>
        <w:t>euro</w:t>
      </w:r>
      <w:r w:rsidRPr="002B5314">
        <w:rPr>
          <w:rFonts w:eastAsia="EUAlbertina-Bold-Identity-H" w:cs="Times New Roman"/>
          <w:szCs w:val="24"/>
        </w:rPr>
        <w:t xml:space="preserve"> jeb 65,1% no DP neatbilstībām pārskata periodā veido 3 neatbilstības ar veidu “Aizdomas par krāpšanu”. No tām lēmumus par 2 neatbilstībām (6,3 milj. </w:t>
      </w:r>
      <w:r w:rsidRPr="002B5314">
        <w:rPr>
          <w:rFonts w:eastAsia="EUAlbertina-Bold-Identity-H" w:cs="Times New Roman"/>
          <w:i/>
          <w:szCs w:val="24"/>
        </w:rPr>
        <w:t>euro</w:t>
      </w:r>
      <w:r w:rsidRPr="002B5314">
        <w:rPr>
          <w:rFonts w:eastAsia="EUAlbertina-Bold-Identity-H" w:cs="Times New Roman"/>
          <w:szCs w:val="24"/>
        </w:rPr>
        <w:t xml:space="preserve"> jeb 43,1%)  LIAA pieņēma, jo tika saņemtas VP ENAP vēstules ar lūgumu iesniegt dokumentāciju un rīcībā esošo </w:t>
      </w:r>
      <w:r w:rsidRPr="002B5314">
        <w:rPr>
          <w:rFonts w:eastAsia="EUAlbertina-Bold-Identity-H" w:cs="Times New Roman"/>
          <w:szCs w:val="24"/>
        </w:rPr>
        <w:lastRenderedPageBreak/>
        <w:t xml:space="preserve">informāciju par diviem projektiem aktivitātē “Augstas pievienotās vērtības investīcijas”. Abos gadījumos tiesībaizsardzības iestāde joprojām pārbauda informāciju par finansējuma saņēmēju iespējamu saistību ES fondu izkrāpšanā, un uz doto brīdi </w:t>
      </w:r>
      <w:r w:rsidR="00841588" w:rsidRPr="002B5314">
        <w:rPr>
          <w:rFonts w:eastAsia="EUAlbertina-Bold-Identity-H" w:cs="Times New Roman"/>
          <w:szCs w:val="24"/>
        </w:rPr>
        <w:t xml:space="preserve">LIAA </w:t>
      </w:r>
      <w:r w:rsidRPr="002B5314">
        <w:rPr>
          <w:rFonts w:eastAsia="EUAlbertina-Bold-Identity-H" w:cs="Times New Roman"/>
          <w:szCs w:val="24"/>
        </w:rPr>
        <w:t xml:space="preserve">nav pamatojuma vērsties pie finansējuma saņēmējiem ar paziņojumu par līguma izbeigšanu un lūgumu atmaksāt izmaksāto atbalsta finansējumu. Viens no gadījumiem ir neatbilstība </w:t>
      </w:r>
      <w:r w:rsidR="00841588">
        <w:rPr>
          <w:rFonts w:eastAsia="EUAlbertina-Bold-Identity-H" w:cs="Times New Roman"/>
          <w:szCs w:val="24"/>
        </w:rPr>
        <w:t>”</w:t>
      </w:r>
      <w:r w:rsidRPr="002B5314">
        <w:rPr>
          <w:rFonts w:eastAsia="EUAlbertina-Bold-Identity-H" w:cs="Times New Roman"/>
          <w:szCs w:val="24"/>
        </w:rPr>
        <w:t>Zinātnes infrastruktūras attīstība</w:t>
      </w:r>
      <w:r w:rsidR="00841588">
        <w:rPr>
          <w:rFonts w:eastAsia="EUAlbertina-Bold-Identity-H" w:cs="Times New Roman"/>
          <w:szCs w:val="24"/>
        </w:rPr>
        <w:t>”</w:t>
      </w:r>
      <w:r w:rsidR="00841588" w:rsidRPr="002B5314">
        <w:rPr>
          <w:rFonts w:eastAsia="EUAlbertina-Bold-Identity-H" w:cs="Times New Roman"/>
          <w:szCs w:val="24"/>
        </w:rPr>
        <w:t xml:space="preserve"> </w:t>
      </w:r>
      <w:r w:rsidRPr="002B5314">
        <w:rPr>
          <w:rFonts w:eastAsia="EUAlbertina-Bold-Identity-H" w:cs="Times New Roman"/>
          <w:szCs w:val="24"/>
        </w:rPr>
        <w:t>aktivitātes projektā, kur tika konstatēts iespējams iekārtas sadārdzinājums</w:t>
      </w:r>
      <w:r w:rsidR="00841588">
        <w:rPr>
          <w:rFonts w:eastAsia="EUAlbertina-Bold-Identity-H" w:cs="Times New Roman"/>
          <w:szCs w:val="24"/>
        </w:rPr>
        <w:t>,</w:t>
      </w:r>
      <w:r w:rsidRPr="002B5314">
        <w:rPr>
          <w:rFonts w:eastAsia="EUAlbertina-Bold-Identity-H" w:cs="Times New Roman"/>
          <w:szCs w:val="24"/>
        </w:rPr>
        <w:t xml:space="preserve"> un pēc VIAA iesnieguma tika uzsākts kriminālprocess, kopējais neatbilstības apjoms ir 3</w:t>
      </w:r>
      <w:r w:rsidR="00366F7C">
        <w:rPr>
          <w:rFonts w:eastAsia="EUAlbertina-Bold-Identity-H" w:cs="Times New Roman"/>
          <w:szCs w:val="24"/>
        </w:rPr>
        <w:t>,</w:t>
      </w:r>
      <w:r w:rsidRPr="002B5314">
        <w:rPr>
          <w:rFonts w:eastAsia="EUAlbertina-Bold-Identity-H" w:cs="Times New Roman"/>
          <w:szCs w:val="24"/>
        </w:rPr>
        <w:t>2 milj</w:t>
      </w:r>
      <w:r w:rsidRPr="002B5314">
        <w:rPr>
          <w:rFonts w:eastAsia="EUAlbertina-Bold-Identity-H" w:cs="Times New Roman"/>
          <w:i/>
          <w:szCs w:val="24"/>
        </w:rPr>
        <w:t>. euro</w:t>
      </w:r>
      <w:r w:rsidRPr="002B5314">
        <w:rPr>
          <w:rFonts w:eastAsia="EUAlbertina-Bold-Identity-H" w:cs="Times New Roman"/>
          <w:szCs w:val="24"/>
        </w:rPr>
        <w:t xml:space="preserve"> jeb 21,9% no kopējā pārskata periodā konstatēto neatbilstību apjoma. Tāpat neatbilstību apjoma pieaugumu ietekmēja SIA “LSEZ </w:t>
      </w:r>
      <w:proofErr w:type="spellStart"/>
      <w:r w:rsidRPr="002B5314">
        <w:rPr>
          <w:rFonts w:eastAsia="EUAlbertina-Bold-Identity-H" w:cs="Times New Roman"/>
          <w:szCs w:val="24"/>
        </w:rPr>
        <w:t>Elme</w:t>
      </w:r>
      <w:proofErr w:type="spellEnd"/>
      <w:r w:rsidRPr="002B5314">
        <w:rPr>
          <w:rFonts w:eastAsia="EUAlbertina-Bold-Identity-H" w:cs="Times New Roman"/>
          <w:szCs w:val="24"/>
        </w:rPr>
        <w:t xml:space="preserve"> </w:t>
      </w:r>
      <w:proofErr w:type="spellStart"/>
      <w:r w:rsidRPr="002B5314">
        <w:rPr>
          <w:rFonts w:eastAsia="EUAlbertina-Bold-Identity-H" w:cs="Times New Roman"/>
          <w:szCs w:val="24"/>
        </w:rPr>
        <w:t>Messer</w:t>
      </w:r>
      <w:proofErr w:type="spellEnd"/>
      <w:r>
        <w:rPr>
          <w:rFonts w:eastAsia="EUAlbertina-Bold-Identity-H" w:cs="Times New Roman"/>
          <w:szCs w:val="24"/>
        </w:rPr>
        <w:t xml:space="preserve"> Metalurgs” nespēja</w:t>
      </w:r>
      <w:r w:rsidRPr="00397A67">
        <w:t xml:space="preserve"> </w:t>
      </w:r>
      <w:r w:rsidRPr="00397A67">
        <w:rPr>
          <w:rFonts w:eastAsia="EUAlbertina-Bold-Identity-H" w:cs="Times New Roman"/>
          <w:szCs w:val="24"/>
        </w:rPr>
        <w:t xml:space="preserve">pildīt līguma </w:t>
      </w:r>
      <w:r>
        <w:rPr>
          <w:rFonts w:eastAsia="EUAlbertina-Bold-Identity-H" w:cs="Times New Roman"/>
          <w:szCs w:val="24"/>
        </w:rPr>
        <w:t xml:space="preserve">par projekta īstenošanu </w:t>
      </w:r>
      <w:r w:rsidRPr="00397A67">
        <w:rPr>
          <w:rFonts w:eastAsia="EUAlbertina-Bold-Identity-H" w:cs="Times New Roman"/>
          <w:szCs w:val="24"/>
        </w:rPr>
        <w:t>nosacījumus</w:t>
      </w:r>
      <w:r>
        <w:rPr>
          <w:rFonts w:eastAsia="EUAlbertina-Bold-Identity-H" w:cs="Times New Roman"/>
          <w:szCs w:val="24"/>
        </w:rPr>
        <w:t>.</w:t>
      </w:r>
      <w:r w:rsidRPr="00397A67">
        <w:t xml:space="preserve"> </w:t>
      </w:r>
      <w:r w:rsidRPr="00397A67">
        <w:rPr>
          <w:rFonts w:eastAsia="EUAlbertina-Bold-Identity-H" w:cs="Times New Roman"/>
          <w:szCs w:val="24"/>
        </w:rPr>
        <w:t xml:space="preserve">Projekta ietvaros iegādātās iekārtas netiek izmantotas </w:t>
      </w:r>
      <w:r>
        <w:rPr>
          <w:rFonts w:eastAsia="EUAlbertina-Bold-Identity-H" w:cs="Times New Roman"/>
          <w:szCs w:val="24"/>
        </w:rPr>
        <w:t>p</w:t>
      </w:r>
      <w:r w:rsidRPr="00397A67">
        <w:rPr>
          <w:rFonts w:eastAsia="EUAlbertina-Bold-Identity-H" w:cs="Times New Roman"/>
          <w:szCs w:val="24"/>
        </w:rPr>
        <w:t>rojektā plānotās saimnieciskās darbības veikšanai</w:t>
      </w:r>
      <w:r>
        <w:rPr>
          <w:rFonts w:eastAsia="EUAlbertina-Bold-Identity-H" w:cs="Times New Roman"/>
          <w:szCs w:val="24"/>
        </w:rPr>
        <w:t xml:space="preserve">, jo </w:t>
      </w:r>
      <w:r w:rsidR="00A633EF">
        <w:rPr>
          <w:rFonts w:eastAsia="EUAlbertina-Bold-Identity-H" w:cs="Times New Roman"/>
          <w:szCs w:val="24"/>
        </w:rPr>
        <w:t xml:space="preserve">komersants </w:t>
      </w:r>
      <w:r>
        <w:rPr>
          <w:rFonts w:eastAsia="EUAlbertina-Bold-Identity-H" w:cs="Times New Roman"/>
          <w:szCs w:val="24"/>
        </w:rPr>
        <w:t xml:space="preserve">ir cieši saistīts ar  </w:t>
      </w:r>
      <w:r w:rsidRPr="00B553B1">
        <w:rPr>
          <w:rFonts w:eastAsia="EUAlbertina-Bold-Identity-H" w:cs="Times New Roman"/>
          <w:szCs w:val="24"/>
        </w:rPr>
        <w:t>AS „KVV Liepājas Metalurgs”</w:t>
      </w:r>
      <w:r>
        <w:rPr>
          <w:rFonts w:eastAsia="EUAlbertina-Bold-Identity-H" w:cs="Times New Roman"/>
          <w:szCs w:val="24"/>
        </w:rPr>
        <w:t xml:space="preserve">, kas tika </w:t>
      </w:r>
      <w:r w:rsidR="00366F7C">
        <w:rPr>
          <w:rFonts w:eastAsia="EUAlbertina-Bold-Identity-H" w:cs="Times New Roman"/>
          <w:szCs w:val="24"/>
        </w:rPr>
        <w:t>ie</w:t>
      </w:r>
      <w:r>
        <w:rPr>
          <w:rFonts w:eastAsia="EUAlbertina-Bold-Identity-H" w:cs="Times New Roman"/>
          <w:szCs w:val="24"/>
        </w:rPr>
        <w:t>konservēts</w:t>
      </w:r>
      <w:r w:rsidRPr="00B553B1">
        <w:rPr>
          <w:rFonts w:eastAsia="EUAlbertina-Bold-Identity-H" w:cs="Times New Roman"/>
          <w:szCs w:val="24"/>
        </w:rPr>
        <w:t xml:space="preserve"> uz nenoteiktu laiku.</w:t>
      </w:r>
      <w:r>
        <w:rPr>
          <w:rFonts w:eastAsia="EUAlbertina-Bold-Identity-H" w:cs="Times New Roman"/>
          <w:szCs w:val="24"/>
        </w:rPr>
        <w:t xml:space="preserve"> </w:t>
      </w:r>
    </w:p>
    <w:p w14:paraId="10047BC5" w14:textId="0A8F7BB6" w:rsidR="00DB42E8" w:rsidRPr="00120427" w:rsidRDefault="00ED346E" w:rsidP="00DC4E3D">
      <w:pPr>
        <w:spacing w:before="120" w:after="120" w:line="276" w:lineRule="auto"/>
        <w:jc w:val="both"/>
        <w:rPr>
          <w:rFonts w:eastAsia="EUAlbertina-Bold-Identity-H" w:cs="Times New Roman"/>
          <w:szCs w:val="24"/>
          <w:highlight w:val="yellow"/>
        </w:rPr>
      </w:pPr>
      <w:r>
        <w:rPr>
          <w:rFonts w:eastAsia="EUAlbertina-Bold-Identity-H" w:cs="Times New Roman"/>
          <w:szCs w:val="24"/>
        </w:rPr>
        <w:t>DP</w:t>
      </w:r>
      <w:r w:rsidR="00DB42E8" w:rsidRPr="00E666CB">
        <w:rPr>
          <w:rFonts w:eastAsia="EUAlbertina-Bold-Identity-H" w:cs="Times New Roman"/>
          <w:szCs w:val="24"/>
        </w:rPr>
        <w:t xml:space="preserve"> „Infrastruktūra un pakalpojumi” pārskata periodā konstatētais neatbilstību apjoms ir </w:t>
      </w:r>
      <w:r w:rsidR="00E666CB" w:rsidRPr="00E666CB">
        <w:rPr>
          <w:rFonts w:eastAsia="EUAlbertina-Bold-Identity-H" w:cs="Times New Roman"/>
          <w:szCs w:val="24"/>
        </w:rPr>
        <w:t>28,6</w:t>
      </w:r>
      <w:r w:rsidR="00DB42E8" w:rsidRPr="00E666CB">
        <w:rPr>
          <w:rFonts w:eastAsia="EUAlbertina-Bold-Identity-H" w:cs="Times New Roman"/>
          <w:szCs w:val="24"/>
        </w:rPr>
        <w:t xml:space="preserve"> milj. </w:t>
      </w:r>
      <w:r w:rsidR="00DB42E8" w:rsidRPr="00E666CB">
        <w:rPr>
          <w:rFonts w:eastAsia="EUAlbertina-Bold-Identity-H" w:cs="Times New Roman"/>
          <w:i/>
          <w:szCs w:val="24"/>
        </w:rPr>
        <w:t>euro</w:t>
      </w:r>
      <w:r w:rsidR="00DB42E8" w:rsidRPr="00E666CB">
        <w:rPr>
          <w:rFonts w:eastAsia="EUAlbertina-Bold-Identity-H" w:cs="Times New Roman"/>
          <w:szCs w:val="24"/>
        </w:rPr>
        <w:t xml:space="preserve">, t.sk. ERAF </w:t>
      </w:r>
      <w:r w:rsidR="00E666CB" w:rsidRPr="00E666CB">
        <w:rPr>
          <w:rFonts w:eastAsia="EUAlbertina-Bold-Identity-H" w:cs="Times New Roman"/>
          <w:szCs w:val="24"/>
        </w:rPr>
        <w:t>10,4</w:t>
      </w:r>
      <w:r w:rsidR="00DB42E8" w:rsidRPr="00E666CB">
        <w:rPr>
          <w:rFonts w:eastAsia="EUAlbertina-Bold-Identity-H" w:cs="Times New Roman"/>
          <w:szCs w:val="24"/>
        </w:rPr>
        <w:t xml:space="preserve"> milj. </w:t>
      </w:r>
      <w:r w:rsidR="00DB42E8" w:rsidRPr="00E666CB">
        <w:rPr>
          <w:rFonts w:eastAsia="EUAlbertina-Bold-Identity-H" w:cs="Times New Roman"/>
          <w:i/>
          <w:szCs w:val="24"/>
        </w:rPr>
        <w:t>euro</w:t>
      </w:r>
      <w:r w:rsidR="00DB42E8" w:rsidRPr="00E666CB">
        <w:rPr>
          <w:rFonts w:eastAsia="EUAlbertina-Bold-Identity-H" w:cs="Times New Roman"/>
          <w:szCs w:val="24"/>
        </w:rPr>
        <w:t xml:space="preserve"> un KF </w:t>
      </w:r>
      <w:r w:rsidR="00E666CB" w:rsidRPr="00E666CB">
        <w:rPr>
          <w:rFonts w:eastAsia="EUAlbertina-Bold-Identity-H" w:cs="Times New Roman"/>
          <w:szCs w:val="24"/>
        </w:rPr>
        <w:t xml:space="preserve">18,2 </w:t>
      </w:r>
      <w:r w:rsidR="00DB42E8" w:rsidRPr="00E666CB">
        <w:rPr>
          <w:rFonts w:eastAsia="EUAlbertina-Bold-Identity-H" w:cs="Times New Roman"/>
          <w:szCs w:val="24"/>
        </w:rPr>
        <w:t xml:space="preserve">milj. </w:t>
      </w:r>
      <w:r w:rsidR="00DB42E8" w:rsidRPr="00E666CB">
        <w:rPr>
          <w:rFonts w:eastAsia="EUAlbertina-Bold-Identity-H" w:cs="Times New Roman"/>
          <w:i/>
          <w:szCs w:val="24"/>
        </w:rPr>
        <w:t>euro</w:t>
      </w:r>
      <w:r w:rsidR="00E666CB" w:rsidRPr="00E666CB">
        <w:rPr>
          <w:rFonts w:eastAsia="EUAlbertina-Bold-Identity-H" w:cs="Times New Roman"/>
          <w:szCs w:val="24"/>
        </w:rPr>
        <w:t>.</w:t>
      </w:r>
      <w:r w:rsidR="00DB42E8" w:rsidRPr="00E666CB">
        <w:rPr>
          <w:rFonts w:eastAsia="EUAlbertina-Bold-Identity-H" w:cs="Times New Roman"/>
          <w:szCs w:val="24"/>
        </w:rPr>
        <w:t xml:space="preserve"> Salīdzinot ar iepriekšējo periodu ir vērojama </w:t>
      </w:r>
      <w:r w:rsidR="00E666CB" w:rsidRPr="00E666CB">
        <w:rPr>
          <w:rFonts w:eastAsia="EUAlbertina-Bold-Identity-H" w:cs="Times New Roman"/>
          <w:szCs w:val="24"/>
        </w:rPr>
        <w:t>negatīva</w:t>
      </w:r>
      <w:r w:rsidR="00DB42E8" w:rsidRPr="00E666CB">
        <w:rPr>
          <w:rFonts w:eastAsia="EUAlbertina-Bold-Identity-H" w:cs="Times New Roman"/>
          <w:szCs w:val="24"/>
        </w:rPr>
        <w:t xml:space="preserve"> tendence - kopējais neatbilstību apjoms ir </w:t>
      </w:r>
      <w:r w:rsidR="00E666CB" w:rsidRPr="00E666CB">
        <w:rPr>
          <w:rFonts w:eastAsia="EUAlbertina-Bold-Identity-H" w:cs="Times New Roman"/>
          <w:szCs w:val="24"/>
        </w:rPr>
        <w:t>palielinājies</w:t>
      </w:r>
      <w:r w:rsidR="00DB42E8" w:rsidRPr="00E666CB">
        <w:rPr>
          <w:rFonts w:eastAsia="EUAlbertina-Bold-Identity-H" w:cs="Times New Roman"/>
          <w:szCs w:val="24"/>
        </w:rPr>
        <w:t xml:space="preserve"> </w:t>
      </w:r>
      <w:r w:rsidR="00DB42E8" w:rsidRPr="00E30F63">
        <w:rPr>
          <w:rFonts w:eastAsia="EUAlbertina-Bold-Identity-H" w:cs="Times New Roman"/>
          <w:szCs w:val="24"/>
        </w:rPr>
        <w:t xml:space="preserve">par </w:t>
      </w:r>
      <w:r w:rsidR="00E30F63" w:rsidRPr="00E30F63">
        <w:rPr>
          <w:rFonts w:eastAsia="EUAlbertina-Bold-Identity-H" w:cs="Times New Roman"/>
          <w:szCs w:val="24"/>
        </w:rPr>
        <w:t>23,0</w:t>
      </w:r>
      <w:r w:rsidR="00DB42E8" w:rsidRPr="00E30F63">
        <w:rPr>
          <w:rFonts w:eastAsia="EUAlbertina-Bold-Identity-H" w:cs="Times New Roman"/>
          <w:szCs w:val="24"/>
        </w:rPr>
        <w:t xml:space="preserve"> milj. </w:t>
      </w:r>
      <w:r w:rsidR="00DB42E8" w:rsidRPr="00E30F63">
        <w:rPr>
          <w:rFonts w:eastAsia="EUAlbertina-Bold-Identity-H" w:cs="Times New Roman"/>
          <w:i/>
          <w:szCs w:val="24"/>
        </w:rPr>
        <w:t>euro</w:t>
      </w:r>
      <w:r w:rsidR="00DB42E8" w:rsidRPr="00E30F63">
        <w:rPr>
          <w:rFonts w:eastAsia="EUAlbertina-Bold-Identity-H" w:cs="Times New Roman"/>
          <w:szCs w:val="24"/>
        </w:rPr>
        <w:t xml:space="preserve">, t.sk. ERAF </w:t>
      </w:r>
      <w:r w:rsidR="00E30F63" w:rsidRPr="00E30F63">
        <w:rPr>
          <w:rFonts w:eastAsia="EUAlbertina-Bold-Identity-H" w:cs="Times New Roman"/>
          <w:szCs w:val="24"/>
        </w:rPr>
        <w:t>5,6</w:t>
      </w:r>
      <w:r w:rsidR="00DB42E8" w:rsidRPr="00E30F63">
        <w:rPr>
          <w:rFonts w:eastAsia="EUAlbertina-Bold-Identity-H" w:cs="Times New Roman"/>
          <w:szCs w:val="24"/>
        </w:rPr>
        <w:t xml:space="preserve"> milj. </w:t>
      </w:r>
      <w:r w:rsidR="00DB42E8" w:rsidRPr="00E30F63">
        <w:rPr>
          <w:rFonts w:eastAsia="EUAlbertina-Bold-Identity-H" w:cs="Times New Roman"/>
          <w:i/>
          <w:szCs w:val="24"/>
        </w:rPr>
        <w:t>euro</w:t>
      </w:r>
      <w:r w:rsidR="00DB42E8" w:rsidRPr="00E30F63">
        <w:rPr>
          <w:rFonts w:eastAsia="EUAlbertina-Bold-Identity-H" w:cs="Times New Roman"/>
          <w:szCs w:val="24"/>
        </w:rPr>
        <w:t xml:space="preserve"> un KF </w:t>
      </w:r>
      <w:r w:rsidR="00E30F63" w:rsidRPr="00E30F63">
        <w:rPr>
          <w:rFonts w:eastAsia="EUAlbertina-Bold-Identity-H" w:cs="Times New Roman"/>
          <w:szCs w:val="24"/>
        </w:rPr>
        <w:t>17,4</w:t>
      </w:r>
      <w:r w:rsidR="0083590D">
        <w:rPr>
          <w:rFonts w:eastAsia="EUAlbertina-Bold-Identity-H" w:cs="Times New Roman"/>
          <w:szCs w:val="24"/>
        </w:rPr>
        <w:t xml:space="preserve"> </w:t>
      </w:r>
      <w:r w:rsidR="00DB42E8" w:rsidRPr="00E30F63">
        <w:rPr>
          <w:rFonts w:eastAsia="EUAlbertina-Bold-Identity-H" w:cs="Times New Roman"/>
          <w:szCs w:val="24"/>
        </w:rPr>
        <w:t xml:space="preserve">milj. </w:t>
      </w:r>
      <w:r w:rsidR="00DB42E8" w:rsidRPr="00E30F63">
        <w:rPr>
          <w:rFonts w:eastAsia="EUAlbertina-Bold-Identity-H" w:cs="Times New Roman"/>
          <w:i/>
          <w:szCs w:val="24"/>
        </w:rPr>
        <w:t>euro</w:t>
      </w:r>
      <w:r w:rsidR="00174D2F" w:rsidRPr="00E30F63">
        <w:rPr>
          <w:rFonts w:eastAsia="EUAlbertina-Bold-Identity-H" w:cs="Times New Roman"/>
          <w:szCs w:val="24"/>
        </w:rPr>
        <w:t>,</w:t>
      </w:r>
      <w:r w:rsidR="00174D2F">
        <w:rPr>
          <w:rFonts w:eastAsia="EUAlbertina-Bold-Identity-H" w:cs="Times New Roman"/>
          <w:szCs w:val="24"/>
        </w:rPr>
        <w:t xml:space="preserve"> kas</w:t>
      </w:r>
      <w:r w:rsidR="000D2C8E">
        <w:rPr>
          <w:rFonts w:eastAsia="EUAlbertina-Bold-Identity-H" w:cs="Times New Roman"/>
          <w:szCs w:val="24"/>
        </w:rPr>
        <w:t xml:space="preserve"> </w:t>
      </w:r>
      <w:r w:rsidR="00174D2F">
        <w:rPr>
          <w:rFonts w:eastAsia="EUAlbertina-Bold-Identity-H" w:cs="Times New Roman"/>
          <w:szCs w:val="24"/>
        </w:rPr>
        <w:t xml:space="preserve">saistīts </w:t>
      </w:r>
      <w:r w:rsidR="00BB75F8" w:rsidRPr="00D41046">
        <w:rPr>
          <w:rFonts w:eastAsia="EUAlbertina-Bold-Identity-H" w:cs="Times New Roman"/>
          <w:szCs w:val="24"/>
        </w:rPr>
        <w:t xml:space="preserve">ar </w:t>
      </w:r>
      <w:r w:rsidR="00694157">
        <w:rPr>
          <w:rFonts w:eastAsia="EUAlbertina-Bold-Identity-H" w:cs="Times New Roman"/>
          <w:szCs w:val="24"/>
        </w:rPr>
        <w:t xml:space="preserve">pārkāpumiem </w:t>
      </w:r>
      <w:r w:rsidR="00E30F63">
        <w:rPr>
          <w:rFonts w:eastAsia="EUAlbertina-Bold-Identity-H" w:cs="Times New Roman"/>
          <w:szCs w:val="24"/>
        </w:rPr>
        <w:t xml:space="preserve">ceļu </w:t>
      </w:r>
      <w:r w:rsidR="00694157">
        <w:rPr>
          <w:rFonts w:eastAsia="EUAlbertina-Bold-Identity-H" w:cs="Times New Roman"/>
          <w:szCs w:val="24"/>
        </w:rPr>
        <w:t xml:space="preserve">projektos </w:t>
      </w:r>
      <w:r w:rsidR="00BB75F8" w:rsidRPr="00D41046">
        <w:rPr>
          <w:rFonts w:eastAsia="EUAlbertina-Bold-Identity-H" w:cs="Times New Roman"/>
          <w:szCs w:val="24"/>
        </w:rPr>
        <w:t xml:space="preserve">vai </w:t>
      </w:r>
      <w:r w:rsidR="00D41046" w:rsidRPr="00D41046">
        <w:rPr>
          <w:rFonts w:eastAsia="EUAlbertina-Bold-Identity-H" w:cs="Times New Roman"/>
          <w:szCs w:val="24"/>
        </w:rPr>
        <w:t xml:space="preserve">citiem </w:t>
      </w:r>
      <w:r w:rsidR="00DB42E8" w:rsidRPr="00D41046">
        <w:rPr>
          <w:rFonts w:eastAsia="EUAlbertina-Bold-Identity-H" w:cs="Times New Roman"/>
          <w:szCs w:val="24"/>
        </w:rPr>
        <w:t>iepirkuma vai</w:t>
      </w:r>
      <w:r w:rsidR="00D47CA2" w:rsidRPr="00D41046">
        <w:rPr>
          <w:rFonts w:eastAsia="EUAlbertina-Bold-Identity-H" w:cs="Times New Roman"/>
          <w:szCs w:val="24"/>
        </w:rPr>
        <w:t xml:space="preserve"> konkurences normu pārkāpumiem.</w:t>
      </w:r>
      <w:r w:rsidR="00C9113B" w:rsidRPr="00D41046">
        <w:rPr>
          <w:rFonts w:eastAsia="EUAlbertina-Bold-Identity-H" w:cs="Times New Roman"/>
          <w:szCs w:val="24"/>
        </w:rPr>
        <w:t xml:space="preserve"> </w:t>
      </w:r>
    </w:p>
    <w:p w14:paraId="195D5E16" w14:textId="613651D8" w:rsidR="004666D8" w:rsidRDefault="000D2C8E" w:rsidP="00DC4E3D">
      <w:pPr>
        <w:pStyle w:val="ListParagraph"/>
        <w:spacing w:before="120" w:after="120" w:line="276" w:lineRule="auto"/>
        <w:ind w:left="0"/>
        <w:contextualSpacing w:val="0"/>
        <w:jc w:val="both"/>
        <w:rPr>
          <w:rFonts w:eastAsia="Calibri" w:cs="Times New Roman"/>
          <w:szCs w:val="24"/>
        </w:rPr>
      </w:pPr>
      <w:r>
        <w:rPr>
          <w:rFonts w:eastAsia="Calibri" w:cs="Times New Roman"/>
          <w:szCs w:val="24"/>
        </w:rPr>
        <w:t xml:space="preserve">Pārskata perioda beigās </w:t>
      </w:r>
      <w:r w:rsidR="00121C73" w:rsidRPr="00121C73">
        <w:rPr>
          <w:rFonts w:eastAsia="Calibri" w:cs="Times New Roman"/>
          <w:color w:val="000000"/>
          <w:szCs w:val="24"/>
        </w:rPr>
        <w:t>VI no</w:t>
      </w:r>
      <w:r w:rsidR="00121C73">
        <w:rPr>
          <w:rFonts w:eastAsia="Calibri" w:cs="Times New Roman"/>
          <w:color w:val="000000"/>
          <w:szCs w:val="24"/>
        </w:rPr>
        <w:t xml:space="preserve"> CFLA saņēma informāciju, ka </w:t>
      </w:r>
      <w:r w:rsidR="00121C73" w:rsidRPr="00C73472">
        <w:rPr>
          <w:rFonts w:eastAsia="Calibri" w:cs="Times New Roman"/>
          <w:szCs w:val="24"/>
        </w:rPr>
        <w:t xml:space="preserve">VSIA „Bērnu klīniskā universitātes slimnīca” </w:t>
      </w:r>
      <w:r w:rsidR="00121C73">
        <w:rPr>
          <w:rFonts w:eastAsia="Calibri" w:cs="Times New Roman"/>
          <w:szCs w:val="24"/>
        </w:rPr>
        <w:t xml:space="preserve">projektā </w:t>
      </w:r>
      <w:r w:rsidR="00121C73" w:rsidRPr="00121C73">
        <w:rPr>
          <w:rFonts w:eastAsia="Calibri" w:cs="Times New Roman"/>
          <w:szCs w:val="24"/>
        </w:rPr>
        <w:t>“Stacionārās veselības aprūpes infrastruktūras attīstība VSIA „Bērnu klīniskā universitātes slimnīca””</w:t>
      </w:r>
      <w:r w:rsidR="00121C73">
        <w:rPr>
          <w:rFonts w:eastAsia="Calibri" w:cs="Times New Roman"/>
          <w:szCs w:val="24"/>
        </w:rPr>
        <w:t xml:space="preserve"> kopš 2011.gada norisinās kriminālprocess, kurā par iespējamu krāpšanu tiek tiesātas vairākas privātpersonas un VSIA </w:t>
      </w:r>
      <w:r w:rsidR="00121C73" w:rsidRPr="00C73472">
        <w:rPr>
          <w:rFonts w:eastAsia="Calibri" w:cs="Times New Roman"/>
          <w:szCs w:val="24"/>
        </w:rPr>
        <w:t>„Bērnu klīniskā universitātes slimnīca”</w:t>
      </w:r>
      <w:r w:rsidR="00121C73">
        <w:rPr>
          <w:rFonts w:eastAsia="Calibri" w:cs="Times New Roman"/>
          <w:szCs w:val="24"/>
        </w:rPr>
        <w:t xml:space="preserve"> bijusī amatpersona. CFLA šādu informāciju ieguva, veicot projekta pēcpārbaudi, kur konstatēja dokumentu neesamību projekta īstenošanas vietā. Uzsāktais kriminālprocess saistīts ar krāpnieciskām darbībām ERAF projekta iepirkumā ar kopējo vērtību 328 663 </w:t>
      </w:r>
      <w:r w:rsidR="00121C73" w:rsidRPr="00121C73">
        <w:rPr>
          <w:rFonts w:eastAsia="Calibri" w:cs="Times New Roman"/>
          <w:i/>
          <w:szCs w:val="24"/>
        </w:rPr>
        <w:t>euro</w:t>
      </w:r>
      <w:r w:rsidR="00121C73">
        <w:rPr>
          <w:rFonts w:eastAsia="Calibri" w:cs="Times New Roman"/>
          <w:szCs w:val="24"/>
        </w:rPr>
        <w:t xml:space="preserve">. </w:t>
      </w:r>
      <w:r w:rsidR="00420660">
        <w:rPr>
          <w:rFonts w:eastAsia="Calibri" w:cs="Times New Roman"/>
          <w:szCs w:val="24"/>
        </w:rPr>
        <w:t>P</w:t>
      </w:r>
      <w:r>
        <w:rPr>
          <w:rFonts w:eastAsia="Calibri" w:cs="Times New Roman"/>
          <w:szCs w:val="24"/>
        </w:rPr>
        <w:t>lānots,</w:t>
      </w:r>
      <w:r w:rsidR="00420660">
        <w:rPr>
          <w:rFonts w:eastAsia="Calibri" w:cs="Times New Roman"/>
          <w:szCs w:val="24"/>
        </w:rPr>
        <w:t xml:space="preserve"> ka CFLA </w:t>
      </w:r>
      <w:r>
        <w:rPr>
          <w:rFonts w:eastAsia="Calibri" w:cs="Times New Roman"/>
          <w:szCs w:val="24"/>
        </w:rPr>
        <w:t>pieņems lēmumu par neatbilstību 2016.g. 3. ceturksnī</w:t>
      </w:r>
      <w:r w:rsidR="00420660">
        <w:rPr>
          <w:rFonts w:eastAsia="Calibri" w:cs="Times New Roman"/>
          <w:szCs w:val="24"/>
        </w:rPr>
        <w:t>.</w:t>
      </w:r>
      <w:r w:rsidR="004666D8">
        <w:rPr>
          <w:rFonts w:eastAsia="Calibri" w:cs="Times New Roman"/>
          <w:szCs w:val="24"/>
        </w:rPr>
        <w:t xml:space="preserve"> </w:t>
      </w:r>
    </w:p>
    <w:p w14:paraId="2B4C37C2" w14:textId="770A50D1" w:rsidR="00072EEC" w:rsidRDefault="004946B5" w:rsidP="00DC4E3D">
      <w:pPr>
        <w:pStyle w:val="ListParagraph"/>
        <w:spacing w:before="120" w:after="120" w:line="276" w:lineRule="auto"/>
        <w:ind w:left="0"/>
        <w:contextualSpacing w:val="0"/>
        <w:jc w:val="both"/>
        <w:rPr>
          <w:rFonts w:eastAsia="Calibri" w:cs="Times New Roman"/>
          <w:szCs w:val="24"/>
        </w:rPr>
      </w:pPr>
      <w:r>
        <w:rPr>
          <w:rFonts w:eastAsia="Calibri" w:cs="Times New Roman"/>
          <w:szCs w:val="24"/>
        </w:rPr>
        <w:t>Attiecībā uz iepriekšējos informatīvajos ziņojumos MK</w:t>
      </w:r>
      <w:r w:rsidR="007C0BAE">
        <w:rPr>
          <w:rFonts w:eastAsia="Calibri" w:cs="Times New Roman"/>
          <w:szCs w:val="24"/>
        </w:rPr>
        <w:t xml:space="preserve"> </w:t>
      </w:r>
      <w:r w:rsidR="00BF3A73">
        <w:rPr>
          <w:rFonts w:eastAsia="Calibri" w:cs="Times New Roman"/>
          <w:szCs w:val="24"/>
        </w:rPr>
        <w:t>sniegto</w:t>
      </w:r>
      <w:r w:rsidR="00BF3A73" w:rsidRPr="00C73472" w:rsidDel="00FC3DA9">
        <w:rPr>
          <w:rFonts w:eastAsia="Calibri" w:cs="Times New Roman"/>
          <w:szCs w:val="24"/>
        </w:rPr>
        <w:t xml:space="preserve"> </w:t>
      </w:r>
      <w:r w:rsidR="00BF3A73">
        <w:rPr>
          <w:rFonts w:eastAsia="Calibri" w:cs="Times New Roman"/>
          <w:szCs w:val="24"/>
        </w:rPr>
        <w:t xml:space="preserve">informāciju saistībā ar </w:t>
      </w:r>
      <w:r w:rsidR="004167C8" w:rsidRPr="00C73472" w:rsidDel="00FC3DA9">
        <w:rPr>
          <w:rFonts w:eastAsia="Calibri" w:cs="Times New Roman"/>
          <w:szCs w:val="24"/>
        </w:rPr>
        <w:t xml:space="preserve">EK </w:t>
      </w:r>
      <w:r w:rsidR="00BF3A73" w:rsidRPr="00C73472" w:rsidDel="00FC3DA9">
        <w:rPr>
          <w:rFonts w:eastAsia="Calibri" w:cs="Times New Roman"/>
          <w:szCs w:val="24"/>
        </w:rPr>
        <w:t>veikt</w:t>
      </w:r>
      <w:r w:rsidR="00BF3A73">
        <w:rPr>
          <w:rFonts w:eastAsia="Calibri" w:cs="Times New Roman"/>
          <w:szCs w:val="24"/>
        </w:rPr>
        <w:t>o</w:t>
      </w:r>
      <w:r w:rsidR="00BF3A73" w:rsidRPr="00C73472" w:rsidDel="00FC3DA9">
        <w:rPr>
          <w:rFonts w:eastAsia="Calibri" w:cs="Times New Roman"/>
          <w:szCs w:val="24"/>
        </w:rPr>
        <w:t xml:space="preserve"> audit</w:t>
      </w:r>
      <w:r w:rsidR="00BF3A73">
        <w:rPr>
          <w:rFonts w:eastAsia="Calibri" w:cs="Times New Roman"/>
          <w:szCs w:val="24"/>
        </w:rPr>
        <w:t>u</w:t>
      </w:r>
      <w:r w:rsidR="00BF3A73" w:rsidRPr="00C73472" w:rsidDel="00FC3DA9">
        <w:rPr>
          <w:rFonts w:eastAsia="Calibri" w:cs="Times New Roman"/>
          <w:szCs w:val="24"/>
        </w:rPr>
        <w:t xml:space="preserve"> </w:t>
      </w:r>
      <w:r w:rsidR="004167C8" w:rsidRPr="00C73472" w:rsidDel="00FC3DA9">
        <w:rPr>
          <w:rFonts w:eastAsia="Calibri" w:cs="Times New Roman"/>
          <w:szCs w:val="24"/>
        </w:rPr>
        <w:t xml:space="preserve">“Revīzijas iestādes veiktā darba pārbaude attiecībā uz DP "Uzņēmējdarbība un inovācijas" un DP "Infrastruktūra un pakalpojumi"” EK </w:t>
      </w:r>
      <w:r w:rsidR="00072EEC">
        <w:rPr>
          <w:rFonts w:eastAsia="Calibri" w:cs="Times New Roman"/>
          <w:szCs w:val="24"/>
        </w:rPr>
        <w:t xml:space="preserve">sniegusi gala lēmumu par diviem galvenajiem konstatējumiem: </w:t>
      </w:r>
    </w:p>
    <w:p w14:paraId="2D81D8B5" w14:textId="5995A4DD" w:rsidR="005365A5" w:rsidRDefault="00072EEC" w:rsidP="00DC4E3D">
      <w:pPr>
        <w:pStyle w:val="ListParagraph"/>
        <w:spacing w:before="120" w:after="120" w:line="276" w:lineRule="auto"/>
        <w:ind w:left="0"/>
        <w:contextualSpacing w:val="0"/>
        <w:jc w:val="both"/>
        <w:rPr>
          <w:rFonts w:eastAsia="Calibri" w:cs="Times New Roman"/>
          <w:szCs w:val="24"/>
        </w:rPr>
      </w:pPr>
      <w:r>
        <w:rPr>
          <w:rFonts w:eastAsia="Calibri" w:cs="Times New Roman"/>
          <w:szCs w:val="24"/>
        </w:rPr>
        <w:t xml:space="preserve">1) </w:t>
      </w:r>
      <w:r w:rsidR="004167C8" w:rsidRPr="00C73472" w:rsidDel="00FC3DA9">
        <w:rPr>
          <w:rFonts w:eastAsia="Calibri" w:cs="Times New Roman"/>
          <w:szCs w:val="24"/>
        </w:rPr>
        <w:t>iepirkumu nolikumos tiek iekļauta ierobežojoša prasība (</w:t>
      </w:r>
      <w:r w:rsidR="004167C8" w:rsidRPr="00C73472" w:rsidDel="00FC3DA9">
        <w:rPr>
          <w:szCs w:val="24"/>
        </w:rPr>
        <w:t>“</w:t>
      </w:r>
      <w:r w:rsidR="004167C8" w:rsidRPr="00C73472" w:rsidDel="00FC3DA9">
        <w:rPr>
          <w:i/>
          <w:szCs w:val="24"/>
        </w:rPr>
        <w:t xml:space="preserve">uz piedāvājuma </w:t>
      </w:r>
      <w:r w:rsidR="004167C8" w:rsidRPr="00C1481F" w:rsidDel="00FC3DA9">
        <w:rPr>
          <w:rFonts w:eastAsia="Calibri" w:cs="Times New Roman"/>
          <w:i/>
          <w:szCs w:val="24"/>
        </w:rPr>
        <w:t>iesniegšanas brīdi nodrošināt sertifikātus atbilstoši Latvijas normatīvo aktu prasībām</w:t>
      </w:r>
      <w:r w:rsidR="004167C8" w:rsidDel="00FC3DA9">
        <w:rPr>
          <w:rFonts w:eastAsia="Calibri" w:cs="Times New Roman"/>
          <w:szCs w:val="24"/>
        </w:rPr>
        <w:t>”).</w:t>
      </w:r>
      <w:r w:rsidR="004167C8" w:rsidRPr="00C73472" w:rsidDel="00FC3DA9">
        <w:rPr>
          <w:rFonts w:eastAsia="Calibri" w:cs="Times New Roman"/>
          <w:szCs w:val="24"/>
        </w:rPr>
        <w:t xml:space="preserve"> </w:t>
      </w:r>
      <w:r w:rsidR="004167C8" w:rsidDel="00FC3DA9">
        <w:rPr>
          <w:rFonts w:eastAsia="Calibri" w:cs="Times New Roman"/>
          <w:szCs w:val="24"/>
        </w:rPr>
        <w:t xml:space="preserve">Pēc papildu skaidrojumu un argumentu nosūtīšanas EK saskaņā ar </w:t>
      </w:r>
      <w:r w:rsidR="004167C8" w:rsidRPr="00C73472" w:rsidDel="00FC3DA9">
        <w:rPr>
          <w:rFonts w:eastAsia="Calibri" w:cs="Times New Roman"/>
          <w:szCs w:val="24"/>
        </w:rPr>
        <w:t>2015.gada 17.decembrī pirms-noklausīšanās procedūr</w:t>
      </w:r>
      <w:r w:rsidR="004167C8" w:rsidDel="00FC3DA9">
        <w:rPr>
          <w:rFonts w:eastAsia="Calibri" w:cs="Times New Roman"/>
          <w:szCs w:val="24"/>
        </w:rPr>
        <w:t>as sanāksmē panākto vienošanos gala viedoklis kopā ar uzaicinājumu uz noklausīšanās procedūru saņemts 2016.gada 6.jūlijā. EK paliek pie sākotnējās nostājas, neatbalstot Latvijas puses iestāžu sniegto pamatojumu attiecībā uz izņēmuma gadījumiem par sertifikātu nodrošināšanas prasību un interpretācijas skaidrojumu par to, kā saprotama prasība par pieredzi publisku ēku būvniecībā. Saskaņā ar EK gala viedokli,</w:t>
      </w:r>
      <w:r w:rsidR="00651F6A">
        <w:rPr>
          <w:rFonts w:eastAsia="Calibri" w:cs="Times New Roman"/>
          <w:szCs w:val="24"/>
        </w:rPr>
        <w:t xml:space="preserve"> neskatoties uz vairākkārt sniegtiem argumentiem un notikušajām diskusijām ar EK,</w:t>
      </w:r>
      <w:r w:rsidR="004167C8" w:rsidDel="00FC3DA9">
        <w:rPr>
          <w:rFonts w:eastAsia="Calibri" w:cs="Times New Roman"/>
          <w:szCs w:val="24"/>
        </w:rPr>
        <w:t xml:space="preserve"> ir piemērojama sistēmiskā finanšu korekcija 5% apmērā visiem līgumiem, kuru summa ir virs noteiktajiem EK Direktīvu</w:t>
      </w:r>
      <w:r w:rsidR="0059077E">
        <w:rPr>
          <w:rStyle w:val="FootnoteReference"/>
          <w:rFonts w:eastAsia="Calibri" w:cs="Times New Roman"/>
          <w:szCs w:val="24"/>
        </w:rPr>
        <w:footnoteReference w:id="25"/>
      </w:r>
      <w:r w:rsidR="004167C8" w:rsidDel="00FC3DA9">
        <w:rPr>
          <w:rFonts w:eastAsia="Calibri" w:cs="Times New Roman"/>
          <w:szCs w:val="24"/>
        </w:rPr>
        <w:t xml:space="preserve"> </w:t>
      </w:r>
      <w:r w:rsidR="004167C8" w:rsidDel="00FC3DA9">
        <w:rPr>
          <w:rFonts w:eastAsia="Calibri" w:cs="Times New Roman"/>
          <w:szCs w:val="24"/>
        </w:rPr>
        <w:lastRenderedPageBreak/>
        <w:t>sliekšņiem un kuru nolikumos bija iekļauta prasība uz piedāvājuma iesniegšanas brīdi nodrošināt sertifikātus atbilstoši Latvijas normatīvo aktu prasībām</w:t>
      </w:r>
      <w:r w:rsidR="00076E4C">
        <w:rPr>
          <w:rFonts w:eastAsia="Calibri" w:cs="Times New Roman"/>
          <w:szCs w:val="24"/>
        </w:rPr>
        <w:t>.</w:t>
      </w:r>
      <w:r w:rsidR="005365A5">
        <w:rPr>
          <w:rFonts w:eastAsia="Calibri" w:cs="Times New Roman"/>
          <w:szCs w:val="24"/>
        </w:rPr>
        <w:t xml:space="preserve"> Ņemot vērā to, ka par šādu EK stingro nostāju Latvijas iestādes un potenciālie projektu īstenotāji nevarēja iepriekš zināt  un nav konstatējama finansējuma saņēmēju vaina, atbilstoši risinājumiem līdzīgos gadījumos tiek piedāvāts </w:t>
      </w:r>
      <w:r w:rsidR="004946B5">
        <w:rPr>
          <w:rFonts w:eastAsia="Calibri" w:cs="Times New Roman"/>
          <w:szCs w:val="24"/>
        </w:rPr>
        <w:t xml:space="preserve">slēgt jautājumu, kā ierosināts ar MK </w:t>
      </w:r>
      <w:proofErr w:type="spellStart"/>
      <w:r w:rsidR="004946B5">
        <w:rPr>
          <w:rFonts w:eastAsia="Calibri" w:cs="Times New Roman"/>
          <w:szCs w:val="24"/>
        </w:rPr>
        <w:t>protokollēmumu</w:t>
      </w:r>
      <w:proofErr w:type="spellEnd"/>
      <w:r w:rsidR="004946B5">
        <w:rPr>
          <w:rFonts w:eastAsia="Calibri" w:cs="Times New Roman"/>
          <w:szCs w:val="24"/>
        </w:rPr>
        <w:t>, neatprasot līdzekļus no konkrētiem projektu īstenotājiem</w:t>
      </w:r>
      <w:r w:rsidR="00A6484A">
        <w:rPr>
          <w:rFonts w:eastAsia="Calibri" w:cs="Times New Roman"/>
          <w:szCs w:val="24"/>
        </w:rPr>
        <w:t xml:space="preserve"> un neturpinot formālo uzklausīšanās procedūru.</w:t>
      </w:r>
      <w:r w:rsidR="00076E4C">
        <w:rPr>
          <w:rFonts w:eastAsia="Calibri" w:cs="Times New Roman"/>
          <w:szCs w:val="24"/>
        </w:rPr>
        <w:t xml:space="preserve"> Reaģējot uz EK sākotnēji pausto viedokli, ka prasība uz piedāvājuma iesniegšanas brīdi nodrošināt sertifikātus saskaņā ar Latvijas normatīvajiem aktiem ir ierobežojoša, ES fondu administrēšanā iesaistītajām iestādēm gan rakstiski, gan sanāksmēs ir sniegts vadošās iestādes un Iepirkumu uzraudzības biroja skaidrojums un aicinājums nodrošināt nepieciešamās kontroles, lai turpmāk šāda prasība, kur sertifikāts tiek prasīts uz projekta iesniegšanas brīdi, nolikumos netiek iekļauta.</w:t>
      </w:r>
      <w:r w:rsidR="005365A5" w:rsidDel="00FC3DA9">
        <w:rPr>
          <w:rFonts w:eastAsia="Calibri" w:cs="Times New Roman"/>
          <w:szCs w:val="24"/>
        </w:rPr>
        <w:t xml:space="preserve"> </w:t>
      </w:r>
    </w:p>
    <w:p w14:paraId="0521A695" w14:textId="0893E498" w:rsidR="00B24D80" w:rsidRDefault="00B24D80" w:rsidP="00DC4E3D">
      <w:pPr>
        <w:pStyle w:val="ListParagraph"/>
        <w:spacing w:before="120" w:after="120" w:line="276" w:lineRule="auto"/>
        <w:ind w:left="0"/>
        <w:contextualSpacing w:val="0"/>
        <w:jc w:val="both"/>
        <w:rPr>
          <w:rFonts w:eastAsia="Calibri" w:cs="Times New Roman"/>
          <w:szCs w:val="24"/>
        </w:rPr>
      </w:pPr>
      <w:r>
        <w:rPr>
          <w:rFonts w:eastAsia="Calibri" w:cs="Times New Roman"/>
          <w:szCs w:val="24"/>
        </w:rPr>
        <w:t>Vienlaikus ņ</w:t>
      </w:r>
      <w:r w:rsidRPr="00B24D80">
        <w:rPr>
          <w:rFonts w:eastAsia="Calibri" w:cs="Times New Roman"/>
          <w:szCs w:val="24"/>
        </w:rPr>
        <w:t xml:space="preserve">emot vērā </w:t>
      </w:r>
      <w:r>
        <w:rPr>
          <w:rFonts w:eastAsia="Calibri" w:cs="Times New Roman"/>
          <w:szCs w:val="24"/>
        </w:rPr>
        <w:t>EK</w:t>
      </w:r>
      <w:r w:rsidRPr="00B24D80">
        <w:rPr>
          <w:rFonts w:eastAsia="Calibri" w:cs="Times New Roman"/>
          <w:szCs w:val="24"/>
        </w:rPr>
        <w:t xml:space="preserve"> gala viedokli attiecībā uz gadījumiem, kad iepirkuma nolikumā tiek iekļauta prasība uz projekta pieteikuma iesniegšanas brīdi nodrošināt sertifikāciju atbilstoši </w:t>
      </w:r>
      <w:r w:rsidR="0023324F">
        <w:rPr>
          <w:rFonts w:eastAsia="Calibri" w:cs="Times New Roman"/>
          <w:szCs w:val="24"/>
        </w:rPr>
        <w:t>LR</w:t>
      </w:r>
      <w:r w:rsidRPr="00B24D80">
        <w:rPr>
          <w:rFonts w:eastAsia="Calibri" w:cs="Times New Roman"/>
          <w:szCs w:val="24"/>
        </w:rPr>
        <w:t xml:space="preserve"> normatīvo aktu prasībām, nepieciešams panākt, lai sertifikāta iegūšanas process līdz līguma slēgšanai konkursa uzvarētājam, ja tas ir ārvalstu uzņēmums, būtu maksimāli vienkāršs </w:t>
      </w:r>
      <w:r w:rsidRPr="001A31C3">
        <w:rPr>
          <w:rFonts w:eastAsia="Calibri" w:cs="Times New Roman"/>
          <w:szCs w:val="24"/>
        </w:rPr>
        <w:t xml:space="preserve">un operatīvs, tādējādi veicinot efektīvāku projektu īstenošanas uzsākšanu un sekmējot ES fondu investīciju izmantošanu kopumā. Lai to nodrošinātu, </w:t>
      </w:r>
      <w:proofErr w:type="spellStart"/>
      <w:r w:rsidRPr="001A31C3">
        <w:rPr>
          <w:rFonts w:eastAsia="Calibri" w:cs="Times New Roman"/>
          <w:szCs w:val="24"/>
        </w:rPr>
        <w:t>protokollēmuma</w:t>
      </w:r>
      <w:proofErr w:type="spellEnd"/>
      <w:r w:rsidRPr="001A31C3">
        <w:rPr>
          <w:rFonts w:eastAsia="Calibri" w:cs="Times New Roman"/>
          <w:szCs w:val="24"/>
        </w:rPr>
        <w:t xml:space="preserve"> </w:t>
      </w:r>
      <w:r w:rsidR="00331B8D" w:rsidRPr="001A31C3">
        <w:rPr>
          <w:rFonts w:eastAsia="Calibri" w:cs="Times New Roman"/>
          <w:szCs w:val="24"/>
        </w:rPr>
        <w:t>8</w:t>
      </w:r>
      <w:r w:rsidRPr="001A31C3">
        <w:rPr>
          <w:rFonts w:eastAsia="Calibri" w:cs="Times New Roman"/>
          <w:szCs w:val="24"/>
        </w:rPr>
        <w:t>.punktā tiek noteikts, ka IZM kā par profesionālās kvalifikācijas atzīšanu atbildīgajai institūcijai un</w:t>
      </w:r>
      <w:r w:rsidRPr="00B24D80">
        <w:rPr>
          <w:rFonts w:eastAsia="Calibri" w:cs="Times New Roman"/>
          <w:szCs w:val="24"/>
        </w:rPr>
        <w:t xml:space="preserve"> EM kā par </w:t>
      </w:r>
      <w:proofErr w:type="spellStart"/>
      <w:r w:rsidRPr="00B24D80">
        <w:rPr>
          <w:rFonts w:eastAsia="Calibri" w:cs="Times New Roman"/>
          <w:szCs w:val="24"/>
        </w:rPr>
        <w:t>būvspeciālistu</w:t>
      </w:r>
      <w:proofErr w:type="spellEnd"/>
      <w:r w:rsidRPr="00B24D80">
        <w:rPr>
          <w:rFonts w:eastAsia="Calibri" w:cs="Times New Roman"/>
          <w:szCs w:val="24"/>
        </w:rPr>
        <w:t xml:space="preserve"> kompetences novērtēšanu un būvniecības jomu kopumā atbildīgajai iestādei nepieciešams pārskatīt savā kompetencē esošos normatīvos aktus, kas regulē sertifikātu iegūšanas procesu Latvijā, izstrādājot priekšlikumus šī procesa optimizācijai.</w:t>
      </w:r>
    </w:p>
    <w:p w14:paraId="269CB09A" w14:textId="4823939F" w:rsidR="00EF2919" w:rsidRDefault="005365A5" w:rsidP="00DC4E3D">
      <w:pPr>
        <w:pStyle w:val="ListParagraph"/>
        <w:spacing w:before="120" w:after="120" w:line="276" w:lineRule="auto"/>
        <w:ind w:left="0"/>
        <w:contextualSpacing w:val="0"/>
        <w:jc w:val="both"/>
        <w:rPr>
          <w:rFonts w:eastAsia="Calibri" w:cs="Times New Roman"/>
          <w:i/>
          <w:szCs w:val="24"/>
        </w:rPr>
      </w:pPr>
      <w:r>
        <w:rPr>
          <w:rFonts w:eastAsia="Calibri" w:cs="Times New Roman"/>
          <w:szCs w:val="24"/>
        </w:rPr>
        <w:t xml:space="preserve">2) Papildus </w:t>
      </w:r>
      <w:r w:rsidR="004167C8" w:rsidDel="00FC3DA9">
        <w:rPr>
          <w:rFonts w:eastAsia="Calibri" w:cs="Times New Roman"/>
          <w:szCs w:val="24"/>
        </w:rPr>
        <w:t xml:space="preserve"> </w:t>
      </w:r>
      <w:r w:rsidR="004167C8" w:rsidRPr="00C73472" w:rsidDel="00FC3DA9">
        <w:rPr>
          <w:rFonts w:eastAsia="Calibri" w:cs="Times New Roman"/>
          <w:szCs w:val="24"/>
        </w:rPr>
        <w:t>VSIA „Bērnu klīniskā universitātes slimnīca” divu projektu ietvaros</w:t>
      </w:r>
      <w:r w:rsidR="004167C8" w:rsidDel="00FC3DA9">
        <w:rPr>
          <w:rFonts w:eastAsia="Calibri" w:cs="Times New Roman"/>
          <w:szCs w:val="24"/>
        </w:rPr>
        <w:t xml:space="preserve"> EK ierosina piemērot 10% </w:t>
      </w:r>
      <w:r>
        <w:rPr>
          <w:rFonts w:eastAsia="Calibri" w:cs="Times New Roman"/>
          <w:szCs w:val="24"/>
        </w:rPr>
        <w:t>(</w:t>
      </w:r>
      <w:r w:rsidDel="00FC3DA9">
        <w:rPr>
          <w:rFonts w:eastAsia="Calibri" w:cs="Times New Roman"/>
          <w:szCs w:val="24"/>
        </w:rPr>
        <w:t xml:space="preserve">623 204 </w:t>
      </w:r>
      <w:r w:rsidRPr="005F0179" w:rsidDel="00FC3DA9">
        <w:rPr>
          <w:rFonts w:eastAsia="Calibri" w:cs="Times New Roman"/>
          <w:i/>
          <w:szCs w:val="24"/>
        </w:rPr>
        <w:t>euro</w:t>
      </w:r>
      <w:r>
        <w:rPr>
          <w:rFonts w:eastAsia="Calibri" w:cs="Times New Roman"/>
          <w:i/>
          <w:szCs w:val="24"/>
        </w:rPr>
        <w:t xml:space="preserve">) </w:t>
      </w:r>
      <w:r w:rsidR="004167C8" w:rsidDel="00FC3DA9">
        <w:rPr>
          <w:rFonts w:eastAsia="Calibri" w:cs="Times New Roman"/>
          <w:szCs w:val="24"/>
        </w:rPr>
        <w:t>finanšu korekciju no būvdarbu līgumu summas</w:t>
      </w:r>
      <w:r>
        <w:rPr>
          <w:rFonts w:eastAsia="Calibri" w:cs="Times New Roman"/>
          <w:szCs w:val="24"/>
        </w:rPr>
        <w:t xml:space="preserve"> par EK uzskatā </w:t>
      </w:r>
      <w:r w:rsidRPr="00C73472" w:rsidDel="00FC3DA9">
        <w:rPr>
          <w:rFonts w:eastAsia="Calibri" w:cs="Times New Roman"/>
          <w:szCs w:val="24"/>
        </w:rPr>
        <w:t>iepirkumu nolikumos iekļaut</w:t>
      </w:r>
      <w:r>
        <w:rPr>
          <w:rFonts w:eastAsia="Calibri" w:cs="Times New Roman"/>
          <w:szCs w:val="24"/>
        </w:rPr>
        <w:t>u</w:t>
      </w:r>
      <w:r w:rsidRPr="00C73472" w:rsidDel="00FC3DA9">
        <w:rPr>
          <w:rFonts w:eastAsia="Calibri" w:cs="Times New Roman"/>
          <w:szCs w:val="24"/>
        </w:rPr>
        <w:t xml:space="preserve"> ierobežojoš</w:t>
      </w:r>
      <w:r>
        <w:rPr>
          <w:rFonts w:eastAsia="Calibri" w:cs="Times New Roman"/>
          <w:szCs w:val="24"/>
        </w:rPr>
        <w:t>u</w:t>
      </w:r>
      <w:r w:rsidRPr="00C73472" w:rsidDel="00FC3DA9">
        <w:rPr>
          <w:rFonts w:eastAsia="Calibri" w:cs="Times New Roman"/>
          <w:szCs w:val="24"/>
        </w:rPr>
        <w:t xml:space="preserve"> prasīb</w:t>
      </w:r>
      <w:r>
        <w:rPr>
          <w:rFonts w:eastAsia="Calibri" w:cs="Times New Roman"/>
          <w:szCs w:val="24"/>
        </w:rPr>
        <w:t xml:space="preserve">u ar atsauci uz Latvijas normatīviem aktiem </w:t>
      </w:r>
      <w:r w:rsidRPr="00B6329C">
        <w:rPr>
          <w:rFonts w:eastAsia="Calibri" w:cs="Times New Roman"/>
          <w:szCs w:val="24"/>
        </w:rPr>
        <w:t>par atb</w:t>
      </w:r>
      <w:r w:rsidR="00701451">
        <w:rPr>
          <w:rFonts w:eastAsia="Calibri" w:cs="Times New Roman"/>
          <w:szCs w:val="24"/>
        </w:rPr>
        <w:t>i</w:t>
      </w:r>
      <w:r w:rsidRPr="00B6329C">
        <w:rPr>
          <w:rFonts w:eastAsia="Calibri" w:cs="Times New Roman"/>
          <w:szCs w:val="24"/>
        </w:rPr>
        <w:t>lstību publisko ēku normatīvo aktu prasībām</w:t>
      </w:r>
      <w:r w:rsidR="004167C8" w:rsidDel="00FC3DA9">
        <w:rPr>
          <w:rFonts w:eastAsia="Calibri" w:cs="Times New Roman"/>
          <w:szCs w:val="24"/>
        </w:rPr>
        <w:t xml:space="preserve">, </w:t>
      </w:r>
      <w:r>
        <w:rPr>
          <w:rFonts w:eastAsia="Calibri" w:cs="Times New Roman"/>
          <w:szCs w:val="24"/>
        </w:rPr>
        <w:t xml:space="preserve">nelietojot vienlaikus “vai ekvivalents”. </w:t>
      </w:r>
      <w:r w:rsidR="00E74C97">
        <w:rPr>
          <w:rFonts w:eastAsia="Calibri" w:cs="Times New Roman"/>
          <w:szCs w:val="24"/>
        </w:rPr>
        <w:t xml:space="preserve">Vienlaikus </w:t>
      </w:r>
      <w:r w:rsidRPr="00C73472" w:rsidDel="00FC3DA9">
        <w:rPr>
          <w:rFonts w:eastAsia="Calibri" w:cs="Times New Roman"/>
          <w:szCs w:val="24"/>
        </w:rPr>
        <w:t xml:space="preserve">VSIA „Bērnu klīniskā universitātes slimnīca” </w:t>
      </w:r>
      <w:r>
        <w:rPr>
          <w:rFonts w:eastAsia="Calibri" w:cs="Times New Roman"/>
          <w:szCs w:val="24"/>
        </w:rPr>
        <w:t xml:space="preserve">konkrētajos projektos EK piemēro 5% finanšu korekciju par </w:t>
      </w:r>
      <w:r w:rsidR="00651F6A">
        <w:rPr>
          <w:rFonts w:eastAsia="Calibri" w:cs="Times New Roman"/>
          <w:szCs w:val="24"/>
        </w:rPr>
        <w:t>augstāk 1.apakšpunktā</w:t>
      </w:r>
      <w:r>
        <w:rPr>
          <w:rFonts w:eastAsia="Calibri" w:cs="Times New Roman"/>
          <w:szCs w:val="24"/>
        </w:rPr>
        <w:t xml:space="preserve"> minēto ierobežojošo prasību</w:t>
      </w:r>
      <w:r w:rsidR="00651F6A">
        <w:rPr>
          <w:rFonts w:eastAsia="Calibri" w:cs="Times New Roman"/>
          <w:szCs w:val="24"/>
        </w:rPr>
        <w:t xml:space="preserve"> attiecībā uz sertifikātu nodrošināšanu</w:t>
      </w:r>
      <w:r w:rsidR="00E74C97">
        <w:rPr>
          <w:rFonts w:eastAsia="Calibri" w:cs="Times New Roman"/>
          <w:szCs w:val="24"/>
        </w:rPr>
        <w:t xml:space="preserve">. </w:t>
      </w:r>
      <w:r w:rsidR="00CA0223" w:rsidRPr="00CA0223">
        <w:rPr>
          <w:rFonts w:eastAsia="Calibri" w:cs="Times New Roman"/>
          <w:szCs w:val="24"/>
        </w:rPr>
        <w:t xml:space="preserve">Tā kā VSIA „Bērnu klīniskā universitātes slimnīca” un </w:t>
      </w:r>
      <w:r w:rsidR="002279BA">
        <w:rPr>
          <w:rFonts w:eastAsia="Calibri" w:cs="Times New Roman"/>
          <w:szCs w:val="24"/>
        </w:rPr>
        <w:t>VM</w:t>
      </w:r>
      <w:r w:rsidR="00CA0223" w:rsidRPr="00CA0223">
        <w:rPr>
          <w:rFonts w:eastAsia="Calibri" w:cs="Times New Roman"/>
          <w:szCs w:val="24"/>
        </w:rPr>
        <w:t xml:space="preserve"> nepiekrīt piedāvātai finanšu korekcijai 10% apmērā un ir gatava piedalīties uzklausīšanas procedūrā, </w:t>
      </w:r>
      <w:r w:rsidR="002279BA">
        <w:rPr>
          <w:rFonts w:eastAsia="Calibri" w:cs="Times New Roman"/>
          <w:szCs w:val="24"/>
        </w:rPr>
        <w:t xml:space="preserve">FM </w:t>
      </w:r>
      <w:r w:rsidR="002279BA" w:rsidRPr="008F6872">
        <w:rPr>
          <w:lang w:eastAsia="lv-LV"/>
        </w:rPr>
        <w:t xml:space="preserve">2016.gada 5.augustā informēja par to </w:t>
      </w:r>
      <w:r w:rsidR="002279BA">
        <w:rPr>
          <w:lang w:eastAsia="lv-LV"/>
        </w:rPr>
        <w:t>EK</w:t>
      </w:r>
      <w:r w:rsidR="002279BA" w:rsidRPr="008F6872">
        <w:rPr>
          <w:lang w:eastAsia="lv-LV"/>
        </w:rPr>
        <w:t>.</w:t>
      </w:r>
    </w:p>
    <w:p w14:paraId="7D2703C1" w14:textId="5E8A5003" w:rsidR="00FA65AB" w:rsidRPr="00113C8B" w:rsidRDefault="00FA65AB" w:rsidP="00DB0769">
      <w:pPr>
        <w:pStyle w:val="2lmenis"/>
        <w:rPr>
          <w:rFonts w:eastAsia="Times New Roman"/>
        </w:rPr>
      </w:pPr>
      <w:bookmarkStart w:id="16" w:name="_Toc459713622"/>
      <w:r w:rsidRPr="00113C8B">
        <w:t xml:space="preserve">Neatbilstības </w:t>
      </w:r>
      <w:r w:rsidRPr="00113C8B">
        <w:rPr>
          <w:rFonts w:eastAsia="Times New Roman"/>
        </w:rPr>
        <w:t>ES fondu 2014.-2020.gada plānošanas periodā ES fondos līdz 201</w:t>
      </w:r>
      <w:r w:rsidR="007B533B" w:rsidRPr="00113C8B">
        <w:rPr>
          <w:rFonts w:eastAsia="Times New Roman"/>
        </w:rPr>
        <w:t>6</w:t>
      </w:r>
      <w:r w:rsidRPr="00113C8B">
        <w:rPr>
          <w:rFonts w:eastAsia="Times New Roman"/>
        </w:rPr>
        <w:t>.gada 3</w:t>
      </w:r>
      <w:r w:rsidR="007B533B" w:rsidRPr="00113C8B">
        <w:rPr>
          <w:rFonts w:eastAsia="Times New Roman"/>
        </w:rPr>
        <w:t>0.jūnijam</w:t>
      </w:r>
      <w:bookmarkEnd w:id="16"/>
    </w:p>
    <w:p w14:paraId="0CBCFB57" w14:textId="77777777" w:rsidR="00286DDC" w:rsidRDefault="00F40D15" w:rsidP="00DC4E3D">
      <w:pPr>
        <w:spacing w:before="120" w:after="120" w:line="276" w:lineRule="auto"/>
        <w:jc w:val="both"/>
      </w:pPr>
      <w:r w:rsidRPr="003B6A7A">
        <w:t xml:space="preserve">ES fondu 2014.-2020.gada plānošanas periodā 2016.gada 1.pusgadā </w:t>
      </w:r>
      <w:r>
        <w:t xml:space="preserve">ir konstatētas 19 neatbilstības par kopējo summu 5,5 milj. </w:t>
      </w:r>
      <w:r w:rsidRPr="003B6A7A">
        <w:rPr>
          <w:i/>
        </w:rPr>
        <w:t>euro</w:t>
      </w:r>
      <w:r w:rsidR="00642F82">
        <w:t xml:space="preserve">. </w:t>
      </w:r>
      <w:r w:rsidR="00A46354">
        <w:t xml:space="preserve">No tām </w:t>
      </w:r>
      <w:r w:rsidR="00B30E2C">
        <w:t xml:space="preserve">15 neatbilstības 5,2 milj. </w:t>
      </w:r>
      <w:r w:rsidR="00B30E2C" w:rsidRPr="00B30E2C">
        <w:rPr>
          <w:i/>
        </w:rPr>
        <w:t>euro</w:t>
      </w:r>
      <w:r w:rsidR="00B30E2C">
        <w:t xml:space="preserve"> apmērā jeb 95% no kopējā neatbilstoši veikto izdevumu apjoma ir konstatētas </w:t>
      </w:r>
      <w:r w:rsidR="00C14E34">
        <w:t xml:space="preserve">SM īstenotajos </w:t>
      </w:r>
      <w:r w:rsidR="00F270B7">
        <w:t xml:space="preserve">KF </w:t>
      </w:r>
      <w:r w:rsidR="00B30E2C">
        <w:t>v</w:t>
      </w:r>
      <w:r w:rsidR="00B30E2C" w:rsidRPr="00B30E2C">
        <w:t>alsts galveno autoceļu segu pārbūve</w:t>
      </w:r>
      <w:r w:rsidR="00B30E2C">
        <w:t xml:space="preserve">s un nestspējas palielināšanas </w:t>
      </w:r>
      <w:r w:rsidR="00681C6E">
        <w:t xml:space="preserve">projektos saistībā ar </w:t>
      </w:r>
      <w:r w:rsidR="00A46354" w:rsidRPr="003E2D70">
        <w:t xml:space="preserve">EK Reģionālās politikas un </w:t>
      </w:r>
      <w:proofErr w:type="spellStart"/>
      <w:r w:rsidR="00A46354" w:rsidRPr="003E2D70">
        <w:t>pilsētpol</w:t>
      </w:r>
      <w:r w:rsidR="00A46354">
        <w:t>itikas</w:t>
      </w:r>
      <w:proofErr w:type="spellEnd"/>
      <w:r w:rsidR="00A46354">
        <w:t xml:space="preserve"> ģenerāldirektorāta lēmumu par 5% finanšu korekcijas </w:t>
      </w:r>
      <w:r w:rsidR="00A46354">
        <w:lastRenderedPageBreak/>
        <w:t xml:space="preserve">piemērošanu par </w:t>
      </w:r>
      <w:r w:rsidR="00681C6E">
        <w:t xml:space="preserve">iepirkuma </w:t>
      </w:r>
      <w:r w:rsidR="00C50090">
        <w:t xml:space="preserve">nolikumos </w:t>
      </w:r>
      <w:r w:rsidR="00681C6E">
        <w:t>iekļauto ierobežojošu prasību</w:t>
      </w:r>
      <w:r w:rsidR="00681C6E" w:rsidRPr="00681C6E">
        <w:t>, ka ārvalstu speciālista profesionālajai kvalifikācijai ir jābūt atzītai saskaņā ar Latvijas normatīvo aktu prasībām piedāvājuma iesniegšanas brīdī</w:t>
      </w:r>
      <w:r w:rsidR="00681C6E">
        <w:t xml:space="preserve"> </w:t>
      </w:r>
      <w:r w:rsidR="00681C6E" w:rsidRPr="00311D56">
        <w:t>(nevis līguma slēgšanas brīdī).</w:t>
      </w:r>
      <w:r w:rsidR="00A46354">
        <w:t xml:space="preserve"> </w:t>
      </w:r>
      <w:r w:rsidR="00286DDC">
        <w:t xml:space="preserve">Faktiski izdevumi projektos ir veikti, bet izdevumi netiks deklarēti un tie ir </w:t>
      </w:r>
      <w:r w:rsidR="00316065" w:rsidRPr="00316065">
        <w:t xml:space="preserve">ieturēti, samazinot maksājuma pieprasījuma apjomu. </w:t>
      </w:r>
    </w:p>
    <w:p w14:paraId="0C5810C3" w14:textId="6B80273C" w:rsidR="00F270B7" w:rsidRDefault="00143F7E" w:rsidP="00DC4E3D">
      <w:pPr>
        <w:spacing w:before="120" w:after="120" w:line="276" w:lineRule="auto"/>
        <w:jc w:val="both"/>
      </w:pPr>
      <w:r w:rsidRPr="006E6057">
        <w:t xml:space="preserve">Pārskata periodā </w:t>
      </w:r>
      <w:r w:rsidR="00DF1D24" w:rsidRPr="006E6057">
        <w:t xml:space="preserve">2 </w:t>
      </w:r>
      <w:r w:rsidRPr="006E6057">
        <w:t>neatbilstības</w:t>
      </w:r>
      <w:r w:rsidR="00DF1D24" w:rsidRPr="006E6057">
        <w:t xml:space="preserve"> 0,3 milj. </w:t>
      </w:r>
      <w:r w:rsidR="00DF1D24" w:rsidRPr="00157FA9">
        <w:rPr>
          <w:i/>
        </w:rPr>
        <w:t xml:space="preserve">euro </w:t>
      </w:r>
      <w:r w:rsidR="0019112C" w:rsidRPr="006E6057">
        <w:t>apmērā</w:t>
      </w:r>
      <w:r w:rsidRPr="006E6057">
        <w:t>, kas veido</w:t>
      </w:r>
      <w:r w:rsidR="0019112C" w:rsidRPr="006E6057">
        <w:t xml:space="preserve"> 5</w:t>
      </w:r>
      <w:r w:rsidR="008435DF" w:rsidRPr="006E6057">
        <w:t>% no kopējā neatbilstoši veikto izdevumu apjoma</w:t>
      </w:r>
      <w:r>
        <w:t>,</w:t>
      </w:r>
      <w:r w:rsidR="008435DF">
        <w:t xml:space="preserve"> </w:t>
      </w:r>
      <w:r w:rsidR="00DF1D24">
        <w:t>ir konstatētas</w:t>
      </w:r>
      <w:r w:rsidR="00C14E34">
        <w:t xml:space="preserve"> Ogres pašvaldības īstenotajā </w:t>
      </w:r>
      <w:r w:rsidR="00DF1D24">
        <w:t xml:space="preserve">ERAF projektā, kas ir vērsts uz </w:t>
      </w:r>
      <w:r w:rsidR="00DF1D24" w:rsidRPr="00DF1D24">
        <w:t>plūdu un krasta erozijas risku apdraudējumu</w:t>
      </w:r>
      <w:r w:rsidR="00DF1D24">
        <w:t xml:space="preserve"> novēršanu Ogr</w:t>
      </w:r>
      <w:r w:rsidR="006B6792">
        <w:t xml:space="preserve">ē. </w:t>
      </w:r>
      <w:r w:rsidR="00DF1D24">
        <w:t>Neatbilstoši veiktie izdevumi ir saistīti ar iepirkuma pārkāpumiem un aprēķin</w:t>
      </w:r>
      <w:r w:rsidR="00167574">
        <w:t>āšanas</w:t>
      </w:r>
      <w:r w:rsidR="00DF1D24">
        <w:t xml:space="preserve"> kļ</w:t>
      </w:r>
      <w:r w:rsidR="00167574">
        <w:t>ūdu.</w:t>
      </w:r>
      <w:r w:rsidR="006B6792">
        <w:t xml:space="preserve"> Vēl 2 neatbilstības par kopēju summu </w:t>
      </w:r>
      <w:r>
        <w:t xml:space="preserve">92,8 </w:t>
      </w:r>
      <w:r w:rsidR="006B6792" w:rsidRPr="006B6792">
        <w:rPr>
          <w:i/>
        </w:rPr>
        <w:t>euro</w:t>
      </w:r>
      <w:r w:rsidR="006B6792">
        <w:t xml:space="preserve"> apmērā ir konstatētās ESF projektos un ir </w:t>
      </w:r>
      <w:r w:rsidR="00A46354">
        <w:t>saistītas ar iepirkumu pārkāpumiem.</w:t>
      </w:r>
      <w:r w:rsidR="00F270B7">
        <w:t xml:space="preserve"> </w:t>
      </w:r>
    </w:p>
    <w:p w14:paraId="5EC5A51E" w14:textId="2FBC452E" w:rsidR="0078750D" w:rsidRPr="00F40D15" w:rsidRDefault="00F270B7" w:rsidP="00DC4E3D">
      <w:pPr>
        <w:spacing w:before="120" w:after="120" w:line="276" w:lineRule="auto"/>
        <w:jc w:val="both"/>
      </w:pPr>
      <w:r>
        <w:t xml:space="preserve">Neatbilstoši veiktie izdevumi iepriekš nebija deklarēti EK un </w:t>
      </w:r>
      <w:r w:rsidR="00481FBD">
        <w:t xml:space="preserve">ir atgūti 18 gadījumos, gandrīz 100% apmērā no kopējā neatbilstību apjoma. </w:t>
      </w:r>
    </w:p>
    <w:p w14:paraId="18479372" w14:textId="67177B1F" w:rsidR="009C0862" w:rsidRPr="007B43CF" w:rsidRDefault="009C0862" w:rsidP="00DB0769">
      <w:pPr>
        <w:pStyle w:val="2lmenis"/>
      </w:pPr>
      <w:bookmarkStart w:id="17" w:name="_Toc459713623"/>
      <w:r w:rsidRPr="007B43CF">
        <w:t>Neatbilstības EEZ/Norvēģijas finanšu instrumentos un Šveices programmā</w:t>
      </w:r>
      <w:bookmarkEnd w:id="17"/>
      <w:r w:rsidRPr="007B43CF">
        <w:t xml:space="preserve"> </w:t>
      </w:r>
    </w:p>
    <w:p w14:paraId="70349DBF" w14:textId="34FDBA5A" w:rsidR="007B43CF" w:rsidRDefault="007B43CF" w:rsidP="00DC4E3D">
      <w:pPr>
        <w:spacing w:line="276" w:lineRule="auto"/>
        <w:jc w:val="both"/>
        <w:rPr>
          <w:iCs/>
          <w:szCs w:val="24"/>
        </w:rPr>
      </w:pPr>
      <w:r w:rsidRPr="00C81F94">
        <w:rPr>
          <w:iCs/>
          <w:szCs w:val="24"/>
        </w:rPr>
        <w:t xml:space="preserve">Līdz pārskata perioda beigām EEZ/Norvēģijas finanšu instrumentos par neattiecināmiem izdevumiem </w:t>
      </w:r>
      <w:r>
        <w:rPr>
          <w:iCs/>
          <w:szCs w:val="24"/>
        </w:rPr>
        <w:t xml:space="preserve">ir </w:t>
      </w:r>
      <w:r w:rsidRPr="00070B60">
        <w:rPr>
          <w:iCs/>
          <w:szCs w:val="24"/>
        </w:rPr>
        <w:t xml:space="preserve">atzīti </w:t>
      </w:r>
      <w:r w:rsidR="005B5B39">
        <w:rPr>
          <w:iCs/>
          <w:szCs w:val="24"/>
        </w:rPr>
        <w:t>11,8</w:t>
      </w:r>
      <w:r w:rsidRPr="00070B60">
        <w:rPr>
          <w:iCs/>
          <w:szCs w:val="24"/>
        </w:rPr>
        <w:t xml:space="preserve"> tūkst. </w:t>
      </w:r>
      <w:r w:rsidRPr="00113C8B">
        <w:rPr>
          <w:i/>
          <w:iCs/>
          <w:szCs w:val="24"/>
        </w:rPr>
        <w:t>euro</w:t>
      </w:r>
      <w:r w:rsidRPr="00070B60">
        <w:rPr>
          <w:iCs/>
          <w:szCs w:val="24"/>
        </w:rPr>
        <w:t xml:space="preserve"> jeb </w:t>
      </w:r>
      <w:r w:rsidR="00070B60" w:rsidRPr="00070B60">
        <w:rPr>
          <w:iCs/>
          <w:szCs w:val="24"/>
        </w:rPr>
        <w:t>0,02</w:t>
      </w:r>
      <w:r w:rsidRPr="00070B60">
        <w:rPr>
          <w:iCs/>
          <w:szCs w:val="24"/>
        </w:rPr>
        <w:t>% no pieejamā finanšu</w:t>
      </w:r>
      <w:r w:rsidRPr="00626944">
        <w:rPr>
          <w:iCs/>
          <w:szCs w:val="24"/>
        </w:rPr>
        <w:t xml:space="preserve"> instrumentu finansējuma, </w:t>
      </w:r>
      <w:r w:rsidR="00742D5E" w:rsidRPr="00742D5E">
        <w:rPr>
          <w:iCs/>
          <w:szCs w:val="24"/>
        </w:rPr>
        <w:t xml:space="preserve">savukārt Šveices programmā - 200,8 tūkst. </w:t>
      </w:r>
      <w:r w:rsidR="00742D5E" w:rsidRPr="00113C8B">
        <w:rPr>
          <w:i/>
          <w:iCs/>
          <w:szCs w:val="24"/>
        </w:rPr>
        <w:t>euro</w:t>
      </w:r>
      <w:r w:rsidR="00742D5E" w:rsidRPr="00742D5E">
        <w:rPr>
          <w:iCs/>
          <w:szCs w:val="24"/>
        </w:rPr>
        <w:t xml:space="preserve"> jeb 0,4% no pieejamā Šveices finansējuma. 2016.gada 1.pusgadā ir konstatēti neatbilstoši veiktie izdevumi</w:t>
      </w:r>
      <w:r>
        <w:rPr>
          <w:iCs/>
          <w:szCs w:val="24"/>
        </w:rPr>
        <w:t>:</w:t>
      </w:r>
    </w:p>
    <w:p w14:paraId="2D94AE0F" w14:textId="108C7B1C" w:rsidR="007B43CF" w:rsidRPr="00626944" w:rsidRDefault="007B43CF" w:rsidP="00DC4E3D">
      <w:pPr>
        <w:pStyle w:val="ListParagraph"/>
        <w:numPr>
          <w:ilvl w:val="0"/>
          <w:numId w:val="21"/>
        </w:numPr>
        <w:spacing w:line="276" w:lineRule="auto"/>
        <w:jc w:val="both"/>
        <w:rPr>
          <w:color w:val="000000"/>
          <w:szCs w:val="20"/>
          <w:lang w:eastAsia="lv-LV"/>
        </w:rPr>
      </w:pPr>
      <w:r w:rsidRPr="00626944">
        <w:rPr>
          <w:color w:val="000000"/>
          <w:szCs w:val="20"/>
          <w:lang w:eastAsia="lv-LV"/>
        </w:rPr>
        <w:t xml:space="preserve">EEZ/Norvēģijas finanšu instrumentos dažāda veida projektu īstenotāju izmaksu </w:t>
      </w:r>
      <w:proofErr w:type="spellStart"/>
      <w:r w:rsidRPr="00626944">
        <w:rPr>
          <w:color w:val="000000"/>
          <w:szCs w:val="20"/>
          <w:lang w:eastAsia="lv-LV"/>
        </w:rPr>
        <w:t>att</w:t>
      </w:r>
      <w:r>
        <w:rPr>
          <w:color w:val="000000"/>
          <w:szCs w:val="20"/>
          <w:lang w:eastAsia="lv-LV"/>
        </w:rPr>
        <w:t>iecināmības</w:t>
      </w:r>
      <w:proofErr w:type="spellEnd"/>
      <w:r>
        <w:rPr>
          <w:color w:val="000000"/>
          <w:szCs w:val="20"/>
          <w:lang w:eastAsia="lv-LV"/>
        </w:rPr>
        <w:t xml:space="preserve"> nosacījumu </w:t>
      </w:r>
      <w:r w:rsidRPr="00070B60">
        <w:rPr>
          <w:color w:val="000000"/>
          <w:szCs w:val="20"/>
          <w:lang w:eastAsia="lv-LV"/>
        </w:rPr>
        <w:t xml:space="preserve">pārkāpumos </w:t>
      </w:r>
      <w:r w:rsidR="005B5B39">
        <w:rPr>
          <w:color w:val="000000"/>
          <w:szCs w:val="20"/>
          <w:lang w:eastAsia="lv-LV"/>
        </w:rPr>
        <w:t>11,6</w:t>
      </w:r>
      <w:r w:rsidRPr="00070B60">
        <w:rPr>
          <w:color w:val="000000"/>
          <w:szCs w:val="20"/>
          <w:lang w:eastAsia="lv-LV"/>
        </w:rPr>
        <w:t xml:space="preserve"> tūkst.</w:t>
      </w:r>
      <w:r w:rsidRPr="00626944">
        <w:rPr>
          <w:color w:val="000000"/>
          <w:szCs w:val="20"/>
          <w:lang w:eastAsia="lv-LV"/>
        </w:rPr>
        <w:t xml:space="preserve"> </w:t>
      </w:r>
      <w:r w:rsidRPr="00113C8B">
        <w:rPr>
          <w:i/>
          <w:color w:val="000000"/>
          <w:szCs w:val="20"/>
          <w:lang w:eastAsia="lv-LV"/>
        </w:rPr>
        <w:t>euro</w:t>
      </w:r>
      <w:r w:rsidRPr="00626944">
        <w:rPr>
          <w:color w:val="000000"/>
          <w:szCs w:val="20"/>
          <w:lang w:eastAsia="lv-LV"/>
        </w:rPr>
        <w:t xml:space="preserve"> apmērā.</w:t>
      </w:r>
    </w:p>
    <w:p w14:paraId="3BE65116" w14:textId="30FE05AF" w:rsidR="007B43CF" w:rsidRPr="007B43CF" w:rsidRDefault="00F72BCD" w:rsidP="00DC4E3D">
      <w:pPr>
        <w:pStyle w:val="ListParagraph"/>
        <w:numPr>
          <w:ilvl w:val="0"/>
          <w:numId w:val="33"/>
        </w:numPr>
        <w:spacing w:before="120" w:after="120" w:line="276" w:lineRule="auto"/>
        <w:jc w:val="both"/>
        <w:rPr>
          <w:color w:val="000000"/>
          <w:szCs w:val="20"/>
          <w:lang w:eastAsia="lv-LV"/>
        </w:rPr>
      </w:pPr>
      <w:r w:rsidRPr="00F72BCD">
        <w:rPr>
          <w:color w:val="000000"/>
          <w:szCs w:val="20"/>
          <w:lang w:eastAsia="lv-LV"/>
        </w:rPr>
        <w:t xml:space="preserve">Šveices programmā „Atbalsts jaunatnes iniciatīvu attīstībai attālos vai mazattīstītos reģionos” 0,08 tūkst. </w:t>
      </w:r>
      <w:r w:rsidRPr="00113C8B">
        <w:rPr>
          <w:i/>
          <w:color w:val="000000"/>
          <w:szCs w:val="20"/>
          <w:lang w:eastAsia="lv-LV"/>
        </w:rPr>
        <w:t>euro</w:t>
      </w:r>
      <w:r w:rsidRPr="00F72BCD">
        <w:rPr>
          <w:color w:val="000000"/>
          <w:szCs w:val="20"/>
          <w:lang w:eastAsia="lv-LV"/>
        </w:rPr>
        <w:t xml:space="preserve"> apmērā divos no pašvaldību apakšprojektiem</w:t>
      </w:r>
      <w:r w:rsidR="007B43CF" w:rsidRPr="00626944">
        <w:rPr>
          <w:color w:val="000000"/>
          <w:szCs w:val="20"/>
          <w:lang w:eastAsia="lv-LV"/>
        </w:rPr>
        <w:t>.</w:t>
      </w:r>
    </w:p>
    <w:p w14:paraId="468B6F62" w14:textId="64B6C402" w:rsidR="00685BC9" w:rsidRDefault="00685BC9" w:rsidP="00DB0769">
      <w:pPr>
        <w:pStyle w:val="2lmenis"/>
      </w:pPr>
      <w:bookmarkStart w:id="18" w:name="_Toc459713624"/>
      <w:r w:rsidRPr="00685BC9">
        <w:t>Neatbilstības PHARE/ Pārejas programmas projektos</w:t>
      </w:r>
      <w:bookmarkEnd w:id="18"/>
    </w:p>
    <w:p w14:paraId="7C82B0AC" w14:textId="284134BA" w:rsidR="00332F17" w:rsidRPr="00332F17" w:rsidRDefault="00332F17" w:rsidP="00DC4E3D">
      <w:pPr>
        <w:widowControl w:val="0"/>
        <w:spacing w:after="120" w:line="276" w:lineRule="auto"/>
        <w:jc w:val="both"/>
        <w:rPr>
          <w:rFonts w:ascii="Calibri" w:eastAsia="Calibri" w:hAnsi="Calibri" w:cs="Times New Roman"/>
          <w:bCs/>
          <w:sz w:val="22"/>
        </w:rPr>
      </w:pPr>
      <w:r w:rsidRPr="00332F17">
        <w:rPr>
          <w:rFonts w:eastAsia="Calibri" w:cs="Times New Roman"/>
          <w:szCs w:val="24"/>
        </w:rPr>
        <w:t xml:space="preserve">Kopš 2014.gada, kad no </w:t>
      </w:r>
      <w:r w:rsidR="005F47F5">
        <w:rPr>
          <w:rFonts w:eastAsia="Calibri" w:cs="Times New Roman"/>
          <w:szCs w:val="24"/>
        </w:rPr>
        <w:t>EK</w:t>
      </w:r>
      <w:r w:rsidRPr="00332F17">
        <w:rPr>
          <w:rFonts w:eastAsia="Calibri" w:cs="Times New Roman"/>
          <w:szCs w:val="24"/>
        </w:rPr>
        <w:t xml:space="preserve"> puses ir slēgta pēdējā</w:t>
      </w:r>
      <w:r w:rsidRPr="00332F17">
        <w:rPr>
          <w:szCs w:val="24"/>
        </w:rPr>
        <w:t xml:space="preserve"> </w:t>
      </w:r>
      <w:r w:rsidRPr="00685BC9">
        <w:rPr>
          <w:szCs w:val="24"/>
        </w:rPr>
        <w:t xml:space="preserve">PHARE/ Pārejas </w:t>
      </w:r>
      <w:r w:rsidRPr="00332F17">
        <w:rPr>
          <w:rFonts w:eastAsia="Calibri" w:cs="Times New Roman"/>
          <w:szCs w:val="24"/>
        </w:rPr>
        <w:t>programma</w:t>
      </w:r>
      <w:r w:rsidR="0079636B">
        <w:rPr>
          <w:rFonts w:eastAsia="Calibri" w:cs="Times New Roman"/>
          <w:szCs w:val="24"/>
        </w:rPr>
        <w:t xml:space="preserve"> Latvijā</w:t>
      </w:r>
      <w:r w:rsidRPr="00332F17">
        <w:rPr>
          <w:rFonts w:eastAsia="Calibri" w:cs="Times New Roman"/>
          <w:szCs w:val="24"/>
        </w:rPr>
        <w:t xml:space="preserve">, nacionāli tiek risināti atsevišķi finansējuma atgūšanas, t.sk. tiesvedībā esošo </w:t>
      </w:r>
      <w:proofErr w:type="spellStart"/>
      <w:r w:rsidRPr="00332F17">
        <w:rPr>
          <w:rFonts w:eastAsia="Calibri" w:cs="Times New Roman"/>
          <w:szCs w:val="24"/>
        </w:rPr>
        <w:t>problēmgadījumu</w:t>
      </w:r>
      <w:proofErr w:type="spellEnd"/>
      <w:r w:rsidRPr="00332F17">
        <w:rPr>
          <w:rFonts w:eastAsia="Calibri" w:cs="Times New Roman"/>
          <w:szCs w:val="24"/>
        </w:rPr>
        <w:t xml:space="preserve"> jautājumi. Pārskata periodā nav konstatēti jauni </w:t>
      </w:r>
      <w:proofErr w:type="spellStart"/>
      <w:r w:rsidRPr="00332F17">
        <w:rPr>
          <w:rFonts w:eastAsia="Calibri" w:cs="Times New Roman"/>
          <w:szCs w:val="24"/>
        </w:rPr>
        <w:t>problēmgadījumi</w:t>
      </w:r>
      <w:proofErr w:type="spellEnd"/>
      <w:r w:rsidRPr="00332F17">
        <w:rPr>
          <w:rFonts w:eastAsia="Calibri" w:cs="Times New Roman"/>
          <w:szCs w:val="24"/>
        </w:rPr>
        <w:t xml:space="preserve">. </w:t>
      </w:r>
      <w:r w:rsidR="0079636B">
        <w:rPr>
          <w:rFonts w:eastAsia="Calibri" w:cs="Times New Roman"/>
          <w:szCs w:val="24"/>
        </w:rPr>
        <w:t>Vienlaikus secināts</w:t>
      </w:r>
      <w:r>
        <w:rPr>
          <w:rFonts w:eastAsia="Calibri" w:cs="Times New Roman"/>
          <w:szCs w:val="24"/>
        </w:rPr>
        <w:t xml:space="preserve">, ka </w:t>
      </w:r>
      <w:r w:rsidR="005F47F5">
        <w:rPr>
          <w:rFonts w:eastAsia="Calibri" w:cs="Times New Roman"/>
          <w:bCs/>
          <w:szCs w:val="24"/>
        </w:rPr>
        <w:t>SIF</w:t>
      </w:r>
      <w:r w:rsidRPr="00332F17">
        <w:rPr>
          <w:rFonts w:eastAsia="Calibri" w:cs="Times New Roman"/>
          <w:bCs/>
          <w:szCs w:val="24"/>
        </w:rPr>
        <w:t xml:space="preserve"> uzturētajās tiesvedībās ar finansējuma saņēmējiem (</w:t>
      </w:r>
      <w:proofErr w:type="spellStart"/>
      <w:r w:rsidRPr="00332F17">
        <w:rPr>
          <w:rFonts w:eastAsia="Calibri" w:cs="Times New Roman"/>
          <w:bCs/>
          <w:szCs w:val="24"/>
        </w:rPr>
        <w:t>gk</w:t>
      </w:r>
      <w:proofErr w:type="spellEnd"/>
      <w:r w:rsidRPr="00332F17">
        <w:rPr>
          <w:rFonts w:eastAsia="Calibri" w:cs="Times New Roman"/>
          <w:bCs/>
          <w:szCs w:val="24"/>
        </w:rPr>
        <w:t>. NVO) ilgstoši neatgūto līdzekļu kopa</w:t>
      </w:r>
      <w:r w:rsidR="00CC5D18">
        <w:rPr>
          <w:rFonts w:eastAsia="Calibri" w:cs="Times New Roman"/>
          <w:bCs/>
          <w:szCs w:val="24"/>
        </w:rPr>
        <w:t>p</w:t>
      </w:r>
      <w:r w:rsidRPr="00332F17">
        <w:rPr>
          <w:rFonts w:eastAsia="Calibri" w:cs="Times New Roman"/>
          <w:bCs/>
          <w:szCs w:val="24"/>
        </w:rPr>
        <w:t xml:space="preserve">joms ir </w:t>
      </w:r>
      <w:r w:rsidRPr="00685BC9">
        <w:rPr>
          <w:szCs w:val="24"/>
        </w:rPr>
        <w:t xml:space="preserve">92 893,14 </w:t>
      </w:r>
      <w:r w:rsidRPr="00332F17">
        <w:rPr>
          <w:i/>
          <w:szCs w:val="24"/>
        </w:rPr>
        <w:t>euro</w:t>
      </w:r>
      <w:r w:rsidRPr="00332F17">
        <w:rPr>
          <w:rFonts w:eastAsia="Calibri" w:cs="Times New Roman"/>
          <w:bCs/>
          <w:i/>
          <w:szCs w:val="24"/>
        </w:rPr>
        <w:t xml:space="preserve"> </w:t>
      </w:r>
      <w:r w:rsidRPr="00332F17">
        <w:rPr>
          <w:rFonts w:eastAsia="Calibri" w:cs="Times New Roman"/>
          <w:bCs/>
          <w:szCs w:val="24"/>
        </w:rPr>
        <w:t xml:space="preserve">un aktuālā progresa informācija neliecina par iespējamiem uzlabojumiem. </w:t>
      </w:r>
    </w:p>
    <w:p w14:paraId="1F62FCEE" w14:textId="42AF805D" w:rsidR="00685BC9" w:rsidRPr="00685BC9" w:rsidRDefault="00685BC9" w:rsidP="00DC4E3D">
      <w:pPr>
        <w:spacing w:before="120" w:after="120" w:line="276" w:lineRule="auto"/>
        <w:jc w:val="both"/>
        <w:rPr>
          <w:szCs w:val="24"/>
        </w:rPr>
      </w:pPr>
      <w:r w:rsidRPr="00685BC9">
        <w:rPr>
          <w:szCs w:val="24"/>
        </w:rPr>
        <w:t>SIF ir izvērtējis ieguvumus un zaudējumus no tiesvedību vai piedziņas procesu turpināšanas vai neturpināšanas skat</w:t>
      </w:r>
      <w:r w:rsidR="00ED7AB5">
        <w:rPr>
          <w:szCs w:val="24"/>
        </w:rPr>
        <w:t>u</w:t>
      </w:r>
      <w:r w:rsidRPr="00685BC9">
        <w:rPr>
          <w:szCs w:val="24"/>
        </w:rPr>
        <w:t xml:space="preserve">punkta </w:t>
      </w:r>
      <w:r w:rsidR="00332F17">
        <w:rPr>
          <w:szCs w:val="24"/>
        </w:rPr>
        <w:t xml:space="preserve"> un </w:t>
      </w:r>
      <w:r w:rsidRPr="00685BC9">
        <w:rPr>
          <w:szCs w:val="24"/>
        </w:rPr>
        <w:t>konstatēj</w:t>
      </w:r>
      <w:r w:rsidR="00332F17">
        <w:rPr>
          <w:szCs w:val="24"/>
        </w:rPr>
        <w:t>is</w:t>
      </w:r>
      <w:r w:rsidRPr="00685BC9">
        <w:rPr>
          <w:szCs w:val="24"/>
        </w:rPr>
        <w:t xml:space="preserve">, ka PHARE/ Pārejas programmas projektu ietvaros neatbilstoši veikto izdevumu atgūšana ir vērtējama kā maz ticama, jo atguves process ilgst gandrīz desmit gadus, bet vairāku gadu laikā faktiski atgūt līdzekļus nav bijis iespējams. Par procesiem, kas tikuši nodoti piespiedu piedziņas veikšanai zvērinātam tiesu izpildītājam, vairākus gadus pēc kārtas no attiecīgajiem tiesu izpildītājiem saņemta informācija par atguves statusa nemainīgumu (parādniekam nav atrasta manta un naudas līdzekļi, uz ko būtu vēršama parāda piedziņa). Lai nodrošinātu līdzekļu efektīvu un ekonomisku izlietošanu atbilstoši paredzētajiem mērķiem un lai nelietderīgi netērētu valsts budžeta līdzekļus atguves procesu koordinēšanai (jurista, auditora darbs, u.c.), SIF ierosina norakstīt summu  92 893,14 </w:t>
      </w:r>
      <w:r w:rsidR="001153F9">
        <w:rPr>
          <w:szCs w:val="24"/>
        </w:rPr>
        <w:t>e</w:t>
      </w:r>
      <w:r w:rsidR="001153F9" w:rsidRPr="005F47F5">
        <w:rPr>
          <w:i/>
          <w:szCs w:val="24"/>
        </w:rPr>
        <w:t>uro</w:t>
      </w:r>
      <w:r w:rsidRPr="00685BC9">
        <w:rPr>
          <w:szCs w:val="24"/>
        </w:rPr>
        <w:t xml:space="preserve"> valsts budžeta zaudējumos</w:t>
      </w:r>
      <w:r w:rsidR="00332F17">
        <w:rPr>
          <w:szCs w:val="24"/>
        </w:rPr>
        <w:t>, sniedzot i</w:t>
      </w:r>
      <w:r w:rsidRPr="00685BC9">
        <w:rPr>
          <w:szCs w:val="24"/>
        </w:rPr>
        <w:t>nformācij</w:t>
      </w:r>
      <w:r w:rsidR="00332F17">
        <w:rPr>
          <w:szCs w:val="24"/>
        </w:rPr>
        <w:t>u</w:t>
      </w:r>
      <w:r w:rsidRPr="00685BC9">
        <w:rPr>
          <w:szCs w:val="24"/>
        </w:rPr>
        <w:t xml:space="preserve"> par neatgūto finansējumu PHARE/ Pārejas programmas projektos:</w:t>
      </w:r>
    </w:p>
    <w:p w14:paraId="4E68B46C" w14:textId="4513F981" w:rsidR="00685BC9" w:rsidRPr="00933640" w:rsidRDefault="00685BC9" w:rsidP="00DC4E3D">
      <w:pPr>
        <w:pStyle w:val="ListParagraph"/>
        <w:numPr>
          <w:ilvl w:val="0"/>
          <w:numId w:val="33"/>
        </w:numPr>
        <w:spacing w:before="120" w:after="120" w:line="276" w:lineRule="auto"/>
        <w:ind w:left="567"/>
        <w:jc w:val="both"/>
        <w:rPr>
          <w:szCs w:val="24"/>
        </w:rPr>
      </w:pPr>
      <w:r w:rsidRPr="00933640">
        <w:rPr>
          <w:szCs w:val="24"/>
        </w:rPr>
        <w:lastRenderedPageBreak/>
        <w:t xml:space="preserve">Finansējuma saņēmējs: Biedrība „ Latvijas </w:t>
      </w:r>
      <w:proofErr w:type="spellStart"/>
      <w:r w:rsidRPr="00933640">
        <w:rPr>
          <w:szCs w:val="24"/>
        </w:rPr>
        <w:t>romu</w:t>
      </w:r>
      <w:proofErr w:type="spellEnd"/>
      <w:r w:rsidRPr="00933640">
        <w:rPr>
          <w:szCs w:val="24"/>
        </w:rPr>
        <w:t xml:space="preserve"> apvienība „NĒVO DROM””</w:t>
      </w:r>
      <w:r w:rsidR="00ED346E">
        <w:rPr>
          <w:rStyle w:val="FootnoteReference"/>
          <w:szCs w:val="24"/>
        </w:rPr>
        <w:footnoteReference w:id="26"/>
      </w:r>
      <w:r w:rsidRPr="00933640">
        <w:rPr>
          <w:szCs w:val="24"/>
        </w:rPr>
        <w:t xml:space="preserve">. Atgūstamā finansējuma apjoms – </w:t>
      </w:r>
      <w:proofErr w:type="spellStart"/>
      <w:r w:rsidRPr="00933640">
        <w:rPr>
          <w:szCs w:val="24"/>
        </w:rPr>
        <w:t>granta</w:t>
      </w:r>
      <w:proofErr w:type="spellEnd"/>
      <w:r w:rsidRPr="00933640">
        <w:rPr>
          <w:szCs w:val="24"/>
        </w:rPr>
        <w:t xml:space="preserve"> līdzekļi 46</w:t>
      </w:r>
      <w:r w:rsidR="00332F17" w:rsidRPr="00933640">
        <w:rPr>
          <w:szCs w:val="24"/>
        </w:rPr>
        <w:t xml:space="preserve"> </w:t>
      </w:r>
      <w:r w:rsidRPr="00933640">
        <w:rPr>
          <w:szCs w:val="24"/>
        </w:rPr>
        <w:t xml:space="preserve">218,88 </w:t>
      </w:r>
      <w:r w:rsidR="001153F9" w:rsidRPr="00933640">
        <w:rPr>
          <w:i/>
          <w:szCs w:val="24"/>
        </w:rPr>
        <w:t>euro</w:t>
      </w:r>
      <w:r w:rsidR="00332F17" w:rsidRPr="00933640">
        <w:rPr>
          <w:i/>
          <w:szCs w:val="24"/>
        </w:rPr>
        <w:t>;</w:t>
      </w:r>
      <w:r w:rsidR="00933640" w:rsidRPr="00933640">
        <w:rPr>
          <w:i/>
          <w:szCs w:val="24"/>
        </w:rPr>
        <w:t xml:space="preserve"> </w:t>
      </w:r>
      <w:r w:rsidR="00332F17" w:rsidRPr="00933640">
        <w:rPr>
          <w:szCs w:val="24"/>
        </w:rPr>
        <w:t>a</w:t>
      </w:r>
      <w:r w:rsidRPr="00933640">
        <w:rPr>
          <w:szCs w:val="24"/>
        </w:rPr>
        <w:t xml:space="preserve">tgūtais finansējums – 644,75 </w:t>
      </w:r>
      <w:r w:rsidR="001153F9" w:rsidRPr="00933640">
        <w:rPr>
          <w:i/>
          <w:szCs w:val="24"/>
        </w:rPr>
        <w:t>euro</w:t>
      </w:r>
      <w:r w:rsidRPr="00933640">
        <w:rPr>
          <w:szCs w:val="24"/>
        </w:rPr>
        <w:t xml:space="preserve">; Atlikušais atgūstamais finansējums – </w:t>
      </w:r>
      <w:proofErr w:type="spellStart"/>
      <w:r w:rsidRPr="00933640">
        <w:rPr>
          <w:szCs w:val="24"/>
        </w:rPr>
        <w:t>granta</w:t>
      </w:r>
      <w:proofErr w:type="spellEnd"/>
      <w:r w:rsidRPr="00933640">
        <w:rPr>
          <w:szCs w:val="24"/>
        </w:rPr>
        <w:t xml:space="preserve"> līdzekļi 45 574,13 </w:t>
      </w:r>
      <w:r w:rsidR="00ED346E" w:rsidRPr="00933640">
        <w:rPr>
          <w:i/>
          <w:szCs w:val="24"/>
        </w:rPr>
        <w:t>euro</w:t>
      </w:r>
      <w:r w:rsidR="00332F17" w:rsidRPr="00933640">
        <w:rPr>
          <w:i/>
          <w:szCs w:val="24"/>
        </w:rPr>
        <w:t>.</w:t>
      </w:r>
      <w:r w:rsidRPr="00933640">
        <w:rPr>
          <w:szCs w:val="24"/>
        </w:rPr>
        <w:t xml:space="preserve"> Procesa veids:</w:t>
      </w:r>
      <w:r w:rsidR="00332F17" w:rsidRPr="00933640">
        <w:rPr>
          <w:szCs w:val="24"/>
        </w:rPr>
        <w:t xml:space="preserve"> p</w:t>
      </w:r>
      <w:r w:rsidRPr="00933640">
        <w:rPr>
          <w:szCs w:val="24"/>
        </w:rPr>
        <w:t>iespiedu piedziņa (</w:t>
      </w:r>
      <w:r w:rsidR="001153F9" w:rsidRPr="00933640">
        <w:rPr>
          <w:szCs w:val="24"/>
        </w:rPr>
        <w:t>2012.gada 16.februārī</w:t>
      </w:r>
      <w:r w:rsidRPr="00933640">
        <w:rPr>
          <w:szCs w:val="24"/>
        </w:rPr>
        <w:t xml:space="preserve"> nodots piedziņas veikšanai zvērinātam tiesu izpildītājam, pamatojoties uz </w:t>
      </w:r>
      <w:r w:rsidR="001153F9" w:rsidRPr="00933640">
        <w:rPr>
          <w:szCs w:val="24"/>
        </w:rPr>
        <w:t>2012.gada 4.janvāra</w:t>
      </w:r>
      <w:r w:rsidRPr="00933640">
        <w:rPr>
          <w:szCs w:val="24"/>
        </w:rPr>
        <w:t xml:space="preserve"> Administratīvās rajona tiesas spriedumu)</w:t>
      </w:r>
      <w:r w:rsidR="00332F17" w:rsidRPr="00933640">
        <w:rPr>
          <w:szCs w:val="24"/>
        </w:rPr>
        <w:t xml:space="preserve">. </w:t>
      </w:r>
      <w:r w:rsidRPr="00933640">
        <w:rPr>
          <w:szCs w:val="24"/>
        </w:rPr>
        <w:t xml:space="preserve">Kriminālprocess (uzsākts </w:t>
      </w:r>
      <w:r w:rsidR="001153F9" w:rsidRPr="00933640">
        <w:rPr>
          <w:szCs w:val="24"/>
        </w:rPr>
        <w:t>2009.gada 7.septembrī</w:t>
      </w:r>
      <w:r w:rsidRPr="00933640">
        <w:rPr>
          <w:szCs w:val="24"/>
        </w:rPr>
        <w:t>, vairākas reizes atkārtoti izbeigts un atkal uzsākts kriminālprocess).</w:t>
      </w:r>
      <w:r w:rsidR="00933640">
        <w:rPr>
          <w:szCs w:val="24"/>
        </w:rPr>
        <w:t xml:space="preserve"> </w:t>
      </w:r>
      <w:r w:rsidRPr="00933640">
        <w:rPr>
          <w:szCs w:val="24"/>
        </w:rPr>
        <w:t xml:space="preserve">Atguves iespējamība: Procesa turpināšana nav lietderīga, </w:t>
      </w:r>
      <w:r w:rsidR="00B40AB6">
        <w:rPr>
          <w:szCs w:val="24"/>
        </w:rPr>
        <w:t>ņe</w:t>
      </w:r>
      <w:r w:rsidR="00332F17" w:rsidRPr="00933640">
        <w:rPr>
          <w:szCs w:val="24"/>
        </w:rPr>
        <w:t xml:space="preserve">mot vērā, ka </w:t>
      </w:r>
      <w:r w:rsidRPr="00933640">
        <w:rPr>
          <w:szCs w:val="24"/>
        </w:rPr>
        <w:t>vairākus gadus no zvērināta tiesu izpildītāja saņemta informācija, ka parādniekam nav atrasta manta un naudas līdzekļi, uz ko būtu vēršama parāda piedziņa. Kriminālprocesa virzība, iespējams, tiek vilcināta, par ko SIF vairākkārt ir rakstījis sūdzības Ģenerālprokuratūrai.</w:t>
      </w:r>
    </w:p>
    <w:p w14:paraId="14D0835B" w14:textId="0D8683F2" w:rsidR="00685BC9" w:rsidRPr="00933640" w:rsidRDefault="00685BC9" w:rsidP="00DC4E3D">
      <w:pPr>
        <w:pStyle w:val="ListParagraph"/>
        <w:numPr>
          <w:ilvl w:val="0"/>
          <w:numId w:val="33"/>
        </w:numPr>
        <w:spacing w:before="120" w:after="120" w:line="276" w:lineRule="auto"/>
        <w:ind w:left="567"/>
        <w:jc w:val="both"/>
        <w:rPr>
          <w:szCs w:val="24"/>
        </w:rPr>
      </w:pPr>
      <w:r w:rsidRPr="00933640">
        <w:rPr>
          <w:szCs w:val="24"/>
        </w:rPr>
        <w:t>Finansējuma saņēmējs: Biedrība „Rīgas pilsētas misija”</w:t>
      </w:r>
      <w:r w:rsidR="00ED346E">
        <w:rPr>
          <w:rStyle w:val="FootnoteReference"/>
          <w:szCs w:val="24"/>
        </w:rPr>
        <w:footnoteReference w:id="27"/>
      </w:r>
      <w:r w:rsidRPr="00933640">
        <w:rPr>
          <w:szCs w:val="24"/>
        </w:rPr>
        <w:t xml:space="preserve">. Atgūstamā finansējuma apjoms – </w:t>
      </w:r>
      <w:proofErr w:type="spellStart"/>
      <w:r w:rsidRPr="00933640">
        <w:rPr>
          <w:szCs w:val="24"/>
        </w:rPr>
        <w:t>granta</w:t>
      </w:r>
      <w:proofErr w:type="spellEnd"/>
      <w:r w:rsidRPr="00933640">
        <w:rPr>
          <w:szCs w:val="24"/>
        </w:rPr>
        <w:t xml:space="preserve"> līdzekļi 1</w:t>
      </w:r>
      <w:r w:rsidR="00332F17" w:rsidRPr="00933640">
        <w:rPr>
          <w:szCs w:val="24"/>
        </w:rPr>
        <w:t xml:space="preserve"> </w:t>
      </w:r>
      <w:r w:rsidRPr="00933640">
        <w:rPr>
          <w:szCs w:val="24"/>
        </w:rPr>
        <w:t xml:space="preserve">114,21 </w:t>
      </w:r>
      <w:r w:rsidR="001153F9" w:rsidRPr="00933640">
        <w:rPr>
          <w:i/>
          <w:szCs w:val="24"/>
        </w:rPr>
        <w:t>euro</w:t>
      </w:r>
      <w:r w:rsidR="001153F9" w:rsidRPr="00933640">
        <w:rPr>
          <w:szCs w:val="24"/>
        </w:rPr>
        <w:t xml:space="preserve">, no kuriem nekas nav atgūts. </w:t>
      </w:r>
      <w:r w:rsidR="00332F17" w:rsidRPr="00933640">
        <w:rPr>
          <w:szCs w:val="24"/>
        </w:rPr>
        <w:t xml:space="preserve"> </w:t>
      </w:r>
      <w:r w:rsidRPr="00933640">
        <w:rPr>
          <w:szCs w:val="24"/>
        </w:rPr>
        <w:t xml:space="preserve">Procesa veids: </w:t>
      </w:r>
      <w:r w:rsidR="00332F17" w:rsidRPr="00933640">
        <w:rPr>
          <w:szCs w:val="24"/>
        </w:rPr>
        <w:t>p</w:t>
      </w:r>
      <w:r w:rsidRPr="00933640">
        <w:rPr>
          <w:szCs w:val="24"/>
        </w:rPr>
        <w:t>iespiedu piedziņa (</w:t>
      </w:r>
      <w:r w:rsidR="001153F9" w:rsidRPr="00933640">
        <w:rPr>
          <w:szCs w:val="24"/>
        </w:rPr>
        <w:t>2013.gada 28.februārī</w:t>
      </w:r>
      <w:r w:rsidRPr="00933640">
        <w:rPr>
          <w:szCs w:val="24"/>
        </w:rPr>
        <w:t xml:space="preserve"> nodots piedziņas veikšanai zvērinātam tiesu izpildītājam, pamatojoties uz </w:t>
      </w:r>
      <w:r w:rsidR="001153F9" w:rsidRPr="00933640">
        <w:rPr>
          <w:szCs w:val="24"/>
        </w:rPr>
        <w:t>2012.gada 16.novembra</w:t>
      </w:r>
      <w:r w:rsidRPr="00933640">
        <w:rPr>
          <w:szCs w:val="24"/>
        </w:rPr>
        <w:t xml:space="preserve"> Administratīvās rajona tiesas spriedumu).</w:t>
      </w:r>
      <w:r w:rsidR="00933640">
        <w:rPr>
          <w:szCs w:val="24"/>
        </w:rPr>
        <w:t xml:space="preserve"> </w:t>
      </w:r>
      <w:r w:rsidRPr="00933640">
        <w:rPr>
          <w:szCs w:val="24"/>
        </w:rPr>
        <w:t>Atguves iespējamība: Procesa turpināšana nav lietderīga, jo vairākus gadus no zvērināta tiesu izpildītāja saņemta informācija, ka parādniekam nav atrasta manta un naudas līdzekļi, uz ko būtu vēršama parāda piedziņa.</w:t>
      </w:r>
    </w:p>
    <w:p w14:paraId="1C1F3720" w14:textId="50EBF2B9" w:rsidR="00685BC9" w:rsidRPr="00933640" w:rsidRDefault="00685BC9" w:rsidP="00DC4E3D">
      <w:pPr>
        <w:pStyle w:val="ListParagraph"/>
        <w:numPr>
          <w:ilvl w:val="0"/>
          <w:numId w:val="33"/>
        </w:numPr>
        <w:spacing w:before="120" w:after="120" w:line="276" w:lineRule="auto"/>
        <w:ind w:left="567"/>
        <w:jc w:val="both"/>
        <w:rPr>
          <w:szCs w:val="24"/>
        </w:rPr>
      </w:pPr>
      <w:r w:rsidRPr="00933640">
        <w:rPr>
          <w:szCs w:val="24"/>
        </w:rPr>
        <w:t>Finansējuma saņēmējs: Biedrība „Rīgas pilsētas misija”</w:t>
      </w:r>
      <w:r w:rsidR="00ED346E">
        <w:rPr>
          <w:rStyle w:val="FootnoteReference"/>
          <w:szCs w:val="24"/>
        </w:rPr>
        <w:footnoteReference w:id="28"/>
      </w:r>
      <w:r w:rsidRPr="00933640">
        <w:rPr>
          <w:szCs w:val="24"/>
        </w:rPr>
        <w:t xml:space="preserve">,. Atgūstamā finansējuma apjoms – 44 874,00 </w:t>
      </w:r>
      <w:r w:rsidR="001153F9" w:rsidRPr="00933640">
        <w:rPr>
          <w:i/>
          <w:szCs w:val="24"/>
        </w:rPr>
        <w:t>euro</w:t>
      </w:r>
      <w:r w:rsidR="00332F17" w:rsidRPr="00933640">
        <w:rPr>
          <w:i/>
          <w:szCs w:val="24"/>
        </w:rPr>
        <w:t>.</w:t>
      </w:r>
      <w:r w:rsidRPr="00933640">
        <w:rPr>
          <w:szCs w:val="24"/>
        </w:rPr>
        <w:t xml:space="preserve"> Atgūtais finansējums – 1</w:t>
      </w:r>
      <w:r w:rsidR="00332F17" w:rsidRPr="00933640">
        <w:rPr>
          <w:szCs w:val="24"/>
        </w:rPr>
        <w:t xml:space="preserve"> </w:t>
      </w:r>
      <w:r w:rsidRPr="00933640">
        <w:rPr>
          <w:szCs w:val="24"/>
        </w:rPr>
        <w:t xml:space="preserve">751,10 </w:t>
      </w:r>
      <w:r w:rsidR="001153F9" w:rsidRPr="00933640">
        <w:rPr>
          <w:i/>
          <w:szCs w:val="24"/>
        </w:rPr>
        <w:t>euro</w:t>
      </w:r>
      <w:r w:rsidRPr="00933640">
        <w:rPr>
          <w:szCs w:val="24"/>
        </w:rPr>
        <w:t>; Atlikušais atgūstamais finansējums – 43</w:t>
      </w:r>
      <w:r w:rsidR="00332F17" w:rsidRPr="00933640">
        <w:rPr>
          <w:szCs w:val="24"/>
        </w:rPr>
        <w:t xml:space="preserve"> </w:t>
      </w:r>
      <w:r w:rsidRPr="00933640">
        <w:rPr>
          <w:szCs w:val="24"/>
        </w:rPr>
        <w:t xml:space="preserve">122,90 </w:t>
      </w:r>
      <w:r w:rsidR="001153F9" w:rsidRPr="00933640">
        <w:rPr>
          <w:i/>
          <w:szCs w:val="24"/>
        </w:rPr>
        <w:t>euro</w:t>
      </w:r>
      <w:r w:rsidRPr="00933640">
        <w:rPr>
          <w:szCs w:val="24"/>
        </w:rPr>
        <w:t>.</w:t>
      </w:r>
      <w:r w:rsidR="00332F17" w:rsidRPr="00933640">
        <w:rPr>
          <w:szCs w:val="24"/>
        </w:rPr>
        <w:t xml:space="preserve"> </w:t>
      </w:r>
      <w:r w:rsidRPr="00933640">
        <w:rPr>
          <w:szCs w:val="24"/>
        </w:rPr>
        <w:t xml:space="preserve">Procesa veids: </w:t>
      </w:r>
      <w:r w:rsidR="00332F17" w:rsidRPr="00933640">
        <w:rPr>
          <w:szCs w:val="24"/>
        </w:rPr>
        <w:t>p</w:t>
      </w:r>
      <w:r w:rsidRPr="00933640">
        <w:rPr>
          <w:szCs w:val="24"/>
        </w:rPr>
        <w:t xml:space="preserve">iespiedu piedziņa (saistībā ar vienošanās par labprātīgu atmaksu nepildīšanu, </w:t>
      </w:r>
      <w:r w:rsidR="001153F9" w:rsidRPr="00933640">
        <w:rPr>
          <w:szCs w:val="24"/>
        </w:rPr>
        <w:t>2014.gada 23.jūlijā</w:t>
      </w:r>
      <w:r w:rsidRPr="00933640">
        <w:rPr>
          <w:szCs w:val="24"/>
        </w:rPr>
        <w:t xml:space="preserve"> nodots piedziņas veikšanai zvērinātam tiesu izpildītājam, pamatojoties uz </w:t>
      </w:r>
      <w:r w:rsidR="001153F9" w:rsidRPr="00933640">
        <w:rPr>
          <w:szCs w:val="24"/>
        </w:rPr>
        <w:t>2012.gada 9.marta</w:t>
      </w:r>
      <w:r w:rsidRPr="00933640">
        <w:rPr>
          <w:szCs w:val="24"/>
        </w:rPr>
        <w:t xml:space="preserve"> Rīgas pilsētas Latgales priekšpilsētas tiesas spriedumu).</w:t>
      </w:r>
      <w:r w:rsidR="00933640">
        <w:rPr>
          <w:szCs w:val="24"/>
        </w:rPr>
        <w:t xml:space="preserve"> </w:t>
      </w:r>
      <w:r w:rsidRPr="00933640">
        <w:rPr>
          <w:szCs w:val="24"/>
        </w:rPr>
        <w:t>Atguves iespējamība: Procesa turpināšana nav lietderīga, jo no zvērināta tiesu izpildītāja saņemta informācija, ka parādniekam nav atrasta manta un naudas līdzekļi, uz ko būtu vēršama parāda piedziņa.</w:t>
      </w:r>
    </w:p>
    <w:p w14:paraId="76974612" w14:textId="26F01263" w:rsidR="00933640" w:rsidRDefault="00685BC9" w:rsidP="00DC4E3D">
      <w:pPr>
        <w:pStyle w:val="ListParagraph"/>
        <w:numPr>
          <w:ilvl w:val="0"/>
          <w:numId w:val="33"/>
        </w:numPr>
        <w:spacing w:before="120" w:after="120" w:line="276" w:lineRule="auto"/>
        <w:ind w:left="567"/>
        <w:jc w:val="both"/>
        <w:rPr>
          <w:szCs w:val="24"/>
        </w:rPr>
      </w:pPr>
      <w:r w:rsidRPr="00933640">
        <w:rPr>
          <w:szCs w:val="24"/>
        </w:rPr>
        <w:t>Finansējuma saņēmējs: SO „Brīvprātīgo centrs”</w:t>
      </w:r>
      <w:r w:rsidR="00ED346E">
        <w:rPr>
          <w:rStyle w:val="FootnoteReference"/>
          <w:szCs w:val="24"/>
        </w:rPr>
        <w:footnoteReference w:id="29"/>
      </w:r>
      <w:r w:rsidRPr="00933640">
        <w:rPr>
          <w:szCs w:val="24"/>
        </w:rPr>
        <w:t xml:space="preserve">. Atgūstamā finansējuma apjoms – </w:t>
      </w:r>
      <w:r w:rsidR="00266123">
        <w:rPr>
          <w:szCs w:val="24"/>
        </w:rPr>
        <w:t xml:space="preserve">               </w:t>
      </w:r>
      <w:r w:rsidRPr="00933640">
        <w:rPr>
          <w:szCs w:val="24"/>
        </w:rPr>
        <w:t>3</w:t>
      </w:r>
      <w:r w:rsidR="00332F17" w:rsidRPr="00933640">
        <w:rPr>
          <w:szCs w:val="24"/>
        </w:rPr>
        <w:t xml:space="preserve"> </w:t>
      </w:r>
      <w:r w:rsidRPr="00933640">
        <w:rPr>
          <w:szCs w:val="24"/>
        </w:rPr>
        <w:t xml:space="preserve">081,90 </w:t>
      </w:r>
      <w:r w:rsidR="001153F9" w:rsidRPr="00933640">
        <w:rPr>
          <w:i/>
          <w:szCs w:val="24"/>
        </w:rPr>
        <w:t>euro</w:t>
      </w:r>
      <w:r w:rsidR="00824D67" w:rsidRPr="00933640">
        <w:rPr>
          <w:szCs w:val="24"/>
        </w:rPr>
        <w:t>, no kuriem nekas nav atgūts.</w:t>
      </w:r>
      <w:r w:rsidR="00332F17" w:rsidRPr="00933640">
        <w:rPr>
          <w:szCs w:val="24"/>
        </w:rPr>
        <w:t xml:space="preserve"> P</w:t>
      </w:r>
      <w:r w:rsidRPr="00933640">
        <w:rPr>
          <w:szCs w:val="24"/>
        </w:rPr>
        <w:t xml:space="preserve">rocesa veids: </w:t>
      </w:r>
      <w:r w:rsidR="00332F17" w:rsidRPr="00933640">
        <w:rPr>
          <w:szCs w:val="24"/>
        </w:rPr>
        <w:t>p</w:t>
      </w:r>
      <w:r w:rsidRPr="00933640">
        <w:rPr>
          <w:szCs w:val="24"/>
        </w:rPr>
        <w:t>iespiedu piedziņa (</w:t>
      </w:r>
      <w:r w:rsidR="00824D67" w:rsidRPr="00933640">
        <w:rPr>
          <w:szCs w:val="24"/>
        </w:rPr>
        <w:t>2011.gada 10.augustā</w:t>
      </w:r>
      <w:r w:rsidRPr="00933640">
        <w:rPr>
          <w:szCs w:val="24"/>
        </w:rPr>
        <w:t xml:space="preserve"> nodots piedziņas veikšanai zvērinātam tiesu izpildītājam, pamatojoties uz </w:t>
      </w:r>
      <w:r w:rsidR="00824D67" w:rsidRPr="00933640">
        <w:rPr>
          <w:szCs w:val="24"/>
        </w:rPr>
        <w:t>2011.gada 12.aprīļa</w:t>
      </w:r>
      <w:r w:rsidRPr="00933640">
        <w:rPr>
          <w:szCs w:val="24"/>
        </w:rPr>
        <w:t xml:space="preserve"> Augstākās tiesas Krimināllietu tiesu palātas Izpildu rakstu krimināllietā).</w:t>
      </w:r>
      <w:r w:rsidR="00933640">
        <w:rPr>
          <w:szCs w:val="24"/>
        </w:rPr>
        <w:t xml:space="preserve"> </w:t>
      </w:r>
      <w:r w:rsidRPr="00933640">
        <w:rPr>
          <w:szCs w:val="24"/>
        </w:rPr>
        <w:t>Atguves iespējamība: Procesa turpināšana nav lietderīga, jo vairākus gadus no zvērināta tiesu izpildītāja saņemta informācija, ka parādniekam nav atrasta manta un naudas līdzekļi, uz ko būtu vēršama parāda piedziņa.</w:t>
      </w:r>
    </w:p>
    <w:p w14:paraId="51194EB4" w14:textId="3C709E36" w:rsidR="00A92C46" w:rsidRPr="00933640" w:rsidRDefault="00685BC9" w:rsidP="00701451">
      <w:pPr>
        <w:spacing w:before="120" w:after="120" w:line="276" w:lineRule="auto"/>
        <w:jc w:val="both"/>
        <w:rPr>
          <w:szCs w:val="24"/>
        </w:rPr>
      </w:pPr>
      <w:r w:rsidRPr="00933640">
        <w:rPr>
          <w:szCs w:val="24"/>
        </w:rPr>
        <w:t>Ņemot vērā augšminēto, lai nodrošinātu līdzekļu efektīvu un ekonomisku izlietošanu atbilstoši paredzētajiem mērķiem un lai nelietderīgi netērētu valsts budžeta līdzekļus atguves procesu</w:t>
      </w:r>
      <w:r w:rsidR="00260F87">
        <w:rPr>
          <w:szCs w:val="24"/>
        </w:rPr>
        <w:t xml:space="preserve"> turpmākai </w:t>
      </w:r>
      <w:r w:rsidRPr="00933640">
        <w:rPr>
          <w:szCs w:val="24"/>
        </w:rPr>
        <w:t xml:space="preserve">koordinēšanai (jurista, auditora darbs u.c.), SIF ierosina norakstīt summu 92 893,14 </w:t>
      </w:r>
      <w:r w:rsidR="00824D67" w:rsidRPr="00933640">
        <w:rPr>
          <w:i/>
          <w:szCs w:val="24"/>
        </w:rPr>
        <w:t>euro</w:t>
      </w:r>
      <w:r w:rsidRPr="00933640">
        <w:rPr>
          <w:szCs w:val="24"/>
        </w:rPr>
        <w:t xml:space="preserve"> valsts budžeta zaudējumos.</w:t>
      </w:r>
    </w:p>
    <w:p w14:paraId="45CA5FDF" w14:textId="06A5BD81" w:rsidR="009C0862" w:rsidRPr="00C211B3" w:rsidRDefault="009C0862" w:rsidP="00CE0CD0">
      <w:pPr>
        <w:pStyle w:val="1lmenis"/>
      </w:pPr>
      <w:bookmarkStart w:id="19" w:name="_Toc459713625"/>
      <w:r w:rsidRPr="00C211B3">
        <w:lastRenderedPageBreak/>
        <w:t>ES fondu ieviešanas, vadības, kontroles un uzraudzības sistēmas darbība un pasākumi tās pilnveidošanai</w:t>
      </w:r>
      <w:bookmarkEnd w:id="19"/>
      <w:r w:rsidRPr="00C211B3">
        <w:t xml:space="preserve"> </w:t>
      </w:r>
    </w:p>
    <w:p w14:paraId="6DD6CAF8" w14:textId="1D3DBBBF" w:rsidR="009C0862" w:rsidRPr="00C211B3" w:rsidRDefault="009C0862" w:rsidP="00DC4E3D">
      <w:pPr>
        <w:pStyle w:val="ListParagraph"/>
        <w:numPr>
          <w:ilvl w:val="6"/>
          <w:numId w:val="16"/>
        </w:numPr>
        <w:spacing w:before="120" w:after="120" w:line="276" w:lineRule="auto"/>
        <w:ind w:left="0" w:firstLine="0"/>
        <w:rPr>
          <w:rFonts w:eastAsia="Times New Roman" w:cs="Times New Roman"/>
          <w:b/>
          <w:szCs w:val="24"/>
        </w:rPr>
      </w:pPr>
      <w:r w:rsidRPr="00C211B3">
        <w:rPr>
          <w:rFonts w:eastAsia="Times New Roman" w:cs="Times New Roman"/>
          <w:b/>
          <w:szCs w:val="24"/>
        </w:rPr>
        <w:t xml:space="preserve">Attiecībā uz </w:t>
      </w:r>
      <w:r w:rsidRPr="00C211B3">
        <w:rPr>
          <w:rFonts w:eastAsia="Times New Roman" w:cs="Times New Roman"/>
          <w:b/>
          <w:szCs w:val="24"/>
          <w:u w:val="single"/>
        </w:rPr>
        <w:t>ES fondu 2</w:t>
      </w:r>
      <w:r w:rsidR="00350726" w:rsidRPr="00C211B3">
        <w:rPr>
          <w:rFonts w:eastAsia="Times New Roman" w:cs="Times New Roman"/>
          <w:b/>
          <w:szCs w:val="24"/>
          <w:u w:val="single"/>
        </w:rPr>
        <w:t>007.2013.gada plānošanas periodu</w:t>
      </w:r>
      <w:r w:rsidR="00AB1865" w:rsidRPr="00C211B3">
        <w:rPr>
          <w:rFonts w:eastAsia="Times New Roman" w:cs="Times New Roman"/>
          <w:b/>
          <w:szCs w:val="24"/>
        </w:rPr>
        <w:t xml:space="preserve"> veiktie pasākumi ES fondu vadības un kontroles sistēmas pilnveidošanai</w:t>
      </w:r>
      <w:r w:rsidRPr="00C211B3">
        <w:rPr>
          <w:rFonts w:eastAsia="Times New Roman" w:cs="Times New Roman"/>
          <w:b/>
          <w:szCs w:val="24"/>
        </w:rPr>
        <w:t>:</w:t>
      </w:r>
    </w:p>
    <w:p w14:paraId="64357BCF" w14:textId="77777777" w:rsidR="009C0862" w:rsidRPr="00120492" w:rsidRDefault="009C0862" w:rsidP="00DC4E3D">
      <w:pPr>
        <w:autoSpaceDE w:val="0"/>
        <w:autoSpaceDN w:val="0"/>
        <w:adjustRightInd w:val="0"/>
        <w:spacing w:before="120" w:after="120" w:line="276" w:lineRule="auto"/>
        <w:jc w:val="both"/>
        <w:rPr>
          <w:b/>
          <w:bCs/>
        </w:rPr>
      </w:pPr>
      <w:r w:rsidRPr="00120492">
        <w:rPr>
          <w:b/>
          <w:bCs/>
        </w:rPr>
        <w:t>Normatīvās bāzes stiprināšana ES fondu ieviešanā</w:t>
      </w:r>
    </w:p>
    <w:p w14:paraId="72DBADCE" w14:textId="380A6D9F" w:rsidR="009C0862" w:rsidRPr="00120427" w:rsidRDefault="00120492" w:rsidP="00DC4E3D">
      <w:pPr>
        <w:autoSpaceDE w:val="0"/>
        <w:autoSpaceDN w:val="0"/>
        <w:adjustRightInd w:val="0"/>
        <w:spacing w:before="120" w:after="120" w:line="276" w:lineRule="auto"/>
        <w:ind w:left="360"/>
        <w:jc w:val="both"/>
        <w:rPr>
          <w:sz w:val="23"/>
          <w:szCs w:val="23"/>
          <w:highlight w:val="yellow"/>
        </w:rPr>
      </w:pPr>
      <w:r w:rsidRPr="00120492">
        <w:rPr>
          <w:i/>
          <w:sz w:val="23"/>
          <w:szCs w:val="23"/>
        </w:rPr>
        <w:t>Grozījumi Ministru kabineta 2009.gada 27.oktobra noteikumos Nr. 1238 "Eiropas Savienības fondu ieviešanas uzraudzības un izvērtēšanas kārtība"</w:t>
      </w:r>
    </w:p>
    <w:p w14:paraId="176B770C" w14:textId="37A92FC5" w:rsidR="00E46CA1" w:rsidRPr="00C211B3" w:rsidRDefault="00120492" w:rsidP="00DC4E3D">
      <w:pPr>
        <w:autoSpaceDE w:val="0"/>
        <w:autoSpaceDN w:val="0"/>
        <w:adjustRightInd w:val="0"/>
        <w:spacing w:before="120" w:after="120" w:line="276" w:lineRule="auto"/>
        <w:jc w:val="both"/>
        <w:rPr>
          <w:sz w:val="23"/>
          <w:szCs w:val="23"/>
        </w:rPr>
      </w:pPr>
      <w:r w:rsidRPr="00120492">
        <w:rPr>
          <w:sz w:val="23"/>
          <w:szCs w:val="23"/>
        </w:rPr>
        <w:t xml:space="preserve">Lai sekmīgi nodrošinātu Eiropas Savienības </w:t>
      </w:r>
      <w:r w:rsidR="00C14E1F" w:rsidRPr="00120492">
        <w:rPr>
          <w:sz w:val="23"/>
          <w:szCs w:val="23"/>
        </w:rPr>
        <w:t xml:space="preserve">struktūrfondu </w:t>
      </w:r>
      <w:r w:rsidRPr="00120492">
        <w:rPr>
          <w:sz w:val="23"/>
          <w:szCs w:val="23"/>
        </w:rPr>
        <w:t xml:space="preserve">un Kohēzijas fonda 2007.-2013.gada plānošanas perioda </w:t>
      </w:r>
      <w:r w:rsidR="00B0095F">
        <w:rPr>
          <w:sz w:val="23"/>
          <w:szCs w:val="23"/>
        </w:rPr>
        <w:t>DP</w:t>
      </w:r>
      <w:r w:rsidRPr="00120492">
        <w:rPr>
          <w:sz w:val="23"/>
          <w:szCs w:val="23"/>
        </w:rPr>
        <w:t xml:space="preserve"> slēgšanas procesu, kā arī lai saskaņotu pieejamās informācijas iesniegšanas termiņus</w:t>
      </w:r>
      <w:r w:rsidR="002538AE">
        <w:rPr>
          <w:sz w:val="23"/>
          <w:szCs w:val="23"/>
        </w:rPr>
        <w:t xml:space="preserve"> </w:t>
      </w:r>
      <w:r w:rsidRPr="00120492">
        <w:rPr>
          <w:sz w:val="23"/>
          <w:szCs w:val="23"/>
        </w:rPr>
        <w:t xml:space="preserve">slēgšanas </w:t>
      </w:r>
      <w:r w:rsidRPr="002538AE">
        <w:rPr>
          <w:sz w:val="23"/>
          <w:szCs w:val="23"/>
        </w:rPr>
        <w:t>procesā</w:t>
      </w:r>
      <w:r w:rsidR="00B64CF6" w:rsidRPr="002538AE">
        <w:rPr>
          <w:sz w:val="23"/>
          <w:szCs w:val="23"/>
        </w:rPr>
        <w:t xml:space="preserve"> ir</w:t>
      </w:r>
      <w:r w:rsidR="009C0862" w:rsidRPr="002538AE">
        <w:rPr>
          <w:sz w:val="23"/>
          <w:szCs w:val="23"/>
        </w:rPr>
        <w:t xml:space="preserve"> izstrādāts un</w:t>
      </w:r>
      <w:r w:rsidR="009C0862" w:rsidRPr="002538AE">
        <w:rPr>
          <w:i/>
          <w:sz w:val="23"/>
          <w:szCs w:val="23"/>
        </w:rPr>
        <w:t xml:space="preserve"> </w:t>
      </w:r>
      <w:r w:rsidRPr="002538AE">
        <w:rPr>
          <w:sz w:val="23"/>
          <w:szCs w:val="23"/>
        </w:rPr>
        <w:t>2016</w:t>
      </w:r>
      <w:r w:rsidR="009C0862" w:rsidRPr="002538AE">
        <w:rPr>
          <w:sz w:val="23"/>
          <w:szCs w:val="23"/>
        </w:rPr>
        <w:t xml:space="preserve">.gada </w:t>
      </w:r>
      <w:r w:rsidR="002538AE" w:rsidRPr="002538AE">
        <w:rPr>
          <w:sz w:val="23"/>
          <w:szCs w:val="23"/>
        </w:rPr>
        <w:t>29</w:t>
      </w:r>
      <w:r w:rsidR="009C0862" w:rsidRPr="002538AE">
        <w:rPr>
          <w:sz w:val="23"/>
          <w:szCs w:val="23"/>
        </w:rPr>
        <w:t>.</w:t>
      </w:r>
      <w:r w:rsidR="002538AE" w:rsidRPr="002538AE">
        <w:rPr>
          <w:sz w:val="23"/>
          <w:szCs w:val="23"/>
        </w:rPr>
        <w:t>martā apstiprināts</w:t>
      </w:r>
      <w:r w:rsidR="009C0862" w:rsidRPr="002538AE">
        <w:rPr>
          <w:sz w:val="23"/>
          <w:szCs w:val="23"/>
        </w:rPr>
        <w:t xml:space="preserve"> MK noteikumu projekts “</w:t>
      </w:r>
      <w:r w:rsidR="002538AE" w:rsidRPr="002538AE">
        <w:rPr>
          <w:sz w:val="23"/>
          <w:szCs w:val="23"/>
        </w:rPr>
        <w:t xml:space="preserve">Grozījumi Ministru kabineta 2009.gada 27.oktobra noteikumos Nr. 1238 “Eiropas Savienības fondu ieviešanas uzraudzības un izvērtēšanas kārtība”, </w:t>
      </w:r>
      <w:r w:rsidR="002538AE" w:rsidRPr="00C211B3">
        <w:rPr>
          <w:sz w:val="23"/>
          <w:szCs w:val="23"/>
        </w:rPr>
        <w:t>kas stājās spēkā 2016</w:t>
      </w:r>
      <w:r w:rsidR="009C0862" w:rsidRPr="00C211B3">
        <w:rPr>
          <w:sz w:val="23"/>
          <w:szCs w:val="23"/>
        </w:rPr>
        <w:t xml:space="preserve">.gada </w:t>
      </w:r>
      <w:r w:rsidR="002538AE" w:rsidRPr="00C211B3">
        <w:rPr>
          <w:sz w:val="23"/>
          <w:szCs w:val="23"/>
        </w:rPr>
        <w:t>1</w:t>
      </w:r>
      <w:r w:rsidR="009C0862" w:rsidRPr="00C211B3">
        <w:rPr>
          <w:sz w:val="23"/>
          <w:szCs w:val="23"/>
        </w:rPr>
        <w:t>.</w:t>
      </w:r>
      <w:r w:rsidR="002538AE" w:rsidRPr="00C211B3">
        <w:rPr>
          <w:sz w:val="23"/>
          <w:szCs w:val="23"/>
        </w:rPr>
        <w:t>aprīlī</w:t>
      </w:r>
      <w:r w:rsidR="009C0862" w:rsidRPr="00C211B3">
        <w:rPr>
          <w:sz w:val="23"/>
          <w:szCs w:val="23"/>
        </w:rPr>
        <w:t>.</w:t>
      </w:r>
    </w:p>
    <w:p w14:paraId="6C29D684" w14:textId="525DE6CD" w:rsidR="009C0862" w:rsidRPr="00C211B3" w:rsidRDefault="009C0862" w:rsidP="00DC4E3D">
      <w:pPr>
        <w:autoSpaceDE w:val="0"/>
        <w:autoSpaceDN w:val="0"/>
        <w:adjustRightInd w:val="0"/>
        <w:spacing w:before="120" w:after="120" w:line="276" w:lineRule="auto"/>
        <w:jc w:val="both"/>
        <w:rPr>
          <w:b/>
          <w:bCs/>
        </w:rPr>
      </w:pPr>
      <w:r w:rsidRPr="00C211B3">
        <w:rPr>
          <w:b/>
          <w:bCs/>
        </w:rPr>
        <w:t>VI kontroļu un virsuzraudzības stiprināšana</w:t>
      </w:r>
    </w:p>
    <w:p w14:paraId="46CDE945" w14:textId="77777777" w:rsidR="00114D66" w:rsidRPr="00C211B3" w:rsidRDefault="00114D66" w:rsidP="00DC4E3D">
      <w:pPr>
        <w:spacing w:before="120" w:after="120" w:line="276" w:lineRule="auto"/>
        <w:jc w:val="both"/>
        <w:rPr>
          <w:rFonts w:eastAsia="Times New Roman" w:cs="Times New Roman"/>
          <w:color w:val="000000"/>
        </w:rPr>
      </w:pPr>
      <w:r w:rsidRPr="00C211B3">
        <w:rPr>
          <w:rFonts w:eastAsia="Times New Roman" w:cs="Times New Roman"/>
          <w:color w:val="000000"/>
        </w:rPr>
        <w:t>Pārskata periodā VI ir veikusi deleģēto funkciju pārbaudes 2007.-2013.gada plānošanas perioda ietvaros, lai gūtu pārliecību par atsevišķiem aspektiem, ņemot vērā auditoru ieteikumus, kā arī, lai pārliecinātos par korektu plānošanas perioda noslēgumu. Pārbaudes plānots turpināt arī 2016.gada otrajā pusgadā, veicot pārbaudes finanšu instrumentu aktivitāšu ietvaros, un gūstot pārliecību, ka, noslēdzot 2007.-2013.gadu plānošanas periodu, finanšu instrumentos pieejamais finansējums ir izmantots atbilstoši mērķim un ir ievērotas prasības vadības izmaksu piemērošanā.</w:t>
      </w:r>
    </w:p>
    <w:p w14:paraId="647AE14B" w14:textId="77777777" w:rsidR="00114D66" w:rsidRPr="00C211B3" w:rsidRDefault="00114D66" w:rsidP="00DC4E3D">
      <w:pPr>
        <w:spacing w:before="120" w:after="120" w:line="276" w:lineRule="auto"/>
        <w:jc w:val="both"/>
        <w:rPr>
          <w:rFonts w:eastAsia="Times New Roman" w:cs="Times New Roman"/>
        </w:rPr>
      </w:pPr>
      <w:r w:rsidRPr="00C211B3">
        <w:rPr>
          <w:rFonts w:eastAsia="Times New Roman" w:cs="Times New Roman"/>
        </w:rPr>
        <w:t xml:space="preserve">Ņemot vērā gan auditos (RI, EK), gan pārbaudēs konstatētos trūkumus, gan AI/SI jautājumus vai neskaidrības par atsevišķu procesu nodrošināšanu vai konkrētu gadījumu risinājumiem, VI pēc pieprasījuma sniedz metodisko un skaidrojošo informāciju ES fondu vadībā iesaistītajām iestādēm, pēc nepieciešamības  tiek precizēti un papildināti jau izstrādātie metodiskie materiāli ar mērķi nodrošināt vienotu praksi starp iestādēm un mazināt neatbilstoši veikto izdevumu rašanās risku. </w:t>
      </w:r>
    </w:p>
    <w:p w14:paraId="5921E34B" w14:textId="34C52A43" w:rsidR="00114D66" w:rsidRPr="00C211B3" w:rsidRDefault="00114D66" w:rsidP="00DC4E3D">
      <w:pPr>
        <w:spacing w:before="120" w:after="120" w:line="276" w:lineRule="auto"/>
        <w:jc w:val="both"/>
        <w:rPr>
          <w:rFonts w:eastAsia="Times New Roman" w:cs="Times New Roman"/>
          <w:color w:val="000000"/>
        </w:rPr>
      </w:pPr>
      <w:r w:rsidRPr="00C211B3">
        <w:rPr>
          <w:rFonts w:eastAsia="Times New Roman" w:cs="Times New Roman"/>
          <w:color w:val="000000"/>
        </w:rPr>
        <w:t>Ievērojot pārskata periodā pabeigto pārbaužu rezultātus, VI ir guvusi pārliecību, ka kopumā AI un SI 2007.-2013.gada plānošanas periodā, saskaņā ar Regulas Nr.1083/2006</w:t>
      </w:r>
      <w:r w:rsidR="00224C47">
        <w:rPr>
          <w:rStyle w:val="FootnoteReference"/>
          <w:rFonts w:eastAsia="Times New Roman" w:cs="Times New Roman"/>
          <w:color w:val="000000"/>
        </w:rPr>
        <w:footnoteReference w:id="30"/>
      </w:r>
      <w:r w:rsidRPr="00C211B3">
        <w:rPr>
          <w:rFonts w:eastAsia="Times New Roman" w:cs="Times New Roman"/>
          <w:color w:val="000000"/>
        </w:rPr>
        <w:t xml:space="preserve"> 59.panta otro punktu un 60.pantu deleģētās funkcijas pilda atbilstošā kvalitātē, vadības un kontroles sistēma kopumā darbojas atbilstoši – atsevišķos gadījumos konstatēti trūkumi, kuriem nav būtiskas ietekmes uz deleģēto funkciju izpildes kopējo kvalitāti. Par konstatēto trūkumu novēršanu ir sagatavoti un ar iestādēm saskaņoti rīcības plāni, kas tiek pildīti kopumā ievērojot saskaņotos termiņus. Veikto pārbaužu ietvaros nav konstatēti būtiski trūkumi ar sistēmiskām pazīmēm, kas varētu ietekmēt atbilstošu vadības un kontroles sistēmas darbību. </w:t>
      </w:r>
    </w:p>
    <w:p w14:paraId="7A5C6CFC" w14:textId="4F209626" w:rsidR="00114D66" w:rsidRPr="006C1394" w:rsidRDefault="00114D66" w:rsidP="00DC4E3D">
      <w:pPr>
        <w:spacing w:before="120" w:after="120" w:line="276" w:lineRule="auto"/>
        <w:jc w:val="both"/>
        <w:rPr>
          <w:rFonts w:eastAsia="Times New Roman" w:cs="Times New Roman"/>
          <w:color w:val="000000"/>
        </w:rPr>
      </w:pPr>
      <w:r w:rsidRPr="00C211B3">
        <w:rPr>
          <w:rFonts w:eastAsia="Times New Roman" w:cs="Times New Roman"/>
          <w:color w:val="000000"/>
        </w:rPr>
        <w:t xml:space="preserve">Tāpat, lai praktiski atbalstītu iestādes, kurām 2007.-2013.gadu plānošanas perioda noslēguma posmā ir nepieciešams pieņemt lēmumus “šaubīgos” vai citos </w:t>
      </w:r>
      <w:proofErr w:type="spellStart"/>
      <w:r w:rsidRPr="00C211B3">
        <w:rPr>
          <w:rFonts w:eastAsia="Times New Roman" w:cs="Times New Roman"/>
          <w:color w:val="000000"/>
        </w:rPr>
        <w:t>problēmgadījumos</w:t>
      </w:r>
      <w:proofErr w:type="spellEnd"/>
      <w:r w:rsidRPr="00C211B3">
        <w:rPr>
          <w:rFonts w:eastAsia="Times New Roman" w:cs="Times New Roman"/>
          <w:color w:val="000000"/>
        </w:rPr>
        <w:t xml:space="preserve">, kā arī </w:t>
      </w:r>
      <w:r w:rsidRPr="00C211B3">
        <w:rPr>
          <w:rFonts w:eastAsia="Times New Roman" w:cs="Times New Roman"/>
          <w:color w:val="000000"/>
        </w:rPr>
        <w:lastRenderedPageBreak/>
        <w:t>stiprinātu to kapacitāti, VI operatīvi sniedz nepieciešamās konsultācijas un norādījumus atbilstošai rīcībai.</w:t>
      </w:r>
    </w:p>
    <w:p w14:paraId="34018965" w14:textId="6FABFBD4" w:rsidR="009C0862" w:rsidRPr="00D9602F" w:rsidRDefault="009C0862" w:rsidP="00DC4E3D">
      <w:pPr>
        <w:pStyle w:val="ListParagraph"/>
        <w:numPr>
          <w:ilvl w:val="6"/>
          <w:numId w:val="16"/>
        </w:numPr>
        <w:spacing w:before="120" w:after="120" w:line="276" w:lineRule="auto"/>
        <w:ind w:left="0" w:firstLine="0"/>
        <w:contextualSpacing w:val="0"/>
        <w:jc w:val="both"/>
        <w:rPr>
          <w:rFonts w:eastAsia="Times New Roman" w:cs="Times New Roman"/>
          <w:b/>
          <w:szCs w:val="24"/>
        </w:rPr>
      </w:pPr>
      <w:r w:rsidRPr="00D9602F">
        <w:rPr>
          <w:rFonts w:eastAsia="Times New Roman" w:cs="Times New Roman"/>
          <w:b/>
          <w:szCs w:val="24"/>
        </w:rPr>
        <w:t xml:space="preserve">Pārskata periodā turpinājās darbs pie </w:t>
      </w:r>
      <w:r w:rsidRPr="00D9602F">
        <w:rPr>
          <w:rFonts w:eastAsia="Times New Roman" w:cs="Times New Roman"/>
          <w:b/>
          <w:szCs w:val="24"/>
          <w:u w:val="single"/>
        </w:rPr>
        <w:t>ES fondu 2014.-2020.gada plānošanas perioda</w:t>
      </w:r>
      <w:r w:rsidRPr="00D9602F">
        <w:rPr>
          <w:rFonts w:eastAsia="Times New Roman" w:cs="Times New Roman"/>
          <w:b/>
          <w:szCs w:val="24"/>
        </w:rPr>
        <w:t xml:space="preserve"> vadības un kontroles sistēmas jautājumiem:  </w:t>
      </w:r>
    </w:p>
    <w:p w14:paraId="6E042D19" w14:textId="77777777" w:rsidR="00D869E0" w:rsidRDefault="00631109" w:rsidP="00DC4E3D">
      <w:pPr>
        <w:pStyle w:val="ListParagraph"/>
        <w:numPr>
          <w:ilvl w:val="0"/>
          <w:numId w:val="8"/>
        </w:numPr>
        <w:tabs>
          <w:tab w:val="left" w:pos="851"/>
        </w:tabs>
        <w:spacing w:before="120" w:after="120" w:line="276" w:lineRule="auto"/>
        <w:ind w:left="0" w:firstLine="567"/>
        <w:contextualSpacing w:val="0"/>
        <w:jc w:val="both"/>
      </w:pPr>
      <w:r w:rsidRPr="00AD1495">
        <w:t>Sask</w:t>
      </w:r>
      <w:r w:rsidR="006A10E4" w:rsidRPr="00AD1495">
        <w:t>aņ</w:t>
      </w:r>
      <w:r w:rsidRPr="00AD1495">
        <w:t xml:space="preserve">ā ar  </w:t>
      </w:r>
      <w:r w:rsidR="0032304A" w:rsidRPr="00AD1495">
        <w:t>E</w:t>
      </w:r>
      <w:r w:rsidR="007F656B" w:rsidRPr="00AD1495">
        <w:t xml:space="preserve">iropas </w:t>
      </w:r>
      <w:r w:rsidR="0032304A" w:rsidRPr="00AD1495">
        <w:t>S</w:t>
      </w:r>
      <w:r w:rsidR="007F656B" w:rsidRPr="00AD1495">
        <w:t>avienības struktūrfondu un Kohēzijas</w:t>
      </w:r>
      <w:r w:rsidR="0032304A" w:rsidRPr="00AD1495">
        <w:t xml:space="preserve"> fond</w:t>
      </w:r>
      <w:r w:rsidR="007F656B" w:rsidRPr="00AD1495">
        <w:t>a</w:t>
      </w:r>
      <w:r w:rsidRPr="00AD1495">
        <w:t xml:space="preserve"> 2014.—2020.gada plānošanas perioda vadības likum</w:t>
      </w:r>
      <w:r w:rsidR="008C24CE" w:rsidRPr="00AD1495">
        <w:t>a</w:t>
      </w:r>
      <w:r w:rsidRPr="00AD1495">
        <w:t xml:space="preserve"> 19.panta trešo daļu </w:t>
      </w:r>
      <w:r w:rsidR="0032304A" w:rsidRPr="00AD1495">
        <w:t>EK</w:t>
      </w:r>
      <w:r w:rsidRPr="00AD1495">
        <w:t xml:space="preserve"> </w:t>
      </w:r>
      <w:r w:rsidR="006A10E4" w:rsidRPr="00AD1495">
        <w:t xml:space="preserve">2015.gada 5.augustā </w:t>
      </w:r>
      <w:r w:rsidRPr="00AD1495">
        <w:t xml:space="preserve">informēta par </w:t>
      </w:r>
      <w:r w:rsidR="0032304A" w:rsidRPr="00AD1495">
        <w:t>VI</w:t>
      </w:r>
      <w:r w:rsidRPr="00AD1495">
        <w:t xml:space="preserve"> un Sertifikācijas iestādes atbilstību </w:t>
      </w:r>
      <w:r w:rsidR="007F656B" w:rsidRPr="00AD1495">
        <w:t xml:space="preserve">Regulas </w:t>
      </w:r>
      <w:r w:rsidRPr="00AD1495">
        <w:t>Nr. 1303/2013</w:t>
      </w:r>
      <w:r w:rsidR="007F656B" w:rsidRPr="00AD1495">
        <w:rPr>
          <w:rStyle w:val="FootnoteReference"/>
        </w:rPr>
        <w:footnoteReference w:id="31"/>
      </w:r>
      <w:r w:rsidRPr="00AD1495">
        <w:t xml:space="preserve"> XIII pielikumā noteiktajiem kritērijiem šīs regulas 124.pantā noteiktajā kārtībā.</w:t>
      </w:r>
      <w:r w:rsidR="006A10E4" w:rsidRPr="00AD1495">
        <w:t xml:space="preserve"> </w:t>
      </w:r>
    </w:p>
    <w:p w14:paraId="241B109E" w14:textId="77777777" w:rsidR="00D869E0" w:rsidRDefault="00AD1495" w:rsidP="00DC4E3D">
      <w:pPr>
        <w:pStyle w:val="ListParagraph"/>
        <w:numPr>
          <w:ilvl w:val="0"/>
          <w:numId w:val="8"/>
        </w:numPr>
        <w:tabs>
          <w:tab w:val="left" w:pos="851"/>
        </w:tabs>
        <w:spacing w:before="120" w:after="120" w:line="276" w:lineRule="auto"/>
        <w:ind w:left="0" w:firstLine="567"/>
        <w:contextualSpacing w:val="0"/>
        <w:jc w:val="both"/>
      </w:pPr>
      <w:r w:rsidRPr="00AD1495">
        <w:t xml:space="preserve">VI </w:t>
      </w:r>
      <w:r w:rsidR="00D869E0">
        <w:t>2016.gada 11.maijā</w:t>
      </w:r>
      <w:r w:rsidRPr="00AD1495">
        <w:t xml:space="preserve"> saņēma EK apstiprinājumu vadības un kontroles sistēmas akreditācijai</w:t>
      </w:r>
      <w:r w:rsidR="00D869E0">
        <w:t xml:space="preserve">. </w:t>
      </w:r>
    </w:p>
    <w:p w14:paraId="12DE0115" w14:textId="77777777" w:rsidR="00D869E0" w:rsidRDefault="00AD1495" w:rsidP="00DC4E3D">
      <w:pPr>
        <w:pStyle w:val="ListParagraph"/>
        <w:numPr>
          <w:ilvl w:val="0"/>
          <w:numId w:val="8"/>
        </w:numPr>
        <w:tabs>
          <w:tab w:val="left" w:pos="851"/>
        </w:tabs>
        <w:spacing w:before="120" w:after="120" w:line="276" w:lineRule="auto"/>
        <w:ind w:left="0" w:firstLine="567"/>
        <w:contextualSpacing w:val="0"/>
        <w:jc w:val="both"/>
      </w:pPr>
      <w:r w:rsidRPr="00AD1495">
        <w:t xml:space="preserve">2016.gada 3.maijā tika aktualizēts </w:t>
      </w:r>
      <w:r w:rsidR="00F2015A" w:rsidRPr="00AD1495">
        <w:t>2015.gada</w:t>
      </w:r>
      <w:r w:rsidR="008011C6" w:rsidRPr="00AD1495">
        <w:t xml:space="preserve"> 6.augustā</w:t>
      </w:r>
      <w:r w:rsidR="00F2015A" w:rsidRPr="00AD1495">
        <w:t xml:space="preserve"> </w:t>
      </w:r>
      <w:r w:rsidRPr="00AD1495">
        <w:t xml:space="preserve">apstiprinātais </w:t>
      </w:r>
      <w:r w:rsidR="00F2015A" w:rsidRPr="00AD1495">
        <w:t>“Pasākumu plāns krāpšanas korupcijas risku mazināšanai Eiropas Sociālā fonda, Eiropas Reģionālā attīstības fonda un Kohēzijas fonda 2014</w:t>
      </w:r>
      <w:r w:rsidR="008011C6" w:rsidRPr="00AD1495">
        <w:t>.-2020.gada plānošanas periodā”</w:t>
      </w:r>
      <w:r w:rsidR="002C0654" w:rsidRPr="00AD1495">
        <w:rPr>
          <w:rStyle w:val="FootnoteReference"/>
        </w:rPr>
        <w:footnoteReference w:id="32"/>
      </w:r>
      <w:r w:rsidR="008011C6" w:rsidRPr="00AD1495">
        <w:t xml:space="preserve">, kur analizēti </w:t>
      </w:r>
      <w:r w:rsidR="008011C6" w:rsidRPr="00D869E0">
        <w:rPr>
          <w:rFonts w:cs="Times New Roman"/>
          <w:szCs w:val="24"/>
        </w:rPr>
        <w:t>krāpšanai un korupcijai visvairāk pakļautajos ES fondu ieviešanas posmos</w:t>
      </w:r>
      <w:r w:rsidR="009E55DC" w:rsidRPr="00AD1495">
        <w:rPr>
          <w:rStyle w:val="FootnoteReference"/>
          <w:rFonts w:cs="Times New Roman"/>
          <w:szCs w:val="24"/>
        </w:rPr>
        <w:footnoteReference w:id="33"/>
      </w:r>
      <w:r w:rsidR="008011C6" w:rsidRPr="00D869E0">
        <w:rPr>
          <w:rFonts w:cs="Times New Roman"/>
          <w:szCs w:val="24"/>
        </w:rPr>
        <w:t xml:space="preserve"> apzināt</w:t>
      </w:r>
      <w:r w:rsidR="009E55DC" w:rsidRPr="00D869E0">
        <w:rPr>
          <w:rFonts w:cs="Times New Roman"/>
          <w:szCs w:val="24"/>
        </w:rPr>
        <w:t>ie</w:t>
      </w:r>
      <w:r w:rsidR="008011C6" w:rsidRPr="00D869E0">
        <w:rPr>
          <w:rFonts w:cs="Times New Roman"/>
          <w:szCs w:val="24"/>
        </w:rPr>
        <w:t xml:space="preserve"> risk</w:t>
      </w:r>
      <w:r w:rsidR="009E55DC" w:rsidRPr="00D869E0">
        <w:rPr>
          <w:rFonts w:cs="Times New Roman"/>
          <w:szCs w:val="24"/>
        </w:rPr>
        <w:t xml:space="preserve">i un paredzēti atsevišķi risku pārvaldības pasākumi saistībā ar </w:t>
      </w:r>
      <w:r w:rsidR="00362CBE" w:rsidRPr="00D869E0">
        <w:rPr>
          <w:rFonts w:cs="Times New Roman"/>
          <w:szCs w:val="24"/>
        </w:rPr>
        <w:t xml:space="preserve">konkrēto </w:t>
      </w:r>
      <w:r w:rsidR="009E55DC" w:rsidRPr="00D869E0">
        <w:rPr>
          <w:rFonts w:cs="Times New Roman"/>
          <w:szCs w:val="24"/>
        </w:rPr>
        <w:t>ES fondu vadības funkciju izpildi.</w:t>
      </w:r>
    </w:p>
    <w:p w14:paraId="213555C1" w14:textId="69DC4AA2" w:rsidR="00114D66" w:rsidRPr="00D869E0" w:rsidRDefault="00114D66" w:rsidP="00DC4E3D">
      <w:pPr>
        <w:pStyle w:val="ListParagraph"/>
        <w:numPr>
          <w:ilvl w:val="0"/>
          <w:numId w:val="8"/>
        </w:numPr>
        <w:tabs>
          <w:tab w:val="left" w:pos="851"/>
        </w:tabs>
        <w:spacing w:before="120" w:after="120" w:line="276" w:lineRule="auto"/>
        <w:ind w:left="0" w:firstLine="567"/>
        <w:contextualSpacing w:val="0"/>
        <w:jc w:val="both"/>
      </w:pPr>
      <w:r w:rsidRPr="00D869E0">
        <w:rPr>
          <w:rStyle w:val="Hyperlink"/>
          <w:color w:val="auto"/>
          <w:u w:val="none"/>
        </w:rPr>
        <w:t xml:space="preserve">VI pārskata periodā, ievērojot </w:t>
      </w:r>
      <w:r w:rsidRPr="00D869E0">
        <w:rPr>
          <w:bCs/>
        </w:rPr>
        <w:t>ES struktūrfondu un Kohēzijas fonda 2014.—2020.gada plānošanas perioda vadības likuma 10.panta otrās daļas 17.punktu un trešās daļas 1.punktu, un ņemot vērā MK noteikumu Nr.611</w:t>
      </w:r>
      <w:r w:rsidRPr="00C211B3">
        <w:rPr>
          <w:bCs/>
          <w:vertAlign w:val="superscript"/>
        </w:rPr>
        <w:footnoteReference w:id="34"/>
      </w:r>
      <w:r w:rsidRPr="00D869E0">
        <w:rPr>
          <w:bCs/>
          <w:vertAlign w:val="superscript"/>
        </w:rPr>
        <w:t xml:space="preserve"> </w:t>
      </w:r>
      <w:r w:rsidRPr="00D869E0">
        <w:rPr>
          <w:bCs/>
        </w:rPr>
        <w:t>8.9.apakšpunktu un</w:t>
      </w:r>
      <w:r w:rsidRPr="00D869E0">
        <w:rPr>
          <w:bCs/>
          <w:vertAlign w:val="superscript"/>
        </w:rPr>
        <w:t xml:space="preserve"> </w:t>
      </w:r>
      <w:r w:rsidRPr="00D869E0">
        <w:rPr>
          <w:bCs/>
        </w:rPr>
        <w:t>19.punktu, kā arī ievērojot deleģēšanas līgumos ar pašvaldībām par integrētu teritoriālo investīciju projektu iesniegumu atlases nodrošināšanu noteikto, VI ir pabeigusi pašvaldību iekšējo procedūru aprakstu pārbaudi astoņām no kopumā deviņām pašvaldībām. Vienai no pašvaldībām procedūras, kas nosaka deleģēto funkciju izpildi, ir izstrādes stadijā.</w:t>
      </w:r>
    </w:p>
    <w:p w14:paraId="3026C214" w14:textId="5127A910" w:rsidR="00F2015A" w:rsidRDefault="00114D66" w:rsidP="00DC4E3D">
      <w:pPr>
        <w:pStyle w:val="ListParagraph"/>
        <w:tabs>
          <w:tab w:val="left" w:pos="851"/>
        </w:tabs>
        <w:spacing w:before="120" w:after="120" w:line="276" w:lineRule="auto"/>
        <w:ind w:left="0" w:firstLine="567"/>
        <w:contextualSpacing w:val="0"/>
        <w:jc w:val="both"/>
        <w:rPr>
          <w:rStyle w:val="Hyperlink"/>
          <w:color w:val="auto"/>
          <w:u w:val="none"/>
        </w:rPr>
      </w:pPr>
      <w:r w:rsidRPr="00C211B3">
        <w:rPr>
          <w:rStyle w:val="Hyperlink"/>
          <w:color w:val="auto"/>
          <w:u w:val="none"/>
        </w:rPr>
        <w:t>VI regulāri veic SI darbību izpildes pārbaudes ar mērķi gūt pārliecību par atbilstošu deleģēto funkciju izpildi. Pārbaužu ietvaros nav konstatēti trūkumi SI deleģēto funkciju izpildē.</w:t>
      </w:r>
    </w:p>
    <w:p w14:paraId="48F96E7B" w14:textId="5BC08C83" w:rsidR="004F0B7C" w:rsidRPr="004F0B7C" w:rsidRDefault="004F0B7C" w:rsidP="00DC4E3D">
      <w:pPr>
        <w:spacing w:line="276" w:lineRule="auto"/>
        <w:jc w:val="both"/>
      </w:pPr>
      <w:r>
        <w:t xml:space="preserve">Saskaņā ar 2015.gada 25.augusta MK nolemto (prot. Nr. 23), VI līdz 2016.gada 30 jūnijam izvērtēja ES fondu administrēšanā iesaistīto iestāžu veiktās izmaksas TP projektu ietvaros (saskaņā ar pirmo iesniegto maksājumu pieprasījumu). VI ir secinājusi, ka izmaiņas TP MK noteikumos šobrīd nav iespējamas, jo pieejamā informācija par veiktajiem izdevumiem ir tikai par 2016.gada 1. ceturksni, kas ir nepietiekoši, lai veiktu reprezentatīvu analīzi par līdzekļu izmantošanu. Līdz ar to VI veiks TP atkārtotu analīzi pēc visu 2016. gada maksājumu </w:t>
      </w:r>
      <w:r>
        <w:lastRenderedPageBreak/>
        <w:t>pieprasījumu izskatīšanas un apstiprināšanas, lai nodrošinātu finansējuma pārdali iestādēm, kurām tas nepieciešams funkciju nodrošināšanai.</w:t>
      </w:r>
    </w:p>
    <w:p w14:paraId="5C9CF8FE" w14:textId="08A8D128" w:rsidR="009C0862" w:rsidRPr="00F6230D" w:rsidRDefault="009C0862" w:rsidP="00DC4E3D">
      <w:pPr>
        <w:tabs>
          <w:tab w:val="left" w:pos="851"/>
        </w:tabs>
        <w:spacing w:before="120" w:after="120" w:line="276" w:lineRule="auto"/>
        <w:jc w:val="both"/>
        <w:rPr>
          <w:b/>
        </w:rPr>
      </w:pPr>
      <w:r w:rsidRPr="00F6230D">
        <w:rPr>
          <w:b/>
        </w:rPr>
        <w:t xml:space="preserve">Pārskata periodā </w:t>
      </w:r>
      <w:r w:rsidR="00CF7E85">
        <w:rPr>
          <w:b/>
        </w:rPr>
        <w:t>stiprināta n</w:t>
      </w:r>
      <w:r w:rsidR="00CF7E85" w:rsidRPr="00CF7E85">
        <w:rPr>
          <w:b/>
        </w:rPr>
        <w:t>or</w:t>
      </w:r>
      <w:r w:rsidR="00CF7E85">
        <w:rPr>
          <w:b/>
        </w:rPr>
        <w:t>matīvā bāze</w:t>
      </w:r>
      <w:r w:rsidR="00CF7E85" w:rsidRPr="00CF7E85">
        <w:rPr>
          <w:b/>
        </w:rPr>
        <w:t xml:space="preserve"> ES fondu ieviešanā</w:t>
      </w:r>
      <w:r w:rsidRPr="00F6230D">
        <w:rPr>
          <w:b/>
        </w:rPr>
        <w:t>:</w:t>
      </w:r>
    </w:p>
    <w:p w14:paraId="665F5F70" w14:textId="34252DFF" w:rsidR="00CF7E85" w:rsidRPr="00CF7E85" w:rsidRDefault="00CF7E85" w:rsidP="00DC4E3D">
      <w:pPr>
        <w:tabs>
          <w:tab w:val="left" w:pos="851"/>
        </w:tabs>
        <w:spacing w:before="120" w:after="120" w:line="276" w:lineRule="auto"/>
        <w:jc w:val="both"/>
        <w:rPr>
          <w:i/>
        </w:rPr>
      </w:pPr>
      <w:r w:rsidRPr="00CF7E85">
        <w:rPr>
          <w:i/>
        </w:rPr>
        <w:t>Grozījumi MK 2015.gada 10.februāra noteikumos Nr.77 „Eiropas Savienības struktūrfondu un Kohēzijas fonda projektu pārbaužu veikšanas kārtība 2014.–2020.gada plānošanas periodā”.</w:t>
      </w:r>
    </w:p>
    <w:p w14:paraId="00653C3D" w14:textId="4328180C" w:rsidR="00F6230D" w:rsidRDefault="00CF7E85" w:rsidP="00DC4E3D">
      <w:pPr>
        <w:spacing w:before="120" w:after="120" w:line="276" w:lineRule="auto"/>
        <w:jc w:val="both"/>
      </w:pPr>
      <w:r w:rsidRPr="00CF7E85">
        <w:t>Ņemot vērā EK norādījumus par Regulā Nr.1304/2013</w:t>
      </w:r>
      <w:r w:rsidR="00F6230D">
        <w:rPr>
          <w:rStyle w:val="FootnoteReference"/>
        </w:rPr>
        <w:footnoteReference w:id="35"/>
      </w:r>
      <w:r w:rsidRPr="00CF7E85">
        <w:t xml:space="preserve"> noteikto kopējo tūlītējo rezultātu rādītāju uzkrāšanu, apkopošanu un ziņošanu, tiek precizēts 2.pielikums “Maksājuma pieprasījums”</w:t>
      </w:r>
      <w:r w:rsidR="00F6230D">
        <w:t xml:space="preserve"> (turpmāk – MP veidlapa)</w:t>
      </w:r>
      <w:r w:rsidRPr="00CF7E85">
        <w:t xml:space="preserve">, paplašinot iegūstamās informācijas apjomu attiecībā uz </w:t>
      </w:r>
      <w:r w:rsidR="00B0095F">
        <w:t>ESF</w:t>
      </w:r>
      <w:r w:rsidRPr="00CF7E85">
        <w:t xml:space="preserve"> mērķa grupu, ko uzkrāj un iesniedz finansējuma saņēmējs, kā arī veicot citus</w:t>
      </w:r>
      <w:r>
        <w:t xml:space="preserve"> precizējumus</w:t>
      </w:r>
      <w:r w:rsidR="00F6230D">
        <w:t xml:space="preserve"> minētajā pielikumā</w:t>
      </w:r>
      <w:r>
        <w:t xml:space="preserve">. </w:t>
      </w:r>
      <w:r w:rsidR="00F6230D">
        <w:t xml:space="preserve">Papildus MK noteikumu projektā </w:t>
      </w:r>
      <w:r w:rsidR="00F6230D" w:rsidRPr="00F6230D">
        <w:t>noteikts izņēmums, ka MP veidlapa neat</w:t>
      </w:r>
      <w:r w:rsidR="00F6230D">
        <w:t xml:space="preserve">tiecas uz finanšu instrumentiem, kā arī </w:t>
      </w:r>
      <w:r w:rsidR="00F6230D" w:rsidRPr="00F6230D">
        <w:t>ietverts nosacījums, ja starpposma maksājuma pieprasījumā iekļauto izdevumus pamatojošo dokumentu pārbaude tiek veikta izlases veidā, tad sadarbības iestāde MP veidlapu pārbauda  un veic maksājumu 20 darbdienu laikā pēc visu pieprasīto izdevumus pamatojošo dokumentu saņemšanas</w:t>
      </w:r>
      <w:r w:rsidR="00F6230D">
        <w:t xml:space="preserve">. </w:t>
      </w:r>
      <w:r>
        <w:t xml:space="preserve">Ievērojot minēto </w:t>
      </w:r>
      <w:r w:rsidRPr="00CF7E85">
        <w:t>ir izstrādāts un 201</w:t>
      </w:r>
      <w:r>
        <w:t>6</w:t>
      </w:r>
      <w:r w:rsidRPr="00CF7E85">
        <w:t xml:space="preserve">.gada </w:t>
      </w:r>
      <w:r>
        <w:t>7</w:t>
      </w:r>
      <w:r w:rsidRPr="00CF7E85">
        <w:t>.</w:t>
      </w:r>
      <w:r>
        <w:t>jūlijā</w:t>
      </w:r>
      <w:r w:rsidRPr="00CF7E85">
        <w:t xml:space="preserve"> </w:t>
      </w:r>
      <w:r>
        <w:t>apstiprināts</w:t>
      </w:r>
      <w:r w:rsidRPr="00CF7E85">
        <w:t xml:space="preserve"> MK noteikumu projekts “Grozījumi Ministru kabineta 2015. gada 10. februāra noteikumos Nr. 77 </w:t>
      </w:r>
      <w:r>
        <w:t>“</w:t>
      </w:r>
      <w:r w:rsidRPr="00CF7E85">
        <w:t>Eiropas Savienības struktūrfondu un Kohēzijas fonda projektu pārbaužu veikšanas kārtība 2014.-2020. gada plānošanas periodā</w:t>
      </w:r>
      <w:r>
        <w:t>”</w:t>
      </w:r>
      <w:r w:rsidR="00F6230D">
        <w:t>”, kas</w:t>
      </w:r>
      <w:r w:rsidRPr="00CF7E85">
        <w:t xml:space="preserve"> stājās spēkā 201</w:t>
      </w:r>
      <w:r w:rsidR="00F6230D">
        <w:t>6</w:t>
      </w:r>
      <w:r w:rsidRPr="00CF7E85">
        <w:t xml:space="preserve">.gada </w:t>
      </w:r>
      <w:r w:rsidR="00F6230D">
        <w:t>14</w:t>
      </w:r>
      <w:r w:rsidRPr="00CF7E85">
        <w:t>.</w:t>
      </w:r>
      <w:r w:rsidR="00F6230D">
        <w:t>jūnijā</w:t>
      </w:r>
      <w:r w:rsidRPr="00CF7E85">
        <w:t>.</w:t>
      </w:r>
    </w:p>
    <w:p w14:paraId="4CEFA592" w14:textId="15150069" w:rsidR="00CF7E85" w:rsidRPr="00CF7E85" w:rsidRDefault="00956238" w:rsidP="00DC4E3D">
      <w:pPr>
        <w:spacing w:before="120" w:after="120" w:line="276" w:lineRule="auto"/>
        <w:jc w:val="both"/>
      </w:pPr>
      <w:r>
        <w:t>Pārskata periodā veikti grozījumi arī citos normatīvajos aktos</w:t>
      </w:r>
      <w:r>
        <w:rPr>
          <w:rStyle w:val="FootnoteReference"/>
        </w:rPr>
        <w:footnoteReference w:id="36"/>
      </w:r>
      <w:r>
        <w:t>, veicot tehniskus precizējumus.</w:t>
      </w:r>
      <w:r w:rsidR="00CF7E85" w:rsidRPr="00CF7E85">
        <w:t xml:space="preserve"> </w:t>
      </w:r>
    </w:p>
    <w:p w14:paraId="4B939A83" w14:textId="3554378B" w:rsidR="00B303A0" w:rsidRPr="006E791D" w:rsidRDefault="00727F91" w:rsidP="00DC4E3D">
      <w:pPr>
        <w:tabs>
          <w:tab w:val="left" w:pos="851"/>
        </w:tabs>
        <w:spacing w:before="120" w:after="120" w:line="276" w:lineRule="auto"/>
        <w:jc w:val="both"/>
        <w:rPr>
          <w:b/>
        </w:rPr>
      </w:pPr>
      <w:r w:rsidRPr="006E791D">
        <w:rPr>
          <w:b/>
        </w:rPr>
        <w:t>V</w:t>
      </w:r>
      <w:r w:rsidR="009C0862" w:rsidRPr="006E791D">
        <w:rPr>
          <w:b/>
        </w:rPr>
        <w:t>eikti pasākumi jaunā plānošanas perioda metodoloģiskā atbalsta sniegšanai.</w:t>
      </w:r>
    </w:p>
    <w:p w14:paraId="61110CBF" w14:textId="77777777" w:rsidR="00B303A0" w:rsidRPr="00D20D71" w:rsidRDefault="00B303A0" w:rsidP="00DC4E3D">
      <w:pPr>
        <w:tabs>
          <w:tab w:val="left" w:pos="851"/>
        </w:tabs>
        <w:spacing w:before="120" w:after="120" w:line="276" w:lineRule="auto"/>
        <w:jc w:val="both"/>
      </w:pPr>
      <w:r w:rsidRPr="00D20D71">
        <w:t xml:space="preserve">Pārskata periodā </w:t>
      </w:r>
      <w:r w:rsidRPr="00D20D71">
        <w:rPr>
          <w:u w:val="single"/>
        </w:rPr>
        <w:t>aktualizētas</w:t>
      </w:r>
      <w:r w:rsidRPr="00D20D71">
        <w:t xml:space="preserve"> šādas vadlīnijas un metodikas:</w:t>
      </w:r>
    </w:p>
    <w:p w14:paraId="046A5568" w14:textId="34C93C1C" w:rsidR="00D20D71" w:rsidRPr="00D20D71" w:rsidRDefault="00D20D71" w:rsidP="00DC4E3D">
      <w:pPr>
        <w:pStyle w:val="ListParagraph"/>
        <w:numPr>
          <w:ilvl w:val="1"/>
          <w:numId w:val="23"/>
        </w:numPr>
        <w:tabs>
          <w:tab w:val="left" w:pos="851"/>
        </w:tabs>
        <w:spacing w:line="276" w:lineRule="auto"/>
        <w:ind w:left="426" w:hanging="426"/>
        <w:jc w:val="both"/>
      </w:pPr>
      <w:r w:rsidRPr="00D20D71">
        <w:t xml:space="preserve">Vadlīnijas </w:t>
      </w:r>
      <w:r w:rsidR="0083099B">
        <w:t>MK</w:t>
      </w:r>
      <w:r w:rsidRPr="00D20D71">
        <w:t xml:space="preserve"> noteikumu par </w:t>
      </w:r>
      <w:r w:rsidR="0083099B">
        <w:t>SAM</w:t>
      </w:r>
      <w:r w:rsidRPr="00D20D71">
        <w:t xml:space="preserve"> īstenošanu izstrādei</w:t>
      </w:r>
      <w:r w:rsidR="00064EEC">
        <w:t xml:space="preserve"> (2016.gada 8.aprīlis)</w:t>
      </w:r>
    </w:p>
    <w:p w14:paraId="0353760E" w14:textId="044236C0" w:rsidR="00D20D71" w:rsidRPr="00D20D71" w:rsidRDefault="00D20D71" w:rsidP="00DC4E3D">
      <w:pPr>
        <w:pStyle w:val="ListParagraph"/>
        <w:numPr>
          <w:ilvl w:val="1"/>
          <w:numId w:val="23"/>
        </w:numPr>
        <w:spacing w:line="276" w:lineRule="auto"/>
        <w:ind w:left="426" w:hanging="426"/>
        <w:jc w:val="both"/>
      </w:pPr>
      <w:r w:rsidRPr="00D20D71">
        <w:t xml:space="preserve">Vadlīnijas par </w:t>
      </w:r>
      <w:r w:rsidR="0083099B">
        <w:t>ES fondu</w:t>
      </w:r>
      <w:r w:rsidRPr="00D20D71">
        <w:t xml:space="preserve"> projekta pārbaudēm 2014.-2020.gada plānošanas periodā</w:t>
      </w:r>
      <w:r w:rsidR="00064EEC">
        <w:t xml:space="preserve"> (2016.gada 30.jūnijs)</w:t>
      </w:r>
      <w:r w:rsidRPr="00D20D71">
        <w:t>;</w:t>
      </w:r>
    </w:p>
    <w:p w14:paraId="68C14F1A" w14:textId="24C4BCD3" w:rsidR="00D20D71" w:rsidRPr="00D20D71" w:rsidRDefault="0083099B" w:rsidP="00DC4E3D">
      <w:pPr>
        <w:pStyle w:val="ListParagraph"/>
        <w:numPr>
          <w:ilvl w:val="1"/>
          <w:numId w:val="23"/>
        </w:numPr>
        <w:spacing w:line="276" w:lineRule="auto"/>
        <w:ind w:left="426" w:hanging="426"/>
        <w:jc w:val="both"/>
      </w:pPr>
      <w:r>
        <w:t>ERAF; ESF un KF</w:t>
      </w:r>
      <w:r w:rsidR="00D20D71" w:rsidRPr="00D20D71">
        <w:t xml:space="preserve"> projektu  iesniegumu atlases metodika 2014.-2020.gadam</w:t>
      </w:r>
      <w:r w:rsidR="00064EEC">
        <w:t xml:space="preserve"> (2016.gada 17.marts)</w:t>
      </w:r>
      <w:r w:rsidR="00D20D71" w:rsidRPr="00D20D71">
        <w:t>;</w:t>
      </w:r>
    </w:p>
    <w:p w14:paraId="192B66FF" w14:textId="2A8CA03A" w:rsidR="00D20D71" w:rsidRPr="00D20D71" w:rsidRDefault="00D20D71" w:rsidP="00DC4E3D">
      <w:pPr>
        <w:pStyle w:val="ListParagraph"/>
        <w:numPr>
          <w:ilvl w:val="1"/>
          <w:numId w:val="23"/>
        </w:numPr>
        <w:spacing w:line="276" w:lineRule="auto"/>
        <w:ind w:left="426" w:hanging="426"/>
        <w:jc w:val="both"/>
      </w:pPr>
      <w:r w:rsidRPr="00D20D71">
        <w:t>Metodika par netiešo izmaksu vienotās likmes piemērošanu projekta izmaksu atzīšanā 2014.-2020.g.plānošanas periodā</w:t>
      </w:r>
      <w:r w:rsidR="00064EEC">
        <w:t xml:space="preserve"> (2016.gada 11.maijs)</w:t>
      </w:r>
      <w:r w:rsidRPr="00D20D71">
        <w:t>;</w:t>
      </w:r>
    </w:p>
    <w:p w14:paraId="58013EAA" w14:textId="6FEBA609" w:rsidR="00D20D71" w:rsidRPr="00D20D71" w:rsidRDefault="00D20D71" w:rsidP="00DC4E3D">
      <w:pPr>
        <w:pStyle w:val="ListParagraph"/>
        <w:numPr>
          <w:ilvl w:val="1"/>
          <w:numId w:val="23"/>
        </w:numPr>
        <w:spacing w:line="276" w:lineRule="auto"/>
        <w:ind w:left="426" w:hanging="426"/>
        <w:jc w:val="both"/>
      </w:pPr>
      <w:r w:rsidRPr="00D20D71">
        <w:t>Metodika par vienības izmaksas standarta likmes piemērošanu 2014.-2020.g. plānošanas periodā</w:t>
      </w:r>
      <w:r w:rsidR="00064EEC">
        <w:t xml:space="preserve"> (2016.gada 11.maijs)</w:t>
      </w:r>
      <w:r w:rsidRPr="00D20D71">
        <w:t>.</w:t>
      </w:r>
    </w:p>
    <w:p w14:paraId="6CA2A673" w14:textId="3452970E" w:rsidR="00B303A0" w:rsidRPr="006E791D" w:rsidRDefault="00B303A0" w:rsidP="00DC4E3D">
      <w:pPr>
        <w:spacing w:before="120" w:after="120" w:line="276" w:lineRule="auto"/>
      </w:pPr>
      <w:r w:rsidRPr="006E791D">
        <w:t xml:space="preserve">Vadlīnijas un metodikas pieejamas ES fondu </w:t>
      </w:r>
      <w:r w:rsidR="00535479" w:rsidRPr="006E791D">
        <w:t>tīmekļa vietnē</w:t>
      </w:r>
      <w:r w:rsidRPr="006E791D">
        <w:rPr>
          <w:rStyle w:val="FootnoteReference"/>
        </w:rPr>
        <w:footnoteReference w:id="37"/>
      </w:r>
      <w:r w:rsidRPr="006E791D">
        <w:t xml:space="preserve">. </w:t>
      </w:r>
    </w:p>
    <w:p w14:paraId="31C4287F" w14:textId="7345E226" w:rsidR="00BB72F6" w:rsidRPr="002A704F" w:rsidRDefault="009C0862" w:rsidP="00DC4E3D">
      <w:pPr>
        <w:tabs>
          <w:tab w:val="left" w:pos="851"/>
        </w:tabs>
        <w:spacing w:before="120" w:after="120" w:line="276" w:lineRule="auto"/>
        <w:jc w:val="both"/>
      </w:pPr>
      <w:r w:rsidRPr="002A704F">
        <w:t xml:space="preserve">Turpinās darbs pie </w:t>
      </w:r>
      <w:r w:rsidR="00465BDF" w:rsidRPr="002A704F">
        <w:rPr>
          <w:color w:val="000000"/>
          <w:lang w:eastAsia="lv-LV"/>
        </w:rPr>
        <w:t>KP VIS</w:t>
      </w:r>
      <w:r w:rsidRPr="002A704F">
        <w:t xml:space="preserve"> </w:t>
      </w:r>
      <w:r w:rsidR="00981BA4" w:rsidRPr="002A704F">
        <w:t>pilnveidošanas</w:t>
      </w:r>
      <w:r w:rsidRPr="002A704F">
        <w:t xml:space="preserve">. </w:t>
      </w:r>
      <w:r w:rsidR="00981BA4" w:rsidRPr="002A704F">
        <w:t xml:space="preserve">Pārskata periodā ir izveidota maksājumu pieteikumu sadaļa un ESF, ERAF </w:t>
      </w:r>
      <w:r w:rsidR="002A704F">
        <w:t>un KF katram ir izveidoti pa di</w:t>
      </w:r>
      <w:r w:rsidR="00981BA4" w:rsidRPr="002A704F">
        <w:t xml:space="preserve">viem maksājumu </w:t>
      </w:r>
      <w:r w:rsidR="00981BA4" w:rsidRPr="002A704F">
        <w:lastRenderedPageBreak/>
        <w:t>pieteikumiem, kuri iesniegti EK.</w:t>
      </w:r>
      <w:r w:rsidR="002A704F">
        <w:t xml:space="preserve"> </w:t>
      </w:r>
      <w:r w:rsidR="00981BA4" w:rsidRPr="002A704F">
        <w:t>S</w:t>
      </w:r>
      <w:r w:rsidR="003A73FE" w:rsidRPr="002A704F">
        <w:t>adaļai</w:t>
      </w:r>
      <w:r w:rsidR="00A85ED7" w:rsidRPr="002A704F">
        <w:t xml:space="preserve"> priekš </w:t>
      </w:r>
      <w:r w:rsidR="002A704F">
        <w:t>f</w:t>
      </w:r>
      <w:r w:rsidR="003A73FE" w:rsidRPr="002A704F">
        <w:t>inanšu instrumentiem,</w:t>
      </w:r>
      <w:r w:rsidR="00EF7DF8" w:rsidRPr="002A704F">
        <w:t xml:space="preserve"> norisinās</w:t>
      </w:r>
      <w:r w:rsidR="003A73FE" w:rsidRPr="002A704F">
        <w:t xml:space="preserve"> </w:t>
      </w:r>
      <w:r w:rsidR="00EF7DF8" w:rsidRPr="002A704F">
        <w:t>prasību saskaņošana starp iesaistītajām pusēm</w:t>
      </w:r>
      <w:r w:rsidRPr="002A704F">
        <w:t>.</w:t>
      </w:r>
      <w:r w:rsidR="00CA1377" w:rsidRPr="002A704F">
        <w:t xml:space="preserve"> 2016.gada 17.marta sēdē KP VIS attīstības padome pie</w:t>
      </w:r>
      <w:r w:rsidR="00981BA4" w:rsidRPr="002A704F">
        <w:t>ņ</w:t>
      </w:r>
      <w:r w:rsidR="00CA1377" w:rsidRPr="002A704F">
        <w:t>ēma lēmumu apstiprināt datu analīzes rīka nepieciešamību KP VIS. Kā labākais risinājums tika uzskatīts</w:t>
      </w:r>
      <w:r w:rsidR="00CA1377" w:rsidRPr="002A704F">
        <w:rPr>
          <w:rFonts w:cs="Times New Roman"/>
          <w:szCs w:val="24"/>
        </w:rPr>
        <w:t xml:space="preserve"> </w:t>
      </w:r>
      <w:proofErr w:type="spellStart"/>
      <w:r w:rsidR="00DB1025" w:rsidRPr="002A704F">
        <w:rPr>
          <w:rFonts w:cs="Times New Roman"/>
          <w:szCs w:val="24"/>
        </w:rPr>
        <w:t>Micro</w:t>
      </w:r>
      <w:r w:rsidR="00DB1025">
        <w:rPr>
          <w:rFonts w:cs="Times New Roman"/>
          <w:szCs w:val="24"/>
        </w:rPr>
        <w:t>S</w:t>
      </w:r>
      <w:r w:rsidR="00DB1025" w:rsidRPr="002A704F">
        <w:rPr>
          <w:rFonts w:cs="Times New Roman"/>
          <w:szCs w:val="24"/>
        </w:rPr>
        <w:t>trategy</w:t>
      </w:r>
      <w:proofErr w:type="spellEnd"/>
      <w:r w:rsidR="00CA1377" w:rsidRPr="002A704F">
        <w:rPr>
          <w:rFonts w:cs="Times New Roman"/>
          <w:szCs w:val="24"/>
        </w:rPr>
        <w:t>. Šobrīd notiek darbs pie rīka izstrādāšanas un pielāgošanas ES fondu vadības un</w:t>
      </w:r>
      <w:r w:rsidR="001304AA">
        <w:rPr>
          <w:rFonts w:cs="Times New Roman"/>
          <w:szCs w:val="24"/>
        </w:rPr>
        <w:t xml:space="preserve"> kontroles sistēmas vajadzībām.</w:t>
      </w:r>
      <w:r w:rsidR="00CA1377" w:rsidRPr="002A704F">
        <w:t xml:space="preserve"> 2016.gada jūnijā notika pirmā rīka testēšana, ko nodrošināja VI,  un rezultāti tika nodoti izstrādātājiem.</w:t>
      </w:r>
    </w:p>
    <w:p w14:paraId="317AFA5E" w14:textId="5EF057F1" w:rsidR="002C0654" w:rsidRPr="006E791D" w:rsidRDefault="002C0654" w:rsidP="00DC4E3D">
      <w:pPr>
        <w:tabs>
          <w:tab w:val="left" w:pos="851"/>
        </w:tabs>
        <w:spacing w:before="120" w:after="120" w:line="276" w:lineRule="auto"/>
        <w:jc w:val="both"/>
      </w:pPr>
      <w:r w:rsidRPr="006E791D">
        <w:t>Kopumā secināms, ka ES fondu 2014.-2020.gadu plānošanas perioda projektu admin</w:t>
      </w:r>
      <w:r w:rsidR="00F276C7" w:rsidRPr="006E791D">
        <w:t>i</w:t>
      </w:r>
      <w:r w:rsidRPr="006E791D">
        <w:t xml:space="preserve">strēšanas sistēma ir gan izveidota, gan arī jau darbojas pietiekami efektīvi un bez ievērojamiem trūkumiem. </w:t>
      </w:r>
      <w:r w:rsidR="00DB634A" w:rsidRPr="006E791D">
        <w:t>VI sadarbībā ar iesaistītām pusēm arvien izskatīs iespējas un nepieciešamību veikt uzlabojumus, pilnveidojumus kādos procesos vai normās, lai maksimāli mazinātu admin</w:t>
      </w:r>
      <w:r w:rsidR="00F276C7" w:rsidRPr="006E791D">
        <w:t>i</w:t>
      </w:r>
      <w:r w:rsidR="00DB634A" w:rsidRPr="006E791D">
        <w:t xml:space="preserve">stratīvo slogu visos līmeņos, vienlaikus veicinot fokusu uz labāko rezultātu un lielāko ieguvumu Latvijas tautsaimniecībai un iedzīvotājiem. </w:t>
      </w:r>
    </w:p>
    <w:p w14:paraId="50836242" w14:textId="348960D2" w:rsidR="009C0862" w:rsidRPr="00FA3A8D" w:rsidRDefault="006841EE" w:rsidP="00CE0CD0">
      <w:pPr>
        <w:pStyle w:val="1lmenis"/>
        <w:rPr>
          <w:rFonts w:eastAsia="Times New Roman"/>
        </w:rPr>
      </w:pPr>
      <w:bookmarkStart w:id="20" w:name="_Toc459713626"/>
      <w:r w:rsidRPr="00FA3A8D">
        <w:rPr>
          <w:rFonts w:eastAsia="Times New Roman"/>
        </w:rPr>
        <w:t>N</w:t>
      </w:r>
      <w:r w:rsidR="009C0862" w:rsidRPr="00FA3A8D">
        <w:rPr>
          <w:rFonts w:eastAsia="Times New Roman"/>
        </w:rPr>
        <w:t>ākamā pārskata perioda aktualitātes</w:t>
      </w:r>
      <w:bookmarkEnd w:id="20"/>
      <w:r w:rsidR="009C0862" w:rsidRPr="00FA3A8D">
        <w:rPr>
          <w:rFonts w:eastAsia="Times New Roman"/>
        </w:rPr>
        <w:t xml:space="preserve"> </w:t>
      </w:r>
      <w:bookmarkStart w:id="21" w:name="_Toc346541587"/>
      <w:bookmarkStart w:id="22" w:name="_Toc348033089"/>
    </w:p>
    <w:bookmarkEnd w:id="21"/>
    <w:bookmarkEnd w:id="22"/>
    <w:p w14:paraId="61EFC261" w14:textId="100D84A6" w:rsidR="006E0445" w:rsidRDefault="008423A5" w:rsidP="00DC4E3D">
      <w:pPr>
        <w:tabs>
          <w:tab w:val="left" w:pos="851"/>
        </w:tabs>
        <w:spacing w:before="120" w:after="120" w:line="276" w:lineRule="auto"/>
        <w:jc w:val="both"/>
        <w:rPr>
          <w:rFonts w:cs="Times New Roman"/>
          <w:bCs/>
        </w:rPr>
      </w:pPr>
      <w:r>
        <w:rPr>
          <w:rFonts w:cs="Times New Roman"/>
          <w:bCs/>
        </w:rPr>
        <w:t xml:space="preserve">Atbilstoši 2016.gada 17.februārī apstiprinātajam Ikgadējam izvērtēšanas plānam 2016.gadam tiks turpināts darbs pie ES fondu ieguldījumu </w:t>
      </w:r>
      <w:proofErr w:type="spellStart"/>
      <w:r>
        <w:rPr>
          <w:rFonts w:cs="Times New Roman"/>
          <w:bCs/>
        </w:rPr>
        <w:t>izvērtējumu</w:t>
      </w:r>
      <w:proofErr w:type="spellEnd"/>
      <w:r>
        <w:rPr>
          <w:rFonts w:cs="Times New Roman"/>
          <w:bCs/>
        </w:rPr>
        <w:t xml:space="preserve"> ve</w:t>
      </w:r>
      <w:r w:rsidR="00085744">
        <w:rPr>
          <w:rFonts w:cs="Times New Roman"/>
          <w:bCs/>
        </w:rPr>
        <w:t>i</w:t>
      </w:r>
      <w:r>
        <w:rPr>
          <w:rFonts w:cs="Times New Roman"/>
          <w:bCs/>
        </w:rPr>
        <w:t>kšanas. Nākamā pārskata perioda laikā tiks pabeigts N</w:t>
      </w:r>
      <w:r w:rsidR="006E0445">
        <w:rPr>
          <w:rFonts w:cs="Times New Roman"/>
          <w:bCs/>
        </w:rPr>
        <w:t>odarbinātības valsts aģentūrā</w:t>
      </w:r>
      <w:r>
        <w:rPr>
          <w:rFonts w:cs="Times New Roman"/>
          <w:bCs/>
        </w:rPr>
        <w:t xml:space="preserve"> reģist</w:t>
      </w:r>
      <w:r w:rsidR="006E0445">
        <w:rPr>
          <w:rFonts w:cs="Times New Roman"/>
          <w:bCs/>
        </w:rPr>
        <w:t>r</w:t>
      </w:r>
      <w:r>
        <w:rPr>
          <w:rFonts w:cs="Times New Roman"/>
          <w:bCs/>
        </w:rPr>
        <w:t>ē</w:t>
      </w:r>
      <w:r w:rsidR="006E0445">
        <w:rPr>
          <w:rFonts w:cs="Times New Roman"/>
          <w:bCs/>
        </w:rPr>
        <w:t>t</w:t>
      </w:r>
      <w:r>
        <w:rPr>
          <w:rFonts w:cs="Times New Roman"/>
          <w:bCs/>
        </w:rPr>
        <w:t xml:space="preserve">o bezdarbnieku profilēšanas metodes ietekmes uz bezdarbnieku darbā iekārtošanos </w:t>
      </w:r>
      <w:proofErr w:type="spellStart"/>
      <w:r>
        <w:rPr>
          <w:rFonts w:cs="Times New Roman"/>
          <w:bCs/>
        </w:rPr>
        <w:t>izvērtējums</w:t>
      </w:r>
      <w:proofErr w:type="spellEnd"/>
      <w:r>
        <w:rPr>
          <w:rFonts w:cs="Times New Roman"/>
          <w:bCs/>
        </w:rPr>
        <w:t>, nosakot 2007</w:t>
      </w:r>
      <w:r w:rsidR="00EB0FED">
        <w:rPr>
          <w:rFonts w:cs="Times New Roman"/>
          <w:bCs/>
        </w:rPr>
        <w:t>.</w:t>
      </w:r>
      <w:r>
        <w:rPr>
          <w:rFonts w:cs="Times New Roman"/>
          <w:bCs/>
        </w:rPr>
        <w:t xml:space="preserve"> – 2013</w:t>
      </w:r>
      <w:r w:rsidR="00EB0FED">
        <w:rPr>
          <w:rFonts w:cs="Times New Roman"/>
          <w:bCs/>
        </w:rPr>
        <w:t>.gada</w:t>
      </w:r>
      <w:r>
        <w:rPr>
          <w:rFonts w:cs="Times New Roman"/>
          <w:bCs/>
        </w:rPr>
        <w:t xml:space="preserve"> plānošanas periodā ESF projekta ietvaros izveidotās metodes efektivitāti un identificējot nepieciešamos uzlabojumu</w:t>
      </w:r>
      <w:r w:rsidR="00085744">
        <w:rPr>
          <w:rFonts w:cs="Times New Roman"/>
          <w:bCs/>
        </w:rPr>
        <w:t>s</w:t>
      </w:r>
      <w:r>
        <w:rPr>
          <w:rFonts w:cs="Times New Roman"/>
          <w:bCs/>
        </w:rPr>
        <w:t>. Sadarbībā ar VARAM un L</w:t>
      </w:r>
      <w:r w:rsidR="006E0445">
        <w:rPr>
          <w:rFonts w:cs="Times New Roman"/>
          <w:bCs/>
        </w:rPr>
        <w:t>atvijas Pašvaldību savienību</w:t>
      </w:r>
      <w:r>
        <w:rPr>
          <w:rFonts w:cs="Times New Roman"/>
          <w:bCs/>
        </w:rPr>
        <w:t xml:space="preserve"> tiks turpināts darbs </w:t>
      </w:r>
      <w:r w:rsidR="00811740">
        <w:rPr>
          <w:rFonts w:cs="Times New Roman"/>
          <w:bCs/>
        </w:rPr>
        <w:t xml:space="preserve">pie </w:t>
      </w:r>
      <w:proofErr w:type="spellStart"/>
      <w:r w:rsidR="00811740">
        <w:rPr>
          <w:rFonts w:cs="Times New Roman"/>
          <w:bCs/>
        </w:rPr>
        <w:t>izvērtējuma</w:t>
      </w:r>
      <w:proofErr w:type="spellEnd"/>
      <w:r w:rsidR="00811740">
        <w:rPr>
          <w:rFonts w:cs="Times New Roman"/>
          <w:bCs/>
        </w:rPr>
        <w:t xml:space="preserve"> par ES fondu ieguldījumu ietekmi uz teritoriālo un reģionālo attīstību Latvijā. </w:t>
      </w:r>
      <w:r>
        <w:rPr>
          <w:rFonts w:cs="Times New Roman"/>
          <w:bCs/>
        </w:rPr>
        <w:t xml:space="preserve"> </w:t>
      </w:r>
      <w:r w:rsidR="00811740">
        <w:rPr>
          <w:rFonts w:cs="Times New Roman"/>
          <w:bCs/>
        </w:rPr>
        <w:t>Tiks turpināts</w:t>
      </w:r>
      <w:r w:rsidR="00301F94">
        <w:rPr>
          <w:rFonts w:cs="Times New Roman"/>
          <w:bCs/>
        </w:rPr>
        <w:t xml:space="preserve"> 2016.gada 1.pusē</w:t>
      </w:r>
      <w:r w:rsidR="00811740">
        <w:rPr>
          <w:rFonts w:cs="Times New Roman"/>
          <w:bCs/>
        </w:rPr>
        <w:t xml:space="preserve"> iesāktais darbs pie </w:t>
      </w:r>
      <w:proofErr w:type="spellStart"/>
      <w:r w:rsidR="00811740">
        <w:rPr>
          <w:rFonts w:cs="Times New Roman"/>
          <w:bCs/>
        </w:rPr>
        <w:t>ex</w:t>
      </w:r>
      <w:proofErr w:type="spellEnd"/>
      <w:r w:rsidR="00811740">
        <w:rPr>
          <w:rFonts w:cs="Times New Roman"/>
          <w:bCs/>
        </w:rPr>
        <w:t xml:space="preserve">-post </w:t>
      </w:r>
      <w:proofErr w:type="spellStart"/>
      <w:r w:rsidR="00811740">
        <w:rPr>
          <w:rFonts w:cs="Times New Roman"/>
          <w:bCs/>
        </w:rPr>
        <w:t>izvērtējuma</w:t>
      </w:r>
      <w:proofErr w:type="spellEnd"/>
      <w:r w:rsidR="00811740">
        <w:rPr>
          <w:rFonts w:cs="Times New Roman"/>
          <w:bCs/>
        </w:rPr>
        <w:t xml:space="preserve">  par 2007</w:t>
      </w:r>
      <w:r w:rsidR="00EB0FED">
        <w:rPr>
          <w:rFonts w:cs="Times New Roman"/>
          <w:bCs/>
        </w:rPr>
        <w:t>.</w:t>
      </w:r>
      <w:r w:rsidR="00811740">
        <w:rPr>
          <w:rFonts w:cs="Times New Roman"/>
          <w:bCs/>
        </w:rPr>
        <w:t xml:space="preserve"> – 2013</w:t>
      </w:r>
      <w:r w:rsidR="00EB0FED">
        <w:rPr>
          <w:rFonts w:cs="Times New Roman"/>
          <w:bCs/>
        </w:rPr>
        <w:t>.gada</w:t>
      </w:r>
      <w:r w:rsidR="00811740">
        <w:rPr>
          <w:rFonts w:cs="Times New Roman"/>
          <w:bCs/>
        </w:rPr>
        <w:t xml:space="preserve"> plānošanas perioda ES fondu ieguldījumu</w:t>
      </w:r>
      <w:r w:rsidR="00301F94">
        <w:rPr>
          <w:rFonts w:cs="Times New Roman"/>
          <w:bCs/>
        </w:rPr>
        <w:t xml:space="preserve"> efektivitāti</w:t>
      </w:r>
      <w:r w:rsidR="00811740" w:rsidRPr="00811740">
        <w:rPr>
          <w:rFonts w:cs="Times New Roman"/>
          <w:bCs/>
          <w:szCs w:val="24"/>
        </w:rPr>
        <w:t xml:space="preserve"> </w:t>
      </w:r>
      <w:r w:rsidR="00811740" w:rsidRPr="006E0445">
        <w:rPr>
          <w:szCs w:val="24"/>
        </w:rPr>
        <w:t xml:space="preserve">zinātnē, pētniecībā un inovācijas procesa atbalstam </w:t>
      </w:r>
      <w:r w:rsidR="00811740">
        <w:rPr>
          <w:szCs w:val="24"/>
        </w:rPr>
        <w:t>21</w:t>
      </w:r>
      <w:r w:rsidR="00811740" w:rsidRPr="00811740">
        <w:rPr>
          <w:szCs w:val="24"/>
        </w:rPr>
        <w:t xml:space="preserve"> zinātniskaj</w:t>
      </w:r>
      <w:r w:rsidR="006A4B06">
        <w:rPr>
          <w:szCs w:val="24"/>
        </w:rPr>
        <w:t>ā</w:t>
      </w:r>
      <w:r w:rsidR="00811740" w:rsidRPr="00301F94">
        <w:rPr>
          <w:szCs w:val="24"/>
        </w:rPr>
        <w:t xml:space="preserve"> institūcijā</w:t>
      </w:r>
      <w:r w:rsidR="00811740" w:rsidRPr="006E0445">
        <w:rPr>
          <w:szCs w:val="24"/>
        </w:rPr>
        <w:t xml:space="preserve">, kas </w:t>
      </w:r>
      <w:r w:rsidR="00811740">
        <w:rPr>
          <w:szCs w:val="24"/>
        </w:rPr>
        <w:t>identificētas</w:t>
      </w:r>
      <w:r w:rsidR="00811740" w:rsidRPr="006E0445">
        <w:rPr>
          <w:szCs w:val="24"/>
        </w:rPr>
        <w:t xml:space="preserve"> kā visefektīvākās un ilgtspējīgākās</w:t>
      </w:r>
      <w:r w:rsidR="00811740">
        <w:rPr>
          <w:szCs w:val="24"/>
        </w:rPr>
        <w:t>.</w:t>
      </w:r>
      <w:r>
        <w:rPr>
          <w:rFonts w:cs="Times New Roman"/>
          <w:bCs/>
        </w:rPr>
        <w:t xml:space="preserve"> </w:t>
      </w:r>
      <w:r w:rsidR="00301F94">
        <w:rPr>
          <w:rFonts w:cs="Times New Roman"/>
          <w:bCs/>
        </w:rPr>
        <w:t>Nākamā pārskata p</w:t>
      </w:r>
      <w:r w:rsidR="00085744">
        <w:rPr>
          <w:rFonts w:cs="Times New Roman"/>
          <w:bCs/>
        </w:rPr>
        <w:t>erio</w:t>
      </w:r>
      <w:r w:rsidR="00301F94">
        <w:rPr>
          <w:rFonts w:cs="Times New Roman"/>
          <w:bCs/>
        </w:rPr>
        <w:t>da laikā plānots uzsākt iep</w:t>
      </w:r>
      <w:r w:rsidR="006E0445">
        <w:rPr>
          <w:rFonts w:cs="Times New Roman"/>
          <w:bCs/>
        </w:rPr>
        <w:t>ir</w:t>
      </w:r>
      <w:r w:rsidR="00301F94">
        <w:rPr>
          <w:rFonts w:cs="Times New Roman"/>
          <w:bCs/>
        </w:rPr>
        <w:t xml:space="preserve">kuma </w:t>
      </w:r>
      <w:r w:rsidR="00301F94" w:rsidRPr="008C092F">
        <w:rPr>
          <w:rFonts w:cs="Times New Roman"/>
          <w:bCs/>
          <w:szCs w:val="24"/>
        </w:rPr>
        <w:t xml:space="preserve">procedūru </w:t>
      </w:r>
      <w:proofErr w:type="spellStart"/>
      <w:r w:rsidR="00301F94" w:rsidRPr="008C092F">
        <w:rPr>
          <w:rFonts w:cs="Times New Roman"/>
          <w:bCs/>
          <w:szCs w:val="24"/>
        </w:rPr>
        <w:t>ex</w:t>
      </w:r>
      <w:proofErr w:type="spellEnd"/>
      <w:r w:rsidR="00085744">
        <w:rPr>
          <w:rFonts w:cs="Times New Roman"/>
          <w:bCs/>
          <w:szCs w:val="24"/>
        </w:rPr>
        <w:t>-</w:t>
      </w:r>
      <w:r w:rsidR="00301F94" w:rsidRPr="008C092F">
        <w:rPr>
          <w:rFonts w:cs="Times New Roman"/>
          <w:bCs/>
          <w:szCs w:val="24"/>
        </w:rPr>
        <w:t xml:space="preserve">post </w:t>
      </w:r>
      <w:proofErr w:type="spellStart"/>
      <w:r w:rsidR="00301F94" w:rsidRPr="008C092F">
        <w:rPr>
          <w:rFonts w:cs="Times New Roman"/>
          <w:bCs/>
          <w:szCs w:val="24"/>
        </w:rPr>
        <w:t>izv</w:t>
      </w:r>
      <w:r w:rsidR="00301F94" w:rsidRPr="00085744">
        <w:rPr>
          <w:rFonts w:cs="Times New Roman"/>
          <w:bCs/>
          <w:szCs w:val="24"/>
        </w:rPr>
        <w:t>ērtējumam</w:t>
      </w:r>
      <w:proofErr w:type="spellEnd"/>
      <w:r w:rsidR="00301F94" w:rsidRPr="00085744">
        <w:rPr>
          <w:rFonts w:cs="Times New Roman"/>
          <w:bCs/>
          <w:szCs w:val="24"/>
        </w:rPr>
        <w:t xml:space="preserve"> par</w:t>
      </w:r>
      <w:r w:rsidR="008C092F" w:rsidRPr="00085744">
        <w:rPr>
          <w:rFonts w:cs="Times New Roman"/>
          <w:bCs/>
          <w:szCs w:val="24"/>
        </w:rPr>
        <w:t xml:space="preserve"> ES fondu</w:t>
      </w:r>
      <w:r w:rsidR="00301F94" w:rsidRPr="00085744">
        <w:rPr>
          <w:rFonts w:cs="Times New Roman"/>
          <w:bCs/>
          <w:szCs w:val="24"/>
        </w:rPr>
        <w:t xml:space="preserve"> </w:t>
      </w:r>
      <w:r w:rsidR="008C092F" w:rsidRPr="00085744">
        <w:rPr>
          <w:rFonts w:cs="Times New Roman"/>
          <w:bCs/>
          <w:szCs w:val="24"/>
        </w:rPr>
        <w:t xml:space="preserve">ieguldījumiem satiksmes jomā un </w:t>
      </w:r>
      <w:proofErr w:type="spellStart"/>
      <w:r w:rsidR="008C092F" w:rsidRPr="00085744">
        <w:rPr>
          <w:rFonts w:cs="Times New Roman"/>
          <w:bCs/>
          <w:szCs w:val="24"/>
        </w:rPr>
        <w:t>ex</w:t>
      </w:r>
      <w:proofErr w:type="spellEnd"/>
      <w:r w:rsidR="008C092F" w:rsidRPr="00085744">
        <w:rPr>
          <w:rFonts w:cs="Times New Roman"/>
          <w:bCs/>
          <w:szCs w:val="24"/>
        </w:rPr>
        <w:t xml:space="preserve">-post </w:t>
      </w:r>
      <w:proofErr w:type="spellStart"/>
      <w:r w:rsidR="008C092F" w:rsidRPr="00085744">
        <w:rPr>
          <w:rFonts w:cs="Times New Roman"/>
          <w:bCs/>
          <w:szCs w:val="24"/>
        </w:rPr>
        <w:t>izv</w:t>
      </w:r>
      <w:r w:rsidR="008C092F" w:rsidRPr="006E0445">
        <w:rPr>
          <w:rFonts w:cs="Times New Roman"/>
          <w:bCs/>
          <w:szCs w:val="24"/>
        </w:rPr>
        <w:t>ērtējumam</w:t>
      </w:r>
      <w:proofErr w:type="spellEnd"/>
      <w:r w:rsidR="008C092F" w:rsidRPr="006E0445">
        <w:rPr>
          <w:rFonts w:cs="Times New Roman"/>
          <w:bCs/>
          <w:szCs w:val="24"/>
        </w:rPr>
        <w:t xml:space="preserve"> par ES fondu ieguldījumiem uzņēmējdarbības atbalstam, galveno fokusu liekot uz  </w:t>
      </w:r>
      <w:r w:rsidR="008C092F" w:rsidRPr="006E0445">
        <w:rPr>
          <w:rFonts w:cs="Times New Roman"/>
          <w:color w:val="222222"/>
          <w:szCs w:val="24"/>
        </w:rPr>
        <w:t>finanšu instrumentu efektivitātes un ietekmes novērtēšanu.</w:t>
      </w:r>
      <w:r w:rsidR="008C092F">
        <w:rPr>
          <w:rFonts w:cs="Times New Roman"/>
          <w:color w:val="222222"/>
          <w:sz w:val="20"/>
          <w:szCs w:val="24"/>
        </w:rPr>
        <w:t xml:space="preserve"> </w:t>
      </w:r>
      <w:r w:rsidR="00760CC6">
        <w:rPr>
          <w:rFonts w:cs="Times New Roman"/>
          <w:bCs/>
        </w:rPr>
        <w:t xml:space="preserve"> </w:t>
      </w:r>
    </w:p>
    <w:p w14:paraId="5C2A2787" w14:textId="4600DBF4" w:rsidR="00225C55" w:rsidRPr="001742AB" w:rsidRDefault="00225C55" w:rsidP="00DC4E3D">
      <w:pPr>
        <w:tabs>
          <w:tab w:val="left" w:pos="851"/>
        </w:tabs>
        <w:spacing w:before="120" w:after="120" w:line="276" w:lineRule="auto"/>
        <w:jc w:val="both"/>
        <w:rPr>
          <w:rFonts w:cs="Times New Roman"/>
          <w:bCs/>
        </w:rPr>
      </w:pPr>
      <w:r w:rsidRPr="0063044D">
        <w:rPr>
          <w:bCs/>
        </w:rPr>
        <w:t>VI vadībā tiks nodrošināts sekmīgs 2007-2013.gada plānošanas perioda programmu slēgšanas process un ar to saistīto jautājumu operatīva  risināšana</w:t>
      </w:r>
      <w:r>
        <w:rPr>
          <w:bCs/>
        </w:rPr>
        <w:t xml:space="preserve">, kā arī </w:t>
      </w:r>
      <w:r>
        <w:t>nepabeigto projektu uzraudzība</w:t>
      </w:r>
      <w:r w:rsidRPr="0063044D">
        <w:rPr>
          <w:bCs/>
        </w:rPr>
        <w:t>.</w:t>
      </w:r>
      <w:r w:rsidRPr="00D03D13">
        <w:rPr>
          <w:bCs/>
        </w:rPr>
        <w:t xml:space="preserve">     </w:t>
      </w:r>
    </w:p>
    <w:p w14:paraId="72CC3396" w14:textId="709A576E" w:rsidR="006C1E44" w:rsidRPr="00120427" w:rsidRDefault="006C1E44" w:rsidP="00DC4E3D">
      <w:pPr>
        <w:tabs>
          <w:tab w:val="left" w:pos="851"/>
        </w:tabs>
        <w:spacing w:before="120" w:after="120" w:line="276" w:lineRule="auto"/>
        <w:jc w:val="both"/>
        <w:rPr>
          <w:rFonts w:cs="Times New Roman"/>
          <w:bCs/>
          <w:highlight w:val="yellow"/>
        </w:rPr>
      </w:pPr>
      <w:r w:rsidRPr="00FA3A8D">
        <w:rPr>
          <w:rFonts w:cs="Times New Roman"/>
          <w:bCs/>
        </w:rPr>
        <w:t xml:space="preserve">Tiks turpināts darbs pie ES fondu 2014.-2020.gadu plānošanas perioda SAM/pasākumu īstenošanas nosacījumu izstrādes, nodrošinot jau sekmīgi ieviesto partnerību Uzraudzības komitejas un apakškomiteju ietvaros, lai pēc iespējas paātrinātu SAM/pasākumu uzsākšanu un kvalitatīvu investīciju plūsmu. </w:t>
      </w:r>
      <w:r w:rsidR="0011128E">
        <w:rPr>
          <w:rFonts w:cs="Times New Roman"/>
          <w:bCs/>
        </w:rPr>
        <w:t>Kā arī turpināsies neatlaidīgs darbs pie proje</w:t>
      </w:r>
      <w:r w:rsidR="00C14E1F">
        <w:rPr>
          <w:rFonts w:cs="Times New Roman"/>
          <w:bCs/>
        </w:rPr>
        <w:t>k</w:t>
      </w:r>
      <w:r w:rsidR="0011128E">
        <w:rPr>
          <w:rFonts w:cs="Times New Roman"/>
          <w:bCs/>
        </w:rPr>
        <w:t>tu atlašu uzsākšanas un projektu līgumu slēgšanas.</w:t>
      </w:r>
    </w:p>
    <w:p w14:paraId="591AC389" w14:textId="3C45A6CC" w:rsidR="006C1E44" w:rsidRPr="009D4B25" w:rsidRDefault="006C1E44" w:rsidP="00DC4E3D">
      <w:pPr>
        <w:tabs>
          <w:tab w:val="left" w:pos="851"/>
        </w:tabs>
        <w:spacing w:before="120" w:after="120" w:line="276" w:lineRule="auto"/>
        <w:jc w:val="both"/>
        <w:rPr>
          <w:rFonts w:cs="Times New Roman"/>
          <w:bCs/>
        </w:rPr>
      </w:pPr>
      <w:r w:rsidRPr="009D4B25">
        <w:rPr>
          <w:rFonts w:cs="Times New Roman"/>
          <w:bCs/>
        </w:rPr>
        <w:t xml:space="preserve">Valdība un sabiedrība tiks informēta par ES fondu investīciju progresu iesniedzot operatīvu ikmēneša pārskatu MK, kā arī ik ceturksni sniegts pārskats Saeimas Publisko izdevumu un revīzijas komisijai par ES fondu aktualitātēm. </w:t>
      </w:r>
    </w:p>
    <w:p w14:paraId="3C16A880" w14:textId="1D946ACA" w:rsidR="009C0862" w:rsidRDefault="00C74F71" w:rsidP="00DC4E3D">
      <w:pPr>
        <w:tabs>
          <w:tab w:val="left" w:pos="851"/>
        </w:tabs>
        <w:spacing w:before="120" w:after="120" w:line="276" w:lineRule="auto"/>
        <w:jc w:val="both"/>
      </w:pPr>
      <w:r w:rsidRPr="0063044D">
        <w:t>T</w:t>
      </w:r>
      <w:r w:rsidR="00D32901" w:rsidRPr="0063044D">
        <w:t xml:space="preserve">urpināsies darbs pie KP VIS </w:t>
      </w:r>
      <w:r w:rsidR="005507D3" w:rsidRPr="0063044D">
        <w:t>pilnveidošanas un papildus funkcionalitātes izstrādes</w:t>
      </w:r>
      <w:r w:rsidRPr="0063044D">
        <w:t xml:space="preserve">, lai sekmētu </w:t>
      </w:r>
      <w:r w:rsidR="00CC7F94">
        <w:t xml:space="preserve">minētās sistēmas </w:t>
      </w:r>
      <w:r w:rsidRPr="0063044D">
        <w:t>e-vides iekšēju un ārēju lietošanu, ērtāku pieejamību un efektīvas datu analīzes iespējas</w:t>
      </w:r>
      <w:r w:rsidR="00536626" w:rsidRPr="0063044D">
        <w:t>.</w:t>
      </w:r>
    </w:p>
    <w:p w14:paraId="583B3A56" w14:textId="73447BCF" w:rsidR="00225C55" w:rsidRPr="0063044D" w:rsidRDefault="004674DE" w:rsidP="00DC4E3D">
      <w:pPr>
        <w:tabs>
          <w:tab w:val="left" w:pos="851"/>
        </w:tabs>
        <w:spacing w:before="120" w:after="120" w:line="276" w:lineRule="auto"/>
        <w:jc w:val="both"/>
      </w:pPr>
      <w:r>
        <w:lastRenderedPageBreak/>
        <w:t>Tāpat aktuāl</w:t>
      </w:r>
      <w:r w:rsidR="00C5671C">
        <w:t>a</w:t>
      </w:r>
      <w:r>
        <w:t xml:space="preserve"> būs r</w:t>
      </w:r>
      <w:r w:rsidR="00225C55">
        <w:t xml:space="preserve">isku </w:t>
      </w:r>
      <w:r>
        <w:t xml:space="preserve">vadība </w:t>
      </w:r>
      <w:r w:rsidR="00225C55">
        <w:t xml:space="preserve">un </w:t>
      </w:r>
      <w:r>
        <w:t xml:space="preserve">operatīva </w:t>
      </w:r>
      <w:r w:rsidR="00225C55">
        <w:t>problēm</w:t>
      </w:r>
      <w:r w:rsidR="00C5671C">
        <w:t>u</w:t>
      </w:r>
      <w:r w:rsidR="00225C55">
        <w:t xml:space="preserve"> risināšana, īpaši</w:t>
      </w:r>
      <w:r w:rsidR="00C5671C">
        <w:t xml:space="preserve"> saistībā ar lielo </w:t>
      </w:r>
      <w:r w:rsidR="00C5671C" w:rsidRPr="00C5671C">
        <w:t>Latvijas dzelzceļa tīkla elektrifikācijas projekt</w:t>
      </w:r>
      <w:r w:rsidR="00C5671C">
        <w:t xml:space="preserve">u, ieguldījumiem </w:t>
      </w:r>
      <w:r w:rsidR="00225C55">
        <w:t>veselības infrastruktūr</w:t>
      </w:r>
      <w:r w:rsidR="00C5671C">
        <w:t>ā un</w:t>
      </w:r>
      <w:r w:rsidR="00225C55">
        <w:t xml:space="preserve"> </w:t>
      </w:r>
      <w:r w:rsidR="00C5671C" w:rsidRPr="001C399A">
        <w:rPr>
          <w:rFonts w:eastAsia="+mn-ea" w:cs="Times New Roman"/>
          <w:kern w:val="24"/>
          <w:szCs w:val="24"/>
          <w:lang w:eastAsia="lv-LV"/>
        </w:rPr>
        <w:t xml:space="preserve">Inčukalna </w:t>
      </w:r>
      <w:r w:rsidR="00FF7DD3">
        <w:rPr>
          <w:rFonts w:eastAsia="+mn-ea" w:cs="Times New Roman"/>
          <w:kern w:val="24"/>
          <w:szCs w:val="24"/>
          <w:lang w:eastAsia="lv-LV"/>
        </w:rPr>
        <w:t>gu</w:t>
      </w:r>
      <w:r w:rsidR="00C5671C">
        <w:rPr>
          <w:rFonts w:eastAsia="+mn-ea" w:cs="Times New Roman"/>
          <w:kern w:val="24"/>
          <w:szCs w:val="24"/>
          <w:lang w:eastAsia="lv-LV"/>
        </w:rPr>
        <w:t xml:space="preserve">drona dīķu sanācijas projekta </w:t>
      </w:r>
      <w:r w:rsidR="00C5671C">
        <w:t xml:space="preserve">pabeigšanā. </w:t>
      </w:r>
    </w:p>
    <w:p w14:paraId="427D3250" w14:textId="77777777" w:rsidR="00D65094" w:rsidRDefault="00D65094" w:rsidP="00DC4E3D">
      <w:pPr>
        <w:tabs>
          <w:tab w:val="right" w:pos="8647"/>
        </w:tabs>
        <w:spacing w:line="276" w:lineRule="auto"/>
        <w:rPr>
          <w:color w:val="000000" w:themeColor="text1"/>
          <w:spacing w:val="6"/>
          <w:sz w:val="28"/>
          <w:szCs w:val="24"/>
        </w:rPr>
      </w:pPr>
    </w:p>
    <w:p w14:paraId="112A1FA2" w14:textId="77777777" w:rsidR="009E612B" w:rsidRDefault="009E612B" w:rsidP="00DC4E3D">
      <w:pPr>
        <w:tabs>
          <w:tab w:val="right" w:pos="8647"/>
        </w:tabs>
        <w:spacing w:line="276" w:lineRule="auto"/>
        <w:rPr>
          <w:color w:val="000000" w:themeColor="text1"/>
          <w:spacing w:val="6"/>
          <w:sz w:val="28"/>
          <w:szCs w:val="24"/>
        </w:rPr>
      </w:pPr>
    </w:p>
    <w:p w14:paraId="580007A5" w14:textId="77777777" w:rsidR="00D65094" w:rsidRDefault="00D65094" w:rsidP="00DC4E3D">
      <w:pPr>
        <w:tabs>
          <w:tab w:val="right" w:pos="8647"/>
        </w:tabs>
        <w:spacing w:line="276" w:lineRule="auto"/>
        <w:rPr>
          <w:color w:val="000000" w:themeColor="text1"/>
          <w:spacing w:val="6"/>
          <w:sz w:val="28"/>
          <w:szCs w:val="24"/>
        </w:rPr>
      </w:pPr>
    </w:p>
    <w:p w14:paraId="327A066F" w14:textId="72FBB09D" w:rsidR="009C0862" w:rsidRPr="00536626" w:rsidRDefault="009C0862" w:rsidP="00DC4E3D">
      <w:pPr>
        <w:tabs>
          <w:tab w:val="right" w:pos="8647"/>
        </w:tabs>
        <w:spacing w:line="276" w:lineRule="auto"/>
        <w:rPr>
          <w:color w:val="000000" w:themeColor="text1"/>
          <w:spacing w:val="6"/>
          <w:sz w:val="28"/>
          <w:szCs w:val="24"/>
        </w:rPr>
      </w:pPr>
      <w:r w:rsidRPr="00C36B75">
        <w:rPr>
          <w:color w:val="000000" w:themeColor="text1"/>
          <w:spacing w:val="6"/>
          <w:sz w:val="28"/>
          <w:szCs w:val="24"/>
        </w:rPr>
        <w:t>F</w:t>
      </w:r>
      <w:r w:rsidR="00536626">
        <w:rPr>
          <w:color w:val="000000" w:themeColor="text1"/>
          <w:spacing w:val="6"/>
          <w:sz w:val="28"/>
          <w:szCs w:val="24"/>
        </w:rPr>
        <w:t>inanšu ministr</w:t>
      </w:r>
      <w:r w:rsidR="001D1D31">
        <w:rPr>
          <w:color w:val="000000" w:themeColor="text1"/>
          <w:spacing w:val="6"/>
          <w:sz w:val="28"/>
          <w:szCs w:val="24"/>
        </w:rPr>
        <w:t>e</w:t>
      </w:r>
      <w:r w:rsidR="00536626">
        <w:rPr>
          <w:color w:val="000000" w:themeColor="text1"/>
          <w:spacing w:val="6"/>
          <w:sz w:val="28"/>
          <w:szCs w:val="24"/>
        </w:rPr>
        <w:t xml:space="preserve"> </w:t>
      </w:r>
      <w:r w:rsidR="00536626">
        <w:rPr>
          <w:color w:val="000000" w:themeColor="text1"/>
          <w:spacing w:val="6"/>
          <w:sz w:val="28"/>
          <w:szCs w:val="24"/>
        </w:rPr>
        <w:tab/>
      </w:r>
      <w:proofErr w:type="spellStart"/>
      <w:r w:rsidR="001D1D31">
        <w:rPr>
          <w:color w:val="000000" w:themeColor="text1"/>
          <w:spacing w:val="6"/>
          <w:sz w:val="28"/>
          <w:szCs w:val="24"/>
        </w:rPr>
        <w:t>D.Reizniece</w:t>
      </w:r>
      <w:proofErr w:type="spellEnd"/>
      <w:r w:rsidR="001D1D31">
        <w:rPr>
          <w:color w:val="000000" w:themeColor="text1"/>
          <w:spacing w:val="6"/>
          <w:sz w:val="28"/>
          <w:szCs w:val="24"/>
        </w:rPr>
        <w:t>-Ozola</w:t>
      </w:r>
    </w:p>
    <w:p w14:paraId="0E559C01" w14:textId="77777777" w:rsidR="009C0862" w:rsidRDefault="009C0862" w:rsidP="00DC4E3D">
      <w:pPr>
        <w:tabs>
          <w:tab w:val="center" w:pos="4153"/>
          <w:tab w:val="right" w:pos="8306"/>
        </w:tabs>
        <w:spacing w:line="276" w:lineRule="auto"/>
        <w:rPr>
          <w:color w:val="000000" w:themeColor="text1"/>
          <w:sz w:val="20"/>
          <w:highlight w:val="yellow"/>
        </w:rPr>
      </w:pPr>
    </w:p>
    <w:p w14:paraId="0DFBF471" w14:textId="77777777" w:rsidR="00D65094" w:rsidRDefault="00D65094" w:rsidP="00DC4E3D">
      <w:pPr>
        <w:tabs>
          <w:tab w:val="center" w:pos="4153"/>
          <w:tab w:val="right" w:pos="8306"/>
        </w:tabs>
        <w:spacing w:line="276" w:lineRule="auto"/>
        <w:rPr>
          <w:color w:val="000000" w:themeColor="text1"/>
          <w:sz w:val="20"/>
          <w:highlight w:val="yellow"/>
        </w:rPr>
      </w:pPr>
    </w:p>
    <w:p w14:paraId="15DD5CB5" w14:textId="77777777" w:rsidR="00D65094" w:rsidRDefault="00D65094" w:rsidP="00DC4E3D">
      <w:pPr>
        <w:tabs>
          <w:tab w:val="center" w:pos="4153"/>
          <w:tab w:val="right" w:pos="8306"/>
        </w:tabs>
        <w:spacing w:line="276" w:lineRule="auto"/>
        <w:rPr>
          <w:color w:val="000000" w:themeColor="text1"/>
          <w:sz w:val="20"/>
          <w:highlight w:val="yellow"/>
        </w:rPr>
      </w:pPr>
    </w:p>
    <w:p w14:paraId="059DB380" w14:textId="77777777" w:rsidR="00D65094" w:rsidRDefault="00D65094" w:rsidP="00DC4E3D">
      <w:pPr>
        <w:tabs>
          <w:tab w:val="center" w:pos="4153"/>
          <w:tab w:val="right" w:pos="8306"/>
        </w:tabs>
        <w:spacing w:line="276" w:lineRule="auto"/>
        <w:rPr>
          <w:color w:val="000000" w:themeColor="text1"/>
          <w:sz w:val="20"/>
          <w:highlight w:val="yellow"/>
        </w:rPr>
      </w:pPr>
    </w:p>
    <w:p w14:paraId="180C5049" w14:textId="77777777" w:rsidR="009E612B" w:rsidRPr="003279AB" w:rsidRDefault="009E612B" w:rsidP="00DC4E3D">
      <w:pPr>
        <w:tabs>
          <w:tab w:val="center" w:pos="4153"/>
          <w:tab w:val="right" w:pos="8306"/>
        </w:tabs>
        <w:spacing w:line="276" w:lineRule="auto"/>
        <w:rPr>
          <w:color w:val="000000" w:themeColor="text1"/>
          <w:sz w:val="20"/>
          <w:highlight w:val="yellow"/>
        </w:rPr>
      </w:pPr>
    </w:p>
    <w:p w14:paraId="1AFE5226" w14:textId="77777777" w:rsidR="002D4515" w:rsidRDefault="002D4515" w:rsidP="00DC4E3D">
      <w:pPr>
        <w:tabs>
          <w:tab w:val="left" w:pos="1725"/>
        </w:tabs>
        <w:spacing w:line="276" w:lineRule="auto"/>
        <w:rPr>
          <w:color w:val="000000" w:themeColor="text1"/>
          <w:sz w:val="18"/>
        </w:rPr>
      </w:pPr>
    </w:p>
    <w:p w14:paraId="054E9760" w14:textId="4860E986" w:rsidR="009C0862" w:rsidRPr="00253C64" w:rsidRDefault="00B434B1" w:rsidP="00DC4E3D">
      <w:pPr>
        <w:tabs>
          <w:tab w:val="left" w:pos="1725"/>
        </w:tabs>
        <w:spacing w:line="276" w:lineRule="auto"/>
        <w:rPr>
          <w:color w:val="000000" w:themeColor="text1"/>
          <w:sz w:val="18"/>
        </w:rPr>
      </w:pPr>
      <w:r w:rsidRPr="00253C64">
        <w:rPr>
          <w:color w:val="000000" w:themeColor="text1"/>
          <w:sz w:val="18"/>
        </w:rPr>
        <w:t>2</w:t>
      </w:r>
      <w:r w:rsidR="00787AF1">
        <w:rPr>
          <w:color w:val="000000" w:themeColor="text1"/>
          <w:sz w:val="18"/>
        </w:rPr>
        <w:t>4</w:t>
      </w:r>
      <w:r w:rsidR="00927A2E" w:rsidRPr="00253C64">
        <w:rPr>
          <w:color w:val="000000" w:themeColor="text1"/>
          <w:sz w:val="18"/>
        </w:rPr>
        <w:t>.0</w:t>
      </w:r>
      <w:r w:rsidR="00787AF1">
        <w:rPr>
          <w:color w:val="000000" w:themeColor="text1"/>
          <w:sz w:val="18"/>
        </w:rPr>
        <w:t>8</w:t>
      </w:r>
      <w:r w:rsidR="00907F13" w:rsidRPr="00253C64">
        <w:rPr>
          <w:color w:val="000000" w:themeColor="text1"/>
          <w:sz w:val="18"/>
        </w:rPr>
        <w:t>.2016</w:t>
      </w:r>
      <w:r w:rsidR="00943FA2" w:rsidRPr="00253C64">
        <w:rPr>
          <w:color w:val="000000" w:themeColor="text1"/>
          <w:sz w:val="18"/>
        </w:rPr>
        <w:t xml:space="preserve"> 1</w:t>
      </w:r>
      <w:r w:rsidR="00D67844">
        <w:rPr>
          <w:color w:val="000000" w:themeColor="text1"/>
          <w:sz w:val="18"/>
        </w:rPr>
        <w:t>1</w:t>
      </w:r>
      <w:r w:rsidR="009C0862" w:rsidRPr="00253C64">
        <w:rPr>
          <w:color w:val="000000" w:themeColor="text1"/>
          <w:sz w:val="18"/>
        </w:rPr>
        <w:t>:56</w:t>
      </w:r>
    </w:p>
    <w:p w14:paraId="3311FC84" w14:textId="177B8208" w:rsidR="009C0862" w:rsidRPr="00B666AB" w:rsidRDefault="00CC7F17" w:rsidP="00DC4E3D">
      <w:pPr>
        <w:tabs>
          <w:tab w:val="left" w:pos="1725"/>
        </w:tabs>
        <w:spacing w:line="276" w:lineRule="auto"/>
        <w:rPr>
          <w:color w:val="000000" w:themeColor="text1"/>
          <w:sz w:val="18"/>
        </w:rPr>
      </w:pPr>
      <w:r>
        <w:rPr>
          <w:color w:val="000000" w:themeColor="text1"/>
          <w:sz w:val="18"/>
        </w:rPr>
        <w:t>12</w:t>
      </w:r>
      <w:r w:rsidR="00FD37EE" w:rsidRPr="00FD37EE">
        <w:rPr>
          <w:color w:val="000000" w:themeColor="text1"/>
          <w:sz w:val="18"/>
        </w:rPr>
        <w:t xml:space="preserve"> </w:t>
      </w:r>
      <w:r w:rsidR="00564E89">
        <w:rPr>
          <w:color w:val="000000" w:themeColor="text1"/>
          <w:sz w:val="18"/>
        </w:rPr>
        <w:t>249</w:t>
      </w:r>
    </w:p>
    <w:p w14:paraId="54112819" w14:textId="45D56D00" w:rsidR="009C0862" w:rsidRPr="00C36B75" w:rsidRDefault="009C0862" w:rsidP="00DC4E3D">
      <w:pPr>
        <w:tabs>
          <w:tab w:val="center" w:pos="4153"/>
          <w:tab w:val="right" w:pos="8306"/>
        </w:tabs>
        <w:spacing w:line="276" w:lineRule="auto"/>
        <w:rPr>
          <w:color w:val="000000"/>
          <w:sz w:val="20"/>
        </w:rPr>
      </w:pPr>
      <w:r w:rsidRPr="00C36B75">
        <w:rPr>
          <w:color w:val="000000"/>
          <w:sz w:val="20"/>
        </w:rPr>
        <w:t xml:space="preserve">Ieva </w:t>
      </w:r>
      <w:r w:rsidR="003210F5">
        <w:rPr>
          <w:color w:val="000000"/>
          <w:sz w:val="20"/>
        </w:rPr>
        <w:t>Ziepniece</w:t>
      </w:r>
    </w:p>
    <w:p w14:paraId="313C203F" w14:textId="77777777" w:rsidR="009C0862" w:rsidRPr="00C36B75" w:rsidRDefault="009C0862" w:rsidP="00DC4E3D">
      <w:pPr>
        <w:tabs>
          <w:tab w:val="center" w:pos="4153"/>
          <w:tab w:val="right" w:pos="8306"/>
        </w:tabs>
        <w:spacing w:line="276" w:lineRule="auto"/>
        <w:rPr>
          <w:color w:val="000000"/>
          <w:sz w:val="20"/>
        </w:rPr>
      </w:pPr>
      <w:bookmarkStart w:id="23" w:name="_GoBack"/>
      <w:r w:rsidRPr="00C36B75">
        <w:rPr>
          <w:color w:val="000000"/>
          <w:sz w:val="20"/>
        </w:rPr>
        <w:t>Finanšu ministrijas Eiropas Savienības fondu uzraudzības departamenta</w:t>
      </w:r>
    </w:p>
    <w:p w14:paraId="6AADF091" w14:textId="0EB366DE" w:rsidR="009C0862" w:rsidRPr="00C36B75" w:rsidRDefault="009C0862" w:rsidP="00DC4E3D">
      <w:pPr>
        <w:tabs>
          <w:tab w:val="center" w:pos="4153"/>
          <w:tab w:val="right" w:pos="8306"/>
        </w:tabs>
        <w:spacing w:line="276" w:lineRule="auto"/>
        <w:rPr>
          <w:color w:val="000000"/>
          <w:sz w:val="20"/>
        </w:rPr>
      </w:pPr>
      <w:r w:rsidRPr="00C36B75">
        <w:rPr>
          <w:color w:val="000000"/>
          <w:sz w:val="20"/>
        </w:rPr>
        <w:t>Uzņēmējdarbības un inovāc</w:t>
      </w:r>
      <w:r w:rsidR="00120427">
        <w:rPr>
          <w:color w:val="000000"/>
          <w:sz w:val="20"/>
        </w:rPr>
        <w:t>iju uzraudzības nodaļas vadītājas vietniece</w:t>
      </w:r>
    </w:p>
    <w:p w14:paraId="2DF2E928" w14:textId="77777777" w:rsidR="009C0862" w:rsidRPr="00C36B75" w:rsidRDefault="009C0862" w:rsidP="00DC4E3D">
      <w:pPr>
        <w:tabs>
          <w:tab w:val="center" w:pos="4153"/>
          <w:tab w:val="right" w:pos="8306"/>
        </w:tabs>
        <w:spacing w:line="276" w:lineRule="auto"/>
        <w:rPr>
          <w:color w:val="000000"/>
          <w:sz w:val="20"/>
        </w:rPr>
      </w:pPr>
      <w:r w:rsidRPr="00C36B75">
        <w:rPr>
          <w:color w:val="000000"/>
          <w:sz w:val="20"/>
        </w:rPr>
        <w:t>Tālr. 67095614, fakss 67095697</w:t>
      </w:r>
    </w:p>
    <w:p w14:paraId="5B036554" w14:textId="6CBA639F" w:rsidR="00942AB5" w:rsidRPr="00536626" w:rsidRDefault="006D6B53" w:rsidP="00DC4E3D">
      <w:pPr>
        <w:pStyle w:val="Header"/>
        <w:spacing w:line="276" w:lineRule="auto"/>
        <w:rPr>
          <w:sz w:val="20"/>
        </w:rPr>
      </w:pPr>
      <w:hyperlink r:id="rId25" w:history="1">
        <w:r w:rsidR="003210F5" w:rsidRPr="003210F5">
          <w:rPr>
            <w:rStyle w:val="Hyperlink"/>
            <w:sz w:val="20"/>
          </w:rPr>
          <w:t>Ieva.</w:t>
        </w:r>
        <w:r w:rsidR="003210F5" w:rsidRPr="004E79F6">
          <w:rPr>
            <w:rStyle w:val="Hyperlink"/>
            <w:sz w:val="20"/>
          </w:rPr>
          <w:t>Ziepniece@fm.gov.lv</w:t>
        </w:r>
      </w:hyperlink>
      <w:bookmarkEnd w:id="23"/>
    </w:p>
    <w:sectPr w:rsidR="00942AB5" w:rsidRPr="00536626" w:rsidSect="00B13216">
      <w:headerReference w:type="default" r:id="rId26"/>
      <w:footerReference w:type="default" r:id="rId27"/>
      <w:pgSz w:w="11906" w:h="16838" w:code="9"/>
      <w:pgMar w:top="1418" w:right="141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812BB" w14:textId="77777777" w:rsidR="006D6B53" w:rsidRDefault="006D6B53" w:rsidP="009C0862">
      <w:r>
        <w:separator/>
      </w:r>
    </w:p>
  </w:endnote>
  <w:endnote w:type="continuationSeparator" w:id="0">
    <w:p w14:paraId="1426485E" w14:textId="77777777" w:rsidR="006D6B53" w:rsidRDefault="006D6B53" w:rsidP="009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AE8D" w14:textId="657CA851" w:rsidR="00D12C22" w:rsidRPr="00C147F0" w:rsidRDefault="00D12C22" w:rsidP="00B13216">
    <w:pPr>
      <w:pStyle w:val="Footer"/>
      <w:jc w:val="both"/>
      <w:rPr>
        <w:sz w:val="20"/>
      </w:rPr>
    </w:pPr>
    <w:r w:rsidRPr="003A479C">
      <w:rPr>
        <w:sz w:val="20"/>
      </w:rPr>
      <w:t>FMzino_</w:t>
    </w:r>
    <w:r>
      <w:rPr>
        <w:sz w:val="20"/>
      </w:rPr>
      <w:t>240816</w:t>
    </w:r>
    <w:r w:rsidRPr="003A479C">
      <w:rPr>
        <w:sz w:val="20"/>
      </w:rPr>
      <w:t xml:space="preserve">_ES_fondi; Informatīvais ziņojums par ES struktūrfondu un Kohēzijas fonda, Eiropas Ekonomikas zonas </w:t>
    </w:r>
    <w:r>
      <w:rPr>
        <w:sz w:val="20"/>
      </w:rPr>
      <w:t xml:space="preserve">finanšu instrumenta, Norvēģijas </w:t>
    </w:r>
    <w:r w:rsidRPr="003A479C">
      <w:rPr>
        <w:sz w:val="20"/>
      </w:rPr>
      <w:t>finanšu instrumenta un Latvijas</w:t>
    </w:r>
    <w:r>
      <w:rPr>
        <w:sz w:val="20"/>
      </w:rPr>
      <w:t xml:space="preserve"> un Šveices sadarbības programmas investīciju progresu</w:t>
    </w:r>
    <w:r w:rsidRPr="003A479C">
      <w:rPr>
        <w:sz w:val="20"/>
      </w:rPr>
      <w:t xml:space="preserve"> līdz </w:t>
    </w:r>
    <w:r>
      <w:rPr>
        <w:sz w:val="20"/>
      </w:rPr>
      <w:t>2016.gada 30.jūnijam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DC11" w14:textId="77777777" w:rsidR="006D6B53" w:rsidRDefault="006D6B53" w:rsidP="009C0862">
      <w:r>
        <w:separator/>
      </w:r>
    </w:p>
  </w:footnote>
  <w:footnote w:type="continuationSeparator" w:id="0">
    <w:p w14:paraId="3E67743D" w14:textId="77777777" w:rsidR="006D6B53" w:rsidRDefault="006D6B53" w:rsidP="009C0862">
      <w:r>
        <w:continuationSeparator/>
      </w:r>
    </w:p>
  </w:footnote>
  <w:footnote w:id="1">
    <w:p w14:paraId="77BFD0BF" w14:textId="77777777" w:rsidR="00D12C22" w:rsidRPr="00B77A71" w:rsidRDefault="00D12C22" w:rsidP="00EA720A">
      <w:pPr>
        <w:pStyle w:val="FootnoteText"/>
        <w:jc w:val="both"/>
        <w:rPr>
          <w:color w:val="000000" w:themeColor="text1"/>
        </w:rPr>
      </w:pPr>
      <w:r w:rsidRPr="00B77A71">
        <w:rPr>
          <w:rStyle w:val="FootnoteReference"/>
          <w:color w:val="000000" w:themeColor="text1"/>
        </w:rPr>
        <w:footnoteRef/>
      </w:r>
      <w:r w:rsidRPr="00B77A71">
        <w:rPr>
          <w:color w:val="000000" w:themeColor="text1"/>
        </w:rPr>
        <w:t xml:space="preserve"> Ar EK regulu (EK) Nr. 1080/2006, kas stājās spēkā 2006.gada 1.augustā, tiek noteikti trīs mērķi fondu pasākumu īstenošanai. 1.mērķis ir konverģence, kas paredzēts vismazāk attīstīto dalībvalstu un reģionu konverģences paātrināšanai, uzlabojot pieauguma un nodarbinātības nosacījumus un tiek finansēs no ERAF, ESF un KF līdzekļiem. Latvija ir tiesīga saņemt finansējumu šī mērķa ietvaros.</w:t>
      </w:r>
    </w:p>
  </w:footnote>
  <w:footnote w:id="2">
    <w:p w14:paraId="4520441B" w14:textId="775906CB" w:rsidR="00D12C22" w:rsidRDefault="00D12C22" w:rsidP="00200D49">
      <w:pPr>
        <w:pStyle w:val="FootnoteText"/>
        <w:jc w:val="both"/>
      </w:pPr>
      <w:r>
        <w:rPr>
          <w:rStyle w:val="FootnoteReference"/>
        </w:rPr>
        <w:footnoteRef/>
      </w:r>
      <w:r>
        <w:t xml:space="preserve"> </w:t>
      </w:r>
      <w:r w:rsidRPr="00AE160D">
        <w:rPr>
          <w:shd w:val="clear" w:color="auto" w:fill="FFFFFF"/>
        </w:rPr>
        <w:t xml:space="preserve">Pieejami ES fondu </w:t>
      </w:r>
      <w:r w:rsidRPr="00AE160D">
        <w:rPr>
          <w:color w:val="212121"/>
          <w:shd w:val="clear" w:color="auto" w:fill="FFFFFF"/>
        </w:rPr>
        <w:t>tīmekļa vietnē </w:t>
      </w:r>
      <w:hyperlink r:id="rId1" w:tgtFrame="_blank" w:history="1">
        <w:r w:rsidRPr="00AE160D">
          <w:rPr>
            <w:rStyle w:val="Hyperlink"/>
            <w:shd w:val="clear" w:color="auto" w:fill="FFFFFF"/>
          </w:rPr>
          <w:t>http://www.esfondi.lv/zinojumi-par-es-fondu-istenosanu-1</w:t>
        </w:r>
      </w:hyperlink>
    </w:p>
  </w:footnote>
  <w:footnote w:id="3">
    <w:p w14:paraId="0BC98FF4" w14:textId="222F62F6" w:rsidR="00D12C22" w:rsidRDefault="00D12C22" w:rsidP="00200D49">
      <w:pPr>
        <w:pStyle w:val="FootnoteText"/>
        <w:jc w:val="both"/>
      </w:pPr>
      <w:r w:rsidRPr="00AE160D">
        <w:rPr>
          <w:rStyle w:val="FootnoteReference"/>
        </w:rPr>
        <w:footnoteRef/>
      </w:r>
      <w:r w:rsidRPr="00AE160D">
        <w:t xml:space="preserve"> </w:t>
      </w:r>
      <w:r w:rsidRPr="00AE160D">
        <w:rPr>
          <w:shd w:val="clear" w:color="auto" w:fill="FFFFFF"/>
        </w:rPr>
        <w:t>Pārskats par progresu līdz 2016.gada 30.jūnijam pieejams ES fondu tīmekļa vietnē </w:t>
      </w:r>
      <w:hyperlink r:id="rId2" w:tgtFrame="_blank" w:history="1">
        <w:r w:rsidRPr="00AE160D">
          <w:rPr>
            <w:rStyle w:val="Hyperlink"/>
            <w:shd w:val="clear" w:color="auto" w:fill="FFFFFF"/>
          </w:rPr>
          <w:t>http://www.esfondi.lv/iesniegtie-parskati-saeimas-publisko-izdevumu-un-revizijas-komisijai</w:t>
        </w:r>
      </w:hyperlink>
    </w:p>
  </w:footnote>
  <w:footnote w:id="4">
    <w:p w14:paraId="143F2E0E" w14:textId="15DF4B84" w:rsidR="00D12C22" w:rsidRDefault="00D12C22" w:rsidP="009C0862">
      <w:pPr>
        <w:pStyle w:val="FootnoteText"/>
        <w:jc w:val="both"/>
      </w:pPr>
      <w:r>
        <w:rPr>
          <w:rStyle w:val="FootnoteReference"/>
        </w:rPr>
        <w:footnoteRef/>
      </w:r>
      <w:r>
        <w:t xml:space="preserve"> </w:t>
      </w:r>
      <w:r w:rsidRPr="00C86F26">
        <w:t>Šajā Ziņojumā ES fondu ietekmes analīze balstās uz</w:t>
      </w:r>
      <w:r w:rsidR="003C12CF">
        <w:t xml:space="preserve"> FM modeli, ko izstrādāja uz</w:t>
      </w:r>
      <w:r w:rsidRPr="00C86F26">
        <w:t xml:space="preserve"> SIA „Projektu un kvalitātes vadība” pētījuma</w:t>
      </w:r>
      <w:r w:rsidR="003C12CF">
        <w:t xml:space="preserve"> pamata</w:t>
      </w:r>
      <w:r w:rsidRPr="00C86F26">
        <w:t xml:space="preserve"> par izspiešanas efektu un publiskā kapitāla elastību Latvijā ES fondu ietekmes izvērtēšanas metodoloģijas attīstībai (http://www.esfondi.lv/page.php?id=1104) rezultātiem. ES fondu ietekme uz makroekonomiskajiem rādītājiem sniegta balstoties uz 2010.gada salīdzināmajām cenām.</w:t>
      </w:r>
    </w:p>
  </w:footnote>
  <w:footnote w:id="5">
    <w:p w14:paraId="0CE78198" w14:textId="47E71E81" w:rsidR="00D12C22" w:rsidRDefault="00D12C22" w:rsidP="00230E91">
      <w:pPr>
        <w:pStyle w:val="FootnoteText"/>
        <w:jc w:val="both"/>
      </w:pPr>
      <w:r>
        <w:rPr>
          <w:rStyle w:val="FootnoteReference"/>
        </w:rPr>
        <w:footnoteRef/>
      </w:r>
      <w:r>
        <w:t xml:space="preserve"> </w:t>
      </w:r>
      <w:r w:rsidRPr="009A2007">
        <w:t xml:space="preserve">Saskaņā ar </w:t>
      </w:r>
      <w:r w:rsidR="003C12CF">
        <w:t>FM modeļa</w:t>
      </w:r>
      <w:r w:rsidRPr="009A2007">
        <w:t xml:space="preserve"> metodoloģiju novērtēta ESF, ERAF, KF/ISPA, ES </w:t>
      </w:r>
      <w:proofErr w:type="spellStart"/>
      <w:r w:rsidRPr="009A2007">
        <w:t>pirmsiestāšanās</w:t>
      </w:r>
      <w:proofErr w:type="spellEnd"/>
      <w:r w:rsidRPr="009A2007">
        <w:t xml:space="preserve"> finanšu instrumentu </w:t>
      </w:r>
      <w:proofErr w:type="spellStart"/>
      <w:r w:rsidRPr="009A2007">
        <w:t>Phare</w:t>
      </w:r>
      <w:proofErr w:type="spellEnd"/>
      <w:r w:rsidRPr="009A2007">
        <w:t xml:space="preserve"> un SAPARD, INTERREG, ES Kohēzijas politikas 3.mērķa „Eiropas teritoriālā sadarbība” programmas (ERAF), EEZ/Norvēģijas finanšu instrumentu, kā arī Latvijas un Šveices sadarbības programmas ietekme.</w:t>
      </w:r>
    </w:p>
  </w:footnote>
  <w:footnote w:id="6">
    <w:p w14:paraId="0B982C8E" w14:textId="3431CABD" w:rsidR="00D12C22" w:rsidRDefault="00D12C22" w:rsidP="00200D49">
      <w:pPr>
        <w:pStyle w:val="FootnoteText"/>
        <w:jc w:val="both"/>
      </w:pPr>
      <w:r>
        <w:rPr>
          <w:rStyle w:val="FootnoteReference"/>
        </w:rPr>
        <w:footnoteRef/>
      </w:r>
      <w:r>
        <w:t xml:space="preserve"> </w:t>
      </w:r>
      <w:r w:rsidRPr="00224C47">
        <w:t>2006.gada 11.jūlija PADOMES REGULA (EK) Nr.1083/2006, ar ko paredz vispārīgus noteikumus par Eiropas Reģionālās attīstības fondu, Eiropas Sociālo fondu un Kohēzijas fondu un atceļ Regulu (EK) Nr.1260/1999</w:t>
      </w:r>
      <w:r>
        <w:t xml:space="preserve"> 79.pants</w:t>
      </w:r>
    </w:p>
  </w:footnote>
  <w:footnote w:id="7">
    <w:p w14:paraId="3BBBBE57" w14:textId="650021CB" w:rsidR="00D12C22" w:rsidRDefault="00D12C22">
      <w:pPr>
        <w:pStyle w:val="FootnoteText"/>
      </w:pPr>
      <w:r>
        <w:rPr>
          <w:rStyle w:val="FootnoteReference"/>
        </w:rPr>
        <w:footnoteRef/>
      </w:r>
      <w:r>
        <w:t xml:space="preserve"> Noslēguma ziņojumu projekti pieejami UK e-portfelī - </w:t>
      </w:r>
      <w:hyperlink r:id="rId3" w:anchor="/U/Forms/AllItems.aspx?RootFolder=%2Fo%2FU%2FNosl%C4%93guma%20zi%C5%86ojums%2FNeform%C4%81la%20ska%C5%86o%C5%A1ana&amp;FolderCTID=0x012000E6BC96AA869FBC40A009D467F85EEE21&amp;View=%7BCE2389F5%2D5573%2D405B%2D9E27%2D6B48B6BF4FD9%7D" w:history="1">
        <w:r w:rsidRPr="006E6481">
          <w:rPr>
            <w:rStyle w:val="Hyperlink"/>
          </w:rPr>
          <w:t>https://komitejas.esfondi.lv/o/_layouts/15/start.aspx#/U/Forms/AllItems.aspx?RootFolder=%2Fo%2FU%2FNosl%C4%93guma%20zi%C5%86ojums%2FNeform%C4%81la%20ska%C5%86o%C5%A1ana&amp;FolderCTID=0x012000E6BC96AA869FBC40A009D467F85EEE21&amp;View=%7BCE2389F5%2D5573%2D405B%2D9E27%2D6B48B6BF4FD9%7D</w:t>
        </w:r>
      </w:hyperlink>
      <w:r>
        <w:t xml:space="preserve"> </w:t>
      </w:r>
    </w:p>
  </w:footnote>
  <w:footnote w:id="8">
    <w:p w14:paraId="7B3C05FB" w14:textId="77777777" w:rsidR="00D12C22" w:rsidRPr="00822986" w:rsidRDefault="00D12C22" w:rsidP="003D0D52">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 xml:space="preserve">Finanšu instrumentu ieviešanas statusu: </w:t>
      </w:r>
      <w:hyperlink r:id="rId4" w:history="1">
        <w:r w:rsidRPr="00822986">
          <w:rPr>
            <w:rStyle w:val="Hyperlink"/>
            <w:rFonts w:cs="Times New Roman"/>
          </w:rPr>
          <w:t>http://www.esfondi.lv/page.php?id=1064</w:t>
        </w:r>
      </w:hyperlink>
    </w:p>
  </w:footnote>
  <w:footnote w:id="9">
    <w:p w14:paraId="470D501A" w14:textId="63053E6F" w:rsidR="00D12C22" w:rsidRDefault="00D12C22" w:rsidP="003D0D52">
      <w:pPr>
        <w:pStyle w:val="FootnoteText"/>
      </w:pPr>
      <w:r>
        <w:rPr>
          <w:rStyle w:val="FootnoteReference"/>
        </w:rPr>
        <w:footnoteRef/>
      </w:r>
      <w:r>
        <w:t xml:space="preserve"> </w:t>
      </w:r>
      <w:r>
        <w:rPr>
          <w:color w:val="000000" w:themeColor="text1"/>
        </w:rPr>
        <w:t xml:space="preserve">Informatīvie ziņojumi </w:t>
      </w:r>
      <w:r w:rsidRPr="009779F1">
        <w:rPr>
          <w:color w:val="000000" w:themeColor="text1"/>
        </w:rPr>
        <w:t xml:space="preserve">par </w:t>
      </w:r>
      <w:r>
        <w:rPr>
          <w:color w:val="000000" w:themeColor="text1"/>
        </w:rPr>
        <w:t xml:space="preserve">ES fondu </w:t>
      </w:r>
      <w:r w:rsidRPr="009779F1">
        <w:rPr>
          <w:color w:val="000000" w:themeColor="text1"/>
        </w:rPr>
        <w:t xml:space="preserve">un </w:t>
      </w:r>
      <w:r>
        <w:rPr>
          <w:color w:val="000000" w:themeColor="text1"/>
        </w:rPr>
        <w:t>KF</w:t>
      </w:r>
      <w:r w:rsidRPr="009779F1">
        <w:rPr>
          <w:color w:val="000000" w:themeColor="text1"/>
        </w:rPr>
        <w:t xml:space="preserve"> investīciju progresu</w:t>
      </w:r>
      <w:r>
        <w:rPr>
          <w:color w:val="000000" w:themeColor="text1"/>
        </w:rPr>
        <w:t>:</w:t>
      </w:r>
      <w:r w:rsidRPr="009779F1">
        <w:rPr>
          <w:color w:val="000000" w:themeColor="text1"/>
        </w:rPr>
        <w:t xml:space="preserve"> </w:t>
      </w:r>
      <w:hyperlink r:id="rId5" w:history="1">
        <w:r w:rsidRPr="00A33C88">
          <w:rPr>
            <w:rStyle w:val="Hyperlink"/>
          </w:rPr>
          <w:t>http://www.esfondi.lv/zinojumi-Ministru-kabinetam</w:t>
        </w:r>
      </w:hyperlink>
    </w:p>
  </w:footnote>
  <w:footnote w:id="10">
    <w:p w14:paraId="16991711" w14:textId="10E544C1" w:rsidR="00D12C22" w:rsidRDefault="00D12C22">
      <w:pPr>
        <w:pStyle w:val="FootnoteText"/>
      </w:pPr>
      <w:r>
        <w:rPr>
          <w:rStyle w:val="FootnoteReference"/>
        </w:rPr>
        <w:footnoteRef/>
      </w:r>
      <w:r>
        <w:t xml:space="preserve"> </w:t>
      </w:r>
      <w:hyperlink r:id="rId6" w:history="1">
        <w:r w:rsidRPr="00002425">
          <w:rPr>
            <w:rStyle w:val="Hyperlink"/>
          </w:rPr>
          <w:t>http://www.esfondi.lv/es-fondu-slegsana</w:t>
        </w:r>
      </w:hyperlink>
      <w:r>
        <w:t xml:space="preserve"> </w:t>
      </w:r>
    </w:p>
  </w:footnote>
  <w:footnote w:id="11">
    <w:p w14:paraId="4C9C9526" w14:textId="27AC1294" w:rsidR="00D12C22" w:rsidRDefault="00D12C22" w:rsidP="00412851">
      <w:pPr>
        <w:pStyle w:val="FootnoteText"/>
        <w:jc w:val="both"/>
      </w:pPr>
      <w:r>
        <w:rPr>
          <w:rStyle w:val="FootnoteReference"/>
        </w:rPr>
        <w:footnoteRef/>
      </w:r>
      <w:r>
        <w:t xml:space="preserve"> </w:t>
      </w:r>
      <w:r w:rsidRPr="00412851">
        <w:t>PADOMES REGULA (EK) Nr.1083/2006, ar ko paredz vispārīgus noteikumus par Eiropas Reģionālās attīstības fondu, Eiropas Sociālo fondu un Kohēzijas fondu un atceļ Regulu (EK) Nr.1260/1999</w:t>
      </w:r>
    </w:p>
  </w:footnote>
  <w:footnote w:id="12">
    <w:p w14:paraId="7D66CC4F" w14:textId="77777777" w:rsidR="00D12C22" w:rsidRPr="00822986" w:rsidRDefault="00D12C22" w:rsidP="009C0862">
      <w:pPr>
        <w:pStyle w:val="FootnoteText"/>
        <w:jc w:val="both"/>
        <w:rPr>
          <w:color w:val="000000" w:themeColor="text1"/>
        </w:rPr>
      </w:pPr>
      <w:r>
        <w:rPr>
          <w:rStyle w:val="FootnoteReference"/>
        </w:rPr>
        <w:footnoteRef/>
      </w:r>
      <w:r>
        <w:t xml:space="preserve"> </w:t>
      </w:r>
      <w:r w:rsidRPr="00353F65">
        <w:rPr>
          <w:color w:val="000000" w:themeColor="text1"/>
        </w:rPr>
        <w:t>EEZ/</w:t>
      </w:r>
      <w:r>
        <w:rPr>
          <w:color w:val="000000" w:themeColor="text1"/>
        </w:rPr>
        <w:t>Norvēģijas finanšu instrumentu tīmekļa</w:t>
      </w:r>
      <w:r w:rsidRPr="00353F65">
        <w:rPr>
          <w:color w:val="000000" w:themeColor="text1"/>
        </w:rPr>
        <w:t xml:space="preserve"> vietne: </w:t>
      </w:r>
      <w:hyperlink r:id="rId7" w:history="1">
        <w:r w:rsidRPr="002E2AE4">
          <w:rPr>
            <w:rStyle w:val="Hyperlink"/>
            <w:rFonts w:cs="Times New Roman"/>
          </w:rPr>
          <w:t>http://www.eeagrants.lv/?id=23</w:t>
        </w:r>
      </w:hyperlink>
      <w:r>
        <w:t xml:space="preserve"> </w:t>
      </w:r>
      <w:r>
        <w:rPr>
          <w:rStyle w:val="Hyperlink"/>
          <w:rFonts w:cs="Times New Roman"/>
          <w:color w:val="000000" w:themeColor="text1"/>
        </w:rPr>
        <w:t xml:space="preserve">un </w:t>
      </w:r>
      <w:hyperlink r:id="rId8" w:history="1">
        <w:r w:rsidRPr="00A1615D">
          <w:rPr>
            <w:rStyle w:val="Hyperlink"/>
            <w:rFonts w:cs="Times New Roman"/>
          </w:rPr>
          <w:t>http://www.norwaygrants.lv/?id=23</w:t>
        </w:r>
      </w:hyperlink>
    </w:p>
    <w:p w14:paraId="6BB90123" w14:textId="77777777" w:rsidR="00D12C22" w:rsidRDefault="00D12C22" w:rsidP="009C0862">
      <w:pPr>
        <w:pStyle w:val="FootnoteText"/>
      </w:pPr>
    </w:p>
  </w:footnote>
  <w:footnote w:id="13">
    <w:p w14:paraId="1EFD6461" w14:textId="77777777" w:rsidR="00D12C22" w:rsidRDefault="00D12C22" w:rsidP="000B6EF0">
      <w:pPr>
        <w:pStyle w:val="FootnoteText"/>
      </w:pPr>
      <w:r>
        <w:rPr>
          <w:rStyle w:val="FootnoteReference"/>
        </w:rPr>
        <w:footnoteRef/>
      </w:r>
      <w:r>
        <w:t xml:space="preserve"> Detalizēta informācija par izpildes statusu uz 2016.gada 30.jūniju pieejama </w:t>
      </w:r>
      <w:hyperlink r:id="rId9" w:history="1">
        <w:r w:rsidRPr="00FB7258">
          <w:rPr>
            <w:rStyle w:val="Hyperlink"/>
          </w:rPr>
          <w:t>http://www.esfondi.lv/planosanas-dokumenti</w:t>
        </w:r>
      </w:hyperlink>
    </w:p>
  </w:footnote>
  <w:footnote w:id="14">
    <w:p w14:paraId="05FB48C8" w14:textId="5E437BD9" w:rsidR="00D12C22" w:rsidRDefault="00D12C22" w:rsidP="000B6EF0">
      <w:pPr>
        <w:pStyle w:val="FootnoteText"/>
      </w:pPr>
      <w:r>
        <w:rPr>
          <w:rStyle w:val="FootnoteReference"/>
        </w:rPr>
        <w:footnoteRef/>
      </w:r>
      <w:r>
        <w:t xml:space="preserve"> Informācija par finanšu progresu pieejama arī ES fondu tīmekļa vietnē </w:t>
      </w:r>
      <w:hyperlink r:id="rId10" w:history="1">
        <w:r w:rsidRPr="008311DE">
          <w:rPr>
            <w:rStyle w:val="Hyperlink"/>
          </w:rPr>
          <w:t>http://www.esfondi.lv/14-20_finansu-progress</w:t>
        </w:r>
      </w:hyperlink>
    </w:p>
  </w:footnote>
  <w:footnote w:id="15">
    <w:p w14:paraId="1423D209" w14:textId="52011E67" w:rsidR="00D12C22" w:rsidRDefault="00D12C22" w:rsidP="000B6EF0">
      <w:pPr>
        <w:pStyle w:val="FootnoteText"/>
      </w:pPr>
      <w:r>
        <w:rPr>
          <w:rStyle w:val="FootnoteReference"/>
        </w:rPr>
        <w:footnoteRef/>
      </w:r>
      <w:r>
        <w:t xml:space="preserve"> Pieejams ES fondu tīmekļa vietnē - </w:t>
      </w:r>
      <w:hyperlink r:id="rId11" w:history="1">
        <w:r w:rsidRPr="006D33BF">
          <w:rPr>
            <w:rStyle w:val="Hyperlink"/>
          </w:rPr>
          <w:t>http://www.esfondi.lv/zinojumi-Ministru-kabinetam</w:t>
        </w:r>
      </w:hyperlink>
      <w:r>
        <w:t xml:space="preserve"> </w:t>
      </w:r>
    </w:p>
  </w:footnote>
  <w:footnote w:id="16">
    <w:p w14:paraId="3D3D71A5" w14:textId="77777777" w:rsidR="00D12C22" w:rsidRDefault="00D12C22" w:rsidP="000B6EF0">
      <w:pPr>
        <w:pStyle w:val="FootnoteText"/>
      </w:pPr>
      <w:r>
        <w:rPr>
          <w:rStyle w:val="FootnoteReference"/>
        </w:rPr>
        <w:footnoteRef/>
      </w:r>
      <w:r>
        <w:t xml:space="preserve"> </w:t>
      </w:r>
      <w:r w:rsidRPr="002E6092">
        <w:t>Kopējā palīdzība projektu sagatavošanai Eiropas reģionos</w:t>
      </w:r>
      <w:r>
        <w:t xml:space="preserve"> - </w:t>
      </w:r>
      <w:r w:rsidRPr="002E6092">
        <w:t>tehniskās palīdzības partnerība starp Eiropas Komisiju, Eiropas Investīciju banku (EIB) un Eiropas Rekonstrukcijas un attīstības banku (ERAB), kas tiek nodrošināta Centrālajām un Aust</w:t>
      </w:r>
      <w:r>
        <w:t>rumeiropas ES dalībvalstīm projektu sagatavošanā, īstenošanā utt.</w:t>
      </w:r>
    </w:p>
  </w:footnote>
  <w:footnote w:id="17">
    <w:p w14:paraId="793DA0A1" w14:textId="77777777" w:rsidR="00D12C22" w:rsidRPr="00A60696" w:rsidRDefault="00D12C22" w:rsidP="000B6EF0">
      <w:pPr>
        <w:pStyle w:val="FootnoteText"/>
        <w:jc w:val="both"/>
        <w:rPr>
          <w:color w:val="000000" w:themeColor="text1"/>
        </w:rPr>
      </w:pPr>
      <w:r>
        <w:rPr>
          <w:rStyle w:val="FootnoteReference"/>
        </w:rPr>
        <w:footnoteRef/>
      </w:r>
      <w:r>
        <w:t xml:space="preserve"> ES fondu tīmekļa vietnes sadaļā par AI ziņojumiem par ES fondu apguvi: </w:t>
      </w:r>
      <w:hyperlink r:id="rId12" w:history="1">
        <w:r>
          <w:rPr>
            <w:rStyle w:val="Hyperlink"/>
            <w:sz w:val="22"/>
            <w:szCs w:val="22"/>
          </w:rPr>
          <w:t>http://www.esfondi.lv/zinojumi-par-es-fondu-istenosanu-1</w:t>
        </w:r>
      </w:hyperlink>
    </w:p>
  </w:footnote>
  <w:footnote w:id="18">
    <w:p w14:paraId="4C482A96" w14:textId="77777777" w:rsidR="00D12C22" w:rsidRDefault="00D12C22" w:rsidP="000B6EF0">
      <w:pPr>
        <w:pStyle w:val="FootnoteText"/>
      </w:pPr>
      <w:r>
        <w:rPr>
          <w:rStyle w:val="FootnoteReference"/>
        </w:rPr>
        <w:footnoteRef/>
      </w:r>
      <w:r>
        <w:t xml:space="preserve"> </w:t>
      </w:r>
      <w:r w:rsidRPr="008770C0">
        <w:t xml:space="preserve">Stratēģija pieejama ES fondu mājaslapā: </w:t>
      </w:r>
      <w:hyperlink r:id="rId13" w:history="1">
        <w:r w:rsidRPr="0006186A">
          <w:rPr>
            <w:rStyle w:val="Hyperlink"/>
          </w:rPr>
          <w:t>http://www.esfondi.lv/upload/14-20_gads/ES_fondu_Komunikacijas_strategija_2015-2023_LV.pdf</w:t>
        </w:r>
      </w:hyperlink>
      <w:r>
        <w:t xml:space="preserve"> </w:t>
      </w:r>
    </w:p>
  </w:footnote>
  <w:footnote w:id="19">
    <w:p w14:paraId="07969E21" w14:textId="77777777" w:rsidR="00D12C22" w:rsidRPr="00822986" w:rsidRDefault="00D12C22" w:rsidP="000B6EF0">
      <w:pPr>
        <w:pStyle w:val="FootnoteText"/>
        <w:jc w:val="both"/>
        <w:rPr>
          <w:color w:val="000000" w:themeColor="text1"/>
        </w:rPr>
      </w:pPr>
      <w:r w:rsidRPr="00822986">
        <w:rPr>
          <w:rStyle w:val="FootnoteReference"/>
          <w:color w:val="000000" w:themeColor="text1"/>
        </w:rPr>
        <w:footnoteRef/>
      </w:r>
      <w:r w:rsidRPr="00822986">
        <w:rPr>
          <w:color w:val="000000" w:themeColor="text1"/>
        </w:rPr>
        <w:t xml:space="preserve"> ES fondu </w:t>
      </w:r>
      <w:r>
        <w:rPr>
          <w:color w:val="000000" w:themeColor="text1"/>
        </w:rPr>
        <w:t>tīmekļa</w:t>
      </w:r>
      <w:r w:rsidRPr="00822986">
        <w:rPr>
          <w:color w:val="000000" w:themeColor="text1"/>
        </w:rPr>
        <w:t xml:space="preserve"> vietnes sadaļā par </w:t>
      </w:r>
      <w:r w:rsidRPr="00822986">
        <w:t>ES fondu un Kohēzijas fonda kopējiem EK veiktiem maksājumiem dalībvalstīm:</w:t>
      </w:r>
      <w:r w:rsidRPr="00822986">
        <w:rPr>
          <w:color w:val="000000" w:themeColor="text1"/>
        </w:rPr>
        <w:t xml:space="preserve"> </w:t>
      </w:r>
      <w:hyperlink r:id="rId14" w:history="1">
        <w:r>
          <w:rPr>
            <w:rStyle w:val="Hyperlink"/>
          </w:rPr>
          <w:t>http://www.esfondi.lv/kopejie-ek-veiktie-maksajumi-dalibvalstim</w:t>
        </w:r>
      </w:hyperlink>
    </w:p>
  </w:footnote>
  <w:footnote w:id="20">
    <w:p w14:paraId="5ACC9E53" w14:textId="77777777" w:rsidR="00D12C22" w:rsidRDefault="00D12C22" w:rsidP="003D0179">
      <w:pPr>
        <w:pStyle w:val="FootnoteText"/>
        <w:jc w:val="both"/>
      </w:pPr>
      <w:r>
        <w:rPr>
          <w:rStyle w:val="FootnoteReference"/>
        </w:rPr>
        <w:footnoteRef/>
      </w:r>
      <w:r>
        <w:t xml:space="preserve"> līdzīgi </w:t>
      </w:r>
      <w:r w:rsidRPr="009E43DF">
        <w:t>citu ārvalstu finanšu palīdzības līdzfinansētu projektu ietvaros</w:t>
      </w:r>
    </w:p>
  </w:footnote>
  <w:footnote w:id="21">
    <w:p w14:paraId="76E2AB7E" w14:textId="77777777" w:rsidR="00D12C22" w:rsidRPr="00B9442C" w:rsidRDefault="00D12C22" w:rsidP="003D0179">
      <w:pPr>
        <w:pStyle w:val="FootnoteText"/>
        <w:jc w:val="both"/>
        <w:rPr>
          <w:color w:val="000000"/>
        </w:rPr>
      </w:pPr>
      <w:r w:rsidRPr="00B9442C">
        <w:rPr>
          <w:rStyle w:val="FootnoteReference"/>
          <w:color w:val="000000"/>
        </w:rPr>
        <w:footnoteRef/>
      </w:r>
      <w:r w:rsidRPr="00B9442C">
        <w:rPr>
          <w:color w:val="000000"/>
        </w:rPr>
        <w:t xml:space="preserve"> Jebkurš LR vai ES tiesību akta pārkāpums</w:t>
      </w:r>
      <w:r w:rsidRPr="00B9442C">
        <w:rPr>
          <w:bCs/>
          <w:color w:val="000000"/>
        </w:rPr>
        <w:t xml:space="preserve">, </w:t>
      </w:r>
      <w:r w:rsidRPr="00B9442C">
        <w:rPr>
          <w:color w:val="000000"/>
        </w:rPr>
        <w:t xml:space="preserve">kas atbilst </w:t>
      </w:r>
      <w:r w:rsidRPr="00B9442C">
        <w:rPr>
          <w:bCs/>
          <w:color w:val="000000"/>
        </w:rPr>
        <w:t>Padomes 2006.gada 11.jūlija Regulas (EK) Nr.1083/2006, ar ko paredz vispārīgus noteikumus par ES fondiem un atceļ Regulu (EK) Nr.1260/1999, 2.panta 7.punktā noteiktajam.</w:t>
      </w:r>
    </w:p>
  </w:footnote>
  <w:footnote w:id="22">
    <w:p w14:paraId="70D9FCB4" w14:textId="77777777" w:rsidR="00D12C22" w:rsidRDefault="00D12C22" w:rsidP="003D0179">
      <w:pPr>
        <w:pStyle w:val="FootnoteText"/>
        <w:jc w:val="both"/>
      </w:pPr>
      <w:r>
        <w:rPr>
          <w:rStyle w:val="FootnoteReference"/>
        </w:rPr>
        <w:footnoteRef/>
      </w:r>
      <w:r>
        <w:t xml:space="preserve"> </w:t>
      </w:r>
      <w:r w:rsidRPr="00B9442C">
        <w:rPr>
          <w:color w:val="000000"/>
        </w:rPr>
        <w:t>ES fondu tīmekļa</w:t>
      </w:r>
      <w:r>
        <w:rPr>
          <w:color w:val="000000"/>
        </w:rPr>
        <w:t xml:space="preserve"> </w:t>
      </w:r>
      <w:r w:rsidRPr="00B9442C">
        <w:rPr>
          <w:color w:val="000000"/>
        </w:rPr>
        <w:t xml:space="preserve">vietnes sadaļā, kur tiek apkopota informācija par ES fondu vadlīnijām, metodikām un skaidrojumiem: </w:t>
      </w:r>
      <w:r>
        <w:t>http://www.esfondi.lv/page.php?id=1099</w:t>
      </w:r>
    </w:p>
  </w:footnote>
  <w:footnote w:id="23">
    <w:p w14:paraId="75C07003" w14:textId="77777777" w:rsidR="00D12C22" w:rsidRPr="00B9442C" w:rsidRDefault="00D12C22" w:rsidP="003D0179">
      <w:pPr>
        <w:pStyle w:val="FootnoteText"/>
        <w:jc w:val="both"/>
        <w:rPr>
          <w:color w:val="000000"/>
        </w:rPr>
      </w:pPr>
      <w:r w:rsidRPr="00B9442C">
        <w:rPr>
          <w:rStyle w:val="FootnoteReference"/>
          <w:color w:val="000000"/>
        </w:rPr>
        <w:footnoteRef/>
      </w:r>
      <w:r w:rsidRPr="00B9442C">
        <w:rPr>
          <w:color w:val="000000"/>
        </w:rPr>
        <w:t xml:space="preserve"> ES fondu tīmekļa vietnes sadaļā, kur tiek apkopota informācija par ES fondos konstatētām neatbilstībām: </w:t>
      </w:r>
      <w:r w:rsidRPr="00AA6309">
        <w:t>http://www.esfondi.lv/es-fondos-konstatetas-neatbilstibas</w:t>
      </w:r>
    </w:p>
  </w:footnote>
  <w:footnote w:id="24">
    <w:p w14:paraId="7B275114" w14:textId="77777777" w:rsidR="00D12C22" w:rsidRDefault="00D12C22" w:rsidP="00326AFA">
      <w:pPr>
        <w:pStyle w:val="FootnoteText"/>
      </w:pPr>
      <w:r>
        <w:rPr>
          <w:rStyle w:val="FootnoteReference"/>
        </w:rPr>
        <w:footnoteRef/>
      </w:r>
      <w:r>
        <w:t xml:space="preserve"> Pieejams </w:t>
      </w:r>
      <w:hyperlink r:id="rId15" w:history="1">
        <w:r w:rsidRPr="00216CE4">
          <w:rPr>
            <w:rStyle w:val="Hyperlink"/>
          </w:rPr>
          <w:t>http://likumi.lv/ta/id/281181-ministru-kabineta-sedes-protokols</w:t>
        </w:r>
      </w:hyperlink>
      <w:r>
        <w:t xml:space="preserve"> </w:t>
      </w:r>
    </w:p>
  </w:footnote>
  <w:footnote w:id="25">
    <w:p w14:paraId="5CE2A8BF" w14:textId="17E3040B" w:rsidR="00D12C22" w:rsidRDefault="00D12C22" w:rsidP="00AD34F3">
      <w:pPr>
        <w:pStyle w:val="FootnoteText"/>
        <w:jc w:val="both"/>
      </w:pPr>
      <w:r>
        <w:rPr>
          <w:rStyle w:val="FootnoteReference"/>
        </w:rPr>
        <w:footnoteRef/>
      </w:r>
      <w:r>
        <w:t xml:space="preserve"> </w:t>
      </w:r>
      <w:r w:rsidRPr="00FE056C">
        <w:t>Komisi</w:t>
      </w:r>
      <w:r>
        <w:t>jas 2015.gada 15.decembra Regula</w:t>
      </w:r>
      <w:r w:rsidRPr="00FE056C">
        <w:t xml:space="preserve"> (ES) 2015/2341, ar ko groza Eiropas Parlamenta un Padomes Direktīvu 2004/17/EK attiecībā uz tās piemērošanas robežvērtībām līgumu slēgšanas tiesību piešķiršanas procedūrās un Komisi</w:t>
      </w:r>
      <w:r>
        <w:t>jas 2015.gada 15.decembra Regula</w:t>
      </w:r>
      <w:r w:rsidRPr="00FE056C">
        <w:t xml:space="preserve"> (ES) 2015/2342, ar ko groza Eiropas Parlamenta un Padomes Direktīvu 2004/18/EK attiecībā uz tās piemērošanas robežvērtībām līgumu slēgšanas tiesību piešķiršanas</w:t>
      </w:r>
    </w:p>
  </w:footnote>
  <w:footnote w:id="26">
    <w:p w14:paraId="2A0EF48E" w14:textId="22924744" w:rsidR="00D12C22" w:rsidRDefault="00D12C22">
      <w:pPr>
        <w:pStyle w:val="FootnoteText"/>
      </w:pPr>
      <w:r>
        <w:rPr>
          <w:rStyle w:val="FootnoteReference"/>
        </w:rPr>
        <w:footnoteRef/>
      </w:r>
      <w:r>
        <w:t xml:space="preserve"> </w:t>
      </w:r>
      <w:r>
        <w:rPr>
          <w:szCs w:val="24"/>
        </w:rPr>
        <w:t>L</w:t>
      </w:r>
      <w:r w:rsidRPr="00685BC9">
        <w:rPr>
          <w:szCs w:val="24"/>
        </w:rPr>
        <w:t>īgums Nr. 2002/000-590-01-01/1-25/24</w:t>
      </w:r>
    </w:p>
  </w:footnote>
  <w:footnote w:id="27">
    <w:p w14:paraId="66E56557" w14:textId="5D32495C" w:rsidR="00D12C22" w:rsidRDefault="00D12C22">
      <w:pPr>
        <w:pStyle w:val="FootnoteText"/>
      </w:pPr>
      <w:r>
        <w:rPr>
          <w:rStyle w:val="FootnoteReference"/>
        </w:rPr>
        <w:footnoteRef/>
      </w:r>
      <w:r>
        <w:t xml:space="preserve"> </w:t>
      </w:r>
      <w:r>
        <w:rPr>
          <w:szCs w:val="24"/>
        </w:rPr>
        <w:t>L</w:t>
      </w:r>
      <w:r w:rsidRPr="00685BC9">
        <w:rPr>
          <w:szCs w:val="24"/>
        </w:rPr>
        <w:t>īgums Nr. 2002/000-590-01-02/Mac7/1</w:t>
      </w:r>
    </w:p>
  </w:footnote>
  <w:footnote w:id="28">
    <w:p w14:paraId="34592753" w14:textId="60098554" w:rsidR="00D12C22" w:rsidRDefault="00D12C22">
      <w:pPr>
        <w:pStyle w:val="FootnoteText"/>
      </w:pPr>
      <w:r>
        <w:rPr>
          <w:rStyle w:val="FootnoteReference"/>
        </w:rPr>
        <w:footnoteRef/>
      </w:r>
      <w:r>
        <w:t xml:space="preserve"> </w:t>
      </w:r>
      <w:r>
        <w:rPr>
          <w:szCs w:val="24"/>
        </w:rPr>
        <w:t>L</w:t>
      </w:r>
      <w:r w:rsidRPr="00685BC9">
        <w:rPr>
          <w:szCs w:val="24"/>
        </w:rPr>
        <w:t>īgums Nr. 2005/017-495-03-01/2-59/24.</w:t>
      </w:r>
    </w:p>
  </w:footnote>
  <w:footnote w:id="29">
    <w:p w14:paraId="4B2B42FF" w14:textId="27164A1D" w:rsidR="00D12C22" w:rsidRDefault="00D12C22">
      <w:pPr>
        <w:pStyle w:val="FootnoteText"/>
      </w:pPr>
      <w:r>
        <w:rPr>
          <w:rStyle w:val="FootnoteReference"/>
        </w:rPr>
        <w:footnoteRef/>
      </w:r>
      <w:r>
        <w:t xml:space="preserve"> </w:t>
      </w:r>
      <w:r>
        <w:rPr>
          <w:szCs w:val="24"/>
        </w:rPr>
        <w:t>L</w:t>
      </w:r>
      <w:r w:rsidRPr="00685BC9">
        <w:rPr>
          <w:szCs w:val="24"/>
        </w:rPr>
        <w:t>īgums Nr. 2002/000-590-01-02/Mic54/25</w:t>
      </w:r>
    </w:p>
  </w:footnote>
  <w:footnote w:id="30">
    <w:p w14:paraId="0AF3285B" w14:textId="540CEAF4" w:rsidR="00D12C22" w:rsidRDefault="00D12C22" w:rsidP="00DF1048">
      <w:pPr>
        <w:pStyle w:val="FootnoteText"/>
        <w:jc w:val="both"/>
      </w:pPr>
      <w:r>
        <w:rPr>
          <w:rStyle w:val="FootnoteReference"/>
        </w:rPr>
        <w:footnoteRef/>
      </w:r>
      <w:r>
        <w:t xml:space="preserve"> 2006.gada 11.jūlija </w:t>
      </w:r>
      <w:r w:rsidRPr="00224C47">
        <w:t xml:space="preserve">PADOMES REGULA (EK) Nr.1083/2006, ar ko paredz vispārīgus noteikumus par Eiropas Reģionālās attīstības fondu, Eiropas Sociālo fondu un Kohēzijas fondu un atceļ Regulu (EK) Nr.1260/1999 </w:t>
      </w:r>
    </w:p>
  </w:footnote>
  <w:footnote w:id="31">
    <w:p w14:paraId="7CC98F51" w14:textId="50098930" w:rsidR="00D12C22" w:rsidRDefault="00D12C22" w:rsidP="007F656B">
      <w:pPr>
        <w:pStyle w:val="FootnoteText"/>
        <w:jc w:val="both"/>
      </w:pPr>
      <w:r>
        <w:rPr>
          <w:rStyle w:val="FootnoteReference"/>
        </w:rPr>
        <w:footnoteRef/>
      </w:r>
      <w:r>
        <w:t xml:space="preserve"> </w:t>
      </w:r>
      <w:r w:rsidRPr="007F656B">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ietvars, un vispārīgus noteikumus par Eiropas Reģionālās attīstības fondu, Eiropas Sociālo fondu un Kohēzijas fondu un atceļ Regulu (EK) Nr.1083/2006</w:t>
      </w:r>
    </w:p>
  </w:footnote>
  <w:footnote w:id="32">
    <w:p w14:paraId="5F4E5621" w14:textId="38DCF817" w:rsidR="00D12C22" w:rsidRPr="00382B8C" w:rsidRDefault="00D12C22" w:rsidP="00382B8C">
      <w:pPr>
        <w:pStyle w:val="ListParagraph"/>
        <w:tabs>
          <w:tab w:val="left" w:pos="851"/>
        </w:tabs>
        <w:ind w:left="0"/>
        <w:jc w:val="both"/>
        <w:rPr>
          <w:sz w:val="20"/>
          <w:szCs w:val="20"/>
          <w:u w:val="single"/>
        </w:rPr>
      </w:pPr>
      <w:r w:rsidRPr="00A47298">
        <w:rPr>
          <w:rStyle w:val="FootnoteReference"/>
          <w:sz w:val="20"/>
          <w:szCs w:val="20"/>
        </w:rPr>
        <w:footnoteRef/>
      </w:r>
      <w:r w:rsidRPr="00A47298">
        <w:rPr>
          <w:sz w:val="20"/>
          <w:szCs w:val="20"/>
        </w:rPr>
        <w:t xml:space="preserve"> </w:t>
      </w:r>
      <w:r w:rsidRPr="00382B8C">
        <w:rPr>
          <w:sz w:val="20"/>
          <w:szCs w:val="20"/>
        </w:rPr>
        <w:t xml:space="preserve">Pasākumu plāns korupcijas un riska mazināšanai Es fondos ir pieejams ES fondu tīmekļa vietnē - </w:t>
      </w:r>
      <w:hyperlink r:id="rId16" w:history="1">
        <w:r w:rsidRPr="00382B8C">
          <w:rPr>
            <w:rStyle w:val="Hyperlink"/>
            <w:sz w:val="20"/>
            <w:szCs w:val="20"/>
          </w:rPr>
          <w:t>http://www.esfondi.lv/risku-parvaldiba</w:t>
        </w:r>
      </w:hyperlink>
    </w:p>
  </w:footnote>
  <w:footnote w:id="33">
    <w:p w14:paraId="32E64191" w14:textId="1F621A57" w:rsidR="00D12C22" w:rsidRDefault="00D12C22" w:rsidP="009E55DC">
      <w:pPr>
        <w:pStyle w:val="FootnoteText"/>
        <w:jc w:val="both"/>
      </w:pPr>
      <w:r>
        <w:rPr>
          <w:rStyle w:val="FootnoteReference"/>
        </w:rPr>
        <w:footnoteRef/>
      </w:r>
      <w:r>
        <w:t xml:space="preserve"> </w:t>
      </w:r>
      <w:r w:rsidRPr="002E5B1A">
        <w:t xml:space="preserve">Projektu iesniedzēju (pretendentu) </w:t>
      </w:r>
      <w:r w:rsidRPr="00EA7C39">
        <w:t>atlas</w:t>
      </w:r>
      <w:r>
        <w:t>e, p</w:t>
      </w:r>
      <w:r w:rsidRPr="00EE7440">
        <w:t xml:space="preserve">rojektu </w:t>
      </w:r>
      <w:r w:rsidRPr="00DB5351">
        <w:t>ieviešan</w:t>
      </w:r>
      <w:r>
        <w:t>a</w:t>
      </w:r>
      <w:r w:rsidRPr="009C65B0">
        <w:t xml:space="preserve"> </w:t>
      </w:r>
      <w:r w:rsidRPr="00EE7440">
        <w:t xml:space="preserve">un </w:t>
      </w:r>
      <w:r w:rsidRPr="00DB5351">
        <w:t>uzraudzīb</w:t>
      </w:r>
      <w:r>
        <w:t>a (īpaša uzmanība pievērsta iepirkumiem), m</w:t>
      </w:r>
      <w:r w:rsidRPr="00B5742E">
        <w:t>aksāju</w:t>
      </w:r>
      <w:r w:rsidRPr="00DB5351">
        <w:t>mu veikšan</w:t>
      </w:r>
      <w:r>
        <w:t>a</w:t>
      </w:r>
      <w:r w:rsidRPr="00DB5351">
        <w:t xml:space="preserve"> </w:t>
      </w:r>
      <w:r w:rsidRPr="004331A8">
        <w:t>un</w:t>
      </w:r>
      <w:r>
        <w:t xml:space="preserve"> izdevumu deklarēšana.</w:t>
      </w:r>
    </w:p>
  </w:footnote>
  <w:footnote w:id="34">
    <w:p w14:paraId="052F2A83" w14:textId="77777777" w:rsidR="00D12C22" w:rsidRPr="00C5168E" w:rsidRDefault="00D12C22" w:rsidP="00114D66">
      <w:pPr>
        <w:pStyle w:val="FootnoteText"/>
      </w:pPr>
      <w:r w:rsidRPr="00C5168E">
        <w:rPr>
          <w:rStyle w:val="FootnoteReference"/>
        </w:rPr>
        <w:footnoteRef/>
      </w:r>
      <w:r w:rsidRPr="00C5168E">
        <w:t xml:space="preserve"> </w:t>
      </w:r>
      <w:r>
        <w:t>Ministru kabineta 2014.gada 7.oktobra noteikumi Nr.611 “</w:t>
      </w:r>
      <w:r w:rsidRPr="00FE70B7">
        <w:rPr>
          <w:bCs/>
        </w:rPr>
        <w:t>Prasības Eiropas Savienības struktūrfondu un Kohēzijas fonda 2014.–2020.gada plānošanas perioda vadības un kontroles sistēmas izveidošanai”</w:t>
      </w:r>
    </w:p>
  </w:footnote>
  <w:footnote w:id="35">
    <w:p w14:paraId="17F420AF" w14:textId="358F8251" w:rsidR="00D12C22" w:rsidRDefault="00D12C22">
      <w:pPr>
        <w:pStyle w:val="FootnoteText"/>
      </w:pPr>
      <w:r>
        <w:rPr>
          <w:rStyle w:val="FootnoteReference"/>
        </w:rPr>
        <w:footnoteRef/>
      </w:r>
      <w:r>
        <w:t xml:space="preserve"> </w:t>
      </w:r>
      <w:r w:rsidRPr="00F6230D">
        <w:t>Eiropas Parlamenta un Padomes 2013.gada 17.decembra Regula (ES) Nr.1304/2013 par Eiropas Sociālo fondu un ar ko atceļ Padomes Regulu (EK) Nr.1081/2006</w:t>
      </w:r>
    </w:p>
  </w:footnote>
  <w:footnote w:id="36">
    <w:p w14:paraId="15C8652F" w14:textId="7B22628D" w:rsidR="00D12C22" w:rsidRDefault="00D12C22" w:rsidP="00956238">
      <w:pPr>
        <w:pStyle w:val="FootnoteText"/>
        <w:jc w:val="both"/>
      </w:pPr>
      <w:r>
        <w:rPr>
          <w:rStyle w:val="FootnoteReference"/>
        </w:rPr>
        <w:footnoteRef/>
      </w:r>
      <w:r>
        <w:t xml:space="preserve"> Ministru kabineta 2014.gada 16.decembra noteikumi Nr.784 “</w:t>
      </w:r>
      <w:r w:rsidRPr="00956238">
        <w:t>Kārtība, kādā Eiropas Savienības struktūrfondu un Kohēzijas fonda vadībā iesaistītās institūcijas nodrošina plānošanas dokumentu sagatavošanu un šo fondu ieviešanu 2014.–2020.gada plānošanas periodā</w:t>
      </w:r>
      <w:r>
        <w:t>”</w:t>
      </w:r>
    </w:p>
  </w:footnote>
  <w:footnote w:id="37">
    <w:p w14:paraId="36D88051" w14:textId="77777777" w:rsidR="00D12C22" w:rsidRDefault="00D12C22" w:rsidP="00B303A0">
      <w:pPr>
        <w:pStyle w:val="FootnoteText"/>
      </w:pPr>
      <w:r>
        <w:rPr>
          <w:rStyle w:val="FootnoteReference"/>
        </w:rPr>
        <w:footnoteRef/>
      </w:r>
      <w:r>
        <w:t xml:space="preserve"> </w:t>
      </w:r>
      <w:hyperlink r:id="rId17" w:history="1">
        <w:r w:rsidRPr="00BB7E08">
          <w:rPr>
            <w:rStyle w:val="Hyperlink"/>
          </w:rPr>
          <w:t>http://www.esfondi.lv/page.php?id=1196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76919"/>
      <w:docPartObj>
        <w:docPartGallery w:val="Page Numbers (Top of Page)"/>
        <w:docPartUnique/>
      </w:docPartObj>
    </w:sdtPr>
    <w:sdtEndPr>
      <w:rPr>
        <w:noProof/>
      </w:rPr>
    </w:sdtEndPr>
    <w:sdtContent>
      <w:p w14:paraId="11098D96" w14:textId="3807A499" w:rsidR="00D12C22" w:rsidRDefault="00D12C22" w:rsidP="00B13216">
        <w:pPr>
          <w:pStyle w:val="Header"/>
          <w:tabs>
            <w:tab w:val="left" w:pos="1407"/>
            <w:tab w:val="center" w:pos="4450"/>
          </w:tabs>
        </w:pPr>
        <w:r>
          <w:tab/>
        </w:r>
        <w:r>
          <w:tab/>
        </w:r>
        <w:r>
          <w:tab/>
        </w:r>
        <w:r>
          <w:fldChar w:fldCharType="begin"/>
        </w:r>
        <w:r>
          <w:instrText xml:space="preserve"> PAGE   \* MERGEFORMAT </w:instrText>
        </w:r>
        <w:r>
          <w:fldChar w:fldCharType="separate"/>
        </w:r>
        <w:r w:rsidR="0008037C">
          <w:rPr>
            <w:noProof/>
          </w:rPr>
          <w:t>38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C98"/>
    <w:multiLevelType w:val="hybridMultilevel"/>
    <w:tmpl w:val="157A6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CD106F"/>
    <w:multiLevelType w:val="hybridMultilevel"/>
    <w:tmpl w:val="43629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7939D6"/>
    <w:multiLevelType w:val="hybridMultilevel"/>
    <w:tmpl w:val="D5829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8029D4"/>
    <w:multiLevelType w:val="hybridMultilevel"/>
    <w:tmpl w:val="BFA49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C651F6"/>
    <w:multiLevelType w:val="hybridMultilevel"/>
    <w:tmpl w:val="4734E360"/>
    <w:lvl w:ilvl="0" w:tplc="04260011">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5">
    <w:nsid w:val="12F91480"/>
    <w:multiLevelType w:val="multilevel"/>
    <w:tmpl w:val="7B747DA2"/>
    <w:lvl w:ilvl="0">
      <w:start w:val="1"/>
      <w:numFmt w:val="decimal"/>
      <w:lvlText w:val="%1."/>
      <w:lvlJc w:val="left"/>
      <w:pPr>
        <w:ind w:left="360" w:hanging="360"/>
      </w:pPr>
      <w:rPr>
        <w:rFonts w:ascii="Times New Roman" w:hAnsi="Times New Roman" w:hint="default"/>
        <w:sz w:val="24"/>
      </w:rPr>
    </w:lvl>
    <w:lvl w:ilvl="1">
      <w:start w:val="1"/>
      <w:numFmt w:val="decimal"/>
      <w:pStyle w:val="FDUKam"/>
      <w:isLgl/>
      <w:lvlText w:val="%1.%2."/>
      <w:lvlJc w:val="left"/>
      <w:pPr>
        <w:ind w:left="502" w:hanging="360"/>
      </w:pPr>
      <w:rPr>
        <w:rFonts w:ascii="Times New Roman" w:hAnsi="Times New Roman" w:cs="Times New Roman" w:hint="default"/>
        <w:b w:val="0"/>
        <w:sz w:val="22"/>
        <w:szCs w:val="22"/>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4D71E4E"/>
    <w:multiLevelType w:val="hybridMultilevel"/>
    <w:tmpl w:val="B1688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8C4DFD"/>
    <w:multiLevelType w:val="hybridMultilevel"/>
    <w:tmpl w:val="3B6CFA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A4502F"/>
    <w:multiLevelType w:val="hybridMultilevel"/>
    <w:tmpl w:val="BBECFA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4F286E"/>
    <w:multiLevelType w:val="hybridMultilevel"/>
    <w:tmpl w:val="713A2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0D12E7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0C55C9"/>
    <w:multiLevelType w:val="hybridMultilevel"/>
    <w:tmpl w:val="95AA20A0"/>
    <w:lvl w:ilvl="0" w:tplc="71AAF352">
      <w:start w:val="1"/>
      <w:numFmt w:val="bullet"/>
      <w:lvlText w:val=""/>
      <w:lvlJc w:val="left"/>
      <w:pPr>
        <w:tabs>
          <w:tab w:val="num" w:pos="2160"/>
        </w:tabs>
        <w:ind w:left="2160" w:hanging="360"/>
      </w:pPr>
      <w:rPr>
        <w:rFonts w:ascii="Symbol" w:hAnsi="Symbol" w:hint="default"/>
      </w:rPr>
    </w:lvl>
    <w:lvl w:ilvl="1" w:tplc="32122D7A" w:tentative="1">
      <w:start w:val="1"/>
      <w:numFmt w:val="bullet"/>
      <w:lvlText w:val=""/>
      <w:lvlJc w:val="left"/>
      <w:pPr>
        <w:tabs>
          <w:tab w:val="num" w:pos="2880"/>
        </w:tabs>
        <w:ind w:left="2880" w:hanging="360"/>
      </w:pPr>
      <w:rPr>
        <w:rFonts w:ascii="Wingdings" w:hAnsi="Wingdings" w:hint="default"/>
      </w:rPr>
    </w:lvl>
    <w:lvl w:ilvl="2" w:tplc="F4866E74" w:tentative="1">
      <w:start w:val="1"/>
      <w:numFmt w:val="bullet"/>
      <w:lvlText w:val=""/>
      <w:lvlJc w:val="left"/>
      <w:pPr>
        <w:tabs>
          <w:tab w:val="num" w:pos="3600"/>
        </w:tabs>
        <w:ind w:left="3600" w:hanging="360"/>
      </w:pPr>
      <w:rPr>
        <w:rFonts w:ascii="Wingdings" w:hAnsi="Wingdings" w:hint="default"/>
      </w:rPr>
    </w:lvl>
    <w:lvl w:ilvl="3" w:tplc="B7269AB6" w:tentative="1">
      <w:start w:val="1"/>
      <w:numFmt w:val="bullet"/>
      <w:lvlText w:val=""/>
      <w:lvlJc w:val="left"/>
      <w:pPr>
        <w:tabs>
          <w:tab w:val="num" w:pos="4320"/>
        </w:tabs>
        <w:ind w:left="4320" w:hanging="360"/>
      </w:pPr>
      <w:rPr>
        <w:rFonts w:ascii="Wingdings" w:hAnsi="Wingdings" w:hint="default"/>
      </w:rPr>
    </w:lvl>
    <w:lvl w:ilvl="4" w:tplc="AB485EE6" w:tentative="1">
      <w:start w:val="1"/>
      <w:numFmt w:val="bullet"/>
      <w:lvlText w:val=""/>
      <w:lvlJc w:val="left"/>
      <w:pPr>
        <w:tabs>
          <w:tab w:val="num" w:pos="5040"/>
        </w:tabs>
        <w:ind w:left="5040" w:hanging="360"/>
      </w:pPr>
      <w:rPr>
        <w:rFonts w:ascii="Wingdings" w:hAnsi="Wingdings" w:hint="default"/>
      </w:rPr>
    </w:lvl>
    <w:lvl w:ilvl="5" w:tplc="37866EB4" w:tentative="1">
      <w:start w:val="1"/>
      <w:numFmt w:val="bullet"/>
      <w:lvlText w:val=""/>
      <w:lvlJc w:val="left"/>
      <w:pPr>
        <w:tabs>
          <w:tab w:val="num" w:pos="5760"/>
        </w:tabs>
        <w:ind w:left="5760" w:hanging="360"/>
      </w:pPr>
      <w:rPr>
        <w:rFonts w:ascii="Wingdings" w:hAnsi="Wingdings" w:hint="default"/>
      </w:rPr>
    </w:lvl>
    <w:lvl w:ilvl="6" w:tplc="4F3C2326" w:tentative="1">
      <w:start w:val="1"/>
      <w:numFmt w:val="bullet"/>
      <w:lvlText w:val=""/>
      <w:lvlJc w:val="left"/>
      <w:pPr>
        <w:tabs>
          <w:tab w:val="num" w:pos="6480"/>
        </w:tabs>
        <w:ind w:left="6480" w:hanging="360"/>
      </w:pPr>
      <w:rPr>
        <w:rFonts w:ascii="Wingdings" w:hAnsi="Wingdings" w:hint="default"/>
      </w:rPr>
    </w:lvl>
    <w:lvl w:ilvl="7" w:tplc="B33200BC" w:tentative="1">
      <w:start w:val="1"/>
      <w:numFmt w:val="bullet"/>
      <w:lvlText w:val=""/>
      <w:lvlJc w:val="left"/>
      <w:pPr>
        <w:tabs>
          <w:tab w:val="num" w:pos="7200"/>
        </w:tabs>
        <w:ind w:left="7200" w:hanging="360"/>
      </w:pPr>
      <w:rPr>
        <w:rFonts w:ascii="Wingdings" w:hAnsi="Wingdings" w:hint="default"/>
      </w:rPr>
    </w:lvl>
    <w:lvl w:ilvl="8" w:tplc="8056D3F2" w:tentative="1">
      <w:start w:val="1"/>
      <w:numFmt w:val="bullet"/>
      <w:lvlText w:val=""/>
      <w:lvlJc w:val="left"/>
      <w:pPr>
        <w:tabs>
          <w:tab w:val="num" w:pos="7920"/>
        </w:tabs>
        <w:ind w:left="7920" w:hanging="360"/>
      </w:pPr>
      <w:rPr>
        <w:rFonts w:ascii="Wingdings" w:hAnsi="Wingdings" w:hint="default"/>
      </w:rPr>
    </w:lvl>
  </w:abstractNum>
  <w:abstractNum w:abstractNumId="13">
    <w:nsid w:val="26327816"/>
    <w:multiLevelType w:val="multilevel"/>
    <w:tmpl w:val="80A8546C"/>
    <w:lvl w:ilvl="0">
      <w:start w:val="1"/>
      <w:numFmt w:val="decimal"/>
      <w:lvlText w:val="%1."/>
      <w:lvlJc w:val="left"/>
      <w:pPr>
        <w:ind w:left="420" w:hanging="360"/>
      </w:pPr>
      <w:rPr>
        <w:rFonts w:ascii="Times New Roman" w:hAnsi="Times New Roman" w:cs="Times New Roman"/>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2DD32B1D"/>
    <w:multiLevelType w:val="hybridMultilevel"/>
    <w:tmpl w:val="5324DBCC"/>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58293A"/>
    <w:multiLevelType w:val="hybridMultilevel"/>
    <w:tmpl w:val="A8C61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3A60473"/>
    <w:multiLevelType w:val="hybridMultilevel"/>
    <w:tmpl w:val="D0FA7F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BD5367"/>
    <w:multiLevelType w:val="hybridMultilevel"/>
    <w:tmpl w:val="DDF0E6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7CC32AE"/>
    <w:multiLevelType w:val="hybridMultilevel"/>
    <w:tmpl w:val="041CE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C62116A"/>
    <w:multiLevelType w:val="hybridMultilevel"/>
    <w:tmpl w:val="38E63C2C"/>
    <w:lvl w:ilvl="0" w:tplc="8DB6FA5A">
      <w:start w:val="1"/>
      <w:numFmt w:val="decimal"/>
      <w:lvlText w:val="%1)"/>
      <w:lvlJc w:val="left"/>
      <w:pPr>
        <w:ind w:left="1080" w:hanging="720"/>
      </w:pPr>
      <w:rPr>
        <w:rFonts w:hint="default"/>
      </w:rPr>
    </w:lvl>
    <w:lvl w:ilvl="1" w:tplc="04260019">
      <w:start w:val="1"/>
      <w:numFmt w:val="lowerLetter"/>
      <w:lvlText w:val="%2."/>
      <w:lvlJc w:val="left"/>
      <w:pPr>
        <w:ind w:left="2062" w:hanging="360"/>
      </w:pPr>
    </w:lvl>
    <w:lvl w:ilvl="2" w:tplc="0426001B">
      <w:start w:val="1"/>
      <w:numFmt w:val="lowerRoman"/>
      <w:lvlText w:val="%3."/>
      <w:lvlJc w:val="right"/>
      <w:pPr>
        <w:ind w:left="2160" w:hanging="180"/>
      </w:pPr>
    </w:lvl>
    <w:lvl w:ilvl="3" w:tplc="ACB4077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725ABF"/>
    <w:multiLevelType w:val="hybridMultilevel"/>
    <w:tmpl w:val="FE048E58"/>
    <w:lvl w:ilvl="0" w:tplc="8DB6FA5A">
      <w:start w:val="1"/>
      <w:numFmt w:val="decimal"/>
      <w:lvlText w:val="%1)"/>
      <w:lvlJc w:val="left"/>
      <w:pPr>
        <w:ind w:left="862" w:hanging="720"/>
      </w:pPr>
      <w:rPr>
        <w:rFonts w:hint="default"/>
      </w:rPr>
    </w:lvl>
    <w:lvl w:ilvl="1" w:tplc="72907464">
      <w:start w:val="1"/>
      <w:numFmt w:val="decimal"/>
      <w:lvlText w:val="%2)"/>
      <w:lvlJc w:val="left"/>
      <w:pPr>
        <w:ind w:left="2062" w:hanging="360"/>
      </w:pPr>
      <w:rPr>
        <w:rFonts w:ascii="Times New Roman" w:eastAsiaTheme="minorHAnsi" w:hAnsi="Times New Roman" w:cstheme="minorBidi"/>
      </w:rPr>
    </w:lvl>
    <w:lvl w:ilvl="2" w:tplc="0426001B">
      <w:start w:val="1"/>
      <w:numFmt w:val="lowerRoman"/>
      <w:lvlText w:val="%3."/>
      <w:lvlJc w:val="right"/>
      <w:pPr>
        <w:ind w:left="2160" w:hanging="180"/>
      </w:pPr>
    </w:lvl>
    <w:lvl w:ilvl="3" w:tplc="ACB4077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672B6B"/>
    <w:multiLevelType w:val="hybridMultilevel"/>
    <w:tmpl w:val="DDC45562"/>
    <w:lvl w:ilvl="0" w:tplc="3F10A7B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AE533F"/>
    <w:multiLevelType w:val="hybridMultilevel"/>
    <w:tmpl w:val="9746E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9735ACA"/>
    <w:multiLevelType w:val="hybridMultilevel"/>
    <w:tmpl w:val="696E094C"/>
    <w:lvl w:ilvl="0" w:tplc="F3A46FF6">
      <w:start w:val="1"/>
      <w:numFmt w:val="bullet"/>
      <w:lvlText w:val="•"/>
      <w:lvlJc w:val="left"/>
      <w:pPr>
        <w:tabs>
          <w:tab w:val="num" w:pos="720"/>
        </w:tabs>
        <w:ind w:left="720" w:hanging="360"/>
      </w:pPr>
      <w:rPr>
        <w:rFonts w:ascii="Arial" w:hAnsi="Arial" w:hint="default"/>
      </w:rPr>
    </w:lvl>
    <w:lvl w:ilvl="1" w:tplc="D21861F0" w:tentative="1">
      <w:start w:val="1"/>
      <w:numFmt w:val="bullet"/>
      <w:lvlText w:val="•"/>
      <w:lvlJc w:val="left"/>
      <w:pPr>
        <w:tabs>
          <w:tab w:val="num" w:pos="1440"/>
        </w:tabs>
        <w:ind w:left="1440" w:hanging="360"/>
      </w:pPr>
      <w:rPr>
        <w:rFonts w:ascii="Arial" w:hAnsi="Arial" w:hint="default"/>
      </w:rPr>
    </w:lvl>
    <w:lvl w:ilvl="2" w:tplc="C302B230" w:tentative="1">
      <w:start w:val="1"/>
      <w:numFmt w:val="bullet"/>
      <w:lvlText w:val="•"/>
      <w:lvlJc w:val="left"/>
      <w:pPr>
        <w:tabs>
          <w:tab w:val="num" w:pos="2160"/>
        </w:tabs>
        <w:ind w:left="2160" w:hanging="360"/>
      </w:pPr>
      <w:rPr>
        <w:rFonts w:ascii="Arial" w:hAnsi="Arial" w:hint="default"/>
      </w:rPr>
    </w:lvl>
    <w:lvl w:ilvl="3" w:tplc="827C4D42" w:tentative="1">
      <w:start w:val="1"/>
      <w:numFmt w:val="bullet"/>
      <w:lvlText w:val="•"/>
      <w:lvlJc w:val="left"/>
      <w:pPr>
        <w:tabs>
          <w:tab w:val="num" w:pos="2880"/>
        </w:tabs>
        <w:ind w:left="2880" w:hanging="360"/>
      </w:pPr>
      <w:rPr>
        <w:rFonts w:ascii="Arial" w:hAnsi="Arial" w:hint="default"/>
      </w:rPr>
    </w:lvl>
    <w:lvl w:ilvl="4" w:tplc="74FEBEA2" w:tentative="1">
      <w:start w:val="1"/>
      <w:numFmt w:val="bullet"/>
      <w:lvlText w:val="•"/>
      <w:lvlJc w:val="left"/>
      <w:pPr>
        <w:tabs>
          <w:tab w:val="num" w:pos="3600"/>
        </w:tabs>
        <w:ind w:left="3600" w:hanging="360"/>
      </w:pPr>
      <w:rPr>
        <w:rFonts w:ascii="Arial" w:hAnsi="Arial" w:hint="default"/>
      </w:rPr>
    </w:lvl>
    <w:lvl w:ilvl="5" w:tplc="FB3E1CBE" w:tentative="1">
      <w:start w:val="1"/>
      <w:numFmt w:val="bullet"/>
      <w:lvlText w:val="•"/>
      <w:lvlJc w:val="left"/>
      <w:pPr>
        <w:tabs>
          <w:tab w:val="num" w:pos="4320"/>
        </w:tabs>
        <w:ind w:left="4320" w:hanging="360"/>
      </w:pPr>
      <w:rPr>
        <w:rFonts w:ascii="Arial" w:hAnsi="Arial" w:hint="default"/>
      </w:rPr>
    </w:lvl>
    <w:lvl w:ilvl="6" w:tplc="021EB2DC" w:tentative="1">
      <w:start w:val="1"/>
      <w:numFmt w:val="bullet"/>
      <w:lvlText w:val="•"/>
      <w:lvlJc w:val="left"/>
      <w:pPr>
        <w:tabs>
          <w:tab w:val="num" w:pos="5040"/>
        </w:tabs>
        <w:ind w:left="5040" w:hanging="360"/>
      </w:pPr>
      <w:rPr>
        <w:rFonts w:ascii="Arial" w:hAnsi="Arial" w:hint="default"/>
      </w:rPr>
    </w:lvl>
    <w:lvl w:ilvl="7" w:tplc="561E1226" w:tentative="1">
      <w:start w:val="1"/>
      <w:numFmt w:val="bullet"/>
      <w:lvlText w:val="•"/>
      <w:lvlJc w:val="left"/>
      <w:pPr>
        <w:tabs>
          <w:tab w:val="num" w:pos="5760"/>
        </w:tabs>
        <w:ind w:left="5760" w:hanging="360"/>
      </w:pPr>
      <w:rPr>
        <w:rFonts w:ascii="Arial" w:hAnsi="Arial" w:hint="default"/>
      </w:rPr>
    </w:lvl>
    <w:lvl w:ilvl="8" w:tplc="7CD6A634" w:tentative="1">
      <w:start w:val="1"/>
      <w:numFmt w:val="bullet"/>
      <w:lvlText w:val="•"/>
      <w:lvlJc w:val="left"/>
      <w:pPr>
        <w:tabs>
          <w:tab w:val="num" w:pos="6480"/>
        </w:tabs>
        <w:ind w:left="6480" w:hanging="360"/>
      </w:pPr>
      <w:rPr>
        <w:rFonts w:ascii="Arial" w:hAnsi="Arial" w:hint="default"/>
      </w:rPr>
    </w:lvl>
  </w:abstractNum>
  <w:abstractNum w:abstractNumId="24">
    <w:nsid w:val="597943E5"/>
    <w:multiLevelType w:val="multilevel"/>
    <w:tmpl w:val="8528DD10"/>
    <w:styleLink w:val="WWNum1"/>
    <w:lvl w:ilvl="0">
      <w:start w:val="1"/>
      <w:numFmt w:val="decimal"/>
      <w:lvlText w:val="%1."/>
      <w:lvlJc w:val="left"/>
      <w:pPr>
        <w:ind w:left="360" w:hanging="36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FF44EF8"/>
    <w:multiLevelType w:val="multilevel"/>
    <w:tmpl w:val="77D0D56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72908"/>
    <w:multiLevelType w:val="hybridMultilevel"/>
    <w:tmpl w:val="BF4EBB8A"/>
    <w:lvl w:ilvl="0" w:tplc="0426000F">
      <w:start w:val="1"/>
      <w:numFmt w:val="decimal"/>
      <w:lvlText w:val="%1."/>
      <w:lvlJc w:val="left"/>
      <w:pPr>
        <w:tabs>
          <w:tab w:val="num" w:pos="720"/>
        </w:tabs>
        <w:ind w:left="720" w:hanging="360"/>
      </w:pPr>
      <w:rPr>
        <w:rFonts w:hint="default"/>
      </w:rPr>
    </w:lvl>
    <w:lvl w:ilvl="1" w:tplc="E236F1B0" w:tentative="1">
      <w:start w:val="1"/>
      <w:numFmt w:val="bullet"/>
      <w:lvlText w:val="•"/>
      <w:lvlJc w:val="left"/>
      <w:pPr>
        <w:tabs>
          <w:tab w:val="num" w:pos="1440"/>
        </w:tabs>
        <w:ind w:left="1440" w:hanging="360"/>
      </w:pPr>
      <w:rPr>
        <w:rFonts w:ascii="Times New Roman" w:hAnsi="Times New Roman" w:hint="default"/>
      </w:rPr>
    </w:lvl>
    <w:lvl w:ilvl="2" w:tplc="AE5ECE48" w:tentative="1">
      <w:start w:val="1"/>
      <w:numFmt w:val="bullet"/>
      <w:lvlText w:val="•"/>
      <w:lvlJc w:val="left"/>
      <w:pPr>
        <w:tabs>
          <w:tab w:val="num" w:pos="2160"/>
        </w:tabs>
        <w:ind w:left="2160" w:hanging="360"/>
      </w:pPr>
      <w:rPr>
        <w:rFonts w:ascii="Times New Roman" w:hAnsi="Times New Roman" w:hint="default"/>
      </w:rPr>
    </w:lvl>
    <w:lvl w:ilvl="3" w:tplc="365482CC" w:tentative="1">
      <w:start w:val="1"/>
      <w:numFmt w:val="bullet"/>
      <w:lvlText w:val="•"/>
      <w:lvlJc w:val="left"/>
      <w:pPr>
        <w:tabs>
          <w:tab w:val="num" w:pos="2880"/>
        </w:tabs>
        <w:ind w:left="2880" w:hanging="360"/>
      </w:pPr>
      <w:rPr>
        <w:rFonts w:ascii="Times New Roman" w:hAnsi="Times New Roman" w:hint="default"/>
      </w:rPr>
    </w:lvl>
    <w:lvl w:ilvl="4" w:tplc="6C0806F6" w:tentative="1">
      <w:start w:val="1"/>
      <w:numFmt w:val="bullet"/>
      <w:lvlText w:val="•"/>
      <w:lvlJc w:val="left"/>
      <w:pPr>
        <w:tabs>
          <w:tab w:val="num" w:pos="3600"/>
        </w:tabs>
        <w:ind w:left="3600" w:hanging="360"/>
      </w:pPr>
      <w:rPr>
        <w:rFonts w:ascii="Times New Roman" w:hAnsi="Times New Roman" w:hint="default"/>
      </w:rPr>
    </w:lvl>
    <w:lvl w:ilvl="5" w:tplc="6248EE48" w:tentative="1">
      <w:start w:val="1"/>
      <w:numFmt w:val="bullet"/>
      <w:lvlText w:val="•"/>
      <w:lvlJc w:val="left"/>
      <w:pPr>
        <w:tabs>
          <w:tab w:val="num" w:pos="4320"/>
        </w:tabs>
        <w:ind w:left="4320" w:hanging="360"/>
      </w:pPr>
      <w:rPr>
        <w:rFonts w:ascii="Times New Roman" w:hAnsi="Times New Roman" w:hint="default"/>
      </w:rPr>
    </w:lvl>
    <w:lvl w:ilvl="6" w:tplc="0958E2A4" w:tentative="1">
      <w:start w:val="1"/>
      <w:numFmt w:val="bullet"/>
      <w:lvlText w:val="•"/>
      <w:lvlJc w:val="left"/>
      <w:pPr>
        <w:tabs>
          <w:tab w:val="num" w:pos="5040"/>
        </w:tabs>
        <w:ind w:left="5040" w:hanging="360"/>
      </w:pPr>
      <w:rPr>
        <w:rFonts w:ascii="Times New Roman" w:hAnsi="Times New Roman" w:hint="default"/>
      </w:rPr>
    </w:lvl>
    <w:lvl w:ilvl="7" w:tplc="3DC88458" w:tentative="1">
      <w:start w:val="1"/>
      <w:numFmt w:val="bullet"/>
      <w:lvlText w:val="•"/>
      <w:lvlJc w:val="left"/>
      <w:pPr>
        <w:tabs>
          <w:tab w:val="num" w:pos="5760"/>
        </w:tabs>
        <w:ind w:left="5760" w:hanging="360"/>
      </w:pPr>
      <w:rPr>
        <w:rFonts w:ascii="Times New Roman" w:hAnsi="Times New Roman" w:hint="default"/>
      </w:rPr>
    </w:lvl>
    <w:lvl w:ilvl="8" w:tplc="C03438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1A2795"/>
    <w:multiLevelType w:val="hybridMultilevel"/>
    <w:tmpl w:val="90E059B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874"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9">
    <w:nsid w:val="6CF55008"/>
    <w:multiLevelType w:val="multilevel"/>
    <w:tmpl w:val="5D782934"/>
    <w:lvl w:ilvl="0">
      <w:start w:val="1"/>
      <w:numFmt w:val="decimal"/>
      <w:lvlText w:val="%1."/>
      <w:lvlJc w:val="left"/>
      <w:pPr>
        <w:ind w:left="644" w:hanging="360"/>
      </w:pPr>
      <w:rPr>
        <w:rFonts w:ascii="Times New Roman" w:hAnsi="Times New Roman" w:cs="Times New Roman" w:hint="default"/>
        <w:color w:val="auto"/>
      </w:rPr>
    </w:lvl>
    <w:lvl w:ilvl="1">
      <w:start w:val="1"/>
      <w:numFmt w:val="decimal"/>
      <w:isLgl/>
      <w:lvlText w:val="%1.%2."/>
      <w:lvlJc w:val="left"/>
      <w:pPr>
        <w:ind w:left="1288"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6E60325F"/>
    <w:multiLevelType w:val="hybridMultilevel"/>
    <w:tmpl w:val="7AC2086A"/>
    <w:lvl w:ilvl="0" w:tplc="04260011">
      <w:start w:val="1"/>
      <w:numFmt w:val="decimal"/>
      <w:lvlText w:val="%1)"/>
      <w:lvlJc w:val="left"/>
      <w:pPr>
        <w:ind w:left="720" w:hanging="360"/>
      </w:pPr>
      <w:rPr>
        <w:rFonts w:hint="default"/>
      </w:rPr>
    </w:lvl>
    <w:lvl w:ilvl="1" w:tplc="0E0A1BB6">
      <w:numFmt w:val="bullet"/>
      <w:lvlText w:val="•"/>
      <w:lvlJc w:val="left"/>
      <w:pPr>
        <w:ind w:left="1800" w:hanging="72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F624A6"/>
    <w:multiLevelType w:val="hybridMultilevel"/>
    <w:tmpl w:val="4E86E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0A24F54"/>
    <w:multiLevelType w:val="hybridMultilevel"/>
    <w:tmpl w:val="2F16D1F2"/>
    <w:lvl w:ilvl="0" w:tplc="8DB6FA5A">
      <w:start w:val="1"/>
      <w:numFmt w:val="decimal"/>
      <w:lvlText w:val="%1)"/>
      <w:lvlJc w:val="left"/>
      <w:pPr>
        <w:ind w:left="1080" w:hanging="720"/>
      </w:pPr>
      <w:rPr>
        <w:rFonts w:hint="default"/>
      </w:rPr>
    </w:lvl>
    <w:lvl w:ilvl="1" w:tplc="04260011">
      <w:start w:val="1"/>
      <w:numFmt w:val="decimal"/>
      <w:lvlText w:val="%2)"/>
      <w:lvlJc w:val="left"/>
      <w:pPr>
        <w:ind w:left="2062" w:hanging="360"/>
      </w:pPr>
    </w:lvl>
    <w:lvl w:ilvl="2" w:tplc="0426001B">
      <w:start w:val="1"/>
      <w:numFmt w:val="lowerRoman"/>
      <w:lvlText w:val="%3."/>
      <w:lvlJc w:val="right"/>
      <w:pPr>
        <w:ind w:left="2160" w:hanging="180"/>
      </w:pPr>
    </w:lvl>
    <w:lvl w:ilvl="3" w:tplc="ACB4077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7D2097"/>
    <w:multiLevelType w:val="multilevel"/>
    <w:tmpl w:val="E746FA2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41469CB"/>
    <w:multiLevelType w:val="hybridMultilevel"/>
    <w:tmpl w:val="D8CA3A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6E45879"/>
    <w:multiLevelType w:val="hybridMultilevel"/>
    <w:tmpl w:val="D4880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B4604C5"/>
    <w:multiLevelType w:val="hybridMultilevel"/>
    <w:tmpl w:val="92707EC0"/>
    <w:lvl w:ilvl="0" w:tplc="72DCF9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83424B"/>
    <w:multiLevelType w:val="multilevel"/>
    <w:tmpl w:val="55484556"/>
    <w:lvl w:ilvl="0">
      <w:start w:val="1"/>
      <w:numFmt w:val="decimal"/>
      <w:pStyle w:val="1lmenis"/>
      <w:lvlText w:val="%1."/>
      <w:lvlJc w:val="left"/>
      <w:pPr>
        <w:ind w:left="2204" w:hanging="360"/>
      </w:pPr>
      <w:rPr>
        <w:rFonts w:eastAsiaTheme="majorEastAsia" w:hint="default"/>
      </w:rPr>
    </w:lvl>
    <w:lvl w:ilvl="1">
      <w:start w:val="1"/>
      <w:numFmt w:val="decimal"/>
      <w:pStyle w:val="2lmenis"/>
      <w:isLgl/>
      <w:lvlText w:val="%1.%2."/>
      <w:lvlJc w:val="left"/>
      <w:pPr>
        <w:ind w:left="234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6"/>
  </w:num>
  <w:num w:numId="3">
    <w:abstractNumId w:val="5"/>
  </w:num>
  <w:num w:numId="4">
    <w:abstractNumId w:val="24"/>
  </w:num>
  <w:num w:numId="5">
    <w:abstractNumId w:val="11"/>
  </w:num>
  <w:num w:numId="6">
    <w:abstractNumId w:val="30"/>
  </w:num>
  <w:num w:numId="7">
    <w:abstractNumId w:val="17"/>
  </w:num>
  <w:num w:numId="8">
    <w:abstractNumId w:val="20"/>
  </w:num>
  <w:num w:numId="9">
    <w:abstractNumId w:val="25"/>
  </w:num>
  <w:num w:numId="10">
    <w:abstractNumId w:val="37"/>
  </w:num>
  <w:num w:numId="11">
    <w:abstractNumId w:val="2"/>
  </w:num>
  <w:num w:numId="12">
    <w:abstractNumId w:val="19"/>
  </w:num>
  <w:num w:numId="13">
    <w:abstractNumId w:val="26"/>
  </w:num>
  <w:num w:numId="14">
    <w:abstractNumId w:val="23"/>
  </w:num>
  <w:num w:numId="15">
    <w:abstractNumId w:val="4"/>
  </w:num>
  <w:num w:numId="16">
    <w:abstractNumId w:val="10"/>
  </w:num>
  <w:num w:numId="17">
    <w:abstractNumId w:val="16"/>
  </w:num>
  <w:num w:numId="18">
    <w:abstractNumId w:val="15"/>
  </w:num>
  <w:num w:numId="19">
    <w:abstractNumId w:val="22"/>
  </w:num>
  <w:num w:numId="20">
    <w:abstractNumId w:val="6"/>
  </w:num>
  <w:num w:numId="21">
    <w:abstractNumId w:val="18"/>
  </w:num>
  <w:num w:numId="22">
    <w:abstractNumId w:val="33"/>
  </w:num>
  <w:num w:numId="23">
    <w:abstractNumId w:val="32"/>
  </w:num>
  <w:num w:numId="24">
    <w:abstractNumId w:val="3"/>
  </w:num>
  <w:num w:numId="25">
    <w:abstractNumId w:val="13"/>
  </w:num>
  <w:num w:numId="26">
    <w:abstractNumId w:val="35"/>
  </w:num>
  <w:num w:numId="27">
    <w:abstractNumId w:val="7"/>
  </w:num>
  <w:num w:numId="28">
    <w:abstractNumId w:val="12"/>
  </w:num>
  <w:num w:numId="29">
    <w:abstractNumId w:val="14"/>
  </w:num>
  <w:num w:numId="30">
    <w:abstractNumId w:val="21"/>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7"/>
  </w:num>
  <w:num w:numId="35">
    <w:abstractNumId w:val="34"/>
  </w:num>
  <w:num w:numId="36">
    <w:abstractNumId w:val="9"/>
  </w:num>
  <w:num w:numId="37">
    <w:abstractNumId w:val="0"/>
  </w:num>
  <w:num w:numId="3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62"/>
    <w:rsid w:val="00000052"/>
    <w:rsid w:val="0000025B"/>
    <w:rsid w:val="0000116D"/>
    <w:rsid w:val="00001327"/>
    <w:rsid w:val="00001444"/>
    <w:rsid w:val="000017CC"/>
    <w:rsid w:val="000022B9"/>
    <w:rsid w:val="0000244C"/>
    <w:rsid w:val="00002A9F"/>
    <w:rsid w:val="000039EE"/>
    <w:rsid w:val="0000470D"/>
    <w:rsid w:val="00006CA1"/>
    <w:rsid w:val="0001025F"/>
    <w:rsid w:val="00010998"/>
    <w:rsid w:val="00012974"/>
    <w:rsid w:val="00013C64"/>
    <w:rsid w:val="00014E1F"/>
    <w:rsid w:val="00015069"/>
    <w:rsid w:val="000151DB"/>
    <w:rsid w:val="00015D1F"/>
    <w:rsid w:val="000160E1"/>
    <w:rsid w:val="00016F64"/>
    <w:rsid w:val="00017609"/>
    <w:rsid w:val="0001782F"/>
    <w:rsid w:val="00017BF5"/>
    <w:rsid w:val="00017E92"/>
    <w:rsid w:val="00020E6E"/>
    <w:rsid w:val="00020ECC"/>
    <w:rsid w:val="0002110F"/>
    <w:rsid w:val="00024684"/>
    <w:rsid w:val="00024C13"/>
    <w:rsid w:val="000300A2"/>
    <w:rsid w:val="000304ED"/>
    <w:rsid w:val="0003079B"/>
    <w:rsid w:val="00030D6F"/>
    <w:rsid w:val="00031001"/>
    <w:rsid w:val="0003117C"/>
    <w:rsid w:val="00031D79"/>
    <w:rsid w:val="00031FB5"/>
    <w:rsid w:val="00033009"/>
    <w:rsid w:val="00033C56"/>
    <w:rsid w:val="00033D4E"/>
    <w:rsid w:val="00033E4C"/>
    <w:rsid w:val="000346B2"/>
    <w:rsid w:val="0003569F"/>
    <w:rsid w:val="00035FAB"/>
    <w:rsid w:val="00042948"/>
    <w:rsid w:val="00042F51"/>
    <w:rsid w:val="00043231"/>
    <w:rsid w:val="00043533"/>
    <w:rsid w:val="00044AEE"/>
    <w:rsid w:val="00044F03"/>
    <w:rsid w:val="00046913"/>
    <w:rsid w:val="0005123E"/>
    <w:rsid w:val="00051626"/>
    <w:rsid w:val="00051E3B"/>
    <w:rsid w:val="000541CB"/>
    <w:rsid w:val="000543DC"/>
    <w:rsid w:val="0005470F"/>
    <w:rsid w:val="0005487E"/>
    <w:rsid w:val="00054C21"/>
    <w:rsid w:val="00055097"/>
    <w:rsid w:val="00055A14"/>
    <w:rsid w:val="0005711D"/>
    <w:rsid w:val="00057D45"/>
    <w:rsid w:val="00060183"/>
    <w:rsid w:val="00060855"/>
    <w:rsid w:val="00061793"/>
    <w:rsid w:val="00062EEB"/>
    <w:rsid w:val="0006391F"/>
    <w:rsid w:val="000648C7"/>
    <w:rsid w:val="00064EEC"/>
    <w:rsid w:val="00066537"/>
    <w:rsid w:val="00066BC5"/>
    <w:rsid w:val="00066CF3"/>
    <w:rsid w:val="00070B60"/>
    <w:rsid w:val="00071043"/>
    <w:rsid w:val="00071AF5"/>
    <w:rsid w:val="00072D47"/>
    <w:rsid w:val="00072EEC"/>
    <w:rsid w:val="00076E4C"/>
    <w:rsid w:val="00077420"/>
    <w:rsid w:val="000801B7"/>
    <w:rsid w:val="0008037C"/>
    <w:rsid w:val="00082977"/>
    <w:rsid w:val="0008354E"/>
    <w:rsid w:val="00084025"/>
    <w:rsid w:val="00085744"/>
    <w:rsid w:val="00086054"/>
    <w:rsid w:val="00091609"/>
    <w:rsid w:val="00091DE7"/>
    <w:rsid w:val="000922D1"/>
    <w:rsid w:val="000931FD"/>
    <w:rsid w:val="00095B25"/>
    <w:rsid w:val="000960C0"/>
    <w:rsid w:val="000966CA"/>
    <w:rsid w:val="000974B0"/>
    <w:rsid w:val="00097978"/>
    <w:rsid w:val="00097B4B"/>
    <w:rsid w:val="00097E5C"/>
    <w:rsid w:val="000A0895"/>
    <w:rsid w:val="000A0F2E"/>
    <w:rsid w:val="000A255B"/>
    <w:rsid w:val="000A2ACC"/>
    <w:rsid w:val="000A2E1C"/>
    <w:rsid w:val="000A325A"/>
    <w:rsid w:val="000A32CB"/>
    <w:rsid w:val="000A358E"/>
    <w:rsid w:val="000A3DE9"/>
    <w:rsid w:val="000A3FCD"/>
    <w:rsid w:val="000A4653"/>
    <w:rsid w:val="000A471D"/>
    <w:rsid w:val="000A50BC"/>
    <w:rsid w:val="000A5257"/>
    <w:rsid w:val="000B0D1C"/>
    <w:rsid w:val="000B13A1"/>
    <w:rsid w:val="000B1ABA"/>
    <w:rsid w:val="000B2492"/>
    <w:rsid w:val="000B2914"/>
    <w:rsid w:val="000B3027"/>
    <w:rsid w:val="000B4A58"/>
    <w:rsid w:val="000B620C"/>
    <w:rsid w:val="000B6EF0"/>
    <w:rsid w:val="000B700B"/>
    <w:rsid w:val="000C0697"/>
    <w:rsid w:val="000C1234"/>
    <w:rsid w:val="000C22D6"/>
    <w:rsid w:val="000C4479"/>
    <w:rsid w:val="000C4E54"/>
    <w:rsid w:val="000C686F"/>
    <w:rsid w:val="000C79DA"/>
    <w:rsid w:val="000C7ECA"/>
    <w:rsid w:val="000D15AD"/>
    <w:rsid w:val="000D1C84"/>
    <w:rsid w:val="000D1CD9"/>
    <w:rsid w:val="000D2C8E"/>
    <w:rsid w:val="000D38F2"/>
    <w:rsid w:val="000D49FA"/>
    <w:rsid w:val="000D4C68"/>
    <w:rsid w:val="000D5828"/>
    <w:rsid w:val="000D5CB2"/>
    <w:rsid w:val="000D796E"/>
    <w:rsid w:val="000E1574"/>
    <w:rsid w:val="000E1878"/>
    <w:rsid w:val="000E449A"/>
    <w:rsid w:val="000E6614"/>
    <w:rsid w:val="000E6BCF"/>
    <w:rsid w:val="000E7C83"/>
    <w:rsid w:val="000F0CC2"/>
    <w:rsid w:val="000F107A"/>
    <w:rsid w:val="000F1CDD"/>
    <w:rsid w:val="000F1D58"/>
    <w:rsid w:val="000F26F4"/>
    <w:rsid w:val="000F2756"/>
    <w:rsid w:val="000F3444"/>
    <w:rsid w:val="000F3BC7"/>
    <w:rsid w:val="000F3EBA"/>
    <w:rsid w:val="000F3F0B"/>
    <w:rsid w:val="000F578C"/>
    <w:rsid w:val="000F5C62"/>
    <w:rsid w:val="000F6DC6"/>
    <w:rsid w:val="000F6E03"/>
    <w:rsid w:val="000F701A"/>
    <w:rsid w:val="000F79DA"/>
    <w:rsid w:val="000F7E6B"/>
    <w:rsid w:val="001022CB"/>
    <w:rsid w:val="00102885"/>
    <w:rsid w:val="0010417B"/>
    <w:rsid w:val="00105A2D"/>
    <w:rsid w:val="00106F3A"/>
    <w:rsid w:val="001071AE"/>
    <w:rsid w:val="0011128E"/>
    <w:rsid w:val="001115EE"/>
    <w:rsid w:val="001119A3"/>
    <w:rsid w:val="00111AE0"/>
    <w:rsid w:val="00112578"/>
    <w:rsid w:val="00113C8B"/>
    <w:rsid w:val="00114078"/>
    <w:rsid w:val="00114D66"/>
    <w:rsid w:val="001153F9"/>
    <w:rsid w:val="00115E35"/>
    <w:rsid w:val="001160CE"/>
    <w:rsid w:val="00116672"/>
    <w:rsid w:val="00116CF8"/>
    <w:rsid w:val="00120427"/>
    <w:rsid w:val="00120492"/>
    <w:rsid w:val="00121369"/>
    <w:rsid w:val="00121C73"/>
    <w:rsid w:val="00123472"/>
    <w:rsid w:val="001243EF"/>
    <w:rsid w:val="0012455A"/>
    <w:rsid w:val="0012680B"/>
    <w:rsid w:val="00127DD9"/>
    <w:rsid w:val="001304AA"/>
    <w:rsid w:val="0013344E"/>
    <w:rsid w:val="001336ED"/>
    <w:rsid w:val="001344DE"/>
    <w:rsid w:val="00135974"/>
    <w:rsid w:val="00135B21"/>
    <w:rsid w:val="001366F7"/>
    <w:rsid w:val="00136FBB"/>
    <w:rsid w:val="00141D21"/>
    <w:rsid w:val="001422AE"/>
    <w:rsid w:val="00142FF7"/>
    <w:rsid w:val="00143F7E"/>
    <w:rsid w:val="00144311"/>
    <w:rsid w:val="00144AB6"/>
    <w:rsid w:val="0014506D"/>
    <w:rsid w:val="001503A2"/>
    <w:rsid w:val="00150741"/>
    <w:rsid w:val="001520E1"/>
    <w:rsid w:val="00152600"/>
    <w:rsid w:val="00154212"/>
    <w:rsid w:val="001546CB"/>
    <w:rsid w:val="001556FB"/>
    <w:rsid w:val="00157731"/>
    <w:rsid w:val="00157C3A"/>
    <w:rsid w:val="00157FA9"/>
    <w:rsid w:val="00160CF9"/>
    <w:rsid w:val="0016135D"/>
    <w:rsid w:val="00163901"/>
    <w:rsid w:val="0016453B"/>
    <w:rsid w:val="00167574"/>
    <w:rsid w:val="0017160F"/>
    <w:rsid w:val="00171696"/>
    <w:rsid w:val="00173D1C"/>
    <w:rsid w:val="001742AB"/>
    <w:rsid w:val="00174491"/>
    <w:rsid w:val="00174D2F"/>
    <w:rsid w:val="0017568B"/>
    <w:rsid w:val="00176291"/>
    <w:rsid w:val="0017734F"/>
    <w:rsid w:val="001808EC"/>
    <w:rsid w:val="00181071"/>
    <w:rsid w:val="00181B75"/>
    <w:rsid w:val="001847AA"/>
    <w:rsid w:val="00184884"/>
    <w:rsid w:val="001854D7"/>
    <w:rsid w:val="0018623F"/>
    <w:rsid w:val="001870F3"/>
    <w:rsid w:val="00187DA6"/>
    <w:rsid w:val="00190973"/>
    <w:rsid w:val="0019112C"/>
    <w:rsid w:val="00192033"/>
    <w:rsid w:val="00192C6C"/>
    <w:rsid w:val="00193B1C"/>
    <w:rsid w:val="0019471C"/>
    <w:rsid w:val="00195517"/>
    <w:rsid w:val="00196160"/>
    <w:rsid w:val="00196595"/>
    <w:rsid w:val="00196AFC"/>
    <w:rsid w:val="00197CE8"/>
    <w:rsid w:val="001A0489"/>
    <w:rsid w:val="001A271A"/>
    <w:rsid w:val="001A2D84"/>
    <w:rsid w:val="001A31C3"/>
    <w:rsid w:val="001A4AFE"/>
    <w:rsid w:val="001A67AD"/>
    <w:rsid w:val="001A70DF"/>
    <w:rsid w:val="001A7326"/>
    <w:rsid w:val="001B0137"/>
    <w:rsid w:val="001B198E"/>
    <w:rsid w:val="001B2186"/>
    <w:rsid w:val="001B304A"/>
    <w:rsid w:val="001B4163"/>
    <w:rsid w:val="001B4B55"/>
    <w:rsid w:val="001B5DE7"/>
    <w:rsid w:val="001C0E00"/>
    <w:rsid w:val="001C3026"/>
    <w:rsid w:val="001C4BD9"/>
    <w:rsid w:val="001C77C7"/>
    <w:rsid w:val="001D064A"/>
    <w:rsid w:val="001D1B1B"/>
    <w:rsid w:val="001D1D31"/>
    <w:rsid w:val="001D24C5"/>
    <w:rsid w:val="001D25AE"/>
    <w:rsid w:val="001D294A"/>
    <w:rsid w:val="001D44CD"/>
    <w:rsid w:val="001D548D"/>
    <w:rsid w:val="001D5E52"/>
    <w:rsid w:val="001D6540"/>
    <w:rsid w:val="001D7D3C"/>
    <w:rsid w:val="001E082F"/>
    <w:rsid w:val="001E182C"/>
    <w:rsid w:val="001E197A"/>
    <w:rsid w:val="001E20BF"/>
    <w:rsid w:val="001E2315"/>
    <w:rsid w:val="001E255C"/>
    <w:rsid w:val="001E35DC"/>
    <w:rsid w:val="001E4C59"/>
    <w:rsid w:val="001E5389"/>
    <w:rsid w:val="001E5F50"/>
    <w:rsid w:val="001F0498"/>
    <w:rsid w:val="001F1635"/>
    <w:rsid w:val="001F1ACC"/>
    <w:rsid w:val="001F2E07"/>
    <w:rsid w:val="001F4B2B"/>
    <w:rsid w:val="001F4BBA"/>
    <w:rsid w:val="001F5157"/>
    <w:rsid w:val="001F7759"/>
    <w:rsid w:val="0020071B"/>
    <w:rsid w:val="00200D49"/>
    <w:rsid w:val="002016F2"/>
    <w:rsid w:val="00202349"/>
    <w:rsid w:val="0020618B"/>
    <w:rsid w:val="0020750A"/>
    <w:rsid w:val="0021014D"/>
    <w:rsid w:val="00211DF4"/>
    <w:rsid w:val="002126A3"/>
    <w:rsid w:val="00212E67"/>
    <w:rsid w:val="00213849"/>
    <w:rsid w:val="0021431B"/>
    <w:rsid w:val="0021564B"/>
    <w:rsid w:val="0021576B"/>
    <w:rsid w:val="00216112"/>
    <w:rsid w:val="00216A5F"/>
    <w:rsid w:val="00216BAC"/>
    <w:rsid w:val="00216C61"/>
    <w:rsid w:val="00216F68"/>
    <w:rsid w:val="002176A7"/>
    <w:rsid w:val="00217C6F"/>
    <w:rsid w:val="00217F5E"/>
    <w:rsid w:val="0022055E"/>
    <w:rsid w:val="00220A88"/>
    <w:rsid w:val="00222C67"/>
    <w:rsid w:val="00222EDD"/>
    <w:rsid w:val="00224C47"/>
    <w:rsid w:val="00225BC6"/>
    <w:rsid w:val="00225C55"/>
    <w:rsid w:val="00227817"/>
    <w:rsid w:val="002279BA"/>
    <w:rsid w:val="00227A9D"/>
    <w:rsid w:val="0023012A"/>
    <w:rsid w:val="00230E91"/>
    <w:rsid w:val="00230E9B"/>
    <w:rsid w:val="00231561"/>
    <w:rsid w:val="00231732"/>
    <w:rsid w:val="00231B89"/>
    <w:rsid w:val="00231E12"/>
    <w:rsid w:val="00232D13"/>
    <w:rsid w:val="0023324F"/>
    <w:rsid w:val="00233D29"/>
    <w:rsid w:val="00235819"/>
    <w:rsid w:val="00236184"/>
    <w:rsid w:val="0023714E"/>
    <w:rsid w:val="00242F73"/>
    <w:rsid w:val="002471B7"/>
    <w:rsid w:val="0024778B"/>
    <w:rsid w:val="00247D95"/>
    <w:rsid w:val="00250882"/>
    <w:rsid w:val="00252B6F"/>
    <w:rsid w:val="00252D82"/>
    <w:rsid w:val="002531CD"/>
    <w:rsid w:val="002538AE"/>
    <w:rsid w:val="00253C64"/>
    <w:rsid w:val="00254404"/>
    <w:rsid w:val="00255B18"/>
    <w:rsid w:val="002571DE"/>
    <w:rsid w:val="002572A5"/>
    <w:rsid w:val="00260F87"/>
    <w:rsid w:val="0026198E"/>
    <w:rsid w:val="00262CA5"/>
    <w:rsid w:val="0026308B"/>
    <w:rsid w:val="0026357A"/>
    <w:rsid w:val="002635D1"/>
    <w:rsid w:val="002653F4"/>
    <w:rsid w:val="00265F73"/>
    <w:rsid w:val="00266123"/>
    <w:rsid w:val="00266ED2"/>
    <w:rsid w:val="00266F5C"/>
    <w:rsid w:val="00270616"/>
    <w:rsid w:val="00270646"/>
    <w:rsid w:val="002709A7"/>
    <w:rsid w:val="00271414"/>
    <w:rsid w:val="002718EF"/>
    <w:rsid w:val="00272C25"/>
    <w:rsid w:val="002735F4"/>
    <w:rsid w:val="00273B89"/>
    <w:rsid w:val="00275521"/>
    <w:rsid w:val="0027574C"/>
    <w:rsid w:val="00276085"/>
    <w:rsid w:val="002778A4"/>
    <w:rsid w:val="002820FB"/>
    <w:rsid w:val="00283328"/>
    <w:rsid w:val="00284736"/>
    <w:rsid w:val="002855E3"/>
    <w:rsid w:val="00286694"/>
    <w:rsid w:val="00286DDC"/>
    <w:rsid w:val="00287596"/>
    <w:rsid w:val="00287A3C"/>
    <w:rsid w:val="00287ABA"/>
    <w:rsid w:val="00291EAA"/>
    <w:rsid w:val="002945BC"/>
    <w:rsid w:val="0029497E"/>
    <w:rsid w:val="002979BD"/>
    <w:rsid w:val="002A10B3"/>
    <w:rsid w:val="002A1BC1"/>
    <w:rsid w:val="002A1EB4"/>
    <w:rsid w:val="002A3A41"/>
    <w:rsid w:val="002A3E62"/>
    <w:rsid w:val="002A4513"/>
    <w:rsid w:val="002A650D"/>
    <w:rsid w:val="002A704F"/>
    <w:rsid w:val="002A71B1"/>
    <w:rsid w:val="002B0E3B"/>
    <w:rsid w:val="002B18DC"/>
    <w:rsid w:val="002B2A2E"/>
    <w:rsid w:val="002B4AEB"/>
    <w:rsid w:val="002B54CF"/>
    <w:rsid w:val="002B5C10"/>
    <w:rsid w:val="002B5DEB"/>
    <w:rsid w:val="002B78D9"/>
    <w:rsid w:val="002B7A34"/>
    <w:rsid w:val="002C0654"/>
    <w:rsid w:val="002C4537"/>
    <w:rsid w:val="002C4935"/>
    <w:rsid w:val="002C5163"/>
    <w:rsid w:val="002C558D"/>
    <w:rsid w:val="002C6E59"/>
    <w:rsid w:val="002C7AAC"/>
    <w:rsid w:val="002D0487"/>
    <w:rsid w:val="002D1011"/>
    <w:rsid w:val="002D379F"/>
    <w:rsid w:val="002D4515"/>
    <w:rsid w:val="002D4934"/>
    <w:rsid w:val="002D4FAD"/>
    <w:rsid w:val="002D692C"/>
    <w:rsid w:val="002D6F7B"/>
    <w:rsid w:val="002E063F"/>
    <w:rsid w:val="002E067F"/>
    <w:rsid w:val="002E197B"/>
    <w:rsid w:val="002E2292"/>
    <w:rsid w:val="002E244F"/>
    <w:rsid w:val="002E40E0"/>
    <w:rsid w:val="002E4503"/>
    <w:rsid w:val="002E4A71"/>
    <w:rsid w:val="002E5F9A"/>
    <w:rsid w:val="002E604E"/>
    <w:rsid w:val="002E6092"/>
    <w:rsid w:val="002E6641"/>
    <w:rsid w:val="002E6F49"/>
    <w:rsid w:val="002F044C"/>
    <w:rsid w:val="002F1C18"/>
    <w:rsid w:val="002F25C6"/>
    <w:rsid w:val="002F2A69"/>
    <w:rsid w:val="002F2E0F"/>
    <w:rsid w:val="002F3E4B"/>
    <w:rsid w:val="002F4509"/>
    <w:rsid w:val="002F58D7"/>
    <w:rsid w:val="002F6B78"/>
    <w:rsid w:val="002F7608"/>
    <w:rsid w:val="002F7AB7"/>
    <w:rsid w:val="003002B2"/>
    <w:rsid w:val="003006AD"/>
    <w:rsid w:val="00300976"/>
    <w:rsid w:val="00301F94"/>
    <w:rsid w:val="00302DA2"/>
    <w:rsid w:val="00303595"/>
    <w:rsid w:val="003036C8"/>
    <w:rsid w:val="0030457F"/>
    <w:rsid w:val="00305F7F"/>
    <w:rsid w:val="00311AD2"/>
    <w:rsid w:val="00312A3E"/>
    <w:rsid w:val="00312F89"/>
    <w:rsid w:val="00313E60"/>
    <w:rsid w:val="00315FAC"/>
    <w:rsid w:val="00316065"/>
    <w:rsid w:val="003168C5"/>
    <w:rsid w:val="0031746C"/>
    <w:rsid w:val="00317B1F"/>
    <w:rsid w:val="00320640"/>
    <w:rsid w:val="003210F5"/>
    <w:rsid w:val="0032304A"/>
    <w:rsid w:val="003230F6"/>
    <w:rsid w:val="003231DF"/>
    <w:rsid w:val="00324865"/>
    <w:rsid w:val="00325E00"/>
    <w:rsid w:val="00326016"/>
    <w:rsid w:val="00326AFA"/>
    <w:rsid w:val="003307CE"/>
    <w:rsid w:val="00331055"/>
    <w:rsid w:val="003313A6"/>
    <w:rsid w:val="00331B8D"/>
    <w:rsid w:val="00331EBB"/>
    <w:rsid w:val="00332777"/>
    <w:rsid w:val="0033296A"/>
    <w:rsid w:val="00332F17"/>
    <w:rsid w:val="003336B3"/>
    <w:rsid w:val="00333B15"/>
    <w:rsid w:val="00333F1B"/>
    <w:rsid w:val="003355F9"/>
    <w:rsid w:val="00335B7A"/>
    <w:rsid w:val="00340A09"/>
    <w:rsid w:val="00342A4A"/>
    <w:rsid w:val="003430AD"/>
    <w:rsid w:val="003466CA"/>
    <w:rsid w:val="00346F73"/>
    <w:rsid w:val="003503E7"/>
    <w:rsid w:val="00350726"/>
    <w:rsid w:val="003507F2"/>
    <w:rsid w:val="003509B0"/>
    <w:rsid w:val="003510B5"/>
    <w:rsid w:val="003523F1"/>
    <w:rsid w:val="00352BA4"/>
    <w:rsid w:val="003557BB"/>
    <w:rsid w:val="00361A10"/>
    <w:rsid w:val="00362B6E"/>
    <w:rsid w:val="00362CBE"/>
    <w:rsid w:val="00364338"/>
    <w:rsid w:val="00365786"/>
    <w:rsid w:val="00365DA8"/>
    <w:rsid w:val="003662DC"/>
    <w:rsid w:val="00366F7C"/>
    <w:rsid w:val="00367480"/>
    <w:rsid w:val="00370ED7"/>
    <w:rsid w:val="00371476"/>
    <w:rsid w:val="0037443E"/>
    <w:rsid w:val="003758EF"/>
    <w:rsid w:val="0037702B"/>
    <w:rsid w:val="0037756D"/>
    <w:rsid w:val="00377AC3"/>
    <w:rsid w:val="00377E39"/>
    <w:rsid w:val="003810B0"/>
    <w:rsid w:val="0038143D"/>
    <w:rsid w:val="00381841"/>
    <w:rsid w:val="00382B8C"/>
    <w:rsid w:val="00382DF0"/>
    <w:rsid w:val="00384D1B"/>
    <w:rsid w:val="00385233"/>
    <w:rsid w:val="00392314"/>
    <w:rsid w:val="00392E5B"/>
    <w:rsid w:val="003943A4"/>
    <w:rsid w:val="00395039"/>
    <w:rsid w:val="00396B72"/>
    <w:rsid w:val="00397C77"/>
    <w:rsid w:val="003A04CB"/>
    <w:rsid w:val="003A2440"/>
    <w:rsid w:val="003A3B1D"/>
    <w:rsid w:val="003A3B4F"/>
    <w:rsid w:val="003A495E"/>
    <w:rsid w:val="003A55A9"/>
    <w:rsid w:val="003A5FCA"/>
    <w:rsid w:val="003A685D"/>
    <w:rsid w:val="003A7071"/>
    <w:rsid w:val="003A73FE"/>
    <w:rsid w:val="003B063F"/>
    <w:rsid w:val="003B3BA0"/>
    <w:rsid w:val="003B43F8"/>
    <w:rsid w:val="003B47AC"/>
    <w:rsid w:val="003B4B8B"/>
    <w:rsid w:val="003B5E15"/>
    <w:rsid w:val="003B5F19"/>
    <w:rsid w:val="003B658D"/>
    <w:rsid w:val="003B6FD9"/>
    <w:rsid w:val="003C066F"/>
    <w:rsid w:val="003C12CF"/>
    <w:rsid w:val="003C1658"/>
    <w:rsid w:val="003C3374"/>
    <w:rsid w:val="003C3903"/>
    <w:rsid w:val="003C4D3E"/>
    <w:rsid w:val="003D0179"/>
    <w:rsid w:val="003D0D52"/>
    <w:rsid w:val="003D1A99"/>
    <w:rsid w:val="003D1AAF"/>
    <w:rsid w:val="003D438C"/>
    <w:rsid w:val="003D58E7"/>
    <w:rsid w:val="003D5A0A"/>
    <w:rsid w:val="003D5C3B"/>
    <w:rsid w:val="003D7467"/>
    <w:rsid w:val="003D7739"/>
    <w:rsid w:val="003D7B6A"/>
    <w:rsid w:val="003E1949"/>
    <w:rsid w:val="003E2FDC"/>
    <w:rsid w:val="003E50BF"/>
    <w:rsid w:val="003E5CFA"/>
    <w:rsid w:val="003E65D5"/>
    <w:rsid w:val="003E7930"/>
    <w:rsid w:val="003F03D8"/>
    <w:rsid w:val="003F1828"/>
    <w:rsid w:val="003F3D21"/>
    <w:rsid w:val="003F4B75"/>
    <w:rsid w:val="003F4FEA"/>
    <w:rsid w:val="003F62BB"/>
    <w:rsid w:val="003F76BB"/>
    <w:rsid w:val="004030FF"/>
    <w:rsid w:val="0040354E"/>
    <w:rsid w:val="00404636"/>
    <w:rsid w:val="00404856"/>
    <w:rsid w:val="0040569A"/>
    <w:rsid w:val="00405866"/>
    <w:rsid w:val="00406229"/>
    <w:rsid w:val="004068CE"/>
    <w:rsid w:val="0040766D"/>
    <w:rsid w:val="0040775C"/>
    <w:rsid w:val="0041186B"/>
    <w:rsid w:val="004118FA"/>
    <w:rsid w:val="00412851"/>
    <w:rsid w:val="00412A3D"/>
    <w:rsid w:val="00413C83"/>
    <w:rsid w:val="004145C0"/>
    <w:rsid w:val="00415210"/>
    <w:rsid w:val="00415A3D"/>
    <w:rsid w:val="00415A87"/>
    <w:rsid w:val="00415C0E"/>
    <w:rsid w:val="00416300"/>
    <w:rsid w:val="004167C8"/>
    <w:rsid w:val="004168ED"/>
    <w:rsid w:val="00416A5D"/>
    <w:rsid w:val="0041705E"/>
    <w:rsid w:val="00417796"/>
    <w:rsid w:val="00417C46"/>
    <w:rsid w:val="00420660"/>
    <w:rsid w:val="00420C0B"/>
    <w:rsid w:val="00421544"/>
    <w:rsid w:val="00423D9F"/>
    <w:rsid w:val="00424BC1"/>
    <w:rsid w:val="00424DA6"/>
    <w:rsid w:val="00425B1D"/>
    <w:rsid w:val="00426258"/>
    <w:rsid w:val="0043054F"/>
    <w:rsid w:val="00433923"/>
    <w:rsid w:val="0043482E"/>
    <w:rsid w:val="00434D92"/>
    <w:rsid w:val="00435B37"/>
    <w:rsid w:val="004369E7"/>
    <w:rsid w:val="004410E3"/>
    <w:rsid w:val="0044446E"/>
    <w:rsid w:val="00451254"/>
    <w:rsid w:val="004532DA"/>
    <w:rsid w:val="0045354A"/>
    <w:rsid w:val="00454EB0"/>
    <w:rsid w:val="004551DC"/>
    <w:rsid w:val="00456491"/>
    <w:rsid w:val="00457D7C"/>
    <w:rsid w:val="004600A8"/>
    <w:rsid w:val="004605E1"/>
    <w:rsid w:val="00462308"/>
    <w:rsid w:val="004643AB"/>
    <w:rsid w:val="00464DAB"/>
    <w:rsid w:val="00465BDF"/>
    <w:rsid w:val="0046663B"/>
    <w:rsid w:val="004666D8"/>
    <w:rsid w:val="004674DE"/>
    <w:rsid w:val="00470A62"/>
    <w:rsid w:val="0047145B"/>
    <w:rsid w:val="0047257B"/>
    <w:rsid w:val="00472615"/>
    <w:rsid w:val="004748C6"/>
    <w:rsid w:val="00476854"/>
    <w:rsid w:val="00476E90"/>
    <w:rsid w:val="00477A0D"/>
    <w:rsid w:val="004806E2"/>
    <w:rsid w:val="00481FBD"/>
    <w:rsid w:val="00486497"/>
    <w:rsid w:val="00487829"/>
    <w:rsid w:val="004903E2"/>
    <w:rsid w:val="004906B7"/>
    <w:rsid w:val="00491D44"/>
    <w:rsid w:val="0049246C"/>
    <w:rsid w:val="00492D8E"/>
    <w:rsid w:val="004941DD"/>
    <w:rsid w:val="004946B5"/>
    <w:rsid w:val="004A0F76"/>
    <w:rsid w:val="004A1849"/>
    <w:rsid w:val="004A4B76"/>
    <w:rsid w:val="004A5C59"/>
    <w:rsid w:val="004A6AB9"/>
    <w:rsid w:val="004A7193"/>
    <w:rsid w:val="004B523F"/>
    <w:rsid w:val="004B5990"/>
    <w:rsid w:val="004B68B4"/>
    <w:rsid w:val="004B6B1D"/>
    <w:rsid w:val="004B78FD"/>
    <w:rsid w:val="004C10F9"/>
    <w:rsid w:val="004C15EF"/>
    <w:rsid w:val="004C5227"/>
    <w:rsid w:val="004C55A6"/>
    <w:rsid w:val="004C6643"/>
    <w:rsid w:val="004C6CBD"/>
    <w:rsid w:val="004D147C"/>
    <w:rsid w:val="004D1514"/>
    <w:rsid w:val="004D1823"/>
    <w:rsid w:val="004D226B"/>
    <w:rsid w:val="004D2909"/>
    <w:rsid w:val="004D331B"/>
    <w:rsid w:val="004D37E3"/>
    <w:rsid w:val="004D4608"/>
    <w:rsid w:val="004D4A7A"/>
    <w:rsid w:val="004D5717"/>
    <w:rsid w:val="004D68C3"/>
    <w:rsid w:val="004E018C"/>
    <w:rsid w:val="004E059F"/>
    <w:rsid w:val="004E1BCF"/>
    <w:rsid w:val="004E357E"/>
    <w:rsid w:val="004E45D7"/>
    <w:rsid w:val="004E52C4"/>
    <w:rsid w:val="004E5F95"/>
    <w:rsid w:val="004E6004"/>
    <w:rsid w:val="004E73C2"/>
    <w:rsid w:val="004E79F6"/>
    <w:rsid w:val="004F0B7C"/>
    <w:rsid w:val="004F1BFE"/>
    <w:rsid w:val="004F1CD7"/>
    <w:rsid w:val="004F388C"/>
    <w:rsid w:val="004F5CF5"/>
    <w:rsid w:val="00501120"/>
    <w:rsid w:val="0050173B"/>
    <w:rsid w:val="00501E1E"/>
    <w:rsid w:val="00502109"/>
    <w:rsid w:val="00502A3B"/>
    <w:rsid w:val="00502DF9"/>
    <w:rsid w:val="00504A75"/>
    <w:rsid w:val="00504DF5"/>
    <w:rsid w:val="005056B5"/>
    <w:rsid w:val="00505708"/>
    <w:rsid w:val="00505CF1"/>
    <w:rsid w:val="00507029"/>
    <w:rsid w:val="0050772C"/>
    <w:rsid w:val="00512010"/>
    <w:rsid w:val="005122ED"/>
    <w:rsid w:val="00512B8C"/>
    <w:rsid w:val="005153C0"/>
    <w:rsid w:val="005160F6"/>
    <w:rsid w:val="005200EC"/>
    <w:rsid w:val="00520B18"/>
    <w:rsid w:val="00521355"/>
    <w:rsid w:val="00521DA1"/>
    <w:rsid w:val="00522C0D"/>
    <w:rsid w:val="00524673"/>
    <w:rsid w:val="00524737"/>
    <w:rsid w:val="00525AF6"/>
    <w:rsid w:val="00525F05"/>
    <w:rsid w:val="005307E4"/>
    <w:rsid w:val="00530DED"/>
    <w:rsid w:val="0053381B"/>
    <w:rsid w:val="00534984"/>
    <w:rsid w:val="00534B52"/>
    <w:rsid w:val="00535479"/>
    <w:rsid w:val="005365A5"/>
    <w:rsid w:val="00536626"/>
    <w:rsid w:val="00536789"/>
    <w:rsid w:val="00536849"/>
    <w:rsid w:val="005370B0"/>
    <w:rsid w:val="00540E44"/>
    <w:rsid w:val="0054143D"/>
    <w:rsid w:val="005505D3"/>
    <w:rsid w:val="00550781"/>
    <w:rsid w:val="005507D3"/>
    <w:rsid w:val="00550A0F"/>
    <w:rsid w:val="00550B8A"/>
    <w:rsid w:val="00552351"/>
    <w:rsid w:val="00552C3E"/>
    <w:rsid w:val="00553557"/>
    <w:rsid w:val="00553973"/>
    <w:rsid w:val="005552C9"/>
    <w:rsid w:val="00555FDD"/>
    <w:rsid w:val="005614E0"/>
    <w:rsid w:val="0056385E"/>
    <w:rsid w:val="00564047"/>
    <w:rsid w:val="00564E89"/>
    <w:rsid w:val="00565309"/>
    <w:rsid w:val="00567FAA"/>
    <w:rsid w:val="0057046D"/>
    <w:rsid w:val="005705B3"/>
    <w:rsid w:val="0057066A"/>
    <w:rsid w:val="00570A38"/>
    <w:rsid w:val="00571CF3"/>
    <w:rsid w:val="00572372"/>
    <w:rsid w:val="005725DC"/>
    <w:rsid w:val="00573BA2"/>
    <w:rsid w:val="00577025"/>
    <w:rsid w:val="00577059"/>
    <w:rsid w:val="00582D5B"/>
    <w:rsid w:val="0058317B"/>
    <w:rsid w:val="005846EA"/>
    <w:rsid w:val="00584D76"/>
    <w:rsid w:val="0059077E"/>
    <w:rsid w:val="00591319"/>
    <w:rsid w:val="00591574"/>
    <w:rsid w:val="00594A91"/>
    <w:rsid w:val="005975D7"/>
    <w:rsid w:val="00597EF9"/>
    <w:rsid w:val="005A13D7"/>
    <w:rsid w:val="005A1B44"/>
    <w:rsid w:val="005A2159"/>
    <w:rsid w:val="005A4794"/>
    <w:rsid w:val="005A47A8"/>
    <w:rsid w:val="005A5833"/>
    <w:rsid w:val="005A6118"/>
    <w:rsid w:val="005A614D"/>
    <w:rsid w:val="005A6723"/>
    <w:rsid w:val="005A6C73"/>
    <w:rsid w:val="005A7060"/>
    <w:rsid w:val="005A7DF4"/>
    <w:rsid w:val="005B0671"/>
    <w:rsid w:val="005B0BA9"/>
    <w:rsid w:val="005B1017"/>
    <w:rsid w:val="005B1059"/>
    <w:rsid w:val="005B33D9"/>
    <w:rsid w:val="005B3876"/>
    <w:rsid w:val="005B4445"/>
    <w:rsid w:val="005B5B39"/>
    <w:rsid w:val="005B686C"/>
    <w:rsid w:val="005B68A4"/>
    <w:rsid w:val="005B6B68"/>
    <w:rsid w:val="005B6B9A"/>
    <w:rsid w:val="005B6DF1"/>
    <w:rsid w:val="005B6F1A"/>
    <w:rsid w:val="005B6F4D"/>
    <w:rsid w:val="005C1DAB"/>
    <w:rsid w:val="005C1E93"/>
    <w:rsid w:val="005C345E"/>
    <w:rsid w:val="005C4306"/>
    <w:rsid w:val="005C4AFE"/>
    <w:rsid w:val="005C6F23"/>
    <w:rsid w:val="005C7175"/>
    <w:rsid w:val="005D0684"/>
    <w:rsid w:val="005D144A"/>
    <w:rsid w:val="005D4EFB"/>
    <w:rsid w:val="005D6A69"/>
    <w:rsid w:val="005D6CDB"/>
    <w:rsid w:val="005E01D9"/>
    <w:rsid w:val="005E03D0"/>
    <w:rsid w:val="005E2466"/>
    <w:rsid w:val="005E2566"/>
    <w:rsid w:val="005E286C"/>
    <w:rsid w:val="005E57A1"/>
    <w:rsid w:val="005E5961"/>
    <w:rsid w:val="005F0179"/>
    <w:rsid w:val="005F2CEF"/>
    <w:rsid w:val="005F3A6E"/>
    <w:rsid w:val="005F43C1"/>
    <w:rsid w:val="005F47F5"/>
    <w:rsid w:val="005F5B12"/>
    <w:rsid w:val="00600AE0"/>
    <w:rsid w:val="00600B4F"/>
    <w:rsid w:val="006023AA"/>
    <w:rsid w:val="006024F5"/>
    <w:rsid w:val="00603085"/>
    <w:rsid w:val="00604AEA"/>
    <w:rsid w:val="006051B6"/>
    <w:rsid w:val="0060520A"/>
    <w:rsid w:val="006060BB"/>
    <w:rsid w:val="00606C3B"/>
    <w:rsid w:val="00607325"/>
    <w:rsid w:val="00607AF0"/>
    <w:rsid w:val="00607D95"/>
    <w:rsid w:val="006105DA"/>
    <w:rsid w:val="00611755"/>
    <w:rsid w:val="006118E7"/>
    <w:rsid w:val="00611D7F"/>
    <w:rsid w:val="006123B0"/>
    <w:rsid w:val="00613CD8"/>
    <w:rsid w:val="00613E8D"/>
    <w:rsid w:val="0061753F"/>
    <w:rsid w:val="00617F82"/>
    <w:rsid w:val="006201DD"/>
    <w:rsid w:val="00620F59"/>
    <w:rsid w:val="00621F6C"/>
    <w:rsid w:val="00622981"/>
    <w:rsid w:val="00623FC5"/>
    <w:rsid w:val="00624261"/>
    <w:rsid w:val="00624862"/>
    <w:rsid w:val="006253D8"/>
    <w:rsid w:val="00626C65"/>
    <w:rsid w:val="006273E4"/>
    <w:rsid w:val="00627E79"/>
    <w:rsid w:val="0063044D"/>
    <w:rsid w:val="00630506"/>
    <w:rsid w:val="006306DB"/>
    <w:rsid w:val="00631109"/>
    <w:rsid w:val="00631F21"/>
    <w:rsid w:val="006324C3"/>
    <w:rsid w:val="00632609"/>
    <w:rsid w:val="00635464"/>
    <w:rsid w:val="006362ED"/>
    <w:rsid w:val="006364C4"/>
    <w:rsid w:val="006400FA"/>
    <w:rsid w:val="00642D0C"/>
    <w:rsid w:val="00642F82"/>
    <w:rsid w:val="006430C3"/>
    <w:rsid w:val="0064346D"/>
    <w:rsid w:val="00643B56"/>
    <w:rsid w:val="00645CCF"/>
    <w:rsid w:val="00646419"/>
    <w:rsid w:val="0064709A"/>
    <w:rsid w:val="00647189"/>
    <w:rsid w:val="00647707"/>
    <w:rsid w:val="00647F1C"/>
    <w:rsid w:val="00650D48"/>
    <w:rsid w:val="00651F6A"/>
    <w:rsid w:val="00652ADC"/>
    <w:rsid w:val="00653AF8"/>
    <w:rsid w:val="00654168"/>
    <w:rsid w:val="00654C63"/>
    <w:rsid w:val="00655B3F"/>
    <w:rsid w:val="00656BC2"/>
    <w:rsid w:val="00657007"/>
    <w:rsid w:val="0065707B"/>
    <w:rsid w:val="006574EF"/>
    <w:rsid w:val="00660340"/>
    <w:rsid w:val="006604F8"/>
    <w:rsid w:val="00663F22"/>
    <w:rsid w:val="006669E6"/>
    <w:rsid w:val="00667861"/>
    <w:rsid w:val="00672A23"/>
    <w:rsid w:val="00673414"/>
    <w:rsid w:val="00675024"/>
    <w:rsid w:val="006765B0"/>
    <w:rsid w:val="00677294"/>
    <w:rsid w:val="00677669"/>
    <w:rsid w:val="00681055"/>
    <w:rsid w:val="00681474"/>
    <w:rsid w:val="00681A9B"/>
    <w:rsid w:val="00681C6E"/>
    <w:rsid w:val="006831F3"/>
    <w:rsid w:val="006841EE"/>
    <w:rsid w:val="006844B5"/>
    <w:rsid w:val="00685BC9"/>
    <w:rsid w:val="00686A62"/>
    <w:rsid w:val="00686C4C"/>
    <w:rsid w:val="00686F0E"/>
    <w:rsid w:val="00690551"/>
    <w:rsid w:val="00690819"/>
    <w:rsid w:val="00690CFA"/>
    <w:rsid w:val="0069136A"/>
    <w:rsid w:val="006923CC"/>
    <w:rsid w:val="006924D6"/>
    <w:rsid w:val="0069333C"/>
    <w:rsid w:val="006939F5"/>
    <w:rsid w:val="00694157"/>
    <w:rsid w:val="0069455F"/>
    <w:rsid w:val="006959F6"/>
    <w:rsid w:val="006A10E4"/>
    <w:rsid w:val="006A124E"/>
    <w:rsid w:val="006A1605"/>
    <w:rsid w:val="006A1BF8"/>
    <w:rsid w:val="006A2E68"/>
    <w:rsid w:val="006A31C1"/>
    <w:rsid w:val="006A4B06"/>
    <w:rsid w:val="006A502F"/>
    <w:rsid w:val="006A6DA3"/>
    <w:rsid w:val="006A6F04"/>
    <w:rsid w:val="006A7116"/>
    <w:rsid w:val="006A74D1"/>
    <w:rsid w:val="006B0F50"/>
    <w:rsid w:val="006B14F3"/>
    <w:rsid w:val="006B204C"/>
    <w:rsid w:val="006B284C"/>
    <w:rsid w:val="006B36E8"/>
    <w:rsid w:val="006B4C6F"/>
    <w:rsid w:val="006B4F9C"/>
    <w:rsid w:val="006B65F7"/>
    <w:rsid w:val="006B6792"/>
    <w:rsid w:val="006C1124"/>
    <w:rsid w:val="006C1394"/>
    <w:rsid w:val="006C1E44"/>
    <w:rsid w:val="006C22BA"/>
    <w:rsid w:val="006C2563"/>
    <w:rsid w:val="006C2A06"/>
    <w:rsid w:val="006C2CA7"/>
    <w:rsid w:val="006C319B"/>
    <w:rsid w:val="006C3562"/>
    <w:rsid w:val="006C4372"/>
    <w:rsid w:val="006C50B1"/>
    <w:rsid w:val="006C54F0"/>
    <w:rsid w:val="006C6A55"/>
    <w:rsid w:val="006C70C6"/>
    <w:rsid w:val="006C7CB9"/>
    <w:rsid w:val="006D26C9"/>
    <w:rsid w:val="006D2E3D"/>
    <w:rsid w:val="006D2E53"/>
    <w:rsid w:val="006D3C8C"/>
    <w:rsid w:val="006D46FF"/>
    <w:rsid w:val="006D6B53"/>
    <w:rsid w:val="006D6E79"/>
    <w:rsid w:val="006E0445"/>
    <w:rsid w:val="006E0900"/>
    <w:rsid w:val="006E0FA2"/>
    <w:rsid w:val="006E2CBA"/>
    <w:rsid w:val="006E2D50"/>
    <w:rsid w:val="006E3196"/>
    <w:rsid w:val="006E3CAA"/>
    <w:rsid w:val="006E4BF8"/>
    <w:rsid w:val="006E56F1"/>
    <w:rsid w:val="006E6057"/>
    <w:rsid w:val="006E710F"/>
    <w:rsid w:val="006E76A0"/>
    <w:rsid w:val="006E791D"/>
    <w:rsid w:val="006F0234"/>
    <w:rsid w:val="006F0A73"/>
    <w:rsid w:val="006F0B4E"/>
    <w:rsid w:val="006F0B6D"/>
    <w:rsid w:val="006F0F37"/>
    <w:rsid w:val="006F169E"/>
    <w:rsid w:val="006F3128"/>
    <w:rsid w:val="006F3A64"/>
    <w:rsid w:val="006F43E6"/>
    <w:rsid w:val="006F4721"/>
    <w:rsid w:val="006F492D"/>
    <w:rsid w:val="006F6625"/>
    <w:rsid w:val="006F6876"/>
    <w:rsid w:val="00701451"/>
    <w:rsid w:val="00702A6E"/>
    <w:rsid w:val="00703C9A"/>
    <w:rsid w:val="007063D0"/>
    <w:rsid w:val="00711A85"/>
    <w:rsid w:val="00712FA4"/>
    <w:rsid w:val="00715BBB"/>
    <w:rsid w:val="007160FE"/>
    <w:rsid w:val="007218D9"/>
    <w:rsid w:val="00721CDF"/>
    <w:rsid w:val="0072260F"/>
    <w:rsid w:val="00722B24"/>
    <w:rsid w:val="00722BA2"/>
    <w:rsid w:val="00722D9C"/>
    <w:rsid w:val="0072312A"/>
    <w:rsid w:val="00723193"/>
    <w:rsid w:val="00724C8C"/>
    <w:rsid w:val="0072646D"/>
    <w:rsid w:val="007267F0"/>
    <w:rsid w:val="00726824"/>
    <w:rsid w:val="0072685C"/>
    <w:rsid w:val="00727F91"/>
    <w:rsid w:val="00730E89"/>
    <w:rsid w:val="00731BA9"/>
    <w:rsid w:val="00731CAB"/>
    <w:rsid w:val="00732F26"/>
    <w:rsid w:val="00733548"/>
    <w:rsid w:val="00735683"/>
    <w:rsid w:val="00736762"/>
    <w:rsid w:val="00737E0B"/>
    <w:rsid w:val="00740852"/>
    <w:rsid w:val="00741322"/>
    <w:rsid w:val="00742706"/>
    <w:rsid w:val="00742D5E"/>
    <w:rsid w:val="00744CB8"/>
    <w:rsid w:val="00745AFF"/>
    <w:rsid w:val="007469E1"/>
    <w:rsid w:val="00747731"/>
    <w:rsid w:val="00750411"/>
    <w:rsid w:val="00750C67"/>
    <w:rsid w:val="00750ECC"/>
    <w:rsid w:val="0075345E"/>
    <w:rsid w:val="00753BB6"/>
    <w:rsid w:val="00757474"/>
    <w:rsid w:val="007608EA"/>
    <w:rsid w:val="00760CC6"/>
    <w:rsid w:val="00761D01"/>
    <w:rsid w:val="00762778"/>
    <w:rsid w:val="007627E7"/>
    <w:rsid w:val="00762D78"/>
    <w:rsid w:val="00763778"/>
    <w:rsid w:val="00763D15"/>
    <w:rsid w:val="007641BF"/>
    <w:rsid w:val="0076563A"/>
    <w:rsid w:val="00766572"/>
    <w:rsid w:val="00770C59"/>
    <w:rsid w:val="007713A8"/>
    <w:rsid w:val="00771660"/>
    <w:rsid w:val="00773EEB"/>
    <w:rsid w:val="00773F85"/>
    <w:rsid w:val="00774605"/>
    <w:rsid w:val="00774A2B"/>
    <w:rsid w:val="00774A4A"/>
    <w:rsid w:val="00776D04"/>
    <w:rsid w:val="00780238"/>
    <w:rsid w:val="00780933"/>
    <w:rsid w:val="00780DB4"/>
    <w:rsid w:val="00782262"/>
    <w:rsid w:val="00782396"/>
    <w:rsid w:val="00784A21"/>
    <w:rsid w:val="0078527C"/>
    <w:rsid w:val="00786F8D"/>
    <w:rsid w:val="0078750D"/>
    <w:rsid w:val="00787AF1"/>
    <w:rsid w:val="00791041"/>
    <w:rsid w:val="00791E59"/>
    <w:rsid w:val="00794AE8"/>
    <w:rsid w:val="0079636B"/>
    <w:rsid w:val="007966DD"/>
    <w:rsid w:val="0079724B"/>
    <w:rsid w:val="007A14FF"/>
    <w:rsid w:val="007A1568"/>
    <w:rsid w:val="007A2DBD"/>
    <w:rsid w:val="007A4E98"/>
    <w:rsid w:val="007A54BA"/>
    <w:rsid w:val="007A587B"/>
    <w:rsid w:val="007A675E"/>
    <w:rsid w:val="007B0239"/>
    <w:rsid w:val="007B0BE0"/>
    <w:rsid w:val="007B1B21"/>
    <w:rsid w:val="007B43CF"/>
    <w:rsid w:val="007B47F2"/>
    <w:rsid w:val="007B4979"/>
    <w:rsid w:val="007B4D0E"/>
    <w:rsid w:val="007B533B"/>
    <w:rsid w:val="007B63A4"/>
    <w:rsid w:val="007B75DE"/>
    <w:rsid w:val="007B79E4"/>
    <w:rsid w:val="007B7DBF"/>
    <w:rsid w:val="007B7EDC"/>
    <w:rsid w:val="007C0057"/>
    <w:rsid w:val="007C0BAE"/>
    <w:rsid w:val="007C181F"/>
    <w:rsid w:val="007C2B69"/>
    <w:rsid w:val="007C5590"/>
    <w:rsid w:val="007C57D5"/>
    <w:rsid w:val="007C5900"/>
    <w:rsid w:val="007C5DFB"/>
    <w:rsid w:val="007C692F"/>
    <w:rsid w:val="007D1940"/>
    <w:rsid w:val="007D2336"/>
    <w:rsid w:val="007D4671"/>
    <w:rsid w:val="007D62E0"/>
    <w:rsid w:val="007D6AAB"/>
    <w:rsid w:val="007D6FE9"/>
    <w:rsid w:val="007D70F3"/>
    <w:rsid w:val="007E0D30"/>
    <w:rsid w:val="007E1D1B"/>
    <w:rsid w:val="007E2756"/>
    <w:rsid w:val="007E36D4"/>
    <w:rsid w:val="007E5352"/>
    <w:rsid w:val="007E570F"/>
    <w:rsid w:val="007E5D7F"/>
    <w:rsid w:val="007F14D9"/>
    <w:rsid w:val="007F183C"/>
    <w:rsid w:val="007F2E12"/>
    <w:rsid w:val="007F34A2"/>
    <w:rsid w:val="007F39F2"/>
    <w:rsid w:val="007F469A"/>
    <w:rsid w:val="007F4F76"/>
    <w:rsid w:val="007F656B"/>
    <w:rsid w:val="007F69D6"/>
    <w:rsid w:val="00800E10"/>
    <w:rsid w:val="008011C6"/>
    <w:rsid w:val="0080157A"/>
    <w:rsid w:val="00801EB7"/>
    <w:rsid w:val="00802AB7"/>
    <w:rsid w:val="00803125"/>
    <w:rsid w:val="00803258"/>
    <w:rsid w:val="00804D33"/>
    <w:rsid w:val="00804FA5"/>
    <w:rsid w:val="00806CDA"/>
    <w:rsid w:val="00806DC8"/>
    <w:rsid w:val="00807010"/>
    <w:rsid w:val="008105F5"/>
    <w:rsid w:val="00810C16"/>
    <w:rsid w:val="00811740"/>
    <w:rsid w:val="00812A0A"/>
    <w:rsid w:val="00812D26"/>
    <w:rsid w:val="00813652"/>
    <w:rsid w:val="008140B2"/>
    <w:rsid w:val="00817370"/>
    <w:rsid w:val="00820B6E"/>
    <w:rsid w:val="00820DF5"/>
    <w:rsid w:val="00821236"/>
    <w:rsid w:val="008212E9"/>
    <w:rsid w:val="008214B4"/>
    <w:rsid w:val="00821B6A"/>
    <w:rsid w:val="00823D84"/>
    <w:rsid w:val="00824D67"/>
    <w:rsid w:val="008250A6"/>
    <w:rsid w:val="00825608"/>
    <w:rsid w:val="008256C4"/>
    <w:rsid w:val="008259EE"/>
    <w:rsid w:val="00825C97"/>
    <w:rsid w:val="0082672A"/>
    <w:rsid w:val="0083099B"/>
    <w:rsid w:val="008347F9"/>
    <w:rsid w:val="0083590D"/>
    <w:rsid w:val="008369CB"/>
    <w:rsid w:val="00837913"/>
    <w:rsid w:val="00837D28"/>
    <w:rsid w:val="00837EB1"/>
    <w:rsid w:val="008405B0"/>
    <w:rsid w:val="008410A7"/>
    <w:rsid w:val="00841588"/>
    <w:rsid w:val="00842332"/>
    <w:rsid w:val="008423A5"/>
    <w:rsid w:val="008435DF"/>
    <w:rsid w:val="0084546D"/>
    <w:rsid w:val="00845B38"/>
    <w:rsid w:val="008468BE"/>
    <w:rsid w:val="00846903"/>
    <w:rsid w:val="00847D27"/>
    <w:rsid w:val="008509BC"/>
    <w:rsid w:val="008517B1"/>
    <w:rsid w:val="00851B47"/>
    <w:rsid w:val="00855ACD"/>
    <w:rsid w:val="00860667"/>
    <w:rsid w:val="00860919"/>
    <w:rsid w:val="00860E9A"/>
    <w:rsid w:val="008613DF"/>
    <w:rsid w:val="008618DB"/>
    <w:rsid w:val="00862A8A"/>
    <w:rsid w:val="008646EF"/>
    <w:rsid w:val="00865066"/>
    <w:rsid w:val="00865C24"/>
    <w:rsid w:val="008707D8"/>
    <w:rsid w:val="0087141B"/>
    <w:rsid w:val="00871FD5"/>
    <w:rsid w:val="00872E1C"/>
    <w:rsid w:val="0087324A"/>
    <w:rsid w:val="00874079"/>
    <w:rsid w:val="00874C4F"/>
    <w:rsid w:val="00875EBC"/>
    <w:rsid w:val="008761F9"/>
    <w:rsid w:val="00876E86"/>
    <w:rsid w:val="00877987"/>
    <w:rsid w:val="0088054C"/>
    <w:rsid w:val="0088059A"/>
    <w:rsid w:val="00880A00"/>
    <w:rsid w:val="00883FDC"/>
    <w:rsid w:val="00884832"/>
    <w:rsid w:val="00885805"/>
    <w:rsid w:val="008867AD"/>
    <w:rsid w:val="00886856"/>
    <w:rsid w:val="00892E53"/>
    <w:rsid w:val="00896E2C"/>
    <w:rsid w:val="00897E10"/>
    <w:rsid w:val="008A007D"/>
    <w:rsid w:val="008A1133"/>
    <w:rsid w:val="008A175E"/>
    <w:rsid w:val="008A6153"/>
    <w:rsid w:val="008A65D3"/>
    <w:rsid w:val="008A742F"/>
    <w:rsid w:val="008A7D94"/>
    <w:rsid w:val="008B07B4"/>
    <w:rsid w:val="008B0E3C"/>
    <w:rsid w:val="008B1663"/>
    <w:rsid w:val="008B1958"/>
    <w:rsid w:val="008B1B5C"/>
    <w:rsid w:val="008B20C8"/>
    <w:rsid w:val="008B5CE9"/>
    <w:rsid w:val="008B79F4"/>
    <w:rsid w:val="008C092F"/>
    <w:rsid w:val="008C1137"/>
    <w:rsid w:val="008C24CE"/>
    <w:rsid w:val="008C269A"/>
    <w:rsid w:val="008C50E4"/>
    <w:rsid w:val="008C673A"/>
    <w:rsid w:val="008C776A"/>
    <w:rsid w:val="008C792B"/>
    <w:rsid w:val="008D0F59"/>
    <w:rsid w:val="008D258C"/>
    <w:rsid w:val="008D35FD"/>
    <w:rsid w:val="008D362A"/>
    <w:rsid w:val="008D4570"/>
    <w:rsid w:val="008D470F"/>
    <w:rsid w:val="008D4F16"/>
    <w:rsid w:val="008E01D5"/>
    <w:rsid w:val="008E0AB5"/>
    <w:rsid w:val="008E0B71"/>
    <w:rsid w:val="008E1C27"/>
    <w:rsid w:val="008E1F4E"/>
    <w:rsid w:val="008E250B"/>
    <w:rsid w:val="008E26D6"/>
    <w:rsid w:val="008E2854"/>
    <w:rsid w:val="008E3002"/>
    <w:rsid w:val="008E3944"/>
    <w:rsid w:val="008E4E4F"/>
    <w:rsid w:val="008E7EAB"/>
    <w:rsid w:val="008F05D7"/>
    <w:rsid w:val="008F0B7F"/>
    <w:rsid w:val="008F104C"/>
    <w:rsid w:val="008F11F1"/>
    <w:rsid w:val="008F1B95"/>
    <w:rsid w:val="008F1FB7"/>
    <w:rsid w:val="008F1FC8"/>
    <w:rsid w:val="008F31E8"/>
    <w:rsid w:val="008F35AF"/>
    <w:rsid w:val="008F60A3"/>
    <w:rsid w:val="008F6519"/>
    <w:rsid w:val="008F72C7"/>
    <w:rsid w:val="00900D7D"/>
    <w:rsid w:val="009019A6"/>
    <w:rsid w:val="009038A2"/>
    <w:rsid w:val="00903BD9"/>
    <w:rsid w:val="00904123"/>
    <w:rsid w:val="00904547"/>
    <w:rsid w:val="009048A3"/>
    <w:rsid w:val="00905647"/>
    <w:rsid w:val="0090690F"/>
    <w:rsid w:val="0090699F"/>
    <w:rsid w:val="00906C01"/>
    <w:rsid w:val="0090733C"/>
    <w:rsid w:val="00907F13"/>
    <w:rsid w:val="00910289"/>
    <w:rsid w:val="00912BBF"/>
    <w:rsid w:val="00912EF4"/>
    <w:rsid w:val="009136A5"/>
    <w:rsid w:val="009154DE"/>
    <w:rsid w:val="009154F9"/>
    <w:rsid w:val="00915A02"/>
    <w:rsid w:val="00915C70"/>
    <w:rsid w:val="00921B93"/>
    <w:rsid w:val="0092285D"/>
    <w:rsid w:val="00922DA7"/>
    <w:rsid w:val="009247B2"/>
    <w:rsid w:val="00924918"/>
    <w:rsid w:val="00926F25"/>
    <w:rsid w:val="009274F2"/>
    <w:rsid w:val="00927A2E"/>
    <w:rsid w:val="00933640"/>
    <w:rsid w:val="0093473C"/>
    <w:rsid w:val="009349B4"/>
    <w:rsid w:val="00934F54"/>
    <w:rsid w:val="00936B91"/>
    <w:rsid w:val="00936DDB"/>
    <w:rsid w:val="00936E53"/>
    <w:rsid w:val="0093732A"/>
    <w:rsid w:val="009410D1"/>
    <w:rsid w:val="009422D6"/>
    <w:rsid w:val="00942AB5"/>
    <w:rsid w:val="00942C37"/>
    <w:rsid w:val="00942E5A"/>
    <w:rsid w:val="00943597"/>
    <w:rsid w:val="00943939"/>
    <w:rsid w:val="00943E78"/>
    <w:rsid w:val="00943FA2"/>
    <w:rsid w:val="00946CD0"/>
    <w:rsid w:val="00946E82"/>
    <w:rsid w:val="00947502"/>
    <w:rsid w:val="00947818"/>
    <w:rsid w:val="00951790"/>
    <w:rsid w:val="0095376D"/>
    <w:rsid w:val="00953C51"/>
    <w:rsid w:val="00953CF5"/>
    <w:rsid w:val="00953E69"/>
    <w:rsid w:val="00954757"/>
    <w:rsid w:val="00954DAF"/>
    <w:rsid w:val="009555BE"/>
    <w:rsid w:val="00956238"/>
    <w:rsid w:val="00957984"/>
    <w:rsid w:val="00960F4E"/>
    <w:rsid w:val="00963D8B"/>
    <w:rsid w:val="00963EB4"/>
    <w:rsid w:val="0096457A"/>
    <w:rsid w:val="00964A6D"/>
    <w:rsid w:val="00964E50"/>
    <w:rsid w:val="00965ADC"/>
    <w:rsid w:val="00966396"/>
    <w:rsid w:val="009678C2"/>
    <w:rsid w:val="00970F03"/>
    <w:rsid w:val="00971E7C"/>
    <w:rsid w:val="00973C98"/>
    <w:rsid w:val="00973D6F"/>
    <w:rsid w:val="0097494F"/>
    <w:rsid w:val="00975135"/>
    <w:rsid w:val="00975660"/>
    <w:rsid w:val="009768A1"/>
    <w:rsid w:val="009779F1"/>
    <w:rsid w:val="00977A8E"/>
    <w:rsid w:val="009802F1"/>
    <w:rsid w:val="00981BA4"/>
    <w:rsid w:val="009911EC"/>
    <w:rsid w:val="00993029"/>
    <w:rsid w:val="009951C9"/>
    <w:rsid w:val="00996DED"/>
    <w:rsid w:val="00997E06"/>
    <w:rsid w:val="009A06E1"/>
    <w:rsid w:val="009A163D"/>
    <w:rsid w:val="009A1D05"/>
    <w:rsid w:val="009A2823"/>
    <w:rsid w:val="009A3F97"/>
    <w:rsid w:val="009A4505"/>
    <w:rsid w:val="009A4844"/>
    <w:rsid w:val="009A5944"/>
    <w:rsid w:val="009A75AE"/>
    <w:rsid w:val="009B0740"/>
    <w:rsid w:val="009B110D"/>
    <w:rsid w:val="009B15E4"/>
    <w:rsid w:val="009B1C1D"/>
    <w:rsid w:val="009B2D32"/>
    <w:rsid w:val="009B3E2A"/>
    <w:rsid w:val="009B57A7"/>
    <w:rsid w:val="009B5ACA"/>
    <w:rsid w:val="009B666E"/>
    <w:rsid w:val="009B72D7"/>
    <w:rsid w:val="009C026C"/>
    <w:rsid w:val="009C0862"/>
    <w:rsid w:val="009C2F95"/>
    <w:rsid w:val="009C345C"/>
    <w:rsid w:val="009C4E09"/>
    <w:rsid w:val="009C51D1"/>
    <w:rsid w:val="009C689E"/>
    <w:rsid w:val="009D0170"/>
    <w:rsid w:val="009D0509"/>
    <w:rsid w:val="009D13C3"/>
    <w:rsid w:val="009D184A"/>
    <w:rsid w:val="009D197C"/>
    <w:rsid w:val="009D1E83"/>
    <w:rsid w:val="009D2661"/>
    <w:rsid w:val="009D4009"/>
    <w:rsid w:val="009D4B25"/>
    <w:rsid w:val="009D4C0D"/>
    <w:rsid w:val="009D4E9A"/>
    <w:rsid w:val="009D6E57"/>
    <w:rsid w:val="009D7196"/>
    <w:rsid w:val="009E3225"/>
    <w:rsid w:val="009E329E"/>
    <w:rsid w:val="009E32F0"/>
    <w:rsid w:val="009E361B"/>
    <w:rsid w:val="009E3EB4"/>
    <w:rsid w:val="009E55DC"/>
    <w:rsid w:val="009E5ED9"/>
    <w:rsid w:val="009E5EFA"/>
    <w:rsid w:val="009E612B"/>
    <w:rsid w:val="009E6319"/>
    <w:rsid w:val="009E659F"/>
    <w:rsid w:val="009E70E4"/>
    <w:rsid w:val="009F170A"/>
    <w:rsid w:val="009F1E06"/>
    <w:rsid w:val="009F372B"/>
    <w:rsid w:val="009F3CC4"/>
    <w:rsid w:val="009F4F2A"/>
    <w:rsid w:val="009F614B"/>
    <w:rsid w:val="009F63B2"/>
    <w:rsid w:val="00A002FC"/>
    <w:rsid w:val="00A01623"/>
    <w:rsid w:val="00A020DF"/>
    <w:rsid w:val="00A04459"/>
    <w:rsid w:val="00A04C61"/>
    <w:rsid w:val="00A06346"/>
    <w:rsid w:val="00A06460"/>
    <w:rsid w:val="00A06B6B"/>
    <w:rsid w:val="00A11306"/>
    <w:rsid w:val="00A113D7"/>
    <w:rsid w:val="00A11473"/>
    <w:rsid w:val="00A12DC7"/>
    <w:rsid w:val="00A12FE6"/>
    <w:rsid w:val="00A14134"/>
    <w:rsid w:val="00A15071"/>
    <w:rsid w:val="00A161E6"/>
    <w:rsid w:val="00A16314"/>
    <w:rsid w:val="00A16FD2"/>
    <w:rsid w:val="00A17F53"/>
    <w:rsid w:val="00A2270C"/>
    <w:rsid w:val="00A230C9"/>
    <w:rsid w:val="00A240DF"/>
    <w:rsid w:val="00A26CF0"/>
    <w:rsid w:val="00A27744"/>
    <w:rsid w:val="00A300D4"/>
    <w:rsid w:val="00A318DB"/>
    <w:rsid w:val="00A323DE"/>
    <w:rsid w:val="00A32906"/>
    <w:rsid w:val="00A33C5D"/>
    <w:rsid w:val="00A37AD6"/>
    <w:rsid w:val="00A40054"/>
    <w:rsid w:val="00A40060"/>
    <w:rsid w:val="00A42B0B"/>
    <w:rsid w:val="00A431B5"/>
    <w:rsid w:val="00A4507B"/>
    <w:rsid w:val="00A454F2"/>
    <w:rsid w:val="00A45C41"/>
    <w:rsid w:val="00A46354"/>
    <w:rsid w:val="00A47298"/>
    <w:rsid w:val="00A50EC3"/>
    <w:rsid w:val="00A51109"/>
    <w:rsid w:val="00A515C3"/>
    <w:rsid w:val="00A51B84"/>
    <w:rsid w:val="00A527F8"/>
    <w:rsid w:val="00A52D0E"/>
    <w:rsid w:val="00A52F5D"/>
    <w:rsid w:val="00A53253"/>
    <w:rsid w:val="00A53373"/>
    <w:rsid w:val="00A557C7"/>
    <w:rsid w:val="00A56291"/>
    <w:rsid w:val="00A56946"/>
    <w:rsid w:val="00A60F51"/>
    <w:rsid w:val="00A61A47"/>
    <w:rsid w:val="00A626FE"/>
    <w:rsid w:val="00A63000"/>
    <w:rsid w:val="00A63297"/>
    <w:rsid w:val="00A633EF"/>
    <w:rsid w:val="00A63A9D"/>
    <w:rsid w:val="00A6484A"/>
    <w:rsid w:val="00A66292"/>
    <w:rsid w:val="00A672D1"/>
    <w:rsid w:val="00A676F1"/>
    <w:rsid w:val="00A705D8"/>
    <w:rsid w:val="00A70F1C"/>
    <w:rsid w:val="00A7307E"/>
    <w:rsid w:val="00A735E4"/>
    <w:rsid w:val="00A73617"/>
    <w:rsid w:val="00A75B1E"/>
    <w:rsid w:val="00A7719C"/>
    <w:rsid w:val="00A77393"/>
    <w:rsid w:val="00A81399"/>
    <w:rsid w:val="00A813EB"/>
    <w:rsid w:val="00A81669"/>
    <w:rsid w:val="00A81B18"/>
    <w:rsid w:val="00A827E1"/>
    <w:rsid w:val="00A835F7"/>
    <w:rsid w:val="00A83F2C"/>
    <w:rsid w:val="00A8577B"/>
    <w:rsid w:val="00A85D01"/>
    <w:rsid w:val="00A85ED7"/>
    <w:rsid w:val="00A90A10"/>
    <w:rsid w:val="00A90D67"/>
    <w:rsid w:val="00A918C6"/>
    <w:rsid w:val="00A91952"/>
    <w:rsid w:val="00A92C46"/>
    <w:rsid w:val="00A9442E"/>
    <w:rsid w:val="00AA01BF"/>
    <w:rsid w:val="00AA1670"/>
    <w:rsid w:val="00AA1865"/>
    <w:rsid w:val="00AA2347"/>
    <w:rsid w:val="00AA2722"/>
    <w:rsid w:val="00AA479E"/>
    <w:rsid w:val="00AA4B40"/>
    <w:rsid w:val="00AA5F77"/>
    <w:rsid w:val="00AA6B06"/>
    <w:rsid w:val="00AA6BC5"/>
    <w:rsid w:val="00AB004A"/>
    <w:rsid w:val="00AB0F86"/>
    <w:rsid w:val="00AB1865"/>
    <w:rsid w:val="00AB19C4"/>
    <w:rsid w:val="00AB3689"/>
    <w:rsid w:val="00AB46DC"/>
    <w:rsid w:val="00AB475B"/>
    <w:rsid w:val="00AB4B28"/>
    <w:rsid w:val="00AB5285"/>
    <w:rsid w:val="00AB545E"/>
    <w:rsid w:val="00AB5987"/>
    <w:rsid w:val="00AB5F24"/>
    <w:rsid w:val="00AB6CB5"/>
    <w:rsid w:val="00AC18EA"/>
    <w:rsid w:val="00AC24F5"/>
    <w:rsid w:val="00AC3B93"/>
    <w:rsid w:val="00AC4D95"/>
    <w:rsid w:val="00AC7151"/>
    <w:rsid w:val="00AC7ECF"/>
    <w:rsid w:val="00AD02F1"/>
    <w:rsid w:val="00AD1246"/>
    <w:rsid w:val="00AD1495"/>
    <w:rsid w:val="00AD34F3"/>
    <w:rsid w:val="00AD3DB8"/>
    <w:rsid w:val="00AD40B2"/>
    <w:rsid w:val="00AD4A5E"/>
    <w:rsid w:val="00AD4FF5"/>
    <w:rsid w:val="00AD6274"/>
    <w:rsid w:val="00AE06B2"/>
    <w:rsid w:val="00AE160D"/>
    <w:rsid w:val="00AE168D"/>
    <w:rsid w:val="00AE20F9"/>
    <w:rsid w:val="00AE3662"/>
    <w:rsid w:val="00AE3C35"/>
    <w:rsid w:val="00AF141C"/>
    <w:rsid w:val="00AF193C"/>
    <w:rsid w:val="00AF27E6"/>
    <w:rsid w:val="00AF2CEC"/>
    <w:rsid w:val="00AF4547"/>
    <w:rsid w:val="00AF4D88"/>
    <w:rsid w:val="00AF5960"/>
    <w:rsid w:val="00AF7B99"/>
    <w:rsid w:val="00AF7F49"/>
    <w:rsid w:val="00B0095F"/>
    <w:rsid w:val="00B00F47"/>
    <w:rsid w:val="00B01671"/>
    <w:rsid w:val="00B02C80"/>
    <w:rsid w:val="00B02D6F"/>
    <w:rsid w:val="00B0434E"/>
    <w:rsid w:val="00B04465"/>
    <w:rsid w:val="00B05448"/>
    <w:rsid w:val="00B05A02"/>
    <w:rsid w:val="00B072C8"/>
    <w:rsid w:val="00B073B0"/>
    <w:rsid w:val="00B11083"/>
    <w:rsid w:val="00B11B06"/>
    <w:rsid w:val="00B11E21"/>
    <w:rsid w:val="00B1204C"/>
    <w:rsid w:val="00B12C6C"/>
    <w:rsid w:val="00B13216"/>
    <w:rsid w:val="00B14255"/>
    <w:rsid w:val="00B144B5"/>
    <w:rsid w:val="00B15636"/>
    <w:rsid w:val="00B163E4"/>
    <w:rsid w:val="00B174EE"/>
    <w:rsid w:val="00B2077E"/>
    <w:rsid w:val="00B2187D"/>
    <w:rsid w:val="00B21AE0"/>
    <w:rsid w:val="00B21DA0"/>
    <w:rsid w:val="00B21EE3"/>
    <w:rsid w:val="00B230E8"/>
    <w:rsid w:val="00B2380D"/>
    <w:rsid w:val="00B24D80"/>
    <w:rsid w:val="00B26633"/>
    <w:rsid w:val="00B27D47"/>
    <w:rsid w:val="00B303A0"/>
    <w:rsid w:val="00B30E2C"/>
    <w:rsid w:val="00B3222C"/>
    <w:rsid w:val="00B35D21"/>
    <w:rsid w:val="00B40366"/>
    <w:rsid w:val="00B40AB6"/>
    <w:rsid w:val="00B4196F"/>
    <w:rsid w:val="00B41C24"/>
    <w:rsid w:val="00B434B1"/>
    <w:rsid w:val="00B448B3"/>
    <w:rsid w:val="00B44DC0"/>
    <w:rsid w:val="00B466FD"/>
    <w:rsid w:val="00B46851"/>
    <w:rsid w:val="00B472E5"/>
    <w:rsid w:val="00B477E6"/>
    <w:rsid w:val="00B4797A"/>
    <w:rsid w:val="00B47A78"/>
    <w:rsid w:val="00B47C6A"/>
    <w:rsid w:val="00B50560"/>
    <w:rsid w:val="00B51820"/>
    <w:rsid w:val="00B53DC6"/>
    <w:rsid w:val="00B53F27"/>
    <w:rsid w:val="00B552D9"/>
    <w:rsid w:val="00B55C4E"/>
    <w:rsid w:val="00B60E45"/>
    <w:rsid w:val="00B615FE"/>
    <w:rsid w:val="00B62913"/>
    <w:rsid w:val="00B62A71"/>
    <w:rsid w:val="00B62AEC"/>
    <w:rsid w:val="00B6329C"/>
    <w:rsid w:val="00B63AE8"/>
    <w:rsid w:val="00B64CF6"/>
    <w:rsid w:val="00B64EC3"/>
    <w:rsid w:val="00B65D8C"/>
    <w:rsid w:val="00B65DF0"/>
    <w:rsid w:val="00B666AB"/>
    <w:rsid w:val="00B67129"/>
    <w:rsid w:val="00B67D0C"/>
    <w:rsid w:val="00B70D37"/>
    <w:rsid w:val="00B70D84"/>
    <w:rsid w:val="00B72046"/>
    <w:rsid w:val="00B72181"/>
    <w:rsid w:val="00B72689"/>
    <w:rsid w:val="00B73C42"/>
    <w:rsid w:val="00B75440"/>
    <w:rsid w:val="00B765B3"/>
    <w:rsid w:val="00B772F9"/>
    <w:rsid w:val="00B77C9C"/>
    <w:rsid w:val="00B82D16"/>
    <w:rsid w:val="00B83CD1"/>
    <w:rsid w:val="00B85232"/>
    <w:rsid w:val="00B858B2"/>
    <w:rsid w:val="00B85AFF"/>
    <w:rsid w:val="00B902B5"/>
    <w:rsid w:val="00B92D0C"/>
    <w:rsid w:val="00B92FA3"/>
    <w:rsid w:val="00B931CF"/>
    <w:rsid w:val="00B938B1"/>
    <w:rsid w:val="00B9391F"/>
    <w:rsid w:val="00B9465B"/>
    <w:rsid w:val="00B94BD1"/>
    <w:rsid w:val="00B95F9B"/>
    <w:rsid w:val="00B96870"/>
    <w:rsid w:val="00B96F11"/>
    <w:rsid w:val="00BA0076"/>
    <w:rsid w:val="00BA3646"/>
    <w:rsid w:val="00BA42AA"/>
    <w:rsid w:val="00BA6362"/>
    <w:rsid w:val="00BA6715"/>
    <w:rsid w:val="00BA6D4E"/>
    <w:rsid w:val="00BB0E6D"/>
    <w:rsid w:val="00BB21DD"/>
    <w:rsid w:val="00BB26A8"/>
    <w:rsid w:val="00BB2A0F"/>
    <w:rsid w:val="00BB2D7C"/>
    <w:rsid w:val="00BB363D"/>
    <w:rsid w:val="00BB5CCD"/>
    <w:rsid w:val="00BB6148"/>
    <w:rsid w:val="00BB68A0"/>
    <w:rsid w:val="00BB7228"/>
    <w:rsid w:val="00BB72F6"/>
    <w:rsid w:val="00BB75F8"/>
    <w:rsid w:val="00BB7801"/>
    <w:rsid w:val="00BB7E9B"/>
    <w:rsid w:val="00BC227E"/>
    <w:rsid w:val="00BC2BFD"/>
    <w:rsid w:val="00BC361D"/>
    <w:rsid w:val="00BC4BB3"/>
    <w:rsid w:val="00BC5635"/>
    <w:rsid w:val="00BC7398"/>
    <w:rsid w:val="00BD0EAD"/>
    <w:rsid w:val="00BD1B63"/>
    <w:rsid w:val="00BD27B7"/>
    <w:rsid w:val="00BD3346"/>
    <w:rsid w:val="00BD341B"/>
    <w:rsid w:val="00BD4731"/>
    <w:rsid w:val="00BD5663"/>
    <w:rsid w:val="00BD6AD6"/>
    <w:rsid w:val="00BD6CDE"/>
    <w:rsid w:val="00BD7313"/>
    <w:rsid w:val="00BD7B9C"/>
    <w:rsid w:val="00BD7DB8"/>
    <w:rsid w:val="00BE09AB"/>
    <w:rsid w:val="00BE1289"/>
    <w:rsid w:val="00BE2115"/>
    <w:rsid w:val="00BE269B"/>
    <w:rsid w:val="00BE3432"/>
    <w:rsid w:val="00BE3647"/>
    <w:rsid w:val="00BE365D"/>
    <w:rsid w:val="00BE38E2"/>
    <w:rsid w:val="00BE4867"/>
    <w:rsid w:val="00BE5DB3"/>
    <w:rsid w:val="00BE6E33"/>
    <w:rsid w:val="00BE7062"/>
    <w:rsid w:val="00BE790F"/>
    <w:rsid w:val="00BF0DC3"/>
    <w:rsid w:val="00BF1B76"/>
    <w:rsid w:val="00BF2512"/>
    <w:rsid w:val="00BF3A73"/>
    <w:rsid w:val="00BF7453"/>
    <w:rsid w:val="00C007DE"/>
    <w:rsid w:val="00C00B6B"/>
    <w:rsid w:val="00C00CB7"/>
    <w:rsid w:val="00C0245E"/>
    <w:rsid w:val="00C031FE"/>
    <w:rsid w:val="00C047FE"/>
    <w:rsid w:val="00C0495F"/>
    <w:rsid w:val="00C058E7"/>
    <w:rsid w:val="00C05C1F"/>
    <w:rsid w:val="00C0713F"/>
    <w:rsid w:val="00C10FE3"/>
    <w:rsid w:val="00C11567"/>
    <w:rsid w:val="00C11B6A"/>
    <w:rsid w:val="00C1285E"/>
    <w:rsid w:val="00C1318A"/>
    <w:rsid w:val="00C13335"/>
    <w:rsid w:val="00C13A0D"/>
    <w:rsid w:val="00C14808"/>
    <w:rsid w:val="00C1481F"/>
    <w:rsid w:val="00C14E1F"/>
    <w:rsid w:val="00C14E34"/>
    <w:rsid w:val="00C1629C"/>
    <w:rsid w:val="00C17275"/>
    <w:rsid w:val="00C176DE"/>
    <w:rsid w:val="00C20090"/>
    <w:rsid w:val="00C2074F"/>
    <w:rsid w:val="00C20945"/>
    <w:rsid w:val="00C21007"/>
    <w:rsid w:val="00C21157"/>
    <w:rsid w:val="00C211B3"/>
    <w:rsid w:val="00C214C4"/>
    <w:rsid w:val="00C24A76"/>
    <w:rsid w:val="00C24BA0"/>
    <w:rsid w:val="00C25B88"/>
    <w:rsid w:val="00C26ED6"/>
    <w:rsid w:val="00C2755B"/>
    <w:rsid w:val="00C27675"/>
    <w:rsid w:val="00C27DA0"/>
    <w:rsid w:val="00C30E9D"/>
    <w:rsid w:val="00C319C3"/>
    <w:rsid w:val="00C31B7F"/>
    <w:rsid w:val="00C33570"/>
    <w:rsid w:val="00C344BC"/>
    <w:rsid w:val="00C35DF4"/>
    <w:rsid w:val="00C35FDE"/>
    <w:rsid w:val="00C37919"/>
    <w:rsid w:val="00C44CDE"/>
    <w:rsid w:val="00C455C1"/>
    <w:rsid w:val="00C459C3"/>
    <w:rsid w:val="00C45DBC"/>
    <w:rsid w:val="00C46323"/>
    <w:rsid w:val="00C46DC1"/>
    <w:rsid w:val="00C50090"/>
    <w:rsid w:val="00C50A0C"/>
    <w:rsid w:val="00C50A45"/>
    <w:rsid w:val="00C51850"/>
    <w:rsid w:val="00C526B9"/>
    <w:rsid w:val="00C5296F"/>
    <w:rsid w:val="00C53784"/>
    <w:rsid w:val="00C5417A"/>
    <w:rsid w:val="00C54870"/>
    <w:rsid w:val="00C5671C"/>
    <w:rsid w:val="00C5755B"/>
    <w:rsid w:val="00C57681"/>
    <w:rsid w:val="00C60049"/>
    <w:rsid w:val="00C61042"/>
    <w:rsid w:val="00C615D0"/>
    <w:rsid w:val="00C61991"/>
    <w:rsid w:val="00C62E81"/>
    <w:rsid w:val="00C65782"/>
    <w:rsid w:val="00C65852"/>
    <w:rsid w:val="00C65BEE"/>
    <w:rsid w:val="00C6746C"/>
    <w:rsid w:val="00C70833"/>
    <w:rsid w:val="00C7219C"/>
    <w:rsid w:val="00C7255D"/>
    <w:rsid w:val="00C729F6"/>
    <w:rsid w:val="00C730C2"/>
    <w:rsid w:val="00C731B6"/>
    <w:rsid w:val="00C731D5"/>
    <w:rsid w:val="00C737B3"/>
    <w:rsid w:val="00C738BB"/>
    <w:rsid w:val="00C73E9C"/>
    <w:rsid w:val="00C74F71"/>
    <w:rsid w:val="00C766F4"/>
    <w:rsid w:val="00C76DDB"/>
    <w:rsid w:val="00C77229"/>
    <w:rsid w:val="00C80287"/>
    <w:rsid w:val="00C811B3"/>
    <w:rsid w:val="00C81B7F"/>
    <w:rsid w:val="00C81BD9"/>
    <w:rsid w:val="00C81DDF"/>
    <w:rsid w:val="00C83309"/>
    <w:rsid w:val="00C834E7"/>
    <w:rsid w:val="00C8406D"/>
    <w:rsid w:val="00C842A5"/>
    <w:rsid w:val="00C86D82"/>
    <w:rsid w:val="00C904CA"/>
    <w:rsid w:val="00C9113B"/>
    <w:rsid w:val="00C9376F"/>
    <w:rsid w:val="00C93E93"/>
    <w:rsid w:val="00C942E6"/>
    <w:rsid w:val="00C948A0"/>
    <w:rsid w:val="00C94C8E"/>
    <w:rsid w:val="00C954F1"/>
    <w:rsid w:val="00C95D4C"/>
    <w:rsid w:val="00C96500"/>
    <w:rsid w:val="00C9688A"/>
    <w:rsid w:val="00CA0223"/>
    <w:rsid w:val="00CA0455"/>
    <w:rsid w:val="00CA070A"/>
    <w:rsid w:val="00CA1377"/>
    <w:rsid w:val="00CA1EEE"/>
    <w:rsid w:val="00CA2CE6"/>
    <w:rsid w:val="00CA308A"/>
    <w:rsid w:val="00CA399F"/>
    <w:rsid w:val="00CA4512"/>
    <w:rsid w:val="00CA75DC"/>
    <w:rsid w:val="00CB5BF9"/>
    <w:rsid w:val="00CB6729"/>
    <w:rsid w:val="00CB7D2E"/>
    <w:rsid w:val="00CC1A11"/>
    <w:rsid w:val="00CC275B"/>
    <w:rsid w:val="00CC4E51"/>
    <w:rsid w:val="00CC5347"/>
    <w:rsid w:val="00CC5409"/>
    <w:rsid w:val="00CC5D18"/>
    <w:rsid w:val="00CC638B"/>
    <w:rsid w:val="00CC6602"/>
    <w:rsid w:val="00CC6B6D"/>
    <w:rsid w:val="00CC7F17"/>
    <w:rsid w:val="00CC7F94"/>
    <w:rsid w:val="00CD0471"/>
    <w:rsid w:val="00CD05CB"/>
    <w:rsid w:val="00CD1299"/>
    <w:rsid w:val="00CD1526"/>
    <w:rsid w:val="00CD1E5E"/>
    <w:rsid w:val="00CD3090"/>
    <w:rsid w:val="00CD376A"/>
    <w:rsid w:val="00CD477B"/>
    <w:rsid w:val="00CD51DF"/>
    <w:rsid w:val="00CD5CEB"/>
    <w:rsid w:val="00CD63AD"/>
    <w:rsid w:val="00CD66F2"/>
    <w:rsid w:val="00CD7F22"/>
    <w:rsid w:val="00CE0CD0"/>
    <w:rsid w:val="00CE1164"/>
    <w:rsid w:val="00CE14D5"/>
    <w:rsid w:val="00CE18DB"/>
    <w:rsid w:val="00CE1D85"/>
    <w:rsid w:val="00CE2F4A"/>
    <w:rsid w:val="00CE3C3C"/>
    <w:rsid w:val="00CE475E"/>
    <w:rsid w:val="00CE555E"/>
    <w:rsid w:val="00CE6CA1"/>
    <w:rsid w:val="00CE7FD4"/>
    <w:rsid w:val="00CF0505"/>
    <w:rsid w:val="00CF05B5"/>
    <w:rsid w:val="00CF474E"/>
    <w:rsid w:val="00CF4D07"/>
    <w:rsid w:val="00CF500D"/>
    <w:rsid w:val="00CF5819"/>
    <w:rsid w:val="00CF677F"/>
    <w:rsid w:val="00CF7E85"/>
    <w:rsid w:val="00CF7EBD"/>
    <w:rsid w:val="00D002B2"/>
    <w:rsid w:val="00D009F0"/>
    <w:rsid w:val="00D01C64"/>
    <w:rsid w:val="00D03009"/>
    <w:rsid w:val="00D03D13"/>
    <w:rsid w:val="00D04D5E"/>
    <w:rsid w:val="00D05205"/>
    <w:rsid w:val="00D071F5"/>
    <w:rsid w:val="00D110B2"/>
    <w:rsid w:val="00D112D7"/>
    <w:rsid w:val="00D11CBC"/>
    <w:rsid w:val="00D11E1E"/>
    <w:rsid w:val="00D12C22"/>
    <w:rsid w:val="00D13675"/>
    <w:rsid w:val="00D1554E"/>
    <w:rsid w:val="00D15A22"/>
    <w:rsid w:val="00D20D71"/>
    <w:rsid w:val="00D20D85"/>
    <w:rsid w:val="00D2167D"/>
    <w:rsid w:val="00D2299C"/>
    <w:rsid w:val="00D233A5"/>
    <w:rsid w:val="00D23F95"/>
    <w:rsid w:val="00D241EC"/>
    <w:rsid w:val="00D248C7"/>
    <w:rsid w:val="00D268F6"/>
    <w:rsid w:val="00D2790E"/>
    <w:rsid w:val="00D31EA8"/>
    <w:rsid w:val="00D32287"/>
    <w:rsid w:val="00D32901"/>
    <w:rsid w:val="00D33F70"/>
    <w:rsid w:val="00D33F8B"/>
    <w:rsid w:val="00D353FC"/>
    <w:rsid w:val="00D40946"/>
    <w:rsid w:val="00D41046"/>
    <w:rsid w:val="00D421DA"/>
    <w:rsid w:val="00D4603D"/>
    <w:rsid w:val="00D46A44"/>
    <w:rsid w:val="00D478E4"/>
    <w:rsid w:val="00D47B6E"/>
    <w:rsid w:val="00D47CA2"/>
    <w:rsid w:val="00D512A3"/>
    <w:rsid w:val="00D53808"/>
    <w:rsid w:val="00D53C7B"/>
    <w:rsid w:val="00D54060"/>
    <w:rsid w:val="00D541F4"/>
    <w:rsid w:val="00D55E09"/>
    <w:rsid w:val="00D60D69"/>
    <w:rsid w:val="00D61318"/>
    <w:rsid w:val="00D61DB0"/>
    <w:rsid w:val="00D620E6"/>
    <w:rsid w:val="00D6262F"/>
    <w:rsid w:val="00D6348A"/>
    <w:rsid w:val="00D63887"/>
    <w:rsid w:val="00D6433B"/>
    <w:rsid w:val="00D64A4B"/>
    <w:rsid w:val="00D65094"/>
    <w:rsid w:val="00D6528A"/>
    <w:rsid w:val="00D66010"/>
    <w:rsid w:val="00D676B6"/>
    <w:rsid w:val="00D67844"/>
    <w:rsid w:val="00D70CB2"/>
    <w:rsid w:val="00D70E0F"/>
    <w:rsid w:val="00D71CF7"/>
    <w:rsid w:val="00D73966"/>
    <w:rsid w:val="00D73E41"/>
    <w:rsid w:val="00D7405A"/>
    <w:rsid w:val="00D747D6"/>
    <w:rsid w:val="00D75513"/>
    <w:rsid w:val="00D76BA5"/>
    <w:rsid w:val="00D77C4F"/>
    <w:rsid w:val="00D80589"/>
    <w:rsid w:val="00D80657"/>
    <w:rsid w:val="00D8071F"/>
    <w:rsid w:val="00D80F36"/>
    <w:rsid w:val="00D81B49"/>
    <w:rsid w:val="00D81CA4"/>
    <w:rsid w:val="00D8269C"/>
    <w:rsid w:val="00D842EF"/>
    <w:rsid w:val="00D85407"/>
    <w:rsid w:val="00D869E0"/>
    <w:rsid w:val="00D86AEE"/>
    <w:rsid w:val="00D86F4D"/>
    <w:rsid w:val="00D87AFC"/>
    <w:rsid w:val="00D92D0B"/>
    <w:rsid w:val="00D932C8"/>
    <w:rsid w:val="00D9602F"/>
    <w:rsid w:val="00D96C43"/>
    <w:rsid w:val="00DA044A"/>
    <w:rsid w:val="00DA0CCE"/>
    <w:rsid w:val="00DA2248"/>
    <w:rsid w:val="00DA2944"/>
    <w:rsid w:val="00DA29F3"/>
    <w:rsid w:val="00DA2A51"/>
    <w:rsid w:val="00DA4417"/>
    <w:rsid w:val="00DA56E0"/>
    <w:rsid w:val="00DA6182"/>
    <w:rsid w:val="00DA63EB"/>
    <w:rsid w:val="00DA69F6"/>
    <w:rsid w:val="00DA6DCA"/>
    <w:rsid w:val="00DA6E74"/>
    <w:rsid w:val="00DA750E"/>
    <w:rsid w:val="00DB02BC"/>
    <w:rsid w:val="00DB03C3"/>
    <w:rsid w:val="00DB0769"/>
    <w:rsid w:val="00DB09F9"/>
    <w:rsid w:val="00DB1025"/>
    <w:rsid w:val="00DB26B5"/>
    <w:rsid w:val="00DB29ED"/>
    <w:rsid w:val="00DB42E8"/>
    <w:rsid w:val="00DB530C"/>
    <w:rsid w:val="00DB5693"/>
    <w:rsid w:val="00DB634A"/>
    <w:rsid w:val="00DC0C65"/>
    <w:rsid w:val="00DC0C74"/>
    <w:rsid w:val="00DC16A5"/>
    <w:rsid w:val="00DC27E4"/>
    <w:rsid w:val="00DC2F48"/>
    <w:rsid w:val="00DC2FB2"/>
    <w:rsid w:val="00DC37CD"/>
    <w:rsid w:val="00DC48D2"/>
    <w:rsid w:val="00DC4E3D"/>
    <w:rsid w:val="00DC6335"/>
    <w:rsid w:val="00DC67FA"/>
    <w:rsid w:val="00DC6B12"/>
    <w:rsid w:val="00DC6B61"/>
    <w:rsid w:val="00DC6F14"/>
    <w:rsid w:val="00DC74DB"/>
    <w:rsid w:val="00DC755D"/>
    <w:rsid w:val="00DD09EC"/>
    <w:rsid w:val="00DD1456"/>
    <w:rsid w:val="00DD2617"/>
    <w:rsid w:val="00DD27F2"/>
    <w:rsid w:val="00DD31F9"/>
    <w:rsid w:val="00DD4FD2"/>
    <w:rsid w:val="00DD52CB"/>
    <w:rsid w:val="00DD59BE"/>
    <w:rsid w:val="00DD613C"/>
    <w:rsid w:val="00DD67BC"/>
    <w:rsid w:val="00DD6839"/>
    <w:rsid w:val="00DE1A92"/>
    <w:rsid w:val="00DE1F64"/>
    <w:rsid w:val="00DF00AB"/>
    <w:rsid w:val="00DF1048"/>
    <w:rsid w:val="00DF1BBF"/>
    <w:rsid w:val="00DF1D24"/>
    <w:rsid w:val="00DF202A"/>
    <w:rsid w:val="00DF2ECE"/>
    <w:rsid w:val="00DF3D1A"/>
    <w:rsid w:val="00DF577A"/>
    <w:rsid w:val="00DF6A86"/>
    <w:rsid w:val="00DF6A98"/>
    <w:rsid w:val="00DF6D51"/>
    <w:rsid w:val="00DF7378"/>
    <w:rsid w:val="00DF7843"/>
    <w:rsid w:val="00DF7851"/>
    <w:rsid w:val="00DF7C1D"/>
    <w:rsid w:val="00E01996"/>
    <w:rsid w:val="00E02DBD"/>
    <w:rsid w:val="00E0315F"/>
    <w:rsid w:val="00E03189"/>
    <w:rsid w:val="00E03BE8"/>
    <w:rsid w:val="00E043D5"/>
    <w:rsid w:val="00E043F8"/>
    <w:rsid w:val="00E04434"/>
    <w:rsid w:val="00E06770"/>
    <w:rsid w:val="00E10163"/>
    <w:rsid w:val="00E11AA3"/>
    <w:rsid w:val="00E11E3C"/>
    <w:rsid w:val="00E1308F"/>
    <w:rsid w:val="00E13DE0"/>
    <w:rsid w:val="00E14246"/>
    <w:rsid w:val="00E15E8C"/>
    <w:rsid w:val="00E16711"/>
    <w:rsid w:val="00E1732E"/>
    <w:rsid w:val="00E207FF"/>
    <w:rsid w:val="00E214CA"/>
    <w:rsid w:val="00E21984"/>
    <w:rsid w:val="00E24CED"/>
    <w:rsid w:val="00E2537F"/>
    <w:rsid w:val="00E25B2D"/>
    <w:rsid w:val="00E26450"/>
    <w:rsid w:val="00E27E81"/>
    <w:rsid w:val="00E30F63"/>
    <w:rsid w:val="00E313F9"/>
    <w:rsid w:val="00E31F92"/>
    <w:rsid w:val="00E32555"/>
    <w:rsid w:val="00E33002"/>
    <w:rsid w:val="00E334E6"/>
    <w:rsid w:val="00E3384F"/>
    <w:rsid w:val="00E3415A"/>
    <w:rsid w:val="00E35A3D"/>
    <w:rsid w:val="00E36900"/>
    <w:rsid w:val="00E36DA5"/>
    <w:rsid w:val="00E378D3"/>
    <w:rsid w:val="00E37C4B"/>
    <w:rsid w:val="00E37C4E"/>
    <w:rsid w:val="00E412B5"/>
    <w:rsid w:val="00E41D0C"/>
    <w:rsid w:val="00E42994"/>
    <w:rsid w:val="00E4425F"/>
    <w:rsid w:val="00E444B0"/>
    <w:rsid w:val="00E4451D"/>
    <w:rsid w:val="00E45D0B"/>
    <w:rsid w:val="00E46CA1"/>
    <w:rsid w:val="00E50652"/>
    <w:rsid w:val="00E50CE7"/>
    <w:rsid w:val="00E514EE"/>
    <w:rsid w:val="00E51D7E"/>
    <w:rsid w:val="00E53D9B"/>
    <w:rsid w:val="00E53E99"/>
    <w:rsid w:val="00E5621E"/>
    <w:rsid w:val="00E56406"/>
    <w:rsid w:val="00E56450"/>
    <w:rsid w:val="00E57587"/>
    <w:rsid w:val="00E57CE3"/>
    <w:rsid w:val="00E631D3"/>
    <w:rsid w:val="00E65EE5"/>
    <w:rsid w:val="00E666CB"/>
    <w:rsid w:val="00E672D3"/>
    <w:rsid w:val="00E67DAB"/>
    <w:rsid w:val="00E70DC7"/>
    <w:rsid w:val="00E7196E"/>
    <w:rsid w:val="00E71A72"/>
    <w:rsid w:val="00E728B4"/>
    <w:rsid w:val="00E73FCB"/>
    <w:rsid w:val="00E74102"/>
    <w:rsid w:val="00E74C97"/>
    <w:rsid w:val="00E75067"/>
    <w:rsid w:val="00E80989"/>
    <w:rsid w:val="00E82324"/>
    <w:rsid w:val="00E8243D"/>
    <w:rsid w:val="00E82C26"/>
    <w:rsid w:val="00E82D60"/>
    <w:rsid w:val="00E84D0D"/>
    <w:rsid w:val="00E87E24"/>
    <w:rsid w:val="00E904E0"/>
    <w:rsid w:val="00E91550"/>
    <w:rsid w:val="00E91AAE"/>
    <w:rsid w:val="00E94704"/>
    <w:rsid w:val="00E96551"/>
    <w:rsid w:val="00E96C92"/>
    <w:rsid w:val="00E97C09"/>
    <w:rsid w:val="00EA19D9"/>
    <w:rsid w:val="00EA2FF5"/>
    <w:rsid w:val="00EA5EED"/>
    <w:rsid w:val="00EA6660"/>
    <w:rsid w:val="00EA720A"/>
    <w:rsid w:val="00EA7667"/>
    <w:rsid w:val="00EA7957"/>
    <w:rsid w:val="00EA7AAD"/>
    <w:rsid w:val="00EB0237"/>
    <w:rsid w:val="00EB0A24"/>
    <w:rsid w:val="00EB0C73"/>
    <w:rsid w:val="00EB0CEA"/>
    <w:rsid w:val="00EB0E82"/>
    <w:rsid w:val="00EB0FED"/>
    <w:rsid w:val="00EB2581"/>
    <w:rsid w:val="00EB396F"/>
    <w:rsid w:val="00EB3F5A"/>
    <w:rsid w:val="00EB5D02"/>
    <w:rsid w:val="00EB6A39"/>
    <w:rsid w:val="00EB7670"/>
    <w:rsid w:val="00EC0603"/>
    <w:rsid w:val="00EC070A"/>
    <w:rsid w:val="00EC191B"/>
    <w:rsid w:val="00EC24D8"/>
    <w:rsid w:val="00EC2BD7"/>
    <w:rsid w:val="00EC308C"/>
    <w:rsid w:val="00EC3452"/>
    <w:rsid w:val="00EC5CE3"/>
    <w:rsid w:val="00EC748A"/>
    <w:rsid w:val="00EC7516"/>
    <w:rsid w:val="00EC7B54"/>
    <w:rsid w:val="00EC7C35"/>
    <w:rsid w:val="00ED078E"/>
    <w:rsid w:val="00ED080A"/>
    <w:rsid w:val="00ED16F5"/>
    <w:rsid w:val="00ED18EA"/>
    <w:rsid w:val="00ED346E"/>
    <w:rsid w:val="00ED3491"/>
    <w:rsid w:val="00ED3C79"/>
    <w:rsid w:val="00ED56C0"/>
    <w:rsid w:val="00ED6A5F"/>
    <w:rsid w:val="00ED6BEA"/>
    <w:rsid w:val="00ED71B8"/>
    <w:rsid w:val="00ED7675"/>
    <w:rsid w:val="00ED7AB5"/>
    <w:rsid w:val="00EE328F"/>
    <w:rsid w:val="00EE4632"/>
    <w:rsid w:val="00EE560D"/>
    <w:rsid w:val="00EE78D3"/>
    <w:rsid w:val="00EF19CF"/>
    <w:rsid w:val="00EF2919"/>
    <w:rsid w:val="00EF34E2"/>
    <w:rsid w:val="00EF4EE2"/>
    <w:rsid w:val="00EF51A6"/>
    <w:rsid w:val="00EF7DF8"/>
    <w:rsid w:val="00EF7FDC"/>
    <w:rsid w:val="00F0000C"/>
    <w:rsid w:val="00F0075A"/>
    <w:rsid w:val="00F00CDA"/>
    <w:rsid w:val="00F01D7F"/>
    <w:rsid w:val="00F026F3"/>
    <w:rsid w:val="00F03A84"/>
    <w:rsid w:val="00F100CB"/>
    <w:rsid w:val="00F109AF"/>
    <w:rsid w:val="00F12F7A"/>
    <w:rsid w:val="00F14A52"/>
    <w:rsid w:val="00F14BD1"/>
    <w:rsid w:val="00F15015"/>
    <w:rsid w:val="00F15FB4"/>
    <w:rsid w:val="00F17143"/>
    <w:rsid w:val="00F2015A"/>
    <w:rsid w:val="00F207B1"/>
    <w:rsid w:val="00F20881"/>
    <w:rsid w:val="00F23E51"/>
    <w:rsid w:val="00F2408F"/>
    <w:rsid w:val="00F26818"/>
    <w:rsid w:val="00F270B7"/>
    <w:rsid w:val="00F276C7"/>
    <w:rsid w:val="00F33733"/>
    <w:rsid w:val="00F33AD7"/>
    <w:rsid w:val="00F33FF6"/>
    <w:rsid w:val="00F34CA2"/>
    <w:rsid w:val="00F35534"/>
    <w:rsid w:val="00F360FF"/>
    <w:rsid w:val="00F377D7"/>
    <w:rsid w:val="00F4005B"/>
    <w:rsid w:val="00F40D15"/>
    <w:rsid w:val="00F42876"/>
    <w:rsid w:val="00F453D9"/>
    <w:rsid w:val="00F45DA0"/>
    <w:rsid w:val="00F46A07"/>
    <w:rsid w:val="00F474E0"/>
    <w:rsid w:val="00F539B8"/>
    <w:rsid w:val="00F55596"/>
    <w:rsid w:val="00F55BA4"/>
    <w:rsid w:val="00F56F56"/>
    <w:rsid w:val="00F57AE8"/>
    <w:rsid w:val="00F60993"/>
    <w:rsid w:val="00F61BA2"/>
    <w:rsid w:val="00F6230D"/>
    <w:rsid w:val="00F6456D"/>
    <w:rsid w:val="00F66BF2"/>
    <w:rsid w:val="00F670A6"/>
    <w:rsid w:val="00F67C3E"/>
    <w:rsid w:val="00F7266F"/>
    <w:rsid w:val="00F72BCD"/>
    <w:rsid w:val="00F732BD"/>
    <w:rsid w:val="00F74558"/>
    <w:rsid w:val="00F747F5"/>
    <w:rsid w:val="00F75C1A"/>
    <w:rsid w:val="00F76A65"/>
    <w:rsid w:val="00F81C02"/>
    <w:rsid w:val="00F81C88"/>
    <w:rsid w:val="00F832C1"/>
    <w:rsid w:val="00F83D28"/>
    <w:rsid w:val="00F86704"/>
    <w:rsid w:val="00F902B4"/>
    <w:rsid w:val="00F9061A"/>
    <w:rsid w:val="00F92D6E"/>
    <w:rsid w:val="00F942E0"/>
    <w:rsid w:val="00F946F4"/>
    <w:rsid w:val="00F94D77"/>
    <w:rsid w:val="00F95D2C"/>
    <w:rsid w:val="00F95E07"/>
    <w:rsid w:val="00F96497"/>
    <w:rsid w:val="00F96C37"/>
    <w:rsid w:val="00F976CB"/>
    <w:rsid w:val="00FA0114"/>
    <w:rsid w:val="00FA096F"/>
    <w:rsid w:val="00FA2AFA"/>
    <w:rsid w:val="00FA2BDE"/>
    <w:rsid w:val="00FA3A84"/>
    <w:rsid w:val="00FA3A8D"/>
    <w:rsid w:val="00FA542A"/>
    <w:rsid w:val="00FA56B4"/>
    <w:rsid w:val="00FA5F65"/>
    <w:rsid w:val="00FA65AB"/>
    <w:rsid w:val="00FB1EF5"/>
    <w:rsid w:val="00FB23C3"/>
    <w:rsid w:val="00FB2957"/>
    <w:rsid w:val="00FB560A"/>
    <w:rsid w:val="00FB601B"/>
    <w:rsid w:val="00FB6F0E"/>
    <w:rsid w:val="00FB777B"/>
    <w:rsid w:val="00FB7880"/>
    <w:rsid w:val="00FC03E4"/>
    <w:rsid w:val="00FC093B"/>
    <w:rsid w:val="00FC0A51"/>
    <w:rsid w:val="00FC2C58"/>
    <w:rsid w:val="00FC35C6"/>
    <w:rsid w:val="00FC3DA9"/>
    <w:rsid w:val="00FC482F"/>
    <w:rsid w:val="00FC4C8D"/>
    <w:rsid w:val="00FC520C"/>
    <w:rsid w:val="00FC59D3"/>
    <w:rsid w:val="00FC5CC4"/>
    <w:rsid w:val="00FC6043"/>
    <w:rsid w:val="00FC7777"/>
    <w:rsid w:val="00FD044C"/>
    <w:rsid w:val="00FD0755"/>
    <w:rsid w:val="00FD0D7A"/>
    <w:rsid w:val="00FD139B"/>
    <w:rsid w:val="00FD1782"/>
    <w:rsid w:val="00FD37EE"/>
    <w:rsid w:val="00FD3B2A"/>
    <w:rsid w:val="00FD6161"/>
    <w:rsid w:val="00FD65FC"/>
    <w:rsid w:val="00FD7192"/>
    <w:rsid w:val="00FE0156"/>
    <w:rsid w:val="00FE056C"/>
    <w:rsid w:val="00FE1D27"/>
    <w:rsid w:val="00FE6448"/>
    <w:rsid w:val="00FE64EA"/>
    <w:rsid w:val="00FE6A61"/>
    <w:rsid w:val="00FE6F74"/>
    <w:rsid w:val="00FF3BE4"/>
    <w:rsid w:val="00FF488D"/>
    <w:rsid w:val="00FF4BFC"/>
    <w:rsid w:val="00FF6B60"/>
    <w:rsid w:val="00FF7802"/>
    <w:rsid w:val="00FF7963"/>
    <w:rsid w:val="00FF7BA0"/>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50602"/>
  <w15:docId w15:val="{F8A6AD85-87C1-4254-9802-2307F34F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2"/>
  </w:style>
  <w:style w:type="paragraph" w:styleId="Heading1">
    <w:name w:val="heading 1"/>
    <w:basedOn w:val="Normal"/>
    <w:next w:val="Normal"/>
    <w:link w:val="Heading1Char"/>
    <w:uiPriority w:val="9"/>
    <w:qFormat/>
    <w:rsid w:val="009C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C0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086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C08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0862"/>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9C0862"/>
    <w:rPr>
      <w:color w:val="0563C1" w:themeColor="hyperlink"/>
      <w:u w:val="single"/>
    </w:rPr>
  </w:style>
  <w:style w:type="paragraph" w:styleId="Title">
    <w:name w:val="Title"/>
    <w:basedOn w:val="Normal"/>
    <w:link w:val="TitleChar"/>
    <w:uiPriority w:val="10"/>
    <w:qFormat/>
    <w:rsid w:val="009C0862"/>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9C0862"/>
    <w:rPr>
      <w:rFonts w:eastAsia="Times New Roman" w:cs="Times New Roman"/>
      <w:b/>
      <w:sz w:val="28"/>
      <w:szCs w:val="28"/>
    </w:rPr>
  </w:style>
  <w:style w:type="paragraph" w:styleId="BodyText">
    <w:name w:val="Body Text"/>
    <w:basedOn w:val="Normal"/>
    <w:link w:val="BodyTextChar"/>
    <w:rsid w:val="009C0862"/>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9C0862"/>
    <w:rPr>
      <w:rFonts w:eastAsia="Times New Roman" w:cs="Times New Roman"/>
      <w:b/>
      <w:bCs/>
      <w:szCs w:val="24"/>
      <w:lang w:val="en-GB"/>
    </w:rPr>
  </w:style>
  <w:style w:type="paragraph" w:styleId="TOC1">
    <w:name w:val="toc 1"/>
    <w:basedOn w:val="Normal"/>
    <w:next w:val="Normal"/>
    <w:autoRedefine/>
    <w:uiPriority w:val="39"/>
    <w:unhideWhenUsed/>
    <w:qFormat/>
    <w:rsid w:val="009C0862"/>
    <w:pPr>
      <w:tabs>
        <w:tab w:val="left" w:pos="426"/>
        <w:tab w:val="right" w:leader="dot" w:pos="8902"/>
      </w:tabs>
      <w:spacing w:before="120" w:after="120"/>
      <w:ind w:right="-2"/>
    </w:pPr>
    <w:rPr>
      <w:rFonts w:eastAsia="Times New Roman" w:cs="Times New Roman"/>
      <w:b/>
      <w:bCs/>
      <w:noProof/>
      <w:szCs w:val="24"/>
    </w:rPr>
  </w:style>
  <w:style w:type="paragraph" w:styleId="TOC2">
    <w:name w:val="toc 2"/>
    <w:basedOn w:val="Normal"/>
    <w:next w:val="Normal"/>
    <w:autoRedefine/>
    <w:uiPriority w:val="39"/>
    <w:unhideWhenUsed/>
    <w:qFormat/>
    <w:rsid w:val="009C0862"/>
    <w:pPr>
      <w:tabs>
        <w:tab w:val="left" w:pos="720"/>
        <w:tab w:val="right" w:leader="dot" w:pos="8902"/>
      </w:tabs>
      <w:spacing w:before="240" w:after="120"/>
      <w:ind w:right="-2"/>
      <w:jc w:val="both"/>
    </w:pPr>
    <w:rPr>
      <w:rFonts w:eastAsia="Times New Roman" w:cs="Times New Roman"/>
      <w:bCs/>
      <w:noProof/>
      <w:szCs w:val="24"/>
    </w:rPr>
  </w:style>
  <w:style w:type="paragraph" w:styleId="ListParagraph">
    <w:name w:val="List Paragraph"/>
    <w:aliases w:val="2,Strip,H&amp;P List Paragraph"/>
    <w:basedOn w:val="Normal"/>
    <w:link w:val="ListParagraphChar"/>
    <w:uiPriority w:val="34"/>
    <w:qFormat/>
    <w:rsid w:val="009C0862"/>
    <w:pPr>
      <w:ind w:left="720"/>
      <w:contextualSpacing/>
    </w:pPr>
  </w:style>
  <w:style w:type="paragraph" w:styleId="NoSpacing">
    <w:name w:val="No Spacing"/>
    <w:uiPriority w:val="1"/>
    <w:qFormat/>
    <w:rsid w:val="009C0862"/>
  </w:style>
  <w:style w:type="paragraph" w:styleId="Subtitle">
    <w:name w:val="Subtitle"/>
    <w:basedOn w:val="Normal"/>
    <w:next w:val="Normal"/>
    <w:link w:val="SubtitleChar"/>
    <w:uiPriority w:val="11"/>
    <w:qFormat/>
    <w:rsid w:val="009C086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C0862"/>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9C0862"/>
    <w:rPr>
      <w:i/>
      <w:iCs/>
      <w:color w:val="404040" w:themeColor="text1" w:themeTint="BF"/>
    </w:rPr>
  </w:style>
  <w:style w:type="character" w:styleId="Emphasis">
    <w:name w:val="Emphasis"/>
    <w:basedOn w:val="DefaultParagraphFont"/>
    <w:uiPriority w:val="20"/>
    <w:qFormat/>
    <w:rsid w:val="009C0862"/>
    <w:rPr>
      <w:i/>
      <w:iCs/>
    </w:rPr>
  </w:style>
  <w:style w:type="character" w:styleId="IntenseEmphasis">
    <w:name w:val="Intense Emphasis"/>
    <w:basedOn w:val="DefaultParagraphFont"/>
    <w:uiPriority w:val="21"/>
    <w:qFormat/>
    <w:rsid w:val="009C0862"/>
    <w:rPr>
      <w:i/>
      <w:iCs/>
      <w:color w:val="5B9BD5" w:themeColor="accent1"/>
    </w:rPr>
  </w:style>
  <w:style w:type="character" w:styleId="Strong">
    <w:name w:val="Strong"/>
    <w:basedOn w:val="DefaultParagraphFont"/>
    <w:uiPriority w:val="22"/>
    <w:qFormat/>
    <w:rsid w:val="009C0862"/>
    <w:rPr>
      <w:b/>
      <w:bCs/>
    </w:rPr>
  </w:style>
  <w:style w:type="paragraph" w:customStyle="1" w:styleId="1lmenis">
    <w:name w:val="1.līmenis"/>
    <w:basedOn w:val="Heading1"/>
    <w:link w:val="1lmenisChar"/>
    <w:autoRedefine/>
    <w:uiPriority w:val="99"/>
    <w:qFormat/>
    <w:rsid w:val="00CE0CD0"/>
    <w:pPr>
      <w:numPr>
        <w:numId w:val="10"/>
      </w:numPr>
      <w:tabs>
        <w:tab w:val="left" w:pos="851"/>
      </w:tabs>
      <w:spacing w:before="120" w:after="120" w:line="276" w:lineRule="auto"/>
      <w:ind w:left="0" w:firstLine="0"/>
      <w:jc w:val="center"/>
    </w:pPr>
    <w:rPr>
      <w:rFonts w:ascii="Times New Roman" w:hAnsi="Times New Roman" w:cs="Times New Roman"/>
      <w:b/>
      <w:color w:val="000000"/>
      <w:sz w:val="24"/>
      <w:szCs w:val="24"/>
    </w:rPr>
  </w:style>
  <w:style w:type="paragraph" w:customStyle="1" w:styleId="2lmenis">
    <w:name w:val="2.līmenis"/>
    <w:basedOn w:val="Heading2"/>
    <w:link w:val="2lmenisChar"/>
    <w:autoRedefine/>
    <w:qFormat/>
    <w:rsid w:val="00DB0769"/>
    <w:pPr>
      <w:numPr>
        <w:ilvl w:val="1"/>
        <w:numId w:val="10"/>
      </w:numPr>
      <w:spacing w:before="120" w:after="120" w:line="276" w:lineRule="auto"/>
      <w:ind w:left="0" w:firstLine="0"/>
      <w:jc w:val="center"/>
    </w:pPr>
    <w:rPr>
      <w:rFonts w:ascii="Times New Roman" w:hAnsi="Times New Roman"/>
      <w:b/>
      <w:color w:val="auto"/>
      <w:sz w:val="24"/>
    </w:rPr>
  </w:style>
  <w:style w:type="character" w:customStyle="1" w:styleId="1lmenisChar">
    <w:name w:val="1.līmenis Char"/>
    <w:basedOn w:val="SubtitleChar"/>
    <w:link w:val="1lmenis"/>
    <w:uiPriority w:val="99"/>
    <w:rsid w:val="00CE0CD0"/>
    <w:rPr>
      <w:rFonts w:asciiTheme="minorHAnsi" w:eastAsiaTheme="majorEastAsia" w:hAnsiTheme="minorHAnsi" w:cs="Times New Roman"/>
      <w:b/>
      <w:color w:val="000000"/>
      <w:spacing w:val="15"/>
      <w:sz w:val="22"/>
      <w:szCs w:val="24"/>
    </w:rPr>
  </w:style>
  <w:style w:type="paragraph" w:customStyle="1" w:styleId="3lmenis">
    <w:name w:val="3.līmenis"/>
    <w:basedOn w:val="Heading3"/>
    <w:link w:val="3lmenisChar"/>
    <w:autoRedefine/>
    <w:qFormat/>
    <w:rsid w:val="009C0862"/>
    <w:pPr>
      <w:numPr>
        <w:ilvl w:val="2"/>
        <w:numId w:val="5"/>
      </w:numPr>
      <w:spacing w:before="240" w:after="240"/>
      <w:ind w:left="0" w:firstLine="0"/>
      <w:jc w:val="center"/>
    </w:pPr>
    <w:rPr>
      <w:rFonts w:ascii="Times New Roman" w:hAnsi="Times New Roman"/>
      <w:b/>
      <w:color w:val="000000"/>
    </w:rPr>
  </w:style>
  <w:style w:type="character" w:customStyle="1" w:styleId="2lmenisChar">
    <w:name w:val="2.līmenis Char"/>
    <w:basedOn w:val="DefaultParagraphFont"/>
    <w:link w:val="2lmenis"/>
    <w:rsid w:val="00DB0769"/>
    <w:rPr>
      <w:rFonts w:eastAsiaTheme="majorEastAsia" w:cstheme="majorBidi"/>
      <w:b/>
      <w:szCs w:val="26"/>
    </w:rPr>
  </w:style>
  <w:style w:type="paragraph" w:styleId="TOCHeading">
    <w:name w:val="TOC Heading"/>
    <w:basedOn w:val="Heading1"/>
    <w:next w:val="Normal"/>
    <w:uiPriority w:val="39"/>
    <w:unhideWhenUsed/>
    <w:qFormat/>
    <w:rsid w:val="009C0862"/>
    <w:pPr>
      <w:spacing w:line="259" w:lineRule="auto"/>
      <w:outlineLvl w:val="9"/>
    </w:pPr>
    <w:rPr>
      <w:lang w:val="en-US"/>
    </w:rPr>
  </w:style>
  <w:style w:type="character" w:customStyle="1" w:styleId="3lmenisChar">
    <w:name w:val="3.līmenis Char"/>
    <w:basedOn w:val="2lmenisChar"/>
    <w:link w:val="3lmenis"/>
    <w:rsid w:val="009C0862"/>
    <w:rPr>
      <w:rFonts w:eastAsiaTheme="majorEastAsia" w:cstheme="majorBidi"/>
      <w:b/>
      <w:color w:val="000000"/>
      <w:szCs w:val="24"/>
    </w:rPr>
  </w:style>
  <w:style w:type="paragraph" w:styleId="TOC3">
    <w:name w:val="toc 3"/>
    <w:basedOn w:val="Normal"/>
    <w:next w:val="Normal"/>
    <w:autoRedefine/>
    <w:uiPriority w:val="39"/>
    <w:unhideWhenUsed/>
    <w:rsid w:val="009C0862"/>
    <w:pPr>
      <w:tabs>
        <w:tab w:val="left" w:pos="1320"/>
        <w:tab w:val="right" w:leader="dot" w:pos="8902"/>
      </w:tabs>
      <w:spacing w:after="100"/>
      <w:ind w:left="480" w:right="-2"/>
    </w:pPr>
  </w:style>
  <w:style w:type="paragraph" w:styleId="BalloonText">
    <w:name w:val="Balloon Text"/>
    <w:basedOn w:val="Normal"/>
    <w:link w:val="BalloonTextChar"/>
    <w:uiPriority w:val="99"/>
    <w:semiHidden/>
    <w:unhideWhenUsed/>
    <w:rsid w:val="009C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2"/>
    <w:rPr>
      <w:rFonts w:ascii="Segoe UI" w:hAnsi="Segoe UI" w:cs="Segoe UI"/>
      <w:sz w:val="18"/>
      <w:szCs w:val="18"/>
    </w:rPr>
  </w:style>
  <w:style w:type="paragraph" w:customStyle="1" w:styleId="Default">
    <w:name w:val="Default"/>
    <w:rsid w:val="009C0862"/>
    <w:pPr>
      <w:autoSpaceDE w:val="0"/>
      <w:autoSpaceDN w:val="0"/>
      <w:adjustRightInd w:val="0"/>
      <w:spacing w:before="120" w:after="120" w:line="360" w:lineRule="auto"/>
      <w:jc w:val="both"/>
    </w:pPr>
    <w:rPr>
      <w:rFonts w:eastAsia="Calibri" w:cs="Times New Roman"/>
      <w:color w:val="000000"/>
      <w:szCs w:val="24"/>
      <w:lang w:eastAsia="lv-LV"/>
    </w:rPr>
  </w:style>
  <w:style w:type="paragraph" w:styleId="Header">
    <w:name w:val="header"/>
    <w:basedOn w:val="Normal"/>
    <w:link w:val="HeaderChar"/>
    <w:uiPriority w:val="99"/>
    <w:unhideWhenUsed/>
    <w:rsid w:val="009C0862"/>
    <w:pPr>
      <w:tabs>
        <w:tab w:val="center" w:pos="4153"/>
        <w:tab w:val="right" w:pos="8306"/>
      </w:tabs>
    </w:pPr>
  </w:style>
  <w:style w:type="character" w:customStyle="1" w:styleId="HeaderChar">
    <w:name w:val="Header Char"/>
    <w:basedOn w:val="DefaultParagraphFont"/>
    <w:link w:val="Header"/>
    <w:uiPriority w:val="99"/>
    <w:rsid w:val="009C0862"/>
  </w:style>
  <w:style w:type="paragraph" w:styleId="Footer">
    <w:name w:val="footer"/>
    <w:basedOn w:val="Normal"/>
    <w:link w:val="FooterChar"/>
    <w:unhideWhenUsed/>
    <w:rsid w:val="009C0862"/>
    <w:pPr>
      <w:tabs>
        <w:tab w:val="center" w:pos="4153"/>
        <w:tab w:val="right" w:pos="8306"/>
      </w:tabs>
    </w:pPr>
  </w:style>
  <w:style w:type="character" w:customStyle="1" w:styleId="FooterChar">
    <w:name w:val="Footer Char"/>
    <w:basedOn w:val="DefaultParagraphFont"/>
    <w:link w:val="Footer"/>
    <w:rsid w:val="009C0862"/>
  </w:style>
  <w:style w:type="character" w:styleId="CommentReference">
    <w:name w:val="annotation reference"/>
    <w:basedOn w:val="DefaultParagraphFont"/>
    <w:uiPriority w:val="99"/>
    <w:unhideWhenUsed/>
    <w:rsid w:val="009C0862"/>
    <w:rPr>
      <w:sz w:val="16"/>
      <w:szCs w:val="16"/>
    </w:rPr>
  </w:style>
  <w:style w:type="paragraph" w:styleId="CommentText">
    <w:name w:val="annotation text"/>
    <w:basedOn w:val="Normal"/>
    <w:link w:val="CommentTextChar"/>
    <w:uiPriority w:val="99"/>
    <w:unhideWhenUsed/>
    <w:rsid w:val="009C0862"/>
    <w:rPr>
      <w:sz w:val="20"/>
      <w:szCs w:val="20"/>
    </w:rPr>
  </w:style>
  <w:style w:type="character" w:customStyle="1" w:styleId="CommentTextChar">
    <w:name w:val="Comment Text Char"/>
    <w:basedOn w:val="DefaultParagraphFont"/>
    <w:link w:val="CommentText"/>
    <w:uiPriority w:val="99"/>
    <w:rsid w:val="009C0862"/>
    <w:rPr>
      <w:sz w:val="20"/>
      <w:szCs w:val="20"/>
    </w:rPr>
  </w:style>
  <w:style w:type="paragraph" w:styleId="CommentSubject">
    <w:name w:val="annotation subject"/>
    <w:basedOn w:val="CommentText"/>
    <w:next w:val="CommentText"/>
    <w:link w:val="CommentSubjectChar"/>
    <w:uiPriority w:val="99"/>
    <w:semiHidden/>
    <w:unhideWhenUsed/>
    <w:rsid w:val="009C0862"/>
    <w:rPr>
      <w:b/>
      <w:bCs/>
    </w:rPr>
  </w:style>
  <w:style w:type="character" w:customStyle="1" w:styleId="CommentSubjectChar">
    <w:name w:val="Comment Subject Char"/>
    <w:basedOn w:val="CommentTextChar"/>
    <w:link w:val="CommentSubject"/>
    <w:uiPriority w:val="99"/>
    <w:semiHidden/>
    <w:rsid w:val="009C0862"/>
    <w:rPr>
      <w:b/>
      <w:bCs/>
      <w:sz w:val="20"/>
      <w:szCs w:val="20"/>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9C0862"/>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9C0862"/>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C0862"/>
    <w:rPr>
      <w:vertAlign w:val="superscript"/>
    </w:rPr>
  </w:style>
  <w:style w:type="paragraph" w:styleId="NormalWeb">
    <w:name w:val="Normal (Web)"/>
    <w:basedOn w:val="Normal"/>
    <w:uiPriority w:val="99"/>
    <w:rsid w:val="009C0862"/>
    <w:pPr>
      <w:spacing w:before="100" w:beforeAutospacing="1" w:after="100" w:afterAutospacing="1" w:line="360" w:lineRule="auto"/>
    </w:pPr>
    <w:rPr>
      <w:rFonts w:eastAsia="Times New Roman" w:cs="Times New Roman"/>
      <w:szCs w:val="24"/>
      <w:lang w:val="en-GB"/>
    </w:rPr>
  </w:style>
  <w:style w:type="character" w:styleId="FollowedHyperlink">
    <w:name w:val="FollowedHyperlink"/>
    <w:basedOn w:val="DefaultParagraphFont"/>
    <w:uiPriority w:val="99"/>
    <w:semiHidden/>
    <w:unhideWhenUsed/>
    <w:rsid w:val="009C0862"/>
    <w:rPr>
      <w:color w:val="954F72" w:themeColor="followedHyperlink"/>
      <w:u w:val="single"/>
    </w:rPr>
  </w:style>
  <w:style w:type="paragraph" w:styleId="BodyTextIndent">
    <w:name w:val="Body Text Indent"/>
    <w:basedOn w:val="Normal"/>
    <w:link w:val="BodyTextIndentChar"/>
    <w:rsid w:val="009C0862"/>
    <w:pPr>
      <w:spacing w:before="120" w:after="120" w:line="276" w:lineRule="auto"/>
      <w:ind w:left="283"/>
      <w:jc w:val="both"/>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C0862"/>
    <w:rPr>
      <w:rFonts w:eastAsia="Times New Roman" w:cs="Times New Roman"/>
      <w:szCs w:val="20"/>
      <w:lang w:val="x-none" w:eastAsia="x-none"/>
    </w:rPr>
  </w:style>
  <w:style w:type="paragraph" w:styleId="HTMLPreformatted">
    <w:name w:val="HTML Preformatted"/>
    <w:basedOn w:val="Normal"/>
    <w:link w:val="HTMLPreformattedChar"/>
    <w:uiPriority w:val="99"/>
    <w:unhideWhenUsed/>
    <w:rsid w:val="009C0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C0862"/>
    <w:rPr>
      <w:rFonts w:ascii="Courier New" w:hAnsi="Courier New" w:cs="Courier New"/>
      <w:sz w:val="20"/>
      <w:szCs w:val="20"/>
      <w:lang w:eastAsia="lv-LV"/>
    </w:rPr>
  </w:style>
  <w:style w:type="paragraph" w:customStyle="1" w:styleId="naiskr">
    <w:name w:val="naiskr"/>
    <w:basedOn w:val="Normal"/>
    <w:rsid w:val="009C0862"/>
    <w:pPr>
      <w:spacing w:before="75" w:after="75"/>
    </w:pPr>
    <w:rPr>
      <w:rFonts w:eastAsia="Times New Roman" w:cs="Times New Roman"/>
      <w:szCs w:val="24"/>
      <w:lang w:eastAsia="lv-LV"/>
    </w:rPr>
  </w:style>
  <w:style w:type="paragraph" w:customStyle="1" w:styleId="FDUKam">
    <w:name w:val="FDUKam"/>
    <w:basedOn w:val="ListParagraph"/>
    <w:link w:val="FDUKamChar"/>
    <w:qFormat/>
    <w:rsid w:val="009C0862"/>
    <w:pPr>
      <w:numPr>
        <w:ilvl w:val="1"/>
        <w:numId w:val="3"/>
      </w:numPr>
      <w:spacing w:after="200" w:line="276" w:lineRule="auto"/>
      <w:jc w:val="both"/>
    </w:pPr>
    <w:rPr>
      <w:rFonts w:eastAsia="Calibri" w:cs="Times New Roman"/>
      <w:sz w:val="22"/>
    </w:rPr>
  </w:style>
  <w:style w:type="character" w:customStyle="1" w:styleId="FDUKamChar">
    <w:name w:val="FDUKam Char"/>
    <w:basedOn w:val="DefaultParagraphFont"/>
    <w:link w:val="FDUKam"/>
    <w:rsid w:val="009C0862"/>
    <w:rPr>
      <w:rFonts w:eastAsia="Calibri" w:cs="Times New Roman"/>
      <w:sz w:val="22"/>
    </w:rPr>
  </w:style>
  <w:style w:type="paragraph" w:styleId="Revision">
    <w:name w:val="Revision"/>
    <w:hidden/>
    <w:uiPriority w:val="99"/>
    <w:semiHidden/>
    <w:rsid w:val="009C0862"/>
  </w:style>
  <w:style w:type="character" w:styleId="BookTitle">
    <w:name w:val="Book Title"/>
    <w:qFormat/>
    <w:rsid w:val="009C0862"/>
    <w:rPr>
      <w:b/>
      <w:bCs/>
      <w:smallCaps/>
      <w:spacing w:val="5"/>
    </w:rPr>
  </w:style>
  <w:style w:type="paragraph" w:customStyle="1" w:styleId="CM1">
    <w:name w:val="CM1"/>
    <w:basedOn w:val="Normal"/>
    <w:uiPriority w:val="99"/>
    <w:rsid w:val="009C0862"/>
    <w:pPr>
      <w:autoSpaceDE w:val="0"/>
      <w:autoSpaceDN w:val="0"/>
    </w:pPr>
    <w:rPr>
      <w:rFonts w:ascii="EUAlbertina" w:hAnsi="EUAlbertina" w:cs="Times New Roman"/>
      <w:szCs w:val="24"/>
    </w:rPr>
  </w:style>
  <w:style w:type="table" w:styleId="TableGrid">
    <w:name w:val="Table Grid"/>
    <w:basedOn w:val="TableNormal"/>
    <w:uiPriority w:val="39"/>
    <w:rsid w:val="009C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C0862"/>
  </w:style>
  <w:style w:type="paragraph" w:styleId="PlainText">
    <w:name w:val="Plain Text"/>
    <w:basedOn w:val="Normal"/>
    <w:link w:val="PlainTextChar"/>
    <w:uiPriority w:val="99"/>
    <w:unhideWhenUsed/>
    <w:rsid w:val="009C0862"/>
    <w:rPr>
      <w:rFonts w:ascii="Calibri" w:hAnsi="Calibri" w:cs="Consolas"/>
      <w:sz w:val="22"/>
      <w:szCs w:val="21"/>
    </w:rPr>
  </w:style>
  <w:style w:type="character" w:customStyle="1" w:styleId="PlainTextChar">
    <w:name w:val="Plain Text Char"/>
    <w:basedOn w:val="DefaultParagraphFont"/>
    <w:link w:val="PlainText"/>
    <w:uiPriority w:val="99"/>
    <w:rsid w:val="009C0862"/>
    <w:rPr>
      <w:rFonts w:ascii="Calibri" w:hAnsi="Calibri" w:cs="Consolas"/>
      <w:sz w:val="22"/>
      <w:szCs w:val="21"/>
    </w:rPr>
  </w:style>
  <w:style w:type="numbering" w:customStyle="1" w:styleId="WWNum1">
    <w:name w:val="WWNum1"/>
    <w:basedOn w:val="NoList"/>
    <w:rsid w:val="009C0862"/>
    <w:pPr>
      <w:numPr>
        <w:numId w:val="4"/>
      </w:numPr>
    </w:pPr>
  </w:style>
  <w:style w:type="character" w:customStyle="1" w:styleId="ListParagraphChar">
    <w:name w:val="List Paragraph Char"/>
    <w:aliases w:val="2 Char,Strip Char,H&amp;P List Paragraph Char"/>
    <w:link w:val="ListParagraph"/>
    <w:uiPriority w:val="34"/>
    <w:qFormat/>
    <w:locked/>
    <w:rsid w:val="009C0862"/>
  </w:style>
  <w:style w:type="table" w:customStyle="1" w:styleId="TableGrid1">
    <w:name w:val="Table Grid1"/>
    <w:basedOn w:val="TableNormal"/>
    <w:next w:val="TableGrid"/>
    <w:uiPriority w:val="39"/>
    <w:rsid w:val="009C086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qFormat/>
    <w:rsid w:val="009C0862"/>
    <w:pPr>
      <w:ind w:left="720"/>
      <w:contextualSpacing/>
    </w:pPr>
    <w:rPr>
      <w:rFonts w:eastAsia="Calibri" w:cs="Times New Roman"/>
      <w:sz w:val="28"/>
      <w:lang w:eastAsia="lv-LV"/>
    </w:rPr>
  </w:style>
  <w:style w:type="character" w:customStyle="1" w:styleId="xdtextbox1">
    <w:name w:val="xdtextbox1"/>
    <w:basedOn w:val="DefaultParagraphFont"/>
    <w:rsid w:val="00AF193C"/>
    <w:rPr>
      <w:color w:val="auto"/>
      <w:bdr w:val="single" w:sz="8" w:space="1" w:color="DCDCDC" w:frame="1"/>
      <w:shd w:val="clear" w:color="auto" w:fill="FFFFFF"/>
    </w:rPr>
  </w:style>
  <w:style w:type="table" w:customStyle="1" w:styleId="TableGrid2">
    <w:name w:val="Table Grid2"/>
    <w:basedOn w:val="TableNormal"/>
    <w:next w:val="TableGrid"/>
    <w:uiPriority w:val="39"/>
    <w:rsid w:val="001F77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85BC9"/>
    <w:pPr>
      <w:spacing w:after="120" w:line="480" w:lineRule="auto"/>
    </w:pPr>
  </w:style>
  <w:style w:type="character" w:customStyle="1" w:styleId="BodyText2Char">
    <w:name w:val="Body Text 2 Char"/>
    <w:basedOn w:val="DefaultParagraphFont"/>
    <w:link w:val="BodyText2"/>
    <w:uiPriority w:val="99"/>
    <w:semiHidden/>
    <w:rsid w:val="0068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287">
      <w:bodyDiv w:val="1"/>
      <w:marLeft w:val="0"/>
      <w:marRight w:val="0"/>
      <w:marTop w:val="0"/>
      <w:marBottom w:val="0"/>
      <w:divBdr>
        <w:top w:val="none" w:sz="0" w:space="0" w:color="auto"/>
        <w:left w:val="none" w:sz="0" w:space="0" w:color="auto"/>
        <w:bottom w:val="none" w:sz="0" w:space="0" w:color="auto"/>
        <w:right w:val="none" w:sz="0" w:space="0" w:color="auto"/>
      </w:divBdr>
      <w:divsChild>
        <w:div w:id="1615551724">
          <w:marLeft w:val="720"/>
          <w:marRight w:val="0"/>
          <w:marTop w:val="96"/>
          <w:marBottom w:val="0"/>
          <w:divBdr>
            <w:top w:val="none" w:sz="0" w:space="0" w:color="auto"/>
            <w:left w:val="none" w:sz="0" w:space="0" w:color="auto"/>
            <w:bottom w:val="none" w:sz="0" w:space="0" w:color="auto"/>
            <w:right w:val="none" w:sz="0" w:space="0" w:color="auto"/>
          </w:divBdr>
        </w:div>
      </w:divsChild>
    </w:div>
    <w:div w:id="85082665">
      <w:bodyDiv w:val="1"/>
      <w:marLeft w:val="0"/>
      <w:marRight w:val="0"/>
      <w:marTop w:val="0"/>
      <w:marBottom w:val="0"/>
      <w:divBdr>
        <w:top w:val="none" w:sz="0" w:space="0" w:color="auto"/>
        <w:left w:val="none" w:sz="0" w:space="0" w:color="auto"/>
        <w:bottom w:val="none" w:sz="0" w:space="0" w:color="auto"/>
        <w:right w:val="none" w:sz="0" w:space="0" w:color="auto"/>
      </w:divBdr>
    </w:div>
    <w:div w:id="85393610">
      <w:bodyDiv w:val="1"/>
      <w:marLeft w:val="0"/>
      <w:marRight w:val="0"/>
      <w:marTop w:val="0"/>
      <w:marBottom w:val="0"/>
      <w:divBdr>
        <w:top w:val="none" w:sz="0" w:space="0" w:color="auto"/>
        <w:left w:val="none" w:sz="0" w:space="0" w:color="auto"/>
        <w:bottom w:val="none" w:sz="0" w:space="0" w:color="auto"/>
        <w:right w:val="none" w:sz="0" w:space="0" w:color="auto"/>
      </w:divBdr>
    </w:div>
    <w:div w:id="88041036">
      <w:bodyDiv w:val="1"/>
      <w:marLeft w:val="0"/>
      <w:marRight w:val="0"/>
      <w:marTop w:val="0"/>
      <w:marBottom w:val="0"/>
      <w:divBdr>
        <w:top w:val="none" w:sz="0" w:space="0" w:color="auto"/>
        <w:left w:val="none" w:sz="0" w:space="0" w:color="auto"/>
        <w:bottom w:val="none" w:sz="0" w:space="0" w:color="auto"/>
        <w:right w:val="none" w:sz="0" w:space="0" w:color="auto"/>
      </w:divBdr>
    </w:div>
    <w:div w:id="97986526">
      <w:bodyDiv w:val="1"/>
      <w:marLeft w:val="0"/>
      <w:marRight w:val="0"/>
      <w:marTop w:val="0"/>
      <w:marBottom w:val="0"/>
      <w:divBdr>
        <w:top w:val="none" w:sz="0" w:space="0" w:color="auto"/>
        <w:left w:val="none" w:sz="0" w:space="0" w:color="auto"/>
        <w:bottom w:val="none" w:sz="0" w:space="0" w:color="auto"/>
        <w:right w:val="none" w:sz="0" w:space="0" w:color="auto"/>
      </w:divBdr>
    </w:div>
    <w:div w:id="156843094">
      <w:bodyDiv w:val="1"/>
      <w:marLeft w:val="0"/>
      <w:marRight w:val="0"/>
      <w:marTop w:val="0"/>
      <w:marBottom w:val="0"/>
      <w:divBdr>
        <w:top w:val="none" w:sz="0" w:space="0" w:color="auto"/>
        <w:left w:val="none" w:sz="0" w:space="0" w:color="auto"/>
        <w:bottom w:val="none" w:sz="0" w:space="0" w:color="auto"/>
        <w:right w:val="none" w:sz="0" w:space="0" w:color="auto"/>
      </w:divBdr>
    </w:div>
    <w:div w:id="174737561">
      <w:bodyDiv w:val="1"/>
      <w:marLeft w:val="0"/>
      <w:marRight w:val="0"/>
      <w:marTop w:val="0"/>
      <w:marBottom w:val="0"/>
      <w:divBdr>
        <w:top w:val="none" w:sz="0" w:space="0" w:color="auto"/>
        <w:left w:val="none" w:sz="0" w:space="0" w:color="auto"/>
        <w:bottom w:val="none" w:sz="0" w:space="0" w:color="auto"/>
        <w:right w:val="none" w:sz="0" w:space="0" w:color="auto"/>
      </w:divBdr>
      <w:divsChild>
        <w:div w:id="305473259">
          <w:marLeft w:val="547"/>
          <w:marRight w:val="0"/>
          <w:marTop w:val="86"/>
          <w:marBottom w:val="0"/>
          <w:divBdr>
            <w:top w:val="none" w:sz="0" w:space="0" w:color="auto"/>
            <w:left w:val="none" w:sz="0" w:space="0" w:color="auto"/>
            <w:bottom w:val="none" w:sz="0" w:space="0" w:color="auto"/>
            <w:right w:val="none" w:sz="0" w:space="0" w:color="auto"/>
          </w:divBdr>
        </w:div>
      </w:divsChild>
    </w:div>
    <w:div w:id="200898502">
      <w:bodyDiv w:val="1"/>
      <w:marLeft w:val="0"/>
      <w:marRight w:val="0"/>
      <w:marTop w:val="0"/>
      <w:marBottom w:val="0"/>
      <w:divBdr>
        <w:top w:val="none" w:sz="0" w:space="0" w:color="auto"/>
        <w:left w:val="none" w:sz="0" w:space="0" w:color="auto"/>
        <w:bottom w:val="none" w:sz="0" w:space="0" w:color="auto"/>
        <w:right w:val="none" w:sz="0" w:space="0" w:color="auto"/>
      </w:divBdr>
    </w:div>
    <w:div w:id="203836607">
      <w:bodyDiv w:val="1"/>
      <w:marLeft w:val="0"/>
      <w:marRight w:val="0"/>
      <w:marTop w:val="0"/>
      <w:marBottom w:val="0"/>
      <w:divBdr>
        <w:top w:val="none" w:sz="0" w:space="0" w:color="auto"/>
        <w:left w:val="none" w:sz="0" w:space="0" w:color="auto"/>
        <w:bottom w:val="none" w:sz="0" w:space="0" w:color="auto"/>
        <w:right w:val="none" w:sz="0" w:space="0" w:color="auto"/>
      </w:divBdr>
    </w:div>
    <w:div w:id="209539261">
      <w:bodyDiv w:val="1"/>
      <w:marLeft w:val="0"/>
      <w:marRight w:val="0"/>
      <w:marTop w:val="0"/>
      <w:marBottom w:val="0"/>
      <w:divBdr>
        <w:top w:val="none" w:sz="0" w:space="0" w:color="auto"/>
        <w:left w:val="none" w:sz="0" w:space="0" w:color="auto"/>
        <w:bottom w:val="none" w:sz="0" w:space="0" w:color="auto"/>
        <w:right w:val="none" w:sz="0" w:space="0" w:color="auto"/>
      </w:divBdr>
      <w:divsChild>
        <w:div w:id="77943634">
          <w:marLeft w:val="1166"/>
          <w:marRight w:val="0"/>
          <w:marTop w:val="86"/>
          <w:marBottom w:val="0"/>
          <w:divBdr>
            <w:top w:val="none" w:sz="0" w:space="0" w:color="auto"/>
            <w:left w:val="none" w:sz="0" w:space="0" w:color="auto"/>
            <w:bottom w:val="none" w:sz="0" w:space="0" w:color="auto"/>
            <w:right w:val="none" w:sz="0" w:space="0" w:color="auto"/>
          </w:divBdr>
        </w:div>
        <w:div w:id="251015881">
          <w:marLeft w:val="547"/>
          <w:marRight w:val="0"/>
          <w:marTop w:val="86"/>
          <w:marBottom w:val="0"/>
          <w:divBdr>
            <w:top w:val="none" w:sz="0" w:space="0" w:color="auto"/>
            <w:left w:val="none" w:sz="0" w:space="0" w:color="auto"/>
            <w:bottom w:val="none" w:sz="0" w:space="0" w:color="auto"/>
            <w:right w:val="none" w:sz="0" w:space="0" w:color="auto"/>
          </w:divBdr>
        </w:div>
        <w:div w:id="1320042293">
          <w:marLeft w:val="1166"/>
          <w:marRight w:val="0"/>
          <w:marTop w:val="86"/>
          <w:marBottom w:val="0"/>
          <w:divBdr>
            <w:top w:val="none" w:sz="0" w:space="0" w:color="auto"/>
            <w:left w:val="none" w:sz="0" w:space="0" w:color="auto"/>
            <w:bottom w:val="none" w:sz="0" w:space="0" w:color="auto"/>
            <w:right w:val="none" w:sz="0" w:space="0" w:color="auto"/>
          </w:divBdr>
        </w:div>
        <w:div w:id="1438671319">
          <w:marLeft w:val="1166"/>
          <w:marRight w:val="0"/>
          <w:marTop w:val="86"/>
          <w:marBottom w:val="0"/>
          <w:divBdr>
            <w:top w:val="none" w:sz="0" w:space="0" w:color="auto"/>
            <w:left w:val="none" w:sz="0" w:space="0" w:color="auto"/>
            <w:bottom w:val="none" w:sz="0" w:space="0" w:color="auto"/>
            <w:right w:val="none" w:sz="0" w:space="0" w:color="auto"/>
          </w:divBdr>
        </w:div>
        <w:div w:id="1568612869">
          <w:marLeft w:val="1166"/>
          <w:marRight w:val="0"/>
          <w:marTop w:val="86"/>
          <w:marBottom w:val="0"/>
          <w:divBdr>
            <w:top w:val="none" w:sz="0" w:space="0" w:color="auto"/>
            <w:left w:val="none" w:sz="0" w:space="0" w:color="auto"/>
            <w:bottom w:val="none" w:sz="0" w:space="0" w:color="auto"/>
            <w:right w:val="none" w:sz="0" w:space="0" w:color="auto"/>
          </w:divBdr>
        </w:div>
      </w:divsChild>
    </w:div>
    <w:div w:id="232476090">
      <w:bodyDiv w:val="1"/>
      <w:marLeft w:val="0"/>
      <w:marRight w:val="0"/>
      <w:marTop w:val="0"/>
      <w:marBottom w:val="0"/>
      <w:divBdr>
        <w:top w:val="none" w:sz="0" w:space="0" w:color="auto"/>
        <w:left w:val="none" w:sz="0" w:space="0" w:color="auto"/>
        <w:bottom w:val="none" w:sz="0" w:space="0" w:color="auto"/>
        <w:right w:val="none" w:sz="0" w:space="0" w:color="auto"/>
      </w:divBdr>
    </w:div>
    <w:div w:id="251667735">
      <w:bodyDiv w:val="1"/>
      <w:marLeft w:val="0"/>
      <w:marRight w:val="0"/>
      <w:marTop w:val="0"/>
      <w:marBottom w:val="0"/>
      <w:divBdr>
        <w:top w:val="none" w:sz="0" w:space="0" w:color="auto"/>
        <w:left w:val="none" w:sz="0" w:space="0" w:color="auto"/>
        <w:bottom w:val="none" w:sz="0" w:space="0" w:color="auto"/>
        <w:right w:val="none" w:sz="0" w:space="0" w:color="auto"/>
      </w:divBdr>
    </w:div>
    <w:div w:id="253324938">
      <w:bodyDiv w:val="1"/>
      <w:marLeft w:val="0"/>
      <w:marRight w:val="0"/>
      <w:marTop w:val="0"/>
      <w:marBottom w:val="0"/>
      <w:divBdr>
        <w:top w:val="none" w:sz="0" w:space="0" w:color="auto"/>
        <w:left w:val="none" w:sz="0" w:space="0" w:color="auto"/>
        <w:bottom w:val="none" w:sz="0" w:space="0" w:color="auto"/>
        <w:right w:val="none" w:sz="0" w:space="0" w:color="auto"/>
      </w:divBdr>
    </w:div>
    <w:div w:id="262955722">
      <w:bodyDiv w:val="1"/>
      <w:marLeft w:val="0"/>
      <w:marRight w:val="0"/>
      <w:marTop w:val="0"/>
      <w:marBottom w:val="0"/>
      <w:divBdr>
        <w:top w:val="none" w:sz="0" w:space="0" w:color="auto"/>
        <w:left w:val="none" w:sz="0" w:space="0" w:color="auto"/>
        <w:bottom w:val="none" w:sz="0" w:space="0" w:color="auto"/>
        <w:right w:val="none" w:sz="0" w:space="0" w:color="auto"/>
      </w:divBdr>
    </w:div>
    <w:div w:id="277303520">
      <w:bodyDiv w:val="1"/>
      <w:marLeft w:val="0"/>
      <w:marRight w:val="0"/>
      <w:marTop w:val="0"/>
      <w:marBottom w:val="0"/>
      <w:divBdr>
        <w:top w:val="none" w:sz="0" w:space="0" w:color="auto"/>
        <w:left w:val="none" w:sz="0" w:space="0" w:color="auto"/>
        <w:bottom w:val="none" w:sz="0" w:space="0" w:color="auto"/>
        <w:right w:val="none" w:sz="0" w:space="0" w:color="auto"/>
      </w:divBdr>
    </w:div>
    <w:div w:id="290089296">
      <w:bodyDiv w:val="1"/>
      <w:marLeft w:val="0"/>
      <w:marRight w:val="0"/>
      <w:marTop w:val="0"/>
      <w:marBottom w:val="0"/>
      <w:divBdr>
        <w:top w:val="none" w:sz="0" w:space="0" w:color="auto"/>
        <w:left w:val="none" w:sz="0" w:space="0" w:color="auto"/>
        <w:bottom w:val="none" w:sz="0" w:space="0" w:color="auto"/>
        <w:right w:val="none" w:sz="0" w:space="0" w:color="auto"/>
      </w:divBdr>
    </w:div>
    <w:div w:id="360060065">
      <w:bodyDiv w:val="1"/>
      <w:marLeft w:val="0"/>
      <w:marRight w:val="0"/>
      <w:marTop w:val="0"/>
      <w:marBottom w:val="0"/>
      <w:divBdr>
        <w:top w:val="none" w:sz="0" w:space="0" w:color="auto"/>
        <w:left w:val="none" w:sz="0" w:space="0" w:color="auto"/>
        <w:bottom w:val="none" w:sz="0" w:space="0" w:color="auto"/>
        <w:right w:val="none" w:sz="0" w:space="0" w:color="auto"/>
      </w:divBdr>
    </w:div>
    <w:div w:id="377364110">
      <w:bodyDiv w:val="1"/>
      <w:marLeft w:val="0"/>
      <w:marRight w:val="0"/>
      <w:marTop w:val="0"/>
      <w:marBottom w:val="0"/>
      <w:divBdr>
        <w:top w:val="none" w:sz="0" w:space="0" w:color="auto"/>
        <w:left w:val="none" w:sz="0" w:space="0" w:color="auto"/>
        <w:bottom w:val="none" w:sz="0" w:space="0" w:color="auto"/>
        <w:right w:val="none" w:sz="0" w:space="0" w:color="auto"/>
      </w:divBdr>
    </w:div>
    <w:div w:id="465969678">
      <w:bodyDiv w:val="1"/>
      <w:marLeft w:val="0"/>
      <w:marRight w:val="0"/>
      <w:marTop w:val="0"/>
      <w:marBottom w:val="0"/>
      <w:divBdr>
        <w:top w:val="none" w:sz="0" w:space="0" w:color="auto"/>
        <w:left w:val="none" w:sz="0" w:space="0" w:color="auto"/>
        <w:bottom w:val="none" w:sz="0" w:space="0" w:color="auto"/>
        <w:right w:val="none" w:sz="0" w:space="0" w:color="auto"/>
      </w:divBdr>
    </w:div>
    <w:div w:id="472984788">
      <w:bodyDiv w:val="1"/>
      <w:marLeft w:val="0"/>
      <w:marRight w:val="0"/>
      <w:marTop w:val="0"/>
      <w:marBottom w:val="0"/>
      <w:divBdr>
        <w:top w:val="none" w:sz="0" w:space="0" w:color="auto"/>
        <w:left w:val="none" w:sz="0" w:space="0" w:color="auto"/>
        <w:bottom w:val="none" w:sz="0" w:space="0" w:color="auto"/>
        <w:right w:val="none" w:sz="0" w:space="0" w:color="auto"/>
      </w:divBdr>
    </w:div>
    <w:div w:id="578292036">
      <w:bodyDiv w:val="1"/>
      <w:marLeft w:val="0"/>
      <w:marRight w:val="0"/>
      <w:marTop w:val="0"/>
      <w:marBottom w:val="0"/>
      <w:divBdr>
        <w:top w:val="none" w:sz="0" w:space="0" w:color="auto"/>
        <w:left w:val="none" w:sz="0" w:space="0" w:color="auto"/>
        <w:bottom w:val="none" w:sz="0" w:space="0" w:color="auto"/>
        <w:right w:val="none" w:sz="0" w:space="0" w:color="auto"/>
      </w:divBdr>
    </w:div>
    <w:div w:id="581456308">
      <w:bodyDiv w:val="1"/>
      <w:marLeft w:val="0"/>
      <w:marRight w:val="0"/>
      <w:marTop w:val="0"/>
      <w:marBottom w:val="0"/>
      <w:divBdr>
        <w:top w:val="none" w:sz="0" w:space="0" w:color="auto"/>
        <w:left w:val="none" w:sz="0" w:space="0" w:color="auto"/>
        <w:bottom w:val="none" w:sz="0" w:space="0" w:color="auto"/>
        <w:right w:val="none" w:sz="0" w:space="0" w:color="auto"/>
      </w:divBdr>
    </w:div>
    <w:div w:id="653950442">
      <w:bodyDiv w:val="1"/>
      <w:marLeft w:val="0"/>
      <w:marRight w:val="0"/>
      <w:marTop w:val="0"/>
      <w:marBottom w:val="0"/>
      <w:divBdr>
        <w:top w:val="none" w:sz="0" w:space="0" w:color="auto"/>
        <w:left w:val="none" w:sz="0" w:space="0" w:color="auto"/>
        <w:bottom w:val="none" w:sz="0" w:space="0" w:color="auto"/>
        <w:right w:val="none" w:sz="0" w:space="0" w:color="auto"/>
      </w:divBdr>
      <w:divsChild>
        <w:div w:id="348875598">
          <w:marLeft w:val="547"/>
          <w:marRight w:val="0"/>
          <w:marTop w:val="115"/>
          <w:marBottom w:val="0"/>
          <w:divBdr>
            <w:top w:val="none" w:sz="0" w:space="0" w:color="auto"/>
            <w:left w:val="none" w:sz="0" w:space="0" w:color="auto"/>
            <w:bottom w:val="none" w:sz="0" w:space="0" w:color="auto"/>
            <w:right w:val="none" w:sz="0" w:space="0" w:color="auto"/>
          </w:divBdr>
        </w:div>
      </w:divsChild>
    </w:div>
    <w:div w:id="676035091">
      <w:bodyDiv w:val="1"/>
      <w:marLeft w:val="0"/>
      <w:marRight w:val="0"/>
      <w:marTop w:val="0"/>
      <w:marBottom w:val="0"/>
      <w:divBdr>
        <w:top w:val="none" w:sz="0" w:space="0" w:color="auto"/>
        <w:left w:val="none" w:sz="0" w:space="0" w:color="auto"/>
        <w:bottom w:val="none" w:sz="0" w:space="0" w:color="auto"/>
        <w:right w:val="none" w:sz="0" w:space="0" w:color="auto"/>
      </w:divBdr>
    </w:div>
    <w:div w:id="703679536">
      <w:bodyDiv w:val="1"/>
      <w:marLeft w:val="0"/>
      <w:marRight w:val="0"/>
      <w:marTop w:val="0"/>
      <w:marBottom w:val="0"/>
      <w:divBdr>
        <w:top w:val="none" w:sz="0" w:space="0" w:color="auto"/>
        <w:left w:val="none" w:sz="0" w:space="0" w:color="auto"/>
        <w:bottom w:val="none" w:sz="0" w:space="0" w:color="auto"/>
        <w:right w:val="none" w:sz="0" w:space="0" w:color="auto"/>
      </w:divBdr>
    </w:div>
    <w:div w:id="741298126">
      <w:bodyDiv w:val="1"/>
      <w:marLeft w:val="0"/>
      <w:marRight w:val="0"/>
      <w:marTop w:val="0"/>
      <w:marBottom w:val="0"/>
      <w:divBdr>
        <w:top w:val="none" w:sz="0" w:space="0" w:color="auto"/>
        <w:left w:val="none" w:sz="0" w:space="0" w:color="auto"/>
        <w:bottom w:val="none" w:sz="0" w:space="0" w:color="auto"/>
        <w:right w:val="none" w:sz="0" w:space="0" w:color="auto"/>
      </w:divBdr>
    </w:div>
    <w:div w:id="763764766">
      <w:bodyDiv w:val="1"/>
      <w:marLeft w:val="0"/>
      <w:marRight w:val="0"/>
      <w:marTop w:val="0"/>
      <w:marBottom w:val="0"/>
      <w:divBdr>
        <w:top w:val="none" w:sz="0" w:space="0" w:color="auto"/>
        <w:left w:val="none" w:sz="0" w:space="0" w:color="auto"/>
        <w:bottom w:val="none" w:sz="0" w:space="0" w:color="auto"/>
        <w:right w:val="none" w:sz="0" w:space="0" w:color="auto"/>
      </w:divBdr>
    </w:div>
    <w:div w:id="875200219">
      <w:bodyDiv w:val="1"/>
      <w:marLeft w:val="0"/>
      <w:marRight w:val="0"/>
      <w:marTop w:val="0"/>
      <w:marBottom w:val="0"/>
      <w:divBdr>
        <w:top w:val="none" w:sz="0" w:space="0" w:color="auto"/>
        <w:left w:val="none" w:sz="0" w:space="0" w:color="auto"/>
        <w:bottom w:val="none" w:sz="0" w:space="0" w:color="auto"/>
        <w:right w:val="none" w:sz="0" w:space="0" w:color="auto"/>
      </w:divBdr>
    </w:div>
    <w:div w:id="882211453">
      <w:bodyDiv w:val="1"/>
      <w:marLeft w:val="0"/>
      <w:marRight w:val="0"/>
      <w:marTop w:val="0"/>
      <w:marBottom w:val="0"/>
      <w:divBdr>
        <w:top w:val="none" w:sz="0" w:space="0" w:color="auto"/>
        <w:left w:val="none" w:sz="0" w:space="0" w:color="auto"/>
        <w:bottom w:val="none" w:sz="0" w:space="0" w:color="auto"/>
        <w:right w:val="none" w:sz="0" w:space="0" w:color="auto"/>
      </w:divBdr>
      <w:divsChild>
        <w:div w:id="735670104">
          <w:marLeft w:val="547"/>
          <w:marRight w:val="0"/>
          <w:marTop w:val="240"/>
          <w:marBottom w:val="0"/>
          <w:divBdr>
            <w:top w:val="none" w:sz="0" w:space="0" w:color="auto"/>
            <w:left w:val="none" w:sz="0" w:space="0" w:color="auto"/>
            <w:bottom w:val="none" w:sz="0" w:space="0" w:color="auto"/>
            <w:right w:val="none" w:sz="0" w:space="0" w:color="auto"/>
          </w:divBdr>
        </w:div>
        <w:div w:id="1611667440">
          <w:marLeft w:val="547"/>
          <w:marRight w:val="0"/>
          <w:marTop w:val="240"/>
          <w:marBottom w:val="0"/>
          <w:divBdr>
            <w:top w:val="none" w:sz="0" w:space="0" w:color="auto"/>
            <w:left w:val="none" w:sz="0" w:space="0" w:color="auto"/>
            <w:bottom w:val="none" w:sz="0" w:space="0" w:color="auto"/>
            <w:right w:val="none" w:sz="0" w:space="0" w:color="auto"/>
          </w:divBdr>
        </w:div>
        <w:div w:id="1913544887">
          <w:marLeft w:val="547"/>
          <w:marRight w:val="0"/>
          <w:marTop w:val="240"/>
          <w:marBottom w:val="0"/>
          <w:divBdr>
            <w:top w:val="none" w:sz="0" w:space="0" w:color="auto"/>
            <w:left w:val="none" w:sz="0" w:space="0" w:color="auto"/>
            <w:bottom w:val="none" w:sz="0" w:space="0" w:color="auto"/>
            <w:right w:val="none" w:sz="0" w:space="0" w:color="auto"/>
          </w:divBdr>
        </w:div>
      </w:divsChild>
    </w:div>
    <w:div w:id="897084861">
      <w:bodyDiv w:val="1"/>
      <w:marLeft w:val="0"/>
      <w:marRight w:val="0"/>
      <w:marTop w:val="0"/>
      <w:marBottom w:val="0"/>
      <w:divBdr>
        <w:top w:val="none" w:sz="0" w:space="0" w:color="auto"/>
        <w:left w:val="none" w:sz="0" w:space="0" w:color="auto"/>
        <w:bottom w:val="none" w:sz="0" w:space="0" w:color="auto"/>
        <w:right w:val="none" w:sz="0" w:space="0" w:color="auto"/>
      </w:divBdr>
    </w:div>
    <w:div w:id="960569500">
      <w:bodyDiv w:val="1"/>
      <w:marLeft w:val="0"/>
      <w:marRight w:val="0"/>
      <w:marTop w:val="0"/>
      <w:marBottom w:val="0"/>
      <w:divBdr>
        <w:top w:val="none" w:sz="0" w:space="0" w:color="auto"/>
        <w:left w:val="none" w:sz="0" w:space="0" w:color="auto"/>
        <w:bottom w:val="none" w:sz="0" w:space="0" w:color="auto"/>
        <w:right w:val="none" w:sz="0" w:space="0" w:color="auto"/>
      </w:divBdr>
    </w:div>
    <w:div w:id="982469369">
      <w:bodyDiv w:val="1"/>
      <w:marLeft w:val="0"/>
      <w:marRight w:val="0"/>
      <w:marTop w:val="0"/>
      <w:marBottom w:val="0"/>
      <w:divBdr>
        <w:top w:val="none" w:sz="0" w:space="0" w:color="auto"/>
        <w:left w:val="none" w:sz="0" w:space="0" w:color="auto"/>
        <w:bottom w:val="none" w:sz="0" w:space="0" w:color="auto"/>
        <w:right w:val="none" w:sz="0" w:space="0" w:color="auto"/>
      </w:divBdr>
    </w:div>
    <w:div w:id="1000229341">
      <w:bodyDiv w:val="1"/>
      <w:marLeft w:val="0"/>
      <w:marRight w:val="0"/>
      <w:marTop w:val="0"/>
      <w:marBottom w:val="0"/>
      <w:divBdr>
        <w:top w:val="none" w:sz="0" w:space="0" w:color="auto"/>
        <w:left w:val="none" w:sz="0" w:space="0" w:color="auto"/>
        <w:bottom w:val="none" w:sz="0" w:space="0" w:color="auto"/>
        <w:right w:val="none" w:sz="0" w:space="0" w:color="auto"/>
      </w:divBdr>
      <w:divsChild>
        <w:div w:id="1091196465">
          <w:marLeft w:val="547"/>
          <w:marRight w:val="0"/>
          <w:marTop w:val="86"/>
          <w:marBottom w:val="0"/>
          <w:divBdr>
            <w:top w:val="none" w:sz="0" w:space="0" w:color="auto"/>
            <w:left w:val="none" w:sz="0" w:space="0" w:color="auto"/>
            <w:bottom w:val="none" w:sz="0" w:space="0" w:color="auto"/>
            <w:right w:val="none" w:sz="0" w:space="0" w:color="auto"/>
          </w:divBdr>
        </w:div>
      </w:divsChild>
    </w:div>
    <w:div w:id="1012875877">
      <w:bodyDiv w:val="1"/>
      <w:marLeft w:val="0"/>
      <w:marRight w:val="0"/>
      <w:marTop w:val="0"/>
      <w:marBottom w:val="0"/>
      <w:divBdr>
        <w:top w:val="none" w:sz="0" w:space="0" w:color="auto"/>
        <w:left w:val="none" w:sz="0" w:space="0" w:color="auto"/>
        <w:bottom w:val="none" w:sz="0" w:space="0" w:color="auto"/>
        <w:right w:val="none" w:sz="0" w:space="0" w:color="auto"/>
      </w:divBdr>
      <w:divsChild>
        <w:div w:id="639185818">
          <w:marLeft w:val="720"/>
          <w:marRight w:val="0"/>
          <w:marTop w:val="96"/>
          <w:marBottom w:val="0"/>
          <w:divBdr>
            <w:top w:val="none" w:sz="0" w:space="0" w:color="auto"/>
            <w:left w:val="none" w:sz="0" w:space="0" w:color="auto"/>
            <w:bottom w:val="none" w:sz="0" w:space="0" w:color="auto"/>
            <w:right w:val="none" w:sz="0" w:space="0" w:color="auto"/>
          </w:divBdr>
        </w:div>
      </w:divsChild>
    </w:div>
    <w:div w:id="1019893762">
      <w:bodyDiv w:val="1"/>
      <w:marLeft w:val="0"/>
      <w:marRight w:val="0"/>
      <w:marTop w:val="0"/>
      <w:marBottom w:val="0"/>
      <w:divBdr>
        <w:top w:val="none" w:sz="0" w:space="0" w:color="auto"/>
        <w:left w:val="none" w:sz="0" w:space="0" w:color="auto"/>
        <w:bottom w:val="none" w:sz="0" w:space="0" w:color="auto"/>
        <w:right w:val="none" w:sz="0" w:space="0" w:color="auto"/>
      </w:divBdr>
    </w:div>
    <w:div w:id="1021052243">
      <w:bodyDiv w:val="1"/>
      <w:marLeft w:val="0"/>
      <w:marRight w:val="0"/>
      <w:marTop w:val="0"/>
      <w:marBottom w:val="0"/>
      <w:divBdr>
        <w:top w:val="none" w:sz="0" w:space="0" w:color="auto"/>
        <w:left w:val="none" w:sz="0" w:space="0" w:color="auto"/>
        <w:bottom w:val="none" w:sz="0" w:space="0" w:color="auto"/>
        <w:right w:val="none" w:sz="0" w:space="0" w:color="auto"/>
      </w:divBdr>
    </w:div>
    <w:div w:id="1060907231">
      <w:bodyDiv w:val="1"/>
      <w:marLeft w:val="0"/>
      <w:marRight w:val="0"/>
      <w:marTop w:val="0"/>
      <w:marBottom w:val="0"/>
      <w:divBdr>
        <w:top w:val="none" w:sz="0" w:space="0" w:color="auto"/>
        <w:left w:val="none" w:sz="0" w:space="0" w:color="auto"/>
        <w:bottom w:val="none" w:sz="0" w:space="0" w:color="auto"/>
        <w:right w:val="none" w:sz="0" w:space="0" w:color="auto"/>
      </w:divBdr>
    </w:div>
    <w:div w:id="1097675705">
      <w:bodyDiv w:val="1"/>
      <w:marLeft w:val="0"/>
      <w:marRight w:val="0"/>
      <w:marTop w:val="0"/>
      <w:marBottom w:val="0"/>
      <w:divBdr>
        <w:top w:val="none" w:sz="0" w:space="0" w:color="auto"/>
        <w:left w:val="none" w:sz="0" w:space="0" w:color="auto"/>
        <w:bottom w:val="none" w:sz="0" w:space="0" w:color="auto"/>
        <w:right w:val="none" w:sz="0" w:space="0" w:color="auto"/>
      </w:divBdr>
    </w:div>
    <w:div w:id="1202405452">
      <w:bodyDiv w:val="1"/>
      <w:marLeft w:val="0"/>
      <w:marRight w:val="0"/>
      <w:marTop w:val="0"/>
      <w:marBottom w:val="0"/>
      <w:divBdr>
        <w:top w:val="none" w:sz="0" w:space="0" w:color="auto"/>
        <w:left w:val="none" w:sz="0" w:space="0" w:color="auto"/>
        <w:bottom w:val="none" w:sz="0" w:space="0" w:color="auto"/>
        <w:right w:val="none" w:sz="0" w:space="0" w:color="auto"/>
      </w:divBdr>
    </w:div>
    <w:div w:id="1239945888">
      <w:bodyDiv w:val="1"/>
      <w:marLeft w:val="0"/>
      <w:marRight w:val="0"/>
      <w:marTop w:val="0"/>
      <w:marBottom w:val="0"/>
      <w:divBdr>
        <w:top w:val="none" w:sz="0" w:space="0" w:color="auto"/>
        <w:left w:val="none" w:sz="0" w:space="0" w:color="auto"/>
        <w:bottom w:val="none" w:sz="0" w:space="0" w:color="auto"/>
        <w:right w:val="none" w:sz="0" w:space="0" w:color="auto"/>
      </w:divBdr>
    </w:div>
    <w:div w:id="1240287733">
      <w:bodyDiv w:val="1"/>
      <w:marLeft w:val="0"/>
      <w:marRight w:val="0"/>
      <w:marTop w:val="0"/>
      <w:marBottom w:val="0"/>
      <w:divBdr>
        <w:top w:val="none" w:sz="0" w:space="0" w:color="auto"/>
        <w:left w:val="none" w:sz="0" w:space="0" w:color="auto"/>
        <w:bottom w:val="none" w:sz="0" w:space="0" w:color="auto"/>
        <w:right w:val="none" w:sz="0" w:space="0" w:color="auto"/>
      </w:divBdr>
    </w:div>
    <w:div w:id="1345010169">
      <w:bodyDiv w:val="1"/>
      <w:marLeft w:val="0"/>
      <w:marRight w:val="0"/>
      <w:marTop w:val="0"/>
      <w:marBottom w:val="0"/>
      <w:divBdr>
        <w:top w:val="none" w:sz="0" w:space="0" w:color="auto"/>
        <w:left w:val="none" w:sz="0" w:space="0" w:color="auto"/>
        <w:bottom w:val="none" w:sz="0" w:space="0" w:color="auto"/>
        <w:right w:val="none" w:sz="0" w:space="0" w:color="auto"/>
      </w:divBdr>
    </w:div>
    <w:div w:id="1346521198">
      <w:bodyDiv w:val="1"/>
      <w:marLeft w:val="0"/>
      <w:marRight w:val="0"/>
      <w:marTop w:val="0"/>
      <w:marBottom w:val="0"/>
      <w:divBdr>
        <w:top w:val="none" w:sz="0" w:space="0" w:color="auto"/>
        <w:left w:val="none" w:sz="0" w:space="0" w:color="auto"/>
        <w:bottom w:val="none" w:sz="0" w:space="0" w:color="auto"/>
        <w:right w:val="none" w:sz="0" w:space="0" w:color="auto"/>
      </w:divBdr>
    </w:div>
    <w:div w:id="1358969810">
      <w:bodyDiv w:val="1"/>
      <w:marLeft w:val="0"/>
      <w:marRight w:val="0"/>
      <w:marTop w:val="0"/>
      <w:marBottom w:val="0"/>
      <w:divBdr>
        <w:top w:val="none" w:sz="0" w:space="0" w:color="auto"/>
        <w:left w:val="none" w:sz="0" w:space="0" w:color="auto"/>
        <w:bottom w:val="none" w:sz="0" w:space="0" w:color="auto"/>
        <w:right w:val="none" w:sz="0" w:space="0" w:color="auto"/>
      </w:divBdr>
    </w:div>
    <w:div w:id="1478036351">
      <w:bodyDiv w:val="1"/>
      <w:marLeft w:val="0"/>
      <w:marRight w:val="0"/>
      <w:marTop w:val="0"/>
      <w:marBottom w:val="0"/>
      <w:divBdr>
        <w:top w:val="none" w:sz="0" w:space="0" w:color="auto"/>
        <w:left w:val="none" w:sz="0" w:space="0" w:color="auto"/>
        <w:bottom w:val="none" w:sz="0" w:space="0" w:color="auto"/>
        <w:right w:val="none" w:sz="0" w:space="0" w:color="auto"/>
      </w:divBdr>
    </w:div>
    <w:div w:id="1544444352">
      <w:bodyDiv w:val="1"/>
      <w:marLeft w:val="0"/>
      <w:marRight w:val="0"/>
      <w:marTop w:val="0"/>
      <w:marBottom w:val="0"/>
      <w:divBdr>
        <w:top w:val="none" w:sz="0" w:space="0" w:color="auto"/>
        <w:left w:val="none" w:sz="0" w:space="0" w:color="auto"/>
        <w:bottom w:val="none" w:sz="0" w:space="0" w:color="auto"/>
        <w:right w:val="none" w:sz="0" w:space="0" w:color="auto"/>
      </w:divBdr>
    </w:div>
    <w:div w:id="1578901316">
      <w:bodyDiv w:val="1"/>
      <w:marLeft w:val="0"/>
      <w:marRight w:val="0"/>
      <w:marTop w:val="0"/>
      <w:marBottom w:val="0"/>
      <w:divBdr>
        <w:top w:val="none" w:sz="0" w:space="0" w:color="auto"/>
        <w:left w:val="none" w:sz="0" w:space="0" w:color="auto"/>
        <w:bottom w:val="none" w:sz="0" w:space="0" w:color="auto"/>
        <w:right w:val="none" w:sz="0" w:space="0" w:color="auto"/>
      </w:divBdr>
    </w:div>
    <w:div w:id="1614745195">
      <w:bodyDiv w:val="1"/>
      <w:marLeft w:val="0"/>
      <w:marRight w:val="0"/>
      <w:marTop w:val="0"/>
      <w:marBottom w:val="0"/>
      <w:divBdr>
        <w:top w:val="none" w:sz="0" w:space="0" w:color="auto"/>
        <w:left w:val="none" w:sz="0" w:space="0" w:color="auto"/>
        <w:bottom w:val="none" w:sz="0" w:space="0" w:color="auto"/>
        <w:right w:val="none" w:sz="0" w:space="0" w:color="auto"/>
      </w:divBdr>
    </w:div>
    <w:div w:id="1633443328">
      <w:bodyDiv w:val="1"/>
      <w:marLeft w:val="0"/>
      <w:marRight w:val="0"/>
      <w:marTop w:val="0"/>
      <w:marBottom w:val="0"/>
      <w:divBdr>
        <w:top w:val="none" w:sz="0" w:space="0" w:color="auto"/>
        <w:left w:val="none" w:sz="0" w:space="0" w:color="auto"/>
        <w:bottom w:val="none" w:sz="0" w:space="0" w:color="auto"/>
        <w:right w:val="none" w:sz="0" w:space="0" w:color="auto"/>
      </w:divBdr>
    </w:div>
    <w:div w:id="1633904382">
      <w:bodyDiv w:val="1"/>
      <w:marLeft w:val="0"/>
      <w:marRight w:val="0"/>
      <w:marTop w:val="0"/>
      <w:marBottom w:val="0"/>
      <w:divBdr>
        <w:top w:val="none" w:sz="0" w:space="0" w:color="auto"/>
        <w:left w:val="none" w:sz="0" w:space="0" w:color="auto"/>
        <w:bottom w:val="none" w:sz="0" w:space="0" w:color="auto"/>
        <w:right w:val="none" w:sz="0" w:space="0" w:color="auto"/>
      </w:divBdr>
    </w:div>
    <w:div w:id="1738474591">
      <w:bodyDiv w:val="1"/>
      <w:marLeft w:val="0"/>
      <w:marRight w:val="0"/>
      <w:marTop w:val="0"/>
      <w:marBottom w:val="0"/>
      <w:divBdr>
        <w:top w:val="none" w:sz="0" w:space="0" w:color="auto"/>
        <w:left w:val="none" w:sz="0" w:space="0" w:color="auto"/>
        <w:bottom w:val="none" w:sz="0" w:space="0" w:color="auto"/>
        <w:right w:val="none" w:sz="0" w:space="0" w:color="auto"/>
      </w:divBdr>
      <w:divsChild>
        <w:div w:id="740055832">
          <w:marLeft w:val="547"/>
          <w:marRight w:val="0"/>
          <w:marTop w:val="86"/>
          <w:marBottom w:val="0"/>
          <w:divBdr>
            <w:top w:val="none" w:sz="0" w:space="0" w:color="auto"/>
            <w:left w:val="none" w:sz="0" w:space="0" w:color="auto"/>
            <w:bottom w:val="none" w:sz="0" w:space="0" w:color="auto"/>
            <w:right w:val="none" w:sz="0" w:space="0" w:color="auto"/>
          </w:divBdr>
        </w:div>
        <w:div w:id="782771013">
          <w:marLeft w:val="547"/>
          <w:marRight w:val="0"/>
          <w:marTop w:val="86"/>
          <w:marBottom w:val="0"/>
          <w:divBdr>
            <w:top w:val="none" w:sz="0" w:space="0" w:color="auto"/>
            <w:left w:val="none" w:sz="0" w:space="0" w:color="auto"/>
            <w:bottom w:val="none" w:sz="0" w:space="0" w:color="auto"/>
            <w:right w:val="none" w:sz="0" w:space="0" w:color="auto"/>
          </w:divBdr>
        </w:div>
        <w:div w:id="1020860440">
          <w:marLeft w:val="547"/>
          <w:marRight w:val="0"/>
          <w:marTop w:val="86"/>
          <w:marBottom w:val="0"/>
          <w:divBdr>
            <w:top w:val="none" w:sz="0" w:space="0" w:color="auto"/>
            <w:left w:val="none" w:sz="0" w:space="0" w:color="auto"/>
            <w:bottom w:val="none" w:sz="0" w:space="0" w:color="auto"/>
            <w:right w:val="none" w:sz="0" w:space="0" w:color="auto"/>
          </w:divBdr>
        </w:div>
        <w:div w:id="1537350100">
          <w:marLeft w:val="547"/>
          <w:marRight w:val="0"/>
          <w:marTop w:val="86"/>
          <w:marBottom w:val="0"/>
          <w:divBdr>
            <w:top w:val="none" w:sz="0" w:space="0" w:color="auto"/>
            <w:left w:val="none" w:sz="0" w:space="0" w:color="auto"/>
            <w:bottom w:val="none" w:sz="0" w:space="0" w:color="auto"/>
            <w:right w:val="none" w:sz="0" w:space="0" w:color="auto"/>
          </w:divBdr>
        </w:div>
        <w:div w:id="1623612218">
          <w:marLeft w:val="547"/>
          <w:marRight w:val="0"/>
          <w:marTop w:val="86"/>
          <w:marBottom w:val="0"/>
          <w:divBdr>
            <w:top w:val="none" w:sz="0" w:space="0" w:color="auto"/>
            <w:left w:val="none" w:sz="0" w:space="0" w:color="auto"/>
            <w:bottom w:val="none" w:sz="0" w:space="0" w:color="auto"/>
            <w:right w:val="none" w:sz="0" w:space="0" w:color="auto"/>
          </w:divBdr>
        </w:div>
        <w:div w:id="2074548560">
          <w:marLeft w:val="547"/>
          <w:marRight w:val="0"/>
          <w:marTop w:val="86"/>
          <w:marBottom w:val="0"/>
          <w:divBdr>
            <w:top w:val="none" w:sz="0" w:space="0" w:color="auto"/>
            <w:left w:val="none" w:sz="0" w:space="0" w:color="auto"/>
            <w:bottom w:val="none" w:sz="0" w:space="0" w:color="auto"/>
            <w:right w:val="none" w:sz="0" w:space="0" w:color="auto"/>
          </w:divBdr>
        </w:div>
      </w:divsChild>
    </w:div>
    <w:div w:id="1793552636">
      <w:bodyDiv w:val="1"/>
      <w:marLeft w:val="0"/>
      <w:marRight w:val="0"/>
      <w:marTop w:val="0"/>
      <w:marBottom w:val="0"/>
      <w:divBdr>
        <w:top w:val="none" w:sz="0" w:space="0" w:color="auto"/>
        <w:left w:val="none" w:sz="0" w:space="0" w:color="auto"/>
        <w:bottom w:val="none" w:sz="0" w:space="0" w:color="auto"/>
        <w:right w:val="none" w:sz="0" w:space="0" w:color="auto"/>
      </w:divBdr>
    </w:div>
    <w:div w:id="1847672355">
      <w:bodyDiv w:val="1"/>
      <w:marLeft w:val="0"/>
      <w:marRight w:val="0"/>
      <w:marTop w:val="0"/>
      <w:marBottom w:val="0"/>
      <w:divBdr>
        <w:top w:val="none" w:sz="0" w:space="0" w:color="auto"/>
        <w:left w:val="none" w:sz="0" w:space="0" w:color="auto"/>
        <w:bottom w:val="none" w:sz="0" w:space="0" w:color="auto"/>
        <w:right w:val="none" w:sz="0" w:space="0" w:color="auto"/>
      </w:divBdr>
    </w:div>
    <w:div w:id="1867713453">
      <w:bodyDiv w:val="1"/>
      <w:marLeft w:val="0"/>
      <w:marRight w:val="0"/>
      <w:marTop w:val="0"/>
      <w:marBottom w:val="0"/>
      <w:divBdr>
        <w:top w:val="none" w:sz="0" w:space="0" w:color="auto"/>
        <w:left w:val="none" w:sz="0" w:space="0" w:color="auto"/>
        <w:bottom w:val="none" w:sz="0" w:space="0" w:color="auto"/>
        <w:right w:val="none" w:sz="0" w:space="0" w:color="auto"/>
      </w:divBdr>
    </w:div>
    <w:div w:id="1917737355">
      <w:bodyDiv w:val="1"/>
      <w:marLeft w:val="0"/>
      <w:marRight w:val="0"/>
      <w:marTop w:val="0"/>
      <w:marBottom w:val="0"/>
      <w:divBdr>
        <w:top w:val="none" w:sz="0" w:space="0" w:color="auto"/>
        <w:left w:val="none" w:sz="0" w:space="0" w:color="auto"/>
        <w:bottom w:val="none" w:sz="0" w:space="0" w:color="auto"/>
        <w:right w:val="none" w:sz="0" w:space="0" w:color="auto"/>
      </w:divBdr>
    </w:div>
    <w:div w:id="1950156555">
      <w:bodyDiv w:val="1"/>
      <w:marLeft w:val="0"/>
      <w:marRight w:val="0"/>
      <w:marTop w:val="0"/>
      <w:marBottom w:val="0"/>
      <w:divBdr>
        <w:top w:val="none" w:sz="0" w:space="0" w:color="auto"/>
        <w:left w:val="none" w:sz="0" w:space="0" w:color="auto"/>
        <w:bottom w:val="none" w:sz="0" w:space="0" w:color="auto"/>
        <w:right w:val="none" w:sz="0" w:space="0" w:color="auto"/>
      </w:divBdr>
      <w:divsChild>
        <w:div w:id="562562775">
          <w:marLeft w:val="0"/>
          <w:marRight w:val="0"/>
          <w:marTop w:val="0"/>
          <w:marBottom w:val="0"/>
          <w:divBdr>
            <w:top w:val="none" w:sz="0" w:space="0" w:color="auto"/>
            <w:left w:val="none" w:sz="0" w:space="0" w:color="auto"/>
            <w:bottom w:val="none" w:sz="0" w:space="0" w:color="auto"/>
            <w:right w:val="none" w:sz="0" w:space="0" w:color="auto"/>
          </w:divBdr>
          <w:divsChild>
            <w:div w:id="1023482376">
              <w:marLeft w:val="0"/>
              <w:marRight w:val="0"/>
              <w:marTop w:val="0"/>
              <w:marBottom w:val="0"/>
              <w:divBdr>
                <w:top w:val="none" w:sz="0" w:space="0" w:color="auto"/>
                <w:left w:val="none" w:sz="0" w:space="0" w:color="auto"/>
                <w:bottom w:val="none" w:sz="0" w:space="0" w:color="auto"/>
                <w:right w:val="none" w:sz="0" w:space="0" w:color="auto"/>
              </w:divBdr>
              <w:divsChild>
                <w:div w:id="278335998">
                  <w:marLeft w:val="0"/>
                  <w:marRight w:val="0"/>
                  <w:marTop w:val="0"/>
                  <w:marBottom w:val="0"/>
                  <w:divBdr>
                    <w:top w:val="none" w:sz="0" w:space="0" w:color="auto"/>
                    <w:left w:val="none" w:sz="0" w:space="0" w:color="auto"/>
                    <w:bottom w:val="none" w:sz="0" w:space="0" w:color="auto"/>
                    <w:right w:val="none" w:sz="0" w:space="0" w:color="auto"/>
                  </w:divBdr>
                  <w:divsChild>
                    <w:div w:id="1410075205">
                      <w:marLeft w:val="0"/>
                      <w:marRight w:val="0"/>
                      <w:marTop w:val="0"/>
                      <w:marBottom w:val="0"/>
                      <w:divBdr>
                        <w:top w:val="none" w:sz="0" w:space="0" w:color="auto"/>
                        <w:left w:val="none" w:sz="0" w:space="0" w:color="auto"/>
                        <w:bottom w:val="none" w:sz="0" w:space="0" w:color="auto"/>
                        <w:right w:val="none" w:sz="0" w:space="0" w:color="auto"/>
                      </w:divBdr>
                      <w:divsChild>
                        <w:div w:id="1244023091">
                          <w:marLeft w:val="0"/>
                          <w:marRight w:val="0"/>
                          <w:marTop w:val="0"/>
                          <w:marBottom w:val="0"/>
                          <w:divBdr>
                            <w:top w:val="none" w:sz="0" w:space="0" w:color="auto"/>
                            <w:left w:val="none" w:sz="0" w:space="0" w:color="auto"/>
                            <w:bottom w:val="none" w:sz="0" w:space="0" w:color="auto"/>
                            <w:right w:val="none" w:sz="0" w:space="0" w:color="auto"/>
                          </w:divBdr>
                          <w:divsChild>
                            <w:div w:id="345180589">
                              <w:marLeft w:val="0"/>
                              <w:marRight w:val="0"/>
                              <w:marTop w:val="0"/>
                              <w:marBottom w:val="0"/>
                              <w:divBdr>
                                <w:top w:val="none" w:sz="0" w:space="0" w:color="auto"/>
                                <w:left w:val="none" w:sz="0" w:space="0" w:color="auto"/>
                                <w:bottom w:val="none" w:sz="0" w:space="0" w:color="auto"/>
                                <w:right w:val="none" w:sz="0" w:space="0" w:color="auto"/>
                              </w:divBdr>
                              <w:divsChild>
                                <w:div w:id="837160478">
                                  <w:marLeft w:val="0"/>
                                  <w:marRight w:val="0"/>
                                  <w:marTop w:val="0"/>
                                  <w:marBottom w:val="0"/>
                                  <w:divBdr>
                                    <w:top w:val="none" w:sz="0" w:space="0" w:color="auto"/>
                                    <w:left w:val="none" w:sz="0" w:space="0" w:color="auto"/>
                                    <w:bottom w:val="none" w:sz="0" w:space="0" w:color="auto"/>
                                    <w:right w:val="none" w:sz="0" w:space="0" w:color="auto"/>
                                  </w:divBdr>
                                  <w:divsChild>
                                    <w:div w:id="1642929996">
                                      <w:marLeft w:val="0"/>
                                      <w:marRight w:val="0"/>
                                      <w:marTop w:val="0"/>
                                      <w:marBottom w:val="0"/>
                                      <w:divBdr>
                                        <w:top w:val="none" w:sz="0" w:space="0" w:color="auto"/>
                                        <w:left w:val="none" w:sz="0" w:space="0" w:color="auto"/>
                                        <w:bottom w:val="none" w:sz="0" w:space="0" w:color="auto"/>
                                        <w:right w:val="none" w:sz="0" w:space="0" w:color="auto"/>
                                      </w:divBdr>
                                      <w:divsChild>
                                        <w:div w:id="1736005250">
                                          <w:marLeft w:val="0"/>
                                          <w:marRight w:val="0"/>
                                          <w:marTop w:val="0"/>
                                          <w:marBottom w:val="0"/>
                                          <w:divBdr>
                                            <w:top w:val="none" w:sz="0" w:space="0" w:color="auto"/>
                                            <w:left w:val="none" w:sz="0" w:space="0" w:color="auto"/>
                                            <w:bottom w:val="none" w:sz="0" w:space="0" w:color="auto"/>
                                            <w:right w:val="none" w:sz="0" w:space="0" w:color="auto"/>
                                          </w:divBdr>
                                          <w:divsChild>
                                            <w:div w:id="1398818647">
                                              <w:marLeft w:val="0"/>
                                              <w:marRight w:val="0"/>
                                              <w:marTop w:val="0"/>
                                              <w:marBottom w:val="0"/>
                                              <w:divBdr>
                                                <w:top w:val="none" w:sz="0" w:space="0" w:color="auto"/>
                                                <w:left w:val="none" w:sz="0" w:space="0" w:color="auto"/>
                                                <w:bottom w:val="none" w:sz="0" w:space="0" w:color="auto"/>
                                                <w:right w:val="none" w:sz="0" w:space="0" w:color="auto"/>
                                              </w:divBdr>
                                              <w:divsChild>
                                                <w:div w:id="210771378">
                                                  <w:marLeft w:val="0"/>
                                                  <w:marRight w:val="0"/>
                                                  <w:marTop w:val="0"/>
                                                  <w:marBottom w:val="0"/>
                                                  <w:divBdr>
                                                    <w:top w:val="none" w:sz="0" w:space="0" w:color="auto"/>
                                                    <w:left w:val="none" w:sz="0" w:space="0" w:color="auto"/>
                                                    <w:bottom w:val="none" w:sz="0" w:space="0" w:color="auto"/>
                                                    <w:right w:val="none" w:sz="0" w:space="0" w:color="auto"/>
                                                  </w:divBdr>
                                                  <w:divsChild>
                                                    <w:div w:id="670985190">
                                                      <w:marLeft w:val="0"/>
                                                      <w:marRight w:val="0"/>
                                                      <w:marTop w:val="0"/>
                                                      <w:marBottom w:val="0"/>
                                                      <w:divBdr>
                                                        <w:top w:val="none" w:sz="0" w:space="0" w:color="auto"/>
                                                        <w:left w:val="none" w:sz="0" w:space="0" w:color="auto"/>
                                                        <w:bottom w:val="none" w:sz="0" w:space="0" w:color="auto"/>
                                                        <w:right w:val="none" w:sz="0" w:space="0" w:color="auto"/>
                                                      </w:divBdr>
                                                      <w:divsChild>
                                                        <w:div w:id="304822170">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518204305">
                                                                  <w:marLeft w:val="0"/>
                                                                  <w:marRight w:val="0"/>
                                                                  <w:marTop w:val="0"/>
                                                                  <w:marBottom w:val="0"/>
                                                                  <w:divBdr>
                                                                    <w:top w:val="none" w:sz="0" w:space="0" w:color="auto"/>
                                                                    <w:left w:val="none" w:sz="0" w:space="0" w:color="auto"/>
                                                                    <w:bottom w:val="none" w:sz="0" w:space="0" w:color="auto"/>
                                                                    <w:right w:val="none" w:sz="0" w:space="0" w:color="auto"/>
                                                                  </w:divBdr>
                                                                  <w:divsChild>
                                                                    <w:div w:id="107626643">
                                                                      <w:marLeft w:val="0"/>
                                                                      <w:marRight w:val="0"/>
                                                                      <w:marTop w:val="0"/>
                                                                      <w:marBottom w:val="120"/>
                                                                      <w:divBdr>
                                                                        <w:top w:val="none" w:sz="0" w:space="0" w:color="auto"/>
                                                                        <w:left w:val="none" w:sz="0" w:space="0" w:color="auto"/>
                                                                        <w:bottom w:val="none" w:sz="0" w:space="0" w:color="auto"/>
                                                                        <w:right w:val="none" w:sz="0" w:space="0" w:color="auto"/>
                                                                      </w:divBdr>
                                                                      <w:divsChild>
                                                                        <w:div w:id="1857377546">
                                                                          <w:marLeft w:val="0"/>
                                                                          <w:marRight w:val="0"/>
                                                                          <w:marTop w:val="0"/>
                                                                          <w:marBottom w:val="0"/>
                                                                          <w:divBdr>
                                                                            <w:top w:val="none" w:sz="0" w:space="0" w:color="auto"/>
                                                                            <w:left w:val="none" w:sz="0" w:space="0" w:color="auto"/>
                                                                            <w:bottom w:val="none" w:sz="0" w:space="0" w:color="auto"/>
                                                                            <w:right w:val="none" w:sz="0" w:space="0" w:color="auto"/>
                                                                          </w:divBdr>
                                                                        </w:div>
                                                                      </w:divsChild>
                                                                    </w:div>
                                                                    <w:div w:id="166210437">
                                                                      <w:marLeft w:val="0"/>
                                                                      <w:marRight w:val="0"/>
                                                                      <w:marTop w:val="0"/>
                                                                      <w:marBottom w:val="0"/>
                                                                      <w:divBdr>
                                                                        <w:top w:val="none" w:sz="0" w:space="0" w:color="auto"/>
                                                                        <w:left w:val="none" w:sz="0" w:space="0" w:color="auto"/>
                                                                        <w:bottom w:val="none" w:sz="0" w:space="0" w:color="auto"/>
                                                                        <w:right w:val="none" w:sz="0" w:space="0" w:color="auto"/>
                                                                      </w:divBdr>
                                                                      <w:divsChild>
                                                                        <w:div w:id="232353616">
                                                                          <w:marLeft w:val="0"/>
                                                                          <w:marRight w:val="0"/>
                                                                          <w:marTop w:val="0"/>
                                                                          <w:marBottom w:val="0"/>
                                                                          <w:divBdr>
                                                                            <w:top w:val="none" w:sz="0" w:space="0" w:color="auto"/>
                                                                            <w:left w:val="none" w:sz="0" w:space="0" w:color="auto"/>
                                                                            <w:bottom w:val="none" w:sz="0" w:space="0" w:color="auto"/>
                                                                            <w:right w:val="none" w:sz="0" w:space="0" w:color="auto"/>
                                                                          </w:divBdr>
                                                                        </w:div>
                                                                      </w:divsChild>
                                                                    </w:div>
                                                                    <w:div w:id="392700283">
                                                                      <w:marLeft w:val="720"/>
                                                                      <w:marRight w:val="0"/>
                                                                      <w:marTop w:val="0"/>
                                                                      <w:marBottom w:val="0"/>
                                                                      <w:divBdr>
                                                                        <w:top w:val="none" w:sz="0" w:space="0" w:color="auto"/>
                                                                        <w:left w:val="none" w:sz="0" w:space="0" w:color="auto"/>
                                                                        <w:bottom w:val="none" w:sz="0" w:space="0" w:color="auto"/>
                                                                        <w:right w:val="none" w:sz="0" w:space="0" w:color="auto"/>
                                                                      </w:divBdr>
                                                                      <w:divsChild>
                                                                        <w:div w:id="65154582">
                                                                          <w:marLeft w:val="0"/>
                                                                          <w:marRight w:val="0"/>
                                                                          <w:marTop w:val="0"/>
                                                                          <w:marBottom w:val="0"/>
                                                                          <w:divBdr>
                                                                            <w:top w:val="none" w:sz="0" w:space="0" w:color="auto"/>
                                                                            <w:left w:val="none" w:sz="0" w:space="0" w:color="auto"/>
                                                                            <w:bottom w:val="none" w:sz="0" w:space="0" w:color="auto"/>
                                                                            <w:right w:val="none" w:sz="0" w:space="0" w:color="auto"/>
                                                                          </w:divBdr>
                                                                        </w:div>
                                                                      </w:divsChild>
                                                                    </w:div>
                                                                    <w:div w:id="556861874">
                                                                      <w:marLeft w:val="720"/>
                                                                      <w:marRight w:val="0"/>
                                                                      <w:marTop w:val="120"/>
                                                                      <w:marBottom w:val="120"/>
                                                                      <w:divBdr>
                                                                        <w:top w:val="none" w:sz="0" w:space="0" w:color="auto"/>
                                                                        <w:left w:val="none" w:sz="0" w:space="0" w:color="auto"/>
                                                                        <w:bottom w:val="none" w:sz="0" w:space="0" w:color="auto"/>
                                                                        <w:right w:val="none" w:sz="0" w:space="0" w:color="auto"/>
                                                                      </w:divBdr>
                                                                      <w:divsChild>
                                                                        <w:div w:id="1086724859">
                                                                          <w:marLeft w:val="0"/>
                                                                          <w:marRight w:val="0"/>
                                                                          <w:marTop w:val="0"/>
                                                                          <w:marBottom w:val="0"/>
                                                                          <w:divBdr>
                                                                            <w:top w:val="none" w:sz="0" w:space="0" w:color="auto"/>
                                                                            <w:left w:val="none" w:sz="0" w:space="0" w:color="auto"/>
                                                                            <w:bottom w:val="none" w:sz="0" w:space="0" w:color="auto"/>
                                                                            <w:right w:val="none" w:sz="0" w:space="0" w:color="auto"/>
                                                                          </w:divBdr>
                                                                        </w:div>
                                                                      </w:divsChild>
                                                                    </w:div>
                                                                    <w:div w:id="646589835">
                                                                      <w:marLeft w:val="0"/>
                                                                      <w:marRight w:val="0"/>
                                                                      <w:marTop w:val="0"/>
                                                                      <w:marBottom w:val="0"/>
                                                                      <w:divBdr>
                                                                        <w:top w:val="none" w:sz="0" w:space="0" w:color="auto"/>
                                                                        <w:left w:val="none" w:sz="0" w:space="0" w:color="auto"/>
                                                                        <w:bottom w:val="none" w:sz="0" w:space="0" w:color="auto"/>
                                                                        <w:right w:val="none" w:sz="0" w:space="0" w:color="auto"/>
                                                                      </w:divBdr>
                                                                      <w:divsChild>
                                                                        <w:div w:id="689261571">
                                                                          <w:marLeft w:val="0"/>
                                                                          <w:marRight w:val="0"/>
                                                                          <w:marTop w:val="0"/>
                                                                          <w:marBottom w:val="0"/>
                                                                          <w:divBdr>
                                                                            <w:top w:val="none" w:sz="0" w:space="0" w:color="auto"/>
                                                                            <w:left w:val="none" w:sz="0" w:space="0" w:color="auto"/>
                                                                            <w:bottom w:val="none" w:sz="0" w:space="0" w:color="auto"/>
                                                                            <w:right w:val="none" w:sz="0" w:space="0" w:color="auto"/>
                                                                          </w:divBdr>
                                                                        </w:div>
                                                                      </w:divsChild>
                                                                    </w:div>
                                                                    <w:div w:id="772240736">
                                                                      <w:marLeft w:val="0"/>
                                                                      <w:marRight w:val="0"/>
                                                                      <w:marTop w:val="0"/>
                                                                      <w:marBottom w:val="0"/>
                                                                      <w:divBdr>
                                                                        <w:top w:val="none" w:sz="0" w:space="0" w:color="auto"/>
                                                                        <w:left w:val="none" w:sz="0" w:space="0" w:color="auto"/>
                                                                        <w:bottom w:val="none" w:sz="0" w:space="0" w:color="auto"/>
                                                                        <w:right w:val="none" w:sz="0" w:space="0" w:color="auto"/>
                                                                      </w:divBdr>
                                                                      <w:divsChild>
                                                                        <w:div w:id="1589997086">
                                                                          <w:marLeft w:val="0"/>
                                                                          <w:marRight w:val="0"/>
                                                                          <w:marTop w:val="0"/>
                                                                          <w:marBottom w:val="0"/>
                                                                          <w:divBdr>
                                                                            <w:top w:val="none" w:sz="0" w:space="0" w:color="auto"/>
                                                                            <w:left w:val="none" w:sz="0" w:space="0" w:color="auto"/>
                                                                            <w:bottom w:val="none" w:sz="0" w:space="0" w:color="auto"/>
                                                                            <w:right w:val="none" w:sz="0" w:space="0" w:color="auto"/>
                                                                          </w:divBdr>
                                                                        </w:div>
                                                                      </w:divsChild>
                                                                    </w:div>
                                                                    <w:div w:id="908613572">
                                                                      <w:marLeft w:val="0"/>
                                                                      <w:marRight w:val="0"/>
                                                                      <w:marTop w:val="0"/>
                                                                      <w:marBottom w:val="0"/>
                                                                      <w:divBdr>
                                                                        <w:top w:val="none" w:sz="0" w:space="0" w:color="auto"/>
                                                                        <w:left w:val="none" w:sz="0" w:space="0" w:color="auto"/>
                                                                        <w:bottom w:val="none" w:sz="0" w:space="0" w:color="auto"/>
                                                                        <w:right w:val="none" w:sz="0" w:space="0" w:color="auto"/>
                                                                      </w:divBdr>
                                                                      <w:divsChild>
                                                                        <w:div w:id="138965378">
                                                                          <w:marLeft w:val="0"/>
                                                                          <w:marRight w:val="0"/>
                                                                          <w:marTop w:val="0"/>
                                                                          <w:marBottom w:val="0"/>
                                                                          <w:divBdr>
                                                                            <w:top w:val="none" w:sz="0" w:space="0" w:color="auto"/>
                                                                            <w:left w:val="none" w:sz="0" w:space="0" w:color="auto"/>
                                                                            <w:bottom w:val="none" w:sz="0" w:space="0" w:color="auto"/>
                                                                            <w:right w:val="none" w:sz="0" w:space="0" w:color="auto"/>
                                                                          </w:divBdr>
                                                                        </w:div>
                                                                      </w:divsChild>
                                                                    </w:div>
                                                                    <w:div w:id="951475785">
                                                                      <w:marLeft w:val="0"/>
                                                                      <w:marRight w:val="0"/>
                                                                      <w:marTop w:val="0"/>
                                                                      <w:marBottom w:val="0"/>
                                                                      <w:divBdr>
                                                                        <w:top w:val="none" w:sz="0" w:space="0" w:color="auto"/>
                                                                        <w:left w:val="none" w:sz="0" w:space="0" w:color="auto"/>
                                                                        <w:bottom w:val="none" w:sz="0" w:space="0" w:color="auto"/>
                                                                        <w:right w:val="none" w:sz="0" w:space="0" w:color="auto"/>
                                                                      </w:divBdr>
                                                                      <w:divsChild>
                                                                        <w:div w:id="230778255">
                                                                          <w:marLeft w:val="0"/>
                                                                          <w:marRight w:val="0"/>
                                                                          <w:marTop w:val="0"/>
                                                                          <w:marBottom w:val="0"/>
                                                                          <w:divBdr>
                                                                            <w:top w:val="none" w:sz="0" w:space="0" w:color="auto"/>
                                                                            <w:left w:val="none" w:sz="0" w:space="0" w:color="auto"/>
                                                                            <w:bottom w:val="none" w:sz="0" w:space="0" w:color="auto"/>
                                                                            <w:right w:val="none" w:sz="0" w:space="0" w:color="auto"/>
                                                                          </w:divBdr>
                                                                        </w:div>
                                                                      </w:divsChild>
                                                                    </w:div>
                                                                    <w:div w:id="1001809427">
                                                                      <w:marLeft w:val="0"/>
                                                                      <w:marRight w:val="0"/>
                                                                      <w:marTop w:val="0"/>
                                                                      <w:marBottom w:val="0"/>
                                                                      <w:divBdr>
                                                                        <w:top w:val="none" w:sz="0" w:space="0" w:color="auto"/>
                                                                        <w:left w:val="none" w:sz="0" w:space="0" w:color="auto"/>
                                                                        <w:bottom w:val="none" w:sz="0" w:space="0" w:color="auto"/>
                                                                        <w:right w:val="none" w:sz="0" w:space="0" w:color="auto"/>
                                                                      </w:divBdr>
                                                                      <w:divsChild>
                                                                        <w:div w:id="1953854300">
                                                                          <w:marLeft w:val="0"/>
                                                                          <w:marRight w:val="0"/>
                                                                          <w:marTop w:val="0"/>
                                                                          <w:marBottom w:val="0"/>
                                                                          <w:divBdr>
                                                                            <w:top w:val="none" w:sz="0" w:space="0" w:color="auto"/>
                                                                            <w:left w:val="none" w:sz="0" w:space="0" w:color="auto"/>
                                                                            <w:bottom w:val="none" w:sz="0" w:space="0" w:color="auto"/>
                                                                            <w:right w:val="none" w:sz="0" w:space="0" w:color="auto"/>
                                                                          </w:divBdr>
                                                                        </w:div>
                                                                      </w:divsChild>
                                                                    </w:div>
                                                                    <w:div w:id="1201437277">
                                                                      <w:marLeft w:val="0"/>
                                                                      <w:marRight w:val="0"/>
                                                                      <w:marTop w:val="0"/>
                                                                      <w:marBottom w:val="0"/>
                                                                      <w:divBdr>
                                                                        <w:top w:val="none" w:sz="0" w:space="0" w:color="auto"/>
                                                                        <w:left w:val="none" w:sz="0" w:space="0" w:color="auto"/>
                                                                        <w:bottom w:val="none" w:sz="0" w:space="0" w:color="auto"/>
                                                                        <w:right w:val="none" w:sz="0" w:space="0" w:color="auto"/>
                                                                      </w:divBdr>
                                                                      <w:divsChild>
                                                                        <w:div w:id="959451906">
                                                                          <w:marLeft w:val="0"/>
                                                                          <w:marRight w:val="0"/>
                                                                          <w:marTop w:val="0"/>
                                                                          <w:marBottom w:val="0"/>
                                                                          <w:divBdr>
                                                                            <w:top w:val="none" w:sz="0" w:space="0" w:color="auto"/>
                                                                            <w:left w:val="none" w:sz="0" w:space="0" w:color="auto"/>
                                                                            <w:bottom w:val="none" w:sz="0" w:space="0" w:color="auto"/>
                                                                            <w:right w:val="none" w:sz="0" w:space="0" w:color="auto"/>
                                                                          </w:divBdr>
                                                                        </w:div>
                                                                      </w:divsChild>
                                                                    </w:div>
                                                                    <w:div w:id="1285695955">
                                                                      <w:marLeft w:val="0"/>
                                                                      <w:marRight w:val="0"/>
                                                                      <w:marTop w:val="0"/>
                                                                      <w:marBottom w:val="0"/>
                                                                      <w:divBdr>
                                                                        <w:top w:val="none" w:sz="0" w:space="0" w:color="auto"/>
                                                                        <w:left w:val="none" w:sz="0" w:space="0" w:color="auto"/>
                                                                        <w:bottom w:val="none" w:sz="0" w:space="0" w:color="auto"/>
                                                                        <w:right w:val="none" w:sz="0" w:space="0" w:color="auto"/>
                                                                      </w:divBdr>
                                                                      <w:divsChild>
                                                                        <w:div w:id="1399595906">
                                                                          <w:marLeft w:val="0"/>
                                                                          <w:marRight w:val="0"/>
                                                                          <w:marTop w:val="0"/>
                                                                          <w:marBottom w:val="0"/>
                                                                          <w:divBdr>
                                                                            <w:top w:val="none" w:sz="0" w:space="0" w:color="auto"/>
                                                                            <w:left w:val="none" w:sz="0" w:space="0" w:color="auto"/>
                                                                            <w:bottom w:val="none" w:sz="0" w:space="0" w:color="auto"/>
                                                                            <w:right w:val="none" w:sz="0" w:space="0" w:color="auto"/>
                                                                          </w:divBdr>
                                                                        </w:div>
                                                                      </w:divsChild>
                                                                    </w:div>
                                                                    <w:div w:id="1331635912">
                                                                      <w:marLeft w:val="0"/>
                                                                      <w:marRight w:val="0"/>
                                                                      <w:marTop w:val="0"/>
                                                                      <w:marBottom w:val="0"/>
                                                                      <w:divBdr>
                                                                        <w:top w:val="none" w:sz="0" w:space="0" w:color="auto"/>
                                                                        <w:left w:val="none" w:sz="0" w:space="0" w:color="auto"/>
                                                                        <w:bottom w:val="none" w:sz="0" w:space="0" w:color="auto"/>
                                                                        <w:right w:val="none" w:sz="0" w:space="0" w:color="auto"/>
                                                                      </w:divBdr>
                                                                      <w:divsChild>
                                                                        <w:div w:id="628360431">
                                                                          <w:marLeft w:val="0"/>
                                                                          <w:marRight w:val="0"/>
                                                                          <w:marTop w:val="0"/>
                                                                          <w:marBottom w:val="0"/>
                                                                          <w:divBdr>
                                                                            <w:top w:val="none" w:sz="0" w:space="0" w:color="auto"/>
                                                                            <w:left w:val="none" w:sz="0" w:space="0" w:color="auto"/>
                                                                            <w:bottom w:val="none" w:sz="0" w:space="0" w:color="auto"/>
                                                                            <w:right w:val="none" w:sz="0" w:space="0" w:color="auto"/>
                                                                          </w:divBdr>
                                                                        </w:div>
                                                                      </w:divsChild>
                                                                    </w:div>
                                                                    <w:div w:id="1397052802">
                                                                      <w:marLeft w:val="0"/>
                                                                      <w:marRight w:val="0"/>
                                                                      <w:marTop w:val="0"/>
                                                                      <w:marBottom w:val="0"/>
                                                                      <w:divBdr>
                                                                        <w:top w:val="none" w:sz="0" w:space="0" w:color="auto"/>
                                                                        <w:left w:val="none" w:sz="0" w:space="0" w:color="auto"/>
                                                                        <w:bottom w:val="none" w:sz="0" w:space="0" w:color="auto"/>
                                                                        <w:right w:val="none" w:sz="0" w:space="0" w:color="auto"/>
                                                                      </w:divBdr>
                                                                      <w:divsChild>
                                                                        <w:div w:id="32653382">
                                                                          <w:marLeft w:val="0"/>
                                                                          <w:marRight w:val="0"/>
                                                                          <w:marTop w:val="0"/>
                                                                          <w:marBottom w:val="0"/>
                                                                          <w:divBdr>
                                                                            <w:top w:val="none" w:sz="0" w:space="0" w:color="auto"/>
                                                                            <w:left w:val="none" w:sz="0" w:space="0" w:color="auto"/>
                                                                            <w:bottom w:val="none" w:sz="0" w:space="0" w:color="auto"/>
                                                                            <w:right w:val="none" w:sz="0" w:space="0" w:color="auto"/>
                                                                          </w:divBdr>
                                                                        </w:div>
                                                                      </w:divsChild>
                                                                    </w:div>
                                                                    <w:div w:id="1477188717">
                                                                      <w:marLeft w:val="720"/>
                                                                      <w:marRight w:val="0"/>
                                                                      <w:marTop w:val="120"/>
                                                                      <w:marBottom w:val="120"/>
                                                                      <w:divBdr>
                                                                        <w:top w:val="none" w:sz="0" w:space="0" w:color="auto"/>
                                                                        <w:left w:val="none" w:sz="0" w:space="0" w:color="auto"/>
                                                                        <w:bottom w:val="none" w:sz="0" w:space="0" w:color="auto"/>
                                                                        <w:right w:val="none" w:sz="0" w:space="0" w:color="auto"/>
                                                                      </w:divBdr>
                                                                      <w:divsChild>
                                                                        <w:div w:id="2041708833">
                                                                          <w:marLeft w:val="0"/>
                                                                          <w:marRight w:val="0"/>
                                                                          <w:marTop w:val="0"/>
                                                                          <w:marBottom w:val="0"/>
                                                                          <w:divBdr>
                                                                            <w:top w:val="none" w:sz="0" w:space="0" w:color="auto"/>
                                                                            <w:left w:val="none" w:sz="0" w:space="0" w:color="auto"/>
                                                                            <w:bottom w:val="none" w:sz="0" w:space="0" w:color="auto"/>
                                                                            <w:right w:val="none" w:sz="0" w:space="0" w:color="auto"/>
                                                                          </w:divBdr>
                                                                        </w:div>
                                                                      </w:divsChild>
                                                                    </w:div>
                                                                    <w:div w:id="2074963119">
                                                                      <w:marLeft w:val="720"/>
                                                                      <w:marRight w:val="0"/>
                                                                      <w:marTop w:val="120"/>
                                                                      <w:marBottom w:val="120"/>
                                                                      <w:divBdr>
                                                                        <w:top w:val="none" w:sz="0" w:space="0" w:color="auto"/>
                                                                        <w:left w:val="none" w:sz="0" w:space="0" w:color="auto"/>
                                                                        <w:bottom w:val="none" w:sz="0" w:space="0" w:color="auto"/>
                                                                        <w:right w:val="none" w:sz="0" w:space="0" w:color="auto"/>
                                                                      </w:divBdr>
                                                                      <w:divsChild>
                                                                        <w:div w:id="192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14044">
      <w:bodyDiv w:val="1"/>
      <w:marLeft w:val="0"/>
      <w:marRight w:val="0"/>
      <w:marTop w:val="0"/>
      <w:marBottom w:val="0"/>
      <w:divBdr>
        <w:top w:val="none" w:sz="0" w:space="0" w:color="auto"/>
        <w:left w:val="none" w:sz="0" w:space="0" w:color="auto"/>
        <w:bottom w:val="none" w:sz="0" w:space="0" w:color="auto"/>
        <w:right w:val="none" w:sz="0" w:space="0" w:color="auto"/>
      </w:divBdr>
    </w:div>
    <w:div w:id="2030834162">
      <w:bodyDiv w:val="1"/>
      <w:marLeft w:val="0"/>
      <w:marRight w:val="0"/>
      <w:marTop w:val="0"/>
      <w:marBottom w:val="0"/>
      <w:divBdr>
        <w:top w:val="none" w:sz="0" w:space="0" w:color="auto"/>
        <w:left w:val="none" w:sz="0" w:space="0" w:color="auto"/>
        <w:bottom w:val="none" w:sz="0" w:space="0" w:color="auto"/>
        <w:right w:val="none" w:sz="0" w:space="0" w:color="auto"/>
      </w:divBdr>
      <w:divsChild>
        <w:div w:id="533536985">
          <w:marLeft w:val="1166"/>
          <w:marRight w:val="0"/>
          <w:marTop w:val="86"/>
          <w:marBottom w:val="0"/>
          <w:divBdr>
            <w:top w:val="none" w:sz="0" w:space="0" w:color="auto"/>
            <w:left w:val="none" w:sz="0" w:space="0" w:color="auto"/>
            <w:bottom w:val="none" w:sz="0" w:space="0" w:color="auto"/>
            <w:right w:val="none" w:sz="0" w:space="0" w:color="auto"/>
          </w:divBdr>
        </w:div>
        <w:div w:id="638799530">
          <w:marLeft w:val="1166"/>
          <w:marRight w:val="0"/>
          <w:marTop w:val="86"/>
          <w:marBottom w:val="0"/>
          <w:divBdr>
            <w:top w:val="none" w:sz="0" w:space="0" w:color="auto"/>
            <w:left w:val="none" w:sz="0" w:space="0" w:color="auto"/>
            <w:bottom w:val="none" w:sz="0" w:space="0" w:color="auto"/>
            <w:right w:val="none" w:sz="0" w:space="0" w:color="auto"/>
          </w:divBdr>
        </w:div>
        <w:div w:id="827867581">
          <w:marLeft w:val="547"/>
          <w:marRight w:val="0"/>
          <w:marTop w:val="86"/>
          <w:marBottom w:val="0"/>
          <w:divBdr>
            <w:top w:val="none" w:sz="0" w:space="0" w:color="auto"/>
            <w:left w:val="none" w:sz="0" w:space="0" w:color="auto"/>
            <w:bottom w:val="none" w:sz="0" w:space="0" w:color="auto"/>
            <w:right w:val="none" w:sz="0" w:space="0" w:color="auto"/>
          </w:divBdr>
        </w:div>
        <w:div w:id="1554459374">
          <w:marLeft w:val="1166"/>
          <w:marRight w:val="0"/>
          <w:marTop w:val="86"/>
          <w:marBottom w:val="0"/>
          <w:divBdr>
            <w:top w:val="none" w:sz="0" w:space="0" w:color="auto"/>
            <w:left w:val="none" w:sz="0" w:space="0" w:color="auto"/>
            <w:bottom w:val="none" w:sz="0" w:space="0" w:color="auto"/>
            <w:right w:val="none" w:sz="0" w:space="0" w:color="auto"/>
          </w:divBdr>
        </w:div>
        <w:div w:id="1834831712">
          <w:marLeft w:val="1166"/>
          <w:marRight w:val="0"/>
          <w:marTop w:val="86"/>
          <w:marBottom w:val="0"/>
          <w:divBdr>
            <w:top w:val="none" w:sz="0" w:space="0" w:color="auto"/>
            <w:left w:val="none" w:sz="0" w:space="0" w:color="auto"/>
            <w:bottom w:val="none" w:sz="0" w:space="0" w:color="auto"/>
            <w:right w:val="none" w:sz="0" w:space="0" w:color="auto"/>
          </w:divBdr>
        </w:div>
      </w:divsChild>
    </w:div>
    <w:div w:id="2035692664">
      <w:bodyDiv w:val="1"/>
      <w:marLeft w:val="0"/>
      <w:marRight w:val="0"/>
      <w:marTop w:val="0"/>
      <w:marBottom w:val="0"/>
      <w:divBdr>
        <w:top w:val="none" w:sz="0" w:space="0" w:color="auto"/>
        <w:left w:val="none" w:sz="0" w:space="0" w:color="auto"/>
        <w:bottom w:val="none" w:sz="0" w:space="0" w:color="auto"/>
        <w:right w:val="none" w:sz="0" w:space="0" w:color="auto"/>
      </w:divBdr>
    </w:div>
    <w:div w:id="2038895899">
      <w:bodyDiv w:val="1"/>
      <w:marLeft w:val="0"/>
      <w:marRight w:val="0"/>
      <w:marTop w:val="0"/>
      <w:marBottom w:val="0"/>
      <w:divBdr>
        <w:top w:val="none" w:sz="0" w:space="0" w:color="auto"/>
        <w:left w:val="none" w:sz="0" w:space="0" w:color="auto"/>
        <w:bottom w:val="none" w:sz="0" w:space="0" w:color="auto"/>
        <w:right w:val="none" w:sz="0" w:space="0" w:color="auto"/>
      </w:divBdr>
      <w:divsChild>
        <w:div w:id="367990763">
          <w:marLeft w:val="1166"/>
          <w:marRight w:val="0"/>
          <w:marTop w:val="86"/>
          <w:marBottom w:val="0"/>
          <w:divBdr>
            <w:top w:val="none" w:sz="0" w:space="0" w:color="auto"/>
            <w:left w:val="none" w:sz="0" w:space="0" w:color="auto"/>
            <w:bottom w:val="none" w:sz="0" w:space="0" w:color="auto"/>
            <w:right w:val="none" w:sz="0" w:space="0" w:color="auto"/>
          </w:divBdr>
        </w:div>
        <w:div w:id="475222057">
          <w:marLeft w:val="547"/>
          <w:marRight w:val="0"/>
          <w:marTop w:val="86"/>
          <w:marBottom w:val="0"/>
          <w:divBdr>
            <w:top w:val="none" w:sz="0" w:space="0" w:color="auto"/>
            <w:left w:val="none" w:sz="0" w:space="0" w:color="auto"/>
            <w:bottom w:val="none" w:sz="0" w:space="0" w:color="auto"/>
            <w:right w:val="none" w:sz="0" w:space="0" w:color="auto"/>
          </w:divBdr>
        </w:div>
        <w:div w:id="934633065">
          <w:marLeft w:val="547"/>
          <w:marRight w:val="0"/>
          <w:marTop w:val="86"/>
          <w:marBottom w:val="0"/>
          <w:divBdr>
            <w:top w:val="none" w:sz="0" w:space="0" w:color="auto"/>
            <w:left w:val="none" w:sz="0" w:space="0" w:color="auto"/>
            <w:bottom w:val="none" w:sz="0" w:space="0" w:color="auto"/>
            <w:right w:val="none" w:sz="0" w:space="0" w:color="auto"/>
          </w:divBdr>
        </w:div>
        <w:div w:id="1065572310">
          <w:marLeft w:val="547"/>
          <w:marRight w:val="0"/>
          <w:marTop w:val="86"/>
          <w:marBottom w:val="0"/>
          <w:divBdr>
            <w:top w:val="none" w:sz="0" w:space="0" w:color="auto"/>
            <w:left w:val="none" w:sz="0" w:space="0" w:color="auto"/>
            <w:bottom w:val="none" w:sz="0" w:space="0" w:color="auto"/>
            <w:right w:val="none" w:sz="0" w:space="0" w:color="auto"/>
          </w:divBdr>
        </w:div>
        <w:div w:id="1149244546">
          <w:marLeft w:val="1166"/>
          <w:marRight w:val="0"/>
          <w:marTop w:val="86"/>
          <w:marBottom w:val="0"/>
          <w:divBdr>
            <w:top w:val="none" w:sz="0" w:space="0" w:color="auto"/>
            <w:left w:val="none" w:sz="0" w:space="0" w:color="auto"/>
            <w:bottom w:val="none" w:sz="0" w:space="0" w:color="auto"/>
            <w:right w:val="none" w:sz="0" w:space="0" w:color="auto"/>
          </w:divBdr>
        </w:div>
        <w:div w:id="1900284189">
          <w:marLeft w:val="547"/>
          <w:marRight w:val="0"/>
          <w:marTop w:val="86"/>
          <w:marBottom w:val="0"/>
          <w:divBdr>
            <w:top w:val="none" w:sz="0" w:space="0" w:color="auto"/>
            <w:left w:val="none" w:sz="0" w:space="0" w:color="auto"/>
            <w:bottom w:val="none" w:sz="0" w:space="0" w:color="auto"/>
            <w:right w:val="none" w:sz="0" w:space="0" w:color="auto"/>
          </w:divBdr>
        </w:div>
        <w:div w:id="19389082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sfondi.lv/page.php?id=1188"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wiss-contribution.lvn" TargetMode="External"/><Relationship Id="rId25" Type="http://schemas.openxmlformats.org/officeDocument/2006/relationships/hyperlink" Target="mailto:Ieva.Ziepniece@fm.gov.lv" TargetMode="External"/><Relationship Id="rId2" Type="http://schemas.openxmlformats.org/officeDocument/2006/relationships/numbering" Target="numbering.xml"/><Relationship Id="rId16" Type="http://schemas.openxmlformats.org/officeDocument/2006/relationships/hyperlink" Target="http://www.norwaygrants.lv"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jpg@01CBC3A8.FD1A1C60"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eeagrants.lv"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sfondi.lv/page.php?id=1065" TargetMode="External"/><Relationship Id="rId4" Type="http://schemas.openxmlformats.org/officeDocument/2006/relationships/settings" Target="settings.xml"/><Relationship Id="rId9" Type="http://schemas.openxmlformats.org/officeDocument/2006/relationships/image" Target="cid:image006.jpg@01CBC3A8.FD1A1C60"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orwaygrants.lv/?id=23" TargetMode="External"/><Relationship Id="rId13" Type="http://schemas.openxmlformats.org/officeDocument/2006/relationships/hyperlink" Target="http://www.esfondi.lv/upload/14-20_gads/ES_fondu_Komunikacijas_strategija_2015-2023_LV.pdf" TargetMode="External"/><Relationship Id="rId3" Type="http://schemas.openxmlformats.org/officeDocument/2006/relationships/hyperlink" Target="https://komitejas.esfondi.lv/o/_layouts/15/start.aspx" TargetMode="External"/><Relationship Id="rId7" Type="http://schemas.openxmlformats.org/officeDocument/2006/relationships/hyperlink" Target="http://www.eeagrants.lv/?id=23" TargetMode="External"/><Relationship Id="rId12" Type="http://schemas.openxmlformats.org/officeDocument/2006/relationships/hyperlink" Target="http://www.esfondi.lv/zinojumi-par-es-fondu-istenosanu-1" TargetMode="External"/><Relationship Id="rId17" Type="http://schemas.openxmlformats.org/officeDocument/2006/relationships/hyperlink" Target="http://www.esfondi.lv/page.php?id=1196" TargetMode="External"/><Relationship Id="rId2" Type="http://schemas.openxmlformats.org/officeDocument/2006/relationships/hyperlink" Target="http://www.esfondi.lv/iesniegtie-parskati-saeimas-publisko-izdevumu-un-revizijas-komisijai" TargetMode="External"/><Relationship Id="rId16" Type="http://schemas.openxmlformats.org/officeDocument/2006/relationships/hyperlink" Target="http://www.esfondi.lv/risku-parvaldiba" TargetMode="External"/><Relationship Id="rId1" Type="http://schemas.openxmlformats.org/officeDocument/2006/relationships/hyperlink" Target="http://www.esfondi.lv/zinojumi-par-es-fondu-istenosanu-1" TargetMode="External"/><Relationship Id="rId6" Type="http://schemas.openxmlformats.org/officeDocument/2006/relationships/hyperlink" Target="http://www.esfondi.lv/es-fondu-slegsana" TargetMode="External"/><Relationship Id="rId11" Type="http://schemas.openxmlformats.org/officeDocument/2006/relationships/hyperlink" Target="http://www.esfondi.lv/zinojumi-Ministru-kabinetam" TargetMode="External"/><Relationship Id="rId5" Type="http://schemas.openxmlformats.org/officeDocument/2006/relationships/hyperlink" Target="http://www.esfondi.lv/zinojumi-Ministru-kabinetam" TargetMode="External"/><Relationship Id="rId15" Type="http://schemas.openxmlformats.org/officeDocument/2006/relationships/hyperlink" Target="http://likumi.lv/ta/id/281181-ministru-kabineta-sedes-protokols" TargetMode="External"/><Relationship Id="rId10" Type="http://schemas.openxmlformats.org/officeDocument/2006/relationships/hyperlink" Target="http://www.esfondi.lv/14-20_finansu-progress" TargetMode="External"/><Relationship Id="rId4" Type="http://schemas.openxmlformats.org/officeDocument/2006/relationships/hyperlink" Target="http://www.esfondi.lv/page.php?id=1064" TargetMode="External"/><Relationship Id="rId9" Type="http://schemas.openxmlformats.org/officeDocument/2006/relationships/hyperlink" Target="http://www.esfondi.lv/planosanas-dokumenti" TargetMode="External"/><Relationship Id="rId14" Type="http://schemas.openxmlformats.org/officeDocument/2006/relationships/hyperlink" Target="http://www.esfondi.lv/kopejie-ek-veiktie-maksajumi-dalibvalsti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257922125894497"/>
          <c:y val="2.8514854046806037E-2"/>
          <c:w val="0.57486141136020441"/>
          <c:h val="0.73591312073453841"/>
        </c:manualLayout>
      </c:layout>
      <c:barChart>
        <c:barDir val="bar"/>
        <c:grouping val="clustered"/>
        <c:varyColors val="0"/>
        <c:ser>
          <c:idx val="3"/>
          <c:order val="0"/>
          <c:tx>
            <c:strRef>
              <c:f>'LV majas lapai'!$M$2</c:f>
              <c:strCache>
                <c:ptCount val="1"/>
                <c:pt idx="0">
                  <c:v>Izmaksātais finansējums programmā (kopā 49,7 milj. euro jeb 66%) uz 30.06.2016.</c:v>
                </c:pt>
              </c:strCache>
            </c:strRef>
          </c:tx>
          <c:spPr>
            <a:solidFill>
              <a:schemeClr val="accent4"/>
            </a:solidFill>
            <a:ln>
              <a:noFill/>
            </a:ln>
            <a:effectLst/>
          </c:spPr>
          <c:invertIfNegative val="0"/>
          <c:dLbls>
            <c:dLbl>
              <c:idx val="0"/>
              <c:tx>
                <c:rich>
                  <a:bodyPr/>
                  <a:lstStyle/>
                  <a:p>
                    <a:fld id="{D2209B13-98BB-44C6-A933-BEFBB61DC107}" type="VALUE">
                      <a:rPr lang="en-US"/>
                      <a:pPr/>
                      <a:t>[VALUE]</a:t>
                    </a:fld>
                    <a:r>
                      <a:rPr lang="en-US"/>
                      <a:t> (73%)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E4-4966-8ED3-320ED39430C4}"/>
                </c:ext>
                <c:ext xmlns:c15="http://schemas.microsoft.com/office/drawing/2012/chart" uri="{CE6537A1-D6FC-4f65-9D91-7224C49458BB}">
                  <c15:dlblFieldTable/>
                  <c15:showDataLabelsRange val="0"/>
                </c:ext>
              </c:extLst>
            </c:dLbl>
            <c:dLbl>
              <c:idx val="1"/>
              <c:tx>
                <c:rich>
                  <a:bodyPr/>
                  <a:lstStyle/>
                  <a:p>
                    <a:fld id="{BC42CAE2-377C-41EF-8E40-0F5F4553B896}" type="VALUE">
                      <a:rPr lang="en-US"/>
                      <a:pPr/>
                      <a:t>[VALUE]</a:t>
                    </a:fld>
                    <a:r>
                      <a:rPr lang="en-US"/>
                      <a:t> (88%)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E4-4966-8ED3-320ED39430C4}"/>
                </c:ext>
                <c:ext xmlns:c15="http://schemas.microsoft.com/office/drawing/2012/chart" uri="{CE6537A1-D6FC-4f65-9D91-7224C49458BB}">
                  <c15:dlblFieldTable/>
                  <c15:showDataLabelsRange val="0"/>
                </c:ext>
              </c:extLst>
            </c:dLbl>
            <c:dLbl>
              <c:idx val="2"/>
              <c:tx>
                <c:rich>
                  <a:bodyPr/>
                  <a:lstStyle/>
                  <a:p>
                    <a:fld id="{D4E821C2-5A29-43CD-842B-C50C4A060899}" type="VALUE">
                      <a:rPr lang="en-US"/>
                      <a:pPr/>
                      <a:t>[VALUE]</a:t>
                    </a:fld>
                    <a:r>
                      <a:rPr lang="en-US"/>
                      <a:t> (56%)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E4-4966-8ED3-320ED39430C4}"/>
                </c:ext>
                <c:ext xmlns:c15="http://schemas.microsoft.com/office/drawing/2012/chart" uri="{CE6537A1-D6FC-4f65-9D91-7224C49458BB}">
                  <c15:dlblFieldTable/>
                  <c15:showDataLabelsRange val="0"/>
                </c:ext>
              </c:extLst>
            </c:dLbl>
            <c:dLbl>
              <c:idx val="3"/>
              <c:tx>
                <c:rich>
                  <a:bodyPr/>
                  <a:lstStyle/>
                  <a:p>
                    <a:fld id="{05329714-E388-41ED-9889-19518FAF387F}" type="VALUE">
                      <a:rPr lang="en-US"/>
                      <a:pPr/>
                      <a:t>[VALUE]</a:t>
                    </a:fld>
                    <a:r>
                      <a:rPr lang="en-US"/>
                      <a:t> (94%)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E4-4966-8ED3-320ED39430C4}"/>
                </c:ext>
                <c:ext xmlns:c15="http://schemas.microsoft.com/office/drawing/2012/chart" uri="{CE6537A1-D6FC-4f65-9D91-7224C49458BB}">
                  <c15:dlblFieldTable/>
                  <c15:showDataLabelsRange val="0"/>
                </c:ext>
              </c:extLst>
            </c:dLbl>
            <c:dLbl>
              <c:idx val="4"/>
              <c:tx>
                <c:rich>
                  <a:bodyPr/>
                  <a:lstStyle/>
                  <a:p>
                    <a:fld id="{CADF9AD1-6934-4D22-85AB-1AFBA80A0D2E}" type="VALUE">
                      <a:rPr lang="en-US"/>
                      <a:pPr/>
                      <a:t>[VALUE]</a:t>
                    </a:fld>
                    <a:r>
                      <a:rPr lang="en-US"/>
                      <a:t> (60%)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E4-4966-8ED3-320ED39430C4}"/>
                </c:ext>
                <c:ext xmlns:c15="http://schemas.microsoft.com/office/drawing/2012/chart" uri="{CE6537A1-D6FC-4f65-9D91-7224C49458BB}">
                  <c15:dlblFieldTable/>
                  <c15:showDataLabelsRange val="0"/>
                </c:ext>
              </c:extLst>
            </c:dLbl>
            <c:dLbl>
              <c:idx val="5"/>
              <c:tx>
                <c:rich>
                  <a:bodyPr/>
                  <a:lstStyle/>
                  <a:p>
                    <a:fld id="{4C3CBF36-A4E0-4622-95F5-D892B371832E}" type="VALUE">
                      <a:rPr lang="en-US"/>
                      <a:pPr/>
                      <a:t>[VALUE]</a:t>
                    </a:fld>
                    <a:r>
                      <a:rPr lang="en-US"/>
                      <a:t> (58%)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E4-4966-8ED3-320ED39430C4}"/>
                </c:ext>
                <c:ext xmlns:c15="http://schemas.microsoft.com/office/drawing/2012/chart" uri="{CE6537A1-D6FC-4f65-9D91-7224C49458BB}">
                  <c15:dlblFieldTable/>
                  <c15:showDataLabelsRange val="0"/>
                </c:ext>
              </c:extLst>
            </c:dLbl>
            <c:dLbl>
              <c:idx val="6"/>
              <c:tx>
                <c:rich>
                  <a:bodyPr/>
                  <a:lstStyle/>
                  <a:p>
                    <a:fld id="{D0EB1828-FD8A-4BCF-ADF5-94065D6E1CA6}" type="VALUE">
                      <a:rPr lang="en-US"/>
                      <a:pPr/>
                      <a:t>[VALUE]</a:t>
                    </a:fld>
                    <a:r>
                      <a:rPr lang="en-US"/>
                      <a:t> (42%)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E4-4966-8ED3-320ED39430C4}"/>
                </c:ext>
                <c:ext xmlns:c15="http://schemas.microsoft.com/office/drawing/2012/chart" uri="{CE6537A1-D6FC-4f65-9D91-7224C49458BB}">
                  <c15:dlblFieldTable/>
                  <c15:showDataLabelsRange val="0"/>
                </c:ext>
              </c:extLst>
            </c:dLbl>
            <c:dLbl>
              <c:idx val="7"/>
              <c:tx>
                <c:rich>
                  <a:bodyPr/>
                  <a:lstStyle/>
                  <a:p>
                    <a:fld id="{4BD3D806-9D8C-46FF-B4B1-A6A7E7E7234B}" type="VALUE">
                      <a:rPr lang="en-US"/>
                      <a:pPr/>
                      <a:t>[VALUE]</a:t>
                    </a:fld>
                    <a:r>
                      <a:rPr lang="en-US"/>
                      <a:t> (72%)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E4-4966-8ED3-320ED39430C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'LV majas lapai'!$A$3:$A$10</c:f>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f>'LV majas lapai'!$M$3:$M$10</c:f>
              <c:numCache>
                <c:formatCode>General</c:formatCode>
                <c:ptCount val="8"/>
                <c:pt idx="0" formatCode="0.0">
                  <c:v>1.1000000000000001</c:v>
                </c:pt>
                <c:pt idx="1">
                  <c:v>4.9000000000000004</c:v>
                </c:pt>
                <c:pt idx="2">
                  <c:v>3.4</c:v>
                </c:pt>
                <c:pt idx="3">
                  <c:v>10.299999999999999</c:v>
                </c:pt>
                <c:pt idx="4" formatCode="0.0">
                  <c:v>6.7</c:v>
                </c:pt>
                <c:pt idx="5">
                  <c:v>6.9</c:v>
                </c:pt>
                <c:pt idx="6">
                  <c:v>5.3</c:v>
                </c:pt>
                <c:pt idx="7">
                  <c:v>11.100000000000001</c:v>
                </c:pt>
              </c:numCache>
            </c:numRef>
          </c:val>
          <c:extLst xmlns:c16r2="http://schemas.microsoft.com/office/drawing/2015/06/chart">
            <c:ext xmlns:c16="http://schemas.microsoft.com/office/drawing/2014/chart" uri="{C3380CC4-5D6E-409C-BE32-E72D297353CC}">
              <c16:uniqueId val="{00000008-05E4-4966-8ED3-320ED39430C4}"/>
            </c:ext>
          </c:extLst>
        </c:ser>
        <c:ser>
          <c:idx val="0"/>
          <c:order val="3"/>
          <c:tx>
            <c:strRef>
              <c:f>'LV majas lapai'!$B$2</c:f>
              <c:strCache>
                <c:ptCount val="1"/>
                <c:pt idx="0">
                  <c:v>Programmas kopējais finansējums (kopā 75,1  milj.euro jeb 100%, t.sk. EEZ/NOR FI finansējums 67,1 milj. euro (t.sk., TP))</c:v>
                </c:pt>
              </c:strCache>
            </c:strRef>
          </c:tx>
          <c:spPr>
            <a:solidFill>
              <a:schemeClr val="accent5"/>
            </a:solidFill>
            <a:ln>
              <a:noFill/>
            </a:ln>
            <a:effectLst/>
          </c:spPr>
          <c:invertIfNegative val="0"/>
          <c:dLbls>
            <c:dLbl>
              <c:idx val="0"/>
              <c:tx>
                <c:rich>
                  <a:bodyPr/>
                  <a:lstStyle/>
                  <a:p>
                    <a:fld id="{7405B3CC-DC71-4F6E-ABA7-3C77B8091FBF}"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05E4-4966-8ED3-320ED39430C4}"/>
                </c:ext>
                <c:ext xmlns:c15="http://schemas.microsoft.com/office/drawing/2012/chart" uri="{CE6537A1-D6FC-4f65-9D91-7224C49458BB}">
                  <c15:dlblFieldTable/>
                  <c15:showDataLabelsRange val="0"/>
                </c:ext>
              </c:extLst>
            </c:dLbl>
            <c:dLbl>
              <c:idx val="1"/>
              <c:tx>
                <c:rich>
                  <a:bodyPr/>
                  <a:lstStyle/>
                  <a:p>
                    <a:fld id="{D0396C5F-82BA-412E-AF4F-20596BF170B0}"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A-05E4-4966-8ED3-320ED39430C4}"/>
                </c:ext>
                <c:ext xmlns:c15="http://schemas.microsoft.com/office/drawing/2012/chart" uri="{CE6537A1-D6FC-4f65-9D91-7224C49458BB}">
                  <c15:dlblFieldTable/>
                  <c15:showDataLabelsRange val="0"/>
                </c:ext>
              </c:extLst>
            </c:dLbl>
            <c:dLbl>
              <c:idx val="2"/>
              <c:tx>
                <c:rich>
                  <a:bodyPr/>
                  <a:lstStyle/>
                  <a:p>
                    <a:fld id="{0A88568E-540B-43E3-8D58-D791DA84656F}"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B-05E4-4966-8ED3-320ED39430C4}"/>
                </c:ext>
                <c:ext xmlns:c15="http://schemas.microsoft.com/office/drawing/2012/chart" uri="{CE6537A1-D6FC-4f65-9D91-7224C49458BB}">
                  <c15:dlblFieldTable/>
                  <c15:showDataLabelsRange val="0"/>
                </c:ext>
              </c:extLst>
            </c:dLbl>
            <c:dLbl>
              <c:idx val="3"/>
              <c:tx>
                <c:rich>
                  <a:bodyPr/>
                  <a:lstStyle/>
                  <a:p>
                    <a:fld id="{8BD7873B-26D6-4B57-9C4D-1F4ACD4494C1}"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C-05E4-4966-8ED3-320ED39430C4}"/>
                </c:ext>
                <c:ext xmlns:c15="http://schemas.microsoft.com/office/drawing/2012/chart" uri="{CE6537A1-D6FC-4f65-9D91-7224C49458BB}">
                  <c15:dlblFieldTable/>
                  <c15:showDataLabelsRange val="0"/>
                </c:ext>
              </c:extLst>
            </c:dLbl>
            <c:dLbl>
              <c:idx val="4"/>
              <c:layout>
                <c:manualLayout>
                  <c:x val="-3.9994285330988404E-3"/>
                  <c:y val="0"/>
                </c:manualLayout>
              </c:layout>
              <c:tx>
                <c:rich>
                  <a:bodyPr/>
                  <a:lstStyle/>
                  <a:p>
                    <a:fld id="{9820CE6E-B104-4B0E-B44D-DBA4C2C4889A}"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D-05E4-4966-8ED3-320ED39430C4}"/>
                </c:ext>
                <c:ext xmlns:c15="http://schemas.microsoft.com/office/drawing/2012/chart" uri="{CE6537A1-D6FC-4f65-9D91-7224C49458BB}">
                  <c15:dlblFieldTable/>
                  <c15:showDataLabelsRange val="0"/>
                </c:ext>
              </c:extLst>
            </c:dLbl>
            <c:dLbl>
              <c:idx val="5"/>
              <c:tx>
                <c:rich>
                  <a:bodyPr/>
                  <a:lstStyle/>
                  <a:p>
                    <a:fld id="{6CC16EEE-8B9C-406D-9EDF-82687D082DB6}"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E-05E4-4966-8ED3-320ED39430C4}"/>
                </c:ext>
                <c:ext xmlns:c15="http://schemas.microsoft.com/office/drawing/2012/chart" uri="{CE6537A1-D6FC-4f65-9D91-7224C49458BB}">
                  <c15:dlblFieldTable/>
                  <c15:showDataLabelsRange val="0"/>
                </c:ext>
              </c:extLst>
            </c:dLbl>
            <c:dLbl>
              <c:idx val="6"/>
              <c:tx>
                <c:rich>
                  <a:bodyPr/>
                  <a:lstStyle/>
                  <a:p>
                    <a:fld id="{96D378C0-C86D-41B2-8F51-AA853B750663}" type="VALUE">
                      <a:rPr lang="en-US"/>
                      <a:pPr/>
                      <a:t>[VALUE]</a:t>
                    </a:fld>
                    <a:r>
                      <a:rPr lang="en-US"/>
                      <a:t> </a:t>
                    </a:r>
                  </a:p>
                  <a:p>
                    <a:endParaRPr lang="lv-LV"/>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F-05E4-4966-8ED3-320ED39430C4}"/>
                </c:ext>
                <c:ext xmlns:c15="http://schemas.microsoft.com/office/drawing/2012/chart" uri="{CE6537A1-D6FC-4f65-9D91-7224C49458BB}">
                  <c15:dlblFieldTable/>
                  <c15:showDataLabelsRange val="0"/>
                </c:ext>
              </c:extLst>
            </c:dLbl>
            <c:dLbl>
              <c:idx val="7"/>
              <c:tx>
                <c:rich>
                  <a:bodyPr/>
                  <a:lstStyle/>
                  <a:p>
                    <a:fld id="{9F0BD22A-1EC7-4425-A973-6C936332ADB0}" type="VALUE">
                      <a:rPr lang="en-US"/>
                      <a:pPr/>
                      <a:t>[VALUE]</a:t>
                    </a:fld>
                    <a:r>
                      <a:rPr lang="en-US"/>
                      <a:t> </a:t>
                    </a:r>
                  </a:p>
                </c:rich>
              </c:tx>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0-05E4-4966-8ED3-320ED39430C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'LV majas lapai'!$A$3:$A$10</c:f>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f>'LV majas lapai'!$B$3:$B$10</c:f>
              <c:numCache>
                <c:formatCode>General</c:formatCode>
                <c:ptCount val="8"/>
                <c:pt idx="0">
                  <c:v>1.5</c:v>
                </c:pt>
                <c:pt idx="1">
                  <c:v>5.6</c:v>
                </c:pt>
                <c:pt idx="2">
                  <c:v>6.1</c:v>
                </c:pt>
                <c:pt idx="3">
                  <c:v>10.9</c:v>
                </c:pt>
                <c:pt idx="4">
                  <c:v>11.2</c:v>
                </c:pt>
                <c:pt idx="5">
                  <c:v>11.8</c:v>
                </c:pt>
                <c:pt idx="6">
                  <c:v>12.6</c:v>
                </c:pt>
                <c:pt idx="7">
                  <c:v>15.4</c:v>
                </c:pt>
              </c:numCache>
            </c:numRef>
          </c:val>
          <c:extLst xmlns:c16r2="http://schemas.microsoft.com/office/drawing/2015/06/chart">
            <c:ext xmlns:c16="http://schemas.microsoft.com/office/drawing/2014/chart" uri="{C3380CC4-5D6E-409C-BE32-E72D297353CC}">
              <c16:uniqueId val="{00000011-05E4-4966-8ED3-320ED39430C4}"/>
            </c:ext>
          </c:extLst>
        </c:ser>
        <c:dLbls>
          <c:dLblPos val="outEnd"/>
          <c:showLegendKey val="0"/>
          <c:showVal val="1"/>
          <c:showCatName val="0"/>
          <c:showSerName val="0"/>
          <c:showPercent val="0"/>
          <c:showBubbleSize val="0"/>
        </c:dLbls>
        <c:gapWidth val="219"/>
        <c:overlap val="-32"/>
        <c:axId val="222807072"/>
        <c:axId val="222807856"/>
        <c:extLst xmlns:c16r2="http://schemas.microsoft.com/office/drawing/2015/06/chart">
          <c:ext xmlns:c15="http://schemas.microsoft.com/office/drawing/2012/chart" uri="{02D57815-91ED-43cb-92C2-25804820EDAC}">
            <c15:filteredBarSeries>
              <c15:ser>
                <c:idx val="2"/>
                <c:order val="1"/>
                <c:tx>
                  <c:strRef>
                    <c:extLst xmlns:c16r2="http://schemas.microsoft.com/office/drawing/2015/06/chart">
                      <c:ext uri="{02D57815-91ED-43cb-92C2-25804820EDAC}">
                        <c15:formulaRef>
                          <c15:sqref>'LV majas lapai'!$H$2</c15:sqref>
                        </c15:formulaRef>
                      </c:ext>
                    </c:extLst>
                    <c:strCache>
                      <c:ptCount val="1"/>
                      <c:pt idx="0">
                        <c:v>Projektiem kontraktētais finansējums (67,6 milj. euro jeb kopā vidēji no projektiem pieejamā finansējuma - 100%)</c:v>
                      </c:pt>
                    </c:strCache>
                  </c:strRef>
                </c:tx>
                <c:spPr>
                  <a:solidFill>
                    <a:srgbClr val="FF0000"/>
                  </a:solidFill>
                  <a:ln>
                    <a:noFill/>
                  </a:ln>
                  <a:effectLst/>
                </c:spPr>
                <c:invertIfNegative val="0"/>
                <c:dLbls>
                  <c:dLbl>
                    <c:idx val="0"/>
                    <c:tx>
                      <c:rich>
                        <a:bodyPr/>
                        <a:lstStyle/>
                        <a:p>
                          <a:fld id="{0DDA7E17-6B53-4B62-AFF0-7F0C54EFACE6}"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5E4-4966-8ED3-320ED39430C4}"/>
                      </c:ext>
                      <c:ext uri="{CE6537A1-D6FC-4f65-9D91-7224C49458BB}">
                        <c15:dlblFieldTable/>
                        <c15:showDataLabelsRange val="0"/>
                      </c:ext>
                    </c:extLst>
                  </c:dLbl>
                  <c:dLbl>
                    <c:idx val="1"/>
                    <c:tx>
                      <c:rich>
                        <a:bodyPr/>
                        <a:lstStyle/>
                        <a:p>
                          <a:fld id="{948FEEC6-3466-4A64-99AE-18E17BDD65C4}"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5E4-4966-8ED3-320ED39430C4}"/>
                      </c:ext>
                      <c:ext uri="{CE6537A1-D6FC-4f65-9D91-7224C49458BB}">
                        <c15:dlblFieldTable/>
                        <c15:showDataLabelsRange val="0"/>
                      </c:ext>
                    </c:extLst>
                  </c:dLbl>
                  <c:dLbl>
                    <c:idx val="2"/>
                    <c:tx>
                      <c:rich>
                        <a:bodyPr/>
                        <a:lstStyle/>
                        <a:p>
                          <a:fld id="{6C80D311-2CAE-4297-A818-C206D2DC8BEC}"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5E4-4966-8ED3-320ED39430C4}"/>
                      </c:ext>
                      <c:ext uri="{CE6537A1-D6FC-4f65-9D91-7224C49458BB}">
                        <c15:dlblFieldTable/>
                        <c15:showDataLabelsRange val="0"/>
                      </c:ext>
                    </c:extLst>
                  </c:dLbl>
                  <c:dLbl>
                    <c:idx val="3"/>
                    <c:layout>
                      <c:manualLayout>
                        <c:x val="-3.2956795457671278E-3"/>
                        <c:y val="0"/>
                      </c:manualLayout>
                    </c:layout>
                    <c:tx>
                      <c:rich>
                        <a:bodyPr/>
                        <a:lstStyle/>
                        <a:p>
                          <a:fld id="{BFB636C0-ED54-4A04-8992-9F5098FC280D}"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5E4-4966-8ED3-320ED39430C4}"/>
                      </c:ext>
                      <c:ext uri="{CE6537A1-D6FC-4f65-9D91-7224C49458BB}">
                        <c15:dlblFieldTable/>
                        <c15:showDataLabelsRange val="0"/>
                      </c:ext>
                    </c:extLst>
                  </c:dLbl>
                  <c:dLbl>
                    <c:idx val="4"/>
                    <c:layout>
                      <c:manualLayout>
                        <c:x val="-1.2196230465000999E-16"/>
                        <c:y val="-2.2948907822640106E-4"/>
                      </c:manualLayout>
                    </c:layout>
                    <c:tx>
                      <c:rich>
                        <a:bodyPr/>
                        <a:lstStyle/>
                        <a:p>
                          <a:fld id="{AC1202AF-AB30-4BE9-BDAA-E205F3E7A16A}"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5E4-4966-8ED3-320ED39430C4}"/>
                      </c:ext>
                      <c:ext uri="{CE6537A1-D6FC-4f65-9D91-7224C49458BB}">
                        <c15:dlblFieldTable/>
                        <c15:showDataLabelsRange val="0"/>
                      </c:ext>
                    </c:extLst>
                  </c:dLbl>
                  <c:dLbl>
                    <c:idx val="5"/>
                    <c:layout>
                      <c:manualLayout>
                        <c:x val="1.6709989103148957E-4"/>
                        <c:y val="9.9464097104522424E-4"/>
                      </c:manualLayout>
                    </c:layout>
                    <c:tx>
                      <c:rich>
                        <a:bodyPr/>
                        <a:lstStyle/>
                        <a:p>
                          <a:fld id="{431211F6-26AE-46FC-95B8-B7D75C7B48FB}"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5E4-4966-8ED3-320ED39430C4}"/>
                      </c:ext>
                      <c:ext uri="{CE6537A1-D6FC-4f65-9D91-7224C49458BB}">
                        <c15:dlblFieldTable/>
                        <c15:showDataLabelsRange val="0"/>
                      </c:ext>
                    </c:extLst>
                  </c:dLbl>
                  <c:dLbl>
                    <c:idx val="6"/>
                    <c:tx>
                      <c:rich>
                        <a:bodyPr/>
                        <a:lstStyle/>
                        <a:p>
                          <a:fld id="{2F676E5E-D4B0-4768-B17D-60A739A861C2}"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05E4-4966-8ED3-320ED39430C4}"/>
                      </c:ext>
                      <c:ext uri="{CE6537A1-D6FC-4f65-9D91-7224C49458BB}">
                        <c15:dlblFieldTable/>
                        <c15:showDataLabelsRange val="0"/>
                      </c:ext>
                    </c:extLst>
                  </c:dLbl>
                  <c:dLbl>
                    <c:idx val="7"/>
                    <c:layout>
                      <c:manualLayout>
                        <c:x val="8.1510872047109908E-5"/>
                        <c:y val="-3.0897311447333382E-3"/>
                      </c:manualLayout>
                    </c:layout>
                    <c:tx>
                      <c:rich>
                        <a:bodyPr/>
                        <a:lstStyle/>
                        <a:p>
                          <a:fld id="{1E3BDF3D-E7D4-4EBE-B081-82C7F7AD06EC}"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05E4-4966-8ED3-320ED39430C4}"/>
                      </c:ext>
                      <c:ex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'LV majas lapai'!$A$3:$A$10</c15:sqref>
                        </c15:formulaRef>
                      </c:ext>
                    </c:extLst>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extLst xmlns:c16r2="http://schemas.microsoft.com/office/drawing/2015/06/chart">
                      <c:ext uri="{02D57815-91ED-43cb-92C2-25804820EDAC}">
                        <c15:formulaRef>
                          <c15:sqref>'LV majas lapai'!$H$3:$H$10</c15:sqref>
                        </c15:formulaRef>
                      </c:ext>
                    </c:extLst>
                    <c:numCache>
                      <c:formatCode>General</c:formatCode>
                      <c:ptCount val="8"/>
                      <c:pt idx="0">
                        <c:v>1.5</c:v>
                      </c:pt>
                      <c:pt idx="1">
                        <c:v>5.0999999999999996</c:v>
                      </c:pt>
                      <c:pt idx="2">
                        <c:v>5.5</c:v>
                      </c:pt>
                      <c:pt idx="3">
                        <c:v>9.6</c:v>
                      </c:pt>
                      <c:pt idx="4">
                        <c:v>10.199999999999999</c:v>
                      </c:pt>
                      <c:pt idx="5">
                        <c:v>10.7</c:v>
                      </c:pt>
                      <c:pt idx="6">
                        <c:v>11.5</c:v>
                      </c:pt>
                      <c:pt idx="7">
                        <c:v>13.5</c:v>
                      </c:pt>
                    </c:numCache>
                  </c:numRef>
                </c:val>
                <c:extLst xmlns:c16r2="http://schemas.microsoft.com/office/drawing/2015/06/chart">
                  <c:ext xmlns:c16="http://schemas.microsoft.com/office/drawing/2014/chart" uri="{C3380CC4-5D6E-409C-BE32-E72D297353CC}">
                    <c16:uniqueId val="{0000001A-05E4-4966-8ED3-320ED39430C4}"/>
                  </c:ext>
                </c:extLst>
              </c15:ser>
            </c15:filteredBarSeries>
            <c15:filteredBarSeries>
              <c15:ser>
                <c:idx val="1"/>
                <c:order val="2"/>
                <c:tx>
                  <c:strRef>
                    <c:extLst xmlns:c16r2="http://schemas.microsoft.com/office/drawing/2015/06/chart" xmlns:c15="http://schemas.microsoft.com/office/drawing/2012/chart">
                      <c:ext xmlns:c15="http://schemas.microsoft.com/office/drawing/2012/chart" uri="{02D57815-91ED-43cb-92C2-25804820EDAC}">
                        <c15:formulaRef>
                          <c15:sqref>'LV majas lapai'!$F$2</c15:sqref>
                        </c15:formulaRef>
                      </c:ext>
                    </c:extLst>
                    <c:strCache>
                      <c:ptCount val="1"/>
                      <c:pt idx="0">
                        <c:v>Projektu īstenošanai pieejamais finansējums (67,6 milj. euro jeb kopā vidēji no programmas budžeta - 90%)</c:v>
                      </c:pt>
                    </c:strCache>
                  </c:strRef>
                </c:tx>
                <c:spPr>
                  <a:solidFill>
                    <a:schemeClr val="accent6">
                      <a:lumMod val="75000"/>
                    </a:schemeClr>
                  </a:solidFill>
                  <a:ln>
                    <a:noFill/>
                  </a:ln>
                  <a:effectLst/>
                </c:spPr>
                <c:invertIfNegative val="0"/>
                <c:dLbls>
                  <c:dLbl>
                    <c:idx val="0"/>
                    <c:tx>
                      <c:rich>
                        <a:bodyPr/>
                        <a:lstStyle/>
                        <a:p>
                          <a:fld id="{DD92DA6D-847F-4E71-99CE-92B917BE01C3}" type="VALUE">
                            <a:rPr lang="en-US"/>
                            <a:pPr/>
                            <a:t>[VALUE]</a:t>
                          </a:fld>
                          <a:r>
                            <a:rPr lang="en-US"/>
                            <a:t> (100%)</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1B-05E4-4966-8ED3-320ED39430C4}"/>
                      </c:ext>
                      <c:ext xmlns:c15="http://schemas.microsoft.com/office/drawing/2012/chart" uri="{CE6537A1-D6FC-4f65-9D91-7224C49458BB}">
                        <c15:dlblFieldTable/>
                        <c15:showDataLabelsRange val="0"/>
                      </c:ext>
                    </c:extLst>
                  </c:dLbl>
                  <c:dLbl>
                    <c:idx val="1"/>
                    <c:tx>
                      <c:rich>
                        <a:bodyPr/>
                        <a:lstStyle/>
                        <a:p>
                          <a:fld id="{5E23CD5A-6F55-4D05-A5ED-F878CB639274}" type="VALUE">
                            <a:rPr lang="en-US"/>
                            <a:pPr/>
                            <a:t>[VALUE]</a:t>
                          </a:fld>
                          <a:r>
                            <a:rPr lang="en-US"/>
                            <a:t> (91%)</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1C-05E4-4966-8ED3-320ED39430C4}"/>
                      </c:ext>
                      <c:ext xmlns:c15="http://schemas.microsoft.com/office/drawing/2012/chart" uri="{CE6537A1-D6FC-4f65-9D91-7224C49458BB}">
                        <c15:dlblFieldTable/>
                        <c15:showDataLabelsRange val="0"/>
                      </c:ext>
                    </c:extLst>
                  </c:dLbl>
                  <c:dLbl>
                    <c:idx val="2"/>
                    <c:tx>
                      <c:rich>
                        <a:bodyPr/>
                        <a:lstStyle/>
                        <a:p>
                          <a:fld id="{ED1F4FB2-A66D-474C-A396-50766E0D841D}" type="VALUE">
                            <a:rPr lang="en-US"/>
                            <a:pPr/>
                            <a:t>[VALUE]</a:t>
                          </a:fld>
                          <a:r>
                            <a:rPr lang="en-US"/>
                            <a:t> (90%)</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1D-05E4-4966-8ED3-320ED39430C4}"/>
                      </c:ext>
                      <c:ext xmlns:c15="http://schemas.microsoft.com/office/drawing/2012/chart" uri="{CE6537A1-D6FC-4f65-9D91-7224C49458BB}">
                        <c15:dlblFieldTable/>
                        <c15:showDataLabelsRange val="0"/>
                      </c:ext>
                    </c:extLst>
                  </c:dLbl>
                  <c:dLbl>
                    <c:idx val="3"/>
                    <c:tx>
                      <c:rich>
                        <a:bodyPr/>
                        <a:lstStyle/>
                        <a:p>
                          <a:fld id="{DF8FAF34-C6B9-435D-8DF0-FBF84FC54473}" type="VALUE">
                            <a:rPr lang="en-US"/>
                            <a:pPr/>
                            <a:t>[VALUE]</a:t>
                          </a:fld>
                          <a:r>
                            <a:rPr lang="en-US"/>
                            <a:t> (88%)</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1E-05E4-4966-8ED3-320ED39430C4}"/>
                      </c:ext>
                      <c:ext xmlns:c15="http://schemas.microsoft.com/office/drawing/2012/chart" uri="{CE6537A1-D6FC-4f65-9D91-7224C49458BB}">
                        <c15:dlblFieldTable/>
                        <c15:showDataLabelsRange val="0"/>
                      </c:ext>
                    </c:extLst>
                  </c:dLbl>
                  <c:dLbl>
                    <c:idx val="4"/>
                    <c:tx>
                      <c:rich>
                        <a:bodyPr/>
                        <a:lstStyle/>
                        <a:p>
                          <a:fld id="{97EA8E7B-C716-4118-98D0-C6D7BA0EC7DD}" type="VALUE">
                            <a:rPr lang="en-US"/>
                            <a:pPr/>
                            <a:t>[VALUE]</a:t>
                          </a:fld>
                          <a:r>
                            <a:rPr lang="en-US"/>
                            <a:t> (91%)</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1F-05E4-4966-8ED3-320ED39430C4}"/>
                      </c:ext>
                      <c:ext xmlns:c15="http://schemas.microsoft.com/office/drawing/2012/chart" uri="{CE6537A1-D6FC-4f65-9D91-7224C49458BB}">
                        <c15:dlblFieldTable/>
                        <c15:showDataLabelsRange val="0"/>
                      </c:ext>
                    </c:extLst>
                  </c:dLbl>
                  <c:dLbl>
                    <c:idx val="5"/>
                    <c:tx>
                      <c:rich>
                        <a:bodyPr/>
                        <a:lstStyle/>
                        <a:p>
                          <a:fld id="{14F6C305-D2A1-4172-AA40-08F7ACA46C70}" type="VALUE">
                            <a:rPr lang="en-US"/>
                            <a:pPr/>
                            <a:t>[VALUE]</a:t>
                          </a:fld>
                          <a:r>
                            <a:rPr lang="en-US"/>
                            <a:t> (89%)</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20-05E4-4966-8ED3-320ED39430C4}"/>
                      </c:ext>
                      <c:ext xmlns:c15="http://schemas.microsoft.com/office/drawing/2012/chart" uri="{CE6537A1-D6FC-4f65-9D91-7224C49458BB}">
                        <c15:dlblFieldTable/>
                        <c15:showDataLabelsRange val="0"/>
                      </c:ext>
                    </c:extLst>
                  </c:dLbl>
                  <c:dLbl>
                    <c:idx val="6"/>
                    <c:tx>
                      <c:rich>
                        <a:bodyPr/>
                        <a:lstStyle/>
                        <a:p>
                          <a:fld id="{15DF5F69-8693-48A7-9D06-C2DCCFC4C95F}" type="VALUE">
                            <a:rPr lang="en-US"/>
                            <a:pPr/>
                            <a:t>[VALUE]</a:t>
                          </a:fld>
                          <a:r>
                            <a:rPr lang="en-US"/>
                            <a:t> (91%)</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21-05E4-4966-8ED3-320ED39430C4}"/>
                      </c:ext>
                      <c:ext xmlns:c15="http://schemas.microsoft.com/office/drawing/2012/chart" uri="{CE6537A1-D6FC-4f65-9D91-7224C49458BB}">
                        <c15:dlblFieldTable/>
                        <c15:showDataLabelsRange val="0"/>
                      </c:ext>
                    </c:extLst>
                  </c:dLbl>
                  <c:dLbl>
                    <c:idx val="7"/>
                    <c:tx>
                      <c:rich>
                        <a:bodyPr/>
                        <a:lstStyle/>
                        <a:p>
                          <a:fld id="{4C8C8CE2-A172-4630-81B9-902325C84F23}" type="VALUE">
                            <a:rPr lang="en-US"/>
                            <a:pPr/>
                            <a:t>[VALUE]</a:t>
                          </a:fld>
                          <a:r>
                            <a:rPr lang="en-US"/>
                            <a:t> (88%)</a:t>
                          </a:r>
                        </a:p>
                      </c:rich>
                    </c:tx>
                    <c:dLblPos val="outEnd"/>
                    <c:showLegendKey val="0"/>
                    <c:showVal val="1"/>
                    <c:showCatName val="0"/>
                    <c:showSerName val="0"/>
                    <c:showPercent val="0"/>
                    <c:showBubbleSize val="0"/>
                    <c:extLst xmlns:c16r2="http://schemas.microsoft.com/office/drawing/2015/06/chart" xmlns:c15="http://schemas.microsoft.com/office/drawing/2012/chart">
                      <c:ext xmlns:c16="http://schemas.microsoft.com/office/drawing/2014/chart" uri="{C3380CC4-5D6E-409C-BE32-E72D297353CC}">
                        <c16:uniqueId val="{00000022-05E4-4966-8ED3-320ED39430C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xmlns:c15="http://schemas.microsoft.com/office/drawing/2012/chart">
                      <c:ext xmlns:c15="http://schemas.microsoft.com/office/drawing/2012/chart" uri="{02D57815-91ED-43cb-92C2-25804820EDAC}">
                        <c15:formulaRef>
                          <c15:sqref>'LV majas lapai'!$A$3:$A$10</c15:sqref>
                        </c15:formulaRef>
                      </c:ext>
                    </c:extLst>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'LV majas lapai'!$F$3:$F$10</c15:sqref>
                        </c15:formulaRef>
                      </c:ext>
                    </c:extLst>
                    <c:numCache>
                      <c:formatCode>General</c:formatCode>
                      <c:ptCount val="8"/>
                      <c:pt idx="0">
                        <c:v>1.5</c:v>
                      </c:pt>
                      <c:pt idx="1">
                        <c:v>5.0999999999999996</c:v>
                      </c:pt>
                      <c:pt idx="2">
                        <c:v>5.5</c:v>
                      </c:pt>
                      <c:pt idx="3">
                        <c:v>9.6</c:v>
                      </c:pt>
                      <c:pt idx="4">
                        <c:v>10.199999999999999</c:v>
                      </c:pt>
                      <c:pt idx="5">
                        <c:v>10.7</c:v>
                      </c:pt>
                      <c:pt idx="6">
                        <c:v>11.5</c:v>
                      </c:pt>
                      <c:pt idx="7">
                        <c:v>13.5</c:v>
                      </c:pt>
                    </c:numCache>
                  </c:numRef>
                </c:val>
                <c:extLst xmlns:c16r2="http://schemas.microsoft.com/office/drawing/2015/06/chart" xmlns:c15="http://schemas.microsoft.com/office/drawing/2012/chart">
                  <c:ext xmlns:c16="http://schemas.microsoft.com/office/drawing/2014/chart" uri="{C3380CC4-5D6E-409C-BE32-E72D297353CC}">
                    <c16:uniqueId val="{00000023-05E4-4966-8ED3-320ED39430C4}"/>
                  </c:ext>
                </c:extLst>
              </c15:ser>
            </c15:filteredBarSeries>
          </c:ext>
        </c:extLst>
      </c:barChart>
      <c:catAx>
        <c:axId val="222807072"/>
        <c:scaling>
          <c:orientation val="minMax"/>
        </c:scaling>
        <c:delete val="0"/>
        <c:axPos val="l"/>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2807856"/>
        <c:crosses val="autoZero"/>
        <c:auto val="1"/>
        <c:lblAlgn val="ctr"/>
        <c:lblOffset val="100"/>
        <c:noMultiLvlLbl val="0"/>
      </c:catAx>
      <c:valAx>
        <c:axId val="222807856"/>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2807072"/>
        <c:crosses val="autoZero"/>
        <c:crossBetween val="between"/>
      </c:valAx>
      <c:spPr>
        <a:noFill/>
        <a:ln>
          <a:noFill/>
        </a:ln>
        <a:effectLst/>
      </c:spPr>
    </c:plotArea>
    <c:legend>
      <c:legendPos val="b"/>
      <c:layout>
        <c:manualLayout>
          <c:xMode val="edge"/>
          <c:yMode val="edge"/>
          <c:x val="0.11377055716136748"/>
          <c:y val="0.82776502845582112"/>
          <c:w val="0.82223950259757828"/>
          <c:h val="0.1578323663197544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B649-C500-45FB-B65E-A6FC3943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3841</TotalTime>
  <Pages>38</Pages>
  <Words>60451</Words>
  <Characters>34458</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Ziņojuma projekts</vt:lpstr>
    </vt:vector>
  </TitlesOfParts>
  <Company>Finanšu ministrija</Company>
  <LinksUpToDate>false</LinksUpToDate>
  <CharactersWithSpaces>94720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Ziņojuma projekts</dc:title>
  <dc:subject/>
  <dc:creator>Ieva Ziepniece</dc:creator>
  <cp:keywords/>
  <dc:description>Ieva Ziepniece
Finanšu ministrijas Eiropas Savienības fondu uzraudzības departamenta
Uzņēmējdarbības un inovāciju uzraudzības nodaļas vadītājas vietniece
Tālr. 67095614, fakss 67095697
Ieva.Ziepniece@fm.gov.lv</dc:description>
  <cp:lastModifiedBy>Zane Zute</cp:lastModifiedBy>
  <cp:revision>885</cp:revision>
  <cp:lastPrinted>2016-08-16T14:45:00Z</cp:lastPrinted>
  <dcterms:created xsi:type="dcterms:W3CDTF">2016-01-27T05:26:00Z</dcterms:created>
  <dcterms:modified xsi:type="dcterms:W3CDTF">2016-08-26T08:28:00Z</dcterms:modified>
</cp:coreProperties>
</file>