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6B" w:rsidRPr="00A1111C" w:rsidRDefault="00160323" w:rsidP="0097458A">
      <w:pPr>
        <w:jc w:val="center"/>
        <w:rPr>
          <w:b/>
          <w:bCs/>
          <w:sz w:val="24"/>
          <w:szCs w:val="24"/>
        </w:rPr>
      </w:pPr>
      <w:bookmarkStart w:id="0" w:name="_GoBack"/>
      <w:bookmarkEnd w:id="0"/>
      <w:r w:rsidRPr="00A1111C">
        <w:rPr>
          <w:b/>
          <w:sz w:val="24"/>
          <w:szCs w:val="24"/>
        </w:rPr>
        <w:t>Ministru kabineta noteikumu projekta “</w:t>
      </w:r>
      <w:r w:rsidRPr="00A1111C">
        <w:rPr>
          <w:b/>
          <w:bCs/>
          <w:sz w:val="24"/>
          <w:szCs w:val="24"/>
        </w:rPr>
        <w:t>Grozījumi Ministru kabineta 20</w:t>
      </w:r>
      <w:r w:rsidR="003C58B7">
        <w:rPr>
          <w:b/>
          <w:bCs/>
          <w:sz w:val="24"/>
          <w:szCs w:val="24"/>
        </w:rPr>
        <w:t>09</w:t>
      </w:r>
      <w:r w:rsidRPr="00A1111C">
        <w:rPr>
          <w:b/>
          <w:bCs/>
          <w:sz w:val="24"/>
          <w:szCs w:val="24"/>
        </w:rPr>
        <w:t xml:space="preserve">.gada </w:t>
      </w:r>
      <w:r w:rsidR="003C58B7">
        <w:rPr>
          <w:b/>
          <w:bCs/>
          <w:sz w:val="24"/>
          <w:szCs w:val="24"/>
        </w:rPr>
        <w:t>30.jūnija</w:t>
      </w:r>
      <w:r w:rsidRPr="00A1111C">
        <w:rPr>
          <w:b/>
          <w:bCs/>
          <w:sz w:val="24"/>
          <w:szCs w:val="24"/>
        </w:rPr>
        <w:t xml:space="preserve"> noteikumos Nr.</w:t>
      </w:r>
      <w:r w:rsidR="003C58B7">
        <w:rPr>
          <w:b/>
          <w:bCs/>
          <w:sz w:val="24"/>
          <w:szCs w:val="24"/>
        </w:rPr>
        <w:t>720</w:t>
      </w:r>
      <w:r w:rsidRPr="00A1111C">
        <w:rPr>
          <w:b/>
          <w:bCs/>
          <w:sz w:val="24"/>
          <w:szCs w:val="24"/>
        </w:rPr>
        <w:t xml:space="preserve"> “</w:t>
      </w:r>
      <w:r w:rsidR="003C58B7">
        <w:rPr>
          <w:b/>
          <w:bCs/>
          <w:sz w:val="24"/>
          <w:szCs w:val="24"/>
        </w:rPr>
        <w:t>Noteikumi par valsts nodevas apmēru, samaksas kārtību un atvieglojumiem par ziņu par deklarēto dzīvesvietu reģistrāciju</w:t>
      </w:r>
      <w:r w:rsidRPr="00A1111C">
        <w:rPr>
          <w:b/>
          <w:bCs/>
          <w:sz w:val="24"/>
          <w:szCs w:val="24"/>
        </w:rPr>
        <w:t>””</w:t>
      </w:r>
      <w:r w:rsidRPr="00A1111C">
        <w:rPr>
          <w:b/>
          <w:sz w:val="24"/>
          <w:szCs w:val="24"/>
        </w:rPr>
        <w:t xml:space="preserve"> </w:t>
      </w:r>
      <w:r w:rsidRPr="00A1111C">
        <w:rPr>
          <w:b/>
          <w:bCs/>
          <w:sz w:val="24"/>
          <w:szCs w:val="24"/>
        </w:rPr>
        <w:t xml:space="preserve">sākotnējās ietekmes novērtējuma </w:t>
      </w:r>
      <w:smartTag w:uri="schemas-tilde-lv/tildestengine" w:element="veidnes">
        <w:smartTagPr>
          <w:attr w:name="id" w:val="-1"/>
          <w:attr w:name="baseform" w:val="ziņojums"/>
          <w:attr w:name="text" w:val="ziņojums"/>
        </w:smartTagPr>
        <w:r w:rsidRPr="00A1111C">
          <w:rPr>
            <w:b/>
            <w:bCs/>
            <w:sz w:val="24"/>
            <w:szCs w:val="24"/>
          </w:rPr>
          <w:t>ziņojums</w:t>
        </w:r>
      </w:smartTag>
      <w:r w:rsidRPr="00A1111C">
        <w:rPr>
          <w:b/>
          <w:bCs/>
          <w:sz w:val="24"/>
          <w:szCs w:val="24"/>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160323" w:rsidRPr="00A1111C" w:rsidTr="00B432A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60323" w:rsidRPr="00A1111C" w:rsidRDefault="00160323" w:rsidP="00B432A4">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I. Tiesību akta projekta izstrādes nepieciešamība</w:t>
            </w:r>
          </w:p>
        </w:tc>
      </w:tr>
      <w:tr w:rsidR="00160323" w:rsidRPr="00A1111C" w:rsidTr="00B432A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CB1DCF">
            <w:pPr>
              <w:pStyle w:val="Heading3"/>
              <w:spacing w:before="0" w:beforeAutospacing="0" w:after="0" w:afterAutospacing="0"/>
              <w:jc w:val="both"/>
              <w:rPr>
                <w:rFonts w:eastAsiaTheme="minorHAnsi"/>
                <w:sz w:val="24"/>
                <w:szCs w:val="24"/>
                <w:lang w:eastAsia="en-US"/>
              </w:rPr>
            </w:pPr>
            <w:r w:rsidRPr="00A1111C">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160323" w:rsidRPr="00A1111C" w:rsidRDefault="00DA0723" w:rsidP="00CB1DCF">
            <w:pPr>
              <w:pStyle w:val="Heading3"/>
              <w:spacing w:before="0" w:beforeAutospacing="0" w:after="0" w:afterAutospacing="0"/>
              <w:jc w:val="both"/>
              <w:rPr>
                <w:rFonts w:eastAsiaTheme="minorHAnsi"/>
                <w:b w:val="0"/>
                <w:bCs w:val="0"/>
                <w:sz w:val="24"/>
                <w:szCs w:val="24"/>
                <w:lang w:eastAsia="en-US"/>
              </w:rPr>
            </w:pPr>
            <w:r w:rsidRPr="00A1111C">
              <w:rPr>
                <w:rFonts w:eastAsiaTheme="minorHAnsi"/>
                <w:b w:val="0"/>
                <w:bCs w:val="0"/>
                <w:sz w:val="24"/>
                <w:szCs w:val="24"/>
                <w:lang w:eastAsia="en-US"/>
              </w:rPr>
              <w:t>Iekšlietu ministrijas iniciatīva.</w:t>
            </w:r>
          </w:p>
        </w:tc>
      </w:tr>
      <w:tr w:rsidR="00160323" w:rsidRPr="00A1111C" w:rsidTr="00B432A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423DD3" w:rsidRDefault="00160323" w:rsidP="00F31697">
            <w:pPr>
              <w:spacing w:after="0"/>
              <w:rPr>
                <w:rFonts w:eastAsia="Times New Roman" w:cs="Times New Roman"/>
                <w:sz w:val="24"/>
                <w:szCs w:val="24"/>
                <w:lang w:eastAsia="lv-LV"/>
              </w:rPr>
            </w:pPr>
            <w:r w:rsidRPr="00A1111C">
              <w:rPr>
                <w:rFonts w:eastAsia="Times New Roman" w:cs="Times New Roman"/>
                <w:sz w:val="24"/>
                <w:szCs w:val="24"/>
                <w:lang w:eastAsia="lv-LV"/>
              </w:rPr>
              <w:t>Pašreizējā situācija un problēmas, kuru risināšanai tiesību akta projekts izstrādāts, tiesiskā regulējuma mērķis un būtība</w:t>
            </w: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Pr="00423DD3" w:rsidRDefault="00423DD3" w:rsidP="00423DD3">
            <w:pPr>
              <w:rPr>
                <w:rFonts w:eastAsia="Times New Roman" w:cs="Times New Roman"/>
                <w:sz w:val="24"/>
                <w:szCs w:val="24"/>
                <w:lang w:eastAsia="lv-LV"/>
              </w:rPr>
            </w:pPr>
          </w:p>
          <w:p w:rsidR="00423DD3" w:rsidRDefault="00423DD3" w:rsidP="00423DD3">
            <w:pPr>
              <w:rPr>
                <w:rFonts w:eastAsia="Times New Roman" w:cs="Times New Roman"/>
                <w:sz w:val="24"/>
                <w:szCs w:val="24"/>
                <w:lang w:eastAsia="lv-LV"/>
              </w:rPr>
            </w:pPr>
          </w:p>
          <w:p w:rsidR="00160323" w:rsidRPr="00423DD3" w:rsidRDefault="00160323" w:rsidP="00423DD3">
            <w:pPr>
              <w:ind w:firstLine="720"/>
              <w:rPr>
                <w:rFonts w:eastAsia="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4820DD" w:rsidRPr="00117216" w:rsidRDefault="004820DD" w:rsidP="00CB1DCF">
            <w:pPr>
              <w:spacing w:after="0" w:line="240" w:lineRule="auto"/>
              <w:jc w:val="both"/>
              <w:rPr>
                <w:rFonts w:cs="Times New Roman"/>
                <w:sz w:val="24"/>
                <w:szCs w:val="24"/>
              </w:rPr>
            </w:pPr>
            <w:r>
              <w:rPr>
                <w:rFonts w:cs="Times New Roman"/>
                <w:sz w:val="24"/>
                <w:szCs w:val="24"/>
              </w:rPr>
              <w:t xml:space="preserve">Līdz 2016. gada 1.jūlijam Dzīvesvietas deklarēšanas likums </w:t>
            </w:r>
            <w:r w:rsidRPr="004820DD">
              <w:rPr>
                <w:rFonts w:cs="Times New Roman"/>
                <w:sz w:val="24"/>
                <w:szCs w:val="24"/>
              </w:rPr>
              <w:t>paredzēja, ka Pilsonības un migrācijas lietu pārvalde</w:t>
            </w:r>
            <w:r w:rsidR="00F57B9E">
              <w:rPr>
                <w:rFonts w:cs="Times New Roman"/>
                <w:sz w:val="24"/>
                <w:szCs w:val="24"/>
              </w:rPr>
              <w:t xml:space="preserve"> </w:t>
            </w:r>
            <w:r w:rsidR="00F57B9E" w:rsidRPr="00101DFF">
              <w:rPr>
                <w:rFonts w:cs="Times New Roman"/>
                <w:sz w:val="24"/>
                <w:szCs w:val="24"/>
              </w:rPr>
              <w:t xml:space="preserve">(turpmāk – Pārvalde) </w:t>
            </w:r>
            <w:r w:rsidRPr="004820DD">
              <w:rPr>
                <w:rFonts w:cs="Times New Roman"/>
                <w:sz w:val="24"/>
                <w:szCs w:val="24"/>
              </w:rPr>
              <w:t xml:space="preserve"> reģistrē ziņas par deklarēto dzīvesvietu, ja dzīvesvietu deklarē Eiropas Savienības dalībvalsts, Eiropas Ekonomikas zonas valsts un</w:t>
            </w:r>
            <w:r>
              <w:rPr>
                <w:rFonts w:cs="Times New Roman"/>
                <w:sz w:val="24"/>
                <w:szCs w:val="24"/>
              </w:rPr>
              <w:t xml:space="preserve"> Šveices Konfederācijas pilsonis</w:t>
            </w:r>
            <w:r w:rsidRPr="004820DD">
              <w:rPr>
                <w:rFonts w:cs="Times New Roman"/>
                <w:sz w:val="24"/>
                <w:szCs w:val="24"/>
              </w:rPr>
              <w:t xml:space="preserve"> un viņa ģimenes locekļi, kuri ir saņēmuši Latvijas Republikā izdotu reģistrācijas apliecību vai pastāvīgās uzturēšanās apliecību</w:t>
            </w:r>
            <w:r>
              <w:rPr>
                <w:rFonts w:cs="Times New Roman"/>
                <w:sz w:val="24"/>
                <w:szCs w:val="24"/>
              </w:rPr>
              <w:t>;</w:t>
            </w:r>
            <w:r w:rsidRPr="004820DD">
              <w:rPr>
                <w:rFonts w:cs="Times New Roman"/>
                <w:sz w:val="24"/>
                <w:szCs w:val="24"/>
              </w:rPr>
              <w:t xml:space="preserve"> ārzemniek</w:t>
            </w:r>
            <w:r>
              <w:rPr>
                <w:rFonts w:cs="Times New Roman"/>
                <w:sz w:val="24"/>
                <w:szCs w:val="24"/>
              </w:rPr>
              <w:t>s</w:t>
            </w:r>
            <w:r w:rsidRPr="004820DD">
              <w:rPr>
                <w:rFonts w:cs="Times New Roman"/>
                <w:sz w:val="24"/>
                <w:szCs w:val="24"/>
              </w:rPr>
              <w:t>, kurš ir saņēmis Latvijas Republikā izdotu uzturēšanās atļauju</w:t>
            </w:r>
            <w:r>
              <w:rPr>
                <w:rFonts w:cs="Times New Roman"/>
                <w:sz w:val="24"/>
                <w:szCs w:val="24"/>
              </w:rPr>
              <w:t>;</w:t>
            </w:r>
            <w:r w:rsidRPr="004820DD">
              <w:rPr>
                <w:rFonts w:cs="Times New Roman"/>
                <w:sz w:val="24"/>
                <w:szCs w:val="24"/>
              </w:rPr>
              <w:t xml:space="preserve"> bezvalstniek</w:t>
            </w:r>
            <w:r>
              <w:rPr>
                <w:rFonts w:cs="Times New Roman"/>
                <w:sz w:val="24"/>
                <w:szCs w:val="24"/>
              </w:rPr>
              <w:t>s</w:t>
            </w:r>
            <w:r w:rsidRPr="004820DD">
              <w:rPr>
                <w:rFonts w:cs="Times New Roman"/>
                <w:sz w:val="24"/>
                <w:szCs w:val="24"/>
              </w:rPr>
              <w:t>, kurš ir saņēmis Latvijas Republikā izdotu uzturēšanās atļauju</w:t>
            </w:r>
            <w:r w:rsidR="00117216">
              <w:rPr>
                <w:rFonts w:cs="Times New Roman"/>
                <w:sz w:val="24"/>
                <w:szCs w:val="24"/>
              </w:rPr>
              <w:t xml:space="preserve"> (7.panta ceturtā daļa)</w:t>
            </w:r>
            <w:r>
              <w:rPr>
                <w:rFonts w:cs="Times New Roman"/>
                <w:sz w:val="24"/>
                <w:szCs w:val="24"/>
              </w:rPr>
              <w:t xml:space="preserve">. </w:t>
            </w:r>
            <w:r w:rsidR="00117216">
              <w:rPr>
                <w:rFonts w:cs="Times New Roman"/>
                <w:sz w:val="24"/>
                <w:szCs w:val="24"/>
              </w:rPr>
              <w:t>Tādējādi minēt</w:t>
            </w:r>
            <w:r w:rsidR="004E6496">
              <w:rPr>
                <w:rFonts w:cs="Times New Roman"/>
                <w:sz w:val="24"/>
                <w:szCs w:val="24"/>
              </w:rPr>
              <w:t>ā</w:t>
            </w:r>
            <w:r w:rsidR="00117216">
              <w:rPr>
                <w:rFonts w:cs="Times New Roman"/>
                <w:sz w:val="24"/>
                <w:szCs w:val="24"/>
              </w:rPr>
              <w:t xml:space="preserve">s personas varēja jebkurā brīdī iesniegt dzīvesvietas deklarēšanas veidlapu </w:t>
            </w:r>
            <w:r w:rsidR="00F57B9E">
              <w:rPr>
                <w:rFonts w:cs="Times New Roman"/>
                <w:sz w:val="24"/>
                <w:szCs w:val="24"/>
              </w:rPr>
              <w:t>P</w:t>
            </w:r>
            <w:r w:rsidR="00117216">
              <w:rPr>
                <w:rFonts w:cs="Times New Roman"/>
                <w:sz w:val="24"/>
                <w:szCs w:val="24"/>
              </w:rPr>
              <w:t xml:space="preserve">ārvaldē un veikt valsts nodevas samaksu 4,27 </w:t>
            </w:r>
            <w:proofErr w:type="spellStart"/>
            <w:r w:rsidR="00117216">
              <w:rPr>
                <w:rFonts w:cs="Times New Roman"/>
                <w:i/>
                <w:sz w:val="24"/>
                <w:szCs w:val="24"/>
              </w:rPr>
              <w:t>euro</w:t>
            </w:r>
            <w:proofErr w:type="spellEnd"/>
            <w:r w:rsidR="00117216">
              <w:rPr>
                <w:rFonts w:cs="Times New Roman"/>
                <w:sz w:val="24"/>
                <w:szCs w:val="24"/>
              </w:rPr>
              <w:t xml:space="preserve"> apmērā.</w:t>
            </w:r>
          </w:p>
          <w:p w:rsidR="00160323" w:rsidRDefault="00117216" w:rsidP="00117216">
            <w:pPr>
              <w:spacing w:after="0" w:line="240" w:lineRule="auto"/>
              <w:jc w:val="both"/>
              <w:rPr>
                <w:rFonts w:cs="Times New Roman"/>
                <w:sz w:val="24"/>
                <w:szCs w:val="24"/>
              </w:rPr>
            </w:pPr>
            <w:r>
              <w:rPr>
                <w:rFonts w:cs="Times New Roman"/>
                <w:sz w:val="24"/>
                <w:szCs w:val="24"/>
              </w:rPr>
              <w:t xml:space="preserve">Ar 2016.gada 1.jūliju stājas spēkā </w:t>
            </w:r>
            <w:r w:rsidR="004820DD" w:rsidRPr="009C6CF6">
              <w:rPr>
                <w:rFonts w:cs="Times New Roman"/>
                <w:sz w:val="24"/>
                <w:szCs w:val="24"/>
              </w:rPr>
              <w:t>2015.gada 8.oktobra</w:t>
            </w:r>
            <w:r w:rsidR="004820DD" w:rsidRPr="009C6CF6">
              <w:rPr>
                <w:rFonts w:cs="Times New Roman"/>
                <w:bCs/>
                <w:sz w:val="24"/>
                <w:szCs w:val="24"/>
              </w:rPr>
              <w:t xml:space="preserve"> likum</w:t>
            </w:r>
            <w:r>
              <w:rPr>
                <w:rFonts w:cs="Times New Roman"/>
                <w:bCs/>
                <w:sz w:val="24"/>
                <w:szCs w:val="24"/>
              </w:rPr>
              <w:t>s</w:t>
            </w:r>
            <w:r w:rsidR="004820DD" w:rsidRPr="009C6CF6">
              <w:rPr>
                <w:rFonts w:cs="Times New Roman"/>
                <w:sz w:val="24"/>
                <w:szCs w:val="24"/>
              </w:rPr>
              <w:t xml:space="preserve"> “Grozījumi Dzīvesvietas deklarēšanas likumā”</w:t>
            </w:r>
            <w:r w:rsidR="00EF5806">
              <w:rPr>
                <w:rFonts w:cs="Times New Roman"/>
                <w:sz w:val="24"/>
                <w:szCs w:val="24"/>
              </w:rPr>
              <w:t>, kur</w:t>
            </w:r>
            <w:r w:rsidR="004820DD" w:rsidRPr="009C6CF6">
              <w:rPr>
                <w:rFonts w:cs="Times New Roman"/>
                <w:sz w:val="24"/>
                <w:szCs w:val="24"/>
              </w:rPr>
              <w:t xml:space="preserve"> (2.pants)</w:t>
            </w:r>
            <w:r w:rsidR="009C1EA2">
              <w:rPr>
                <w:rFonts w:cs="Times New Roman"/>
                <w:bCs/>
                <w:sz w:val="24"/>
                <w:szCs w:val="24"/>
              </w:rPr>
              <w:t xml:space="preserve"> paredz</w:t>
            </w:r>
            <w:r w:rsidR="00EF5806">
              <w:rPr>
                <w:rFonts w:cs="Times New Roman"/>
                <w:bCs/>
                <w:sz w:val="24"/>
                <w:szCs w:val="24"/>
              </w:rPr>
              <w:t>ēts</w:t>
            </w:r>
            <w:r w:rsidR="004820DD" w:rsidRPr="009C6CF6">
              <w:rPr>
                <w:rFonts w:cs="Times New Roman"/>
                <w:bCs/>
                <w:sz w:val="24"/>
                <w:szCs w:val="24"/>
              </w:rPr>
              <w:t>, j</w:t>
            </w:r>
            <w:r w:rsidR="004820DD" w:rsidRPr="009C6CF6">
              <w:rPr>
                <w:rFonts w:cs="Times New Roman"/>
                <w:sz w:val="24"/>
                <w:szCs w:val="24"/>
              </w:rPr>
              <w:t xml:space="preserve">a persona ir iesniegusi iesniegumu uzturēšanās atļaujas, reģistrācijas apliecības vai pastāvīgās uzturēšanās apliecības pieprasīšanai vai tās tiesiskā statusa noteikšanai un šajā iesniegumā norādītā informācija satur deklarācijā nepieciešamās ziņas, </w:t>
            </w:r>
            <w:r w:rsidR="008F1D62">
              <w:rPr>
                <w:rFonts w:cs="Times New Roman"/>
                <w:sz w:val="24"/>
                <w:szCs w:val="24"/>
              </w:rPr>
              <w:t xml:space="preserve">tā ir uzskatāma par deklarāciju, kā arī paredz to, ka </w:t>
            </w:r>
            <w:r w:rsidR="008F1D62" w:rsidRPr="00101DFF">
              <w:rPr>
                <w:rFonts w:cs="Times New Roman"/>
                <w:sz w:val="24"/>
                <w:szCs w:val="24"/>
              </w:rPr>
              <w:t xml:space="preserve">adrese, kura norādīta </w:t>
            </w:r>
            <w:r w:rsidR="00F57B9E">
              <w:rPr>
                <w:rFonts w:cs="Times New Roman"/>
                <w:sz w:val="24"/>
                <w:szCs w:val="24"/>
              </w:rPr>
              <w:t>P</w:t>
            </w:r>
            <w:r w:rsidR="008F1D62" w:rsidRPr="00101DFF">
              <w:rPr>
                <w:rFonts w:cs="Times New Roman"/>
                <w:sz w:val="24"/>
                <w:szCs w:val="24"/>
              </w:rPr>
              <w:t>ārvaldei adresētajā iesniegumā uzturēšanās atļaujas, reģistrācijas apliecības vai pastāvīgās uzturēšanās apliecības pieprasīšanai vai tiesiskā statusa noteikšanai, uzskatāma par deklarēto dzīvesvietu ar uzturēšanās atļaujas, reģistrācijas apliecības vai pastāvīgās uzturēšanās apliecības izsniegšanas vai tiesiskā statusa noteikšanas dienu, ja Pārvalde nav atteikusies reģistrēt deklarēto dzīvesvietu.</w:t>
            </w:r>
          </w:p>
          <w:p w:rsidR="00225961" w:rsidRPr="00423DD3" w:rsidRDefault="00CF2BB5" w:rsidP="00CF2BB5">
            <w:pPr>
              <w:spacing w:after="0" w:line="240" w:lineRule="auto"/>
              <w:jc w:val="both"/>
              <w:rPr>
                <w:sz w:val="24"/>
                <w:szCs w:val="24"/>
              </w:rPr>
            </w:pPr>
            <w:r w:rsidRPr="00423DD3">
              <w:rPr>
                <w:sz w:val="24"/>
                <w:szCs w:val="24"/>
              </w:rPr>
              <w:t>Noteikumi papildināti ar 3.</w:t>
            </w:r>
            <w:r w:rsidRPr="00423DD3">
              <w:rPr>
                <w:sz w:val="24"/>
                <w:szCs w:val="24"/>
                <w:vertAlign w:val="superscript"/>
              </w:rPr>
              <w:t>1</w:t>
            </w:r>
            <w:r w:rsidRPr="00423DD3">
              <w:rPr>
                <w:sz w:val="24"/>
                <w:szCs w:val="24"/>
              </w:rPr>
              <w:t xml:space="preserve"> punktu, paredzot valsts nodevas apmaksas kārtību ārzemniekiem, kuri pieprasa uzturēšanās atļauju, paredzot, ka ārzemnieki šo nodevu var samaksāt gan brīdī, kad pieprasa </w:t>
            </w:r>
            <w:r w:rsidR="004A4D29" w:rsidRPr="00423DD3">
              <w:rPr>
                <w:sz w:val="24"/>
                <w:szCs w:val="24"/>
              </w:rPr>
              <w:t>reģistrēt uzturēšanās atļauju (</w:t>
            </w:r>
            <w:r w:rsidRPr="00423DD3">
              <w:rPr>
                <w:sz w:val="24"/>
                <w:szCs w:val="24"/>
              </w:rPr>
              <w:t xml:space="preserve">ārzemnieki, kuri Latvijā jau uzturas ar uzturēšanās atļauju un vēlas </w:t>
            </w:r>
            <w:r w:rsidR="004A4D29" w:rsidRPr="00423DD3">
              <w:rPr>
                <w:sz w:val="24"/>
                <w:szCs w:val="24"/>
              </w:rPr>
              <w:t xml:space="preserve">to </w:t>
            </w:r>
            <w:r w:rsidRPr="00423DD3">
              <w:rPr>
                <w:sz w:val="24"/>
                <w:szCs w:val="24"/>
              </w:rPr>
              <w:t>reģistrēt)</w:t>
            </w:r>
            <w:r w:rsidR="004A4D29" w:rsidRPr="00423DD3">
              <w:rPr>
                <w:sz w:val="24"/>
                <w:szCs w:val="24"/>
              </w:rPr>
              <w:t>,</w:t>
            </w:r>
            <w:r w:rsidRPr="00423DD3">
              <w:rPr>
                <w:sz w:val="24"/>
                <w:szCs w:val="24"/>
              </w:rPr>
              <w:t xml:space="preserve"> gan arī tad, kad ir pieņemts lēmums par uzturēšanās atļaujas izsniegšanu un persona formē </w:t>
            </w:r>
            <w:r w:rsidR="004A4D29" w:rsidRPr="00423DD3">
              <w:rPr>
                <w:sz w:val="24"/>
                <w:szCs w:val="24"/>
              </w:rPr>
              <w:t xml:space="preserve">vai saņem </w:t>
            </w:r>
            <w:r w:rsidRPr="00423DD3">
              <w:rPr>
                <w:sz w:val="24"/>
                <w:szCs w:val="24"/>
              </w:rPr>
              <w:t xml:space="preserve">uzturēšanās atļaujas kartiņu (personas apliecību). </w:t>
            </w:r>
            <w:r w:rsidR="004A4D29" w:rsidRPr="00423DD3">
              <w:rPr>
                <w:sz w:val="24"/>
                <w:szCs w:val="24"/>
              </w:rPr>
              <w:t>Š</w:t>
            </w:r>
            <w:r w:rsidR="00CD3FC5" w:rsidRPr="00423DD3">
              <w:rPr>
                <w:sz w:val="24"/>
                <w:szCs w:val="24"/>
              </w:rPr>
              <w:t>ā</w:t>
            </w:r>
            <w:r w:rsidR="004A4D29" w:rsidRPr="00423DD3">
              <w:rPr>
                <w:sz w:val="24"/>
                <w:szCs w:val="24"/>
              </w:rPr>
              <w:t xml:space="preserve">ds izņēmums no noteikumu 3.punktā noteiktās vispārējās valsts nodevas apmaksas kārtības nepieciešams, </w:t>
            </w:r>
            <w:r w:rsidR="00CD3FC5" w:rsidRPr="00423DD3">
              <w:rPr>
                <w:sz w:val="24"/>
                <w:szCs w:val="24"/>
              </w:rPr>
              <w:t xml:space="preserve">lai nodrošinātu saprātīgu un lietderīgu valsts nodevas par dzīvesvietas deklarēšanu apmaksas kārtību. </w:t>
            </w:r>
            <w:r w:rsidR="00CD3FC5" w:rsidRPr="00423DD3">
              <w:rPr>
                <w:sz w:val="24"/>
                <w:szCs w:val="24"/>
              </w:rPr>
              <w:lastRenderedPageBreak/>
              <w:t xml:space="preserve">Ieviešot šādu kārtību, gadījumā, ja Pārvalde atsaka uzturēšanās atļaujas izsniegšanu, nav jāveic papildus darbības valsts nodevas </w:t>
            </w:r>
            <w:r w:rsidR="00225961" w:rsidRPr="00423DD3">
              <w:rPr>
                <w:sz w:val="24"/>
                <w:szCs w:val="24"/>
              </w:rPr>
              <w:t xml:space="preserve">atmaksai, jo dzīvesvietas deklarēšanas pakalpojums netiek sniegts. Tādējādi netiks </w:t>
            </w:r>
            <w:r w:rsidRPr="00423DD3">
              <w:rPr>
                <w:sz w:val="24"/>
                <w:szCs w:val="24"/>
              </w:rPr>
              <w:t>radīt</w:t>
            </w:r>
            <w:r w:rsidR="00225961" w:rsidRPr="00423DD3">
              <w:rPr>
                <w:sz w:val="24"/>
                <w:szCs w:val="24"/>
              </w:rPr>
              <w:t>s</w:t>
            </w:r>
            <w:r w:rsidRPr="00423DD3">
              <w:rPr>
                <w:sz w:val="24"/>
                <w:szCs w:val="24"/>
              </w:rPr>
              <w:t xml:space="preserve"> administratīv</w:t>
            </w:r>
            <w:r w:rsidR="00225961" w:rsidRPr="00423DD3">
              <w:rPr>
                <w:sz w:val="24"/>
                <w:szCs w:val="24"/>
              </w:rPr>
              <w:t xml:space="preserve">ais </w:t>
            </w:r>
            <w:r w:rsidRPr="00423DD3">
              <w:rPr>
                <w:sz w:val="24"/>
                <w:szCs w:val="24"/>
              </w:rPr>
              <w:t>slog</w:t>
            </w:r>
            <w:r w:rsidR="00225961" w:rsidRPr="00423DD3">
              <w:rPr>
                <w:sz w:val="24"/>
                <w:szCs w:val="24"/>
              </w:rPr>
              <w:t>s</w:t>
            </w:r>
            <w:r w:rsidRPr="00423DD3">
              <w:rPr>
                <w:sz w:val="24"/>
                <w:szCs w:val="24"/>
              </w:rPr>
              <w:t xml:space="preserve"> ne personai, ne pārvaldei</w:t>
            </w:r>
            <w:r w:rsidR="00225961" w:rsidRPr="00423DD3">
              <w:rPr>
                <w:sz w:val="24"/>
                <w:szCs w:val="24"/>
              </w:rPr>
              <w:t>.</w:t>
            </w:r>
          </w:p>
          <w:p w:rsidR="00911B12" w:rsidRPr="00911B12" w:rsidRDefault="00911B12" w:rsidP="007B1106">
            <w:pPr>
              <w:spacing w:after="0" w:line="240" w:lineRule="auto"/>
              <w:jc w:val="both"/>
              <w:rPr>
                <w:rFonts w:cs="Times New Roman"/>
                <w:sz w:val="12"/>
                <w:szCs w:val="12"/>
              </w:rPr>
            </w:pPr>
          </w:p>
          <w:p w:rsidR="00911B12" w:rsidRDefault="00D9127D" w:rsidP="00046288">
            <w:pPr>
              <w:spacing w:after="0" w:line="240" w:lineRule="auto"/>
              <w:jc w:val="both"/>
              <w:rPr>
                <w:rFonts w:cs="Times New Roman"/>
                <w:sz w:val="24"/>
                <w:szCs w:val="24"/>
              </w:rPr>
            </w:pPr>
            <w:r>
              <w:rPr>
                <w:rFonts w:cs="Times New Roman"/>
                <w:sz w:val="24"/>
                <w:szCs w:val="24"/>
              </w:rPr>
              <w:t>Attiecībā uz tiesiskā statusa noteikšanas iesniegumiem norādāms, ka galvenokārt tie ir iesniegumi, kuros tiek lūgts atzīt personu par Latvijas pilsoni (gan pilngadīgu, gan nepilngadīgu ārvalstī dzimušu personu). Saskaņā ar Noteikumu 4.2.apakšpunktu, reģistrējot bērnu pirmreizējo deklarēto dzīvesvietu, valsts nodevu nemaksā. Līdz ar to par ārvalstī dzimuša bērna</w:t>
            </w:r>
            <w:r w:rsidR="00EF5FBA">
              <w:rPr>
                <w:rFonts w:cs="Times New Roman"/>
                <w:sz w:val="24"/>
                <w:szCs w:val="24"/>
              </w:rPr>
              <w:t xml:space="preserve"> pirmreizējo</w:t>
            </w:r>
            <w:r>
              <w:rPr>
                <w:rFonts w:cs="Times New Roman"/>
                <w:sz w:val="24"/>
                <w:szCs w:val="24"/>
              </w:rPr>
              <w:t xml:space="preserve"> dzīvesvietas adreses deklarēšanu</w:t>
            </w:r>
            <w:r w:rsidR="00EF5FBA">
              <w:rPr>
                <w:rFonts w:cs="Times New Roman"/>
                <w:sz w:val="24"/>
                <w:szCs w:val="24"/>
              </w:rPr>
              <w:t xml:space="preserve"> (ko veiks nosakot bērnam tiesisko statusu)</w:t>
            </w:r>
            <w:r>
              <w:rPr>
                <w:rFonts w:cs="Times New Roman"/>
                <w:sz w:val="24"/>
                <w:szCs w:val="24"/>
              </w:rPr>
              <w:t xml:space="preserve"> valsts nodeva nav jāmaksā. Savukārt, ja tiks iesniegts iesniegum</w:t>
            </w:r>
            <w:r w:rsidR="00E4605E">
              <w:rPr>
                <w:rFonts w:cs="Times New Roman"/>
                <w:sz w:val="24"/>
                <w:szCs w:val="24"/>
              </w:rPr>
              <w:t>s</w:t>
            </w:r>
            <w:r>
              <w:rPr>
                <w:rFonts w:cs="Times New Roman"/>
                <w:sz w:val="24"/>
                <w:szCs w:val="24"/>
              </w:rPr>
              <w:t xml:space="preserve"> par tiesiskā statusa noteikšanu Latvijā  pilngadīgai personai, valsts nodeva </w:t>
            </w:r>
            <w:r w:rsidR="00A47BAA">
              <w:rPr>
                <w:rFonts w:cs="Times New Roman"/>
                <w:sz w:val="24"/>
                <w:szCs w:val="24"/>
              </w:rPr>
              <w:t xml:space="preserve">būs </w:t>
            </w:r>
            <w:r>
              <w:rPr>
                <w:rFonts w:cs="Times New Roman"/>
                <w:sz w:val="24"/>
                <w:szCs w:val="24"/>
              </w:rPr>
              <w:t xml:space="preserve">jāmaksā. </w:t>
            </w:r>
            <w:r w:rsidR="00A47BAA">
              <w:rPr>
                <w:rFonts w:cs="Times New Roman"/>
                <w:sz w:val="24"/>
                <w:szCs w:val="24"/>
              </w:rPr>
              <w:t>Skatot lietas par tiesiskā statusa noteikšanu pilngadīgām ārvalstī dzimušām personām secināms, ka galvenokārt iesniegumi tiek iesniegti</w:t>
            </w:r>
            <w:r w:rsidR="00280725">
              <w:rPr>
                <w:rFonts w:cs="Times New Roman"/>
                <w:sz w:val="24"/>
                <w:szCs w:val="24"/>
              </w:rPr>
              <w:t>,</w:t>
            </w:r>
            <w:r w:rsidR="00A47BAA">
              <w:rPr>
                <w:rFonts w:cs="Times New Roman"/>
                <w:sz w:val="24"/>
                <w:szCs w:val="24"/>
              </w:rPr>
              <w:t xml:space="preserve"> izmantojot pasta pakalpojumus. Līdz ar to </w:t>
            </w:r>
            <w:r w:rsidR="00046288">
              <w:rPr>
                <w:rFonts w:cs="Times New Roman"/>
                <w:sz w:val="24"/>
                <w:szCs w:val="24"/>
              </w:rPr>
              <w:t xml:space="preserve">gadījumā, ja šīs personas vēlētos līdz ar tiesiskā statusa noteikšanu deklarēt savu dzīvesvietas adresi Latvijā, tām būtu savam iesniegumam jāpievieno dokuments, kas apliecina valsts nodevas samaksu, kas attiecīgi būtu ārvalsts bankas maksājuma dokuments par pārskaitījuma veikšanu. Ievērojot to, ka statistiski lielākais iesniegumu skaits ir no ASV, Dienvidamerikas valstīm, Austrālijas, Kanādas, Krievijas, tad komisijas maksa par 4,27 </w:t>
            </w:r>
            <w:proofErr w:type="spellStart"/>
            <w:r w:rsidR="00046288">
              <w:rPr>
                <w:rFonts w:cs="Times New Roman"/>
                <w:i/>
                <w:sz w:val="24"/>
                <w:szCs w:val="24"/>
              </w:rPr>
              <w:t>euro</w:t>
            </w:r>
            <w:proofErr w:type="spellEnd"/>
            <w:r w:rsidR="00046288">
              <w:rPr>
                <w:rFonts w:cs="Times New Roman"/>
                <w:i/>
                <w:sz w:val="24"/>
                <w:szCs w:val="24"/>
              </w:rPr>
              <w:t xml:space="preserve"> </w:t>
            </w:r>
            <w:r w:rsidR="00046288">
              <w:rPr>
                <w:rFonts w:cs="Times New Roman"/>
                <w:sz w:val="24"/>
                <w:szCs w:val="24"/>
              </w:rPr>
              <w:t>pārskaitīšanu uz Latv</w:t>
            </w:r>
            <w:r w:rsidR="004268EE">
              <w:rPr>
                <w:rFonts w:cs="Times New Roman"/>
                <w:sz w:val="24"/>
                <w:szCs w:val="24"/>
              </w:rPr>
              <w:t>ijas Valsts kasi būtu nesamērīgi augsta.</w:t>
            </w:r>
            <w:r w:rsidR="00046288">
              <w:rPr>
                <w:rFonts w:cs="Times New Roman"/>
                <w:sz w:val="24"/>
                <w:szCs w:val="24"/>
              </w:rPr>
              <w:t xml:space="preserve"> </w:t>
            </w:r>
          </w:p>
          <w:p w:rsidR="009F32B9" w:rsidRDefault="00673320" w:rsidP="00673320">
            <w:pPr>
              <w:spacing w:after="0" w:line="240" w:lineRule="auto"/>
              <w:jc w:val="both"/>
              <w:rPr>
                <w:rFonts w:cs="Times New Roman"/>
                <w:sz w:val="24"/>
                <w:szCs w:val="24"/>
              </w:rPr>
            </w:pPr>
            <w:r>
              <w:rPr>
                <w:rFonts w:cs="Times New Roman"/>
                <w:sz w:val="24"/>
                <w:szCs w:val="24"/>
              </w:rPr>
              <w:t xml:space="preserve">Otra skaitliski </w:t>
            </w:r>
            <w:r w:rsidR="009F32B9">
              <w:rPr>
                <w:rFonts w:cs="Times New Roman"/>
                <w:sz w:val="24"/>
                <w:szCs w:val="24"/>
              </w:rPr>
              <w:t xml:space="preserve">absolūti </w:t>
            </w:r>
            <w:r>
              <w:rPr>
                <w:rFonts w:cs="Times New Roman"/>
                <w:sz w:val="24"/>
                <w:szCs w:val="24"/>
              </w:rPr>
              <w:t>lielākā pilngadīgo personu</w:t>
            </w:r>
            <w:r w:rsidR="00E4605E">
              <w:rPr>
                <w:rFonts w:cs="Times New Roman"/>
                <w:sz w:val="24"/>
                <w:szCs w:val="24"/>
              </w:rPr>
              <w:t xml:space="preserve"> grupa, kas iesniedz iesniegumu</w:t>
            </w:r>
            <w:r>
              <w:rPr>
                <w:rFonts w:cs="Times New Roman"/>
                <w:sz w:val="24"/>
                <w:szCs w:val="24"/>
              </w:rPr>
              <w:t xml:space="preserve"> ar lūgumu noteikt tiesisko statusu</w:t>
            </w:r>
            <w:r w:rsidR="00211B68">
              <w:rPr>
                <w:rFonts w:cs="Times New Roman"/>
                <w:sz w:val="24"/>
                <w:szCs w:val="24"/>
              </w:rPr>
              <w:t xml:space="preserve"> Latvijā</w:t>
            </w:r>
            <w:r w:rsidR="00E4605E">
              <w:rPr>
                <w:rFonts w:cs="Times New Roman"/>
                <w:sz w:val="24"/>
                <w:szCs w:val="24"/>
              </w:rPr>
              <w:t>,</w:t>
            </w:r>
            <w:r>
              <w:rPr>
                <w:rFonts w:cs="Times New Roman"/>
                <w:sz w:val="24"/>
                <w:szCs w:val="24"/>
              </w:rPr>
              <w:t xml:space="preserve"> ir Latvijā dzīvojošas un nestrādājošas personas, kurām attiecīgi ir finansiālās grūtības, kā rezultātā tās </w:t>
            </w:r>
            <w:r w:rsidR="00BD5E5A">
              <w:rPr>
                <w:rFonts w:cs="Times New Roman"/>
                <w:sz w:val="24"/>
                <w:szCs w:val="24"/>
              </w:rPr>
              <w:t>nevar noformēt personu apliecinošu dokumentu un uzturēšanās atļauju (Latvijas bezvalstnieks)</w:t>
            </w:r>
            <w:r w:rsidR="00E4605E">
              <w:rPr>
                <w:rFonts w:cs="Times New Roman"/>
                <w:sz w:val="24"/>
                <w:szCs w:val="24"/>
              </w:rPr>
              <w:t xml:space="preserve"> un nevar samaksāt valsts nodevu par </w:t>
            </w:r>
            <w:r w:rsidR="00211B68">
              <w:rPr>
                <w:rFonts w:cs="Times New Roman"/>
                <w:sz w:val="24"/>
                <w:szCs w:val="24"/>
              </w:rPr>
              <w:t>d</w:t>
            </w:r>
            <w:r w:rsidR="00E4605E">
              <w:rPr>
                <w:rFonts w:cs="Times New Roman"/>
                <w:sz w:val="24"/>
                <w:szCs w:val="24"/>
              </w:rPr>
              <w:t>zīvesvietas</w:t>
            </w:r>
            <w:r w:rsidR="00211B68">
              <w:rPr>
                <w:rFonts w:cs="Times New Roman"/>
                <w:sz w:val="24"/>
                <w:szCs w:val="24"/>
              </w:rPr>
              <w:t xml:space="preserve"> adreses</w:t>
            </w:r>
            <w:r w:rsidR="00E4605E">
              <w:rPr>
                <w:rFonts w:cs="Times New Roman"/>
                <w:sz w:val="24"/>
                <w:szCs w:val="24"/>
              </w:rPr>
              <w:t xml:space="preserve"> deklarēšanu</w:t>
            </w:r>
            <w:r w:rsidR="00BD5E5A">
              <w:rPr>
                <w:rFonts w:cs="Times New Roman"/>
                <w:sz w:val="24"/>
                <w:szCs w:val="24"/>
              </w:rPr>
              <w:t>.</w:t>
            </w:r>
            <w:r w:rsidR="009F32B9">
              <w:rPr>
                <w:rFonts w:cs="Times New Roman"/>
                <w:sz w:val="24"/>
                <w:szCs w:val="24"/>
              </w:rPr>
              <w:t xml:space="preserve"> </w:t>
            </w:r>
            <w:r w:rsidR="009F32B9" w:rsidRPr="00423DD3">
              <w:rPr>
                <w:rFonts w:cs="Times New Roman"/>
                <w:sz w:val="24"/>
                <w:szCs w:val="24"/>
              </w:rPr>
              <w:t xml:space="preserve">Šīs personas Latvijā nav atzītas ne par trūcīgām personām, ne arī pensionāriem, kuru pensijas apmērs nepārsniedz valstī noteikto minimālo darba algu (spēkā esošie pamati valsts nodevas atvieglojumiem), jo šīm personām nav noteikts tiesiskais statuss, kas ir šķērslis trūcīgas personas statusa iegūšanai vai atzīšanai par pensionāru. Tādējādi uzskatāms, ka šī personu grupa ir atzīstama par </w:t>
            </w:r>
            <w:proofErr w:type="spellStart"/>
            <w:r w:rsidR="009F32B9" w:rsidRPr="00423DD3">
              <w:rPr>
                <w:rFonts w:cs="Times New Roman"/>
                <w:sz w:val="24"/>
                <w:szCs w:val="24"/>
              </w:rPr>
              <w:t>mazākaizsargātām</w:t>
            </w:r>
            <w:proofErr w:type="spellEnd"/>
            <w:r w:rsidR="009F32B9" w:rsidRPr="00423DD3">
              <w:rPr>
                <w:rFonts w:cs="Times New Roman"/>
                <w:sz w:val="24"/>
                <w:szCs w:val="24"/>
              </w:rPr>
              <w:t xml:space="preserve"> personām un ir nepieciešams nodrošināt tām atbalstu, it īpaši ņemot vērā, ka arī šo personu sasniedzamība (dzīvesvietas deklarēšanas mērķis) ir valstiski svarīga.</w:t>
            </w:r>
          </w:p>
          <w:p w:rsidR="00652B72" w:rsidRDefault="00652B72" w:rsidP="00673320">
            <w:pPr>
              <w:spacing w:after="0" w:line="240" w:lineRule="auto"/>
              <w:jc w:val="both"/>
              <w:rPr>
                <w:rFonts w:cs="Times New Roman"/>
                <w:sz w:val="24"/>
                <w:szCs w:val="24"/>
              </w:rPr>
            </w:pPr>
            <w:r>
              <w:rPr>
                <w:sz w:val="24"/>
                <w:szCs w:val="24"/>
              </w:rPr>
              <w:t>2015.gadā P</w:t>
            </w:r>
            <w:r w:rsidRPr="00A1111C">
              <w:rPr>
                <w:sz w:val="24"/>
                <w:szCs w:val="24"/>
              </w:rPr>
              <w:t xml:space="preserve">ārvalde </w:t>
            </w:r>
            <w:r>
              <w:rPr>
                <w:sz w:val="24"/>
                <w:szCs w:val="24"/>
              </w:rPr>
              <w:t xml:space="preserve">1 358 pilngadīgām personām noteica tiesisko statusu Latvijā. </w:t>
            </w:r>
            <w:r w:rsidR="00EF5FBA">
              <w:rPr>
                <w:sz w:val="24"/>
                <w:szCs w:val="24"/>
              </w:rPr>
              <w:t>Pēc Iedzīvotāju reģistra datiem n</w:t>
            </w:r>
            <w:r>
              <w:rPr>
                <w:sz w:val="24"/>
                <w:szCs w:val="24"/>
              </w:rPr>
              <w:t xml:space="preserve">o šīm personām 74 personām ir norādīta aktuālā dzīvesvietas adrese Latvijā, tai skaitā, 53 personām tā ir deklarētā </w:t>
            </w:r>
            <w:r>
              <w:rPr>
                <w:sz w:val="24"/>
                <w:szCs w:val="24"/>
              </w:rPr>
              <w:lastRenderedPageBreak/>
              <w:t>dzīvesvietas adrese un 21 personai</w:t>
            </w:r>
            <w:r w:rsidR="00211B68">
              <w:rPr>
                <w:sz w:val="24"/>
                <w:szCs w:val="24"/>
              </w:rPr>
              <w:t xml:space="preserve"> tā</w:t>
            </w:r>
            <w:r>
              <w:rPr>
                <w:sz w:val="24"/>
                <w:szCs w:val="24"/>
              </w:rPr>
              <w:t xml:space="preserve"> ir norādītā dzīvesvietas adrese Latvijā. Tādējādi secināms, ka gandrīz puse Latvijas valstspiederīgo</w:t>
            </w:r>
            <w:r w:rsidR="004268EE">
              <w:rPr>
                <w:sz w:val="24"/>
                <w:szCs w:val="24"/>
              </w:rPr>
              <w:t>, kam</w:t>
            </w:r>
            <w:r w:rsidR="00512C05">
              <w:rPr>
                <w:sz w:val="24"/>
                <w:szCs w:val="24"/>
              </w:rPr>
              <w:t>,</w:t>
            </w:r>
            <w:r w:rsidR="004268EE">
              <w:rPr>
                <w:sz w:val="24"/>
                <w:szCs w:val="24"/>
              </w:rPr>
              <w:t xml:space="preserve"> </w:t>
            </w:r>
            <w:r w:rsidR="00512C05">
              <w:rPr>
                <w:sz w:val="24"/>
                <w:szCs w:val="24"/>
              </w:rPr>
              <w:t>nosakot tiesisko statusu, bija norādīta dzīvesvietas adrese Latvijā,</w:t>
            </w:r>
            <w:r>
              <w:rPr>
                <w:sz w:val="24"/>
                <w:szCs w:val="24"/>
              </w:rPr>
              <w:t xml:space="preserve"> pēc ziņu iekļaušanas Iedzīvotāju reģistrā un personas koda piešķiršanas nav izpildījusi savu pienākumu un deklarējusi dzīvesvietas adresi (pašvaldībā vai elektroniski)</w:t>
            </w:r>
            <w:r w:rsidR="00850E61">
              <w:rPr>
                <w:sz w:val="24"/>
                <w:szCs w:val="24"/>
              </w:rPr>
              <w:t xml:space="preserve">, </w:t>
            </w:r>
            <w:r w:rsidR="00850E61" w:rsidRPr="00423DD3">
              <w:rPr>
                <w:sz w:val="24"/>
                <w:szCs w:val="24"/>
              </w:rPr>
              <w:t>kur, kā liecina Pārvaldes darbā gūtie novērojumi, viens no pamata šķēršļiem ir minēto personu nespēja veikt valsts nodevas samaksu</w:t>
            </w:r>
            <w:r w:rsidRPr="00423DD3">
              <w:rPr>
                <w:sz w:val="24"/>
                <w:szCs w:val="24"/>
              </w:rPr>
              <w:t>.</w:t>
            </w:r>
          </w:p>
          <w:p w:rsidR="00BD5E5A" w:rsidRDefault="004268EE" w:rsidP="00BD5E5A">
            <w:pPr>
              <w:spacing w:after="0" w:line="240" w:lineRule="auto"/>
              <w:jc w:val="both"/>
              <w:rPr>
                <w:sz w:val="24"/>
                <w:szCs w:val="24"/>
              </w:rPr>
            </w:pPr>
            <w:r>
              <w:rPr>
                <w:rFonts w:cs="Times New Roman"/>
                <w:sz w:val="24"/>
                <w:szCs w:val="24"/>
              </w:rPr>
              <w:t xml:space="preserve">Ievērojot minēto un </w:t>
            </w:r>
            <w:r w:rsidR="00BD5E5A" w:rsidRPr="00BD5E5A">
              <w:rPr>
                <w:rFonts w:cs="Times New Roman"/>
                <w:sz w:val="24"/>
                <w:szCs w:val="24"/>
              </w:rPr>
              <w:t>vadoties no lietderības un tiesību normu saprātīgas piemērošanas apsvērumiem,</w:t>
            </w:r>
            <w:r w:rsidR="00E4605E">
              <w:rPr>
                <w:rFonts w:cs="Times New Roman"/>
                <w:sz w:val="24"/>
                <w:szCs w:val="24"/>
              </w:rPr>
              <w:t xml:space="preserve"> un lai nodrošinātu personu sasniedzamību,</w:t>
            </w:r>
            <w:r w:rsidR="00652B72">
              <w:rPr>
                <w:rFonts w:cs="Times New Roman"/>
                <w:sz w:val="24"/>
                <w:szCs w:val="24"/>
              </w:rPr>
              <w:t xml:space="preserve"> </w:t>
            </w:r>
            <w:r w:rsidR="00BD5E5A" w:rsidRPr="00BD5E5A">
              <w:rPr>
                <w:rFonts w:cs="Times New Roman"/>
                <w:sz w:val="24"/>
                <w:szCs w:val="24"/>
              </w:rPr>
              <w:t xml:space="preserve">nepieciešams Noteikumos noteikt, ka valsts nodevu nemaksā </w:t>
            </w:r>
            <w:r w:rsidR="00BD5E5A" w:rsidRPr="00BD5E5A">
              <w:rPr>
                <w:sz w:val="24"/>
                <w:szCs w:val="24"/>
              </w:rPr>
              <w:t xml:space="preserve">personas, kurām </w:t>
            </w:r>
            <w:r w:rsidR="00BD5E5A">
              <w:rPr>
                <w:sz w:val="24"/>
                <w:szCs w:val="24"/>
              </w:rPr>
              <w:t>P</w:t>
            </w:r>
            <w:r w:rsidR="00BD5E5A" w:rsidRPr="00BD5E5A">
              <w:rPr>
                <w:sz w:val="24"/>
                <w:szCs w:val="24"/>
              </w:rPr>
              <w:t>ārvalde nosaka tiesisko statusu</w:t>
            </w:r>
            <w:r w:rsidR="00BD5E5A">
              <w:rPr>
                <w:sz w:val="24"/>
                <w:szCs w:val="24"/>
              </w:rPr>
              <w:t xml:space="preserve"> (</w:t>
            </w:r>
            <w:r w:rsidR="00850E61">
              <w:rPr>
                <w:sz w:val="24"/>
                <w:szCs w:val="24"/>
              </w:rPr>
              <w:t xml:space="preserve">pirmo reizi personu </w:t>
            </w:r>
            <w:r w:rsidR="00BD5E5A">
              <w:rPr>
                <w:sz w:val="24"/>
                <w:szCs w:val="24"/>
              </w:rPr>
              <w:t>atzīst par Latvijas pilsoni, nepilsoni, bezvalstnieku).</w:t>
            </w:r>
          </w:p>
          <w:p w:rsidR="008067F6" w:rsidRPr="008067F6" w:rsidRDefault="008067F6" w:rsidP="00BD5E5A">
            <w:pPr>
              <w:spacing w:after="0" w:line="240" w:lineRule="auto"/>
              <w:jc w:val="both"/>
              <w:rPr>
                <w:rFonts w:cs="Times New Roman"/>
                <w:sz w:val="12"/>
                <w:szCs w:val="12"/>
              </w:rPr>
            </w:pPr>
          </w:p>
          <w:p w:rsidR="005A0BCA" w:rsidRDefault="008067F6" w:rsidP="005A0BCA">
            <w:pPr>
              <w:spacing w:after="0" w:line="240" w:lineRule="auto"/>
              <w:jc w:val="both"/>
              <w:rPr>
                <w:rFonts w:cs="Times New Roman"/>
                <w:sz w:val="24"/>
                <w:szCs w:val="24"/>
              </w:rPr>
            </w:pPr>
            <w:r>
              <w:rPr>
                <w:rFonts w:cs="Times New Roman"/>
                <w:sz w:val="24"/>
                <w:szCs w:val="24"/>
              </w:rPr>
              <w:t>Ar 2009.gada 29.oktobra likumu “Grozījumi Dzīvesvietas deklarēšanas likumā”, kas</w:t>
            </w:r>
            <w:r w:rsidR="00A6254B">
              <w:rPr>
                <w:rFonts w:cs="Times New Roman"/>
                <w:sz w:val="24"/>
                <w:szCs w:val="24"/>
              </w:rPr>
              <w:t xml:space="preserve"> stājās spēkā 2010.gada 1.janvāri no Dzīvesvietas deklarēšanas likuma tika izslēgts regulējums, kas noteica kārtību kādā deklarējama dzīvesvietas adrese pa pastu, tomēr Noteikumu 3.punkt</w:t>
            </w:r>
            <w:r w:rsidR="005A0BCA">
              <w:rPr>
                <w:rFonts w:cs="Times New Roman"/>
                <w:sz w:val="24"/>
                <w:szCs w:val="24"/>
              </w:rPr>
              <w:t>a otrais teikums</w:t>
            </w:r>
            <w:r w:rsidR="00A6254B">
              <w:rPr>
                <w:rFonts w:cs="Times New Roman"/>
                <w:sz w:val="24"/>
                <w:szCs w:val="24"/>
              </w:rPr>
              <w:t xml:space="preserve"> </w:t>
            </w:r>
            <w:r w:rsidR="005A0BCA">
              <w:rPr>
                <w:rFonts w:cs="Times New Roman"/>
                <w:sz w:val="24"/>
                <w:szCs w:val="24"/>
              </w:rPr>
              <w:t>paredz</w:t>
            </w:r>
            <w:r w:rsidR="00A6254B" w:rsidRPr="005A0BCA">
              <w:rPr>
                <w:rFonts w:cs="Times New Roman"/>
                <w:sz w:val="24"/>
                <w:szCs w:val="24"/>
              </w:rPr>
              <w:t xml:space="preserve">, </w:t>
            </w:r>
            <w:r w:rsidR="005A0BCA">
              <w:rPr>
                <w:rFonts w:cs="Times New Roman"/>
                <w:sz w:val="24"/>
                <w:szCs w:val="24"/>
              </w:rPr>
              <w:t>j</w:t>
            </w:r>
            <w:r w:rsidR="005A0BCA" w:rsidRPr="005A0BCA">
              <w:rPr>
                <w:rFonts w:cs="Times New Roman"/>
                <w:sz w:val="24"/>
                <w:szCs w:val="24"/>
              </w:rPr>
              <w:t>a dzīvesvietu deklarē pa pastu, minēto dokumentu nosūta kopā ar deklarācijas iesniegumu.</w:t>
            </w:r>
          </w:p>
          <w:p w:rsidR="008067F6" w:rsidRPr="00423DD3" w:rsidRDefault="005A0BCA" w:rsidP="00B76F95">
            <w:pPr>
              <w:spacing w:after="0" w:line="240" w:lineRule="auto"/>
              <w:jc w:val="both"/>
              <w:rPr>
                <w:sz w:val="24"/>
                <w:szCs w:val="24"/>
              </w:rPr>
            </w:pPr>
            <w:r>
              <w:rPr>
                <w:rFonts w:cs="Times New Roman"/>
                <w:sz w:val="24"/>
                <w:szCs w:val="24"/>
              </w:rPr>
              <w:t>Ievērojot minēto nepieciešams precizēt Noteikumus, svītrojot 3.punkta otro teikumu.</w:t>
            </w:r>
            <w:r w:rsidR="00A6254B">
              <w:rPr>
                <w:rFonts w:cs="Times New Roman"/>
                <w:sz w:val="24"/>
                <w:szCs w:val="24"/>
              </w:rPr>
              <w:t xml:space="preserve"> </w:t>
            </w:r>
            <w:r w:rsidR="00B76F95" w:rsidRPr="00423DD3">
              <w:rPr>
                <w:rFonts w:cs="Times New Roman"/>
                <w:sz w:val="24"/>
                <w:szCs w:val="24"/>
              </w:rPr>
              <w:t>Vienlaikus noteikumus nepieciešams precizēt, ka vispārējā kārtībā v</w:t>
            </w:r>
            <w:r w:rsidR="00B76F95" w:rsidRPr="00423DD3">
              <w:rPr>
                <w:sz w:val="24"/>
                <w:szCs w:val="24"/>
              </w:rPr>
              <w:t xml:space="preserve">alsts nodevu par ziņu par deklarēto dzīvesvietu reģistrāciju maksā pirms dzīvesvietas deklarācijas veidlapas iesniegšanas, tādēļ attiecīgi precizēts noteikumu 3.punkts. </w:t>
            </w:r>
          </w:p>
          <w:p w:rsidR="004268EE" w:rsidRPr="00423DD3" w:rsidRDefault="004268EE" w:rsidP="00B76F95">
            <w:pPr>
              <w:spacing w:after="0" w:line="240" w:lineRule="auto"/>
              <w:jc w:val="both"/>
              <w:rPr>
                <w:sz w:val="24"/>
                <w:szCs w:val="24"/>
              </w:rPr>
            </w:pPr>
          </w:p>
          <w:p w:rsidR="001F1018" w:rsidRPr="008067F6" w:rsidRDefault="004268EE" w:rsidP="004268EE">
            <w:pPr>
              <w:spacing w:after="0" w:line="240" w:lineRule="auto"/>
              <w:jc w:val="both"/>
              <w:rPr>
                <w:rFonts w:cs="Times New Roman"/>
                <w:sz w:val="24"/>
                <w:szCs w:val="24"/>
              </w:rPr>
            </w:pPr>
            <w:r w:rsidRPr="00423DD3">
              <w:rPr>
                <w:sz w:val="24"/>
                <w:szCs w:val="24"/>
              </w:rPr>
              <w:t>Noteikumi papildināti ar 3.</w:t>
            </w:r>
            <w:r w:rsidRPr="00423DD3">
              <w:rPr>
                <w:sz w:val="24"/>
                <w:szCs w:val="24"/>
                <w:vertAlign w:val="superscript"/>
              </w:rPr>
              <w:t>2</w:t>
            </w:r>
            <w:r w:rsidRPr="00423DD3">
              <w:rPr>
                <w:sz w:val="24"/>
                <w:szCs w:val="24"/>
              </w:rPr>
              <w:t xml:space="preserve"> punktu, paredzot maksājumu pakalpojumu veidus, kādi var tikt izmantoti šīs valsts nodevas apmaksai.</w:t>
            </w:r>
            <w:r w:rsidRPr="004268EE">
              <w:rPr>
                <w:sz w:val="24"/>
                <w:szCs w:val="24"/>
              </w:rPr>
              <w:t xml:space="preserve"> </w:t>
            </w:r>
          </w:p>
        </w:tc>
      </w:tr>
      <w:tr w:rsidR="00160323" w:rsidRPr="00A1111C" w:rsidTr="00B432A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jc w:val="both"/>
              <w:rPr>
                <w:rFonts w:eastAsia="Times New Roman" w:cs="Times New Roman"/>
                <w:sz w:val="24"/>
                <w:szCs w:val="24"/>
                <w:lang w:eastAsia="lv-LV"/>
              </w:rPr>
            </w:pPr>
            <w:r w:rsidRPr="00A1111C">
              <w:rPr>
                <w:rFonts w:eastAsia="Times New Roman" w:cs="Times New Roman"/>
                <w:sz w:val="24"/>
                <w:szCs w:val="24"/>
                <w:lang w:eastAsia="lv-LV"/>
              </w:rPr>
              <w:t>Pilsonības un migrācijas lietu pārvalde.</w:t>
            </w:r>
          </w:p>
        </w:tc>
      </w:tr>
      <w:tr w:rsidR="00160323" w:rsidRPr="00A1111C" w:rsidTr="00B432A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160323" w:rsidRPr="00A1111C" w:rsidRDefault="00160323" w:rsidP="00B432A4">
            <w:pPr>
              <w:spacing w:after="0"/>
              <w:rPr>
                <w:rFonts w:eastAsia="Times New Roman" w:cs="Times New Roman"/>
                <w:sz w:val="24"/>
                <w:szCs w:val="24"/>
                <w:lang w:eastAsia="lv-LV"/>
              </w:rPr>
            </w:pPr>
            <w:r w:rsidRPr="00A1111C">
              <w:rPr>
                <w:rFonts w:eastAsia="Times New Roman" w:cs="Times New Roman"/>
                <w:sz w:val="24"/>
                <w:szCs w:val="24"/>
                <w:lang w:eastAsia="lv-LV"/>
              </w:rPr>
              <w:t>Nav</w:t>
            </w:r>
          </w:p>
        </w:tc>
      </w:tr>
    </w:tbl>
    <w:p w:rsidR="00160323" w:rsidRPr="00A1111C" w:rsidRDefault="0016032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97458A" w:rsidRPr="00A1111C" w:rsidTr="00B432A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458A" w:rsidRPr="00A1111C" w:rsidRDefault="0097458A" w:rsidP="00B432A4">
            <w:pPr>
              <w:spacing w:after="0"/>
              <w:ind w:firstLine="300"/>
              <w:jc w:val="center"/>
              <w:rPr>
                <w:rFonts w:cs="Times New Roman"/>
                <w:b/>
                <w:bCs/>
                <w:sz w:val="24"/>
                <w:szCs w:val="24"/>
              </w:rPr>
            </w:pPr>
            <w:r w:rsidRPr="00A1111C">
              <w:rPr>
                <w:rFonts w:cs="Times New Roman"/>
                <w:b/>
                <w:bCs/>
                <w:sz w:val="24"/>
                <w:szCs w:val="24"/>
              </w:rPr>
              <w:t>II. Tiesību akta projekta ietekme uz sabiedrību, tautsaimniecības attīstību un administratīvo slogu</w:t>
            </w:r>
          </w:p>
        </w:tc>
      </w:tr>
      <w:tr w:rsidR="0097458A" w:rsidRPr="00A1111C" w:rsidTr="00B432A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C54CE2" w:rsidRDefault="00645D90" w:rsidP="00645D90">
            <w:pPr>
              <w:spacing w:after="0"/>
              <w:jc w:val="both"/>
              <w:rPr>
                <w:sz w:val="24"/>
                <w:szCs w:val="24"/>
              </w:rPr>
            </w:pPr>
            <w:r w:rsidRPr="00645D90">
              <w:rPr>
                <w:sz w:val="24"/>
                <w:szCs w:val="24"/>
              </w:rPr>
              <w:t>Ārzemnieki, kas pieprasa uzturēšanās atļaujas</w:t>
            </w:r>
            <w:r>
              <w:rPr>
                <w:sz w:val="24"/>
                <w:szCs w:val="24"/>
              </w:rPr>
              <w:t>, reģistrācijas apliecības, pastāvīgās uzturēšanās apliecības</w:t>
            </w:r>
            <w:r w:rsidRPr="00645D90">
              <w:rPr>
                <w:sz w:val="24"/>
                <w:szCs w:val="24"/>
              </w:rPr>
              <w:t xml:space="preserve"> Latvijas Republikā. 2015.gadā uzturēšanās atļaujas</w:t>
            </w:r>
            <w:r>
              <w:rPr>
                <w:sz w:val="24"/>
                <w:szCs w:val="24"/>
              </w:rPr>
              <w:t>, apliecības</w:t>
            </w:r>
            <w:r w:rsidRPr="00645D90">
              <w:rPr>
                <w:sz w:val="24"/>
                <w:szCs w:val="24"/>
              </w:rPr>
              <w:t xml:space="preserve"> saņēmuši (reģistrējuši) 4</w:t>
            </w:r>
            <w:r>
              <w:rPr>
                <w:sz w:val="24"/>
                <w:szCs w:val="24"/>
              </w:rPr>
              <w:t xml:space="preserve">4 </w:t>
            </w:r>
            <w:r w:rsidRPr="00645D90">
              <w:rPr>
                <w:sz w:val="24"/>
                <w:szCs w:val="24"/>
              </w:rPr>
              <w:t>0</w:t>
            </w:r>
            <w:r>
              <w:rPr>
                <w:sz w:val="24"/>
                <w:szCs w:val="24"/>
              </w:rPr>
              <w:t>50</w:t>
            </w:r>
            <w:r w:rsidRPr="00645D90">
              <w:rPr>
                <w:sz w:val="24"/>
                <w:szCs w:val="24"/>
              </w:rPr>
              <w:t xml:space="preserve"> ārzemnieki</w:t>
            </w:r>
            <w:r>
              <w:rPr>
                <w:sz w:val="24"/>
                <w:szCs w:val="24"/>
              </w:rPr>
              <w:t>.</w:t>
            </w:r>
          </w:p>
          <w:p w:rsidR="00645D90" w:rsidRDefault="00645D90" w:rsidP="00645D90">
            <w:pPr>
              <w:spacing w:after="0"/>
              <w:jc w:val="both"/>
              <w:rPr>
                <w:sz w:val="24"/>
                <w:szCs w:val="24"/>
              </w:rPr>
            </w:pPr>
            <w:r>
              <w:rPr>
                <w:sz w:val="24"/>
                <w:szCs w:val="24"/>
              </w:rPr>
              <w:t>P</w:t>
            </w:r>
            <w:r w:rsidR="0063584F">
              <w:rPr>
                <w:sz w:val="24"/>
                <w:szCs w:val="24"/>
              </w:rPr>
              <w:t>ilngadīgas p</w:t>
            </w:r>
            <w:r>
              <w:rPr>
                <w:sz w:val="24"/>
                <w:szCs w:val="24"/>
              </w:rPr>
              <w:t>ersonas, kurām tiek noteikts tiesiskais statuss Latvijā. 2015.gadā ir bijušas 1 358 šādas personas.</w:t>
            </w:r>
          </w:p>
          <w:p w:rsidR="00645D90" w:rsidRPr="00645D90" w:rsidRDefault="00645D90" w:rsidP="00E4605E">
            <w:pPr>
              <w:spacing w:after="0"/>
              <w:jc w:val="both"/>
              <w:rPr>
                <w:rFonts w:cs="Times New Roman"/>
                <w:sz w:val="24"/>
                <w:szCs w:val="24"/>
              </w:rPr>
            </w:pPr>
            <w:r>
              <w:rPr>
                <w:sz w:val="24"/>
                <w:szCs w:val="24"/>
              </w:rPr>
              <w:lastRenderedPageBreak/>
              <w:t>Pašvaldīb</w:t>
            </w:r>
            <w:r w:rsidR="00E4605E">
              <w:rPr>
                <w:sz w:val="24"/>
                <w:szCs w:val="24"/>
              </w:rPr>
              <w:t>u darbinieki, Pilsonības un migrācijas lietu pārvaldes darbinieki</w:t>
            </w:r>
            <w:r>
              <w:rPr>
                <w:sz w:val="24"/>
                <w:szCs w:val="24"/>
              </w:rPr>
              <w:t>.</w:t>
            </w:r>
          </w:p>
        </w:tc>
      </w:tr>
      <w:tr w:rsidR="0097458A" w:rsidRPr="00A1111C" w:rsidTr="00B432A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C54CE2" w:rsidRDefault="00645D90" w:rsidP="00645D90">
            <w:pPr>
              <w:spacing w:after="0" w:line="240" w:lineRule="auto"/>
              <w:jc w:val="both"/>
              <w:rPr>
                <w:rFonts w:cs="Times New Roman"/>
                <w:sz w:val="24"/>
                <w:szCs w:val="24"/>
              </w:rPr>
            </w:pPr>
            <w:r>
              <w:rPr>
                <w:rFonts w:cs="Times New Roman"/>
                <w:sz w:val="24"/>
                <w:szCs w:val="24"/>
              </w:rPr>
              <w:t>Pašvaldībām samazināsies administratīvais slogs,</w:t>
            </w:r>
            <w:r w:rsidR="00C91501">
              <w:rPr>
                <w:rFonts w:cs="Times New Roman"/>
                <w:sz w:val="24"/>
                <w:szCs w:val="24"/>
              </w:rPr>
              <w:t xml:space="preserve"> tās</w:t>
            </w:r>
            <w:r>
              <w:rPr>
                <w:rFonts w:cs="Times New Roman"/>
                <w:sz w:val="24"/>
                <w:szCs w:val="24"/>
              </w:rPr>
              <w:t xml:space="preserve"> nedeklarēs personas, kurām Pilsonības un migrācijas lietu pārvalde noteiks tiesisko statusu un uzreiz veiks šo personu dzīvesvietas adreses deklarēšanu</w:t>
            </w:r>
            <w:r w:rsidR="00C91501">
              <w:rPr>
                <w:rFonts w:cs="Times New Roman"/>
                <w:sz w:val="24"/>
                <w:szCs w:val="24"/>
              </w:rPr>
              <w:t>, un attiecīgi pašvaldībām n</w:t>
            </w:r>
            <w:r w:rsidR="00E4605E">
              <w:rPr>
                <w:rFonts w:cs="Times New Roman"/>
                <w:sz w:val="24"/>
                <w:szCs w:val="24"/>
              </w:rPr>
              <w:t>ebūs jāveic valsts nodevas iekas</w:t>
            </w:r>
            <w:r w:rsidR="00C91501">
              <w:rPr>
                <w:rFonts w:cs="Times New Roman"/>
                <w:sz w:val="24"/>
                <w:szCs w:val="24"/>
              </w:rPr>
              <w:t>ēšana</w:t>
            </w:r>
            <w:r>
              <w:rPr>
                <w:rFonts w:cs="Times New Roman"/>
                <w:sz w:val="24"/>
                <w:szCs w:val="24"/>
              </w:rPr>
              <w:t xml:space="preserve">. </w:t>
            </w:r>
          </w:p>
          <w:p w:rsidR="00645D90" w:rsidRPr="00A1111C" w:rsidRDefault="00645D90" w:rsidP="008067F6">
            <w:pPr>
              <w:spacing w:after="0" w:line="240" w:lineRule="auto"/>
              <w:jc w:val="both"/>
              <w:rPr>
                <w:rFonts w:cs="Times New Roman"/>
                <w:sz w:val="24"/>
                <w:szCs w:val="24"/>
              </w:rPr>
            </w:pPr>
            <w:r>
              <w:rPr>
                <w:rFonts w:cs="Times New Roman"/>
                <w:sz w:val="24"/>
                <w:szCs w:val="24"/>
              </w:rPr>
              <w:t>Projekts neietekmē Pilsonības un migrācijas lietu pārvaldes administratīvo slogu, jo arī līdz šim ārvalstnieki varēja deklarēt dzīvesvietas adresi Pilsonības un migrācijas lietu pārvaldē, veicot valsts nodevas samaksu</w:t>
            </w:r>
            <w:r w:rsidR="008067F6">
              <w:rPr>
                <w:rFonts w:cs="Times New Roman"/>
                <w:sz w:val="24"/>
                <w:szCs w:val="24"/>
              </w:rPr>
              <w:t xml:space="preserve"> Pilsonības un migrācijas lietu pārvaldes </w:t>
            </w:r>
            <w:r w:rsidR="008067F6" w:rsidRPr="008067F6">
              <w:rPr>
                <w:rFonts w:cs="Times New Roman"/>
                <w:sz w:val="24"/>
                <w:szCs w:val="24"/>
              </w:rPr>
              <w:t>teritoriāl</w:t>
            </w:r>
            <w:r w:rsidR="008067F6">
              <w:rPr>
                <w:rFonts w:cs="Times New Roman"/>
                <w:sz w:val="24"/>
                <w:szCs w:val="24"/>
              </w:rPr>
              <w:t>ā</w:t>
            </w:r>
            <w:r w:rsidR="008067F6" w:rsidRPr="008067F6">
              <w:rPr>
                <w:rFonts w:cs="Times New Roman"/>
                <w:sz w:val="24"/>
                <w:szCs w:val="24"/>
              </w:rPr>
              <w:t xml:space="preserve"> noda</w:t>
            </w:r>
            <w:r w:rsidR="008067F6">
              <w:rPr>
                <w:rFonts w:cs="Times New Roman"/>
                <w:sz w:val="24"/>
                <w:szCs w:val="24"/>
              </w:rPr>
              <w:t>ļā</w:t>
            </w:r>
            <w:r w:rsidR="008067F6" w:rsidRPr="008067F6">
              <w:rPr>
                <w:rFonts w:cs="Times New Roman"/>
                <w:sz w:val="24"/>
                <w:szCs w:val="24"/>
              </w:rPr>
              <w:t xml:space="preserve"> ar maksājumu karti maksājumu karšu pieņemšanas terminālī</w:t>
            </w:r>
            <w:r w:rsidRPr="008067F6">
              <w:rPr>
                <w:rFonts w:cs="Times New Roman"/>
                <w:sz w:val="24"/>
                <w:szCs w:val="24"/>
              </w:rPr>
              <w:t>, savukārt personas, kurām tiks noteikts tiesiskais statuss</w:t>
            </w:r>
            <w:r w:rsidR="008067F6">
              <w:rPr>
                <w:rFonts w:cs="Times New Roman"/>
                <w:sz w:val="24"/>
                <w:szCs w:val="24"/>
              </w:rPr>
              <w:t>, neveica un turpmāk neveiks</w:t>
            </w:r>
            <w:r w:rsidRPr="008067F6">
              <w:rPr>
                <w:rFonts w:cs="Times New Roman"/>
                <w:sz w:val="24"/>
                <w:szCs w:val="24"/>
              </w:rPr>
              <w:t xml:space="preserve"> </w:t>
            </w:r>
            <w:r w:rsidR="008067F6">
              <w:rPr>
                <w:rFonts w:cs="Times New Roman"/>
                <w:sz w:val="24"/>
                <w:szCs w:val="24"/>
              </w:rPr>
              <w:t>valsts nodevas samaksu par dzīvesvietas adreses deklarēšanu, ko veiks Pilsonības un migrācijas lietu pārvalde.</w:t>
            </w:r>
          </w:p>
        </w:tc>
      </w:tr>
      <w:tr w:rsidR="0097458A" w:rsidRPr="00A1111C" w:rsidTr="002E7F04">
        <w:trPr>
          <w:trHeight w:val="381"/>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2E7F04">
            <w:pPr>
              <w:spacing w:after="0" w:line="240" w:lineRule="auto"/>
              <w:rPr>
                <w:rFonts w:cs="Times New Roman"/>
                <w:sz w:val="24"/>
                <w:szCs w:val="24"/>
              </w:rPr>
            </w:pPr>
            <w:r w:rsidRPr="00A1111C">
              <w:rPr>
                <w:rFonts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41246" w:rsidRPr="00423DD3" w:rsidRDefault="0063584F" w:rsidP="0063584F">
            <w:pPr>
              <w:spacing w:after="0" w:line="240" w:lineRule="auto"/>
              <w:jc w:val="both"/>
              <w:rPr>
                <w:sz w:val="24"/>
                <w:szCs w:val="24"/>
              </w:rPr>
            </w:pPr>
            <w:r>
              <w:rPr>
                <w:sz w:val="24"/>
                <w:szCs w:val="24"/>
              </w:rPr>
              <w:t xml:space="preserve">2015.gadā </w:t>
            </w:r>
            <w:r w:rsidR="00741246" w:rsidRPr="00A1111C">
              <w:rPr>
                <w:sz w:val="24"/>
                <w:szCs w:val="24"/>
              </w:rPr>
              <w:t xml:space="preserve">Pilsonības un migrācijas lietu pārvalde </w:t>
            </w:r>
            <w:r>
              <w:rPr>
                <w:sz w:val="24"/>
                <w:szCs w:val="24"/>
              </w:rPr>
              <w:t>1 358 pilngadīgām personām</w:t>
            </w:r>
            <w:r w:rsidR="00652B72">
              <w:rPr>
                <w:sz w:val="24"/>
                <w:szCs w:val="24"/>
              </w:rPr>
              <w:t xml:space="preserve"> noteica</w:t>
            </w:r>
            <w:r>
              <w:rPr>
                <w:sz w:val="24"/>
                <w:szCs w:val="24"/>
              </w:rPr>
              <w:t xml:space="preserve"> tiesisko statusu Latvijā. No šīm personām </w:t>
            </w:r>
            <w:r w:rsidR="00652B72">
              <w:rPr>
                <w:sz w:val="24"/>
                <w:szCs w:val="24"/>
              </w:rPr>
              <w:t>74 personām ir norādīta aktuālā dzīvesvietas adrese Latvijā, tai skaitā, 53 personām tā ir deklarētā dzīvesvietas adrese un 21 personai ir norādītā dzīvesvietas adrese Latvijā. Ievērojot šos statistikas datus, paredzams, ka vidēji gadā varētu būt 80 pilngadīgas personas, kurām Pilsonības un migrācijas lietu pārvalde noteiks tiesisko statusu Latvijā un deklarēs tām dzīvesvietas adresi Lat</w:t>
            </w:r>
            <w:r w:rsidR="009E44D9">
              <w:rPr>
                <w:sz w:val="24"/>
                <w:szCs w:val="24"/>
              </w:rPr>
              <w:t xml:space="preserve">vijā, neiekasējot valsts nodevu, </w:t>
            </w:r>
            <w:r w:rsidR="009E44D9" w:rsidRPr="00423DD3">
              <w:rPr>
                <w:sz w:val="24"/>
                <w:szCs w:val="24"/>
              </w:rPr>
              <w:t>no tām aptuveni 55 personas varētu būt tās, kuras</w:t>
            </w:r>
            <w:r w:rsidR="00C55447" w:rsidRPr="00423DD3">
              <w:rPr>
                <w:sz w:val="24"/>
                <w:szCs w:val="24"/>
              </w:rPr>
              <w:t>, pastāvot iepriekšējai dzīvesvietas deklarēšanas kārtībai)</w:t>
            </w:r>
            <w:r w:rsidR="009E44D9" w:rsidRPr="00423DD3">
              <w:rPr>
                <w:sz w:val="24"/>
                <w:szCs w:val="24"/>
              </w:rPr>
              <w:t xml:space="preserve"> būtu vērsušās pašvaldībā dzīvesvietas deklarēšanai.</w:t>
            </w:r>
          </w:p>
          <w:p w:rsidR="00741246" w:rsidRPr="00423DD3" w:rsidRDefault="00741246" w:rsidP="006F4776">
            <w:pPr>
              <w:spacing w:after="0" w:line="240" w:lineRule="auto"/>
              <w:rPr>
                <w:sz w:val="24"/>
                <w:szCs w:val="24"/>
                <w:u w:val="single"/>
              </w:rPr>
            </w:pPr>
          </w:p>
          <w:p w:rsidR="00D4196A" w:rsidRPr="00423DD3" w:rsidRDefault="00D4196A" w:rsidP="006F4776">
            <w:pPr>
              <w:spacing w:after="0" w:line="240" w:lineRule="auto"/>
              <w:rPr>
                <w:sz w:val="24"/>
                <w:szCs w:val="24"/>
              </w:rPr>
            </w:pPr>
            <w:r w:rsidRPr="00423DD3">
              <w:rPr>
                <w:sz w:val="24"/>
                <w:szCs w:val="24"/>
                <w:u w:val="single"/>
              </w:rPr>
              <w:t>Līdz šim</w:t>
            </w:r>
            <w:r w:rsidRPr="00423DD3">
              <w:rPr>
                <w:sz w:val="24"/>
                <w:szCs w:val="24"/>
              </w:rPr>
              <w:t>:</w:t>
            </w:r>
          </w:p>
          <w:p w:rsidR="00D4196A" w:rsidRPr="00423DD3" w:rsidRDefault="00D4196A" w:rsidP="006F4776">
            <w:pPr>
              <w:spacing w:after="0" w:line="240" w:lineRule="auto"/>
              <w:jc w:val="both"/>
              <w:rPr>
                <w:sz w:val="24"/>
                <w:szCs w:val="24"/>
              </w:rPr>
            </w:pPr>
            <w:r w:rsidRPr="00423DD3">
              <w:rPr>
                <w:sz w:val="24"/>
                <w:szCs w:val="24"/>
              </w:rPr>
              <w:t>Iestādei:</w:t>
            </w:r>
          </w:p>
          <w:p w:rsidR="00D4196A" w:rsidRPr="00A1111C" w:rsidRDefault="00D4196A" w:rsidP="006F4776">
            <w:pPr>
              <w:spacing w:after="0" w:line="240" w:lineRule="auto"/>
              <w:jc w:val="both"/>
              <w:rPr>
                <w:sz w:val="24"/>
                <w:szCs w:val="24"/>
              </w:rPr>
            </w:pPr>
            <w:r w:rsidRPr="00423DD3">
              <w:rPr>
                <w:sz w:val="24"/>
                <w:szCs w:val="24"/>
              </w:rPr>
              <w:t>C (</w:t>
            </w:r>
            <w:r w:rsidR="00C91501" w:rsidRPr="00423DD3">
              <w:rPr>
                <w:sz w:val="24"/>
                <w:szCs w:val="24"/>
              </w:rPr>
              <w:t xml:space="preserve">pašvaldībai </w:t>
            </w:r>
            <w:r w:rsidR="009E44D9" w:rsidRPr="00423DD3">
              <w:rPr>
                <w:sz w:val="24"/>
                <w:szCs w:val="24"/>
              </w:rPr>
              <w:t>dzīvesvietas deklarācijas pieņemšana un</w:t>
            </w:r>
            <w:r w:rsidR="009E44D9">
              <w:rPr>
                <w:sz w:val="24"/>
                <w:szCs w:val="24"/>
              </w:rPr>
              <w:t xml:space="preserve"> </w:t>
            </w:r>
            <w:r w:rsidR="00C91501">
              <w:rPr>
                <w:sz w:val="24"/>
                <w:szCs w:val="24"/>
              </w:rPr>
              <w:t>valsts nodevas maksājuma iekasēšana</w:t>
            </w:r>
            <w:r w:rsidRPr="00A1111C">
              <w:rPr>
                <w:sz w:val="24"/>
                <w:szCs w:val="24"/>
              </w:rPr>
              <w:t>) = (atalgojums 5,</w:t>
            </w:r>
            <w:r w:rsidR="00C91501">
              <w:rPr>
                <w:sz w:val="24"/>
                <w:szCs w:val="24"/>
              </w:rPr>
              <w:t>92</w:t>
            </w:r>
            <w:r w:rsidRPr="00A1111C">
              <w:rPr>
                <w:sz w:val="24"/>
                <w:szCs w:val="24"/>
              </w:rPr>
              <w:t xml:space="preserve"> </w:t>
            </w:r>
            <w:proofErr w:type="spellStart"/>
            <w:r w:rsidRPr="00A1111C">
              <w:rPr>
                <w:i/>
                <w:iCs/>
                <w:sz w:val="24"/>
                <w:szCs w:val="24"/>
              </w:rPr>
              <w:t>euro</w:t>
            </w:r>
            <w:proofErr w:type="spellEnd"/>
            <w:r w:rsidRPr="00A1111C">
              <w:rPr>
                <w:sz w:val="24"/>
                <w:szCs w:val="24"/>
              </w:rPr>
              <w:t>/h</w:t>
            </w:r>
            <w:r w:rsidR="00C91501">
              <w:rPr>
                <w:sz w:val="24"/>
                <w:szCs w:val="24"/>
              </w:rPr>
              <w:t xml:space="preserve"> (vidējā atlīdzība (dati par 2016.gada februāri))</w:t>
            </w:r>
            <w:r w:rsidRPr="00A1111C">
              <w:rPr>
                <w:sz w:val="24"/>
                <w:szCs w:val="24"/>
              </w:rPr>
              <w:t xml:space="preserve"> x 0,</w:t>
            </w:r>
            <w:r w:rsidR="00C91501">
              <w:rPr>
                <w:sz w:val="24"/>
                <w:szCs w:val="24"/>
              </w:rPr>
              <w:t>17</w:t>
            </w:r>
            <w:r w:rsidR="00C64531">
              <w:rPr>
                <w:sz w:val="24"/>
                <w:szCs w:val="24"/>
              </w:rPr>
              <w:t xml:space="preserve"> </w:t>
            </w:r>
            <w:r w:rsidRPr="00A1111C">
              <w:rPr>
                <w:sz w:val="24"/>
                <w:szCs w:val="24"/>
              </w:rPr>
              <w:t>h</w:t>
            </w:r>
            <w:r w:rsidR="00C91501">
              <w:rPr>
                <w:sz w:val="24"/>
                <w:szCs w:val="24"/>
              </w:rPr>
              <w:t xml:space="preserve"> (10 min)</w:t>
            </w:r>
            <w:r w:rsidRPr="00A1111C">
              <w:rPr>
                <w:sz w:val="24"/>
                <w:szCs w:val="24"/>
              </w:rPr>
              <w:t>) x (</w:t>
            </w:r>
            <w:r w:rsidR="00C64531">
              <w:rPr>
                <w:sz w:val="24"/>
                <w:szCs w:val="24"/>
              </w:rPr>
              <w:t>5</w:t>
            </w:r>
            <w:r w:rsidR="009E44D9">
              <w:rPr>
                <w:sz w:val="24"/>
                <w:szCs w:val="24"/>
              </w:rPr>
              <w:t>5</w:t>
            </w:r>
            <w:r w:rsidRPr="00A1111C">
              <w:rPr>
                <w:sz w:val="24"/>
                <w:szCs w:val="24"/>
              </w:rPr>
              <w:t xml:space="preserve"> gadījumu gadā </w:t>
            </w:r>
            <w:r w:rsidR="00C64531">
              <w:rPr>
                <w:sz w:val="24"/>
                <w:szCs w:val="24"/>
              </w:rPr>
              <w:t xml:space="preserve">(vidēji tik personu varētu </w:t>
            </w:r>
            <w:r w:rsidR="00226387">
              <w:rPr>
                <w:sz w:val="24"/>
                <w:szCs w:val="24"/>
              </w:rPr>
              <w:t xml:space="preserve">vērsties </w:t>
            </w:r>
            <w:r w:rsidR="00C64531">
              <w:rPr>
                <w:sz w:val="24"/>
                <w:szCs w:val="24"/>
              </w:rPr>
              <w:t>pašvaldīb</w:t>
            </w:r>
            <w:r w:rsidR="00226387">
              <w:rPr>
                <w:sz w:val="24"/>
                <w:szCs w:val="24"/>
              </w:rPr>
              <w:t xml:space="preserve">ā, lai </w:t>
            </w:r>
            <w:r w:rsidR="00C64531">
              <w:rPr>
                <w:sz w:val="24"/>
                <w:szCs w:val="24"/>
              </w:rPr>
              <w:t>deklarēt</w:t>
            </w:r>
            <w:r w:rsidR="00226387">
              <w:rPr>
                <w:sz w:val="24"/>
                <w:szCs w:val="24"/>
              </w:rPr>
              <w:t>u</w:t>
            </w:r>
            <w:r w:rsidR="00C64531">
              <w:rPr>
                <w:sz w:val="24"/>
                <w:szCs w:val="24"/>
              </w:rPr>
              <w:t xml:space="preserve"> dzīvesvietu</w:t>
            </w:r>
            <w:r w:rsidRPr="00A1111C">
              <w:rPr>
                <w:sz w:val="24"/>
                <w:szCs w:val="24"/>
              </w:rPr>
              <w:t xml:space="preserve">) = </w:t>
            </w:r>
            <w:r w:rsidR="00C64531">
              <w:rPr>
                <w:sz w:val="24"/>
                <w:szCs w:val="24"/>
              </w:rPr>
              <w:t>55</w:t>
            </w:r>
            <w:r w:rsidRPr="00A1111C">
              <w:rPr>
                <w:sz w:val="24"/>
                <w:szCs w:val="24"/>
              </w:rPr>
              <w:t xml:space="preserve"> </w:t>
            </w:r>
            <w:proofErr w:type="spellStart"/>
            <w:r w:rsidRPr="00A1111C">
              <w:rPr>
                <w:i/>
                <w:iCs/>
                <w:sz w:val="24"/>
                <w:szCs w:val="24"/>
              </w:rPr>
              <w:t>euro</w:t>
            </w:r>
            <w:proofErr w:type="spellEnd"/>
          </w:p>
          <w:p w:rsidR="00D4196A" w:rsidRPr="00A1111C" w:rsidRDefault="00D4196A" w:rsidP="006F4776">
            <w:pPr>
              <w:spacing w:after="0" w:line="240" w:lineRule="auto"/>
              <w:rPr>
                <w:sz w:val="24"/>
                <w:szCs w:val="24"/>
              </w:rPr>
            </w:pPr>
          </w:p>
          <w:p w:rsidR="00432483" w:rsidRPr="00A1111C" w:rsidRDefault="00432483" w:rsidP="00C64531">
            <w:pPr>
              <w:spacing w:after="0" w:line="240" w:lineRule="auto"/>
              <w:jc w:val="both"/>
              <w:rPr>
                <w:b/>
                <w:sz w:val="24"/>
                <w:szCs w:val="24"/>
              </w:rPr>
            </w:pPr>
            <w:r w:rsidRPr="00A1111C">
              <w:rPr>
                <w:sz w:val="24"/>
                <w:szCs w:val="24"/>
              </w:rPr>
              <w:t xml:space="preserve">Pēc projekta spēkā stāšanās – </w:t>
            </w:r>
            <w:r w:rsidR="00C64531">
              <w:rPr>
                <w:sz w:val="24"/>
                <w:szCs w:val="24"/>
              </w:rPr>
              <w:t>0</w:t>
            </w:r>
            <w:r w:rsidRPr="00A1111C">
              <w:rPr>
                <w:sz w:val="24"/>
                <w:szCs w:val="24"/>
              </w:rPr>
              <w:t xml:space="preserve"> </w:t>
            </w:r>
            <w:proofErr w:type="spellStart"/>
            <w:r w:rsidRPr="00A1111C">
              <w:rPr>
                <w:i/>
                <w:sz w:val="24"/>
                <w:szCs w:val="24"/>
              </w:rPr>
              <w:t>euro</w:t>
            </w:r>
            <w:proofErr w:type="spellEnd"/>
          </w:p>
        </w:tc>
      </w:tr>
      <w:tr w:rsidR="0097458A" w:rsidRPr="00A1111C" w:rsidTr="00B432A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Nav</w:t>
            </w:r>
          </w:p>
        </w:tc>
      </w:tr>
    </w:tbl>
    <w:p w:rsidR="0097458A" w:rsidRPr="00A1111C" w:rsidRDefault="0097458A" w:rsidP="0097458A">
      <w:pPr>
        <w:spacing w:after="0"/>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1"/>
        <w:gridCol w:w="1050"/>
        <w:gridCol w:w="1565"/>
        <w:gridCol w:w="1054"/>
        <w:gridCol w:w="1054"/>
        <w:gridCol w:w="1641"/>
      </w:tblGrid>
      <w:tr w:rsidR="001F025B" w:rsidRPr="00A1111C" w:rsidTr="00B432A4">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III. Tiesību akta projekta ietekme uz valsts budžetu un pašvaldību budžetiem</w:t>
            </w:r>
          </w:p>
        </w:tc>
      </w:tr>
      <w:tr w:rsidR="001F025B" w:rsidRPr="00A1111C" w:rsidTr="001F025B">
        <w:trPr>
          <w:tblCellSpacing w:w="15" w:type="dxa"/>
          <w:jc w:val="center"/>
        </w:trPr>
        <w:tc>
          <w:tcPr>
            <w:tcW w:w="1485" w:type="pct"/>
            <w:vMerge w:val="restar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Rādītāji</w:t>
            </w:r>
          </w:p>
        </w:tc>
        <w:tc>
          <w:tcPr>
            <w:tcW w:w="143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2016. gads</w:t>
            </w:r>
          </w:p>
        </w:tc>
        <w:tc>
          <w:tcPr>
            <w:tcW w:w="2010" w:type="pct"/>
            <w:gridSpan w:val="3"/>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Turpmākie trīs gadi (</w:t>
            </w:r>
            <w:proofErr w:type="spellStart"/>
            <w:r w:rsidRPr="00A1111C">
              <w:rPr>
                <w:rFonts w:eastAsia="Times New Roman" w:cs="Times New Roman"/>
                <w:i/>
                <w:iCs/>
                <w:sz w:val="24"/>
                <w:szCs w:val="24"/>
                <w:lang w:eastAsia="lv-LV"/>
              </w:rPr>
              <w:t>euro</w:t>
            </w:r>
            <w:proofErr w:type="spellEnd"/>
            <w:r w:rsidRPr="00A1111C">
              <w:rPr>
                <w:rFonts w:eastAsia="Times New Roman" w:cs="Times New Roman"/>
                <w:sz w:val="24"/>
                <w:szCs w:val="24"/>
                <w:lang w:eastAsia="lv-LV"/>
              </w:rPr>
              <w:t>)</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b/>
                <w:b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2017.</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2018.</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1F025B">
            <w:pPr>
              <w:spacing w:after="0"/>
              <w:ind w:firstLine="300"/>
              <w:jc w:val="center"/>
              <w:rPr>
                <w:rFonts w:eastAsia="Times New Roman" w:cs="Times New Roman"/>
                <w:b/>
                <w:bCs/>
                <w:sz w:val="24"/>
                <w:szCs w:val="24"/>
                <w:lang w:eastAsia="lv-LV"/>
              </w:rPr>
            </w:pPr>
            <w:r w:rsidRPr="00A1111C">
              <w:rPr>
                <w:rFonts w:eastAsia="Times New Roman" w:cs="Times New Roman"/>
                <w:b/>
                <w:bCs/>
                <w:sz w:val="24"/>
                <w:szCs w:val="24"/>
                <w:lang w:eastAsia="lv-LV"/>
              </w:rPr>
              <w:t>2019.</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b/>
                <w:b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jc w:val="both"/>
              <w:rPr>
                <w:rFonts w:eastAsia="Times New Roman" w:cs="Times New Roman"/>
                <w:sz w:val="24"/>
                <w:szCs w:val="24"/>
                <w:lang w:eastAsia="lv-LV"/>
              </w:rPr>
            </w:pPr>
            <w:r w:rsidRPr="00A1111C">
              <w:rPr>
                <w:rFonts w:eastAsia="Times New Roman" w:cs="Times New Roman"/>
                <w:sz w:val="24"/>
                <w:szCs w:val="24"/>
                <w:lang w:eastAsia="lv-LV"/>
              </w:rPr>
              <w:t>saskaņā ar valsts budžetu kārtējam gadam</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rPr>
                <w:rFonts w:eastAsia="Times New Roman" w:cs="Times New Roman"/>
                <w:sz w:val="24"/>
                <w:szCs w:val="24"/>
                <w:lang w:eastAsia="lv-LV"/>
              </w:rPr>
            </w:pPr>
            <w:r w:rsidRPr="00A1111C">
              <w:rPr>
                <w:rFonts w:eastAsia="Times New Roman" w:cs="Times New Roman"/>
                <w:sz w:val="24"/>
                <w:szCs w:val="24"/>
                <w:lang w:eastAsia="lv-LV"/>
              </w:rPr>
              <w:t>izmaiņas kārtējā gadā, 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izmaiņas, salīdzinot ar 201</w:t>
            </w:r>
            <w:r w:rsidR="00B432A4" w:rsidRPr="00A1111C">
              <w:rPr>
                <w:rFonts w:eastAsia="Times New Roman" w:cs="Times New Roman"/>
                <w:sz w:val="24"/>
                <w:szCs w:val="24"/>
                <w:lang w:eastAsia="lv-LV"/>
              </w:rPr>
              <w:t>6</w:t>
            </w:r>
            <w:r w:rsidRPr="00A1111C">
              <w:rPr>
                <w:rFonts w:eastAsia="Times New Roman" w:cs="Times New Roman"/>
                <w:sz w:val="24"/>
                <w:szCs w:val="24"/>
                <w:lang w:eastAsia="lv-LV"/>
              </w:rPr>
              <w:t>. gadu</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izmaiņas, salīdzinot ar 201</w:t>
            </w:r>
            <w:r w:rsidR="00B432A4" w:rsidRPr="00A1111C">
              <w:rPr>
                <w:rFonts w:eastAsia="Times New Roman" w:cs="Times New Roman"/>
                <w:sz w:val="24"/>
                <w:szCs w:val="24"/>
                <w:lang w:eastAsia="lv-LV"/>
              </w:rPr>
              <w:t>6</w:t>
            </w:r>
            <w:r w:rsidRPr="00A1111C">
              <w:rPr>
                <w:rFonts w:eastAsia="Times New Roman" w:cs="Times New Roman"/>
                <w:sz w:val="24"/>
                <w:szCs w:val="24"/>
                <w:lang w:eastAsia="lv-LV"/>
              </w:rPr>
              <w:t>. gadu</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izmaiņas, salīdzinot ar 201</w:t>
            </w:r>
            <w:r w:rsidR="00B432A4" w:rsidRPr="00A1111C">
              <w:rPr>
                <w:rFonts w:eastAsia="Times New Roman" w:cs="Times New Roman"/>
                <w:sz w:val="24"/>
                <w:szCs w:val="24"/>
                <w:lang w:eastAsia="lv-LV"/>
              </w:rPr>
              <w:t>6</w:t>
            </w:r>
            <w:r w:rsidRPr="00A1111C">
              <w:rPr>
                <w:rFonts w:eastAsia="Times New Roman" w:cs="Times New Roman"/>
                <w:sz w:val="24"/>
                <w:szCs w:val="24"/>
                <w:lang w:eastAsia="lv-LV"/>
              </w:rPr>
              <w:t>. gadu</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1</w:t>
            </w:r>
          </w:p>
        </w:tc>
        <w:tc>
          <w:tcPr>
            <w:tcW w:w="57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2</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5</w:t>
            </w:r>
          </w:p>
        </w:tc>
        <w:tc>
          <w:tcPr>
            <w:tcW w:w="846" w:type="pct"/>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6</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1. Budžeta ieņēmumi:</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71E1A" w:rsidP="00D71E1A">
            <w:pPr>
              <w:spacing w:after="0"/>
              <w:jc w:val="center"/>
              <w:rPr>
                <w:rFonts w:eastAsia="Times New Roman" w:cs="Times New Roman"/>
                <w:sz w:val="24"/>
                <w:szCs w:val="24"/>
                <w:lang w:eastAsia="lv-LV"/>
              </w:rPr>
            </w:pPr>
            <w:r>
              <w:rPr>
                <w:rFonts w:eastAsia="Times New Roman" w:cs="Times New Roman"/>
                <w:sz w:val="24"/>
                <w:szCs w:val="24"/>
                <w:lang w:eastAsia="lv-LV"/>
              </w:rPr>
              <w:t>-59</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1.1. valsts pamatbudžets, tai skaitā ieņēmumi no maksas pakalpojumiem un citi pašu ieņēmumi</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1.2. valsts speciālais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1.3.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D71E1A">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w:t>
            </w:r>
            <w:r w:rsidR="00D71E1A">
              <w:rPr>
                <w:rFonts w:eastAsia="Times New Roman" w:cs="Times New Roman"/>
                <w:sz w:val="24"/>
                <w:szCs w:val="24"/>
                <w:lang w:eastAsia="lv-LV"/>
              </w:rPr>
              <w:t>59</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 Budžeta izdevumi:</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2.1. valsts pamatbudžets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2.2. valsts speciālais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2.3.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 Finansiālā ietekme:</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D71E1A">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w:t>
            </w:r>
            <w:r w:rsidR="00D71E1A">
              <w:rPr>
                <w:rFonts w:eastAsia="Times New Roman" w:cs="Times New Roman"/>
                <w:sz w:val="24"/>
                <w:szCs w:val="24"/>
                <w:lang w:eastAsia="lv-LV"/>
              </w:rPr>
              <w:t>59</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3.1. valsts pamatbudžets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402A6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EA2A1E"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EA2A1E"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3.2. speciālais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3.3.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D71E1A">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w:t>
            </w:r>
            <w:r w:rsidR="00D71E1A">
              <w:rPr>
                <w:rFonts w:eastAsia="Times New Roman" w:cs="Times New Roman"/>
                <w:sz w:val="24"/>
                <w:szCs w:val="24"/>
                <w:lang w:eastAsia="lv-LV"/>
              </w:rPr>
              <w:t>59</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tabs>
                <w:tab w:val="center" w:pos="4153"/>
                <w:tab w:val="right" w:pos="8306"/>
              </w:tabs>
              <w:spacing w:after="0"/>
              <w:jc w:val="center"/>
              <w:rPr>
                <w:rFonts w:eastAsia="Times New Roman" w:cs="Times New Roman"/>
                <w:sz w:val="24"/>
                <w:szCs w:val="24"/>
                <w:lang w:eastAsia="lv-LV"/>
              </w:rPr>
            </w:pPr>
            <w:r>
              <w:rPr>
                <w:rFonts w:eastAsia="Times New Roman" w:cs="Times New Roman"/>
                <w:sz w:val="24"/>
                <w:szCs w:val="24"/>
                <w:lang w:eastAsia="lv-LV"/>
              </w:rPr>
              <w:t>-235</w:t>
            </w:r>
          </w:p>
        </w:tc>
      </w:tr>
      <w:tr w:rsidR="001F025B" w:rsidRPr="00A1111C" w:rsidTr="001F025B">
        <w:trPr>
          <w:tblCellSpacing w:w="15" w:type="dxa"/>
          <w:jc w:val="center"/>
        </w:trPr>
        <w:tc>
          <w:tcPr>
            <w:tcW w:w="1485" w:type="pct"/>
            <w:vMerge w:val="restar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rPr>
                <w:rFonts w:eastAsia="Times New Roman" w:cs="Times New Roman"/>
                <w:sz w:val="24"/>
                <w:szCs w:val="24"/>
                <w:lang w:eastAsia="lv-LV"/>
              </w:rPr>
            </w:pPr>
            <w:r w:rsidRPr="00A1111C">
              <w:rPr>
                <w:rFonts w:eastAsia="Times New Roman" w:cs="Times New Roman"/>
                <w:sz w:val="24"/>
                <w:szCs w:val="24"/>
                <w:lang w:eastAsia="lv-LV"/>
              </w:rPr>
              <w:t>4. Finanšu līdzekļi papildu izdevumu finansēšanai (kompensējošu izdevumu samazinājumu norāda ar "+" zīmi)</w:t>
            </w:r>
          </w:p>
        </w:tc>
        <w:tc>
          <w:tcPr>
            <w:tcW w:w="575" w:type="pct"/>
            <w:vMerge w:val="restar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X</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tabs>
                <w:tab w:val="center" w:pos="4153"/>
                <w:tab w:val="right" w:pos="8306"/>
              </w:tabs>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 Precizēta finansiālā ietekme:</w:t>
            </w:r>
          </w:p>
        </w:tc>
        <w:tc>
          <w:tcPr>
            <w:tcW w:w="575" w:type="pct"/>
            <w:vMerge w:val="restar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ind w:firstLine="300"/>
              <w:jc w:val="center"/>
              <w:rPr>
                <w:rFonts w:eastAsia="Times New Roman" w:cs="Times New Roman"/>
                <w:sz w:val="24"/>
                <w:szCs w:val="24"/>
                <w:lang w:eastAsia="lv-LV"/>
              </w:rPr>
            </w:pPr>
            <w:r w:rsidRPr="00A1111C">
              <w:rPr>
                <w:rFonts w:eastAsia="Times New Roman" w:cs="Times New Roman"/>
                <w:sz w:val="24"/>
                <w:szCs w:val="24"/>
                <w:lang w:eastAsia="lv-LV"/>
              </w:rPr>
              <w:t>X</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D71E1A">
            <w:pPr>
              <w:spacing w:after="0"/>
              <w:jc w:val="center"/>
              <w:rPr>
                <w:rFonts w:eastAsia="Times New Roman" w:cs="Times New Roman"/>
                <w:sz w:val="24"/>
                <w:szCs w:val="24"/>
                <w:lang w:eastAsia="lv-LV"/>
              </w:rPr>
            </w:pPr>
            <w:r>
              <w:rPr>
                <w:rFonts w:eastAsia="Times New Roman" w:cs="Times New Roman"/>
                <w:sz w:val="24"/>
                <w:szCs w:val="24"/>
                <w:lang w:eastAsia="lv-LV"/>
              </w:rPr>
              <w:t>-</w:t>
            </w:r>
            <w:r w:rsidR="00D71E1A">
              <w:rPr>
                <w:rFonts w:eastAsia="Times New Roman" w:cs="Times New Roman"/>
                <w:sz w:val="24"/>
                <w:szCs w:val="24"/>
                <w:lang w:eastAsia="lv-LV"/>
              </w:rPr>
              <w:t>59</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jc w:val="center"/>
              <w:rPr>
                <w:rFonts w:eastAsia="Times New Roman" w:cs="Times New Roman"/>
                <w:sz w:val="24"/>
                <w:szCs w:val="24"/>
                <w:lang w:eastAsia="lv-LV"/>
              </w:rPr>
            </w:pPr>
            <w:r w:rsidRPr="00A1111C">
              <w:rPr>
                <w:rFonts w:eastAsia="Times New Roman" w:cs="Times New Roman"/>
                <w:sz w:val="24"/>
                <w:szCs w:val="24"/>
                <w:lang w:eastAsia="lv-LV"/>
              </w:rPr>
              <w:t>0</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D71E1A">
            <w:pPr>
              <w:spacing w:after="0"/>
              <w:jc w:val="center"/>
              <w:rPr>
                <w:rFonts w:eastAsia="Times New Roman" w:cs="Times New Roman"/>
                <w:sz w:val="24"/>
                <w:szCs w:val="24"/>
                <w:lang w:eastAsia="lv-LV"/>
              </w:rPr>
            </w:pPr>
            <w:r>
              <w:rPr>
                <w:rFonts w:eastAsia="Times New Roman" w:cs="Times New Roman"/>
                <w:sz w:val="24"/>
                <w:szCs w:val="24"/>
                <w:lang w:eastAsia="lv-LV"/>
              </w:rPr>
              <w:t>-</w:t>
            </w:r>
            <w:r w:rsidR="00D71E1A">
              <w:rPr>
                <w:rFonts w:eastAsia="Times New Roman" w:cs="Times New Roman"/>
                <w:sz w:val="24"/>
                <w:szCs w:val="24"/>
                <w:lang w:eastAsia="lv-LV"/>
              </w:rPr>
              <w:t>59</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565"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c>
          <w:tcPr>
            <w:tcW w:w="846" w:type="pct"/>
            <w:tcBorders>
              <w:top w:val="outset" w:sz="6" w:space="0" w:color="auto"/>
              <w:left w:val="outset" w:sz="6" w:space="0" w:color="auto"/>
              <w:bottom w:val="outset" w:sz="6" w:space="0" w:color="auto"/>
              <w:right w:val="outset" w:sz="6" w:space="0" w:color="auto"/>
            </w:tcBorders>
            <w:hideMark/>
          </w:tcPr>
          <w:p w:rsidR="001F025B" w:rsidRPr="00A1111C" w:rsidRDefault="00D02DDA" w:rsidP="00B432A4">
            <w:pPr>
              <w:spacing w:after="0"/>
              <w:jc w:val="center"/>
              <w:rPr>
                <w:rFonts w:eastAsia="Times New Roman" w:cs="Times New Roman"/>
                <w:sz w:val="24"/>
                <w:szCs w:val="24"/>
                <w:lang w:eastAsia="lv-LV"/>
              </w:rPr>
            </w:pPr>
            <w:r>
              <w:rPr>
                <w:rFonts w:eastAsia="Times New Roman" w:cs="Times New Roman"/>
                <w:sz w:val="24"/>
                <w:szCs w:val="24"/>
                <w:lang w:eastAsia="lv-LV"/>
              </w:rPr>
              <w:t>-235</w:t>
            </w:r>
          </w:p>
        </w:tc>
      </w:tr>
      <w:tr w:rsidR="001F025B" w:rsidRPr="00A1111C" w:rsidTr="006D3E77">
        <w:trPr>
          <w:trHeight w:val="1940"/>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465" w:type="pct"/>
            <w:gridSpan w:val="5"/>
            <w:vMerge w:val="restart"/>
            <w:tcBorders>
              <w:top w:val="outset" w:sz="6" w:space="0" w:color="auto"/>
              <w:left w:val="outset" w:sz="6" w:space="0" w:color="auto"/>
              <w:bottom w:val="outset" w:sz="6" w:space="0" w:color="auto"/>
              <w:right w:val="outset" w:sz="6" w:space="0" w:color="auto"/>
            </w:tcBorders>
            <w:hideMark/>
          </w:tcPr>
          <w:p w:rsidR="00015FB7" w:rsidRDefault="00C64531" w:rsidP="00C64531">
            <w:pPr>
              <w:spacing w:after="0" w:line="240" w:lineRule="auto"/>
              <w:jc w:val="both"/>
              <w:rPr>
                <w:sz w:val="24"/>
                <w:szCs w:val="24"/>
              </w:rPr>
            </w:pPr>
            <w:r>
              <w:rPr>
                <w:sz w:val="24"/>
                <w:szCs w:val="24"/>
              </w:rPr>
              <w:t xml:space="preserve">2015.gadā </w:t>
            </w:r>
            <w:r w:rsidRPr="00A1111C">
              <w:rPr>
                <w:sz w:val="24"/>
                <w:szCs w:val="24"/>
              </w:rPr>
              <w:t xml:space="preserve">Pilsonības un migrācijas lietu pārvalde </w:t>
            </w:r>
            <w:r>
              <w:rPr>
                <w:sz w:val="24"/>
                <w:szCs w:val="24"/>
              </w:rPr>
              <w:t>1 358 pilngadīgām personām noteica tiesisko statusu Latvijā. No šīm personām 74 personām ir norādīta aktuālā dzīvesvietas adrese Latvijā, tai skaitā, 53 personām tā ir deklarētā dzīvesvietas adrese un 21 personai ir norādītā dzīvesvietas adrese Latvijā. Ievērojot šos statistikas datus, paredzams, ka vidēji gadā varētu būt 80 pilngadīgas personas, kurām Pilsonības un migrācijas lietu pārvalde noteiks tiesisko statusu Latvijā un deklarēs tām dzīvesvietas adresi Latvijā, neiekas</w:t>
            </w:r>
            <w:r w:rsidR="00015FB7">
              <w:rPr>
                <w:sz w:val="24"/>
                <w:szCs w:val="24"/>
              </w:rPr>
              <w:t>ējot valsts nodevu.</w:t>
            </w:r>
          </w:p>
          <w:p w:rsidR="00B33AD4" w:rsidRDefault="00015FB7" w:rsidP="00C64531">
            <w:pPr>
              <w:spacing w:after="0" w:line="240" w:lineRule="auto"/>
              <w:jc w:val="both"/>
              <w:rPr>
                <w:sz w:val="24"/>
                <w:szCs w:val="24"/>
              </w:rPr>
            </w:pPr>
            <w:r>
              <w:rPr>
                <w:sz w:val="24"/>
                <w:szCs w:val="24"/>
              </w:rPr>
              <w:t>I</w:t>
            </w:r>
            <w:r w:rsidR="00C64531">
              <w:rPr>
                <w:sz w:val="24"/>
                <w:szCs w:val="24"/>
              </w:rPr>
              <w:t>evērojot to, ka</w:t>
            </w:r>
            <w:r>
              <w:rPr>
                <w:sz w:val="24"/>
                <w:szCs w:val="24"/>
              </w:rPr>
              <w:t xml:space="preserve"> varētu prognozēt, ka</w:t>
            </w:r>
            <w:r w:rsidR="00B33AD4">
              <w:rPr>
                <w:sz w:val="24"/>
                <w:szCs w:val="24"/>
              </w:rPr>
              <w:t xml:space="preserve"> gadījumā, ja tiesiskais regulējums netiktu mainīts (Pilsonības un migrācijas lietu pārvaldei, nosakot personas tiesisko statusu nebūtu tiesību deklarēt personu)</w:t>
            </w:r>
            <w:r>
              <w:rPr>
                <w:sz w:val="24"/>
                <w:szCs w:val="24"/>
              </w:rPr>
              <w:t xml:space="preserve"> vidēji 25 personas gadā nedeklarēt</w:t>
            </w:r>
            <w:r w:rsidR="00B33AD4">
              <w:rPr>
                <w:sz w:val="24"/>
                <w:szCs w:val="24"/>
              </w:rPr>
              <w:t>u</w:t>
            </w:r>
            <w:r>
              <w:rPr>
                <w:sz w:val="24"/>
                <w:szCs w:val="24"/>
              </w:rPr>
              <w:t xml:space="preserve"> savu dzīvesvietu, tāpat kā 2015.gadā to nav veikušas 21 persona, tad  tāpat</w:t>
            </w:r>
            <w:r w:rsidR="00B33AD4">
              <w:rPr>
                <w:sz w:val="24"/>
                <w:szCs w:val="24"/>
              </w:rPr>
              <w:t xml:space="preserve"> kā šobrīd ietekme uz valsts budžetu būtu 0.</w:t>
            </w:r>
          </w:p>
          <w:p w:rsidR="00C64531" w:rsidRDefault="00B33AD4" w:rsidP="00C64531">
            <w:pPr>
              <w:spacing w:after="0" w:line="240" w:lineRule="auto"/>
              <w:jc w:val="both"/>
              <w:rPr>
                <w:rFonts w:cs="Times New Roman"/>
                <w:bCs/>
                <w:sz w:val="24"/>
                <w:szCs w:val="24"/>
              </w:rPr>
            </w:pPr>
            <w:r>
              <w:rPr>
                <w:sz w:val="24"/>
                <w:szCs w:val="24"/>
              </w:rPr>
              <w:t xml:space="preserve">Tādējādi vidēji </w:t>
            </w:r>
            <w:r w:rsidR="00D71E1A">
              <w:rPr>
                <w:sz w:val="24"/>
                <w:szCs w:val="24"/>
              </w:rPr>
              <w:t>aptuveni</w:t>
            </w:r>
            <w:r w:rsidR="00C64531">
              <w:rPr>
                <w:sz w:val="24"/>
                <w:szCs w:val="24"/>
              </w:rPr>
              <w:t xml:space="preserve"> 55 personas (no 80)</w:t>
            </w:r>
            <w:r>
              <w:rPr>
                <w:sz w:val="24"/>
                <w:szCs w:val="24"/>
              </w:rPr>
              <w:t xml:space="preserve"> tādā gadījumā</w:t>
            </w:r>
            <w:r w:rsidR="00C64531">
              <w:rPr>
                <w:sz w:val="24"/>
                <w:szCs w:val="24"/>
              </w:rPr>
              <w:t xml:space="preserve"> varētu </w:t>
            </w:r>
            <w:r w:rsidR="00D71E1A">
              <w:rPr>
                <w:sz w:val="24"/>
                <w:szCs w:val="24"/>
              </w:rPr>
              <w:t>vērsties pašvaldībā un</w:t>
            </w:r>
            <w:r w:rsidR="00C64531">
              <w:rPr>
                <w:sz w:val="24"/>
                <w:szCs w:val="24"/>
              </w:rPr>
              <w:t xml:space="preserve"> deklarēt savu dzīvesvietas adresi un līdz ar to arī samaksāt valsts nodevu 4</w:t>
            </w:r>
            <w:r w:rsidR="007D2B1A">
              <w:rPr>
                <w:sz w:val="24"/>
                <w:szCs w:val="24"/>
              </w:rPr>
              <w:t>,</w:t>
            </w:r>
            <w:r w:rsidR="00C64531">
              <w:rPr>
                <w:sz w:val="24"/>
                <w:szCs w:val="24"/>
              </w:rPr>
              <w:t>27</w:t>
            </w:r>
            <w:r w:rsidR="00C64531">
              <w:rPr>
                <w:i/>
                <w:sz w:val="24"/>
                <w:szCs w:val="24"/>
              </w:rPr>
              <w:t xml:space="preserve"> </w:t>
            </w:r>
            <w:proofErr w:type="spellStart"/>
            <w:r w:rsidR="00C64531">
              <w:rPr>
                <w:i/>
                <w:sz w:val="24"/>
                <w:szCs w:val="24"/>
              </w:rPr>
              <w:t>euro</w:t>
            </w:r>
            <w:proofErr w:type="spellEnd"/>
            <w:r w:rsidR="00C64531">
              <w:rPr>
                <w:sz w:val="24"/>
                <w:szCs w:val="24"/>
              </w:rPr>
              <w:t xml:space="preserve"> apmērā, kas saskaņā ar </w:t>
            </w:r>
            <w:r w:rsidR="00C64531" w:rsidRPr="008F1D62">
              <w:rPr>
                <w:bCs/>
                <w:sz w:val="24"/>
                <w:szCs w:val="24"/>
              </w:rPr>
              <w:t>Ministru kabineta 2009.gada 30.jūnija noteikum</w:t>
            </w:r>
            <w:r w:rsidR="00C64531">
              <w:rPr>
                <w:bCs/>
                <w:sz w:val="24"/>
                <w:szCs w:val="24"/>
              </w:rPr>
              <w:t>u</w:t>
            </w:r>
            <w:r w:rsidR="00C64531" w:rsidRPr="008F1D62">
              <w:rPr>
                <w:bCs/>
                <w:sz w:val="24"/>
                <w:szCs w:val="24"/>
              </w:rPr>
              <w:t xml:space="preserve"> Nr.720 “Noteikumi par valsts nodevas apmēru, samaksas kārtību un atvieglojumiem par </w:t>
            </w:r>
            <w:r w:rsidR="00C64531" w:rsidRPr="008D0AD2">
              <w:rPr>
                <w:rFonts w:cs="Times New Roman"/>
                <w:bCs/>
                <w:sz w:val="24"/>
                <w:szCs w:val="24"/>
              </w:rPr>
              <w:t>ziņu par deklarēto dzīvesvietu reģistrāciju”</w:t>
            </w:r>
            <w:r w:rsidR="00C64531">
              <w:rPr>
                <w:rFonts w:cs="Times New Roman"/>
                <w:bCs/>
                <w:sz w:val="24"/>
                <w:szCs w:val="24"/>
              </w:rPr>
              <w:t xml:space="preserve"> 6.punktu tiktu ieskaitīta attiecīgās pašvaldības budžetā</w:t>
            </w:r>
            <w:r>
              <w:rPr>
                <w:rFonts w:cs="Times New Roman"/>
                <w:bCs/>
                <w:sz w:val="24"/>
                <w:szCs w:val="24"/>
              </w:rPr>
              <w:t>.</w:t>
            </w:r>
          </w:p>
          <w:p w:rsidR="00B33AD4" w:rsidRDefault="00B33AD4" w:rsidP="00C64531">
            <w:pPr>
              <w:spacing w:after="0" w:line="240" w:lineRule="auto"/>
              <w:jc w:val="both"/>
              <w:rPr>
                <w:rFonts w:cs="Times New Roman"/>
                <w:bCs/>
                <w:sz w:val="24"/>
                <w:szCs w:val="24"/>
              </w:rPr>
            </w:pPr>
            <w:r>
              <w:rPr>
                <w:rFonts w:cs="Times New Roman"/>
                <w:bCs/>
                <w:sz w:val="24"/>
                <w:szCs w:val="24"/>
              </w:rPr>
              <w:t>Ievērojot minēto, projekts ietekmē pašvaldību budžetu.</w:t>
            </w:r>
          </w:p>
          <w:p w:rsidR="00B33AD4" w:rsidRPr="00A1111C" w:rsidRDefault="00B33AD4" w:rsidP="00C64531">
            <w:pPr>
              <w:spacing w:after="0" w:line="240" w:lineRule="auto"/>
              <w:jc w:val="both"/>
              <w:rPr>
                <w:sz w:val="24"/>
                <w:szCs w:val="24"/>
              </w:rPr>
            </w:pPr>
          </w:p>
          <w:p w:rsidR="00187F2A" w:rsidRPr="00A1111C" w:rsidRDefault="00187F2A" w:rsidP="004B7895">
            <w:pPr>
              <w:spacing w:after="0"/>
              <w:jc w:val="both"/>
              <w:rPr>
                <w:rFonts w:cs="Times New Roman"/>
                <w:sz w:val="24"/>
                <w:szCs w:val="24"/>
              </w:rPr>
            </w:pPr>
            <w:r w:rsidRPr="00A1111C">
              <w:rPr>
                <w:rFonts w:cs="Times New Roman"/>
                <w:sz w:val="24"/>
                <w:szCs w:val="24"/>
                <w:u w:val="single"/>
              </w:rPr>
              <w:t>Ietekme uz pašvaldību budžetu</w:t>
            </w:r>
            <w:r w:rsidRPr="00A1111C">
              <w:rPr>
                <w:rFonts w:cs="Times New Roman"/>
                <w:sz w:val="24"/>
                <w:szCs w:val="24"/>
              </w:rPr>
              <w:t xml:space="preserve"> (ieņēmumu </w:t>
            </w:r>
            <w:r w:rsidR="00C64531">
              <w:rPr>
                <w:rFonts w:cs="Times New Roman"/>
                <w:sz w:val="24"/>
                <w:szCs w:val="24"/>
              </w:rPr>
              <w:t>samazinājums</w:t>
            </w:r>
            <w:r w:rsidRPr="00A1111C">
              <w:rPr>
                <w:rFonts w:cs="Times New Roman"/>
                <w:sz w:val="24"/>
                <w:szCs w:val="24"/>
              </w:rPr>
              <w:t>)</w:t>
            </w:r>
            <w:r w:rsidR="00B432A4" w:rsidRPr="00A1111C">
              <w:rPr>
                <w:rFonts w:cs="Times New Roman"/>
                <w:sz w:val="24"/>
                <w:szCs w:val="24"/>
              </w:rPr>
              <w:t xml:space="preserve"> sākot ar 2017.gadu (ik gadu)</w:t>
            </w:r>
            <w:r w:rsidRPr="00A1111C">
              <w:rPr>
                <w:rFonts w:cs="Times New Roman"/>
                <w:sz w:val="24"/>
                <w:szCs w:val="24"/>
              </w:rPr>
              <w:t>:</w:t>
            </w:r>
          </w:p>
          <w:p w:rsidR="001F025B" w:rsidRDefault="00C64531" w:rsidP="00D02DDA">
            <w:pPr>
              <w:spacing w:after="0"/>
              <w:jc w:val="both"/>
              <w:rPr>
                <w:rFonts w:cs="Times New Roman"/>
                <w:sz w:val="24"/>
                <w:szCs w:val="24"/>
              </w:rPr>
            </w:pPr>
            <w:r>
              <w:rPr>
                <w:rFonts w:cs="Times New Roman"/>
                <w:sz w:val="24"/>
                <w:szCs w:val="24"/>
              </w:rPr>
              <w:t>55 x 4.27</w:t>
            </w:r>
            <w:r w:rsidR="00187F2A" w:rsidRPr="00A1111C">
              <w:rPr>
                <w:rFonts w:cs="Times New Roman"/>
                <w:sz w:val="24"/>
                <w:szCs w:val="24"/>
              </w:rPr>
              <w:t xml:space="preserve"> </w:t>
            </w:r>
            <w:proofErr w:type="spellStart"/>
            <w:r w:rsidR="00187F2A" w:rsidRPr="00A1111C">
              <w:rPr>
                <w:rFonts w:cs="Times New Roman"/>
                <w:i/>
                <w:sz w:val="24"/>
                <w:szCs w:val="24"/>
              </w:rPr>
              <w:t>euro</w:t>
            </w:r>
            <w:proofErr w:type="spellEnd"/>
            <w:r w:rsidR="00187F2A" w:rsidRPr="00A1111C">
              <w:rPr>
                <w:rFonts w:cs="Times New Roman"/>
                <w:sz w:val="24"/>
                <w:szCs w:val="24"/>
              </w:rPr>
              <w:t xml:space="preserve"> (valsts nodeva par </w:t>
            </w:r>
            <w:r w:rsidR="00D02DDA">
              <w:rPr>
                <w:rFonts w:cs="Times New Roman"/>
                <w:sz w:val="24"/>
                <w:szCs w:val="24"/>
              </w:rPr>
              <w:t>dzīvesvietas deklarēšanu</w:t>
            </w:r>
            <w:r w:rsidR="00187F2A" w:rsidRPr="00A1111C">
              <w:rPr>
                <w:rFonts w:cs="Times New Roman"/>
                <w:sz w:val="24"/>
                <w:szCs w:val="24"/>
              </w:rPr>
              <w:t xml:space="preserve">) = </w:t>
            </w:r>
            <w:r w:rsidR="00D02DDA">
              <w:rPr>
                <w:rFonts w:cs="Times New Roman"/>
                <w:sz w:val="24"/>
                <w:szCs w:val="24"/>
              </w:rPr>
              <w:t>235</w:t>
            </w:r>
            <w:r w:rsidR="00187F2A" w:rsidRPr="00A1111C">
              <w:rPr>
                <w:rFonts w:cs="Times New Roman"/>
                <w:sz w:val="24"/>
                <w:szCs w:val="24"/>
              </w:rPr>
              <w:t xml:space="preserve"> </w:t>
            </w:r>
            <w:proofErr w:type="spellStart"/>
            <w:r w:rsidR="00187F2A" w:rsidRPr="00A1111C">
              <w:rPr>
                <w:rFonts w:cs="Times New Roman"/>
                <w:i/>
                <w:sz w:val="24"/>
                <w:szCs w:val="24"/>
              </w:rPr>
              <w:t>euro</w:t>
            </w:r>
            <w:proofErr w:type="spellEnd"/>
            <w:r w:rsidR="00D02DDA">
              <w:rPr>
                <w:rFonts w:cs="Times New Roman"/>
                <w:sz w:val="24"/>
                <w:szCs w:val="24"/>
              </w:rPr>
              <w:t>.</w:t>
            </w:r>
          </w:p>
          <w:p w:rsidR="00D02DDA" w:rsidRPr="00D02DDA" w:rsidRDefault="00D02DDA" w:rsidP="00D71E1A">
            <w:pPr>
              <w:spacing w:after="0"/>
              <w:jc w:val="both"/>
              <w:rPr>
                <w:rFonts w:cs="Times New Roman"/>
                <w:sz w:val="24"/>
                <w:szCs w:val="24"/>
              </w:rPr>
            </w:pPr>
            <w:r>
              <w:rPr>
                <w:rFonts w:cs="Times New Roman"/>
                <w:sz w:val="24"/>
                <w:szCs w:val="24"/>
              </w:rPr>
              <w:t xml:space="preserve">Ja projekts stāsies spēkā 2016.gada </w:t>
            </w:r>
            <w:r w:rsidR="00D71E1A">
              <w:rPr>
                <w:rFonts w:cs="Times New Roman"/>
                <w:sz w:val="24"/>
                <w:szCs w:val="24"/>
              </w:rPr>
              <w:t>rudenī</w:t>
            </w:r>
            <w:r>
              <w:rPr>
                <w:rFonts w:cs="Times New Roman"/>
                <w:sz w:val="24"/>
                <w:szCs w:val="24"/>
              </w:rPr>
              <w:t>, tad</w:t>
            </w:r>
            <w:r w:rsidR="00E4605E">
              <w:rPr>
                <w:rFonts w:cs="Times New Roman"/>
                <w:sz w:val="24"/>
                <w:szCs w:val="24"/>
              </w:rPr>
              <w:t xml:space="preserve"> šajā gadā</w:t>
            </w:r>
            <w:r>
              <w:rPr>
                <w:rFonts w:cs="Times New Roman"/>
                <w:sz w:val="24"/>
                <w:szCs w:val="24"/>
              </w:rPr>
              <w:t xml:space="preserve"> iete</w:t>
            </w:r>
            <w:r w:rsidR="00D71E1A">
              <w:rPr>
                <w:rFonts w:cs="Times New Roman"/>
                <w:sz w:val="24"/>
                <w:szCs w:val="24"/>
              </w:rPr>
              <w:t>kme uz pašvaldību budžetu būs 59</w:t>
            </w:r>
            <w:r>
              <w:rPr>
                <w:rFonts w:cs="Times New Roman"/>
                <w:sz w:val="24"/>
                <w:szCs w:val="24"/>
              </w:rPr>
              <w:t xml:space="preserve"> </w:t>
            </w:r>
            <w:proofErr w:type="spellStart"/>
            <w:r>
              <w:rPr>
                <w:rFonts w:cs="Times New Roman"/>
                <w:i/>
                <w:sz w:val="24"/>
                <w:szCs w:val="24"/>
              </w:rPr>
              <w:t>euro</w:t>
            </w:r>
            <w:proofErr w:type="spellEnd"/>
            <w:r>
              <w:rPr>
                <w:rFonts w:cs="Times New Roman"/>
                <w:i/>
                <w:sz w:val="24"/>
                <w:szCs w:val="24"/>
              </w:rPr>
              <w:t xml:space="preserve"> </w:t>
            </w:r>
            <w:r>
              <w:rPr>
                <w:rFonts w:cs="Times New Roman"/>
                <w:sz w:val="24"/>
                <w:szCs w:val="24"/>
              </w:rPr>
              <w:t>(</w:t>
            </w:r>
            <w:r w:rsidR="00D71E1A">
              <w:rPr>
                <w:rFonts w:cs="Times New Roman"/>
                <w:sz w:val="24"/>
                <w:szCs w:val="24"/>
              </w:rPr>
              <w:t>ceturtā daļa</w:t>
            </w:r>
            <w:r>
              <w:rPr>
                <w:rFonts w:cs="Times New Roman"/>
                <w:sz w:val="24"/>
                <w:szCs w:val="24"/>
              </w:rPr>
              <w:t xml:space="preserve"> no 235 </w:t>
            </w:r>
            <w:proofErr w:type="spellStart"/>
            <w:r>
              <w:rPr>
                <w:rFonts w:cs="Times New Roman"/>
                <w:i/>
                <w:sz w:val="24"/>
                <w:szCs w:val="24"/>
              </w:rPr>
              <w:t>euro</w:t>
            </w:r>
            <w:proofErr w:type="spellEnd"/>
            <w:r>
              <w:rPr>
                <w:rFonts w:cs="Times New Roman"/>
                <w:sz w:val="24"/>
                <w:szCs w:val="24"/>
              </w:rPr>
              <w:t>).</w:t>
            </w:r>
          </w:p>
        </w:tc>
      </w:tr>
      <w:tr w:rsidR="001F025B" w:rsidRPr="00A1111C" w:rsidTr="001F025B">
        <w:trPr>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r>
      <w:tr w:rsidR="001F025B" w:rsidRPr="00A1111C" w:rsidTr="001F025B">
        <w:trPr>
          <w:trHeight w:val="2708"/>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6D3E77">
            <w:pPr>
              <w:spacing w:after="0" w:line="240" w:lineRule="auto"/>
              <w:rPr>
                <w:rFonts w:eastAsia="Times New Roman" w:cs="Times New Roman"/>
                <w:sz w:val="24"/>
                <w:szCs w:val="24"/>
                <w:lang w:eastAsia="lv-LV"/>
              </w:rPr>
            </w:pPr>
            <w:r w:rsidRPr="00A1111C">
              <w:rPr>
                <w:rFonts w:eastAsia="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F025B" w:rsidRPr="00A1111C" w:rsidRDefault="001F025B" w:rsidP="00B432A4">
            <w:pPr>
              <w:spacing w:after="0"/>
              <w:rPr>
                <w:rFonts w:eastAsia="Times New Roman" w:cs="Times New Roman"/>
                <w:sz w:val="24"/>
                <w:szCs w:val="24"/>
                <w:lang w:eastAsia="lv-LV"/>
              </w:rPr>
            </w:pPr>
          </w:p>
        </w:tc>
      </w:tr>
      <w:tr w:rsidR="001F025B" w:rsidRPr="00A1111C" w:rsidTr="001F025B">
        <w:trPr>
          <w:trHeight w:val="301"/>
          <w:tblCellSpacing w:w="15" w:type="dxa"/>
          <w:jc w:val="center"/>
        </w:trPr>
        <w:tc>
          <w:tcPr>
            <w:tcW w:w="1485" w:type="pct"/>
            <w:tcBorders>
              <w:top w:val="outset" w:sz="6" w:space="0" w:color="auto"/>
              <w:left w:val="outset" w:sz="6" w:space="0" w:color="auto"/>
              <w:bottom w:val="outset" w:sz="6" w:space="0" w:color="auto"/>
              <w:right w:val="outset" w:sz="6" w:space="0" w:color="auto"/>
            </w:tcBorders>
            <w:hideMark/>
          </w:tcPr>
          <w:p w:rsidR="001F025B" w:rsidRPr="00A1111C" w:rsidRDefault="001F025B" w:rsidP="00B432A4">
            <w:pPr>
              <w:spacing w:after="0"/>
              <w:rPr>
                <w:rFonts w:eastAsia="Times New Roman" w:cs="Times New Roman"/>
                <w:sz w:val="24"/>
                <w:szCs w:val="24"/>
                <w:lang w:eastAsia="lv-LV"/>
              </w:rPr>
            </w:pPr>
            <w:r w:rsidRPr="00A1111C">
              <w:rPr>
                <w:rFonts w:eastAsia="Times New Roman" w:cs="Times New Roman"/>
                <w:sz w:val="24"/>
                <w:szCs w:val="24"/>
                <w:lang w:eastAsia="lv-LV"/>
              </w:rPr>
              <w:t>7. Cita informācija</w:t>
            </w:r>
          </w:p>
        </w:tc>
        <w:tc>
          <w:tcPr>
            <w:tcW w:w="3465" w:type="pct"/>
            <w:gridSpan w:val="5"/>
            <w:tcBorders>
              <w:top w:val="outset" w:sz="6" w:space="0" w:color="auto"/>
              <w:left w:val="outset" w:sz="6" w:space="0" w:color="auto"/>
              <w:bottom w:val="outset" w:sz="6" w:space="0" w:color="auto"/>
              <w:right w:val="outset" w:sz="6" w:space="0" w:color="auto"/>
            </w:tcBorders>
            <w:hideMark/>
          </w:tcPr>
          <w:p w:rsidR="001F025B" w:rsidRPr="00A1111C" w:rsidRDefault="001F025B" w:rsidP="001F025B">
            <w:pPr>
              <w:spacing w:after="0"/>
              <w:jc w:val="both"/>
              <w:rPr>
                <w:rFonts w:eastAsia="Times New Roman" w:cs="Times New Roman"/>
                <w:sz w:val="24"/>
                <w:szCs w:val="24"/>
                <w:lang w:eastAsia="lv-LV"/>
              </w:rPr>
            </w:pPr>
            <w:r w:rsidRPr="00A1111C">
              <w:rPr>
                <w:rFonts w:eastAsia="Times New Roman" w:cs="Times New Roman"/>
                <w:sz w:val="24"/>
                <w:szCs w:val="24"/>
                <w:lang w:eastAsia="lv-LV"/>
              </w:rPr>
              <w:t>Nav</w:t>
            </w:r>
          </w:p>
        </w:tc>
      </w:tr>
    </w:tbl>
    <w:p w:rsidR="001F025B" w:rsidRPr="00A1111C" w:rsidRDefault="001F025B" w:rsidP="0097458A">
      <w:pPr>
        <w:spacing w:after="0"/>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97458A" w:rsidRPr="00A1111C" w:rsidTr="00B432A4">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458A" w:rsidRPr="00A1111C" w:rsidRDefault="0097458A" w:rsidP="00B432A4">
            <w:pPr>
              <w:spacing w:after="0"/>
              <w:jc w:val="center"/>
              <w:rPr>
                <w:rFonts w:cs="Times New Roman"/>
                <w:b/>
                <w:bCs/>
                <w:sz w:val="24"/>
                <w:szCs w:val="24"/>
              </w:rPr>
            </w:pPr>
            <w:r w:rsidRPr="00A1111C">
              <w:rPr>
                <w:rFonts w:eastAsia="Times New Roman" w:cs="Times New Roman"/>
                <w:sz w:val="24"/>
                <w:szCs w:val="24"/>
                <w:lang w:eastAsia="lv-LV"/>
              </w:rPr>
              <w:t> </w:t>
            </w:r>
            <w:r w:rsidRPr="00A1111C">
              <w:rPr>
                <w:rFonts w:cs="Times New Roman"/>
                <w:b/>
                <w:bCs/>
                <w:sz w:val="24"/>
                <w:szCs w:val="24"/>
              </w:rPr>
              <w:t>VI. Sabiedrības līdzdalība un komunikācijas aktivitātes</w:t>
            </w:r>
          </w:p>
        </w:tc>
      </w:tr>
      <w:tr w:rsidR="0097458A" w:rsidRPr="00A1111C" w:rsidTr="00B432A4">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6F1DBF" w:rsidP="006F1DBF">
            <w:pPr>
              <w:spacing w:after="0"/>
              <w:jc w:val="both"/>
              <w:rPr>
                <w:rFonts w:cs="Times New Roman"/>
                <w:sz w:val="24"/>
                <w:szCs w:val="24"/>
              </w:rPr>
            </w:pPr>
            <w:r w:rsidRPr="00A1111C">
              <w:rPr>
                <w:rFonts w:eastAsia="Times New Roman" w:cs="Times New Roman"/>
                <w:color w:val="000000" w:themeColor="text1"/>
                <w:sz w:val="24"/>
                <w:szCs w:val="24"/>
                <w:lang w:eastAsia="lv-LV"/>
              </w:rPr>
              <w:t>Par projektu informēta sabiedrība, informāciju publicējot Iekšlietu ministrijas, Pilsonības un migrācijas lietu pārvaldes mājaslapās.</w:t>
            </w:r>
          </w:p>
        </w:tc>
      </w:tr>
      <w:tr w:rsidR="0097458A" w:rsidRPr="00A1111C" w:rsidTr="00B432A4">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6F1DBF" w:rsidP="004820DD">
            <w:pPr>
              <w:spacing w:after="0"/>
              <w:jc w:val="both"/>
              <w:rPr>
                <w:rFonts w:cs="Times New Roman"/>
                <w:color w:val="000000"/>
                <w:sz w:val="24"/>
                <w:szCs w:val="24"/>
              </w:rPr>
            </w:pPr>
            <w:r w:rsidRPr="00A1111C">
              <w:rPr>
                <w:rFonts w:eastAsia="Calibri" w:cs="Times New Roman"/>
                <w:sz w:val="24"/>
                <w:szCs w:val="24"/>
              </w:rPr>
              <w:t xml:space="preserve">Projekts 2016.gada </w:t>
            </w:r>
            <w:r w:rsidR="004820DD">
              <w:rPr>
                <w:rFonts w:eastAsia="Calibri" w:cs="Times New Roman"/>
                <w:sz w:val="24"/>
                <w:szCs w:val="24"/>
              </w:rPr>
              <w:t>4.jūlijā</w:t>
            </w:r>
            <w:r w:rsidRPr="00A1111C">
              <w:rPr>
                <w:rFonts w:eastAsia="Calibri" w:cs="Times New Roman"/>
                <w:sz w:val="24"/>
                <w:szCs w:val="24"/>
              </w:rPr>
              <w:t xml:space="preserve"> ievietots Pilsonības un migrācijas lietu pārvaldes mājaslapā sadaļā “Tiesību aktu projekti” un</w:t>
            </w:r>
            <w:r w:rsidR="00512C05">
              <w:rPr>
                <w:rFonts w:eastAsia="Calibri" w:cs="Times New Roman"/>
                <w:sz w:val="24"/>
                <w:szCs w:val="24"/>
              </w:rPr>
              <w:t xml:space="preserve"> 2016.gada 8.jūlijā</w:t>
            </w:r>
            <w:r w:rsidRPr="00A1111C">
              <w:rPr>
                <w:rFonts w:eastAsia="Calibri" w:cs="Times New Roman"/>
                <w:sz w:val="24"/>
                <w:szCs w:val="24"/>
              </w:rPr>
              <w:t xml:space="preserve"> Iekšlietu ministrijas mājaslapā sadaļā “Sabiedrības līdzdalība”, kā </w:t>
            </w:r>
            <w:r w:rsidRPr="00A1111C">
              <w:rPr>
                <w:rFonts w:eastAsia="Calibri" w:cs="Times New Roman"/>
                <w:color w:val="000000" w:themeColor="text1"/>
                <w:sz w:val="24"/>
                <w:szCs w:val="24"/>
              </w:rPr>
              <w:t xml:space="preserve">arī </w:t>
            </w:r>
            <w:r w:rsidRPr="00A1111C">
              <w:rPr>
                <w:rFonts w:eastAsia="Times New Roman" w:cs="Times New Roman"/>
                <w:color w:val="000000" w:themeColor="text1"/>
                <w:sz w:val="24"/>
                <w:szCs w:val="24"/>
                <w:lang w:eastAsia="lv-LV"/>
              </w:rPr>
              <w:t>Valsts kancelejas mājaslapā.</w:t>
            </w:r>
            <w:r w:rsidRPr="00A1111C">
              <w:rPr>
                <w:rFonts w:eastAsia="Calibri" w:cs="Times New Roman"/>
                <w:color w:val="000000" w:themeColor="text1"/>
                <w:sz w:val="24"/>
                <w:szCs w:val="24"/>
              </w:rPr>
              <w:t xml:space="preserve"> Sabiedrības </w:t>
            </w:r>
            <w:r w:rsidRPr="00A1111C">
              <w:rPr>
                <w:rFonts w:eastAsia="Calibri" w:cs="Times New Roman"/>
                <w:sz w:val="24"/>
                <w:szCs w:val="24"/>
              </w:rPr>
              <w:t>pārstāvjiem tika dota iespēja līdzdarboties projekta izstrādē, rakstveidā sniedzot viedokli par projektu</w:t>
            </w:r>
            <w:r w:rsidRPr="00A1111C">
              <w:rPr>
                <w:rFonts w:eastAsia="Times New Roman" w:cs="Times New Roman"/>
                <w:color w:val="000000"/>
                <w:sz w:val="24"/>
                <w:szCs w:val="24"/>
                <w:lang w:eastAsia="lv-LV"/>
              </w:rPr>
              <w:t>.</w:t>
            </w:r>
          </w:p>
        </w:tc>
      </w:tr>
      <w:tr w:rsidR="0097458A" w:rsidRPr="00A1111C" w:rsidTr="00B432A4">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lastRenderedPageBreak/>
              <w:t>3.</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97458A" w:rsidRDefault="00C67E40" w:rsidP="00C67E40">
            <w:pPr>
              <w:spacing w:after="0"/>
              <w:jc w:val="both"/>
              <w:rPr>
                <w:rFonts w:cs="Times New Roman"/>
                <w:color w:val="000000"/>
                <w:sz w:val="24"/>
                <w:szCs w:val="24"/>
              </w:rPr>
            </w:pPr>
            <w:r>
              <w:rPr>
                <w:rFonts w:cs="Times New Roman"/>
                <w:color w:val="000000"/>
                <w:sz w:val="24"/>
                <w:szCs w:val="24"/>
              </w:rPr>
              <w:t xml:space="preserve">2016.gada 15.augustā saņemts Latvijas Lielo pilsētu asociācijas viedoklis par projektu, kur norādīts, ka personas, kurām ir uzturēšanās atļauja, mēdz mainīt dzīvesvietu un attiecīgi vēršas pašvaldībā, lai deklarētu jauno dzīvesvietu. Norāda, ka šajā gadījumā valsts nodeva būtu maksājama, jo šīs personas dzīvo attiecīgajā pašvaldībā un saņem sociālās garantijas. </w:t>
            </w:r>
          </w:p>
          <w:p w:rsidR="00663B49" w:rsidRPr="00A1111C" w:rsidRDefault="00663B49" w:rsidP="00E5499A">
            <w:pPr>
              <w:spacing w:after="0"/>
              <w:jc w:val="both"/>
              <w:rPr>
                <w:rFonts w:cs="Times New Roman"/>
                <w:color w:val="000000"/>
                <w:sz w:val="24"/>
                <w:szCs w:val="24"/>
              </w:rPr>
            </w:pPr>
            <w:r>
              <w:rPr>
                <w:rFonts w:cs="Times New Roman"/>
                <w:color w:val="000000"/>
                <w:sz w:val="24"/>
                <w:szCs w:val="24"/>
              </w:rPr>
              <w:t>Izvērtējot šo viedokli, norādāms, ka atbrīvojum</w:t>
            </w:r>
            <w:r w:rsidR="00E5499A">
              <w:rPr>
                <w:rFonts w:cs="Times New Roman"/>
                <w:color w:val="000000"/>
                <w:sz w:val="24"/>
                <w:szCs w:val="24"/>
              </w:rPr>
              <w:t>u</w:t>
            </w:r>
            <w:r>
              <w:rPr>
                <w:rFonts w:cs="Times New Roman"/>
                <w:color w:val="000000"/>
                <w:sz w:val="24"/>
                <w:szCs w:val="24"/>
              </w:rPr>
              <w:t xml:space="preserve"> no valsts nodevas maksāšanas nav paredzēts noteikt ārzemniekiem, kuriem izsniedz uzturēšanās at</w:t>
            </w:r>
            <w:r w:rsidR="00E5499A">
              <w:rPr>
                <w:rFonts w:cs="Times New Roman"/>
                <w:color w:val="000000"/>
                <w:sz w:val="24"/>
                <w:szCs w:val="24"/>
              </w:rPr>
              <w:t>ļaujas.</w:t>
            </w:r>
          </w:p>
        </w:tc>
      </w:tr>
      <w:tr w:rsidR="0097458A" w:rsidRPr="00A1111C" w:rsidTr="00B432A4">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ind w:firstLine="15"/>
              <w:rPr>
                <w:rFonts w:cs="Times New Roman"/>
                <w:color w:val="000000"/>
                <w:sz w:val="24"/>
                <w:szCs w:val="24"/>
              </w:rPr>
            </w:pPr>
            <w:r w:rsidRPr="00A1111C">
              <w:rPr>
                <w:rFonts w:cs="Times New Roman"/>
                <w:color w:val="000000"/>
                <w:sz w:val="24"/>
                <w:szCs w:val="24"/>
              </w:rPr>
              <w:t>Nav</w:t>
            </w:r>
          </w:p>
        </w:tc>
      </w:tr>
    </w:tbl>
    <w:p w:rsidR="0097458A" w:rsidRPr="00A1111C" w:rsidRDefault="0097458A" w:rsidP="0097458A">
      <w:pPr>
        <w:spacing w:after="0"/>
        <w:rPr>
          <w:rFonts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97458A" w:rsidRPr="00A1111C" w:rsidTr="00B432A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7458A" w:rsidRPr="00A1111C" w:rsidRDefault="0097458A" w:rsidP="00B432A4">
            <w:pPr>
              <w:spacing w:after="0"/>
              <w:ind w:firstLine="300"/>
              <w:jc w:val="center"/>
              <w:rPr>
                <w:rFonts w:cs="Times New Roman"/>
                <w:b/>
                <w:bCs/>
                <w:sz w:val="24"/>
                <w:szCs w:val="24"/>
              </w:rPr>
            </w:pPr>
            <w:r w:rsidRPr="00A1111C">
              <w:rPr>
                <w:rFonts w:cs="Times New Roman"/>
                <w:b/>
                <w:bCs/>
                <w:sz w:val="24"/>
                <w:szCs w:val="24"/>
              </w:rPr>
              <w:t>VII. Tiesību akta projekta izpildes nodrošināšana un tās ietekme uz institūcijām</w:t>
            </w:r>
          </w:p>
        </w:tc>
      </w:tr>
      <w:tr w:rsidR="0097458A" w:rsidRPr="00A1111C" w:rsidTr="00B432A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sz w:val="24"/>
                <w:szCs w:val="24"/>
              </w:rPr>
            </w:pPr>
            <w:r w:rsidRPr="00A1111C">
              <w:rPr>
                <w:rFonts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A41E58">
            <w:pPr>
              <w:spacing w:after="0"/>
              <w:jc w:val="both"/>
              <w:rPr>
                <w:rFonts w:cs="Times New Roman"/>
                <w:sz w:val="24"/>
                <w:szCs w:val="24"/>
              </w:rPr>
            </w:pPr>
            <w:r w:rsidRPr="00A1111C">
              <w:rPr>
                <w:rFonts w:cs="Times New Roman"/>
                <w:sz w:val="24"/>
                <w:szCs w:val="24"/>
              </w:rPr>
              <w:t>Pilsonības un migrācijas lietu pārvalde</w:t>
            </w:r>
            <w:r w:rsidR="00A41E58" w:rsidRPr="00A1111C">
              <w:rPr>
                <w:rFonts w:cs="Times New Roman"/>
                <w:sz w:val="24"/>
                <w:szCs w:val="24"/>
              </w:rPr>
              <w:t xml:space="preserve"> un pašvaldības</w:t>
            </w:r>
            <w:r w:rsidRPr="00A1111C">
              <w:rPr>
                <w:rFonts w:cs="Times New Roman"/>
                <w:sz w:val="24"/>
                <w:szCs w:val="24"/>
              </w:rPr>
              <w:t>.</w:t>
            </w:r>
          </w:p>
        </w:tc>
      </w:tr>
      <w:tr w:rsidR="0097458A" w:rsidRPr="00A1111C" w:rsidTr="00B432A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 xml:space="preserve">Projekta izpildes ietekme uz pārvaldes funkcijām un institucionālo struktūru. </w:t>
            </w:r>
          </w:p>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p>
          <w:p w:rsidR="0097458A" w:rsidRPr="00A1111C" w:rsidRDefault="006F1DBF" w:rsidP="006F1DBF">
            <w:pPr>
              <w:spacing w:after="0"/>
              <w:jc w:val="both"/>
              <w:rPr>
                <w:rFonts w:cs="Times New Roman"/>
                <w:color w:val="000000"/>
                <w:sz w:val="24"/>
                <w:szCs w:val="24"/>
              </w:rPr>
            </w:pPr>
            <w:r w:rsidRPr="00A1111C">
              <w:rPr>
                <w:rFonts w:cs="Times New Roman"/>
                <w:color w:val="000000"/>
                <w:sz w:val="24"/>
                <w:szCs w:val="24"/>
              </w:rPr>
              <w:t>Projekta izpildes rezultātā nav paredzēta esošu institūciju likvidācija vai reorganizācija. Iestāžu institucionālā struktūra netiek ietekmēta, papildus cilvēkresursi nav nepieciešami.</w:t>
            </w:r>
          </w:p>
        </w:tc>
      </w:tr>
      <w:tr w:rsidR="0097458A" w:rsidRPr="00A1111C" w:rsidTr="00B432A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97458A" w:rsidRPr="00A1111C" w:rsidRDefault="0097458A" w:rsidP="00B432A4">
            <w:pPr>
              <w:spacing w:after="0"/>
              <w:rPr>
                <w:rFonts w:cs="Times New Roman"/>
                <w:color w:val="000000"/>
                <w:sz w:val="24"/>
                <w:szCs w:val="24"/>
              </w:rPr>
            </w:pPr>
            <w:r w:rsidRPr="00A1111C">
              <w:rPr>
                <w:rFonts w:cs="Times New Roman"/>
                <w:color w:val="000000"/>
                <w:sz w:val="24"/>
                <w:szCs w:val="24"/>
              </w:rPr>
              <w:t>Nav</w:t>
            </w:r>
          </w:p>
        </w:tc>
      </w:tr>
    </w:tbl>
    <w:p w:rsidR="001F025B" w:rsidRPr="00A1111C" w:rsidRDefault="001F025B" w:rsidP="0097458A">
      <w:pPr>
        <w:spacing w:after="0"/>
        <w:rPr>
          <w:rFonts w:cs="Times New Roman"/>
          <w:sz w:val="24"/>
          <w:szCs w:val="24"/>
        </w:rPr>
      </w:pPr>
    </w:p>
    <w:p w:rsidR="0097458A" w:rsidRPr="00A1111C" w:rsidRDefault="0097458A" w:rsidP="0097458A">
      <w:pPr>
        <w:spacing w:after="0"/>
        <w:rPr>
          <w:rFonts w:cs="Times New Roman"/>
          <w:sz w:val="24"/>
          <w:szCs w:val="24"/>
        </w:rPr>
      </w:pPr>
      <w:r w:rsidRPr="00A1111C">
        <w:rPr>
          <w:rFonts w:cs="Times New Roman"/>
          <w:sz w:val="24"/>
          <w:szCs w:val="24"/>
        </w:rPr>
        <w:t xml:space="preserve">Anotācijas IV, V sadaļa - Projekts šo jomu neskar. </w:t>
      </w:r>
    </w:p>
    <w:p w:rsidR="006D3E77" w:rsidRDefault="006D3E77" w:rsidP="0097458A">
      <w:pPr>
        <w:tabs>
          <w:tab w:val="left" w:pos="6521"/>
        </w:tabs>
        <w:jc w:val="both"/>
        <w:rPr>
          <w:rFonts w:eastAsia="Times New Roman" w:cs="Times New Roman"/>
          <w:sz w:val="24"/>
          <w:szCs w:val="24"/>
          <w:lang w:eastAsia="lv-LV"/>
        </w:rPr>
      </w:pPr>
    </w:p>
    <w:p w:rsidR="006E0A32" w:rsidRPr="00A1111C" w:rsidRDefault="006E0A32" w:rsidP="0097458A">
      <w:pPr>
        <w:tabs>
          <w:tab w:val="left" w:pos="6521"/>
        </w:tabs>
        <w:jc w:val="both"/>
        <w:rPr>
          <w:rFonts w:eastAsia="Times New Roman" w:cs="Times New Roman"/>
          <w:sz w:val="24"/>
          <w:szCs w:val="24"/>
          <w:lang w:eastAsia="lv-LV"/>
        </w:rPr>
      </w:pPr>
    </w:p>
    <w:p w:rsidR="0097458A" w:rsidRPr="00A1111C" w:rsidRDefault="0097458A" w:rsidP="0097458A">
      <w:pPr>
        <w:tabs>
          <w:tab w:val="left" w:pos="6521"/>
        </w:tabs>
        <w:jc w:val="both"/>
        <w:rPr>
          <w:rFonts w:eastAsia="Times New Roman" w:cs="Times New Roman"/>
          <w:sz w:val="24"/>
          <w:szCs w:val="24"/>
          <w:lang w:eastAsia="lv-LV"/>
        </w:rPr>
      </w:pPr>
      <w:r w:rsidRPr="00A1111C">
        <w:rPr>
          <w:rFonts w:eastAsia="Times New Roman" w:cs="Times New Roman"/>
          <w:sz w:val="24"/>
          <w:szCs w:val="24"/>
          <w:lang w:eastAsia="lv-LV"/>
        </w:rPr>
        <w:t>Iekšlietu ministrs</w:t>
      </w:r>
      <w:r w:rsidRPr="00A1111C">
        <w:rPr>
          <w:rFonts w:eastAsia="Times New Roman" w:cs="Times New Roman"/>
          <w:sz w:val="24"/>
          <w:szCs w:val="24"/>
          <w:lang w:eastAsia="lv-LV"/>
        </w:rPr>
        <w:tab/>
        <w:t>R.Kozlovskis</w:t>
      </w:r>
    </w:p>
    <w:p w:rsidR="006D3E77" w:rsidRPr="00A1111C" w:rsidRDefault="006D3E77" w:rsidP="0097458A">
      <w:pPr>
        <w:pStyle w:val="naisf"/>
        <w:rPr>
          <w:szCs w:val="24"/>
        </w:rPr>
      </w:pPr>
    </w:p>
    <w:p w:rsidR="0097458A" w:rsidRPr="00A1111C" w:rsidRDefault="0097458A" w:rsidP="0097458A">
      <w:pPr>
        <w:pStyle w:val="naisf"/>
        <w:rPr>
          <w:szCs w:val="24"/>
        </w:rPr>
      </w:pPr>
      <w:r w:rsidRPr="00A1111C">
        <w:rPr>
          <w:szCs w:val="24"/>
        </w:rPr>
        <w:t>Vīza: valsts sekretāre</w:t>
      </w:r>
      <w:r w:rsidRPr="00A1111C">
        <w:rPr>
          <w:szCs w:val="24"/>
        </w:rPr>
        <w:tab/>
      </w:r>
      <w:r w:rsidRPr="00A1111C">
        <w:rPr>
          <w:szCs w:val="24"/>
        </w:rPr>
        <w:tab/>
      </w:r>
      <w:r w:rsidRPr="00A1111C">
        <w:rPr>
          <w:szCs w:val="24"/>
        </w:rPr>
        <w:tab/>
        <w:t xml:space="preserve">  </w:t>
      </w:r>
      <w:r w:rsidRPr="00A1111C">
        <w:rPr>
          <w:szCs w:val="24"/>
        </w:rPr>
        <w:tab/>
      </w:r>
      <w:r w:rsidRPr="00A1111C">
        <w:rPr>
          <w:szCs w:val="24"/>
        </w:rPr>
        <w:tab/>
      </w:r>
      <w:r w:rsidRPr="00A1111C">
        <w:rPr>
          <w:szCs w:val="24"/>
        </w:rPr>
        <w:tab/>
      </w:r>
      <w:r w:rsidRPr="00A1111C">
        <w:rPr>
          <w:szCs w:val="24"/>
        </w:rPr>
        <w:tab/>
        <w:t>I. Pētersone-Godmane</w:t>
      </w:r>
    </w:p>
    <w:p w:rsidR="006D3E77" w:rsidRDefault="006D3E77" w:rsidP="0097458A">
      <w:pPr>
        <w:pStyle w:val="naisf"/>
        <w:spacing w:before="0" w:after="0"/>
        <w:rPr>
          <w:sz w:val="20"/>
        </w:rPr>
      </w:pPr>
    </w:p>
    <w:p w:rsidR="00E4605E" w:rsidRDefault="00E4605E" w:rsidP="0097458A">
      <w:pPr>
        <w:pStyle w:val="naisf"/>
        <w:spacing w:before="0" w:after="0"/>
        <w:rPr>
          <w:sz w:val="20"/>
        </w:rPr>
      </w:pPr>
    </w:p>
    <w:p w:rsidR="00512C05" w:rsidRDefault="00512C05" w:rsidP="0097458A">
      <w:pPr>
        <w:pStyle w:val="naisf"/>
        <w:spacing w:before="0" w:after="0"/>
        <w:rPr>
          <w:sz w:val="20"/>
        </w:rPr>
      </w:pPr>
    </w:p>
    <w:p w:rsidR="00512C05" w:rsidRDefault="00512C05" w:rsidP="0097458A">
      <w:pPr>
        <w:pStyle w:val="naisf"/>
        <w:spacing w:before="0" w:after="0"/>
        <w:rPr>
          <w:sz w:val="20"/>
        </w:rPr>
      </w:pPr>
    </w:p>
    <w:p w:rsidR="0097458A" w:rsidRPr="00A1111C" w:rsidRDefault="00423DD3" w:rsidP="0097458A">
      <w:pPr>
        <w:pStyle w:val="naisf"/>
        <w:spacing w:before="0" w:after="0"/>
        <w:rPr>
          <w:sz w:val="20"/>
        </w:rPr>
      </w:pPr>
      <w:r>
        <w:rPr>
          <w:sz w:val="20"/>
        </w:rPr>
        <w:t>02</w:t>
      </w:r>
      <w:r w:rsidR="00E4605E">
        <w:rPr>
          <w:sz w:val="20"/>
        </w:rPr>
        <w:t>.0</w:t>
      </w:r>
      <w:r>
        <w:rPr>
          <w:sz w:val="20"/>
        </w:rPr>
        <w:t>9</w:t>
      </w:r>
      <w:r w:rsidR="0097458A" w:rsidRPr="00A1111C">
        <w:rPr>
          <w:sz w:val="20"/>
        </w:rPr>
        <w:t xml:space="preserve">.2016. </w:t>
      </w:r>
      <w:r w:rsidR="002D7F7C">
        <w:rPr>
          <w:sz w:val="20"/>
        </w:rPr>
        <w:t>14:1</w:t>
      </w:r>
      <w:r w:rsidR="00512C05">
        <w:rPr>
          <w:sz w:val="20"/>
        </w:rPr>
        <w:t>5</w:t>
      </w:r>
    </w:p>
    <w:p w:rsidR="0097458A" w:rsidRPr="00A1111C" w:rsidRDefault="006E0A32" w:rsidP="0097458A">
      <w:pPr>
        <w:pStyle w:val="naisf"/>
        <w:spacing w:before="0" w:after="0"/>
        <w:rPr>
          <w:sz w:val="20"/>
        </w:rPr>
      </w:pPr>
      <w:r>
        <w:rPr>
          <w:sz w:val="20"/>
        </w:rPr>
        <w:t>1</w:t>
      </w:r>
      <w:r w:rsidR="00211B68">
        <w:rPr>
          <w:sz w:val="20"/>
        </w:rPr>
        <w:t xml:space="preserve"> </w:t>
      </w:r>
      <w:r w:rsidR="002D7F7C">
        <w:rPr>
          <w:sz w:val="20"/>
        </w:rPr>
        <w:t>956</w:t>
      </w:r>
    </w:p>
    <w:p w:rsidR="0097458A" w:rsidRPr="00A1111C" w:rsidRDefault="0097458A" w:rsidP="0097458A">
      <w:pPr>
        <w:spacing w:after="0"/>
        <w:rPr>
          <w:rFonts w:cs="Times New Roman"/>
          <w:sz w:val="20"/>
          <w:szCs w:val="20"/>
        </w:rPr>
      </w:pPr>
      <w:r w:rsidRPr="00A1111C">
        <w:rPr>
          <w:rFonts w:cs="Times New Roman"/>
          <w:sz w:val="20"/>
          <w:szCs w:val="20"/>
        </w:rPr>
        <w:t>Stone, 67219425</w:t>
      </w:r>
    </w:p>
    <w:p w:rsidR="0097458A" w:rsidRPr="00A1111C" w:rsidRDefault="00537863" w:rsidP="0066538C">
      <w:pPr>
        <w:spacing w:after="0"/>
        <w:rPr>
          <w:rFonts w:cs="Times New Roman"/>
          <w:sz w:val="20"/>
          <w:szCs w:val="20"/>
        </w:rPr>
      </w:pPr>
      <w:hyperlink r:id="rId8" w:history="1">
        <w:r w:rsidR="006F4776" w:rsidRPr="00A1111C">
          <w:rPr>
            <w:rStyle w:val="Hyperlink"/>
            <w:rFonts w:cs="Times New Roman"/>
            <w:sz w:val="20"/>
            <w:szCs w:val="20"/>
          </w:rPr>
          <w:t>kristine.stone@pmlp.gov.lv</w:t>
        </w:r>
      </w:hyperlink>
    </w:p>
    <w:p w:rsidR="005B33A7" w:rsidRPr="00A1111C" w:rsidRDefault="005B33A7" w:rsidP="0066538C">
      <w:pPr>
        <w:spacing w:after="0"/>
        <w:rPr>
          <w:rFonts w:cs="Times New Roman"/>
          <w:sz w:val="20"/>
          <w:szCs w:val="20"/>
        </w:rPr>
      </w:pPr>
    </w:p>
    <w:p w:rsidR="006F4776" w:rsidRPr="00A1111C" w:rsidRDefault="006F4776" w:rsidP="0066538C">
      <w:pPr>
        <w:spacing w:after="0"/>
        <w:rPr>
          <w:rFonts w:cs="Times New Roman"/>
          <w:sz w:val="20"/>
          <w:szCs w:val="20"/>
        </w:rPr>
      </w:pPr>
      <w:proofErr w:type="spellStart"/>
      <w:r w:rsidRPr="00A1111C">
        <w:rPr>
          <w:rFonts w:cs="Times New Roman"/>
          <w:sz w:val="20"/>
          <w:szCs w:val="20"/>
        </w:rPr>
        <w:t>Brīvniece</w:t>
      </w:r>
      <w:proofErr w:type="spellEnd"/>
      <w:r w:rsidRPr="00A1111C">
        <w:rPr>
          <w:rFonts w:cs="Times New Roman"/>
          <w:sz w:val="20"/>
          <w:szCs w:val="20"/>
        </w:rPr>
        <w:t>, 67219453</w:t>
      </w:r>
    </w:p>
    <w:p w:rsidR="006F4776" w:rsidRDefault="00537863" w:rsidP="0066538C">
      <w:pPr>
        <w:spacing w:after="0"/>
      </w:pPr>
      <w:hyperlink r:id="rId9" w:history="1">
        <w:r w:rsidR="006F4776" w:rsidRPr="00A1111C">
          <w:rPr>
            <w:rStyle w:val="Hyperlink"/>
            <w:rFonts w:cs="Times New Roman"/>
            <w:sz w:val="20"/>
            <w:szCs w:val="20"/>
          </w:rPr>
          <w:t>ramona.brivniece@pmlp.gov.lv</w:t>
        </w:r>
      </w:hyperlink>
      <w:r w:rsidR="006F4776">
        <w:rPr>
          <w:rFonts w:cs="Times New Roman"/>
          <w:sz w:val="20"/>
          <w:szCs w:val="20"/>
        </w:rPr>
        <w:t xml:space="preserve"> </w:t>
      </w:r>
    </w:p>
    <w:sectPr w:rsidR="006F4776" w:rsidSect="006F4776">
      <w:headerReference w:type="default" r:id="rId10"/>
      <w:footerReference w:type="default" r:id="rId11"/>
      <w:footerReference w:type="first" r:id="rId12"/>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88" w:rsidRDefault="00046288" w:rsidP="0097458A">
      <w:pPr>
        <w:spacing w:after="0" w:line="240" w:lineRule="auto"/>
      </w:pPr>
      <w:r>
        <w:separator/>
      </w:r>
    </w:p>
  </w:endnote>
  <w:endnote w:type="continuationSeparator" w:id="0">
    <w:p w:rsidR="00046288" w:rsidRDefault="00046288" w:rsidP="0097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8" w:rsidRPr="0097458A" w:rsidRDefault="00046288" w:rsidP="00572662">
    <w:pPr>
      <w:pStyle w:val="Footer"/>
      <w:jc w:val="both"/>
      <w:rPr>
        <w:sz w:val="20"/>
        <w:szCs w:val="20"/>
      </w:rPr>
    </w:pPr>
    <w:r w:rsidRPr="00B9664F">
      <w:rPr>
        <w:rFonts w:cs="Times New Roman"/>
        <w:sz w:val="20"/>
        <w:szCs w:val="20"/>
      </w:rPr>
      <w:t>IEMAnot_</w:t>
    </w:r>
    <w:r w:rsidR="00423DD3">
      <w:rPr>
        <w:rFonts w:cs="Times New Roman"/>
        <w:sz w:val="20"/>
        <w:szCs w:val="20"/>
      </w:rPr>
      <w:t>0209</w:t>
    </w:r>
    <w:r>
      <w:rPr>
        <w:rFonts w:cs="Times New Roman"/>
        <w:sz w:val="20"/>
        <w:szCs w:val="20"/>
      </w:rPr>
      <w:t>16_groz720</w:t>
    </w:r>
    <w:r w:rsidRPr="00D9197D">
      <w:rPr>
        <w:rFonts w:cs="Times New Roman"/>
        <w:sz w:val="20"/>
        <w:szCs w:val="20"/>
      </w:rPr>
      <w:t>; Ministru kabineta noteikumu projekta “</w:t>
    </w:r>
    <w:r w:rsidRPr="00D9197D">
      <w:rPr>
        <w:rFonts w:cs="Times New Roman"/>
        <w:bCs/>
        <w:sz w:val="20"/>
        <w:szCs w:val="20"/>
      </w:rPr>
      <w:t>Grozījumi Ministru kabineta 20</w:t>
    </w:r>
    <w:r>
      <w:rPr>
        <w:rFonts w:cs="Times New Roman"/>
        <w:bCs/>
        <w:sz w:val="20"/>
        <w:szCs w:val="20"/>
      </w:rPr>
      <w:t>09</w:t>
    </w:r>
    <w:r w:rsidRPr="00D9197D">
      <w:rPr>
        <w:rFonts w:cs="Times New Roman"/>
        <w:bCs/>
        <w:sz w:val="20"/>
        <w:szCs w:val="20"/>
      </w:rPr>
      <w:t xml:space="preserve">.gada </w:t>
    </w:r>
    <w:r>
      <w:rPr>
        <w:rFonts w:cs="Times New Roman"/>
        <w:bCs/>
        <w:sz w:val="20"/>
        <w:szCs w:val="20"/>
      </w:rPr>
      <w:t>30.jūnija</w:t>
    </w:r>
    <w:r w:rsidRPr="00D9197D">
      <w:rPr>
        <w:rFonts w:cs="Times New Roman"/>
        <w:bCs/>
        <w:sz w:val="20"/>
        <w:szCs w:val="20"/>
      </w:rPr>
      <w:t xml:space="preserve"> noteikumos Nr.</w:t>
    </w:r>
    <w:r>
      <w:rPr>
        <w:rFonts w:cs="Times New Roman"/>
        <w:bCs/>
        <w:sz w:val="20"/>
        <w:szCs w:val="20"/>
      </w:rPr>
      <w:t>720</w:t>
    </w:r>
    <w:r w:rsidRPr="00D9197D">
      <w:rPr>
        <w:rFonts w:cs="Times New Roman"/>
        <w:bCs/>
        <w:sz w:val="20"/>
        <w:szCs w:val="20"/>
      </w:rPr>
      <w:t xml:space="preserve"> “</w:t>
    </w:r>
    <w:r>
      <w:rPr>
        <w:rFonts w:cs="Times New Roman"/>
        <w:bCs/>
        <w:sz w:val="20"/>
        <w:szCs w:val="20"/>
      </w:rPr>
      <w:t>Noteikumi par valsts nodevas apmēru, samaksas kārtību un atvieglojumiem par ziņu par deklarēto dzīvesvietu reģistrāciju</w:t>
    </w:r>
    <w:r w:rsidRPr="00D9197D">
      <w:rPr>
        <w:rFonts w:cs="Times New Roman"/>
        <w:bCs/>
        <w:sz w:val="20"/>
        <w:szCs w:val="20"/>
      </w:rPr>
      <w:t>””</w:t>
    </w:r>
    <w:r w:rsidRPr="00D9197D">
      <w:rPr>
        <w:rFonts w:cs="Times New Roman"/>
        <w:sz w:val="20"/>
        <w:szCs w:val="20"/>
      </w:rPr>
      <w:t xml:space="preserve"> </w:t>
    </w:r>
    <w:r w:rsidRPr="00D9197D">
      <w:rPr>
        <w:rFonts w:cs="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D9197D">
        <w:rPr>
          <w:rFonts w:cs="Times New Roman"/>
          <w:bCs/>
          <w:sz w:val="20"/>
          <w:szCs w:val="20"/>
        </w:rPr>
        <w:t>ziņojums</w:t>
      </w:r>
    </w:smartTag>
    <w:r w:rsidRPr="00D9197D">
      <w:rPr>
        <w:rFonts w:cs="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88" w:rsidRPr="0097458A" w:rsidRDefault="00046288" w:rsidP="00572662">
    <w:pPr>
      <w:pStyle w:val="Footer"/>
      <w:jc w:val="both"/>
      <w:rPr>
        <w:sz w:val="20"/>
        <w:szCs w:val="20"/>
      </w:rPr>
    </w:pPr>
    <w:r w:rsidRPr="00B9664F">
      <w:rPr>
        <w:rFonts w:cs="Times New Roman"/>
        <w:sz w:val="20"/>
        <w:szCs w:val="20"/>
      </w:rPr>
      <w:t>IEMAnot_</w:t>
    </w:r>
    <w:r w:rsidR="00423DD3">
      <w:rPr>
        <w:rFonts w:cs="Times New Roman"/>
        <w:sz w:val="20"/>
        <w:szCs w:val="20"/>
      </w:rPr>
      <w:t>0209</w:t>
    </w:r>
    <w:r>
      <w:rPr>
        <w:rFonts w:cs="Times New Roman"/>
        <w:sz w:val="20"/>
        <w:szCs w:val="20"/>
      </w:rPr>
      <w:t>16_groz720</w:t>
    </w:r>
    <w:r w:rsidRPr="00D9197D">
      <w:rPr>
        <w:rFonts w:cs="Times New Roman"/>
        <w:sz w:val="20"/>
        <w:szCs w:val="20"/>
      </w:rPr>
      <w:t>; Ministru kabineta noteikumu projekta “</w:t>
    </w:r>
    <w:r w:rsidRPr="00D9197D">
      <w:rPr>
        <w:rFonts w:cs="Times New Roman"/>
        <w:bCs/>
        <w:sz w:val="20"/>
        <w:szCs w:val="20"/>
      </w:rPr>
      <w:t>Grozījumi Ministru kabineta 20</w:t>
    </w:r>
    <w:r>
      <w:rPr>
        <w:rFonts w:cs="Times New Roman"/>
        <w:bCs/>
        <w:sz w:val="20"/>
        <w:szCs w:val="20"/>
      </w:rPr>
      <w:t>09</w:t>
    </w:r>
    <w:r w:rsidRPr="00D9197D">
      <w:rPr>
        <w:rFonts w:cs="Times New Roman"/>
        <w:bCs/>
        <w:sz w:val="20"/>
        <w:szCs w:val="20"/>
      </w:rPr>
      <w:t xml:space="preserve">.gada </w:t>
    </w:r>
    <w:r>
      <w:rPr>
        <w:rFonts w:cs="Times New Roman"/>
        <w:bCs/>
        <w:sz w:val="20"/>
        <w:szCs w:val="20"/>
      </w:rPr>
      <w:t>30.jūnija</w:t>
    </w:r>
    <w:r w:rsidRPr="00D9197D">
      <w:rPr>
        <w:rFonts w:cs="Times New Roman"/>
        <w:bCs/>
        <w:sz w:val="20"/>
        <w:szCs w:val="20"/>
      </w:rPr>
      <w:t xml:space="preserve"> noteikumos Nr.</w:t>
    </w:r>
    <w:r>
      <w:rPr>
        <w:rFonts w:cs="Times New Roman"/>
        <w:bCs/>
        <w:sz w:val="20"/>
        <w:szCs w:val="20"/>
      </w:rPr>
      <w:t>720</w:t>
    </w:r>
    <w:r w:rsidRPr="00D9197D">
      <w:rPr>
        <w:rFonts w:cs="Times New Roman"/>
        <w:bCs/>
        <w:sz w:val="20"/>
        <w:szCs w:val="20"/>
      </w:rPr>
      <w:t xml:space="preserve"> “</w:t>
    </w:r>
    <w:r>
      <w:rPr>
        <w:rFonts w:cs="Times New Roman"/>
        <w:bCs/>
        <w:sz w:val="20"/>
        <w:szCs w:val="20"/>
      </w:rPr>
      <w:t>Noteikumi par valsts nodevas apmēru, samaksas kārtību un atvieglojumiem par ziņu par deklarēto dzīvesvietu reģistrāciju</w:t>
    </w:r>
    <w:r w:rsidRPr="00D9197D">
      <w:rPr>
        <w:rFonts w:cs="Times New Roman"/>
        <w:bCs/>
        <w:sz w:val="20"/>
        <w:szCs w:val="20"/>
      </w:rPr>
      <w:t>””</w:t>
    </w:r>
    <w:r w:rsidRPr="00D9197D">
      <w:rPr>
        <w:rFonts w:cs="Times New Roman"/>
        <w:sz w:val="20"/>
        <w:szCs w:val="20"/>
      </w:rPr>
      <w:t xml:space="preserve"> </w:t>
    </w:r>
    <w:r w:rsidRPr="00D9197D">
      <w:rPr>
        <w:rFonts w:cs="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D9197D">
        <w:rPr>
          <w:rFonts w:cs="Times New Roman"/>
          <w:bCs/>
          <w:sz w:val="20"/>
          <w:szCs w:val="20"/>
        </w:rPr>
        <w:t>ziņojums</w:t>
      </w:r>
    </w:smartTag>
    <w:r w:rsidRPr="00D9197D">
      <w:rPr>
        <w:rFonts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88" w:rsidRDefault="00046288" w:rsidP="0097458A">
      <w:pPr>
        <w:spacing w:after="0" w:line="240" w:lineRule="auto"/>
      </w:pPr>
      <w:r>
        <w:separator/>
      </w:r>
    </w:p>
  </w:footnote>
  <w:footnote w:type="continuationSeparator" w:id="0">
    <w:p w:rsidR="00046288" w:rsidRDefault="00046288" w:rsidP="00974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98976"/>
      <w:docPartObj>
        <w:docPartGallery w:val="Page Numbers (Top of Page)"/>
        <w:docPartUnique/>
      </w:docPartObj>
    </w:sdtPr>
    <w:sdtEndPr>
      <w:rPr>
        <w:noProof/>
      </w:rPr>
    </w:sdtEndPr>
    <w:sdtContent>
      <w:p w:rsidR="00046288" w:rsidRDefault="00046288">
        <w:pPr>
          <w:pStyle w:val="Header"/>
          <w:jc w:val="center"/>
        </w:pPr>
        <w:r w:rsidRPr="0097458A">
          <w:rPr>
            <w:sz w:val="20"/>
            <w:szCs w:val="20"/>
          </w:rPr>
          <w:fldChar w:fldCharType="begin"/>
        </w:r>
        <w:r w:rsidRPr="0097458A">
          <w:rPr>
            <w:sz w:val="20"/>
            <w:szCs w:val="20"/>
          </w:rPr>
          <w:instrText xml:space="preserve"> PAGE   \* MERGEFORMAT </w:instrText>
        </w:r>
        <w:r w:rsidRPr="0097458A">
          <w:rPr>
            <w:sz w:val="20"/>
            <w:szCs w:val="20"/>
          </w:rPr>
          <w:fldChar w:fldCharType="separate"/>
        </w:r>
        <w:r w:rsidR="00537863">
          <w:rPr>
            <w:noProof/>
            <w:sz w:val="20"/>
            <w:szCs w:val="20"/>
          </w:rPr>
          <w:t>7</w:t>
        </w:r>
        <w:r w:rsidRPr="0097458A">
          <w:rPr>
            <w:noProof/>
            <w:sz w:val="20"/>
            <w:szCs w:val="20"/>
          </w:rPr>
          <w:fldChar w:fldCharType="end"/>
        </w:r>
      </w:p>
    </w:sdtContent>
  </w:sdt>
  <w:p w:rsidR="00046288" w:rsidRDefault="0004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F518D"/>
    <w:multiLevelType w:val="hybridMultilevel"/>
    <w:tmpl w:val="BE0EA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20"/>
  <w:drawingGridHorizontalSpacing w:val="140"/>
  <w:drawingGridVerticalSpacing w:val="381"/>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23"/>
    <w:rsid w:val="00015FB7"/>
    <w:rsid w:val="00026186"/>
    <w:rsid w:val="00046288"/>
    <w:rsid w:val="00085C31"/>
    <w:rsid w:val="0010142E"/>
    <w:rsid w:val="00117216"/>
    <w:rsid w:val="00145C7D"/>
    <w:rsid w:val="00160323"/>
    <w:rsid w:val="00187F2A"/>
    <w:rsid w:val="001B4F90"/>
    <w:rsid w:val="001E28D1"/>
    <w:rsid w:val="001F025B"/>
    <w:rsid w:val="001F0EB5"/>
    <w:rsid w:val="001F1018"/>
    <w:rsid w:val="00211B68"/>
    <w:rsid w:val="00225961"/>
    <w:rsid w:val="00226387"/>
    <w:rsid w:val="00280725"/>
    <w:rsid w:val="002D7F7C"/>
    <w:rsid w:val="002E7F04"/>
    <w:rsid w:val="00301D45"/>
    <w:rsid w:val="00364467"/>
    <w:rsid w:val="00365908"/>
    <w:rsid w:val="00387126"/>
    <w:rsid w:val="003B7853"/>
    <w:rsid w:val="003C58B7"/>
    <w:rsid w:val="003F4D6B"/>
    <w:rsid w:val="00402A6B"/>
    <w:rsid w:val="00423DD3"/>
    <w:rsid w:val="004268EE"/>
    <w:rsid w:val="00432483"/>
    <w:rsid w:val="00443BCC"/>
    <w:rsid w:val="0046175E"/>
    <w:rsid w:val="004810F7"/>
    <w:rsid w:val="004820DD"/>
    <w:rsid w:val="00490170"/>
    <w:rsid w:val="004A4D29"/>
    <w:rsid w:val="004B017D"/>
    <w:rsid w:val="004B38AA"/>
    <w:rsid w:val="004B7895"/>
    <w:rsid w:val="004C002C"/>
    <w:rsid w:val="004E6496"/>
    <w:rsid w:val="00512C05"/>
    <w:rsid w:val="00537863"/>
    <w:rsid w:val="00572662"/>
    <w:rsid w:val="005A0BCA"/>
    <w:rsid w:val="005A7EBF"/>
    <w:rsid w:val="005B33A7"/>
    <w:rsid w:val="005C5278"/>
    <w:rsid w:val="0063584F"/>
    <w:rsid w:val="00645D90"/>
    <w:rsid w:val="00652B72"/>
    <w:rsid w:val="00663B49"/>
    <w:rsid w:val="0066538C"/>
    <w:rsid w:val="00671990"/>
    <w:rsid w:val="00673320"/>
    <w:rsid w:val="006A7DFC"/>
    <w:rsid w:val="006B71B8"/>
    <w:rsid w:val="006D3E77"/>
    <w:rsid w:val="006E0A32"/>
    <w:rsid w:val="006E5998"/>
    <w:rsid w:val="006F1DBF"/>
    <w:rsid w:val="006F4776"/>
    <w:rsid w:val="00741246"/>
    <w:rsid w:val="00785E37"/>
    <w:rsid w:val="007B1106"/>
    <w:rsid w:val="007C6BFA"/>
    <w:rsid w:val="007D2B1A"/>
    <w:rsid w:val="007E44B8"/>
    <w:rsid w:val="00803342"/>
    <w:rsid w:val="008067F6"/>
    <w:rsid w:val="00850E61"/>
    <w:rsid w:val="0089100B"/>
    <w:rsid w:val="008A63A7"/>
    <w:rsid w:val="008C1F6F"/>
    <w:rsid w:val="008D0AD2"/>
    <w:rsid w:val="008F1D62"/>
    <w:rsid w:val="00911B12"/>
    <w:rsid w:val="00914B5E"/>
    <w:rsid w:val="00927FA7"/>
    <w:rsid w:val="0097458A"/>
    <w:rsid w:val="009B2C95"/>
    <w:rsid w:val="009C1EA2"/>
    <w:rsid w:val="009E44D9"/>
    <w:rsid w:val="009F32B9"/>
    <w:rsid w:val="00A1111C"/>
    <w:rsid w:val="00A41E58"/>
    <w:rsid w:val="00A47BAA"/>
    <w:rsid w:val="00A6254B"/>
    <w:rsid w:val="00AA69D0"/>
    <w:rsid w:val="00B33AD4"/>
    <w:rsid w:val="00B432A4"/>
    <w:rsid w:val="00B43C26"/>
    <w:rsid w:val="00B65AEC"/>
    <w:rsid w:val="00B76F95"/>
    <w:rsid w:val="00BD5E5A"/>
    <w:rsid w:val="00BE66CC"/>
    <w:rsid w:val="00C3256E"/>
    <w:rsid w:val="00C348A2"/>
    <w:rsid w:val="00C54CE2"/>
    <w:rsid w:val="00C55447"/>
    <w:rsid w:val="00C630C9"/>
    <w:rsid w:val="00C64531"/>
    <w:rsid w:val="00C67E40"/>
    <w:rsid w:val="00C91501"/>
    <w:rsid w:val="00C942AD"/>
    <w:rsid w:val="00CB1DCF"/>
    <w:rsid w:val="00CB7468"/>
    <w:rsid w:val="00CD3FC5"/>
    <w:rsid w:val="00CF2BB5"/>
    <w:rsid w:val="00CF5576"/>
    <w:rsid w:val="00D02DDA"/>
    <w:rsid w:val="00D34EBD"/>
    <w:rsid w:val="00D4196A"/>
    <w:rsid w:val="00D4757A"/>
    <w:rsid w:val="00D57AF6"/>
    <w:rsid w:val="00D71E1A"/>
    <w:rsid w:val="00D9127D"/>
    <w:rsid w:val="00DA0723"/>
    <w:rsid w:val="00E414A4"/>
    <w:rsid w:val="00E44D8B"/>
    <w:rsid w:val="00E4605E"/>
    <w:rsid w:val="00E5499A"/>
    <w:rsid w:val="00E7064F"/>
    <w:rsid w:val="00E85C17"/>
    <w:rsid w:val="00E97C63"/>
    <w:rsid w:val="00EA2A1E"/>
    <w:rsid w:val="00EE4468"/>
    <w:rsid w:val="00EF5806"/>
    <w:rsid w:val="00EF5FBA"/>
    <w:rsid w:val="00F31697"/>
    <w:rsid w:val="00F4508C"/>
    <w:rsid w:val="00F477BA"/>
    <w:rsid w:val="00F57B9E"/>
    <w:rsid w:val="00F61EC2"/>
    <w:rsid w:val="00FC17BA"/>
    <w:rsid w:val="00FD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7889"/>
    <o:shapelayout v:ext="edit">
      <o:idmap v:ext="edit" data="1"/>
    </o:shapelayout>
  </w:shapeDefaults>
  <w:decimalSymbol w:val=","/>
  <w:listSeparator w:val=";"/>
  <w15:docId w15:val="{FB0CFEAA-B3C9-4C1D-8657-682071A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F6"/>
  </w:style>
  <w:style w:type="paragraph" w:styleId="Heading3">
    <w:name w:val="heading 3"/>
    <w:basedOn w:val="Normal"/>
    <w:link w:val="Heading3Char"/>
    <w:uiPriority w:val="9"/>
    <w:qFormat/>
    <w:rsid w:val="00160323"/>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323"/>
    <w:rPr>
      <w:rFonts w:eastAsia="Times New Roman" w:cs="Times New Roman"/>
      <w:b/>
      <w:bCs/>
      <w:sz w:val="27"/>
      <w:szCs w:val="27"/>
      <w:lang w:eastAsia="lv-LV"/>
    </w:rPr>
  </w:style>
  <w:style w:type="paragraph" w:customStyle="1" w:styleId="naisf">
    <w:name w:val="naisf"/>
    <w:basedOn w:val="Normal"/>
    <w:rsid w:val="0097458A"/>
    <w:pPr>
      <w:spacing w:before="100" w:after="100" w:line="240" w:lineRule="auto"/>
    </w:pPr>
    <w:rPr>
      <w:rFonts w:eastAsia="Times New Roman" w:cs="Times New Roman"/>
      <w:sz w:val="24"/>
      <w:szCs w:val="20"/>
      <w:lang w:eastAsia="lv-LV"/>
    </w:rPr>
  </w:style>
  <w:style w:type="paragraph" w:styleId="HTMLPreformatted">
    <w:name w:val="HTML Preformatted"/>
    <w:basedOn w:val="Normal"/>
    <w:link w:val="HTMLPreformattedChar"/>
    <w:rsid w:val="0097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97458A"/>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974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58A"/>
  </w:style>
  <w:style w:type="paragraph" w:styleId="Footer">
    <w:name w:val="footer"/>
    <w:basedOn w:val="Normal"/>
    <w:link w:val="FooterChar"/>
    <w:uiPriority w:val="99"/>
    <w:unhideWhenUsed/>
    <w:rsid w:val="00974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458A"/>
  </w:style>
  <w:style w:type="character" w:styleId="Hyperlink">
    <w:name w:val="Hyperlink"/>
    <w:basedOn w:val="DefaultParagraphFont"/>
    <w:uiPriority w:val="99"/>
    <w:unhideWhenUsed/>
    <w:rsid w:val="006F4776"/>
    <w:rPr>
      <w:color w:val="0563C1" w:themeColor="hyperlink"/>
      <w:u w:val="single"/>
    </w:rPr>
  </w:style>
  <w:style w:type="paragraph" w:customStyle="1" w:styleId="labojumupamats1">
    <w:name w:val="labojumu_pamats1"/>
    <w:basedOn w:val="Normal"/>
    <w:rsid w:val="001F025B"/>
    <w:pPr>
      <w:spacing w:before="45" w:after="0" w:line="360" w:lineRule="auto"/>
      <w:ind w:firstLine="300"/>
    </w:pPr>
    <w:rPr>
      <w:rFonts w:eastAsia="Times New Roman" w:cs="Times New Roman"/>
      <w:i/>
      <w:iCs/>
      <w:color w:val="414142"/>
      <w:sz w:val="20"/>
      <w:szCs w:val="20"/>
      <w:lang w:eastAsia="lv-LV"/>
    </w:rPr>
  </w:style>
  <w:style w:type="paragraph" w:styleId="ListParagraph">
    <w:name w:val="List Paragraph"/>
    <w:basedOn w:val="Normal"/>
    <w:uiPriority w:val="34"/>
    <w:qFormat/>
    <w:rsid w:val="001F025B"/>
    <w:pPr>
      <w:spacing w:after="120" w:line="240" w:lineRule="auto"/>
      <w:ind w:left="720"/>
      <w:contextualSpacing/>
    </w:pPr>
    <w:rPr>
      <w:rFonts w:asciiTheme="minorHAnsi" w:hAnsiTheme="minorHAnsi"/>
      <w:sz w:val="22"/>
    </w:rPr>
  </w:style>
  <w:style w:type="paragraph" w:customStyle="1" w:styleId="naiskr">
    <w:name w:val="naiskr"/>
    <w:basedOn w:val="Normal"/>
    <w:rsid w:val="001F025B"/>
    <w:pPr>
      <w:spacing w:before="75" w:after="75" w:line="240" w:lineRule="auto"/>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187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F2A"/>
    <w:rPr>
      <w:sz w:val="20"/>
      <w:szCs w:val="20"/>
    </w:rPr>
  </w:style>
  <w:style w:type="character" w:styleId="FootnoteReference">
    <w:name w:val="footnote reference"/>
    <w:basedOn w:val="DefaultParagraphFont"/>
    <w:uiPriority w:val="99"/>
    <w:semiHidden/>
    <w:unhideWhenUsed/>
    <w:rsid w:val="00187F2A"/>
    <w:rPr>
      <w:vertAlign w:val="superscript"/>
    </w:rPr>
  </w:style>
  <w:style w:type="paragraph" w:styleId="BalloonText">
    <w:name w:val="Balloon Text"/>
    <w:basedOn w:val="Normal"/>
    <w:link w:val="BalloonTextChar"/>
    <w:uiPriority w:val="99"/>
    <w:semiHidden/>
    <w:unhideWhenUsed/>
    <w:rsid w:val="004B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17D"/>
    <w:rPr>
      <w:rFonts w:ascii="Segoe UI" w:hAnsi="Segoe UI" w:cs="Segoe UI"/>
      <w:sz w:val="18"/>
      <w:szCs w:val="18"/>
    </w:rPr>
  </w:style>
  <w:style w:type="paragraph" w:customStyle="1" w:styleId="tv2132">
    <w:name w:val="tv2132"/>
    <w:basedOn w:val="Normal"/>
    <w:rsid w:val="00D4757A"/>
    <w:pPr>
      <w:spacing w:after="0" w:line="360" w:lineRule="auto"/>
      <w:ind w:firstLine="316"/>
    </w:pPr>
    <w:rPr>
      <w:rFonts w:eastAsia="Times New Roman" w:cs="Times New Roman"/>
      <w:color w:val="414142"/>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1835">
      <w:bodyDiv w:val="1"/>
      <w:marLeft w:val="0"/>
      <w:marRight w:val="0"/>
      <w:marTop w:val="0"/>
      <w:marBottom w:val="0"/>
      <w:divBdr>
        <w:top w:val="none" w:sz="0" w:space="0" w:color="auto"/>
        <w:left w:val="none" w:sz="0" w:space="0" w:color="auto"/>
        <w:bottom w:val="none" w:sz="0" w:space="0" w:color="auto"/>
        <w:right w:val="none" w:sz="0" w:space="0" w:color="auto"/>
      </w:divBdr>
      <w:divsChild>
        <w:div w:id="1816139211">
          <w:marLeft w:val="0"/>
          <w:marRight w:val="0"/>
          <w:marTop w:val="0"/>
          <w:marBottom w:val="0"/>
          <w:divBdr>
            <w:top w:val="none" w:sz="0" w:space="0" w:color="auto"/>
            <w:left w:val="none" w:sz="0" w:space="0" w:color="auto"/>
            <w:bottom w:val="none" w:sz="0" w:space="0" w:color="auto"/>
            <w:right w:val="none" w:sz="0" w:space="0" w:color="auto"/>
          </w:divBdr>
          <w:divsChild>
            <w:div w:id="296490519">
              <w:marLeft w:val="0"/>
              <w:marRight w:val="0"/>
              <w:marTop w:val="0"/>
              <w:marBottom w:val="0"/>
              <w:divBdr>
                <w:top w:val="none" w:sz="0" w:space="0" w:color="auto"/>
                <w:left w:val="none" w:sz="0" w:space="0" w:color="auto"/>
                <w:bottom w:val="none" w:sz="0" w:space="0" w:color="auto"/>
                <w:right w:val="none" w:sz="0" w:space="0" w:color="auto"/>
              </w:divBdr>
              <w:divsChild>
                <w:div w:id="1041367701">
                  <w:marLeft w:val="0"/>
                  <w:marRight w:val="0"/>
                  <w:marTop w:val="0"/>
                  <w:marBottom w:val="0"/>
                  <w:divBdr>
                    <w:top w:val="none" w:sz="0" w:space="0" w:color="auto"/>
                    <w:left w:val="none" w:sz="0" w:space="0" w:color="auto"/>
                    <w:bottom w:val="none" w:sz="0" w:space="0" w:color="auto"/>
                    <w:right w:val="none" w:sz="0" w:space="0" w:color="auto"/>
                  </w:divBdr>
                  <w:divsChild>
                    <w:div w:id="118647066">
                      <w:marLeft w:val="0"/>
                      <w:marRight w:val="0"/>
                      <w:marTop w:val="0"/>
                      <w:marBottom w:val="0"/>
                      <w:divBdr>
                        <w:top w:val="none" w:sz="0" w:space="0" w:color="auto"/>
                        <w:left w:val="none" w:sz="0" w:space="0" w:color="auto"/>
                        <w:bottom w:val="none" w:sz="0" w:space="0" w:color="auto"/>
                        <w:right w:val="none" w:sz="0" w:space="0" w:color="auto"/>
                      </w:divBdr>
                      <w:divsChild>
                        <w:div w:id="1681422848">
                          <w:marLeft w:val="0"/>
                          <w:marRight w:val="0"/>
                          <w:marTop w:val="0"/>
                          <w:marBottom w:val="0"/>
                          <w:divBdr>
                            <w:top w:val="none" w:sz="0" w:space="0" w:color="auto"/>
                            <w:left w:val="none" w:sz="0" w:space="0" w:color="auto"/>
                            <w:bottom w:val="none" w:sz="0" w:space="0" w:color="auto"/>
                            <w:right w:val="none" w:sz="0" w:space="0" w:color="auto"/>
                          </w:divBdr>
                          <w:divsChild>
                            <w:div w:id="13417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tone@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ona.brivniec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6812-FBAF-4A7D-9D7E-22BC68A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7</Pages>
  <Words>1956</Words>
  <Characters>13152</Characters>
  <Application>Microsoft Office Word</Application>
  <DocSecurity>0</DocSecurity>
  <Lines>513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Aiva Urbāne</cp:lastModifiedBy>
  <cp:revision>45</cp:revision>
  <cp:lastPrinted>2016-08-24T10:55:00Z</cp:lastPrinted>
  <dcterms:created xsi:type="dcterms:W3CDTF">2016-05-16T05:02:00Z</dcterms:created>
  <dcterms:modified xsi:type="dcterms:W3CDTF">2016-09-06T12:33:00Z</dcterms:modified>
</cp:coreProperties>
</file>