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2A" w:rsidRPr="006F1D0B" w:rsidRDefault="000E7ED0" w:rsidP="005401E9">
      <w:pPr>
        <w:jc w:val="center"/>
        <w:rPr>
          <w:b/>
          <w:sz w:val="24"/>
          <w:szCs w:val="24"/>
        </w:rPr>
      </w:pPr>
      <w:bookmarkStart w:id="0" w:name="_GoBack"/>
      <w:bookmarkEnd w:id="0"/>
      <w:r w:rsidRPr="006F1D0B">
        <w:rPr>
          <w:b/>
          <w:sz w:val="24"/>
          <w:szCs w:val="24"/>
        </w:rPr>
        <w:t xml:space="preserve">Likumprojekta </w:t>
      </w:r>
      <w:r w:rsidR="0098384A" w:rsidRPr="006F1D0B">
        <w:rPr>
          <w:b/>
          <w:sz w:val="24"/>
          <w:szCs w:val="24"/>
        </w:rPr>
        <w:t>“Grozījums Valsts un pašvaldību institūciju</w:t>
      </w:r>
    </w:p>
    <w:p w:rsidR="000B622A" w:rsidRPr="006F1D0B" w:rsidRDefault="0098384A" w:rsidP="005401E9">
      <w:pPr>
        <w:jc w:val="center"/>
        <w:rPr>
          <w:b/>
          <w:sz w:val="24"/>
          <w:szCs w:val="24"/>
        </w:rPr>
      </w:pPr>
      <w:r w:rsidRPr="006F1D0B">
        <w:rPr>
          <w:b/>
          <w:sz w:val="24"/>
          <w:szCs w:val="24"/>
        </w:rPr>
        <w:t xml:space="preserve"> amatpersonu un darbinieku atlīdzības likumā” </w:t>
      </w:r>
      <w:r w:rsidR="000E7ED0" w:rsidRPr="006F1D0B">
        <w:rPr>
          <w:b/>
          <w:sz w:val="24"/>
          <w:szCs w:val="24"/>
        </w:rPr>
        <w:t>sākotnējās ietekmes</w:t>
      </w:r>
    </w:p>
    <w:p w:rsidR="000E7ED0" w:rsidRPr="006F1D0B" w:rsidRDefault="000E7ED0" w:rsidP="005401E9">
      <w:pPr>
        <w:jc w:val="center"/>
        <w:rPr>
          <w:b/>
          <w:sz w:val="24"/>
          <w:szCs w:val="24"/>
        </w:rPr>
      </w:pPr>
      <w:r w:rsidRPr="006F1D0B">
        <w:rPr>
          <w:b/>
          <w:sz w:val="24"/>
          <w:szCs w:val="24"/>
        </w:rPr>
        <w:t xml:space="preserve"> novērtējuma ziņojums (anotācija)</w:t>
      </w:r>
    </w:p>
    <w:p w:rsidR="00862D0F" w:rsidRPr="006F1D0B" w:rsidRDefault="00862D0F">
      <w:pPr>
        <w:rPr>
          <w:sz w:val="24"/>
          <w:szCs w:val="24"/>
        </w:rPr>
      </w:pPr>
    </w:p>
    <w:p w:rsidR="00862D0F" w:rsidRPr="006F1D0B" w:rsidRDefault="00862D0F">
      <w:pPr>
        <w:rPr>
          <w:sz w:val="24"/>
          <w:szCs w:val="24"/>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75"/>
        <w:gridCol w:w="1744"/>
        <w:gridCol w:w="7158"/>
      </w:tblGrid>
      <w:tr w:rsidR="006F1D0B" w:rsidRPr="006F1D0B" w:rsidTr="006F1D0B">
        <w:trPr>
          <w:trHeight w:val="40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6F1D0B" w:rsidRPr="006F1D0B" w:rsidTr="006F1D0B">
        <w:trPr>
          <w:trHeight w:val="405"/>
          <w:tblCellSpacing w:w="15" w:type="dxa"/>
        </w:trPr>
        <w:tc>
          <w:tcPr>
            <w:tcW w:w="4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878"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617" w:type="pct"/>
            <w:tcBorders>
              <w:top w:val="outset" w:sz="6" w:space="0" w:color="auto"/>
              <w:left w:val="outset" w:sz="6" w:space="0" w:color="auto"/>
              <w:bottom w:val="outset" w:sz="6" w:space="0" w:color="auto"/>
              <w:right w:val="outset" w:sz="6" w:space="0" w:color="auto"/>
            </w:tcBorders>
            <w:hideMark/>
          </w:tcPr>
          <w:p w:rsidR="00910107" w:rsidRPr="006F1D0B" w:rsidRDefault="00E74EF7" w:rsidP="006F1D0B">
            <w:pPr>
              <w:pStyle w:val="NoSpacing"/>
              <w:jc w:val="both"/>
              <w:rPr>
                <w:rFonts w:eastAsia="Times New Roman" w:cs="Times New Roman"/>
                <w:sz w:val="24"/>
                <w:szCs w:val="24"/>
                <w:lang w:val="lv-LV" w:eastAsia="lv-LV"/>
              </w:rPr>
            </w:pPr>
            <w:r w:rsidRPr="006F1D0B">
              <w:rPr>
                <w:rFonts w:ascii="Tahoma" w:hAnsi="Tahoma" w:cs="Tahoma"/>
                <w:sz w:val="18"/>
                <w:szCs w:val="18"/>
                <w:lang w:val="lv-LV"/>
              </w:rPr>
              <w:t xml:space="preserve"> </w:t>
            </w:r>
            <w:r w:rsidRPr="006F1D0B">
              <w:rPr>
                <w:rFonts w:ascii="Times New Roman" w:eastAsia="Times New Roman" w:hAnsi="Times New Roman" w:cs="Times New Roman"/>
                <w:sz w:val="24"/>
                <w:szCs w:val="24"/>
                <w:lang w:val="lv-LV" w:eastAsia="lv-LV"/>
              </w:rPr>
              <w:t xml:space="preserve">Ministru kabineta </w:t>
            </w:r>
            <w:proofErr w:type="gramStart"/>
            <w:r w:rsidRPr="006F1D0B">
              <w:rPr>
                <w:rFonts w:ascii="Times New Roman" w:eastAsia="Times New Roman" w:hAnsi="Times New Roman" w:cs="Times New Roman"/>
                <w:sz w:val="24"/>
                <w:szCs w:val="24"/>
                <w:lang w:val="lv-LV" w:eastAsia="lv-LV"/>
              </w:rPr>
              <w:t>2016.gada</w:t>
            </w:r>
            <w:proofErr w:type="gramEnd"/>
            <w:r w:rsidRPr="006F1D0B">
              <w:rPr>
                <w:rFonts w:ascii="Times New Roman" w:eastAsia="Times New Roman" w:hAnsi="Times New Roman" w:cs="Times New Roman"/>
                <w:sz w:val="24"/>
                <w:szCs w:val="24"/>
                <w:lang w:val="lv-LV" w:eastAsia="lv-LV"/>
              </w:rPr>
              <w:t xml:space="preserve"> 2.augusta sēdē (prot.Nr.38, 39.§ “Informatīvais ziņojums “Par dienesta pienākumu izpildes laika organizēšanu Iekšlietu ministrijas sistēmas iestādēs un Ieslodzījuma vietu pārvaldē”, 5.punkts) dotais uzdevums –  Iekšlietu ministrijai sadarbībā ar Tieslietu ministriju mēneša laikā sagatavot un iesniegt grozījumus ārējos normatīvajos aktos, lai nodrošinātu dienesta pienākumu izpildes laika uzskaiti un organizāciju atbilstoši Augstākās tiesas Administratīvo lietu departamenta 2016.gada 16.jūnija spriedumam lietā Nr.A420535212.</w:t>
            </w:r>
            <w:r w:rsidR="00B0012A" w:rsidRPr="006F1D0B">
              <w:rPr>
                <w:rFonts w:ascii="Times New Roman" w:eastAsia="Times New Roman" w:hAnsi="Times New Roman" w:cs="Times New Roman"/>
                <w:sz w:val="24"/>
                <w:szCs w:val="24"/>
                <w:lang w:val="lv-LV" w:eastAsia="lv-LV"/>
              </w:rPr>
              <w:t xml:space="preserve"> </w:t>
            </w:r>
          </w:p>
        </w:tc>
      </w:tr>
      <w:tr w:rsidR="006F1D0B" w:rsidRPr="006F1D0B" w:rsidTr="006F1D0B">
        <w:trPr>
          <w:trHeight w:val="465"/>
          <w:tblCellSpacing w:w="15" w:type="dxa"/>
        </w:trPr>
        <w:tc>
          <w:tcPr>
            <w:tcW w:w="4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878" w:type="pct"/>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617" w:type="pct"/>
            <w:tcBorders>
              <w:top w:val="outset" w:sz="6" w:space="0" w:color="auto"/>
              <w:left w:val="outset" w:sz="6" w:space="0" w:color="auto"/>
              <w:bottom w:val="outset" w:sz="6" w:space="0" w:color="auto"/>
              <w:right w:val="outset" w:sz="6" w:space="0" w:color="auto"/>
            </w:tcBorders>
            <w:hideMark/>
          </w:tcPr>
          <w:p w:rsidR="00806F2F" w:rsidRPr="006F1D0B" w:rsidRDefault="00806F2F" w:rsidP="00B414E0">
            <w:pPr>
              <w:autoSpaceDE w:val="0"/>
              <w:autoSpaceDN w:val="0"/>
              <w:adjustRightInd w:val="0"/>
              <w:ind w:firstLine="318"/>
              <w:rPr>
                <w:rFonts w:eastAsia="Times New Roman"/>
                <w:bCs/>
                <w:sz w:val="24"/>
                <w:szCs w:val="24"/>
                <w:lang w:eastAsia="lv-LV"/>
              </w:rPr>
            </w:pPr>
            <w:r w:rsidRPr="006F1D0B">
              <w:rPr>
                <w:rFonts w:eastAsia="Times New Roman"/>
                <w:sz w:val="24"/>
                <w:szCs w:val="24"/>
                <w:lang w:eastAsia="lv-LV"/>
              </w:rPr>
              <w:t xml:space="preserve">Saskaņā ar </w:t>
            </w:r>
            <w:r w:rsidRPr="006F1D0B">
              <w:rPr>
                <w:sz w:val="24"/>
                <w:szCs w:val="24"/>
              </w:rPr>
              <w:t xml:space="preserve">Valsts un pašvaldību institūciju amatpersonu un darbinieku atlīdzības likuma (turpmāk – Atlīdzības likums) </w:t>
            </w:r>
            <w:proofErr w:type="gramStart"/>
            <w:r w:rsidRPr="006F1D0B">
              <w:rPr>
                <w:sz w:val="24"/>
                <w:szCs w:val="24"/>
              </w:rPr>
              <w:t>14.panta</w:t>
            </w:r>
            <w:proofErr w:type="gramEnd"/>
            <w:r w:rsidRPr="006F1D0B">
              <w:rPr>
                <w:sz w:val="24"/>
                <w:szCs w:val="24"/>
              </w:rPr>
              <w:t xml:space="preserve"> septīto daļu </w:t>
            </w:r>
            <w:r w:rsidRPr="006F1D0B">
              <w:rPr>
                <w:rFonts w:eastAsia="Times New Roman"/>
                <w:bCs/>
                <w:sz w:val="24"/>
                <w:szCs w:val="24"/>
                <w:lang w:eastAsia="lv-LV"/>
              </w:rPr>
              <w:t xml:space="preserve"> </w:t>
            </w:r>
            <w:r w:rsidR="00E74EF7" w:rsidRPr="006F1D0B">
              <w:rPr>
                <w:rFonts w:eastAsia="Times New Roman" w:cs="Times New Roman"/>
                <w:sz w:val="24"/>
                <w:szCs w:val="24"/>
                <w:lang w:eastAsia="lv-LV"/>
              </w:rPr>
              <w:t xml:space="preserve">Iekšlietu ministrijas sistēmas iestāžu un Ieslodzījuma vietu pārvaldes amatpersonām ar speciālajām dienesta pakāpēm (turpmāk – amatpersona) </w:t>
            </w:r>
            <w:r w:rsidRPr="006F1D0B">
              <w:rPr>
                <w:rFonts w:eastAsia="Times New Roman"/>
                <w:bCs/>
                <w:sz w:val="24"/>
                <w:szCs w:val="24"/>
                <w:lang w:eastAsia="lv-LV"/>
              </w:rPr>
              <w:t xml:space="preserve"> dienesta pienākumu pildīšanu virs noteiktā dienesta pienākumu izpildes laika </w:t>
            </w:r>
            <w:r w:rsidRPr="006F1D0B">
              <w:rPr>
                <w:rFonts w:eastAsia="Calibri"/>
                <w:sz w:val="24"/>
                <w:szCs w:val="24"/>
                <w:lang w:eastAsia="lv-LV"/>
              </w:rPr>
              <w:t>(turpmāk – virsstundu darbs)</w:t>
            </w:r>
            <w:r w:rsidRPr="006F1D0B">
              <w:rPr>
                <w:rFonts w:eastAsia="Times New Roman"/>
                <w:bCs/>
                <w:sz w:val="24"/>
                <w:szCs w:val="24"/>
                <w:lang w:eastAsia="lv-LV"/>
              </w:rPr>
              <w:t xml:space="preserve"> kompensē, piešķirot atpūtas laiku, kura ilgums </w:t>
            </w:r>
            <w:r w:rsidR="003037B8" w:rsidRPr="006F1D0B">
              <w:rPr>
                <w:rFonts w:eastAsia="Times New Roman"/>
                <w:bCs/>
                <w:sz w:val="24"/>
                <w:szCs w:val="24"/>
                <w:lang w:eastAsia="lv-LV"/>
              </w:rPr>
              <w:t xml:space="preserve">atbilst </w:t>
            </w:r>
            <w:r w:rsidRPr="006F1D0B">
              <w:rPr>
                <w:rFonts w:eastAsia="Times New Roman"/>
                <w:bCs/>
                <w:sz w:val="24"/>
                <w:szCs w:val="24"/>
                <w:lang w:eastAsia="lv-LV"/>
              </w:rPr>
              <w:t>virsstundu darbam. Tādējādi Atlīdzības likums paredz, ka faktiski nostrādātās stundas virs noteiktā dienesta pienākumu izpildes laika tiek kompensētas, piešķirot līdzvērtīgu atpūtas laiku. Savukārt minētā panta desmitajā un 10.</w:t>
            </w:r>
            <w:r w:rsidRPr="006F1D0B">
              <w:rPr>
                <w:rFonts w:eastAsia="Times New Roman"/>
                <w:bCs/>
                <w:sz w:val="24"/>
                <w:szCs w:val="24"/>
                <w:vertAlign w:val="superscript"/>
                <w:lang w:eastAsia="lv-LV"/>
              </w:rPr>
              <w:t xml:space="preserve">1 </w:t>
            </w:r>
            <w:r w:rsidRPr="006F1D0B">
              <w:rPr>
                <w:rFonts w:eastAsia="Times New Roman"/>
                <w:bCs/>
                <w:sz w:val="24"/>
                <w:szCs w:val="24"/>
                <w:lang w:eastAsia="lv-LV"/>
              </w:rPr>
              <w:t>daļā tiek noteikts, kādos gadījumos</w:t>
            </w:r>
            <w:r w:rsidR="0035656C" w:rsidRPr="006F1D0B">
              <w:rPr>
                <w:rFonts w:eastAsia="Times New Roman"/>
                <w:bCs/>
                <w:sz w:val="24"/>
                <w:szCs w:val="24"/>
                <w:lang w:eastAsia="lv-LV"/>
              </w:rPr>
              <w:t xml:space="preserve"> amatpersonām</w:t>
            </w:r>
            <w:r w:rsidRPr="006F1D0B">
              <w:rPr>
                <w:rFonts w:eastAsia="Times New Roman"/>
                <w:bCs/>
                <w:sz w:val="24"/>
                <w:szCs w:val="24"/>
                <w:lang w:eastAsia="lv-LV"/>
              </w:rPr>
              <w:t xml:space="preserve"> virsstundu darbs tiek apmaksāts. Virsstundu darba apmaksas apmēru nosaka</w:t>
            </w:r>
            <w:r w:rsidRPr="006F1D0B">
              <w:t xml:space="preserve"> </w:t>
            </w:r>
            <w:r w:rsidRPr="006F1D0B">
              <w:rPr>
                <w:rFonts w:eastAsia="Times New Roman"/>
                <w:bCs/>
                <w:sz w:val="24"/>
                <w:szCs w:val="24"/>
                <w:lang w:eastAsia="lv-LV"/>
              </w:rPr>
              <w:t>Atlīdzības likuma 14.panta desmitā daļa, paredzot, ka samaksa ir atbilstoša amatpersonai noteiktajai stundas algas likmei, kā arī tiek maksāta piemaksa 100 procentu apmērā no tai noteiktās stundas algas likmes. Tādējādi šobrīd Atlīdzības likums paredz, ka virsstundu darbs tiek apmaksāts ar 200 procentu</w:t>
            </w:r>
            <w:r w:rsidR="00B0012A" w:rsidRPr="006F1D0B">
              <w:rPr>
                <w:rFonts w:eastAsia="Times New Roman"/>
                <w:bCs/>
                <w:sz w:val="24"/>
                <w:szCs w:val="24"/>
                <w:lang w:eastAsia="lv-LV"/>
              </w:rPr>
              <w:t xml:space="preserve"> stundas algas </w:t>
            </w:r>
            <w:r w:rsidRPr="006F1D0B">
              <w:rPr>
                <w:rFonts w:eastAsia="Times New Roman"/>
                <w:bCs/>
                <w:sz w:val="24"/>
                <w:szCs w:val="24"/>
                <w:lang w:eastAsia="lv-LV"/>
              </w:rPr>
              <w:t xml:space="preserve"> likmi.</w:t>
            </w:r>
          </w:p>
          <w:p w:rsidR="00806F2F" w:rsidRPr="006F1D0B" w:rsidRDefault="00806F2F" w:rsidP="00B414E0">
            <w:pPr>
              <w:autoSpaceDE w:val="0"/>
              <w:autoSpaceDN w:val="0"/>
              <w:adjustRightInd w:val="0"/>
              <w:ind w:firstLine="318"/>
              <w:rPr>
                <w:rFonts w:eastAsia="Times New Roman"/>
                <w:bCs/>
                <w:sz w:val="24"/>
                <w:szCs w:val="24"/>
                <w:lang w:eastAsia="lv-LV"/>
              </w:rPr>
            </w:pPr>
            <w:r w:rsidRPr="006F1D0B">
              <w:rPr>
                <w:rFonts w:eastAsia="Times New Roman"/>
                <w:bCs/>
                <w:sz w:val="24"/>
                <w:szCs w:val="24"/>
                <w:lang w:eastAsia="lv-LV"/>
              </w:rPr>
              <w:t>Atbilstoši praksē pastāvošajai interpretācijai</w:t>
            </w:r>
            <w:r w:rsidR="00B414E0" w:rsidRPr="006F1D0B">
              <w:rPr>
                <w:rFonts w:eastAsia="Times New Roman"/>
                <w:bCs/>
                <w:sz w:val="24"/>
                <w:szCs w:val="24"/>
                <w:lang w:eastAsia="lv-LV"/>
              </w:rPr>
              <w:t xml:space="preserve"> Iekšlietu ministrijas sistēmas iestāžu un Ieslodzījuma vietu pārvaldes amatpersonu ar speciālajām dienesta pakāpēm dienesta gaitas likum</w:t>
            </w:r>
            <w:r w:rsidR="00B0012A" w:rsidRPr="006F1D0B">
              <w:rPr>
                <w:rFonts w:eastAsia="Times New Roman"/>
                <w:bCs/>
                <w:sz w:val="24"/>
                <w:szCs w:val="24"/>
                <w:lang w:eastAsia="lv-LV"/>
              </w:rPr>
              <w:t>a</w:t>
            </w:r>
            <w:r w:rsidR="00B414E0" w:rsidRPr="006F1D0B">
              <w:rPr>
                <w:rFonts w:eastAsia="Times New Roman"/>
                <w:bCs/>
                <w:sz w:val="24"/>
                <w:szCs w:val="24"/>
                <w:lang w:eastAsia="lv-LV"/>
              </w:rPr>
              <w:t xml:space="preserve"> </w:t>
            </w:r>
            <w:r w:rsidRPr="006F1D0B">
              <w:rPr>
                <w:rFonts w:eastAsia="Times New Roman"/>
                <w:bCs/>
                <w:sz w:val="24"/>
                <w:szCs w:val="24"/>
                <w:lang w:eastAsia="lv-LV"/>
              </w:rPr>
              <w:t xml:space="preserve">(turpmāk – Dienesta gaitas likums) </w:t>
            </w:r>
            <w:proofErr w:type="gramStart"/>
            <w:r w:rsidRPr="006F1D0B">
              <w:rPr>
                <w:rFonts w:eastAsia="Times New Roman"/>
                <w:bCs/>
                <w:sz w:val="24"/>
                <w:szCs w:val="24"/>
                <w:lang w:eastAsia="lv-LV"/>
              </w:rPr>
              <w:t>30.panta</w:t>
            </w:r>
            <w:proofErr w:type="gramEnd"/>
            <w:r w:rsidRPr="006F1D0B">
              <w:rPr>
                <w:rFonts w:eastAsia="Times New Roman"/>
                <w:bCs/>
                <w:sz w:val="24"/>
                <w:szCs w:val="24"/>
                <w:lang w:eastAsia="lv-LV"/>
              </w:rPr>
              <w:t xml:space="preserve"> otrā daļa, kas paredz attiecīgās iestādes vadītājam vai viņa pilnvarotajai amatpersonai tiesības noteikt aizliegumu atstāt dienesta pienākumu izpildes vietu pārtraukuma laikā, kopsakarā ar 30.panta pirmo daļu tika interpretēta tādējādi, ka tas dienesta pienākumu izpildes laiks, kad tika paredzēts pārtraukums, bet attiecīgās iestādes vadītājs vai viņa pilnvarota </w:t>
            </w:r>
            <w:r w:rsidR="00B0012A" w:rsidRPr="006F1D0B">
              <w:rPr>
                <w:rFonts w:eastAsia="Times New Roman"/>
                <w:bCs/>
                <w:sz w:val="24"/>
                <w:szCs w:val="24"/>
                <w:lang w:eastAsia="lv-LV"/>
              </w:rPr>
              <w:t>amat</w:t>
            </w:r>
            <w:r w:rsidRPr="006F1D0B">
              <w:rPr>
                <w:rFonts w:eastAsia="Times New Roman"/>
                <w:bCs/>
                <w:sz w:val="24"/>
                <w:szCs w:val="24"/>
                <w:lang w:eastAsia="lv-LV"/>
              </w:rPr>
              <w:t>persona šajā laikā noteica liegumu atstāt dienesta pienākumu izpildes vietu, netiek ieskaitīts dienesta pienākumu izpildes laikā, līdz ar to arī netiek kompensēts, piešķirot līdzvērtīgu atpūtas  laiku. Tād</w:t>
            </w:r>
            <w:r w:rsidR="00461746" w:rsidRPr="006F1D0B">
              <w:rPr>
                <w:rFonts w:eastAsia="Times New Roman"/>
                <w:bCs/>
                <w:sz w:val="24"/>
                <w:szCs w:val="24"/>
                <w:lang w:eastAsia="lv-LV"/>
              </w:rPr>
              <w:t xml:space="preserve">ējādi attiecīgajai amatpersonai, </w:t>
            </w:r>
            <w:r w:rsidRPr="006F1D0B">
              <w:rPr>
                <w:rFonts w:eastAsia="Times New Roman"/>
                <w:bCs/>
                <w:sz w:val="24"/>
                <w:szCs w:val="24"/>
                <w:lang w:eastAsia="lv-LV"/>
              </w:rPr>
              <w:t xml:space="preserve">faktiski 24 stundas atrodoties dežūrmaiņā “gaidīšanas režīmā” (pasīvie dienesta pienākumi) un esot gatavai jebkurā laikā reaģēt uz attiecīgajiem notikumiem (aktīvie dienesta pienākumi), dienesta pienākumu pildīšanas laikā tika ieskaitīts tikai tas laiks, kad netika paredzēti pārtraukumi, kaut gan pārtraukumi faktiski netika piešķirti. Attiecīgi, ņemot vērā dienesta pienākumu pildīšanā neieskaitīto pārtraukumiem paredzēto laiku, dienesta pienākumu izpildes laika uzskaites periodā (kalendāra mēnesis attiecībā </w:t>
            </w:r>
            <w:r w:rsidRPr="006F1D0B">
              <w:rPr>
                <w:rFonts w:eastAsia="Times New Roman"/>
                <w:bCs/>
                <w:sz w:val="24"/>
                <w:szCs w:val="24"/>
                <w:lang w:eastAsia="lv-LV"/>
              </w:rPr>
              <w:lastRenderedPageBreak/>
              <w:t>uz normālo dienesta pienākumu izpildes laiku un četri mēneši attiecībā uz summēto dienesta pienākumu izpildes laiku) nebija konstatējams virsstundu darbs. Attiecīgi nebija konstatējama nepieciešamība kompensēt virsstundu darbu, piešķirot līdzvērtīgu atpūtas laiku (Atlīdzības likuma 14.panta septītā daļa, kā arī 2003.gada 4.novembra Eiropas Parlamenta un Padomes Direktīvas 2003/88/EK par konkrētiem darba laika organizēšanas aspektiem prasībām (turpmāk – Direktīva 2003/88/EK) 17.panta 3.punkts kopsakarā ar 17.panta 2.punktu un 4.pantu).</w:t>
            </w:r>
          </w:p>
          <w:p w:rsidR="00806F2F" w:rsidRPr="006F1D0B" w:rsidRDefault="00806F2F" w:rsidP="00B414E0">
            <w:pPr>
              <w:autoSpaceDE w:val="0"/>
              <w:autoSpaceDN w:val="0"/>
              <w:adjustRightInd w:val="0"/>
              <w:ind w:firstLine="318"/>
              <w:rPr>
                <w:rFonts w:eastAsia="Times New Roman"/>
                <w:bCs/>
                <w:sz w:val="24"/>
                <w:szCs w:val="24"/>
                <w:lang w:eastAsia="lv-LV"/>
              </w:rPr>
            </w:pPr>
            <w:r w:rsidRPr="006F1D0B">
              <w:rPr>
                <w:rFonts w:eastAsia="Times New Roman"/>
                <w:bCs/>
                <w:sz w:val="24"/>
                <w:szCs w:val="24"/>
                <w:lang w:eastAsia="lv-LV"/>
              </w:rPr>
              <w:t>Augstākās tiesas Administratīvo lietu departaments 2016.gada 16.jūnijā spriedumā lietā Nr.A420535212 SKA-347/2016 ir atzinis, ka Dienesta gaitas likuma 30.pantā ietvertais regulējums interpretējams tā</w:t>
            </w:r>
            <w:r w:rsidR="00461746" w:rsidRPr="006F1D0B">
              <w:rPr>
                <w:rFonts w:eastAsia="Times New Roman"/>
                <w:bCs/>
                <w:sz w:val="24"/>
                <w:szCs w:val="24"/>
                <w:lang w:eastAsia="lv-LV"/>
              </w:rPr>
              <w:t xml:space="preserve">dējādi, ka </w:t>
            </w:r>
            <w:r w:rsidRPr="006F1D0B">
              <w:rPr>
                <w:rFonts w:eastAsia="Times New Roman"/>
                <w:bCs/>
                <w:sz w:val="24"/>
                <w:szCs w:val="24"/>
                <w:lang w:eastAsia="lv-LV"/>
              </w:rPr>
              <w:t xml:space="preserve">pārtraukuma laiks </w:t>
            </w:r>
            <w:r w:rsidR="007D0B21" w:rsidRPr="006F1D0B">
              <w:rPr>
                <w:rFonts w:eastAsia="Times New Roman"/>
                <w:bCs/>
                <w:sz w:val="24"/>
                <w:szCs w:val="24"/>
                <w:lang w:eastAsia="lv-LV"/>
              </w:rPr>
              <w:t>ir ieskaitāms dienesta pienākumu</w:t>
            </w:r>
            <w:r w:rsidRPr="006F1D0B">
              <w:rPr>
                <w:rFonts w:eastAsia="Times New Roman"/>
                <w:bCs/>
                <w:sz w:val="24"/>
                <w:szCs w:val="24"/>
                <w:lang w:eastAsia="lv-LV"/>
              </w:rPr>
              <w:t xml:space="preserve"> izpildes laikā, ja šajā laikā amatpersonām tiek noteikts aizliegums atstāt dienesta pienākumu izpildes vietu. Attiecīgi, ja pārtraukumam paredzētajā laikā amatpersonām ir noteikts aizliegums atstāt dienesta pienākumu izpildes vietu, lai nodrošinātu dienesta pienākumu izpildi jebkurā brīdī (tā dēvētais gaidīšanas režīms), ir uzskatāms, ka amatpersonām nav piešķirts pārtraukums, līdz ar to attiecīgais laiks uzskatāms par dienesta pienākumu izpildes laiku (sk. arī Eiropas Savienības tiesas (turpmāk – EST) 2000.gada 3.oktobra spriedumu lietā C-303/98 </w:t>
            </w:r>
            <w:proofErr w:type="spellStart"/>
            <w:r w:rsidRPr="006F1D0B">
              <w:rPr>
                <w:rFonts w:eastAsia="Times New Roman"/>
                <w:bCs/>
                <w:i/>
                <w:sz w:val="24"/>
                <w:szCs w:val="24"/>
                <w:lang w:eastAsia="lv-LV"/>
              </w:rPr>
              <w:t>Simap</w:t>
            </w:r>
            <w:proofErr w:type="spellEnd"/>
            <w:r w:rsidRPr="006F1D0B">
              <w:rPr>
                <w:rFonts w:eastAsia="Times New Roman"/>
                <w:bCs/>
                <w:sz w:val="24"/>
                <w:szCs w:val="24"/>
                <w:lang w:eastAsia="lv-LV"/>
              </w:rPr>
              <w:t xml:space="preserve">, īpaši tā 50.punktu; EST 2001.gada 3.jūlija rīkojumu lietā C-241/99 </w:t>
            </w:r>
            <w:r w:rsidRPr="006F1D0B">
              <w:rPr>
                <w:rFonts w:eastAsia="Times New Roman"/>
                <w:bCs/>
                <w:i/>
                <w:sz w:val="24"/>
                <w:szCs w:val="24"/>
                <w:lang w:eastAsia="lv-LV"/>
              </w:rPr>
              <w:t>CIG</w:t>
            </w:r>
            <w:r w:rsidRPr="006F1D0B">
              <w:rPr>
                <w:rFonts w:eastAsia="Times New Roman"/>
                <w:bCs/>
                <w:sz w:val="24"/>
                <w:szCs w:val="24"/>
                <w:lang w:eastAsia="lv-LV"/>
              </w:rPr>
              <w:t xml:space="preserve">, īpaši tā 33 – 34.punktu; 2003.gada 9.septembra spriedumu lietā C-151/02 </w:t>
            </w:r>
            <w:proofErr w:type="spellStart"/>
            <w:r w:rsidRPr="006F1D0B">
              <w:rPr>
                <w:rFonts w:eastAsia="Times New Roman"/>
                <w:bCs/>
                <w:i/>
                <w:sz w:val="24"/>
                <w:szCs w:val="24"/>
                <w:lang w:eastAsia="lv-LV"/>
              </w:rPr>
              <w:t>Jaeger</w:t>
            </w:r>
            <w:proofErr w:type="spellEnd"/>
            <w:r w:rsidRPr="006F1D0B">
              <w:rPr>
                <w:rFonts w:eastAsia="Times New Roman"/>
                <w:bCs/>
                <w:sz w:val="24"/>
                <w:szCs w:val="24"/>
                <w:lang w:eastAsia="lv-LV"/>
              </w:rPr>
              <w:t xml:space="preserve">, īpaši tā 60. – 68.punktu; EST 2015.gada 10.septembra spriedumu lietā C-266/14 </w:t>
            </w:r>
            <w:proofErr w:type="spellStart"/>
            <w:r w:rsidRPr="006F1D0B">
              <w:rPr>
                <w:rFonts w:eastAsia="Times New Roman"/>
                <w:bCs/>
                <w:i/>
                <w:sz w:val="24"/>
                <w:szCs w:val="24"/>
                <w:lang w:eastAsia="lv-LV"/>
              </w:rPr>
              <w:t>Federación</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de</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Servicios</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Privados</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del</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sindicato</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Comisiones</w:t>
            </w:r>
            <w:proofErr w:type="spellEnd"/>
            <w:r w:rsidRPr="006F1D0B">
              <w:rPr>
                <w:rFonts w:eastAsia="Times New Roman"/>
                <w:bCs/>
                <w:i/>
                <w:sz w:val="24"/>
                <w:szCs w:val="24"/>
                <w:lang w:eastAsia="lv-LV"/>
              </w:rPr>
              <w:t xml:space="preserve"> </w:t>
            </w:r>
            <w:proofErr w:type="spellStart"/>
            <w:r w:rsidRPr="006F1D0B">
              <w:rPr>
                <w:rFonts w:eastAsia="Times New Roman"/>
                <w:bCs/>
                <w:i/>
                <w:sz w:val="24"/>
                <w:szCs w:val="24"/>
                <w:lang w:eastAsia="lv-LV"/>
              </w:rPr>
              <w:t>obreras</w:t>
            </w:r>
            <w:proofErr w:type="spellEnd"/>
            <w:r w:rsidRPr="006F1D0B">
              <w:rPr>
                <w:rFonts w:eastAsia="Times New Roman"/>
                <w:bCs/>
                <w:sz w:val="24"/>
                <w:szCs w:val="24"/>
                <w:lang w:eastAsia="lv-LV"/>
              </w:rPr>
              <w:t>, īpaši tā 35. – 37.punktu).</w:t>
            </w:r>
          </w:p>
          <w:p w:rsidR="00806F2F" w:rsidRPr="006F1D0B" w:rsidRDefault="00806F2F" w:rsidP="00B414E0">
            <w:pPr>
              <w:autoSpaceDE w:val="0"/>
              <w:autoSpaceDN w:val="0"/>
              <w:adjustRightInd w:val="0"/>
              <w:ind w:firstLine="318"/>
              <w:rPr>
                <w:rFonts w:eastAsia="Times New Roman"/>
                <w:bCs/>
                <w:sz w:val="24"/>
                <w:szCs w:val="24"/>
                <w:lang w:eastAsia="lv-LV"/>
              </w:rPr>
            </w:pPr>
            <w:r w:rsidRPr="006F1D0B">
              <w:rPr>
                <w:rFonts w:eastAsia="Times New Roman"/>
                <w:bCs/>
                <w:sz w:val="24"/>
                <w:szCs w:val="24"/>
                <w:lang w:eastAsia="lv-LV"/>
              </w:rPr>
              <w:t>Atbilstoši šobrīd paredzētajai dienesta pienākumu izpildes organizācijai un pieejamajiem cilvēkresursiem, ievērojot</w:t>
            </w:r>
            <w:r w:rsidRPr="006F1D0B">
              <w:t xml:space="preserve"> </w:t>
            </w:r>
            <w:r w:rsidRPr="006F1D0B">
              <w:rPr>
                <w:rFonts w:eastAsia="Times New Roman"/>
                <w:bCs/>
                <w:sz w:val="24"/>
                <w:szCs w:val="24"/>
                <w:lang w:eastAsia="lv-LV"/>
              </w:rPr>
              <w:t>Augstākās tiesas Administratīvo lietu departamenta 2016.gada 16.jūnija spriedumā lietā Nr.A420535212 SKA-347/2016 sniegto termina “pārtraukums” interpretāciju,</w:t>
            </w:r>
            <w:r w:rsidRPr="006F1D0B">
              <w:t xml:space="preserve"> </w:t>
            </w:r>
            <w:r w:rsidRPr="006F1D0B">
              <w:rPr>
                <w:rFonts w:eastAsia="Times New Roman"/>
                <w:bCs/>
                <w:sz w:val="24"/>
                <w:szCs w:val="24"/>
                <w:lang w:eastAsia="lv-LV"/>
              </w:rPr>
              <w:t>dienesta pienākumu izpildes laika uzskaites periodā (īpaši attiecībā uz summ</w:t>
            </w:r>
            <w:r w:rsidR="007E69E7" w:rsidRPr="006F1D0B">
              <w:rPr>
                <w:rFonts w:eastAsia="Times New Roman"/>
                <w:bCs/>
                <w:sz w:val="24"/>
                <w:szCs w:val="24"/>
                <w:lang w:eastAsia="lv-LV"/>
              </w:rPr>
              <w:t xml:space="preserve">ēto darba laiku) </w:t>
            </w:r>
            <w:r w:rsidR="00461746" w:rsidRPr="006F1D0B">
              <w:rPr>
                <w:rFonts w:eastAsia="Times New Roman"/>
                <w:bCs/>
                <w:sz w:val="24"/>
                <w:szCs w:val="24"/>
                <w:lang w:eastAsia="lv-LV"/>
              </w:rPr>
              <w:t xml:space="preserve">būtu konstatējams </w:t>
            </w:r>
            <w:r w:rsidRPr="006F1D0B">
              <w:rPr>
                <w:rFonts w:eastAsia="Times New Roman"/>
                <w:bCs/>
                <w:sz w:val="24"/>
                <w:szCs w:val="24"/>
                <w:lang w:eastAsia="lv-LV"/>
              </w:rPr>
              <w:t>virsstundu darbs, kas savukārt prasa šī laika kompensēšanu,</w:t>
            </w:r>
            <w:r w:rsidRPr="006F1D0B">
              <w:t xml:space="preserve"> </w:t>
            </w:r>
            <w:r w:rsidRPr="006F1D0B">
              <w:rPr>
                <w:rFonts w:eastAsia="Times New Roman"/>
                <w:bCs/>
                <w:sz w:val="24"/>
                <w:szCs w:val="24"/>
                <w:lang w:eastAsia="lv-LV"/>
              </w:rPr>
              <w:t xml:space="preserve">piešķirot līdzvērtīgu atpūtas laiku. Vienlaikus, piešķirot attiecīgajām amatpersonām līdzvērtīgu atpūtas laiku par virsstundu darbu, rodas nepieciešamība rast attiecīgo amatpersonu pienākumu izpildes  aizvietotājus šo amatpersonu prombūtnes laikā. Līdz ar to nepieciešamība piešķirt attiecīgajām amatpersonām virsstundu darba kompensējošo atpūtas laiku, kā arī vienlaikus rast cilvēkresursus attiecīgo pienākumu izpildei, var novest pie attiecīgās Iekšlietu ministrijas sistēmas iestādes </w:t>
            </w:r>
            <w:r w:rsidR="00461746" w:rsidRPr="006F1D0B">
              <w:rPr>
                <w:rFonts w:eastAsia="Times New Roman"/>
                <w:bCs/>
                <w:sz w:val="24"/>
                <w:szCs w:val="24"/>
                <w:lang w:eastAsia="lv-LV"/>
              </w:rPr>
              <w:t>un Ieslodzījuma vietu pārvaldes</w:t>
            </w:r>
            <w:r w:rsidR="007D0B21" w:rsidRPr="006F1D0B">
              <w:rPr>
                <w:rFonts w:eastAsia="Times New Roman"/>
                <w:bCs/>
                <w:sz w:val="24"/>
                <w:szCs w:val="24"/>
                <w:lang w:eastAsia="lv-LV"/>
              </w:rPr>
              <w:t xml:space="preserve"> </w:t>
            </w:r>
            <w:r w:rsidRPr="006F1D0B">
              <w:rPr>
                <w:rFonts w:eastAsia="Times New Roman"/>
                <w:bCs/>
                <w:sz w:val="24"/>
                <w:szCs w:val="24"/>
                <w:lang w:eastAsia="lv-LV"/>
              </w:rPr>
              <w:t>nespēju pildīt dienesta uzdevumus. Tādējādi līdz brīdim, kamēr netiks pārskatītas dienesta pienākumu izpildes organizācijas pilnveidošanas iespējas, kā arī iespējas papildus cilvēkresursu piesaistei, var rasties nepieciešamība esošo amatpersonu iesaistei virsstundu darbā.</w:t>
            </w:r>
          </w:p>
          <w:p w:rsidR="00BC37B8" w:rsidRPr="006F1D0B" w:rsidRDefault="000A7B38" w:rsidP="00BF1442">
            <w:pPr>
              <w:autoSpaceDE w:val="0"/>
              <w:autoSpaceDN w:val="0"/>
              <w:adjustRightInd w:val="0"/>
              <w:ind w:firstLine="318"/>
              <w:rPr>
                <w:rFonts w:eastAsia="Times New Roman"/>
                <w:bCs/>
                <w:sz w:val="24"/>
                <w:szCs w:val="24"/>
                <w:lang w:eastAsia="lv-LV"/>
              </w:rPr>
            </w:pPr>
            <w:r w:rsidRPr="006F1D0B">
              <w:rPr>
                <w:rFonts w:eastAsia="Times New Roman"/>
                <w:bCs/>
                <w:sz w:val="24"/>
                <w:szCs w:val="24"/>
                <w:lang w:eastAsia="lv-LV"/>
              </w:rPr>
              <w:t xml:space="preserve">Ņemot vērā praksē pastāvošo Dienesta gaitas likuma </w:t>
            </w:r>
            <w:proofErr w:type="gramStart"/>
            <w:r w:rsidRPr="006F1D0B">
              <w:rPr>
                <w:rFonts w:eastAsia="Times New Roman"/>
                <w:bCs/>
                <w:sz w:val="24"/>
                <w:szCs w:val="24"/>
                <w:lang w:eastAsia="lv-LV"/>
              </w:rPr>
              <w:t>30.panta</w:t>
            </w:r>
            <w:proofErr w:type="gramEnd"/>
            <w:r w:rsidRPr="006F1D0B">
              <w:rPr>
                <w:rFonts w:eastAsia="Times New Roman"/>
                <w:bCs/>
                <w:sz w:val="24"/>
                <w:szCs w:val="24"/>
                <w:lang w:eastAsia="lv-LV"/>
              </w:rPr>
              <w:t xml:space="preserve"> interpretāciju, proti, ja iestādes vadītājs vai viņa pilnvarota persona noteica aizliegumu pārtraukuma laikā atstāt dienesta pienākumu izpildes vietu, tad dienesta pienākumu izpildes laiks, kad tika paredzēts pārtraukums, netiek ieskaitīts dienesta pienākumu izpildes laikā, līdz ar to arī netiek kompensēts, piešķirot līdzvērtīgu atpūtas laiku.</w:t>
            </w:r>
            <w:r w:rsidR="00BF1442" w:rsidRPr="006F1D0B">
              <w:rPr>
                <w:rFonts w:eastAsia="Times New Roman"/>
                <w:bCs/>
                <w:sz w:val="24"/>
                <w:szCs w:val="24"/>
                <w:lang w:eastAsia="lv-LV"/>
              </w:rPr>
              <w:t xml:space="preserve"> </w:t>
            </w:r>
            <w:r w:rsidR="00806F2F" w:rsidRPr="006F1D0B">
              <w:rPr>
                <w:rFonts w:eastAsia="Times New Roman"/>
                <w:bCs/>
                <w:sz w:val="24"/>
                <w:szCs w:val="24"/>
                <w:lang w:eastAsia="lv-LV"/>
              </w:rPr>
              <w:t xml:space="preserve">Vienlaikus šāda </w:t>
            </w:r>
            <w:r w:rsidR="00806F2F" w:rsidRPr="006F1D0B">
              <w:rPr>
                <w:rFonts w:eastAsia="Times New Roman"/>
                <w:bCs/>
                <w:sz w:val="24"/>
                <w:szCs w:val="24"/>
                <w:lang w:eastAsia="lv-LV"/>
              </w:rPr>
              <w:lastRenderedPageBreak/>
              <w:t>situācija faktiski nozīmēja arī to, ka amatpersonu atalgojums</w:t>
            </w:r>
            <w:r w:rsidR="00196E17" w:rsidRPr="006F1D0B">
              <w:rPr>
                <w:rFonts w:eastAsia="Times New Roman"/>
                <w:bCs/>
                <w:sz w:val="24"/>
                <w:szCs w:val="24"/>
                <w:lang w:eastAsia="lv-LV"/>
              </w:rPr>
              <w:t xml:space="preserve"> (tā dēvētā “cietā alga”)</w:t>
            </w:r>
            <w:r w:rsidR="00806F2F" w:rsidRPr="006F1D0B">
              <w:rPr>
                <w:rFonts w:eastAsia="Times New Roman"/>
                <w:bCs/>
                <w:sz w:val="24"/>
                <w:szCs w:val="24"/>
                <w:lang w:eastAsia="lv-LV"/>
              </w:rPr>
              <w:t xml:space="preserve"> tika aprēķ</w:t>
            </w:r>
            <w:r w:rsidR="007E69E7" w:rsidRPr="006F1D0B">
              <w:rPr>
                <w:rFonts w:eastAsia="Times New Roman"/>
                <w:bCs/>
                <w:sz w:val="24"/>
                <w:szCs w:val="24"/>
                <w:lang w:eastAsia="lv-LV"/>
              </w:rPr>
              <w:t>ināts, ņemot par pamatu</w:t>
            </w:r>
            <w:r w:rsidR="00806F2F" w:rsidRPr="006F1D0B">
              <w:rPr>
                <w:rFonts w:eastAsia="Times New Roman"/>
                <w:bCs/>
                <w:sz w:val="24"/>
                <w:szCs w:val="24"/>
                <w:lang w:eastAsia="lv-LV"/>
              </w:rPr>
              <w:t xml:space="preserve"> </w:t>
            </w:r>
            <w:r w:rsidR="007E69E7" w:rsidRPr="006F1D0B">
              <w:rPr>
                <w:rFonts w:eastAsia="Times New Roman"/>
                <w:bCs/>
                <w:sz w:val="24"/>
                <w:szCs w:val="24"/>
                <w:lang w:eastAsia="lv-LV"/>
              </w:rPr>
              <w:t xml:space="preserve">faktiski </w:t>
            </w:r>
            <w:r w:rsidR="00806F2F" w:rsidRPr="006F1D0B">
              <w:rPr>
                <w:rFonts w:eastAsia="Times New Roman"/>
                <w:bCs/>
                <w:sz w:val="24"/>
                <w:szCs w:val="24"/>
                <w:lang w:eastAsia="lv-LV"/>
              </w:rPr>
              <w:t>nostrādāto laiku, ieskaitot pārtraukumiem paredzēto laiku, kas pēc būtības netika izmantoti</w:t>
            </w:r>
            <w:r w:rsidR="00196E17" w:rsidRPr="006F1D0B">
              <w:rPr>
                <w:rFonts w:eastAsia="Times New Roman"/>
                <w:bCs/>
                <w:sz w:val="24"/>
                <w:szCs w:val="24"/>
                <w:lang w:eastAsia="lv-LV"/>
              </w:rPr>
              <w:t xml:space="preserve"> (tika veltīti dienesta pienākumu pildīšanai, kaut gan arī pasīvajiem dienesta pienākumiem)</w:t>
            </w:r>
            <w:r w:rsidR="00806F2F" w:rsidRPr="006F1D0B">
              <w:rPr>
                <w:rFonts w:eastAsia="Times New Roman"/>
                <w:bCs/>
                <w:sz w:val="24"/>
                <w:szCs w:val="24"/>
                <w:lang w:eastAsia="lv-LV"/>
              </w:rPr>
              <w:t>. Šobrīd</w:t>
            </w:r>
            <w:r w:rsidR="007E69E7" w:rsidRPr="006F1D0B">
              <w:rPr>
                <w:rFonts w:eastAsia="Times New Roman"/>
                <w:bCs/>
                <w:sz w:val="24"/>
                <w:szCs w:val="24"/>
                <w:lang w:eastAsia="lv-LV"/>
              </w:rPr>
              <w:t>,</w:t>
            </w:r>
            <w:r w:rsidR="00806F2F" w:rsidRPr="006F1D0B">
              <w:rPr>
                <w:rFonts w:eastAsia="Times New Roman"/>
                <w:bCs/>
                <w:sz w:val="24"/>
                <w:szCs w:val="24"/>
                <w:lang w:eastAsia="lv-LV"/>
              </w:rPr>
              <w:t xml:space="preserve"> palielinoties uzskaitāmajam dienesta pienākumu izpildes laikam (stundām), automātiski palielināsies arī </w:t>
            </w:r>
            <w:r w:rsidR="00196E17" w:rsidRPr="006F1D0B">
              <w:rPr>
                <w:rFonts w:eastAsia="Times New Roman"/>
                <w:bCs/>
                <w:sz w:val="24"/>
                <w:szCs w:val="24"/>
                <w:lang w:eastAsia="lv-LV"/>
              </w:rPr>
              <w:t>tas laiks, kuru</w:t>
            </w:r>
            <w:r w:rsidR="0068721C" w:rsidRPr="006F1D0B">
              <w:rPr>
                <w:rFonts w:eastAsia="Times New Roman"/>
                <w:bCs/>
                <w:sz w:val="24"/>
                <w:szCs w:val="24"/>
                <w:lang w:eastAsia="lv-LV"/>
              </w:rPr>
              <w:t xml:space="preserve"> vajadzēs kompensēt </w:t>
            </w:r>
            <w:r w:rsidR="00196E17" w:rsidRPr="006F1D0B">
              <w:rPr>
                <w:rFonts w:eastAsia="Times New Roman"/>
                <w:bCs/>
                <w:sz w:val="24"/>
                <w:szCs w:val="24"/>
                <w:lang w:eastAsia="lv-LV"/>
              </w:rPr>
              <w:t>ar līdzvērtīgu br</w:t>
            </w:r>
            <w:r w:rsidR="0068721C" w:rsidRPr="006F1D0B">
              <w:rPr>
                <w:rFonts w:eastAsia="Times New Roman"/>
                <w:bCs/>
                <w:sz w:val="24"/>
                <w:szCs w:val="24"/>
                <w:lang w:eastAsia="lv-LV"/>
              </w:rPr>
              <w:t>īvo laiku</w:t>
            </w:r>
            <w:r w:rsidR="00806F2F" w:rsidRPr="006F1D0B">
              <w:rPr>
                <w:rFonts w:eastAsia="Times New Roman"/>
                <w:bCs/>
                <w:sz w:val="24"/>
                <w:szCs w:val="24"/>
                <w:lang w:eastAsia="lv-LV"/>
              </w:rPr>
              <w:t>, kaut gan dienesta pienāku</w:t>
            </w:r>
            <w:r w:rsidR="0068721C" w:rsidRPr="006F1D0B">
              <w:rPr>
                <w:rFonts w:eastAsia="Times New Roman"/>
                <w:bCs/>
                <w:sz w:val="24"/>
                <w:szCs w:val="24"/>
                <w:lang w:eastAsia="lv-LV"/>
              </w:rPr>
              <w:t xml:space="preserve">mu izpildes apjoms nemainīsies. Situācija, kad rastos nepieciešamība piešķirt kompensējošo brīvo laiku par nostrādātajām virsstundām ievērojamam amatpersonu lokam, var novest pie attiecīgās iestādes nespējas nodrošināt dienesta uzdevumu izpildi vismaz minimāli nepieciešamajā apjomā. </w:t>
            </w:r>
            <w:r w:rsidR="00806F2F" w:rsidRPr="006F1D0B">
              <w:rPr>
                <w:rFonts w:eastAsia="Times New Roman"/>
                <w:bCs/>
                <w:sz w:val="24"/>
                <w:szCs w:val="24"/>
                <w:lang w:eastAsia="lv-LV"/>
              </w:rPr>
              <w:t>Attiecīgi, lai sabalansētu nepieciešamību nodrošināt</w:t>
            </w:r>
            <w:r w:rsidR="00806F2F" w:rsidRPr="006F1D0B">
              <w:t xml:space="preserve"> </w:t>
            </w:r>
            <w:r w:rsidR="00806F2F" w:rsidRPr="006F1D0B">
              <w:rPr>
                <w:rFonts w:eastAsia="Times New Roman"/>
                <w:bCs/>
                <w:sz w:val="24"/>
                <w:szCs w:val="24"/>
                <w:lang w:eastAsia="lv-LV"/>
              </w:rPr>
              <w:t>Iekšlietu ministrijas sistēmas iestādes un Ieslodzījuma vietu pārvaldes funkciju izpildi ar pieejamiem resursiem, būtu paredzama iespēja</w:t>
            </w:r>
            <w:r w:rsidR="0068721C" w:rsidRPr="006F1D0B">
              <w:rPr>
                <w:rFonts w:eastAsia="Times New Roman"/>
                <w:bCs/>
                <w:sz w:val="24"/>
                <w:szCs w:val="24"/>
                <w:lang w:eastAsia="lv-LV"/>
              </w:rPr>
              <w:t xml:space="preserve"> tās</w:t>
            </w:r>
            <w:r w:rsidR="00806F2F" w:rsidRPr="006F1D0B">
              <w:rPr>
                <w:rFonts w:eastAsia="Times New Roman"/>
                <w:bCs/>
                <w:sz w:val="24"/>
                <w:szCs w:val="24"/>
                <w:lang w:eastAsia="lv-LV"/>
              </w:rPr>
              <w:t xml:space="preserve"> </w:t>
            </w:r>
            <w:r w:rsidR="0068721C" w:rsidRPr="006F1D0B">
              <w:rPr>
                <w:rFonts w:eastAsia="Times New Roman"/>
                <w:bCs/>
                <w:sz w:val="24"/>
                <w:szCs w:val="24"/>
                <w:lang w:eastAsia="lv-LV"/>
              </w:rPr>
              <w:t xml:space="preserve">nostrādātās </w:t>
            </w:r>
            <w:r w:rsidR="00806F2F" w:rsidRPr="006F1D0B">
              <w:rPr>
                <w:rFonts w:eastAsia="Times New Roman"/>
                <w:bCs/>
                <w:sz w:val="24"/>
                <w:szCs w:val="24"/>
                <w:lang w:eastAsia="lv-LV"/>
              </w:rPr>
              <w:t>virsstund</w:t>
            </w:r>
            <w:r w:rsidR="0068721C" w:rsidRPr="006F1D0B">
              <w:rPr>
                <w:rFonts w:eastAsia="Times New Roman"/>
                <w:bCs/>
                <w:sz w:val="24"/>
                <w:szCs w:val="24"/>
                <w:lang w:eastAsia="lv-LV"/>
              </w:rPr>
              <w:t xml:space="preserve">as, kuras nav iespējams kompensēt, piešķirot līdzvērtīgu </w:t>
            </w:r>
            <w:r w:rsidR="00CD3837" w:rsidRPr="006F1D0B">
              <w:rPr>
                <w:rFonts w:eastAsia="Times New Roman"/>
                <w:bCs/>
                <w:sz w:val="24"/>
                <w:szCs w:val="24"/>
                <w:lang w:eastAsia="lv-LV"/>
              </w:rPr>
              <w:t>atpūtas laiku, kompensēt</w:t>
            </w:r>
            <w:r w:rsidR="00A06022" w:rsidRPr="006F1D0B">
              <w:rPr>
                <w:rFonts w:eastAsia="Times New Roman"/>
                <w:bCs/>
                <w:sz w:val="24"/>
                <w:szCs w:val="24"/>
                <w:lang w:eastAsia="lv-LV"/>
              </w:rPr>
              <w:t>,</w:t>
            </w:r>
            <w:r w:rsidR="00CD3837" w:rsidRPr="006F1D0B">
              <w:rPr>
                <w:rFonts w:eastAsia="Times New Roman"/>
                <w:bCs/>
                <w:sz w:val="24"/>
                <w:szCs w:val="24"/>
                <w:lang w:eastAsia="lv-LV"/>
              </w:rPr>
              <w:t xml:space="preserve"> maksājot atlīdzību</w:t>
            </w:r>
            <w:r w:rsidR="007D0B21" w:rsidRPr="006F1D0B">
              <w:rPr>
                <w:rFonts w:eastAsia="Times New Roman"/>
                <w:bCs/>
                <w:sz w:val="24"/>
                <w:szCs w:val="24"/>
                <w:lang w:eastAsia="lv-LV"/>
              </w:rPr>
              <w:t>. Nosakot nostrādāto virsstundu, kuras nav iespējams kompensēt, piešķirot līdzvērtīgu atpūtas laiku, atlīdzības apmēru būtu ņemams vērā, ka arī gadījumos, kad nav iespējams piešķirt p</w:t>
            </w:r>
            <w:r w:rsidR="002F2E0C" w:rsidRPr="006F1D0B">
              <w:rPr>
                <w:rFonts w:eastAsia="Times New Roman"/>
                <w:bCs/>
                <w:sz w:val="24"/>
                <w:szCs w:val="24"/>
                <w:lang w:eastAsia="lv-LV"/>
              </w:rPr>
              <w:t>ārtraukumus, amatpersonām tiek nodrošināta iespēja paēst. Tādējādi tiek paredzēts pārtraukuma pamatmērķa kompensējošais mehānisms pārtraukuma nepiešķiršanas gadījumā. Vienlaikus tas nozīmē, ka</w:t>
            </w:r>
            <w:r w:rsidR="00F66973" w:rsidRPr="006F1D0B">
              <w:rPr>
                <w:rFonts w:eastAsia="Times New Roman"/>
                <w:bCs/>
                <w:sz w:val="24"/>
                <w:szCs w:val="24"/>
                <w:lang w:eastAsia="lv-LV"/>
              </w:rPr>
              <w:t xml:space="preserve"> arī gadījumā, ja pārtraukumi netiek piešķirti,</w:t>
            </w:r>
            <w:r w:rsidR="002F2E0C" w:rsidRPr="006F1D0B">
              <w:rPr>
                <w:rFonts w:eastAsia="Times New Roman"/>
                <w:bCs/>
                <w:sz w:val="24"/>
                <w:szCs w:val="24"/>
                <w:lang w:eastAsia="lv-LV"/>
              </w:rPr>
              <w:t xml:space="preserve"> dienesta pienākum</w:t>
            </w:r>
            <w:r w:rsidR="002424CC" w:rsidRPr="006F1D0B">
              <w:rPr>
                <w:rFonts w:eastAsia="Times New Roman"/>
                <w:bCs/>
                <w:sz w:val="24"/>
                <w:szCs w:val="24"/>
                <w:lang w:eastAsia="lv-LV"/>
              </w:rPr>
              <w:t xml:space="preserve">i visā attiecīgās darba dienas </w:t>
            </w:r>
            <w:r w:rsidR="00F66973" w:rsidRPr="006F1D0B">
              <w:rPr>
                <w:rFonts w:eastAsia="Times New Roman"/>
                <w:bCs/>
                <w:sz w:val="24"/>
                <w:szCs w:val="24"/>
                <w:lang w:eastAsia="lv-LV"/>
              </w:rPr>
              <w:t>dienesta pienākumu izpildes laikā</w:t>
            </w:r>
            <w:r w:rsidR="002424CC" w:rsidRPr="006F1D0B">
              <w:rPr>
                <w:rFonts w:eastAsia="Times New Roman"/>
                <w:bCs/>
                <w:sz w:val="24"/>
                <w:szCs w:val="24"/>
                <w:lang w:eastAsia="lv-LV"/>
              </w:rPr>
              <w:t xml:space="preserve"> netiek pildīti </w:t>
            </w:r>
            <w:r w:rsidR="002F2E0C" w:rsidRPr="006F1D0B">
              <w:rPr>
                <w:rFonts w:eastAsia="Times New Roman"/>
                <w:bCs/>
                <w:sz w:val="24"/>
                <w:szCs w:val="24"/>
                <w:lang w:eastAsia="lv-LV"/>
              </w:rPr>
              <w:t>pilnā apjomā. Attiecīgi</w:t>
            </w:r>
            <w:r w:rsidR="00015C11" w:rsidRPr="006F1D0B">
              <w:rPr>
                <w:rFonts w:eastAsia="Times New Roman"/>
                <w:bCs/>
                <w:sz w:val="24"/>
                <w:szCs w:val="24"/>
                <w:lang w:eastAsia="lv-LV"/>
              </w:rPr>
              <w:t xml:space="preserve"> pārtraukumiem paredzētais laiks pārtraukumu nepiešķiršanas gadījumā </w:t>
            </w:r>
            <w:r w:rsidR="002F2E0C" w:rsidRPr="006F1D0B">
              <w:rPr>
                <w:rFonts w:eastAsia="Times New Roman"/>
                <w:bCs/>
                <w:sz w:val="24"/>
                <w:szCs w:val="24"/>
                <w:lang w:eastAsia="lv-LV"/>
              </w:rPr>
              <w:t xml:space="preserve">nebūtu pilnībā pielīdzināms tam dienesta pienākumu </w:t>
            </w:r>
            <w:r w:rsidR="00015C11" w:rsidRPr="006F1D0B">
              <w:rPr>
                <w:rFonts w:eastAsia="Times New Roman"/>
                <w:bCs/>
                <w:sz w:val="24"/>
                <w:szCs w:val="24"/>
                <w:lang w:eastAsia="lv-LV"/>
              </w:rPr>
              <w:t>izpildes laikam</w:t>
            </w:r>
            <w:r w:rsidR="002F2E0C" w:rsidRPr="006F1D0B">
              <w:rPr>
                <w:rFonts w:eastAsia="Times New Roman"/>
                <w:bCs/>
                <w:sz w:val="24"/>
                <w:szCs w:val="24"/>
                <w:lang w:eastAsia="lv-LV"/>
              </w:rPr>
              <w:t xml:space="preserve"> virs noteiktā dienesta pienākumu pi</w:t>
            </w:r>
            <w:r w:rsidR="0013512D" w:rsidRPr="006F1D0B">
              <w:rPr>
                <w:rFonts w:eastAsia="Times New Roman"/>
                <w:bCs/>
                <w:sz w:val="24"/>
                <w:szCs w:val="24"/>
                <w:lang w:eastAsia="lv-LV"/>
              </w:rPr>
              <w:t>l</w:t>
            </w:r>
            <w:r w:rsidR="002F2E0C" w:rsidRPr="006F1D0B">
              <w:rPr>
                <w:rFonts w:eastAsia="Times New Roman"/>
                <w:bCs/>
                <w:sz w:val="24"/>
                <w:szCs w:val="24"/>
                <w:lang w:eastAsia="lv-LV"/>
              </w:rPr>
              <w:t>dī</w:t>
            </w:r>
            <w:r w:rsidR="0013512D" w:rsidRPr="006F1D0B">
              <w:rPr>
                <w:rFonts w:eastAsia="Times New Roman"/>
                <w:bCs/>
                <w:sz w:val="24"/>
                <w:szCs w:val="24"/>
                <w:lang w:eastAsia="lv-LV"/>
              </w:rPr>
              <w:t>šanas laika, kad dienesta pienākumi tiek pildīti pilnā apjomā. Līdz ar to</w:t>
            </w:r>
            <w:r w:rsidR="007F4B42" w:rsidRPr="006F1D0B">
              <w:rPr>
                <w:rFonts w:eastAsia="Times New Roman"/>
                <w:bCs/>
                <w:sz w:val="24"/>
                <w:szCs w:val="24"/>
                <w:lang w:eastAsia="lv-LV"/>
              </w:rPr>
              <w:t xml:space="preserve"> nostrādātās virsstundas, kuras nav iespējams kompensēt, piešķirot līdzvērtīgu atpūtas laiku, atlīdzības apmērs būtu nosakāms atbilstoši</w:t>
            </w:r>
            <w:r w:rsidR="000C65EE" w:rsidRPr="006F1D0B">
              <w:rPr>
                <w:rFonts w:eastAsia="Times New Roman"/>
                <w:bCs/>
                <w:sz w:val="24"/>
                <w:szCs w:val="24"/>
                <w:lang w:eastAsia="lv-LV"/>
              </w:rPr>
              <w:t xml:space="preserve"> amatpersonai noteiktajai stundas algas likmei</w:t>
            </w:r>
            <w:r w:rsidR="00C90745" w:rsidRPr="006F1D0B">
              <w:rPr>
                <w:rFonts w:eastAsia="Times New Roman"/>
                <w:bCs/>
                <w:sz w:val="24"/>
                <w:szCs w:val="24"/>
                <w:lang w:eastAsia="lv-LV"/>
              </w:rPr>
              <w:t xml:space="preserve"> (bet nevis atbilstoši amatpersonai noteiktajai stundas algas likmei, kā arī nosakot </w:t>
            </w:r>
            <w:r w:rsidR="000363FA" w:rsidRPr="006F1D0B">
              <w:rPr>
                <w:rFonts w:eastAsia="Times New Roman"/>
                <w:bCs/>
                <w:sz w:val="24"/>
                <w:szCs w:val="24"/>
                <w:lang w:eastAsia="lv-LV"/>
              </w:rPr>
              <w:t xml:space="preserve">papildus </w:t>
            </w:r>
            <w:r w:rsidR="004B71AF" w:rsidRPr="006F1D0B">
              <w:rPr>
                <w:rFonts w:eastAsia="Times New Roman"/>
                <w:bCs/>
                <w:sz w:val="24"/>
                <w:szCs w:val="24"/>
                <w:lang w:eastAsia="lv-LV"/>
              </w:rPr>
              <w:t xml:space="preserve">piemaksu </w:t>
            </w:r>
            <w:r w:rsidR="000363FA" w:rsidRPr="006F1D0B">
              <w:rPr>
                <w:rFonts w:eastAsia="Times New Roman"/>
                <w:bCs/>
                <w:sz w:val="24"/>
                <w:szCs w:val="24"/>
                <w:lang w:eastAsia="lv-LV"/>
              </w:rPr>
              <w:t>100 procentu apmērā no ta</w:t>
            </w:r>
            <w:r w:rsidR="00955ACA" w:rsidRPr="006F1D0B">
              <w:rPr>
                <w:rFonts w:eastAsia="Times New Roman"/>
                <w:bCs/>
                <w:sz w:val="24"/>
                <w:szCs w:val="24"/>
                <w:lang w:eastAsia="lv-LV"/>
              </w:rPr>
              <w:t>i noteiktās stundas algas likmes</w:t>
            </w:r>
            <w:r w:rsidR="00C90745" w:rsidRPr="006F1D0B">
              <w:rPr>
                <w:rFonts w:eastAsia="Times New Roman"/>
                <w:bCs/>
                <w:sz w:val="24"/>
                <w:szCs w:val="24"/>
                <w:lang w:eastAsia="lv-LV"/>
              </w:rPr>
              <w:t>)</w:t>
            </w:r>
            <w:r w:rsidR="000363FA" w:rsidRPr="006F1D0B">
              <w:rPr>
                <w:rFonts w:eastAsia="Times New Roman"/>
                <w:bCs/>
                <w:sz w:val="24"/>
                <w:szCs w:val="24"/>
                <w:lang w:eastAsia="lv-LV"/>
              </w:rPr>
              <w:t xml:space="preserve">. </w:t>
            </w:r>
            <w:r w:rsidR="00806F2F" w:rsidRPr="006F1D0B">
              <w:rPr>
                <w:rFonts w:eastAsia="Times New Roman"/>
                <w:bCs/>
                <w:sz w:val="24"/>
                <w:szCs w:val="24"/>
                <w:lang w:eastAsia="lv-LV"/>
              </w:rPr>
              <w:t>Kā to ir uzsvērusi EST, interpretējot</w:t>
            </w:r>
            <w:r w:rsidR="00806F2F" w:rsidRPr="006F1D0B">
              <w:t xml:space="preserve"> </w:t>
            </w:r>
            <w:r w:rsidR="00806F2F" w:rsidRPr="006F1D0B">
              <w:rPr>
                <w:rFonts w:eastAsia="Times New Roman"/>
                <w:bCs/>
                <w:sz w:val="24"/>
                <w:szCs w:val="24"/>
                <w:lang w:eastAsia="lv-LV"/>
              </w:rPr>
              <w:t>Direktīvā 2003/88/EK ietvertās normas, kaut gan</w:t>
            </w:r>
            <w:r w:rsidR="00806F2F" w:rsidRPr="006F1D0B">
              <w:t xml:space="preserve"> </w:t>
            </w:r>
            <w:r w:rsidR="000363FA" w:rsidRPr="006F1D0B">
              <w:rPr>
                <w:rFonts w:eastAsia="Times New Roman"/>
                <w:bCs/>
                <w:sz w:val="24"/>
                <w:szCs w:val="24"/>
                <w:lang w:eastAsia="lv-LV"/>
              </w:rPr>
              <w:t>Direktīva</w:t>
            </w:r>
            <w:r w:rsidR="00806F2F" w:rsidRPr="006F1D0B">
              <w:rPr>
                <w:rFonts w:eastAsia="Times New Roman"/>
                <w:bCs/>
                <w:sz w:val="24"/>
                <w:szCs w:val="24"/>
                <w:lang w:eastAsia="lv-LV"/>
              </w:rPr>
              <w:t xml:space="preserve"> 2003/88/EK nosaka minimālās drošības un veselības prasības darba laika organizēšanai, tomēr</w:t>
            </w:r>
            <w:r w:rsidR="00806F2F" w:rsidRPr="006F1D0B">
              <w:t xml:space="preserve"> </w:t>
            </w:r>
            <w:r w:rsidR="00806F2F" w:rsidRPr="006F1D0B">
              <w:rPr>
                <w:rFonts w:eastAsia="Times New Roman"/>
                <w:bCs/>
                <w:sz w:val="24"/>
                <w:szCs w:val="24"/>
                <w:lang w:eastAsia="lv-LV"/>
              </w:rPr>
              <w:t>Direktīva 2003/</w:t>
            </w:r>
            <w:r w:rsidR="000363FA" w:rsidRPr="006F1D0B">
              <w:rPr>
                <w:rFonts w:eastAsia="Times New Roman"/>
                <w:bCs/>
                <w:sz w:val="24"/>
                <w:szCs w:val="24"/>
                <w:lang w:eastAsia="lv-LV"/>
              </w:rPr>
              <w:t>88/EK nenosaka atalgojuma apmēra</w:t>
            </w:r>
            <w:r w:rsidR="00806F2F" w:rsidRPr="006F1D0B">
              <w:rPr>
                <w:rFonts w:eastAsia="Times New Roman"/>
                <w:bCs/>
                <w:sz w:val="24"/>
                <w:szCs w:val="24"/>
                <w:lang w:eastAsia="lv-LV"/>
              </w:rPr>
              <w:t xml:space="preserve"> robežas (sk. EST 2015.gada 10.septembra spriedumu lietā C-266/14 </w:t>
            </w:r>
            <w:proofErr w:type="spellStart"/>
            <w:r w:rsidR="00806F2F" w:rsidRPr="006F1D0B">
              <w:rPr>
                <w:rFonts w:eastAsia="Times New Roman"/>
                <w:bCs/>
                <w:i/>
                <w:sz w:val="24"/>
                <w:szCs w:val="24"/>
                <w:lang w:eastAsia="lv-LV"/>
              </w:rPr>
              <w:t>Federación</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de</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Servicios</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Privados</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del</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sindicato</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Comisiones</w:t>
            </w:r>
            <w:proofErr w:type="spellEnd"/>
            <w:r w:rsidR="00806F2F" w:rsidRPr="006F1D0B">
              <w:rPr>
                <w:rFonts w:eastAsia="Times New Roman"/>
                <w:bCs/>
                <w:i/>
                <w:sz w:val="24"/>
                <w:szCs w:val="24"/>
                <w:lang w:eastAsia="lv-LV"/>
              </w:rPr>
              <w:t xml:space="preserve"> </w:t>
            </w:r>
            <w:proofErr w:type="spellStart"/>
            <w:r w:rsidR="00806F2F" w:rsidRPr="006F1D0B">
              <w:rPr>
                <w:rFonts w:eastAsia="Times New Roman"/>
                <w:bCs/>
                <w:i/>
                <w:sz w:val="24"/>
                <w:szCs w:val="24"/>
                <w:lang w:eastAsia="lv-LV"/>
              </w:rPr>
              <w:t>obreras</w:t>
            </w:r>
            <w:proofErr w:type="spellEnd"/>
            <w:r w:rsidR="00806F2F" w:rsidRPr="006F1D0B">
              <w:rPr>
                <w:rFonts w:eastAsia="Times New Roman"/>
                <w:bCs/>
                <w:sz w:val="24"/>
                <w:szCs w:val="24"/>
                <w:lang w:eastAsia="lv-LV"/>
              </w:rPr>
              <w:t>, īpaši tā 47. – 49.punktu). Savukārt kā to ir secinājusi Latvijas Republikas Satversmes tiesa izdienas pensija netieši veido it kā “atliktu atalgojumu” par nevainojamu dienestu ilgā laika periodā un sekmē attiecīgo dienestu un institūciju kvalitatīvu darbību, it īpaši antikorupcijas aspektā (sk. Latvijas Republikas Satversmes 2007.gada 7.janvāra sprieduma lietā Nr. 2006-13-0103 7.punktu Latvijas Republikas Satversmes 2010.gada 31.marta sprieduma lietā Nr. 2009-76-01 5.punktu). Attiecīg</w:t>
            </w:r>
            <w:r w:rsidR="002E1243" w:rsidRPr="006F1D0B">
              <w:rPr>
                <w:rFonts w:eastAsia="Times New Roman"/>
                <w:bCs/>
                <w:sz w:val="24"/>
                <w:szCs w:val="24"/>
                <w:lang w:eastAsia="lv-LV"/>
              </w:rPr>
              <w:t xml:space="preserve">i to nostrādāto virsstundu, kuras nav iespējams kompensēt, piešķirot līdzvērtīgu atpūtas laiku, kompensēšana, maksājot atlīdzību atbilstoši amatpersonai ar speciālo dienesta pakāpi noteiktajai stundas algas likmei, ir </w:t>
            </w:r>
            <w:r w:rsidR="00806F2F" w:rsidRPr="006F1D0B">
              <w:rPr>
                <w:rFonts w:eastAsia="Times New Roman"/>
                <w:bCs/>
                <w:sz w:val="24"/>
                <w:szCs w:val="24"/>
                <w:lang w:eastAsia="lv-LV"/>
              </w:rPr>
              <w:t>skatāma arī amatpersonām noteikto sociālo garantiju kontek</w:t>
            </w:r>
            <w:r w:rsidR="000363FA" w:rsidRPr="006F1D0B">
              <w:rPr>
                <w:rFonts w:eastAsia="Times New Roman"/>
                <w:bCs/>
                <w:sz w:val="24"/>
                <w:szCs w:val="24"/>
                <w:lang w:eastAsia="lv-LV"/>
              </w:rPr>
              <w:t>stā, tai skaitā izdienas pensijas</w:t>
            </w:r>
            <w:r w:rsidR="00806F2F" w:rsidRPr="006F1D0B">
              <w:rPr>
                <w:rFonts w:eastAsia="Times New Roman"/>
                <w:bCs/>
                <w:sz w:val="24"/>
                <w:szCs w:val="24"/>
                <w:lang w:eastAsia="lv-LV"/>
              </w:rPr>
              <w:t xml:space="preserve"> kontekstā.</w:t>
            </w:r>
          </w:p>
          <w:p w:rsidR="00287982" w:rsidRPr="006F1D0B" w:rsidRDefault="00806F2F" w:rsidP="00287982">
            <w:pPr>
              <w:autoSpaceDE w:val="0"/>
              <w:autoSpaceDN w:val="0"/>
              <w:adjustRightInd w:val="0"/>
              <w:ind w:firstLine="318"/>
              <w:rPr>
                <w:sz w:val="24"/>
                <w:szCs w:val="24"/>
              </w:rPr>
            </w:pPr>
            <w:r w:rsidRPr="006F1D0B">
              <w:rPr>
                <w:rFonts w:eastAsia="Times New Roman"/>
                <w:sz w:val="24"/>
                <w:szCs w:val="24"/>
                <w:lang w:eastAsia="lv-LV"/>
              </w:rPr>
              <w:lastRenderedPageBreak/>
              <w:t xml:space="preserve">Likumprojekts paredz, ka amatpersonām virsstundu darbu varēs apmaksāt, ja virsstundu darba kompensēšana ar atpūtas laiku </w:t>
            </w:r>
            <w:r w:rsidRPr="006F1D0B">
              <w:rPr>
                <w:sz w:val="24"/>
                <w:szCs w:val="24"/>
              </w:rPr>
              <w:t>apdraudētu attiecīgās Iekšlietu ministrijas sistēmas iestādes vai Ies</w:t>
            </w:r>
            <w:r w:rsidR="00BC37B8" w:rsidRPr="006F1D0B">
              <w:rPr>
                <w:sz w:val="24"/>
                <w:szCs w:val="24"/>
              </w:rPr>
              <w:t xml:space="preserve">lodzījuma vietu pārvaldes </w:t>
            </w:r>
            <w:r w:rsidR="000363FA" w:rsidRPr="006F1D0B">
              <w:rPr>
                <w:sz w:val="24"/>
                <w:szCs w:val="24"/>
              </w:rPr>
              <w:t>spēju nodrošināt</w:t>
            </w:r>
            <w:r w:rsidRPr="006F1D0B">
              <w:rPr>
                <w:sz w:val="24"/>
                <w:szCs w:val="24"/>
              </w:rPr>
              <w:t xml:space="preserve"> dienesta uzdevumu izpildi, proti, tikai tajos gadījumos</w:t>
            </w:r>
            <w:r w:rsidR="00BC37B8" w:rsidRPr="006F1D0B">
              <w:rPr>
                <w:sz w:val="24"/>
                <w:szCs w:val="24"/>
              </w:rPr>
              <w:t xml:space="preserve"> (un tādā apmērā)</w:t>
            </w:r>
            <w:r w:rsidRPr="006F1D0B">
              <w:rPr>
                <w:sz w:val="24"/>
                <w:szCs w:val="24"/>
              </w:rPr>
              <w:t>, kad nav iespējams piešķirt atpūtas laiku, un, ja piešķirot atpūtas laiku, tas apdraudēs iestādei noteikto uzdevumu izpildi. Lēmumu par</w:t>
            </w:r>
            <w:r w:rsidRPr="006F1D0B">
              <w:rPr>
                <w:rFonts w:eastAsia="Times New Roman"/>
                <w:sz w:val="24"/>
                <w:szCs w:val="24"/>
                <w:lang w:eastAsia="lv-LV"/>
              </w:rPr>
              <w:t xml:space="preserve"> virsstundu darba </w:t>
            </w:r>
            <w:r w:rsidRPr="006F1D0B">
              <w:rPr>
                <w:sz w:val="24"/>
                <w:szCs w:val="24"/>
              </w:rPr>
              <w:t>apmaksu varēs pieņemt iestādes vadītājs vai viņa pilnvarota amatperson</w:t>
            </w:r>
            <w:r w:rsidR="002E1243" w:rsidRPr="006F1D0B">
              <w:rPr>
                <w:sz w:val="24"/>
                <w:szCs w:val="24"/>
              </w:rPr>
              <w:t>a, un tā samaksa būs atbilstoši</w:t>
            </w:r>
            <w:r w:rsidR="00A06022" w:rsidRPr="006F1D0B">
              <w:rPr>
                <w:sz w:val="24"/>
                <w:szCs w:val="24"/>
              </w:rPr>
              <w:t xml:space="preserve"> amatpersonai</w:t>
            </w:r>
            <w:r w:rsidRPr="006F1D0B">
              <w:rPr>
                <w:sz w:val="24"/>
                <w:szCs w:val="24"/>
              </w:rPr>
              <w:t xml:space="preserve"> noteiktajai stundas algas likmei</w:t>
            </w:r>
            <w:r w:rsidR="00BC37B8" w:rsidRPr="006F1D0B">
              <w:rPr>
                <w:sz w:val="24"/>
                <w:szCs w:val="24"/>
              </w:rPr>
              <w:t>, kā arī gadījumos, ja attiecīgo virsstundu darbu veidos laiks, kas nebija paredzēts pārtraukumiem, arī piemaksa</w:t>
            </w:r>
            <w:r w:rsidR="00287982" w:rsidRPr="006F1D0B">
              <w:rPr>
                <w:sz w:val="24"/>
                <w:szCs w:val="24"/>
              </w:rPr>
              <w:t xml:space="preserve"> 100 procentu apmērā no noteiktās stundas algas likmes</w:t>
            </w:r>
            <w:r w:rsidRPr="006F1D0B">
              <w:rPr>
                <w:sz w:val="24"/>
                <w:szCs w:val="24"/>
              </w:rPr>
              <w:t>.</w:t>
            </w:r>
          </w:p>
          <w:p w:rsidR="00287982" w:rsidRPr="006F1D0B" w:rsidRDefault="00287982" w:rsidP="00287982">
            <w:pPr>
              <w:autoSpaceDE w:val="0"/>
              <w:autoSpaceDN w:val="0"/>
              <w:adjustRightInd w:val="0"/>
              <w:ind w:firstLine="318"/>
              <w:rPr>
                <w:sz w:val="24"/>
                <w:szCs w:val="24"/>
              </w:rPr>
            </w:pPr>
            <w:r w:rsidRPr="006F1D0B">
              <w:rPr>
                <w:sz w:val="24"/>
                <w:szCs w:val="24"/>
              </w:rPr>
              <w:t>Ņemot vērā, ka</w:t>
            </w:r>
            <w:r w:rsidR="00004C5A" w:rsidRPr="006F1D0B">
              <w:rPr>
                <w:sz w:val="24"/>
                <w:szCs w:val="24"/>
              </w:rPr>
              <w:t>,</w:t>
            </w:r>
            <w:r w:rsidR="005E6DE3" w:rsidRPr="006F1D0B">
              <w:rPr>
                <w:sz w:val="24"/>
                <w:szCs w:val="24"/>
              </w:rPr>
              <w:t xml:space="preserve"> </w:t>
            </w:r>
            <w:r w:rsidR="00004C5A" w:rsidRPr="006F1D0B">
              <w:rPr>
                <w:sz w:val="24"/>
                <w:szCs w:val="24"/>
              </w:rPr>
              <w:t xml:space="preserve">lai saglabātu dienesta uzdevumu izpildes spējas, </w:t>
            </w:r>
            <w:r w:rsidR="00CF150A" w:rsidRPr="006F1D0B">
              <w:rPr>
                <w:sz w:val="24"/>
                <w:szCs w:val="24"/>
              </w:rPr>
              <w:t xml:space="preserve">visos gadījumos nebūtu vajadzības pilnībā atteikties no </w:t>
            </w:r>
            <w:r w:rsidR="005E6DE3" w:rsidRPr="006F1D0B">
              <w:rPr>
                <w:sz w:val="24"/>
                <w:szCs w:val="24"/>
              </w:rPr>
              <w:t>dienesta pienākumu pildīšana</w:t>
            </w:r>
            <w:r w:rsidR="009B39AB" w:rsidRPr="006F1D0B">
              <w:rPr>
                <w:sz w:val="24"/>
                <w:szCs w:val="24"/>
              </w:rPr>
              <w:t>s</w:t>
            </w:r>
            <w:r w:rsidR="005E6DE3" w:rsidRPr="006F1D0B">
              <w:rPr>
                <w:sz w:val="24"/>
                <w:szCs w:val="24"/>
              </w:rPr>
              <w:t xml:space="preserve"> virs noteiktā dienesta pienākumu izpildes laika kompensē</w:t>
            </w:r>
            <w:r w:rsidR="00311772" w:rsidRPr="006F1D0B">
              <w:rPr>
                <w:sz w:val="24"/>
                <w:szCs w:val="24"/>
              </w:rPr>
              <w:t>šana</w:t>
            </w:r>
            <w:r w:rsidR="00CF150A" w:rsidRPr="006F1D0B">
              <w:rPr>
                <w:sz w:val="24"/>
                <w:szCs w:val="24"/>
              </w:rPr>
              <w:t>s</w:t>
            </w:r>
            <w:r w:rsidR="00D608C5" w:rsidRPr="006F1D0B">
              <w:rPr>
                <w:sz w:val="24"/>
                <w:szCs w:val="24"/>
              </w:rPr>
              <w:t xml:space="preserve">, piešķirot atpūtas laiku, </w:t>
            </w:r>
            <w:r w:rsidR="00A71681" w:rsidRPr="006F1D0B">
              <w:rPr>
                <w:sz w:val="24"/>
                <w:szCs w:val="24"/>
              </w:rPr>
              <w:t xml:space="preserve">tiek paredzēta arī daļēja virsstundu darba kompensēšanas aizstāšana ar apmaksu. </w:t>
            </w:r>
            <w:r w:rsidR="00004C5A" w:rsidRPr="006F1D0B">
              <w:rPr>
                <w:sz w:val="24"/>
                <w:szCs w:val="24"/>
              </w:rPr>
              <w:t>Vienlaikus virsstundu darba kompensēšanas aizstāšanas apmaksas apmērs ir diferencējams. Tādējādi, ņemot vērā minētos aspektus, ir nosakāma arī tā dienesta pienākumu pildīšana</w:t>
            </w:r>
            <w:r w:rsidR="00D608C5" w:rsidRPr="006F1D0B">
              <w:rPr>
                <w:sz w:val="24"/>
                <w:szCs w:val="24"/>
              </w:rPr>
              <w:t>s</w:t>
            </w:r>
            <w:r w:rsidR="00004C5A" w:rsidRPr="006F1D0B">
              <w:rPr>
                <w:sz w:val="24"/>
                <w:szCs w:val="24"/>
              </w:rPr>
              <w:t xml:space="preserve"> virs noteiktā dienesta pienākumu izpildes laika</w:t>
            </w:r>
            <w:r w:rsidR="00D608C5" w:rsidRPr="006F1D0B">
              <w:rPr>
                <w:sz w:val="24"/>
                <w:szCs w:val="24"/>
              </w:rPr>
              <w:t xml:space="preserve"> kategorija</w:t>
            </w:r>
            <w:r w:rsidR="00004C5A" w:rsidRPr="006F1D0B">
              <w:rPr>
                <w:sz w:val="24"/>
                <w:szCs w:val="24"/>
              </w:rPr>
              <w:t>, kas primāri būtu kompensējama ar brīvo laiku.</w:t>
            </w:r>
            <w:r w:rsidRPr="006F1D0B">
              <w:rPr>
                <w:sz w:val="24"/>
                <w:szCs w:val="24"/>
              </w:rPr>
              <w:t xml:space="preserve"> </w:t>
            </w:r>
          </w:p>
          <w:p w:rsidR="000363FA" w:rsidRPr="006F1D0B" w:rsidRDefault="000363FA" w:rsidP="000363FA">
            <w:pPr>
              <w:autoSpaceDE w:val="0"/>
              <w:autoSpaceDN w:val="0"/>
              <w:adjustRightInd w:val="0"/>
              <w:ind w:firstLine="318"/>
              <w:rPr>
                <w:sz w:val="24"/>
                <w:szCs w:val="24"/>
              </w:rPr>
            </w:pPr>
            <w:r w:rsidRPr="006F1D0B">
              <w:rPr>
                <w:sz w:val="24"/>
                <w:szCs w:val="24"/>
              </w:rPr>
              <w:t xml:space="preserve">Likumprojekts paredz Atlīdzības likuma </w:t>
            </w:r>
            <w:proofErr w:type="gramStart"/>
            <w:r w:rsidRPr="006F1D0B">
              <w:rPr>
                <w:sz w:val="24"/>
                <w:szCs w:val="24"/>
              </w:rPr>
              <w:t>14.panta</w:t>
            </w:r>
            <w:proofErr w:type="gramEnd"/>
            <w:r w:rsidRPr="006F1D0B">
              <w:rPr>
                <w:sz w:val="24"/>
                <w:szCs w:val="24"/>
              </w:rPr>
              <w:t xml:space="preserve"> 10.</w:t>
            </w:r>
            <w:r w:rsidRPr="006F1D0B">
              <w:rPr>
                <w:sz w:val="24"/>
                <w:szCs w:val="24"/>
                <w:vertAlign w:val="superscript"/>
              </w:rPr>
              <w:t xml:space="preserve">1 </w:t>
            </w:r>
            <w:r w:rsidRPr="006F1D0B">
              <w:rPr>
                <w:sz w:val="24"/>
                <w:szCs w:val="24"/>
              </w:rPr>
              <w:t>daļā paredzēto virsstundu darba regulējošo normu iekļaušanu Atlīdzī</w:t>
            </w:r>
            <w:r w:rsidR="005E3C04" w:rsidRPr="006F1D0B">
              <w:rPr>
                <w:sz w:val="24"/>
                <w:szCs w:val="24"/>
              </w:rPr>
              <w:t>bas likuma 14.panta desmitajā da</w:t>
            </w:r>
            <w:r w:rsidRPr="006F1D0B">
              <w:rPr>
                <w:sz w:val="24"/>
                <w:szCs w:val="24"/>
              </w:rPr>
              <w:t>ļā, lai nodrošinātu uz amatpersonām attiecināmā virsstundu darba regulējuma lielāku skaidrību.</w:t>
            </w:r>
          </w:p>
        </w:tc>
      </w:tr>
      <w:tr w:rsidR="006F1D0B" w:rsidRPr="006F1D0B" w:rsidTr="006F1D0B">
        <w:trPr>
          <w:trHeight w:val="465"/>
          <w:tblCellSpacing w:w="15" w:type="dxa"/>
        </w:trPr>
        <w:tc>
          <w:tcPr>
            <w:tcW w:w="4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878"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617" w:type="pct"/>
            <w:tcBorders>
              <w:top w:val="outset" w:sz="6" w:space="0" w:color="auto"/>
              <w:left w:val="outset" w:sz="6" w:space="0" w:color="auto"/>
              <w:bottom w:val="outset" w:sz="6" w:space="0" w:color="auto"/>
              <w:right w:val="outset" w:sz="6" w:space="0" w:color="auto"/>
            </w:tcBorders>
            <w:hideMark/>
          </w:tcPr>
          <w:p w:rsidR="00862D0F" w:rsidRPr="006F1D0B" w:rsidRDefault="00585484" w:rsidP="009D072D">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p>
        </w:tc>
      </w:tr>
      <w:tr w:rsidR="006F1D0B" w:rsidRPr="006F1D0B" w:rsidTr="006F1D0B">
        <w:trPr>
          <w:tblCellSpacing w:w="15" w:type="dxa"/>
        </w:trPr>
        <w:tc>
          <w:tcPr>
            <w:tcW w:w="4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878"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617" w:type="pct"/>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8C16EE">
        <w:trPr>
          <w:trHeight w:val="555"/>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6F1D0B" w:rsidRPr="006F1D0B"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056"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6F1D0B" w:rsidRDefault="00D12AF7" w:rsidP="00C6177A">
            <w:pPr>
              <w:shd w:val="clear" w:color="auto" w:fill="FFFFFF"/>
              <w:ind w:right="57" w:firstLine="0"/>
              <w:rPr>
                <w:rFonts w:eastAsia="Calibri" w:cs="Times New Roman"/>
                <w:sz w:val="24"/>
                <w:szCs w:val="24"/>
              </w:rPr>
            </w:pPr>
            <w:r w:rsidRPr="006F1D0B">
              <w:rPr>
                <w:rFonts w:eastAsia="Calibri" w:cs="Times New Roman"/>
                <w:sz w:val="24"/>
                <w:szCs w:val="24"/>
              </w:rPr>
              <w:t>Likumprojekts</w:t>
            </w:r>
            <w:r w:rsidR="00AD7791" w:rsidRPr="006F1D0B">
              <w:rPr>
                <w:rFonts w:eastAsia="Calibri" w:cs="Times New Roman"/>
                <w:sz w:val="24"/>
                <w:szCs w:val="24"/>
              </w:rPr>
              <w:t xml:space="preserve"> </w:t>
            </w:r>
            <w:r w:rsidR="00683059" w:rsidRPr="006F1D0B">
              <w:rPr>
                <w:rFonts w:eastAsia="Calibri" w:cs="Times New Roman"/>
                <w:sz w:val="24"/>
                <w:szCs w:val="24"/>
              </w:rPr>
              <w:t>“Grozījums Valsts un pašvaldību institūciju amatpersonu un darbinieku atlīdzības likumā”</w:t>
            </w:r>
            <w:r w:rsidR="0051055D" w:rsidRPr="006F1D0B">
              <w:rPr>
                <w:rFonts w:eastAsia="Calibri" w:cs="Times New Roman"/>
                <w:sz w:val="24"/>
                <w:szCs w:val="24"/>
              </w:rPr>
              <w:t xml:space="preserve"> </w:t>
            </w:r>
            <w:r w:rsidR="00204C76" w:rsidRPr="006F1D0B">
              <w:rPr>
                <w:rFonts w:eastAsia="Calibri" w:cs="Times New Roman"/>
                <w:sz w:val="24"/>
                <w:szCs w:val="24"/>
              </w:rPr>
              <w:t xml:space="preserve">attieksies </w:t>
            </w:r>
            <w:r w:rsidRPr="006F1D0B">
              <w:rPr>
                <w:rFonts w:eastAsia="Calibri" w:cs="Times New Roman"/>
                <w:sz w:val="24"/>
                <w:szCs w:val="24"/>
              </w:rPr>
              <w:t xml:space="preserve">uz </w:t>
            </w:r>
            <w:r w:rsidR="00AF3807" w:rsidRPr="006F1D0B">
              <w:rPr>
                <w:rFonts w:eastAsia="Calibri" w:cs="Times New Roman"/>
                <w:sz w:val="24"/>
                <w:szCs w:val="24"/>
              </w:rPr>
              <w:t xml:space="preserve">Iekšlietu ministrijas sistēmas iestāžu un Ieslodzījuma vietu pārvaldes </w:t>
            </w:r>
            <w:r w:rsidR="00C6177A" w:rsidRPr="006F1D0B">
              <w:rPr>
                <w:rFonts w:eastAsia="Calibri" w:cs="Times New Roman"/>
                <w:sz w:val="24"/>
                <w:szCs w:val="24"/>
              </w:rPr>
              <w:t>amatpersonām ar speciālajām dienesta pakāpēm.</w:t>
            </w:r>
          </w:p>
          <w:p w:rsidR="00862D0F" w:rsidRPr="006F1D0B" w:rsidRDefault="00862D0F" w:rsidP="004F55B2">
            <w:pPr>
              <w:ind w:firstLine="271"/>
              <w:jc w:val="left"/>
              <w:rPr>
                <w:rFonts w:eastAsia="Times New Roman" w:cs="Times New Roman"/>
                <w:sz w:val="24"/>
                <w:szCs w:val="24"/>
                <w:lang w:eastAsia="lv-LV"/>
              </w:rPr>
            </w:pPr>
          </w:p>
        </w:tc>
      </w:tr>
      <w:tr w:rsidR="006F1D0B" w:rsidRPr="006F1D0B"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1056"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6F1D0B" w:rsidRDefault="005937BE"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Projekts šo jomu neskar.</w:t>
            </w:r>
          </w:p>
        </w:tc>
      </w:tr>
      <w:tr w:rsidR="006F1D0B" w:rsidRPr="006F1D0B"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056"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Projekts šo jomu neskar.</w:t>
            </w:r>
          </w:p>
        </w:tc>
      </w:tr>
      <w:tr w:rsidR="006F1D0B" w:rsidRPr="006F1D0B"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1056"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3D6EA8" w:rsidRPr="006F1D0B" w:rsidRDefault="00862D0F" w:rsidP="00131DBE">
      <w:pPr>
        <w:spacing w:before="100" w:beforeAutospacing="1" w:after="100" w:afterAutospacing="1"/>
        <w:ind w:left="-426" w:firstLine="0"/>
        <w:jc w:val="left"/>
        <w:rPr>
          <w:rFonts w:eastAsia="Times New Roman" w:cs="Times New Roman"/>
          <w:sz w:val="24"/>
          <w:szCs w:val="24"/>
          <w:lang w:eastAsia="lv-LV"/>
        </w:rPr>
      </w:pPr>
      <w:r w:rsidRPr="006F1D0B">
        <w:rPr>
          <w:rFonts w:eastAsia="Times New Roman" w:cs="Times New Roman"/>
          <w:sz w:val="24"/>
          <w:szCs w:val="24"/>
          <w:lang w:eastAsia="lv-LV"/>
        </w:rPr>
        <w:t> </w:t>
      </w:r>
    </w:p>
    <w:tbl>
      <w:tblPr>
        <w:tblW w:w="5367"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27"/>
        <w:gridCol w:w="1310"/>
        <w:gridCol w:w="967"/>
        <w:gridCol w:w="1648"/>
        <w:gridCol w:w="1684"/>
        <w:gridCol w:w="1950"/>
        <w:gridCol w:w="95"/>
      </w:tblGrid>
      <w:tr w:rsidR="006F1D0B" w:rsidRPr="006F1D0B" w:rsidTr="006F1D0B">
        <w:trPr>
          <w:gridAfter w:val="1"/>
          <w:wAfter w:w="26" w:type="dxa"/>
          <w:trHeight w:val="420"/>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tcPr>
          <w:p w:rsidR="0084333A" w:rsidRPr="006F1D0B" w:rsidRDefault="0084333A" w:rsidP="0084333A">
            <w:pPr>
              <w:spacing w:before="100" w:beforeAutospacing="1" w:after="100" w:afterAutospacing="1"/>
              <w:ind w:firstLine="0"/>
              <w:jc w:val="center"/>
              <w:rPr>
                <w:rFonts w:eastAsia="Times New Roman" w:cs="Times New Roman"/>
                <w:b/>
                <w:sz w:val="24"/>
                <w:szCs w:val="24"/>
                <w:lang w:eastAsia="lv-LV"/>
              </w:rPr>
            </w:pPr>
            <w:r w:rsidRPr="006F1D0B">
              <w:rPr>
                <w:rFonts w:eastAsia="Times New Roman" w:cs="Times New Roman"/>
                <w:b/>
                <w:sz w:val="24"/>
                <w:szCs w:val="24"/>
                <w:lang w:eastAsia="lv-LV"/>
              </w:rPr>
              <w:lastRenderedPageBreak/>
              <w:br w:type="page"/>
              <w:t>III. Tiesību akta projekta ietekme uz valsts budžetu un pašvaldību budžetiem</w:t>
            </w: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blCellSpacing w:w="15" w:type="dxa"/>
          <w:jc w:val="center"/>
        </w:trPr>
        <w:tc>
          <w:tcPr>
            <w:tcW w:w="1090" w:type="pct"/>
            <w:vMerge w:val="restart"/>
            <w:vAlign w:val="center"/>
          </w:tcPr>
          <w:p w:rsidR="0084333A" w:rsidRPr="006F1D0B" w:rsidRDefault="0084333A" w:rsidP="0084333A">
            <w:pPr>
              <w:spacing w:before="100" w:beforeAutospacing="1" w:after="100" w:afterAutospacing="1"/>
              <w:ind w:firstLine="0"/>
              <w:jc w:val="left"/>
              <w:rPr>
                <w:rFonts w:eastAsia="Times New Roman" w:cs="Times New Roman"/>
                <w:b/>
                <w:sz w:val="24"/>
                <w:szCs w:val="24"/>
                <w:lang w:eastAsia="lv-LV"/>
              </w:rPr>
            </w:pPr>
            <w:r w:rsidRPr="006F1D0B">
              <w:rPr>
                <w:rFonts w:eastAsia="Times New Roman" w:cs="Times New Roman"/>
                <w:b/>
                <w:sz w:val="24"/>
                <w:szCs w:val="24"/>
                <w:lang w:eastAsia="lv-LV"/>
              </w:rPr>
              <w:t>Rādītāji</w:t>
            </w:r>
          </w:p>
        </w:tc>
        <w:tc>
          <w:tcPr>
            <w:tcW w:w="1161" w:type="pct"/>
            <w:gridSpan w:val="2"/>
            <w:vMerge w:val="restart"/>
            <w:vAlign w:val="center"/>
          </w:tcPr>
          <w:p w:rsidR="0084333A" w:rsidRPr="006F1D0B" w:rsidRDefault="0084333A" w:rsidP="0084333A">
            <w:pPr>
              <w:spacing w:before="100" w:beforeAutospacing="1" w:after="100" w:afterAutospacing="1"/>
              <w:ind w:firstLine="0"/>
              <w:jc w:val="left"/>
              <w:rPr>
                <w:rFonts w:eastAsia="Times New Roman" w:cs="Times New Roman"/>
                <w:b/>
                <w:sz w:val="24"/>
                <w:szCs w:val="24"/>
                <w:lang w:eastAsia="lv-LV"/>
              </w:rPr>
            </w:pPr>
            <w:r w:rsidRPr="006F1D0B">
              <w:rPr>
                <w:rFonts w:eastAsia="Times New Roman" w:cs="Times New Roman"/>
                <w:b/>
                <w:sz w:val="24"/>
                <w:szCs w:val="24"/>
                <w:lang w:eastAsia="lv-LV"/>
              </w:rPr>
              <w:t>2016</w:t>
            </w:r>
          </w:p>
        </w:tc>
        <w:tc>
          <w:tcPr>
            <w:tcW w:w="2687" w:type="pct"/>
            <w:gridSpan w:val="3"/>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Turpmākie trīs gadi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w:t>
            </w: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blCellSpacing w:w="15" w:type="dxa"/>
          <w:jc w:val="center"/>
        </w:trPr>
        <w:tc>
          <w:tcPr>
            <w:tcW w:w="1090" w:type="pct"/>
            <w:vMerge/>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p>
        </w:tc>
        <w:tc>
          <w:tcPr>
            <w:tcW w:w="1161" w:type="pct"/>
            <w:gridSpan w:val="2"/>
            <w:vMerge/>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p>
        </w:tc>
        <w:tc>
          <w:tcPr>
            <w:tcW w:w="847"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b/>
                <w:bCs/>
                <w:sz w:val="24"/>
                <w:szCs w:val="24"/>
                <w:lang w:eastAsia="lv-LV"/>
              </w:rPr>
              <w:t>2017</w:t>
            </w:r>
          </w:p>
        </w:tc>
        <w:tc>
          <w:tcPr>
            <w:tcW w:w="866"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b/>
                <w:bCs/>
                <w:sz w:val="24"/>
                <w:szCs w:val="24"/>
                <w:lang w:eastAsia="lv-LV"/>
              </w:rPr>
              <w:t>2018</w:t>
            </w:r>
          </w:p>
        </w:tc>
        <w:tc>
          <w:tcPr>
            <w:tcW w:w="944"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b/>
                <w:bCs/>
                <w:sz w:val="24"/>
                <w:szCs w:val="24"/>
                <w:lang w:eastAsia="lv-LV"/>
              </w:rPr>
              <w:t>2019</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vMerge/>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p>
        </w:tc>
        <w:tc>
          <w:tcPr>
            <w:tcW w:w="670"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saskaņā ar valsts budžetu kārtējam gadam</w:t>
            </w:r>
          </w:p>
        </w:tc>
        <w:tc>
          <w:tcPr>
            <w:tcW w:w="476"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izmaiņas kārtējā gadā, salīdzinot ar budžetu kārtējam gadam</w:t>
            </w:r>
          </w:p>
        </w:tc>
        <w:tc>
          <w:tcPr>
            <w:tcW w:w="847"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izmaiņas, salīdzinot ar kārtējo 2016. gadu</w:t>
            </w:r>
          </w:p>
        </w:tc>
        <w:tc>
          <w:tcPr>
            <w:tcW w:w="866"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 xml:space="preserve">izmaiņas, salīdzinot ar kārtējo </w:t>
            </w:r>
            <w:proofErr w:type="gramStart"/>
            <w:r w:rsidRPr="006F1D0B">
              <w:rPr>
                <w:rFonts w:eastAsia="Times New Roman" w:cs="Times New Roman"/>
                <w:sz w:val="24"/>
                <w:szCs w:val="24"/>
                <w:lang w:eastAsia="lv-LV"/>
              </w:rPr>
              <w:t>2016.gadu</w:t>
            </w:r>
            <w:proofErr w:type="gramEnd"/>
          </w:p>
        </w:tc>
        <w:tc>
          <w:tcPr>
            <w:tcW w:w="944" w:type="pct"/>
            <w:vAlign w:val="center"/>
          </w:tcPr>
          <w:p w:rsidR="0084333A" w:rsidRPr="006F1D0B" w:rsidRDefault="0084333A" w:rsidP="0084333A">
            <w:pPr>
              <w:spacing w:before="100" w:beforeAutospacing="1" w:after="100" w:afterAutospacing="1"/>
              <w:ind w:firstLine="0"/>
              <w:jc w:val="left"/>
              <w:rPr>
                <w:rFonts w:eastAsia="Times New Roman" w:cs="Times New Roman"/>
                <w:b/>
                <w:i/>
                <w:sz w:val="24"/>
                <w:szCs w:val="24"/>
                <w:lang w:eastAsia="lv-LV"/>
              </w:rPr>
            </w:pPr>
            <w:r w:rsidRPr="006F1D0B">
              <w:rPr>
                <w:rFonts w:eastAsia="Times New Roman" w:cs="Times New Roman"/>
                <w:sz w:val="24"/>
                <w:szCs w:val="24"/>
                <w:lang w:eastAsia="lv-LV"/>
              </w:rPr>
              <w:t xml:space="preserve">izmaiņas, salīdzinot ar kārtējo </w:t>
            </w:r>
            <w:proofErr w:type="gramStart"/>
            <w:r w:rsidRPr="006F1D0B">
              <w:rPr>
                <w:rFonts w:eastAsia="Times New Roman" w:cs="Times New Roman"/>
                <w:sz w:val="24"/>
                <w:szCs w:val="24"/>
                <w:lang w:eastAsia="lv-LV"/>
              </w:rPr>
              <w:t>2016.gadu</w:t>
            </w:r>
            <w:proofErr w:type="gramEnd"/>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trHeight w:val="177"/>
          <w:jc w:val="center"/>
        </w:trPr>
        <w:tc>
          <w:tcPr>
            <w:tcW w:w="1090"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1</w:t>
            </w:r>
          </w:p>
        </w:tc>
        <w:tc>
          <w:tcPr>
            <w:tcW w:w="670"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2</w:t>
            </w:r>
          </w:p>
        </w:tc>
        <w:tc>
          <w:tcPr>
            <w:tcW w:w="476"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3</w:t>
            </w:r>
          </w:p>
        </w:tc>
        <w:tc>
          <w:tcPr>
            <w:tcW w:w="847"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4</w:t>
            </w:r>
          </w:p>
        </w:tc>
        <w:tc>
          <w:tcPr>
            <w:tcW w:w="866"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5</w:t>
            </w:r>
          </w:p>
        </w:tc>
        <w:tc>
          <w:tcPr>
            <w:tcW w:w="944" w:type="pct"/>
            <w:vAlign w:val="center"/>
          </w:tcPr>
          <w:p w:rsidR="0084333A" w:rsidRPr="006F1D0B" w:rsidRDefault="0084333A" w:rsidP="0084333A">
            <w:pPr>
              <w:spacing w:before="100" w:beforeAutospacing="1" w:after="100" w:afterAutospacing="1"/>
              <w:ind w:firstLine="0"/>
              <w:jc w:val="left"/>
              <w:rPr>
                <w:rFonts w:eastAsia="Times New Roman" w:cs="Times New Roman"/>
                <w:bCs/>
                <w:sz w:val="24"/>
                <w:szCs w:val="24"/>
                <w:lang w:eastAsia="lv-LV"/>
              </w:rPr>
            </w:pPr>
            <w:r w:rsidRPr="006F1D0B">
              <w:rPr>
                <w:rFonts w:eastAsia="Times New Roman" w:cs="Times New Roman"/>
                <w:bCs/>
                <w:sz w:val="24"/>
                <w:szCs w:val="24"/>
                <w:lang w:eastAsia="lv-LV"/>
              </w:rPr>
              <w:t>6</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t>1. Budžeta ieņēmumi:</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94 028 245</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t>1.1. valsts pamatbudžets, tai skaitā ieņēmumi no maksas pakalpojumiem un citi pašu ieņēmumi</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94 028 245</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t>1.2. valsts speciālais budžets</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t>1.3. pašvaldību budžets</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2. Budžeta izdevumi:</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94 028 245</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2.1. valsts pamatbudžets</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94 028 245</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2.2. valsts speciālais budžets</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2.3. pašvaldību budžets </w:t>
            </w:r>
          </w:p>
        </w:tc>
        <w:tc>
          <w:tcPr>
            <w:tcW w:w="67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3. Finansiālā ietekme:</w:t>
            </w:r>
          </w:p>
        </w:tc>
        <w:tc>
          <w:tcPr>
            <w:tcW w:w="670" w:type="pct"/>
            <w:shd w:val="clear" w:color="auto" w:fill="auto"/>
            <w:vAlign w:val="center"/>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3.1. valsts pamatbudžets</w:t>
            </w:r>
          </w:p>
        </w:tc>
        <w:tc>
          <w:tcPr>
            <w:tcW w:w="670" w:type="pct"/>
            <w:shd w:val="clear" w:color="auto" w:fill="auto"/>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3.2. speciālais budžets</w:t>
            </w:r>
          </w:p>
        </w:tc>
        <w:tc>
          <w:tcPr>
            <w:tcW w:w="670" w:type="pct"/>
            <w:shd w:val="clear" w:color="auto" w:fill="auto"/>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3.3. pašvaldību budžets </w:t>
            </w:r>
          </w:p>
        </w:tc>
        <w:tc>
          <w:tcPr>
            <w:tcW w:w="670" w:type="pct"/>
            <w:shd w:val="clear" w:color="auto" w:fill="auto"/>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vMerge w:val="restar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4. Finanšu līdzekļi papildu izdevumu finansēšanai (kompensējošu izdevumu </w:t>
            </w:r>
            <w:r w:rsidRPr="006F1D0B">
              <w:rPr>
                <w:rFonts w:eastAsia="Times New Roman" w:cs="Times New Roman"/>
                <w:sz w:val="24"/>
                <w:szCs w:val="24"/>
                <w:lang w:eastAsia="lv-LV"/>
              </w:rPr>
              <w:lastRenderedPageBreak/>
              <w:t>samazinājumu norāda ar "+" zīmi)</w:t>
            </w:r>
          </w:p>
        </w:tc>
        <w:tc>
          <w:tcPr>
            <w:tcW w:w="670" w:type="pct"/>
            <w:vMerge w:val="restar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lastRenderedPageBreak/>
              <w:t>X</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vMerge/>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670" w:type="pct"/>
            <w:vMerge/>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vMerge/>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p>
        </w:tc>
        <w:tc>
          <w:tcPr>
            <w:tcW w:w="670" w:type="pct"/>
            <w:vMerge/>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5. Precizēta finansiālā ietekme:</w:t>
            </w:r>
          </w:p>
        </w:tc>
        <w:tc>
          <w:tcPr>
            <w:tcW w:w="670" w:type="pct"/>
            <w:vMerge w:val="restart"/>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r w:rsidRPr="006F1D0B">
              <w:rPr>
                <w:rFonts w:eastAsia="Times New Roman" w:cs="Times New Roman"/>
                <w:sz w:val="24"/>
                <w:szCs w:val="24"/>
                <w:lang w:eastAsia="lv-LV"/>
              </w:rPr>
              <w:t>X</w:t>
            </w: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-4 785 511</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5.1. valsts pamatbudžets</w:t>
            </w:r>
          </w:p>
        </w:tc>
        <w:tc>
          <w:tcPr>
            <w:tcW w:w="670" w:type="pct"/>
            <w:vMerge/>
            <w:vAlign w:val="center"/>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5.2. speciālais budžets</w:t>
            </w:r>
          </w:p>
        </w:tc>
        <w:tc>
          <w:tcPr>
            <w:tcW w:w="670" w:type="pct"/>
            <w:vMerge/>
            <w:vAlign w:val="center"/>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6"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5.3. pašvaldību budžets </w:t>
            </w:r>
          </w:p>
        </w:tc>
        <w:tc>
          <w:tcPr>
            <w:tcW w:w="670" w:type="pct"/>
            <w:vMerge/>
            <w:vAlign w:val="center"/>
          </w:tcPr>
          <w:p w:rsidR="0084333A" w:rsidRPr="006F1D0B" w:rsidRDefault="0084333A" w:rsidP="0084333A">
            <w:pPr>
              <w:spacing w:before="100" w:beforeAutospacing="1" w:after="100" w:afterAutospacing="1"/>
              <w:ind w:firstLine="0"/>
              <w:jc w:val="left"/>
              <w:rPr>
                <w:rFonts w:eastAsia="Times New Roman" w:cs="Times New Roman"/>
                <w:i/>
                <w:sz w:val="24"/>
                <w:szCs w:val="24"/>
                <w:lang w:eastAsia="lv-LV"/>
              </w:rPr>
            </w:pPr>
          </w:p>
        </w:tc>
        <w:tc>
          <w:tcPr>
            <w:tcW w:w="47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47"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866"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c>
          <w:tcPr>
            <w:tcW w:w="944"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0</w:t>
            </w: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blCellSpacing w:w="15"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6. Detalizēts ieņēmumu un izdevumu aprēķins (ja nepie</w:t>
            </w:r>
            <w:r w:rsidRPr="006F1D0B">
              <w:rPr>
                <w:rFonts w:eastAsia="Times New Roman" w:cs="Times New Roman"/>
                <w:sz w:val="24"/>
                <w:szCs w:val="24"/>
                <w:lang w:eastAsia="lv-LV"/>
              </w:rPr>
              <w:softHyphen/>
              <w:t>ciešams, detalizētu ieņēmumu un izdevumu aprēķinu var pie</w:t>
            </w:r>
            <w:r w:rsidRPr="006F1D0B">
              <w:rPr>
                <w:rFonts w:eastAsia="Times New Roman" w:cs="Times New Roman"/>
                <w:sz w:val="24"/>
                <w:szCs w:val="24"/>
                <w:lang w:eastAsia="lv-LV"/>
              </w:rPr>
              <w:softHyphen/>
              <w:t>vienot anotācijas pielikumā):</w:t>
            </w:r>
          </w:p>
        </w:tc>
        <w:tc>
          <w:tcPr>
            <w:tcW w:w="3864" w:type="pct"/>
            <w:gridSpan w:val="5"/>
            <w:vMerge w:val="restart"/>
            <w:vAlign w:val="center"/>
          </w:tcPr>
          <w:p w:rsidR="006C4677" w:rsidRPr="006F1D0B" w:rsidRDefault="0084333A" w:rsidP="006F1D0B">
            <w:pPr>
              <w:ind w:firstLine="0"/>
              <w:jc w:val="left"/>
              <w:rPr>
                <w:rFonts w:eastAsia="Times New Roman" w:cs="Times New Roman"/>
                <w:sz w:val="24"/>
                <w:szCs w:val="24"/>
                <w:lang w:eastAsia="lv-LV"/>
              </w:rPr>
            </w:pPr>
            <w:r w:rsidRPr="006F1D0B">
              <w:rPr>
                <w:rFonts w:eastAsia="Times New Roman" w:cs="Times New Roman"/>
                <w:sz w:val="24"/>
                <w:szCs w:val="24"/>
                <w:lang w:eastAsia="lv-LV"/>
              </w:rPr>
              <w:t>Papildu nepieciešamais finansējums samaksai par virsstundu darbu, kas izveidojas</w:t>
            </w:r>
            <w:r w:rsidR="006C4677" w:rsidRPr="006F1D0B">
              <w:rPr>
                <w:rFonts w:eastAsia="Times New Roman" w:cs="Times New Roman"/>
                <w:sz w:val="24"/>
                <w:szCs w:val="24"/>
                <w:lang w:eastAsia="lv-LV"/>
              </w:rPr>
              <w:t>,</w:t>
            </w:r>
            <w:r w:rsidRPr="006F1D0B">
              <w:rPr>
                <w:rFonts w:eastAsia="Times New Roman" w:cs="Times New Roman"/>
                <w:sz w:val="24"/>
                <w:szCs w:val="24"/>
                <w:lang w:eastAsia="lv-LV"/>
              </w:rPr>
              <w:t xml:space="preserve"> amatperson</w:t>
            </w:r>
            <w:r w:rsidR="006C4677" w:rsidRPr="006F1D0B">
              <w:rPr>
                <w:rFonts w:eastAsia="Times New Roman" w:cs="Times New Roman"/>
                <w:sz w:val="24"/>
                <w:szCs w:val="24"/>
                <w:lang w:eastAsia="lv-LV"/>
              </w:rPr>
              <w:t>ai</w:t>
            </w:r>
            <w:r w:rsidRPr="006F1D0B">
              <w:rPr>
                <w:rFonts w:eastAsia="Times New Roman" w:cs="Times New Roman"/>
                <w:sz w:val="24"/>
                <w:szCs w:val="24"/>
                <w:lang w:eastAsia="lv-LV"/>
              </w:rPr>
              <w:t xml:space="preserve"> dienesta pienākumu izpildes laikā ieskaitot laiku, kad tai dota iespēja paēst, neatstājot dienesta vietu, piemaksai par nakts darbu, ja iespēja paēst paredzēta nakts laikā (no plkst.22.00 līdz 6.00), kā arī</w:t>
            </w:r>
            <w:proofErr w:type="gramStart"/>
            <w:r w:rsidRPr="006F1D0B">
              <w:rPr>
                <w:rFonts w:eastAsia="Times New Roman" w:cs="Times New Roman"/>
                <w:sz w:val="24"/>
                <w:szCs w:val="24"/>
                <w:lang w:eastAsia="lv-LV"/>
              </w:rPr>
              <w:t xml:space="preserve"> darba samaksas pieauguma ietekmei uz vidējās izpeļņas pieaugumu aprēķināts</w:t>
            </w:r>
            <w:proofErr w:type="gramEnd"/>
            <w:r w:rsidRPr="006F1D0B">
              <w:rPr>
                <w:rFonts w:eastAsia="Times New Roman" w:cs="Times New Roman"/>
                <w:sz w:val="24"/>
                <w:szCs w:val="24"/>
                <w:lang w:eastAsia="lv-LV"/>
              </w:rPr>
              <w:t xml:space="preserve">, pamatojoties uz </w:t>
            </w:r>
            <w:r w:rsidRPr="006F1D0B">
              <w:rPr>
                <w:rFonts w:eastAsia="Times New Roman" w:cs="Times New Roman"/>
                <w:i/>
                <w:sz w:val="24"/>
                <w:szCs w:val="24"/>
                <w:lang w:eastAsia="lv-LV"/>
              </w:rPr>
              <w:t>kompensējamo virsstundu skaitu</w:t>
            </w:r>
            <w:r w:rsidRPr="006F1D0B">
              <w:rPr>
                <w:rFonts w:eastAsia="Times New Roman" w:cs="Times New Roman"/>
                <w:sz w:val="24"/>
                <w:szCs w:val="24"/>
                <w:lang w:eastAsia="lv-LV"/>
              </w:rPr>
              <w:t xml:space="preserve"> (detalizēts aprēķins – anotācijas 1.pielikumā).</w:t>
            </w:r>
          </w:p>
          <w:p w:rsidR="0084333A" w:rsidRPr="006F1D0B" w:rsidRDefault="0084333A" w:rsidP="006F1D0B">
            <w:pPr>
              <w:ind w:firstLine="0"/>
              <w:jc w:val="left"/>
              <w:rPr>
                <w:rFonts w:eastAsia="Times New Roman" w:cs="Times New Roman"/>
                <w:sz w:val="24"/>
                <w:szCs w:val="24"/>
                <w:lang w:eastAsia="lv-LV"/>
              </w:rPr>
            </w:pPr>
            <w:r w:rsidRPr="006F1D0B">
              <w:rPr>
                <w:rFonts w:eastAsia="Times New Roman" w:cs="Times New Roman"/>
                <w:i/>
                <w:sz w:val="24"/>
                <w:szCs w:val="24"/>
                <w:lang w:eastAsia="lv-LV"/>
              </w:rPr>
              <w:t>Papildu izdevumu detalizēts aprēķins</w:t>
            </w:r>
            <w:r w:rsidRPr="006F1D0B">
              <w:rPr>
                <w:rFonts w:eastAsia="Times New Roman" w:cs="Times New Roman"/>
                <w:sz w:val="24"/>
                <w:szCs w:val="24"/>
                <w:lang w:eastAsia="lv-LV"/>
              </w:rPr>
              <w:t xml:space="preserve"> atspoguļots anotācijas 2.pielikumā.</w:t>
            </w:r>
          </w:p>
          <w:p w:rsidR="0084333A" w:rsidRPr="006F1D0B" w:rsidRDefault="0084333A" w:rsidP="006F1D0B">
            <w:pPr>
              <w:ind w:firstLine="0"/>
              <w:jc w:val="left"/>
              <w:rPr>
                <w:rFonts w:eastAsia="Times New Roman" w:cs="Times New Roman"/>
                <w:sz w:val="24"/>
                <w:szCs w:val="24"/>
                <w:lang w:eastAsia="lv-LV"/>
              </w:rPr>
            </w:pPr>
            <w:r w:rsidRPr="006F1D0B">
              <w:rPr>
                <w:rFonts w:eastAsia="Times New Roman" w:cs="Times New Roman"/>
                <w:sz w:val="24"/>
                <w:szCs w:val="24"/>
                <w:lang w:eastAsia="lv-LV"/>
              </w:rPr>
              <w:t>Izdevumi amatpersonu atlīdzības palielināšanai – kopā</w:t>
            </w:r>
          </w:p>
          <w:p w:rsidR="0084333A" w:rsidRPr="006F1D0B" w:rsidRDefault="0084333A" w:rsidP="006F1D0B">
            <w:pPr>
              <w:numPr>
                <w:ilvl w:val="0"/>
                <w:numId w:val="10"/>
              </w:numPr>
              <w:jc w:val="left"/>
              <w:rPr>
                <w:rFonts w:eastAsia="Times New Roman" w:cs="Times New Roman"/>
                <w:sz w:val="24"/>
                <w:szCs w:val="24"/>
                <w:lang w:eastAsia="lv-LV"/>
              </w:rPr>
            </w:pPr>
            <w:r w:rsidRPr="006F1D0B">
              <w:rPr>
                <w:rFonts w:eastAsia="Times New Roman" w:cs="Times New Roman"/>
                <w:b/>
                <w:sz w:val="24"/>
                <w:szCs w:val="24"/>
                <w:lang w:eastAsia="lv-LV"/>
              </w:rPr>
              <w:t>4 785 511</w:t>
            </w:r>
            <w:r w:rsidRPr="006F1D0B">
              <w:rPr>
                <w:rFonts w:eastAsia="Times New Roman" w:cs="Times New Roman"/>
                <w:b/>
                <w:i/>
                <w:sz w:val="24"/>
                <w:szCs w:val="24"/>
                <w:lang w:eastAsia="lv-LV"/>
              </w:rPr>
              <w:t xml:space="preserve"> </w:t>
            </w:r>
            <w:proofErr w:type="spellStart"/>
            <w:r w:rsidRPr="006F1D0B">
              <w:rPr>
                <w:rFonts w:eastAsia="Times New Roman" w:cs="Times New Roman"/>
                <w:b/>
                <w:i/>
                <w:sz w:val="24"/>
                <w:szCs w:val="24"/>
                <w:lang w:eastAsia="lv-LV"/>
              </w:rPr>
              <w:t>euro</w:t>
            </w:r>
            <w:proofErr w:type="spellEnd"/>
            <w:r w:rsidRPr="006F1D0B">
              <w:rPr>
                <w:rFonts w:eastAsia="Times New Roman" w:cs="Times New Roman"/>
                <w:sz w:val="24"/>
                <w:szCs w:val="24"/>
                <w:lang w:eastAsia="lv-LV"/>
              </w:rPr>
              <w:t>,</w:t>
            </w:r>
          </w:p>
          <w:p w:rsidR="0084333A" w:rsidRPr="006F1D0B" w:rsidRDefault="0084333A" w:rsidP="006F1D0B">
            <w:pPr>
              <w:ind w:firstLine="0"/>
              <w:jc w:val="left"/>
              <w:rPr>
                <w:rFonts w:eastAsia="Times New Roman" w:cs="Times New Roman"/>
                <w:sz w:val="24"/>
                <w:szCs w:val="24"/>
                <w:lang w:eastAsia="lv-LV"/>
              </w:rPr>
            </w:pPr>
            <w:r w:rsidRPr="006F1D0B">
              <w:rPr>
                <w:rFonts w:eastAsia="Times New Roman" w:cs="Times New Roman"/>
                <w:sz w:val="24"/>
                <w:szCs w:val="24"/>
                <w:lang w:eastAsia="lv-LV"/>
              </w:rPr>
              <w:t>tajā skaitā:</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sz w:val="24"/>
                <w:szCs w:val="24"/>
                <w:lang w:eastAsia="lv-LV"/>
              </w:rPr>
              <w:t xml:space="preserve">• </w:t>
            </w:r>
            <w:r w:rsidRPr="006F1D0B">
              <w:rPr>
                <w:rFonts w:eastAsia="Times New Roman" w:cs="Times New Roman"/>
                <w:b/>
                <w:sz w:val="24"/>
                <w:szCs w:val="24"/>
                <w:lang w:eastAsia="lv-LV"/>
              </w:rPr>
              <w:t xml:space="preserve">Iekšlietu ministrijai – 2 240 426 </w:t>
            </w:r>
            <w:proofErr w:type="spellStart"/>
            <w:r w:rsidRPr="006F1D0B">
              <w:rPr>
                <w:rFonts w:eastAsia="Times New Roman" w:cs="Times New Roman"/>
                <w:b/>
                <w:i/>
                <w:sz w:val="24"/>
                <w:szCs w:val="24"/>
                <w:lang w:eastAsia="lv-LV"/>
              </w:rPr>
              <w:t>euro</w:t>
            </w:r>
            <w:proofErr w:type="spellEnd"/>
            <w:r w:rsidRPr="006F1D0B">
              <w:rPr>
                <w:rFonts w:eastAsia="Times New Roman" w:cs="Times New Roman"/>
                <w:b/>
                <w:i/>
                <w:sz w:val="24"/>
                <w:szCs w:val="24"/>
                <w:lang w:eastAsia="lv-LV"/>
              </w:rPr>
              <w:t xml:space="preserve"> </w:t>
            </w:r>
            <w:r w:rsidRPr="006F1D0B">
              <w:rPr>
                <w:rFonts w:eastAsia="Times New Roman" w:cs="Times New Roman"/>
                <w:sz w:val="24"/>
                <w:szCs w:val="24"/>
                <w:lang w:eastAsia="lv-LV"/>
              </w:rPr>
              <w:t xml:space="preserve">(1000.EKK Atlīdzība), tai skaitā 1100.EKK Atalgojums – 1 812 788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 xml:space="preserve">, </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i/>
                <w:sz w:val="24"/>
                <w:szCs w:val="24"/>
                <w:lang w:eastAsia="lv-LV"/>
              </w:rPr>
              <w:t xml:space="preserve"> no tā:</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sz w:val="24"/>
                <w:szCs w:val="24"/>
                <w:lang w:eastAsia="lv-LV"/>
              </w:rPr>
              <w:t xml:space="preserve"> sadalījumā pa budžeta programmām un apakšprogrammām</w:t>
            </w:r>
            <w:r w:rsidRPr="006F1D0B">
              <w:rPr>
                <w:rFonts w:eastAsia="Times New Roman" w:cs="Times New Roman"/>
                <w:i/>
                <w:sz w:val="24"/>
                <w:szCs w:val="24"/>
                <w:lang w:eastAsia="lv-LV"/>
              </w:rPr>
              <w:t>:</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i/>
                <w:sz w:val="24"/>
                <w:szCs w:val="24"/>
                <w:lang w:eastAsia="lv-LV"/>
              </w:rPr>
              <w:t>07.00.00 “Ugunsdrošība, glābšana un civilā aizsardzība”:</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sz w:val="24"/>
                <w:szCs w:val="24"/>
                <w:lang w:eastAsia="lv-LV"/>
              </w:rPr>
              <w:t xml:space="preserve">1000.EKK Atlīdzība - 2 020 475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 xml:space="preserve">, 1100.EKK Atalgojums –1 634 820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i/>
                <w:sz w:val="24"/>
                <w:szCs w:val="24"/>
                <w:lang w:eastAsia="lv-LV"/>
              </w:rPr>
              <w:t>10.00.00 “Valsts robežsardzes darbība”:</w:t>
            </w:r>
          </w:p>
          <w:p w:rsidR="0084333A" w:rsidRPr="006F1D0B" w:rsidRDefault="0084333A" w:rsidP="006F1D0B">
            <w:pPr>
              <w:ind w:firstLine="0"/>
              <w:jc w:val="left"/>
              <w:rPr>
                <w:rFonts w:eastAsia="Times New Roman" w:cs="Times New Roman"/>
                <w:i/>
                <w:sz w:val="24"/>
                <w:szCs w:val="24"/>
                <w:lang w:eastAsia="lv-LV"/>
              </w:rPr>
            </w:pPr>
            <w:r w:rsidRPr="006F1D0B">
              <w:rPr>
                <w:rFonts w:eastAsia="Times New Roman" w:cs="Times New Roman"/>
                <w:sz w:val="24"/>
                <w:szCs w:val="24"/>
                <w:lang w:eastAsia="lv-LV"/>
              </w:rPr>
              <w:t xml:space="preserve">       1000.EKK Atlīdzība – 219 951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 xml:space="preserve">, 1100.EKK Atalgojums – 177 968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w:t>
            </w:r>
          </w:p>
          <w:p w:rsidR="0084333A" w:rsidRPr="006F1D0B" w:rsidRDefault="0084333A" w:rsidP="006F1D0B">
            <w:pPr>
              <w:numPr>
                <w:ilvl w:val="0"/>
                <w:numId w:val="10"/>
              </w:numPr>
              <w:jc w:val="left"/>
              <w:rPr>
                <w:rFonts w:eastAsia="Times New Roman" w:cs="Times New Roman"/>
                <w:b/>
                <w:sz w:val="24"/>
                <w:szCs w:val="24"/>
                <w:lang w:eastAsia="lv-LV"/>
              </w:rPr>
            </w:pPr>
            <w:r w:rsidRPr="006F1D0B">
              <w:rPr>
                <w:rFonts w:eastAsia="Times New Roman" w:cs="Times New Roman"/>
                <w:sz w:val="24"/>
                <w:szCs w:val="24"/>
                <w:lang w:eastAsia="lv-LV"/>
              </w:rPr>
              <w:t xml:space="preserve">  • </w:t>
            </w:r>
            <w:r w:rsidRPr="006F1D0B">
              <w:rPr>
                <w:rFonts w:eastAsia="Times New Roman" w:cs="Times New Roman"/>
                <w:b/>
                <w:sz w:val="24"/>
                <w:szCs w:val="24"/>
                <w:lang w:eastAsia="lv-LV"/>
              </w:rPr>
              <w:t xml:space="preserve">Tieslietu ministrijai </w:t>
            </w:r>
            <w:r w:rsidRPr="006F1D0B">
              <w:rPr>
                <w:rFonts w:eastAsia="Times New Roman" w:cs="Times New Roman"/>
                <w:i/>
                <w:sz w:val="24"/>
                <w:szCs w:val="24"/>
                <w:lang w:eastAsia="lv-LV"/>
              </w:rPr>
              <w:t>(04.01.00 “Ieslodzījuma vietas”)</w:t>
            </w:r>
            <w:r w:rsidRPr="006F1D0B">
              <w:rPr>
                <w:rFonts w:eastAsia="Times New Roman" w:cs="Times New Roman"/>
                <w:b/>
                <w:sz w:val="24"/>
                <w:szCs w:val="24"/>
                <w:lang w:eastAsia="lv-LV"/>
              </w:rPr>
              <w:t xml:space="preserve"> – 2 545 085 </w:t>
            </w:r>
            <w:proofErr w:type="spellStart"/>
            <w:r w:rsidRPr="006F1D0B">
              <w:rPr>
                <w:rFonts w:eastAsia="Times New Roman" w:cs="Times New Roman"/>
                <w:b/>
                <w:i/>
                <w:sz w:val="24"/>
                <w:szCs w:val="24"/>
                <w:lang w:eastAsia="lv-LV"/>
              </w:rPr>
              <w:t>euro</w:t>
            </w:r>
            <w:proofErr w:type="spellEnd"/>
            <w:r w:rsidRPr="006F1D0B">
              <w:rPr>
                <w:rFonts w:eastAsia="Times New Roman" w:cs="Times New Roman"/>
                <w:b/>
                <w:i/>
                <w:sz w:val="24"/>
                <w:szCs w:val="24"/>
                <w:lang w:eastAsia="lv-LV"/>
              </w:rPr>
              <w:t xml:space="preserve"> </w:t>
            </w:r>
            <w:r w:rsidRPr="006F1D0B">
              <w:rPr>
                <w:rFonts w:eastAsia="Times New Roman" w:cs="Times New Roman"/>
                <w:sz w:val="24"/>
                <w:szCs w:val="24"/>
                <w:lang w:eastAsia="lv-LV"/>
              </w:rPr>
              <w:t xml:space="preserve">(1000.EKK Atlīdzība), tai skaitā 1100.EKK Atalgojums – 2 059 297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w:t>
            </w: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blCellSpacing w:w="15"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6.1. detalizēts ieņēmumu aprēķins</w:t>
            </w:r>
          </w:p>
        </w:tc>
        <w:tc>
          <w:tcPr>
            <w:tcW w:w="3864" w:type="pct"/>
            <w:gridSpan w:val="5"/>
            <w:vMerge/>
          </w:tcPr>
          <w:p w:rsidR="0084333A" w:rsidRPr="006F1D0B" w:rsidRDefault="0084333A" w:rsidP="006F1D0B">
            <w:pPr>
              <w:ind w:firstLine="0"/>
              <w:jc w:val="left"/>
              <w:rPr>
                <w:rFonts w:eastAsia="Times New Roman" w:cs="Times New Roman"/>
                <w:b/>
                <w:i/>
                <w:sz w:val="24"/>
                <w:szCs w:val="24"/>
                <w:lang w:eastAsia="lv-LV"/>
              </w:rPr>
            </w:pP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blCellSpacing w:w="15"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6.2. detalizēts izdevumu aprēķins</w:t>
            </w:r>
          </w:p>
        </w:tc>
        <w:tc>
          <w:tcPr>
            <w:tcW w:w="3864" w:type="pct"/>
            <w:gridSpan w:val="5"/>
            <w:vMerge/>
          </w:tcPr>
          <w:p w:rsidR="0084333A" w:rsidRPr="006F1D0B" w:rsidRDefault="0084333A" w:rsidP="006F1D0B">
            <w:pPr>
              <w:ind w:firstLine="0"/>
              <w:jc w:val="left"/>
              <w:rPr>
                <w:rFonts w:eastAsia="Times New Roman" w:cs="Times New Roman"/>
                <w:b/>
                <w:i/>
                <w:sz w:val="24"/>
                <w:szCs w:val="24"/>
                <w:lang w:eastAsia="lv-LV"/>
              </w:rPr>
            </w:pPr>
          </w:p>
        </w:tc>
      </w:tr>
      <w:tr w:rsidR="006F1D0B" w:rsidRPr="006F1D0B" w:rsidTr="006F1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6" w:type="dxa"/>
          <w:trHeight w:val="1975"/>
          <w:tblCellSpacing w:w="15" w:type="dxa"/>
          <w:jc w:val="center"/>
        </w:trPr>
        <w:tc>
          <w:tcPr>
            <w:tcW w:w="1090" w:type="pct"/>
          </w:tcPr>
          <w:p w:rsidR="0084333A" w:rsidRPr="006F1D0B" w:rsidRDefault="0084333A" w:rsidP="0084333A">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7. Cita informācija</w:t>
            </w:r>
          </w:p>
        </w:tc>
        <w:tc>
          <w:tcPr>
            <w:tcW w:w="3864" w:type="pct"/>
            <w:gridSpan w:val="5"/>
          </w:tcPr>
          <w:p w:rsidR="0084333A" w:rsidRPr="006F1D0B" w:rsidRDefault="0084333A"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 Saskaņā ar likumu “Par valsts budžetu </w:t>
            </w:r>
            <w:proofErr w:type="gramStart"/>
            <w:r w:rsidRPr="006F1D0B">
              <w:rPr>
                <w:rFonts w:eastAsia="Times New Roman" w:cs="Times New Roman"/>
                <w:sz w:val="24"/>
                <w:szCs w:val="24"/>
                <w:lang w:eastAsia="lv-LV"/>
              </w:rPr>
              <w:t>2016.gadam</w:t>
            </w:r>
            <w:proofErr w:type="gramEnd"/>
            <w:r w:rsidRPr="006F1D0B">
              <w:rPr>
                <w:rFonts w:eastAsia="Times New Roman" w:cs="Times New Roman"/>
                <w:sz w:val="24"/>
                <w:szCs w:val="24"/>
                <w:lang w:eastAsia="lv-LV"/>
              </w:rPr>
              <w:t xml:space="preserve">” izdevumi atlīdzībai (94 028 245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 sadalījumā pa budžeta programmām un apakšprogrammām, kuras ietekmē likumprojekts:</w:t>
            </w:r>
          </w:p>
          <w:p w:rsidR="0084333A" w:rsidRPr="006F1D0B" w:rsidRDefault="0084333A"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07.00.00 “Ugunsdrošība, glābšana un civilā aizsardzība” – 37 137 932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w:t>
            </w:r>
          </w:p>
          <w:p w:rsidR="0084333A" w:rsidRPr="006F1D0B" w:rsidRDefault="0084333A"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10.00.00 “Valsts robežsardzes darbība” –32 228 275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w:t>
            </w:r>
          </w:p>
          <w:p w:rsidR="0084333A" w:rsidRPr="006F1D0B" w:rsidRDefault="0084333A"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04.01.00 “Ieslodzījuma vietas” –24 662 038 </w:t>
            </w:r>
            <w:proofErr w:type="spellStart"/>
            <w:r w:rsidRPr="006F1D0B">
              <w:rPr>
                <w:rFonts w:eastAsia="Times New Roman" w:cs="Times New Roman"/>
                <w:i/>
                <w:sz w:val="24"/>
                <w:szCs w:val="24"/>
                <w:lang w:eastAsia="lv-LV"/>
              </w:rPr>
              <w:t>euro</w:t>
            </w:r>
            <w:proofErr w:type="spellEnd"/>
            <w:r w:rsidRPr="006F1D0B">
              <w:rPr>
                <w:rFonts w:eastAsia="Times New Roman" w:cs="Times New Roman"/>
                <w:sz w:val="24"/>
                <w:szCs w:val="24"/>
                <w:lang w:eastAsia="lv-LV"/>
              </w:rPr>
              <w:t xml:space="preserve">. </w:t>
            </w:r>
          </w:p>
          <w:p w:rsidR="00E74EF7" w:rsidRPr="006F1D0B" w:rsidRDefault="000A3CEB"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 </w:t>
            </w:r>
            <w:r w:rsidR="00E74EF7" w:rsidRPr="006F1D0B">
              <w:rPr>
                <w:rFonts w:eastAsia="Times New Roman" w:cs="Times New Roman"/>
                <w:sz w:val="24"/>
                <w:szCs w:val="24"/>
                <w:lang w:eastAsia="lv-LV"/>
              </w:rPr>
              <w:t>Informatīvā ziņojuma “Par dienesta pienākumu izpildes laika organizēšanu Iekšlietu ministrijas sistēmas iestādēs un Ieslodzījuma vietu pārvaldē” 4.nodaļā “Priekšlikumi turpmākai rīcībai “</w:t>
            </w:r>
            <w:r w:rsidRPr="006F1D0B">
              <w:rPr>
                <w:rFonts w:eastAsia="Times New Roman" w:cs="Times New Roman"/>
                <w:sz w:val="24"/>
                <w:szCs w:val="24"/>
                <w:lang w:eastAsia="lv-LV"/>
              </w:rPr>
              <w:t xml:space="preserve"> </w:t>
            </w:r>
            <w:r w:rsidR="00E74EF7" w:rsidRPr="006F1D0B">
              <w:rPr>
                <w:rFonts w:eastAsia="Times New Roman" w:cs="Times New Roman"/>
                <w:sz w:val="24"/>
                <w:szCs w:val="24"/>
                <w:lang w:eastAsia="lv-LV"/>
              </w:rPr>
              <w:t>tika veikts finansiālās ietekmes salīdzinājums 2 variantiem:</w:t>
            </w:r>
          </w:p>
          <w:p w:rsidR="009B19F4" w:rsidRPr="006F1D0B" w:rsidRDefault="009B19F4" w:rsidP="006F1D0B">
            <w:pPr>
              <w:ind w:left="283" w:firstLine="0"/>
              <w:rPr>
                <w:rFonts w:eastAsia="Times New Roman" w:cs="Times New Roman"/>
                <w:sz w:val="24"/>
                <w:szCs w:val="24"/>
                <w:lang w:eastAsia="lv-LV"/>
              </w:rPr>
            </w:pPr>
            <w:r w:rsidRPr="006F1D0B">
              <w:rPr>
                <w:rFonts w:eastAsia="Times New Roman" w:cs="Times New Roman"/>
                <w:sz w:val="24"/>
                <w:szCs w:val="24"/>
                <w:lang w:eastAsia="lv-LV"/>
              </w:rPr>
              <w:t xml:space="preserve">1. Ja dežūrmaiņas laikā paredzētie pārtraukumi tiek ieskaitīti dienesta pienākumu izpildes laikā un attiecīgi apmaksāti kā virsstundas, papildu nepieciešami finanšu līdzekļi līdz 11 514 785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 xml:space="preserve"> </w:t>
            </w:r>
            <w:r w:rsidRPr="006F1D0B">
              <w:rPr>
                <w:rFonts w:eastAsia="Times New Roman" w:cs="Times New Roman"/>
                <w:sz w:val="24"/>
                <w:szCs w:val="24"/>
                <w:lang w:eastAsia="lv-LV"/>
              </w:rPr>
              <w:t>(paredzēta apmaksa ar 200 procentu stundas algas likmi).</w:t>
            </w:r>
          </w:p>
          <w:p w:rsidR="009B19F4" w:rsidRPr="006F1D0B" w:rsidRDefault="009B19F4" w:rsidP="006F1D0B">
            <w:pPr>
              <w:ind w:left="283" w:firstLine="0"/>
              <w:rPr>
                <w:rFonts w:eastAsia="Times New Roman" w:cs="Times New Roman"/>
                <w:i/>
                <w:sz w:val="24"/>
                <w:szCs w:val="24"/>
                <w:lang w:eastAsia="lv-LV"/>
              </w:rPr>
            </w:pPr>
            <w:r w:rsidRPr="006F1D0B">
              <w:rPr>
                <w:rFonts w:eastAsia="Times New Roman" w:cs="Times New Roman"/>
                <w:sz w:val="24"/>
                <w:szCs w:val="24"/>
                <w:lang w:eastAsia="lv-LV"/>
              </w:rPr>
              <w:t xml:space="preserve">2. Ja dežūrmaiņas laikā paredzētie pārtraukumi tiek ieskaitīti dienesta pienākumu izpildes laikā, neveicot samaksu par virsstundu darbu, </w:t>
            </w:r>
            <w:r w:rsidRPr="006F1D0B">
              <w:rPr>
                <w:rFonts w:eastAsia="Times New Roman" w:cs="Times New Roman"/>
                <w:sz w:val="24"/>
                <w:szCs w:val="24"/>
                <w:lang w:eastAsia="lv-LV"/>
              </w:rPr>
              <w:lastRenderedPageBreak/>
              <w:t xml:space="preserve">nesamazinot struktūrvienību kapacitāti un sniegto pakalpojumu kvalitāti, nepieciešamas papildus 555 amata vietas un finanšu līdzekļi līdz 8 374 906 </w:t>
            </w:r>
            <w:proofErr w:type="spellStart"/>
            <w:r w:rsidRPr="006F1D0B">
              <w:rPr>
                <w:rFonts w:eastAsia="Times New Roman" w:cs="Times New Roman"/>
                <w:i/>
                <w:sz w:val="24"/>
                <w:szCs w:val="24"/>
                <w:lang w:eastAsia="lv-LV"/>
              </w:rPr>
              <w:t>euro</w:t>
            </w:r>
            <w:proofErr w:type="spellEnd"/>
            <w:r w:rsidRPr="006F1D0B">
              <w:rPr>
                <w:rFonts w:eastAsia="Times New Roman" w:cs="Times New Roman"/>
                <w:i/>
                <w:sz w:val="24"/>
                <w:szCs w:val="24"/>
                <w:lang w:eastAsia="lv-LV"/>
              </w:rPr>
              <w:t>.</w:t>
            </w:r>
          </w:p>
          <w:p w:rsidR="009B19F4" w:rsidRPr="006F1D0B" w:rsidRDefault="009D3E70" w:rsidP="006F1D0B">
            <w:pPr>
              <w:ind w:left="28" w:firstLine="255"/>
              <w:rPr>
                <w:rFonts w:eastAsia="Times New Roman" w:cs="Times New Roman"/>
                <w:sz w:val="24"/>
                <w:szCs w:val="24"/>
                <w:lang w:eastAsia="lv-LV"/>
              </w:rPr>
            </w:pPr>
            <w:r w:rsidRPr="006F1D0B">
              <w:rPr>
                <w:rFonts w:eastAsia="Times New Roman" w:cs="Times New Roman"/>
                <w:sz w:val="24"/>
                <w:szCs w:val="24"/>
                <w:lang w:eastAsia="lv-LV"/>
              </w:rPr>
              <w:t>Norādīts, ka “n</w:t>
            </w:r>
            <w:r w:rsidR="009B19F4" w:rsidRPr="006F1D0B">
              <w:rPr>
                <w:rFonts w:eastAsia="Times New Roman" w:cs="Times New Roman"/>
                <w:sz w:val="24"/>
                <w:szCs w:val="24"/>
                <w:lang w:eastAsia="lv-LV"/>
              </w:rPr>
              <w:t>o aprēķiniem secināms, ka finansiāli efektīvākais risinājums, saglabājot šobrīd esošo situāciju, ir amata vietu skaita palielināšana par 555 amata vietām. Ņemot vērā to, ka dienesta pienākumu izpildes laika organizācija atbilstoši Augstākās tiesas veiktajai interpretācijai nav iespējama bez būtiskiem papildus personāla resursiem un papildus finansējuma, pašlaik tiek izstrādāti priekšlikumi, lai veiktu izmaiņas dienesta pienākumu izpildes laika organizēšanā, kā arī gatavoti tiesību aktu projekti.</w:t>
            </w:r>
            <w:r w:rsidRPr="006F1D0B">
              <w:rPr>
                <w:rFonts w:eastAsia="Times New Roman" w:cs="Times New Roman"/>
                <w:sz w:val="24"/>
                <w:szCs w:val="24"/>
                <w:lang w:eastAsia="lv-LV"/>
              </w:rPr>
              <w:t xml:space="preserve">”. Tomēr papildu amata vietu nokomplektēšana prasa Iekšlietu ministrijas sistēmas izglītības iestāžu kapacitātes palielināšanu un nav iespējama vidējā termiņā. </w:t>
            </w:r>
          </w:p>
          <w:p w:rsidR="0075389E" w:rsidRPr="006F1D0B" w:rsidRDefault="009D3E70" w:rsidP="006F1D0B">
            <w:pPr>
              <w:ind w:left="28" w:firstLine="255"/>
              <w:rPr>
                <w:rFonts w:eastAsia="Times New Roman" w:cs="Times New Roman"/>
                <w:sz w:val="24"/>
                <w:szCs w:val="24"/>
                <w:lang w:eastAsia="lv-LV"/>
              </w:rPr>
            </w:pPr>
            <w:r w:rsidRPr="006F1D0B">
              <w:rPr>
                <w:rFonts w:eastAsia="Times New Roman" w:cs="Times New Roman"/>
                <w:sz w:val="24"/>
                <w:szCs w:val="24"/>
                <w:lang w:eastAsia="lv-LV"/>
              </w:rPr>
              <w:t xml:space="preserve">Līdz ar to labākais problēmas risinājums ir likumprojektā paredzētais regulējums. </w:t>
            </w:r>
            <w:r w:rsidR="00E74EF7" w:rsidRPr="006F1D0B">
              <w:rPr>
                <w:rFonts w:eastAsia="Times New Roman" w:cs="Times New Roman"/>
                <w:sz w:val="24"/>
                <w:szCs w:val="24"/>
                <w:lang w:eastAsia="lv-LV"/>
              </w:rPr>
              <w:t xml:space="preserve"> </w:t>
            </w:r>
          </w:p>
          <w:p w:rsidR="0084333A" w:rsidRPr="006F1D0B" w:rsidRDefault="009D3E70"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     </w:t>
            </w:r>
            <w:r w:rsidR="0084333A" w:rsidRPr="006F1D0B">
              <w:rPr>
                <w:rFonts w:eastAsia="Times New Roman" w:cs="Times New Roman"/>
                <w:sz w:val="24"/>
                <w:szCs w:val="24"/>
                <w:lang w:eastAsia="lv-LV"/>
              </w:rPr>
              <w:t xml:space="preserve">Lai paredzētu papildu finansējumu papildu izdevumu segšanai, kas rodas, ieskaitot ēdienreizēm paredzēto laiku dienesta pienākumu izpildes laikā, </w:t>
            </w:r>
            <w:r w:rsidR="006C4677" w:rsidRPr="006F1D0B">
              <w:rPr>
                <w:rFonts w:eastAsia="Times New Roman" w:cs="Times New Roman"/>
                <w:sz w:val="24"/>
                <w:szCs w:val="24"/>
                <w:lang w:eastAsia="lv-LV"/>
              </w:rPr>
              <w:t>sagatavots Ministru kabineta protokollēmuma projekts, kas paredz</w:t>
            </w:r>
            <w:r w:rsidR="0075389E" w:rsidRPr="006F1D0B">
              <w:rPr>
                <w:rFonts w:eastAsia="Times New Roman" w:cs="Times New Roman"/>
                <w:sz w:val="24"/>
                <w:szCs w:val="24"/>
                <w:lang w:eastAsia="lv-LV"/>
              </w:rPr>
              <w:t xml:space="preserve"> šādus uzdevumus</w:t>
            </w:r>
            <w:r w:rsidR="006C4677" w:rsidRPr="006F1D0B">
              <w:rPr>
                <w:rFonts w:eastAsia="Times New Roman" w:cs="Times New Roman"/>
                <w:sz w:val="24"/>
                <w:szCs w:val="24"/>
                <w:lang w:eastAsia="lv-LV"/>
              </w:rPr>
              <w:t>:</w:t>
            </w:r>
          </w:p>
          <w:p w:rsidR="0075389E" w:rsidRPr="006F1D0B" w:rsidRDefault="0075389E" w:rsidP="006F1D0B">
            <w:pPr>
              <w:ind w:firstLine="0"/>
              <w:rPr>
                <w:rFonts w:eastAsia="Times New Roman" w:cs="Times New Roman"/>
                <w:sz w:val="24"/>
                <w:szCs w:val="24"/>
                <w:lang w:eastAsia="lv-LV"/>
              </w:rPr>
            </w:pPr>
            <w:r w:rsidRPr="006F1D0B">
              <w:rPr>
                <w:rFonts w:eastAsia="Times New Roman" w:cs="Times New Roman"/>
                <w:sz w:val="24"/>
                <w:szCs w:val="24"/>
                <w:lang w:eastAsia="lv-LV"/>
              </w:rPr>
              <w:t>- iekšlietu ministram likumprojektā paredzēto regulējumu normatīvajos aktos noteiktajā kārtībā sagatavot un iesniegt kā priekšlikumu budžetu pavadošajam likumprojektam “Grozījumi Valsts un pašvaldību institūciju amatpersonu un darbinieku atlīdzības likumā” (TA – 1950) izskatīšanai Saeimā otrajā lasījumā.</w:t>
            </w:r>
          </w:p>
          <w:p w:rsidR="006C4677" w:rsidRPr="006F1D0B" w:rsidRDefault="0075389E" w:rsidP="006F1D0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 Iekšlietu ministrijai un Tieslietu ministrijai kopīgi ar Finanšu ministriju izvērtēt papildu izdevumu, kas saistīti ar virsstundu darba samaksas nodrošināšanu Iekšlietu ministrijas sistēmas iestāžu un Ieslodzījuma vietu pārvaldes amatpersonām ar speciālajām dienesta pakāpēm, finansēšanas avotus un normatīvajos aktos noteiktajā kārtībā sagatavot un iesniegt tos kā priekšlikumus likumprojekta “Par valsts budžetu </w:t>
            </w:r>
            <w:proofErr w:type="gramStart"/>
            <w:r w:rsidRPr="006F1D0B">
              <w:rPr>
                <w:rFonts w:eastAsia="Times New Roman" w:cs="Times New Roman"/>
                <w:sz w:val="24"/>
                <w:szCs w:val="24"/>
                <w:lang w:eastAsia="lv-LV"/>
              </w:rPr>
              <w:t>2017.gadam</w:t>
            </w:r>
            <w:proofErr w:type="gramEnd"/>
            <w:r w:rsidRPr="006F1D0B">
              <w:rPr>
                <w:rFonts w:eastAsia="Times New Roman" w:cs="Times New Roman"/>
                <w:sz w:val="24"/>
                <w:szCs w:val="24"/>
                <w:lang w:eastAsia="lv-LV"/>
              </w:rPr>
              <w:t>” un likumprojekta “Par vidēja termiņa budžeta ietvaru 2017., 2018. un 2019.gadam” izskatīšanai Saeimā otrajā lasījumā. Iekšlietu ministrija kā papildu finansējuma avotu piedāvās papildu ieņēmumus no naudas sodiem par pārkāpumiem ceļu satiksmē, kas fiksēti ar VAS “Ceļu satiksmes drošības direkcija” fotoradariem (2017.fadā darbosies 24 papildu fotoradari; Iekšlietu ministrija sagatavos un iesniegs attiecīgus priekšlikumus valsts pamatbudžeta ieņēmumu un izdevumu palielināšanai likumprojekta “Par valsts budžetu 2017.gadam” un likumprojekta “Par vidēja termiņa budžeta ietvaru 2017., 2018. un 2019.gadam” izskatīšanai Saeimā otrajā lasījumā.</w:t>
            </w:r>
          </w:p>
        </w:tc>
      </w:tr>
      <w:tr w:rsidR="006F1D0B" w:rsidRPr="006F1D0B" w:rsidTr="006F1D0B">
        <w:trPr>
          <w:trHeight w:val="420"/>
          <w:tblCellSpacing w:w="15" w:type="dxa"/>
          <w:jc w:val="center"/>
        </w:trPr>
        <w:tc>
          <w:tcPr>
            <w:tcW w:w="4970" w:type="pct"/>
            <w:gridSpan w:val="7"/>
            <w:tcBorders>
              <w:top w:val="outset" w:sz="6" w:space="0" w:color="auto"/>
              <w:left w:val="outset" w:sz="6" w:space="0" w:color="auto"/>
              <w:bottom w:val="outset" w:sz="6" w:space="0" w:color="auto"/>
              <w:right w:val="outset" w:sz="6" w:space="0" w:color="auto"/>
            </w:tcBorders>
            <w:vAlign w:val="center"/>
            <w:hideMark/>
          </w:tcPr>
          <w:p w:rsidR="00AE501F" w:rsidRPr="006F1D0B" w:rsidRDefault="00AE501F" w:rsidP="00D74B75">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lastRenderedPageBreak/>
              <w:t>IV. Tiesību akta projekta ietekme uz spēkā esošo tiesību normu sistēmu</w:t>
            </w:r>
          </w:p>
        </w:tc>
      </w:tr>
      <w:tr w:rsidR="006F1D0B" w:rsidRPr="006F1D0B" w:rsidTr="006F1D0B">
        <w:trPr>
          <w:trHeight w:val="420"/>
          <w:tblCellSpacing w:w="15" w:type="dxa"/>
          <w:jc w:val="center"/>
        </w:trPr>
        <w:tc>
          <w:tcPr>
            <w:tcW w:w="4970" w:type="pct"/>
            <w:gridSpan w:val="7"/>
            <w:tcBorders>
              <w:top w:val="outset" w:sz="6" w:space="0" w:color="auto"/>
              <w:left w:val="outset" w:sz="6" w:space="0" w:color="auto"/>
              <w:bottom w:val="outset" w:sz="6" w:space="0" w:color="auto"/>
              <w:right w:val="outset" w:sz="6" w:space="0" w:color="auto"/>
            </w:tcBorders>
            <w:vAlign w:val="center"/>
          </w:tcPr>
          <w:p w:rsidR="00AE501F" w:rsidRPr="006F1D0B" w:rsidRDefault="00AE501F" w:rsidP="00D74B75">
            <w:pPr>
              <w:spacing w:before="100" w:beforeAutospacing="1" w:after="100" w:afterAutospacing="1"/>
              <w:ind w:firstLine="0"/>
              <w:jc w:val="center"/>
              <w:rPr>
                <w:rFonts w:eastAsia="Times New Roman" w:cs="Times New Roman"/>
                <w:bCs/>
                <w:sz w:val="24"/>
                <w:szCs w:val="24"/>
                <w:lang w:eastAsia="lv-LV"/>
              </w:rPr>
            </w:pPr>
            <w:r w:rsidRPr="006F1D0B">
              <w:rPr>
                <w:rFonts w:eastAsia="Times New Roman" w:cs="Times New Roman"/>
                <w:bCs/>
                <w:sz w:val="24"/>
                <w:szCs w:val="24"/>
                <w:lang w:eastAsia="lv-LV"/>
              </w:rPr>
              <w:t>Projekts šo jomu neskar</w:t>
            </w:r>
            <w:r w:rsidR="001659FA" w:rsidRPr="006F1D0B">
              <w:rPr>
                <w:rFonts w:eastAsia="Times New Roman" w:cs="Times New Roman"/>
                <w:bCs/>
                <w:sz w:val="24"/>
                <w:szCs w:val="24"/>
                <w:lang w:eastAsia="lv-LV"/>
              </w:rPr>
              <w:t>.</w:t>
            </w:r>
          </w:p>
        </w:tc>
      </w:tr>
      <w:tr w:rsidR="006F1D0B" w:rsidRPr="006F1D0B" w:rsidTr="00D74B75">
        <w:trPr>
          <w:trHeight w:val="420"/>
          <w:tblCellSpacing w:w="15" w:type="dxa"/>
          <w:jc w:val="center"/>
        </w:trPr>
        <w:tc>
          <w:tcPr>
            <w:tcW w:w="4969" w:type="pct"/>
            <w:gridSpan w:val="7"/>
            <w:tcBorders>
              <w:top w:val="outset" w:sz="6" w:space="0" w:color="auto"/>
              <w:left w:val="outset" w:sz="6" w:space="0" w:color="auto"/>
              <w:bottom w:val="outset" w:sz="6" w:space="0" w:color="auto"/>
              <w:right w:val="outset" w:sz="6" w:space="0" w:color="auto"/>
            </w:tcBorders>
            <w:vAlign w:val="center"/>
            <w:hideMark/>
          </w:tcPr>
          <w:p w:rsidR="00AE501F" w:rsidRPr="006F1D0B" w:rsidRDefault="00AE501F" w:rsidP="00D74B75">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sz w:val="24"/>
                <w:szCs w:val="24"/>
                <w:lang w:eastAsia="lv-LV"/>
              </w:rPr>
              <w:t> </w:t>
            </w:r>
            <w:r w:rsidRPr="006F1D0B">
              <w:rPr>
                <w:rFonts w:eastAsia="Times New Roman" w:cs="Times New Roman"/>
                <w:b/>
                <w:bCs/>
                <w:sz w:val="24"/>
                <w:szCs w:val="24"/>
                <w:lang w:eastAsia="lv-LV"/>
              </w:rPr>
              <w:t>V. Tiesību akta projekta atbilstība Latvijas Republikas starptautiskajām saistībām</w:t>
            </w:r>
          </w:p>
        </w:tc>
      </w:tr>
      <w:tr w:rsidR="006F1D0B" w:rsidRPr="006F1D0B" w:rsidTr="00D74B75">
        <w:trPr>
          <w:trHeight w:val="420"/>
          <w:tblCellSpacing w:w="15" w:type="dxa"/>
          <w:jc w:val="center"/>
        </w:trPr>
        <w:tc>
          <w:tcPr>
            <w:tcW w:w="4969" w:type="pct"/>
            <w:gridSpan w:val="7"/>
            <w:tcBorders>
              <w:top w:val="outset" w:sz="6" w:space="0" w:color="auto"/>
              <w:left w:val="outset" w:sz="6" w:space="0" w:color="auto"/>
              <w:bottom w:val="outset" w:sz="6" w:space="0" w:color="auto"/>
              <w:right w:val="outset" w:sz="6" w:space="0" w:color="auto"/>
            </w:tcBorders>
            <w:vAlign w:val="center"/>
          </w:tcPr>
          <w:p w:rsidR="00AE501F" w:rsidRPr="006F1D0B" w:rsidRDefault="00AE501F" w:rsidP="00D74B75">
            <w:pPr>
              <w:spacing w:before="100" w:beforeAutospacing="1" w:after="100" w:afterAutospacing="1"/>
              <w:ind w:firstLine="0"/>
              <w:jc w:val="center"/>
              <w:rPr>
                <w:rFonts w:eastAsia="Times New Roman" w:cs="Times New Roman"/>
                <w:bCs/>
                <w:sz w:val="24"/>
                <w:szCs w:val="24"/>
                <w:lang w:eastAsia="lv-LV"/>
              </w:rPr>
            </w:pPr>
            <w:r w:rsidRPr="006F1D0B">
              <w:rPr>
                <w:rFonts w:eastAsia="Times New Roman" w:cs="Times New Roman"/>
                <w:bCs/>
                <w:sz w:val="24"/>
                <w:szCs w:val="24"/>
                <w:lang w:eastAsia="lv-LV"/>
              </w:rPr>
              <w:t>Projekts šo jomu neskar</w:t>
            </w:r>
            <w:r w:rsidR="001659FA" w:rsidRPr="006F1D0B">
              <w:rPr>
                <w:rFonts w:eastAsia="Times New Roman" w:cs="Times New Roman"/>
                <w:bCs/>
                <w:sz w:val="24"/>
                <w:szCs w:val="24"/>
                <w:lang w:eastAsia="lv-LV"/>
              </w:rPr>
              <w:t>.</w:t>
            </w:r>
          </w:p>
        </w:tc>
      </w:tr>
    </w:tbl>
    <w:p w:rsidR="00610082" w:rsidRPr="006F1D0B" w:rsidRDefault="00610082" w:rsidP="00862D0F">
      <w:pPr>
        <w:spacing w:before="100" w:beforeAutospacing="1" w:after="100" w:afterAutospacing="1"/>
        <w:ind w:firstLine="0"/>
        <w:jc w:val="left"/>
        <w:rPr>
          <w:rFonts w:eastAsia="Times New Roman" w:cs="Times New Roman"/>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
        <w:gridCol w:w="65"/>
        <w:gridCol w:w="3850"/>
        <w:gridCol w:w="114"/>
        <w:gridCol w:w="5268"/>
      </w:tblGrid>
      <w:tr w:rsidR="006F1D0B" w:rsidRPr="006F1D0B" w:rsidTr="007F274C">
        <w:trPr>
          <w:trHeight w:val="375"/>
          <w:tblCellSpacing w:w="15" w:type="dxa"/>
          <w:jc w:val="center"/>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rsidR="00610082" w:rsidRPr="006F1D0B" w:rsidRDefault="00610082" w:rsidP="00BE5801">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lastRenderedPageBreak/>
              <w:t>VI. Sabiedrības līdzdalība un komunikācijas aktivitātes</w:t>
            </w:r>
          </w:p>
        </w:tc>
      </w:tr>
      <w:tr w:rsidR="006F1D0B" w:rsidRPr="006F1D0B" w:rsidTr="005E3C04">
        <w:trPr>
          <w:trHeight w:val="420"/>
          <w:tblCellSpacing w:w="15" w:type="dxa"/>
          <w:jc w:val="center"/>
        </w:trPr>
        <w:tc>
          <w:tcPr>
            <w:tcW w:w="205" w:type="pct"/>
            <w:gridSpan w:val="2"/>
            <w:tcBorders>
              <w:top w:val="outset" w:sz="6" w:space="0" w:color="auto"/>
              <w:left w:val="outset" w:sz="6" w:space="0" w:color="auto"/>
              <w:bottom w:val="outset" w:sz="6" w:space="0" w:color="auto"/>
              <w:right w:val="outset" w:sz="6" w:space="0" w:color="auto"/>
            </w:tcBorders>
            <w:hideMark/>
          </w:tcPr>
          <w:p w:rsidR="00610082" w:rsidRPr="006F1D0B" w:rsidRDefault="00610082" w:rsidP="00BE5801">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2038" w:type="pct"/>
            <w:gridSpan w:val="2"/>
            <w:tcBorders>
              <w:top w:val="outset" w:sz="6" w:space="0" w:color="auto"/>
              <w:left w:val="outset" w:sz="6" w:space="0" w:color="auto"/>
              <w:bottom w:val="outset" w:sz="6" w:space="0" w:color="auto"/>
              <w:right w:val="outset" w:sz="6" w:space="0" w:color="auto"/>
            </w:tcBorders>
          </w:tcPr>
          <w:p w:rsidR="00610082" w:rsidRPr="006F1D0B" w:rsidRDefault="00610082" w:rsidP="00A810D1">
            <w:pPr>
              <w:ind w:firstLine="0"/>
              <w:rPr>
                <w:rFonts w:eastAsia="Times New Roman" w:cs="Times New Roman"/>
                <w:sz w:val="24"/>
                <w:szCs w:val="24"/>
                <w:lang w:eastAsia="lv-LV"/>
              </w:rPr>
            </w:pPr>
            <w:r w:rsidRPr="006F1D0B">
              <w:rPr>
                <w:rFonts w:eastAsia="Times New Roman"/>
                <w:sz w:val="24"/>
                <w:szCs w:val="24"/>
                <w:lang w:eastAsia="lv-LV"/>
              </w:rPr>
              <w:t>Plānotās sabiedrības līdzdalības un komunikācijas aktivitātes saistībā ar projektu</w:t>
            </w:r>
          </w:p>
        </w:tc>
        <w:tc>
          <w:tcPr>
            <w:tcW w:w="2696" w:type="pct"/>
            <w:tcBorders>
              <w:top w:val="outset" w:sz="6" w:space="0" w:color="auto"/>
              <w:left w:val="outset" w:sz="6" w:space="0" w:color="auto"/>
              <w:bottom w:val="outset" w:sz="6" w:space="0" w:color="auto"/>
              <w:right w:val="outset" w:sz="6" w:space="0" w:color="auto"/>
            </w:tcBorders>
          </w:tcPr>
          <w:p w:rsidR="00610082" w:rsidRPr="006F1D0B" w:rsidRDefault="00473616" w:rsidP="00473616">
            <w:pPr>
              <w:shd w:val="clear" w:color="auto" w:fill="FFFFFF"/>
              <w:ind w:left="25" w:firstLine="0"/>
              <w:rPr>
                <w:rFonts w:eastAsia="Times New Roman" w:cs="Times New Roman"/>
                <w:sz w:val="24"/>
                <w:szCs w:val="24"/>
                <w:lang w:eastAsia="lv-LV"/>
              </w:rPr>
            </w:pPr>
            <w:r w:rsidRPr="006F1D0B">
              <w:rPr>
                <w:rFonts w:eastAsia="Times New Roman" w:cs="Times New Roman"/>
                <w:sz w:val="24"/>
                <w:szCs w:val="24"/>
                <w:lang w:eastAsia="lv-LV"/>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6F1D0B" w:rsidRPr="006F1D0B" w:rsidTr="005E3C04">
        <w:trPr>
          <w:trHeight w:val="450"/>
          <w:tblCellSpacing w:w="15" w:type="dxa"/>
          <w:jc w:val="center"/>
        </w:trPr>
        <w:tc>
          <w:tcPr>
            <w:tcW w:w="205" w:type="pct"/>
            <w:gridSpan w:val="2"/>
            <w:tcBorders>
              <w:top w:val="outset" w:sz="6" w:space="0" w:color="auto"/>
              <w:left w:val="outset" w:sz="6" w:space="0" w:color="auto"/>
              <w:bottom w:val="outset" w:sz="6" w:space="0" w:color="auto"/>
              <w:right w:val="outset" w:sz="6" w:space="0" w:color="auto"/>
            </w:tcBorders>
            <w:hideMark/>
          </w:tcPr>
          <w:p w:rsidR="00610082" w:rsidRPr="006F1D0B" w:rsidRDefault="00610082" w:rsidP="00BE5801">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2038" w:type="pct"/>
            <w:gridSpan w:val="2"/>
            <w:tcBorders>
              <w:top w:val="outset" w:sz="6" w:space="0" w:color="auto"/>
              <w:left w:val="outset" w:sz="6" w:space="0" w:color="auto"/>
              <w:bottom w:val="outset" w:sz="6" w:space="0" w:color="auto"/>
              <w:right w:val="outset" w:sz="6" w:space="0" w:color="auto"/>
            </w:tcBorders>
          </w:tcPr>
          <w:p w:rsidR="00610082" w:rsidRPr="006F1D0B" w:rsidRDefault="00610082" w:rsidP="00A810D1">
            <w:pPr>
              <w:spacing w:before="100" w:beforeAutospacing="1" w:after="100" w:afterAutospacing="1"/>
              <w:ind w:firstLine="0"/>
              <w:rPr>
                <w:rFonts w:eastAsia="Times New Roman" w:cs="Times New Roman"/>
                <w:sz w:val="24"/>
                <w:szCs w:val="24"/>
                <w:lang w:eastAsia="lv-LV"/>
              </w:rPr>
            </w:pPr>
            <w:r w:rsidRPr="006F1D0B">
              <w:rPr>
                <w:rFonts w:eastAsia="Times New Roman"/>
                <w:sz w:val="24"/>
                <w:szCs w:val="24"/>
                <w:lang w:eastAsia="lv-LV"/>
              </w:rPr>
              <w:t>Sabiedrības līdzdalība projekta izstrādē</w:t>
            </w:r>
          </w:p>
        </w:tc>
        <w:tc>
          <w:tcPr>
            <w:tcW w:w="2696" w:type="pct"/>
            <w:tcBorders>
              <w:top w:val="outset" w:sz="6" w:space="0" w:color="auto"/>
              <w:left w:val="outset" w:sz="6" w:space="0" w:color="auto"/>
              <w:bottom w:val="outset" w:sz="6" w:space="0" w:color="auto"/>
              <w:right w:val="outset" w:sz="6" w:space="0" w:color="auto"/>
            </w:tcBorders>
          </w:tcPr>
          <w:p w:rsidR="00473616" w:rsidRPr="006F1D0B" w:rsidRDefault="00473616" w:rsidP="00473616">
            <w:pPr>
              <w:shd w:val="clear" w:color="auto" w:fill="FFFFFF"/>
              <w:ind w:left="25" w:firstLine="0"/>
              <w:rPr>
                <w:sz w:val="24"/>
                <w:szCs w:val="24"/>
              </w:rPr>
            </w:pPr>
            <w:r w:rsidRPr="006F1D0B">
              <w:rPr>
                <w:sz w:val="24"/>
                <w:szCs w:val="24"/>
              </w:rPr>
              <w:t xml:space="preserve">Likumprojekts pirms iesniegšanas Ministru kabinetā tiks ievietots Iekšlietu ministrijas mājas lapā sadaļā „Sabiedrības līdzdalība”. </w:t>
            </w:r>
          </w:p>
          <w:p w:rsidR="00610082" w:rsidRPr="006F1D0B" w:rsidRDefault="00610082" w:rsidP="00A810D1">
            <w:pPr>
              <w:ind w:firstLine="0"/>
              <w:rPr>
                <w:rFonts w:eastAsia="Times New Roman" w:cs="Times New Roman"/>
                <w:sz w:val="24"/>
                <w:szCs w:val="24"/>
                <w:lang w:eastAsia="lv-LV"/>
              </w:rPr>
            </w:pPr>
          </w:p>
        </w:tc>
      </w:tr>
      <w:tr w:rsidR="006F1D0B" w:rsidRPr="006F1D0B" w:rsidTr="005E3C04">
        <w:trPr>
          <w:trHeight w:val="390"/>
          <w:tblCellSpacing w:w="15" w:type="dxa"/>
          <w:jc w:val="center"/>
        </w:trPr>
        <w:tc>
          <w:tcPr>
            <w:tcW w:w="205" w:type="pct"/>
            <w:gridSpan w:val="2"/>
            <w:tcBorders>
              <w:top w:val="outset" w:sz="6" w:space="0" w:color="auto"/>
              <w:left w:val="outset" w:sz="6" w:space="0" w:color="auto"/>
              <w:bottom w:val="outset" w:sz="6" w:space="0" w:color="auto"/>
              <w:right w:val="outset" w:sz="6" w:space="0" w:color="auto"/>
            </w:tcBorders>
            <w:hideMark/>
          </w:tcPr>
          <w:p w:rsidR="00610082" w:rsidRPr="006F1D0B" w:rsidRDefault="00610082" w:rsidP="00BE5801">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2038" w:type="pct"/>
            <w:gridSpan w:val="2"/>
            <w:tcBorders>
              <w:top w:val="outset" w:sz="6" w:space="0" w:color="auto"/>
              <w:left w:val="outset" w:sz="6" w:space="0" w:color="auto"/>
              <w:bottom w:val="outset" w:sz="6" w:space="0" w:color="auto"/>
              <w:right w:val="outset" w:sz="6" w:space="0" w:color="auto"/>
            </w:tcBorders>
          </w:tcPr>
          <w:p w:rsidR="00610082" w:rsidRPr="006F1D0B" w:rsidRDefault="00610082" w:rsidP="00A810D1">
            <w:pPr>
              <w:ind w:firstLine="0"/>
              <w:rPr>
                <w:rFonts w:eastAsia="Times New Roman" w:cs="Times New Roman"/>
                <w:sz w:val="24"/>
                <w:szCs w:val="24"/>
                <w:lang w:eastAsia="lv-LV"/>
              </w:rPr>
            </w:pPr>
            <w:r w:rsidRPr="006F1D0B">
              <w:rPr>
                <w:rFonts w:eastAsia="Times New Roman"/>
                <w:sz w:val="24"/>
                <w:szCs w:val="24"/>
                <w:lang w:eastAsia="lv-LV"/>
              </w:rPr>
              <w:t>Sabiedrības līdzdalības rezultāti</w:t>
            </w:r>
          </w:p>
        </w:tc>
        <w:tc>
          <w:tcPr>
            <w:tcW w:w="2696" w:type="pct"/>
            <w:tcBorders>
              <w:top w:val="outset" w:sz="6" w:space="0" w:color="auto"/>
              <w:left w:val="outset" w:sz="6" w:space="0" w:color="auto"/>
              <w:bottom w:val="outset" w:sz="6" w:space="0" w:color="auto"/>
              <w:right w:val="outset" w:sz="6" w:space="0" w:color="auto"/>
            </w:tcBorders>
          </w:tcPr>
          <w:p w:rsidR="00610082" w:rsidRPr="006F1D0B" w:rsidRDefault="009D072D" w:rsidP="00A810D1">
            <w:pPr>
              <w:spacing w:before="100" w:beforeAutospacing="1" w:after="100" w:afterAutospacing="1"/>
              <w:ind w:firstLine="0"/>
              <w:rPr>
                <w:rFonts w:eastAsia="Times New Roman" w:cs="Times New Roman"/>
                <w:i/>
                <w:sz w:val="24"/>
                <w:szCs w:val="24"/>
                <w:lang w:eastAsia="lv-LV"/>
              </w:rPr>
            </w:pPr>
            <w:r w:rsidRPr="006F1D0B">
              <w:rPr>
                <w:rFonts w:eastAsia="Times New Roman" w:cs="Times New Roman"/>
                <w:i/>
                <w:sz w:val="24"/>
                <w:szCs w:val="24"/>
                <w:lang w:eastAsia="lv-LV"/>
              </w:rPr>
              <w:t>Tiks aizpildīts pēc viedokļu saņemšanas.</w:t>
            </w:r>
          </w:p>
        </w:tc>
      </w:tr>
      <w:tr w:rsidR="006F1D0B" w:rsidRPr="006F1D0B" w:rsidTr="005E3C04">
        <w:trPr>
          <w:trHeight w:val="390"/>
          <w:tblCellSpacing w:w="15" w:type="dxa"/>
          <w:jc w:val="center"/>
        </w:trPr>
        <w:tc>
          <w:tcPr>
            <w:tcW w:w="205" w:type="pct"/>
            <w:gridSpan w:val="2"/>
            <w:tcBorders>
              <w:top w:val="outset" w:sz="6" w:space="0" w:color="auto"/>
              <w:left w:val="outset" w:sz="6" w:space="0" w:color="auto"/>
              <w:bottom w:val="outset" w:sz="6" w:space="0" w:color="auto"/>
              <w:right w:val="outset" w:sz="6" w:space="0" w:color="auto"/>
            </w:tcBorders>
          </w:tcPr>
          <w:p w:rsidR="00610082" w:rsidRPr="006F1D0B" w:rsidRDefault="00610082" w:rsidP="00BE5801">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2038" w:type="pct"/>
            <w:gridSpan w:val="2"/>
            <w:tcBorders>
              <w:top w:val="outset" w:sz="6" w:space="0" w:color="auto"/>
              <w:left w:val="outset" w:sz="6" w:space="0" w:color="auto"/>
              <w:bottom w:val="outset" w:sz="6" w:space="0" w:color="auto"/>
              <w:right w:val="outset" w:sz="6" w:space="0" w:color="auto"/>
            </w:tcBorders>
          </w:tcPr>
          <w:p w:rsidR="00610082" w:rsidRPr="006F1D0B" w:rsidRDefault="00610082" w:rsidP="00A810D1">
            <w:pPr>
              <w:ind w:firstLine="0"/>
              <w:rPr>
                <w:rFonts w:eastAsia="Times New Roman"/>
                <w:sz w:val="24"/>
                <w:szCs w:val="24"/>
                <w:lang w:eastAsia="lv-LV"/>
              </w:rPr>
            </w:pPr>
            <w:r w:rsidRPr="006F1D0B">
              <w:rPr>
                <w:rFonts w:eastAsia="Times New Roman"/>
                <w:sz w:val="24"/>
                <w:szCs w:val="24"/>
                <w:lang w:eastAsia="lv-LV"/>
              </w:rPr>
              <w:t>Cita informācija</w:t>
            </w:r>
          </w:p>
        </w:tc>
        <w:tc>
          <w:tcPr>
            <w:tcW w:w="2696" w:type="pct"/>
            <w:tcBorders>
              <w:top w:val="outset" w:sz="6" w:space="0" w:color="auto"/>
              <w:left w:val="outset" w:sz="6" w:space="0" w:color="auto"/>
              <w:bottom w:val="outset" w:sz="6" w:space="0" w:color="auto"/>
              <w:right w:val="outset" w:sz="6" w:space="0" w:color="auto"/>
            </w:tcBorders>
          </w:tcPr>
          <w:p w:rsidR="00610082" w:rsidRPr="006F1D0B" w:rsidRDefault="00610082" w:rsidP="00A810D1">
            <w:pPr>
              <w:spacing w:before="100" w:beforeAutospacing="1" w:after="100" w:afterAutospacing="1"/>
              <w:ind w:firstLine="0"/>
              <w:rPr>
                <w:rFonts w:eastAsia="Times New Roman"/>
                <w:sz w:val="24"/>
                <w:szCs w:val="24"/>
                <w:lang w:eastAsia="lv-LV"/>
              </w:rPr>
            </w:pPr>
            <w:r w:rsidRPr="006F1D0B">
              <w:rPr>
                <w:rFonts w:eastAsia="Times New Roman"/>
                <w:sz w:val="24"/>
                <w:szCs w:val="24"/>
                <w:lang w:eastAsia="lv-LV"/>
              </w:rPr>
              <w:t>Nav.</w:t>
            </w:r>
          </w:p>
        </w:tc>
      </w:tr>
      <w:tr w:rsidR="006F1D0B" w:rsidRPr="006F1D0B" w:rsidTr="006A2234">
        <w:trPr>
          <w:trHeight w:val="375"/>
          <w:tblCellSpacing w:w="15" w:type="dxa"/>
          <w:jc w:val="center"/>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rsidR="005E3C04" w:rsidRPr="006F1D0B" w:rsidRDefault="005E3C04" w:rsidP="00862D0F">
            <w:pPr>
              <w:spacing w:before="100" w:beforeAutospacing="1" w:after="100" w:afterAutospacing="1"/>
              <w:ind w:firstLine="0"/>
              <w:jc w:val="center"/>
              <w:rPr>
                <w:rFonts w:eastAsia="Times New Roman" w:cs="Times New Roman"/>
                <w:b/>
                <w:bCs/>
                <w:sz w:val="24"/>
                <w:szCs w:val="24"/>
                <w:lang w:eastAsia="lv-LV"/>
              </w:rPr>
            </w:pPr>
          </w:p>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6F1D0B" w:rsidRPr="006F1D0B" w:rsidTr="005E3C04">
        <w:trPr>
          <w:trHeight w:val="420"/>
          <w:tblCellSpacing w:w="15" w:type="dxa"/>
          <w:jc w:val="center"/>
        </w:trPr>
        <w:tc>
          <w:tcPr>
            <w:tcW w:w="18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201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2740"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9E33C6" w:rsidP="006F1D0B">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Valsts ugunsdzēsības un glābšanas dienests</w:t>
            </w:r>
            <w:r w:rsidR="009D3E70" w:rsidRPr="006F1D0B">
              <w:rPr>
                <w:rFonts w:eastAsia="Times New Roman" w:cs="Times New Roman"/>
                <w:sz w:val="24"/>
                <w:szCs w:val="24"/>
                <w:lang w:eastAsia="lv-LV"/>
              </w:rPr>
              <w:tab/>
            </w:r>
          </w:p>
          <w:p w:rsidR="009E33C6" w:rsidRPr="006F1D0B" w:rsidRDefault="009E33C6"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sidR="009D3E70" w:rsidRPr="006F1D0B">
              <w:rPr>
                <w:rFonts w:eastAsia="Times New Roman" w:cs="Times New Roman"/>
                <w:sz w:val="24"/>
                <w:szCs w:val="24"/>
                <w:lang w:eastAsia="lv-LV"/>
              </w:rPr>
              <w:t xml:space="preserve"> (piešķirto finanšu līdzekļu ietvaros).</w:t>
            </w:r>
          </w:p>
          <w:p w:rsidR="009E33C6" w:rsidRPr="006F1D0B" w:rsidRDefault="009E33C6"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robežsardze</w:t>
            </w:r>
          </w:p>
          <w:p w:rsidR="009E33C6" w:rsidRPr="006F1D0B" w:rsidRDefault="009E33C6"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Drošības policija</w:t>
            </w:r>
            <w:r w:rsidR="009D3E70" w:rsidRPr="006F1D0B">
              <w:rPr>
                <w:rFonts w:eastAsia="Times New Roman" w:cs="Times New Roman"/>
                <w:sz w:val="24"/>
                <w:szCs w:val="24"/>
                <w:lang w:eastAsia="lv-LV"/>
              </w:rPr>
              <w:t xml:space="preserve"> (piešķirto finanšu līdzekļu ietvaros)</w:t>
            </w:r>
          </w:p>
          <w:p w:rsidR="009E33C6" w:rsidRPr="006F1D0B" w:rsidRDefault="009E33C6"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Iekšējās drošības birojs</w:t>
            </w:r>
            <w:r w:rsidR="009D3E70" w:rsidRPr="006F1D0B">
              <w:rPr>
                <w:rFonts w:eastAsia="Times New Roman" w:cs="Times New Roman"/>
                <w:sz w:val="24"/>
                <w:szCs w:val="24"/>
                <w:lang w:eastAsia="lv-LV"/>
              </w:rPr>
              <w:t xml:space="preserve"> (piešķirto finanšu līdzekļu ietvaros)</w:t>
            </w:r>
          </w:p>
          <w:p w:rsidR="009E33C6" w:rsidRPr="006F1D0B" w:rsidRDefault="009E33C6" w:rsidP="009D3E70">
            <w:pPr>
              <w:ind w:firstLine="0"/>
              <w:jc w:val="left"/>
              <w:rPr>
                <w:rFonts w:eastAsia="Times New Roman" w:cs="Times New Roman"/>
                <w:sz w:val="24"/>
                <w:szCs w:val="24"/>
                <w:lang w:eastAsia="lv-LV"/>
              </w:rPr>
            </w:pPr>
            <w:r w:rsidRPr="006F1D0B">
              <w:rPr>
                <w:rFonts w:eastAsia="Times New Roman" w:cs="Times New Roman"/>
                <w:sz w:val="24"/>
                <w:szCs w:val="24"/>
                <w:lang w:eastAsia="lv-LV"/>
              </w:rPr>
              <w:t>Ieslodzījuma vietu pārvalde</w:t>
            </w:r>
          </w:p>
        </w:tc>
      </w:tr>
      <w:tr w:rsidR="006F1D0B" w:rsidRPr="006F1D0B" w:rsidTr="005E3C04">
        <w:trPr>
          <w:trHeight w:val="450"/>
          <w:tblCellSpacing w:w="15" w:type="dxa"/>
          <w:jc w:val="center"/>
        </w:trPr>
        <w:tc>
          <w:tcPr>
            <w:tcW w:w="18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201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2A3D3A">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862D0F" w:rsidRPr="006F1D0B" w:rsidRDefault="00862D0F" w:rsidP="002A3D3A">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2740" w:type="pct"/>
            <w:gridSpan w:val="2"/>
            <w:tcBorders>
              <w:top w:val="outset" w:sz="6" w:space="0" w:color="auto"/>
              <w:left w:val="outset" w:sz="6" w:space="0" w:color="auto"/>
              <w:bottom w:val="outset" w:sz="6" w:space="0" w:color="auto"/>
              <w:right w:val="outset" w:sz="6" w:space="0" w:color="auto"/>
            </w:tcBorders>
            <w:hideMark/>
          </w:tcPr>
          <w:p w:rsidR="00AB6F4E" w:rsidRPr="006F1D0B" w:rsidRDefault="009E33C6" w:rsidP="009E33C6">
            <w:pPr>
              <w:ind w:firstLine="0"/>
              <w:rPr>
                <w:rFonts w:eastAsia="Times New Roman" w:cs="Times New Roman"/>
                <w:sz w:val="24"/>
                <w:szCs w:val="24"/>
                <w:lang w:eastAsia="lv-LV"/>
              </w:rPr>
            </w:pPr>
            <w:r w:rsidRPr="006F1D0B">
              <w:rPr>
                <w:rFonts w:eastAsia="Times New Roman" w:cs="Times New Roman"/>
                <w:sz w:val="24"/>
                <w:szCs w:val="24"/>
                <w:lang w:eastAsia="lv-LV"/>
              </w:rPr>
              <w:t>Projekts šo jomu neskar.</w:t>
            </w:r>
          </w:p>
        </w:tc>
      </w:tr>
      <w:tr w:rsidR="00862D0F" w:rsidRPr="006F1D0B" w:rsidTr="005E3C04">
        <w:trPr>
          <w:trHeight w:val="390"/>
          <w:tblCellSpacing w:w="15" w:type="dxa"/>
          <w:jc w:val="center"/>
        </w:trPr>
        <w:tc>
          <w:tcPr>
            <w:tcW w:w="187"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201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2740"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6F223E"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140597" w:rsidRPr="006F1D0B" w:rsidRDefault="00140597" w:rsidP="00140597">
      <w:pPr>
        <w:ind w:left="-284" w:firstLine="0"/>
      </w:pPr>
    </w:p>
    <w:p w:rsidR="005E3C04" w:rsidRPr="006F1D0B" w:rsidRDefault="005E3C04" w:rsidP="00140597">
      <w:pPr>
        <w:ind w:left="-284" w:firstLine="0"/>
      </w:pPr>
    </w:p>
    <w:p w:rsidR="00140597" w:rsidRPr="006F1D0B" w:rsidRDefault="001659FA" w:rsidP="00140597">
      <w:pPr>
        <w:ind w:firstLine="0"/>
        <w:rPr>
          <w:sz w:val="24"/>
          <w:szCs w:val="24"/>
        </w:rPr>
      </w:pPr>
      <w:r w:rsidRPr="006F1D0B">
        <w:rPr>
          <w:sz w:val="24"/>
          <w:szCs w:val="24"/>
        </w:rPr>
        <w:t>Iekšlietu ministrs</w:t>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t xml:space="preserve">Rihards </w:t>
      </w:r>
      <w:r w:rsidR="00140597" w:rsidRPr="006F1D0B">
        <w:rPr>
          <w:sz w:val="24"/>
          <w:szCs w:val="24"/>
        </w:rPr>
        <w:t>Kozlovskis</w:t>
      </w:r>
    </w:p>
    <w:p w:rsidR="00140597" w:rsidRPr="006F1D0B" w:rsidRDefault="00140597" w:rsidP="00140597">
      <w:pPr>
        <w:ind w:firstLine="0"/>
        <w:rPr>
          <w:sz w:val="24"/>
          <w:szCs w:val="24"/>
        </w:rPr>
      </w:pPr>
    </w:p>
    <w:p w:rsidR="00140597" w:rsidRPr="006F1D0B" w:rsidRDefault="00140597" w:rsidP="00140597">
      <w:pPr>
        <w:ind w:firstLine="0"/>
        <w:rPr>
          <w:sz w:val="24"/>
          <w:szCs w:val="24"/>
        </w:rPr>
      </w:pPr>
    </w:p>
    <w:p w:rsidR="00140597" w:rsidRPr="006F1D0B" w:rsidRDefault="00140597" w:rsidP="00140597">
      <w:pPr>
        <w:ind w:firstLine="0"/>
        <w:rPr>
          <w:sz w:val="24"/>
          <w:szCs w:val="24"/>
        </w:rPr>
      </w:pPr>
      <w:r w:rsidRPr="006F1D0B">
        <w:rPr>
          <w:sz w:val="24"/>
          <w:szCs w:val="24"/>
        </w:rPr>
        <w:t>Valsts sekretāre</w:t>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r>
      <w:r w:rsidRPr="006F1D0B">
        <w:rPr>
          <w:sz w:val="24"/>
          <w:szCs w:val="24"/>
        </w:rPr>
        <w:tab/>
      </w:r>
      <w:proofErr w:type="gramStart"/>
      <w:r w:rsidR="006F1D0B" w:rsidRPr="006F1D0B">
        <w:rPr>
          <w:sz w:val="24"/>
          <w:szCs w:val="24"/>
        </w:rPr>
        <w:t xml:space="preserve">             </w:t>
      </w:r>
      <w:r w:rsidR="009D3E70" w:rsidRPr="006F1D0B">
        <w:rPr>
          <w:sz w:val="24"/>
          <w:szCs w:val="24"/>
        </w:rPr>
        <w:t xml:space="preserve">  </w:t>
      </w:r>
      <w:proofErr w:type="gramEnd"/>
      <w:r w:rsidR="001659FA" w:rsidRPr="006F1D0B">
        <w:rPr>
          <w:sz w:val="24"/>
          <w:szCs w:val="24"/>
        </w:rPr>
        <w:t xml:space="preserve">Ilze </w:t>
      </w:r>
      <w:r w:rsidRPr="006F1D0B">
        <w:rPr>
          <w:sz w:val="24"/>
          <w:szCs w:val="24"/>
        </w:rPr>
        <w:t>Pētersone</w:t>
      </w:r>
      <w:r w:rsidR="00FE68D5" w:rsidRPr="006F1D0B">
        <w:rPr>
          <w:sz w:val="24"/>
          <w:szCs w:val="24"/>
        </w:rPr>
        <w:t>–</w:t>
      </w:r>
      <w:r w:rsidRPr="006F1D0B">
        <w:rPr>
          <w:sz w:val="24"/>
          <w:szCs w:val="24"/>
        </w:rPr>
        <w:t>Godmane</w:t>
      </w:r>
    </w:p>
    <w:p w:rsidR="0051055D" w:rsidRPr="006F1D0B" w:rsidRDefault="0051055D" w:rsidP="00140597">
      <w:pPr>
        <w:ind w:firstLine="0"/>
        <w:rPr>
          <w:sz w:val="18"/>
          <w:szCs w:val="18"/>
        </w:rPr>
      </w:pPr>
    </w:p>
    <w:p w:rsidR="0051055D" w:rsidRPr="006F1D0B" w:rsidRDefault="0051055D" w:rsidP="00140597">
      <w:pPr>
        <w:ind w:firstLine="0"/>
        <w:rPr>
          <w:sz w:val="18"/>
          <w:szCs w:val="18"/>
        </w:rPr>
      </w:pPr>
    </w:p>
    <w:p w:rsidR="00FE68D5" w:rsidRPr="006F1D0B" w:rsidRDefault="00EC0ABB" w:rsidP="00140597">
      <w:pPr>
        <w:ind w:firstLine="0"/>
        <w:rPr>
          <w:sz w:val="20"/>
          <w:szCs w:val="20"/>
        </w:rPr>
      </w:pPr>
      <w:r w:rsidRPr="006F1D0B">
        <w:rPr>
          <w:sz w:val="20"/>
          <w:szCs w:val="20"/>
        </w:rPr>
        <w:t>15</w:t>
      </w:r>
      <w:r w:rsidR="005E3C04" w:rsidRPr="006F1D0B">
        <w:rPr>
          <w:sz w:val="20"/>
          <w:szCs w:val="20"/>
        </w:rPr>
        <w:t>.09</w:t>
      </w:r>
      <w:r w:rsidR="00AA2A32" w:rsidRPr="006F1D0B">
        <w:rPr>
          <w:sz w:val="20"/>
          <w:szCs w:val="20"/>
        </w:rPr>
        <w:t>.2016</w:t>
      </w:r>
      <w:r w:rsidRPr="006F1D0B">
        <w:rPr>
          <w:sz w:val="20"/>
          <w:szCs w:val="20"/>
        </w:rPr>
        <w:t>. 11:14</w:t>
      </w:r>
    </w:p>
    <w:p w:rsidR="00FE68D5" w:rsidRPr="006F1D0B" w:rsidRDefault="00EC0ABB" w:rsidP="00140597">
      <w:pPr>
        <w:ind w:firstLine="0"/>
        <w:rPr>
          <w:sz w:val="20"/>
          <w:szCs w:val="20"/>
        </w:rPr>
      </w:pPr>
      <w:r w:rsidRPr="006F1D0B">
        <w:rPr>
          <w:sz w:val="20"/>
          <w:szCs w:val="20"/>
        </w:rPr>
        <w:t>2</w:t>
      </w:r>
      <w:r w:rsidR="009D3E70" w:rsidRPr="006F1D0B">
        <w:rPr>
          <w:sz w:val="20"/>
          <w:szCs w:val="20"/>
        </w:rPr>
        <w:t>533</w:t>
      </w:r>
    </w:p>
    <w:p w:rsidR="00AA2A32" w:rsidRPr="006F1D0B" w:rsidRDefault="00AA2A32" w:rsidP="00140597">
      <w:pPr>
        <w:ind w:firstLine="0"/>
        <w:rPr>
          <w:sz w:val="20"/>
          <w:szCs w:val="20"/>
        </w:rPr>
      </w:pPr>
      <w:r w:rsidRPr="006F1D0B">
        <w:rPr>
          <w:sz w:val="20"/>
          <w:szCs w:val="20"/>
        </w:rPr>
        <w:t>V.Vītoliņš</w:t>
      </w:r>
    </w:p>
    <w:p w:rsidR="00AA2A32" w:rsidRPr="006F1D0B" w:rsidRDefault="00AA2A32" w:rsidP="00140597">
      <w:pPr>
        <w:ind w:firstLine="0"/>
        <w:rPr>
          <w:sz w:val="20"/>
          <w:szCs w:val="20"/>
        </w:rPr>
      </w:pPr>
      <w:r w:rsidRPr="006F1D0B">
        <w:rPr>
          <w:sz w:val="20"/>
          <w:szCs w:val="20"/>
        </w:rPr>
        <w:t xml:space="preserve">67219597, </w:t>
      </w:r>
      <w:r w:rsidR="00914D7A" w:rsidRPr="006F1D0B">
        <w:rPr>
          <w:sz w:val="20"/>
          <w:szCs w:val="20"/>
        </w:rPr>
        <w:t>vilnis.vitolins@iem.gov.l</w:t>
      </w:r>
      <w:r w:rsidR="00730B8F" w:rsidRPr="006F1D0B">
        <w:rPr>
          <w:sz w:val="20"/>
          <w:szCs w:val="20"/>
        </w:rPr>
        <w:t>v</w:t>
      </w:r>
    </w:p>
    <w:p w:rsidR="00730B8F" w:rsidRPr="006F1D0B" w:rsidRDefault="00914D7A" w:rsidP="00914D7A">
      <w:pPr>
        <w:ind w:firstLine="0"/>
        <w:jc w:val="left"/>
        <w:rPr>
          <w:rFonts w:eastAsia="Calibri" w:cs="Times New Roman"/>
          <w:sz w:val="20"/>
          <w:szCs w:val="20"/>
        </w:rPr>
      </w:pPr>
      <w:r w:rsidRPr="006F1D0B">
        <w:rPr>
          <w:rFonts w:eastAsia="Calibri" w:cs="Times New Roman"/>
          <w:sz w:val="20"/>
          <w:szCs w:val="20"/>
        </w:rPr>
        <w:t xml:space="preserve">A.Strode, </w:t>
      </w:r>
    </w:p>
    <w:p w:rsidR="00914D7A" w:rsidRPr="006F1D0B" w:rsidRDefault="00914D7A" w:rsidP="00914D7A">
      <w:pPr>
        <w:ind w:firstLine="0"/>
        <w:jc w:val="left"/>
        <w:rPr>
          <w:rFonts w:eastAsia="Calibri" w:cs="Times New Roman"/>
          <w:sz w:val="20"/>
          <w:szCs w:val="20"/>
        </w:rPr>
      </w:pPr>
      <w:r w:rsidRPr="006F1D0B">
        <w:rPr>
          <w:rFonts w:eastAsia="Calibri" w:cs="Times New Roman"/>
          <w:sz w:val="20"/>
          <w:szCs w:val="20"/>
        </w:rPr>
        <w:t>67219602,</w:t>
      </w:r>
      <w:r w:rsidR="00730B8F" w:rsidRPr="006F1D0B">
        <w:rPr>
          <w:rFonts w:eastAsia="Calibri" w:cs="Times New Roman"/>
          <w:sz w:val="20"/>
          <w:szCs w:val="20"/>
        </w:rPr>
        <w:t xml:space="preserve"> </w:t>
      </w:r>
      <w:r w:rsidRPr="006F1D0B">
        <w:rPr>
          <w:rFonts w:eastAsia="Calibri" w:cs="Times New Roman"/>
          <w:sz w:val="20"/>
          <w:szCs w:val="20"/>
        </w:rPr>
        <w:t>alda.strode@iem.gov.lv</w:t>
      </w:r>
    </w:p>
    <w:p w:rsidR="00914D7A" w:rsidRPr="006F1D0B" w:rsidRDefault="00914D7A" w:rsidP="00140597">
      <w:pPr>
        <w:ind w:firstLine="0"/>
        <w:rPr>
          <w:sz w:val="20"/>
          <w:szCs w:val="20"/>
        </w:rPr>
      </w:pPr>
    </w:p>
    <w:sectPr w:rsidR="00914D7A" w:rsidRPr="006F1D0B" w:rsidSect="005E3C04">
      <w:headerReference w:type="default" r:id="rId8"/>
      <w:footerReference w:type="default" r:id="rId9"/>
      <w:footerReference w:type="first" r:id="rId10"/>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D6" w:rsidRDefault="009C29D6" w:rsidP="00F3628F">
      <w:r>
        <w:separator/>
      </w:r>
    </w:p>
  </w:endnote>
  <w:endnote w:type="continuationSeparator" w:id="0">
    <w:p w:rsidR="009C29D6" w:rsidRDefault="009C29D6"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34" w:rsidRPr="000E5184" w:rsidRDefault="00EC0ABB" w:rsidP="006A2234">
    <w:pPr>
      <w:pStyle w:val="Footer"/>
      <w:ind w:firstLine="0"/>
      <w:rPr>
        <w:sz w:val="20"/>
        <w:szCs w:val="20"/>
      </w:rPr>
    </w:pPr>
    <w:r>
      <w:rPr>
        <w:sz w:val="20"/>
        <w:szCs w:val="20"/>
      </w:rPr>
      <w:t>IEMAnot_15</w:t>
    </w:r>
    <w:r w:rsidR="00AB7CE1">
      <w:rPr>
        <w:sz w:val="20"/>
        <w:szCs w:val="20"/>
      </w:rPr>
      <w:t>09</w:t>
    </w:r>
    <w:r w:rsidR="006A2234">
      <w:rPr>
        <w:sz w:val="20"/>
        <w:szCs w:val="20"/>
      </w:rPr>
      <w:t>16</w:t>
    </w:r>
    <w:r w:rsidR="00F60272">
      <w:rPr>
        <w:sz w:val="20"/>
        <w:szCs w:val="20"/>
      </w:rPr>
      <w:t>_AL</w:t>
    </w:r>
    <w:r w:rsidR="006A2234">
      <w:rPr>
        <w:sz w:val="20"/>
        <w:szCs w:val="20"/>
      </w:rPr>
      <w:t xml:space="preserve">; likumprojekta </w:t>
    </w:r>
    <w:r w:rsidR="006A2234" w:rsidRPr="006A2234">
      <w:rPr>
        <w:sz w:val="20"/>
        <w:szCs w:val="20"/>
      </w:rPr>
      <w:t xml:space="preserve">“Grozījums Valsts un pašvaldību institūciju amatpersonu un darbinieku atlīdzības likumā” </w:t>
    </w:r>
    <w:r w:rsidR="006A2234">
      <w:rPr>
        <w:sz w:val="20"/>
        <w:szCs w:val="20"/>
      </w:rPr>
      <w:t>sākotnējās ietekmes novērtējuma ziņojums (anotācija)</w:t>
    </w:r>
    <w:r w:rsidR="006A2234" w:rsidRPr="0027319E">
      <w:t xml:space="preserve"> </w:t>
    </w:r>
  </w:p>
  <w:p w:rsidR="000B6D6A" w:rsidRPr="006A2234" w:rsidRDefault="000B6D6A"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A" w:rsidRPr="000E5184" w:rsidRDefault="00EC0ABB" w:rsidP="0027319E">
    <w:pPr>
      <w:pStyle w:val="Footer"/>
      <w:ind w:firstLine="0"/>
      <w:rPr>
        <w:sz w:val="20"/>
        <w:szCs w:val="20"/>
      </w:rPr>
    </w:pPr>
    <w:r>
      <w:rPr>
        <w:sz w:val="20"/>
        <w:szCs w:val="20"/>
      </w:rPr>
      <w:t>IEMAnot_15</w:t>
    </w:r>
    <w:r w:rsidR="00D86221">
      <w:rPr>
        <w:sz w:val="20"/>
        <w:szCs w:val="20"/>
      </w:rPr>
      <w:t>09</w:t>
    </w:r>
    <w:r w:rsidR="00AF3807">
      <w:rPr>
        <w:sz w:val="20"/>
        <w:szCs w:val="20"/>
      </w:rPr>
      <w:t>16</w:t>
    </w:r>
    <w:r w:rsidR="00F60272">
      <w:rPr>
        <w:sz w:val="20"/>
        <w:szCs w:val="20"/>
      </w:rPr>
      <w:t>_AL</w:t>
    </w:r>
    <w:r w:rsidR="000B6D6A">
      <w:rPr>
        <w:sz w:val="20"/>
        <w:szCs w:val="20"/>
      </w:rPr>
      <w:t xml:space="preserve">; likumprojekta </w:t>
    </w:r>
    <w:r w:rsidR="006A2234" w:rsidRPr="006A2234">
      <w:rPr>
        <w:sz w:val="20"/>
        <w:szCs w:val="20"/>
      </w:rPr>
      <w:t xml:space="preserve">“Grozījums Valsts un pašvaldību institūciju amatpersonu un darbinieku atlīdzības likumā” </w:t>
    </w:r>
    <w:r w:rsidR="000B6D6A">
      <w:rPr>
        <w:sz w:val="20"/>
        <w:szCs w:val="20"/>
      </w:rPr>
      <w:t>sākotnējās ietekmes novērtējuma ziņojums (anotācija)</w:t>
    </w:r>
    <w:r w:rsidR="000B6D6A" w:rsidRPr="0027319E">
      <w:t xml:space="preserve"> </w:t>
    </w:r>
  </w:p>
  <w:p w:rsidR="000B6D6A" w:rsidRDefault="000B6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D6" w:rsidRDefault="009C29D6" w:rsidP="00F3628F">
      <w:r>
        <w:separator/>
      </w:r>
    </w:p>
  </w:footnote>
  <w:footnote w:type="continuationSeparator" w:id="0">
    <w:p w:rsidR="009C29D6" w:rsidRDefault="009C29D6"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0B6D6A" w:rsidRDefault="000B6D6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E66185">
          <w:rPr>
            <w:noProof/>
            <w:sz w:val="20"/>
            <w:szCs w:val="20"/>
          </w:rPr>
          <w:t>8</w:t>
        </w:r>
        <w:r w:rsidRPr="00B605EA">
          <w:rPr>
            <w:noProof/>
            <w:sz w:val="20"/>
            <w:szCs w:val="20"/>
          </w:rPr>
          <w:fldChar w:fldCharType="end"/>
        </w:r>
      </w:p>
    </w:sdtContent>
  </w:sdt>
  <w:p w:rsidR="000B6D6A" w:rsidRDefault="000B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6"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10"/>
  </w:num>
  <w:num w:numId="7">
    <w:abstractNumId w:val="8"/>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14974"/>
    <w:rsid w:val="00015C11"/>
    <w:rsid w:val="00030D64"/>
    <w:rsid w:val="000363FA"/>
    <w:rsid w:val="00040E86"/>
    <w:rsid w:val="000478C2"/>
    <w:rsid w:val="000555AA"/>
    <w:rsid w:val="00074494"/>
    <w:rsid w:val="0007566F"/>
    <w:rsid w:val="00083D16"/>
    <w:rsid w:val="000849E1"/>
    <w:rsid w:val="0008799E"/>
    <w:rsid w:val="00092928"/>
    <w:rsid w:val="000A2B93"/>
    <w:rsid w:val="000A3CEB"/>
    <w:rsid w:val="000A4BC9"/>
    <w:rsid w:val="000A7B38"/>
    <w:rsid w:val="000B622A"/>
    <w:rsid w:val="000B6D6A"/>
    <w:rsid w:val="000C2783"/>
    <w:rsid w:val="000C3803"/>
    <w:rsid w:val="000C52A6"/>
    <w:rsid w:val="000C65EE"/>
    <w:rsid w:val="000D513D"/>
    <w:rsid w:val="000E39F3"/>
    <w:rsid w:val="000E5184"/>
    <w:rsid w:val="000E7ED0"/>
    <w:rsid w:val="000F2ED3"/>
    <w:rsid w:val="000F3EA5"/>
    <w:rsid w:val="001013F2"/>
    <w:rsid w:val="00112C73"/>
    <w:rsid w:val="00117967"/>
    <w:rsid w:val="00124CBB"/>
    <w:rsid w:val="00125FE8"/>
    <w:rsid w:val="00131DBE"/>
    <w:rsid w:val="0013512D"/>
    <w:rsid w:val="0013550B"/>
    <w:rsid w:val="0013569A"/>
    <w:rsid w:val="00140597"/>
    <w:rsid w:val="0014794E"/>
    <w:rsid w:val="00151C8F"/>
    <w:rsid w:val="00161FC1"/>
    <w:rsid w:val="001659FA"/>
    <w:rsid w:val="0016681A"/>
    <w:rsid w:val="00170975"/>
    <w:rsid w:val="00171E4F"/>
    <w:rsid w:val="00183AE1"/>
    <w:rsid w:val="00184F77"/>
    <w:rsid w:val="00196E17"/>
    <w:rsid w:val="001A4487"/>
    <w:rsid w:val="001B2B71"/>
    <w:rsid w:val="001B3111"/>
    <w:rsid w:val="001D510D"/>
    <w:rsid w:val="001D5646"/>
    <w:rsid w:val="001D681A"/>
    <w:rsid w:val="001E0DB9"/>
    <w:rsid w:val="001E4331"/>
    <w:rsid w:val="00204C76"/>
    <w:rsid w:val="00205CD5"/>
    <w:rsid w:val="0020679E"/>
    <w:rsid w:val="0021213F"/>
    <w:rsid w:val="00223DEF"/>
    <w:rsid w:val="00224D56"/>
    <w:rsid w:val="00227ED8"/>
    <w:rsid w:val="002424CC"/>
    <w:rsid w:val="00243873"/>
    <w:rsid w:val="002466FD"/>
    <w:rsid w:val="00256769"/>
    <w:rsid w:val="0027319E"/>
    <w:rsid w:val="0027455A"/>
    <w:rsid w:val="0028672B"/>
    <w:rsid w:val="00287982"/>
    <w:rsid w:val="002960C1"/>
    <w:rsid w:val="00296493"/>
    <w:rsid w:val="002A1F02"/>
    <w:rsid w:val="002A3D3A"/>
    <w:rsid w:val="002A3E2F"/>
    <w:rsid w:val="002B241C"/>
    <w:rsid w:val="002C01C2"/>
    <w:rsid w:val="002D2B36"/>
    <w:rsid w:val="002E1243"/>
    <w:rsid w:val="002F2E0C"/>
    <w:rsid w:val="003037B8"/>
    <w:rsid w:val="00303BDB"/>
    <w:rsid w:val="00306461"/>
    <w:rsid w:val="003102AA"/>
    <w:rsid w:val="00311772"/>
    <w:rsid w:val="003235AA"/>
    <w:rsid w:val="003417A9"/>
    <w:rsid w:val="003456B7"/>
    <w:rsid w:val="0035190C"/>
    <w:rsid w:val="0035656C"/>
    <w:rsid w:val="0036204A"/>
    <w:rsid w:val="00384B29"/>
    <w:rsid w:val="003B154A"/>
    <w:rsid w:val="003D6EA8"/>
    <w:rsid w:val="003E3A9E"/>
    <w:rsid w:val="00415FB1"/>
    <w:rsid w:val="004327DE"/>
    <w:rsid w:val="0044584E"/>
    <w:rsid w:val="00461746"/>
    <w:rsid w:val="004701FD"/>
    <w:rsid w:val="00473616"/>
    <w:rsid w:val="00476B02"/>
    <w:rsid w:val="00476E9D"/>
    <w:rsid w:val="004860D9"/>
    <w:rsid w:val="004902F3"/>
    <w:rsid w:val="004A2AB3"/>
    <w:rsid w:val="004B71AF"/>
    <w:rsid w:val="004C4FB9"/>
    <w:rsid w:val="004E21C1"/>
    <w:rsid w:val="004E445D"/>
    <w:rsid w:val="004F0008"/>
    <w:rsid w:val="004F1F7A"/>
    <w:rsid w:val="004F55B2"/>
    <w:rsid w:val="004F62C2"/>
    <w:rsid w:val="00507BA0"/>
    <w:rsid w:val="0051055D"/>
    <w:rsid w:val="00511B04"/>
    <w:rsid w:val="005401E9"/>
    <w:rsid w:val="00547481"/>
    <w:rsid w:val="00570FDD"/>
    <w:rsid w:val="00571B50"/>
    <w:rsid w:val="00573918"/>
    <w:rsid w:val="00580DDF"/>
    <w:rsid w:val="00583CFA"/>
    <w:rsid w:val="00585484"/>
    <w:rsid w:val="005937BE"/>
    <w:rsid w:val="005951D5"/>
    <w:rsid w:val="005A0639"/>
    <w:rsid w:val="005A2741"/>
    <w:rsid w:val="005B119D"/>
    <w:rsid w:val="005B2285"/>
    <w:rsid w:val="005B2701"/>
    <w:rsid w:val="005D2A09"/>
    <w:rsid w:val="005E36D1"/>
    <w:rsid w:val="005E3C04"/>
    <w:rsid w:val="005E6DE3"/>
    <w:rsid w:val="006020DB"/>
    <w:rsid w:val="00610082"/>
    <w:rsid w:val="00616CC7"/>
    <w:rsid w:val="00623A32"/>
    <w:rsid w:val="00632DB3"/>
    <w:rsid w:val="006462A7"/>
    <w:rsid w:val="00650FCB"/>
    <w:rsid w:val="0065383C"/>
    <w:rsid w:val="006569DF"/>
    <w:rsid w:val="00683059"/>
    <w:rsid w:val="00683BBE"/>
    <w:rsid w:val="0068721C"/>
    <w:rsid w:val="00687DEE"/>
    <w:rsid w:val="00696563"/>
    <w:rsid w:val="006A2234"/>
    <w:rsid w:val="006B1E66"/>
    <w:rsid w:val="006C2629"/>
    <w:rsid w:val="006C4677"/>
    <w:rsid w:val="006C7180"/>
    <w:rsid w:val="006C76BC"/>
    <w:rsid w:val="006F1D0B"/>
    <w:rsid w:val="006F223E"/>
    <w:rsid w:val="006F271E"/>
    <w:rsid w:val="00715FE0"/>
    <w:rsid w:val="00730B8F"/>
    <w:rsid w:val="0073700E"/>
    <w:rsid w:val="00744D78"/>
    <w:rsid w:val="00745833"/>
    <w:rsid w:val="007536A2"/>
    <w:rsid w:val="0075389E"/>
    <w:rsid w:val="007557CA"/>
    <w:rsid w:val="00761B14"/>
    <w:rsid w:val="007747B8"/>
    <w:rsid w:val="00784488"/>
    <w:rsid w:val="00786BA0"/>
    <w:rsid w:val="00792DE5"/>
    <w:rsid w:val="007A4CA3"/>
    <w:rsid w:val="007A6926"/>
    <w:rsid w:val="007B1B53"/>
    <w:rsid w:val="007B4864"/>
    <w:rsid w:val="007B5527"/>
    <w:rsid w:val="007D0B21"/>
    <w:rsid w:val="007E0AEF"/>
    <w:rsid w:val="007E4654"/>
    <w:rsid w:val="007E69E7"/>
    <w:rsid w:val="007F274C"/>
    <w:rsid w:val="007F4B42"/>
    <w:rsid w:val="00800BE8"/>
    <w:rsid w:val="00801BA8"/>
    <w:rsid w:val="00806F2F"/>
    <w:rsid w:val="008154AA"/>
    <w:rsid w:val="008230AB"/>
    <w:rsid w:val="00841505"/>
    <w:rsid w:val="0084333A"/>
    <w:rsid w:val="00850A1C"/>
    <w:rsid w:val="00853A3F"/>
    <w:rsid w:val="008544FC"/>
    <w:rsid w:val="00862AD2"/>
    <w:rsid w:val="00862D0F"/>
    <w:rsid w:val="008773AE"/>
    <w:rsid w:val="0088221C"/>
    <w:rsid w:val="00887DF1"/>
    <w:rsid w:val="0089767B"/>
    <w:rsid w:val="008A1945"/>
    <w:rsid w:val="008C16EE"/>
    <w:rsid w:val="008C4C8F"/>
    <w:rsid w:val="008D5E43"/>
    <w:rsid w:val="008D7675"/>
    <w:rsid w:val="008F5508"/>
    <w:rsid w:val="00902BE1"/>
    <w:rsid w:val="00907B1F"/>
    <w:rsid w:val="00910107"/>
    <w:rsid w:val="00911F54"/>
    <w:rsid w:val="00914D7A"/>
    <w:rsid w:val="00915D58"/>
    <w:rsid w:val="009333D3"/>
    <w:rsid w:val="0093561F"/>
    <w:rsid w:val="009408A6"/>
    <w:rsid w:val="009456ED"/>
    <w:rsid w:val="00955ACA"/>
    <w:rsid w:val="009566B4"/>
    <w:rsid w:val="009629B8"/>
    <w:rsid w:val="00963E11"/>
    <w:rsid w:val="009831B1"/>
    <w:rsid w:val="0098384A"/>
    <w:rsid w:val="0099625E"/>
    <w:rsid w:val="009A14F4"/>
    <w:rsid w:val="009A6882"/>
    <w:rsid w:val="009B19F4"/>
    <w:rsid w:val="009B2E47"/>
    <w:rsid w:val="009B39AB"/>
    <w:rsid w:val="009B479F"/>
    <w:rsid w:val="009C1D16"/>
    <w:rsid w:val="009C29D6"/>
    <w:rsid w:val="009C2E2B"/>
    <w:rsid w:val="009C54B8"/>
    <w:rsid w:val="009D072D"/>
    <w:rsid w:val="009D3E70"/>
    <w:rsid w:val="009E33C6"/>
    <w:rsid w:val="00A06022"/>
    <w:rsid w:val="00A24594"/>
    <w:rsid w:val="00A26085"/>
    <w:rsid w:val="00A34EAF"/>
    <w:rsid w:val="00A5100E"/>
    <w:rsid w:val="00A51AB9"/>
    <w:rsid w:val="00A51ADE"/>
    <w:rsid w:val="00A63567"/>
    <w:rsid w:val="00A71681"/>
    <w:rsid w:val="00A810D1"/>
    <w:rsid w:val="00A900F4"/>
    <w:rsid w:val="00A932CC"/>
    <w:rsid w:val="00A9559E"/>
    <w:rsid w:val="00A974F2"/>
    <w:rsid w:val="00AA2A32"/>
    <w:rsid w:val="00AA5675"/>
    <w:rsid w:val="00AB1865"/>
    <w:rsid w:val="00AB6F4E"/>
    <w:rsid w:val="00AB7CE1"/>
    <w:rsid w:val="00AD3B39"/>
    <w:rsid w:val="00AD7791"/>
    <w:rsid w:val="00AE2358"/>
    <w:rsid w:val="00AE501F"/>
    <w:rsid w:val="00AF1141"/>
    <w:rsid w:val="00AF2B4C"/>
    <w:rsid w:val="00AF3807"/>
    <w:rsid w:val="00AF670C"/>
    <w:rsid w:val="00AF7FCC"/>
    <w:rsid w:val="00B0012A"/>
    <w:rsid w:val="00B134AD"/>
    <w:rsid w:val="00B16423"/>
    <w:rsid w:val="00B21D01"/>
    <w:rsid w:val="00B262F8"/>
    <w:rsid w:val="00B26E6D"/>
    <w:rsid w:val="00B27AAC"/>
    <w:rsid w:val="00B30091"/>
    <w:rsid w:val="00B3092D"/>
    <w:rsid w:val="00B414E0"/>
    <w:rsid w:val="00B4165F"/>
    <w:rsid w:val="00B47D6D"/>
    <w:rsid w:val="00B534A5"/>
    <w:rsid w:val="00B605EA"/>
    <w:rsid w:val="00B71E9C"/>
    <w:rsid w:val="00B75620"/>
    <w:rsid w:val="00B92E24"/>
    <w:rsid w:val="00BA5524"/>
    <w:rsid w:val="00BC2B47"/>
    <w:rsid w:val="00BC37B8"/>
    <w:rsid w:val="00BD1CC3"/>
    <w:rsid w:val="00BD5AEA"/>
    <w:rsid w:val="00BE22DB"/>
    <w:rsid w:val="00BE6D54"/>
    <w:rsid w:val="00BF1442"/>
    <w:rsid w:val="00BF2F1F"/>
    <w:rsid w:val="00BF4C08"/>
    <w:rsid w:val="00BF65AB"/>
    <w:rsid w:val="00C00BF4"/>
    <w:rsid w:val="00C03CBA"/>
    <w:rsid w:val="00C20E26"/>
    <w:rsid w:val="00C22A7A"/>
    <w:rsid w:val="00C277C3"/>
    <w:rsid w:val="00C36301"/>
    <w:rsid w:val="00C42DF6"/>
    <w:rsid w:val="00C46783"/>
    <w:rsid w:val="00C54A7A"/>
    <w:rsid w:val="00C56FBF"/>
    <w:rsid w:val="00C6177A"/>
    <w:rsid w:val="00C61A59"/>
    <w:rsid w:val="00C64B87"/>
    <w:rsid w:val="00C67121"/>
    <w:rsid w:val="00C75CD7"/>
    <w:rsid w:val="00C90745"/>
    <w:rsid w:val="00C931B1"/>
    <w:rsid w:val="00CA2643"/>
    <w:rsid w:val="00CA6EDF"/>
    <w:rsid w:val="00CB0FEC"/>
    <w:rsid w:val="00CD3837"/>
    <w:rsid w:val="00CE60DB"/>
    <w:rsid w:val="00CE71EC"/>
    <w:rsid w:val="00CF150A"/>
    <w:rsid w:val="00D05274"/>
    <w:rsid w:val="00D0737C"/>
    <w:rsid w:val="00D10FE4"/>
    <w:rsid w:val="00D12AF7"/>
    <w:rsid w:val="00D31103"/>
    <w:rsid w:val="00D40BCE"/>
    <w:rsid w:val="00D4453F"/>
    <w:rsid w:val="00D446B1"/>
    <w:rsid w:val="00D608C5"/>
    <w:rsid w:val="00D63A07"/>
    <w:rsid w:val="00D847A7"/>
    <w:rsid w:val="00D86221"/>
    <w:rsid w:val="00D87E7A"/>
    <w:rsid w:val="00D910B0"/>
    <w:rsid w:val="00DA15E1"/>
    <w:rsid w:val="00DA192D"/>
    <w:rsid w:val="00DB0ED8"/>
    <w:rsid w:val="00DB7EEE"/>
    <w:rsid w:val="00DC6A85"/>
    <w:rsid w:val="00DD22B3"/>
    <w:rsid w:val="00DE0A42"/>
    <w:rsid w:val="00DF183D"/>
    <w:rsid w:val="00DF4330"/>
    <w:rsid w:val="00E01BAF"/>
    <w:rsid w:val="00E10585"/>
    <w:rsid w:val="00E21D7E"/>
    <w:rsid w:val="00E66185"/>
    <w:rsid w:val="00E70813"/>
    <w:rsid w:val="00E74E15"/>
    <w:rsid w:val="00E74EF7"/>
    <w:rsid w:val="00E750BC"/>
    <w:rsid w:val="00E80230"/>
    <w:rsid w:val="00E82B4F"/>
    <w:rsid w:val="00E82B7F"/>
    <w:rsid w:val="00E87F5B"/>
    <w:rsid w:val="00E90FA7"/>
    <w:rsid w:val="00EB0963"/>
    <w:rsid w:val="00EB7CA3"/>
    <w:rsid w:val="00EC0ABB"/>
    <w:rsid w:val="00EC1DC1"/>
    <w:rsid w:val="00EE266C"/>
    <w:rsid w:val="00EE29E4"/>
    <w:rsid w:val="00EF35E7"/>
    <w:rsid w:val="00EF52DE"/>
    <w:rsid w:val="00F10D16"/>
    <w:rsid w:val="00F24DED"/>
    <w:rsid w:val="00F26636"/>
    <w:rsid w:val="00F27D76"/>
    <w:rsid w:val="00F324E3"/>
    <w:rsid w:val="00F34945"/>
    <w:rsid w:val="00F3628F"/>
    <w:rsid w:val="00F37DCD"/>
    <w:rsid w:val="00F60272"/>
    <w:rsid w:val="00F66973"/>
    <w:rsid w:val="00F6781D"/>
    <w:rsid w:val="00F705E3"/>
    <w:rsid w:val="00F72B78"/>
    <w:rsid w:val="00F81D8F"/>
    <w:rsid w:val="00F8250F"/>
    <w:rsid w:val="00F83BDB"/>
    <w:rsid w:val="00F953D7"/>
    <w:rsid w:val="00FC7F75"/>
    <w:rsid w:val="00FD2CBB"/>
    <w:rsid w:val="00FD61B9"/>
    <w:rsid w:val="00FE2963"/>
    <w:rsid w:val="00FE68D5"/>
    <w:rsid w:val="00FF0BC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5047-F880-4473-8C49-E3A50E9C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13070</Words>
  <Characters>7450</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Kaspars Siliņš</cp:lastModifiedBy>
  <cp:revision>2</cp:revision>
  <cp:lastPrinted>2014-03-21T08:34:00Z</cp:lastPrinted>
  <dcterms:created xsi:type="dcterms:W3CDTF">2016-09-16T09:52:00Z</dcterms:created>
  <dcterms:modified xsi:type="dcterms:W3CDTF">2016-09-16T09:52:00Z</dcterms:modified>
</cp:coreProperties>
</file>