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45" w:rsidRPr="00F41990" w:rsidRDefault="00F07345" w:rsidP="00F07345">
      <w:pPr>
        <w:jc w:val="center"/>
        <w:rPr>
          <w:b/>
          <w:sz w:val="28"/>
          <w:szCs w:val="28"/>
        </w:rPr>
      </w:pPr>
      <w:r w:rsidRPr="00F41990">
        <w:rPr>
          <w:b/>
          <w:bCs/>
          <w:sz w:val="28"/>
          <w:szCs w:val="28"/>
        </w:rPr>
        <w:t xml:space="preserve">Ministru kabineta noteikumu projekta „Grozījumi Ministru kabineta 2007.gada 3.jūlija noteikumos Nr.458 „Komersantu – darbiekārtošanas pakalpojumu sniedzēju – licencēšanas un uzraudzības kārtība” </w:t>
      </w:r>
      <w:r w:rsidRPr="00F41990">
        <w:rPr>
          <w:b/>
          <w:sz w:val="28"/>
          <w:szCs w:val="28"/>
        </w:rPr>
        <w:t>sākotnējās ietekmes novērtējuma ziņojums (anotācija)</w:t>
      </w:r>
    </w:p>
    <w:p w:rsidR="00B76D85" w:rsidRPr="00F41990" w:rsidRDefault="00B76D85"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94614" w:rsidRPr="00F41990" w:rsidTr="006A7D0B">
        <w:tc>
          <w:tcPr>
            <w:tcW w:w="5000" w:type="pct"/>
            <w:gridSpan w:val="3"/>
            <w:shd w:val="clear" w:color="auto" w:fill="auto"/>
          </w:tcPr>
          <w:p w:rsidR="00194614" w:rsidRPr="00F41990" w:rsidRDefault="00C01716" w:rsidP="006A7D0B">
            <w:pPr>
              <w:jc w:val="center"/>
              <w:rPr>
                <w:b/>
              </w:rPr>
            </w:pPr>
            <w:r w:rsidRPr="00F41990">
              <w:rPr>
                <w:b/>
              </w:rPr>
              <w:t>I</w:t>
            </w:r>
            <w:r w:rsidR="00DC37D9" w:rsidRPr="00F41990">
              <w:rPr>
                <w:b/>
              </w:rPr>
              <w:t>.</w:t>
            </w:r>
            <w:r w:rsidRPr="00F41990">
              <w:rPr>
                <w:b/>
              </w:rPr>
              <w:t xml:space="preserve"> Tiesību </w:t>
            </w:r>
            <w:smartTag w:uri="schemas-tilde-lv/tildestengine" w:element="veidnes">
              <w:smartTagPr>
                <w:attr w:name="baseform" w:val="akt|s"/>
                <w:attr w:name="id" w:val="-1"/>
                <w:attr w:name="text" w:val="akta"/>
              </w:smartTagPr>
              <w:r w:rsidRPr="00F41990">
                <w:rPr>
                  <w:b/>
                </w:rPr>
                <w:t>akta</w:t>
              </w:r>
            </w:smartTag>
            <w:r w:rsidRPr="00F41990">
              <w:rPr>
                <w:b/>
              </w:rPr>
              <w:t xml:space="preserve"> projekta izstrādes nepieciešamība</w:t>
            </w:r>
          </w:p>
        </w:tc>
      </w:tr>
      <w:tr w:rsidR="00B76D85" w:rsidRPr="00F41990" w:rsidTr="006A7D0B">
        <w:tc>
          <w:tcPr>
            <w:tcW w:w="213" w:type="pct"/>
            <w:shd w:val="clear" w:color="auto" w:fill="auto"/>
          </w:tcPr>
          <w:p w:rsidR="00B76D85" w:rsidRPr="00F41990" w:rsidRDefault="00B76D85" w:rsidP="00B76D85">
            <w:r w:rsidRPr="00F41990">
              <w:t>1.</w:t>
            </w:r>
          </w:p>
        </w:tc>
        <w:tc>
          <w:tcPr>
            <w:tcW w:w="1654" w:type="pct"/>
            <w:shd w:val="clear" w:color="auto" w:fill="auto"/>
          </w:tcPr>
          <w:p w:rsidR="00B76D85" w:rsidRPr="00F41990" w:rsidRDefault="00B76D85" w:rsidP="00B76D85">
            <w:r w:rsidRPr="00F41990">
              <w:t>Pamatojums</w:t>
            </w:r>
          </w:p>
        </w:tc>
        <w:tc>
          <w:tcPr>
            <w:tcW w:w="3133" w:type="pct"/>
            <w:shd w:val="clear" w:color="auto" w:fill="auto"/>
          </w:tcPr>
          <w:p w:rsidR="00B76D85" w:rsidRPr="00F41990" w:rsidRDefault="00F07345" w:rsidP="006C2BC6">
            <w:pPr>
              <w:jc w:val="both"/>
              <w:rPr>
                <w:color w:val="FF0000"/>
              </w:rPr>
            </w:pPr>
            <w:r w:rsidRPr="00F41990">
              <w:t>Ministru kabineta noteikumu projekts „Grozījumi Ministru kabineta 2007.gada 3.jūlija noteikumos Nr.458 „Komersantu – darbiekārtošanas pakalpojumu sniedzēju – licencēšanas un uzraudzības kārtība” (turpmāk – Noteikumu projekts) ir izstrādāts</w:t>
            </w:r>
            <w:r w:rsidR="00B931B0" w:rsidRPr="00F41990">
              <w:t xml:space="preserve"> pēc Labklājības ministrijas iniciatīvas, lai pilnveidotu komersantu – darbiekārtošanas pakalpojumu sniedzēju – licencēšanas</w:t>
            </w:r>
            <w:r w:rsidR="00D2646C" w:rsidRPr="00F41990">
              <w:t xml:space="preserve"> un uzraudzības</w:t>
            </w:r>
            <w:r w:rsidR="00B931B0" w:rsidRPr="00F41990">
              <w:t xml:space="preserve"> kārtību</w:t>
            </w:r>
            <w:r w:rsidR="006C2BC6" w:rsidRPr="00F41990">
              <w:t xml:space="preserve"> un</w:t>
            </w:r>
            <w:r w:rsidR="003E0BE8" w:rsidRPr="00F41990">
              <w:t xml:space="preserve"> p</w:t>
            </w:r>
            <w:r w:rsidR="006C2BC6" w:rsidRPr="00F41990">
              <w:t>recizētu licences darbības apturēšanas un licences anulēšanas nosacījumus.</w:t>
            </w:r>
          </w:p>
        </w:tc>
      </w:tr>
      <w:tr w:rsidR="00B76D85" w:rsidRPr="00F41990" w:rsidTr="006A7D0B">
        <w:tc>
          <w:tcPr>
            <w:tcW w:w="213" w:type="pct"/>
            <w:shd w:val="clear" w:color="auto" w:fill="auto"/>
          </w:tcPr>
          <w:p w:rsidR="00B76D85" w:rsidRPr="00F41990" w:rsidRDefault="00B76D85" w:rsidP="00B76D85">
            <w:r w:rsidRPr="00F41990">
              <w:t xml:space="preserve">2. </w:t>
            </w:r>
          </w:p>
        </w:tc>
        <w:tc>
          <w:tcPr>
            <w:tcW w:w="1654" w:type="pct"/>
            <w:shd w:val="clear" w:color="auto" w:fill="auto"/>
          </w:tcPr>
          <w:p w:rsidR="00B76D85" w:rsidRPr="00F41990" w:rsidRDefault="004373E9" w:rsidP="00B76D85">
            <w:r w:rsidRPr="00F41990">
              <w:t>Pašreizējā situācija un problēmas, kuru risināšanai tiesību akta projekts izstrādāts, tiesiskā regulējuma mērķis un būtība</w:t>
            </w:r>
          </w:p>
        </w:tc>
        <w:tc>
          <w:tcPr>
            <w:tcW w:w="3133" w:type="pct"/>
            <w:shd w:val="clear" w:color="auto" w:fill="auto"/>
          </w:tcPr>
          <w:p w:rsidR="004E79C3" w:rsidRPr="00F41990" w:rsidRDefault="00774E5D" w:rsidP="004C4FE3">
            <w:pPr>
              <w:jc w:val="both"/>
              <w:rPr>
                <w:color w:val="000000"/>
                <w:kern w:val="18"/>
              </w:rPr>
            </w:pPr>
            <w:r w:rsidRPr="00F41990">
              <w:rPr>
                <w:color w:val="000000"/>
                <w:kern w:val="18"/>
              </w:rPr>
              <w:t>1.</w:t>
            </w:r>
            <w:r w:rsidR="00AD0EF5" w:rsidRPr="00F41990">
              <w:rPr>
                <w:color w:val="000000"/>
                <w:kern w:val="18"/>
              </w:rPr>
              <w:t> </w:t>
            </w:r>
            <w:r w:rsidRPr="00F41990">
              <w:rPr>
                <w:color w:val="000000"/>
                <w:kern w:val="18"/>
              </w:rPr>
              <w:t>Ministru kabineta 20</w:t>
            </w:r>
            <w:r w:rsidR="00AD0EF5" w:rsidRPr="00F41990">
              <w:rPr>
                <w:color w:val="000000"/>
                <w:kern w:val="18"/>
              </w:rPr>
              <w:t>07. gada 3.jūlija noteikumu Nr. 4</w:t>
            </w:r>
            <w:r w:rsidRPr="00F41990">
              <w:rPr>
                <w:color w:val="000000"/>
                <w:kern w:val="18"/>
              </w:rPr>
              <w:t xml:space="preserve">58 „Komersantu – darbiekārtošanas pakalpojumu sniedzēju – licencēšanas un uzraudzības kārtība” (turpmāk – Noteikumi) </w:t>
            </w:r>
            <w:r w:rsidR="00765DBC" w:rsidRPr="00F41990">
              <w:rPr>
                <w:color w:val="000000"/>
                <w:kern w:val="18"/>
              </w:rPr>
              <w:t>23.punktā ir ietverts nosacījums, kuros gadījumos Nodarbinātības valsts aģentūra (turpmāk – NVA), pamatojoties uz licences saņēmēja iesniegumu, licenci darbiekārtošanas pakalpojumu sniegšanai (turpmāk – licence) izsniedz atkārtoti. Šobrīd Noteikumi paredz licenci izsniegt atkārtoti, ja mainījusies licences saņēmēja firma, juridiskā vai darbības vietas adrese vai nepieciešams papildināt licencē ietverto valstu vai darbiekārtošanas pakalpojumu veidu uzskaitījumu</w:t>
            </w:r>
            <w:r w:rsidR="00CF6F3B" w:rsidRPr="00F41990">
              <w:rPr>
                <w:color w:val="000000"/>
                <w:kern w:val="18"/>
              </w:rPr>
              <w:t>, bet neparedz iespēju licencē svītrot valsti(-</w:t>
            </w:r>
            <w:proofErr w:type="spellStart"/>
            <w:r w:rsidR="00CF6F3B" w:rsidRPr="00F41990">
              <w:rPr>
                <w:color w:val="000000"/>
                <w:kern w:val="18"/>
              </w:rPr>
              <w:t>is</w:t>
            </w:r>
            <w:proofErr w:type="spellEnd"/>
            <w:r w:rsidR="00CF6F3B" w:rsidRPr="00F41990">
              <w:rPr>
                <w:color w:val="000000"/>
                <w:kern w:val="18"/>
              </w:rPr>
              <w:t xml:space="preserve">) </w:t>
            </w:r>
            <w:r w:rsidR="00CF47D9" w:rsidRPr="00F41990">
              <w:rPr>
                <w:color w:val="000000"/>
                <w:kern w:val="18"/>
              </w:rPr>
              <w:t>un</w:t>
            </w:r>
            <w:r w:rsidR="00CF6F3B" w:rsidRPr="00F41990">
              <w:rPr>
                <w:color w:val="000000"/>
                <w:kern w:val="18"/>
              </w:rPr>
              <w:t xml:space="preserve"> darbiekārtošanas pakalpojumu veidu</w:t>
            </w:r>
            <w:r w:rsidR="00CF47D9" w:rsidRPr="00F41990">
              <w:rPr>
                <w:color w:val="000000"/>
                <w:kern w:val="18"/>
              </w:rPr>
              <w:t>(-</w:t>
            </w:r>
            <w:proofErr w:type="spellStart"/>
            <w:r w:rsidR="00CF47D9" w:rsidRPr="00F41990">
              <w:rPr>
                <w:color w:val="000000"/>
                <w:kern w:val="18"/>
              </w:rPr>
              <w:t>us</w:t>
            </w:r>
            <w:proofErr w:type="spellEnd"/>
            <w:r w:rsidR="00CF47D9" w:rsidRPr="00F41990">
              <w:rPr>
                <w:color w:val="000000"/>
                <w:kern w:val="18"/>
              </w:rPr>
              <w:t>), ja licences saņēmējs vairs nesniedz konkrēto darbiekārtošanas pakalpojumu veidu</w:t>
            </w:r>
            <w:r w:rsidR="00E63D14" w:rsidRPr="00F41990">
              <w:rPr>
                <w:color w:val="000000"/>
                <w:kern w:val="18"/>
              </w:rPr>
              <w:t xml:space="preserve"> kādā no valstīm. </w:t>
            </w:r>
            <w:r w:rsidR="00317665" w:rsidRPr="00F41990">
              <w:rPr>
                <w:color w:val="000000"/>
                <w:kern w:val="18"/>
              </w:rPr>
              <w:t>Ņemot vērā, ka NVA praksē ir licences saņēmēji, kuri ir izņēmuši licenci uz ļoti daudzām valstīm, bet no pārskatiem ir secināms, ka komersants darbiekārtošanas pakalpojumus sniedz tikai dažās no tām</w:t>
            </w:r>
            <w:r w:rsidR="00CD6CF0" w:rsidRPr="00F41990">
              <w:rPr>
                <w:color w:val="000000"/>
                <w:kern w:val="18"/>
              </w:rPr>
              <w:t>, šāda situācija nav pieļaujama, jo tas rada negodīgu konkurenci citu darbiekārtošanas pakalpojumu sniedzēju vidū, kuri licencē norāda tikai tās valstis un darbiekārtošanas pakalpojumu veidus, kuros faktiski tiek sniegti darbiekārtošanas pakalpojumi, savukārt</w:t>
            </w:r>
            <w:r w:rsidR="003E7D2C" w:rsidRPr="00F41990">
              <w:rPr>
                <w:color w:val="000000"/>
                <w:kern w:val="18"/>
              </w:rPr>
              <w:t xml:space="preserve"> tas maldina arī darba meklētājus</w:t>
            </w:r>
            <w:r w:rsidR="000E1D5C" w:rsidRPr="00F41990">
              <w:rPr>
                <w:color w:val="000000"/>
                <w:kern w:val="18"/>
              </w:rPr>
              <w:t xml:space="preserve">, </w:t>
            </w:r>
            <w:r w:rsidR="004E79C3" w:rsidRPr="00F41990">
              <w:rPr>
                <w:color w:val="000000"/>
                <w:kern w:val="18"/>
              </w:rPr>
              <w:t>ka licences saņēmējs sniedz pakalpojumus visās licencē norādītajās valstīs un darbiekārto</w:t>
            </w:r>
            <w:r w:rsidR="008C3273" w:rsidRPr="00F41990">
              <w:rPr>
                <w:color w:val="000000"/>
                <w:kern w:val="18"/>
              </w:rPr>
              <w:t xml:space="preserve">šanas pakalpojumu veidos. </w:t>
            </w:r>
            <w:r w:rsidR="00A4102D" w:rsidRPr="00F41990">
              <w:rPr>
                <w:color w:val="000000"/>
                <w:kern w:val="18"/>
              </w:rPr>
              <w:t xml:space="preserve">Līdz ar to šo normu ir nepieciešams papildināt. </w:t>
            </w:r>
            <w:r w:rsidR="00797CE1" w:rsidRPr="00F41990">
              <w:rPr>
                <w:color w:val="000000"/>
                <w:kern w:val="18"/>
              </w:rPr>
              <w:t xml:space="preserve">(Noteikumu projekta </w:t>
            </w:r>
            <w:r w:rsidR="00D06645" w:rsidRPr="00F41990">
              <w:rPr>
                <w:color w:val="000000"/>
                <w:kern w:val="18"/>
              </w:rPr>
              <w:t>5</w:t>
            </w:r>
            <w:r w:rsidR="00797CE1" w:rsidRPr="00F41990">
              <w:rPr>
                <w:color w:val="000000"/>
                <w:kern w:val="18"/>
              </w:rPr>
              <w:t>.punkts).</w:t>
            </w:r>
          </w:p>
          <w:p w:rsidR="00AF2B6B" w:rsidRPr="00F41990" w:rsidRDefault="00AF2B6B" w:rsidP="004C4FE3">
            <w:pPr>
              <w:jc w:val="both"/>
              <w:rPr>
                <w:color w:val="000000"/>
                <w:kern w:val="18"/>
              </w:rPr>
            </w:pPr>
          </w:p>
          <w:p w:rsidR="009E6F6B" w:rsidRPr="00F41990" w:rsidRDefault="009E6F6B" w:rsidP="004C4FE3">
            <w:pPr>
              <w:jc w:val="both"/>
              <w:rPr>
                <w:color w:val="000000"/>
                <w:kern w:val="18"/>
              </w:rPr>
            </w:pPr>
            <w:r w:rsidRPr="00F41990">
              <w:rPr>
                <w:color w:val="000000"/>
                <w:kern w:val="18"/>
              </w:rPr>
              <w:t>2.</w:t>
            </w:r>
            <w:r w:rsidR="00C04D04" w:rsidRPr="00F41990">
              <w:rPr>
                <w:color w:val="000000"/>
                <w:kern w:val="18"/>
              </w:rPr>
              <w:t> </w:t>
            </w:r>
            <w:r w:rsidR="00C72522" w:rsidRPr="00F41990">
              <w:rPr>
                <w:color w:val="000000"/>
                <w:kern w:val="18"/>
              </w:rPr>
              <w:t xml:space="preserve">Šobrīd Noteikumi paredz stingrākus nosacījumus gan uz iesniegumā norādāmo informāciju, gan licences saņēmēja pienākumiem tiem komersantiem, kuri </w:t>
            </w:r>
            <w:r w:rsidR="000B130B" w:rsidRPr="00F41990">
              <w:rPr>
                <w:color w:val="000000"/>
                <w:kern w:val="18"/>
              </w:rPr>
              <w:t>darbiekārtošanas pakalpojumus sniedz sadarbībā ar ārvalsts partneri(-</w:t>
            </w:r>
            <w:proofErr w:type="spellStart"/>
            <w:r w:rsidR="000B130B" w:rsidRPr="00F41990">
              <w:rPr>
                <w:color w:val="000000"/>
                <w:kern w:val="18"/>
              </w:rPr>
              <w:t>iem</w:t>
            </w:r>
            <w:proofErr w:type="spellEnd"/>
            <w:r w:rsidR="000B130B" w:rsidRPr="00F41990">
              <w:rPr>
                <w:color w:val="000000"/>
                <w:kern w:val="18"/>
              </w:rPr>
              <w:t>)</w:t>
            </w:r>
            <w:r w:rsidR="00490FE9" w:rsidRPr="00F41990">
              <w:rPr>
                <w:color w:val="000000"/>
                <w:kern w:val="18"/>
              </w:rPr>
              <w:t xml:space="preserve">. </w:t>
            </w:r>
            <w:r w:rsidR="0038568D" w:rsidRPr="00F41990">
              <w:rPr>
                <w:color w:val="000000"/>
                <w:kern w:val="18"/>
              </w:rPr>
              <w:t xml:space="preserve">Bezdarbnieku un darba meklētāju </w:t>
            </w:r>
            <w:r w:rsidR="0038568D" w:rsidRPr="00F41990">
              <w:rPr>
                <w:color w:val="000000"/>
                <w:kern w:val="18"/>
              </w:rPr>
              <w:lastRenderedPageBreak/>
              <w:t>atbalsta likuma (turpmāk – BDMAL) 17.pants nosaka darbiekārtošanas pakalpojumu veidus, kas ir iekļauti Noteikumos. Iepriekšminētās darbiekārtošanas pakalpojumu procesu regulējošās normas nenosaka kāda darbiekārtošanas pakalpojuma veida atšķirīgu, augstāku stāvokli attiecībā pret citiem pakalpojumu veidiem.</w:t>
            </w:r>
            <w:r w:rsidR="00577FF5" w:rsidRPr="00F41990">
              <w:rPr>
                <w:color w:val="000000"/>
                <w:kern w:val="18"/>
              </w:rPr>
              <w:t xml:space="preserve"> Tāpat iepriekš minētie normatīvie akti nenosaka, ka uz komersantiem, kuri sniedz darbiekārtošanas pakalpojumus Latvijā, </w:t>
            </w:r>
            <w:r w:rsidR="0038568D" w:rsidRPr="00F41990">
              <w:rPr>
                <w:color w:val="000000"/>
                <w:kern w:val="18"/>
              </w:rPr>
              <w:t>nebūtu jāattiecina</w:t>
            </w:r>
            <w:r w:rsidR="00BC597F" w:rsidRPr="00F41990">
              <w:rPr>
                <w:color w:val="000000"/>
                <w:kern w:val="18"/>
              </w:rPr>
              <w:t xml:space="preserve"> </w:t>
            </w:r>
            <w:r w:rsidR="00620732" w:rsidRPr="00F41990">
              <w:rPr>
                <w:color w:val="000000"/>
                <w:kern w:val="18"/>
              </w:rPr>
              <w:t xml:space="preserve">komersantam obligāti izpildāmas prasības, iesniedzot iesniegumu licences saņemšanai un </w:t>
            </w:r>
            <w:r w:rsidR="00D00B60" w:rsidRPr="00F41990">
              <w:rPr>
                <w:color w:val="000000"/>
                <w:kern w:val="18"/>
              </w:rPr>
              <w:t xml:space="preserve">turpmāk pildot </w:t>
            </w:r>
            <w:r w:rsidR="00620732" w:rsidRPr="00F41990">
              <w:rPr>
                <w:color w:val="000000"/>
                <w:kern w:val="18"/>
              </w:rPr>
              <w:t>licences saņēmēja</w:t>
            </w:r>
            <w:r w:rsidR="00D00B60" w:rsidRPr="00F41990">
              <w:rPr>
                <w:color w:val="000000"/>
                <w:kern w:val="18"/>
              </w:rPr>
              <w:t xml:space="preserve"> pienākumus</w:t>
            </w:r>
            <w:r w:rsidR="00420F19" w:rsidRPr="00F41990">
              <w:rPr>
                <w:color w:val="000000"/>
                <w:kern w:val="18"/>
              </w:rPr>
              <w:t xml:space="preserve">. </w:t>
            </w:r>
            <w:r w:rsidR="009B0438" w:rsidRPr="00F41990">
              <w:rPr>
                <w:color w:val="000000"/>
                <w:kern w:val="18"/>
              </w:rPr>
              <w:t>Lai atbilstoši Administratīvā procesa likuma 6.pantā noteiktajam, NVA varētu pieņemt pie vienādiem faktiskajiem un tiesiskajiem liet</w:t>
            </w:r>
            <w:r w:rsidR="00D2523E">
              <w:rPr>
                <w:color w:val="000000"/>
                <w:kern w:val="18"/>
              </w:rPr>
              <w:t>as apstākļiem vienādus lēmumus, 11.5.apakšpunktā ir jānosaka</w:t>
            </w:r>
            <w:r w:rsidR="00331736" w:rsidRPr="00F41990">
              <w:rPr>
                <w:color w:val="000000"/>
                <w:kern w:val="18"/>
              </w:rPr>
              <w:t>,</w:t>
            </w:r>
            <w:r w:rsidR="00D2523E">
              <w:rPr>
                <w:color w:val="000000"/>
                <w:kern w:val="18"/>
              </w:rPr>
              <w:t xml:space="preserve"> ka turpmāk komersantam iesniegumam būs jāpievieno </w:t>
            </w:r>
            <w:r w:rsidR="00D2523E">
              <w:rPr>
                <w:color w:val="000000"/>
              </w:rPr>
              <w:t>sadarbības līguma ar ārvalsts partneri vai Latvijas darbiekārtošanas pakalpojumu sniedzēju (turpmāk – visi kopā - sadarbības partneri) kopiju vai līguma projektu,</w:t>
            </w:r>
            <w:r w:rsidR="00331736" w:rsidRPr="00F41990">
              <w:rPr>
                <w:color w:val="000000"/>
                <w:kern w:val="18"/>
              </w:rPr>
              <w:t xml:space="preserve"> bet 24.1., 24.3., 24.11.apakšpunktā, 24.</w:t>
            </w:r>
            <w:r w:rsidR="00331736" w:rsidRPr="00F41990">
              <w:rPr>
                <w:color w:val="000000"/>
                <w:kern w:val="18"/>
                <w:vertAlign w:val="superscript"/>
              </w:rPr>
              <w:t>1</w:t>
            </w:r>
            <w:r w:rsidR="00331736" w:rsidRPr="00F41990">
              <w:rPr>
                <w:color w:val="000000"/>
                <w:kern w:val="18"/>
              </w:rPr>
              <w:t>; 26.punktā un 28.1.apakšpunktā</w:t>
            </w:r>
            <w:r w:rsidR="006D7C6D" w:rsidRPr="00F41990">
              <w:rPr>
                <w:color w:val="000000"/>
                <w:kern w:val="18"/>
              </w:rPr>
              <w:t xml:space="preserve"> </w:t>
            </w:r>
            <w:r w:rsidR="009B0438" w:rsidRPr="00F41990">
              <w:rPr>
                <w:color w:val="000000"/>
                <w:kern w:val="18"/>
              </w:rPr>
              <w:t>vārds „ārvalsts”</w:t>
            </w:r>
            <w:r w:rsidR="006D7C6D" w:rsidRPr="00F41990">
              <w:rPr>
                <w:color w:val="000000"/>
                <w:kern w:val="18"/>
              </w:rPr>
              <w:t xml:space="preserve"> attiecīgā skaitlī un locījumā ir jāaizstāj ar vārdiem</w:t>
            </w:r>
            <w:r w:rsidR="009B0438" w:rsidRPr="00F41990">
              <w:rPr>
                <w:color w:val="000000"/>
                <w:kern w:val="18"/>
              </w:rPr>
              <w:t xml:space="preserve"> „</w:t>
            </w:r>
            <w:r w:rsidR="006D7C6D" w:rsidRPr="00F41990">
              <w:rPr>
                <w:color w:val="000000"/>
                <w:kern w:val="18"/>
              </w:rPr>
              <w:t xml:space="preserve">citi </w:t>
            </w:r>
            <w:r w:rsidR="009B0438" w:rsidRPr="00F41990">
              <w:rPr>
                <w:color w:val="000000"/>
                <w:kern w:val="18"/>
              </w:rPr>
              <w:t>sadarbības”</w:t>
            </w:r>
            <w:r w:rsidR="006D7C6D" w:rsidRPr="00F41990">
              <w:rPr>
                <w:color w:val="000000"/>
                <w:kern w:val="18"/>
              </w:rPr>
              <w:t xml:space="preserve"> attiecīgā skaitlī un locījumā</w:t>
            </w:r>
            <w:r w:rsidR="00797CE1" w:rsidRPr="00F41990">
              <w:rPr>
                <w:color w:val="000000"/>
                <w:kern w:val="18"/>
              </w:rPr>
              <w:t xml:space="preserve"> (Noteikumu projekta </w:t>
            </w:r>
            <w:r w:rsidR="006D7C6D" w:rsidRPr="00F41990">
              <w:rPr>
                <w:color w:val="000000"/>
                <w:kern w:val="18"/>
              </w:rPr>
              <w:t xml:space="preserve">4., </w:t>
            </w:r>
            <w:r w:rsidR="00FB691B" w:rsidRPr="00F41990">
              <w:rPr>
                <w:color w:val="000000"/>
                <w:kern w:val="18"/>
              </w:rPr>
              <w:t>6</w:t>
            </w:r>
            <w:r w:rsidR="006D7C6D" w:rsidRPr="00F41990">
              <w:rPr>
                <w:color w:val="000000"/>
                <w:kern w:val="18"/>
              </w:rPr>
              <w:t xml:space="preserve">., </w:t>
            </w:r>
            <w:r w:rsidR="00FB691B" w:rsidRPr="00F41990">
              <w:rPr>
                <w:color w:val="000000"/>
                <w:kern w:val="18"/>
              </w:rPr>
              <w:t>7</w:t>
            </w:r>
            <w:r w:rsidR="006D7C6D" w:rsidRPr="00F41990">
              <w:rPr>
                <w:color w:val="000000"/>
                <w:kern w:val="18"/>
              </w:rPr>
              <w:t xml:space="preserve">., </w:t>
            </w:r>
            <w:r w:rsidR="00FB691B" w:rsidRPr="00F41990">
              <w:rPr>
                <w:color w:val="000000"/>
                <w:kern w:val="18"/>
              </w:rPr>
              <w:t>8., 10</w:t>
            </w:r>
            <w:r w:rsidR="006D7C6D" w:rsidRPr="00F41990">
              <w:rPr>
                <w:color w:val="000000"/>
                <w:kern w:val="18"/>
              </w:rPr>
              <w:t>., 1</w:t>
            </w:r>
            <w:r w:rsidR="00FB691B" w:rsidRPr="00F41990">
              <w:rPr>
                <w:color w:val="000000"/>
                <w:kern w:val="18"/>
              </w:rPr>
              <w:t>1. un 12</w:t>
            </w:r>
            <w:r w:rsidR="006D7C6D" w:rsidRPr="00F41990">
              <w:rPr>
                <w:color w:val="000000"/>
                <w:kern w:val="18"/>
              </w:rPr>
              <w:t>.</w:t>
            </w:r>
            <w:r w:rsidR="00797CE1" w:rsidRPr="00F41990">
              <w:rPr>
                <w:color w:val="000000"/>
                <w:kern w:val="18"/>
              </w:rPr>
              <w:t>punkts).</w:t>
            </w:r>
          </w:p>
          <w:p w:rsidR="00490FE9" w:rsidRPr="00F41990" w:rsidRDefault="00490FE9" w:rsidP="004C4FE3">
            <w:pPr>
              <w:jc w:val="both"/>
              <w:rPr>
                <w:color w:val="000000"/>
                <w:kern w:val="18"/>
              </w:rPr>
            </w:pPr>
          </w:p>
          <w:p w:rsidR="007109E7" w:rsidRPr="00F41990" w:rsidRDefault="007554A7" w:rsidP="007109E7">
            <w:pPr>
              <w:jc w:val="both"/>
              <w:rPr>
                <w:color w:val="000000"/>
                <w:kern w:val="18"/>
              </w:rPr>
            </w:pPr>
            <w:r w:rsidRPr="00F41990">
              <w:rPr>
                <w:color w:val="000000"/>
                <w:kern w:val="18"/>
              </w:rPr>
              <w:t>3.</w:t>
            </w:r>
            <w:r w:rsidR="00D77D66" w:rsidRPr="00F41990">
              <w:rPr>
                <w:color w:val="000000"/>
                <w:kern w:val="18"/>
              </w:rPr>
              <w:t> </w:t>
            </w:r>
            <w:r w:rsidR="007109E7" w:rsidRPr="00F41990">
              <w:rPr>
                <w:color w:val="000000"/>
                <w:kern w:val="18"/>
              </w:rPr>
              <w:t xml:space="preserve">Noteikumi nosaka, ka komersantam, kas vēlas saņemt licenci darbiekārtošanas pakalpojumu sniegšanai, iesniedzot NVA iesniegumu licences saņemšanai, ir jānorāda darbības vietas adrese, kurā komersants faktiski sniedz darbiekārtošanas pakalpojumus. Darbības vietas adrese ir ietverta licences formā. </w:t>
            </w:r>
            <w:r w:rsidR="00FA2E27" w:rsidRPr="00F41990">
              <w:rPr>
                <w:color w:val="000000"/>
                <w:kern w:val="18"/>
              </w:rPr>
              <w:t>Noteikumi</w:t>
            </w:r>
            <w:r w:rsidR="007109E7" w:rsidRPr="00F41990">
              <w:rPr>
                <w:color w:val="000000"/>
                <w:kern w:val="18"/>
              </w:rPr>
              <w:t xml:space="preserve"> paredz, ja ir mainījusies licences saņēmēja darbības vietas adrese, licenci izsniedz atkārtoti. Lai nemaldinātu darbiekārtošanas pakalpojumu saņēmējus, licences saņēmēja darbības vietas adrese tiek publicēta NVA tīmekļa vietnē licenču reģistrā, savukārt komersantam ir pienākums darbiekārtošanas pakalpojumu reklāmā norādīt darbības vietas adresi, kā arī pirms darba meklētāja nosūtīšanas pie darba devēja rakstiski informēt darba meklētāju par konkrēto darba piedāvājumu, norādot darbības vietas adresi. Atbilstoši </w:t>
            </w:r>
            <w:r w:rsidR="00FA2E27" w:rsidRPr="00F41990">
              <w:rPr>
                <w:color w:val="000000"/>
                <w:kern w:val="18"/>
              </w:rPr>
              <w:t>Noteikumos</w:t>
            </w:r>
            <w:r w:rsidR="007109E7" w:rsidRPr="00F41990">
              <w:rPr>
                <w:color w:val="000000"/>
                <w:kern w:val="18"/>
              </w:rPr>
              <w:t xml:space="preserve"> noteiktajiem licences saņēmēja pienākumiem, licences saņēmējam viens no pienākumiem ir piedalīties NVA veiktajās pārbaudēs un uzrādīt licences saņēmēja darbiekārtošanas pakalpojumu sniegšanas vietu, savukārt NVA, īstenojot licences saņēmēja uzraudzību, viens no pienākumiem ir pārbaudīt licences saņēmēja darbiekārtošanas pakalpojumu sniegšanas vietu un ne retāk kā reizi divos gados NVA uzrauga kārtību, kādā tiek sniegti darbiekārtošanas pakalpojumi, pārbaudot licences saņēmēju tā darbības vietā. Šobrīd NVA savā praksē ir </w:t>
            </w:r>
            <w:r w:rsidR="007109E7" w:rsidRPr="00F41990">
              <w:rPr>
                <w:color w:val="000000"/>
                <w:kern w:val="18"/>
              </w:rPr>
              <w:lastRenderedPageBreak/>
              <w:t>konstatējusi problēmu, ka veicot plānotās pārbaudes komersantu norādītajās darbības vietas adresēs, NVA konstatē, ka daļa komersantu norādītajās darbības vietas adresēs neatrodas un darbiekārtošanas pakalpojumus nesniedz, līdz ar to NVA nevar pilnvērtīgi veikt šo komersantu uzraudzību, savukārt darbiekārtošanas pakalpojumu saņēmēji tiek maldināti par faktisko darbības vietu.</w:t>
            </w:r>
            <w:r w:rsidR="00E314C3" w:rsidRPr="00F41990">
              <w:rPr>
                <w:color w:val="000000"/>
                <w:kern w:val="18"/>
              </w:rPr>
              <w:t xml:space="preserve"> (Noteikumu projekta </w:t>
            </w:r>
            <w:r w:rsidR="00EF06D4" w:rsidRPr="00F41990">
              <w:rPr>
                <w:color w:val="000000"/>
                <w:kern w:val="18"/>
              </w:rPr>
              <w:t>9</w:t>
            </w:r>
            <w:r w:rsidR="00E314C3" w:rsidRPr="00F41990">
              <w:rPr>
                <w:color w:val="000000"/>
                <w:kern w:val="18"/>
              </w:rPr>
              <w:t>.punkts).</w:t>
            </w:r>
          </w:p>
          <w:p w:rsidR="0045165D" w:rsidRPr="00F41990" w:rsidRDefault="0045165D" w:rsidP="007109E7">
            <w:pPr>
              <w:jc w:val="both"/>
              <w:rPr>
                <w:color w:val="000000"/>
                <w:kern w:val="18"/>
              </w:rPr>
            </w:pPr>
          </w:p>
          <w:p w:rsidR="00A06045" w:rsidRPr="00F41990" w:rsidRDefault="00A06045" w:rsidP="007109E7">
            <w:pPr>
              <w:jc w:val="both"/>
              <w:rPr>
                <w:color w:val="000000"/>
                <w:kern w:val="18"/>
              </w:rPr>
            </w:pPr>
          </w:p>
          <w:p w:rsidR="0008524A" w:rsidRPr="00F41990" w:rsidRDefault="00C81305" w:rsidP="007109E7">
            <w:pPr>
              <w:jc w:val="both"/>
            </w:pPr>
            <w:r w:rsidRPr="00F41990">
              <w:rPr>
                <w:color w:val="000000"/>
                <w:kern w:val="18"/>
              </w:rPr>
              <w:t>4</w:t>
            </w:r>
            <w:r w:rsidR="00C263CC" w:rsidRPr="00F41990">
              <w:rPr>
                <w:color w:val="000000"/>
                <w:kern w:val="18"/>
              </w:rPr>
              <w:t>.</w:t>
            </w:r>
            <w:r w:rsidR="007954AB" w:rsidRPr="00F41990">
              <w:rPr>
                <w:color w:val="000000"/>
                <w:kern w:val="18"/>
              </w:rPr>
              <w:t> </w:t>
            </w:r>
            <w:r w:rsidR="00C263CC" w:rsidRPr="00F41990">
              <w:t xml:space="preserve">Noteikumu </w:t>
            </w:r>
            <w:proofErr w:type="spellStart"/>
            <w:r w:rsidR="00C263CC" w:rsidRPr="00F41990">
              <w:t>V.nodaļa</w:t>
            </w:r>
            <w:proofErr w:type="spellEnd"/>
            <w:r w:rsidR="00C263CC" w:rsidRPr="00F41990">
              <w:t xml:space="preserve"> nosaka licences darbības apturēšanas un anulēšanas kārtību. Noteikumi paredz NVA tiesības apturēt licences darbību uz laiku līdz sešiem mēnešiem vai, pamatojoties uz tiesībaizsardzības iestāžu, vai ārvalstu kompetento institūciju iesniegtajiem dokumentiem par iespējamajiem noziedzīgajiem nodarījumiem, uz laiku līdz lietas apstākļu pilnīgai noskaidrošanai par pārkāpumiem, kuru</w:t>
            </w:r>
            <w:r w:rsidR="00A56D9D" w:rsidRPr="00F41990">
              <w:t>s licences saņēmējs var novērst</w:t>
            </w:r>
            <w:r w:rsidR="007A2325" w:rsidRPr="00F41990">
              <w:t xml:space="preserve">. </w:t>
            </w:r>
            <w:r w:rsidR="0019304E" w:rsidRPr="00F41990">
              <w:t>Noteikumos</w:t>
            </w:r>
            <w:r w:rsidR="007A2325" w:rsidRPr="00F41990">
              <w:t xml:space="preserve"> 37.punkta tiesību norma ir uzrakstīta pietiekami plaši, lai to NVA tiesību piemērotāji varētu interpretēt </w:t>
            </w:r>
            <w:r w:rsidR="00842C13" w:rsidRPr="00F41990">
              <w:t>atbilstoši katrai konkrētai situācijai, pielietojot dažādas interpretācijas metodes. Praksē nosac</w:t>
            </w:r>
            <w:r w:rsidR="00AC304C" w:rsidRPr="00F41990">
              <w:t>ījumu</w:t>
            </w:r>
            <w:r w:rsidR="00842C13" w:rsidRPr="00F41990">
              <w:t>, ka lēmumu par licences darbības apturēšanu var pieņemt, ja nav ievērotas šajos noteikumos minētās prasības</w:t>
            </w:r>
            <w:r w:rsidR="00867C92" w:rsidRPr="00F41990">
              <w:t>,</w:t>
            </w:r>
            <w:r w:rsidR="0019304E" w:rsidRPr="00F41990">
              <w:t xml:space="preserve"> tiesību normas piemērotāji piemēro tikai tajos gadījumos, ja licences saņēmējs nepilda šo noteikumu 24.punktā minētos licences saņēmēja pienākumus un nerada būtisku apdraudējumu vai kaitējumu darbiekārtošanas pakalpojumu saņēmēju likumīgajām interesēm</w:t>
            </w:r>
            <w:r w:rsidR="00867C92" w:rsidRPr="00F41990">
              <w:t xml:space="preserve">, līdz ar to tiesību normu ir </w:t>
            </w:r>
            <w:r w:rsidR="00AC304C" w:rsidRPr="00F41990">
              <w:t>nepieciešams sašaurināt un precizēt, lai būtu skaidrs nosacījums, kuros gadījumos tiek pieņemts lēmums par licences darbības apturēšanu.</w:t>
            </w:r>
            <w:r w:rsidR="00692E1D" w:rsidRPr="00F41990">
              <w:t xml:space="preserve"> (Noteikumu projekta </w:t>
            </w:r>
            <w:r w:rsidR="00EF0EB5" w:rsidRPr="00F41990">
              <w:t>1</w:t>
            </w:r>
            <w:r w:rsidR="00BC14DF" w:rsidRPr="00F41990">
              <w:t>3</w:t>
            </w:r>
            <w:r w:rsidR="00692E1D" w:rsidRPr="00F41990">
              <w:t>.punkts).</w:t>
            </w:r>
          </w:p>
          <w:p w:rsidR="00D94917" w:rsidRPr="00F41990" w:rsidRDefault="00D94917" w:rsidP="007109E7">
            <w:pPr>
              <w:jc w:val="both"/>
            </w:pPr>
          </w:p>
          <w:p w:rsidR="00DA1A5F" w:rsidRPr="00F41990" w:rsidRDefault="00282C75" w:rsidP="007109E7">
            <w:pPr>
              <w:jc w:val="both"/>
            </w:pPr>
            <w:r w:rsidRPr="00F41990">
              <w:t>5</w:t>
            </w:r>
            <w:r w:rsidR="00D77D66" w:rsidRPr="00F41990">
              <w:t>. </w:t>
            </w:r>
            <w:r w:rsidR="00D94917" w:rsidRPr="00F41990">
              <w:t xml:space="preserve">Noteikumu projekts paredz NVA tiesības anulēt licenci komersantam, kuram ir izsniegta licence darbiekārtošanas pakalpojumu sniegšanai šādos gadījumos, ja: licences saņēmējs nav pildījis </w:t>
            </w:r>
            <w:r w:rsidR="00BD34A9" w:rsidRPr="00F41990">
              <w:t>šajos noteikumos</w:t>
            </w:r>
            <w:r w:rsidR="00D94917" w:rsidRPr="00F41990">
              <w:t xml:space="preserve"> </w:t>
            </w:r>
            <w:r w:rsidR="00BD34A9" w:rsidRPr="00F41990">
              <w:t>noteiktos</w:t>
            </w:r>
            <w:r w:rsidR="00D94917" w:rsidRPr="00F41990">
              <w:t xml:space="preserve"> licences saņēmēja pienākumus, radot būtisku apdraudējumu vai kaitējumu darbiekārtošanas pakalpojumu saņēmēja likumīgajām interesēm; licences saņēmējs lēmumā par licences darbības apturēšanu noteiktajā termiņā nav novērsis konstatētos pārkāpumus; licences saņēmējs ir pārkāpis citus ar licences izmantošanu saistītos normatīvos aktus un attiecīgo pārkāpumu dēļ rada vai var radīt apdraudējumu darbiekārtošanas pakalpojumu saņēmēja likumīgajām interesēm; licences saņēmējs ir sniedzis nepatiesas vai maldinošas ziņas, lai saņemtu licenci; licences saņēmējs neatbilst licences saņēmējam </w:t>
            </w:r>
            <w:r w:rsidR="00D94917" w:rsidRPr="00F41990">
              <w:lastRenderedPageBreak/>
              <w:t>izvirzītajām prasībām; licences saņēmējs darbiekārtošanas pakalpojumu sniegšanu ir izbeidzis vai pārtraucis uz laikposmu, kas ir ilgāks par gadu vai no pārskatiem par darbiekārtošanas pakalpojumu sniegšanu atkārtoti secināms, ka darbiekārtošanas pakalpojumi netiek sniegti.</w:t>
            </w:r>
            <w:r w:rsidR="00BD34A9" w:rsidRPr="00F41990">
              <w:t xml:space="preserve"> Noteikumi paredz stingrus nosacījumus, kuros gadījumos NVA pieņem lēmumu par licences anulēšanu, lai aizsargātu darbiekārtošanas pakalpojumu saņēmējus un anulētu licenci negodprātīgiem komersantiem, kuri sniedz darbiekārto</w:t>
            </w:r>
            <w:r w:rsidR="00A626D3" w:rsidRPr="00F41990">
              <w:t>šanas pakalpojumus, lai pasargātu darbiekārtošanas pakalpojumu saņēmējus no iespējamiem cilvēktirdzniecības riskiem.</w:t>
            </w:r>
            <w:r w:rsidR="008F2779" w:rsidRPr="00F41990">
              <w:t xml:space="preserve"> Viens no nosacījumiem, kad NVA ir tiesības licences saņēmējam anulēt licenci ir </w:t>
            </w:r>
            <w:r w:rsidR="00592A5F" w:rsidRPr="00F41990">
              <w:t xml:space="preserve">arī </w:t>
            </w:r>
            <w:r w:rsidR="008F2779" w:rsidRPr="00F41990">
              <w:t>tad, ja pēdējā gada laikā komersanta darbībā ir konstatēti administratīvie pārkāpumi darba tiesību, darba aizsardzības, patērētāju tiesību aizsardzības un negodīgas komercprakses jomā</w:t>
            </w:r>
            <w:r w:rsidR="00592A5F" w:rsidRPr="00F41990">
              <w:t>. Praksē ir gadījumi, kad licences saņēmējam ir izteikts</w:t>
            </w:r>
            <w:r w:rsidR="00551348" w:rsidRPr="00F41990">
              <w:t xml:space="preserve"> administratīvā soda veids –</w:t>
            </w:r>
            <w:r w:rsidR="00592A5F" w:rsidRPr="00F41990">
              <w:t xml:space="preserve"> brīdinājums</w:t>
            </w:r>
            <w:r w:rsidR="00551348" w:rsidRPr="00F41990">
              <w:t>,</w:t>
            </w:r>
            <w:r w:rsidR="00592A5F" w:rsidRPr="00F41990">
              <w:t xml:space="preserve"> par kādu no pārkāpumiem kādā no </w:t>
            </w:r>
            <w:r w:rsidR="00551348" w:rsidRPr="00F41990">
              <w:t xml:space="preserve">iepriekš </w:t>
            </w:r>
            <w:r w:rsidR="00592A5F" w:rsidRPr="00F41990">
              <w:t xml:space="preserve">minētajām jomām un atbilstoši šiem Noteikumiem NVA anulē licenci darbiekārtošanas pakalpojumu sniedzējam, taču </w:t>
            </w:r>
            <w:r w:rsidR="00497784" w:rsidRPr="00F41990">
              <w:t xml:space="preserve">ievērojot taisnīguma un samērīguma principu lemjot par licences anulēšanu, turpmāk Noteikumos ir jāparedz nosacījums, ka NVA </w:t>
            </w:r>
            <w:r w:rsidR="0078374D" w:rsidRPr="00F41990">
              <w:t>nebūs tiesības anulēt licenci</w:t>
            </w:r>
            <w:r w:rsidR="00497784" w:rsidRPr="00F41990">
              <w:t xml:space="preserve">, ja pēdējā gada laikā </w:t>
            </w:r>
            <w:r w:rsidR="00551348" w:rsidRPr="00F41990">
              <w:t xml:space="preserve">par </w:t>
            </w:r>
            <w:r w:rsidR="00497784" w:rsidRPr="00F41990">
              <w:t>komersanta darbīb</w:t>
            </w:r>
            <w:r w:rsidR="00551348" w:rsidRPr="00F41990">
              <w:t>u komersants būs saņēmis administratīvo sodu – brīdinājumu par administratīviem pārkāpumiem</w:t>
            </w:r>
            <w:r w:rsidR="00497784" w:rsidRPr="00F41990">
              <w:t xml:space="preserve"> darba tiesību, darba aizsardzības, patērētāju tiesību aizsardzības un negodīgas komercprakses jomā</w:t>
            </w:r>
            <w:r w:rsidR="00CF1DC1" w:rsidRPr="00F41990">
              <w:t>, pieņemot, ka šāds sods nav pietiekami būtisks apdraudējums vai kaitējums darbiekārtošanas pakalpojumu saņēmēja likumīgajām interesēm, lai uzreiz atņemtu licenci darbiekārtošanas pakalpojumu sniedzējam.</w:t>
            </w:r>
            <w:r w:rsidR="005E3305" w:rsidRPr="00F41990">
              <w:t xml:space="preserve"> (Noteikumu projekta 1.punkts).</w:t>
            </w:r>
          </w:p>
          <w:p w:rsidR="00DA1A5F" w:rsidRPr="00F41990" w:rsidRDefault="00DA1A5F" w:rsidP="007109E7">
            <w:pPr>
              <w:jc w:val="both"/>
            </w:pPr>
          </w:p>
          <w:p w:rsidR="00DA1A5F" w:rsidRPr="00F41990" w:rsidRDefault="00DA1A5F" w:rsidP="007109E7">
            <w:pPr>
              <w:jc w:val="both"/>
            </w:pPr>
            <w:r w:rsidRPr="00F41990">
              <w:t>6.</w:t>
            </w:r>
            <w:r w:rsidR="00D77D66" w:rsidRPr="00F41990">
              <w:t> </w:t>
            </w:r>
            <w:r w:rsidR="00783280" w:rsidRPr="00F41990">
              <w:t>Šobrīd Noteikumi neparedz iespēju NVA anulēt licenci, ja licences saņēmējs atkārtoti nepiedalās NVA pārbaudē licences saņēmēja darbības vietā</w:t>
            </w:r>
            <w:r w:rsidR="004A63F0" w:rsidRPr="00F41990">
              <w:t>, līdz ar to NVA nevar veikt konkrētā komersanta uzraudzību, savukārt darbiekārtošanas pakalpojumu saņēmējiem šāda rīcība var radīt cilv</w:t>
            </w:r>
            <w:r w:rsidR="00007D37" w:rsidRPr="00F41990">
              <w:t>ēk</w:t>
            </w:r>
            <w:r w:rsidR="004A63F0" w:rsidRPr="00F41990">
              <w:t>tirdzniecības riskus, tāpēc, lai NVA varētu veikt kvalitatīvu un efektīvu licences saņēmēju uzraudzību un kontroli un lai mazinātu iespējamos cilv</w:t>
            </w:r>
            <w:r w:rsidR="00007D37" w:rsidRPr="00F41990">
              <w:t>ēk</w:t>
            </w:r>
            <w:r w:rsidR="004A63F0" w:rsidRPr="00F41990">
              <w:t>tirdzniecības riskus darbiekārtošanas pakalpojumu saņēm</w:t>
            </w:r>
            <w:r w:rsidR="00B0612A" w:rsidRPr="00F41990">
              <w:t>ējiem, kuri tiesiski paļaujas, ka komersanti, kuriem ir izsniegta licence darbiekārtošanas pakalpojumu sniegšanai, savus pakalpojumus sniedz godprātīgi</w:t>
            </w:r>
            <w:r w:rsidR="00007D37" w:rsidRPr="00F41990">
              <w:t xml:space="preserve">, Noteikumos tiek paredzēti stingrāki nosacījumi licences anulēšanas gadījumos. (Noteikumu projekta </w:t>
            </w:r>
            <w:r w:rsidR="00EF0EB5" w:rsidRPr="00F41990">
              <w:t>1</w:t>
            </w:r>
            <w:r w:rsidR="00F33B25" w:rsidRPr="00F41990">
              <w:t>3</w:t>
            </w:r>
            <w:r w:rsidR="00007D37" w:rsidRPr="00F41990">
              <w:t>.punkts).</w:t>
            </w:r>
          </w:p>
          <w:p w:rsidR="00783280" w:rsidRPr="00F41990" w:rsidRDefault="00783280" w:rsidP="007109E7">
            <w:pPr>
              <w:jc w:val="both"/>
            </w:pPr>
          </w:p>
          <w:p w:rsidR="00495132" w:rsidRPr="00F41990" w:rsidRDefault="00DD7047" w:rsidP="007109E7">
            <w:pPr>
              <w:jc w:val="both"/>
            </w:pPr>
            <w:r w:rsidRPr="00F41990">
              <w:t>7.</w:t>
            </w:r>
            <w:r w:rsidR="00D77D66" w:rsidRPr="00F41990">
              <w:t> </w:t>
            </w:r>
            <w:r w:rsidR="00495132" w:rsidRPr="00F41990">
              <w:t xml:space="preserve">Šobrīd Noteikumi neparedz iespēju licences </w:t>
            </w:r>
            <w:r w:rsidR="00495132" w:rsidRPr="00F41990">
              <w:lastRenderedPageBreak/>
              <w:t>saņēmējam iesniegt NVA iesniegumu licences anulēšanai. Lai turpmāk licences saņēmējam būtu tāda iespēja pēc paša vēlēšanās iesniegt iesniegumu licences anulēšanai, Noteikumi ir jāpapildina ar jaunu nosacījumu.</w:t>
            </w:r>
            <w:r w:rsidR="000A6BC9" w:rsidRPr="00F41990">
              <w:t xml:space="preserve"> (Noteikumu projekta </w:t>
            </w:r>
            <w:r w:rsidRPr="00F41990">
              <w:t>1</w:t>
            </w:r>
            <w:r w:rsidR="00E40214" w:rsidRPr="00F41990">
              <w:t>3</w:t>
            </w:r>
            <w:r w:rsidR="000A6BC9" w:rsidRPr="00F41990">
              <w:t>.punkts).</w:t>
            </w:r>
          </w:p>
          <w:p w:rsidR="003461FD" w:rsidRPr="00F41990" w:rsidRDefault="003461FD" w:rsidP="007109E7">
            <w:pPr>
              <w:jc w:val="both"/>
            </w:pPr>
          </w:p>
          <w:p w:rsidR="00182DCE" w:rsidRPr="00F41990" w:rsidRDefault="00E40214" w:rsidP="007109E7">
            <w:pPr>
              <w:jc w:val="both"/>
              <w:rPr>
                <w:color w:val="000000"/>
              </w:rPr>
            </w:pPr>
            <w:r w:rsidRPr="00F41990">
              <w:t>8</w:t>
            </w:r>
            <w:r w:rsidR="00182DCE" w:rsidRPr="00F41990">
              <w:t>.</w:t>
            </w:r>
            <w:r w:rsidR="00D77D66" w:rsidRPr="00F41990">
              <w:t> </w:t>
            </w:r>
            <w:r w:rsidR="00E25717" w:rsidRPr="00F41990">
              <w:t>Šobrīd licenci izsniedz komersantam, kas atbilst arī vienai no šādām prasībām, ka komersanta pārvaldes institūciju locekļi nav bijuši tāda komersanta pārvaldes institūciju locekļi, kuram iepriekš anulēta licence, pamatojoties uz šo noteikumu 38.1., 38.2. vai 38.3.apakšpunktu, vai ir pagājis gads kopš licences anulēšanas, pamatojoties uz šo noteikumu 38.1., 38.2. vai 38.3.apakšpunktu. NVA praksē komersanti nomaina valdes locekļu sastāvu, bet nenomaina uzņēmuma nosaukumu un turpina sniegt darbiekārtošanas pakalpojumus. Šāda situācija maldina darba meklētājus</w:t>
            </w:r>
            <w:r w:rsidR="00E86CDD" w:rsidRPr="00F41990">
              <w:t xml:space="preserve">, jo </w:t>
            </w:r>
            <w:r w:rsidR="00E86CDD" w:rsidRPr="00F41990">
              <w:rPr>
                <w:color w:val="000000"/>
              </w:rPr>
              <w:t xml:space="preserve">publiskajā telpā ir pieejams komersanta nosaukums, </w:t>
            </w:r>
            <w:r w:rsidR="006C6D33" w:rsidRPr="00F41990">
              <w:rPr>
                <w:color w:val="000000"/>
              </w:rPr>
              <w:t>bet</w:t>
            </w:r>
            <w:r w:rsidR="00E86CDD" w:rsidRPr="00F41990">
              <w:rPr>
                <w:color w:val="000000"/>
              </w:rPr>
              <w:t xml:space="preserve"> darba meklētājiem un potenciāliem sadarbības partneriem NVA mājas lapā ir pieejami divi reģistri – „Komersantu, kas saņēmuši licenci NVA darbiekārtošanas pakalpojumu sniegšanai” un „Anulēto licenču reģistrs” jeb komercsabiedrību, kurām ir anulētas licences, reģistrs, kuros</w:t>
            </w:r>
            <w:r w:rsidRPr="00F41990">
              <w:rPr>
                <w:color w:val="000000"/>
              </w:rPr>
              <w:t xml:space="preserve"> NVA nepublicē informāciju par v</w:t>
            </w:r>
            <w:r w:rsidR="00E86CDD" w:rsidRPr="00F41990">
              <w:rPr>
                <w:color w:val="000000"/>
              </w:rPr>
              <w:t>aldes locekļiem.</w:t>
            </w:r>
            <w:r w:rsidR="00182DCE" w:rsidRPr="00F41990">
              <w:t xml:space="preserve"> </w:t>
            </w:r>
            <w:r w:rsidR="00F8217B" w:rsidRPr="00F41990">
              <w:t>L</w:t>
            </w:r>
            <w:r w:rsidR="00182DCE" w:rsidRPr="00F41990">
              <w:rPr>
                <w:color w:val="000000"/>
              </w:rPr>
              <w:t>ai nepieļautu NVA klientu maldināšanu un situāciju, kad komersanta valdes loceklis, kuram ir anulēta licence darbiekārtošanas pakalpojumu sniegšanai, ir atkāpies no komersanta vadības (netiek uzskatīts par komersanta valdes locekli</w:t>
            </w:r>
            <w:r w:rsidR="006C6D33" w:rsidRPr="00F41990">
              <w:rPr>
                <w:color w:val="000000"/>
              </w:rPr>
              <w:t>)</w:t>
            </w:r>
            <w:r w:rsidR="00182DCE" w:rsidRPr="00F41990">
              <w:rPr>
                <w:color w:val="000000"/>
              </w:rPr>
              <w:t>, bet minētais komersants pēc valdes sastāva maiņas tomēr iesniedz NVA</w:t>
            </w:r>
            <w:r w:rsidR="00E86CDD" w:rsidRPr="00F41990">
              <w:rPr>
                <w:color w:val="000000"/>
              </w:rPr>
              <w:t xml:space="preserve"> iesniegumu licences saņemšanai, </w:t>
            </w:r>
            <w:r w:rsidR="006C6D33" w:rsidRPr="00F41990">
              <w:rPr>
                <w:color w:val="000000"/>
              </w:rPr>
              <w:t>ir nepieciešams arī komersantiem noteikt tādas pašas prasības, kas jau šobrīd attiecas uz komersanta pārvaldes institūciju locekļiem (Noteikumu 9.7.apakšpunkts), jo ir jābūt likumsakarībai ne tikai starp valdes locekļa rīcību un komersantu, kuram ir anulēta licence, bet arī likumsakarībai starp komersantu kā subjektu un lēmumu par licences anulēšanu komersantam</w:t>
            </w:r>
            <w:r w:rsidR="0049616D" w:rsidRPr="00F41990">
              <w:rPr>
                <w:color w:val="000000"/>
              </w:rPr>
              <w:t>,</w:t>
            </w:r>
            <w:r w:rsidR="006C6D33" w:rsidRPr="00F41990">
              <w:rPr>
                <w:color w:val="000000"/>
              </w:rPr>
              <w:t xml:space="preserve"> tāpēc Noteikumi jāpapildina ar 9.8.apakšpunktu</w:t>
            </w:r>
            <w:r w:rsidR="005530FF" w:rsidRPr="00F41990">
              <w:rPr>
                <w:color w:val="000000"/>
              </w:rPr>
              <w:t>.</w:t>
            </w:r>
            <w:r w:rsidR="006C6D33" w:rsidRPr="00F41990">
              <w:rPr>
                <w:color w:val="000000"/>
              </w:rPr>
              <w:t xml:space="preserve"> </w:t>
            </w:r>
            <w:r w:rsidR="00E86CDD" w:rsidRPr="00F41990">
              <w:rPr>
                <w:color w:val="000000"/>
              </w:rPr>
              <w:t>(Noteikumu projekta 3.punkts)</w:t>
            </w:r>
            <w:r w:rsidR="0049616D" w:rsidRPr="00F41990">
              <w:rPr>
                <w:color w:val="000000"/>
              </w:rPr>
              <w:t>.</w:t>
            </w:r>
          </w:p>
          <w:p w:rsidR="002774C8" w:rsidRPr="00F41990" w:rsidRDefault="002774C8" w:rsidP="004C4FE3">
            <w:pPr>
              <w:jc w:val="both"/>
              <w:rPr>
                <w:b/>
                <w:color w:val="000000"/>
                <w:kern w:val="18"/>
              </w:rPr>
            </w:pPr>
          </w:p>
          <w:p w:rsidR="00E47AD9" w:rsidRPr="00F41990" w:rsidRDefault="00E47AD9" w:rsidP="004C4FE3">
            <w:pPr>
              <w:jc w:val="both"/>
              <w:rPr>
                <w:b/>
                <w:color w:val="000000"/>
                <w:kern w:val="18"/>
              </w:rPr>
            </w:pPr>
            <w:r w:rsidRPr="00F41990">
              <w:rPr>
                <w:b/>
                <w:color w:val="000000"/>
                <w:kern w:val="18"/>
              </w:rPr>
              <w:t>Lai novērtu iepriekš minētās problēmas Noteikumu projekts paredz šādas izmaiņas:</w:t>
            </w:r>
          </w:p>
          <w:p w:rsidR="00E0288D" w:rsidRPr="00F41990" w:rsidRDefault="00E0288D" w:rsidP="00E0288D">
            <w:pPr>
              <w:jc w:val="both"/>
            </w:pPr>
            <w:r w:rsidRPr="00F41990">
              <w:t>1.</w:t>
            </w:r>
            <w:r w:rsidR="00D77D66" w:rsidRPr="00F41990">
              <w:t> </w:t>
            </w:r>
            <w:r w:rsidRPr="00F41990">
              <w:t xml:space="preserve">Noteikumu projekts paredz, ka NVA nebūs tiesības anulēt licenci, ja pēdējā gada laikā par komersanta darbību komersants būs saņēmis administratīvo sodu – brīdinājumu par administratīviem pārkāpumiem darba tiesību, darba aizsardzības, patērētāju tiesību aizsardzības un negodīgas komercprakses jomā, pieņemot, ka šāds sods nav pietiekami būtisks apdraudējums vai kaitējums darbiekārtošanas pakalpojumu saņēmēja likumīgajām </w:t>
            </w:r>
            <w:r w:rsidRPr="00F41990">
              <w:lastRenderedPageBreak/>
              <w:t>interesēm, lai uzreiz atņemtu licenci darbiekārtošanas pakalpojumu sniedzējam. (Noteikumu projekta 1.punkts).</w:t>
            </w:r>
          </w:p>
          <w:p w:rsidR="00E0288D" w:rsidRPr="00F41990" w:rsidRDefault="00E0288D" w:rsidP="00E0288D">
            <w:pPr>
              <w:jc w:val="both"/>
            </w:pPr>
          </w:p>
          <w:p w:rsidR="00E0288D" w:rsidRPr="00F41990" w:rsidRDefault="00D77D66" w:rsidP="004C4FE3">
            <w:pPr>
              <w:jc w:val="both"/>
            </w:pPr>
            <w:r w:rsidRPr="00F41990">
              <w:t>2. </w:t>
            </w:r>
            <w:r w:rsidR="00E0288D" w:rsidRPr="00F41990">
              <w:t>Noteikumi papildināti ar 9.8.apakšpunktu, nosakot, ka turpmāk licenci izsniegs komersantam, kas nav bijis tāds komersants, kuram iepriekš anulēta</w:t>
            </w:r>
            <w:r w:rsidR="00D2523E">
              <w:t xml:space="preserve"> licence</w:t>
            </w:r>
            <w:r w:rsidR="00E0288D" w:rsidRPr="00F41990">
              <w:t>, pamatojoties uz šo notei</w:t>
            </w:r>
            <w:r w:rsidR="00D2523E">
              <w:t>kumu 38.2., 38.3., 38.4., 38.5</w:t>
            </w:r>
            <w:r w:rsidR="00E0288D" w:rsidRPr="00F41990">
              <w:t xml:space="preserve">.apakšpunktu, vai ir pagājis gads kopš licences anulēšanas, pamatojoties uz šo noteikumu </w:t>
            </w:r>
            <w:r w:rsidR="00E40214" w:rsidRPr="00F41990">
              <w:t>38.2., 38.3., 38.4., 38.5</w:t>
            </w:r>
            <w:r w:rsidR="00E0288D" w:rsidRPr="00F41990">
              <w:t>.apakšpunktu,</w:t>
            </w:r>
            <w:r w:rsidR="00E0288D" w:rsidRPr="00F41990">
              <w:rPr>
                <w:color w:val="000000"/>
              </w:rPr>
              <w:t>lai nepieļautu NVA klientu maldināšanu un situāciju, kad komersanta valdes loceklis, kuram ir anulēta licence darbiekārtošanas pakalpojumu sniegšanai, ir atkāpies no komersanta vadības (netiek uzskatīts par komersanta valdes locekli), bet minētais komersants pēc valdes sastāva maiņas, tomēr iesniedz NVA iesniegumu licences saņemšanai un turpina īstenot negodprātīgu komercdarbību.</w:t>
            </w:r>
            <w:r w:rsidR="00E0288D" w:rsidRPr="00F41990">
              <w:t xml:space="preserve"> (Noteikumu projekta 3.punkts).</w:t>
            </w:r>
          </w:p>
          <w:p w:rsidR="00E0288D" w:rsidRPr="00F41990" w:rsidRDefault="00E0288D" w:rsidP="004C4FE3">
            <w:pPr>
              <w:jc w:val="both"/>
            </w:pPr>
          </w:p>
          <w:p w:rsidR="00E0288D" w:rsidRPr="00F41990" w:rsidRDefault="00E0288D" w:rsidP="00E0288D">
            <w:pPr>
              <w:jc w:val="both"/>
              <w:rPr>
                <w:color w:val="000000"/>
                <w:kern w:val="18"/>
              </w:rPr>
            </w:pPr>
            <w:r w:rsidRPr="00F41990">
              <w:rPr>
                <w:kern w:val="18"/>
              </w:rPr>
              <w:t>3. Turpmāk licences saņēmējam būs jāsniedz informācija ne tikai par līgumiem, kas slēgti ar ārvalsts partneriem, bet</w:t>
            </w:r>
            <w:r w:rsidR="00021ADD">
              <w:rPr>
                <w:kern w:val="18"/>
              </w:rPr>
              <w:t xml:space="preserve"> ar jebkuru sadarbības partneri, tostarp ar Latvijas darbiekārtošanas pakalpojumu sniedzēju.</w:t>
            </w:r>
            <w:r w:rsidRPr="00F41990">
              <w:rPr>
                <w:kern w:val="18"/>
              </w:rPr>
              <w:t xml:space="preserve"> </w:t>
            </w:r>
            <w:r w:rsidR="00021ADD">
              <w:rPr>
                <w:kern w:val="18"/>
              </w:rPr>
              <w:t>(</w:t>
            </w:r>
            <w:r w:rsidRPr="00F41990">
              <w:rPr>
                <w:color w:val="000000"/>
                <w:kern w:val="18"/>
              </w:rPr>
              <w:t xml:space="preserve">Noteikumu projekta 4., </w:t>
            </w:r>
            <w:r w:rsidR="00E40214" w:rsidRPr="00F41990">
              <w:rPr>
                <w:color w:val="000000"/>
                <w:kern w:val="18"/>
              </w:rPr>
              <w:t>6</w:t>
            </w:r>
            <w:r w:rsidRPr="00F41990">
              <w:rPr>
                <w:color w:val="000000"/>
                <w:kern w:val="18"/>
              </w:rPr>
              <w:t xml:space="preserve">., </w:t>
            </w:r>
            <w:r w:rsidR="00E40214" w:rsidRPr="00F41990">
              <w:rPr>
                <w:color w:val="000000"/>
                <w:kern w:val="18"/>
              </w:rPr>
              <w:t>7</w:t>
            </w:r>
            <w:r w:rsidRPr="00F41990">
              <w:rPr>
                <w:color w:val="000000"/>
                <w:kern w:val="18"/>
              </w:rPr>
              <w:t xml:space="preserve">., </w:t>
            </w:r>
            <w:r w:rsidR="00E40214" w:rsidRPr="00F41990">
              <w:rPr>
                <w:color w:val="000000"/>
                <w:kern w:val="18"/>
              </w:rPr>
              <w:t>8., 10., 11</w:t>
            </w:r>
            <w:r w:rsidRPr="00F41990">
              <w:rPr>
                <w:color w:val="000000"/>
                <w:kern w:val="18"/>
              </w:rPr>
              <w:t>. un 1</w:t>
            </w:r>
            <w:r w:rsidR="00E40214" w:rsidRPr="00F41990">
              <w:rPr>
                <w:color w:val="000000"/>
                <w:kern w:val="18"/>
              </w:rPr>
              <w:t>2</w:t>
            </w:r>
            <w:r w:rsidRPr="00F41990">
              <w:rPr>
                <w:color w:val="000000"/>
                <w:kern w:val="18"/>
              </w:rPr>
              <w:t>.punkts).</w:t>
            </w:r>
          </w:p>
          <w:p w:rsidR="00E0288D" w:rsidRPr="00F41990" w:rsidRDefault="00E0288D" w:rsidP="004C4FE3">
            <w:pPr>
              <w:jc w:val="both"/>
              <w:rPr>
                <w:b/>
                <w:color w:val="000000"/>
                <w:kern w:val="18"/>
              </w:rPr>
            </w:pPr>
          </w:p>
          <w:p w:rsidR="00D32A28" w:rsidRPr="00F41990" w:rsidRDefault="00E40214" w:rsidP="00D32A28">
            <w:pPr>
              <w:jc w:val="both"/>
              <w:rPr>
                <w:kern w:val="18"/>
              </w:rPr>
            </w:pPr>
            <w:r w:rsidRPr="00F41990">
              <w:rPr>
                <w:kern w:val="18"/>
              </w:rPr>
              <w:t>4</w:t>
            </w:r>
            <w:r w:rsidR="00E17099" w:rsidRPr="00F41990">
              <w:rPr>
                <w:kern w:val="18"/>
              </w:rPr>
              <w:t>.</w:t>
            </w:r>
            <w:r w:rsidR="003260A7" w:rsidRPr="00F41990">
              <w:rPr>
                <w:kern w:val="18"/>
              </w:rPr>
              <w:t> </w:t>
            </w:r>
            <w:r w:rsidR="00E17099" w:rsidRPr="00F41990">
              <w:rPr>
                <w:kern w:val="18"/>
              </w:rPr>
              <w:t>Turpmāk licencē varēs svītrot valsti(-</w:t>
            </w:r>
            <w:proofErr w:type="spellStart"/>
            <w:r w:rsidR="00E17099" w:rsidRPr="00F41990">
              <w:rPr>
                <w:kern w:val="18"/>
              </w:rPr>
              <w:t>is</w:t>
            </w:r>
            <w:proofErr w:type="spellEnd"/>
            <w:r w:rsidR="00E17099" w:rsidRPr="00F41990">
              <w:rPr>
                <w:kern w:val="18"/>
              </w:rPr>
              <w:t>) un darbiekārtošanas pakalpojumu veidu(-</w:t>
            </w:r>
            <w:proofErr w:type="spellStart"/>
            <w:r w:rsidR="00E17099" w:rsidRPr="00F41990">
              <w:rPr>
                <w:kern w:val="18"/>
              </w:rPr>
              <w:t>us</w:t>
            </w:r>
            <w:proofErr w:type="spellEnd"/>
            <w:r w:rsidR="00E17099" w:rsidRPr="00F41990">
              <w:rPr>
                <w:kern w:val="18"/>
              </w:rPr>
              <w:t xml:space="preserve">), ja licences saņēmējs </w:t>
            </w:r>
            <w:r w:rsidR="00D32A28" w:rsidRPr="00F41990">
              <w:rPr>
                <w:kern w:val="18"/>
              </w:rPr>
              <w:t>vairs nesniedz kādu no darbiekārtošanas pakalpojumu veidiem konkrētā valstī(-</w:t>
            </w:r>
            <w:proofErr w:type="spellStart"/>
            <w:r w:rsidR="00D32A28" w:rsidRPr="00F41990">
              <w:rPr>
                <w:kern w:val="18"/>
              </w:rPr>
              <w:t>īs</w:t>
            </w:r>
            <w:proofErr w:type="spellEnd"/>
            <w:r w:rsidR="00D32A28" w:rsidRPr="00F41990">
              <w:rPr>
                <w:kern w:val="18"/>
              </w:rPr>
              <w:t xml:space="preserve">). Šādā gadījumā NVA, pamatojoties uz licences saņēmēja iesniegumu, licenci izsniegs atkārtoti. Saņemot licenci atkārtoti, licences saņēmējs maksā valsts nodevu 14,23 </w:t>
            </w:r>
            <w:proofErr w:type="spellStart"/>
            <w:r w:rsidR="00D32A28" w:rsidRPr="00F41990">
              <w:rPr>
                <w:kern w:val="18"/>
              </w:rPr>
              <w:t>euro</w:t>
            </w:r>
            <w:proofErr w:type="spellEnd"/>
            <w:r w:rsidR="00D32A28" w:rsidRPr="00F41990">
              <w:rPr>
                <w:kern w:val="18"/>
              </w:rPr>
              <w:t xml:space="preserve">. </w:t>
            </w:r>
            <w:r w:rsidR="00147E93" w:rsidRPr="00F41990">
              <w:rPr>
                <w:kern w:val="18"/>
              </w:rPr>
              <w:t>(</w:t>
            </w:r>
            <w:r w:rsidR="0062529F" w:rsidRPr="00F41990">
              <w:rPr>
                <w:kern w:val="18"/>
              </w:rPr>
              <w:t>Noteikumu projekta</w:t>
            </w:r>
            <w:r w:rsidR="00FD3531" w:rsidRPr="00F41990">
              <w:rPr>
                <w:kern w:val="18"/>
              </w:rPr>
              <w:t xml:space="preserve"> </w:t>
            </w:r>
            <w:r w:rsidRPr="00F41990">
              <w:rPr>
                <w:kern w:val="18"/>
              </w:rPr>
              <w:t>5</w:t>
            </w:r>
            <w:r w:rsidR="00F07345" w:rsidRPr="00F41990">
              <w:rPr>
                <w:kern w:val="18"/>
              </w:rPr>
              <w:t>.</w:t>
            </w:r>
            <w:r w:rsidR="00CD33C7" w:rsidRPr="00F41990">
              <w:rPr>
                <w:kern w:val="18"/>
              </w:rPr>
              <w:t xml:space="preserve">punkts). </w:t>
            </w:r>
          </w:p>
          <w:p w:rsidR="003260A7" w:rsidRPr="00F41990" w:rsidRDefault="003260A7" w:rsidP="00D32A28">
            <w:pPr>
              <w:jc w:val="both"/>
              <w:rPr>
                <w:kern w:val="18"/>
              </w:rPr>
            </w:pPr>
          </w:p>
          <w:p w:rsidR="006C2BC6" w:rsidRPr="00F41990" w:rsidRDefault="00E40214" w:rsidP="00D32A28">
            <w:pPr>
              <w:jc w:val="both"/>
              <w:rPr>
                <w:kern w:val="18"/>
              </w:rPr>
            </w:pPr>
            <w:r w:rsidRPr="00F41990">
              <w:rPr>
                <w:kern w:val="18"/>
              </w:rPr>
              <w:t>5</w:t>
            </w:r>
            <w:r w:rsidR="004B69BC" w:rsidRPr="00F41990">
              <w:rPr>
                <w:kern w:val="18"/>
              </w:rPr>
              <w:t>.</w:t>
            </w:r>
            <w:r w:rsidR="003260A7" w:rsidRPr="00F41990">
              <w:rPr>
                <w:kern w:val="18"/>
              </w:rPr>
              <w:t> </w:t>
            </w:r>
            <w:r w:rsidR="0013127F" w:rsidRPr="00F41990">
              <w:rPr>
                <w:kern w:val="18"/>
              </w:rPr>
              <w:t xml:space="preserve">Noteikumu projekts tiek papildināts ar nosacījumu, ka turpmāk licences saņēmējam būs pienākums būt sasniedzamam licences saņēmēja darbības vietā, lai NVA varētu veikt licences saņēmēja pārbaudi licences saņēmēja darbības vietā, pretējā gadījumā, ja licences saņēmējs atkārtoti nepiedalīsies NVA veiktajās pārbaudēs, tas būs viens no </w:t>
            </w:r>
            <w:r w:rsidR="003260A7" w:rsidRPr="00F41990">
              <w:rPr>
                <w:kern w:val="18"/>
              </w:rPr>
              <w:t>priekš</w:t>
            </w:r>
            <w:r w:rsidR="0013127F" w:rsidRPr="00F41990">
              <w:rPr>
                <w:kern w:val="18"/>
              </w:rPr>
              <w:t>nosacījumiem, kad NVA varēs pieņem</w:t>
            </w:r>
            <w:r w:rsidR="00727485" w:rsidRPr="00F41990">
              <w:rPr>
                <w:kern w:val="18"/>
              </w:rPr>
              <w:t xml:space="preserve">t lēmumu par licences anulēšanu. </w:t>
            </w:r>
            <w:r w:rsidR="0013127F" w:rsidRPr="00F41990">
              <w:rPr>
                <w:kern w:val="18"/>
              </w:rPr>
              <w:t xml:space="preserve">(Noteikumu projekta </w:t>
            </w:r>
            <w:r w:rsidRPr="00F41990">
              <w:rPr>
                <w:kern w:val="18"/>
              </w:rPr>
              <w:t>9</w:t>
            </w:r>
            <w:r w:rsidR="003260A7" w:rsidRPr="00F41990">
              <w:rPr>
                <w:kern w:val="18"/>
              </w:rPr>
              <w:t>.,</w:t>
            </w:r>
            <w:r w:rsidR="00021ADD">
              <w:rPr>
                <w:kern w:val="18"/>
              </w:rPr>
              <w:t xml:space="preserve"> </w:t>
            </w:r>
            <w:r w:rsidR="00EF0EB5" w:rsidRPr="00F41990">
              <w:rPr>
                <w:kern w:val="18"/>
              </w:rPr>
              <w:t>1</w:t>
            </w:r>
            <w:r w:rsidRPr="00F41990">
              <w:rPr>
                <w:kern w:val="18"/>
              </w:rPr>
              <w:t>3</w:t>
            </w:r>
            <w:r w:rsidR="00D12F7B" w:rsidRPr="00F41990">
              <w:rPr>
                <w:kern w:val="18"/>
              </w:rPr>
              <w:t>.</w:t>
            </w:r>
            <w:r w:rsidRPr="00F41990">
              <w:rPr>
                <w:kern w:val="18"/>
              </w:rPr>
              <w:t xml:space="preserve"> un 14</w:t>
            </w:r>
            <w:r w:rsidR="00727485" w:rsidRPr="00F41990">
              <w:rPr>
                <w:kern w:val="18"/>
              </w:rPr>
              <w:t>.punkts</w:t>
            </w:r>
            <w:r w:rsidR="00D12F7B" w:rsidRPr="00F41990">
              <w:rPr>
                <w:kern w:val="18"/>
              </w:rPr>
              <w:t>).</w:t>
            </w:r>
          </w:p>
          <w:p w:rsidR="00FC350B" w:rsidRPr="00F41990" w:rsidRDefault="00FC350B" w:rsidP="00D32A28">
            <w:pPr>
              <w:jc w:val="both"/>
              <w:rPr>
                <w:kern w:val="18"/>
              </w:rPr>
            </w:pPr>
          </w:p>
          <w:p w:rsidR="00E0288D" w:rsidRPr="00F41990" w:rsidRDefault="00E40214" w:rsidP="00D32A28">
            <w:pPr>
              <w:jc w:val="both"/>
            </w:pPr>
            <w:r w:rsidRPr="00F41990">
              <w:t>6</w:t>
            </w:r>
            <w:r w:rsidR="00E0288D" w:rsidRPr="00F41990">
              <w:t>.</w:t>
            </w:r>
            <w:r w:rsidR="00D77D66" w:rsidRPr="00F41990">
              <w:t> </w:t>
            </w:r>
            <w:r w:rsidR="00E0288D" w:rsidRPr="00F41990">
              <w:t xml:space="preserve">Noteikumu projektā precizēti un papildināti licences apturēšanas un anulēšanas nosacījumi, lai vienlaikus izvairītos no pārāk plašas un neviennozīmīgas šo tiesību normu interpretācijas un paredzētu arī stingrākus nosacījumus gadījumos, ja licences saņēmējs atkārtoti nepiedalās NVA pārbaudē licences saņēmēja darbības vietā.  (Noteikumu projekta 2., </w:t>
            </w:r>
            <w:r w:rsidRPr="00F41990">
              <w:t>13</w:t>
            </w:r>
            <w:r w:rsidR="00E0288D" w:rsidRPr="00F41990">
              <w:t>. un 1</w:t>
            </w:r>
            <w:r w:rsidRPr="00F41990">
              <w:t>4</w:t>
            </w:r>
            <w:r w:rsidR="00E0288D" w:rsidRPr="00F41990">
              <w:t>.punkts).</w:t>
            </w:r>
          </w:p>
          <w:p w:rsidR="00E0288D" w:rsidRPr="00F41990" w:rsidRDefault="00E0288D" w:rsidP="00D32A28">
            <w:pPr>
              <w:jc w:val="both"/>
              <w:rPr>
                <w:kern w:val="18"/>
              </w:rPr>
            </w:pPr>
          </w:p>
          <w:p w:rsidR="00FE2265" w:rsidRPr="00F41990" w:rsidRDefault="00F73679" w:rsidP="00D32A28">
            <w:pPr>
              <w:jc w:val="both"/>
            </w:pPr>
            <w:r w:rsidRPr="00F41990">
              <w:rPr>
                <w:kern w:val="18"/>
              </w:rPr>
              <w:t>7</w:t>
            </w:r>
            <w:r w:rsidR="00FE2265" w:rsidRPr="00F41990">
              <w:rPr>
                <w:kern w:val="18"/>
              </w:rPr>
              <w:t>.</w:t>
            </w:r>
            <w:r w:rsidR="003260A7" w:rsidRPr="00F41990">
              <w:rPr>
                <w:kern w:val="18"/>
              </w:rPr>
              <w:t> </w:t>
            </w:r>
            <w:r w:rsidR="00FE2265" w:rsidRPr="00F41990">
              <w:rPr>
                <w:kern w:val="18"/>
              </w:rPr>
              <w:t xml:space="preserve">Tiek precizēts Noteikumu 37.punkts, paredzot, ka lēmumu par licences darbības apturēšanu NVA būs tiesīga pieņemt, </w:t>
            </w:r>
            <w:r w:rsidR="00FE2265" w:rsidRPr="00F41990">
              <w:t xml:space="preserve">ja licences saņēmējs nepildīs šo noteikumu 24.punktā minētos licences saņēmēja pienākumus un neradīs būtisku apdraudējumu vai kaitējumu darbiekārtošanas pakalpojumu saņēmēju likumīgajām interesēm. (Noteikumu projekta </w:t>
            </w:r>
            <w:r w:rsidR="003260A7" w:rsidRPr="00F41990">
              <w:t>1</w:t>
            </w:r>
            <w:r w:rsidR="000602FE" w:rsidRPr="00F41990">
              <w:t>3</w:t>
            </w:r>
            <w:r w:rsidR="00FE2265" w:rsidRPr="00F41990">
              <w:t>.punkts).</w:t>
            </w:r>
          </w:p>
          <w:p w:rsidR="00FB0CF7" w:rsidRPr="00F41990" w:rsidRDefault="00FB0CF7" w:rsidP="00D32A28">
            <w:pPr>
              <w:jc w:val="both"/>
            </w:pPr>
          </w:p>
          <w:p w:rsidR="00A24503" w:rsidRPr="00F41990" w:rsidRDefault="000602FE" w:rsidP="009C3819">
            <w:pPr>
              <w:jc w:val="both"/>
              <w:rPr>
                <w:kern w:val="18"/>
              </w:rPr>
            </w:pPr>
            <w:r w:rsidRPr="00F41990">
              <w:t>8</w:t>
            </w:r>
            <w:r w:rsidR="00FB0CF7" w:rsidRPr="00F41990">
              <w:t>.</w:t>
            </w:r>
            <w:r w:rsidR="00D77D66" w:rsidRPr="00F41990">
              <w:t> </w:t>
            </w:r>
            <w:r w:rsidR="006B45DD" w:rsidRPr="00F41990">
              <w:t>Turpmāk licences saņēmējam</w:t>
            </w:r>
            <w:r w:rsidR="009F5D9A" w:rsidRPr="00F41990">
              <w:t>,</w:t>
            </w:r>
            <w:r w:rsidR="006B45DD" w:rsidRPr="00F41990">
              <w:t xml:space="preserve"> iesniedzot iesniegumu NVA par licences anulēšanu, būs tiesības pēc savas iniciatīvas atteikties no licences, norādot</w:t>
            </w:r>
            <w:r w:rsidR="009C3819">
              <w:t xml:space="preserve"> pamatojumu</w:t>
            </w:r>
            <w:r w:rsidR="006B45DD" w:rsidRPr="00F41990">
              <w:t xml:space="preserve"> licencē. (Noteikumu projekta </w:t>
            </w:r>
            <w:r w:rsidR="00EF0EB5" w:rsidRPr="00F41990">
              <w:t>1</w:t>
            </w:r>
            <w:r w:rsidRPr="00F41990">
              <w:t>3</w:t>
            </w:r>
            <w:r w:rsidR="006B45DD" w:rsidRPr="00F41990">
              <w:t>.punkts).</w:t>
            </w:r>
          </w:p>
        </w:tc>
      </w:tr>
      <w:tr w:rsidR="00B76D85" w:rsidRPr="00F41990" w:rsidTr="006A7D0B">
        <w:tc>
          <w:tcPr>
            <w:tcW w:w="213" w:type="pct"/>
            <w:shd w:val="clear" w:color="auto" w:fill="auto"/>
          </w:tcPr>
          <w:p w:rsidR="00B76D85" w:rsidRPr="00F41990" w:rsidRDefault="004373E9" w:rsidP="00B76D85">
            <w:r w:rsidRPr="00F41990">
              <w:lastRenderedPageBreak/>
              <w:t>3</w:t>
            </w:r>
            <w:r w:rsidR="00B76D85" w:rsidRPr="00F41990">
              <w:t>.</w:t>
            </w:r>
          </w:p>
        </w:tc>
        <w:tc>
          <w:tcPr>
            <w:tcW w:w="1654" w:type="pct"/>
            <w:shd w:val="clear" w:color="auto" w:fill="auto"/>
          </w:tcPr>
          <w:p w:rsidR="00B76D85" w:rsidRPr="00F41990" w:rsidRDefault="00B76D85" w:rsidP="00B76D85">
            <w:r w:rsidRPr="00F41990">
              <w:t>Projekta izstrādē iesaistītās institūcijas</w:t>
            </w:r>
          </w:p>
        </w:tc>
        <w:tc>
          <w:tcPr>
            <w:tcW w:w="3133" w:type="pct"/>
            <w:shd w:val="clear" w:color="auto" w:fill="auto"/>
          </w:tcPr>
          <w:p w:rsidR="00B76D85" w:rsidRPr="00F41990" w:rsidRDefault="004859E7" w:rsidP="00D4440C">
            <w:pPr>
              <w:jc w:val="both"/>
              <w:rPr>
                <w:color w:val="000000"/>
              </w:rPr>
            </w:pPr>
            <w:r w:rsidRPr="00F41990">
              <w:rPr>
                <w:color w:val="000000"/>
              </w:rPr>
              <w:t>NVA</w:t>
            </w:r>
            <w:r w:rsidR="004A0C94" w:rsidRPr="00F41990">
              <w:rPr>
                <w:color w:val="000000"/>
              </w:rPr>
              <w:t>, Latvijas personāla atlases asociācija</w:t>
            </w:r>
          </w:p>
        </w:tc>
      </w:tr>
      <w:tr w:rsidR="00B76D85" w:rsidRPr="00F41990" w:rsidTr="006A7D0B">
        <w:tc>
          <w:tcPr>
            <w:tcW w:w="213" w:type="pct"/>
            <w:shd w:val="clear" w:color="auto" w:fill="auto"/>
          </w:tcPr>
          <w:p w:rsidR="00B76D85" w:rsidRPr="00F41990" w:rsidRDefault="004373E9" w:rsidP="004373E9">
            <w:r w:rsidRPr="00F41990">
              <w:t>4</w:t>
            </w:r>
            <w:r w:rsidR="00B76D85" w:rsidRPr="00F41990">
              <w:t xml:space="preserve">. </w:t>
            </w:r>
          </w:p>
        </w:tc>
        <w:tc>
          <w:tcPr>
            <w:tcW w:w="1654" w:type="pct"/>
            <w:shd w:val="clear" w:color="auto" w:fill="auto"/>
          </w:tcPr>
          <w:p w:rsidR="00B76D85" w:rsidRPr="00F41990" w:rsidRDefault="00B76D85" w:rsidP="00B76D85">
            <w:r w:rsidRPr="00F41990">
              <w:t>Cita informācija</w:t>
            </w:r>
          </w:p>
        </w:tc>
        <w:tc>
          <w:tcPr>
            <w:tcW w:w="3133" w:type="pct"/>
            <w:shd w:val="clear" w:color="auto" w:fill="auto"/>
          </w:tcPr>
          <w:p w:rsidR="00B76D85" w:rsidRPr="00F41990" w:rsidRDefault="00FC797D" w:rsidP="006A7D0B">
            <w:pPr>
              <w:jc w:val="both"/>
              <w:rPr>
                <w:color w:val="000000"/>
              </w:rPr>
            </w:pPr>
            <w:r w:rsidRPr="00F41990">
              <w:rPr>
                <w:color w:val="000000"/>
              </w:rPr>
              <w:t>Nav</w:t>
            </w:r>
            <w:r w:rsidR="00372BBA" w:rsidRPr="00F41990">
              <w:rPr>
                <w:color w:val="000000"/>
              </w:rPr>
              <w:t>.</w:t>
            </w:r>
          </w:p>
        </w:tc>
      </w:tr>
    </w:tbl>
    <w:p w:rsidR="00B76D85" w:rsidRPr="00F41990"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C01716" w:rsidRPr="00F41990" w:rsidTr="006A7D0B">
        <w:tc>
          <w:tcPr>
            <w:tcW w:w="9287" w:type="dxa"/>
            <w:gridSpan w:val="3"/>
            <w:shd w:val="clear" w:color="auto" w:fill="auto"/>
          </w:tcPr>
          <w:p w:rsidR="00230730" w:rsidRPr="00F41990" w:rsidRDefault="00C01716" w:rsidP="006A7D0B">
            <w:pPr>
              <w:pStyle w:val="naisnod"/>
              <w:spacing w:before="0" w:after="0"/>
              <w:ind w:left="57" w:right="57"/>
              <w:rPr>
                <w:b w:val="0"/>
              </w:rPr>
            </w:pPr>
            <w:r w:rsidRPr="00F41990">
              <w:t>II</w:t>
            </w:r>
            <w:r w:rsidR="00DC37D9" w:rsidRPr="00F41990">
              <w:t>.</w:t>
            </w:r>
            <w:r w:rsidRPr="00F41990">
              <w:rPr>
                <w:b w:val="0"/>
              </w:rPr>
              <w:t xml:space="preserve"> </w:t>
            </w:r>
            <w:r w:rsidR="00230730" w:rsidRPr="00F41990">
              <w:t>Tiesību akta projekta ietekme uz sabiedrību, tautsaimniecības attīstību</w:t>
            </w:r>
          </w:p>
          <w:p w:rsidR="00C01716" w:rsidRPr="00F41990" w:rsidRDefault="00230730" w:rsidP="006A7D0B">
            <w:pPr>
              <w:jc w:val="center"/>
              <w:rPr>
                <w:b/>
              </w:rPr>
            </w:pPr>
            <w:r w:rsidRPr="00F41990">
              <w:rPr>
                <w:b/>
              </w:rPr>
              <w:t>un administratīvo slogu</w:t>
            </w:r>
          </w:p>
        </w:tc>
      </w:tr>
      <w:tr w:rsidR="00B76D85" w:rsidRPr="00F41990" w:rsidTr="006A7D0B">
        <w:tc>
          <w:tcPr>
            <w:tcW w:w="396" w:type="dxa"/>
            <w:shd w:val="clear" w:color="auto" w:fill="auto"/>
          </w:tcPr>
          <w:p w:rsidR="00B76D85" w:rsidRPr="00F41990" w:rsidRDefault="00B76D85" w:rsidP="00242D7D">
            <w:r w:rsidRPr="00F41990">
              <w:t>1.</w:t>
            </w:r>
          </w:p>
        </w:tc>
        <w:tc>
          <w:tcPr>
            <w:tcW w:w="3072" w:type="dxa"/>
            <w:shd w:val="clear" w:color="auto" w:fill="auto"/>
          </w:tcPr>
          <w:p w:rsidR="00B76D85" w:rsidRPr="00F41990" w:rsidRDefault="00230730" w:rsidP="00242D7D">
            <w:r w:rsidRPr="00F41990">
              <w:t>Sabiedrības mērķgrupas, kuras tiesiskais regulējums ietekmē vai varētu ietekmēt</w:t>
            </w:r>
          </w:p>
        </w:tc>
        <w:tc>
          <w:tcPr>
            <w:tcW w:w="5819" w:type="dxa"/>
            <w:shd w:val="clear" w:color="auto" w:fill="auto"/>
          </w:tcPr>
          <w:p w:rsidR="00B76D85" w:rsidRPr="00F41990" w:rsidRDefault="00994FD8" w:rsidP="007449ED">
            <w:pPr>
              <w:jc w:val="both"/>
            </w:pPr>
            <w:r w:rsidRPr="00F41990">
              <w:t>Noteikumu projekts attiecas uz k</w:t>
            </w:r>
            <w:r w:rsidR="00391E36" w:rsidRPr="00F41990">
              <w:t>omersanti</w:t>
            </w:r>
            <w:r w:rsidRPr="00F41990">
              <w:t>em</w:t>
            </w:r>
            <w:r w:rsidR="00391E36" w:rsidRPr="00F41990">
              <w:t xml:space="preserve">, kuri vēlas saņemt licenci darbiekārtošanas pakalpojumu </w:t>
            </w:r>
            <w:r w:rsidRPr="00F41990">
              <w:t>sniegšanai</w:t>
            </w:r>
            <w:r w:rsidR="00F46492" w:rsidRPr="00F41990">
              <w:t>, uz</w:t>
            </w:r>
            <w:r w:rsidR="00F2087B" w:rsidRPr="00F41990">
              <w:t xml:space="preserve"> </w:t>
            </w:r>
            <w:r w:rsidR="00F46492" w:rsidRPr="00F41990">
              <w:t xml:space="preserve">komersantiem, kuri jau sniedz darbiekārtošanas pakalpojumus </w:t>
            </w:r>
            <w:r w:rsidR="00F2087B" w:rsidRPr="00F41990">
              <w:t>un darbiekārtošanas pakalpojumu saņēmējiem.</w:t>
            </w:r>
            <w:r w:rsidR="00391E36" w:rsidRPr="00F41990">
              <w:t xml:space="preserve"> Līdz </w:t>
            </w:r>
            <w:r w:rsidR="00BD63DF" w:rsidRPr="00F41990">
              <w:t>2</w:t>
            </w:r>
            <w:r w:rsidR="007449ED">
              <w:t>6</w:t>
            </w:r>
            <w:r w:rsidR="00391E36" w:rsidRPr="00F41990">
              <w:t>.0</w:t>
            </w:r>
            <w:r w:rsidR="00BD63DF" w:rsidRPr="00F41990">
              <w:t>8</w:t>
            </w:r>
            <w:r w:rsidR="00391E36" w:rsidRPr="00F41990">
              <w:t xml:space="preserve">.2016. </w:t>
            </w:r>
            <w:r w:rsidRPr="00F41990">
              <w:t>NVA licenci darbiekārtošanas pakalpojumu sniegšanai ir saņēmuši 1</w:t>
            </w:r>
            <w:r w:rsidR="009F5D9A" w:rsidRPr="00F41990">
              <w:t>1</w:t>
            </w:r>
            <w:r w:rsidR="00BD63DF" w:rsidRPr="00F41990">
              <w:t>5</w:t>
            </w:r>
            <w:r w:rsidRPr="00F41990">
              <w:t xml:space="preserve"> komersanti.</w:t>
            </w:r>
            <w:r w:rsidR="00325D0B" w:rsidRPr="00F41990">
              <w:t xml:space="preserve"> </w:t>
            </w:r>
          </w:p>
        </w:tc>
      </w:tr>
      <w:tr w:rsidR="00230730" w:rsidRPr="00F41990" w:rsidTr="006A7D0B">
        <w:tc>
          <w:tcPr>
            <w:tcW w:w="396" w:type="dxa"/>
            <w:shd w:val="clear" w:color="auto" w:fill="auto"/>
          </w:tcPr>
          <w:p w:rsidR="00230730" w:rsidRPr="00F41990" w:rsidRDefault="00230730" w:rsidP="00242D7D">
            <w:r w:rsidRPr="00F41990">
              <w:t xml:space="preserve">2. </w:t>
            </w:r>
          </w:p>
        </w:tc>
        <w:tc>
          <w:tcPr>
            <w:tcW w:w="3072" w:type="dxa"/>
            <w:shd w:val="clear" w:color="auto" w:fill="auto"/>
          </w:tcPr>
          <w:p w:rsidR="00230730" w:rsidRPr="00F41990" w:rsidRDefault="00230730" w:rsidP="00242D7D">
            <w:r w:rsidRPr="00F41990">
              <w:t>Tiesiskā regulējuma ietekme uz tautsaimniecību un administratīvo slogu</w:t>
            </w:r>
          </w:p>
        </w:tc>
        <w:tc>
          <w:tcPr>
            <w:tcW w:w="5819" w:type="dxa"/>
            <w:shd w:val="clear" w:color="auto" w:fill="auto"/>
          </w:tcPr>
          <w:p w:rsidR="00230730" w:rsidRPr="00F41990" w:rsidRDefault="009F5D9A" w:rsidP="00562A7D">
            <w:pPr>
              <w:jc w:val="both"/>
              <w:rPr>
                <w:color w:val="000000"/>
              </w:rPr>
            </w:pPr>
            <w:r w:rsidRPr="00F41990">
              <w:rPr>
                <w:color w:val="000000"/>
              </w:rPr>
              <w:t>Nav.</w:t>
            </w:r>
          </w:p>
        </w:tc>
      </w:tr>
      <w:tr w:rsidR="00230730" w:rsidRPr="00F41990" w:rsidTr="006A7D0B">
        <w:tc>
          <w:tcPr>
            <w:tcW w:w="396" w:type="dxa"/>
            <w:shd w:val="clear" w:color="auto" w:fill="auto"/>
          </w:tcPr>
          <w:p w:rsidR="00230730" w:rsidRPr="00F41990" w:rsidRDefault="00230730" w:rsidP="00230730">
            <w:r w:rsidRPr="00F41990">
              <w:t>3.</w:t>
            </w:r>
          </w:p>
        </w:tc>
        <w:tc>
          <w:tcPr>
            <w:tcW w:w="3072" w:type="dxa"/>
            <w:shd w:val="clear" w:color="auto" w:fill="auto"/>
          </w:tcPr>
          <w:p w:rsidR="00230730" w:rsidRPr="00F41990" w:rsidRDefault="00230730" w:rsidP="00242D7D">
            <w:r w:rsidRPr="00F41990">
              <w:t>Administratīvo izmaksu monetārs novērtējums</w:t>
            </w:r>
          </w:p>
        </w:tc>
        <w:tc>
          <w:tcPr>
            <w:tcW w:w="5819" w:type="dxa"/>
            <w:shd w:val="clear" w:color="auto" w:fill="auto"/>
          </w:tcPr>
          <w:p w:rsidR="00230730" w:rsidRPr="00F41990" w:rsidRDefault="005B2BB0" w:rsidP="006A7D0B">
            <w:pPr>
              <w:jc w:val="both"/>
              <w:rPr>
                <w:color w:val="000000"/>
              </w:rPr>
            </w:pPr>
            <w:r w:rsidRPr="00F41990">
              <w:rPr>
                <w:color w:val="000000"/>
              </w:rPr>
              <w:t>Nav.</w:t>
            </w:r>
          </w:p>
        </w:tc>
      </w:tr>
      <w:tr w:rsidR="00230730" w:rsidRPr="00F41990" w:rsidTr="006A7D0B">
        <w:tc>
          <w:tcPr>
            <w:tcW w:w="396" w:type="dxa"/>
            <w:shd w:val="clear" w:color="auto" w:fill="auto"/>
          </w:tcPr>
          <w:p w:rsidR="00230730" w:rsidRPr="00F41990" w:rsidRDefault="00230730" w:rsidP="00242D7D">
            <w:r w:rsidRPr="00F41990">
              <w:t xml:space="preserve">4. </w:t>
            </w:r>
          </w:p>
        </w:tc>
        <w:tc>
          <w:tcPr>
            <w:tcW w:w="3072" w:type="dxa"/>
            <w:shd w:val="clear" w:color="auto" w:fill="auto"/>
          </w:tcPr>
          <w:p w:rsidR="00230730" w:rsidRPr="00F41990" w:rsidRDefault="00230730" w:rsidP="00242D7D">
            <w:r w:rsidRPr="00F41990">
              <w:t>Cita informācija</w:t>
            </w:r>
          </w:p>
        </w:tc>
        <w:tc>
          <w:tcPr>
            <w:tcW w:w="5819" w:type="dxa"/>
            <w:shd w:val="clear" w:color="auto" w:fill="auto"/>
          </w:tcPr>
          <w:p w:rsidR="00230730" w:rsidRPr="00F41990" w:rsidRDefault="00230730" w:rsidP="006A7D0B">
            <w:pPr>
              <w:jc w:val="both"/>
              <w:rPr>
                <w:iCs/>
                <w:color w:val="000000"/>
              </w:rPr>
            </w:pPr>
            <w:r w:rsidRPr="00F41990">
              <w:rPr>
                <w:iCs/>
                <w:color w:val="000000"/>
              </w:rPr>
              <w:t>Nav</w:t>
            </w:r>
            <w:r w:rsidR="005F23F9" w:rsidRPr="00F41990">
              <w:rPr>
                <w:iCs/>
                <w:color w:val="000000"/>
              </w:rPr>
              <w:t>.</w:t>
            </w:r>
          </w:p>
        </w:tc>
      </w:tr>
    </w:tbl>
    <w:p w:rsidR="00DB4594" w:rsidRPr="00F41990" w:rsidRDefault="00DB4594"/>
    <w:p w:rsidR="00FF50CB" w:rsidRPr="00F41990" w:rsidRDefault="00FF50CB" w:rsidP="00A96D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B76D85" w:rsidRPr="00F41990" w:rsidTr="006A7D0B">
        <w:tc>
          <w:tcPr>
            <w:tcW w:w="9287" w:type="dxa"/>
            <w:gridSpan w:val="3"/>
            <w:shd w:val="clear" w:color="auto" w:fill="auto"/>
          </w:tcPr>
          <w:p w:rsidR="00B76D85" w:rsidRPr="00F41990" w:rsidRDefault="00043389" w:rsidP="006A7D0B">
            <w:pPr>
              <w:jc w:val="center"/>
              <w:rPr>
                <w:b/>
              </w:rPr>
            </w:pPr>
            <w:r w:rsidRPr="00F41990">
              <w:rPr>
                <w:b/>
              </w:rPr>
              <w:t>VI</w:t>
            </w:r>
            <w:r w:rsidR="00DC37D9" w:rsidRPr="00F41990">
              <w:rPr>
                <w:b/>
              </w:rPr>
              <w:t>.</w:t>
            </w:r>
            <w:r w:rsidRPr="00F41990">
              <w:rPr>
                <w:b/>
              </w:rPr>
              <w:t xml:space="preserve"> Sabiedrības līdzdalība un </w:t>
            </w:r>
            <w:r w:rsidR="00BB50B2" w:rsidRPr="00F41990">
              <w:rPr>
                <w:b/>
              </w:rPr>
              <w:t>komunikācijas aktivitātes</w:t>
            </w:r>
          </w:p>
        </w:tc>
      </w:tr>
      <w:tr w:rsidR="00BC4041" w:rsidRPr="00F41990" w:rsidTr="006A7D0B">
        <w:tc>
          <w:tcPr>
            <w:tcW w:w="396" w:type="dxa"/>
            <w:shd w:val="clear" w:color="auto" w:fill="auto"/>
          </w:tcPr>
          <w:p w:rsidR="00BC4041" w:rsidRPr="00F41990" w:rsidRDefault="00BC4041" w:rsidP="00A36979">
            <w:r w:rsidRPr="00F41990">
              <w:t xml:space="preserve">1. </w:t>
            </w:r>
          </w:p>
        </w:tc>
        <w:tc>
          <w:tcPr>
            <w:tcW w:w="3072" w:type="dxa"/>
            <w:shd w:val="clear" w:color="auto" w:fill="auto"/>
          </w:tcPr>
          <w:p w:rsidR="00BC4041" w:rsidRPr="00F41990" w:rsidRDefault="00BB50B2" w:rsidP="006A7D0B">
            <w:pPr>
              <w:pStyle w:val="naiskr"/>
              <w:spacing w:before="0" w:after="0"/>
              <w:ind w:left="57" w:right="57"/>
            </w:pPr>
            <w:r w:rsidRPr="00F41990">
              <w:t>Plānotās sabiedrības līdzdalības un komunikācijas aktivitātes saistībā ar projektu</w:t>
            </w:r>
          </w:p>
        </w:tc>
        <w:tc>
          <w:tcPr>
            <w:tcW w:w="5819" w:type="dxa"/>
            <w:shd w:val="clear" w:color="auto" w:fill="auto"/>
          </w:tcPr>
          <w:p w:rsidR="00EE0272" w:rsidRPr="00F41990" w:rsidRDefault="00C97FC8" w:rsidP="00C97FC8">
            <w:pPr>
              <w:jc w:val="both"/>
              <w:rPr>
                <w:color w:val="FF0000"/>
              </w:rPr>
            </w:pPr>
            <w:r w:rsidRPr="00F41990">
              <w:t xml:space="preserve">Sabiedrības līdzdalība Noteikumu projekta izstrādē tika nodrošināta, ievietojot Noteikumu projektu Labklājības ministrijas tīmekļa vietnē </w:t>
            </w:r>
            <w:hyperlink r:id="rId9" w:history="1">
              <w:r w:rsidRPr="00F41990">
                <w:rPr>
                  <w:rStyle w:val="Hyperlink"/>
                </w:rPr>
                <w:t>www.lm.gov.lv</w:t>
              </w:r>
            </w:hyperlink>
            <w:r w:rsidRPr="00F41990">
              <w:t xml:space="preserve"> un aicinot sabiedrības pārstāvjus sniegt viedokli.</w:t>
            </w:r>
          </w:p>
        </w:tc>
      </w:tr>
      <w:tr w:rsidR="00BC4041" w:rsidRPr="00F41990" w:rsidTr="006A7D0B">
        <w:tc>
          <w:tcPr>
            <w:tcW w:w="396" w:type="dxa"/>
            <w:shd w:val="clear" w:color="auto" w:fill="auto"/>
          </w:tcPr>
          <w:p w:rsidR="00BC4041" w:rsidRPr="00F41990" w:rsidRDefault="00BC4041" w:rsidP="00A36979">
            <w:r w:rsidRPr="00F41990">
              <w:t xml:space="preserve">2. </w:t>
            </w:r>
          </w:p>
        </w:tc>
        <w:tc>
          <w:tcPr>
            <w:tcW w:w="3072" w:type="dxa"/>
            <w:shd w:val="clear" w:color="auto" w:fill="auto"/>
          </w:tcPr>
          <w:p w:rsidR="00BC4041" w:rsidRPr="00F41990" w:rsidRDefault="00BC4041" w:rsidP="006A7D0B">
            <w:pPr>
              <w:pStyle w:val="naiskr"/>
              <w:spacing w:before="0" w:after="0"/>
              <w:ind w:left="57" w:right="57"/>
            </w:pPr>
            <w:r w:rsidRPr="00F41990">
              <w:t xml:space="preserve">Sabiedrības līdzdalība projekta izstrādē </w:t>
            </w:r>
          </w:p>
        </w:tc>
        <w:tc>
          <w:tcPr>
            <w:tcW w:w="5819" w:type="dxa"/>
            <w:shd w:val="clear" w:color="auto" w:fill="auto"/>
          </w:tcPr>
          <w:p w:rsidR="00BC4041" w:rsidRPr="00F41990" w:rsidRDefault="00501D80" w:rsidP="00CD2539">
            <w:pPr>
              <w:jc w:val="both"/>
            </w:pPr>
            <w:r w:rsidRPr="00F41990">
              <w:t>18.03.2016.</w:t>
            </w:r>
            <w:r w:rsidRPr="00F41990">
              <w:rPr>
                <w:b/>
                <w:color w:val="000000"/>
                <w:sz w:val="28"/>
                <w:szCs w:val="28"/>
              </w:rPr>
              <w:t xml:space="preserve"> </w:t>
            </w:r>
            <w:r w:rsidRPr="00F41990">
              <w:rPr>
                <w:color w:val="000000"/>
              </w:rPr>
              <w:t>Labklājības ministrijas, Nodarbinātības valsts aģentūras un Latvijas personāla atlases asociācijas sanāksmes par grozījumiem Ministru kabineta 2007.gada 3.jūlija noteikumos Nr.458 „Komersantu – darbiekārtošanas pakalpojumu sniedzēju – licencēšanas un uzraudzības kārtība”</w:t>
            </w:r>
            <w:r w:rsidR="0067612C" w:rsidRPr="00F41990">
              <w:rPr>
                <w:color w:val="000000"/>
              </w:rPr>
              <w:t>;</w:t>
            </w:r>
          </w:p>
          <w:p w:rsidR="00C97FC8" w:rsidRPr="00F41990" w:rsidRDefault="00501D80" w:rsidP="00CD2539">
            <w:pPr>
              <w:jc w:val="both"/>
              <w:rPr>
                <w:color w:val="000000"/>
              </w:rPr>
            </w:pPr>
            <w:r w:rsidRPr="00F41990">
              <w:t xml:space="preserve">15.04.2016. </w:t>
            </w:r>
            <w:r w:rsidRPr="00F41990">
              <w:rPr>
                <w:color w:val="000000"/>
              </w:rPr>
              <w:t xml:space="preserve">Labklājības ministrijas, Nodarbinātības valsts aģentūras un Latvijas personāla atlases asociācijas sanāksmes par grozījumiem Ministru kabineta 2007.gada 3.jūlija noteikumos Nr.458 „Komersantu – darbiekārtošanas pakalpojumu sniedzēju – licencēšanas </w:t>
            </w:r>
            <w:r w:rsidRPr="00F41990">
              <w:rPr>
                <w:color w:val="000000"/>
              </w:rPr>
              <w:lastRenderedPageBreak/>
              <w:t>un uzraudzības kārtība”</w:t>
            </w:r>
            <w:r w:rsidR="0067612C" w:rsidRPr="00F41990">
              <w:rPr>
                <w:color w:val="000000"/>
              </w:rPr>
              <w:t>.</w:t>
            </w:r>
          </w:p>
        </w:tc>
      </w:tr>
      <w:tr w:rsidR="00BC4041" w:rsidRPr="00F41990" w:rsidTr="006A7D0B">
        <w:tc>
          <w:tcPr>
            <w:tcW w:w="396" w:type="dxa"/>
            <w:shd w:val="clear" w:color="auto" w:fill="auto"/>
          </w:tcPr>
          <w:p w:rsidR="00BC4041" w:rsidRPr="00F41990" w:rsidRDefault="00BC4041" w:rsidP="00A36979">
            <w:r w:rsidRPr="00F41990">
              <w:lastRenderedPageBreak/>
              <w:t>3.</w:t>
            </w:r>
          </w:p>
        </w:tc>
        <w:tc>
          <w:tcPr>
            <w:tcW w:w="3072" w:type="dxa"/>
            <w:shd w:val="clear" w:color="auto" w:fill="auto"/>
          </w:tcPr>
          <w:p w:rsidR="00BC4041" w:rsidRPr="00F41990" w:rsidRDefault="00BC4041" w:rsidP="006A7D0B">
            <w:pPr>
              <w:pStyle w:val="naiskr"/>
              <w:spacing w:before="0" w:after="0"/>
              <w:ind w:left="57" w:right="57"/>
            </w:pPr>
            <w:r w:rsidRPr="00F41990">
              <w:t xml:space="preserve">Sabiedrības līdzdalības rezultāti </w:t>
            </w:r>
          </w:p>
        </w:tc>
        <w:tc>
          <w:tcPr>
            <w:tcW w:w="5819" w:type="dxa"/>
            <w:shd w:val="clear" w:color="auto" w:fill="auto"/>
          </w:tcPr>
          <w:p w:rsidR="009F5D9A" w:rsidRPr="00F41990" w:rsidRDefault="0007081C" w:rsidP="00184716">
            <w:pPr>
              <w:suppressAutoHyphens/>
              <w:ind w:right="57"/>
              <w:jc w:val="both"/>
              <w:rPr>
                <w:color w:val="000000"/>
              </w:rPr>
            </w:pPr>
            <w:r w:rsidRPr="00F41990">
              <w:rPr>
                <w:iCs/>
                <w:lang w:eastAsia="ar-SA"/>
              </w:rPr>
              <w:t xml:space="preserve">Noteikumi papildināti ar </w:t>
            </w:r>
            <w:r w:rsidRPr="00F41990">
              <w:rPr>
                <w:color w:val="000000"/>
              </w:rPr>
              <w:t>24.</w:t>
            </w:r>
            <w:r w:rsidRPr="00F41990">
              <w:rPr>
                <w:color w:val="000000"/>
                <w:vertAlign w:val="superscript"/>
              </w:rPr>
              <w:t>2</w:t>
            </w:r>
            <w:r w:rsidRPr="00F41990">
              <w:rPr>
                <w:color w:val="000000"/>
              </w:rPr>
              <w:t xml:space="preserve"> punktu</w:t>
            </w:r>
            <w:r w:rsidR="009F5D9A" w:rsidRPr="00F41990">
              <w:rPr>
                <w:color w:val="000000"/>
              </w:rPr>
              <w:t>, bet</w:t>
            </w:r>
            <w:r w:rsidR="00184716" w:rsidRPr="00F41990">
              <w:rPr>
                <w:color w:val="000000"/>
              </w:rPr>
              <w:t>, p</w:t>
            </w:r>
            <w:r w:rsidR="009F5D9A" w:rsidRPr="00F41990">
              <w:t>amatojoties uz</w:t>
            </w:r>
            <w:r w:rsidR="009F5D9A" w:rsidRPr="00F41990">
              <w:rPr>
                <w:b/>
              </w:rPr>
              <w:t xml:space="preserve"> </w:t>
            </w:r>
            <w:r w:rsidR="009F5D9A" w:rsidRPr="00F41990">
              <w:t>Tieslietu ministrijas</w:t>
            </w:r>
            <w:r w:rsidR="00184716" w:rsidRPr="00F41990">
              <w:t xml:space="preserve"> 07.06.2016. atzinumā Nr.1-9.1/693 izteikto</w:t>
            </w:r>
            <w:r w:rsidR="009F5D9A" w:rsidRPr="00F41990">
              <w:t xml:space="preserve"> iebildumu par noteikumu projekta </w:t>
            </w:r>
            <w:r w:rsidR="009F5D9A" w:rsidRPr="00F41990">
              <w:rPr>
                <w:bCs/>
              </w:rPr>
              <w:t>24.</w:t>
            </w:r>
            <w:r w:rsidR="009F5D9A" w:rsidRPr="00F41990">
              <w:rPr>
                <w:bCs/>
                <w:vertAlign w:val="superscript"/>
              </w:rPr>
              <w:t>2 </w:t>
            </w:r>
            <w:r w:rsidR="009F5D9A" w:rsidRPr="00F41990">
              <w:rPr>
                <w:bCs/>
              </w:rPr>
              <w:t>punktu, lai nodrošinātu vienlīdzīgu attieksmi pret visiem komersantiem - darbiekārtošanas pakalpojumu sniedzējiem, no noteikumu projekta tiek svītrots 24.</w:t>
            </w:r>
            <w:r w:rsidR="009F5D9A" w:rsidRPr="00F41990">
              <w:rPr>
                <w:bCs/>
                <w:vertAlign w:val="superscript"/>
              </w:rPr>
              <w:t>2 </w:t>
            </w:r>
            <w:r w:rsidR="009F5D9A" w:rsidRPr="00F41990">
              <w:rPr>
                <w:bCs/>
              </w:rPr>
              <w:t>punkts.</w:t>
            </w:r>
          </w:p>
        </w:tc>
      </w:tr>
      <w:tr w:rsidR="00BC4041" w:rsidRPr="00F41990" w:rsidTr="006A7D0B">
        <w:tc>
          <w:tcPr>
            <w:tcW w:w="396" w:type="dxa"/>
            <w:shd w:val="clear" w:color="auto" w:fill="auto"/>
          </w:tcPr>
          <w:p w:rsidR="00BC4041" w:rsidRPr="00F41990" w:rsidRDefault="004A1651" w:rsidP="004A1651">
            <w:r w:rsidRPr="00F41990">
              <w:t>4</w:t>
            </w:r>
            <w:r w:rsidR="00BC4041" w:rsidRPr="00F41990">
              <w:t>.</w:t>
            </w:r>
          </w:p>
        </w:tc>
        <w:tc>
          <w:tcPr>
            <w:tcW w:w="3072" w:type="dxa"/>
            <w:shd w:val="clear" w:color="auto" w:fill="auto"/>
          </w:tcPr>
          <w:p w:rsidR="00BC4041" w:rsidRPr="00F41990" w:rsidRDefault="00BC4041" w:rsidP="006A7D0B">
            <w:pPr>
              <w:pStyle w:val="naiskr"/>
              <w:spacing w:before="0" w:after="0"/>
              <w:ind w:left="57" w:right="57"/>
            </w:pPr>
            <w:r w:rsidRPr="00F41990">
              <w:t>Cita informācija</w:t>
            </w:r>
          </w:p>
          <w:p w:rsidR="00BC4041" w:rsidRPr="00F41990" w:rsidRDefault="00BC4041" w:rsidP="006A7D0B">
            <w:pPr>
              <w:pStyle w:val="naiskr"/>
              <w:spacing w:before="0" w:after="0"/>
              <w:ind w:left="57" w:right="57"/>
            </w:pPr>
          </w:p>
        </w:tc>
        <w:tc>
          <w:tcPr>
            <w:tcW w:w="5819" w:type="dxa"/>
            <w:shd w:val="clear" w:color="auto" w:fill="auto"/>
          </w:tcPr>
          <w:p w:rsidR="00BC4041" w:rsidRPr="00F41990" w:rsidRDefault="00BC4041" w:rsidP="006A7D0B">
            <w:pPr>
              <w:jc w:val="both"/>
              <w:rPr>
                <w:color w:val="000000"/>
              </w:rPr>
            </w:pPr>
            <w:r w:rsidRPr="00F41990">
              <w:rPr>
                <w:color w:val="000000"/>
              </w:rPr>
              <w:t>Nav</w:t>
            </w:r>
            <w:r w:rsidR="00D95119" w:rsidRPr="00F41990">
              <w:rPr>
                <w:color w:val="000000"/>
              </w:rPr>
              <w:t>.</w:t>
            </w:r>
          </w:p>
        </w:tc>
      </w:tr>
    </w:tbl>
    <w:p w:rsidR="00B76D85" w:rsidRPr="00F41990"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94614" w:rsidRPr="00F41990" w:rsidTr="006A7D0B">
        <w:tc>
          <w:tcPr>
            <w:tcW w:w="9287" w:type="dxa"/>
            <w:gridSpan w:val="3"/>
            <w:shd w:val="clear" w:color="auto" w:fill="auto"/>
          </w:tcPr>
          <w:p w:rsidR="00194614" w:rsidRPr="00F41990" w:rsidRDefault="00194614" w:rsidP="006A7D0B">
            <w:pPr>
              <w:jc w:val="center"/>
              <w:rPr>
                <w:b/>
              </w:rPr>
            </w:pPr>
            <w:r w:rsidRPr="00F41990">
              <w:rPr>
                <w:b/>
              </w:rPr>
              <w:t>VII</w:t>
            </w:r>
            <w:r w:rsidR="00DC37D9" w:rsidRPr="00F41990">
              <w:rPr>
                <w:b/>
              </w:rPr>
              <w:t>.</w:t>
            </w:r>
            <w:r w:rsidRPr="00F41990">
              <w:rPr>
                <w:b/>
              </w:rPr>
              <w:t xml:space="preserve"> Tiesību akta projekta izpildes nodrošināšana un tās ietekme uz institūcijām</w:t>
            </w:r>
          </w:p>
        </w:tc>
      </w:tr>
      <w:tr w:rsidR="00B76D85" w:rsidRPr="00F41990" w:rsidTr="006A7D0B">
        <w:tc>
          <w:tcPr>
            <w:tcW w:w="396" w:type="dxa"/>
            <w:shd w:val="clear" w:color="auto" w:fill="auto"/>
          </w:tcPr>
          <w:p w:rsidR="00B76D85" w:rsidRPr="00F41990" w:rsidRDefault="00194614" w:rsidP="00242D7D">
            <w:r w:rsidRPr="00F41990">
              <w:t>1</w:t>
            </w:r>
            <w:r w:rsidR="00B76D85" w:rsidRPr="00F41990">
              <w:t xml:space="preserve">. </w:t>
            </w:r>
          </w:p>
        </w:tc>
        <w:tc>
          <w:tcPr>
            <w:tcW w:w="3072" w:type="dxa"/>
            <w:shd w:val="clear" w:color="auto" w:fill="auto"/>
          </w:tcPr>
          <w:p w:rsidR="00B76D85" w:rsidRPr="00F41990" w:rsidRDefault="00194614" w:rsidP="00242D7D">
            <w:r w:rsidRPr="00F41990">
              <w:t>Projekta izpildē iesaistītās institūcijas</w:t>
            </w:r>
          </w:p>
        </w:tc>
        <w:tc>
          <w:tcPr>
            <w:tcW w:w="5819" w:type="dxa"/>
            <w:shd w:val="clear" w:color="auto" w:fill="auto"/>
          </w:tcPr>
          <w:p w:rsidR="00B76D85" w:rsidRPr="00F41990" w:rsidRDefault="00830A59" w:rsidP="00E908AD">
            <w:pPr>
              <w:jc w:val="both"/>
              <w:rPr>
                <w:color w:val="000000"/>
              </w:rPr>
            </w:pPr>
            <w:r w:rsidRPr="00F41990">
              <w:rPr>
                <w:color w:val="000000"/>
              </w:rPr>
              <w:t>Noteikumu projekta izpildi nodrošinās NVA.</w:t>
            </w:r>
          </w:p>
        </w:tc>
      </w:tr>
      <w:tr w:rsidR="006A694C" w:rsidRPr="00F41990" w:rsidTr="006A7D0B">
        <w:tc>
          <w:tcPr>
            <w:tcW w:w="396" w:type="dxa"/>
            <w:shd w:val="clear" w:color="auto" w:fill="auto"/>
          </w:tcPr>
          <w:p w:rsidR="006A694C" w:rsidRPr="00F41990" w:rsidRDefault="006A694C" w:rsidP="00046760">
            <w:r w:rsidRPr="00F41990">
              <w:t xml:space="preserve">2. </w:t>
            </w:r>
          </w:p>
        </w:tc>
        <w:tc>
          <w:tcPr>
            <w:tcW w:w="3072" w:type="dxa"/>
            <w:shd w:val="clear" w:color="auto" w:fill="auto"/>
          </w:tcPr>
          <w:p w:rsidR="006A694C" w:rsidRPr="00F41990" w:rsidRDefault="006A694C" w:rsidP="00046760">
            <w:r w:rsidRPr="00F41990">
              <w:t>Projekta izpildes ietekme uz pār</w:t>
            </w:r>
            <w:r w:rsidRPr="00F41990">
              <w:softHyphen/>
              <w:t>valdes funkcijām un institucionālo struktūru.</w:t>
            </w:r>
          </w:p>
          <w:p w:rsidR="006A694C" w:rsidRPr="00F41990" w:rsidRDefault="006A694C" w:rsidP="00046760">
            <w:r w:rsidRPr="00F41990">
              <w:t>Jaunu institūciju izveide, esošu institūciju likvidācija vai reorga</w:t>
            </w:r>
            <w:r w:rsidRPr="00F41990">
              <w:softHyphen/>
              <w:t>nizācija, to ietekme uz institūcijas cilvēkresursiem</w:t>
            </w:r>
          </w:p>
        </w:tc>
        <w:tc>
          <w:tcPr>
            <w:tcW w:w="5819" w:type="dxa"/>
            <w:shd w:val="clear" w:color="auto" w:fill="auto"/>
          </w:tcPr>
          <w:p w:rsidR="006A694C" w:rsidRPr="00F41990" w:rsidRDefault="00296D17" w:rsidP="00E908AD">
            <w:pPr>
              <w:jc w:val="both"/>
              <w:rPr>
                <w:color w:val="000000"/>
              </w:rPr>
            </w:pPr>
            <w:r w:rsidRPr="00F41990">
              <w:rPr>
                <w:color w:val="000000"/>
              </w:rPr>
              <w:t>Noteikumu projekts neparedz NVA funkciju paplašināšanu vai sašaurināšanu, kā arī neietekmē pieejamos cilvēkresursus.</w:t>
            </w:r>
          </w:p>
        </w:tc>
      </w:tr>
      <w:tr w:rsidR="006A694C" w:rsidRPr="00F41990" w:rsidTr="006A7D0B">
        <w:tc>
          <w:tcPr>
            <w:tcW w:w="396" w:type="dxa"/>
            <w:shd w:val="clear" w:color="auto" w:fill="auto"/>
          </w:tcPr>
          <w:p w:rsidR="006A694C" w:rsidRPr="00F41990" w:rsidRDefault="006A694C" w:rsidP="00046760">
            <w:r w:rsidRPr="00F41990">
              <w:t xml:space="preserve">3. </w:t>
            </w:r>
          </w:p>
        </w:tc>
        <w:tc>
          <w:tcPr>
            <w:tcW w:w="3072" w:type="dxa"/>
            <w:shd w:val="clear" w:color="auto" w:fill="auto"/>
          </w:tcPr>
          <w:p w:rsidR="006A694C" w:rsidRPr="00F41990" w:rsidRDefault="006A694C" w:rsidP="00046760">
            <w:r w:rsidRPr="00F41990">
              <w:t>Cita informācija</w:t>
            </w:r>
          </w:p>
        </w:tc>
        <w:tc>
          <w:tcPr>
            <w:tcW w:w="5819" w:type="dxa"/>
            <w:shd w:val="clear" w:color="auto" w:fill="auto"/>
          </w:tcPr>
          <w:p w:rsidR="006A694C" w:rsidRPr="00F41990" w:rsidRDefault="00296D17" w:rsidP="00046760">
            <w:pPr>
              <w:jc w:val="both"/>
              <w:rPr>
                <w:color w:val="000000"/>
              </w:rPr>
            </w:pPr>
            <w:r w:rsidRPr="00F41990">
              <w:rPr>
                <w:color w:val="000000"/>
              </w:rPr>
              <w:t>Nav.</w:t>
            </w:r>
          </w:p>
        </w:tc>
      </w:tr>
    </w:tbl>
    <w:p w:rsidR="004B2F3F" w:rsidRPr="00F41990" w:rsidRDefault="004B2F3F" w:rsidP="006A694C"/>
    <w:p w:rsidR="00B76D85" w:rsidRPr="00F41990" w:rsidRDefault="004B2F3F" w:rsidP="002B264A">
      <w:pPr>
        <w:jc w:val="center"/>
        <w:rPr>
          <w:i/>
        </w:rPr>
      </w:pPr>
      <w:r w:rsidRPr="00F41990">
        <w:rPr>
          <w:i/>
        </w:rPr>
        <w:t>Noteikumu projekts anotācijas</w:t>
      </w:r>
      <w:r w:rsidR="00A96D6E" w:rsidRPr="00F41990">
        <w:rPr>
          <w:i/>
        </w:rPr>
        <w:t xml:space="preserve"> </w:t>
      </w:r>
      <w:r w:rsidR="001F2274" w:rsidRPr="00F41990">
        <w:rPr>
          <w:i/>
        </w:rPr>
        <w:t>III</w:t>
      </w:r>
      <w:r w:rsidR="002007E5" w:rsidRPr="00F41990">
        <w:rPr>
          <w:i/>
        </w:rPr>
        <w:t>,</w:t>
      </w:r>
      <w:r w:rsidR="006516A2" w:rsidRPr="00F41990">
        <w:rPr>
          <w:i/>
        </w:rPr>
        <w:t xml:space="preserve"> IV,</w:t>
      </w:r>
      <w:r w:rsidR="002007E5" w:rsidRPr="00F41990">
        <w:rPr>
          <w:i/>
        </w:rPr>
        <w:t xml:space="preserve"> V</w:t>
      </w:r>
      <w:r w:rsidR="00A96D6E" w:rsidRPr="00F41990">
        <w:rPr>
          <w:i/>
        </w:rPr>
        <w:t xml:space="preserve"> sadaļu neskar.</w:t>
      </w:r>
    </w:p>
    <w:p w:rsidR="007B614D" w:rsidRPr="00F41990" w:rsidRDefault="007B614D" w:rsidP="00B76D85">
      <w:pPr>
        <w:jc w:val="center"/>
      </w:pPr>
    </w:p>
    <w:p w:rsidR="00BC7672" w:rsidRPr="00F41990" w:rsidRDefault="00BC7672" w:rsidP="006D7ACC">
      <w:pPr>
        <w:ind w:firstLine="720"/>
      </w:pPr>
    </w:p>
    <w:p w:rsidR="00BC7672" w:rsidRPr="00F41990" w:rsidRDefault="00BC7672" w:rsidP="006D7ACC">
      <w:pPr>
        <w:ind w:firstLine="720"/>
      </w:pPr>
    </w:p>
    <w:p w:rsidR="006D7ACC" w:rsidRPr="00F41990" w:rsidRDefault="00194614" w:rsidP="00BC7672">
      <w:pPr>
        <w:ind w:firstLine="567"/>
      </w:pPr>
      <w:r w:rsidRPr="00F41990">
        <w:t>Labklājības ministr</w:t>
      </w:r>
      <w:r w:rsidR="00250408" w:rsidRPr="00F41990">
        <w:t>s</w:t>
      </w:r>
      <w:r w:rsidR="00250408" w:rsidRPr="00F41990">
        <w:tab/>
      </w:r>
      <w:r w:rsidR="00250408" w:rsidRPr="00F41990">
        <w:tab/>
      </w:r>
      <w:r w:rsidR="00250408" w:rsidRPr="00F41990">
        <w:tab/>
      </w:r>
      <w:r w:rsidR="00250408" w:rsidRPr="00F41990">
        <w:tab/>
      </w:r>
      <w:r w:rsidR="00250408" w:rsidRPr="00F41990">
        <w:tab/>
      </w:r>
      <w:r w:rsidR="00250408" w:rsidRPr="00F41990">
        <w:tab/>
      </w:r>
      <w:r w:rsidR="00BC7672" w:rsidRPr="00F41990">
        <w:tab/>
      </w:r>
      <w:r w:rsidR="00BC7672" w:rsidRPr="00F41990">
        <w:tab/>
      </w:r>
      <w:r w:rsidR="007E25CB" w:rsidRPr="00F41990">
        <w:t>J</w:t>
      </w:r>
      <w:r w:rsidR="00250408" w:rsidRPr="00F41990">
        <w:t>.</w:t>
      </w:r>
      <w:r w:rsidR="007E25CB" w:rsidRPr="00F41990">
        <w:t>Reirs</w:t>
      </w:r>
      <w:r w:rsidRPr="00F41990">
        <w:tab/>
      </w:r>
    </w:p>
    <w:p w:rsidR="007B614D" w:rsidRPr="00F41990" w:rsidRDefault="007B614D" w:rsidP="006D7ACC">
      <w:pPr>
        <w:ind w:firstLine="720"/>
      </w:pPr>
    </w:p>
    <w:p w:rsidR="00BC7672" w:rsidRPr="00F41990" w:rsidRDefault="00194614" w:rsidP="00DC2676">
      <w:r w:rsidRPr="00F41990">
        <w:tab/>
      </w:r>
      <w:r w:rsidRPr="00F41990">
        <w:tab/>
      </w:r>
      <w:r w:rsidRPr="00F41990">
        <w:tab/>
      </w:r>
      <w:r w:rsidRPr="00F41990">
        <w:tab/>
        <w:t xml:space="preserve">          </w:t>
      </w:r>
      <w:r w:rsidR="00DC2676" w:rsidRPr="00F41990">
        <w:t xml:space="preserve">     </w:t>
      </w:r>
    </w:p>
    <w:p w:rsidR="00DC2676" w:rsidRPr="00F41990" w:rsidRDefault="00DC2676" w:rsidP="00DC2676">
      <w:pPr>
        <w:rPr>
          <w:sz w:val="20"/>
          <w:szCs w:val="20"/>
          <w:lang w:eastAsia="ar-SA"/>
        </w:rPr>
      </w:pPr>
    </w:p>
    <w:p w:rsidR="00BC7672" w:rsidRPr="00F41990" w:rsidRDefault="00BC7672" w:rsidP="00250408">
      <w:pPr>
        <w:tabs>
          <w:tab w:val="center" w:pos="4535"/>
        </w:tabs>
        <w:suppressAutoHyphens/>
        <w:rPr>
          <w:sz w:val="20"/>
          <w:szCs w:val="20"/>
          <w:lang w:eastAsia="ar-SA"/>
        </w:rPr>
      </w:pPr>
    </w:p>
    <w:p w:rsidR="00BC7672" w:rsidRPr="00F41990" w:rsidRDefault="00BC7672" w:rsidP="00250408">
      <w:pPr>
        <w:tabs>
          <w:tab w:val="center" w:pos="4535"/>
        </w:tabs>
        <w:suppressAutoHyphens/>
        <w:rPr>
          <w:sz w:val="20"/>
          <w:szCs w:val="20"/>
          <w:lang w:eastAsia="ar-SA"/>
        </w:rPr>
      </w:pPr>
    </w:p>
    <w:p w:rsidR="00BC7672" w:rsidRPr="00F41990" w:rsidRDefault="00BC7672" w:rsidP="00250408">
      <w:pPr>
        <w:tabs>
          <w:tab w:val="center" w:pos="4535"/>
        </w:tabs>
        <w:suppressAutoHyphens/>
        <w:rPr>
          <w:sz w:val="20"/>
          <w:szCs w:val="20"/>
          <w:lang w:eastAsia="ar-SA"/>
        </w:rPr>
      </w:pPr>
    </w:p>
    <w:p w:rsidR="00BC7672" w:rsidRPr="00F41990" w:rsidRDefault="00BC7672" w:rsidP="00250408">
      <w:pPr>
        <w:tabs>
          <w:tab w:val="center" w:pos="4535"/>
        </w:tabs>
        <w:suppressAutoHyphens/>
        <w:rPr>
          <w:sz w:val="20"/>
          <w:szCs w:val="20"/>
          <w:lang w:eastAsia="ar-SA"/>
        </w:rPr>
      </w:pPr>
    </w:p>
    <w:p w:rsidR="00BC7672" w:rsidRPr="00F41990" w:rsidRDefault="00BC7672" w:rsidP="00250408">
      <w:pPr>
        <w:tabs>
          <w:tab w:val="center" w:pos="4535"/>
        </w:tabs>
        <w:suppressAutoHyphens/>
        <w:rPr>
          <w:sz w:val="20"/>
          <w:szCs w:val="20"/>
          <w:lang w:eastAsia="ar-SA"/>
        </w:rPr>
      </w:pPr>
    </w:p>
    <w:p w:rsidR="00BC7672" w:rsidRPr="00F41990" w:rsidRDefault="00BC7672" w:rsidP="00250408">
      <w:pPr>
        <w:tabs>
          <w:tab w:val="center" w:pos="4535"/>
        </w:tabs>
        <w:suppressAutoHyphens/>
        <w:rPr>
          <w:sz w:val="20"/>
          <w:szCs w:val="20"/>
          <w:lang w:eastAsia="ar-SA"/>
        </w:rPr>
      </w:pPr>
    </w:p>
    <w:p w:rsidR="00BC7672" w:rsidRPr="00F41990" w:rsidRDefault="00BC7672" w:rsidP="00250408">
      <w:pPr>
        <w:tabs>
          <w:tab w:val="center" w:pos="4535"/>
        </w:tabs>
        <w:suppressAutoHyphens/>
        <w:rPr>
          <w:sz w:val="20"/>
          <w:szCs w:val="20"/>
          <w:lang w:eastAsia="ar-SA"/>
        </w:rPr>
      </w:pPr>
    </w:p>
    <w:p w:rsidR="00BC7672" w:rsidRPr="00F41990" w:rsidRDefault="00BC7672" w:rsidP="00250408">
      <w:pPr>
        <w:tabs>
          <w:tab w:val="center" w:pos="4535"/>
        </w:tabs>
        <w:suppressAutoHyphens/>
        <w:rPr>
          <w:sz w:val="20"/>
          <w:szCs w:val="20"/>
          <w:lang w:eastAsia="ar-SA"/>
        </w:rPr>
      </w:pPr>
    </w:p>
    <w:p w:rsidR="00BC7672" w:rsidRPr="00F41990" w:rsidRDefault="00BC7672" w:rsidP="00250408">
      <w:pPr>
        <w:tabs>
          <w:tab w:val="center" w:pos="4535"/>
        </w:tabs>
        <w:suppressAutoHyphens/>
        <w:rPr>
          <w:sz w:val="20"/>
          <w:szCs w:val="20"/>
          <w:lang w:eastAsia="ar-SA"/>
        </w:rPr>
      </w:pPr>
    </w:p>
    <w:p w:rsidR="00BC7672" w:rsidRPr="00F41990" w:rsidRDefault="00BC7672" w:rsidP="00250408">
      <w:pPr>
        <w:tabs>
          <w:tab w:val="center" w:pos="4535"/>
        </w:tabs>
        <w:suppressAutoHyphens/>
        <w:rPr>
          <w:sz w:val="20"/>
          <w:szCs w:val="20"/>
          <w:lang w:eastAsia="ar-SA"/>
        </w:rPr>
      </w:pPr>
    </w:p>
    <w:p w:rsidR="00DD7AEC" w:rsidRPr="00F41990" w:rsidRDefault="00DD7AEC" w:rsidP="00250408">
      <w:pPr>
        <w:tabs>
          <w:tab w:val="center" w:pos="4535"/>
        </w:tabs>
        <w:suppressAutoHyphens/>
        <w:rPr>
          <w:sz w:val="20"/>
          <w:szCs w:val="20"/>
          <w:lang w:eastAsia="ar-SA"/>
        </w:rPr>
      </w:pPr>
    </w:p>
    <w:p w:rsidR="00DD7AEC" w:rsidRPr="00F41990" w:rsidRDefault="00DD7AEC" w:rsidP="00250408">
      <w:pPr>
        <w:tabs>
          <w:tab w:val="center" w:pos="4535"/>
        </w:tabs>
        <w:suppressAutoHyphens/>
        <w:rPr>
          <w:sz w:val="20"/>
          <w:szCs w:val="20"/>
          <w:lang w:eastAsia="ar-SA"/>
        </w:rPr>
      </w:pPr>
    </w:p>
    <w:p w:rsidR="00DD7AEC" w:rsidRPr="00F41990" w:rsidRDefault="00DD7AEC" w:rsidP="00250408">
      <w:pPr>
        <w:tabs>
          <w:tab w:val="center" w:pos="4535"/>
        </w:tabs>
        <w:suppressAutoHyphens/>
        <w:rPr>
          <w:sz w:val="20"/>
          <w:szCs w:val="20"/>
          <w:lang w:eastAsia="ar-SA"/>
        </w:rPr>
      </w:pPr>
    </w:p>
    <w:p w:rsidR="00DD7AEC" w:rsidRPr="00F41990" w:rsidRDefault="00DD7AEC" w:rsidP="00250408">
      <w:pPr>
        <w:tabs>
          <w:tab w:val="center" w:pos="4535"/>
        </w:tabs>
        <w:suppressAutoHyphens/>
        <w:rPr>
          <w:sz w:val="20"/>
          <w:szCs w:val="20"/>
          <w:lang w:eastAsia="ar-SA"/>
        </w:rPr>
      </w:pPr>
      <w:bookmarkStart w:id="0" w:name="_GoBack"/>
      <w:bookmarkEnd w:id="0"/>
    </w:p>
    <w:p w:rsidR="00DD7AEC" w:rsidRPr="00F41990" w:rsidRDefault="00DD7AEC" w:rsidP="00250408">
      <w:pPr>
        <w:tabs>
          <w:tab w:val="center" w:pos="4535"/>
        </w:tabs>
        <w:suppressAutoHyphens/>
        <w:rPr>
          <w:sz w:val="20"/>
          <w:szCs w:val="20"/>
          <w:lang w:eastAsia="ar-SA"/>
        </w:rPr>
      </w:pPr>
    </w:p>
    <w:p w:rsidR="00DD7AEC" w:rsidRPr="00F41990" w:rsidRDefault="00DD7AEC" w:rsidP="00250408">
      <w:pPr>
        <w:tabs>
          <w:tab w:val="center" w:pos="4535"/>
        </w:tabs>
        <w:suppressAutoHyphens/>
        <w:rPr>
          <w:sz w:val="20"/>
          <w:szCs w:val="20"/>
          <w:lang w:eastAsia="ar-SA"/>
        </w:rPr>
      </w:pPr>
    </w:p>
    <w:p w:rsidR="00250408" w:rsidRPr="009C3819" w:rsidRDefault="00761511" w:rsidP="00250408">
      <w:pPr>
        <w:tabs>
          <w:tab w:val="center" w:pos="4535"/>
        </w:tabs>
        <w:suppressAutoHyphens/>
        <w:rPr>
          <w:sz w:val="20"/>
          <w:szCs w:val="20"/>
          <w:lang w:eastAsia="ar-SA"/>
        </w:rPr>
      </w:pPr>
      <w:r>
        <w:rPr>
          <w:sz w:val="20"/>
          <w:szCs w:val="20"/>
          <w:lang w:eastAsia="ar-SA"/>
        </w:rPr>
        <w:t>29</w:t>
      </w:r>
      <w:r w:rsidR="00C97FC8" w:rsidRPr="009C3819">
        <w:rPr>
          <w:sz w:val="20"/>
          <w:szCs w:val="20"/>
          <w:lang w:eastAsia="ar-SA"/>
        </w:rPr>
        <w:t>.0</w:t>
      </w:r>
      <w:r w:rsidR="00DC2676" w:rsidRPr="009C3819">
        <w:rPr>
          <w:sz w:val="20"/>
          <w:szCs w:val="20"/>
          <w:lang w:eastAsia="ar-SA"/>
        </w:rPr>
        <w:t>8</w:t>
      </w:r>
      <w:r w:rsidR="00E62370" w:rsidRPr="009C3819">
        <w:rPr>
          <w:sz w:val="20"/>
          <w:szCs w:val="20"/>
          <w:lang w:eastAsia="ar-SA"/>
        </w:rPr>
        <w:t>.2016</w:t>
      </w:r>
      <w:r w:rsidR="00250408" w:rsidRPr="009C3819">
        <w:rPr>
          <w:sz w:val="20"/>
          <w:szCs w:val="20"/>
          <w:lang w:eastAsia="ar-SA"/>
        </w:rPr>
        <w:t xml:space="preserve">. </w:t>
      </w:r>
      <w:r>
        <w:rPr>
          <w:sz w:val="20"/>
          <w:szCs w:val="20"/>
          <w:lang w:eastAsia="ar-SA"/>
        </w:rPr>
        <w:t>13</w:t>
      </w:r>
      <w:r w:rsidR="009E2C0B" w:rsidRPr="009C3819">
        <w:rPr>
          <w:sz w:val="20"/>
          <w:szCs w:val="20"/>
          <w:lang w:eastAsia="ar-SA"/>
        </w:rPr>
        <w:t>:</w:t>
      </w:r>
      <w:r>
        <w:rPr>
          <w:sz w:val="20"/>
          <w:szCs w:val="20"/>
          <w:lang w:eastAsia="ar-SA"/>
        </w:rPr>
        <w:t>21</w:t>
      </w:r>
      <w:r w:rsidR="00250408" w:rsidRPr="009C3819">
        <w:rPr>
          <w:sz w:val="20"/>
          <w:szCs w:val="20"/>
          <w:lang w:eastAsia="ar-SA"/>
        </w:rPr>
        <w:tab/>
      </w:r>
    </w:p>
    <w:p w:rsidR="00250408" w:rsidRPr="009C3819" w:rsidRDefault="00A043C7" w:rsidP="00250408">
      <w:pPr>
        <w:suppressAutoHyphens/>
        <w:textAlignment w:val="baseline"/>
        <w:rPr>
          <w:rFonts w:eastAsia="Arial"/>
          <w:kern w:val="1"/>
          <w:sz w:val="20"/>
          <w:szCs w:val="20"/>
          <w:lang w:eastAsia="ar-SA"/>
        </w:rPr>
      </w:pPr>
      <w:r w:rsidRPr="009C3819">
        <w:rPr>
          <w:rFonts w:eastAsia="Arial"/>
          <w:kern w:val="1"/>
          <w:sz w:val="20"/>
          <w:szCs w:val="20"/>
          <w:lang w:eastAsia="ar-SA"/>
        </w:rPr>
        <w:t>2</w:t>
      </w:r>
      <w:r w:rsidR="000546E0" w:rsidRPr="009C3819">
        <w:rPr>
          <w:rFonts w:eastAsia="Arial"/>
          <w:kern w:val="1"/>
          <w:sz w:val="20"/>
          <w:szCs w:val="20"/>
          <w:lang w:eastAsia="ar-SA"/>
        </w:rPr>
        <w:t>1</w:t>
      </w:r>
      <w:r w:rsidR="00666480">
        <w:rPr>
          <w:rFonts w:eastAsia="Arial"/>
          <w:kern w:val="1"/>
          <w:sz w:val="20"/>
          <w:szCs w:val="20"/>
          <w:lang w:eastAsia="ar-SA"/>
        </w:rPr>
        <w:t>79</w:t>
      </w:r>
    </w:p>
    <w:p w:rsidR="00250408" w:rsidRPr="009C3819" w:rsidRDefault="00E62370" w:rsidP="00250408">
      <w:pPr>
        <w:suppressAutoHyphens/>
        <w:textAlignment w:val="baseline"/>
        <w:rPr>
          <w:rFonts w:eastAsia="Arial"/>
          <w:kern w:val="1"/>
          <w:sz w:val="20"/>
          <w:szCs w:val="20"/>
          <w:lang w:eastAsia="ar-SA"/>
        </w:rPr>
      </w:pPr>
      <w:proofErr w:type="spellStart"/>
      <w:r w:rsidRPr="009C3819">
        <w:rPr>
          <w:rFonts w:eastAsia="Arial"/>
          <w:kern w:val="1"/>
          <w:sz w:val="20"/>
          <w:szCs w:val="20"/>
          <w:lang w:eastAsia="ar-SA"/>
        </w:rPr>
        <w:t>E</w:t>
      </w:r>
      <w:r w:rsidR="00DF2A52" w:rsidRPr="009C3819">
        <w:rPr>
          <w:rFonts w:eastAsia="Arial"/>
          <w:kern w:val="1"/>
          <w:sz w:val="20"/>
          <w:szCs w:val="20"/>
          <w:lang w:eastAsia="ar-SA"/>
        </w:rPr>
        <w:t>.</w:t>
      </w:r>
      <w:r w:rsidRPr="009C3819">
        <w:rPr>
          <w:rFonts w:eastAsia="Arial"/>
          <w:kern w:val="1"/>
          <w:sz w:val="20"/>
          <w:szCs w:val="20"/>
          <w:lang w:eastAsia="ar-SA"/>
        </w:rPr>
        <w:t>Heidere</w:t>
      </w:r>
      <w:proofErr w:type="spellEnd"/>
    </w:p>
    <w:p w:rsidR="00250408" w:rsidRPr="009C3819" w:rsidRDefault="00250408" w:rsidP="00250408">
      <w:pPr>
        <w:suppressAutoHyphens/>
        <w:autoSpaceDE w:val="0"/>
        <w:textAlignment w:val="baseline"/>
        <w:rPr>
          <w:rFonts w:eastAsia="Arial"/>
          <w:kern w:val="1"/>
          <w:sz w:val="20"/>
          <w:szCs w:val="20"/>
          <w:lang w:eastAsia="ar-SA"/>
        </w:rPr>
      </w:pPr>
      <w:r w:rsidRPr="009C3819">
        <w:rPr>
          <w:rFonts w:eastAsia="Arial"/>
          <w:kern w:val="1"/>
          <w:sz w:val="20"/>
          <w:szCs w:val="20"/>
          <w:lang w:eastAsia="ar-SA"/>
        </w:rPr>
        <w:t>Tālrunis: 67021</w:t>
      </w:r>
      <w:r w:rsidR="00E62370" w:rsidRPr="009C3819">
        <w:rPr>
          <w:rFonts w:eastAsia="Arial"/>
          <w:kern w:val="1"/>
          <w:sz w:val="20"/>
          <w:szCs w:val="20"/>
          <w:lang w:eastAsia="ar-SA"/>
        </w:rPr>
        <w:t>690</w:t>
      </w:r>
    </w:p>
    <w:p w:rsidR="00250408" w:rsidRPr="009C3819" w:rsidRDefault="00250408" w:rsidP="00250408">
      <w:pPr>
        <w:suppressAutoHyphens/>
        <w:autoSpaceDE w:val="0"/>
        <w:textAlignment w:val="baseline"/>
        <w:rPr>
          <w:rFonts w:eastAsia="Arial"/>
          <w:kern w:val="1"/>
          <w:sz w:val="20"/>
          <w:szCs w:val="20"/>
          <w:lang w:eastAsia="ar-SA"/>
        </w:rPr>
      </w:pPr>
      <w:r w:rsidRPr="009C3819">
        <w:rPr>
          <w:rFonts w:eastAsia="Arial"/>
          <w:kern w:val="1"/>
          <w:sz w:val="20"/>
          <w:szCs w:val="20"/>
          <w:lang w:eastAsia="ar-SA"/>
        </w:rPr>
        <w:t>Fakss: 67021505</w:t>
      </w:r>
    </w:p>
    <w:p w:rsidR="000C29B0" w:rsidRPr="009C3819" w:rsidRDefault="00250408" w:rsidP="00E85C09">
      <w:pPr>
        <w:suppressAutoHyphens/>
        <w:rPr>
          <w:sz w:val="20"/>
          <w:szCs w:val="20"/>
          <w:lang w:eastAsia="ar-SA"/>
        </w:rPr>
      </w:pPr>
      <w:r w:rsidRPr="009C3819">
        <w:rPr>
          <w:sz w:val="20"/>
          <w:szCs w:val="20"/>
          <w:lang w:eastAsia="ar-SA"/>
        </w:rPr>
        <w:t xml:space="preserve">e-pasts: </w:t>
      </w:r>
      <w:hyperlink r:id="rId10" w:history="1">
        <w:r w:rsidR="00E62370" w:rsidRPr="009C3819">
          <w:rPr>
            <w:rStyle w:val="Hyperlink"/>
            <w:sz w:val="20"/>
            <w:szCs w:val="20"/>
          </w:rPr>
          <w:t>Elina.</w:t>
        </w:r>
        <w:r w:rsidR="00E62370" w:rsidRPr="009C3819">
          <w:rPr>
            <w:rStyle w:val="Hyperlink"/>
            <w:sz w:val="20"/>
            <w:szCs w:val="20"/>
            <w:lang w:eastAsia="ar-SA"/>
          </w:rPr>
          <w:t>Heidere@lm.gov.lv</w:t>
        </w:r>
      </w:hyperlink>
      <w:r w:rsidR="00E62370" w:rsidRPr="009C3819">
        <w:rPr>
          <w:color w:val="0000FF"/>
          <w:sz w:val="20"/>
          <w:szCs w:val="20"/>
          <w:u w:val="single"/>
          <w:lang w:eastAsia="ar-SA"/>
        </w:rPr>
        <w:t xml:space="preserve"> </w:t>
      </w:r>
    </w:p>
    <w:sectPr w:rsidR="000C29B0" w:rsidRPr="009C3819" w:rsidSect="00ED5D34">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1E" w:rsidRDefault="00BF471E">
      <w:r>
        <w:separator/>
      </w:r>
    </w:p>
  </w:endnote>
  <w:endnote w:type="continuationSeparator" w:id="0">
    <w:p w:rsidR="00BF471E" w:rsidRDefault="00BF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D6" w:rsidRPr="00C0201F" w:rsidRDefault="00DF67D6" w:rsidP="0016640D">
    <w:pPr>
      <w:pStyle w:val="NormalWeb"/>
      <w:spacing w:before="0" w:after="0"/>
      <w:jc w:val="both"/>
      <w:rPr>
        <w:sz w:val="20"/>
        <w:szCs w:val="20"/>
      </w:rPr>
    </w:pPr>
    <w:r w:rsidRPr="009B5C3E">
      <w:rPr>
        <w:sz w:val="20"/>
        <w:szCs w:val="20"/>
      </w:rPr>
      <w:t>L</w:t>
    </w:r>
    <w:r w:rsidR="007656AD">
      <w:rPr>
        <w:sz w:val="20"/>
        <w:szCs w:val="20"/>
      </w:rPr>
      <w:t>MA</w:t>
    </w:r>
    <w:r w:rsidRPr="009B5C3E">
      <w:rPr>
        <w:sz w:val="20"/>
        <w:szCs w:val="20"/>
      </w:rPr>
      <w:t>not_</w:t>
    </w:r>
    <w:r w:rsidR="009B5C3E" w:rsidRPr="009B5C3E">
      <w:rPr>
        <w:sz w:val="20"/>
        <w:szCs w:val="20"/>
      </w:rPr>
      <w:t>2</w:t>
    </w:r>
    <w:r w:rsidR="005A6108">
      <w:rPr>
        <w:sz w:val="20"/>
        <w:szCs w:val="20"/>
      </w:rPr>
      <w:t>9</w:t>
    </w:r>
    <w:r w:rsidR="0089528C" w:rsidRPr="009B5C3E">
      <w:rPr>
        <w:sz w:val="20"/>
        <w:szCs w:val="20"/>
      </w:rPr>
      <w:t>0</w:t>
    </w:r>
    <w:r w:rsidR="00DC2676">
      <w:rPr>
        <w:sz w:val="20"/>
        <w:szCs w:val="20"/>
      </w:rPr>
      <w:t>8</w:t>
    </w:r>
    <w:r w:rsidRPr="009B5C3E">
      <w:rPr>
        <w:sz w:val="20"/>
        <w:szCs w:val="20"/>
      </w:rPr>
      <w:t>16_458; Grozījumi Ministru kabineta 2007.gada 3.jūlija noteikumos Nr.458 „Komersantu – darbiekārtošanas pakalpojumu sniedzēju – licencēšanas un uzraudzības kārtība”</w:t>
    </w:r>
  </w:p>
  <w:p w:rsidR="00DF67D6" w:rsidRPr="00C0201F" w:rsidRDefault="00DF67D6" w:rsidP="00F2273E">
    <w:pPr>
      <w:pStyle w:val="NormalWeb"/>
      <w:spacing w:before="0" w:after="0"/>
      <w:jc w:val="both"/>
      <w:rPr>
        <w:sz w:val="20"/>
        <w:szCs w:val="20"/>
      </w:rPr>
    </w:pPr>
  </w:p>
  <w:p w:rsidR="00DF67D6" w:rsidRPr="00F2273E" w:rsidRDefault="00DF67D6" w:rsidP="00B8295E">
    <w:pPr>
      <w:pStyle w:val="Footer"/>
      <w:tabs>
        <w:tab w:val="clear" w:pos="4153"/>
        <w:tab w:val="clear" w:pos="8306"/>
        <w:tab w:val="left" w:pos="263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D6" w:rsidRPr="00C0201F" w:rsidRDefault="00DF67D6" w:rsidP="00F2273E">
    <w:pPr>
      <w:pStyle w:val="NormalWeb"/>
      <w:spacing w:before="0" w:after="0"/>
      <w:jc w:val="both"/>
      <w:rPr>
        <w:sz w:val="20"/>
        <w:szCs w:val="20"/>
      </w:rPr>
    </w:pPr>
    <w:r w:rsidRPr="009B5C3E">
      <w:rPr>
        <w:sz w:val="20"/>
        <w:szCs w:val="20"/>
      </w:rPr>
      <w:t>L</w:t>
    </w:r>
    <w:r w:rsidR="007656AD">
      <w:rPr>
        <w:sz w:val="20"/>
        <w:szCs w:val="20"/>
      </w:rPr>
      <w:t>MA</w:t>
    </w:r>
    <w:r w:rsidRPr="009B5C3E">
      <w:rPr>
        <w:sz w:val="20"/>
        <w:szCs w:val="20"/>
      </w:rPr>
      <w:t>not_</w:t>
    </w:r>
    <w:r w:rsidR="009B5C3E" w:rsidRPr="009B5C3E">
      <w:rPr>
        <w:sz w:val="20"/>
        <w:szCs w:val="20"/>
      </w:rPr>
      <w:t>2</w:t>
    </w:r>
    <w:r w:rsidR="005A6108">
      <w:rPr>
        <w:sz w:val="20"/>
        <w:szCs w:val="20"/>
      </w:rPr>
      <w:t>9</w:t>
    </w:r>
    <w:r w:rsidR="0089528C" w:rsidRPr="009B5C3E">
      <w:rPr>
        <w:sz w:val="20"/>
        <w:szCs w:val="20"/>
      </w:rPr>
      <w:t>0</w:t>
    </w:r>
    <w:r w:rsidR="00DC2676">
      <w:rPr>
        <w:sz w:val="20"/>
        <w:szCs w:val="20"/>
      </w:rPr>
      <w:t>8</w:t>
    </w:r>
    <w:r w:rsidRPr="009B5C3E">
      <w:rPr>
        <w:sz w:val="20"/>
        <w:szCs w:val="20"/>
      </w:rPr>
      <w:t>16_458; Grozījumi Ministru kabineta 2007.gada 3.jūlija noteikumos Nr.458 „Komersantu – darbiekārtošanas pakalpojumu sniedzēju – licencēšanas un uzraudzības kārtība”</w:t>
    </w:r>
  </w:p>
  <w:p w:rsidR="00DF67D6" w:rsidRPr="00F2273E" w:rsidRDefault="00DF67D6" w:rsidP="00F22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1E" w:rsidRDefault="00BF471E">
      <w:r>
        <w:separator/>
      </w:r>
    </w:p>
  </w:footnote>
  <w:footnote w:type="continuationSeparator" w:id="0">
    <w:p w:rsidR="00BF471E" w:rsidRDefault="00BF4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D6" w:rsidRDefault="00DF67D6"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67D6" w:rsidRDefault="00DF6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D6" w:rsidRDefault="00DF67D6"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108">
      <w:rPr>
        <w:rStyle w:val="PageNumber"/>
        <w:noProof/>
      </w:rPr>
      <w:t>8</w:t>
    </w:r>
    <w:r>
      <w:rPr>
        <w:rStyle w:val="PageNumber"/>
      </w:rPr>
      <w:fldChar w:fldCharType="end"/>
    </w:r>
  </w:p>
  <w:p w:rsidR="00DF67D6" w:rsidRDefault="00DF6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4">
    <w:nsid w:val="13A0261A"/>
    <w:multiLevelType w:val="hybridMultilevel"/>
    <w:tmpl w:val="3F4CB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324043A"/>
    <w:multiLevelType w:val="multilevel"/>
    <w:tmpl w:val="0F94FB3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1">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2">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4">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0"/>
  </w:num>
  <w:num w:numId="5">
    <w:abstractNumId w:val="8"/>
  </w:num>
  <w:num w:numId="6">
    <w:abstractNumId w:val="2"/>
  </w:num>
  <w:num w:numId="7">
    <w:abstractNumId w:val="12"/>
  </w:num>
  <w:num w:numId="8">
    <w:abstractNumId w:val="3"/>
  </w:num>
  <w:num w:numId="9">
    <w:abstractNumId w:val="15"/>
  </w:num>
  <w:num w:numId="10">
    <w:abstractNumId w:val="11"/>
  </w:num>
  <w:num w:numId="11">
    <w:abstractNumId w:val="14"/>
  </w:num>
  <w:num w:numId="12">
    <w:abstractNumId w:val="1"/>
  </w:num>
  <w:num w:numId="13">
    <w:abstractNumId w:val="6"/>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03CB"/>
    <w:rsid w:val="0000091C"/>
    <w:rsid w:val="000010EF"/>
    <w:rsid w:val="00002258"/>
    <w:rsid w:val="000049FD"/>
    <w:rsid w:val="00004BE3"/>
    <w:rsid w:val="00004F5E"/>
    <w:rsid w:val="0000501A"/>
    <w:rsid w:val="00007D37"/>
    <w:rsid w:val="00010C24"/>
    <w:rsid w:val="0001203B"/>
    <w:rsid w:val="00012BCF"/>
    <w:rsid w:val="00014889"/>
    <w:rsid w:val="000162FD"/>
    <w:rsid w:val="00017E5D"/>
    <w:rsid w:val="00020B4F"/>
    <w:rsid w:val="00021ADD"/>
    <w:rsid w:val="000232EB"/>
    <w:rsid w:val="000251D9"/>
    <w:rsid w:val="000260C1"/>
    <w:rsid w:val="00027414"/>
    <w:rsid w:val="0003124C"/>
    <w:rsid w:val="00032FCA"/>
    <w:rsid w:val="000344C0"/>
    <w:rsid w:val="00034970"/>
    <w:rsid w:val="00036245"/>
    <w:rsid w:val="00036804"/>
    <w:rsid w:val="00037BB3"/>
    <w:rsid w:val="00043389"/>
    <w:rsid w:val="000450B6"/>
    <w:rsid w:val="000463FF"/>
    <w:rsid w:val="00046760"/>
    <w:rsid w:val="000476FC"/>
    <w:rsid w:val="00047C29"/>
    <w:rsid w:val="000509A8"/>
    <w:rsid w:val="000546E0"/>
    <w:rsid w:val="00056345"/>
    <w:rsid w:val="00057176"/>
    <w:rsid w:val="0006002A"/>
    <w:rsid w:val="000602FE"/>
    <w:rsid w:val="0006076A"/>
    <w:rsid w:val="00060968"/>
    <w:rsid w:val="00061004"/>
    <w:rsid w:val="00065FDF"/>
    <w:rsid w:val="00067067"/>
    <w:rsid w:val="0007050B"/>
    <w:rsid w:val="0007081C"/>
    <w:rsid w:val="000713E1"/>
    <w:rsid w:val="000736E1"/>
    <w:rsid w:val="00076D11"/>
    <w:rsid w:val="00080296"/>
    <w:rsid w:val="000829C1"/>
    <w:rsid w:val="0008362C"/>
    <w:rsid w:val="00084CB0"/>
    <w:rsid w:val="0008524A"/>
    <w:rsid w:val="000902BF"/>
    <w:rsid w:val="00093744"/>
    <w:rsid w:val="0009450F"/>
    <w:rsid w:val="00095D94"/>
    <w:rsid w:val="0009784B"/>
    <w:rsid w:val="000A1D01"/>
    <w:rsid w:val="000A35D2"/>
    <w:rsid w:val="000A4764"/>
    <w:rsid w:val="000A5509"/>
    <w:rsid w:val="000A62BE"/>
    <w:rsid w:val="000A6BC9"/>
    <w:rsid w:val="000A7827"/>
    <w:rsid w:val="000B130B"/>
    <w:rsid w:val="000B5C9F"/>
    <w:rsid w:val="000B67FC"/>
    <w:rsid w:val="000B6A7F"/>
    <w:rsid w:val="000B78EC"/>
    <w:rsid w:val="000C1D63"/>
    <w:rsid w:val="000C23D3"/>
    <w:rsid w:val="000C29B0"/>
    <w:rsid w:val="000C4D05"/>
    <w:rsid w:val="000D0DA0"/>
    <w:rsid w:val="000D0EC0"/>
    <w:rsid w:val="000D1449"/>
    <w:rsid w:val="000D2ABE"/>
    <w:rsid w:val="000D740B"/>
    <w:rsid w:val="000D7C1A"/>
    <w:rsid w:val="000D7FB6"/>
    <w:rsid w:val="000E0C7D"/>
    <w:rsid w:val="000E1D5C"/>
    <w:rsid w:val="000E1F9F"/>
    <w:rsid w:val="000E384F"/>
    <w:rsid w:val="000E421B"/>
    <w:rsid w:val="000E678C"/>
    <w:rsid w:val="000F2C0D"/>
    <w:rsid w:val="000F305C"/>
    <w:rsid w:val="000F3932"/>
    <w:rsid w:val="000F40BD"/>
    <w:rsid w:val="000F5F6B"/>
    <w:rsid w:val="00102682"/>
    <w:rsid w:val="0010720E"/>
    <w:rsid w:val="00111137"/>
    <w:rsid w:val="001121F2"/>
    <w:rsid w:val="00112E92"/>
    <w:rsid w:val="001141FC"/>
    <w:rsid w:val="001149F8"/>
    <w:rsid w:val="00115437"/>
    <w:rsid w:val="00116098"/>
    <w:rsid w:val="0012151E"/>
    <w:rsid w:val="00122F3D"/>
    <w:rsid w:val="00124853"/>
    <w:rsid w:val="00125B86"/>
    <w:rsid w:val="00126C64"/>
    <w:rsid w:val="001272CE"/>
    <w:rsid w:val="00130C31"/>
    <w:rsid w:val="0013127F"/>
    <w:rsid w:val="00131478"/>
    <w:rsid w:val="0013206C"/>
    <w:rsid w:val="00133BF5"/>
    <w:rsid w:val="00134B34"/>
    <w:rsid w:val="001350F4"/>
    <w:rsid w:val="001401BD"/>
    <w:rsid w:val="00143584"/>
    <w:rsid w:val="001435A8"/>
    <w:rsid w:val="001443DF"/>
    <w:rsid w:val="00144C2C"/>
    <w:rsid w:val="001459B9"/>
    <w:rsid w:val="00147461"/>
    <w:rsid w:val="00147E93"/>
    <w:rsid w:val="00152425"/>
    <w:rsid w:val="00152E95"/>
    <w:rsid w:val="00153E80"/>
    <w:rsid w:val="00160A29"/>
    <w:rsid w:val="0016640D"/>
    <w:rsid w:val="00167021"/>
    <w:rsid w:val="00167401"/>
    <w:rsid w:val="00170E63"/>
    <w:rsid w:val="00174A87"/>
    <w:rsid w:val="0018200B"/>
    <w:rsid w:val="00182DCE"/>
    <w:rsid w:val="00184716"/>
    <w:rsid w:val="00184B14"/>
    <w:rsid w:val="00185E65"/>
    <w:rsid w:val="001869A8"/>
    <w:rsid w:val="00191899"/>
    <w:rsid w:val="00191E0E"/>
    <w:rsid w:val="00192A57"/>
    <w:rsid w:val="0019304E"/>
    <w:rsid w:val="00194614"/>
    <w:rsid w:val="00196EF2"/>
    <w:rsid w:val="001A0A2C"/>
    <w:rsid w:val="001A354E"/>
    <w:rsid w:val="001A360B"/>
    <w:rsid w:val="001A51E6"/>
    <w:rsid w:val="001B1E0A"/>
    <w:rsid w:val="001B7328"/>
    <w:rsid w:val="001C0089"/>
    <w:rsid w:val="001C0D90"/>
    <w:rsid w:val="001C509E"/>
    <w:rsid w:val="001C67A6"/>
    <w:rsid w:val="001D0050"/>
    <w:rsid w:val="001D0AEA"/>
    <w:rsid w:val="001D1950"/>
    <w:rsid w:val="001D1C3C"/>
    <w:rsid w:val="001D247E"/>
    <w:rsid w:val="001D3BDF"/>
    <w:rsid w:val="001D42CD"/>
    <w:rsid w:val="001D76B1"/>
    <w:rsid w:val="001D7806"/>
    <w:rsid w:val="001D7AD1"/>
    <w:rsid w:val="001E1307"/>
    <w:rsid w:val="001E184A"/>
    <w:rsid w:val="001E19A9"/>
    <w:rsid w:val="001E5C57"/>
    <w:rsid w:val="001F2274"/>
    <w:rsid w:val="001F3077"/>
    <w:rsid w:val="001F40FF"/>
    <w:rsid w:val="001F5D7D"/>
    <w:rsid w:val="00200557"/>
    <w:rsid w:val="002007E5"/>
    <w:rsid w:val="00201973"/>
    <w:rsid w:val="00203C59"/>
    <w:rsid w:val="0020569A"/>
    <w:rsid w:val="00205A93"/>
    <w:rsid w:val="00206FB6"/>
    <w:rsid w:val="002118A6"/>
    <w:rsid w:val="002142DC"/>
    <w:rsid w:val="002157A8"/>
    <w:rsid w:val="00215A6B"/>
    <w:rsid w:val="00216591"/>
    <w:rsid w:val="002175D9"/>
    <w:rsid w:val="0021789A"/>
    <w:rsid w:val="00224061"/>
    <w:rsid w:val="002242CB"/>
    <w:rsid w:val="0022698A"/>
    <w:rsid w:val="00226F75"/>
    <w:rsid w:val="00230730"/>
    <w:rsid w:val="0023232C"/>
    <w:rsid w:val="00232C33"/>
    <w:rsid w:val="00232C58"/>
    <w:rsid w:val="0023478C"/>
    <w:rsid w:val="00234C48"/>
    <w:rsid w:val="002354DF"/>
    <w:rsid w:val="00237649"/>
    <w:rsid w:val="00242D7D"/>
    <w:rsid w:val="002432E7"/>
    <w:rsid w:val="00246EE0"/>
    <w:rsid w:val="002500CB"/>
    <w:rsid w:val="00250408"/>
    <w:rsid w:val="00252213"/>
    <w:rsid w:val="00257250"/>
    <w:rsid w:val="00257DD4"/>
    <w:rsid w:val="002607A6"/>
    <w:rsid w:val="00261071"/>
    <w:rsid w:val="00261F5F"/>
    <w:rsid w:val="00262153"/>
    <w:rsid w:val="00262EBA"/>
    <w:rsid w:val="002640D9"/>
    <w:rsid w:val="002654CD"/>
    <w:rsid w:val="002662E3"/>
    <w:rsid w:val="002700EF"/>
    <w:rsid w:val="00270E4A"/>
    <w:rsid w:val="00271F7F"/>
    <w:rsid w:val="00273F99"/>
    <w:rsid w:val="002747BA"/>
    <w:rsid w:val="00275E90"/>
    <w:rsid w:val="00276E78"/>
    <w:rsid w:val="002774C8"/>
    <w:rsid w:val="00277E18"/>
    <w:rsid w:val="0028162B"/>
    <w:rsid w:val="00282C75"/>
    <w:rsid w:val="00284191"/>
    <w:rsid w:val="00294074"/>
    <w:rsid w:val="00294E7C"/>
    <w:rsid w:val="00294E82"/>
    <w:rsid w:val="00296A90"/>
    <w:rsid w:val="00296D17"/>
    <w:rsid w:val="002A1B5B"/>
    <w:rsid w:val="002A2700"/>
    <w:rsid w:val="002B264A"/>
    <w:rsid w:val="002B4ECF"/>
    <w:rsid w:val="002B4FB0"/>
    <w:rsid w:val="002B6A76"/>
    <w:rsid w:val="002B6ABC"/>
    <w:rsid w:val="002C1CF7"/>
    <w:rsid w:val="002C234A"/>
    <w:rsid w:val="002C61BB"/>
    <w:rsid w:val="002C6249"/>
    <w:rsid w:val="002C6ABF"/>
    <w:rsid w:val="002C7C67"/>
    <w:rsid w:val="002D175B"/>
    <w:rsid w:val="002D35DB"/>
    <w:rsid w:val="002D37AB"/>
    <w:rsid w:val="002D529C"/>
    <w:rsid w:val="002D5363"/>
    <w:rsid w:val="002E11C5"/>
    <w:rsid w:val="002E224D"/>
    <w:rsid w:val="002E36F6"/>
    <w:rsid w:val="002E3B40"/>
    <w:rsid w:val="002E5400"/>
    <w:rsid w:val="002E721A"/>
    <w:rsid w:val="002F062E"/>
    <w:rsid w:val="002F2FD3"/>
    <w:rsid w:val="002F42A2"/>
    <w:rsid w:val="00302138"/>
    <w:rsid w:val="003023A0"/>
    <w:rsid w:val="003027C8"/>
    <w:rsid w:val="00302CB3"/>
    <w:rsid w:val="003042AF"/>
    <w:rsid w:val="003053F0"/>
    <w:rsid w:val="003072E9"/>
    <w:rsid w:val="00307F36"/>
    <w:rsid w:val="00312555"/>
    <w:rsid w:val="003125A1"/>
    <w:rsid w:val="00315AAB"/>
    <w:rsid w:val="00316BC4"/>
    <w:rsid w:val="00317665"/>
    <w:rsid w:val="003218FB"/>
    <w:rsid w:val="003251E6"/>
    <w:rsid w:val="00325D0B"/>
    <w:rsid w:val="003260A7"/>
    <w:rsid w:val="00327684"/>
    <w:rsid w:val="00330555"/>
    <w:rsid w:val="00330A50"/>
    <w:rsid w:val="00330B59"/>
    <w:rsid w:val="00330E6E"/>
    <w:rsid w:val="00331033"/>
    <w:rsid w:val="00331736"/>
    <w:rsid w:val="0033776D"/>
    <w:rsid w:val="00337E07"/>
    <w:rsid w:val="003408CE"/>
    <w:rsid w:val="0034198F"/>
    <w:rsid w:val="003461FD"/>
    <w:rsid w:val="00346A87"/>
    <w:rsid w:val="003539EE"/>
    <w:rsid w:val="00354249"/>
    <w:rsid w:val="00354D6D"/>
    <w:rsid w:val="00357C5A"/>
    <w:rsid w:val="003626E2"/>
    <w:rsid w:val="00363857"/>
    <w:rsid w:val="0036402F"/>
    <w:rsid w:val="00364388"/>
    <w:rsid w:val="003668DA"/>
    <w:rsid w:val="003670FB"/>
    <w:rsid w:val="003675BC"/>
    <w:rsid w:val="003679AE"/>
    <w:rsid w:val="003727AD"/>
    <w:rsid w:val="00372BBA"/>
    <w:rsid w:val="00374C27"/>
    <w:rsid w:val="003804C1"/>
    <w:rsid w:val="00380F5C"/>
    <w:rsid w:val="003819E0"/>
    <w:rsid w:val="003853D0"/>
    <w:rsid w:val="0038568D"/>
    <w:rsid w:val="003857EF"/>
    <w:rsid w:val="00385EC9"/>
    <w:rsid w:val="0038652B"/>
    <w:rsid w:val="00386C06"/>
    <w:rsid w:val="00386CC2"/>
    <w:rsid w:val="00387A3F"/>
    <w:rsid w:val="00391C74"/>
    <w:rsid w:val="00391E36"/>
    <w:rsid w:val="003948D6"/>
    <w:rsid w:val="003962C4"/>
    <w:rsid w:val="003A6E33"/>
    <w:rsid w:val="003A774C"/>
    <w:rsid w:val="003A7CD2"/>
    <w:rsid w:val="003B212C"/>
    <w:rsid w:val="003B2EEC"/>
    <w:rsid w:val="003B306A"/>
    <w:rsid w:val="003B4106"/>
    <w:rsid w:val="003B5452"/>
    <w:rsid w:val="003B59A0"/>
    <w:rsid w:val="003B5ADB"/>
    <w:rsid w:val="003B5D70"/>
    <w:rsid w:val="003B629D"/>
    <w:rsid w:val="003C0A6C"/>
    <w:rsid w:val="003C228E"/>
    <w:rsid w:val="003C4869"/>
    <w:rsid w:val="003C650F"/>
    <w:rsid w:val="003C66CE"/>
    <w:rsid w:val="003C6948"/>
    <w:rsid w:val="003D0747"/>
    <w:rsid w:val="003D0A12"/>
    <w:rsid w:val="003D164C"/>
    <w:rsid w:val="003D2E74"/>
    <w:rsid w:val="003D5E86"/>
    <w:rsid w:val="003D6AB9"/>
    <w:rsid w:val="003E07C8"/>
    <w:rsid w:val="003E0BE8"/>
    <w:rsid w:val="003E412C"/>
    <w:rsid w:val="003E5101"/>
    <w:rsid w:val="003E619B"/>
    <w:rsid w:val="003E6618"/>
    <w:rsid w:val="003E7D2C"/>
    <w:rsid w:val="003F27FC"/>
    <w:rsid w:val="003F2D05"/>
    <w:rsid w:val="003F31D2"/>
    <w:rsid w:val="003F489F"/>
    <w:rsid w:val="003F4BB4"/>
    <w:rsid w:val="003F6353"/>
    <w:rsid w:val="003F7EB1"/>
    <w:rsid w:val="00400423"/>
    <w:rsid w:val="004041F2"/>
    <w:rsid w:val="00404BBC"/>
    <w:rsid w:val="00405F0D"/>
    <w:rsid w:val="0040663A"/>
    <w:rsid w:val="004111DD"/>
    <w:rsid w:val="0041151B"/>
    <w:rsid w:val="00413919"/>
    <w:rsid w:val="0041662A"/>
    <w:rsid w:val="00420520"/>
    <w:rsid w:val="00420F19"/>
    <w:rsid w:val="00421529"/>
    <w:rsid w:val="00422841"/>
    <w:rsid w:val="00425AAF"/>
    <w:rsid w:val="00425DFD"/>
    <w:rsid w:val="004302F9"/>
    <w:rsid w:val="00433352"/>
    <w:rsid w:val="004373E9"/>
    <w:rsid w:val="00440A1F"/>
    <w:rsid w:val="00441361"/>
    <w:rsid w:val="00443853"/>
    <w:rsid w:val="00443E52"/>
    <w:rsid w:val="00444204"/>
    <w:rsid w:val="00447FA7"/>
    <w:rsid w:val="0045165D"/>
    <w:rsid w:val="004551D6"/>
    <w:rsid w:val="0045648D"/>
    <w:rsid w:val="004570AE"/>
    <w:rsid w:val="00461B31"/>
    <w:rsid w:val="004638EB"/>
    <w:rsid w:val="004651D5"/>
    <w:rsid w:val="00466487"/>
    <w:rsid w:val="00466776"/>
    <w:rsid w:val="00467E20"/>
    <w:rsid w:val="004726DC"/>
    <w:rsid w:val="004735DC"/>
    <w:rsid w:val="0048071D"/>
    <w:rsid w:val="004811B1"/>
    <w:rsid w:val="00483807"/>
    <w:rsid w:val="00484F8D"/>
    <w:rsid w:val="004859E7"/>
    <w:rsid w:val="0048663C"/>
    <w:rsid w:val="00490FE9"/>
    <w:rsid w:val="00491216"/>
    <w:rsid w:val="00491392"/>
    <w:rsid w:val="00492E35"/>
    <w:rsid w:val="004930E2"/>
    <w:rsid w:val="00494652"/>
    <w:rsid w:val="00495132"/>
    <w:rsid w:val="0049616D"/>
    <w:rsid w:val="00497784"/>
    <w:rsid w:val="004A0240"/>
    <w:rsid w:val="004A0C94"/>
    <w:rsid w:val="004A1651"/>
    <w:rsid w:val="004A30F5"/>
    <w:rsid w:val="004A63F0"/>
    <w:rsid w:val="004B0C0C"/>
    <w:rsid w:val="004B1AE5"/>
    <w:rsid w:val="004B2C33"/>
    <w:rsid w:val="004B2F3F"/>
    <w:rsid w:val="004B5901"/>
    <w:rsid w:val="004B6518"/>
    <w:rsid w:val="004B69BC"/>
    <w:rsid w:val="004C129A"/>
    <w:rsid w:val="004C289C"/>
    <w:rsid w:val="004C4FE3"/>
    <w:rsid w:val="004D2D92"/>
    <w:rsid w:val="004D4815"/>
    <w:rsid w:val="004D6A07"/>
    <w:rsid w:val="004E0FE8"/>
    <w:rsid w:val="004E1C7C"/>
    <w:rsid w:val="004E24B8"/>
    <w:rsid w:val="004E3377"/>
    <w:rsid w:val="004E3D80"/>
    <w:rsid w:val="004E3EF8"/>
    <w:rsid w:val="004E79C3"/>
    <w:rsid w:val="004F42E2"/>
    <w:rsid w:val="004F4524"/>
    <w:rsid w:val="004F4F50"/>
    <w:rsid w:val="00500860"/>
    <w:rsid w:val="00501D80"/>
    <w:rsid w:val="00502F62"/>
    <w:rsid w:val="00510F83"/>
    <w:rsid w:val="0051235A"/>
    <w:rsid w:val="005131D9"/>
    <w:rsid w:val="00516399"/>
    <w:rsid w:val="0052064B"/>
    <w:rsid w:val="00524303"/>
    <w:rsid w:val="00524443"/>
    <w:rsid w:val="005269A3"/>
    <w:rsid w:val="00526DD0"/>
    <w:rsid w:val="00530882"/>
    <w:rsid w:val="00531602"/>
    <w:rsid w:val="0053295A"/>
    <w:rsid w:val="0053299C"/>
    <w:rsid w:val="00533D90"/>
    <w:rsid w:val="00537432"/>
    <w:rsid w:val="00542C64"/>
    <w:rsid w:val="005438FE"/>
    <w:rsid w:val="005439E6"/>
    <w:rsid w:val="00544231"/>
    <w:rsid w:val="00546425"/>
    <w:rsid w:val="0054664E"/>
    <w:rsid w:val="00551014"/>
    <w:rsid w:val="00551348"/>
    <w:rsid w:val="00552B24"/>
    <w:rsid w:val="005530FF"/>
    <w:rsid w:val="0055440B"/>
    <w:rsid w:val="00555E7F"/>
    <w:rsid w:val="00555F29"/>
    <w:rsid w:val="00556139"/>
    <w:rsid w:val="00557795"/>
    <w:rsid w:val="00562A7D"/>
    <w:rsid w:val="0056713F"/>
    <w:rsid w:val="005701AD"/>
    <w:rsid w:val="0057031B"/>
    <w:rsid w:val="0057033A"/>
    <w:rsid w:val="0057037E"/>
    <w:rsid w:val="00572343"/>
    <w:rsid w:val="005727D7"/>
    <w:rsid w:val="00572F13"/>
    <w:rsid w:val="00577FF5"/>
    <w:rsid w:val="005805BC"/>
    <w:rsid w:val="005816D7"/>
    <w:rsid w:val="00582B65"/>
    <w:rsid w:val="00585B84"/>
    <w:rsid w:val="00587020"/>
    <w:rsid w:val="005919CE"/>
    <w:rsid w:val="00592A5F"/>
    <w:rsid w:val="00596450"/>
    <w:rsid w:val="00596AB6"/>
    <w:rsid w:val="0059781B"/>
    <w:rsid w:val="005A193A"/>
    <w:rsid w:val="005A2892"/>
    <w:rsid w:val="005A4C43"/>
    <w:rsid w:val="005A5741"/>
    <w:rsid w:val="005A6108"/>
    <w:rsid w:val="005A7D98"/>
    <w:rsid w:val="005B15E8"/>
    <w:rsid w:val="005B2BB0"/>
    <w:rsid w:val="005B3D35"/>
    <w:rsid w:val="005B7E07"/>
    <w:rsid w:val="005C01A9"/>
    <w:rsid w:val="005C12AD"/>
    <w:rsid w:val="005C20E5"/>
    <w:rsid w:val="005C3A67"/>
    <w:rsid w:val="005C56C0"/>
    <w:rsid w:val="005C7D74"/>
    <w:rsid w:val="005D1A6A"/>
    <w:rsid w:val="005D6371"/>
    <w:rsid w:val="005D721F"/>
    <w:rsid w:val="005E2963"/>
    <w:rsid w:val="005E3305"/>
    <w:rsid w:val="005E49EB"/>
    <w:rsid w:val="005F23F9"/>
    <w:rsid w:val="005F2445"/>
    <w:rsid w:val="005F3ABB"/>
    <w:rsid w:val="005F6E36"/>
    <w:rsid w:val="005F703D"/>
    <w:rsid w:val="0060234C"/>
    <w:rsid w:val="00605089"/>
    <w:rsid w:val="00606F3D"/>
    <w:rsid w:val="00607671"/>
    <w:rsid w:val="00610790"/>
    <w:rsid w:val="00611B34"/>
    <w:rsid w:val="0061393B"/>
    <w:rsid w:val="0061475F"/>
    <w:rsid w:val="00614A73"/>
    <w:rsid w:val="00614AAD"/>
    <w:rsid w:val="00614F38"/>
    <w:rsid w:val="00617341"/>
    <w:rsid w:val="00620732"/>
    <w:rsid w:val="00621B75"/>
    <w:rsid w:val="00622B16"/>
    <w:rsid w:val="0062529F"/>
    <w:rsid w:val="00626053"/>
    <w:rsid w:val="00626D1A"/>
    <w:rsid w:val="0062749E"/>
    <w:rsid w:val="00627593"/>
    <w:rsid w:val="00630B60"/>
    <w:rsid w:val="006314E2"/>
    <w:rsid w:val="00631C59"/>
    <w:rsid w:val="00634A1B"/>
    <w:rsid w:val="00634DB9"/>
    <w:rsid w:val="0063566C"/>
    <w:rsid w:val="0063621D"/>
    <w:rsid w:val="00641621"/>
    <w:rsid w:val="006437E9"/>
    <w:rsid w:val="00646EEF"/>
    <w:rsid w:val="006516A2"/>
    <w:rsid w:val="00652EBD"/>
    <w:rsid w:val="006539B1"/>
    <w:rsid w:val="00653B3B"/>
    <w:rsid w:val="00655A75"/>
    <w:rsid w:val="00656E7D"/>
    <w:rsid w:val="006577ED"/>
    <w:rsid w:val="00665040"/>
    <w:rsid w:val="00665429"/>
    <w:rsid w:val="00665E6D"/>
    <w:rsid w:val="00666480"/>
    <w:rsid w:val="00672129"/>
    <w:rsid w:val="0067300A"/>
    <w:rsid w:val="006745B7"/>
    <w:rsid w:val="0067612C"/>
    <w:rsid w:val="006814CC"/>
    <w:rsid w:val="006826A6"/>
    <w:rsid w:val="006843B4"/>
    <w:rsid w:val="00684571"/>
    <w:rsid w:val="0068598D"/>
    <w:rsid w:val="0068651F"/>
    <w:rsid w:val="00686E83"/>
    <w:rsid w:val="006870B0"/>
    <w:rsid w:val="0069030A"/>
    <w:rsid w:val="00692E1D"/>
    <w:rsid w:val="00694DC1"/>
    <w:rsid w:val="00695209"/>
    <w:rsid w:val="00695242"/>
    <w:rsid w:val="006978FC"/>
    <w:rsid w:val="006A0299"/>
    <w:rsid w:val="006A0595"/>
    <w:rsid w:val="006A0C6E"/>
    <w:rsid w:val="006A1718"/>
    <w:rsid w:val="006A261A"/>
    <w:rsid w:val="006A4903"/>
    <w:rsid w:val="006A694C"/>
    <w:rsid w:val="006A6AD8"/>
    <w:rsid w:val="006A7340"/>
    <w:rsid w:val="006A7824"/>
    <w:rsid w:val="006A7D0B"/>
    <w:rsid w:val="006B05E5"/>
    <w:rsid w:val="006B09E4"/>
    <w:rsid w:val="006B1EA1"/>
    <w:rsid w:val="006B45DD"/>
    <w:rsid w:val="006B460E"/>
    <w:rsid w:val="006B5C11"/>
    <w:rsid w:val="006B63C8"/>
    <w:rsid w:val="006B6496"/>
    <w:rsid w:val="006B73F1"/>
    <w:rsid w:val="006B7AAD"/>
    <w:rsid w:val="006C0CCD"/>
    <w:rsid w:val="006C1DF6"/>
    <w:rsid w:val="006C215F"/>
    <w:rsid w:val="006C2BC6"/>
    <w:rsid w:val="006C37E7"/>
    <w:rsid w:val="006C6D33"/>
    <w:rsid w:val="006D1046"/>
    <w:rsid w:val="006D3874"/>
    <w:rsid w:val="006D6455"/>
    <w:rsid w:val="006D7ACC"/>
    <w:rsid w:val="006D7C6D"/>
    <w:rsid w:val="006E23BC"/>
    <w:rsid w:val="006E258A"/>
    <w:rsid w:val="006E3120"/>
    <w:rsid w:val="006E3312"/>
    <w:rsid w:val="006E3369"/>
    <w:rsid w:val="006E4BC8"/>
    <w:rsid w:val="006E5E4C"/>
    <w:rsid w:val="006F40D5"/>
    <w:rsid w:val="006F4B62"/>
    <w:rsid w:val="006F76E1"/>
    <w:rsid w:val="006F7809"/>
    <w:rsid w:val="00700EAF"/>
    <w:rsid w:val="00703FD6"/>
    <w:rsid w:val="00704C57"/>
    <w:rsid w:val="007109E7"/>
    <w:rsid w:val="0071113B"/>
    <w:rsid w:val="0071151B"/>
    <w:rsid w:val="00711C5D"/>
    <w:rsid w:val="00716DE7"/>
    <w:rsid w:val="0072078B"/>
    <w:rsid w:val="0072181A"/>
    <w:rsid w:val="007218D4"/>
    <w:rsid w:val="007226A6"/>
    <w:rsid w:val="00722AE8"/>
    <w:rsid w:val="00723F24"/>
    <w:rsid w:val="00724239"/>
    <w:rsid w:val="00724BC7"/>
    <w:rsid w:val="007259D5"/>
    <w:rsid w:val="00727485"/>
    <w:rsid w:val="00730409"/>
    <w:rsid w:val="007337A1"/>
    <w:rsid w:val="00734A90"/>
    <w:rsid w:val="00735B9C"/>
    <w:rsid w:val="0073684E"/>
    <w:rsid w:val="00737143"/>
    <w:rsid w:val="0074072C"/>
    <w:rsid w:val="00741AC9"/>
    <w:rsid w:val="00742310"/>
    <w:rsid w:val="0074308C"/>
    <w:rsid w:val="00743C4D"/>
    <w:rsid w:val="007449ED"/>
    <w:rsid w:val="007450F9"/>
    <w:rsid w:val="007500F0"/>
    <w:rsid w:val="00750273"/>
    <w:rsid w:val="007513BD"/>
    <w:rsid w:val="007522E3"/>
    <w:rsid w:val="007529BA"/>
    <w:rsid w:val="00755242"/>
    <w:rsid w:val="007554A7"/>
    <w:rsid w:val="0076105D"/>
    <w:rsid w:val="00761511"/>
    <w:rsid w:val="007622CB"/>
    <w:rsid w:val="00762A81"/>
    <w:rsid w:val="007656AD"/>
    <w:rsid w:val="00765DBC"/>
    <w:rsid w:val="007676EF"/>
    <w:rsid w:val="00774E5D"/>
    <w:rsid w:val="00775436"/>
    <w:rsid w:val="0077652F"/>
    <w:rsid w:val="00777C21"/>
    <w:rsid w:val="00780539"/>
    <w:rsid w:val="007806D7"/>
    <w:rsid w:val="00781BA3"/>
    <w:rsid w:val="007821D3"/>
    <w:rsid w:val="007827C4"/>
    <w:rsid w:val="00783280"/>
    <w:rsid w:val="0078374D"/>
    <w:rsid w:val="00783E57"/>
    <w:rsid w:val="007840BE"/>
    <w:rsid w:val="00784868"/>
    <w:rsid w:val="00790C04"/>
    <w:rsid w:val="00792B1A"/>
    <w:rsid w:val="00793007"/>
    <w:rsid w:val="007947B8"/>
    <w:rsid w:val="007954AB"/>
    <w:rsid w:val="00795D48"/>
    <w:rsid w:val="007974A9"/>
    <w:rsid w:val="00797CE1"/>
    <w:rsid w:val="007A2325"/>
    <w:rsid w:val="007A2C82"/>
    <w:rsid w:val="007A6706"/>
    <w:rsid w:val="007A6A56"/>
    <w:rsid w:val="007A6F6F"/>
    <w:rsid w:val="007A7792"/>
    <w:rsid w:val="007B0E2A"/>
    <w:rsid w:val="007B37AB"/>
    <w:rsid w:val="007B614D"/>
    <w:rsid w:val="007B76F6"/>
    <w:rsid w:val="007C02BE"/>
    <w:rsid w:val="007C0E0C"/>
    <w:rsid w:val="007C3D03"/>
    <w:rsid w:val="007C4B9C"/>
    <w:rsid w:val="007C6887"/>
    <w:rsid w:val="007C6CD2"/>
    <w:rsid w:val="007C74B4"/>
    <w:rsid w:val="007D0054"/>
    <w:rsid w:val="007D3181"/>
    <w:rsid w:val="007D49B2"/>
    <w:rsid w:val="007D59CD"/>
    <w:rsid w:val="007D5CD5"/>
    <w:rsid w:val="007D69C2"/>
    <w:rsid w:val="007E25CB"/>
    <w:rsid w:val="007E2D6E"/>
    <w:rsid w:val="007E3990"/>
    <w:rsid w:val="007E72D4"/>
    <w:rsid w:val="007E7678"/>
    <w:rsid w:val="007E7854"/>
    <w:rsid w:val="007F09E1"/>
    <w:rsid w:val="007F1969"/>
    <w:rsid w:val="007F1E46"/>
    <w:rsid w:val="007F2251"/>
    <w:rsid w:val="007F2580"/>
    <w:rsid w:val="007F25C7"/>
    <w:rsid w:val="007F441A"/>
    <w:rsid w:val="007F5EE5"/>
    <w:rsid w:val="007F61D7"/>
    <w:rsid w:val="007F777B"/>
    <w:rsid w:val="007F7AD1"/>
    <w:rsid w:val="00800BD6"/>
    <w:rsid w:val="00800F76"/>
    <w:rsid w:val="008011D6"/>
    <w:rsid w:val="008013C7"/>
    <w:rsid w:val="008028B0"/>
    <w:rsid w:val="00803E2D"/>
    <w:rsid w:val="00804BFE"/>
    <w:rsid w:val="00805592"/>
    <w:rsid w:val="00807340"/>
    <w:rsid w:val="00810FBE"/>
    <w:rsid w:val="00811C7B"/>
    <w:rsid w:val="008163BB"/>
    <w:rsid w:val="00820049"/>
    <w:rsid w:val="00821AAF"/>
    <w:rsid w:val="00821CC2"/>
    <w:rsid w:val="008237F8"/>
    <w:rsid w:val="00825D03"/>
    <w:rsid w:val="008277D6"/>
    <w:rsid w:val="00827930"/>
    <w:rsid w:val="00830A59"/>
    <w:rsid w:val="00831A8F"/>
    <w:rsid w:val="00832AD8"/>
    <w:rsid w:val="008373F3"/>
    <w:rsid w:val="00837455"/>
    <w:rsid w:val="00837CC7"/>
    <w:rsid w:val="00840698"/>
    <w:rsid w:val="00842C13"/>
    <w:rsid w:val="00845145"/>
    <w:rsid w:val="0084516D"/>
    <w:rsid w:val="00846301"/>
    <w:rsid w:val="0084656D"/>
    <w:rsid w:val="00852F2B"/>
    <w:rsid w:val="008548A1"/>
    <w:rsid w:val="008548FC"/>
    <w:rsid w:val="00855004"/>
    <w:rsid w:val="0086295C"/>
    <w:rsid w:val="008649C0"/>
    <w:rsid w:val="00864B05"/>
    <w:rsid w:val="00865A0F"/>
    <w:rsid w:val="008660C5"/>
    <w:rsid w:val="008667F9"/>
    <w:rsid w:val="00866E80"/>
    <w:rsid w:val="00866EEB"/>
    <w:rsid w:val="00866F51"/>
    <w:rsid w:val="00867C92"/>
    <w:rsid w:val="00870749"/>
    <w:rsid w:val="00870C13"/>
    <w:rsid w:val="008710FF"/>
    <w:rsid w:val="00871269"/>
    <w:rsid w:val="00872702"/>
    <w:rsid w:val="00873BDD"/>
    <w:rsid w:val="00874B41"/>
    <w:rsid w:val="00881E55"/>
    <w:rsid w:val="00883A3C"/>
    <w:rsid w:val="00884BE0"/>
    <w:rsid w:val="0088548E"/>
    <w:rsid w:val="00885D44"/>
    <w:rsid w:val="008877FE"/>
    <w:rsid w:val="00887BC2"/>
    <w:rsid w:val="00890003"/>
    <w:rsid w:val="0089528C"/>
    <w:rsid w:val="00895B62"/>
    <w:rsid w:val="008971DD"/>
    <w:rsid w:val="00897327"/>
    <w:rsid w:val="00897AEF"/>
    <w:rsid w:val="008A1531"/>
    <w:rsid w:val="008A1556"/>
    <w:rsid w:val="008A1E2A"/>
    <w:rsid w:val="008A2BD9"/>
    <w:rsid w:val="008A33AD"/>
    <w:rsid w:val="008A355D"/>
    <w:rsid w:val="008A59D2"/>
    <w:rsid w:val="008A60B5"/>
    <w:rsid w:val="008A6A60"/>
    <w:rsid w:val="008B0AD5"/>
    <w:rsid w:val="008B13D8"/>
    <w:rsid w:val="008B41C2"/>
    <w:rsid w:val="008B453B"/>
    <w:rsid w:val="008B5F72"/>
    <w:rsid w:val="008B660E"/>
    <w:rsid w:val="008B7535"/>
    <w:rsid w:val="008B79E4"/>
    <w:rsid w:val="008C2922"/>
    <w:rsid w:val="008C3273"/>
    <w:rsid w:val="008C38F1"/>
    <w:rsid w:val="008C7291"/>
    <w:rsid w:val="008D2234"/>
    <w:rsid w:val="008D3A8A"/>
    <w:rsid w:val="008E1C68"/>
    <w:rsid w:val="008E2146"/>
    <w:rsid w:val="008E3C78"/>
    <w:rsid w:val="008E4C40"/>
    <w:rsid w:val="008E6359"/>
    <w:rsid w:val="008E69EF"/>
    <w:rsid w:val="008E6F07"/>
    <w:rsid w:val="008F1097"/>
    <w:rsid w:val="008F10A1"/>
    <w:rsid w:val="008F1CB6"/>
    <w:rsid w:val="008F2779"/>
    <w:rsid w:val="008F594F"/>
    <w:rsid w:val="009019EB"/>
    <w:rsid w:val="0090292B"/>
    <w:rsid w:val="00905103"/>
    <w:rsid w:val="00906323"/>
    <w:rsid w:val="00912D37"/>
    <w:rsid w:val="00912FC6"/>
    <w:rsid w:val="0091403B"/>
    <w:rsid w:val="009159E6"/>
    <w:rsid w:val="00917B30"/>
    <w:rsid w:val="009212A0"/>
    <w:rsid w:val="00923C70"/>
    <w:rsid w:val="009244C2"/>
    <w:rsid w:val="0092460F"/>
    <w:rsid w:val="009250EC"/>
    <w:rsid w:val="00930793"/>
    <w:rsid w:val="00932D58"/>
    <w:rsid w:val="009333B3"/>
    <w:rsid w:val="00935337"/>
    <w:rsid w:val="0093569A"/>
    <w:rsid w:val="009367D8"/>
    <w:rsid w:val="009368EA"/>
    <w:rsid w:val="00936AC0"/>
    <w:rsid w:val="009417C4"/>
    <w:rsid w:val="009431A2"/>
    <w:rsid w:val="0094343E"/>
    <w:rsid w:val="00943896"/>
    <w:rsid w:val="00943EA9"/>
    <w:rsid w:val="00944630"/>
    <w:rsid w:val="00945D81"/>
    <w:rsid w:val="00945FFA"/>
    <w:rsid w:val="00946311"/>
    <w:rsid w:val="00946A86"/>
    <w:rsid w:val="0095077E"/>
    <w:rsid w:val="00951E0F"/>
    <w:rsid w:val="00952814"/>
    <w:rsid w:val="00952E2D"/>
    <w:rsid w:val="00953C07"/>
    <w:rsid w:val="0095728B"/>
    <w:rsid w:val="00960D74"/>
    <w:rsid w:val="00961F2C"/>
    <w:rsid w:val="00964074"/>
    <w:rsid w:val="00966185"/>
    <w:rsid w:val="00967917"/>
    <w:rsid w:val="00970B8C"/>
    <w:rsid w:val="00972F05"/>
    <w:rsid w:val="00977757"/>
    <w:rsid w:val="0098113F"/>
    <w:rsid w:val="009816D9"/>
    <w:rsid w:val="009823A4"/>
    <w:rsid w:val="00990CE7"/>
    <w:rsid w:val="009919DC"/>
    <w:rsid w:val="00994FD8"/>
    <w:rsid w:val="009A186A"/>
    <w:rsid w:val="009A3081"/>
    <w:rsid w:val="009A5ECB"/>
    <w:rsid w:val="009A65F3"/>
    <w:rsid w:val="009A69D2"/>
    <w:rsid w:val="009B009E"/>
    <w:rsid w:val="009B01C4"/>
    <w:rsid w:val="009B0438"/>
    <w:rsid w:val="009B20CD"/>
    <w:rsid w:val="009B5C3E"/>
    <w:rsid w:val="009B64D4"/>
    <w:rsid w:val="009B7085"/>
    <w:rsid w:val="009B76F8"/>
    <w:rsid w:val="009C3819"/>
    <w:rsid w:val="009C51EA"/>
    <w:rsid w:val="009C5DA7"/>
    <w:rsid w:val="009D0B26"/>
    <w:rsid w:val="009D4901"/>
    <w:rsid w:val="009D6253"/>
    <w:rsid w:val="009D691A"/>
    <w:rsid w:val="009D72F8"/>
    <w:rsid w:val="009D7FE8"/>
    <w:rsid w:val="009E2A09"/>
    <w:rsid w:val="009E2B68"/>
    <w:rsid w:val="009E2C0B"/>
    <w:rsid w:val="009E514D"/>
    <w:rsid w:val="009E6F6B"/>
    <w:rsid w:val="009F5B90"/>
    <w:rsid w:val="009F5D9A"/>
    <w:rsid w:val="009F5F90"/>
    <w:rsid w:val="009F6952"/>
    <w:rsid w:val="00A01E6F"/>
    <w:rsid w:val="00A043C7"/>
    <w:rsid w:val="00A05C39"/>
    <w:rsid w:val="00A06045"/>
    <w:rsid w:val="00A07DA0"/>
    <w:rsid w:val="00A11FE2"/>
    <w:rsid w:val="00A148CC"/>
    <w:rsid w:val="00A14F15"/>
    <w:rsid w:val="00A17115"/>
    <w:rsid w:val="00A20925"/>
    <w:rsid w:val="00A2162F"/>
    <w:rsid w:val="00A2211A"/>
    <w:rsid w:val="00A24503"/>
    <w:rsid w:val="00A24845"/>
    <w:rsid w:val="00A26D8B"/>
    <w:rsid w:val="00A3064A"/>
    <w:rsid w:val="00A32E82"/>
    <w:rsid w:val="00A338F3"/>
    <w:rsid w:val="00A36882"/>
    <w:rsid w:val="00A36979"/>
    <w:rsid w:val="00A37061"/>
    <w:rsid w:val="00A40632"/>
    <w:rsid w:val="00A4102D"/>
    <w:rsid w:val="00A426BD"/>
    <w:rsid w:val="00A4307F"/>
    <w:rsid w:val="00A444A6"/>
    <w:rsid w:val="00A4498A"/>
    <w:rsid w:val="00A453A9"/>
    <w:rsid w:val="00A46FD8"/>
    <w:rsid w:val="00A4726E"/>
    <w:rsid w:val="00A5283D"/>
    <w:rsid w:val="00A550C3"/>
    <w:rsid w:val="00A55A48"/>
    <w:rsid w:val="00A56D9D"/>
    <w:rsid w:val="00A626D3"/>
    <w:rsid w:val="00A63D50"/>
    <w:rsid w:val="00A64CB0"/>
    <w:rsid w:val="00A70EE6"/>
    <w:rsid w:val="00A74ABE"/>
    <w:rsid w:val="00A75348"/>
    <w:rsid w:val="00A75613"/>
    <w:rsid w:val="00A75A87"/>
    <w:rsid w:val="00A80097"/>
    <w:rsid w:val="00A81499"/>
    <w:rsid w:val="00A84460"/>
    <w:rsid w:val="00A84932"/>
    <w:rsid w:val="00A8517D"/>
    <w:rsid w:val="00A85778"/>
    <w:rsid w:val="00A862E3"/>
    <w:rsid w:val="00A86740"/>
    <w:rsid w:val="00A86889"/>
    <w:rsid w:val="00A8697F"/>
    <w:rsid w:val="00A872CC"/>
    <w:rsid w:val="00A96D6E"/>
    <w:rsid w:val="00AA1C53"/>
    <w:rsid w:val="00AA393B"/>
    <w:rsid w:val="00AA63A5"/>
    <w:rsid w:val="00AA6B1E"/>
    <w:rsid w:val="00AB1E26"/>
    <w:rsid w:val="00AB2740"/>
    <w:rsid w:val="00AB378C"/>
    <w:rsid w:val="00AB3821"/>
    <w:rsid w:val="00AB4F5B"/>
    <w:rsid w:val="00AB7A33"/>
    <w:rsid w:val="00AB7A8F"/>
    <w:rsid w:val="00AC2862"/>
    <w:rsid w:val="00AC2DE8"/>
    <w:rsid w:val="00AC304C"/>
    <w:rsid w:val="00AC31ED"/>
    <w:rsid w:val="00AC36BF"/>
    <w:rsid w:val="00AC404C"/>
    <w:rsid w:val="00AC61C3"/>
    <w:rsid w:val="00AD0027"/>
    <w:rsid w:val="00AD0EF5"/>
    <w:rsid w:val="00AD19EC"/>
    <w:rsid w:val="00AD31D2"/>
    <w:rsid w:val="00AD49BA"/>
    <w:rsid w:val="00AD4C91"/>
    <w:rsid w:val="00AD5899"/>
    <w:rsid w:val="00AD6E26"/>
    <w:rsid w:val="00AD7547"/>
    <w:rsid w:val="00AE22C5"/>
    <w:rsid w:val="00AE3C36"/>
    <w:rsid w:val="00AE768A"/>
    <w:rsid w:val="00AF2AA3"/>
    <w:rsid w:val="00AF2B6B"/>
    <w:rsid w:val="00AF4AB2"/>
    <w:rsid w:val="00AF4E96"/>
    <w:rsid w:val="00B007D7"/>
    <w:rsid w:val="00B00D42"/>
    <w:rsid w:val="00B00EB5"/>
    <w:rsid w:val="00B037D5"/>
    <w:rsid w:val="00B0612A"/>
    <w:rsid w:val="00B06472"/>
    <w:rsid w:val="00B100D6"/>
    <w:rsid w:val="00B10115"/>
    <w:rsid w:val="00B11963"/>
    <w:rsid w:val="00B12065"/>
    <w:rsid w:val="00B12838"/>
    <w:rsid w:val="00B1518D"/>
    <w:rsid w:val="00B17567"/>
    <w:rsid w:val="00B21287"/>
    <w:rsid w:val="00B23557"/>
    <w:rsid w:val="00B26604"/>
    <w:rsid w:val="00B268A9"/>
    <w:rsid w:val="00B303BD"/>
    <w:rsid w:val="00B35796"/>
    <w:rsid w:val="00B445F0"/>
    <w:rsid w:val="00B502EE"/>
    <w:rsid w:val="00B53295"/>
    <w:rsid w:val="00B53D7D"/>
    <w:rsid w:val="00B5405A"/>
    <w:rsid w:val="00B54170"/>
    <w:rsid w:val="00B54D14"/>
    <w:rsid w:val="00B555D9"/>
    <w:rsid w:val="00B61470"/>
    <w:rsid w:val="00B61D11"/>
    <w:rsid w:val="00B6462C"/>
    <w:rsid w:val="00B67995"/>
    <w:rsid w:val="00B702A6"/>
    <w:rsid w:val="00B70D19"/>
    <w:rsid w:val="00B726DA"/>
    <w:rsid w:val="00B75B3B"/>
    <w:rsid w:val="00B76D85"/>
    <w:rsid w:val="00B80CA1"/>
    <w:rsid w:val="00B81B48"/>
    <w:rsid w:val="00B8295E"/>
    <w:rsid w:val="00B84291"/>
    <w:rsid w:val="00B86491"/>
    <w:rsid w:val="00B86F9E"/>
    <w:rsid w:val="00B908EB"/>
    <w:rsid w:val="00B9114A"/>
    <w:rsid w:val="00B9306B"/>
    <w:rsid w:val="00B931B0"/>
    <w:rsid w:val="00B96328"/>
    <w:rsid w:val="00B97923"/>
    <w:rsid w:val="00B97C72"/>
    <w:rsid w:val="00BA772B"/>
    <w:rsid w:val="00BA7BC8"/>
    <w:rsid w:val="00BB0E5B"/>
    <w:rsid w:val="00BB0FDF"/>
    <w:rsid w:val="00BB50B2"/>
    <w:rsid w:val="00BC14DF"/>
    <w:rsid w:val="00BC3091"/>
    <w:rsid w:val="00BC34DF"/>
    <w:rsid w:val="00BC4041"/>
    <w:rsid w:val="00BC597F"/>
    <w:rsid w:val="00BC6902"/>
    <w:rsid w:val="00BC7672"/>
    <w:rsid w:val="00BC7920"/>
    <w:rsid w:val="00BD0940"/>
    <w:rsid w:val="00BD2E0D"/>
    <w:rsid w:val="00BD2EB6"/>
    <w:rsid w:val="00BD34A9"/>
    <w:rsid w:val="00BD392F"/>
    <w:rsid w:val="00BD63DF"/>
    <w:rsid w:val="00BD75C4"/>
    <w:rsid w:val="00BE0677"/>
    <w:rsid w:val="00BE52B1"/>
    <w:rsid w:val="00BE56AC"/>
    <w:rsid w:val="00BE710B"/>
    <w:rsid w:val="00BE7750"/>
    <w:rsid w:val="00BF0154"/>
    <w:rsid w:val="00BF1A20"/>
    <w:rsid w:val="00BF22D0"/>
    <w:rsid w:val="00BF235E"/>
    <w:rsid w:val="00BF43E1"/>
    <w:rsid w:val="00BF471E"/>
    <w:rsid w:val="00C0059A"/>
    <w:rsid w:val="00C01716"/>
    <w:rsid w:val="00C039A8"/>
    <w:rsid w:val="00C04D04"/>
    <w:rsid w:val="00C07711"/>
    <w:rsid w:val="00C103F1"/>
    <w:rsid w:val="00C11CD2"/>
    <w:rsid w:val="00C17418"/>
    <w:rsid w:val="00C17EFB"/>
    <w:rsid w:val="00C219E4"/>
    <w:rsid w:val="00C263CC"/>
    <w:rsid w:val="00C322DC"/>
    <w:rsid w:val="00C324C0"/>
    <w:rsid w:val="00C40B5B"/>
    <w:rsid w:val="00C46D1C"/>
    <w:rsid w:val="00C47E52"/>
    <w:rsid w:val="00C50FE2"/>
    <w:rsid w:val="00C51021"/>
    <w:rsid w:val="00C52552"/>
    <w:rsid w:val="00C52A6E"/>
    <w:rsid w:val="00C53B4A"/>
    <w:rsid w:val="00C54124"/>
    <w:rsid w:val="00C556B2"/>
    <w:rsid w:val="00C5638B"/>
    <w:rsid w:val="00C60642"/>
    <w:rsid w:val="00C608F8"/>
    <w:rsid w:val="00C61919"/>
    <w:rsid w:val="00C657FB"/>
    <w:rsid w:val="00C66BD4"/>
    <w:rsid w:val="00C71966"/>
    <w:rsid w:val="00C72522"/>
    <w:rsid w:val="00C7462C"/>
    <w:rsid w:val="00C75B7E"/>
    <w:rsid w:val="00C76E86"/>
    <w:rsid w:val="00C775F1"/>
    <w:rsid w:val="00C81305"/>
    <w:rsid w:val="00C813D6"/>
    <w:rsid w:val="00C81D43"/>
    <w:rsid w:val="00C858EC"/>
    <w:rsid w:val="00C90E96"/>
    <w:rsid w:val="00C91328"/>
    <w:rsid w:val="00C939F3"/>
    <w:rsid w:val="00C95FA8"/>
    <w:rsid w:val="00C97816"/>
    <w:rsid w:val="00C97FC8"/>
    <w:rsid w:val="00CA06E6"/>
    <w:rsid w:val="00CA2DD6"/>
    <w:rsid w:val="00CA3A4A"/>
    <w:rsid w:val="00CA5031"/>
    <w:rsid w:val="00CA6D02"/>
    <w:rsid w:val="00CA7844"/>
    <w:rsid w:val="00CB70EB"/>
    <w:rsid w:val="00CB7609"/>
    <w:rsid w:val="00CC006B"/>
    <w:rsid w:val="00CC225C"/>
    <w:rsid w:val="00CC5EA2"/>
    <w:rsid w:val="00CC7253"/>
    <w:rsid w:val="00CD0DEC"/>
    <w:rsid w:val="00CD1DE4"/>
    <w:rsid w:val="00CD2539"/>
    <w:rsid w:val="00CD33C7"/>
    <w:rsid w:val="00CD4CD8"/>
    <w:rsid w:val="00CD5210"/>
    <w:rsid w:val="00CD6908"/>
    <w:rsid w:val="00CD6CF0"/>
    <w:rsid w:val="00CD74BA"/>
    <w:rsid w:val="00CE3E52"/>
    <w:rsid w:val="00CE48D0"/>
    <w:rsid w:val="00CF0C4F"/>
    <w:rsid w:val="00CF1DC1"/>
    <w:rsid w:val="00CF47D9"/>
    <w:rsid w:val="00CF4EB2"/>
    <w:rsid w:val="00CF4F20"/>
    <w:rsid w:val="00CF5FB7"/>
    <w:rsid w:val="00CF6F3B"/>
    <w:rsid w:val="00D00B60"/>
    <w:rsid w:val="00D0203A"/>
    <w:rsid w:val="00D03785"/>
    <w:rsid w:val="00D057C9"/>
    <w:rsid w:val="00D06247"/>
    <w:rsid w:val="00D06287"/>
    <w:rsid w:val="00D06645"/>
    <w:rsid w:val="00D0665B"/>
    <w:rsid w:val="00D0766C"/>
    <w:rsid w:val="00D077A1"/>
    <w:rsid w:val="00D10773"/>
    <w:rsid w:val="00D11F1B"/>
    <w:rsid w:val="00D12C2E"/>
    <w:rsid w:val="00D12F7B"/>
    <w:rsid w:val="00D161E1"/>
    <w:rsid w:val="00D174AE"/>
    <w:rsid w:val="00D2119B"/>
    <w:rsid w:val="00D22CD3"/>
    <w:rsid w:val="00D24B0F"/>
    <w:rsid w:val="00D2523E"/>
    <w:rsid w:val="00D25CD8"/>
    <w:rsid w:val="00D25D1F"/>
    <w:rsid w:val="00D2646C"/>
    <w:rsid w:val="00D266F6"/>
    <w:rsid w:val="00D26856"/>
    <w:rsid w:val="00D30B48"/>
    <w:rsid w:val="00D30EA3"/>
    <w:rsid w:val="00D323E0"/>
    <w:rsid w:val="00D32A28"/>
    <w:rsid w:val="00D335CE"/>
    <w:rsid w:val="00D338F6"/>
    <w:rsid w:val="00D42001"/>
    <w:rsid w:val="00D422CD"/>
    <w:rsid w:val="00D43B25"/>
    <w:rsid w:val="00D4440C"/>
    <w:rsid w:val="00D46A70"/>
    <w:rsid w:val="00D46E38"/>
    <w:rsid w:val="00D508CB"/>
    <w:rsid w:val="00D51C49"/>
    <w:rsid w:val="00D5358F"/>
    <w:rsid w:val="00D5430A"/>
    <w:rsid w:val="00D54B5C"/>
    <w:rsid w:val="00D55C5F"/>
    <w:rsid w:val="00D56ADF"/>
    <w:rsid w:val="00D6613B"/>
    <w:rsid w:val="00D67089"/>
    <w:rsid w:val="00D73391"/>
    <w:rsid w:val="00D771F5"/>
    <w:rsid w:val="00D776F9"/>
    <w:rsid w:val="00D77D66"/>
    <w:rsid w:val="00D80CFB"/>
    <w:rsid w:val="00D82864"/>
    <w:rsid w:val="00D832C0"/>
    <w:rsid w:val="00D87023"/>
    <w:rsid w:val="00D92A9E"/>
    <w:rsid w:val="00D94595"/>
    <w:rsid w:val="00D94917"/>
    <w:rsid w:val="00D94C88"/>
    <w:rsid w:val="00D95119"/>
    <w:rsid w:val="00D95D54"/>
    <w:rsid w:val="00DA1A5F"/>
    <w:rsid w:val="00DA33F7"/>
    <w:rsid w:val="00DA3876"/>
    <w:rsid w:val="00DB10A6"/>
    <w:rsid w:val="00DB2053"/>
    <w:rsid w:val="00DB27FB"/>
    <w:rsid w:val="00DB3435"/>
    <w:rsid w:val="00DB4594"/>
    <w:rsid w:val="00DB4DD4"/>
    <w:rsid w:val="00DB59AB"/>
    <w:rsid w:val="00DB67EF"/>
    <w:rsid w:val="00DC0D21"/>
    <w:rsid w:val="00DC17E4"/>
    <w:rsid w:val="00DC1D36"/>
    <w:rsid w:val="00DC2676"/>
    <w:rsid w:val="00DC2FF4"/>
    <w:rsid w:val="00DC37D9"/>
    <w:rsid w:val="00DC40B0"/>
    <w:rsid w:val="00DC4660"/>
    <w:rsid w:val="00DD0B19"/>
    <w:rsid w:val="00DD21A5"/>
    <w:rsid w:val="00DD37F8"/>
    <w:rsid w:val="00DD7047"/>
    <w:rsid w:val="00DD7AEC"/>
    <w:rsid w:val="00DE1E7E"/>
    <w:rsid w:val="00DE2009"/>
    <w:rsid w:val="00DE3BE9"/>
    <w:rsid w:val="00DE42E3"/>
    <w:rsid w:val="00DE4DDC"/>
    <w:rsid w:val="00DE50BB"/>
    <w:rsid w:val="00DE59D6"/>
    <w:rsid w:val="00DE7C61"/>
    <w:rsid w:val="00DF08EC"/>
    <w:rsid w:val="00DF13EE"/>
    <w:rsid w:val="00DF2A52"/>
    <w:rsid w:val="00DF4D5C"/>
    <w:rsid w:val="00DF67D6"/>
    <w:rsid w:val="00DF6A0A"/>
    <w:rsid w:val="00DF6BE2"/>
    <w:rsid w:val="00E00B04"/>
    <w:rsid w:val="00E0288D"/>
    <w:rsid w:val="00E054C0"/>
    <w:rsid w:val="00E0677F"/>
    <w:rsid w:val="00E100EE"/>
    <w:rsid w:val="00E1013D"/>
    <w:rsid w:val="00E1162E"/>
    <w:rsid w:val="00E12C49"/>
    <w:rsid w:val="00E13C97"/>
    <w:rsid w:val="00E146E4"/>
    <w:rsid w:val="00E16155"/>
    <w:rsid w:val="00E16E8F"/>
    <w:rsid w:val="00E17099"/>
    <w:rsid w:val="00E17963"/>
    <w:rsid w:val="00E21DFF"/>
    <w:rsid w:val="00E223C9"/>
    <w:rsid w:val="00E2415E"/>
    <w:rsid w:val="00E24720"/>
    <w:rsid w:val="00E2524F"/>
    <w:rsid w:val="00E25717"/>
    <w:rsid w:val="00E30A6D"/>
    <w:rsid w:val="00E314C3"/>
    <w:rsid w:val="00E335C8"/>
    <w:rsid w:val="00E33A04"/>
    <w:rsid w:val="00E33D6A"/>
    <w:rsid w:val="00E369B4"/>
    <w:rsid w:val="00E40214"/>
    <w:rsid w:val="00E419F1"/>
    <w:rsid w:val="00E41DC1"/>
    <w:rsid w:val="00E4509D"/>
    <w:rsid w:val="00E462F9"/>
    <w:rsid w:val="00E47AD9"/>
    <w:rsid w:val="00E52083"/>
    <w:rsid w:val="00E532BA"/>
    <w:rsid w:val="00E54341"/>
    <w:rsid w:val="00E560F4"/>
    <w:rsid w:val="00E57173"/>
    <w:rsid w:val="00E57C15"/>
    <w:rsid w:val="00E62370"/>
    <w:rsid w:val="00E63231"/>
    <w:rsid w:val="00E63D14"/>
    <w:rsid w:val="00E64801"/>
    <w:rsid w:val="00E65863"/>
    <w:rsid w:val="00E70C1B"/>
    <w:rsid w:val="00E72FAB"/>
    <w:rsid w:val="00E80579"/>
    <w:rsid w:val="00E80D1B"/>
    <w:rsid w:val="00E8291C"/>
    <w:rsid w:val="00E8315F"/>
    <w:rsid w:val="00E83C51"/>
    <w:rsid w:val="00E83E73"/>
    <w:rsid w:val="00E842A4"/>
    <w:rsid w:val="00E842AB"/>
    <w:rsid w:val="00E85268"/>
    <w:rsid w:val="00E85415"/>
    <w:rsid w:val="00E85C09"/>
    <w:rsid w:val="00E85E02"/>
    <w:rsid w:val="00E8666B"/>
    <w:rsid w:val="00E86CDD"/>
    <w:rsid w:val="00E908AD"/>
    <w:rsid w:val="00E91398"/>
    <w:rsid w:val="00E932F9"/>
    <w:rsid w:val="00E9447B"/>
    <w:rsid w:val="00E94C07"/>
    <w:rsid w:val="00EA2BDC"/>
    <w:rsid w:val="00EA2D19"/>
    <w:rsid w:val="00EA316B"/>
    <w:rsid w:val="00EB11D4"/>
    <w:rsid w:val="00EB17CB"/>
    <w:rsid w:val="00EB2C5D"/>
    <w:rsid w:val="00EB2C79"/>
    <w:rsid w:val="00EB3DD2"/>
    <w:rsid w:val="00EB7FDB"/>
    <w:rsid w:val="00EC01E4"/>
    <w:rsid w:val="00EC0548"/>
    <w:rsid w:val="00EC17AA"/>
    <w:rsid w:val="00EC3FF5"/>
    <w:rsid w:val="00EC4CC8"/>
    <w:rsid w:val="00EC6491"/>
    <w:rsid w:val="00EC70F1"/>
    <w:rsid w:val="00ED2790"/>
    <w:rsid w:val="00ED5D34"/>
    <w:rsid w:val="00ED7ABB"/>
    <w:rsid w:val="00ED7E0C"/>
    <w:rsid w:val="00EE0272"/>
    <w:rsid w:val="00EE1E2D"/>
    <w:rsid w:val="00EE51C2"/>
    <w:rsid w:val="00EE592D"/>
    <w:rsid w:val="00EE64A9"/>
    <w:rsid w:val="00EE67FE"/>
    <w:rsid w:val="00EE6861"/>
    <w:rsid w:val="00EE6B1B"/>
    <w:rsid w:val="00EE6F8F"/>
    <w:rsid w:val="00EE7953"/>
    <w:rsid w:val="00EF0684"/>
    <w:rsid w:val="00EF06D4"/>
    <w:rsid w:val="00EF0EB5"/>
    <w:rsid w:val="00EF1873"/>
    <w:rsid w:val="00EF36D2"/>
    <w:rsid w:val="00EF418E"/>
    <w:rsid w:val="00EF4771"/>
    <w:rsid w:val="00EF5285"/>
    <w:rsid w:val="00EF5D9D"/>
    <w:rsid w:val="00EF68D0"/>
    <w:rsid w:val="00F0025D"/>
    <w:rsid w:val="00F03087"/>
    <w:rsid w:val="00F03772"/>
    <w:rsid w:val="00F04BE4"/>
    <w:rsid w:val="00F07345"/>
    <w:rsid w:val="00F075AD"/>
    <w:rsid w:val="00F07D2A"/>
    <w:rsid w:val="00F111F3"/>
    <w:rsid w:val="00F13195"/>
    <w:rsid w:val="00F14670"/>
    <w:rsid w:val="00F169FA"/>
    <w:rsid w:val="00F2087B"/>
    <w:rsid w:val="00F2143F"/>
    <w:rsid w:val="00F2273E"/>
    <w:rsid w:val="00F23E23"/>
    <w:rsid w:val="00F242A2"/>
    <w:rsid w:val="00F27C1E"/>
    <w:rsid w:val="00F31547"/>
    <w:rsid w:val="00F31A97"/>
    <w:rsid w:val="00F33B25"/>
    <w:rsid w:val="00F33D16"/>
    <w:rsid w:val="00F33D35"/>
    <w:rsid w:val="00F33DED"/>
    <w:rsid w:val="00F34B0F"/>
    <w:rsid w:val="00F3556B"/>
    <w:rsid w:val="00F370CB"/>
    <w:rsid w:val="00F37220"/>
    <w:rsid w:val="00F3743E"/>
    <w:rsid w:val="00F37904"/>
    <w:rsid w:val="00F40F2D"/>
    <w:rsid w:val="00F41990"/>
    <w:rsid w:val="00F41AAE"/>
    <w:rsid w:val="00F44E64"/>
    <w:rsid w:val="00F45647"/>
    <w:rsid w:val="00F46492"/>
    <w:rsid w:val="00F47DD9"/>
    <w:rsid w:val="00F501C1"/>
    <w:rsid w:val="00F5253E"/>
    <w:rsid w:val="00F52713"/>
    <w:rsid w:val="00F5672D"/>
    <w:rsid w:val="00F60E13"/>
    <w:rsid w:val="00F62491"/>
    <w:rsid w:val="00F62DAB"/>
    <w:rsid w:val="00F63554"/>
    <w:rsid w:val="00F642E4"/>
    <w:rsid w:val="00F6628F"/>
    <w:rsid w:val="00F6713B"/>
    <w:rsid w:val="00F677F0"/>
    <w:rsid w:val="00F71B4A"/>
    <w:rsid w:val="00F7298A"/>
    <w:rsid w:val="00F73679"/>
    <w:rsid w:val="00F76110"/>
    <w:rsid w:val="00F808F1"/>
    <w:rsid w:val="00F80AB4"/>
    <w:rsid w:val="00F81547"/>
    <w:rsid w:val="00F8217B"/>
    <w:rsid w:val="00F82AB1"/>
    <w:rsid w:val="00F8389D"/>
    <w:rsid w:val="00F852BD"/>
    <w:rsid w:val="00F85304"/>
    <w:rsid w:val="00F87231"/>
    <w:rsid w:val="00F921EE"/>
    <w:rsid w:val="00F94B4B"/>
    <w:rsid w:val="00F95E08"/>
    <w:rsid w:val="00F96154"/>
    <w:rsid w:val="00FA0679"/>
    <w:rsid w:val="00FA2E27"/>
    <w:rsid w:val="00FA3C1E"/>
    <w:rsid w:val="00FA589C"/>
    <w:rsid w:val="00FB0CF7"/>
    <w:rsid w:val="00FB112E"/>
    <w:rsid w:val="00FB14BA"/>
    <w:rsid w:val="00FB2419"/>
    <w:rsid w:val="00FB27BF"/>
    <w:rsid w:val="00FB3507"/>
    <w:rsid w:val="00FB39D9"/>
    <w:rsid w:val="00FB3CE8"/>
    <w:rsid w:val="00FB5A0F"/>
    <w:rsid w:val="00FB62D5"/>
    <w:rsid w:val="00FB691B"/>
    <w:rsid w:val="00FC26F6"/>
    <w:rsid w:val="00FC350B"/>
    <w:rsid w:val="00FC4119"/>
    <w:rsid w:val="00FC4A8F"/>
    <w:rsid w:val="00FC63A6"/>
    <w:rsid w:val="00FC797D"/>
    <w:rsid w:val="00FD2204"/>
    <w:rsid w:val="00FD34AB"/>
    <w:rsid w:val="00FD3531"/>
    <w:rsid w:val="00FD3B25"/>
    <w:rsid w:val="00FD3DAB"/>
    <w:rsid w:val="00FD40E3"/>
    <w:rsid w:val="00FD4626"/>
    <w:rsid w:val="00FD755C"/>
    <w:rsid w:val="00FE1CB8"/>
    <w:rsid w:val="00FE2265"/>
    <w:rsid w:val="00FE4096"/>
    <w:rsid w:val="00FE5D00"/>
    <w:rsid w:val="00FE60F5"/>
    <w:rsid w:val="00FE6F51"/>
    <w:rsid w:val="00FF1422"/>
    <w:rsid w:val="00FF50CB"/>
    <w:rsid w:val="00FF573B"/>
    <w:rsid w:val="00FF7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A2"/>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A2"/>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031106913">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lina.Heidere@lm.gov.lv" TargetMode="External"/><Relationship Id="rId4" Type="http://schemas.microsoft.com/office/2007/relationships/stylesWithEffects" Target="stylesWithEffects.xml"/><Relationship Id="rId9" Type="http://schemas.openxmlformats.org/officeDocument/2006/relationships/hyperlink" Target="http://www.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BA68-EB16-456F-9FC7-3C76DF9B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8</Pages>
  <Words>11859</Words>
  <Characters>6760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18582</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keywords>Anotācija</cp:keywords>
  <dc:description>e-pasts: Kristaps.Ziedins@lm.gov.lv, tālr: 67021503, fakss: 67021505</dc:description>
  <cp:lastModifiedBy>Elina Heidere</cp:lastModifiedBy>
  <cp:revision>102</cp:revision>
  <cp:lastPrinted>2016-08-23T08:11:00Z</cp:lastPrinted>
  <dcterms:created xsi:type="dcterms:W3CDTF">2016-02-26T08:00:00Z</dcterms:created>
  <dcterms:modified xsi:type="dcterms:W3CDTF">2016-08-29T11:49:00Z</dcterms:modified>
</cp:coreProperties>
</file>