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5D" w:rsidRPr="00212084" w:rsidRDefault="00774A5D" w:rsidP="00774A5D">
      <w:pPr>
        <w:suppressAutoHyphens/>
        <w:spacing w:after="0" w:line="240" w:lineRule="auto"/>
        <w:jc w:val="center"/>
        <w:rPr>
          <w:rFonts w:ascii="Times New Roman" w:eastAsia="Times New Roman" w:hAnsi="Times New Roman"/>
          <w:b/>
          <w:bCs/>
          <w:sz w:val="24"/>
          <w:szCs w:val="24"/>
          <w:lang w:eastAsia="ar-SA"/>
        </w:rPr>
      </w:pPr>
      <w:r w:rsidRPr="00212084">
        <w:rPr>
          <w:rFonts w:ascii="Times New Roman" w:eastAsia="Times New Roman" w:hAnsi="Times New Roman"/>
          <w:b/>
          <w:bCs/>
          <w:sz w:val="24"/>
          <w:szCs w:val="24"/>
          <w:lang w:eastAsia="ar-SA"/>
        </w:rPr>
        <w:t>Likumprojekta „Grozījumi likumā „Par obligāto sociālo apdrošināšanu pret nelaimes gadījumiem darbā un arodslimībām””</w:t>
      </w:r>
    </w:p>
    <w:p w:rsidR="00774A5D" w:rsidRPr="00212084" w:rsidRDefault="00774A5D" w:rsidP="00774A5D">
      <w:pPr>
        <w:suppressAutoHyphens/>
        <w:spacing w:after="0" w:line="240" w:lineRule="auto"/>
        <w:jc w:val="center"/>
        <w:rPr>
          <w:rFonts w:ascii="Times New Roman" w:eastAsia="Times New Roman" w:hAnsi="Times New Roman"/>
          <w:b/>
          <w:sz w:val="24"/>
          <w:szCs w:val="24"/>
          <w:lang w:eastAsia="ar-SA"/>
        </w:rPr>
      </w:pPr>
      <w:r w:rsidRPr="00212084">
        <w:rPr>
          <w:rFonts w:ascii="Times New Roman" w:eastAsia="Times New Roman" w:hAnsi="Times New Roman"/>
          <w:b/>
          <w:sz w:val="24"/>
          <w:szCs w:val="24"/>
          <w:lang w:eastAsia="ar-SA"/>
        </w:rPr>
        <w:t>sākotnējās ietekmes novērtējuma ziņojums (anotācija)</w:t>
      </w:r>
    </w:p>
    <w:p w:rsidR="00774A5D" w:rsidRPr="00212084" w:rsidRDefault="00774A5D" w:rsidP="00774A5D">
      <w:pPr>
        <w:spacing w:after="0" w:line="240" w:lineRule="auto"/>
        <w:jc w:val="center"/>
        <w:rPr>
          <w:rFonts w:ascii="Times New Roman" w:eastAsia="Times New Roman" w:hAnsi="Times New Roman"/>
          <w:b/>
          <w:sz w:val="28"/>
          <w:szCs w:val="28"/>
          <w:lang w:eastAsia="lv-LV"/>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277"/>
        <w:gridCol w:w="6947"/>
      </w:tblGrid>
      <w:tr w:rsidR="00774A5D" w:rsidRPr="00212084" w:rsidTr="00865AAC">
        <w:tc>
          <w:tcPr>
            <w:tcW w:w="5000" w:type="pct"/>
            <w:gridSpan w:val="3"/>
            <w:shd w:val="clear" w:color="auto" w:fill="auto"/>
          </w:tcPr>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 xml:space="preserve">I. Tiesību </w:t>
            </w:r>
            <w:smartTag w:uri="schemas-tilde-lv/tildestengine" w:element="veidnes">
              <w:smartTagPr>
                <w:attr w:name="text" w:val="akta"/>
                <w:attr w:name="id" w:val="-1"/>
                <w:attr w:name="baseform" w:val="akt|s"/>
              </w:smartTagPr>
              <w:r w:rsidRPr="00212084">
                <w:rPr>
                  <w:rFonts w:ascii="Times New Roman" w:eastAsia="Times New Roman" w:hAnsi="Times New Roman"/>
                  <w:b/>
                  <w:sz w:val="24"/>
                  <w:szCs w:val="24"/>
                  <w:lang w:eastAsia="lv-LV"/>
                </w:rPr>
                <w:t>akta</w:t>
              </w:r>
            </w:smartTag>
            <w:r w:rsidRPr="00212084">
              <w:rPr>
                <w:rFonts w:ascii="Times New Roman" w:eastAsia="Times New Roman" w:hAnsi="Times New Roman"/>
                <w:b/>
                <w:sz w:val="24"/>
                <w:szCs w:val="24"/>
                <w:lang w:eastAsia="lv-LV"/>
              </w:rPr>
              <w:t xml:space="preserve"> projekta izstrādes nepieciešamība</w:t>
            </w:r>
          </w:p>
        </w:tc>
      </w:tr>
      <w:tr w:rsidR="00774A5D" w:rsidRPr="00212084" w:rsidTr="00865AAC">
        <w:tc>
          <w:tcPr>
            <w:tcW w:w="199"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1.</w:t>
            </w:r>
          </w:p>
        </w:tc>
        <w:tc>
          <w:tcPr>
            <w:tcW w:w="1185"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Pamatojums</w:t>
            </w:r>
          </w:p>
        </w:tc>
        <w:tc>
          <w:tcPr>
            <w:tcW w:w="3616" w:type="pct"/>
            <w:shd w:val="clear" w:color="auto" w:fill="auto"/>
          </w:tcPr>
          <w:p w:rsidR="00774A5D"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Demogrāfiskās situācijas uzlabošana, ģimenes dzīves kvalitāte un sociālais nodrošinājums</w:t>
            </w:r>
            <w:r w:rsidRPr="00212084">
              <w:rPr>
                <w:rFonts w:ascii="Times New Roman" w:hAnsi="Times New Roman"/>
                <w:b/>
                <w:sz w:val="24"/>
                <w:szCs w:val="24"/>
              </w:rPr>
              <w:t xml:space="preserve"> </w:t>
            </w:r>
            <w:r w:rsidRPr="00212084">
              <w:rPr>
                <w:rFonts w:ascii="Times New Roman" w:hAnsi="Times New Roman"/>
                <w:sz w:val="24"/>
                <w:szCs w:val="24"/>
              </w:rPr>
              <w:t>ir</w:t>
            </w:r>
            <w:r w:rsidRPr="00212084">
              <w:rPr>
                <w:rFonts w:ascii="Times New Roman" w:hAnsi="Times New Roman"/>
                <w:b/>
                <w:sz w:val="24"/>
                <w:szCs w:val="24"/>
              </w:rPr>
              <w:t xml:space="preserve"> </w:t>
            </w:r>
            <w:r w:rsidRPr="00212084">
              <w:rPr>
                <w:rFonts w:ascii="Times New Roman" w:hAnsi="Times New Roman"/>
                <w:sz w:val="24"/>
                <w:szCs w:val="24"/>
              </w:rPr>
              <w:t>izvirzīta kā</w:t>
            </w:r>
            <w:r w:rsidRPr="00212084">
              <w:rPr>
                <w:rFonts w:ascii="Times New Roman" w:hAnsi="Times New Roman"/>
                <w:b/>
                <w:sz w:val="24"/>
                <w:szCs w:val="24"/>
              </w:rPr>
              <w:t xml:space="preserve"> </w:t>
            </w:r>
            <w:r w:rsidRPr="00212084">
              <w:rPr>
                <w:rFonts w:ascii="Times New Roman" w:hAnsi="Times New Roman"/>
                <w:sz w:val="24"/>
                <w:szCs w:val="24"/>
              </w:rPr>
              <w:t>viena no piecām Māra Kučinska vadītā Ministru kabineta darbības galvenajām prioritātēm. Lai nodrošinātu šīs prioritātes īstenošanu, ar Ministru prezidenta 06.04.2016. rīkojumu Nr.111 tika izveidota ekspertu sadarbības platforma “Demogrāfisko lietu centrs” (turpmāk – "Demogrāfisko lietu centrs"). "Demogrāfisko lietu centra" darbības mērķis – ņemot vērā uzdevumus, kas noteikti Deklarācijā par Māra Kučinska vadītā Ministru kabineta (turpmāk – arī MK) iecerēto darbību, sniegt priekšlikumus par tautas ataudzes atbalsta pasākumu pilnveidošanu un īstenošanu Demogrāfisko lietu padomei, lai virzītu tos izskatīšanai Ministru kabinetā.</w:t>
            </w:r>
          </w:p>
          <w:p w:rsidR="00774A5D" w:rsidRPr="00212084" w:rsidRDefault="00774A5D" w:rsidP="00865AAC">
            <w:pPr>
              <w:pStyle w:val="Footer"/>
              <w:jc w:val="both"/>
            </w:pPr>
            <w:r w:rsidRPr="00212084">
              <w:t>Laikā kopš "Demogrāfisko lietu centra" pirmās sēdes 2016.gada 14. aprīlī "Demogrāfisko lietu centra" eksperti (t.sk. Labklājības ministrijas pārstāvji), analizējot pašreizējo situāciju, ir identificējuši tās jomas, kur nepieciešama operatīva rīcība ģimeņu dzīves kvalitātes uzlabošanai vai normatīvā regulējuma sistēmiskai sakārtošanai, un sagatavojuši konceptuālo ziņojumu “Par Sadarbības platformas “Demogrāfisko lietu centrs” priekšlikumiem ģimeņu ar bērniem atbalstam 2017. –2018. gadā”.</w:t>
            </w:r>
          </w:p>
          <w:p w:rsidR="00774A5D" w:rsidRPr="00212084"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Šajā konceptuālajā ziņojumā "Demogrāfisko lietu centra" piedāvātie priekšlikumi primāri vērsti uz stratēģiskā mērķa tautas ataudzes jomā  – dzimstības veicināšana – sasniegšanu. Ņemot vērā demogrāfiskās tendences un, jo īpaši – tautas ataudzi kavējošos faktorus (sieviešu fertilajā vecumā īpatsvara būtisku samazināšanos turpmāko desmit gadu laikā, sabiedrības novecošanos, negatīvu migrācijas saldo), ziņojuma turpinājumā minētie priekšlikumi vērtējami jau 2017. gada budžeta veidošanas procesā.</w:t>
            </w:r>
          </w:p>
          <w:p w:rsidR="00774A5D"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 xml:space="preserve">"Demogrāfisko lietu centra" sagatavotais konceptuālais ziņojums konceptuāli tika atbalstīts 2016.gada 21.jūnija Demogrāfisko lietu padomes sēdē.  </w:t>
            </w:r>
          </w:p>
          <w:p w:rsidR="00774A5D" w:rsidRPr="00212084"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Ministru kabinets 2016.gada 16.augustā, skatot informatīvo ziņojumu "Par priekšlikumiem valsts budžeta ieņēmumiem un izdevumiem 2017.gadam un ietvaram 2017.–2019.gadam”, atbalstīja arī šādu "Demogrāfisko lietu centra" virzītas jauno politikas iniciatīvu, kas ir Labklājības ministrijas kompetencē:</w:t>
            </w:r>
          </w:p>
          <w:p w:rsidR="00774A5D" w:rsidRPr="00212084" w:rsidRDefault="00774A5D" w:rsidP="00865AAC">
            <w:pPr>
              <w:pStyle w:val="ListParagraph"/>
              <w:numPr>
                <w:ilvl w:val="0"/>
                <w:numId w:val="1"/>
              </w:numPr>
              <w:ind w:left="318" w:hanging="283"/>
              <w:jc w:val="both"/>
              <w:rPr>
                <w:kern w:val="18"/>
              </w:rPr>
            </w:pPr>
            <w:r w:rsidRPr="00212084">
              <w:t xml:space="preserve">lai mazinātu nepilno ģimeņu nabadzību un visiem bērniem piedāvātu līdzvērtīgu sociālo nodrošinājumu, no 2017.gada 1.aprīļa paredzēts palielināt </w:t>
            </w:r>
            <w:r w:rsidRPr="00212084">
              <w:rPr>
                <w:rFonts w:eastAsiaTheme="minorHAnsi"/>
              </w:rPr>
              <w:t xml:space="preserve">valsts minimālā atbalsta apmēru apgādnieku zaudējušiem bērniem, </w:t>
            </w:r>
            <w:r w:rsidRPr="00212084">
              <w:t xml:space="preserve">tuvinot to minimālo uzturlīdzekļu apmēram, kādu valsts garantē gadījumos, kad kāds no bērna vecākiem nepilda savus pienākumus un nenodrošina bērnam nepieciešamo uzturēšanu </w:t>
            </w:r>
            <w:r w:rsidRPr="00212084">
              <w:rPr>
                <w:i/>
              </w:rPr>
              <w:t>(atbalstīta papildus finansējuma piešķiršana 4 milj. euro apmērā ik gadu)</w:t>
            </w:r>
            <w:r>
              <w:t>.</w:t>
            </w:r>
          </w:p>
        </w:tc>
      </w:tr>
      <w:tr w:rsidR="00774A5D" w:rsidRPr="00212084" w:rsidTr="00865AAC">
        <w:tc>
          <w:tcPr>
            <w:tcW w:w="199"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 xml:space="preserve">2. </w:t>
            </w:r>
          </w:p>
        </w:tc>
        <w:tc>
          <w:tcPr>
            <w:tcW w:w="1185"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sz w:val="24"/>
                <w:szCs w:val="24"/>
                <w:lang w:eastAsia="lv-LV"/>
              </w:rPr>
              <w:t xml:space="preserve">Pašreizējā situācija un problēmas, kuru risināšanai tiesību </w:t>
            </w:r>
            <w:r w:rsidRPr="00212084">
              <w:rPr>
                <w:rFonts w:ascii="Times New Roman" w:eastAsia="Times New Roman" w:hAnsi="Times New Roman"/>
                <w:sz w:val="24"/>
                <w:szCs w:val="24"/>
                <w:lang w:eastAsia="lv-LV"/>
              </w:rPr>
              <w:lastRenderedPageBreak/>
              <w:t>akta projekts izstrādāts, tiesiskā regulējuma mērķis un būtība</w:t>
            </w:r>
          </w:p>
        </w:tc>
        <w:tc>
          <w:tcPr>
            <w:tcW w:w="3616" w:type="pct"/>
            <w:shd w:val="clear" w:color="auto" w:fill="auto"/>
          </w:tcPr>
          <w:p w:rsidR="00774A5D" w:rsidRDefault="00774A5D" w:rsidP="00865AAC">
            <w:pPr>
              <w:spacing w:after="0" w:line="240" w:lineRule="auto"/>
              <w:jc w:val="both"/>
              <w:rPr>
                <w:rFonts w:ascii="Times New Roman" w:hAnsi="Times New Roman"/>
                <w:sz w:val="24"/>
                <w:szCs w:val="24"/>
              </w:rPr>
            </w:pPr>
            <w:r w:rsidRPr="00212084">
              <w:rPr>
                <w:rFonts w:ascii="Times New Roman" w:eastAsia="Times New Roman" w:hAnsi="Times New Roman"/>
                <w:iCs/>
                <w:sz w:val="24"/>
                <w:szCs w:val="24"/>
                <w:lang w:eastAsia="ar-SA"/>
              </w:rPr>
              <w:lastRenderedPageBreak/>
              <w:t>L</w:t>
            </w:r>
            <w:r w:rsidRPr="00212084">
              <w:rPr>
                <w:rFonts w:ascii="Times New Roman" w:hAnsi="Times New Roman"/>
                <w:sz w:val="24"/>
                <w:szCs w:val="24"/>
              </w:rPr>
              <w:t xml:space="preserve">ai sniegtu atbalstu darba nespējīgiem ģimenes locekļiem viņu apgādnieka nāves gadījumā, ja tā nāves cēlonis ir nelaimes gadījums darbā vai arodslimība, valsts piešķir atlīdzību par apgādnieka </w:t>
            </w:r>
            <w:r w:rsidRPr="00212084">
              <w:rPr>
                <w:rFonts w:ascii="Times New Roman" w:hAnsi="Times New Roman"/>
                <w:sz w:val="24"/>
                <w:szCs w:val="24"/>
              </w:rPr>
              <w:lastRenderedPageBreak/>
              <w:t>zaudējumu saskaņā ar likumu „Par obligāto sociālo apdrošināšanu pret nelaimes gadījumiem darbā un arodslimībām”. Saskaņā ar likumu „Par valsts pensijām” mirušā apgādnieka darbnespējīgajiem ģimenes locekļiem, kas bijuši viņa apgādībā, piešķir apgādnieka zaudējuma pensiju, kuru aprēķina no apgādnieka iespējamās vecuma pensijas. Ja personai nav tiesību saņemt apgādnieka zaudējuma pensiju, jo par apgādnieku nav maksātas sociālās apdrošināšanas iemaksas, atbilstoši Valsts sociālo pabalstu likuma 13.panta pirmā daļā noteiktajam, persona saņem valsts sociālā nodrošinājuma pabalstu.</w:t>
            </w:r>
          </w:p>
          <w:p w:rsidR="00774A5D" w:rsidRPr="00212084" w:rsidRDefault="00774A5D" w:rsidP="00865AAC">
            <w:pPr>
              <w:autoSpaceDE w:val="0"/>
              <w:autoSpaceDN w:val="0"/>
              <w:adjustRightInd w:val="0"/>
              <w:spacing w:after="0" w:line="240" w:lineRule="auto"/>
              <w:jc w:val="both"/>
              <w:rPr>
                <w:rFonts w:ascii="Times New Roman" w:eastAsia="Times New Roman" w:hAnsi="Times New Roman"/>
                <w:iCs/>
                <w:sz w:val="24"/>
                <w:szCs w:val="24"/>
                <w:lang w:eastAsia="ar-SA"/>
              </w:rPr>
            </w:pPr>
            <w:r w:rsidRPr="00212084">
              <w:rPr>
                <w:rFonts w:ascii="Times New Roman" w:eastAsia="Times New Roman" w:hAnsi="Times New Roman"/>
                <w:iCs/>
                <w:sz w:val="24"/>
                <w:szCs w:val="24"/>
                <w:lang w:eastAsia="ar-SA"/>
              </w:rPr>
              <w:t>Likuma „Par obligāto sociālo apdrošināšanu pret nelaimes gadījumiem darbā un arodslimībām” (turpmāk - Likums) 23.pants nosaka, ka atlīdzības par apgādnieka zaudējumu apmērs atkarīgs no apdrošinātās personas mēneša vidējās apdrošināšanas iemaksu algas un to piešķir šādos apmēros:</w:t>
            </w:r>
          </w:p>
          <w:p w:rsidR="00774A5D" w:rsidRPr="00212084" w:rsidRDefault="00774A5D" w:rsidP="00865AAC">
            <w:pPr>
              <w:pStyle w:val="ListParagraph"/>
              <w:numPr>
                <w:ilvl w:val="0"/>
                <w:numId w:val="2"/>
              </w:numPr>
              <w:autoSpaceDE w:val="0"/>
              <w:autoSpaceDN w:val="0"/>
              <w:adjustRightInd w:val="0"/>
              <w:jc w:val="both"/>
              <w:rPr>
                <w:iCs/>
                <w:lang w:eastAsia="ar-SA"/>
              </w:rPr>
            </w:pPr>
            <w:r w:rsidRPr="00212084">
              <w:rPr>
                <w:iCs/>
                <w:lang w:eastAsia="ar-SA"/>
              </w:rPr>
              <w:t>vienam bērnam – līdz 25 procentiem;</w:t>
            </w:r>
          </w:p>
          <w:p w:rsidR="00774A5D" w:rsidRPr="00212084" w:rsidRDefault="00774A5D" w:rsidP="00865AAC">
            <w:pPr>
              <w:pStyle w:val="ListParagraph"/>
              <w:numPr>
                <w:ilvl w:val="0"/>
                <w:numId w:val="2"/>
              </w:numPr>
              <w:autoSpaceDE w:val="0"/>
              <w:autoSpaceDN w:val="0"/>
              <w:adjustRightInd w:val="0"/>
              <w:jc w:val="both"/>
              <w:rPr>
                <w:iCs/>
                <w:lang w:eastAsia="ar-SA"/>
              </w:rPr>
            </w:pPr>
            <w:r w:rsidRPr="00212084">
              <w:rPr>
                <w:iCs/>
                <w:lang w:eastAsia="ar-SA"/>
              </w:rPr>
              <w:t>diviem bērniem – līdz 35 procentiem;</w:t>
            </w:r>
          </w:p>
          <w:p w:rsidR="00774A5D" w:rsidRPr="00212084" w:rsidRDefault="00774A5D" w:rsidP="00865AAC">
            <w:pPr>
              <w:pStyle w:val="ListParagraph"/>
              <w:numPr>
                <w:ilvl w:val="0"/>
                <w:numId w:val="2"/>
              </w:numPr>
              <w:autoSpaceDE w:val="0"/>
              <w:autoSpaceDN w:val="0"/>
              <w:adjustRightInd w:val="0"/>
              <w:jc w:val="both"/>
              <w:rPr>
                <w:iCs/>
                <w:lang w:eastAsia="ar-SA"/>
              </w:rPr>
            </w:pPr>
            <w:r w:rsidRPr="00212084">
              <w:rPr>
                <w:iCs/>
                <w:lang w:eastAsia="ar-SA"/>
              </w:rPr>
              <w:t>trim bērniem – līdz 45 procentiem;</w:t>
            </w:r>
          </w:p>
          <w:p w:rsidR="00774A5D" w:rsidRPr="00212084" w:rsidRDefault="00774A5D" w:rsidP="00865AAC">
            <w:pPr>
              <w:pStyle w:val="ListParagraph"/>
              <w:numPr>
                <w:ilvl w:val="0"/>
                <w:numId w:val="2"/>
              </w:numPr>
              <w:autoSpaceDE w:val="0"/>
              <w:autoSpaceDN w:val="0"/>
              <w:adjustRightInd w:val="0"/>
              <w:jc w:val="both"/>
              <w:rPr>
                <w:iCs/>
                <w:lang w:eastAsia="ar-SA"/>
              </w:rPr>
            </w:pPr>
            <w:r w:rsidRPr="00212084">
              <w:rPr>
                <w:iCs/>
                <w:lang w:eastAsia="ar-SA"/>
              </w:rPr>
              <w:t>četriem un vairāk bērniem – līdz 55 procentiem.</w:t>
            </w:r>
          </w:p>
          <w:p w:rsidR="00774A5D" w:rsidRDefault="00774A5D" w:rsidP="00865AAC">
            <w:pPr>
              <w:pStyle w:val="ListParagraph"/>
              <w:autoSpaceDE w:val="0"/>
              <w:autoSpaceDN w:val="0"/>
              <w:adjustRightInd w:val="0"/>
              <w:ind w:left="35"/>
              <w:jc w:val="both"/>
              <w:rPr>
                <w:iCs/>
                <w:lang w:eastAsia="ar-SA"/>
              </w:rPr>
            </w:pPr>
            <w:r w:rsidRPr="00212084">
              <w:rPr>
                <w:iCs/>
                <w:lang w:eastAsia="ar-SA"/>
              </w:rPr>
              <w:t xml:space="preserve">Atlīdzības apmērs katram mirušā apgādnieka bērnam nedrīkst būt mazāks par 65 procentiem no valsts sociālā nodrošinājuma pabalsta, t.i. 41,62 EUR.  </w:t>
            </w:r>
          </w:p>
          <w:p w:rsidR="00774A5D" w:rsidRPr="00212084"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Šobrīd viskritiskākā situācija un augstākais nabadzības riskam pakļauto personu īpatsvars ir nepilnajās ģimenēs. Tāpat n</w:t>
            </w:r>
            <w:r w:rsidRPr="00212084">
              <w:rPr>
                <w:rFonts w:ascii="Times New Roman" w:eastAsia="TimesNewRoman" w:hAnsi="Times New Roman"/>
                <w:sz w:val="24"/>
                <w:szCs w:val="24"/>
              </w:rPr>
              <w:t>o sociālā taisnīguma pozīcijas nedrīkst veidoties situācija, kad bērns, kura apgādnieks gājis bojā, saņem mazāku finansiālo atbalstu nekā bērns, kura vecāks negrib vai nespēj par to gādāt, kā rezultātā bērns no Uzturlīdzekļu garantiju fonda saņem valstī noteikto uzturlīdzekļu minimumu</w:t>
            </w:r>
            <w:r w:rsidRPr="00212084">
              <w:rPr>
                <w:rStyle w:val="FootnoteReference"/>
                <w:rFonts w:ascii="Times New Roman" w:eastAsia="TimesNewRoman" w:hAnsi="Times New Roman"/>
                <w:sz w:val="24"/>
                <w:szCs w:val="24"/>
              </w:rPr>
              <w:footnoteReference w:id="1"/>
            </w:r>
            <w:r w:rsidRPr="00212084">
              <w:rPr>
                <w:rFonts w:ascii="Times New Roman" w:eastAsia="TimesNewRoman" w:hAnsi="Times New Roman"/>
                <w:sz w:val="24"/>
                <w:szCs w:val="24"/>
              </w:rPr>
              <w:t xml:space="preserve">. </w:t>
            </w:r>
            <w:r w:rsidRPr="00212084">
              <w:rPr>
                <w:rFonts w:ascii="Times New Roman" w:hAnsi="Times New Roman"/>
                <w:sz w:val="24"/>
                <w:szCs w:val="24"/>
              </w:rPr>
              <w:t>Tāpēc īpaši būtiska ir valsts atbalsta palielināšana apgādnieka zaudējuma gadījumā, tuvinot to minimālo uzturlīdzekļu apmēram, kādu valsts garantē gadījumos, kad kāds no bērna vecākiem nepilda savus pienākumus un bērnam nepieciešamo uzturēšanu nenodrošina. Tāpēc, lai mazinātu nepilno ģimeņu nabadzību un visiem bērniem piedāvātu līdzvērtīgu sociālo nodrošinājumu, no 2017.gada 1.aprīļa plānots palielināt valsts atbalstu apgādnieku zaudējušiem bērniem - minimālo apgādnieka zaudējuma pensijas apmēru, valsts sociālā nodrošinājuma pabalstu un atlīdzību par apgādnieka zaudējumu.</w:t>
            </w:r>
          </w:p>
          <w:p w:rsidR="00774A5D" w:rsidRDefault="00774A5D" w:rsidP="00865AAC">
            <w:pPr>
              <w:pStyle w:val="ListParagraph"/>
              <w:autoSpaceDE w:val="0"/>
              <w:autoSpaceDN w:val="0"/>
              <w:adjustRightInd w:val="0"/>
              <w:ind w:left="35"/>
              <w:jc w:val="both"/>
            </w:pPr>
            <w:r w:rsidRPr="00212084">
              <w:t xml:space="preserve">Likumprojekts „Grozījumi likumā </w:t>
            </w:r>
            <w:r w:rsidRPr="00212084">
              <w:rPr>
                <w:iCs/>
                <w:lang w:eastAsia="ar-SA"/>
              </w:rPr>
              <w:t xml:space="preserve">„Par obligāto sociālo apdrošināšanu pret nelaimes gadījumiem darbā un arodslimībām”” (turpmāk – likumprojekts) </w:t>
            </w:r>
            <w:r w:rsidRPr="00212084">
              <w:t xml:space="preserve">paredz, ka no 2017.gada 1.aprīļa </w:t>
            </w:r>
            <w:r w:rsidRPr="00212084">
              <w:rPr>
                <w:shd w:val="clear" w:color="auto" w:fill="FFFFFF"/>
              </w:rPr>
              <w:t xml:space="preserve">atlīdzības par apgādnieka zaudējumu minimālo apmēru </w:t>
            </w:r>
            <w:r w:rsidRPr="00212084">
              <w:t xml:space="preserve">nosaka Ministru kabinets, bet VSAA </w:t>
            </w:r>
            <w:r w:rsidRPr="00212084">
              <w:rPr>
                <w:shd w:val="clear" w:color="auto" w:fill="FFFFFF"/>
              </w:rPr>
              <w:t xml:space="preserve">pārskata atlīdzības apmēru </w:t>
            </w:r>
            <w:r w:rsidRPr="00212084">
              <w:t xml:space="preserve">un par </w:t>
            </w:r>
            <w:r w:rsidRPr="00212084">
              <w:lastRenderedPageBreak/>
              <w:t>periodu no 1.aprīļa to izmaksā ne vēlāk kā 2017.gada 30.septembrī (pārejas periods nepieciešams izmaiņu veikšanai informācijas sistēmās) (likumprojekta 4.un 5.pants – pārejas noteikumu 19.punkts).</w:t>
            </w:r>
          </w:p>
          <w:p w:rsidR="00774A5D" w:rsidRDefault="00774A5D" w:rsidP="00865AAC">
            <w:pPr>
              <w:autoSpaceDE w:val="0"/>
              <w:autoSpaceDN w:val="0"/>
              <w:adjustRightInd w:val="0"/>
              <w:spacing w:after="0" w:line="240" w:lineRule="auto"/>
              <w:jc w:val="both"/>
              <w:rPr>
                <w:rFonts w:ascii="Times New Roman" w:eastAsia="Times New Roman" w:hAnsi="Times New Roman"/>
                <w:iCs/>
                <w:sz w:val="24"/>
                <w:szCs w:val="24"/>
                <w:lang w:eastAsia="ar-SA"/>
              </w:rPr>
            </w:pPr>
            <w:r w:rsidRPr="00212084">
              <w:rPr>
                <w:rFonts w:ascii="Times New Roman" w:eastAsia="Times New Roman" w:hAnsi="Times New Roman"/>
                <w:iCs/>
                <w:sz w:val="24"/>
                <w:szCs w:val="24"/>
                <w:lang w:eastAsia="ar-SA"/>
              </w:rPr>
              <w:t>Likuma 20.panta devītā daļa nosaka atlīdzības par darbspēju zaudējumu izmaksas kārtību personai, kurai piešķirta vecuma pensija. Taču tiesību normas šobrīd nenosaka, ka personai sasniedzot vecuma pensijas piešķiršanai nepieciešamo vecumu, piešķirama vecuma pensija. Analoga kārtība ir noteikta gan attiecībā uz invaliditātes pensijām, gan uz izdienas pensijām, t.i., sasniedzot pensionēšanās vecumu, gan invaliditātes pensijas, gan izdienas pensijas izmaksa tiek pārtraukta un piešķirta vecuma pensija. Ja vecuma pensijas apmērs ir zemāks par iepriekš saņemto invaliditātes pensiju, tad invaliditātes laikā vecuma pensija tiek izmaksāta iepriekš saņemtās invaliditātes pensijas apmērā. Attiecībā uz izdienas pensijām – ja vecuma pensijas apmērs ir mazāks – tiek izmaksāta starpība starp iepriekš saņemto izdienas pensiju un vecuma pensiju. Šāda kārtība ir noteikta arī uz atlīdzībām par darbspēju zaudējumu. Līdz ar to veikti precizējoši grozījumi Likumā, nosakot, ka atlīdzības par darbspēju zaudējumu izmaksa tiek pārtraukta, sasniedzot vecuma pensijas piešķiršanai noteikto vecumu un pēc vecuma pensijas piešķiršanas atlīdzību turpina izmaksāt pēc jau Likumā 20.panta devītajā daļā noteiktās kārtības (likumprojekta 3.pants).</w:t>
            </w:r>
          </w:p>
          <w:p w:rsidR="00774A5D" w:rsidRDefault="00774A5D" w:rsidP="00865AAC">
            <w:pPr>
              <w:spacing w:after="0" w:line="240" w:lineRule="auto"/>
              <w:jc w:val="both"/>
              <w:rPr>
                <w:rFonts w:ascii="Times New Roman" w:hAnsi="Times New Roman"/>
                <w:sz w:val="24"/>
                <w:szCs w:val="24"/>
              </w:rPr>
            </w:pPr>
            <w:r w:rsidRPr="00BB65D3">
              <w:rPr>
                <w:rFonts w:ascii="Times New Roman" w:hAnsi="Times New Roman"/>
                <w:sz w:val="24"/>
                <w:szCs w:val="24"/>
              </w:rPr>
              <w:t>Saskaņā ar</w:t>
            </w:r>
            <w:r>
              <w:rPr>
                <w:rFonts w:ascii="Times New Roman" w:hAnsi="Times New Roman"/>
                <w:sz w:val="24"/>
                <w:szCs w:val="24"/>
              </w:rPr>
              <w:t xml:space="preserve"> Likuma 12.pantu, likuma „Par maternitātes un slimības apdrošināšanu” 31.pantu un likuma „Par apdrošināšanu bezdarba gadījumam” 8.pantu </w:t>
            </w:r>
            <w:r w:rsidRPr="00BB65D3">
              <w:rPr>
                <w:rFonts w:ascii="Times New Roman" w:hAnsi="Times New Roman"/>
                <w:sz w:val="24"/>
                <w:szCs w:val="24"/>
              </w:rPr>
              <w:t>vidējā apdrošināšanas iemaksu alga valsts sociālās apdrošināšanas pabalstiem un apdrošināšanas atlīdzībām tiek aprēķināta no apdrošinātās personas apdrošināšanas iemaksu algas par 12 mēnešu periodu, šo periodu beidzot divus kalendāros mēnešus pirms mēneša, kurā iestājies apdrošināšanas gadījums.</w:t>
            </w:r>
            <w:r>
              <w:rPr>
                <w:rFonts w:ascii="Times New Roman" w:hAnsi="Times New Roman"/>
                <w:sz w:val="24"/>
                <w:szCs w:val="24"/>
              </w:rPr>
              <w:t xml:space="preserve"> </w:t>
            </w:r>
            <w:r w:rsidRPr="00BB65D3">
              <w:rPr>
                <w:rFonts w:ascii="Times New Roman" w:hAnsi="Times New Roman"/>
                <w:sz w:val="24"/>
                <w:szCs w:val="24"/>
              </w:rPr>
              <w:t>Vidējā apdrošināšanas iemaksu algas aprēķināšanas kārtība valsts sociālās apdrošināšanas pabalstiem (maternitātes pabalstam, paternitātes pabalstam, vecāku pabalstam, slimības pabalstam, apbedīšanas pabalstam)</w:t>
            </w:r>
            <w:r>
              <w:rPr>
                <w:rFonts w:ascii="Times New Roman" w:hAnsi="Times New Roman"/>
                <w:sz w:val="24"/>
                <w:szCs w:val="24"/>
              </w:rPr>
              <w:t xml:space="preserve"> un apdrošināšanas atlīdzībām</w:t>
            </w:r>
            <w:r w:rsidRPr="00BB65D3">
              <w:rPr>
                <w:rFonts w:ascii="Times New Roman" w:hAnsi="Times New Roman"/>
                <w:sz w:val="24"/>
                <w:szCs w:val="24"/>
              </w:rPr>
              <w:t>, kas ir noteikta</w:t>
            </w:r>
            <w:r>
              <w:rPr>
                <w:rFonts w:ascii="Times New Roman" w:hAnsi="Times New Roman"/>
                <w:sz w:val="24"/>
                <w:szCs w:val="24"/>
              </w:rPr>
              <w:t xml:space="preserve"> Likuma 12.pantā un </w:t>
            </w:r>
            <w:r w:rsidRPr="003333CB">
              <w:rPr>
                <w:rFonts w:ascii="Times New Roman" w:hAnsi="Times New Roman"/>
                <w:sz w:val="24"/>
                <w:szCs w:val="24"/>
              </w:rPr>
              <w:t>pakārtotajos 1999.gada 16.februāra  MK noteikumos Nr.50  „Obligātās sociālās apdrošināšanas pret nelaimes gadījumiem darbā un arodslimībām apdrošināšanas atlīdzības piešķiršanas un aprēķināšanas kārtība”</w:t>
            </w:r>
            <w:r w:rsidRPr="00BB65D3">
              <w:rPr>
                <w:rFonts w:ascii="Times New Roman" w:hAnsi="Times New Roman"/>
                <w:sz w:val="24"/>
                <w:szCs w:val="24"/>
              </w:rPr>
              <w:t>,</w:t>
            </w:r>
            <w:r>
              <w:rPr>
                <w:rFonts w:ascii="Times New Roman" w:hAnsi="Times New Roman"/>
                <w:sz w:val="24"/>
                <w:szCs w:val="24"/>
              </w:rPr>
              <w:t xml:space="preserve"> likuma „Par maternitātes un slimības apdrošināšanu” 31.pantā un pakārtotajos 1998.gada 28.jūlija </w:t>
            </w:r>
            <w:r w:rsidRPr="003333CB">
              <w:rPr>
                <w:rFonts w:ascii="Times New Roman" w:hAnsi="Times New Roman"/>
                <w:sz w:val="24"/>
                <w:szCs w:val="24"/>
              </w:rPr>
              <w:t>Ministru kabineta noteikumos Nr.270 „Vidējās apdrošināšanas iemaksu algas aprēķināšanas kārtība un valsts sociālās apdrošināšanas pabalstu piešķiršanas, aprēķināšanas un izmaksas kārtība</w:t>
            </w:r>
            <w:r>
              <w:rPr>
                <w:rFonts w:ascii="Times New Roman" w:hAnsi="Times New Roman"/>
                <w:sz w:val="24"/>
                <w:szCs w:val="24"/>
              </w:rPr>
              <w:t xml:space="preserve">” un likuma „Par apdrošināšanu bezdarba gadījumam” 8.pantā un likumam pakārtotajos 2008.gada 21.oktobra  </w:t>
            </w:r>
            <w:r w:rsidRPr="003333CB">
              <w:rPr>
                <w:rFonts w:ascii="Times New Roman" w:hAnsi="Times New Roman"/>
                <w:sz w:val="24"/>
                <w:szCs w:val="24"/>
              </w:rPr>
              <w:t>Ministru kabineta noteikumos Nr.866 „Vidējās apdrošināšanas iemaksu algas aprēķināšanas kārtība bezdarbnieka pabalsta apmēra noteikšanai un bezdarbnieka pabalsta un apbedīšanas pabalsta piešķiršanas, aprēķināšanas un izmaksas kārtība</w:t>
            </w:r>
            <w:r>
              <w:rPr>
                <w:rFonts w:ascii="Times New Roman" w:hAnsi="Times New Roman"/>
                <w:sz w:val="24"/>
                <w:szCs w:val="24"/>
              </w:rPr>
              <w:t xml:space="preserve">”, </w:t>
            </w:r>
            <w:r w:rsidRPr="00BB65D3">
              <w:rPr>
                <w:rFonts w:ascii="Times New Roman" w:hAnsi="Times New Roman"/>
                <w:sz w:val="24"/>
                <w:szCs w:val="24"/>
              </w:rPr>
              <w:t>ir sarežģīta</w:t>
            </w:r>
            <w:r>
              <w:rPr>
                <w:rFonts w:ascii="Times New Roman" w:hAnsi="Times New Roman"/>
                <w:sz w:val="24"/>
                <w:szCs w:val="24"/>
              </w:rPr>
              <w:t>,</w:t>
            </w:r>
            <w:r w:rsidRPr="00BB65D3">
              <w:rPr>
                <w:rFonts w:ascii="Times New Roman" w:hAnsi="Times New Roman"/>
                <w:sz w:val="24"/>
                <w:szCs w:val="24"/>
              </w:rPr>
              <w:t xml:space="preserve"> darbietilpīga (grūti administrējama)</w:t>
            </w:r>
            <w:r>
              <w:rPr>
                <w:rFonts w:ascii="Times New Roman" w:hAnsi="Times New Roman"/>
                <w:sz w:val="24"/>
                <w:szCs w:val="24"/>
              </w:rPr>
              <w:t xml:space="preserve"> un necaurspīdīga gan klientiem, gan administrācijai</w:t>
            </w:r>
            <w:r w:rsidRPr="00BB65D3">
              <w:rPr>
                <w:rFonts w:ascii="Times New Roman" w:hAnsi="Times New Roman"/>
                <w:sz w:val="24"/>
                <w:szCs w:val="24"/>
              </w:rPr>
              <w:t xml:space="preserve"> tiesību normu piemērošanas ietvaros, jo paredz vairākus speciālus nosacījumus un izņēmuma gadījumus. </w:t>
            </w:r>
            <w:r w:rsidRPr="009E73B1">
              <w:rPr>
                <w:rFonts w:ascii="Times New Roman" w:hAnsi="Times New Roman"/>
                <w:bCs/>
                <w:sz w:val="24"/>
                <w:szCs w:val="24"/>
              </w:rPr>
              <w:t xml:space="preserve">Atšķirībā no </w:t>
            </w:r>
            <w:r w:rsidRPr="009E73B1">
              <w:rPr>
                <w:rFonts w:ascii="Times New Roman" w:hAnsi="Times New Roman"/>
                <w:sz w:val="24"/>
                <w:szCs w:val="24"/>
              </w:rPr>
              <w:t xml:space="preserve">šo pabalstu un apdrošināšanas atlīdzībām noteiktās vidējās apdrošināšanas iemaksu algas </w:t>
            </w:r>
            <w:r w:rsidRPr="009E73B1">
              <w:rPr>
                <w:rFonts w:ascii="Times New Roman" w:hAnsi="Times New Roman"/>
                <w:sz w:val="24"/>
                <w:szCs w:val="24"/>
              </w:rPr>
              <w:lastRenderedPageBreak/>
              <w:t xml:space="preserve">aprēķināšanas kārtības, kārtībā, kas tiek piemērota bezdarbnieka pabalstiem, ir noteikts papildu nosacījums – personām, kuru apdrošināšanas iemaksu algai, kas gūta attiecīgajā 12 mēnešu periodā, attiecīgajos kalendāra mēnešos ir atšķirīgi apmēri, vidējās apdrošināšanas iemaksu algas aprēķinā netiek ieskaitīta attiecīgo divu mēnešu viszemākā un visaugstākā apdrošināšanas iemaksu alga. Vienlaikus VSAA, piešķirot valsts sociālās apdrošināšanas pabalstus, konstatējusi, ka nereti pabalsta apmēra aprēķināšanai (vidējās apdrošināšanas iemaksu algas noteikšanai) nepieciešamajos pēdējos mēnešos bija aprēķināti augsti darba ienākumi, salīdzinot ar darba ienākumiem iepriekšējā periodā, nereti pabalsta pieprasītājam darba attiecības uzsāktas neilgi pirms tiesību rašanās uz pakalpojumiem, kā arī tieši pirms apdrošināšanas gadījuma iestāšanās (darba nespējas iestāšanās, personas došanās grūtniecības atvaļinājumā) personai tiek reģistrēti augsti darba ienākumi (piemaksas, prēmijas, darba devēja pabalsti), kas nav samērīgi ar darba ienākumiem iepriekšējā periodā un kas būtiski palielina izmaksājamo sociālās apdrošināšanas pabalstu apmēru. </w:t>
            </w:r>
          </w:p>
          <w:p w:rsidR="00774A5D" w:rsidRDefault="00774A5D" w:rsidP="00865AAC">
            <w:pPr>
              <w:spacing w:after="0" w:line="240" w:lineRule="auto"/>
              <w:jc w:val="both"/>
              <w:rPr>
                <w:rFonts w:ascii="Times New Roman" w:hAnsi="Times New Roman"/>
                <w:sz w:val="24"/>
                <w:szCs w:val="24"/>
              </w:rPr>
            </w:pPr>
          </w:p>
          <w:p w:rsidR="00774A5D" w:rsidRDefault="00774A5D" w:rsidP="00865AAC">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Ņemot vērā, ka šo noteikumu </w:t>
            </w:r>
            <w:r w:rsidRPr="00774A5D">
              <w:rPr>
                <w:rFonts w:ascii="Times New Roman" w:eastAsiaTheme="minorHAnsi" w:hAnsi="Times New Roman"/>
                <w:color w:val="000000"/>
                <w:sz w:val="24"/>
                <w:szCs w:val="24"/>
              </w:rPr>
              <w:t xml:space="preserve">izstrādei nepieciešama padziļināta izpēte, lai harmonizētu gan likumā </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Par maternitātes un slimības apdrošināšanu</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 xml:space="preserve">, gan likumā </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Par apdrošināšanu bezdarba gadījumam</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 xml:space="preserve">, gan likumā </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Par obligāto sociālo apdrošināšanu pret nelaimes gadījumiem darbā un arodslimībām</w:t>
            </w:r>
            <w:r>
              <w:rPr>
                <w:rFonts w:ascii="Times New Roman" w:eastAsiaTheme="minorHAnsi" w:hAnsi="Times New Roman"/>
                <w:color w:val="000000"/>
                <w:sz w:val="24"/>
                <w:szCs w:val="24"/>
              </w:rPr>
              <w:t>”</w:t>
            </w:r>
            <w:r w:rsidRPr="00774A5D">
              <w:rPr>
                <w:rFonts w:ascii="Times New Roman" w:eastAsiaTheme="minorHAnsi" w:hAnsi="Times New Roman"/>
                <w:color w:val="000000"/>
                <w:sz w:val="24"/>
                <w:szCs w:val="24"/>
              </w:rPr>
              <w:t xml:space="preserve"> noteikto vidējās apdrošināšanas iemaksu algas aprēķināšanu sociālās apdrošināšanas pakalpojumu piešķiršanai (pabalstiem un atlīdzībām), kā arī šo izmaiņu ieviešanai jāparedz pietiekami ilgs laika posms, lai pielāgotu informācijas sistēmas, nepieciešams jau savlaicīgi veikt attiecīgus grozījumus likumā, kas paredz Ministru kabinetam noteikt vidējās apdrošināšanas iemaksu algas aprēķināšanas nosacījumus un kārtību.</w:t>
            </w:r>
          </w:p>
          <w:p w:rsidR="00774A5D" w:rsidRPr="00774A5D" w:rsidRDefault="00774A5D" w:rsidP="00865AAC">
            <w:pPr>
              <w:spacing w:after="0" w:line="240" w:lineRule="auto"/>
              <w:jc w:val="both"/>
              <w:rPr>
                <w:rFonts w:ascii="Times New Roman" w:hAnsi="Times New Roman"/>
                <w:sz w:val="24"/>
                <w:szCs w:val="24"/>
              </w:rPr>
            </w:pPr>
          </w:p>
          <w:p w:rsidR="00774A5D" w:rsidRDefault="00774A5D" w:rsidP="00865AAC">
            <w:pPr>
              <w:autoSpaceDE w:val="0"/>
              <w:autoSpaceDN w:val="0"/>
              <w:adjustRightInd w:val="0"/>
              <w:spacing w:after="0" w:line="240" w:lineRule="auto"/>
              <w:jc w:val="both"/>
              <w:rPr>
                <w:rFonts w:ascii="Times New Roman" w:hAnsi="Times New Roman"/>
                <w:sz w:val="24"/>
                <w:szCs w:val="24"/>
              </w:rPr>
            </w:pPr>
            <w:r w:rsidRPr="00212084">
              <w:rPr>
                <w:rFonts w:ascii="Times New Roman" w:hAnsi="Times New Roman"/>
                <w:sz w:val="24"/>
                <w:szCs w:val="24"/>
              </w:rPr>
              <w:t>Sociālās apdrošināšanas pabalsti (</w:t>
            </w:r>
            <w:r w:rsidRPr="00212084">
              <w:rPr>
                <w:rFonts w:ascii="Times New Roman" w:hAnsi="Times New Roman"/>
                <w:bCs/>
                <w:sz w:val="24"/>
                <w:szCs w:val="24"/>
              </w:rPr>
              <w:t>maternitātes pabalsts, paternitātes pabalsts, vecāku pabalsts, slimības pabalsts, apdrošināšanas atlīdzības,</w:t>
            </w:r>
            <w:r w:rsidRPr="00212084">
              <w:rPr>
                <w:rFonts w:ascii="Times New Roman" w:hAnsi="Times New Roman"/>
                <w:sz w:val="24"/>
                <w:szCs w:val="24"/>
              </w:rPr>
              <w:t xml:space="preserve"> bezdarbnieka pabalsti) ir paredzēti tam, lai personai darbnespējas un bezdarba gadījumā būtu iespējams saņemt algotā darbā negūto ienākumu aizvietojumu, līdz ar to nepieciešams harmonizēt sociālās apdrošināšanas pabalstu aprēķināšanas tiesību normas un visiem sociālās apdrošināšanas pabalstiem noteikt vienādu vidējās iemaksu algas aprēķināšanas algoritmu, vienlaikus novēršot sociālās apdrošināšanas pabalstu/atlīdzības sistēmas ļaunprātīgu izmantošanu, saņemot pabalstus nepamatoti augstos apmēros (likumprojekta 1. un 4.pants - pārejas noteikumu 20., 21.punkts).</w:t>
            </w:r>
          </w:p>
          <w:p w:rsidR="00774A5D" w:rsidRPr="00212084" w:rsidRDefault="00774A5D" w:rsidP="00865AAC">
            <w:pPr>
              <w:autoSpaceDE w:val="0"/>
              <w:autoSpaceDN w:val="0"/>
              <w:adjustRightInd w:val="0"/>
              <w:spacing w:after="0" w:line="240" w:lineRule="auto"/>
              <w:jc w:val="both"/>
              <w:rPr>
                <w:rFonts w:ascii="Times New Roman" w:eastAsia="Times New Roman" w:hAnsi="Times New Roman"/>
                <w:iCs/>
                <w:sz w:val="24"/>
                <w:szCs w:val="24"/>
                <w:lang w:eastAsia="ar-SA"/>
              </w:rPr>
            </w:pPr>
            <w:r w:rsidRPr="00212084">
              <w:rPr>
                <w:rFonts w:ascii="Times New Roman" w:eastAsia="Times New Roman" w:hAnsi="Times New Roman"/>
                <w:iCs/>
                <w:sz w:val="24"/>
                <w:szCs w:val="24"/>
                <w:lang w:eastAsia="ar-SA"/>
              </w:rPr>
              <w:t>Veikti arī redakcionāli grozījumi Likuma 19.panta otrajā daļā un 20.panta piektajā daļā (likumprojekta 2.un</w:t>
            </w:r>
            <w:r>
              <w:rPr>
                <w:rFonts w:ascii="Times New Roman" w:eastAsia="Times New Roman" w:hAnsi="Times New Roman"/>
                <w:iCs/>
                <w:sz w:val="24"/>
                <w:szCs w:val="24"/>
                <w:lang w:eastAsia="ar-SA"/>
              </w:rPr>
              <w:t xml:space="preserve"> </w:t>
            </w:r>
            <w:r w:rsidRPr="00212084">
              <w:rPr>
                <w:rFonts w:ascii="Times New Roman" w:eastAsia="Times New Roman" w:hAnsi="Times New Roman"/>
                <w:iCs/>
                <w:sz w:val="24"/>
                <w:szCs w:val="24"/>
                <w:lang w:eastAsia="ar-SA"/>
              </w:rPr>
              <w:t>3.pants).</w:t>
            </w:r>
          </w:p>
        </w:tc>
      </w:tr>
      <w:tr w:rsidR="00774A5D" w:rsidRPr="00212084" w:rsidTr="00865AAC">
        <w:tc>
          <w:tcPr>
            <w:tcW w:w="199"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lastRenderedPageBreak/>
              <w:t>3.</w:t>
            </w:r>
          </w:p>
        </w:tc>
        <w:tc>
          <w:tcPr>
            <w:tcW w:w="1185"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Projekta izstrādē iesaistītās institūcijas</w:t>
            </w:r>
          </w:p>
        </w:tc>
        <w:tc>
          <w:tcPr>
            <w:tcW w:w="3616" w:type="pct"/>
            <w:shd w:val="clear" w:color="auto" w:fill="auto"/>
          </w:tcPr>
          <w:p w:rsidR="00774A5D" w:rsidRPr="00212084" w:rsidRDefault="00774A5D" w:rsidP="00865AAC">
            <w:pPr>
              <w:spacing w:after="0" w:line="240" w:lineRule="auto"/>
              <w:jc w:val="both"/>
              <w:rPr>
                <w:rFonts w:ascii="Times New Roman" w:eastAsia="Times New Roman" w:hAnsi="Times New Roman"/>
                <w:b/>
                <w:sz w:val="24"/>
                <w:szCs w:val="24"/>
                <w:lang w:eastAsia="lv-LV"/>
              </w:rPr>
            </w:pPr>
            <w:r w:rsidRPr="00212084">
              <w:rPr>
                <w:rFonts w:ascii="Times New Roman" w:hAnsi="Times New Roman"/>
                <w:iCs/>
                <w:sz w:val="24"/>
                <w:szCs w:val="24"/>
              </w:rPr>
              <w:t xml:space="preserve">Likumprojekta izstrādē tika ņemts vērā VSAA viedoklis, jo saskaņā ar Likumu VSAA nodrošina atlīdzības par darbspēju zaudējumu, atlīdzības par apgādnieka zaudējumu un slimības pabalsta piešķiršanu, aprēķināšanu un izmaksu. </w:t>
            </w:r>
            <w:r w:rsidRPr="00212084">
              <w:rPr>
                <w:rFonts w:ascii="Times New Roman" w:eastAsia="Times New Roman" w:hAnsi="Times New Roman"/>
                <w:iCs/>
                <w:sz w:val="24"/>
                <w:szCs w:val="24"/>
                <w:lang w:eastAsia="lv-LV"/>
              </w:rPr>
              <w:t xml:space="preserve"> </w:t>
            </w:r>
          </w:p>
        </w:tc>
      </w:tr>
      <w:tr w:rsidR="00774A5D" w:rsidRPr="00212084" w:rsidTr="00865AAC">
        <w:tc>
          <w:tcPr>
            <w:tcW w:w="199"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 xml:space="preserve">4. </w:t>
            </w:r>
          </w:p>
        </w:tc>
        <w:tc>
          <w:tcPr>
            <w:tcW w:w="1185" w:type="pct"/>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Cita informācija</w:t>
            </w:r>
          </w:p>
        </w:tc>
        <w:tc>
          <w:tcPr>
            <w:tcW w:w="3616" w:type="pct"/>
            <w:shd w:val="clear" w:color="auto" w:fill="auto"/>
          </w:tcPr>
          <w:p w:rsidR="00774A5D" w:rsidRPr="00212084" w:rsidRDefault="00774A5D" w:rsidP="00865AAC">
            <w:pPr>
              <w:spacing w:after="0" w:line="240" w:lineRule="auto"/>
              <w:jc w:val="both"/>
              <w:rPr>
                <w:rFonts w:ascii="Times New Roman" w:eastAsia="Times New Roman" w:hAnsi="Times New Roman"/>
                <w:lang w:eastAsia="lv-LV"/>
              </w:rPr>
            </w:pPr>
            <w:r w:rsidRPr="00212084">
              <w:rPr>
                <w:rFonts w:ascii="Times New Roman" w:eastAsia="Times New Roman" w:hAnsi="Times New Roman"/>
                <w:lang w:eastAsia="lv-LV"/>
              </w:rPr>
              <w:t>Nav.</w:t>
            </w:r>
          </w:p>
        </w:tc>
      </w:tr>
    </w:tbl>
    <w:p w:rsidR="00774A5D" w:rsidRPr="00212084" w:rsidRDefault="00774A5D" w:rsidP="00774A5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774A5D" w:rsidRPr="00212084" w:rsidTr="00865AAC">
        <w:tc>
          <w:tcPr>
            <w:tcW w:w="9287" w:type="dxa"/>
            <w:gridSpan w:val="3"/>
            <w:shd w:val="clear" w:color="auto" w:fill="auto"/>
          </w:tcPr>
          <w:p w:rsidR="00774A5D" w:rsidRPr="00212084" w:rsidRDefault="00774A5D" w:rsidP="00865AAC">
            <w:pPr>
              <w:spacing w:after="0" w:line="240" w:lineRule="auto"/>
              <w:ind w:left="57" w:right="57"/>
              <w:jc w:val="center"/>
              <w:rPr>
                <w:rFonts w:ascii="Times New Roman" w:eastAsia="Times New Roman" w:hAnsi="Times New Roman"/>
                <w:bCs/>
                <w:sz w:val="24"/>
                <w:szCs w:val="24"/>
                <w:lang w:eastAsia="lv-LV"/>
              </w:rPr>
            </w:pPr>
            <w:r w:rsidRPr="00212084">
              <w:rPr>
                <w:rFonts w:ascii="Times New Roman" w:eastAsia="Times New Roman" w:hAnsi="Times New Roman"/>
                <w:b/>
                <w:bCs/>
                <w:sz w:val="24"/>
                <w:szCs w:val="24"/>
                <w:lang w:eastAsia="lv-LV"/>
              </w:rPr>
              <w:t>II.</w:t>
            </w:r>
            <w:r w:rsidRPr="00212084">
              <w:rPr>
                <w:rFonts w:ascii="Times New Roman" w:eastAsia="Times New Roman" w:hAnsi="Times New Roman"/>
                <w:bCs/>
                <w:sz w:val="24"/>
                <w:szCs w:val="24"/>
                <w:lang w:eastAsia="lv-LV"/>
              </w:rPr>
              <w:t xml:space="preserve"> </w:t>
            </w:r>
            <w:r w:rsidRPr="00212084">
              <w:rPr>
                <w:rFonts w:ascii="Times New Roman" w:eastAsia="Times New Roman" w:hAnsi="Times New Roman"/>
                <w:b/>
                <w:bCs/>
                <w:sz w:val="24"/>
                <w:szCs w:val="24"/>
                <w:lang w:eastAsia="lv-LV"/>
              </w:rPr>
              <w:t>Tiesību akta projekta ietekme uz sabiedrību, tautsaimniecības attīstību</w:t>
            </w:r>
          </w:p>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un administratīvo slogu</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lastRenderedPageBreak/>
              <w:t>1.</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sz w:val="24"/>
                <w:szCs w:val="24"/>
                <w:lang w:eastAsia="lv-LV"/>
              </w:rPr>
              <w:t>Sabiedrības mērķgrupas, kuras tiesiskais regulējums ietekmē vai varētu ietekmēt</w:t>
            </w:r>
          </w:p>
        </w:tc>
        <w:tc>
          <w:tcPr>
            <w:tcW w:w="5819" w:type="dxa"/>
            <w:shd w:val="clear" w:color="auto" w:fill="auto"/>
          </w:tcPr>
          <w:p w:rsidR="00774A5D" w:rsidRPr="00212084" w:rsidRDefault="00774A5D" w:rsidP="00865AAC">
            <w:pPr>
              <w:spacing w:after="0" w:line="240" w:lineRule="auto"/>
              <w:jc w:val="both"/>
              <w:rPr>
                <w:rFonts w:ascii="Times New Roman" w:hAnsi="Times New Roman"/>
                <w:sz w:val="24"/>
                <w:szCs w:val="24"/>
              </w:rPr>
            </w:pPr>
            <w:r w:rsidRPr="00212084">
              <w:rPr>
                <w:rFonts w:ascii="Times New Roman" w:hAnsi="Times New Roman"/>
                <w:iCs/>
                <w:sz w:val="24"/>
                <w:szCs w:val="24"/>
              </w:rPr>
              <w:t xml:space="preserve">Likumprojekts ietekmē ģimenes, kuras ir zaudējušas apgādnieku sakarā ar nelaimes gadījumu darbā vai konstatēto arodslimību. </w:t>
            </w:r>
            <w:r w:rsidRPr="00212084">
              <w:rPr>
                <w:rFonts w:ascii="Times New Roman" w:eastAsia="Times New Roman" w:hAnsi="Times New Roman"/>
                <w:iCs/>
                <w:sz w:val="24"/>
                <w:szCs w:val="24"/>
                <w:lang w:eastAsia="ar-SA"/>
              </w:rPr>
              <w:t>Pēc VSAA datiem 2016.gada I pusgadā atlīdzību par apgādnieka zaudējumu saņēma 74 personas, vidējais piešķirtais apmērs 249,35 EUR, atlīdzības par darbspēju zaudējumu – 9778 personas, vidējais atlīdzības piešķirtais apmērs 296,62 EUR.</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 xml:space="preserve">2. </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sz w:val="24"/>
                <w:szCs w:val="24"/>
                <w:lang w:eastAsia="lv-LV"/>
              </w:rPr>
              <w:t>Tiesiskā regulējuma ietekme uz tautsaimniecību un administratīvo slogu</w:t>
            </w:r>
          </w:p>
        </w:tc>
        <w:tc>
          <w:tcPr>
            <w:tcW w:w="5819" w:type="dxa"/>
            <w:shd w:val="clear" w:color="auto" w:fill="auto"/>
          </w:tcPr>
          <w:p w:rsidR="00774A5D" w:rsidRPr="00FC0729" w:rsidRDefault="00774A5D" w:rsidP="00865AAC">
            <w:pPr>
              <w:spacing w:after="0" w:line="240" w:lineRule="auto"/>
              <w:jc w:val="both"/>
              <w:rPr>
                <w:rFonts w:ascii="Times New Roman" w:eastAsia="Times New Roman" w:hAnsi="Times New Roman"/>
                <w:sz w:val="24"/>
                <w:szCs w:val="24"/>
                <w:lang w:eastAsia="lv-LV"/>
              </w:rPr>
            </w:pPr>
            <w:r w:rsidRPr="004F2037">
              <w:rPr>
                <w:rFonts w:ascii="Times New Roman" w:hAnsi="Times New Roman"/>
                <w:iCs/>
                <w:sz w:val="24"/>
                <w:szCs w:val="24"/>
              </w:rPr>
              <w:t xml:space="preserve">Likumprojekta tiesiskais regulējums nemaina sabiedrības tiesības un pienākumus, kā arī veicamās darbības. </w:t>
            </w:r>
            <w:r w:rsidRPr="00FC0729">
              <w:rPr>
                <w:rFonts w:ascii="Times New Roman" w:eastAsia="Times New Roman" w:hAnsi="Times New Roman"/>
                <w:iCs/>
                <w:sz w:val="24"/>
                <w:szCs w:val="24"/>
                <w:lang w:eastAsia="lv-LV"/>
              </w:rPr>
              <w:t>Likumprojekts nerada papildus administratīvo slogu.</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3.</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Administratīvo izmaksu monetārs novērtējums</w:t>
            </w: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i/>
                <w:sz w:val="24"/>
                <w:szCs w:val="24"/>
                <w:lang w:eastAsia="lv-LV"/>
              </w:rPr>
            </w:pPr>
            <w:r w:rsidRPr="00212084">
              <w:rPr>
                <w:rFonts w:ascii="Times New Roman" w:eastAsia="Times New Roman" w:hAnsi="Times New Roman"/>
                <w:iCs/>
                <w:sz w:val="24"/>
                <w:szCs w:val="24"/>
                <w:lang w:eastAsia="lv-LV"/>
              </w:rPr>
              <w:t>Likumprojekts šo jomu neskar.</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 xml:space="preserve">4. </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Cita informācija</w:t>
            </w: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iCs/>
                <w:lang w:eastAsia="lv-LV"/>
              </w:rPr>
            </w:pPr>
            <w:r w:rsidRPr="00212084">
              <w:rPr>
                <w:rFonts w:ascii="Times New Roman" w:eastAsia="Times New Roman" w:hAnsi="Times New Roman"/>
                <w:iCs/>
                <w:lang w:eastAsia="lv-LV"/>
              </w:rPr>
              <w:t>Nav.</w:t>
            </w:r>
          </w:p>
        </w:tc>
      </w:tr>
    </w:tbl>
    <w:p w:rsidR="00774A5D" w:rsidRPr="00212084" w:rsidRDefault="00774A5D" w:rsidP="00774A5D">
      <w:pPr>
        <w:spacing w:after="0" w:line="240" w:lineRule="auto"/>
        <w:rPr>
          <w:rFonts w:ascii="Times New Roman" w:eastAsia="Times New Roman" w:hAnsi="Times New Roman"/>
          <w:sz w:val="24"/>
          <w:szCs w:val="24"/>
          <w:lang w:eastAsia="lv-LV"/>
        </w:rPr>
      </w:pPr>
    </w:p>
    <w:tbl>
      <w:tblPr>
        <w:tblW w:w="966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
        <w:gridCol w:w="2287"/>
        <w:gridCol w:w="1841"/>
        <w:gridCol w:w="1700"/>
        <w:gridCol w:w="1275"/>
        <w:gridCol w:w="1275"/>
        <w:gridCol w:w="1244"/>
        <w:gridCol w:w="12"/>
      </w:tblGrid>
      <w:tr w:rsidR="00774A5D" w:rsidTr="00865AAC">
        <w:trPr>
          <w:gridBefore w:val="1"/>
          <w:wBefore w:w="26" w:type="dxa"/>
        </w:trPr>
        <w:tc>
          <w:tcPr>
            <w:tcW w:w="9634" w:type="dxa"/>
            <w:gridSpan w:val="7"/>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
                <w:sz w:val="24"/>
                <w:szCs w:val="24"/>
              </w:rPr>
            </w:pPr>
            <w:r>
              <w:rPr>
                <w:rFonts w:ascii="Times New Roman" w:hAnsi="Times New Roman"/>
                <w:b/>
                <w:sz w:val="24"/>
                <w:szCs w:val="24"/>
              </w:rPr>
              <w:br w:type="page"/>
              <w:t>III. Tiesību akta projekta ietekme uz valsts budžetu un pašvaldību budžetiem</w:t>
            </w:r>
          </w:p>
        </w:tc>
      </w:tr>
      <w:tr w:rsidR="00774A5D" w:rsidTr="00865AAC">
        <w:trPr>
          <w:gridAfter w:val="1"/>
          <w:wAfter w:w="12" w:type="dxa"/>
        </w:trPr>
        <w:tc>
          <w:tcPr>
            <w:tcW w:w="23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lang w:eastAsia="en-US"/>
              </w:rPr>
            </w:pPr>
            <w:r>
              <w:rPr>
                <w:b/>
                <w:lang w:eastAsia="en-US"/>
              </w:rPr>
              <w:t>Rādītāji</w:t>
            </w:r>
          </w:p>
        </w:tc>
        <w:tc>
          <w:tcPr>
            <w:tcW w:w="35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lang w:eastAsia="en-US"/>
              </w:rPr>
            </w:pPr>
            <w:r>
              <w:rPr>
                <w:b/>
                <w:lang w:eastAsia="en-US"/>
              </w:rPr>
              <w:t>2016. gads</w:t>
            </w:r>
          </w:p>
        </w:tc>
        <w:tc>
          <w:tcPr>
            <w:tcW w:w="3794" w:type="dxa"/>
            <w:gridSpan w:val="3"/>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Turpmākie trīs gadi (euro)</w:t>
            </w:r>
          </w:p>
        </w:tc>
      </w:tr>
      <w:tr w:rsidR="00774A5D" w:rsidTr="00865AAC">
        <w:trPr>
          <w:gridAfter w:val="1"/>
          <w:wAfter w:w="12" w:type="dxa"/>
        </w:trPr>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b/>
                <w:sz w:val="24"/>
                <w:szCs w:val="24"/>
              </w:rPr>
            </w:pPr>
          </w:p>
        </w:tc>
        <w:tc>
          <w:tcPr>
            <w:tcW w:w="3541" w:type="dxa"/>
            <w:gridSpan w:val="2"/>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b/>
                <w:bCs/>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b/>
                <w:bCs/>
                <w:lang w:eastAsia="en-US"/>
              </w:rPr>
              <w:t>2018</w:t>
            </w:r>
          </w:p>
        </w:tc>
        <w:tc>
          <w:tcPr>
            <w:tcW w:w="1244"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b/>
                <w:bCs/>
                <w:lang w:eastAsia="en-US"/>
              </w:rPr>
              <w:t>2019</w:t>
            </w:r>
          </w:p>
        </w:tc>
      </w:tr>
      <w:tr w:rsidR="00774A5D" w:rsidTr="00865AAC">
        <w:trPr>
          <w:gridAfter w:val="1"/>
          <w:wAfter w:w="12" w:type="dxa"/>
        </w:trPr>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b/>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saskaņā ar valsts budžetu kārtējam gadam</w:t>
            </w:r>
          </w:p>
        </w:tc>
        <w:tc>
          <w:tcPr>
            <w:tcW w:w="1700"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izmaiņas kārtējā gadā, salīdzinot ar valsts budžetu kārtējam gadam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izmaiņas, salīdzinot ar kārtējo (n) gadu</w:t>
            </w:r>
          </w:p>
        </w:tc>
        <w:tc>
          <w:tcPr>
            <w:tcW w:w="1244"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
                <w:i/>
                <w:lang w:eastAsia="en-US"/>
              </w:rPr>
            </w:pPr>
            <w:r>
              <w:rPr>
                <w:lang w:eastAsia="en-US"/>
              </w:rPr>
              <w:t>izmaiņas, salīdzinot ar kārtējo (n) gadu</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5</w:t>
            </w:r>
          </w:p>
        </w:tc>
        <w:tc>
          <w:tcPr>
            <w:tcW w:w="1244"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bCs/>
                <w:lang w:eastAsia="en-US"/>
              </w:rPr>
            </w:pPr>
            <w:r>
              <w:rPr>
                <w:bCs/>
                <w:lang w:eastAsia="en-US"/>
              </w:rPr>
              <w:t>6</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rPr>
                <w:i/>
                <w:lang w:eastAsia="en-US"/>
              </w:rPr>
            </w:pPr>
            <w:r>
              <w:rPr>
                <w:lang w:eastAsia="en-US"/>
              </w:rPr>
              <w:t>1. Budžeta ieņēmumi:</w:t>
            </w:r>
          </w:p>
        </w:tc>
        <w:tc>
          <w:tcPr>
            <w:tcW w:w="1841" w:type="dxa"/>
            <w:tcBorders>
              <w:top w:val="single" w:sz="4" w:space="0" w:color="auto"/>
              <w:left w:val="single" w:sz="4" w:space="0" w:color="auto"/>
              <w:bottom w:val="single" w:sz="4" w:space="0" w:color="auto"/>
              <w:right w:val="single" w:sz="4" w:space="0" w:color="auto"/>
            </w:tcBorders>
            <w:hideMark/>
          </w:tcPr>
          <w:p w:rsidR="00774A5D" w:rsidRPr="00576F6A" w:rsidRDefault="00774A5D" w:rsidP="00865AAC">
            <w:pPr>
              <w:pStyle w:val="naisf"/>
              <w:spacing w:before="0" w:beforeAutospacing="0" w:after="0" w:afterAutospacing="0" w:line="276" w:lineRule="auto"/>
              <w:jc w:val="center"/>
              <w:rPr>
                <w:sz w:val="20"/>
                <w:szCs w:val="20"/>
                <w:lang w:eastAsia="en-US"/>
              </w:rPr>
            </w:pPr>
            <w:r w:rsidRPr="00576F6A">
              <w:rPr>
                <w:sz w:val="20"/>
                <w:szCs w:val="20"/>
                <w:lang w:eastAsia="en-US"/>
              </w:rPr>
              <w:t xml:space="preserve"> </w:t>
            </w:r>
            <w:r w:rsidRPr="002932A6">
              <w:rPr>
                <w:sz w:val="20"/>
                <w:szCs w:val="20"/>
                <w:lang w:eastAsia="en-US"/>
              </w:rPr>
              <w:t>40 263 680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rPr>
                <w:i/>
                <w:lang w:eastAsia="en-US"/>
              </w:rPr>
            </w:pPr>
            <w:r>
              <w:rPr>
                <w:lang w:eastAsia="en-US"/>
              </w:rPr>
              <w:t>1.1. valsts pamatbudžets, tai skaitā ieņēmumi no maksas pakalpojumiem un citi pašu ieņēmumi</w:t>
            </w:r>
          </w:p>
        </w:tc>
        <w:tc>
          <w:tcPr>
            <w:tcW w:w="1841"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rPr>
                <w:i/>
                <w:lang w:eastAsia="en-US"/>
              </w:rPr>
            </w:pPr>
            <w:r>
              <w:rPr>
                <w:lang w:eastAsia="en-US"/>
              </w:rPr>
              <w:t>1.2. valsts speciālais budžets</w:t>
            </w:r>
          </w:p>
        </w:tc>
        <w:tc>
          <w:tcPr>
            <w:tcW w:w="1841"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pStyle w:val="naisf"/>
              <w:spacing w:before="0" w:beforeAutospacing="0" w:after="0" w:afterAutospacing="0" w:line="276" w:lineRule="auto"/>
              <w:jc w:val="center"/>
              <w:rPr>
                <w:sz w:val="20"/>
                <w:szCs w:val="20"/>
                <w:lang w:eastAsia="en-US"/>
              </w:rPr>
            </w:pPr>
            <w:r w:rsidRPr="00576F6A">
              <w:rPr>
                <w:sz w:val="20"/>
                <w:szCs w:val="20"/>
                <w:lang w:eastAsia="en-US"/>
              </w:rPr>
              <w:t xml:space="preserve"> </w:t>
            </w:r>
            <w:r w:rsidRPr="002932A6">
              <w:rPr>
                <w:sz w:val="20"/>
                <w:szCs w:val="20"/>
                <w:lang w:eastAsia="en-US"/>
              </w:rPr>
              <w:t>40 263 680</w:t>
            </w:r>
          </w:p>
        </w:tc>
        <w:tc>
          <w:tcPr>
            <w:tcW w:w="1700"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rPr>
                <w:lang w:eastAsia="en-US"/>
              </w:rPr>
            </w:pPr>
            <w:r w:rsidRPr="00576F6A">
              <w:rPr>
                <w:i/>
              </w:rPr>
              <w:t>04.03.00 „Darba negadījumu speciālais budžets</w:t>
            </w:r>
            <w:r>
              <w:rPr>
                <w:i/>
              </w:rPr>
              <w:t>”</w:t>
            </w:r>
          </w:p>
        </w:tc>
        <w:tc>
          <w:tcPr>
            <w:tcW w:w="1841"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b/>
                <w:i/>
                <w:lang w:eastAsia="en-US"/>
              </w:rPr>
            </w:pPr>
            <w:r w:rsidRPr="002932A6">
              <w:rPr>
                <w:i/>
                <w:sz w:val="18"/>
                <w:szCs w:val="18"/>
                <w:lang w:eastAsia="en-US"/>
              </w:rPr>
              <w:t>40 263 680</w:t>
            </w:r>
          </w:p>
        </w:tc>
        <w:tc>
          <w:tcPr>
            <w:tcW w:w="1700"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rPr>
                <w:i/>
                <w:lang w:eastAsia="en-US"/>
              </w:rPr>
            </w:pPr>
            <w:r>
              <w:rPr>
                <w:lang w:eastAsia="en-US"/>
              </w:rPr>
              <w:t>1.3. pašvaldību budžets</w:t>
            </w:r>
          </w:p>
        </w:tc>
        <w:tc>
          <w:tcPr>
            <w:tcW w:w="1841" w:type="dxa"/>
            <w:tcBorders>
              <w:top w:val="single" w:sz="4" w:space="0" w:color="auto"/>
              <w:left w:val="single" w:sz="4" w:space="0" w:color="auto"/>
              <w:bottom w:val="single" w:sz="4" w:space="0" w:color="auto"/>
              <w:right w:val="single" w:sz="4" w:space="0" w:color="auto"/>
            </w:tcBorders>
            <w:hideMark/>
          </w:tcPr>
          <w:p w:rsidR="00774A5D" w:rsidRPr="002932A6" w:rsidRDefault="00774A5D" w:rsidP="00865AAC">
            <w:pPr>
              <w:pStyle w:val="naisf"/>
              <w:spacing w:before="0" w:beforeAutospacing="0" w:after="0" w:afterAutospacing="0" w:line="276" w:lineRule="auto"/>
              <w:jc w:val="center"/>
              <w:rPr>
                <w:sz w:val="20"/>
                <w:szCs w:val="20"/>
                <w:lang w:eastAsia="en-US"/>
              </w:rPr>
            </w:pPr>
            <w:r w:rsidRPr="002932A6">
              <w:rPr>
                <w:sz w:val="20"/>
                <w:szCs w:val="20"/>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2. Budžeta izdevumi:</w:t>
            </w:r>
          </w:p>
        </w:tc>
        <w:tc>
          <w:tcPr>
            <w:tcW w:w="1841"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pStyle w:val="naisf"/>
              <w:spacing w:before="0" w:beforeAutospacing="0" w:after="0" w:afterAutospacing="0" w:line="276" w:lineRule="auto"/>
              <w:jc w:val="center"/>
              <w:rPr>
                <w:sz w:val="20"/>
                <w:szCs w:val="20"/>
                <w:lang w:eastAsia="en-US"/>
              </w:rPr>
            </w:pPr>
            <w:r w:rsidRPr="002932A6">
              <w:rPr>
                <w:sz w:val="20"/>
                <w:szCs w:val="20"/>
                <w:lang w:eastAsia="en-US"/>
              </w:rPr>
              <w:t>34 322 104</w:t>
            </w:r>
          </w:p>
        </w:tc>
        <w:tc>
          <w:tcPr>
            <w:tcW w:w="1700"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2.1. valsts pamatbudžets</w:t>
            </w:r>
          </w:p>
        </w:tc>
        <w:tc>
          <w:tcPr>
            <w:tcW w:w="1841"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p w:rsidR="00774A5D" w:rsidRDefault="00774A5D" w:rsidP="00865AAC">
            <w:pPr>
              <w:pStyle w:val="naisf"/>
              <w:spacing w:before="0" w:beforeAutospacing="0" w:after="0" w:afterAutospacing="0" w:line="276" w:lineRule="auto"/>
              <w:jc w:val="center"/>
              <w:rPr>
                <w:b/>
                <w:i/>
                <w:lang w:eastAsia="en-US"/>
              </w:rPr>
            </w:pPr>
          </w:p>
        </w:tc>
        <w:tc>
          <w:tcPr>
            <w:tcW w:w="1700"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2.2. valsts speciālais budžets</w:t>
            </w:r>
          </w:p>
        </w:tc>
        <w:tc>
          <w:tcPr>
            <w:tcW w:w="1841"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sz w:val="20"/>
                <w:szCs w:val="20"/>
                <w:lang w:eastAsia="en-US"/>
              </w:rPr>
            </w:pPr>
            <w:r w:rsidRPr="002932A6">
              <w:rPr>
                <w:sz w:val="20"/>
                <w:szCs w:val="20"/>
                <w:lang w:eastAsia="en-US"/>
              </w:rPr>
              <w:t>34 322 104</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20"/>
                <w:szCs w:val="20"/>
                <w:lang w:eastAsia="en-US"/>
              </w:rPr>
            </w:pPr>
            <w:r>
              <w:rPr>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Default="00774A5D" w:rsidP="00865AAC">
            <w:pPr>
              <w:spacing w:after="0" w:line="240" w:lineRule="auto"/>
              <w:rPr>
                <w:rFonts w:ascii="Times New Roman" w:hAnsi="Times New Roman"/>
                <w:sz w:val="24"/>
                <w:szCs w:val="24"/>
              </w:rPr>
            </w:pPr>
            <w:r w:rsidRPr="00576F6A">
              <w:rPr>
                <w:rFonts w:ascii="Times New Roman" w:hAnsi="Times New Roman"/>
                <w:i/>
                <w:sz w:val="24"/>
                <w:szCs w:val="24"/>
              </w:rPr>
              <w:t>04.03.00 „Darba negadījumu speciālais budžets</w:t>
            </w:r>
            <w:r>
              <w:rPr>
                <w:rFonts w:ascii="Times New Roman" w:hAnsi="Times New Roman"/>
                <w:i/>
                <w:sz w:val="24"/>
                <w:szCs w:val="24"/>
              </w:rPr>
              <w:t xml:space="preserve">”, </w:t>
            </w:r>
            <w:r>
              <w:rPr>
                <w:rFonts w:ascii="Times New Roman" w:hAnsi="Times New Roman"/>
                <w:i/>
                <w:sz w:val="24"/>
                <w:szCs w:val="24"/>
              </w:rPr>
              <w:lastRenderedPageBreak/>
              <w:t>t.sk.</w:t>
            </w:r>
          </w:p>
        </w:tc>
        <w:tc>
          <w:tcPr>
            <w:tcW w:w="1841"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18"/>
                <w:szCs w:val="18"/>
                <w:lang w:eastAsia="en-US"/>
              </w:rPr>
            </w:pPr>
            <w:r w:rsidRPr="002932A6">
              <w:rPr>
                <w:i/>
                <w:sz w:val="18"/>
                <w:szCs w:val="18"/>
                <w:lang w:eastAsia="en-US"/>
              </w:rPr>
              <w:lastRenderedPageBreak/>
              <w:t>34 322 104</w:t>
            </w:r>
          </w:p>
        </w:tc>
        <w:tc>
          <w:tcPr>
            <w:tcW w:w="1700"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Pr="00576F6A" w:rsidRDefault="00774A5D" w:rsidP="00865AAC">
            <w:pPr>
              <w:spacing w:after="0" w:line="240" w:lineRule="auto"/>
              <w:jc w:val="right"/>
              <w:rPr>
                <w:rFonts w:ascii="Times New Roman" w:hAnsi="Times New Roman"/>
                <w:i/>
                <w:sz w:val="24"/>
                <w:szCs w:val="24"/>
              </w:rPr>
            </w:pPr>
            <w:r>
              <w:rPr>
                <w:rFonts w:ascii="Times New Roman" w:hAnsi="Times New Roman"/>
                <w:i/>
                <w:sz w:val="24"/>
                <w:szCs w:val="24"/>
              </w:rPr>
              <w:lastRenderedPageBreak/>
              <w:t>a</w:t>
            </w:r>
            <w:r w:rsidRPr="002932A6">
              <w:rPr>
                <w:rFonts w:ascii="Times New Roman" w:hAnsi="Times New Roman"/>
                <w:i/>
                <w:sz w:val="24"/>
                <w:szCs w:val="24"/>
              </w:rPr>
              <w:t>tlīdzība par apgādnieka zaudējumu</w:t>
            </w:r>
          </w:p>
        </w:tc>
        <w:tc>
          <w:tcPr>
            <w:tcW w:w="1841"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18"/>
                <w:szCs w:val="18"/>
                <w:lang w:eastAsia="en-US"/>
              </w:rPr>
            </w:pPr>
            <w:r>
              <w:rPr>
                <w:i/>
                <w:sz w:val="18"/>
                <w:szCs w:val="18"/>
                <w:lang w:eastAsia="en-US"/>
              </w:rPr>
              <w:t>218 265</w:t>
            </w:r>
          </w:p>
        </w:tc>
        <w:tc>
          <w:tcPr>
            <w:tcW w:w="1700"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tcPr>
          <w:p w:rsidR="00774A5D" w:rsidRPr="002932A6" w:rsidRDefault="00774A5D" w:rsidP="00865AAC">
            <w:pPr>
              <w:pStyle w:val="naisf"/>
              <w:spacing w:before="0" w:beforeAutospacing="0" w:after="0" w:afterAutospacing="0" w:line="276" w:lineRule="auto"/>
              <w:jc w:val="center"/>
              <w:rPr>
                <w:i/>
                <w:sz w:val="20"/>
                <w:szCs w:val="20"/>
                <w:lang w:eastAsia="en-US"/>
              </w:rPr>
            </w:pPr>
            <w:r w:rsidRPr="002932A6">
              <w:rPr>
                <w:i/>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 xml:space="preserve">2.3. pašvaldību budžets </w:t>
            </w:r>
          </w:p>
        </w:tc>
        <w:tc>
          <w:tcPr>
            <w:tcW w:w="1841"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18"/>
                <w:szCs w:val="18"/>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3. Finansiālā ietekme:</w:t>
            </w:r>
          </w:p>
        </w:tc>
        <w:tc>
          <w:tcPr>
            <w:tcW w:w="1841" w:type="dxa"/>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5 941 576</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3.1. valsts pamatbudžets</w:t>
            </w:r>
          </w:p>
        </w:tc>
        <w:tc>
          <w:tcPr>
            <w:tcW w:w="1841"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3.2. speciālais budžets</w:t>
            </w:r>
          </w:p>
        </w:tc>
        <w:tc>
          <w:tcPr>
            <w:tcW w:w="1841"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5 941 576</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r>
      <w:tr w:rsidR="00774A5D" w:rsidRPr="00576F6A"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tcPr>
          <w:p w:rsidR="00774A5D" w:rsidRPr="00576F6A" w:rsidRDefault="00774A5D" w:rsidP="00865AAC">
            <w:pPr>
              <w:spacing w:after="0" w:line="240" w:lineRule="auto"/>
              <w:rPr>
                <w:rFonts w:ascii="Times New Roman" w:hAnsi="Times New Roman"/>
                <w:i/>
                <w:sz w:val="24"/>
                <w:szCs w:val="24"/>
              </w:rPr>
            </w:pPr>
            <w:r w:rsidRPr="00576F6A">
              <w:rPr>
                <w:rFonts w:ascii="Times New Roman" w:hAnsi="Times New Roman"/>
                <w:i/>
                <w:sz w:val="24"/>
                <w:szCs w:val="24"/>
              </w:rPr>
              <w:t>04.03.00 „Darba negadījumu speciālais budžets</w:t>
            </w:r>
            <w:r>
              <w:rPr>
                <w:rFonts w:ascii="Times New Roman" w:hAnsi="Times New Roman"/>
                <w:i/>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pStyle w:val="naisf"/>
              <w:spacing w:before="0" w:beforeAutospacing="0" w:after="0" w:afterAutospacing="0" w:line="276" w:lineRule="auto"/>
              <w:jc w:val="center"/>
              <w:rPr>
                <w:i/>
                <w:sz w:val="18"/>
                <w:szCs w:val="18"/>
                <w:lang w:eastAsia="en-US"/>
              </w:rPr>
            </w:pPr>
            <w:r>
              <w:rPr>
                <w:i/>
                <w:sz w:val="18"/>
                <w:szCs w:val="18"/>
                <w:lang w:eastAsia="en-US"/>
              </w:rPr>
              <w:t>5 941 576</w:t>
            </w:r>
          </w:p>
        </w:tc>
        <w:tc>
          <w:tcPr>
            <w:tcW w:w="1700"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jc w:val="center"/>
              <w:rPr>
                <w:rFonts w:ascii="Times New Roman" w:hAnsi="Times New Roman"/>
                <w:bCs/>
                <w:i/>
                <w:sz w:val="18"/>
                <w:szCs w:val="18"/>
              </w:rPr>
            </w:pPr>
            <w:r w:rsidRPr="00576F6A">
              <w:rPr>
                <w:rFonts w:ascii="Times New Roman" w:hAnsi="Times New Roman"/>
                <w:bCs/>
                <w:i/>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jc w:val="center"/>
              <w:rPr>
                <w:rFonts w:ascii="Times New Roman" w:hAnsi="Times New Roman"/>
                <w:bCs/>
                <w:i/>
                <w:sz w:val="18"/>
                <w:szCs w:val="18"/>
              </w:rPr>
            </w:pPr>
            <w:r w:rsidRPr="00576F6A">
              <w:rPr>
                <w:rFonts w:ascii="Times New Roman" w:hAnsi="Times New Roman"/>
                <w:bCs/>
                <w:i/>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jc w:val="center"/>
              <w:rPr>
                <w:rFonts w:ascii="Times New Roman" w:hAnsi="Times New Roman"/>
                <w:bCs/>
                <w:i/>
                <w:sz w:val="18"/>
                <w:szCs w:val="18"/>
              </w:rPr>
            </w:pPr>
            <w:r w:rsidRPr="00576F6A">
              <w:rPr>
                <w:rFonts w:ascii="Times New Roman" w:hAnsi="Times New Roman"/>
                <w:bCs/>
                <w:i/>
                <w:sz w:val="18"/>
                <w:szCs w:val="18"/>
              </w:rPr>
              <w:t>0</w:t>
            </w:r>
          </w:p>
        </w:tc>
        <w:tc>
          <w:tcPr>
            <w:tcW w:w="1244" w:type="dxa"/>
            <w:tcBorders>
              <w:top w:val="single" w:sz="4" w:space="0" w:color="auto"/>
              <w:left w:val="single" w:sz="4" w:space="0" w:color="auto"/>
              <w:bottom w:val="single" w:sz="4" w:space="0" w:color="auto"/>
              <w:right w:val="single" w:sz="4" w:space="0" w:color="auto"/>
            </w:tcBorders>
          </w:tcPr>
          <w:p w:rsidR="00774A5D" w:rsidRPr="00576F6A" w:rsidRDefault="00774A5D" w:rsidP="00865AAC">
            <w:pPr>
              <w:jc w:val="center"/>
              <w:rPr>
                <w:rFonts w:ascii="Times New Roman" w:hAnsi="Times New Roman"/>
                <w:bCs/>
                <w:i/>
                <w:sz w:val="18"/>
                <w:szCs w:val="18"/>
              </w:rPr>
            </w:pPr>
            <w:r w:rsidRPr="00576F6A">
              <w:rPr>
                <w:rFonts w:ascii="Times New Roman" w:hAnsi="Times New Roman"/>
                <w:bCs/>
                <w:i/>
                <w:sz w:val="18"/>
                <w:szCs w:val="18"/>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 xml:space="preserve">3.3. pašvaldību budžets </w:t>
            </w:r>
          </w:p>
        </w:tc>
        <w:tc>
          <w:tcPr>
            <w:tcW w:w="1841" w:type="dxa"/>
            <w:tcBorders>
              <w:top w:val="single" w:sz="4" w:space="0" w:color="auto"/>
              <w:left w:val="single" w:sz="4" w:space="0" w:color="auto"/>
              <w:bottom w:val="single" w:sz="4" w:space="0" w:color="auto"/>
              <w:right w:val="single" w:sz="4" w:space="0" w:color="auto"/>
            </w:tcBorders>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jc w:val="center"/>
              <w:rPr>
                <w:rFonts w:ascii="Times New Roman" w:hAnsi="Times New Roman"/>
                <w:bCs/>
                <w:sz w:val="18"/>
                <w:szCs w:val="18"/>
              </w:rPr>
            </w:pPr>
            <w:r>
              <w:rPr>
                <w:rFonts w:ascii="Times New Roman" w:hAnsi="Times New Roman"/>
                <w:bCs/>
                <w:sz w:val="18"/>
                <w:szCs w:val="18"/>
              </w:rPr>
              <w:t>0</w:t>
            </w:r>
          </w:p>
        </w:tc>
      </w:tr>
      <w:tr w:rsidR="00774A5D" w:rsidTr="00865AAC">
        <w:trPr>
          <w:gridAfter w:val="1"/>
          <w:wAfter w:w="12" w:type="dxa"/>
        </w:trPr>
        <w:tc>
          <w:tcPr>
            <w:tcW w:w="2313" w:type="dxa"/>
            <w:gridSpan w:val="2"/>
            <w:vMerge w:val="restart"/>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4. Finanšu līdzekļi papildu izdevumu finansēšanai (kompensējošu izdevumu samazinājumu norāda ar "+" zīmi)</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i/>
                <w:lang w:eastAsia="en-US"/>
              </w:rPr>
            </w:pPr>
            <w:r>
              <w:rPr>
                <w:lang w:eastAsia="en-US"/>
              </w:rPr>
              <w:t>X</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sz w:val="18"/>
                <w:szCs w:val="18"/>
                <w:lang w:eastAsia="en-US"/>
              </w:rPr>
            </w:pPr>
            <w:r>
              <w:rPr>
                <w:bCs/>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sz w:val="18"/>
                <w:szCs w:val="18"/>
                <w:lang w:eastAsia="en-US"/>
              </w:rPr>
            </w:pPr>
            <w:r>
              <w:rPr>
                <w:bCs/>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sz w:val="18"/>
                <w:szCs w:val="18"/>
                <w:lang w:eastAsia="en-US"/>
              </w:rPr>
            </w:pPr>
            <w:r>
              <w:rPr>
                <w:bCs/>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sz w:val="18"/>
                <w:szCs w:val="18"/>
                <w:lang w:eastAsia="en-US"/>
              </w:rPr>
            </w:pPr>
            <w:r>
              <w:rPr>
                <w:bCs/>
                <w:sz w:val="18"/>
                <w:szCs w:val="18"/>
                <w:lang w:eastAsia="en-US"/>
              </w:rPr>
              <w:t>0</w:t>
            </w:r>
          </w:p>
        </w:tc>
      </w:tr>
      <w:tr w:rsidR="00774A5D" w:rsidTr="00865AAC">
        <w:trPr>
          <w:gridAfter w:val="1"/>
          <w:wAfter w:w="12" w:type="dxa"/>
        </w:trPr>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hAnsi="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r>
      <w:tr w:rsidR="00774A5D" w:rsidTr="00865AAC">
        <w:trPr>
          <w:gridAfter w:val="1"/>
          <w:wAfter w:w="12" w:type="dxa"/>
        </w:trPr>
        <w:tc>
          <w:tcPr>
            <w:tcW w:w="2313" w:type="dxa"/>
            <w:gridSpan w:val="2"/>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hAnsi="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5. Precizēta finansiālā ietekme:</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i/>
                <w:lang w:eastAsia="en-US"/>
              </w:rPr>
            </w:pPr>
            <w:r>
              <w:rPr>
                <w:lang w:eastAsia="en-US"/>
              </w:rPr>
              <w:t>X</w:t>
            </w: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5.1. valsts pamatbudžets</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5.2. speciālais budžets</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sz w:val="18"/>
                <w:szCs w:val="18"/>
                <w:lang w:eastAsia="en-US"/>
              </w:rPr>
            </w:pPr>
            <w:r>
              <w:rPr>
                <w:sz w:val="18"/>
                <w:szCs w:val="18"/>
                <w:lang w:eastAsia="en-US"/>
              </w:rPr>
              <w:t>0</w:t>
            </w:r>
          </w:p>
        </w:tc>
      </w:tr>
      <w:tr w:rsidR="00774A5D" w:rsidTr="00865AAC">
        <w:trPr>
          <w:gridAfter w:val="1"/>
          <w:wAfter w:w="12" w:type="dxa"/>
          <w:trHeight w:val="731"/>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 xml:space="preserve">5.3. pašvaldību budžets </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rFonts w:ascii="Times New Roman" w:eastAsia="Times New Roman" w:hAnsi="Times New Roman"/>
                <w:i/>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rsidR="00774A5D" w:rsidRDefault="00774A5D" w:rsidP="00865AAC">
            <w:pPr>
              <w:pStyle w:val="naisf"/>
              <w:spacing w:before="0" w:beforeAutospacing="0" w:after="0" w:afterAutospacing="0" w:line="276" w:lineRule="auto"/>
              <w:jc w:val="center"/>
              <w:rPr>
                <w:b/>
                <w:i/>
                <w:lang w:eastAsia="en-US"/>
              </w:rPr>
            </w:pPr>
            <w:r>
              <w:rPr>
                <w:bCs/>
                <w:sz w:val="20"/>
                <w:szCs w:val="20"/>
                <w:lang w:eastAsia="en-US"/>
              </w:rPr>
              <w:t>0</w:t>
            </w:r>
          </w:p>
        </w:tc>
      </w:tr>
      <w:tr w:rsidR="00774A5D" w:rsidTr="00865AAC">
        <w:trPr>
          <w:gridAfter w:val="1"/>
          <w:wAfter w:w="12" w:type="dxa"/>
          <w:trHeight w:val="2713"/>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6. Detalizēts ieņēmumu un izdevumu aprēķins (ja nepie</w:t>
            </w:r>
            <w:r>
              <w:rPr>
                <w:rFonts w:ascii="Times New Roman" w:hAnsi="Times New Roman"/>
                <w:sz w:val="24"/>
                <w:szCs w:val="24"/>
              </w:rPr>
              <w:softHyphen/>
              <w:t>ciešams, detalizētu ieņēmumu un izdevumu aprēķinu var pie</w:t>
            </w:r>
            <w:r>
              <w:rPr>
                <w:rFonts w:ascii="Times New Roman" w:hAnsi="Times New Roman"/>
                <w:sz w:val="24"/>
                <w:szCs w:val="24"/>
              </w:rPr>
              <w:softHyphen/>
              <w:t>vienot anotācijas pielikumā):</w:t>
            </w:r>
          </w:p>
        </w:tc>
        <w:tc>
          <w:tcPr>
            <w:tcW w:w="7335" w:type="dxa"/>
            <w:gridSpan w:val="5"/>
            <w:vMerge w:val="restart"/>
            <w:tcBorders>
              <w:top w:val="single" w:sz="4" w:space="0" w:color="auto"/>
              <w:left w:val="single" w:sz="4" w:space="0" w:color="auto"/>
              <w:bottom w:val="single" w:sz="4" w:space="0" w:color="auto"/>
              <w:right w:val="single" w:sz="4" w:space="0" w:color="auto"/>
            </w:tcBorders>
          </w:tcPr>
          <w:p w:rsidR="00774A5D" w:rsidRDefault="00774A5D" w:rsidP="00865AAC">
            <w:pPr>
              <w:spacing w:after="0" w:line="240" w:lineRule="auto"/>
              <w:jc w:val="both"/>
              <w:rPr>
                <w:rFonts w:ascii="Times New Roman" w:eastAsiaTheme="minorHAnsi" w:hAnsi="Times New Roman"/>
                <w:color w:val="000000"/>
                <w:sz w:val="24"/>
                <w:szCs w:val="24"/>
                <w:highlight w:val="yellow"/>
              </w:rPr>
            </w:pPr>
            <w:r>
              <w:rPr>
                <w:rFonts w:ascii="Times New Roman" w:eastAsiaTheme="minorHAnsi" w:hAnsi="Times New Roman"/>
                <w:color w:val="000000"/>
                <w:sz w:val="24"/>
                <w:szCs w:val="24"/>
              </w:rPr>
              <w:t xml:space="preserve">Novērtējot likumprojekta ietekmi uz valsts budžetu likumprojekta sagatavošanas brīdī, secināms, ka 2017.gadā ietekme uz darba negadījumu budžeta izdevumiem atlīdzībai par apgādnieka zaudējumu  ir minimāla un to iespējams īstenot sociālās apdrošināšanas speciālā budžeta apakšprogrammas 04.03.00 „Darba negadījumu speciālais budžets” piešķirtā finansējuma ietvaros. Labklājības ministrija, sagatavojot 2018.gada-2020.gada  bāzes prognozes, pastiprināti izvērtēs visus atlīdzības ietekmējošos faktorus un, nepieciešamības gadījumā atlīdzības nodrošināšanai  likumprojektā paredzēto dotāciju no valsts pamatbudžeta iekļaus Labklājības ministrijas pamatbudžeta programmas 04.00.00 „Valsts atbalsts sociālajai apdrošināšanai” izdevumu pieprasījumā. Šobrīd ar Ministru kabineta 2016.gada 16.augusta sēdes protokola Nr.40 59.§ 2.punktu Labklājības ministrijai apstiprināto papildu finansējumu pasākumam „Atbalsta palielināšana apgādnieka zaudējuma pensijas saņēmējiem” 2017.-2019.gadā 4 000 000 </w:t>
            </w:r>
            <w:r>
              <w:rPr>
                <w:rFonts w:ascii="Times New Roman" w:eastAsiaTheme="minorHAnsi" w:hAnsi="Times New Roman"/>
                <w:i/>
                <w:iCs/>
                <w:color w:val="000000"/>
                <w:sz w:val="24"/>
                <w:szCs w:val="24"/>
              </w:rPr>
              <w:t>euro</w:t>
            </w:r>
            <w:r>
              <w:rPr>
                <w:rFonts w:ascii="Times New Roman" w:eastAsiaTheme="minorHAnsi" w:hAnsi="Times New Roman"/>
                <w:color w:val="000000"/>
                <w:sz w:val="24"/>
                <w:szCs w:val="24"/>
              </w:rPr>
              <w:t xml:space="preserve"> apmērā plānots novirzīt:</w:t>
            </w:r>
          </w:p>
          <w:p w:rsidR="00774A5D" w:rsidRPr="00FA192A" w:rsidRDefault="00774A5D" w:rsidP="00865AAC">
            <w:pPr>
              <w:pStyle w:val="ListParagraph"/>
              <w:numPr>
                <w:ilvl w:val="0"/>
                <w:numId w:val="3"/>
              </w:numPr>
              <w:jc w:val="both"/>
              <w:rPr>
                <w:rFonts w:eastAsiaTheme="minorHAnsi"/>
                <w:color w:val="000000"/>
              </w:rPr>
            </w:pPr>
            <w:r w:rsidRPr="004F2037">
              <w:rPr>
                <w:rFonts w:eastAsiaTheme="minorHAnsi"/>
                <w:color w:val="000000"/>
              </w:rPr>
              <w:t xml:space="preserve"> </w:t>
            </w:r>
            <w:r w:rsidRPr="00FA192A">
              <w:rPr>
                <w:rFonts w:eastAsiaTheme="minorHAnsi"/>
                <w:color w:val="000000"/>
              </w:rPr>
              <w:t xml:space="preserve">speciālā budžeta apakšprogrammas 04.01.00 „Valsts pensiju speciālais budžets” izdevumiem pensijas apgādnieka zaudējuma gadījumā nodrošināšanai (2017.gadā 3 736 730 euro apmērā un </w:t>
            </w:r>
            <w:r w:rsidRPr="00FA192A">
              <w:rPr>
                <w:rFonts w:eastAsiaTheme="minorHAnsi"/>
                <w:color w:val="000000"/>
              </w:rPr>
              <w:lastRenderedPageBreak/>
              <w:t>2018.gadā un turpmāk 3 800 000 euro apmērā), speciālā budžeta apakšprogrammas 04.05.00 „Valsts sociālās apdrošināšanas speciālais budžets” izdevumiem pamatkapitāla veidošanai (IT sistēmu pielāgošanai) 2017.gadā 66 600 euro apmērā, veicot grozījumus likumā „Par valsts pensijām”;</w:t>
            </w:r>
          </w:p>
          <w:p w:rsidR="00774A5D" w:rsidRPr="004F2037" w:rsidRDefault="00774A5D" w:rsidP="00865AAC">
            <w:pPr>
              <w:pStyle w:val="ListParagraph"/>
              <w:numPr>
                <w:ilvl w:val="0"/>
                <w:numId w:val="3"/>
              </w:numPr>
              <w:jc w:val="both"/>
              <w:rPr>
                <w:rFonts w:eastAsiaTheme="minorHAnsi"/>
                <w:color w:val="000000"/>
              </w:rPr>
            </w:pPr>
            <w:r w:rsidRPr="00FA192A">
              <w:rPr>
                <w:rFonts w:eastAsiaTheme="minorHAnsi"/>
                <w:color w:val="000000"/>
              </w:rPr>
              <w:t>pamatbudžeta apakšprogrammas 20.01.00 „Valsts sociālie pabalsti” izdevumiem valsts sociālā nodrošinājuma pabalsta palielināšanai 2017.gadā 196 670 euro apmērā u 2018.gadā un turpmāk 200 000 euro apmērā, veicot grozījumus Valsts sociālo pabalstu likumā.</w:t>
            </w: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6.1. detalizēts ieņēmumu aprēķins</w:t>
            </w:r>
          </w:p>
        </w:tc>
        <w:tc>
          <w:tcPr>
            <w:tcW w:w="7335" w:type="dxa"/>
            <w:gridSpan w:val="5"/>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b/>
                <w:i/>
                <w:highlight w:val="yellow"/>
              </w:rPr>
            </w:pPr>
          </w:p>
        </w:tc>
      </w:tr>
      <w:tr w:rsidR="00774A5D" w:rsidTr="00865AAC">
        <w:trPr>
          <w:gridAfter w:val="1"/>
          <w:wAfter w:w="12" w:type="dxa"/>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t>6.2. detalizēts izdevumu aprēķins</w:t>
            </w:r>
          </w:p>
        </w:tc>
        <w:tc>
          <w:tcPr>
            <w:tcW w:w="7335" w:type="dxa"/>
            <w:gridSpan w:val="5"/>
            <w:vMerge/>
            <w:tcBorders>
              <w:top w:val="single" w:sz="4" w:space="0" w:color="auto"/>
              <w:left w:val="single" w:sz="4" w:space="0" w:color="auto"/>
              <w:bottom w:val="single" w:sz="4" w:space="0" w:color="auto"/>
              <w:right w:val="single" w:sz="4" w:space="0" w:color="auto"/>
            </w:tcBorders>
            <w:vAlign w:val="center"/>
            <w:hideMark/>
          </w:tcPr>
          <w:p w:rsidR="00774A5D" w:rsidRDefault="00774A5D" w:rsidP="00865AAC">
            <w:pPr>
              <w:spacing w:after="0" w:line="240" w:lineRule="auto"/>
              <w:rPr>
                <w:b/>
                <w:i/>
                <w:highlight w:val="yellow"/>
              </w:rPr>
            </w:pPr>
          </w:p>
        </w:tc>
      </w:tr>
      <w:tr w:rsidR="00774A5D" w:rsidTr="00865AAC">
        <w:trPr>
          <w:gridAfter w:val="1"/>
          <w:wAfter w:w="12" w:type="dxa"/>
          <w:trHeight w:val="415"/>
        </w:trPr>
        <w:tc>
          <w:tcPr>
            <w:tcW w:w="2313" w:type="dxa"/>
            <w:gridSpan w:val="2"/>
            <w:tcBorders>
              <w:top w:val="single" w:sz="4" w:space="0" w:color="auto"/>
              <w:left w:val="single" w:sz="4" w:space="0" w:color="auto"/>
              <w:bottom w:val="single" w:sz="4" w:space="0" w:color="auto"/>
              <w:right w:val="single" w:sz="4" w:space="0" w:color="auto"/>
            </w:tcBorders>
            <w:hideMark/>
          </w:tcPr>
          <w:p w:rsidR="00774A5D" w:rsidRDefault="00774A5D" w:rsidP="00865AAC">
            <w:pPr>
              <w:spacing w:after="0" w:line="240" w:lineRule="auto"/>
              <w:rPr>
                <w:rFonts w:ascii="Times New Roman" w:hAnsi="Times New Roman"/>
                <w:sz w:val="24"/>
                <w:szCs w:val="24"/>
              </w:rPr>
            </w:pPr>
            <w:r>
              <w:rPr>
                <w:rFonts w:ascii="Times New Roman" w:hAnsi="Times New Roman"/>
                <w:sz w:val="24"/>
                <w:szCs w:val="24"/>
              </w:rPr>
              <w:lastRenderedPageBreak/>
              <w:t>7. Cita informācija</w:t>
            </w:r>
          </w:p>
        </w:tc>
        <w:tc>
          <w:tcPr>
            <w:tcW w:w="7335" w:type="dxa"/>
            <w:gridSpan w:val="5"/>
            <w:tcBorders>
              <w:top w:val="single" w:sz="4" w:space="0" w:color="auto"/>
              <w:left w:val="single" w:sz="4" w:space="0" w:color="auto"/>
              <w:bottom w:val="single" w:sz="4" w:space="0" w:color="auto"/>
              <w:right w:val="single" w:sz="4" w:space="0" w:color="auto"/>
            </w:tcBorders>
          </w:tcPr>
          <w:p w:rsidR="00774A5D" w:rsidRDefault="00774A5D" w:rsidP="00865AAC">
            <w:pPr>
              <w:autoSpaceDE w:val="0"/>
              <w:autoSpaceDN w:val="0"/>
              <w:adjustRightInd w:val="0"/>
              <w:spacing w:after="0" w:line="240" w:lineRule="auto"/>
              <w:ind w:firstLine="229"/>
              <w:jc w:val="both"/>
              <w:rPr>
                <w:rFonts w:ascii="Times New Roman" w:hAnsi="Times New Roman"/>
                <w:sz w:val="24"/>
                <w:szCs w:val="24"/>
              </w:rPr>
            </w:pPr>
          </w:p>
        </w:tc>
      </w:tr>
    </w:tbl>
    <w:p w:rsidR="00774A5D" w:rsidRPr="00212084" w:rsidRDefault="00774A5D" w:rsidP="00774A5D">
      <w:pPr>
        <w:spacing w:after="0" w:line="240" w:lineRule="auto"/>
        <w:rPr>
          <w:rFonts w:ascii="Times New Roman" w:eastAsia="Times New Roman" w:hAnsi="Times New Roman"/>
          <w:sz w:val="24"/>
          <w:szCs w:val="24"/>
          <w:lang w:eastAsia="lv-LV"/>
        </w:rPr>
      </w:pPr>
    </w:p>
    <w:p w:rsidR="00774A5D" w:rsidRPr="00212084" w:rsidRDefault="00774A5D" w:rsidP="00774A5D">
      <w:pPr>
        <w:spacing w:after="0" w:line="240" w:lineRule="auto"/>
        <w:rPr>
          <w:rFonts w:ascii="Times New Roman" w:eastAsia="Times New Roman" w:hAnsi="Times New Roman"/>
          <w:sz w:val="24"/>
          <w:szCs w:val="24"/>
          <w:lang w:eastAsia="lv-LV"/>
        </w:rPr>
      </w:pPr>
    </w:p>
    <w:p w:rsidR="00774A5D" w:rsidRPr="00212084" w:rsidRDefault="00774A5D" w:rsidP="00774A5D">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08"/>
      </w:tblGrid>
      <w:tr w:rsidR="00774A5D" w:rsidRPr="00212084" w:rsidTr="00865AAC">
        <w:tc>
          <w:tcPr>
            <w:tcW w:w="9180" w:type="dxa"/>
            <w:gridSpan w:val="2"/>
            <w:shd w:val="clear" w:color="auto" w:fill="auto"/>
          </w:tcPr>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IV. Tiesību akta projekta ietekme uz spēkā esošo tiesību normu sistēmu</w:t>
            </w:r>
          </w:p>
        </w:tc>
      </w:tr>
      <w:tr w:rsidR="00774A5D" w:rsidRPr="00212084" w:rsidTr="00865AAC">
        <w:tc>
          <w:tcPr>
            <w:tcW w:w="3072"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Nepieciešamie saistītie tiesību aktu projekti</w:t>
            </w:r>
          </w:p>
        </w:tc>
        <w:tc>
          <w:tcPr>
            <w:tcW w:w="6108" w:type="dxa"/>
            <w:shd w:val="clear" w:color="auto" w:fill="auto"/>
          </w:tcPr>
          <w:p w:rsidR="00774A5D" w:rsidRDefault="00774A5D" w:rsidP="00865AAC">
            <w:pPr>
              <w:suppressAutoHyphens/>
              <w:spacing w:after="0" w:line="240" w:lineRule="auto"/>
              <w:jc w:val="both"/>
              <w:rPr>
                <w:rFonts w:ascii="Times New Roman" w:eastAsia="Times New Roman" w:hAnsi="Times New Roman"/>
                <w:sz w:val="24"/>
                <w:szCs w:val="24"/>
                <w:lang w:eastAsia="ar-SA"/>
              </w:rPr>
            </w:pPr>
            <w:r w:rsidRPr="009E73B1">
              <w:rPr>
                <w:rFonts w:ascii="Times New Roman" w:eastAsia="Times New Roman" w:hAnsi="Times New Roman"/>
                <w:sz w:val="24"/>
                <w:szCs w:val="24"/>
                <w:lang w:eastAsia="ar-SA"/>
              </w:rPr>
              <w:t>Likumprojekts izskatāms vienotā paketē ar Finanšu ministrijas sagatavoto likumprojektu „Par valsts budžetu 2017.gadam”.</w:t>
            </w:r>
          </w:p>
          <w:p w:rsidR="00774A5D" w:rsidRDefault="00774A5D" w:rsidP="00865AAC">
            <w:pPr>
              <w:suppressAutoHyphens/>
              <w:spacing w:after="0" w:line="240" w:lineRule="auto"/>
              <w:jc w:val="both"/>
              <w:rPr>
                <w:rFonts w:ascii="Times New Roman" w:eastAsia="Times New Roman" w:hAnsi="Times New Roman"/>
                <w:sz w:val="24"/>
                <w:szCs w:val="24"/>
                <w:lang w:eastAsia="ar-SA"/>
              </w:rPr>
            </w:pPr>
          </w:p>
          <w:p w:rsidR="00774A5D" w:rsidRDefault="00774A5D" w:rsidP="00865AAC">
            <w:pPr>
              <w:autoSpaceDE w:val="0"/>
              <w:autoSpaceDN w:val="0"/>
              <w:adjustRightInd w:val="0"/>
              <w:spacing w:after="0" w:line="240" w:lineRule="auto"/>
              <w:jc w:val="both"/>
              <w:rPr>
                <w:rFonts w:ascii="Times New Roman" w:hAnsi="Times New Roman"/>
                <w:bCs/>
                <w:sz w:val="24"/>
                <w:szCs w:val="24"/>
                <w:shd w:val="clear" w:color="auto" w:fill="FFFFFF"/>
              </w:rPr>
            </w:pPr>
            <w:r>
              <w:rPr>
                <w:rFonts w:ascii="Times New Roman" w:eastAsia="Times New Roman" w:hAnsi="Times New Roman"/>
                <w:color w:val="000000"/>
                <w:sz w:val="24"/>
                <w:szCs w:val="24"/>
                <w:lang w:eastAsia="ar-SA"/>
              </w:rPr>
              <w:t xml:space="preserve">Likumprojekts saistīts ar likumprojektiem </w:t>
            </w:r>
            <w:r w:rsidRPr="00212084">
              <w:rPr>
                <w:rFonts w:ascii="Times New Roman" w:hAnsi="Times New Roman"/>
                <w:sz w:val="24"/>
                <w:szCs w:val="24"/>
              </w:rPr>
              <w:t xml:space="preserve">„Grozījumi likumā „Par valsts pensijām”” un „Grozījumi </w:t>
            </w:r>
            <w:r>
              <w:rPr>
                <w:rFonts w:ascii="Times New Roman" w:hAnsi="Times New Roman"/>
                <w:sz w:val="24"/>
                <w:szCs w:val="24"/>
              </w:rPr>
              <w:t xml:space="preserve">Valsts sociālo pabalstu </w:t>
            </w:r>
            <w:r w:rsidRPr="00212084">
              <w:rPr>
                <w:rFonts w:ascii="Times New Roman" w:hAnsi="Times New Roman"/>
                <w:sz w:val="24"/>
                <w:szCs w:val="24"/>
              </w:rPr>
              <w:t>likumā</w:t>
            </w:r>
            <w:r w:rsidRPr="00212084">
              <w:rPr>
                <w:rFonts w:ascii="Times New Roman" w:hAnsi="Times New Roman"/>
                <w:bCs/>
                <w:sz w:val="24"/>
                <w:szCs w:val="24"/>
                <w:shd w:val="clear" w:color="auto" w:fill="FFFFFF"/>
              </w:rPr>
              <w:t>”.</w:t>
            </w:r>
          </w:p>
          <w:p w:rsidR="00774A5D" w:rsidRPr="00212084" w:rsidRDefault="00774A5D" w:rsidP="00865AAC">
            <w:pPr>
              <w:autoSpaceDE w:val="0"/>
              <w:autoSpaceDN w:val="0"/>
              <w:adjustRightInd w:val="0"/>
              <w:spacing w:after="0" w:line="240" w:lineRule="auto"/>
              <w:jc w:val="both"/>
              <w:rPr>
                <w:rFonts w:ascii="Times New Roman" w:hAnsi="Times New Roman"/>
                <w:sz w:val="24"/>
                <w:szCs w:val="24"/>
              </w:rPr>
            </w:pPr>
          </w:p>
          <w:p w:rsidR="00774A5D" w:rsidRDefault="00774A5D" w:rsidP="00865AAC">
            <w:pPr>
              <w:suppressAutoHyphens/>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Pēc likumprojekta pieņemšanas Saeimā Labklājības ministrija nodrošinās Ministru kabineta noteikumu izstrādi, lai no 2017.gada 1.aprīļa noteiktu atlīdzības par apgādnieku zaudējumu minimālo apmēru katram bērnam un tā pārskatīšanas kārtību.</w:t>
            </w:r>
          </w:p>
          <w:p w:rsidR="00774A5D" w:rsidRDefault="00774A5D" w:rsidP="00865AAC">
            <w:pPr>
              <w:suppressAutoHyphens/>
              <w:spacing w:after="0" w:line="240" w:lineRule="auto"/>
              <w:jc w:val="both"/>
              <w:rPr>
                <w:rFonts w:ascii="Times New Roman" w:eastAsia="Times New Roman" w:hAnsi="Times New Roman"/>
                <w:sz w:val="24"/>
                <w:szCs w:val="24"/>
                <w:lang w:eastAsia="ar-SA"/>
              </w:rPr>
            </w:pPr>
          </w:p>
          <w:p w:rsidR="00774A5D" w:rsidRPr="00504F4B" w:rsidRDefault="00774A5D" w:rsidP="00865AAC">
            <w:pPr>
              <w:shd w:val="clear" w:color="auto" w:fill="FFFFFF"/>
              <w:jc w:val="both"/>
              <w:rPr>
                <w:rFonts w:ascii="Times New Roman" w:eastAsia="Times New Roman" w:hAnsi="Times New Roman"/>
                <w:sz w:val="24"/>
                <w:szCs w:val="24"/>
                <w:lang w:eastAsia="lv-LV"/>
              </w:rPr>
            </w:pPr>
            <w:r w:rsidRPr="00AA0AEE">
              <w:rPr>
                <w:rFonts w:ascii="Times New Roman" w:eastAsia="Times New Roman" w:hAnsi="Times New Roman"/>
                <w:sz w:val="24"/>
                <w:szCs w:val="24"/>
                <w:lang w:eastAsia="lv-LV"/>
              </w:rPr>
              <w:t>Līdz 2019.gada 31.decembrim jāizstrādā Ministru kabineta noteikumi par vidējās apdrošināšanas iemaksu algas aprēķināšanas nosacījumiem un kārtību</w:t>
            </w:r>
            <w:r>
              <w:rPr>
                <w:rFonts w:ascii="Times New Roman" w:eastAsia="Times New Roman" w:hAnsi="Times New Roman"/>
                <w:sz w:val="24"/>
                <w:szCs w:val="24"/>
                <w:lang w:eastAsia="lv-LV"/>
              </w:rPr>
              <w:t xml:space="preserve"> (visiem sociālās apdrošināšanas pakalpojumiem un apdrošināšanas atlīdzībām)</w:t>
            </w:r>
            <w:r w:rsidRPr="00AA0AEE">
              <w:rPr>
                <w:rFonts w:ascii="Times New Roman" w:eastAsia="Times New Roman" w:hAnsi="Times New Roman"/>
                <w:sz w:val="24"/>
                <w:szCs w:val="24"/>
                <w:lang w:eastAsia="lv-LV"/>
              </w:rPr>
              <w:t xml:space="preserve">, kā arī no jauna jāizdod MK noteikumi par </w:t>
            </w:r>
            <w:r w:rsidRPr="007E343A">
              <w:rPr>
                <w:rFonts w:ascii="Times New Roman" w:eastAsia="Times New Roman" w:hAnsi="Times New Roman"/>
                <w:sz w:val="24"/>
                <w:szCs w:val="24"/>
                <w:lang w:eastAsia="lv-LV"/>
              </w:rPr>
              <w:t xml:space="preserve">apdrošināšanas </w:t>
            </w:r>
            <w:r>
              <w:rPr>
                <w:rFonts w:ascii="Times New Roman" w:eastAsia="Times New Roman" w:hAnsi="Times New Roman"/>
                <w:sz w:val="24"/>
                <w:szCs w:val="24"/>
                <w:lang w:eastAsia="lv-LV"/>
              </w:rPr>
              <w:t>atlīdzību</w:t>
            </w:r>
            <w:r w:rsidRPr="007E343A">
              <w:rPr>
                <w:rFonts w:ascii="Times New Roman" w:eastAsia="Times New Roman" w:hAnsi="Times New Roman"/>
                <w:sz w:val="24"/>
                <w:szCs w:val="24"/>
                <w:lang w:eastAsia="lv-LV"/>
              </w:rPr>
              <w:t xml:space="preserve"> piešķiršanas, aprēķināšanas un izmaksas </w:t>
            </w:r>
            <w:r w:rsidRPr="00F55DDE">
              <w:rPr>
                <w:rFonts w:ascii="Times New Roman" w:eastAsia="Times New Roman" w:hAnsi="Times New Roman"/>
                <w:sz w:val="24"/>
                <w:szCs w:val="24"/>
                <w:lang w:eastAsia="lv-LV"/>
              </w:rPr>
              <w:t>kārtīb</w:t>
            </w:r>
            <w:r>
              <w:rPr>
                <w:rFonts w:ascii="Times New Roman" w:eastAsia="Times New Roman" w:hAnsi="Times New Roman"/>
                <w:sz w:val="24"/>
                <w:szCs w:val="24"/>
                <w:lang w:eastAsia="lv-LV"/>
              </w:rPr>
              <w:t>u (izdoti saskaņā ar L</w:t>
            </w:r>
            <w:r w:rsidRPr="00AA0AEE">
              <w:rPr>
                <w:rFonts w:ascii="Times New Roman" w:eastAsia="Times New Roman" w:hAnsi="Times New Roman"/>
                <w:sz w:val="24"/>
                <w:szCs w:val="24"/>
                <w:lang w:eastAsia="lv-LV"/>
              </w:rPr>
              <w:t xml:space="preserve">ikuma </w:t>
            </w:r>
            <w:r>
              <w:rPr>
                <w:rFonts w:ascii="Times New Roman" w:eastAsia="Times New Roman" w:hAnsi="Times New Roman"/>
                <w:sz w:val="24"/>
                <w:szCs w:val="24"/>
                <w:lang w:eastAsia="lv-LV"/>
              </w:rPr>
              <w:t>8.</w:t>
            </w:r>
            <w:r w:rsidRPr="00AA0AEE">
              <w:rPr>
                <w:rFonts w:ascii="Times New Roman" w:eastAsia="Times New Roman" w:hAnsi="Times New Roman"/>
                <w:sz w:val="24"/>
                <w:szCs w:val="24"/>
                <w:lang w:eastAsia="lv-LV"/>
              </w:rPr>
              <w:t>pantu</w:t>
            </w:r>
            <w:r>
              <w:rPr>
                <w:rFonts w:ascii="Times New Roman" w:eastAsia="Times New Roman" w:hAnsi="Times New Roman"/>
                <w:sz w:val="24"/>
                <w:szCs w:val="24"/>
                <w:lang w:eastAsia="lv-LV"/>
              </w:rPr>
              <w:t>)</w:t>
            </w:r>
            <w:r w:rsidRPr="00AA0AEE">
              <w:rPr>
                <w:rFonts w:ascii="Times New Roman" w:eastAsia="Times New Roman" w:hAnsi="Times New Roman"/>
                <w:sz w:val="24"/>
                <w:szCs w:val="24"/>
                <w:lang w:eastAsia="lv-LV"/>
              </w:rPr>
              <w:t>.</w:t>
            </w:r>
            <w:r w:rsidRPr="00343B0A">
              <w:rPr>
                <w:rFonts w:ascii="Times New Roman" w:eastAsia="Times New Roman" w:hAnsi="Times New Roman"/>
                <w:sz w:val="24"/>
                <w:szCs w:val="24"/>
                <w:lang w:eastAsia="lv-LV"/>
              </w:rPr>
              <w:t xml:space="preserve"> Līdz attiecīgo noteikumu spēkā stāšanās dienai, bet ne ilgāk kā līdz 2019.gada 31.decembrim, piemērojami Ministru kabineta 1999.gada 16.februāra MK noteikumi Nr.50  „Obligātās sociālās apdrošināšanas pret nelaimes gadījumiem darbā un arodslimībām apdrošināšanas atlīdzības piešķiršanas un aprēķināšanas kārtība”, ciktāl tie nav pretrunā ar šo likumu.</w:t>
            </w:r>
          </w:p>
          <w:p w:rsidR="00774A5D" w:rsidRPr="00212084" w:rsidRDefault="00774A5D" w:rsidP="00774A5D">
            <w:pPr>
              <w:pStyle w:val="naisf"/>
              <w:jc w:val="both"/>
              <w:rPr>
                <w:b/>
                <w:i/>
                <w:iCs/>
              </w:rPr>
            </w:pPr>
            <w:r w:rsidRPr="00AA0AEE">
              <w:t xml:space="preserve">Ar 2020.gada 1.janvāri spēku zaudēs </w:t>
            </w:r>
            <w:r w:rsidRPr="007E343A">
              <w:t xml:space="preserve">Ministru kabineta </w:t>
            </w:r>
            <w:r w:rsidRPr="003333CB">
              <w:t>1999.gada 16.februāra MK noteiku</w:t>
            </w:r>
            <w:r>
              <w:t>mi</w:t>
            </w:r>
            <w:r w:rsidRPr="003333CB">
              <w:t xml:space="preserve"> Nr.50  „Obligātās sociālās apdrošināšanas pret nelaimes gadījumiem darbā un arodslimībām apdrošināšanas atlīdzības piešķiršanas un aprēķināšanas kārtība”</w:t>
            </w:r>
            <w:r>
              <w:t>.</w:t>
            </w:r>
          </w:p>
        </w:tc>
      </w:tr>
      <w:tr w:rsidR="00774A5D" w:rsidRPr="00212084" w:rsidTr="00865AAC">
        <w:tc>
          <w:tcPr>
            <w:tcW w:w="3072" w:type="dxa"/>
            <w:shd w:val="clear" w:color="auto" w:fill="auto"/>
          </w:tcPr>
          <w:p w:rsidR="00774A5D" w:rsidRPr="00212084" w:rsidRDefault="00774A5D" w:rsidP="00865AAC">
            <w:pPr>
              <w:tabs>
                <w:tab w:val="left" w:pos="2628"/>
              </w:tabs>
              <w:spacing w:after="0" w:line="240" w:lineRule="auto"/>
              <w:jc w:val="both"/>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lastRenderedPageBreak/>
              <w:t>Atbildīgā institūcija</w:t>
            </w:r>
          </w:p>
        </w:tc>
        <w:tc>
          <w:tcPr>
            <w:tcW w:w="6108" w:type="dxa"/>
            <w:shd w:val="clear" w:color="auto" w:fill="auto"/>
          </w:tcPr>
          <w:p w:rsidR="00774A5D" w:rsidRPr="00212084" w:rsidRDefault="00774A5D" w:rsidP="00865AAC">
            <w:pPr>
              <w:tabs>
                <w:tab w:val="left" w:pos="2628"/>
              </w:tabs>
              <w:spacing w:after="0" w:line="240" w:lineRule="auto"/>
              <w:jc w:val="both"/>
              <w:rPr>
                <w:rFonts w:ascii="Times New Roman" w:eastAsia="Times New Roman" w:hAnsi="Times New Roman"/>
                <w:iCs/>
                <w:sz w:val="24"/>
                <w:szCs w:val="24"/>
                <w:lang w:eastAsia="lv-LV"/>
              </w:rPr>
            </w:pPr>
            <w:r w:rsidRPr="00212084">
              <w:rPr>
                <w:rFonts w:ascii="Times New Roman" w:eastAsia="Times New Roman" w:hAnsi="Times New Roman"/>
                <w:iCs/>
                <w:sz w:val="24"/>
                <w:szCs w:val="24"/>
                <w:lang w:eastAsia="lv-LV"/>
              </w:rPr>
              <w:t>Labklājības ministrija.</w:t>
            </w:r>
          </w:p>
        </w:tc>
      </w:tr>
      <w:tr w:rsidR="00774A5D" w:rsidRPr="00212084" w:rsidTr="00865AAC">
        <w:trPr>
          <w:trHeight w:val="627"/>
        </w:trPr>
        <w:tc>
          <w:tcPr>
            <w:tcW w:w="3072"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Cita informācija</w:t>
            </w:r>
          </w:p>
        </w:tc>
        <w:tc>
          <w:tcPr>
            <w:tcW w:w="6108" w:type="dxa"/>
            <w:shd w:val="clear" w:color="auto" w:fill="auto"/>
          </w:tcPr>
          <w:p w:rsidR="00774A5D" w:rsidRPr="00212084" w:rsidRDefault="00774A5D" w:rsidP="00865AAC">
            <w:pPr>
              <w:spacing w:after="0" w:line="240" w:lineRule="auto"/>
              <w:jc w:val="both"/>
              <w:rPr>
                <w:rFonts w:ascii="Times New Roman" w:eastAsia="Times New Roman" w:hAnsi="Times New Roman"/>
                <w:sz w:val="24"/>
                <w:szCs w:val="24"/>
                <w:lang w:eastAsia="lv-LV"/>
              </w:rPr>
            </w:pPr>
            <w:r w:rsidRPr="00212084">
              <w:rPr>
                <w:rFonts w:ascii="Times New Roman" w:eastAsia="Times New Roman" w:hAnsi="Times New Roman"/>
                <w:iCs/>
                <w:sz w:val="24"/>
                <w:szCs w:val="24"/>
                <w:lang w:eastAsia="lv-LV"/>
              </w:rPr>
              <w:t>Nav.</w:t>
            </w:r>
          </w:p>
        </w:tc>
      </w:tr>
    </w:tbl>
    <w:p w:rsidR="00774A5D" w:rsidRPr="00212084" w:rsidRDefault="00774A5D" w:rsidP="00774A5D">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74A5D" w:rsidRPr="00212084" w:rsidTr="00865AAC">
        <w:tc>
          <w:tcPr>
            <w:tcW w:w="9287" w:type="dxa"/>
            <w:shd w:val="clear" w:color="auto" w:fill="auto"/>
          </w:tcPr>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V. Tiesību akta projekta atbilstība Latvijas Republikas starptautiskajām saistībām</w:t>
            </w:r>
          </w:p>
        </w:tc>
      </w:tr>
      <w:tr w:rsidR="00774A5D" w:rsidRPr="00212084" w:rsidTr="00865AAC">
        <w:trPr>
          <w:trHeight w:val="278"/>
        </w:trPr>
        <w:tc>
          <w:tcPr>
            <w:tcW w:w="9287" w:type="dxa"/>
            <w:shd w:val="clear" w:color="auto" w:fill="auto"/>
          </w:tcPr>
          <w:p w:rsidR="00774A5D" w:rsidRPr="00212084" w:rsidRDefault="00774A5D" w:rsidP="00865AAC">
            <w:pPr>
              <w:spacing w:after="0" w:line="240" w:lineRule="auto"/>
              <w:jc w:val="center"/>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Likumprojekts šo jomu neskar.</w:t>
            </w:r>
          </w:p>
        </w:tc>
      </w:tr>
    </w:tbl>
    <w:p w:rsidR="00774A5D" w:rsidRPr="00212084" w:rsidRDefault="00774A5D" w:rsidP="00774A5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774A5D" w:rsidRPr="00212084" w:rsidTr="00865AAC">
        <w:tc>
          <w:tcPr>
            <w:tcW w:w="9287" w:type="dxa"/>
            <w:gridSpan w:val="3"/>
            <w:shd w:val="clear" w:color="auto" w:fill="auto"/>
          </w:tcPr>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VI. Sabiedrības līdzdalība un komunikācijas aktivitātes</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 xml:space="preserve">1. </w:t>
            </w:r>
          </w:p>
        </w:tc>
        <w:tc>
          <w:tcPr>
            <w:tcW w:w="3072" w:type="dxa"/>
            <w:shd w:val="clear" w:color="auto" w:fill="auto"/>
          </w:tcPr>
          <w:p w:rsidR="00774A5D" w:rsidRPr="00212084" w:rsidRDefault="00774A5D" w:rsidP="00865AAC">
            <w:pPr>
              <w:spacing w:after="0" w:line="240" w:lineRule="auto"/>
              <w:ind w:left="57" w:right="57"/>
              <w:rPr>
                <w:rFonts w:ascii="Times New Roman" w:eastAsia="Times New Roman" w:hAnsi="Times New Roman"/>
                <w:lang w:eastAsia="lv-LV"/>
              </w:rPr>
            </w:pPr>
            <w:r w:rsidRPr="00212084">
              <w:rPr>
                <w:rFonts w:ascii="Times New Roman" w:eastAsia="Times New Roman" w:hAnsi="Times New Roman"/>
                <w:sz w:val="24"/>
                <w:szCs w:val="24"/>
                <w:lang w:eastAsia="lv-LV"/>
              </w:rPr>
              <w:t>Plānotās sabiedrības līdzdalības un komunikācijas aktivitātes saistībā ar projektu</w:t>
            </w: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i/>
                <w:sz w:val="24"/>
                <w:szCs w:val="24"/>
                <w:lang w:eastAsia="lv-LV"/>
              </w:rPr>
            </w:pPr>
            <w:r w:rsidRPr="00212084">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2017.gadam”.</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 xml:space="preserve">2. </w:t>
            </w:r>
          </w:p>
        </w:tc>
        <w:tc>
          <w:tcPr>
            <w:tcW w:w="3072" w:type="dxa"/>
            <w:shd w:val="clear" w:color="auto" w:fill="auto"/>
          </w:tcPr>
          <w:p w:rsidR="00774A5D" w:rsidRPr="00212084" w:rsidRDefault="00774A5D" w:rsidP="00865AAC">
            <w:pPr>
              <w:spacing w:after="0" w:line="240" w:lineRule="auto"/>
              <w:ind w:left="57" w:right="57"/>
              <w:rPr>
                <w:rFonts w:ascii="Times New Roman" w:eastAsia="Times New Roman" w:hAnsi="Times New Roman"/>
                <w:lang w:eastAsia="lv-LV"/>
              </w:rPr>
            </w:pPr>
            <w:r w:rsidRPr="00212084">
              <w:rPr>
                <w:rFonts w:ascii="Times New Roman" w:eastAsia="Times New Roman" w:hAnsi="Times New Roman"/>
                <w:lang w:eastAsia="lv-LV"/>
              </w:rPr>
              <w:t xml:space="preserve">Sabiedrības līdzdalība projekta izstrādē </w:t>
            </w:r>
          </w:p>
        </w:tc>
        <w:tc>
          <w:tcPr>
            <w:tcW w:w="5819" w:type="dxa"/>
            <w:shd w:val="clear" w:color="auto" w:fill="auto"/>
          </w:tcPr>
          <w:p w:rsidR="00774A5D" w:rsidRPr="00212084" w:rsidRDefault="00774A5D" w:rsidP="00865AAC">
            <w:pPr>
              <w:spacing w:after="0" w:line="240" w:lineRule="auto"/>
              <w:jc w:val="both"/>
              <w:rPr>
                <w:rFonts w:ascii="Times New Roman" w:hAnsi="Times New Roman"/>
                <w:sz w:val="24"/>
                <w:szCs w:val="24"/>
              </w:rPr>
            </w:pPr>
            <w:r w:rsidRPr="00212084">
              <w:rPr>
                <w:rFonts w:ascii="Times New Roman" w:hAnsi="Times New Roman"/>
                <w:sz w:val="24"/>
                <w:szCs w:val="24"/>
              </w:rPr>
              <w:t xml:space="preserve">Likumprojektā iekļautie pasākumi izriet no Demogrāfisko lietu centra" sagatavotā konceptuālā ziņojuma “Par Sadarbības platformas “Demogrāfisko lietu centrs” priekšlikumiem ģimeņu ar bērniem atbalstam 2017. –2018. gadā”, kas konceptuāli tika atbalstīts 2016.gada 21.jūnija Demogrāfisko lietu padomes sēdē. </w:t>
            </w:r>
          </w:p>
          <w:p w:rsidR="00774A5D" w:rsidRPr="00212084" w:rsidRDefault="00774A5D" w:rsidP="00865AAC">
            <w:pPr>
              <w:spacing w:after="0" w:line="240" w:lineRule="auto"/>
              <w:jc w:val="both"/>
              <w:rPr>
                <w:rFonts w:ascii="Times New Roman" w:hAnsi="Times New Roman"/>
                <w:sz w:val="24"/>
                <w:szCs w:val="24"/>
              </w:rPr>
            </w:pPr>
            <w:r w:rsidRPr="00212084">
              <w:rPr>
                <w:rFonts w:ascii="Times New Roman" w:eastAsia="Times New Roman" w:hAnsi="Times New Roman"/>
                <w:iCs/>
                <w:sz w:val="24"/>
                <w:szCs w:val="24"/>
                <w:lang w:eastAsia="lv-LV"/>
              </w:rPr>
              <w:t xml:space="preserve">Likumprojekts izskatīts </w:t>
            </w:r>
            <w:r w:rsidRPr="00212084">
              <w:rPr>
                <w:rFonts w:ascii="Times New Roman" w:hAnsi="Times New Roman"/>
                <w:sz w:val="24"/>
                <w:szCs w:val="24"/>
              </w:rPr>
              <w:t xml:space="preserve">2016.gada 25.augusta Nacionālās trīspusējās sadarbības padomes (NTSP) </w:t>
            </w:r>
            <w:r>
              <w:rPr>
                <w:rFonts w:ascii="Times New Roman" w:hAnsi="Times New Roman"/>
                <w:sz w:val="24"/>
                <w:szCs w:val="24"/>
              </w:rPr>
              <w:t>Sociālās drošības apakšpadomes</w:t>
            </w:r>
            <w:r w:rsidRPr="00212084">
              <w:rPr>
                <w:rFonts w:ascii="Times New Roman" w:hAnsi="Times New Roman"/>
                <w:sz w:val="24"/>
                <w:szCs w:val="24"/>
              </w:rPr>
              <w:t xml:space="preserve"> sēdē. </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3.</w:t>
            </w:r>
          </w:p>
        </w:tc>
        <w:tc>
          <w:tcPr>
            <w:tcW w:w="3072" w:type="dxa"/>
            <w:shd w:val="clear" w:color="auto" w:fill="auto"/>
          </w:tcPr>
          <w:p w:rsidR="00774A5D" w:rsidRPr="00212084" w:rsidRDefault="00774A5D" w:rsidP="00865AAC">
            <w:pPr>
              <w:spacing w:after="0" w:line="240" w:lineRule="auto"/>
              <w:ind w:left="57" w:right="57"/>
              <w:rPr>
                <w:rFonts w:ascii="Times New Roman" w:eastAsia="Times New Roman" w:hAnsi="Times New Roman"/>
                <w:lang w:eastAsia="lv-LV"/>
              </w:rPr>
            </w:pPr>
            <w:r w:rsidRPr="00212084">
              <w:rPr>
                <w:rFonts w:ascii="Times New Roman" w:eastAsia="Times New Roman" w:hAnsi="Times New Roman"/>
                <w:lang w:eastAsia="lv-LV"/>
              </w:rPr>
              <w:t xml:space="preserve">Sabiedrības līdzdalības rezultāti </w:t>
            </w:r>
          </w:p>
        </w:tc>
        <w:tc>
          <w:tcPr>
            <w:tcW w:w="5819" w:type="dxa"/>
            <w:shd w:val="clear" w:color="auto" w:fill="auto"/>
          </w:tcPr>
          <w:p w:rsidR="00774A5D" w:rsidRPr="00212084" w:rsidRDefault="00774A5D" w:rsidP="00865AAC">
            <w:pPr>
              <w:suppressAutoHyphens/>
              <w:spacing w:after="0" w:line="240" w:lineRule="auto"/>
              <w:ind w:right="57"/>
              <w:jc w:val="both"/>
              <w:rPr>
                <w:rFonts w:ascii="Times New Roman" w:eastAsia="Times New Roman" w:hAnsi="Times New Roman"/>
                <w:iCs/>
                <w:sz w:val="24"/>
                <w:szCs w:val="24"/>
                <w:lang w:eastAsia="ar-SA"/>
              </w:rPr>
            </w:pPr>
            <w:r w:rsidRPr="00212084">
              <w:rPr>
                <w:rFonts w:ascii="Times New Roman" w:hAnsi="Times New Roman"/>
                <w:sz w:val="24"/>
                <w:szCs w:val="24"/>
              </w:rPr>
              <w:t xml:space="preserve">NTSP Sociālās drošības </w:t>
            </w:r>
            <w:r>
              <w:rPr>
                <w:rFonts w:ascii="Times New Roman" w:hAnsi="Times New Roman"/>
                <w:sz w:val="24"/>
                <w:szCs w:val="24"/>
              </w:rPr>
              <w:t>apakšpadomes</w:t>
            </w:r>
            <w:r w:rsidRPr="00212084">
              <w:rPr>
                <w:rFonts w:ascii="Times New Roman" w:hAnsi="Times New Roman"/>
                <w:sz w:val="24"/>
                <w:szCs w:val="24"/>
              </w:rPr>
              <w:t xml:space="preserve"> sēdē likumprojekts atbalstīts.</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4.</w:t>
            </w:r>
          </w:p>
        </w:tc>
        <w:tc>
          <w:tcPr>
            <w:tcW w:w="3072" w:type="dxa"/>
            <w:shd w:val="clear" w:color="auto" w:fill="auto"/>
          </w:tcPr>
          <w:p w:rsidR="00774A5D" w:rsidRPr="00212084" w:rsidRDefault="00774A5D" w:rsidP="00865AAC">
            <w:pPr>
              <w:spacing w:after="0" w:line="240" w:lineRule="auto"/>
              <w:ind w:left="57" w:right="57"/>
              <w:rPr>
                <w:rFonts w:ascii="Times New Roman" w:eastAsia="Times New Roman" w:hAnsi="Times New Roman"/>
                <w:lang w:eastAsia="lv-LV"/>
              </w:rPr>
            </w:pPr>
            <w:r w:rsidRPr="00212084">
              <w:rPr>
                <w:rFonts w:ascii="Times New Roman" w:eastAsia="Times New Roman" w:hAnsi="Times New Roman"/>
                <w:lang w:eastAsia="lv-LV"/>
              </w:rPr>
              <w:t>Cita informācija</w:t>
            </w:r>
          </w:p>
          <w:p w:rsidR="00774A5D" w:rsidRPr="00212084" w:rsidRDefault="00774A5D" w:rsidP="00865AAC">
            <w:pPr>
              <w:spacing w:after="0" w:line="240" w:lineRule="auto"/>
              <w:ind w:left="57" w:right="57"/>
              <w:rPr>
                <w:rFonts w:ascii="Times New Roman" w:eastAsia="Times New Roman" w:hAnsi="Times New Roman"/>
                <w:lang w:eastAsia="lv-LV"/>
              </w:rPr>
            </w:pP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774A5D" w:rsidRPr="00212084" w:rsidRDefault="00774A5D" w:rsidP="00774A5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774A5D" w:rsidRPr="00212084" w:rsidTr="00865AAC">
        <w:tc>
          <w:tcPr>
            <w:tcW w:w="9287" w:type="dxa"/>
            <w:gridSpan w:val="3"/>
            <w:shd w:val="clear" w:color="auto" w:fill="auto"/>
          </w:tcPr>
          <w:p w:rsidR="00774A5D" w:rsidRPr="00212084" w:rsidRDefault="00774A5D" w:rsidP="00865AAC">
            <w:pPr>
              <w:spacing w:after="0" w:line="240" w:lineRule="auto"/>
              <w:jc w:val="center"/>
              <w:rPr>
                <w:rFonts w:ascii="Times New Roman" w:eastAsia="Times New Roman" w:hAnsi="Times New Roman"/>
                <w:b/>
                <w:sz w:val="24"/>
                <w:szCs w:val="24"/>
                <w:lang w:eastAsia="lv-LV"/>
              </w:rPr>
            </w:pPr>
            <w:r w:rsidRPr="00212084">
              <w:rPr>
                <w:rFonts w:ascii="Times New Roman" w:eastAsia="Times New Roman" w:hAnsi="Times New Roman"/>
                <w:b/>
                <w:sz w:val="24"/>
                <w:szCs w:val="24"/>
                <w:lang w:eastAsia="lv-LV"/>
              </w:rPr>
              <w:t>VII. Tiesību akta projekta izpildes nodrošināšana un tās ietekme uz institūcijām</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 xml:space="preserve">1. </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Projekta izpildē iesaistītās institūcijas</w:t>
            </w: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sz w:val="24"/>
                <w:szCs w:val="24"/>
                <w:lang w:eastAsia="lv-LV"/>
              </w:rPr>
            </w:pPr>
            <w:r w:rsidRPr="00212084">
              <w:rPr>
                <w:rFonts w:ascii="Times New Roman" w:eastAsia="Times New Roman" w:hAnsi="Times New Roman"/>
                <w:iCs/>
                <w:sz w:val="24"/>
                <w:szCs w:val="24"/>
                <w:lang w:eastAsia="lv-LV"/>
              </w:rPr>
              <w:t>Likumprojekta izpildi nodrošinās VSAA.</w:t>
            </w: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 xml:space="preserve">2. </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Projekta izpildes ietekme uz pār</w:t>
            </w:r>
            <w:r w:rsidRPr="00212084">
              <w:rPr>
                <w:rFonts w:ascii="Times New Roman" w:eastAsia="Times New Roman" w:hAnsi="Times New Roman"/>
                <w:lang w:eastAsia="lv-LV"/>
              </w:rPr>
              <w:softHyphen/>
              <w:t>valdes funkcijām un institucionālo struktūru.</w:t>
            </w:r>
          </w:p>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Jaunu institūciju izveide, esošu institūciju likvidācija vai reorga</w:t>
            </w:r>
            <w:r w:rsidRPr="00212084">
              <w:rPr>
                <w:rFonts w:ascii="Times New Roman" w:eastAsia="Times New Roman" w:hAnsi="Times New Roman"/>
                <w:lang w:eastAsia="lv-LV"/>
              </w:rPr>
              <w:softHyphen/>
              <w:t>nizācija, to ietekme uz institūcijas cilvēkresursiem</w:t>
            </w:r>
          </w:p>
        </w:tc>
        <w:tc>
          <w:tcPr>
            <w:tcW w:w="5819" w:type="dxa"/>
            <w:shd w:val="clear" w:color="auto" w:fill="auto"/>
          </w:tcPr>
          <w:p w:rsidR="00774A5D" w:rsidRPr="00212084" w:rsidRDefault="00774A5D" w:rsidP="00865AAC">
            <w:pPr>
              <w:jc w:val="both"/>
              <w:rPr>
                <w:rFonts w:ascii="Times New Roman" w:hAnsi="Times New Roman"/>
                <w:sz w:val="24"/>
                <w:szCs w:val="24"/>
              </w:rPr>
            </w:pPr>
            <w:r w:rsidRPr="00212084">
              <w:rPr>
                <w:rFonts w:ascii="Times New Roman" w:hAnsi="Times New Roman"/>
                <w:sz w:val="24"/>
                <w:szCs w:val="24"/>
              </w:rPr>
              <w:t>Likumprojekta izpildi VSAA nodrošinās esošo funkciju ietvaros.</w:t>
            </w:r>
          </w:p>
          <w:p w:rsidR="00774A5D" w:rsidRPr="00212084" w:rsidRDefault="00774A5D" w:rsidP="00865AAC">
            <w:pPr>
              <w:spacing w:after="0" w:line="240" w:lineRule="auto"/>
              <w:jc w:val="both"/>
              <w:rPr>
                <w:rFonts w:ascii="Times New Roman" w:eastAsia="Times New Roman" w:hAnsi="Times New Roman"/>
                <w:sz w:val="24"/>
                <w:szCs w:val="24"/>
                <w:lang w:eastAsia="lv-LV"/>
              </w:rPr>
            </w:pPr>
          </w:p>
        </w:tc>
      </w:tr>
      <w:tr w:rsidR="00774A5D" w:rsidRPr="00212084" w:rsidTr="00865AAC">
        <w:tc>
          <w:tcPr>
            <w:tcW w:w="396" w:type="dxa"/>
            <w:shd w:val="clear" w:color="auto" w:fill="auto"/>
          </w:tcPr>
          <w:p w:rsidR="00774A5D" w:rsidRPr="00212084" w:rsidRDefault="00774A5D" w:rsidP="00865AAC">
            <w:pPr>
              <w:spacing w:after="0" w:line="240" w:lineRule="auto"/>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 xml:space="preserve">3. </w:t>
            </w:r>
          </w:p>
        </w:tc>
        <w:tc>
          <w:tcPr>
            <w:tcW w:w="3072" w:type="dxa"/>
            <w:shd w:val="clear" w:color="auto" w:fill="auto"/>
          </w:tcPr>
          <w:p w:rsidR="00774A5D" w:rsidRPr="00212084" w:rsidRDefault="00774A5D" w:rsidP="00865AAC">
            <w:pPr>
              <w:spacing w:after="0" w:line="240" w:lineRule="auto"/>
              <w:rPr>
                <w:rFonts w:ascii="Times New Roman" w:eastAsia="Times New Roman" w:hAnsi="Times New Roman"/>
                <w:lang w:eastAsia="lv-LV"/>
              </w:rPr>
            </w:pPr>
            <w:r w:rsidRPr="00212084">
              <w:rPr>
                <w:rFonts w:ascii="Times New Roman" w:eastAsia="Times New Roman" w:hAnsi="Times New Roman"/>
                <w:lang w:eastAsia="lv-LV"/>
              </w:rPr>
              <w:t>Cita informācija</w:t>
            </w:r>
          </w:p>
        </w:tc>
        <w:tc>
          <w:tcPr>
            <w:tcW w:w="5819" w:type="dxa"/>
            <w:shd w:val="clear" w:color="auto" w:fill="auto"/>
          </w:tcPr>
          <w:p w:rsidR="00774A5D" w:rsidRPr="00212084" w:rsidRDefault="00774A5D" w:rsidP="00865AAC">
            <w:pPr>
              <w:spacing w:after="0" w:line="240" w:lineRule="auto"/>
              <w:jc w:val="both"/>
              <w:rPr>
                <w:rFonts w:ascii="Times New Roman" w:eastAsia="Times New Roman" w:hAnsi="Times New Roman"/>
                <w:sz w:val="24"/>
                <w:szCs w:val="24"/>
                <w:lang w:eastAsia="lv-LV"/>
              </w:rPr>
            </w:pPr>
            <w:r w:rsidRPr="00212084">
              <w:rPr>
                <w:rFonts w:ascii="Times New Roman" w:eastAsia="Times New Roman" w:hAnsi="Times New Roman"/>
                <w:sz w:val="24"/>
                <w:szCs w:val="24"/>
                <w:lang w:eastAsia="lv-LV"/>
              </w:rPr>
              <w:t>Nav.</w:t>
            </w:r>
          </w:p>
        </w:tc>
      </w:tr>
    </w:tbl>
    <w:p w:rsidR="00774A5D" w:rsidRPr="00212084" w:rsidRDefault="00774A5D" w:rsidP="00774A5D">
      <w:pPr>
        <w:spacing w:after="0" w:line="240" w:lineRule="auto"/>
        <w:rPr>
          <w:rFonts w:ascii="Times New Roman" w:eastAsia="Times New Roman" w:hAnsi="Times New Roman"/>
          <w:sz w:val="24"/>
          <w:szCs w:val="24"/>
          <w:lang w:eastAsia="lv-LV"/>
        </w:rPr>
      </w:pPr>
    </w:p>
    <w:p w:rsidR="00774A5D" w:rsidRPr="00212084" w:rsidRDefault="00774A5D" w:rsidP="00774A5D">
      <w:pPr>
        <w:spacing w:after="0" w:line="240" w:lineRule="auto"/>
        <w:rPr>
          <w:rFonts w:ascii="Times New Roman" w:eastAsia="Times New Roman" w:hAnsi="Times New Roman"/>
          <w:sz w:val="24"/>
          <w:szCs w:val="24"/>
          <w:lang w:eastAsia="lv-LV"/>
        </w:rPr>
      </w:pPr>
    </w:p>
    <w:p w:rsidR="00774A5D" w:rsidRPr="008F584D" w:rsidRDefault="00774A5D" w:rsidP="00774A5D">
      <w:pPr>
        <w:spacing w:before="60" w:after="0" w:line="240" w:lineRule="auto"/>
        <w:rPr>
          <w:rFonts w:ascii="Times New Roman" w:hAnsi="Times New Roman"/>
          <w:sz w:val="28"/>
          <w:szCs w:val="28"/>
          <w:lang w:val="de-DE"/>
        </w:rPr>
      </w:pPr>
      <w:r>
        <w:rPr>
          <w:rFonts w:ascii="Times New Roman" w:hAnsi="Times New Roman"/>
          <w:sz w:val="28"/>
          <w:szCs w:val="28"/>
          <w:lang w:val="de-DE"/>
        </w:rPr>
        <w:t>Labklājības ministrs                                                                                   J.Reirs</w:t>
      </w:r>
    </w:p>
    <w:p w:rsidR="00774A5D" w:rsidRPr="00212084" w:rsidRDefault="00774A5D" w:rsidP="00774A5D">
      <w:pPr>
        <w:tabs>
          <w:tab w:val="center" w:pos="4153"/>
          <w:tab w:val="right" w:pos="8306"/>
        </w:tabs>
        <w:spacing w:after="0" w:line="240" w:lineRule="auto"/>
        <w:rPr>
          <w:rFonts w:ascii="Times New Roman" w:eastAsia="Times New Roman" w:hAnsi="Times New Roman"/>
          <w:sz w:val="24"/>
          <w:szCs w:val="24"/>
          <w:lang w:eastAsia="lv-LV"/>
        </w:rPr>
      </w:pPr>
    </w:p>
    <w:p w:rsidR="00BB2FE6" w:rsidRDefault="00BB2FE6" w:rsidP="00774A5D">
      <w:pPr>
        <w:suppressAutoHyphens/>
        <w:spacing w:after="0" w:line="240" w:lineRule="auto"/>
        <w:textAlignment w:val="baseline"/>
        <w:rPr>
          <w:rFonts w:ascii="Times New Roman" w:eastAsia="Times New Roman" w:hAnsi="Times New Roman"/>
          <w:sz w:val="20"/>
          <w:szCs w:val="20"/>
          <w:lang w:eastAsia="ar-SA"/>
        </w:rPr>
      </w:pPr>
      <w:r>
        <w:rPr>
          <w:rFonts w:ascii="Times New Roman" w:eastAsia="Times New Roman" w:hAnsi="Times New Roman"/>
          <w:sz w:val="20"/>
          <w:szCs w:val="20"/>
          <w:lang w:eastAsia="ar-SA"/>
        </w:rPr>
        <w:t>12.09.2016 11:24</w:t>
      </w:r>
    </w:p>
    <w:p w:rsidR="00774A5D" w:rsidRPr="00212084" w:rsidRDefault="00774A5D" w:rsidP="00774A5D">
      <w:pPr>
        <w:suppressAutoHyphens/>
        <w:spacing w:after="0" w:line="240" w:lineRule="auto"/>
        <w:textAlignment w:val="baseline"/>
        <w:rPr>
          <w:rFonts w:ascii="Times New Roman" w:eastAsia="Arial" w:hAnsi="Times New Roman"/>
          <w:kern w:val="1"/>
          <w:sz w:val="20"/>
          <w:szCs w:val="20"/>
          <w:lang w:eastAsia="ar-SA"/>
        </w:rPr>
      </w:pPr>
      <w:bookmarkStart w:id="0" w:name="_GoBack"/>
      <w:bookmarkEnd w:id="0"/>
      <w:r>
        <w:rPr>
          <w:rFonts w:ascii="Times New Roman" w:eastAsia="Times New Roman" w:hAnsi="Times New Roman"/>
          <w:sz w:val="20"/>
          <w:szCs w:val="20"/>
          <w:lang w:eastAsia="ar-SA"/>
        </w:rPr>
        <w:t>2513</w:t>
      </w:r>
    </w:p>
    <w:p w:rsidR="00774A5D" w:rsidRPr="00212084" w:rsidRDefault="00774A5D" w:rsidP="00774A5D">
      <w:pPr>
        <w:spacing w:after="0"/>
        <w:rPr>
          <w:rFonts w:ascii="Times New Roman" w:hAnsi="Times New Roman"/>
        </w:rPr>
      </w:pPr>
      <w:r w:rsidRPr="00212084">
        <w:rPr>
          <w:rFonts w:ascii="Times New Roman" w:hAnsi="Times New Roman"/>
        </w:rPr>
        <w:t>D.Trušinska,67021553</w:t>
      </w:r>
    </w:p>
    <w:p w:rsidR="00774A5D" w:rsidRPr="00212084" w:rsidRDefault="00774A5D" w:rsidP="00774A5D">
      <w:pPr>
        <w:spacing w:after="0"/>
        <w:rPr>
          <w:rFonts w:ascii="Times New Roman" w:hAnsi="Times New Roman"/>
        </w:rPr>
      </w:pPr>
      <w:r w:rsidRPr="00212084">
        <w:rPr>
          <w:rFonts w:ascii="Times New Roman" w:hAnsi="Times New Roman"/>
        </w:rPr>
        <w:t>S.Stabiņa, 67021551</w:t>
      </w:r>
    </w:p>
    <w:p w:rsidR="00774A5D" w:rsidRPr="00212084" w:rsidRDefault="0095698B" w:rsidP="00774A5D">
      <w:pPr>
        <w:spacing w:after="0" w:line="240" w:lineRule="auto"/>
        <w:rPr>
          <w:rStyle w:val="Hyperlink"/>
          <w:rFonts w:ascii="Times New Roman" w:hAnsi="Times New Roman"/>
          <w:color w:val="auto"/>
        </w:rPr>
      </w:pPr>
      <w:hyperlink r:id="rId8" w:history="1">
        <w:r w:rsidR="00774A5D" w:rsidRPr="00212084">
          <w:rPr>
            <w:rStyle w:val="Hyperlink"/>
            <w:rFonts w:ascii="Times New Roman" w:hAnsi="Times New Roman"/>
            <w:color w:val="auto"/>
          </w:rPr>
          <w:t>Dace.Trusinska@lm.gov.lv</w:t>
        </w:r>
      </w:hyperlink>
    </w:p>
    <w:p w:rsidR="00774A5D" w:rsidRPr="00212084" w:rsidRDefault="00774A5D" w:rsidP="00774A5D">
      <w:pPr>
        <w:spacing w:after="0" w:line="240" w:lineRule="auto"/>
        <w:rPr>
          <w:rFonts w:ascii="Times New Roman" w:hAnsi="Times New Roman"/>
        </w:rPr>
      </w:pPr>
      <w:r w:rsidRPr="00212084">
        <w:rPr>
          <w:rStyle w:val="Hyperlink"/>
          <w:rFonts w:ascii="Times New Roman" w:hAnsi="Times New Roman"/>
          <w:color w:val="auto"/>
        </w:rPr>
        <w:t>Sandra.Stabina@lm.gov.lv</w:t>
      </w:r>
    </w:p>
    <w:p w:rsidR="00774A5D" w:rsidRDefault="00774A5D" w:rsidP="00774A5D"/>
    <w:p w:rsidR="008C6472" w:rsidRDefault="008C6472"/>
    <w:sectPr w:rsidR="008C6472" w:rsidSect="00595341">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8B" w:rsidRDefault="0095698B" w:rsidP="00774A5D">
      <w:pPr>
        <w:spacing w:after="0" w:line="240" w:lineRule="auto"/>
      </w:pPr>
      <w:r>
        <w:separator/>
      </w:r>
    </w:p>
  </w:endnote>
  <w:endnote w:type="continuationSeparator" w:id="0">
    <w:p w:rsidR="0095698B" w:rsidRDefault="0095698B" w:rsidP="0077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Pr="00FF202A" w:rsidRDefault="00F756E7" w:rsidP="00F876F7">
    <w:pPr>
      <w:pStyle w:val="NormalWeb"/>
      <w:spacing w:before="0" w:after="0"/>
      <w:jc w:val="both"/>
      <w:rPr>
        <w:sz w:val="20"/>
        <w:szCs w:val="20"/>
      </w:rPr>
    </w:pPr>
    <w:r w:rsidRPr="00FF202A">
      <w:rPr>
        <w:sz w:val="20"/>
        <w:szCs w:val="20"/>
      </w:rPr>
      <w:t>LManot_</w:t>
    </w:r>
    <w:r w:rsidR="00774A5D">
      <w:rPr>
        <w:sz w:val="20"/>
        <w:szCs w:val="20"/>
      </w:rPr>
      <w:t>12</w:t>
    </w:r>
    <w:r w:rsidRPr="00FF202A">
      <w:rPr>
        <w:sz w:val="20"/>
        <w:szCs w:val="20"/>
      </w:rPr>
      <w:t xml:space="preserve">0916_NL; Likumprojekts „Grozījumi likumā </w:t>
    </w:r>
    <w:r w:rsidRPr="00FF202A">
      <w:rPr>
        <w:iCs/>
        <w:sz w:val="20"/>
        <w:szCs w:val="20"/>
      </w:rPr>
      <w:t>„Par obligāto sociālo apdrošināšanu pret nelaimes gadījumiem darbā un arodslimībām””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Pr="00FF202A" w:rsidRDefault="00F756E7" w:rsidP="00F876F7">
    <w:pPr>
      <w:pStyle w:val="NormalWeb"/>
      <w:spacing w:before="0" w:after="0"/>
      <w:jc w:val="both"/>
      <w:rPr>
        <w:sz w:val="20"/>
        <w:szCs w:val="20"/>
      </w:rPr>
    </w:pPr>
    <w:r w:rsidRPr="00FF202A">
      <w:rPr>
        <w:sz w:val="20"/>
        <w:szCs w:val="20"/>
      </w:rPr>
      <w:t>LManot_</w:t>
    </w:r>
    <w:r w:rsidR="00774A5D">
      <w:rPr>
        <w:sz w:val="20"/>
        <w:szCs w:val="20"/>
      </w:rPr>
      <w:t>12</w:t>
    </w:r>
    <w:r w:rsidRPr="00FF202A">
      <w:rPr>
        <w:sz w:val="20"/>
        <w:szCs w:val="20"/>
      </w:rPr>
      <w:t xml:space="preserve">0916_NL; Likumprojekts „Grozījumi likumā </w:t>
    </w:r>
    <w:r w:rsidRPr="00FF202A">
      <w:rPr>
        <w:iCs/>
        <w:sz w:val="20"/>
        <w:szCs w:val="20"/>
      </w:rPr>
      <w:t>„Par obligāto sociālo apdrošināšanu pret nelaimes gadījumiem darbā un arodslimībām””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8B" w:rsidRDefault="0095698B" w:rsidP="00774A5D">
      <w:pPr>
        <w:spacing w:after="0" w:line="240" w:lineRule="auto"/>
      </w:pPr>
      <w:r>
        <w:separator/>
      </w:r>
    </w:p>
  </w:footnote>
  <w:footnote w:type="continuationSeparator" w:id="0">
    <w:p w:rsidR="0095698B" w:rsidRDefault="0095698B" w:rsidP="00774A5D">
      <w:pPr>
        <w:spacing w:after="0" w:line="240" w:lineRule="auto"/>
      </w:pPr>
      <w:r>
        <w:continuationSeparator/>
      </w:r>
    </w:p>
  </w:footnote>
  <w:footnote w:id="1">
    <w:p w:rsidR="00774A5D" w:rsidRPr="00F16A54" w:rsidRDefault="00774A5D" w:rsidP="00774A5D">
      <w:pPr>
        <w:pStyle w:val="NormalWeb"/>
        <w:shd w:val="clear" w:color="auto" w:fill="FFFFFF"/>
        <w:spacing w:before="75" w:after="0"/>
        <w:jc w:val="both"/>
        <w:rPr>
          <w:sz w:val="20"/>
          <w:szCs w:val="20"/>
        </w:rPr>
      </w:pPr>
      <w:r>
        <w:rPr>
          <w:rStyle w:val="FootnoteReference"/>
          <w:rFonts w:eastAsia="Calibri"/>
        </w:rPr>
        <w:footnoteRef/>
      </w:r>
      <w:r>
        <w:t xml:space="preserve"> </w:t>
      </w:r>
      <w:r w:rsidRPr="00AA362C">
        <w:rPr>
          <w:sz w:val="20"/>
          <w:szCs w:val="20"/>
        </w:rPr>
        <w:t xml:space="preserve">Neatkarīgi no bērnu skaita, kuri jāuztur, spējas uzturēt bērnus un </w:t>
      </w:r>
      <w:r w:rsidRPr="00F16A54">
        <w:rPr>
          <w:sz w:val="20"/>
          <w:szCs w:val="20"/>
        </w:rPr>
        <w:t>mantas stāvokļa, katram savam bērnam jānodrošina uzturlīdzekļi vismaz valstī noteiktajā minimālajā apmērā (Civillikuma</w:t>
      </w:r>
      <w:hyperlink r:id="rId1" w:anchor="p-453774" w:tgtFrame="_blank" w:history="1">
        <w:r w:rsidRPr="00F16A54">
          <w:rPr>
            <w:rStyle w:val="Hyperlink"/>
            <w:color w:val="auto"/>
            <w:sz w:val="20"/>
            <w:szCs w:val="20"/>
            <w:u w:val="none"/>
          </w:rPr>
          <w:t>179. panta piektā daļa</w:t>
        </w:r>
      </w:hyperlink>
      <w:r w:rsidRPr="00F16A54">
        <w:rPr>
          <w:sz w:val="20"/>
          <w:szCs w:val="20"/>
        </w:rPr>
        <w:t>). Minimālais uzturlīdzekļu apmērs ir noteikts Ministru kabineta noteikumos </w:t>
      </w:r>
      <w:hyperlink r:id="rId2" w:tgtFrame="_blank" w:history="1">
        <w:r w:rsidRPr="00F16A54">
          <w:rPr>
            <w:rStyle w:val="Hyperlink"/>
            <w:color w:val="auto"/>
            <w:sz w:val="20"/>
            <w:szCs w:val="20"/>
            <w:u w:val="none"/>
          </w:rPr>
          <w:t>Nr. 37  </w:t>
        </w:r>
      </w:hyperlink>
      <w:r w:rsidRPr="00F16A54">
        <w:rPr>
          <w:sz w:val="20"/>
          <w:szCs w:val="20"/>
        </w:rPr>
        <w:t xml:space="preserve">"Noteikumi par minimālo uzturlīdzekļu apmēru bērnam", ņemot vērā valstī noteikto minimālo mēneša algu </w:t>
      </w:r>
      <w:r w:rsidRPr="00AA362C">
        <w:rPr>
          <w:sz w:val="20"/>
          <w:szCs w:val="20"/>
        </w:rPr>
        <w:t>un bērna vecumu. Tā kā no 2016. gada 1. janvāra Latvijā noteiktā minimālā mēneša darba alga ir 370 eiro, minimālais uzturlīdzekļu apmērs katram bērnam ir šāds</w:t>
      </w:r>
      <w:r w:rsidRPr="00F16A54">
        <w:rPr>
          <w:sz w:val="20"/>
          <w:szCs w:val="20"/>
        </w:rPr>
        <w:t>: 25% apmērā no valstī noteiktās minimālās mēnešalgas</w:t>
      </w:r>
      <w:r w:rsidRPr="00F16A54">
        <w:rPr>
          <w:rStyle w:val="apple-converted-space"/>
          <w:sz w:val="20"/>
          <w:szCs w:val="20"/>
        </w:rPr>
        <w:t> </w:t>
      </w:r>
      <w:r w:rsidRPr="00F16A54">
        <w:rPr>
          <w:sz w:val="20"/>
          <w:szCs w:val="20"/>
        </w:rPr>
        <w:t>katram bērnam</w:t>
      </w:r>
      <w:r w:rsidRPr="00F16A54">
        <w:rPr>
          <w:rStyle w:val="apple-converted-space"/>
          <w:sz w:val="20"/>
          <w:szCs w:val="20"/>
        </w:rPr>
        <w:t> </w:t>
      </w:r>
      <w:r w:rsidRPr="00F16A54">
        <w:rPr>
          <w:sz w:val="20"/>
          <w:szCs w:val="20"/>
        </w:rPr>
        <w:t>no viņa dzimšanas līdz 7 gadu vecumam (</w:t>
      </w:r>
      <w:r w:rsidRPr="00F16A54">
        <w:rPr>
          <w:rStyle w:val="Strong"/>
          <w:sz w:val="20"/>
          <w:szCs w:val="20"/>
        </w:rPr>
        <w:t>92,50 eiro mēnesī</w:t>
      </w:r>
      <w:r w:rsidRPr="00F16A54">
        <w:rPr>
          <w:sz w:val="20"/>
          <w:szCs w:val="20"/>
        </w:rPr>
        <w:t>); 30% apmērā no valstī noteiktās minimālās mēnešalgas</w:t>
      </w:r>
      <w:r w:rsidRPr="00F16A54">
        <w:rPr>
          <w:rStyle w:val="apple-converted-space"/>
          <w:sz w:val="20"/>
          <w:szCs w:val="20"/>
        </w:rPr>
        <w:t> </w:t>
      </w:r>
      <w:r w:rsidRPr="00F16A54">
        <w:rPr>
          <w:sz w:val="20"/>
          <w:szCs w:val="20"/>
          <w:u w:val="single"/>
        </w:rPr>
        <w:t>katram bērnam</w:t>
      </w:r>
      <w:r w:rsidRPr="00F16A54">
        <w:rPr>
          <w:rStyle w:val="apple-converted-space"/>
          <w:sz w:val="20"/>
          <w:szCs w:val="20"/>
        </w:rPr>
        <w:t> </w:t>
      </w:r>
      <w:r w:rsidRPr="00F16A54">
        <w:rPr>
          <w:sz w:val="20"/>
          <w:szCs w:val="20"/>
        </w:rPr>
        <w:t>no 7 gadu vecuma līdz 18 gadu vecuma sasniegšanai (</w:t>
      </w:r>
      <w:r w:rsidRPr="00F16A54">
        <w:rPr>
          <w:rStyle w:val="Strong"/>
          <w:sz w:val="20"/>
          <w:szCs w:val="20"/>
        </w:rPr>
        <w:t>111 eiro mēnesī</w:t>
      </w:r>
      <w:r w:rsidRPr="00F16A54">
        <w:rPr>
          <w:sz w:val="20"/>
          <w:szCs w:val="20"/>
        </w:rPr>
        <w:t>).</w:t>
      </w:r>
    </w:p>
    <w:p w:rsidR="00774A5D" w:rsidRPr="00F16A54" w:rsidRDefault="00774A5D" w:rsidP="00774A5D">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Default="00F756E7" w:rsidP="00595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AB4" w:rsidRDefault="00956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Default="00F756E7" w:rsidP="00595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FE6">
      <w:rPr>
        <w:rStyle w:val="PageNumber"/>
        <w:noProof/>
      </w:rPr>
      <w:t>8</w:t>
    </w:r>
    <w:r>
      <w:rPr>
        <w:rStyle w:val="PageNumber"/>
      </w:rPr>
      <w:fldChar w:fldCharType="end"/>
    </w:r>
  </w:p>
  <w:p w:rsidR="006A5AB4" w:rsidRDefault="00956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EC4"/>
    <w:multiLevelType w:val="hybridMultilevel"/>
    <w:tmpl w:val="40A0A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403462"/>
    <w:multiLevelType w:val="hybridMultilevel"/>
    <w:tmpl w:val="1BF609CA"/>
    <w:lvl w:ilvl="0" w:tplc="1624EA2C">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5D"/>
    <w:rsid w:val="00774A5D"/>
    <w:rsid w:val="008C6472"/>
    <w:rsid w:val="0095698B"/>
    <w:rsid w:val="00BB2FE6"/>
    <w:rsid w:val="00F75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4A5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774A5D"/>
    <w:rPr>
      <w:rFonts w:ascii="Times New Roman" w:eastAsia="Times New Roman" w:hAnsi="Times New Roman" w:cs="Times New Roman"/>
      <w:sz w:val="24"/>
      <w:szCs w:val="24"/>
      <w:lang w:eastAsia="lv-LV"/>
    </w:rPr>
  </w:style>
  <w:style w:type="character" w:styleId="PageNumber">
    <w:name w:val="page number"/>
    <w:basedOn w:val="DefaultParagraphFont"/>
    <w:rsid w:val="00774A5D"/>
  </w:style>
  <w:style w:type="paragraph" w:styleId="Footer">
    <w:name w:val="footer"/>
    <w:basedOn w:val="Normal"/>
    <w:link w:val="FooterChar"/>
    <w:uiPriority w:val="99"/>
    <w:rsid w:val="00774A5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74A5D"/>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774A5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rsid w:val="00774A5D"/>
    <w:rPr>
      <w:color w:val="0000FF"/>
      <w:u w:val="single"/>
    </w:rPr>
  </w:style>
  <w:style w:type="paragraph" w:styleId="ListParagraph">
    <w:name w:val="List Paragraph"/>
    <w:aliases w:val="2,Akapit z listą BS,H&amp;P List Paragraph,Strip"/>
    <w:basedOn w:val="Normal"/>
    <w:link w:val="ListParagraphChar"/>
    <w:uiPriority w:val="34"/>
    <w:qFormat/>
    <w:rsid w:val="00774A5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774A5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74A5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774A5D"/>
    <w:pPr>
      <w:spacing w:after="0" w:line="240" w:lineRule="auto"/>
    </w:pPr>
    <w:rPr>
      <w:rFonts w:ascii="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774A5D"/>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774A5D"/>
    <w:rPr>
      <w:rFonts w:cs="Times New Roman"/>
      <w:vertAlign w:val="superscript"/>
    </w:rPr>
  </w:style>
  <w:style w:type="paragraph" w:customStyle="1" w:styleId="CharCharCharChar">
    <w:name w:val="Char Char Char Char"/>
    <w:aliases w:val="Char2"/>
    <w:basedOn w:val="Normal"/>
    <w:next w:val="Normal"/>
    <w:link w:val="FootnoteReference"/>
    <w:uiPriority w:val="99"/>
    <w:rsid w:val="00774A5D"/>
    <w:pPr>
      <w:spacing w:after="160" w:line="240" w:lineRule="exact"/>
      <w:jc w:val="both"/>
      <w:textAlignment w:val="baseline"/>
    </w:pPr>
    <w:rPr>
      <w:rFonts w:asciiTheme="minorHAnsi" w:eastAsiaTheme="minorHAnsi" w:hAnsiTheme="minorHAnsi"/>
      <w:vertAlign w:val="superscript"/>
    </w:rPr>
  </w:style>
  <w:style w:type="character" w:styleId="Strong">
    <w:name w:val="Strong"/>
    <w:basedOn w:val="DefaultParagraphFont"/>
    <w:uiPriority w:val="22"/>
    <w:qFormat/>
    <w:rsid w:val="00774A5D"/>
    <w:rPr>
      <w:b/>
      <w:bCs/>
    </w:rPr>
  </w:style>
  <w:style w:type="paragraph" w:customStyle="1" w:styleId="naisf">
    <w:name w:val="naisf"/>
    <w:basedOn w:val="Normal"/>
    <w:link w:val="naisfChar"/>
    <w:rsid w:val="00774A5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774A5D"/>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4A5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774A5D"/>
    <w:rPr>
      <w:rFonts w:ascii="Times New Roman" w:eastAsia="Times New Roman" w:hAnsi="Times New Roman" w:cs="Times New Roman"/>
      <w:sz w:val="24"/>
      <w:szCs w:val="24"/>
      <w:lang w:eastAsia="lv-LV"/>
    </w:rPr>
  </w:style>
  <w:style w:type="character" w:styleId="PageNumber">
    <w:name w:val="page number"/>
    <w:basedOn w:val="DefaultParagraphFont"/>
    <w:rsid w:val="00774A5D"/>
  </w:style>
  <w:style w:type="paragraph" w:styleId="Footer">
    <w:name w:val="footer"/>
    <w:basedOn w:val="Normal"/>
    <w:link w:val="FooterChar"/>
    <w:uiPriority w:val="99"/>
    <w:rsid w:val="00774A5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74A5D"/>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774A5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rsid w:val="00774A5D"/>
    <w:rPr>
      <w:color w:val="0000FF"/>
      <w:u w:val="single"/>
    </w:rPr>
  </w:style>
  <w:style w:type="paragraph" w:styleId="ListParagraph">
    <w:name w:val="List Paragraph"/>
    <w:aliases w:val="2,Akapit z listą BS,H&amp;P List Paragraph,Strip"/>
    <w:basedOn w:val="Normal"/>
    <w:link w:val="ListParagraphChar"/>
    <w:uiPriority w:val="34"/>
    <w:qFormat/>
    <w:rsid w:val="00774A5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774A5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74A5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774A5D"/>
    <w:pPr>
      <w:spacing w:after="0" w:line="240" w:lineRule="auto"/>
    </w:pPr>
    <w:rPr>
      <w:rFonts w:ascii="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774A5D"/>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774A5D"/>
    <w:rPr>
      <w:rFonts w:cs="Times New Roman"/>
      <w:vertAlign w:val="superscript"/>
    </w:rPr>
  </w:style>
  <w:style w:type="paragraph" w:customStyle="1" w:styleId="CharCharCharChar">
    <w:name w:val="Char Char Char Char"/>
    <w:aliases w:val="Char2"/>
    <w:basedOn w:val="Normal"/>
    <w:next w:val="Normal"/>
    <w:link w:val="FootnoteReference"/>
    <w:uiPriority w:val="99"/>
    <w:rsid w:val="00774A5D"/>
    <w:pPr>
      <w:spacing w:after="160" w:line="240" w:lineRule="exact"/>
      <w:jc w:val="both"/>
      <w:textAlignment w:val="baseline"/>
    </w:pPr>
    <w:rPr>
      <w:rFonts w:asciiTheme="minorHAnsi" w:eastAsiaTheme="minorHAnsi" w:hAnsiTheme="minorHAnsi"/>
      <w:vertAlign w:val="superscript"/>
    </w:rPr>
  </w:style>
  <w:style w:type="character" w:styleId="Strong">
    <w:name w:val="Strong"/>
    <w:basedOn w:val="DefaultParagraphFont"/>
    <w:uiPriority w:val="22"/>
    <w:qFormat/>
    <w:rsid w:val="00774A5D"/>
    <w:rPr>
      <w:b/>
      <w:bCs/>
    </w:rPr>
  </w:style>
  <w:style w:type="paragraph" w:customStyle="1" w:styleId="naisf">
    <w:name w:val="naisf"/>
    <w:basedOn w:val="Normal"/>
    <w:link w:val="naisfChar"/>
    <w:rsid w:val="00774A5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774A5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54128" TargetMode="External"/><Relationship Id="rId1" Type="http://schemas.openxmlformats.org/officeDocument/2006/relationships/hyperlink" Target="http://likumi.lv/ta/id/90223-civillikums-pirma-dala-gimenes-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12526</Words>
  <Characters>7141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LM</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dc:description>D.Trušinska, tālr. 67021553_x000d_
Dace.Trusinska@lm.gov.lv</dc:description>
  <cp:lastModifiedBy>Irena Salmane</cp:lastModifiedBy>
  <cp:revision>4</cp:revision>
  <dcterms:created xsi:type="dcterms:W3CDTF">2016-09-12T08:03:00Z</dcterms:created>
  <dcterms:modified xsi:type="dcterms:W3CDTF">2016-09-12T08:24:00Z</dcterms:modified>
</cp:coreProperties>
</file>