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D" w:rsidRPr="00F5335C" w:rsidRDefault="00604A2D" w:rsidP="00604A2D">
      <w:pPr>
        <w:suppressAutoHyphens/>
        <w:spacing w:after="0" w:line="240" w:lineRule="auto"/>
        <w:jc w:val="center"/>
        <w:rPr>
          <w:rFonts w:ascii="Times New Roman" w:eastAsia="Times New Roman" w:hAnsi="Times New Roman"/>
          <w:b/>
          <w:bCs/>
          <w:sz w:val="24"/>
          <w:szCs w:val="24"/>
          <w:lang w:eastAsia="ar-SA"/>
        </w:rPr>
      </w:pPr>
      <w:r w:rsidRPr="00F5335C">
        <w:rPr>
          <w:rFonts w:ascii="Times New Roman" w:eastAsia="Times New Roman" w:hAnsi="Times New Roman"/>
          <w:b/>
          <w:bCs/>
          <w:sz w:val="24"/>
          <w:szCs w:val="24"/>
          <w:lang w:eastAsia="ar-SA"/>
        </w:rPr>
        <w:t>Likumprojekta „Grozījumi likumā „Par maternitātes un slimības apdrošināšanu””</w:t>
      </w:r>
    </w:p>
    <w:p w:rsidR="00604A2D" w:rsidRPr="00F5335C" w:rsidRDefault="00604A2D" w:rsidP="00604A2D">
      <w:pPr>
        <w:suppressAutoHyphens/>
        <w:spacing w:after="0" w:line="240" w:lineRule="auto"/>
        <w:jc w:val="center"/>
        <w:rPr>
          <w:rFonts w:ascii="Times New Roman" w:eastAsia="Times New Roman" w:hAnsi="Times New Roman"/>
          <w:b/>
          <w:sz w:val="24"/>
          <w:szCs w:val="24"/>
          <w:lang w:eastAsia="ar-SA"/>
        </w:rPr>
      </w:pPr>
      <w:r w:rsidRPr="00F5335C">
        <w:rPr>
          <w:rFonts w:ascii="Times New Roman" w:eastAsia="Times New Roman" w:hAnsi="Times New Roman"/>
          <w:b/>
          <w:sz w:val="24"/>
          <w:szCs w:val="24"/>
          <w:lang w:eastAsia="ar-SA"/>
        </w:rPr>
        <w:t>sākotnējās ietekmes novērtējuma ziņojums (anotācija)</w:t>
      </w:r>
    </w:p>
    <w:p w:rsidR="00604A2D" w:rsidRPr="009E73B1" w:rsidRDefault="00604A2D" w:rsidP="00604A2D">
      <w:pPr>
        <w:spacing w:after="0" w:line="240" w:lineRule="auto"/>
        <w:jc w:val="center"/>
        <w:rPr>
          <w:rFonts w:ascii="Times New Roman" w:eastAsia="Times New Roman" w:hAnsi="Times New Roman"/>
          <w:b/>
          <w:sz w:val="28"/>
          <w:szCs w:val="28"/>
          <w:lang w:eastAsia="lv-LV"/>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994"/>
        <w:gridCol w:w="7229"/>
      </w:tblGrid>
      <w:tr w:rsidR="009E73B1" w:rsidRPr="009E73B1" w:rsidTr="001D568F">
        <w:tc>
          <w:tcPr>
            <w:tcW w:w="5000" w:type="pct"/>
            <w:gridSpan w:val="3"/>
            <w:shd w:val="clear" w:color="auto" w:fill="auto"/>
          </w:tcPr>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 xml:space="preserve">I. Tiesību </w:t>
            </w:r>
            <w:smartTag w:uri="schemas-tilde-lv/tildestengine" w:element="veidnes">
              <w:smartTagPr>
                <w:attr w:name="baseform" w:val="akt|s"/>
                <w:attr w:name="id" w:val="-1"/>
                <w:attr w:name="text" w:val="akta"/>
              </w:smartTagPr>
              <w:r w:rsidRPr="009E73B1">
                <w:rPr>
                  <w:rFonts w:ascii="Times New Roman" w:eastAsia="Times New Roman" w:hAnsi="Times New Roman"/>
                  <w:b/>
                  <w:sz w:val="24"/>
                  <w:szCs w:val="24"/>
                  <w:lang w:eastAsia="lv-LV"/>
                </w:rPr>
                <w:t>akta</w:t>
              </w:r>
            </w:smartTag>
            <w:r w:rsidRPr="009E73B1">
              <w:rPr>
                <w:rFonts w:ascii="Times New Roman" w:eastAsia="Times New Roman" w:hAnsi="Times New Roman"/>
                <w:b/>
                <w:sz w:val="24"/>
                <w:szCs w:val="24"/>
                <w:lang w:eastAsia="lv-LV"/>
              </w:rPr>
              <w:t xml:space="preserve"> projekta izstrādes nepieciešamība</w:t>
            </w:r>
          </w:p>
        </w:tc>
      </w:tr>
      <w:tr w:rsidR="009E73B1" w:rsidRPr="009E73B1" w:rsidTr="001D568F">
        <w:tc>
          <w:tcPr>
            <w:tcW w:w="199"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1.</w:t>
            </w:r>
          </w:p>
        </w:tc>
        <w:tc>
          <w:tcPr>
            <w:tcW w:w="1038"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Pamatojums</w:t>
            </w:r>
          </w:p>
        </w:tc>
        <w:tc>
          <w:tcPr>
            <w:tcW w:w="3763" w:type="pct"/>
            <w:shd w:val="clear" w:color="auto" w:fill="auto"/>
          </w:tcPr>
          <w:p w:rsidR="00604A2D" w:rsidRPr="009E6B19" w:rsidRDefault="00604A2D" w:rsidP="007E343A">
            <w:pPr>
              <w:pStyle w:val="NormalWeb"/>
              <w:shd w:val="clear" w:color="auto" w:fill="FFFFFF"/>
              <w:spacing w:before="0" w:after="0"/>
              <w:jc w:val="both"/>
            </w:pPr>
            <w:r w:rsidRPr="009E73B1">
              <w:rPr>
                <w:kern w:val="18"/>
                <w:lang w:eastAsia="lv-LV"/>
              </w:rPr>
              <w:t>Likumprojekts „Grozījumi likumā „</w:t>
            </w:r>
            <w:r w:rsidRPr="009E73B1">
              <w:rPr>
                <w:bCs/>
              </w:rPr>
              <w:t>Par maternitātes un slimības apdrošināšanu</w:t>
            </w:r>
            <w:r w:rsidRPr="009E73B1">
              <w:rPr>
                <w:kern w:val="18"/>
                <w:lang w:eastAsia="lv-LV"/>
              </w:rPr>
              <w:t xml:space="preserve">”” (turpmāk – likumprojekts) izstrādāts atbilstoši Ministru kabineta 2016.gada 18.augusta sēdē izskatītajam informatīvajam ziņojumam "Par priekšlikumiem valsts budžeta ieņēmumiem un izdevumiem 2017.gadam un ietvaram 2017.–2019.gadam" un saskaņā ar Ministru kabineta 2016.gada 18.augusta sēdes protokolā doto uzdevumu: </w:t>
            </w:r>
            <w:r w:rsidRPr="009E73B1">
              <w:rPr>
                <w:lang w:eastAsia="lv-LV"/>
              </w:rPr>
              <w:t xml:space="preserve">apakšprogrammā 04.04.00 "Invaliditātes, maternitātes un slimības speciālais budžets" samazināt izdevumus sociālajiem pabalstiem slimības pabalsta izmaksām 2017.gadam 2 746 700 EUR apmērā, 2018.gadam 5 151 910 EUR apmērā un 2019.gadam 5 328 033 EUR apmērā, Labklājības ministrijai sagatavojot un saskaņā ar likumprojekta "Par vidēja termiņa budžeta ietvaru 2017., 2018. un 2019.gadam" un likumprojekta "Par valsts budžetu 2017.gadam" sagatavošanas grafiku iesniedzot izskatīšanai Ministru kabinetā grozījumus likumā "Par maternitātes un slimības apdrošināšanu" </w:t>
            </w:r>
            <w:r w:rsidRPr="009E73B1">
              <w:t>iekļaušanai valsts budžeta 2017.gadam pavadošo likumprojektu paketē</w:t>
            </w:r>
            <w:r w:rsidRPr="009E6B19">
              <w:t xml:space="preserve"> (prot. Nr.41, 5.§, 18.3.apakšpunkts). </w:t>
            </w:r>
          </w:p>
          <w:p w:rsidR="009E6B19" w:rsidRDefault="009E6B19" w:rsidP="009E6B19">
            <w:pPr>
              <w:pStyle w:val="NormalWeb"/>
              <w:shd w:val="clear" w:color="auto" w:fill="FFFFFF"/>
              <w:spacing w:before="0" w:after="0"/>
              <w:jc w:val="both"/>
            </w:pPr>
          </w:p>
          <w:p w:rsidR="009E6B19" w:rsidRDefault="009E6B19" w:rsidP="009E6B19">
            <w:pPr>
              <w:pStyle w:val="NormalWeb"/>
              <w:shd w:val="clear" w:color="auto" w:fill="FFFFFF"/>
              <w:spacing w:before="0" w:after="0"/>
              <w:jc w:val="both"/>
            </w:pPr>
            <w:r w:rsidRPr="009E6B19">
              <w:t>Lai nodrošinātu valdības atbalstīto pasākumu ieviešanu, izstrādāts likumprojekts „Grozījumi likumā „Par maternitātes un slimības apdrošināšanu”” (turpmāk – likumprojekts).</w:t>
            </w:r>
          </w:p>
          <w:p w:rsidR="009E6B19" w:rsidRDefault="009E6B19" w:rsidP="009E6B19">
            <w:pPr>
              <w:pStyle w:val="NormalWeb"/>
              <w:shd w:val="clear" w:color="auto" w:fill="FFFFFF"/>
              <w:spacing w:before="0" w:after="0"/>
              <w:jc w:val="both"/>
            </w:pPr>
          </w:p>
          <w:p w:rsidR="009E6B19" w:rsidRDefault="009E6B19" w:rsidP="009E6B19">
            <w:pPr>
              <w:pStyle w:val="NormalWeb"/>
              <w:shd w:val="clear" w:color="auto" w:fill="FFFFFF"/>
              <w:spacing w:before="0" w:after="0"/>
              <w:jc w:val="both"/>
              <w:rPr>
                <w:lang w:eastAsia="lv-LV"/>
              </w:rPr>
            </w:pPr>
            <w:r w:rsidRPr="009E6B19">
              <w:t xml:space="preserve">Ministru kabineta 2016.gada 16.augusta sēdes Nr.40 </w:t>
            </w:r>
            <w:proofErr w:type="spellStart"/>
            <w:r w:rsidRPr="009E6B19">
              <w:t>protokollēmuma</w:t>
            </w:r>
            <w:proofErr w:type="spellEnd"/>
            <w:r w:rsidRPr="009E6B19">
              <w:t xml:space="preserve"> 59.§ par Informatīvo ziņojumu “Par priekšlikumiem valsts budžeta ieņēmumiem un izdevumiem 2017.gadam un ietvaram 2017.–2019.gadam” 46.punts paredz ministrijām līdz 2016.gada 9.septembrim sagatavot un iesniegt Ministru kabinetā budžeta likumprojektu paketē iekļaujamos</w:t>
            </w:r>
            <w:r w:rsidRPr="009E6B19">
              <w:rPr>
                <w:lang w:eastAsia="lv-LV"/>
              </w:rPr>
              <w:t xml:space="preserve"> likumprojektus.</w:t>
            </w:r>
          </w:p>
          <w:p w:rsidR="00EA0BAF" w:rsidRPr="009E73B1" w:rsidRDefault="00EA0BAF" w:rsidP="009E6B19">
            <w:pPr>
              <w:pStyle w:val="NormalWeb"/>
              <w:shd w:val="clear" w:color="auto" w:fill="FFFFFF"/>
              <w:spacing w:before="0" w:after="0"/>
              <w:jc w:val="both"/>
              <w:rPr>
                <w:kern w:val="18"/>
                <w:lang w:eastAsia="lv-LV"/>
              </w:rPr>
            </w:pPr>
          </w:p>
        </w:tc>
      </w:tr>
      <w:tr w:rsidR="009E73B1" w:rsidRPr="009E73B1" w:rsidTr="001D568F">
        <w:tc>
          <w:tcPr>
            <w:tcW w:w="199"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 xml:space="preserve">2. </w:t>
            </w:r>
          </w:p>
        </w:tc>
        <w:tc>
          <w:tcPr>
            <w:tcW w:w="1038"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763" w:type="pct"/>
            <w:shd w:val="clear" w:color="auto" w:fill="auto"/>
          </w:tcPr>
          <w:p w:rsidR="00604A2D" w:rsidRPr="009E73B1" w:rsidRDefault="00604A2D" w:rsidP="009E6B19">
            <w:pPr>
              <w:pStyle w:val="NormalWeb"/>
              <w:shd w:val="clear" w:color="auto" w:fill="FFFFFF"/>
              <w:spacing w:before="0" w:after="0"/>
              <w:jc w:val="both"/>
            </w:pPr>
            <w:r w:rsidRPr="009E73B1">
              <w:t>Adopcija bāreņiem un bez vecāku gādības palikušajiem bērniem nodrošina iespēju iegūt nepieciešamo ģimenisko vidi, kas ir pamats bērna pilnvērtīgai attīstībai ilgtermiņā. 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w:t>
            </w:r>
          </w:p>
          <w:p w:rsidR="009E6B19" w:rsidRDefault="009E6B19" w:rsidP="009E6B19">
            <w:pPr>
              <w:shd w:val="clear" w:color="auto" w:fill="FFFFFF"/>
              <w:spacing w:after="0" w:line="240" w:lineRule="auto"/>
              <w:jc w:val="both"/>
              <w:rPr>
                <w:rFonts w:ascii="Times New Roman" w:eastAsia="Times New Roman" w:hAnsi="Times New Roman"/>
                <w:sz w:val="24"/>
                <w:szCs w:val="24"/>
                <w:lang w:eastAsia="lv-LV"/>
              </w:rPr>
            </w:pPr>
          </w:p>
          <w:p w:rsidR="00604A2D" w:rsidRPr="009E73B1" w:rsidRDefault="00604A2D" w:rsidP="009E6B19">
            <w:pPr>
              <w:shd w:val="clear" w:color="auto" w:fill="FFFFFF"/>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 xml:space="preserve">Ar mērķi bērna tēvam iesaistīties jaundzimušā bērna aprūpē, saskaņā ar Darba likuma 155.panta pirmo daļu bērna tēvam ir tiesības uz 10 kalendāra dienas ilgu atvaļinājumu, ko tēvam piešķir tūlīt pēc bērna piedzimšanas, bet ne vēlāk kā 2 mēnešu laikā pēc bērna piedzimšanas. Savukārt saskaņā ar likuma "Par maternitātes un slimības apdrošināšanu" IIA nodaļā noteikto bērna tēvam par bērna piedzimšanas sakarā piešķirtā atvaļinājuma desmit kalendārajām dienām izmaksā paternitātes pabalstu. Tā kā minētais 10 kalendāra dienu ilgais atvaļinājums piešķirams bērna tēvam saistībā ar bērna piedzimšanas </w:t>
            </w:r>
            <w:r w:rsidRPr="009E73B1">
              <w:rPr>
                <w:rFonts w:ascii="Times New Roman" w:eastAsia="Times New Roman" w:hAnsi="Times New Roman"/>
                <w:sz w:val="24"/>
                <w:szCs w:val="24"/>
                <w:lang w:eastAsia="lv-LV"/>
              </w:rPr>
              <w:lastRenderedPageBreak/>
              <w:t>faktu un tā mērķis ir dot iespēju bērna tēvam būt kopā ar jaundzimušo un bērna māti, lai nodrošinātu nepieciešamo bērna aprūpi, šis atvaļinājums netiek piešķirts un attiecīgi paternitātes pabalsts netiek izmaksāts adoptētājiem.</w:t>
            </w:r>
          </w:p>
          <w:p w:rsidR="009E6B19" w:rsidRDefault="009E6B19" w:rsidP="009E6B19">
            <w:pPr>
              <w:shd w:val="clear" w:color="auto" w:fill="FFFFFF"/>
              <w:spacing w:after="0" w:line="240" w:lineRule="auto"/>
              <w:jc w:val="both"/>
              <w:rPr>
                <w:rFonts w:ascii="Times New Roman" w:eastAsia="Times New Roman" w:hAnsi="Times New Roman"/>
                <w:sz w:val="24"/>
                <w:szCs w:val="24"/>
                <w:lang w:eastAsia="lv-LV"/>
              </w:rPr>
            </w:pPr>
          </w:p>
          <w:p w:rsidR="00604A2D" w:rsidRPr="009E73B1" w:rsidRDefault="00604A2D" w:rsidP="009E6B19">
            <w:pPr>
              <w:shd w:val="clear" w:color="auto" w:fill="FFFFFF"/>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Savukārt saskaņā ar Darba likuma 155.panta piekto daļu ģimenē, kura adoptējusi bērnu vecumā līdz trim gadiem, vienam no adoptētājiem piešķir 10 kalendāra dienas ilgu atvaļinājumu. Darba likums uzliek pienākumu darba devējam piešķirt atvaļinājumu, ja darbinieks ir izteicis šādu vēlmi, taču neuzliek darba devējam par pienākumu apmaksāt šādu darbinieka atvaļinājumu. Arī valsts sociālās apdrošināšanas pabalstu un valsts sociālo pabalstu sistēma neparedz izmaksas šāda atvaļinājuma laikā.</w:t>
            </w:r>
          </w:p>
          <w:p w:rsidR="009E6B19" w:rsidRDefault="009E6B19" w:rsidP="009E6B19">
            <w:pPr>
              <w:spacing w:after="0" w:line="240" w:lineRule="auto"/>
              <w:jc w:val="both"/>
              <w:rPr>
                <w:rFonts w:ascii="Times New Roman" w:hAnsi="Times New Roman"/>
                <w:sz w:val="24"/>
                <w:szCs w:val="24"/>
              </w:rPr>
            </w:pPr>
          </w:p>
          <w:p w:rsidR="00604A2D" w:rsidRPr="009E73B1" w:rsidRDefault="00604A2D" w:rsidP="009E6B19">
            <w:pPr>
              <w:spacing w:after="0" w:line="240" w:lineRule="auto"/>
              <w:jc w:val="both"/>
              <w:rPr>
                <w:rFonts w:ascii="Times New Roman" w:hAnsi="Times New Roman"/>
                <w:sz w:val="24"/>
                <w:szCs w:val="24"/>
              </w:rPr>
            </w:pPr>
            <w:r w:rsidRPr="009E73B1">
              <w:rPr>
                <w:rFonts w:ascii="Times New Roman" w:hAnsi="Times New Roman"/>
                <w:sz w:val="24"/>
                <w:szCs w:val="24"/>
              </w:rPr>
              <w:t>Lai noteiktu tiesības adoptētājiem saņemt valsts sociālos pabalstus pēc iespējas līdzvērtīgi bioloģiskajām ģimenēm, kā arī pilnveidotu ārpusģimenes aprūpes sistēmu, Ministru kabinets ar 2015.gada 9.marta rīkojumu Nr.114 apstiprināja koncepciju „Par adopcijas un ārpusģimenes aprūpes sistēmu pilnveidošanu” (turpmāk – Koncepcija).</w:t>
            </w:r>
          </w:p>
          <w:p w:rsidR="009E6B19" w:rsidRDefault="009E6B19" w:rsidP="009E6B19">
            <w:pPr>
              <w:pStyle w:val="NormalWeb"/>
              <w:shd w:val="clear" w:color="auto" w:fill="FFFFFF"/>
              <w:spacing w:before="0" w:after="0"/>
              <w:jc w:val="both"/>
              <w:rPr>
                <w:rStyle w:val="apple-converted-space"/>
                <w:rFonts w:eastAsia="Calibri"/>
              </w:rPr>
            </w:pPr>
          </w:p>
          <w:p w:rsidR="00604A2D" w:rsidRPr="009E73B1" w:rsidRDefault="00604A2D" w:rsidP="009E6B19">
            <w:pPr>
              <w:pStyle w:val="NormalWeb"/>
              <w:shd w:val="clear" w:color="auto" w:fill="FFFFFF"/>
              <w:spacing w:before="0" w:after="0"/>
              <w:jc w:val="both"/>
            </w:pPr>
            <w:r w:rsidRPr="009E73B1">
              <w:rPr>
                <w:rStyle w:val="apple-converted-space"/>
                <w:rFonts w:eastAsia="Calibri"/>
              </w:rPr>
              <w:t>Atbilstoši Koncepcijai paredzēts n</w:t>
            </w:r>
            <w:r w:rsidRPr="009E73B1">
              <w:rPr>
                <w:bCs/>
                <w:iCs/>
              </w:rPr>
              <w:t>odrošināt, ka ģimenē, kura adoptējusi bērnu vecumā līdz trim gadiem, vienam no adoptētājiem atbilstoši Darba likuma 155.panta piektajai daļai piešķirtais 10 kalendāra dienas ilgais atvaļinājums tiek apmaksāts, izmaksājot sociālās apdrošināšanas pakalpojumu 80% apmērā no vidējās apdrošināšanas iemaksu algas, kā arī par šo laiku veicot iemaksas sociālajai apdrošināšanai normatīvajos aktos noteiktajā kārtībā (analoģiski pašreizējai kārtībai attiecībā uz paternitātes pabalstu) (likumprojekta 2.un 3.pants).</w:t>
            </w:r>
          </w:p>
          <w:p w:rsidR="009E6B19" w:rsidRDefault="009E6B19" w:rsidP="009E6B19">
            <w:pPr>
              <w:spacing w:after="0" w:line="240" w:lineRule="auto"/>
              <w:jc w:val="both"/>
              <w:rPr>
                <w:rFonts w:ascii="Times New Roman" w:hAnsi="Times New Roman"/>
                <w:sz w:val="24"/>
                <w:szCs w:val="24"/>
              </w:rPr>
            </w:pPr>
          </w:p>
          <w:p w:rsidR="009E6B19" w:rsidRDefault="00604A2D" w:rsidP="009E6B19">
            <w:pPr>
              <w:spacing w:after="0" w:line="240" w:lineRule="auto"/>
              <w:jc w:val="both"/>
              <w:rPr>
                <w:rFonts w:ascii="Times New Roman" w:hAnsi="Times New Roman"/>
                <w:sz w:val="24"/>
                <w:szCs w:val="24"/>
              </w:rPr>
            </w:pPr>
            <w:r w:rsidRPr="009E73B1">
              <w:rPr>
                <w:rFonts w:ascii="Times New Roman" w:hAnsi="Times New Roman"/>
                <w:sz w:val="24"/>
                <w:szCs w:val="24"/>
              </w:rPr>
              <w:t>Darba likuma 156.panta pirmā un otrā daļa paredz, ka ikvienam darbiniekam ir tiesības uz bērna kopšanas atvaļinājumu sakarā ar bērna dzimšanu vai adopciju. Šādu atvaļinājumu piešķir uz laiku, kas nav ilgāks par pusotru gadu, līdz dienai, kad bērns sasniedz astoņu gadu vecumu. Bērna kopšanas atvaļinājumu pēc darbinieka pieprasījuma piešķir uz pilnu laiku vai pa daļām. Darba likums nenosaka, cik ilgai jābūt bērna kopšanas atvaļinājuma daļai un kad tā piešķirama.</w:t>
            </w:r>
          </w:p>
          <w:p w:rsidR="009E6B19" w:rsidRDefault="009E6B19" w:rsidP="009E6B19">
            <w:pPr>
              <w:spacing w:after="0" w:line="240" w:lineRule="auto"/>
              <w:jc w:val="both"/>
              <w:rPr>
                <w:rFonts w:ascii="Times New Roman" w:hAnsi="Times New Roman"/>
                <w:sz w:val="24"/>
                <w:szCs w:val="24"/>
              </w:rPr>
            </w:pPr>
          </w:p>
          <w:p w:rsidR="00604A2D" w:rsidRDefault="00604A2D" w:rsidP="009E6B19">
            <w:pPr>
              <w:spacing w:after="0" w:line="240" w:lineRule="auto"/>
              <w:jc w:val="both"/>
              <w:rPr>
                <w:rFonts w:ascii="Times New Roman" w:hAnsi="Times New Roman"/>
                <w:sz w:val="24"/>
                <w:szCs w:val="24"/>
              </w:rPr>
            </w:pPr>
            <w:r w:rsidRPr="009E73B1">
              <w:rPr>
                <w:rFonts w:ascii="Times New Roman" w:hAnsi="Times New Roman"/>
                <w:sz w:val="24"/>
                <w:szCs w:val="24"/>
              </w:rPr>
              <w:t>Pēc Valsts sociālās apdrošināšanas aģentūras (VSAA) datiem kopš 2014.gada 23 personas ir sadalījušas bērna kopšanas atvaļinājumu vairākās daļās, divos gadījumos pieprasot pat 51 un 55 bērna kopšanas atvaļinājuma skaitu. Vidējais atvaļinājuma ilgums šīm personām bija 4.1 diena. Ņemot vērā, ka bērna kopšanas atvaļinājumu ir iespējams pieprasīt tikai par dažām dienām, praksē rodas gadījumi, kad strādājošs vecāku pabalsts saņēmējs bērna kopšanas atvaļinājumu pieprasa tikai par sestdienu un svētdienu vai par dienām, kurās viņam nebūtu jāierodas darbā. Līdz ar to šajās dienās vecāku pabalsts tiek izmaksāts pilnā apmērā, kaut arī darba ienākumus cilvēks nav zaudējis.  Likumprojekts nosaka, ka vecāku pabalsta saņēmējam, kurš visā kalendārajā mēnesī vai tā daļā ir nodarbināts bērna kopšanas laikā, bet neatrodas bērna kopšanas atvaļinājumā vai bērna kopšanas laikā gūst ienākumus kā pašnodarbinātais, pabalstu par šo mēnesī izmaksā kā strādājošam vecākam, t.i.,</w:t>
            </w:r>
            <w:r w:rsidR="00030124">
              <w:rPr>
                <w:rFonts w:ascii="Times New Roman" w:hAnsi="Times New Roman"/>
                <w:sz w:val="24"/>
                <w:szCs w:val="24"/>
              </w:rPr>
              <w:t xml:space="preserve"> </w:t>
            </w:r>
            <w:r w:rsidRPr="009E73B1">
              <w:rPr>
                <w:rFonts w:ascii="Times New Roman" w:hAnsi="Times New Roman"/>
                <w:sz w:val="24"/>
                <w:szCs w:val="24"/>
              </w:rPr>
              <w:t xml:space="preserve">30 procentu apmērā no piešķirtā pabalsta apmēra </w:t>
            </w:r>
            <w:r w:rsidRPr="009E73B1">
              <w:rPr>
                <w:rFonts w:ascii="Times New Roman" w:hAnsi="Times New Roman"/>
                <w:sz w:val="24"/>
                <w:szCs w:val="24"/>
              </w:rPr>
              <w:lastRenderedPageBreak/>
              <w:t>(likumprojekta 4.pants).</w:t>
            </w:r>
          </w:p>
          <w:p w:rsidR="00F5335C" w:rsidRPr="009E73B1" w:rsidRDefault="00F5335C" w:rsidP="009E6B19">
            <w:pPr>
              <w:spacing w:after="0" w:line="240" w:lineRule="auto"/>
              <w:jc w:val="both"/>
              <w:rPr>
                <w:rFonts w:ascii="Times New Roman" w:hAnsi="Times New Roman"/>
                <w:sz w:val="24"/>
                <w:szCs w:val="24"/>
              </w:rPr>
            </w:pPr>
          </w:p>
          <w:p w:rsidR="00604A2D" w:rsidRDefault="00604A2D" w:rsidP="009E6B19">
            <w:pPr>
              <w:spacing w:after="0" w:line="240" w:lineRule="auto"/>
              <w:jc w:val="both"/>
              <w:rPr>
                <w:rFonts w:ascii="Times New Roman" w:hAnsi="Times New Roman"/>
                <w:sz w:val="24"/>
                <w:szCs w:val="24"/>
              </w:rPr>
            </w:pPr>
            <w:r w:rsidRPr="009E73B1">
              <w:rPr>
                <w:rFonts w:ascii="Times New Roman" w:hAnsi="Times New Roman"/>
                <w:sz w:val="24"/>
                <w:szCs w:val="24"/>
                <w:lang w:eastAsia="lv-LV"/>
              </w:rPr>
              <w:t>Slimības pabalsts ir viens no sociālās apdrošināšanas riska gadījumiem, kur, veicot sociālās iemaksas, sociāli apdrošinātā persona saņem ienākumu atvietojumu slimības gadījumā.</w:t>
            </w:r>
            <w:r w:rsidRPr="009E73B1">
              <w:rPr>
                <w:rFonts w:ascii="Times New Roman" w:hAnsi="Times New Roman"/>
                <w:sz w:val="24"/>
                <w:szCs w:val="24"/>
              </w:rPr>
              <w:t xml:space="preserve"> Vispārējā pārejošas darbnespējas gadījumā darba devējs darba ņēmējam slimības naudu izmaksā par laika periodu no 2. līdz 10.darbnespējas kalendārajai dienai (ne mazāk kā 75 % apmērā no darba ņēmēja vidējās izpeļņas par 2. un 3. darbnespējas kalendāro dienu un ne mazāk kā 80 % apmērā no darba ņēmēja vidējās izpeļņas par laiku no 4. līdz 10.darbnespējas kalendārajai dienai). Slimības pabalstu piešķir un izmaksā par laika periodu no darbnespējas 11.dienas līdz darbspēju atgūšanas dienai, bet ne ilgāku par 26 nedēļām, skaitot no darba nespējas pirmās dienas, ja darbnespēja ir nepārtraukta, vai ne ilgāku par 52 nedēļām triju gadu periodā, ja darbnespēja atkārtojas ar pārtraukumiem. Slimības pabalstu piešķir 80% apmērā no personas vidējās apdrošināšanas iemaksu algas.</w:t>
            </w:r>
          </w:p>
          <w:p w:rsidR="00D92038" w:rsidRDefault="00D92038" w:rsidP="001D568F">
            <w:pPr>
              <w:suppressAutoHyphens/>
              <w:autoSpaceDE w:val="0"/>
              <w:autoSpaceDN w:val="0"/>
              <w:adjustRightInd w:val="0"/>
              <w:spacing w:after="120" w:line="240" w:lineRule="auto"/>
              <w:jc w:val="both"/>
              <w:rPr>
                <w:rFonts w:ascii="Times New Roman" w:hAnsi="Times New Roman"/>
                <w:sz w:val="24"/>
                <w:szCs w:val="24"/>
              </w:rPr>
            </w:pPr>
          </w:p>
          <w:p w:rsidR="00604A2D" w:rsidRPr="009E73B1" w:rsidRDefault="00604A2D" w:rsidP="001D568F">
            <w:pPr>
              <w:suppressAutoHyphens/>
              <w:autoSpaceDE w:val="0"/>
              <w:autoSpaceDN w:val="0"/>
              <w:adjustRightInd w:val="0"/>
              <w:spacing w:after="120" w:line="240" w:lineRule="auto"/>
              <w:jc w:val="both"/>
              <w:rPr>
                <w:rFonts w:ascii="Times New Roman" w:hAnsi="Times New Roman"/>
                <w:sz w:val="24"/>
                <w:szCs w:val="24"/>
              </w:rPr>
            </w:pPr>
            <w:r w:rsidRPr="009E73B1">
              <w:rPr>
                <w:rFonts w:ascii="Times New Roman" w:hAnsi="Times New Roman"/>
                <w:sz w:val="24"/>
                <w:szCs w:val="24"/>
              </w:rPr>
              <w:t>Pēc VSAA datiem izdevumi slimības pabalstu izmaksai 2015.gadā salīdzinājumā ar 2014.gadu pieauga par 32.1 milj. EUR jeb 1.4 reizes, tomēr nesasniedzot izdevumu apjomu pirmskrīzes laikā 2009.gadā. Pabalsta saņēmēju skaits ir palielinājies par 16.9 tūkst. un gadījumu skaits par 31.7 tūkst. No visiem pabalsta saņēmējiem 60% ir sievietes (no tiem, vispārējā gadījumā – 55%, sakarā ar slima bērna kopšanu – 76%). Apmaksāto dienu skaits uz 1 gadījumu ir samazinājies par 0.52 dienām, savukārt salīdzinājumā ar 2009.gadu – par 10.53 dienām. Vidējais piešķirtais apmērs dienā ir palielinājies par 3.11 EUR, salīdzinājumā ar 2009.gadu – samazinājies par 0.62 EUR (skat. 1.tab.)</w:t>
            </w:r>
          </w:p>
          <w:p w:rsidR="00604A2D" w:rsidRPr="009E73B1" w:rsidRDefault="00604A2D" w:rsidP="001D568F">
            <w:pPr>
              <w:suppressAutoHyphens/>
              <w:autoSpaceDE w:val="0"/>
              <w:autoSpaceDN w:val="0"/>
              <w:adjustRightInd w:val="0"/>
              <w:spacing w:after="120" w:line="240" w:lineRule="auto"/>
              <w:jc w:val="right"/>
              <w:rPr>
                <w:rFonts w:ascii="Times New Roman" w:hAnsi="Times New Roman"/>
                <w:sz w:val="24"/>
                <w:szCs w:val="24"/>
              </w:rPr>
            </w:pPr>
            <w:r w:rsidRPr="009E73B1">
              <w:rPr>
                <w:rFonts w:ascii="Times New Roman" w:hAnsi="Times New Roman"/>
                <w:sz w:val="24"/>
                <w:szCs w:val="24"/>
              </w:rPr>
              <w:t>1.tabula</w:t>
            </w:r>
          </w:p>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Slimības pabalstus raksturojošie galvenie rādītāji</w:t>
            </w:r>
          </w:p>
          <w:p w:rsidR="00604A2D" w:rsidRPr="009E73B1" w:rsidRDefault="00604A2D" w:rsidP="001D568F">
            <w:pPr>
              <w:spacing w:after="0" w:line="240" w:lineRule="auto"/>
              <w:jc w:val="center"/>
              <w:rPr>
                <w:rFonts w:ascii="Times New Roman" w:eastAsia="Times New Roman" w:hAnsi="Times New Roman"/>
                <w:b/>
                <w:sz w:val="20"/>
                <w:szCs w:val="20"/>
                <w:lang w:eastAsia="lv-LV"/>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50"/>
              <w:gridCol w:w="851"/>
              <w:gridCol w:w="850"/>
              <w:gridCol w:w="851"/>
              <w:gridCol w:w="850"/>
              <w:gridCol w:w="851"/>
              <w:gridCol w:w="1354"/>
            </w:tblGrid>
            <w:tr w:rsidR="009E73B1" w:rsidRPr="009E73B1" w:rsidTr="001D568F">
              <w:tc>
                <w:tcPr>
                  <w:tcW w:w="1022"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p>
              </w:tc>
              <w:tc>
                <w:tcPr>
                  <w:tcW w:w="850"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2009</w:t>
                  </w:r>
                </w:p>
              </w:tc>
              <w:tc>
                <w:tcPr>
                  <w:tcW w:w="851"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2010</w:t>
                  </w:r>
                </w:p>
              </w:tc>
              <w:tc>
                <w:tcPr>
                  <w:tcW w:w="850"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2011</w:t>
                  </w:r>
                </w:p>
              </w:tc>
              <w:tc>
                <w:tcPr>
                  <w:tcW w:w="851"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2012</w:t>
                  </w:r>
                </w:p>
              </w:tc>
              <w:tc>
                <w:tcPr>
                  <w:tcW w:w="850"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2013</w:t>
                  </w:r>
                </w:p>
              </w:tc>
              <w:tc>
                <w:tcPr>
                  <w:tcW w:w="851" w:type="dxa"/>
                  <w:shd w:val="clear" w:color="auto" w:fill="EEECE1"/>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2014</w:t>
                  </w:r>
                </w:p>
              </w:tc>
              <w:tc>
                <w:tcPr>
                  <w:tcW w:w="1354" w:type="dxa"/>
                  <w:shd w:val="clear" w:color="auto" w:fill="EEECE1"/>
                </w:tcPr>
                <w:p w:rsidR="00604A2D" w:rsidRPr="009E73B1" w:rsidRDefault="00604A2D" w:rsidP="001D568F">
                  <w:pPr>
                    <w:spacing w:after="0" w:line="240" w:lineRule="auto"/>
                    <w:ind w:right="318"/>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 xml:space="preserve">2015 </w:t>
                  </w:r>
                </w:p>
              </w:tc>
            </w:tr>
            <w:tr w:rsidR="009E73B1" w:rsidRPr="009E73B1" w:rsidTr="001D568F">
              <w:trPr>
                <w:trHeight w:val="350"/>
              </w:trPr>
              <w:tc>
                <w:tcPr>
                  <w:tcW w:w="1022" w:type="dxa"/>
                  <w:shd w:val="clear" w:color="auto" w:fill="auto"/>
                  <w:vAlign w:val="center"/>
                </w:tcPr>
                <w:p w:rsidR="00604A2D" w:rsidRPr="009E73B1" w:rsidRDefault="00604A2D" w:rsidP="001D568F">
                  <w:pPr>
                    <w:spacing w:after="0" w:line="240" w:lineRule="auto"/>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 xml:space="preserve">Saņēmēju skaits </w:t>
                  </w:r>
                </w:p>
              </w:tc>
              <w:tc>
                <w:tcPr>
                  <w:tcW w:w="850" w:type="dxa"/>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151 067</w:t>
                  </w:r>
                </w:p>
              </w:tc>
              <w:tc>
                <w:tcPr>
                  <w:tcW w:w="851" w:type="dxa"/>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140 955</w:t>
                  </w:r>
                </w:p>
              </w:tc>
              <w:tc>
                <w:tcPr>
                  <w:tcW w:w="850" w:type="dxa"/>
                  <w:shd w:val="clear" w:color="auto" w:fill="auto"/>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146 506</w:t>
                  </w:r>
                </w:p>
              </w:tc>
              <w:tc>
                <w:tcPr>
                  <w:tcW w:w="851" w:type="dxa"/>
                  <w:shd w:val="clear" w:color="auto" w:fill="auto"/>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146 758</w:t>
                  </w:r>
                </w:p>
              </w:tc>
              <w:tc>
                <w:tcPr>
                  <w:tcW w:w="850" w:type="dxa"/>
                  <w:shd w:val="clear" w:color="auto" w:fill="auto"/>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162 405</w:t>
                  </w:r>
                </w:p>
              </w:tc>
              <w:tc>
                <w:tcPr>
                  <w:tcW w:w="851" w:type="dxa"/>
                  <w:shd w:val="clear" w:color="auto" w:fill="auto"/>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154 878</w:t>
                  </w:r>
                </w:p>
              </w:tc>
              <w:tc>
                <w:tcPr>
                  <w:tcW w:w="1354" w:type="dxa"/>
                  <w:shd w:val="clear" w:color="auto" w:fill="auto"/>
                  <w:vAlign w:val="center"/>
                </w:tcPr>
                <w:p w:rsidR="00604A2D" w:rsidRPr="009E73B1" w:rsidRDefault="00604A2D" w:rsidP="001D568F">
                  <w:pPr>
                    <w:spacing w:after="0" w:line="240" w:lineRule="auto"/>
                    <w:jc w:val="center"/>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171 783</w:t>
                  </w:r>
                </w:p>
              </w:tc>
            </w:tr>
            <w:tr w:rsidR="009E73B1" w:rsidRPr="009E73B1" w:rsidTr="001D568F">
              <w:trPr>
                <w:trHeight w:val="357"/>
              </w:trPr>
              <w:tc>
                <w:tcPr>
                  <w:tcW w:w="1022" w:type="dxa"/>
                  <w:shd w:val="clear" w:color="auto" w:fill="auto"/>
                </w:tcPr>
                <w:p w:rsidR="00604A2D" w:rsidRPr="009E73B1" w:rsidRDefault="00604A2D" w:rsidP="001D568F">
                  <w:pPr>
                    <w:spacing w:after="0" w:line="240" w:lineRule="auto"/>
                    <w:rPr>
                      <w:rFonts w:ascii="Times New Roman" w:eastAsia="Times New Roman" w:hAnsi="Times New Roman"/>
                      <w:sz w:val="16"/>
                      <w:szCs w:val="16"/>
                      <w:lang w:eastAsia="lv-LV"/>
                    </w:rPr>
                  </w:pPr>
                  <w:r w:rsidRPr="009E73B1">
                    <w:rPr>
                      <w:rFonts w:ascii="Times New Roman" w:hAnsi="Times New Roman"/>
                      <w:sz w:val="16"/>
                      <w:szCs w:val="16"/>
                    </w:rPr>
                    <w:t>Gadījumu skaits</w:t>
                  </w:r>
                </w:p>
              </w:tc>
              <w:tc>
                <w:tcPr>
                  <w:tcW w:w="850"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204 621</w:t>
                  </w:r>
                </w:p>
              </w:tc>
              <w:tc>
                <w:tcPr>
                  <w:tcW w:w="851"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189 463</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209 148</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209 729</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234 318</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222 922</w:t>
                  </w:r>
                </w:p>
              </w:tc>
              <w:tc>
                <w:tcPr>
                  <w:tcW w:w="1354"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254 670</w:t>
                  </w:r>
                </w:p>
              </w:tc>
            </w:tr>
            <w:tr w:rsidR="009E73B1" w:rsidRPr="009E73B1" w:rsidTr="001D568F">
              <w:trPr>
                <w:trHeight w:val="445"/>
              </w:trPr>
              <w:tc>
                <w:tcPr>
                  <w:tcW w:w="1022" w:type="dxa"/>
                  <w:shd w:val="clear" w:color="auto" w:fill="auto"/>
                </w:tcPr>
                <w:p w:rsidR="00604A2D" w:rsidRPr="009E73B1" w:rsidRDefault="00604A2D" w:rsidP="001D568F">
                  <w:pPr>
                    <w:spacing w:after="0" w:line="240" w:lineRule="auto"/>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Gadījumu skaits uz 1 saņēmēju</w:t>
                  </w:r>
                </w:p>
              </w:tc>
              <w:tc>
                <w:tcPr>
                  <w:tcW w:w="850"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1.35</w:t>
                  </w:r>
                </w:p>
              </w:tc>
              <w:tc>
                <w:tcPr>
                  <w:tcW w:w="851"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1.34</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1.43</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1.43</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1.44</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1.44</w:t>
                  </w:r>
                </w:p>
              </w:tc>
              <w:tc>
                <w:tcPr>
                  <w:tcW w:w="1354"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1.48</w:t>
                  </w:r>
                </w:p>
              </w:tc>
            </w:tr>
            <w:tr w:rsidR="009E73B1" w:rsidRPr="009E73B1" w:rsidTr="001D568F">
              <w:tc>
                <w:tcPr>
                  <w:tcW w:w="1022" w:type="dxa"/>
                  <w:shd w:val="clear" w:color="auto" w:fill="auto"/>
                </w:tcPr>
                <w:p w:rsidR="00604A2D" w:rsidRPr="009E73B1" w:rsidRDefault="00604A2D" w:rsidP="001D568F">
                  <w:pPr>
                    <w:spacing w:after="0" w:line="240" w:lineRule="auto"/>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Apmaksāto dienu skaits uz 1 gadījumu</w:t>
                  </w:r>
                </w:p>
              </w:tc>
              <w:tc>
                <w:tcPr>
                  <w:tcW w:w="850"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37.95</w:t>
                  </w:r>
                </w:p>
              </w:tc>
              <w:tc>
                <w:tcPr>
                  <w:tcW w:w="851"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34.06</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28.40</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27.87</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26.85</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27.94</w:t>
                  </w:r>
                </w:p>
              </w:tc>
              <w:tc>
                <w:tcPr>
                  <w:tcW w:w="1354"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27.42</w:t>
                  </w:r>
                </w:p>
              </w:tc>
            </w:tr>
            <w:tr w:rsidR="009E73B1" w:rsidRPr="009E73B1" w:rsidTr="001D568F">
              <w:tc>
                <w:tcPr>
                  <w:tcW w:w="1022" w:type="dxa"/>
                  <w:shd w:val="clear" w:color="auto" w:fill="auto"/>
                </w:tcPr>
                <w:p w:rsidR="00604A2D" w:rsidRPr="009E73B1" w:rsidRDefault="00604A2D" w:rsidP="001D568F">
                  <w:pPr>
                    <w:spacing w:after="0" w:line="240" w:lineRule="auto"/>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Vidējais piešķirtais apmērs dienā, EUR</w:t>
                  </w:r>
                  <w:r w:rsidRPr="009E73B1">
                    <w:rPr>
                      <w:rStyle w:val="FootnoteReference"/>
                      <w:rFonts w:ascii="Times New Roman" w:eastAsia="Times New Roman" w:hAnsi="Times New Roman"/>
                      <w:sz w:val="16"/>
                      <w:szCs w:val="16"/>
                      <w:lang w:eastAsia="lv-LV"/>
                    </w:rPr>
                    <w:footnoteReference w:id="1"/>
                  </w:r>
                </w:p>
              </w:tc>
              <w:tc>
                <w:tcPr>
                  <w:tcW w:w="850"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17.42</w:t>
                  </w:r>
                </w:p>
              </w:tc>
              <w:tc>
                <w:tcPr>
                  <w:tcW w:w="851" w:type="dxa"/>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14.83</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12.45</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12.66</w:t>
                  </w:r>
                </w:p>
              </w:tc>
              <w:tc>
                <w:tcPr>
                  <w:tcW w:w="850"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13.09</w:t>
                  </w:r>
                </w:p>
              </w:tc>
              <w:tc>
                <w:tcPr>
                  <w:tcW w:w="851"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13.69</w:t>
                  </w:r>
                </w:p>
              </w:tc>
              <w:tc>
                <w:tcPr>
                  <w:tcW w:w="1354" w:type="dxa"/>
                  <w:shd w:val="clear" w:color="auto" w:fill="auto"/>
                  <w:vAlign w:val="center"/>
                </w:tcPr>
                <w:p w:rsidR="00604A2D" w:rsidRPr="009E73B1" w:rsidRDefault="00604A2D" w:rsidP="001D568F">
                  <w:pPr>
                    <w:spacing w:after="0" w:line="240" w:lineRule="auto"/>
                    <w:jc w:val="center"/>
                    <w:rPr>
                      <w:rFonts w:ascii="Times New Roman" w:hAnsi="Times New Roman"/>
                      <w:sz w:val="16"/>
                      <w:szCs w:val="16"/>
                    </w:rPr>
                  </w:pPr>
                  <w:r w:rsidRPr="009E73B1">
                    <w:rPr>
                      <w:rFonts w:ascii="Times New Roman" w:hAnsi="Times New Roman"/>
                      <w:sz w:val="16"/>
                      <w:szCs w:val="16"/>
                    </w:rPr>
                    <w:t>16.80</w:t>
                  </w:r>
                </w:p>
              </w:tc>
            </w:tr>
            <w:tr w:rsidR="009E73B1" w:rsidRPr="009E73B1" w:rsidTr="001D568F">
              <w:tc>
                <w:tcPr>
                  <w:tcW w:w="1022" w:type="dxa"/>
                  <w:shd w:val="clear" w:color="auto" w:fill="auto"/>
                </w:tcPr>
                <w:p w:rsidR="00604A2D" w:rsidRPr="009E73B1" w:rsidRDefault="00604A2D" w:rsidP="001D568F">
                  <w:pPr>
                    <w:spacing w:after="0" w:line="240" w:lineRule="auto"/>
                    <w:jc w:val="both"/>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Atvietojuma līmenis (%)</w:t>
                  </w:r>
                </w:p>
              </w:tc>
              <w:tc>
                <w:tcPr>
                  <w:tcW w:w="850" w:type="dxa"/>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80</w:t>
                  </w:r>
                </w:p>
              </w:tc>
              <w:tc>
                <w:tcPr>
                  <w:tcW w:w="851" w:type="dxa"/>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79</w:t>
                  </w:r>
                </w:p>
              </w:tc>
              <w:tc>
                <w:tcPr>
                  <w:tcW w:w="850"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72</w:t>
                  </w:r>
                </w:p>
              </w:tc>
              <w:tc>
                <w:tcPr>
                  <w:tcW w:w="851"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71</w:t>
                  </w:r>
                </w:p>
              </w:tc>
              <w:tc>
                <w:tcPr>
                  <w:tcW w:w="850"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71</w:t>
                  </w:r>
                </w:p>
              </w:tc>
              <w:tc>
                <w:tcPr>
                  <w:tcW w:w="851"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70</w:t>
                  </w:r>
                </w:p>
              </w:tc>
              <w:tc>
                <w:tcPr>
                  <w:tcW w:w="1354"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79</w:t>
                  </w:r>
                </w:p>
              </w:tc>
            </w:tr>
            <w:tr w:rsidR="009E73B1" w:rsidRPr="009E73B1" w:rsidTr="001D568F">
              <w:tc>
                <w:tcPr>
                  <w:tcW w:w="1022" w:type="dxa"/>
                  <w:shd w:val="clear" w:color="auto" w:fill="auto"/>
                </w:tcPr>
                <w:p w:rsidR="00604A2D" w:rsidRPr="009E73B1" w:rsidRDefault="00604A2D" w:rsidP="001D568F">
                  <w:pPr>
                    <w:spacing w:after="0" w:line="240" w:lineRule="auto"/>
                    <w:jc w:val="both"/>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Pabalsta saņēmēju vidējais vecums</w:t>
                  </w:r>
                </w:p>
              </w:tc>
              <w:tc>
                <w:tcPr>
                  <w:tcW w:w="850" w:type="dxa"/>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43.13</w:t>
                  </w:r>
                </w:p>
              </w:tc>
              <w:tc>
                <w:tcPr>
                  <w:tcW w:w="851" w:type="dxa"/>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42.42</w:t>
                  </w:r>
                </w:p>
              </w:tc>
              <w:tc>
                <w:tcPr>
                  <w:tcW w:w="850"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42.32</w:t>
                  </w:r>
                </w:p>
              </w:tc>
              <w:tc>
                <w:tcPr>
                  <w:tcW w:w="851"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42.55</w:t>
                  </w:r>
                </w:p>
              </w:tc>
              <w:tc>
                <w:tcPr>
                  <w:tcW w:w="850"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42.98</w:t>
                  </w:r>
                </w:p>
              </w:tc>
              <w:tc>
                <w:tcPr>
                  <w:tcW w:w="851"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43.05</w:t>
                  </w:r>
                </w:p>
              </w:tc>
              <w:tc>
                <w:tcPr>
                  <w:tcW w:w="1354" w:type="dxa"/>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43.41</w:t>
                  </w:r>
                </w:p>
              </w:tc>
            </w:tr>
            <w:tr w:rsidR="009E73B1" w:rsidRPr="009E73B1" w:rsidTr="001D568F">
              <w:tc>
                <w:tcPr>
                  <w:tcW w:w="1022" w:type="dxa"/>
                  <w:tcBorders>
                    <w:top w:val="single" w:sz="4" w:space="0" w:color="auto"/>
                    <w:left w:val="single" w:sz="4" w:space="0" w:color="auto"/>
                    <w:bottom w:val="single" w:sz="4" w:space="0" w:color="auto"/>
                    <w:right w:val="single" w:sz="4" w:space="0" w:color="auto"/>
                  </w:tcBorders>
                  <w:shd w:val="clear" w:color="auto" w:fill="auto"/>
                </w:tcPr>
                <w:p w:rsidR="00604A2D" w:rsidRPr="009E73B1" w:rsidRDefault="00604A2D" w:rsidP="001D568F">
                  <w:pPr>
                    <w:spacing w:after="0" w:line="240" w:lineRule="auto"/>
                    <w:jc w:val="both"/>
                    <w:rPr>
                      <w:rFonts w:ascii="Times New Roman" w:eastAsia="Times New Roman" w:hAnsi="Times New Roman"/>
                      <w:sz w:val="16"/>
                      <w:szCs w:val="16"/>
                      <w:lang w:eastAsia="lv-LV"/>
                    </w:rPr>
                  </w:pPr>
                  <w:r w:rsidRPr="009E73B1">
                    <w:rPr>
                      <w:rFonts w:ascii="Times New Roman" w:eastAsia="Times New Roman" w:hAnsi="Times New Roman"/>
                      <w:sz w:val="16"/>
                      <w:szCs w:val="16"/>
                      <w:lang w:eastAsia="lv-LV"/>
                    </w:rPr>
                    <w:t>Izdevumi, milj. EUR</w:t>
                  </w:r>
                </w:p>
              </w:tc>
              <w:tc>
                <w:tcPr>
                  <w:tcW w:w="850" w:type="dxa"/>
                  <w:tcBorders>
                    <w:top w:val="single" w:sz="4" w:space="0" w:color="auto"/>
                    <w:left w:val="single" w:sz="4" w:space="0" w:color="auto"/>
                    <w:bottom w:val="single" w:sz="4" w:space="0" w:color="auto"/>
                    <w:right w:val="single" w:sz="4" w:space="0" w:color="auto"/>
                  </w:tcBorders>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135,7</w:t>
                  </w:r>
                </w:p>
              </w:tc>
              <w:tc>
                <w:tcPr>
                  <w:tcW w:w="851" w:type="dxa"/>
                  <w:tcBorders>
                    <w:top w:val="single" w:sz="4" w:space="0" w:color="auto"/>
                    <w:left w:val="single" w:sz="4" w:space="0" w:color="auto"/>
                    <w:bottom w:val="single" w:sz="4" w:space="0" w:color="auto"/>
                    <w:right w:val="single" w:sz="4" w:space="0" w:color="auto"/>
                  </w:tcBorders>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95,1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72,9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82,8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84,9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604A2D" w:rsidRPr="009E6B19" w:rsidRDefault="00604A2D" w:rsidP="001D568F">
                  <w:pPr>
                    <w:spacing w:after="0" w:line="240" w:lineRule="auto"/>
                    <w:jc w:val="center"/>
                    <w:rPr>
                      <w:rFonts w:ascii="Times New Roman" w:eastAsia="Times New Roman" w:hAnsi="Times New Roman"/>
                      <w:sz w:val="16"/>
                      <w:szCs w:val="16"/>
                      <w:lang w:eastAsia="lv-LV"/>
                    </w:rPr>
                  </w:pPr>
                  <w:r w:rsidRPr="009E6B19">
                    <w:rPr>
                      <w:rFonts w:ascii="Times New Roman" w:eastAsia="Times New Roman" w:hAnsi="Times New Roman"/>
                      <w:sz w:val="16"/>
                      <w:szCs w:val="16"/>
                      <w:lang w:eastAsia="lv-LV"/>
                    </w:rPr>
                    <w:t>117,0</w:t>
                  </w:r>
                </w:p>
              </w:tc>
            </w:tr>
          </w:tbl>
          <w:p w:rsidR="00F5335C" w:rsidRDefault="00F5335C" w:rsidP="001D568F">
            <w:pPr>
              <w:suppressAutoHyphens/>
              <w:autoSpaceDE w:val="0"/>
              <w:autoSpaceDN w:val="0"/>
              <w:adjustRightInd w:val="0"/>
              <w:spacing w:after="120" w:line="240" w:lineRule="auto"/>
              <w:jc w:val="both"/>
              <w:rPr>
                <w:rFonts w:ascii="Times New Roman" w:hAnsi="Times New Roman"/>
                <w:sz w:val="28"/>
                <w:szCs w:val="28"/>
              </w:rPr>
            </w:pPr>
          </w:p>
          <w:p w:rsidR="00604A2D" w:rsidRPr="009E73B1" w:rsidRDefault="00604A2D" w:rsidP="001D568F">
            <w:pPr>
              <w:suppressAutoHyphens/>
              <w:autoSpaceDE w:val="0"/>
              <w:autoSpaceDN w:val="0"/>
              <w:adjustRightInd w:val="0"/>
              <w:spacing w:after="120" w:line="240" w:lineRule="auto"/>
              <w:jc w:val="both"/>
              <w:rPr>
                <w:rFonts w:ascii="Times New Roman" w:hAnsi="Times New Roman"/>
                <w:sz w:val="24"/>
                <w:szCs w:val="24"/>
              </w:rPr>
            </w:pPr>
            <w:r w:rsidRPr="009E73B1">
              <w:rPr>
                <w:rFonts w:ascii="Times New Roman" w:hAnsi="Times New Roman"/>
                <w:sz w:val="24"/>
                <w:szCs w:val="24"/>
              </w:rPr>
              <w:t>Slimības pabalstu skaits pieaug proporcionāli personas apdrošināšanas stāžam – jo lielāks apdrošināšanas stāžs, jo cilvēks vecāks un biežāk slimo. Vienlaikus pietiekami liels ir to slimības pabalstu saņēmēju skaits, kuru apdrošināšanas stāžs ir mazāks par vienu gadu (skat. 2.tab.) un šīs personas sociālās apdrošināšanas iemaksas vai nu nav veikušas vispār vai par neilgu periodu.</w:t>
            </w:r>
          </w:p>
          <w:p w:rsidR="00604A2D" w:rsidRPr="007E343A" w:rsidRDefault="00604A2D" w:rsidP="001D568F">
            <w:pPr>
              <w:suppressAutoHyphens/>
              <w:autoSpaceDE w:val="0"/>
              <w:autoSpaceDN w:val="0"/>
              <w:adjustRightInd w:val="0"/>
              <w:spacing w:after="120" w:line="240" w:lineRule="auto"/>
              <w:jc w:val="right"/>
              <w:rPr>
                <w:rFonts w:ascii="Times New Roman" w:hAnsi="Times New Roman"/>
                <w:sz w:val="24"/>
                <w:szCs w:val="24"/>
              </w:rPr>
            </w:pPr>
            <w:r w:rsidRPr="007E343A">
              <w:rPr>
                <w:rFonts w:ascii="Times New Roman" w:hAnsi="Times New Roman"/>
                <w:sz w:val="24"/>
                <w:szCs w:val="24"/>
              </w:rPr>
              <w:t>2.tabula</w:t>
            </w:r>
          </w:p>
          <w:p w:rsidR="00604A2D" w:rsidRPr="007E343A" w:rsidRDefault="00604A2D" w:rsidP="001D568F">
            <w:pPr>
              <w:suppressAutoHyphens/>
              <w:autoSpaceDE w:val="0"/>
              <w:autoSpaceDN w:val="0"/>
              <w:adjustRightInd w:val="0"/>
              <w:spacing w:after="0" w:line="240" w:lineRule="auto"/>
              <w:jc w:val="center"/>
              <w:rPr>
                <w:rFonts w:ascii="Times New Roman" w:hAnsi="Times New Roman"/>
                <w:b/>
                <w:sz w:val="24"/>
                <w:szCs w:val="24"/>
              </w:rPr>
            </w:pPr>
            <w:r w:rsidRPr="007E343A">
              <w:rPr>
                <w:rFonts w:ascii="Times New Roman" w:hAnsi="Times New Roman"/>
                <w:b/>
                <w:sz w:val="24"/>
                <w:szCs w:val="24"/>
              </w:rPr>
              <w:t>2015.gadā izmaksātie slimības pabalsti</w:t>
            </w:r>
          </w:p>
          <w:p w:rsidR="00604A2D" w:rsidRPr="007E343A" w:rsidRDefault="00604A2D" w:rsidP="001D568F">
            <w:pPr>
              <w:suppressAutoHyphens/>
              <w:autoSpaceDE w:val="0"/>
              <w:autoSpaceDN w:val="0"/>
              <w:adjustRightInd w:val="0"/>
              <w:spacing w:after="0" w:line="240" w:lineRule="auto"/>
              <w:jc w:val="center"/>
              <w:rPr>
                <w:rFonts w:ascii="Times New Roman" w:hAnsi="Times New Roman"/>
                <w:b/>
                <w:sz w:val="24"/>
                <w:szCs w:val="24"/>
              </w:rPr>
            </w:pPr>
            <w:r w:rsidRPr="007E343A">
              <w:rPr>
                <w:rFonts w:ascii="Times New Roman" w:hAnsi="Times New Roman"/>
                <w:b/>
                <w:sz w:val="24"/>
                <w:szCs w:val="24"/>
              </w:rPr>
              <w:t>(neieskaitot slima bērna kopšanu)</w:t>
            </w:r>
          </w:p>
          <w:tbl>
            <w:tblPr>
              <w:tblW w:w="5416" w:type="dxa"/>
              <w:jc w:val="center"/>
              <w:tblLayout w:type="fixed"/>
              <w:tblLook w:val="04A0" w:firstRow="1" w:lastRow="0" w:firstColumn="1" w:lastColumn="0" w:noHBand="0" w:noVBand="1"/>
            </w:tblPr>
            <w:tblGrid>
              <w:gridCol w:w="1640"/>
              <w:gridCol w:w="1500"/>
              <w:gridCol w:w="2276"/>
            </w:tblGrid>
            <w:tr w:rsidR="009E73B1" w:rsidRPr="009E73B1" w:rsidTr="001D568F">
              <w:trPr>
                <w:trHeight w:val="1800"/>
                <w:jc w:val="center"/>
              </w:trPr>
              <w:tc>
                <w:tcPr>
                  <w:tcW w:w="1640" w:type="dxa"/>
                  <w:tcBorders>
                    <w:top w:val="single" w:sz="4" w:space="0" w:color="auto"/>
                    <w:left w:val="single" w:sz="4" w:space="0" w:color="auto"/>
                    <w:bottom w:val="single" w:sz="4" w:space="0" w:color="auto"/>
                    <w:right w:val="nil"/>
                  </w:tcBorders>
                  <w:vAlign w:val="center"/>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Apdrošināšanas stāžs no 1996.gada, gadi</w:t>
                  </w:r>
                </w:p>
              </w:tc>
              <w:tc>
                <w:tcPr>
                  <w:tcW w:w="1500" w:type="dxa"/>
                  <w:tcBorders>
                    <w:top w:val="nil"/>
                    <w:left w:val="double" w:sz="6" w:space="0" w:color="auto"/>
                    <w:bottom w:val="single" w:sz="4" w:space="0" w:color="auto"/>
                    <w:right w:val="single" w:sz="4" w:space="0" w:color="auto"/>
                  </w:tcBorders>
                  <w:shd w:val="clear" w:color="000000" w:fill="BFBFBF"/>
                  <w:vAlign w:val="center"/>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Pabalstu saņēmēju skaits</w:t>
                  </w:r>
                </w:p>
              </w:tc>
              <w:tc>
                <w:tcPr>
                  <w:tcW w:w="2276" w:type="dxa"/>
                  <w:tcBorders>
                    <w:top w:val="nil"/>
                    <w:left w:val="nil"/>
                    <w:bottom w:val="single" w:sz="4" w:space="0" w:color="auto"/>
                    <w:right w:val="double" w:sz="6" w:space="0" w:color="auto"/>
                  </w:tcBorders>
                  <w:shd w:val="clear" w:color="000000" w:fill="BFBFBF"/>
                  <w:vAlign w:val="center"/>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Gadījumu skaits</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0</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3 159</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3 596</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3 445</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4 075</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2</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3 750</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4 437</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3 700</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4 401</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3 478</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4 142</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3 189</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3 789</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6</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3 733</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4 504</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7</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4 193</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5 051</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8</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4 489</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5 380</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9</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4 578</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5 510</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10</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4 761</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5 748</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11</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4 971</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5 994</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12</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5 273</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6 387</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13</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5 700</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7 010</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14</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6 191</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7 582</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15</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7 075</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8 644</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16</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8 327</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10 154</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17</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10 872</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13 362</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18</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22 262</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27 485</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19</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19 278</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23 829</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20</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x</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lang w:eastAsia="lv-LV"/>
                    </w:rPr>
                  </w:pPr>
                  <w:r w:rsidRPr="009E73B1">
                    <w:rPr>
                      <w:rFonts w:ascii="Times New Roman" w:eastAsia="Times New Roman" w:hAnsi="Times New Roman"/>
                      <w:lang w:eastAsia="lv-LV"/>
                    </w:rPr>
                    <w:t>x</w:t>
                  </w:r>
                </w:p>
              </w:tc>
            </w:tr>
            <w:tr w:rsidR="009E73B1" w:rsidRPr="009E73B1" w:rsidTr="001D568F">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b/>
                      <w:bCs/>
                      <w:lang w:eastAsia="lv-LV"/>
                    </w:rPr>
                  </w:pPr>
                  <w:r w:rsidRPr="009E73B1">
                    <w:rPr>
                      <w:rFonts w:ascii="Times New Roman" w:eastAsia="Times New Roman" w:hAnsi="Times New Roman"/>
                      <w:b/>
                      <w:bCs/>
                      <w:lang w:eastAsia="lv-LV"/>
                    </w:rPr>
                    <w:t>Kopā</w:t>
                  </w:r>
                </w:p>
              </w:tc>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b/>
                      <w:bCs/>
                      <w:lang w:eastAsia="lv-LV"/>
                    </w:rPr>
                  </w:pPr>
                  <w:r w:rsidRPr="009E73B1">
                    <w:rPr>
                      <w:rFonts w:ascii="Times New Roman" w:eastAsia="Times New Roman" w:hAnsi="Times New Roman"/>
                      <w:b/>
                      <w:bCs/>
                      <w:lang w:eastAsia="lv-LV"/>
                    </w:rPr>
                    <w:t>132 424</w:t>
                  </w:r>
                </w:p>
              </w:tc>
              <w:tc>
                <w:tcPr>
                  <w:tcW w:w="2276" w:type="dxa"/>
                  <w:tcBorders>
                    <w:top w:val="nil"/>
                    <w:left w:val="nil"/>
                    <w:bottom w:val="single" w:sz="4" w:space="0" w:color="auto"/>
                    <w:right w:val="double" w:sz="6" w:space="0" w:color="auto"/>
                  </w:tcBorders>
                  <w:shd w:val="clear" w:color="auto" w:fill="auto"/>
                  <w:noWrap/>
                  <w:vAlign w:val="bottom"/>
                  <w:hideMark/>
                </w:tcPr>
                <w:p w:rsidR="00604A2D" w:rsidRPr="009E73B1" w:rsidRDefault="00604A2D" w:rsidP="001D568F">
                  <w:pPr>
                    <w:spacing w:after="0" w:line="240" w:lineRule="auto"/>
                    <w:jc w:val="center"/>
                    <w:rPr>
                      <w:rFonts w:ascii="Times New Roman" w:eastAsia="Times New Roman" w:hAnsi="Times New Roman"/>
                      <w:b/>
                      <w:bCs/>
                      <w:lang w:eastAsia="lv-LV"/>
                    </w:rPr>
                  </w:pPr>
                  <w:r w:rsidRPr="009E73B1">
                    <w:rPr>
                      <w:rFonts w:ascii="Times New Roman" w:eastAsia="Times New Roman" w:hAnsi="Times New Roman"/>
                      <w:b/>
                      <w:bCs/>
                      <w:lang w:eastAsia="lv-LV"/>
                    </w:rPr>
                    <w:t>161 080</w:t>
                  </w:r>
                </w:p>
              </w:tc>
            </w:tr>
          </w:tbl>
          <w:p w:rsidR="00604A2D" w:rsidRPr="009E73B1" w:rsidRDefault="00604A2D" w:rsidP="001D568F">
            <w:pPr>
              <w:suppressAutoHyphens/>
              <w:autoSpaceDE w:val="0"/>
              <w:autoSpaceDN w:val="0"/>
              <w:adjustRightInd w:val="0"/>
              <w:spacing w:after="120" w:line="240" w:lineRule="auto"/>
              <w:jc w:val="both"/>
              <w:rPr>
                <w:rFonts w:ascii="Times New Roman" w:hAnsi="Times New Roman"/>
                <w:sz w:val="24"/>
                <w:szCs w:val="24"/>
                <w:lang w:eastAsia="lv-LV"/>
              </w:rPr>
            </w:pPr>
          </w:p>
          <w:p w:rsidR="00604A2D" w:rsidRDefault="00604A2D" w:rsidP="001D568F">
            <w:pPr>
              <w:suppressAutoHyphens/>
              <w:autoSpaceDE w:val="0"/>
              <w:autoSpaceDN w:val="0"/>
              <w:adjustRightInd w:val="0"/>
              <w:spacing w:after="120" w:line="240" w:lineRule="auto"/>
              <w:jc w:val="both"/>
              <w:rPr>
                <w:rFonts w:ascii="Times New Roman" w:hAnsi="Times New Roman"/>
                <w:sz w:val="24"/>
                <w:szCs w:val="24"/>
              </w:rPr>
            </w:pPr>
            <w:r w:rsidRPr="009E73B1">
              <w:rPr>
                <w:rFonts w:ascii="Times New Roman" w:eastAsiaTheme="minorHAnsi" w:hAnsi="Times New Roman"/>
                <w:sz w:val="24"/>
                <w:szCs w:val="24"/>
              </w:rPr>
              <w:t xml:space="preserve">Sociālās apdrošināšanas sistēmas ietvaros nosakot tiesības uz slimības pabalstu var ieviest dažādus kritērijus: noteiktu nodarbinātības periodu jeb kvalifikācijas periodu, ārsta apstiprinātu darbnespēju, kā arī regulāru ienākumu zaudējumu. Kvalifikācijas periods tiesību noteikšanai uz slimības pabalstu ir ieviests lielākoties visās ES dalībvalstīs no dažām dienām līdz pat periodam garākam par 12 mēnešiem, t.sk. Lietuvā (3 mēneši 12 mēnešu periodā vai 6 mēneši 12 mēnešu periodā) un Igaunijā (14 dienas pirms nodarbinātības uzsākšanas). </w:t>
            </w:r>
            <w:r w:rsidRPr="009E73B1">
              <w:rPr>
                <w:rFonts w:ascii="Times New Roman" w:hAnsi="Times New Roman"/>
                <w:sz w:val="24"/>
                <w:szCs w:val="24"/>
                <w:lang w:eastAsia="lv-LV"/>
              </w:rPr>
              <w:t xml:space="preserve">Latvijā šobrīd nav noteikts </w:t>
            </w:r>
            <w:r w:rsidRPr="009E73B1">
              <w:rPr>
                <w:rFonts w:ascii="Times New Roman" w:hAnsi="Times New Roman"/>
                <w:sz w:val="24"/>
                <w:szCs w:val="24"/>
                <w:lang w:eastAsia="lv-LV"/>
              </w:rPr>
              <w:lastRenderedPageBreak/>
              <w:t xml:space="preserve">kvalifikācijas periods, lai iegūtu tiesības uz slimības pabalstu. Rezultātā, ja darbinieks saslimst pat pirmajās darba dienās, viņam tiek piešķirts un izmaksāts slimības pabalsts. </w:t>
            </w:r>
            <w:r w:rsidRPr="009E73B1">
              <w:rPr>
                <w:rFonts w:ascii="Times New Roman" w:hAnsi="Times New Roman"/>
                <w:sz w:val="24"/>
                <w:szCs w:val="24"/>
              </w:rPr>
              <w:t>Likumprojektā ir noteikts slimības pabalsta kvalifikācijas periods, t.i. 3 mēneši pēdējo 6 mēnešu laikā vai 6 mēneši pēdējo 24 mēnešu laikā. Kvalifikācijas periods neattieksies uz darbnespējas lapām A, kuras apmaksā darba devējs, kā arī neattieksies uz gadījumiem, kad tiek kopts slims bērns, kas nav sasniedzis 14 gadu vecumu. Tiesiskās paļāvības ievērošanai šī norma stāsies spēkā ar 2018.gadu (likumprojekta 5.un 11.pants).</w:t>
            </w:r>
          </w:p>
          <w:p w:rsidR="00110D0D" w:rsidRDefault="00110D0D" w:rsidP="00110D0D">
            <w:pPr>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Tā kā kvalifikācijas periodu paredzēts ieviest ar 2018.gada 1.janvāri, tad gads ir pietiekami ilgs laiks, lai personas uzkrātu trīs vai sešu mēnešu lielu apdrošināšanas periodu un apdrošināšanas riska gadījumā personai būtu tiesības uz pakalpojumu.</w:t>
            </w:r>
          </w:p>
          <w:p w:rsidR="00110D0D" w:rsidRDefault="00110D0D" w:rsidP="00110D0D">
            <w:pPr>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Vienlaikus likumprojekta regulējums nodrošinās, ka tiesības uz slimības pabalstu būs personām, kuras vismaz īsu periodu būs bijušas sociāli apdrošinātas, nevis tikai ieguvušas darba ņēmēja vai pašnodarbinātā statusu vienlaicīgi ar darbnespējas iestāšanos. Likuma „Par valsts sociālo apdrošināšanu” 3.panta pirmā daļa nosaka, ka valsts sociālās apdrošināšanas pamatprincips ir nodrošināt, ka personai, kura zaudē darba ienākumus apdrošināšanas gadījuma iestāšanās dēļ, ir tiesības saņemt zaudēto darba ienākumu kompensāciju. Gadījumos, kad darbnespēja iestājas vienlaicīgi ar darba ņēmēja statusa iegūšanu, personai nav zaudēto darba ienākumu, kurus kompensēt darba nespējas dēļ. Savukārt personām, kuras apdrošināšanas iemaksas veikušas ilgā laika periodā, kvalifikācijas periods būs izdevīgs, jo šīm personām nebūs jāuztur tās personas, kuras par sociāli apdrošinātām kļūst neilgi pirms apdrošināšanas gadījuma iestāšanās un solidāru pienesumu sociālās apdrošināšanas budžetam nav devušas. </w:t>
            </w:r>
          </w:p>
          <w:p w:rsidR="00110D0D" w:rsidRPr="0081200E" w:rsidRDefault="00110D0D" w:rsidP="00110D0D">
            <w:pPr>
              <w:suppressAutoHyphens/>
              <w:autoSpaceDE w:val="0"/>
              <w:autoSpaceDN w:val="0"/>
              <w:adjustRightInd w:val="0"/>
              <w:spacing w:after="120" w:line="240" w:lineRule="auto"/>
              <w:jc w:val="both"/>
              <w:rPr>
                <w:rFonts w:ascii="Times New Roman" w:eastAsia="Times New Roman" w:hAnsi="Times New Roman"/>
                <w:sz w:val="24"/>
                <w:szCs w:val="24"/>
                <w:lang w:eastAsia="lv-LV"/>
              </w:rPr>
            </w:pPr>
            <w:r w:rsidRPr="0081200E">
              <w:rPr>
                <w:rFonts w:ascii="Times New Roman" w:eastAsia="Times New Roman" w:hAnsi="Times New Roman"/>
                <w:sz w:val="24"/>
                <w:szCs w:val="24"/>
                <w:lang w:eastAsia="lv-LV"/>
              </w:rPr>
              <w:t xml:space="preserve">Sociālās apdrošināšanas budžeta pamatprincips ir pašfinansēšanās, un līdzekļus pakalpojumu finansēšanai ir iespējams iegūt, paaugstinot valsts sociālās apdrošināšanas iemaksu likmi vai samazinot pakalpojumu apmērus. Līdz ar to citi līdzekļi likumprojekta mērķa sasniegšanai </w:t>
            </w:r>
            <w:r>
              <w:rPr>
                <w:rFonts w:ascii="Times New Roman" w:eastAsia="Times New Roman" w:hAnsi="Times New Roman"/>
                <w:sz w:val="24"/>
                <w:szCs w:val="24"/>
                <w:lang w:eastAsia="lv-LV"/>
              </w:rPr>
              <w:t xml:space="preserve">(piemēram, iemaksu likmes palielināšana) </w:t>
            </w:r>
            <w:r w:rsidRPr="0081200E">
              <w:rPr>
                <w:rFonts w:ascii="Times New Roman" w:eastAsia="Times New Roman" w:hAnsi="Times New Roman"/>
                <w:sz w:val="24"/>
                <w:szCs w:val="24"/>
                <w:lang w:eastAsia="lv-LV"/>
              </w:rPr>
              <w:t xml:space="preserve">ir personu interesēm nelabvēlīgāki </w:t>
            </w:r>
            <w:r w:rsidRPr="0081200E">
              <w:rPr>
                <w:rFonts w:ascii="Times New Roman" w:hAnsi="Times New Roman"/>
                <w:bCs/>
                <w:sz w:val="24"/>
                <w:szCs w:val="24"/>
                <w:lang w:eastAsia="lv-LV"/>
              </w:rPr>
              <w:t>vai arī rada būtisku risku tautsaimniecības attīstības bremzēšanai un jaunu darba vietu radīšanai, kā rezultātā situācija sociālās apdrošināšanas budžetā tikai pasliktinātos</w:t>
            </w:r>
            <w:r w:rsidRPr="0081200E">
              <w:rPr>
                <w:rFonts w:ascii="Times New Roman" w:eastAsia="Times New Roman" w:hAnsi="Times New Roman"/>
                <w:sz w:val="24"/>
                <w:szCs w:val="24"/>
                <w:lang w:eastAsia="lv-LV"/>
              </w:rPr>
              <w:t xml:space="preserve">. </w:t>
            </w:r>
          </w:p>
          <w:p w:rsidR="00110D0D" w:rsidRPr="0081200E" w:rsidRDefault="00110D0D" w:rsidP="00110D0D">
            <w:pPr>
              <w:spacing w:before="100" w:beforeAutospacing="1" w:after="100" w:afterAutospacing="1" w:line="240" w:lineRule="auto"/>
              <w:jc w:val="both"/>
              <w:rPr>
                <w:rFonts w:ascii="Times New Roman" w:eastAsia="Times New Roman" w:hAnsi="Times New Roman"/>
                <w:sz w:val="24"/>
                <w:szCs w:val="24"/>
                <w:lang w:eastAsia="lv-LV"/>
              </w:rPr>
            </w:pPr>
            <w:r w:rsidRPr="0081200E">
              <w:rPr>
                <w:rFonts w:ascii="Times New Roman" w:eastAsia="Times New Roman" w:hAnsi="Times New Roman"/>
                <w:sz w:val="24"/>
                <w:szCs w:val="24"/>
                <w:lang w:eastAsia="lv-LV"/>
              </w:rPr>
              <w:t xml:space="preserve">Tā kā ar </w:t>
            </w:r>
            <w:r>
              <w:rPr>
                <w:rFonts w:ascii="Times New Roman" w:eastAsia="Times New Roman" w:hAnsi="Times New Roman"/>
                <w:sz w:val="24"/>
                <w:szCs w:val="24"/>
                <w:lang w:eastAsia="lv-LV"/>
              </w:rPr>
              <w:t xml:space="preserve">kvalifikācijas perioda ieviešanu </w:t>
            </w:r>
            <w:r w:rsidRPr="0081200E">
              <w:rPr>
                <w:rFonts w:ascii="Times New Roman" w:eastAsia="Times New Roman" w:hAnsi="Times New Roman"/>
                <w:sz w:val="24"/>
                <w:szCs w:val="24"/>
                <w:lang w:eastAsia="lv-LV"/>
              </w:rPr>
              <w:t xml:space="preserve">tiek veicināta pilnvērtīga personu sociālo tiesību realizēšana un veicināta sociālās apdrošināšanas sistēmas ilgtspēja, garantējot, ka tiesības uz sociālo nodrošinājumu būs īstenojamas arī nākamajās paaudzēs, ir uzskatāms, ka labums, ko sabiedrība gūst no šāda normatīvā regulējuma, ir lielāks par </w:t>
            </w:r>
            <w:r>
              <w:rPr>
                <w:rFonts w:ascii="Times New Roman" w:eastAsia="Times New Roman" w:hAnsi="Times New Roman"/>
                <w:sz w:val="24"/>
                <w:szCs w:val="24"/>
                <w:lang w:eastAsia="lv-LV"/>
              </w:rPr>
              <w:t>konkrētā indivīda tiesībām nodarīto kaitējumu.</w:t>
            </w:r>
          </w:p>
          <w:p w:rsidR="00110D0D" w:rsidRDefault="00110D0D" w:rsidP="00110D0D">
            <w:pPr>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Sociālās apdrošināšanas iemaksu mērķis ir ne tikai nodrošināt sociālās apdrošināšanas budžeta ilgtspēju, bet arī taisnīgu pakalpojumu piešķiršanu tām personām, kuras ir bijušas pakļautas sociālajai apdrošināšanai ilgstoši, bet pakalpojumus nav pieprasījušas. Tādējādi izraudzītie līdzekļi ir piemēroti leģitīmā mērķa sasniegšanai.</w:t>
            </w:r>
          </w:p>
          <w:p w:rsidR="00110D0D" w:rsidRPr="009E73B1" w:rsidRDefault="00110D0D" w:rsidP="001D568F">
            <w:pPr>
              <w:suppressAutoHyphens/>
              <w:autoSpaceDE w:val="0"/>
              <w:autoSpaceDN w:val="0"/>
              <w:adjustRightInd w:val="0"/>
              <w:spacing w:after="120" w:line="240" w:lineRule="auto"/>
              <w:jc w:val="both"/>
              <w:rPr>
                <w:rFonts w:ascii="Times New Roman" w:hAnsi="Times New Roman"/>
                <w:sz w:val="24"/>
                <w:szCs w:val="24"/>
                <w:lang w:eastAsia="lv-LV"/>
              </w:rPr>
            </w:pPr>
            <w:r>
              <w:rPr>
                <w:rFonts w:ascii="Times New Roman" w:hAnsi="Times New Roman"/>
                <w:sz w:val="24"/>
                <w:szCs w:val="24"/>
                <w:lang w:eastAsia="lv-LV"/>
              </w:rPr>
              <w:t xml:space="preserve">Tādējādi normas leģitīmo mērķi nevar sasniegt ar indivīda tiesības </w:t>
            </w:r>
            <w:r>
              <w:rPr>
                <w:rFonts w:ascii="Times New Roman" w:hAnsi="Times New Roman"/>
                <w:sz w:val="24"/>
                <w:szCs w:val="24"/>
                <w:lang w:eastAsia="lv-LV"/>
              </w:rPr>
              <w:lastRenderedPageBreak/>
              <w:t>mazāk ierobežojošiem līdzekļiem.</w:t>
            </w:r>
          </w:p>
          <w:p w:rsidR="00604A2D" w:rsidRPr="009E73B1" w:rsidRDefault="00604A2D" w:rsidP="001D568F">
            <w:pPr>
              <w:suppressAutoHyphens/>
              <w:autoSpaceDE w:val="0"/>
              <w:autoSpaceDN w:val="0"/>
              <w:adjustRightInd w:val="0"/>
              <w:spacing w:after="120" w:line="240" w:lineRule="auto"/>
              <w:jc w:val="both"/>
              <w:rPr>
                <w:rFonts w:ascii="Times New Roman" w:hAnsi="Times New Roman"/>
                <w:sz w:val="24"/>
                <w:szCs w:val="24"/>
                <w:lang w:eastAsia="lv-LV"/>
              </w:rPr>
            </w:pPr>
            <w:r w:rsidRPr="009E73B1">
              <w:rPr>
                <w:rFonts w:ascii="Times New Roman" w:hAnsi="Times New Roman"/>
                <w:sz w:val="24"/>
                <w:szCs w:val="24"/>
                <w:lang w:eastAsia="lv-LV"/>
              </w:rPr>
              <w:t>Likumprojektā iekļautas arī normas, kas regulē pabalstu izmaksu gadījumos, kad darbnespēja turpinās vai ir iestājusies pēc valsts sociālās apdrošināšanas iemaksu perioda beigām (likumprojekta 1., 6., 7.</w:t>
            </w:r>
            <w:r w:rsidR="009176ED">
              <w:rPr>
                <w:rFonts w:ascii="Times New Roman" w:hAnsi="Times New Roman"/>
                <w:sz w:val="24"/>
                <w:szCs w:val="24"/>
                <w:lang w:eastAsia="lv-LV"/>
              </w:rPr>
              <w:t>, 8.</w:t>
            </w:r>
            <w:r w:rsidRPr="009E73B1">
              <w:rPr>
                <w:rFonts w:ascii="Times New Roman" w:hAnsi="Times New Roman"/>
                <w:sz w:val="24"/>
                <w:szCs w:val="24"/>
                <w:lang w:eastAsia="lv-LV"/>
              </w:rPr>
              <w:t xml:space="preserve"> un 11.pants), novēršot </w:t>
            </w:r>
            <w:r w:rsidRPr="009E73B1">
              <w:rPr>
                <w:rFonts w:ascii="Times New Roman" w:hAnsi="Times New Roman"/>
                <w:sz w:val="24"/>
                <w:szCs w:val="24"/>
              </w:rPr>
              <w:t>sociālās apdrošināšanas pabalstu</w:t>
            </w:r>
            <w:r w:rsidRPr="009E73B1">
              <w:rPr>
                <w:rFonts w:ascii="Times New Roman" w:hAnsi="Times New Roman"/>
                <w:sz w:val="24"/>
                <w:szCs w:val="24"/>
                <w:lang w:eastAsia="lv-LV"/>
              </w:rPr>
              <w:t xml:space="preserve"> sistēmas negodprātīgu izmantošanu un regulējot skaidru tiesību normu interpretāciju. Šo tiesību normu nepieciešamību noteica tas, ka cilvēki, izbeidzot darba tiesiskās attiecības, pēc bezdarbnieka statusa pieprasīšanas, iegūst darbnespēju un saņem slimības pabalstu maksimāli 26 nedēļas (kaut arī darba periodā darbnespēja iepriekš nav bijusi) un pēc tam vēl 9 mēnešus bezdarbnieka pabalstu. Pēc VSAA datiem 56,7 tūkst personu ir </w:t>
            </w:r>
            <w:r w:rsidRPr="009E73B1">
              <w:rPr>
                <w:rFonts w:ascii="Times New Roman" w:eastAsiaTheme="minorHAnsi" w:hAnsi="Times New Roman"/>
                <w:sz w:val="24"/>
                <w:szCs w:val="24"/>
              </w:rPr>
              <w:t>bezdarbnieka pabalstu saņēmēji, kuriem bezdarbnieka statuss sācies 2015.gadā. No tiem 1,5 tūkst. personu pirmā darbnespējas diena sākusies mēneša laikā pēc bezdarbnieka statusa sākuma.</w:t>
            </w:r>
          </w:p>
          <w:p w:rsidR="00604A2D" w:rsidRPr="009E73B1" w:rsidRDefault="00604A2D" w:rsidP="001D568F">
            <w:pPr>
              <w:spacing w:after="0" w:line="240" w:lineRule="auto"/>
              <w:ind w:left="33" w:right="130"/>
              <w:jc w:val="both"/>
              <w:rPr>
                <w:rFonts w:ascii="Times New Roman" w:eastAsiaTheme="minorHAnsi" w:hAnsi="Times New Roman"/>
                <w:sz w:val="24"/>
                <w:szCs w:val="24"/>
              </w:rPr>
            </w:pPr>
            <w:r w:rsidRPr="009E73B1">
              <w:rPr>
                <w:rFonts w:ascii="Times New Roman" w:hAnsi="Times New Roman"/>
                <w:sz w:val="24"/>
                <w:szCs w:val="24"/>
              </w:rPr>
              <w:t>2015.gada 12.martā Saeima pieņēma grozījumus likumā „Par valsts sociālo apdrošināšanu”, kuru 26.</w:t>
            </w:r>
            <w:r w:rsidRPr="009E73B1">
              <w:rPr>
                <w:rFonts w:ascii="Times New Roman" w:hAnsi="Times New Roman"/>
                <w:sz w:val="24"/>
                <w:szCs w:val="24"/>
                <w:vertAlign w:val="superscript"/>
              </w:rPr>
              <w:t>1</w:t>
            </w:r>
            <w:r w:rsidRPr="009E73B1">
              <w:rPr>
                <w:rFonts w:ascii="Times New Roman" w:hAnsi="Times New Roman"/>
                <w:sz w:val="24"/>
                <w:szCs w:val="24"/>
              </w:rPr>
              <w:t xml:space="preserve"> pantā ir noteikta VSAA administrēto pakalpojumu, t.sk. pabalstu pieprasīšana. </w:t>
            </w:r>
            <w:r w:rsidRPr="009E73B1">
              <w:rPr>
                <w:rFonts w:ascii="Times New Roman" w:eastAsiaTheme="minorHAnsi" w:hAnsi="Times New Roman"/>
                <w:sz w:val="24"/>
                <w:szCs w:val="24"/>
              </w:rPr>
              <w:t xml:space="preserve">Šīs normas mērķis ir noteikt vienā normatīvā aktā vienotu kārtību, kādā persona var pieprasīt VSAA administrētos pakalpojumus. Tostarp paredzēts, ka persona pakalpojumus varēs pieprasīt, izmantojot vienoto valsts un pašvaldību pakalpojumu portālu </w:t>
            </w:r>
            <w:hyperlink r:id="rId9" w:history="1">
              <w:r w:rsidRPr="009E73B1">
                <w:rPr>
                  <w:rFonts w:ascii="Times New Roman" w:eastAsiaTheme="minorHAnsi" w:hAnsi="Times New Roman"/>
                  <w:sz w:val="24"/>
                  <w:szCs w:val="24"/>
                  <w:u w:val="single"/>
                </w:rPr>
                <w:t>www.latvija.lv</w:t>
              </w:r>
            </w:hyperlink>
            <w:r w:rsidRPr="009E73B1">
              <w:rPr>
                <w:rFonts w:ascii="Times New Roman" w:eastAsiaTheme="minorHAnsi" w:hAnsi="Times New Roman"/>
                <w:sz w:val="24"/>
                <w:szCs w:val="24"/>
              </w:rPr>
              <w:t xml:space="preserve">. Ņemot vērā minēto, nepieciešams likuma 26.panta pirmajā daļā noteikt, ka pabalstu pieprasa likumā „Par valsts sociālo apdrošināšanu” noteiktajā kārtībā (likumprojekta </w:t>
            </w:r>
            <w:r w:rsidR="00030124">
              <w:rPr>
                <w:rFonts w:ascii="Times New Roman" w:eastAsiaTheme="minorHAnsi" w:hAnsi="Times New Roman"/>
                <w:sz w:val="24"/>
                <w:szCs w:val="24"/>
              </w:rPr>
              <w:t>9</w:t>
            </w:r>
            <w:r w:rsidRPr="009E73B1">
              <w:rPr>
                <w:rFonts w:ascii="Times New Roman" w:eastAsiaTheme="minorHAnsi" w:hAnsi="Times New Roman"/>
                <w:sz w:val="24"/>
                <w:szCs w:val="24"/>
              </w:rPr>
              <w:t>.pants).</w:t>
            </w:r>
          </w:p>
          <w:p w:rsidR="00604A2D" w:rsidRPr="009E73B1" w:rsidRDefault="00604A2D" w:rsidP="001D568F">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p>
          <w:p w:rsidR="00604A2D" w:rsidRPr="009E73B1" w:rsidRDefault="00604A2D" w:rsidP="00D92038">
            <w:pPr>
              <w:spacing w:after="0" w:line="240" w:lineRule="auto"/>
              <w:jc w:val="both"/>
              <w:rPr>
                <w:rFonts w:ascii="Times New Roman" w:hAnsi="Times New Roman"/>
                <w:sz w:val="24"/>
                <w:szCs w:val="24"/>
              </w:rPr>
            </w:pPr>
            <w:r w:rsidRPr="009E73B1">
              <w:rPr>
                <w:rFonts w:ascii="Times New Roman" w:hAnsi="Times New Roman"/>
                <w:sz w:val="24"/>
                <w:szCs w:val="24"/>
              </w:rPr>
              <w:t xml:space="preserve">Saskaņā ar likumu „Par maternitātes un slimības apdrošināšanu” </w:t>
            </w:r>
            <w:r w:rsidR="00FF3C37">
              <w:rPr>
                <w:rFonts w:ascii="Times New Roman" w:hAnsi="Times New Roman"/>
                <w:sz w:val="24"/>
                <w:szCs w:val="24"/>
              </w:rPr>
              <w:t xml:space="preserve">(turpmāk –Likums) </w:t>
            </w:r>
            <w:r w:rsidRPr="009E73B1">
              <w:rPr>
                <w:rFonts w:ascii="Times New Roman" w:hAnsi="Times New Roman"/>
                <w:sz w:val="24"/>
                <w:szCs w:val="24"/>
              </w:rPr>
              <w:t xml:space="preserve">31.pantu vidējo apdrošināšanas iemaksu algu valsts sociālās apdrošināšanas pabalsta aprēķināšanai nosaka no personas apdrošināšanas iemaksu algas par 12 kalendāro mēnešu periodu, šo periodu beidzot divus kalendāros mēnešus pirms mēneša, kurā iestājies apdrošināšanas gadījums. Ja vidējās apdrošināšanas iemaksu algas noteikšanas perioda daļā personai apdrošināšanas iemaksu alga nav bijusi </w:t>
            </w:r>
          </w:p>
          <w:p w:rsidR="00604A2D" w:rsidRPr="009E73B1" w:rsidRDefault="00604A2D" w:rsidP="00604A2D">
            <w:pPr>
              <w:numPr>
                <w:ilvl w:val="0"/>
                <w:numId w:val="1"/>
              </w:numPr>
              <w:spacing w:after="0" w:line="240" w:lineRule="auto"/>
              <w:jc w:val="both"/>
              <w:rPr>
                <w:rFonts w:ascii="Times New Roman" w:hAnsi="Times New Roman"/>
                <w:sz w:val="24"/>
                <w:szCs w:val="24"/>
              </w:rPr>
            </w:pPr>
            <w:r w:rsidRPr="009E73B1">
              <w:rPr>
                <w:rFonts w:ascii="Times New Roman" w:hAnsi="Times New Roman"/>
                <w:sz w:val="24"/>
                <w:szCs w:val="24"/>
              </w:rPr>
              <w:t xml:space="preserve">pārejošas darba nespējas, </w:t>
            </w:r>
          </w:p>
          <w:p w:rsidR="00604A2D" w:rsidRPr="009E73B1" w:rsidRDefault="00604A2D" w:rsidP="00604A2D">
            <w:pPr>
              <w:numPr>
                <w:ilvl w:val="0"/>
                <w:numId w:val="1"/>
              </w:numPr>
              <w:spacing w:after="0" w:line="240" w:lineRule="auto"/>
              <w:jc w:val="both"/>
              <w:rPr>
                <w:rFonts w:ascii="Times New Roman" w:hAnsi="Times New Roman"/>
                <w:sz w:val="24"/>
                <w:szCs w:val="24"/>
              </w:rPr>
            </w:pPr>
            <w:r w:rsidRPr="009E73B1">
              <w:rPr>
                <w:rFonts w:ascii="Times New Roman" w:hAnsi="Times New Roman"/>
                <w:sz w:val="24"/>
                <w:szCs w:val="24"/>
              </w:rPr>
              <w:t xml:space="preserve">grūtniecības un dzemdību atvaļinājuma, </w:t>
            </w:r>
          </w:p>
          <w:p w:rsidR="00604A2D" w:rsidRPr="009E73B1" w:rsidRDefault="00604A2D" w:rsidP="00604A2D">
            <w:pPr>
              <w:numPr>
                <w:ilvl w:val="0"/>
                <w:numId w:val="1"/>
              </w:numPr>
              <w:spacing w:after="0" w:line="240" w:lineRule="auto"/>
              <w:jc w:val="both"/>
              <w:rPr>
                <w:rFonts w:ascii="Times New Roman" w:hAnsi="Times New Roman"/>
                <w:sz w:val="24"/>
                <w:szCs w:val="24"/>
              </w:rPr>
            </w:pPr>
            <w:r w:rsidRPr="009E73B1">
              <w:rPr>
                <w:rFonts w:ascii="Times New Roman" w:hAnsi="Times New Roman"/>
                <w:sz w:val="24"/>
                <w:szCs w:val="24"/>
              </w:rPr>
              <w:t xml:space="preserve">atvaļinājuma bērna tēvam, </w:t>
            </w:r>
          </w:p>
          <w:p w:rsidR="00604A2D" w:rsidRPr="009E73B1" w:rsidRDefault="00604A2D" w:rsidP="00604A2D">
            <w:pPr>
              <w:numPr>
                <w:ilvl w:val="0"/>
                <w:numId w:val="1"/>
              </w:numPr>
              <w:spacing w:after="0" w:line="240" w:lineRule="auto"/>
              <w:jc w:val="both"/>
              <w:rPr>
                <w:rFonts w:ascii="Times New Roman" w:hAnsi="Times New Roman"/>
                <w:sz w:val="24"/>
                <w:szCs w:val="24"/>
              </w:rPr>
            </w:pPr>
            <w:r w:rsidRPr="009E73B1">
              <w:rPr>
                <w:rFonts w:ascii="Times New Roman" w:hAnsi="Times New Roman"/>
                <w:sz w:val="24"/>
                <w:szCs w:val="24"/>
              </w:rPr>
              <w:t xml:space="preserve">atvaļinājuma bez darba samaksas saglabāšanas, kas piešķirts sakarā ar nepieciešamību kopt bērnu, </w:t>
            </w:r>
          </w:p>
          <w:p w:rsidR="00604A2D" w:rsidRPr="009E73B1" w:rsidRDefault="00604A2D" w:rsidP="00604A2D">
            <w:pPr>
              <w:numPr>
                <w:ilvl w:val="0"/>
                <w:numId w:val="1"/>
              </w:numPr>
              <w:spacing w:after="0" w:line="240" w:lineRule="auto"/>
              <w:jc w:val="both"/>
              <w:rPr>
                <w:rFonts w:ascii="Times New Roman" w:hAnsi="Times New Roman"/>
                <w:sz w:val="24"/>
                <w:szCs w:val="24"/>
              </w:rPr>
            </w:pPr>
            <w:r w:rsidRPr="009E73B1">
              <w:rPr>
                <w:rFonts w:ascii="Times New Roman" w:hAnsi="Times New Roman"/>
                <w:sz w:val="24"/>
                <w:szCs w:val="24"/>
              </w:rPr>
              <w:t xml:space="preserve">vai bērna kopšanas atvaļinājuma dēļ, </w:t>
            </w:r>
          </w:p>
          <w:p w:rsidR="00604A2D" w:rsidRPr="009E73B1" w:rsidRDefault="00604A2D" w:rsidP="001D568F">
            <w:pPr>
              <w:spacing w:after="0" w:line="240" w:lineRule="auto"/>
              <w:jc w:val="both"/>
              <w:rPr>
                <w:rFonts w:ascii="Times New Roman" w:hAnsi="Times New Roman"/>
                <w:sz w:val="24"/>
                <w:szCs w:val="24"/>
              </w:rPr>
            </w:pPr>
            <w:r w:rsidRPr="009E73B1">
              <w:rPr>
                <w:rFonts w:ascii="Times New Roman" w:hAnsi="Times New Roman"/>
                <w:sz w:val="24"/>
                <w:szCs w:val="24"/>
              </w:rPr>
              <w:t>vidējo apdrošināšanas iemaksu algu nosaka, vidējās 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w:t>
            </w:r>
          </w:p>
          <w:p w:rsidR="00D92038" w:rsidRDefault="00D92038" w:rsidP="00D92038">
            <w:pPr>
              <w:pStyle w:val="tv213"/>
              <w:spacing w:before="0" w:beforeAutospacing="0" w:after="0" w:afterAutospacing="0"/>
              <w:jc w:val="both"/>
            </w:pPr>
          </w:p>
          <w:p w:rsidR="00604A2D" w:rsidRPr="009E73B1" w:rsidRDefault="00604A2D" w:rsidP="00D92038">
            <w:pPr>
              <w:pStyle w:val="tv213"/>
              <w:spacing w:before="0" w:beforeAutospacing="0" w:after="0" w:afterAutospacing="0"/>
              <w:jc w:val="both"/>
            </w:pPr>
            <w:r w:rsidRPr="009E73B1">
              <w:t xml:space="preserve">Vienlaikus </w:t>
            </w:r>
            <w:r w:rsidR="00FF3C37">
              <w:t>L</w:t>
            </w:r>
            <w:r w:rsidRPr="009E73B1">
              <w:t xml:space="preserve">ikums šobrīd nosaka, ja vidējās apdrošināšanas iemaksu algas noteikšanas perioda daļā apdrošinātā persona </w:t>
            </w:r>
          </w:p>
          <w:p w:rsidR="00604A2D" w:rsidRPr="009E73B1" w:rsidRDefault="00604A2D" w:rsidP="00604A2D">
            <w:pPr>
              <w:pStyle w:val="tv213"/>
              <w:numPr>
                <w:ilvl w:val="0"/>
                <w:numId w:val="2"/>
              </w:numPr>
              <w:spacing w:before="0" w:beforeAutospacing="0" w:after="0" w:afterAutospacing="0"/>
              <w:jc w:val="both"/>
            </w:pPr>
            <w:r w:rsidRPr="009E73B1">
              <w:t xml:space="preserve">nav bijusi reģistrēta kā valsts sociālās apdrošināšanas iemaksu veicēja </w:t>
            </w:r>
          </w:p>
          <w:p w:rsidR="00604A2D" w:rsidRPr="009E73B1" w:rsidRDefault="00604A2D" w:rsidP="00604A2D">
            <w:pPr>
              <w:pStyle w:val="tv213"/>
              <w:numPr>
                <w:ilvl w:val="0"/>
                <w:numId w:val="2"/>
              </w:numPr>
              <w:spacing w:before="0" w:beforeAutospacing="0" w:after="0" w:afterAutospacing="0"/>
              <w:jc w:val="both"/>
            </w:pPr>
            <w:r w:rsidRPr="009E73B1">
              <w:t xml:space="preserve">vai tai apdrošināšanas iemaksu alga nav bijusi atvaļinājuma bez darba samaksas saglabāšanas dēļ, </w:t>
            </w:r>
          </w:p>
          <w:p w:rsidR="00604A2D" w:rsidRPr="009E73B1" w:rsidRDefault="00604A2D" w:rsidP="001D568F">
            <w:pPr>
              <w:pStyle w:val="tv213"/>
              <w:spacing w:before="0" w:beforeAutospacing="0" w:after="0" w:afterAutospacing="0"/>
              <w:jc w:val="both"/>
            </w:pPr>
            <w:r w:rsidRPr="009E73B1">
              <w:lastRenderedPageBreak/>
              <w:t>vidējo apdrošināšanas iemaksu algu par šo perioda daļu vecāku un slimības pabalsta aprēķināšanai nosaka no valstī noteiktās mēneša vidējās apdrošināšanas iemaksu algas 40 procentu apmēra, bet maternitātes un paternitātes pabalstu aprēķināšanai - 70 procentu apmēra.</w:t>
            </w:r>
          </w:p>
          <w:p w:rsidR="00D92038" w:rsidRDefault="00D92038" w:rsidP="00D92038">
            <w:pPr>
              <w:spacing w:after="0" w:line="240" w:lineRule="auto"/>
              <w:jc w:val="both"/>
              <w:rPr>
                <w:rFonts w:ascii="Times New Roman" w:hAnsi="Times New Roman"/>
                <w:sz w:val="24"/>
                <w:szCs w:val="24"/>
              </w:rPr>
            </w:pPr>
          </w:p>
          <w:p w:rsidR="00604A2D" w:rsidRPr="009E73B1" w:rsidRDefault="00604A2D" w:rsidP="00D92038">
            <w:pPr>
              <w:spacing w:after="0" w:line="240" w:lineRule="auto"/>
              <w:jc w:val="both"/>
              <w:rPr>
                <w:rFonts w:ascii="Times New Roman" w:hAnsi="Times New Roman"/>
                <w:sz w:val="24"/>
                <w:szCs w:val="24"/>
              </w:rPr>
            </w:pPr>
            <w:r w:rsidRPr="009E73B1">
              <w:rPr>
                <w:rFonts w:ascii="Times New Roman" w:hAnsi="Times New Roman"/>
                <w:sz w:val="24"/>
                <w:szCs w:val="24"/>
              </w:rPr>
              <w:t xml:space="preserve">Personai, kurai noteiktajā 12 mēnešu periodā valsts sociālās apdrošināšanas iemaksu alga ir tikai par dažām dienām iepriekšminēto cēloņu dēļ, ir tiesības saņemt maternitātes, vecāku vai slimības pabalstu atbilstoši vidējai apdrošināšanas iemaksu algai, kura tiek aprēķināta atkarībā no faktiski veiktās apdrošināšanas iemaksu algas un faktiski nostrādāto dienu skaita. Līdz ar to, rodas augstu maternitātes, paternitātes, vecāku un slimības pabalstu izmaksas gadījumi, kas ir nesamērīgi ar personas zaudētajiem ienākumiem. </w:t>
            </w:r>
          </w:p>
          <w:p w:rsidR="00D92038" w:rsidRDefault="00D92038" w:rsidP="00D92038">
            <w:pPr>
              <w:spacing w:after="0" w:line="240" w:lineRule="auto"/>
              <w:jc w:val="both"/>
              <w:rPr>
                <w:rFonts w:ascii="Times New Roman" w:hAnsi="Times New Roman"/>
                <w:sz w:val="24"/>
                <w:szCs w:val="24"/>
              </w:rPr>
            </w:pPr>
          </w:p>
          <w:p w:rsidR="00604A2D" w:rsidRPr="009E73B1" w:rsidRDefault="00604A2D" w:rsidP="00D92038">
            <w:pPr>
              <w:spacing w:after="0" w:line="240" w:lineRule="auto"/>
              <w:jc w:val="both"/>
              <w:rPr>
                <w:rFonts w:ascii="Times New Roman" w:hAnsi="Times New Roman"/>
                <w:sz w:val="24"/>
                <w:szCs w:val="24"/>
              </w:rPr>
            </w:pPr>
            <w:r w:rsidRPr="009E73B1">
              <w:rPr>
                <w:rFonts w:ascii="Times New Roman" w:hAnsi="Times New Roman"/>
                <w:sz w:val="24"/>
                <w:szCs w:val="24"/>
              </w:rPr>
              <w:t xml:space="preserve">Analizējot VSAA statistiku par vecāku pabalsta aprēķinā izslēgto ar </w:t>
            </w:r>
            <w:r w:rsidR="00FF3C37">
              <w:rPr>
                <w:rFonts w:ascii="Times New Roman" w:hAnsi="Times New Roman"/>
                <w:sz w:val="24"/>
                <w:szCs w:val="24"/>
              </w:rPr>
              <w:t>L</w:t>
            </w:r>
            <w:r w:rsidRPr="009E73B1">
              <w:rPr>
                <w:rFonts w:ascii="Times New Roman" w:hAnsi="Times New Roman"/>
                <w:sz w:val="24"/>
                <w:szCs w:val="24"/>
              </w:rPr>
              <w:t>ikumu attaisnoto dienu skaitu, secināms, ka vairums gadījumos no attiecīgajos periodos piešķirtajiem vecāku pabalstiem, tie piešķirti augstākā apmērā par zaudētajiem ienākumiem, attiecīgi 2013.gadā – 93% gadījumos, 2014.gadā – 89%, 2015.gadā – 81%. Vidējais izslēgtais periods ir 77 dienas, vislielāko īpatsvaru (70.8%) sasniedzot par 31-90 dienām, atsevišķos gadījumos (1.7%) pārsniedzot 241 dienu (skat. 3.tab.).</w:t>
            </w:r>
          </w:p>
          <w:p w:rsidR="00F5335C" w:rsidRDefault="00F5335C" w:rsidP="001D568F">
            <w:pPr>
              <w:spacing w:after="0" w:line="240" w:lineRule="auto"/>
              <w:ind w:firstLine="720"/>
              <w:jc w:val="right"/>
              <w:rPr>
                <w:rFonts w:ascii="Times New Roman" w:hAnsi="Times New Roman"/>
                <w:sz w:val="24"/>
                <w:szCs w:val="24"/>
              </w:rPr>
            </w:pPr>
          </w:p>
          <w:p w:rsidR="00604A2D" w:rsidRDefault="00604A2D" w:rsidP="001D568F">
            <w:pPr>
              <w:spacing w:after="0" w:line="240" w:lineRule="auto"/>
              <w:ind w:firstLine="720"/>
              <w:jc w:val="right"/>
              <w:rPr>
                <w:rFonts w:ascii="Times New Roman" w:hAnsi="Times New Roman"/>
                <w:sz w:val="24"/>
                <w:szCs w:val="24"/>
              </w:rPr>
            </w:pPr>
            <w:r w:rsidRPr="009E73B1">
              <w:rPr>
                <w:rFonts w:ascii="Times New Roman" w:hAnsi="Times New Roman"/>
                <w:sz w:val="24"/>
                <w:szCs w:val="24"/>
              </w:rPr>
              <w:t>3.tabula</w:t>
            </w:r>
          </w:p>
          <w:p w:rsidR="00F5335C" w:rsidRPr="009E73B1" w:rsidRDefault="00F5335C" w:rsidP="001D568F">
            <w:pPr>
              <w:spacing w:after="0" w:line="240" w:lineRule="auto"/>
              <w:ind w:firstLine="720"/>
              <w:jc w:val="right"/>
              <w:rPr>
                <w:rFonts w:ascii="Times New Roman" w:hAnsi="Times New Roman"/>
                <w:sz w:val="24"/>
                <w:szCs w:val="24"/>
              </w:rPr>
            </w:pPr>
          </w:p>
          <w:p w:rsidR="00604A2D" w:rsidRPr="009E73B1" w:rsidRDefault="00604A2D" w:rsidP="001D568F">
            <w:pPr>
              <w:spacing w:after="0" w:line="240" w:lineRule="auto"/>
              <w:ind w:firstLine="720"/>
              <w:jc w:val="center"/>
              <w:rPr>
                <w:rFonts w:ascii="Times New Roman" w:hAnsi="Times New Roman"/>
                <w:b/>
                <w:sz w:val="24"/>
                <w:szCs w:val="24"/>
              </w:rPr>
            </w:pPr>
            <w:r w:rsidRPr="009E73B1">
              <w:rPr>
                <w:rFonts w:ascii="Times New Roman" w:hAnsi="Times New Roman"/>
                <w:b/>
                <w:sz w:val="24"/>
                <w:szCs w:val="24"/>
              </w:rPr>
              <w:t>Vecāku pabalsta aprēķinā vērā neņemtās dienas saskaņā ar likuma "Par maternitātes un slimības apdrošināšanu" 31.p. 7.daļu</w:t>
            </w:r>
          </w:p>
          <w:p w:rsidR="00604A2D" w:rsidRDefault="00604A2D" w:rsidP="001D568F">
            <w:pPr>
              <w:spacing w:after="0" w:line="240" w:lineRule="auto"/>
              <w:ind w:firstLine="720"/>
              <w:jc w:val="center"/>
              <w:rPr>
                <w:rFonts w:ascii="Times New Roman" w:hAnsi="Times New Roman"/>
                <w:b/>
                <w:sz w:val="24"/>
                <w:szCs w:val="24"/>
              </w:rPr>
            </w:pPr>
          </w:p>
          <w:p w:rsidR="00F5335C" w:rsidRPr="009E73B1" w:rsidRDefault="00F5335C" w:rsidP="001D568F">
            <w:pPr>
              <w:spacing w:after="0" w:line="240" w:lineRule="auto"/>
              <w:ind w:firstLine="720"/>
              <w:jc w:val="center"/>
              <w:rPr>
                <w:rFonts w:ascii="Times New Roman" w:hAnsi="Times New Roman"/>
                <w:b/>
                <w:sz w:val="24"/>
                <w:szCs w:val="24"/>
              </w:rPr>
            </w:pPr>
          </w:p>
          <w:tbl>
            <w:tblPr>
              <w:tblW w:w="4840" w:type="dxa"/>
              <w:jc w:val="center"/>
              <w:tblLayout w:type="fixed"/>
              <w:tblLook w:val="04A0" w:firstRow="1" w:lastRow="0" w:firstColumn="1" w:lastColumn="0" w:noHBand="0" w:noVBand="1"/>
            </w:tblPr>
            <w:tblGrid>
              <w:gridCol w:w="1500"/>
              <w:gridCol w:w="1140"/>
              <w:gridCol w:w="1080"/>
              <w:gridCol w:w="1120"/>
            </w:tblGrid>
            <w:tr w:rsidR="009E73B1" w:rsidRPr="009E73B1" w:rsidTr="001D568F">
              <w:trPr>
                <w:trHeight w:val="255"/>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Vecāku pabalsta aprēķinā vērā neņemtās dienas</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2013.g. dzimušo bērnu vecāku pabalstu saņēmēji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2014.g. dzimušo bērnu vecāku pabalstu saņēmēji</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2015.g. dzimušo bērnu vecāku pabalstu saņēmēji</w:t>
                  </w:r>
                </w:p>
              </w:tc>
            </w:tr>
            <w:tr w:rsidR="009E73B1" w:rsidRPr="009E73B1" w:rsidTr="001D568F">
              <w:trPr>
                <w:trHeight w:val="255"/>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r>
            <w:tr w:rsidR="009E73B1" w:rsidRPr="009E73B1" w:rsidTr="001D568F">
              <w:trPr>
                <w:trHeight w:val="255"/>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r>
            <w:tr w:rsidR="009E73B1" w:rsidRPr="009E73B1" w:rsidTr="001D568F">
              <w:trPr>
                <w:trHeight w:val="870"/>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p>
              </w:tc>
            </w:tr>
            <w:tr w:rsidR="009E73B1" w:rsidRPr="009E73B1" w:rsidTr="001D568F">
              <w:trPr>
                <w:trHeight w:val="270"/>
                <w:jc w:val="center"/>
              </w:trPr>
              <w:tc>
                <w:tcPr>
                  <w:tcW w:w="1500" w:type="dxa"/>
                  <w:tcBorders>
                    <w:top w:val="nil"/>
                    <w:left w:val="single" w:sz="4" w:space="0" w:color="auto"/>
                    <w:bottom w:val="nil"/>
                    <w:right w:val="nil"/>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b/>
                      <w:bCs/>
                      <w:sz w:val="20"/>
                      <w:szCs w:val="20"/>
                      <w:lang w:eastAsia="lv-LV"/>
                    </w:rPr>
                  </w:pPr>
                  <w:r w:rsidRPr="009E73B1">
                    <w:rPr>
                      <w:rFonts w:ascii="Times New Roman" w:eastAsia="Times New Roman" w:hAnsi="Times New Roman"/>
                      <w:b/>
                      <w:bCs/>
                      <w:sz w:val="20"/>
                      <w:szCs w:val="20"/>
                      <w:lang w:eastAsia="lv-LV"/>
                    </w:rPr>
                    <w:t>kopā</w:t>
                  </w:r>
                </w:p>
              </w:tc>
              <w:tc>
                <w:tcPr>
                  <w:tcW w:w="1140" w:type="dxa"/>
                  <w:tcBorders>
                    <w:top w:val="nil"/>
                    <w:left w:val="single" w:sz="4" w:space="0" w:color="auto"/>
                    <w:bottom w:val="nil"/>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b/>
                      <w:bCs/>
                      <w:sz w:val="20"/>
                      <w:szCs w:val="20"/>
                      <w:lang w:eastAsia="lv-LV"/>
                    </w:rPr>
                  </w:pPr>
                  <w:r w:rsidRPr="009E73B1">
                    <w:rPr>
                      <w:rFonts w:ascii="Times New Roman" w:eastAsia="Times New Roman" w:hAnsi="Times New Roman"/>
                      <w:b/>
                      <w:bCs/>
                      <w:sz w:val="20"/>
                      <w:szCs w:val="20"/>
                      <w:lang w:eastAsia="lv-LV"/>
                    </w:rPr>
                    <w:t>13 880</w:t>
                  </w:r>
                </w:p>
              </w:tc>
              <w:tc>
                <w:tcPr>
                  <w:tcW w:w="1080" w:type="dxa"/>
                  <w:tcBorders>
                    <w:top w:val="nil"/>
                    <w:left w:val="single" w:sz="4" w:space="0" w:color="auto"/>
                    <w:bottom w:val="nil"/>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b/>
                      <w:bCs/>
                      <w:sz w:val="20"/>
                      <w:szCs w:val="20"/>
                      <w:lang w:eastAsia="lv-LV"/>
                    </w:rPr>
                  </w:pPr>
                  <w:r w:rsidRPr="009E73B1">
                    <w:rPr>
                      <w:rFonts w:ascii="Times New Roman" w:eastAsia="Times New Roman" w:hAnsi="Times New Roman"/>
                      <w:b/>
                      <w:bCs/>
                      <w:sz w:val="20"/>
                      <w:szCs w:val="20"/>
                      <w:lang w:eastAsia="lv-LV"/>
                    </w:rPr>
                    <w:t>15 852</w:t>
                  </w:r>
                </w:p>
              </w:tc>
              <w:tc>
                <w:tcPr>
                  <w:tcW w:w="1120" w:type="dxa"/>
                  <w:tcBorders>
                    <w:top w:val="nil"/>
                    <w:left w:val="single" w:sz="4" w:space="0" w:color="auto"/>
                    <w:bottom w:val="nil"/>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b/>
                      <w:bCs/>
                      <w:sz w:val="20"/>
                      <w:szCs w:val="20"/>
                      <w:lang w:eastAsia="lv-LV"/>
                    </w:rPr>
                  </w:pPr>
                  <w:r w:rsidRPr="009E73B1">
                    <w:rPr>
                      <w:rFonts w:ascii="Times New Roman" w:eastAsia="Times New Roman" w:hAnsi="Times New Roman"/>
                      <w:b/>
                      <w:bCs/>
                      <w:sz w:val="20"/>
                      <w:szCs w:val="20"/>
                      <w:lang w:eastAsia="lv-LV"/>
                    </w:rPr>
                    <w:t>17 623</w:t>
                  </w:r>
                </w:p>
              </w:tc>
            </w:tr>
            <w:tr w:rsidR="009E73B1" w:rsidRPr="009E73B1" w:rsidTr="001D568F">
              <w:trPr>
                <w:trHeight w:val="315"/>
                <w:jc w:val="center"/>
              </w:trPr>
              <w:tc>
                <w:tcPr>
                  <w:tcW w:w="1500" w:type="dxa"/>
                  <w:tcBorders>
                    <w:top w:val="double" w:sz="6" w:space="0" w:color="auto"/>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0 dienas</w:t>
                  </w:r>
                </w:p>
              </w:tc>
              <w:tc>
                <w:tcPr>
                  <w:tcW w:w="11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941</w:t>
                  </w:r>
                </w:p>
              </w:tc>
              <w:tc>
                <w:tcPr>
                  <w:tcW w:w="108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1 758</w:t>
                  </w:r>
                </w:p>
              </w:tc>
              <w:tc>
                <w:tcPr>
                  <w:tcW w:w="112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3 284</w:t>
                  </w:r>
                </w:p>
              </w:tc>
            </w:tr>
            <w:tr w:rsidR="009E73B1" w:rsidRPr="009E73B1" w:rsidTr="001D568F">
              <w:trPr>
                <w:trHeight w:val="34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&gt;0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12 939</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14 094</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14 339</w:t>
                  </w:r>
                </w:p>
              </w:tc>
            </w:tr>
            <w:tr w:rsidR="009E73B1" w:rsidRPr="009E73B1" w:rsidTr="001D568F">
              <w:trPr>
                <w:trHeight w:val="510"/>
                <w:jc w:val="center"/>
              </w:trPr>
              <w:tc>
                <w:tcPr>
                  <w:tcW w:w="1500" w:type="dxa"/>
                  <w:tcBorders>
                    <w:top w:val="nil"/>
                    <w:left w:val="single" w:sz="4" w:space="0" w:color="auto"/>
                    <w:bottom w:val="double" w:sz="6" w:space="0" w:color="auto"/>
                    <w:right w:val="nil"/>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vidējais ilgums, dienas</w:t>
                  </w:r>
                </w:p>
              </w:tc>
              <w:tc>
                <w:tcPr>
                  <w:tcW w:w="1140" w:type="dxa"/>
                  <w:tcBorders>
                    <w:top w:val="nil"/>
                    <w:left w:val="single" w:sz="4" w:space="0" w:color="auto"/>
                    <w:bottom w:val="double" w:sz="6"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77.4</w:t>
                  </w:r>
                </w:p>
              </w:tc>
              <w:tc>
                <w:tcPr>
                  <w:tcW w:w="1080" w:type="dxa"/>
                  <w:tcBorders>
                    <w:top w:val="nil"/>
                    <w:left w:val="single" w:sz="4" w:space="0" w:color="auto"/>
                    <w:bottom w:val="double" w:sz="6"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78.0</w:t>
                  </w:r>
                </w:p>
              </w:tc>
              <w:tc>
                <w:tcPr>
                  <w:tcW w:w="1120" w:type="dxa"/>
                  <w:tcBorders>
                    <w:top w:val="nil"/>
                    <w:left w:val="single" w:sz="4" w:space="0" w:color="auto"/>
                    <w:bottom w:val="double" w:sz="6"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83.4</w:t>
                  </w:r>
                </w:p>
              </w:tc>
            </w:tr>
            <w:tr w:rsidR="009E73B1" w:rsidRPr="009E73B1" w:rsidTr="001D568F">
              <w:trPr>
                <w:trHeight w:val="360"/>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1-30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419</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705</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754</w:t>
                  </w:r>
                </w:p>
              </w:tc>
            </w:tr>
            <w:tr w:rsidR="009E73B1" w:rsidRPr="009E73B1" w:rsidTr="001D568F">
              <w:trPr>
                <w:trHeight w:val="37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31-60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5 324</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5 247</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5 560</w:t>
                  </w:r>
                </w:p>
              </w:tc>
            </w:tr>
            <w:tr w:rsidR="009E73B1" w:rsidRPr="009E73B1" w:rsidTr="001D568F">
              <w:trPr>
                <w:trHeight w:val="37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61-90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4 407</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4 920</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4 596</w:t>
                  </w:r>
                </w:p>
              </w:tc>
            </w:tr>
            <w:tr w:rsidR="009E73B1" w:rsidRPr="009E73B1" w:rsidTr="001D568F">
              <w:trPr>
                <w:trHeight w:val="49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91-120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1 114</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1 291</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1 056</w:t>
                  </w:r>
                </w:p>
              </w:tc>
            </w:tr>
            <w:tr w:rsidR="009E73B1" w:rsidRPr="009E73B1" w:rsidTr="001D568F">
              <w:trPr>
                <w:trHeight w:val="480"/>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121-150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575</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665</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569</w:t>
                  </w:r>
                </w:p>
              </w:tc>
            </w:tr>
            <w:tr w:rsidR="009E73B1" w:rsidRPr="009E73B1" w:rsidTr="001D568F">
              <w:trPr>
                <w:trHeight w:val="52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151-180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390</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461</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458</w:t>
                  </w:r>
                </w:p>
              </w:tc>
            </w:tr>
            <w:tr w:rsidR="009E73B1" w:rsidRPr="009E73B1" w:rsidTr="001D568F">
              <w:trPr>
                <w:trHeight w:val="46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lastRenderedPageBreak/>
                    <w:t>181-210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307</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311</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380</w:t>
                  </w:r>
                </w:p>
              </w:tc>
            </w:tr>
            <w:tr w:rsidR="009E73B1" w:rsidRPr="009E73B1" w:rsidTr="001D568F">
              <w:trPr>
                <w:trHeight w:val="450"/>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211-240 dienas</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262</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301</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494</w:t>
                  </w:r>
                </w:p>
              </w:tc>
            </w:tr>
            <w:tr w:rsidR="009E73B1" w:rsidRPr="009E73B1" w:rsidTr="001D568F">
              <w:trPr>
                <w:trHeight w:val="495"/>
                <w:jc w:val="center"/>
              </w:trPr>
              <w:tc>
                <w:tcPr>
                  <w:tcW w:w="1500" w:type="dxa"/>
                  <w:tcBorders>
                    <w:top w:val="nil"/>
                    <w:left w:val="single" w:sz="4" w:space="0" w:color="auto"/>
                    <w:bottom w:val="single" w:sz="4" w:space="0" w:color="auto"/>
                    <w:right w:val="nil"/>
                  </w:tcBorders>
                  <w:shd w:val="clear" w:color="auto" w:fill="auto"/>
                  <w:vAlign w:val="center"/>
                  <w:hideMark/>
                </w:tcPr>
                <w:p w:rsidR="00604A2D" w:rsidRPr="009E73B1" w:rsidRDefault="00604A2D" w:rsidP="001D568F">
                  <w:pPr>
                    <w:spacing w:after="0" w:line="240" w:lineRule="auto"/>
                    <w:ind w:firstLineChars="200" w:firstLine="400"/>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241 diena un vairāk</w:t>
                  </w:r>
                </w:p>
              </w:tc>
              <w:tc>
                <w:tcPr>
                  <w:tcW w:w="114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141</w:t>
                  </w:r>
                </w:p>
              </w:tc>
              <w:tc>
                <w:tcPr>
                  <w:tcW w:w="108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193</w:t>
                  </w:r>
                </w:p>
              </w:tc>
              <w:tc>
                <w:tcPr>
                  <w:tcW w:w="1120" w:type="dxa"/>
                  <w:tcBorders>
                    <w:top w:val="nil"/>
                    <w:left w:val="single" w:sz="4" w:space="0" w:color="auto"/>
                    <w:bottom w:val="single" w:sz="4" w:space="0" w:color="auto"/>
                    <w:right w:val="double" w:sz="6" w:space="0" w:color="auto"/>
                  </w:tcBorders>
                  <w:shd w:val="clear" w:color="auto" w:fill="auto"/>
                  <w:vAlign w:val="center"/>
                  <w:hideMark/>
                </w:tcPr>
                <w:p w:rsidR="00604A2D" w:rsidRPr="009E73B1" w:rsidRDefault="00604A2D" w:rsidP="001D568F">
                  <w:pPr>
                    <w:spacing w:after="0" w:line="240" w:lineRule="auto"/>
                    <w:jc w:val="center"/>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472</w:t>
                  </w:r>
                </w:p>
              </w:tc>
            </w:tr>
          </w:tbl>
          <w:p w:rsidR="00604A2D" w:rsidRPr="009E73B1" w:rsidRDefault="00604A2D" w:rsidP="001D568F">
            <w:pPr>
              <w:spacing w:after="0" w:line="240" w:lineRule="auto"/>
              <w:ind w:firstLine="720"/>
              <w:jc w:val="center"/>
              <w:rPr>
                <w:rFonts w:ascii="Times New Roman" w:hAnsi="Times New Roman"/>
                <w:b/>
                <w:sz w:val="24"/>
                <w:szCs w:val="24"/>
              </w:rPr>
            </w:pPr>
          </w:p>
          <w:p w:rsidR="00604A2D" w:rsidRPr="009E73B1" w:rsidRDefault="00604A2D" w:rsidP="001D568F">
            <w:pPr>
              <w:spacing w:after="0" w:line="240" w:lineRule="auto"/>
              <w:jc w:val="both"/>
              <w:rPr>
                <w:rFonts w:ascii="Times New Roman" w:hAnsi="Times New Roman"/>
                <w:sz w:val="24"/>
                <w:szCs w:val="24"/>
              </w:rPr>
            </w:pPr>
            <w:r w:rsidRPr="009E73B1">
              <w:rPr>
                <w:rFonts w:ascii="Times New Roman" w:hAnsi="Times New Roman"/>
                <w:sz w:val="24"/>
                <w:szCs w:val="24"/>
              </w:rPr>
              <w:t>Līdz ar to personai, kurai noteiktajā 12 mēnešu periodā valsts sociālās apdrošināšanas iemaksu alga ir tikai par dažām dienām iepriekšminēto cēloņu dēļ, ir tiesības saņemt pabalstu atbilstoši vidējai apdrošināšanas iemaksu algai, kura tiek aprēķināta atkarībā no faktiski veiktās apdrošināšanas iemaksu algas un faktiski nostrādāto dienu skaita. Līdz ar to, rodas augstu maternitātes un slimības pabalstu izmaksas gadījumi, kas ir nesamērīgi ar personas zaudētajiem ienākumiem. Veikti grozījumi likumā „Par maternitātes un slimības apdrošināšanu”, nosakot, ka personai, kurai vidējās apdrošināšanas iemaksu algas noteikšanas perioda daļā,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aprēķinot valsts sociālās apdrošināšanas pabalstu, vidējo apdrošināšanas iemaksu algu par minēto perioda daļu nosakot no valstī noteiktās mēneša vidējās apdrošināšanas iemaksu algas 40 procentu apmēra (vecāku un slimības pabalstam) vai 70% apmēra (maternitātes un paternitātes pabalstam) (likumprojekta 11.pants).</w:t>
            </w:r>
          </w:p>
          <w:p w:rsidR="00D92038" w:rsidRDefault="00D92038" w:rsidP="00D92038">
            <w:pPr>
              <w:spacing w:after="0" w:line="240" w:lineRule="auto"/>
              <w:jc w:val="both"/>
              <w:rPr>
                <w:rFonts w:ascii="Times New Roman" w:eastAsia="Times New Roman" w:hAnsi="Times New Roman"/>
                <w:iCs/>
                <w:sz w:val="24"/>
                <w:szCs w:val="24"/>
                <w:lang w:eastAsia="ar-SA"/>
              </w:rPr>
            </w:pPr>
          </w:p>
          <w:p w:rsidR="00604A2D" w:rsidRPr="009E73B1" w:rsidRDefault="00604A2D" w:rsidP="00D92038">
            <w:pPr>
              <w:spacing w:after="0" w:line="240" w:lineRule="auto"/>
              <w:jc w:val="both"/>
              <w:rPr>
                <w:rFonts w:ascii="Times New Roman" w:hAnsi="Times New Roman"/>
                <w:sz w:val="24"/>
                <w:szCs w:val="24"/>
              </w:rPr>
            </w:pPr>
            <w:r w:rsidRPr="009E73B1">
              <w:rPr>
                <w:rFonts w:ascii="Times New Roman" w:eastAsia="Times New Roman" w:hAnsi="Times New Roman"/>
                <w:iCs/>
                <w:sz w:val="24"/>
                <w:szCs w:val="24"/>
                <w:lang w:eastAsia="ar-SA"/>
              </w:rPr>
              <w:t>Likums „Par maternitātes un slimības apdrošināšanu” šobrīd nenosaka vidējās apdrošināšanas iemaksu algas pabalstu piešķiršanai aprēķināšanu gadījumā, kad persona apdrošināšanas gadījuma iestāšanās dienā ir gan darba ņēmēja, gan pašnodarbinātā statusā. P</w:t>
            </w:r>
            <w:r w:rsidRPr="009E73B1">
              <w:rPr>
                <w:rFonts w:ascii="Times New Roman" w:hAnsi="Times New Roman"/>
                <w:sz w:val="24"/>
                <w:szCs w:val="24"/>
              </w:rPr>
              <w:t>raksē aprēķina vidējo apdrošināšanas iemaksu algu katram apdrošinātās personas statusam atsevišķi un likumā „Par maternitātes un slimības apdrošināšanu” 31.pantā paredzētie nosacījumi tiek attiecināti uz katru apdrošinātās personas statusu atsevišķi. Gadījumā, ja vidējās iemaksu algas noteikšanas periodā persona nav bijusi reģistrēta kā iemaksu veicēja (darba ņēmējs vai nav veicis obligātās iemaksas kā pašnodarbinātais), tad vidējo iemaksu algu slimības, apbedīšanas un vecāku pabalstam nosaka 40 procentu apmērā no valstī noteiktās mēneša vidējās apdrošināšanas iemaksu algas, bet maternitātes un paternitātes pabalstiem - 70 procentu apmērā no valstī noteiktās mēneša vidējās apdrošināšanas iemaksu algas. Šis nosacījums tiek piemērots vidējās algas aprēķināšanā abiem statusiem un līdz ar to aprēķinot vidējo iemaksu algu, tās apmērs un pabalsta apmērs tiek paaugstināts. Šobrīd, piešķirot pabalstus, arvien biežāk nākas sastapties ar situācijām, kad persona ir darba ņēmēja un papildus veic obligātās iemaksas arī kā pašnodarbinātā neilgi pirms apdrošināšanas gadījuma iestāšanās, lai iegūtu tiesības uz pabalstu un pabalsts tiktu aprēķināts arī kā pašnodarbinātajam. Lai ierobežotu pabalstu piešķiršanu un aprēķināšanu palielinātā apmērā, likumprojekts nosaka vidējās apdrošināšanas iemaksu algas aprēķināšanas kārtību gadījumā, ja persona pirms pabalsta pieprasīšanas ir gan darba ņēmēja, gan pašnodarbinātais (</w:t>
            </w:r>
            <w:r w:rsidR="00030124">
              <w:rPr>
                <w:rFonts w:ascii="Times New Roman" w:hAnsi="Times New Roman"/>
                <w:sz w:val="24"/>
                <w:szCs w:val="24"/>
              </w:rPr>
              <w:t>likumprojekta 11.pants</w:t>
            </w:r>
            <w:r w:rsidRPr="009E73B1">
              <w:rPr>
                <w:rFonts w:ascii="Times New Roman" w:hAnsi="Times New Roman"/>
                <w:sz w:val="24"/>
                <w:szCs w:val="24"/>
              </w:rPr>
              <w:t>).</w:t>
            </w:r>
          </w:p>
          <w:p w:rsidR="00D92038" w:rsidRDefault="00D92038" w:rsidP="00D92038">
            <w:pPr>
              <w:spacing w:after="0" w:line="240" w:lineRule="auto"/>
              <w:jc w:val="both"/>
              <w:rPr>
                <w:rFonts w:ascii="Times New Roman" w:hAnsi="Times New Roman"/>
                <w:sz w:val="24"/>
                <w:szCs w:val="24"/>
              </w:rPr>
            </w:pPr>
          </w:p>
          <w:p w:rsidR="00604A2D" w:rsidRPr="009E73B1" w:rsidRDefault="001224B0" w:rsidP="00D92038">
            <w:pPr>
              <w:spacing w:after="0" w:line="240" w:lineRule="auto"/>
              <w:jc w:val="both"/>
              <w:rPr>
                <w:rFonts w:ascii="Times New Roman" w:hAnsi="Times New Roman"/>
                <w:sz w:val="24"/>
                <w:szCs w:val="24"/>
              </w:rPr>
            </w:pPr>
            <w:r w:rsidRPr="00BB65D3">
              <w:rPr>
                <w:rFonts w:ascii="Times New Roman" w:hAnsi="Times New Roman"/>
                <w:sz w:val="24"/>
                <w:szCs w:val="24"/>
              </w:rPr>
              <w:lastRenderedPageBreak/>
              <w:t>Saskaņā ar</w:t>
            </w:r>
            <w:r>
              <w:rPr>
                <w:rFonts w:ascii="Times New Roman" w:hAnsi="Times New Roman"/>
                <w:sz w:val="24"/>
                <w:szCs w:val="24"/>
              </w:rPr>
              <w:t xml:space="preserve"> </w:t>
            </w:r>
            <w:r w:rsidR="003E5C38">
              <w:rPr>
                <w:rFonts w:ascii="Times New Roman" w:hAnsi="Times New Roman"/>
                <w:sz w:val="24"/>
                <w:szCs w:val="24"/>
              </w:rPr>
              <w:t>L</w:t>
            </w:r>
            <w:r>
              <w:rPr>
                <w:rFonts w:ascii="Times New Roman" w:hAnsi="Times New Roman"/>
                <w:sz w:val="24"/>
                <w:szCs w:val="24"/>
              </w:rPr>
              <w:t>ikuma 31.pantu, likuma „Par apdrošināšanu bezdarba gadījumam” 8.pantu un likuma</w:t>
            </w:r>
            <w:r w:rsidRPr="0025409A">
              <w:rPr>
                <w:rFonts w:ascii="Times New Roman" w:hAnsi="Times New Roman"/>
                <w:sz w:val="24"/>
                <w:szCs w:val="24"/>
              </w:rPr>
              <w:t xml:space="preserve"> "</w:t>
            </w:r>
            <w:hyperlink r:id="rId10" w:tgtFrame="_blank" w:history="1">
              <w:r w:rsidRPr="0025409A">
                <w:rPr>
                  <w:rFonts w:ascii="Times New Roman" w:hAnsi="Times New Roman"/>
                  <w:sz w:val="24"/>
                  <w:szCs w:val="24"/>
                </w:rPr>
                <w:t>Par obligāto sociālo apdrošināšanu pret nelaimes gadījumiem darbā un arodslimībām</w:t>
              </w:r>
            </w:hyperlink>
            <w:r w:rsidRPr="0025409A">
              <w:rPr>
                <w:rFonts w:ascii="Times New Roman" w:hAnsi="Times New Roman"/>
                <w:sz w:val="24"/>
                <w:szCs w:val="24"/>
              </w:rPr>
              <w:t>" 12.pantu</w:t>
            </w:r>
            <w:r>
              <w:rPr>
                <w:rFonts w:ascii="Times New Roman" w:hAnsi="Times New Roman"/>
                <w:sz w:val="24"/>
                <w:szCs w:val="24"/>
              </w:rPr>
              <w:t xml:space="preserve"> </w:t>
            </w:r>
            <w:r w:rsidRPr="00BB65D3">
              <w:rPr>
                <w:rFonts w:ascii="Times New Roman" w:hAnsi="Times New Roman"/>
                <w:sz w:val="24"/>
                <w:szCs w:val="24"/>
              </w:rPr>
              <w:t>vidējā apdrošināšanas iemaksu alga valsts sociālās apdrošināšanas pabalstiem un apdrošināšanas atlīdzībām tiek aprēķināta no apdrošinātās personas apdrošināšanas iemaksu algas par 12 mēnešu periodu, šo periodu beidzot divus kalendāros mēnešus pirms mēneša, kurā iestājies apdrošināšanas gadījums.</w:t>
            </w:r>
            <w:r>
              <w:rPr>
                <w:rFonts w:ascii="Times New Roman" w:hAnsi="Times New Roman"/>
                <w:sz w:val="24"/>
                <w:szCs w:val="24"/>
              </w:rPr>
              <w:t xml:space="preserve"> </w:t>
            </w:r>
            <w:r w:rsidRPr="00BB65D3">
              <w:rPr>
                <w:rFonts w:ascii="Times New Roman" w:hAnsi="Times New Roman"/>
                <w:sz w:val="24"/>
                <w:szCs w:val="24"/>
              </w:rPr>
              <w:t>Vidējā apdrošināšanas iemaksu algas aprēķināšanas kārtība valsts sociālās apdrošināšanas pabalstiem (maternitātes pabalstam, paternitātes pabalstam, vecāku pabalstam, slimības pabalstam, apbedīšanas pabalstam)</w:t>
            </w:r>
            <w:r>
              <w:rPr>
                <w:rFonts w:ascii="Times New Roman" w:hAnsi="Times New Roman"/>
                <w:sz w:val="24"/>
                <w:szCs w:val="24"/>
              </w:rPr>
              <w:t xml:space="preserve"> un apdrošināšanas atlīdzībām</w:t>
            </w:r>
            <w:r w:rsidRPr="00BB65D3">
              <w:rPr>
                <w:rFonts w:ascii="Times New Roman" w:hAnsi="Times New Roman"/>
                <w:sz w:val="24"/>
                <w:szCs w:val="24"/>
              </w:rPr>
              <w:t>, kas ir noteikta</w:t>
            </w:r>
            <w:r>
              <w:rPr>
                <w:rFonts w:ascii="Times New Roman" w:hAnsi="Times New Roman"/>
                <w:sz w:val="24"/>
                <w:szCs w:val="24"/>
              </w:rPr>
              <w:t xml:space="preserve"> </w:t>
            </w:r>
            <w:r w:rsidR="003E5C38">
              <w:rPr>
                <w:rFonts w:ascii="Times New Roman" w:hAnsi="Times New Roman"/>
                <w:sz w:val="24"/>
                <w:szCs w:val="24"/>
              </w:rPr>
              <w:t>L</w:t>
            </w:r>
            <w:r>
              <w:rPr>
                <w:rFonts w:ascii="Times New Roman" w:hAnsi="Times New Roman"/>
                <w:sz w:val="24"/>
                <w:szCs w:val="24"/>
              </w:rPr>
              <w:t xml:space="preserve">ikuma 31.pantā un pakārtotajos 1998.gada 28.jūlija </w:t>
            </w:r>
            <w:r w:rsidRPr="003333CB">
              <w:rPr>
                <w:rFonts w:ascii="Times New Roman" w:hAnsi="Times New Roman"/>
                <w:sz w:val="24"/>
                <w:szCs w:val="24"/>
              </w:rPr>
              <w:t>Ministru kabineta noteikumos Nr.270 „Vidējās apdrošināšanas iemaksu algas aprēķināšanas kārtība un valsts sociālās apdrošināšanas pabalstu piešķiršanas, aprēķināšanas un izmaksas kārtība</w:t>
            </w:r>
            <w:r>
              <w:rPr>
                <w:rFonts w:ascii="Times New Roman" w:hAnsi="Times New Roman"/>
                <w:sz w:val="24"/>
                <w:szCs w:val="24"/>
              </w:rPr>
              <w:t xml:space="preserve">”, likuma „Par apdrošināšanu bezdarba gadījumam” 8.pantā un likumam pakārtotajos 2008.gada 21.oktobra  </w:t>
            </w:r>
            <w:r w:rsidRPr="003333CB">
              <w:rPr>
                <w:rFonts w:ascii="Times New Roman" w:hAnsi="Times New Roman"/>
                <w:sz w:val="24"/>
                <w:szCs w:val="24"/>
              </w:rPr>
              <w:t>Ministru kabineta noteikumos Nr.866 „Vidējās apdrošināšanas iemaksu algas aprēķināšanas kārtība bezdarbnieka pabalsta apmēra noteikšanai un bezdarbnieka pabalsta un apbedīšanas pabalsta piešķiršanas, aprēķināšanas un izmaksas kārtība</w:t>
            </w:r>
            <w:r>
              <w:rPr>
                <w:rFonts w:ascii="Times New Roman" w:hAnsi="Times New Roman"/>
                <w:sz w:val="24"/>
                <w:szCs w:val="24"/>
              </w:rPr>
              <w:t xml:space="preserve">”, likuma </w:t>
            </w:r>
            <w:r w:rsidRPr="003333CB">
              <w:rPr>
                <w:rFonts w:ascii="Times New Roman" w:hAnsi="Times New Roman"/>
                <w:sz w:val="24"/>
                <w:szCs w:val="24"/>
              </w:rPr>
              <w:t>"</w:t>
            </w:r>
            <w:hyperlink r:id="rId11" w:tgtFrame="_blank" w:history="1">
              <w:r w:rsidRPr="003333CB">
                <w:rPr>
                  <w:rFonts w:ascii="Times New Roman" w:hAnsi="Times New Roman"/>
                  <w:sz w:val="24"/>
                  <w:szCs w:val="24"/>
                </w:rPr>
                <w:t>Par obligāto sociālo apdrošināšanu pret nelaimes gadījumiem darbā un arodslimībām</w:t>
              </w:r>
            </w:hyperlink>
            <w:r w:rsidRPr="003333CB">
              <w:rPr>
                <w:rFonts w:ascii="Times New Roman" w:hAnsi="Times New Roman"/>
                <w:sz w:val="24"/>
                <w:szCs w:val="24"/>
              </w:rPr>
              <w:t>" un pakārtotajos 1999.gada 16.februāra  MK noteikumos Nr.50  „Obligātās sociālās apdrošināšanas pret nelaimes gadījumiem darbā un arodslimībām apdrošināšanas atlīdzības piešķiršanas un aprēķināšanas kārtība”</w:t>
            </w:r>
            <w:r w:rsidRPr="00BB65D3">
              <w:rPr>
                <w:rFonts w:ascii="Times New Roman" w:hAnsi="Times New Roman"/>
                <w:sz w:val="24"/>
                <w:szCs w:val="24"/>
              </w:rPr>
              <w:t>, ir sarežģīta</w:t>
            </w:r>
            <w:r>
              <w:rPr>
                <w:rFonts w:ascii="Times New Roman" w:hAnsi="Times New Roman"/>
                <w:sz w:val="24"/>
                <w:szCs w:val="24"/>
              </w:rPr>
              <w:t>,</w:t>
            </w:r>
            <w:r w:rsidRPr="00BB65D3">
              <w:rPr>
                <w:rFonts w:ascii="Times New Roman" w:hAnsi="Times New Roman"/>
                <w:sz w:val="24"/>
                <w:szCs w:val="24"/>
              </w:rPr>
              <w:t xml:space="preserve"> darbietilpīga (grūti administrējama)</w:t>
            </w:r>
            <w:r>
              <w:rPr>
                <w:rFonts w:ascii="Times New Roman" w:hAnsi="Times New Roman"/>
                <w:sz w:val="24"/>
                <w:szCs w:val="24"/>
              </w:rPr>
              <w:t xml:space="preserve"> un necaurspīdīga gan klientiem, gan administrācijai</w:t>
            </w:r>
            <w:r w:rsidRPr="00BB65D3">
              <w:rPr>
                <w:rFonts w:ascii="Times New Roman" w:hAnsi="Times New Roman"/>
                <w:sz w:val="24"/>
                <w:szCs w:val="24"/>
              </w:rPr>
              <w:t xml:space="preserve"> tiesību normu piemērošanas ietvaros, jo paredz vairākus speciālus nosacījumus un izņēmuma gadījumus. </w:t>
            </w:r>
            <w:r w:rsidR="00604A2D" w:rsidRPr="009E73B1">
              <w:rPr>
                <w:rFonts w:ascii="Times New Roman" w:hAnsi="Times New Roman"/>
                <w:bCs/>
                <w:sz w:val="24"/>
                <w:szCs w:val="24"/>
              </w:rPr>
              <w:t xml:space="preserve">Atšķirībā no </w:t>
            </w:r>
            <w:r w:rsidR="00604A2D" w:rsidRPr="009E73B1">
              <w:rPr>
                <w:rFonts w:ascii="Times New Roman" w:hAnsi="Times New Roman"/>
                <w:sz w:val="24"/>
                <w:szCs w:val="24"/>
              </w:rPr>
              <w:t xml:space="preserve">šo pabalstu un apdrošināšanas atlīdzībām noteiktās vidējās apdrošināšanas iemaksu algas aprēķināšanas kārtības, kārtībā, kas tiek piemērota bezdarbnieka pabalstiem, ir noteikts papildu nosacījums – personām, kuru apdrošināšanas iemaksu algai, kas gūta attiecīgajā 12 mēnešu periodā, attiecīgajos kalendāra mēnešos ir atšķirīgi apmēri, vidējās apdrošināšanas iemaksu algas aprēķinā netiek ieskaitīta attiecīgo divu mēnešu viszemākā un visaugstākā apdrošināšanas iemaksu alga. Vienlaikus VSAA, piešķirot valsts sociālās apdrošināšanas pabalstus, konstatējusi, ka nereti pabalsta apmēra aprēķināšanai (vidējās apdrošināšanas iemaksu algas noteikšanai) nepieciešamajos pēdējos mēnešos bija aprēķināti augsti darba ienākumi, salīdzinot ar darba ienākumiem iepriekšējā periodā, nereti pabalsta pieprasītājam darba attiecības uzsāktas neilgi pirms tiesību rašanās uz pakalpojumiem, kā arī tieši pirms apdrošināšanas gadījuma iestāšanās (darba nespējas iestāšanās, personas došanās grūtniecības atvaļinājumā) personai tiek reģistrēti augsti darba ienākumi (piemaksas, prēmijas, darba devēja pabalsti), kas nav samērīgi ar darba ienākumiem iepriekšējā periodā un kas būtiski palielina izmaksājamo sociālās apdrošināšanas pabalstu apmēru. </w:t>
            </w:r>
          </w:p>
          <w:p w:rsidR="00D92038" w:rsidRDefault="00D92038" w:rsidP="00D92038">
            <w:pPr>
              <w:spacing w:after="0" w:line="240" w:lineRule="auto"/>
              <w:jc w:val="both"/>
              <w:rPr>
                <w:rFonts w:ascii="Times New Roman" w:hAnsi="Times New Roman"/>
                <w:sz w:val="24"/>
                <w:szCs w:val="24"/>
              </w:rPr>
            </w:pPr>
          </w:p>
          <w:p w:rsidR="00604A2D" w:rsidRDefault="00604A2D" w:rsidP="00D92038">
            <w:pPr>
              <w:spacing w:after="0" w:line="240" w:lineRule="auto"/>
              <w:jc w:val="both"/>
              <w:rPr>
                <w:rFonts w:ascii="Times New Roman" w:hAnsi="Times New Roman"/>
                <w:sz w:val="24"/>
                <w:szCs w:val="24"/>
              </w:rPr>
            </w:pPr>
            <w:r w:rsidRPr="009E73B1">
              <w:rPr>
                <w:rFonts w:ascii="Times New Roman" w:hAnsi="Times New Roman"/>
                <w:sz w:val="24"/>
                <w:szCs w:val="24"/>
              </w:rPr>
              <w:t>Sociālās apdrošināšanas pabalsti (</w:t>
            </w:r>
            <w:r w:rsidRPr="009E73B1">
              <w:rPr>
                <w:rFonts w:ascii="Times New Roman" w:hAnsi="Times New Roman"/>
                <w:bCs/>
                <w:sz w:val="24"/>
                <w:szCs w:val="24"/>
              </w:rPr>
              <w:t>maternitātes pabalsts, paternitātes pabalsts, vecāku pabalsts, slimības pabalsts, apdrošināšanas atlīdzības,</w:t>
            </w:r>
            <w:r w:rsidRPr="009E73B1">
              <w:rPr>
                <w:rFonts w:ascii="Times New Roman" w:hAnsi="Times New Roman"/>
                <w:sz w:val="24"/>
                <w:szCs w:val="24"/>
              </w:rPr>
              <w:t xml:space="preserve"> bezdarbnieka pabalsti) ir paredzēti tam, lai personai darbnespējas un bezdarba gadījumā būtu iespējams saņemt algotā darbā negūto ienākumu aizvietojumu, līdz ar to nepieciešams harmonizēt sociālās </w:t>
            </w:r>
            <w:r w:rsidRPr="009E73B1">
              <w:rPr>
                <w:rFonts w:ascii="Times New Roman" w:hAnsi="Times New Roman"/>
                <w:sz w:val="24"/>
                <w:szCs w:val="24"/>
              </w:rPr>
              <w:lastRenderedPageBreak/>
              <w:t xml:space="preserve">apdrošināšanas pabalstu aprēķināšanas tiesību normas un visiem sociālās apdrošināšanas pabalstiem noteikt vienādu vidējās iemaksu algas aprēķināšanas algoritmu, vienlaikus novēršot sociālās apdrošināšanas pabalstu sistēmas negodprātīgu izmantošanu, saņemot pabalstus nepamatoti augstos apmēros (likumprojekta </w:t>
            </w:r>
            <w:r w:rsidR="00030124">
              <w:rPr>
                <w:rFonts w:ascii="Times New Roman" w:hAnsi="Times New Roman"/>
                <w:sz w:val="24"/>
                <w:szCs w:val="24"/>
              </w:rPr>
              <w:t>10</w:t>
            </w:r>
            <w:r w:rsidRPr="009E73B1">
              <w:rPr>
                <w:rFonts w:ascii="Times New Roman" w:hAnsi="Times New Roman"/>
                <w:sz w:val="24"/>
                <w:szCs w:val="24"/>
              </w:rPr>
              <w:t>. un 11.pants).</w:t>
            </w:r>
          </w:p>
          <w:p w:rsidR="00EA0BAF" w:rsidRDefault="00EA0BAF" w:rsidP="00D92038">
            <w:pPr>
              <w:spacing w:after="0" w:line="240" w:lineRule="auto"/>
              <w:jc w:val="both"/>
              <w:rPr>
                <w:rFonts w:ascii="Helv" w:eastAsiaTheme="minorHAnsi" w:hAnsi="Helv" w:cs="Helv"/>
                <w:color w:val="000000"/>
                <w:sz w:val="20"/>
                <w:szCs w:val="20"/>
              </w:rPr>
            </w:pPr>
          </w:p>
          <w:p w:rsidR="00372B45" w:rsidRPr="00EA0BAF" w:rsidRDefault="00EA0BAF" w:rsidP="00D92038">
            <w:pPr>
              <w:spacing w:after="0" w:line="240" w:lineRule="auto"/>
              <w:jc w:val="both"/>
              <w:rPr>
                <w:rFonts w:ascii="Times New Roman" w:hAnsi="Times New Roman"/>
                <w:sz w:val="24"/>
                <w:szCs w:val="24"/>
              </w:rPr>
            </w:pPr>
            <w:r>
              <w:rPr>
                <w:rFonts w:ascii="Times New Roman" w:eastAsiaTheme="minorHAnsi" w:hAnsi="Times New Roman"/>
                <w:color w:val="000000"/>
                <w:sz w:val="24"/>
                <w:szCs w:val="24"/>
              </w:rPr>
              <w:t>Ņemot vērā, ka šo noteikumu</w:t>
            </w:r>
            <w:r w:rsidRPr="00EA0BAF">
              <w:rPr>
                <w:rFonts w:ascii="Times New Roman" w:eastAsiaTheme="minorHAnsi" w:hAnsi="Times New Roman"/>
                <w:color w:val="000000"/>
                <w:sz w:val="24"/>
                <w:szCs w:val="24"/>
              </w:rPr>
              <w:t xml:space="preserve"> izstrādei nepieciešama padziļināta izpēte, lai harmonizētu gan likumā </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Par maternitātes un slimības apdrošināšanu</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 xml:space="preserve">, gan likumā </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Par apdrošināšanu bezdarba gadījumam</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 xml:space="preserve">, gan likumā </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Par obligāto sociālo apdrošināšanu pret nelaimes gadījumiem darbā un arodslimībām</w:t>
            </w:r>
            <w:r>
              <w:rPr>
                <w:rFonts w:ascii="Times New Roman" w:eastAsiaTheme="minorHAnsi" w:hAnsi="Times New Roman"/>
                <w:color w:val="000000"/>
                <w:sz w:val="24"/>
                <w:szCs w:val="24"/>
              </w:rPr>
              <w:t>”</w:t>
            </w:r>
            <w:r w:rsidRPr="00EA0BAF">
              <w:rPr>
                <w:rFonts w:ascii="Times New Roman" w:eastAsiaTheme="minorHAnsi" w:hAnsi="Times New Roman"/>
                <w:color w:val="000000"/>
                <w:sz w:val="24"/>
                <w:szCs w:val="24"/>
              </w:rPr>
              <w:t xml:space="preserve"> noteikto vidējās apdrošināšanas iemaksu algas aprēķināšanu sociālās apdrošināšanas pakalpojumu piešķiršanai (pabalstiem un atlīdzībām), kā arī šo izmaiņu ieviešanai jāparedz pietiekami ilgs laika posms, lai pielāgotu informācijas sistēmas, nepieciešams jau savlaicīgi veikt attiecīgus grozījumus likumā, kas paredz Ministru kabinetam noteikt vidējās apdrošināšanas iemaksu algas aprēķināšanas nosacījumus un kārtību.</w:t>
            </w:r>
          </w:p>
          <w:p w:rsidR="00EA0BAF" w:rsidRDefault="00EA0BAF" w:rsidP="00D92038">
            <w:pPr>
              <w:spacing w:after="0" w:line="240" w:lineRule="auto"/>
              <w:jc w:val="both"/>
              <w:rPr>
                <w:rFonts w:ascii="Times New Roman" w:hAnsi="Times New Roman"/>
                <w:sz w:val="24"/>
                <w:szCs w:val="24"/>
              </w:rPr>
            </w:pPr>
          </w:p>
          <w:p w:rsidR="00EA0BAF" w:rsidRDefault="00372B45" w:rsidP="007E343A">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Ar likuma 31.panta pirmajā daļā noteikto tiks saglabāta esošā pamatnorma, ka v</w:t>
            </w:r>
            <w:r w:rsidRPr="0025409A">
              <w:rPr>
                <w:rFonts w:ascii="Times New Roman" w:hAnsi="Times New Roman"/>
                <w:sz w:val="24"/>
                <w:szCs w:val="24"/>
              </w:rPr>
              <w:t xml:space="preserve">idējo apdrošināšanas iemaksu algu pabalsta apmēra noteikšanai aprēķina no apdrošinātās personas apdrošināšanas iemaksu algas par 12 kalendāra mēnešu periodu, šo periodu beidzot divus kalendāra mēnešus pirms </w:t>
            </w:r>
            <w:r>
              <w:rPr>
                <w:rFonts w:ascii="Times New Roman" w:hAnsi="Times New Roman"/>
                <w:sz w:val="24"/>
                <w:szCs w:val="24"/>
              </w:rPr>
              <w:t>apdrošināšanas gadījuma iestāšanās</w:t>
            </w:r>
            <w:r w:rsidRPr="0025409A">
              <w:rPr>
                <w:rFonts w:ascii="Times New Roman" w:hAnsi="Times New Roman"/>
                <w:sz w:val="24"/>
                <w:szCs w:val="24"/>
              </w:rPr>
              <w:t>.</w:t>
            </w:r>
            <w:r>
              <w:rPr>
                <w:rFonts w:ascii="Times New Roman" w:hAnsi="Times New Roman"/>
                <w:sz w:val="24"/>
                <w:szCs w:val="24"/>
              </w:rPr>
              <w:t xml:space="preserve"> Vienlaikus no 2020.gada 1.janvāra Ministru kabinetam tiks deleģēti vidējās apdrošināšanas iemaksu algas aprēķināšanas nosacījumi un kārtība. Līdz 2019.gada 31.decembrim tiks saglabāta esošā aprēķināšanas kārtība.  </w:t>
            </w:r>
          </w:p>
          <w:p w:rsidR="00EA0BAF" w:rsidRPr="00EA0BAF" w:rsidRDefault="00EA0BAF" w:rsidP="007E343A">
            <w:pPr>
              <w:tabs>
                <w:tab w:val="left" w:pos="6584"/>
              </w:tabs>
              <w:spacing w:after="0" w:line="240" w:lineRule="auto"/>
              <w:ind w:right="152"/>
              <w:jc w:val="both"/>
              <w:rPr>
                <w:rFonts w:ascii="Times New Roman" w:hAnsi="Times New Roman"/>
                <w:sz w:val="24"/>
                <w:szCs w:val="24"/>
              </w:rPr>
            </w:pPr>
          </w:p>
        </w:tc>
      </w:tr>
      <w:tr w:rsidR="009E73B1" w:rsidRPr="009E73B1" w:rsidTr="001D568F">
        <w:tc>
          <w:tcPr>
            <w:tcW w:w="199"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lastRenderedPageBreak/>
              <w:t>3.</w:t>
            </w:r>
          </w:p>
        </w:tc>
        <w:tc>
          <w:tcPr>
            <w:tcW w:w="1038"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Projekta izstrādē iesaistītās institūcijas</w:t>
            </w:r>
          </w:p>
        </w:tc>
        <w:tc>
          <w:tcPr>
            <w:tcW w:w="3763" w:type="pct"/>
            <w:shd w:val="clear" w:color="auto" w:fill="auto"/>
          </w:tcPr>
          <w:p w:rsidR="00EA0BAF" w:rsidRDefault="00604A2D" w:rsidP="001D568F">
            <w:pPr>
              <w:spacing w:after="0" w:line="240" w:lineRule="auto"/>
              <w:jc w:val="both"/>
              <w:rPr>
                <w:rFonts w:ascii="Times New Roman" w:hAnsi="Times New Roman"/>
                <w:iCs/>
                <w:sz w:val="24"/>
                <w:szCs w:val="24"/>
              </w:rPr>
            </w:pPr>
            <w:r w:rsidRPr="009E73B1">
              <w:rPr>
                <w:rFonts w:ascii="Times New Roman" w:hAnsi="Times New Roman"/>
                <w:iCs/>
                <w:sz w:val="24"/>
                <w:szCs w:val="24"/>
              </w:rPr>
              <w:t xml:space="preserve">Likumprojekta izstrādē tika ņemts vērā VSAA viedoklis, jo saskaņā ar likumu </w:t>
            </w:r>
            <w:r w:rsidRPr="009E73B1">
              <w:rPr>
                <w:rFonts w:ascii="Times New Roman" w:eastAsia="Times New Roman" w:hAnsi="Times New Roman"/>
                <w:iCs/>
                <w:sz w:val="24"/>
                <w:szCs w:val="24"/>
                <w:lang w:eastAsia="ar-SA"/>
              </w:rPr>
              <w:t xml:space="preserve">„Par maternitātes un slimības apdrošināšanu” </w:t>
            </w:r>
            <w:r w:rsidRPr="009E73B1">
              <w:rPr>
                <w:rFonts w:ascii="Times New Roman" w:hAnsi="Times New Roman"/>
                <w:iCs/>
                <w:sz w:val="24"/>
                <w:szCs w:val="24"/>
              </w:rPr>
              <w:t>VSAA nodrošina sociālās apdrošināšanas pabalsta piešķiršanu, aprēķināšanu un izmaksu.</w:t>
            </w:r>
          </w:p>
          <w:p w:rsidR="00604A2D" w:rsidRPr="009E73B1" w:rsidRDefault="00604A2D" w:rsidP="001D568F">
            <w:pPr>
              <w:spacing w:after="0" w:line="240" w:lineRule="auto"/>
              <w:jc w:val="both"/>
              <w:rPr>
                <w:rFonts w:ascii="Times New Roman" w:eastAsia="Times New Roman" w:hAnsi="Times New Roman"/>
                <w:b/>
                <w:sz w:val="24"/>
                <w:szCs w:val="24"/>
                <w:lang w:eastAsia="lv-LV"/>
              </w:rPr>
            </w:pPr>
            <w:r w:rsidRPr="009E73B1">
              <w:rPr>
                <w:rFonts w:ascii="Times New Roman" w:hAnsi="Times New Roman"/>
                <w:iCs/>
                <w:sz w:val="24"/>
                <w:szCs w:val="24"/>
              </w:rPr>
              <w:t xml:space="preserve"> </w:t>
            </w:r>
            <w:r w:rsidRPr="009E73B1">
              <w:rPr>
                <w:rFonts w:ascii="Times New Roman" w:eastAsia="Times New Roman" w:hAnsi="Times New Roman"/>
                <w:iCs/>
                <w:sz w:val="24"/>
                <w:szCs w:val="24"/>
                <w:lang w:eastAsia="lv-LV"/>
              </w:rPr>
              <w:t xml:space="preserve"> </w:t>
            </w:r>
          </w:p>
        </w:tc>
      </w:tr>
      <w:tr w:rsidR="009E73B1" w:rsidRPr="009E73B1" w:rsidTr="001D568F">
        <w:tc>
          <w:tcPr>
            <w:tcW w:w="199"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 xml:space="preserve">4. </w:t>
            </w:r>
          </w:p>
        </w:tc>
        <w:tc>
          <w:tcPr>
            <w:tcW w:w="1038" w:type="pct"/>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Cita informācija</w:t>
            </w:r>
          </w:p>
        </w:tc>
        <w:tc>
          <w:tcPr>
            <w:tcW w:w="3763" w:type="pct"/>
            <w:shd w:val="clear" w:color="auto" w:fill="auto"/>
          </w:tcPr>
          <w:p w:rsidR="00604A2D" w:rsidRDefault="00604A2D" w:rsidP="001D568F">
            <w:pPr>
              <w:spacing w:after="0" w:line="240" w:lineRule="auto"/>
              <w:jc w:val="both"/>
              <w:rPr>
                <w:rFonts w:ascii="Times New Roman" w:eastAsia="Times New Roman" w:hAnsi="Times New Roman"/>
                <w:lang w:eastAsia="lv-LV"/>
              </w:rPr>
            </w:pPr>
            <w:r w:rsidRPr="009E73B1">
              <w:rPr>
                <w:rFonts w:ascii="Times New Roman" w:eastAsia="Times New Roman" w:hAnsi="Times New Roman"/>
                <w:lang w:eastAsia="lv-LV"/>
              </w:rPr>
              <w:t>Nav.</w:t>
            </w:r>
          </w:p>
          <w:p w:rsidR="00F5335C" w:rsidRPr="009E73B1" w:rsidRDefault="00F5335C" w:rsidP="001D568F">
            <w:pPr>
              <w:spacing w:after="0" w:line="240" w:lineRule="auto"/>
              <w:jc w:val="both"/>
              <w:rPr>
                <w:rFonts w:ascii="Times New Roman" w:eastAsia="Times New Roman" w:hAnsi="Times New Roman"/>
                <w:lang w:eastAsia="lv-LV"/>
              </w:rPr>
            </w:pPr>
          </w:p>
        </w:tc>
      </w:tr>
    </w:tbl>
    <w:p w:rsidR="00604A2D" w:rsidRDefault="00604A2D" w:rsidP="00604A2D">
      <w:pPr>
        <w:spacing w:after="0" w:line="240" w:lineRule="auto"/>
        <w:jc w:val="center"/>
        <w:rPr>
          <w:rFonts w:ascii="Times New Roman" w:eastAsia="Times New Roman" w:hAnsi="Times New Roman"/>
          <w:sz w:val="24"/>
          <w:szCs w:val="24"/>
          <w:lang w:eastAsia="lv-LV"/>
        </w:rPr>
      </w:pPr>
    </w:p>
    <w:p w:rsidR="00EA0BAF" w:rsidRPr="009E73B1" w:rsidRDefault="00EA0BAF" w:rsidP="00604A2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9E73B1" w:rsidRPr="009E73B1" w:rsidTr="001D568F">
        <w:tc>
          <w:tcPr>
            <w:tcW w:w="9287" w:type="dxa"/>
            <w:gridSpan w:val="3"/>
            <w:shd w:val="clear" w:color="auto" w:fill="auto"/>
          </w:tcPr>
          <w:p w:rsidR="00604A2D" w:rsidRPr="009E73B1" w:rsidRDefault="00604A2D" w:rsidP="001D568F">
            <w:pPr>
              <w:spacing w:after="0" w:line="240" w:lineRule="auto"/>
              <w:ind w:left="57" w:right="57"/>
              <w:jc w:val="center"/>
              <w:rPr>
                <w:rFonts w:ascii="Times New Roman" w:eastAsia="Times New Roman" w:hAnsi="Times New Roman"/>
                <w:bCs/>
                <w:sz w:val="24"/>
                <w:szCs w:val="24"/>
                <w:lang w:eastAsia="lv-LV"/>
              </w:rPr>
            </w:pPr>
            <w:r w:rsidRPr="009E73B1">
              <w:rPr>
                <w:rFonts w:ascii="Times New Roman" w:eastAsia="Times New Roman" w:hAnsi="Times New Roman"/>
                <w:b/>
                <w:bCs/>
                <w:sz w:val="24"/>
                <w:szCs w:val="24"/>
                <w:lang w:eastAsia="lv-LV"/>
              </w:rPr>
              <w:t>II.</w:t>
            </w:r>
            <w:r w:rsidRPr="009E73B1">
              <w:rPr>
                <w:rFonts w:ascii="Times New Roman" w:eastAsia="Times New Roman" w:hAnsi="Times New Roman"/>
                <w:bCs/>
                <w:sz w:val="24"/>
                <w:szCs w:val="24"/>
                <w:lang w:eastAsia="lv-LV"/>
              </w:rPr>
              <w:t xml:space="preserve"> </w:t>
            </w:r>
            <w:r w:rsidRPr="009E73B1">
              <w:rPr>
                <w:rFonts w:ascii="Times New Roman" w:eastAsia="Times New Roman" w:hAnsi="Times New Roman"/>
                <w:b/>
                <w:bCs/>
                <w:sz w:val="24"/>
                <w:szCs w:val="24"/>
                <w:lang w:eastAsia="lv-LV"/>
              </w:rPr>
              <w:t>Tiesību akta projekta ietekme uz sabiedrību, tautsaimniecības attīstību</w:t>
            </w:r>
          </w:p>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un administratīvo slogu</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1.</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sz w:val="24"/>
                <w:szCs w:val="24"/>
                <w:lang w:eastAsia="lv-LV"/>
              </w:rPr>
              <w:t>Sabiedrības mērķgrupas, kuras tiesiskais regulējums ietekmē vai varētu ietekmēt</w:t>
            </w:r>
          </w:p>
        </w:tc>
        <w:tc>
          <w:tcPr>
            <w:tcW w:w="5819" w:type="dxa"/>
            <w:shd w:val="clear" w:color="auto" w:fill="auto"/>
          </w:tcPr>
          <w:p w:rsidR="00604A2D" w:rsidRDefault="00604A2D" w:rsidP="00D92038">
            <w:pPr>
              <w:spacing w:after="0" w:line="240" w:lineRule="auto"/>
              <w:jc w:val="both"/>
              <w:rPr>
                <w:rFonts w:ascii="Times New Roman" w:hAnsi="Times New Roman"/>
                <w:sz w:val="24"/>
                <w:szCs w:val="24"/>
              </w:rPr>
            </w:pPr>
            <w:r w:rsidRPr="009E73B1">
              <w:rPr>
                <w:rFonts w:ascii="Times New Roman" w:hAnsi="Times New Roman"/>
                <w:sz w:val="24"/>
                <w:szCs w:val="24"/>
              </w:rPr>
              <w:t>Maternitātes, paternitātes, slimības un vecāku pabalsta saņēmēji.</w:t>
            </w:r>
          </w:p>
          <w:p w:rsidR="00D92038" w:rsidRPr="009E73B1" w:rsidRDefault="00D92038" w:rsidP="00D92038">
            <w:pPr>
              <w:spacing w:after="0" w:line="240" w:lineRule="auto"/>
              <w:jc w:val="both"/>
              <w:rPr>
                <w:rFonts w:ascii="Times New Roman" w:hAnsi="Times New Roman"/>
                <w:sz w:val="24"/>
                <w:szCs w:val="24"/>
              </w:rPr>
            </w:pPr>
          </w:p>
          <w:p w:rsidR="00604A2D" w:rsidRPr="009E73B1" w:rsidRDefault="00604A2D" w:rsidP="00954691">
            <w:pPr>
              <w:spacing w:after="0" w:line="240" w:lineRule="auto"/>
              <w:jc w:val="both"/>
              <w:rPr>
                <w:rFonts w:ascii="Times New Roman" w:hAnsi="Times New Roman"/>
                <w:sz w:val="24"/>
                <w:szCs w:val="24"/>
              </w:rPr>
            </w:pPr>
            <w:r w:rsidRPr="009E73B1">
              <w:rPr>
                <w:rFonts w:ascii="Times New Roman" w:hAnsi="Times New Roman"/>
                <w:sz w:val="24"/>
                <w:szCs w:val="24"/>
              </w:rPr>
              <w:t>Atbilstoši VSAA statistikas datiem 2016.gada I pusgadā maternitātes pabalstu saņēma 11 012 personas, paternitātes pabalstu – 5416 personas, vecāku pabalstu – 22 489 personas</w:t>
            </w:r>
            <w:r w:rsidR="00082922">
              <w:rPr>
                <w:rFonts w:ascii="Times New Roman" w:hAnsi="Times New Roman"/>
                <w:sz w:val="24"/>
                <w:szCs w:val="24"/>
              </w:rPr>
              <w:t xml:space="preserve"> vidēji mēnesī</w:t>
            </w:r>
            <w:r w:rsidRPr="009E73B1">
              <w:rPr>
                <w:rFonts w:ascii="Times New Roman" w:hAnsi="Times New Roman"/>
                <w:sz w:val="24"/>
                <w:szCs w:val="24"/>
              </w:rPr>
              <w:t>, slimības pabalstu vispārīgā gadījumā – 83 831 persona.</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 xml:space="preserve">2. </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sz w:val="24"/>
                <w:szCs w:val="24"/>
                <w:lang w:eastAsia="lv-LV"/>
              </w:rPr>
              <w:t>Tiesiskā regulējuma ietekme uz tautsaimniecību un administratīvo slogu</w:t>
            </w:r>
          </w:p>
        </w:tc>
        <w:tc>
          <w:tcPr>
            <w:tcW w:w="5819" w:type="dxa"/>
            <w:shd w:val="clear" w:color="auto" w:fill="auto"/>
          </w:tcPr>
          <w:p w:rsidR="00604A2D" w:rsidRPr="009E73B1" w:rsidRDefault="00604A2D" w:rsidP="001D568F">
            <w:pPr>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iCs/>
                <w:sz w:val="24"/>
                <w:szCs w:val="24"/>
                <w:lang w:eastAsia="lv-LV"/>
              </w:rPr>
              <w:t>Likumprojekts nerada papildus administratīvo slogu.</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3.</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Administratīvo izmaksu monetārs novērtējums</w:t>
            </w:r>
          </w:p>
        </w:tc>
        <w:tc>
          <w:tcPr>
            <w:tcW w:w="5819" w:type="dxa"/>
            <w:shd w:val="clear" w:color="auto" w:fill="auto"/>
          </w:tcPr>
          <w:p w:rsidR="00604A2D" w:rsidRPr="009E73B1" w:rsidRDefault="00604A2D" w:rsidP="001D568F">
            <w:pPr>
              <w:spacing w:after="0" w:line="240" w:lineRule="auto"/>
              <w:jc w:val="both"/>
              <w:rPr>
                <w:rFonts w:ascii="Times New Roman" w:eastAsia="Times New Roman" w:hAnsi="Times New Roman"/>
                <w:i/>
                <w:sz w:val="24"/>
                <w:szCs w:val="24"/>
                <w:lang w:eastAsia="lv-LV"/>
              </w:rPr>
            </w:pPr>
            <w:r w:rsidRPr="009E73B1">
              <w:rPr>
                <w:rFonts w:ascii="Times New Roman" w:eastAsia="Times New Roman" w:hAnsi="Times New Roman"/>
                <w:iCs/>
                <w:sz w:val="24"/>
                <w:szCs w:val="24"/>
                <w:lang w:eastAsia="lv-LV"/>
              </w:rPr>
              <w:t>Likumprojekts šo jomu neskar.</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 xml:space="preserve">4. </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Cita informācija</w:t>
            </w:r>
          </w:p>
        </w:tc>
        <w:tc>
          <w:tcPr>
            <w:tcW w:w="5819" w:type="dxa"/>
            <w:shd w:val="clear" w:color="auto" w:fill="auto"/>
          </w:tcPr>
          <w:p w:rsidR="00F5335C" w:rsidRPr="009E73B1" w:rsidRDefault="00604A2D" w:rsidP="001D568F">
            <w:pPr>
              <w:spacing w:after="0" w:line="240" w:lineRule="auto"/>
              <w:jc w:val="both"/>
              <w:rPr>
                <w:rFonts w:ascii="Times New Roman" w:eastAsia="Times New Roman" w:hAnsi="Times New Roman"/>
                <w:iCs/>
                <w:lang w:eastAsia="lv-LV"/>
              </w:rPr>
            </w:pPr>
            <w:r w:rsidRPr="009E73B1">
              <w:rPr>
                <w:rFonts w:ascii="Times New Roman" w:eastAsia="Times New Roman" w:hAnsi="Times New Roman"/>
                <w:iCs/>
                <w:lang w:eastAsia="lv-LV"/>
              </w:rPr>
              <w:t>Nav.</w:t>
            </w:r>
          </w:p>
        </w:tc>
      </w:tr>
    </w:tbl>
    <w:p w:rsidR="00EA0BAF" w:rsidRDefault="00EA0BAF" w:rsidP="00604A2D">
      <w:pPr>
        <w:spacing w:after="0" w:line="240" w:lineRule="auto"/>
        <w:rPr>
          <w:rFonts w:ascii="Times New Roman" w:eastAsia="Times New Roman" w:hAnsi="Times New Roman"/>
          <w:sz w:val="24"/>
          <w:szCs w:val="24"/>
          <w:lang w:eastAsia="lv-LV"/>
        </w:rPr>
      </w:pPr>
    </w:p>
    <w:tbl>
      <w:tblPr>
        <w:tblW w:w="965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958"/>
        <w:gridCol w:w="646"/>
        <w:gridCol w:w="1360"/>
        <w:gridCol w:w="1450"/>
        <w:gridCol w:w="1450"/>
        <w:gridCol w:w="1186"/>
      </w:tblGrid>
      <w:tr w:rsidR="00B016B4" w:rsidRPr="009E73B1" w:rsidTr="00B016B4">
        <w:tc>
          <w:tcPr>
            <w:tcW w:w="9653" w:type="dxa"/>
            <w:gridSpan w:val="7"/>
            <w:tcBorders>
              <w:top w:val="single" w:sz="4" w:space="0" w:color="auto"/>
              <w:left w:val="single" w:sz="4" w:space="0" w:color="auto"/>
              <w:bottom w:val="single" w:sz="4" w:space="0" w:color="auto"/>
              <w:right w:val="single" w:sz="4" w:space="0" w:color="auto"/>
            </w:tcBorders>
            <w:shd w:val="clear" w:color="auto" w:fill="auto"/>
          </w:tcPr>
          <w:p w:rsidR="00B016B4" w:rsidRPr="009E73B1" w:rsidRDefault="00B016B4" w:rsidP="00B016B4">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br w:type="page"/>
              <w:t>III. Tiesību akta projekta ietekme uz valsts budžetu un pašvaldību budžetiem</w:t>
            </w:r>
          </w:p>
        </w:tc>
      </w:tr>
      <w:tr w:rsidR="00B016B4" w:rsidRPr="009E73B1" w:rsidTr="00B016B4">
        <w:tblPrEx>
          <w:jc w:val="center"/>
        </w:tblPrEx>
        <w:trPr>
          <w:jc w:val="center"/>
        </w:trPr>
        <w:tc>
          <w:tcPr>
            <w:tcW w:w="2603" w:type="dxa"/>
            <w:vMerge w:val="restart"/>
            <w:vAlign w:val="center"/>
          </w:tcPr>
          <w:p w:rsidR="00B016B4" w:rsidRPr="009E73B1" w:rsidRDefault="00B016B4" w:rsidP="00B016B4">
            <w:pPr>
              <w:pStyle w:val="naisf"/>
              <w:spacing w:before="0" w:beforeAutospacing="0" w:after="0" w:afterAutospacing="0"/>
              <w:jc w:val="center"/>
              <w:rPr>
                <w:b/>
              </w:rPr>
            </w:pPr>
            <w:r w:rsidRPr="009E73B1">
              <w:rPr>
                <w:b/>
              </w:rPr>
              <w:t>Rādītāji</w:t>
            </w:r>
          </w:p>
        </w:tc>
        <w:tc>
          <w:tcPr>
            <w:tcW w:w="2964" w:type="dxa"/>
            <w:gridSpan w:val="3"/>
            <w:vMerge w:val="restart"/>
            <w:vAlign w:val="center"/>
          </w:tcPr>
          <w:p w:rsidR="00B016B4" w:rsidRPr="009E73B1" w:rsidRDefault="00B016B4" w:rsidP="00B016B4">
            <w:pPr>
              <w:pStyle w:val="naisf"/>
              <w:spacing w:before="0" w:beforeAutospacing="0" w:after="0" w:afterAutospacing="0"/>
              <w:jc w:val="center"/>
              <w:rPr>
                <w:b/>
              </w:rPr>
            </w:pPr>
            <w:r w:rsidRPr="009E73B1">
              <w:rPr>
                <w:b/>
              </w:rPr>
              <w:t>2016. gads</w:t>
            </w:r>
          </w:p>
        </w:tc>
        <w:tc>
          <w:tcPr>
            <w:tcW w:w="4086" w:type="dxa"/>
            <w:gridSpan w:val="3"/>
            <w:vAlign w:val="center"/>
          </w:tcPr>
          <w:p w:rsidR="00B016B4" w:rsidRPr="009E73B1" w:rsidRDefault="00B016B4" w:rsidP="00B016B4">
            <w:pPr>
              <w:pStyle w:val="naisf"/>
              <w:spacing w:before="0" w:beforeAutospacing="0" w:after="0" w:afterAutospacing="0"/>
              <w:jc w:val="center"/>
              <w:rPr>
                <w:b/>
                <w:i/>
              </w:rPr>
            </w:pPr>
            <w:r w:rsidRPr="009E73B1">
              <w:t>Turpmākie trīs gadi (</w:t>
            </w:r>
            <w:proofErr w:type="spellStart"/>
            <w:r w:rsidRPr="009E73B1">
              <w:t>euro</w:t>
            </w:r>
            <w:proofErr w:type="spellEnd"/>
            <w:r w:rsidRPr="009E73B1">
              <w:t>)</w:t>
            </w:r>
          </w:p>
        </w:tc>
      </w:tr>
      <w:tr w:rsidR="00B016B4" w:rsidRPr="009E73B1" w:rsidTr="00B016B4">
        <w:tblPrEx>
          <w:jc w:val="center"/>
        </w:tblPrEx>
        <w:trPr>
          <w:jc w:val="center"/>
        </w:trPr>
        <w:tc>
          <w:tcPr>
            <w:tcW w:w="2603" w:type="dxa"/>
            <w:vMerge/>
            <w:vAlign w:val="center"/>
          </w:tcPr>
          <w:p w:rsidR="00B016B4" w:rsidRPr="009E73B1" w:rsidRDefault="00B016B4" w:rsidP="00B016B4">
            <w:pPr>
              <w:pStyle w:val="naisf"/>
              <w:spacing w:before="0" w:beforeAutospacing="0" w:after="0" w:afterAutospacing="0"/>
              <w:jc w:val="center"/>
              <w:rPr>
                <w:b/>
                <w:i/>
              </w:rPr>
            </w:pPr>
          </w:p>
        </w:tc>
        <w:tc>
          <w:tcPr>
            <w:tcW w:w="2964" w:type="dxa"/>
            <w:gridSpan w:val="3"/>
            <w:vMerge/>
            <w:vAlign w:val="center"/>
          </w:tcPr>
          <w:p w:rsidR="00B016B4" w:rsidRPr="009E73B1" w:rsidRDefault="00B016B4" w:rsidP="00B016B4">
            <w:pPr>
              <w:pStyle w:val="naisf"/>
              <w:spacing w:before="0" w:beforeAutospacing="0" w:after="0" w:afterAutospacing="0"/>
              <w:jc w:val="center"/>
              <w:rPr>
                <w:b/>
                <w:i/>
              </w:rPr>
            </w:pPr>
          </w:p>
        </w:tc>
        <w:tc>
          <w:tcPr>
            <w:tcW w:w="1450" w:type="dxa"/>
            <w:vAlign w:val="center"/>
          </w:tcPr>
          <w:p w:rsidR="00B016B4" w:rsidRPr="009E73B1" w:rsidRDefault="00B016B4" w:rsidP="00B016B4">
            <w:pPr>
              <w:pStyle w:val="naisf"/>
              <w:spacing w:before="0" w:beforeAutospacing="0" w:after="0" w:afterAutospacing="0"/>
              <w:jc w:val="center"/>
              <w:rPr>
                <w:b/>
                <w:i/>
              </w:rPr>
            </w:pPr>
            <w:r w:rsidRPr="009E73B1">
              <w:rPr>
                <w:b/>
                <w:bCs/>
              </w:rPr>
              <w:t>2017</w:t>
            </w:r>
          </w:p>
        </w:tc>
        <w:tc>
          <w:tcPr>
            <w:tcW w:w="1450" w:type="dxa"/>
            <w:vAlign w:val="center"/>
          </w:tcPr>
          <w:p w:rsidR="00B016B4" w:rsidRPr="009E73B1" w:rsidRDefault="00B016B4" w:rsidP="00B016B4">
            <w:pPr>
              <w:pStyle w:val="naisf"/>
              <w:spacing w:before="0" w:beforeAutospacing="0" w:after="0" w:afterAutospacing="0"/>
              <w:jc w:val="center"/>
              <w:rPr>
                <w:b/>
                <w:i/>
              </w:rPr>
            </w:pPr>
            <w:r w:rsidRPr="009E73B1">
              <w:rPr>
                <w:b/>
                <w:bCs/>
              </w:rPr>
              <w:t>2018</w:t>
            </w:r>
          </w:p>
        </w:tc>
        <w:tc>
          <w:tcPr>
            <w:tcW w:w="1186" w:type="dxa"/>
            <w:vAlign w:val="center"/>
          </w:tcPr>
          <w:p w:rsidR="00B016B4" w:rsidRPr="009E73B1" w:rsidRDefault="00B016B4" w:rsidP="00B016B4">
            <w:pPr>
              <w:pStyle w:val="naisf"/>
              <w:spacing w:before="0" w:beforeAutospacing="0" w:after="0" w:afterAutospacing="0"/>
              <w:jc w:val="center"/>
              <w:rPr>
                <w:b/>
                <w:i/>
              </w:rPr>
            </w:pPr>
            <w:r w:rsidRPr="009E73B1">
              <w:rPr>
                <w:b/>
                <w:bCs/>
              </w:rPr>
              <w:t>2019</w:t>
            </w:r>
          </w:p>
        </w:tc>
      </w:tr>
      <w:tr w:rsidR="00B016B4" w:rsidRPr="009E73B1" w:rsidTr="00B016B4">
        <w:tblPrEx>
          <w:jc w:val="center"/>
        </w:tblPrEx>
        <w:trPr>
          <w:jc w:val="center"/>
        </w:trPr>
        <w:tc>
          <w:tcPr>
            <w:tcW w:w="2603" w:type="dxa"/>
            <w:vMerge/>
            <w:vAlign w:val="center"/>
          </w:tcPr>
          <w:p w:rsidR="00B016B4" w:rsidRPr="009E73B1" w:rsidRDefault="00B016B4" w:rsidP="00B016B4">
            <w:pPr>
              <w:pStyle w:val="naisf"/>
              <w:spacing w:before="0" w:beforeAutospacing="0" w:after="0" w:afterAutospacing="0"/>
              <w:jc w:val="center"/>
              <w:rPr>
                <w:b/>
                <w:i/>
              </w:rPr>
            </w:pPr>
          </w:p>
        </w:tc>
        <w:tc>
          <w:tcPr>
            <w:tcW w:w="1604" w:type="dxa"/>
            <w:gridSpan w:val="2"/>
            <w:vAlign w:val="center"/>
          </w:tcPr>
          <w:p w:rsidR="00B016B4" w:rsidRPr="009E73B1" w:rsidRDefault="00B016B4" w:rsidP="00B016B4">
            <w:pPr>
              <w:pStyle w:val="naisf"/>
              <w:spacing w:before="0" w:beforeAutospacing="0" w:after="0" w:afterAutospacing="0"/>
              <w:jc w:val="center"/>
              <w:rPr>
                <w:b/>
                <w:i/>
              </w:rPr>
            </w:pPr>
            <w:r w:rsidRPr="009E73B1">
              <w:t>saskaņā ar valsts budžetu kārtējam gadam</w:t>
            </w:r>
          </w:p>
        </w:tc>
        <w:tc>
          <w:tcPr>
            <w:tcW w:w="1360" w:type="dxa"/>
            <w:vAlign w:val="center"/>
          </w:tcPr>
          <w:p w:rsidR="00B016B4" w:rsidRPr="009E73B1" w:rsidRDefault="00B016B4" w:rsidP="00B016B4">
            <w:pPr>
              <w:pStyle w:val="naisf"/>
              <w:spacing w:before="0" w:beforeAutospacing="0" w:after="0" w:afterAutospacing="0"/>
              <w:jc w:val="center"/>
              <w:rPr>
                <w:b/>
                <w:i/>
              </w:rPr>
            </w:pPr>
            <w:r w:rsidRPr="009E73B1">
              <w:t>izmaiņas kārtējā gadā, salīdzinot ar valsts budžetu kārtējam gadam</w:t>
            </w:r>
          </w:p>
        </w:tc>
        <w:tc>
          <w:tcPr>
            <w:tcW w:w="1450" w:type="dxa"/>
            <w:vAlign w:val="center"/>
          </w:tcPr>
          <w:p w:rsidR="00B016B4" w:rsidRPr="009E73B1" w:rsidRDefault="00B016B4" w:rsidP="00B016B4">
            <w:pPr>
              <w:pStyle w:val="naisf"/>
              <w:spacing w:before="0" w:beforeAutospacing="0" w:after="0" w:afterAutospacing="0"/>
              <w:jc w:val="center"/>
              <w:rPr>
                <w:b/>
                <w:i/>
              </w:rPr>
            </w:pPr>
            <w:r w:rsidRPr="009E73B1">
              <w:t>izmaiņas, salīdzinot ar kārtējo (n) gadu</w:t>
            </w:r>
          </w:p>
        </w:tc>
        <w:tc>
          <w:tcPr>
            <w:tcW w:w="1450" w:type="dxa"/>
            <w:vAlign w:val="center"/>
          </w:tcPr>
          <w:p w:rsidR="00B016B4" w:rsidRPr="009E73B1" w:rsidRDefault="00B016B4" w:rsidP="00B016B4">
            <w:pPr>
              <w:pStyle w:val="naisf"/>
              <w:spacing w:before="0" w:beforeAutospacing="0" w:after="0" w:afterAutospacing="0"/>
              <w:jc w:val="center"/>
              <w:rPr>
                <w:b/>
                <w:i/>
              </w:rPr>
            </w:pPr>
            <w:r w:rsidRPr="009E73B1">
              <w:t>izmaiņas, salīdzinot ar kārtējo (n) gadu</w:t>
            </w:r>
          </w:p>
        </w:tc>
        <w:tc>
          <w:tcPr>
            <w:tcW w:w="1186" w:type="dxa"/>
            <w:vAlign w:val="center"/>
          </w:tcPr>
          <w:p w:rsidR="00B016B4" w:rsidRPr="009E73B1" w:rsidRDefault="00B016B4" w:rsidP="00B016B4">
            <w:pPr>
              <w:pStyle w:val="naisf"/>
              <w:spacing w:before="0" w:beforeAutospacing="0" w:after="0" w:afterAutospacing="0"/>
              <w:jc w:val="center"/>
              <w:rPr>
                <w:b/>
                <w:i/>
              </w:rPr>
            </w:pPr>
            <w:r w:rsidRPr="009E73B1">
              <w:t>izmaiņas, salīdzinot ar kārtējo (n) gadu</w:t>
            </w:r>
          </w:p>
        </w:tc>
      </w:tr>
      <w:tr w:rsidR="00B016B4" w:rsidRPr="009E73B1" w:rsidTr="00B016B4">
        <w:tblPrEx>
          <w:jc w:val="center"/>
        </w:tblPrEx>
        <w:trPr>
          <w:jc w:val="center"/>
        </w:trPr>
        <w:tc>
          <w:tcPr>
            <w:tcW w:w="2603" w:type="dxa"/>
            <w:vAlign w:val="center"/>
          </w:tcPr>
          <w:p w:rsidR="00B016B4" w:rsidRPr="009E73B1" w:rsidRDefault="00B016B4" w:rsidP="00B016B4">
            <w:pPr>
              <w:pStyle w:val="naisf"/>
              <w:spacing w:before="0" w:beforeAutospacing="0" w:after="0" w:afterAutospacing="0"/>
              <w:jc w:val="center"/>
              <w:rPr>
                <w:bCs/>
              </w:rPr>
            </w:pPr>
            <w:r w:rsidRPr="009E73B1">
              <w:rPr>
                <w:bCs/>
              </w:rPr>
              <w:t>1</w:t>
            </w:r>
          </w:p>
        </w:tc>
        <w:tc>
          <w:tcPr>
            <w:tcW w:w="1604" w:type="dxa"/>
            <w:gridSpan w:val="2"/>
            <w:vAlign w:val="center"/>
          </w:tcPr>
          <w:p w:rsidR="00B016B4" w:rsidRPr="009E73B1" w:rsidRDefault="00B016B4" w:rsidP="00B016B4">
            <w:pPr>
              <w:pStyle w:val="naisf"/>
              <w:spacing w:before="0" w:beforeAutospacing="0" w:after="0" w:afterAutospacing="0"/>
              <w:jc w:val="center"/>
              <w:rPr>
                <w:bCs/>
              </w:rPr>
            </w:pPr>
            <w:r w:rsidRPr="009E73B1">
              <w:rPr>
                <w:bCs/>
              </w:rPr>
              <w:t>2</w:t>
            </w:r>
          </w:p>
        </w:tc>
        <w:tc>
          <w:tcPr>
            <w:tcW w:w="1360" w:type="dxa"/>
            <w:vAlign w:val="center"/>
          </w:tcPr>
          <w:p w:rsidR="00B016B4" w:rsidRPr="009E73B1" w:rsidRDefault="00B016B4" w:rsidP="00B016B4">
            <w:pPr>
              <w:pStyle w:val="naisf"/>
              <w:spacing w:before="0" w:beforeAutospacing="0" w:after="0" w:afterAutospacing="0"/>
              <w:jc w:val="center"/>
              <w:rPr>
                <w:bCs/>
              </w:rPr>
            </w:pPr>
            <w:r w:rsidRPr="009E73B1">
              <w:rPr>
                <w:bCs/>
              </w:rPr>
              <w:t>3</w:t>
            </w:r>
          </w:p>
        </w:tc>
        <w:tc>
          <w:tcPr>
            <w:tcW w:w="1450" w:type="dxa"/>
            <w:vAlign w:val="center"/>
          </w:tcPr>
          <w:p w:rsidR="00B016B4" w:rsidRPr="009E73B1" w:rsidRDefault="00B016B4" w:rsidP="00B016B4">
            <w:pPr>
              <w:pStyle w:val="naisf"/>
              <w:spacing w:before="0" w:beforeAutospacing="0" w:after="0" w:afterAutospacing="0"/>
              <w:jc w:val="center"/>
              <w:rPr>
                <w:bCs/>
              </w:rPr>
            </w:pPr>
            <w:r w:rsidRPr="009E73B1">
              <w:rPr>
                <w:bCs/>
              </w:rPr>
              <w:t>4</w:t>
            </w:r>
          </w:p>
        </w:tc>
        <w:tc>
          <w:tcPr>
            <w:tcW w:w="1450" w:type="dxa"/>
            <w:vAlign w:val="center"/>
          </w:tcPr>
          <w:p w:rsidR="00B016B4" w:rsidRPr="009E73B1" w:rsidRDefault="00B016B4" w:rsidP="00B016B4">
            <w:pPr>
              <w:pStyle w:val="naisf"/>
              <w:spacing w:before="0" w:beforeAutospacing="0" w:after="0" w:afterAutospacing="0"/>
              <w:jc w:val="center"/>
              <w:rPr>
                <w:bCs/>
              </w:rPr>
            </w:pPr>
            <w:r w:rsidRPr="009E73B1">
              <w:rPr>
                <w:bCs/>
              </w:rPr>
              <w:t>5</w:t>
            </w:r>
          </w:p>
        </w:tc>
        <w:tc>
          <w:tcPr>
            <w:tcW w:w="1186" w:type="dxa"/>
            <w:vAlign w:val="center"/>
          </w:tcPr>
          <w:p w:rsidR="00B016B4" w:rsidRPr="009E73B1" w:rsidRDefault="00B016B4" w:rsidP="00B016B4">
            <w:pPr>
              <w:pStyle w:val="naisf"/>
              <w:spacing w:before="0" w:beforeAutospacing="0" w:after="0" w:afterAutospacing="0"/>
              <w:jc w:val="center"/>
              <w:rPr>
                <w:bCs/>
              </w:rPr>
            </w:pPr>
            <w:r w:rsidRPr="009E73B1">
              <w:rPr>
                <w:bCs/>
              </w:rPr>
              <w:t>6</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rPr>
                <w:i/>
              </w:rPr>
            </w:pPr>
            <w:r w:rsidRPr="009E73B1">
              <w:t>1. Budžeta ieņēmumi:</w:t>
            </w:r>
          </w:p>
        </w:tc>
        <w:tc>
          <w:tcPr>
            <w:tcW w:w="1604" w:type="dxa"/>
            <w:gridSpan w:val="2"/>
          </w:tcPr>
          <w:p w:rsidR="00B016B4" w:rsidRPr="009E73B1" w:rsidRDefault="00B016B4" w:rsidP="00B016B4">
            <w:pPr>
              <w:pStyle w:val="naisf"/>
              <w:spacing w:before="0" w:beforeAutospacing="0" w:after="0" w:afterAutospacing="0"/>
            </w:pPr>
            <w:r w:rsidRPr="009E73B1">
              <w:t xml:space="preserve"> </w:t>
            </w:r>
            <w:r>
              <w:rPr>
                <w:sz w:val="22"/>
                <w:szCs w:val="22"/>
              </w:rPr>
              <w:t>577 064 726</w:t>
            </w:r>
          </w:p>
        </w:tc>
        <w:tc>
          <w:tcPr>
            <w:tcW w:w="136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pPr>
            <w:r w:rsidRPr="009E73B1">
              <w:t>1.1. valsts pamatbudžets, tai skaitā ieņēmumi no maksas pakalpojumiem un citi pašu ieņēmumi</w:t>
            </w:r>
          </w:p>
          <w:p w:rsidR="00B016B4" w:rsidRPr="009E73B1" w:rsidRDefault="00B016B4" w:rsidP="00B016B4">
            <w:pPr>
              <w:pStyle w:val="naisf"/>
              <w:spacing w:before="0" w:beforeAutospacing="0" w:after="0" w:afterAutospacing="0"/>
              <w:rPr>
                <w:i/>
              </w:rPr>
            </w:pPr>
          </w:p>
        </w:tc>
        <w:tc>
          <w:tcPr>
            <w:tcW w:w="1604" w:type="dxa"/>
            <w:gridSpan w:val="2"/>
          </w:tcPr>
          <w:p w:rsidR="00B016B4" w:rsidRPr="009E73B1" w:rsidRDefault="00B016B4" w:rsidP="00B016B4">
            <w:pPr>
              <w:pStyle w:val="naisf"/>
              <w:spacing w:before="0" w:beforeAutospacing="0" w:after="0" w:afterAutospacing="0"/>
              <w:jc w:val="center"/>
              <w:rPr>
                <w:sz w:val="20"/>
                <w:szCs w:val="20"/>
              </w:rPr>
            </w:pPr>
          </w:p>
        </w:tc>
        <w:tc>
          <w:tcPr>
            <w:tcW w:w="136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pPr>
            <w:r w:rsidRPr="009E73B1">
              <w:t>1.2. valsts speciālais budžets, t.sk.:</w:t>
            </w:r>
          </w:p>
          <w:p w:rsidR="00B016B4" w:rsidRPr="009E73B1" w:rsidRDefault="00B016B4" w:rsidP="00B016B4">
            <w:pPr>
              <w:pStyle w:val="naisf"/>
              <w:spacing w:before="0" w:beforeAutospacing="0" w:after="0" w:afterAutospacing="0"/>
              <w:rPr>
                <w:i/>
              </w:rPr>
            </w:pPr>
          </w:p>
        </w:tc>
        <w:tc>
          <w:tcPr>
            <w:tcW w:w="1604" w:type="dxa"/>
            <w:gridSpan w:val="2"/>
          </w:tcPr>
          <w:p w:rsidR="00B016B4" w:rsidRPr="009E73B1" w:rsidRDefault="00B016B4" w:rsidP="00B016B4">
            <w:pPr>
              <w:pStyle w:val="naisf"/>
              <w:spacing w:before="0" w:beforeAutospacing="0" w:after="0" w:afterAutospacing="0"/>
              <w:rPr>
                <w:sz w:val="22"/>
                <w:szCs w:val="22"/>
              </w:rPr>
            </w:pPr>
          </w:p>
          <w:p w:rsidR="00B016B4" w:rsidRPr="009E73B1" w:rsidRDefault="00B016B4" w:rsidP="00B016B4">
            <w:pPr>
              <w:pStyle w:val="naisf"/>
              <w:spacing w:before="0" w:beforeAutospacing="0" w:after="0" w:afterAutospacing="0"/>
              <w:rPr>
                <w:sz w:val="22"/>
                <w:szCs w:val="22"/>
              </w:rPr>
            </w:pPr>
            <w:r>
              <w:rPr>
                <w:sz w:val="22"/>
                <w:szCs w:val="22"/>
              </w:rPr>
              <w:t>577 064 726</w:t>
            </w:r>
          </w:p>
        </w:tc>
        <w:tc>
          <w:tcPr>
            <w:tcW w:w="1360" w:type="dxa"/>
          </w:tcPr>
          <w:p w:rsidR="00B016B4" w:rsidRPr="009E73B1" w:rsidRDefault="00B016B4" w:rsidP="00B016B4">
            <w:pPr>
              <w:pStyle w:val="naisf"/>
              <w:spacing w:before="0" w:beforeAutospacing="0" w:after="0" w:afterAutospacing="0"/>
              <w:jc w:val="center"/>
              <w:rPr>
                <w:sz w:val="20"/>
                <w:szCs w:val="20"/>
              </w:rPr>
            </w:pPr>
          </w:p>
        </w:tc>
        <w:tc>
          <w:tcPr>
            <w:tcW w:w="1450" w:type="dxa"/>
          </w:tcPr>
          <w:p w:rsidR="00B016B4" w:rsidRPr="009E73B1" w:rsidRDefault="00B016B4" w:rsidP="00B016B4">
            <w:pPr>
              <w:pStyle w:val="naisf"/>
              <w:spacing w:before="0" w:beforeAutospacing="0" w:after="0" w:afterAutospacing="0"/>
              <w:jc w:val="center"/>
              <w:rPr>
                <w:sz w:val="20"/>
                <w:szCs w:val="20"/>
              </w:rPr>
            </w:pPr>
            <w:r>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rPr>
                <w:i/>
              </w:rPr>
            </w:pPr>
            <w:r>
              <w:rPr>
                <w:i/>
              </w:rPr>
              <w:t xml:space="preserve">04.04.00 </w:t>
            </w:r>
            <w:r w:rsidRPr="009E73B1">
              <w:rPr>
                <w:i/>
              </w:rPr>
              <w:t>"Invaliditātes, maternitātes un slimības speciālais budžets</w:t>
            </w:r>
            <w:r>
              <w:rPr>
                <w:i/>
              </w:rPr>
              <w:t>”</w:t>
            </w:r>
          </w:p>
        </w:tc>
        <w:tc>
          <w:tcPr>
            <w:tcW w:w="1604" w:type="dxa"/>
            <w:gridSpan w:val="2"/>
          </w:tcPr>
          <w:p w:rsidR="00B016B4" w:rsidRPr="006E5576" w:rsidRDefault="00B016B4" w:rsidP="00B016B4">
            <w:pPr>
              <w:jc w:val="center"/>
              <w:rPr>
                <w:rFonts w:ascii="Times New Roman" w:eastAsia="Times New Roman" w:hAnsi="Times New Roman"/>
                <w:bCs/>
                <w:i/>
                <w:color w:val="000000"/>
              </w:rPr>
            </w:pPr>
            <w:r w:rsidRPr="006E5576">
              <w:rPr>
                <w:rFonts w:ascii="Times New Roman" w:hAnsi="Times New Roman"/>
                <w:bCs/>
                <w:i/>
                <w:color w:val="000000"/>
              </w:rPr>
              <w:t>561 104 202</w:t>
            </w:r>
          </w:p>
          <w:p w:rsidR="00B016B4"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p>
        </w:tc>
        <w:tc>
          <w:tcPr>
            <w:tcW w:w="1450" w:type="dxa"/>
          </w:tcPr>
          <w:p w:rsidR="00B016B4" w:rsidRDefault="00B016B4" w:rsidP="00B016B4">
            <w:pPr>
              <w:pStyle w:val="naisf"/>
              <w:spacing w:before="0" w:beforeAutospacing="0" w:after="0" w:afterAutospacing="0"/>
              <w:jc w:val="center"/>
              <w:rPr>
                <w:i/>
                <w:sz w:val="20"/>
                <w:szCs w:val="20"/>
              </w:rPr>
            </w:pPr>
          </w:p>
        </w:tc>
        <w:tc>
          <w:tcPr>
            <w:tcW w:w="1450" w:type="dxa"/>
          </w:tcPr>
          <w:p w:rsidR="00B016B4" w:rsidRDefault="00B016B4" w:rsidP="00B016B4">
            <w:pPr>
              <w:pStyle w:val="naisf"/>
              <w:spacing w:before="0" w:beforeAutospacing="0" w:after="0" w:afterAutospacing="0"/>
              <w:jc w:val="center"/>
              <w:rPr>
                <w:i/>
                <w:sz w:val="20"/>
                <w:szCs w:val="20"/>
              </w:rPr>
            </w:pPr>
          </w:p>
        </w:tc>
        <w:tc>
          <w:tcPr>
            <w:tcW w:w="1186" w:type="dxa"/>
          </w:tcPr>
          <w:p w:rsidR="00B016B4" w:rsidRPr="009E73B1" w:rsidRDefault="00B016B4" w:rsidP="00B016B4">
            <w:pPr>
              <w:pStyle w:val="naisf"/>
              <w:spacing w:before="0" w:beforeAutospacing="0" w:after="0" w:afterAutospacing="0"/>
              <w:jc w:val="center"/>
              <w:rPr>
                <w:i/>
                <w:sz w:val="20"/>
                <w:szCs w:val="20"/>
              </w:rPr>
            </w:pPr>
          </w:p>
        </w:tc>
      </w:tr>
      <w:tr w:rsidR="00B016B4" w:rsidRPr="009E73B1" w:rsidTr="00B016B4">
        <w:tblPrEx>
          <w:jc w:val="center"/>
        </w:tblPrEx>
        <w:trPr>
          <w:jc w:val="center"/>
        </w:trPr>
        <w:tc>
          <w:tcPr>
            <w:tcW w:w="2603" w:type="dxa"/>
          </w:tcPr>
          <w:p w:rsidR="00B016B4" w:rsidRDefault="00B016B4" w:rsidP="00B016B4">
            <w:pPr>
              <w:pStyle w:val="naisf"/>
              <w:spacing w:before="0" w:beforeAutospacing="0" w:after="0" w:afterAutospacing="0"/>
              <w:rPr>
                <w:i/>
              </w:rPr>
            </w:pPr>
            <w:r w:rsidRPr="009E73B1">
              <w:rPr>
                <w:i/>
              </w:rPr>
              <w:t xml:space="preserve">04.05.00 </w:t>
            </w:r>
            <w:r>
              <w:rPr>
                <w:i/>
              </w:rPr>
              <w:t>“</w:t>
            </w:r>
            <w:r w:rsidRPr="009E73B1">
              <w:rPr>
                <w:i/>
              </w:rPr>
              <w:t>VSAA speciālais budžets</w:t>
            </w:r>
            <w:r>
              <w:rPr>
                <w:i/>
              </w:rPr>
              <w:t>”</w:t>
            </w:r>
            <w:r w:rsidRPr="009E73B1">
              <w:rPr>
                <w:i/>
              </w:rPr>
              <w:t>, t.sk.:</w:t>
            </w:r>
          </w:p>
          <w:p w:rsidR="00B016B4" w:rsidRPr="009E73B1" w:rsidRDefault="00B016B4" w:rsidP="00B016B4">
            <w:pPr>
              <w:pStyle w:val="naisf"/>
              <w:spacing w:before="0" w:beforeAutospacing="0" w:after="0" w:afterAutospacing="0"/>
              <w:rPr>
                <w:i/>
              </w:rPr>
            </w:pPr>
            <w:r>
              <w:rPr>
                <w:i/>
              </w:rPr>
              <w:t>valsts speciālā budžeta savstarpējie transferti</w:t>
            </w:r>
          </w:p>
        </w:tc>
        <w:tc>
          <w:tcPr>
            <w:tcW w:w="1604" w:type="dxa"/>
            <w:gridSpan w:val="2"/>
          </w:tcPr>
          <w:p w:rsidR="00B016B4" w:rsidRDefault="00B016B4" w:rsidP="00B016B4">
            <w:pPr>
              <w:pStyle w:val="naisf"/>
              <w:spacing w:before="0" w:beforeAutospacing="0" w:after="0" w:afterAutospacing="0"/>
              <w:jc w:val="center"/>
              <w:rPr>
                <w:i/>
                <w:sz w:val="20"/>
                <w:szCs w:val="20"/>
              </w:rPr>
            </w:pPr>
            <w:r>
              <w:rPr>
                <w:i/>
                <w:sz w:val="20"/>
                <w:szCs w:val="20"/>
              </w:rPr>
              <w:t>15 960 524</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sidRPr="009E73B1">
              <w:rPr>
                <w:i/>
                <w:sz w:val="20"/>
                <w:szCs w:val="20"/>
              </w:rPr>
              <w:t>13 275</w:t>
            </w:r>
            <w:r>
              <w:rPr>
                <w:i/>
                <w:sz w:val="20"/>
                <w:szCs w:val="20"/>
              </w:rPr>
              <w:t> </w:t>
            </w:r>
            <w:r w:rsidRPr="009E73B1">
              <w:rPr>
                <w:i/>
                <w:sz w:val="20"/>
                <w:szCs w:val="20"/>
              </w:rPr>
              <w:t>338</w:t>
            </w:r>
            <w:r>
              <w:rPr>
                <w:i/>
                <w:sz w:val="20"/>
                <w:szCs w:val="20"/>
              </w:rPr>
              <w:t xml:space="preserve"> </w:t>
            </w:r>
          </w:p>
          <w:p w:rsidR="00B016B4" w:rsidRPr="009E73B1"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375</w:t>
            </w:r>
            <w:r>
              <w:rPr>
                <w:i/>
                <w:sz w:val="20"/>
                <w:szCs w:val="20"/>
              </w:rPr>
              <w:t> </w:t>
            </w:r>
            <w:r w:rsidRPr="009E73B1">
              <w:rPr>
                <w:i/>
                <w:sz w:val="20"/>
                <w:szCs w:val="20"/>
              </w:rPr>
              <w:t>200</w:t>
            </w:r>
          </w:p>
        </w:tc>
        <w:tc>
          <w:tcPr>
            <w:tcW w:w="1450" w:type="dxa"/>
          </w:tcPr>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380 000</w:t>
            </w:r>
          </w:p>
        </w:tc>
        <w:tc>
          <w:tcPr>
            <w:tcW w:w="1186" w:type="dxa"/>
          </w:tcPr>
          <w:p w:rsidR="00B016B4" w:rsidRPr="009E73B1" w:rsidRDefault="00B016B4" w:rsidP="00B016B4">
            <w:pPr>
              <w:pStyle w:val="naisf"/>
              <w:spacing w:before="0" w:beforeAutospacing="0" w:after="0" w:afterAutospacing="0"/>
              <w:jc w:val="center"/>
              <w:rPr>
                <w:i/>
                <w:sz w:val="20"/>
                <w:szCs w:val="20"/>
              </w:rPr>
            </w:pPr>
          </w:p>
        </w:tc>
      </w:tr>
      <w:tr w:rsidR="00B016B4" w:rsidRPr="009E73B1" w:rsidTr="00B016B4">
        <w:tblPrEx>
          <w:jc w:val="center"/>
        </w:tblPrEx>
        <w:trPr>
          <w:jc w:val="center"/>
        </w:trPr>
        <w:tc>
          <w:tcPr>
            <w:tcW w:w="2603" w:type="dxa"/>
          </w:tcPr>
          <w:p w:rsidR="00B016B4" w:rsidRPr="009E73B1" w:rsidRDefault="00B016B4" w:rsidP="00B016B4">
            <w:pPr>
              <w:pStyle w:val="naisf"/>
              <w:spacing w:after="0"/>
              <w:jc w:val="right"/>
              <w:rPr>
                <w:i/>
              </w:rPr>
            </w:pPr>
            <w:r w:rsidRPr="009E73B1">
              <w:rPr>
                <w:i/>
              </w:rPr>
              <w:t>pārējās dotācijas no valsts pamatbudžeta (EKK 18218)</w:t>
            </w: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+63</w:t>
            </w:r>
            <w:r>
              <w:rPr>
                <w:i/>
                <w:sz w:val="20"/>
                <w:szCs w:val="20"/>
              </w:rPr>
              <w:t> </w:t>
            </w:r>
            <w:r w:rsidRPr="009E73B1">
              <w:rPr>
                <w:i/>
                <w:sz w:val="20"/>
                <w:szCs w:val="20"/>
              </w:rPr>
              <w:t>000</w:t>
            </w:r>
            <w:r>
              <w:rPr>
                <w:i/>
                <w:sz w:val="20"/>
                <w:szCs w:val="20"/>
              </w:rPr>
              <w:t xml:space="preserve"> (konsolidējamā pozīcija – transferts no PB)</w:t>
            </w:r>
          </w:p>
        </w:tc>
        <w:tc>
          <w:tcPr>
            <w:tcW w:w="1450" w:type="dxa"/>
          </w:tcPr>
          <w:p w:rsidR="00B016B4" w:rsidRPr="009E73B1" w:rsidRDefault="00B016B4" w:rsidP="00B016B4">
            <w:pPr>
              <w:pStyle w:val="naisf"/>
              <w:spacing w:before="0" w:beforeAutospacing="0" w:after="0" w:afterAutospacing="0"/>
              <w:jc w:val="center"/>
              <w:rPr>
                <w:i/>
                <w:sz w:val="20"/>
                <w:szCs w:val="20"/>
              </w:rPr>
            </w:pPr>
          </w:p>
        </w:tc>
        <w:tc>
          <w:tcPr>
            <w:tcW w:w="1186" w:type="dxa"/>
          </w:tcPr>
          <w:p w:rsidR="00B016B4" w:rsidRPr="009E73B1" w:rsidRDefault="00B016B4" w:rsidP="00B016B4">
            <w:pPr>
              <w:pStyle w:val="naisf"/>
              <w:spacing w:before="0" w:beforeAutospacing="0" w:after="0" w:afterAutospacing="0"/>
              <w:jc w:val="center"/>
              <w:rPr>
                <w:i/>
                <w:sz w:val="20"/>
                <w:szCs w:val="20"/>
              </w:rPr>
            </w:pPr>
          </w:p>
        </w:tc>
      </w:tr>
      <w:tr w:rsidR="00B016B4" w:rsidRPr="009E73B1" w:rsidTr="00B016B4">
        <w:tblPrEx>
          <w:jc w:val="center"/>
        </w:tblPrEx>
        <w:trPr>
          <w:jc w:val="center"/>
        </w:trPr>
        <w:tc>
          <w:tcPr>
            <w:tcW w:w="2603" w:type="dxa"/>
          </w:tcPr>
          <w:p w:rsidR="00B016B4" w:rsidRPr="009E73B1" w:rsidRDefault="00B016B4" w:rsidP="00B016B4">
            <w:pPr>
              <w:pStyle w:val="naisf"/>
              <w:spacing w:after="0"/>
              <w:jc w:val="right"/>
              <w:rPr>
                <w:i/>
              </w:rPr>
            </w:pPr>
            <w:r w:rsidRPr="009E73B1">
              <w:rPr>
                <w:i/>
              </w:rPr>
              <w:t>no valsts pensiju speciālā budžeta ieskaitītie līdzekļi Valsts sociālās apdrošināšanas aģentūrai (EKK 18526)</w:t>
            </w: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9 136 404</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226 251</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275 386</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after="0"/>
              <w:jc w:val="right"/>
              <w:rPr>
                <w:i/>
              </w:rPr>
            </w:pPr>
            <w:r w:rsidRPr="009E73B1">
              <w:rPr>
                <w:i/>
              </w:rPr>
              <w:t>no nodarbinātības  speciālā budžeta ieskaitītie līdzekļi Valsts sociālās apdrošināšanas aģentūrai (EKK 18527)</w:t>
            </w: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1 103 789</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16 547</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10 140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after="0"/>
              <w:jc w:val="right"/>
              <w:rPr>
                <w:i/>
              </w:rPr>
            </w:pPr>
            <w:r w:rsidRPr="009E73B1">
              <w:rPr>
                <w:i/>
              </w:rPr>
              <w:t xml:space="preserve">no darba negadījumu  speciālā budžeta ieskaitītie līdzekļi Valsts sociālās apdrošināšanas </w:t>
            </w:r>
            <w:r w:rsidRPr="009E73B1">
              <w:rPr>
                <w:i/>
              </w:rPr>
              <w:lastRenderedPageBreak/>
              <w:t>aģentūrai (EKK 18528)</w:t>
            </w: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lastRenderedPageBreak/>
              <w:t>206 473</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4 402</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5 358</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after="0"/>
              <w:jc w:val="right"/>
              <w:rPr>
                <w:i/>
              </w:rPr>
            </w:pPr>
            <w:r w:rsidRPr="009E73B1">
              <w:rPr>
                <w:i/>
              </w:rPr>
              <w:lastRenderedPageBreak/>
              <w:t>no invaliditātes, maternitātes un slimības speciālā budžeta ieskaitītie līdzekļi Valsts sociālās apdrošināšanas aģentūrai (EKK 18529)</w:t>
            </w: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2 828 672</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65 000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79 116</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rPr>
                <w:i/>
              </w:rPr>
            </w:pPr>
            <w:r w:rsidRPr="009E73B1">
              <w:t>1.3. pašvaldību budžets</w:t>
            </w:r>
          </w:p>
        </w:tc>
        <w:tc>
          <w:tcPr>
            <w:tcW w:w="1604" w:type="dxa"/>
            <w:gridSpan w:val="2"/>
          </w:tcPr>
          <w:p w:rsidR="00B016B4" w:rsidRPr="009E73B1" w:rsidRDefault="00B016B4" w:rsidP="00B016B4">
            <w:pPr>
              <w:pStyle w:val="naisf"/>
              <w:spacing w:before="0" w:beforeAutospacing="0" w:after="0" w:afterAutospacing="0"/>
              <w:jc w:val="center"/>
              <w:rPr>
                <w:b/>
                <w:i/>
              </w:rPr>
            </w:pPr>
            <w:r w:rsidRPr="009E73B1">
              <w:rPr>
                <w:sz w:val="20"/>
                <w:szCs w:val="20"/>
              </w:rPr>
              <w:t>0</w:t>
            </w:r>
          </w:p>
        </w:tc>
        <w:tc>
          <w:tcPr>
            <w:tcW w:w="136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2. Budžeta izdevumi:</w:t>
            </w:r>
          </w:p>
        </w:tc>
        <w:tc>
          <w:tcPr>
            <w:tcW w:w="1604" w:type="dxa"/>
            <w:gridSpan w:val="2"/>
          </w:tcPr>
          <w:p w:rsidR="00B016B4" w:rsidRPr="009E73B1" w:rsidRDefault="00B016B4" w:rsidP="00B016B4">
            <w:pPr>
              <w:pStyle w:val="naisf"/>
              <w:spacing w:before="0" w:beforeAutospacing="0" w:after="0" w:afterAutospacing="0"/>
              <w:rPr>
                <w:b/>
                <w:i/>
              </w:rPr>
            </w:pPr>
            <w:r>
              <w:rPr>
                <w:sz w:val="22"/>
                <w:szCs w:val="22"/>
              </w:rPr>
              <w:t>503 873 668</w:t>
            </w:r>
          </w:p>
        </w:tc>
        <w:tc>
          <w:tcPr>
            <w:tcW w:w="1360" w:type="dxa"/>
          </w:tcPr>
          <w:p w:rsidR="00B016B4" w:rsidRPr="009E73B1" w:rsidRDefault="00B016B4" w:rsidP="00B016B4">
            <w:pPr>
              <w:pStyle w:val="naisf"/>
              <w:spacing w:before="0" w:beforeAutospacing="0" w:after="0" w:afterAutospacing="0"/>
              <w:jc w:val="center"/>
              <w:rPr>
                <w:sz w:val="18"/>
                <w:szCs w:val="18"/>
              </w:rPr>
            </w:pP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20"/>
                <w:szCs w:val="20"/>
              </w:rPr>
              <w:t xml:space="preserve">-2 </w:t>
            </w:r>
            <w:r>
              <w:rPr>
                <w:sz w:val="20"/>
                <w:szCs w:val="20"/>
              </w:rPr>
              <w:t>693</w:t>
            </w:r>
            <w:r w:rsidRPr="009E73B1">
              <w:rPr>
                <w:sz w:val="20"/>
                <w:szCs w:val="20"/>
              </w:rPr>
              <w:t xml:space="preserve"> 307</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20"/>
                <w:szCs w:val="20"/>
              </w:rPr>
              <w:t>-4 990 517</w:t>
            </w:r>
          </w:p>
        </w:tc>
        <w:tc>
          <w:tcPr>
            <w:tcW w:w="1186" w:type="dxa"/>
          </w:tcPr>
          <w:p w:rsidR="00B016B4" w:rsidRPr="009E73B1" w:rsidRDefault="00B016B4" w:rsidP="00B016B4">
            <w:pPr>
              <w:pStyle w:val="naisf"/>
              <w:spacing w:before="0" w:beforeAutospacing="0" w:after="0" w:afterAutospacing="0"/>
              <w:jc w:val="center"/>
              <w:rPr>
                <w:sz w:val="18"/>
                <w:szCs w:val="18"/>
              </w:rPr>
            </w:pPr>
            <w:r w:rsidRPr="009E73B1">
              <w:rPr>
                <w:sz w:val="20"/>
                <w:szCs w:val="20"/>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2.1. valsts pamatbudžets</w:t>
            </w:r>
          </w:p>
          <w:p w:rsidR="00B016B4" w:rsidRPr="009E73B1" w:rsidRDefault="00B016B4" w:rsidP="00B016B4">
            <w:pPr>
              <w:spacing w:after="0" w:line="240" w:lineRule="auto"/>
              <w:rPr>
                <w:rFonts w:ascii="Times New Roman" w:hAnsi="Times New Roman"/>
                <w:sz w:val="24"/>
                <w:szCs w:val="24"/>
              </w:rPr>
            </w:pPr>
          </w:p>
          <w:p w:rsidR="00B016B4" w:rsidRPr="009E73B1" w:rsidRDefault="00B016B4" w:rsidP="00B016B4">
            <w:pPr>
              <w:spacing w:after="0" w:line="240" w:lineRule="auto"/>
              <w:rPr>
                <w:rFonts w:ascii="Times New Roman" w:hAnsi="Times New Roman"/>
                <w:sz w:val="24"/>
                <w:szCs w:val="24"/>
              </w:rPr>
            </w:pPr>
          </w:p>
        </w:tc>
        <w:tc>
          <w:tcPr>
            <w:tcW w:w="1604" w:type="dxa"/>
            <w:gridSpan w:val="2"/>
          </w:tcPr>
          <w:p w:rsidR="00B016B4" w:rsidRPr="009E73B1" w:rsidRDefault="00B016B4" w:rsidP="00B016B4">
            <w:pPr>
              <w:pStyle w:val="naisf"/>
              <w:spacing w:before="0" w:beforeAutospacing="0" w:after="0" w:afterAutospacing="0"/>
              <w:jc w:val="center"/>
              <w:rPr>
                <w:sz w:val="20"/>
                <w:szCs w:val="20"/>
              </w:rPr>
            </w:pPr>
            <w:r>
              <w:rPr>
                <w:sz w:val="20"/>
                <w:szCs w:val="20"/>
              </w:rPr>
              <w:t>0</w:t>
            </w:r>
          </w:p>
          <w:p w:rsidR="00B016B4" w:rsidRPr="009E73B1" w:rsidRDefault="00B016B4" w:rsidP="00B016B4">
            <w:pPr>
              <w:pStyle w:val="naisf"/>
              <w:spacing w:before="0" w:beforeAutospacing="0" w:after="0" w:afterAutospacing="0"/>
              <w:jc w:val="center"/>
              <w:rPr>
                <w:b/>
                <w:i/>
              </w:rPr>
            </w:pPr>
          </w:p>
        </w:tc>
        <w:tc>
          <w:tcPr>
            <w:tcW w:w="136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+63</w:t>
            </w:r>
            <w:r>
              <w:rPr>
                <w:sz w:val="20"/>
                <w:szCs w:val="20"/>
              </w:rPr>
              <w:t xml:space="preserve"> 000 </w:t>
            </w:r>
            <w:r w:rsidRPr="009E73B1">
              <w:rPr>
                <w:i/>
                <w:sz w:val="20"/>
                <w:szCs w:val="20"/>
              </w:rPr>
              <w:t>(konsolidējamā pozīcija – transferts uz SB)</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r>
      <w:tr w:rsidR="00B016B4" w:rsidRPr="009E73B1" w:rsidTr="00B016B4">
        <w:tblPrEx>
          <w:jc w:val="center"/>
        </w:tblPrEx>
        <w:trPr>
          <w:jc w:val="center"/>
        </w:trPr>
        <w:tc>
          <w:tcPr>
            <w:tcW w:w="2603" w:type="dxa"/>
          </w:tcPr>
          <w:p w:rsidR="00B016B4" w:rsidRPr="009E73B1" w:rsidRDefault="00B016B4" w:rsidP="00B016B4">
            <w:pPr>
              <w:pStyle w:val="naisf"/>
              <w:spacing w:before="0" w:beforeAutospacing="0" w:after="0" w:afterAutospacing="0"/>
              <w:rPr>
                <w:i/>
              </w:rPr>
            </w:pPr>
            <w:r w:rsidRPr="009E73B1">
              <w:rPr>
                <w:i/>
              </w:rPr>
              <w:t xml:space="preserve">97.02.00 “Nozares centralizēto funkciju izpilde” </w:t>
            </w:r>
            <w:proofErr w:type="gramStart"/>
            <w:r w:rsidRPr="009E73B1">
              <w:rPr>
                <w:i/>
              </w:rPr>
              <w:t>(</w:t>
            </w:r>
            <w:proofErr w:type="gramEnd"/>
            <w:r w:rsidRPr="009E73B1">
              <w:rPr>
                <w:i/>
              </w:rPr>
              <w:t>valsts budžeta kapitālo izdevumu transferti no valsts pamatbudžeta uz valsts speciālo budžetu (EKK 9120)</w:t>
            </w:r>
          </w:p>
          <w:p w:rsidR="00B016B4" w:rsidRPr="009E73B1" w:rsidRDefault="00B016B4" w:rsidP="00B016B4">
            <w:pPr>
              <w:pStyle w:val="naisf"/>
              <w:spacing w:before="0" w:beforeAutospacing="0" w:after="0" w:afterAutospacing="0"/>
              <w:rPr>
                <w:i/>
              </w:rPr>
            </w:pPr>
          </w:p>
        </w:tc>
        <w:tc>
          <w:tcPr>
            <w:tcW w:w="1604" w:type="dxa"/>
            <w:gridSpan w:val="2"/>
          </w:tcPr>
          <w:p w:rsidR="00B016B4" w:rsidRPr="009E73B1"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+63 </w:t>
            </w:r>
            <w:r>
              <w:rPr>
                <w:i/>
                <w:sz w:val="20"/>
                <w:szCs w:val="20"/>
              </w:rPr>
              <w:t>0</w:t>
            </w:r>
            <w:r w:rsidRPr="009E73B1">
              <w:rPr>
                <w:i/>
                <w:sz w:val="20"/>
                <w:szCs w:val="20"/>
              </w:rPr>
              <w:t>00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 transferts uz SB)</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2.2. valsts speciālais budžets, t.sk.</w:t>
            </w:r>
          </w:p>
        </w:tc>
        <w:tc>
          <w:tcPr>
            <w:tcW w:w="1604" w:type="dxa"/>
            <w:gridSpan w:val="2"/>
          </w:tcPr>
          <w:p w:rsidR="00B016B4" w:rsidRPr="009E73B1" w:rsidRDefault="00B016B4" w:rsidP="00B016B4">
            <w:pPr>
              <w:pStyle w:val="naisf"/>
              <w:spacing w:before="0" w:beforeAutospacing="0" w:after="0" w:afterAutospacing="0"/>
              <w:rPr>
                <w:sz w:val="22"/>
                <w:szCs w:val="22"/>
              </w:rPr>
            </w:pPr>
            <w:r>
              <w:rPr>
                <w:sz w:val="22"/>
                <w:szCs w:val="22"/>
              </w:rPr>
              <w:t>503 873 668</w:t>
            </w: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 xml:space="preserve">-2 </w:t>
            </w:r>
            <w:r>
              <w:rPr>
                <w:sz w:val="20"/>
                <w:szCs w:val="20"/>
              </w:rPr>
              <w:t>693</w:t>
            </w:r>
            <w:r w:rsidRPr="009E73B1">
              <w:rPr>
                <w:sz w:val="20"/>
                <w:szCs w:val="20"/>
              </w:rPr>
              <w:t xml:space="preserve"> 307</w:t>
            </w:r>
          </w:p>
        </w:tc>
        <w:tc>
          <w:tcPr>
            <w:tcW w:w="145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-4 990 517</w:t>
            </w:r>
          </w:p>
        </w:tc>
        <w:tc>
          <w:tcPr>
            <w:tcW w:w="1186"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04.01.00 "Valsts pensiju speciālais budžets”, t.sk.</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9 136 404</w:t>
            </w:r>
          </w:p>
          <w:p w:rsidR="00B016B4" w:rsidRPr="00B016B4"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226 251</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275 386</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valsts budžeta uzturēšanas izdevumu transferti no valsts speciālā budžeta uz valsts speciālo budžetu (EKK 7140)</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9 136 404</w:t>
            </w: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226 251</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275 386</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04.02.00 "Nodarbinātības speciālais budžets</w:t>
            </w:r>
            <w:r>
              <w:rPr>
                <w:rFonts w:ascii="Times New Roman" w:hAnsi="Times New Roman"/>
                <w:i/>
                <w:sz w:val="24"/>
                <w:szCs w:val="24"/>
              </w:rPr>
              <w:t>”</w:t>
            </w:r>
            <w:r w:rsidRPr="009E73B1">
              <w:rPr>
                <w:rFonts w:ascii="Times New Roman" w:hAnsi="Times New Roman"/>
                <w:i/>
                <w:sz w:val="24"/>
                <w:szCs w:val="24"/>
              </w:rPr>
              <w:t>, t.sk.</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21 507 123</w:t>
            </w: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16 547</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10 140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i/>
                <w:sz w:val="24"/>
                <w:szCs w:val="24"/>
              </w:rPr>
              <w:t>valsts budžeta uzturēšanas izdevumu transferti no valsts speciālā budžeta uz valsts speciālo budžetu (EKK 7140)</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21 507 123</w:t>
            </w:r>
          </w:p>
          <w:p w:rsidR="00B016B4" w:rsidRPr="00B016B4"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16 547</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10 140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04.03.00 "Darba negadījumu speciālais budžets</w:t>
            </w:r>
            <w:r>
              <w:rPr>
                <w:rFonts w:ascii="Times New Roman" w:hAnsi="Times New Roman"/>
                <w:i/>
                <w:sz w:val="24"/>
                <w:szCs w:val="24"/>
              </w:rPr>
              <w:t>”</w:t>
            </w:r>
            <w:r w:rsidRPr="009E73B1">
              <w:rPr>
                <w:rFonts w:ascii="Times New Roman" w:hAnsi="Times New Roman"/>
                <w:i/>
                <w:sz w:val="24"/>
                <w:szCs w:val="24"/>
              </w:rPr>
              <w:t>, t.sk.:</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2 791 613</w:t>
            </w: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4 402</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5 358</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 xml:space="preserve">valsts budžeta uzturēšanas izdevumu transferti no valsts speciālā budžeta uz valsts speciālo budžetu </w:t>
            </w:r>
            <w:r w:rsidRPr="009E73B1">
              <w:rPr>
                <w:rFonts w:ascii="Times New Roman" w:hAnsi="Times New Roman"/>
                <w:i/>
                <w:sz w:val="24"/>
                <w:szCs w:val="24"/>
              </w:rPr>
              <w:lastRenderedPageBreak/>
              <w:t>(EKK 7140)</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lastRenderedPageBreak/>
              <w:t>2 791 613</w:t>
            </w: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(konsolidējamā pozīcija SB ietvaros)</w:t>
            </w:r>
          </w:p>
          <w:p w:rsidR="00B016B4" w:rsidRPr="00B016B4"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4 402</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5 358</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lastRenderedPageBreak/>
              <w:t>04.04.00 "Invaliditātes, maternitātes un slimības speciālais budžets</w:t>
            </w:r>
            <w:r>
              <w:rPr>
                <w:rFonts w:ascii="Times New Roman" w:hAnsi="Times New Roman"/>
                <w:i/>
                <w:sz w:val="24"/>
                <w:szCs w:val="24"/>
              </w:rPr>
              <w:t>”</w:t>
            </w:r>
            <w:r w:rsidRPr="009E73B1">
              <w:rPr>
                <w:rFonts w:ascii="Times New Roman" w:hAnsi="Times New Roman"/>
                <w:i/>
                <w:sz w:val="24"/>
                <w:szCs w:val="24"/>
              </w:rPr>
              <w:t xml:space="preserve">, </w:t>
            </w:r>
            <w:proofErr w:type="spellStart"/>
            <w:r w:rsidRPr="009E73B1">
              <w:rPr>
                <w:rFonts w:ascii="Times New Roman" w:hAnsi="Times New Roman"/>
                <w:i/>
                <w:sz w:val="24"/>
                <w:szCs w:val="24"/>
              </w:rPr>
              <w:t>t.sk</w:t>
            </w:r>
            <w:proofErr w:type="spellEnd"/>
            <w:r>
              <w:rPr>
                <w:rFonts w:ascii="Times New Roman" w:hAnsi="Times New Roman"/>
                <w:i/>
                <w:sz w:val="24"/>
                <w:szCs w:val="24"/>
              </w:rPr>
              <w:t xml:space="preserve"> </w:t>
            </w:r>
          </w:p>
        </w:tc>
        <w:tc>
          <w:tcPr>
            <w:tcW w:w="1604" w:type="dxa"/>
            <w:gridSpan w:val="2"/>
          </w:tcPr>
          <w:p w:rsidR="00B016B4" w:rsidRPr="00B016B4" w:rsidRDefault="0027103B" w:rsidP="00B016B4">
            <w:pPr>
              <w:pStyle w:val="naisf"/>
              <w:spacing w:before="0" w:beforeAutospacing="0" w:after="0" w:afterAutospacing="0"/>
              <w:jc w:val="center"/>
              <w:rPr>
                <w:i/>
                <w:sz w:val="20"/>
                <w:szCs w:val="20"/>
              </w:rPr>
            </w:pPr>
            <w:r>
              <w:rPr>
                <w:i/>
                <w:sz w:val="20"/>
                <w:szCs w:val="20"/>
              </w:rPr>
              <w:t>487 913 144</w:t>
            </w:r>
            <w:r w:rsidR="00B016B4" w:rsidRPr="00B016B4">
              <w:rPr>
                <w:i/>
                <w:sz w:val="20"/>
                <w:szCs w:val="20"/>
              </w:rPr>
              <w:t xml:space="preserve">  </w:t>
            </w:r>
          </w:p>
          <w:p w:rsidR="00B016B4" w:rsidRP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p>
        </w:tc>
        <w:tc>
          <w:tcPr>
            <w:tcW w:w="1360" w:type="dxa"/>
          </w:tcPr>
          <w:p w:rsidR="00B016B4" w:rsidRPr="00B016B4" w:rsidRDefault="00B016B4" w:rsidP="00B016B4">
            <w:pPr>
              <w:pStyle w:val="naisf"/>
              <w:spacing w:before="0" w:beforeAutospacing="0" w:after="0" w:afterAutospacing="0"/>
              <w:jc w:val="center"/>
              <w:rPr>
                <w:i/>
                <w:sz w:val="20"/>
                <w:szCs w:val="20"/>
              </w:rPr>
            </w:pPr>
          </w:p>
        </w:tc>
        <w:tc>
          <w:tcPr>
            <w:tcW w:w="1450" w:type="dxa"/>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-2 628 307</w:t>
            </w:r>
          </w:p>
        </w:tc>
        <w:tc>
          <w:tcPr>
            <w:tcW w:w="1450" w:type="dxa"/>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-4 911 401</w:t>
            </w:r>
          </w:p>
        </w:tc>
        <w:tc>
          <w:tcPr>
            <w:tcW w:w="1186" w:type="dxa"/>
          </w:tcPr>
          <w:p w:rsidR="00B016B4" w:rsidRPr="00B016B4" w:rsidRDefault="00B016B4" w:rsidP="00B016B4">
            <w:pPr>
              <w:pStyle w:val="naisf"/>
              <w:spacing w:before="0" w:beforeAutospacing="0" w:after="0" w:afterAutospacing="0"/>
              <w:jc w:val="center"/>
              <w:rPr>
                <w:i/>
                <w:sz w:val="20"/>
                <w:szCs w:val="20"/>
              </w:rPr>
            </w:pPr>
            <w:r w:rsidRPr="009E73B1">
              <w:rPr>
                <w:i/>
                <w:sz w:val="20"/>
                <w:szCs w:val="20"/>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valsts budžeta uzturēšanas izdevumu transferti no valsts speciālā budžeta uz valsts speciālo budžetu (EKK 7140)</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91 627 778</w:t>
            </w: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(konsolidējamā pozīcija SB ietvaros)</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65 000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79 116</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r>
      <w:tr w:rsidR="00B016B4" w:rsidRPr="009E73B1" w:rsidTr="00B016B4">
        <w:tblPrEx>
          <w:jc w:val="center"/>
        </w:tblPrEx>
        <w:trPr>
          <w:jc w:val="center"/>
        </w:trPr>
        <w:tc>
          <w:tcPr>
            <w:tcW w:w="2603" w:type="dxa"/>
          </w:tcPr>
          <w:p w:rsidR="00B016B4"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sociālie pabalsti (EKK 6000), t.sk. slimības pabalsts</w:t>
            </w:r>
          </w:p>
          <w:p w:rsidR="00B016B4" w:rsidRDefault="00B016B4" w:rsidP="00B016B4">
            <w:pPr>
              <w:spacing w:after="0" w:line="240" w:lineRule="auto"/>
              <w:rPr>
                <w:rFonts w:ascii="Times New Roman" w:hAnsi="Times New Roman"/>
                <w:i/>
                <w:sz w:val="24"/>
                <w:szCs w:val="24"/>
              </w:rPr>
            </w:pPr>
          </w:p>
          <w:p w:rsidR="00B016B4" w:rsidRDefault="00B016B4" w:rsidP="00B016B4">
            <w:pPr>
              <w:spacing w:after="0" w:line="240" w:lineRule="auto"/>
              <w:rPr>
                <w:rFonts w:ascii="Times New Roman" w:hAnsi="Times New Roman"/>
                <w:i/>
                <w:sz w:val="24"/>
                <w:szCs w:val="24"/>
              </w:rPr>
            </w:pPr>
            <w:r>
              <w:rPr>
                <w:rFonts w:ascii="Times New Roman" w:hAnsi="Times New Roman"/>
                <w:i/>
                <w:sz w:val="24"/>
                <w:szCs w:val="24"/>
              </w:rPr>
              <w:t>maternitātes pabalsts</w:t>
            </w:r>
          </w:p>
          <w:p w:rsidR="00B016B4" w:rsidRDefault="00B016B4" w:rsidP="00B016B4">
            <w:pPr>
              <w:spacing w:after="0" w:line="240" w:lineRule="auto"/>
              <w:rPr>
                <w:rFonts w:ascii="Times New Roman" w:hAnsi="Times New Roman"/>
                <w:i/>
                <w:sz w:val="24"/>
                <w:szCs w:val="24"/>
              </w:rPr>
            </w:pPr>
          </w:p>
          <w:p w:rsidR="00B016B4" w:rsidRDefault="00B016B4" w:rsidP="00B016B4">
            <w:pPr>
              <w:spacing w:after="0" w:line="240" w:lineRule="auto"/>
              <w:rPr>
                <w:rFonts w:ascii="Times New Roman" w:hAnsi="Times New Roman"/>
                <w:i/>
                <w:sz w:val="24"/>
                <w:szCs w:val="24"/>
              </w:rPr>
            </w:pPr>
            <w:r>
              <w:rPr>
                <w:rFonts w:ascii="Times New Roman" w:hAnsi="Times New Roman"/>
                <w:i/>
                <w:sz w:val="24"/>
                <w:szCs w:val="24"/>
              </w:rPr>
              <w:t>paternitātes pabalsts</w:t>
            </w:r>
          </w:p>
          <w:p w:rsidR="00B016B4" w:rsidRDefault="00B016B4" w:rsidP="00B016B4">
            <w:pPr>
              <w:spacing w:after="0" w:line="240" w:lineRule="auto"/>
              <w:rPr>
                <w:rFonts w:ascii="Times New Roman" w:hAnsi="Times New Roman"/>
                <w:i/>
                <w:sz w:val="24"/>
                <w:szCs w:val="24"/>
              </w:rPr>
            </w:pPr>
          </w:p>
          <w:p w:rsidR="00B016B4" w:rsidRPr="009E73B1" w:rsidRDefault="00B016B4" w:rsidP="00B016B4">
            <w:pPr>
              <w:spacing w:after="0" w:line="240" w:lineRule="auto"/>
              <w:rPr>
                <w:rFonts w:ascii="Times New Roman" w:hAnsi="Times New Roman"/>
                <w:i/>
                <w:sz w:val="24"/>
                <w:szCs w:val="24"/>
              </w:rPr>
            </w:pPr>
            <w:r>
              <w:rPr>
                <w:rFonts w:ascii="Times New Roman" w:hAnsi="Times New Roman"/>
                <w:i/>
                <w:sz w:val="24"/>
                <w:szCs w:val="24"/>
              </w:rPr>
              <w:t>vecāku pabalsts</w:t>
            </w:r>
          </w:p>
        </w:tc>
        <w:tc>
          <w:tcPr>
            <w:tcW w:w="1604" w:type="dxa"/>
            <w:gridSpan w:val="2"/>
          </w:tcPr>
          <w:p w:rsidR="00B016B4" w:rsidRPr="00B016B4" w:rsidRDefault="00B016B4" w:rsidP="00B016B4">
            <w:pPr>
              <w:pStyle w:val="naisf"/>
              <w:spacing w:before="0" w:beforeAutospacing="0" w:after="0" w:afterAutospacing="0"/>
              <w:jc w:val="center"/>
              <w:rPr>
                <w:i/>
                <w:sz w:val="20"/>
                <w:szCs w:val="20"/>
              </w:rPr>
            </w:pPr>
            <w:r w:rsidRPr="00B016B4">
              <w:rPr>
                <w:i/>
                <w:sz w:val="20"/>
                <w:szCs w:val="20"/>
              </w:rPr>
              <w:t>396 285 366</w:t>
            </w:r>
          </w:p>
          <w:p w:rsidR="00B016B4" w:rsidRP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108 952</w:t>
            </w:r>
            <w:r>
              <w:rPr>
                <w:i/>
                <w:sz w:val="20"/>
                <w:szCs w:val="20"/>
              </w:rPr>
              <w:t> </w:t>
            </w:r>
            <w:r w:rsidRPr="00B016B4">
              <w:rPr>
                <w:i/>
                <w:sz w:val="20"/>
                <w:szCs w:val="20"/>
              </w:rPr>
              <w:t>552</w:t>
            </w:r>
          </w:p>
          <w:p w:rsid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40 659 096</w:t>
            </w:r>
          </w:p>
          <w:p w:rsidR="00B016B4" w:rsidRP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3 248</w:t>
            </w:r>
            <w:r>
              <w:rPr>
                <w:i/>
                <w:sz w:val="20"/>
                <w:szCs w:val="20"/>
              </w:rPr>
              <w:t> </w:t>
            </w:r>
            <w:r w:rsidRPr="00B016B4">
              <w:rPr>
                <w:i/>
                <w:sz w:val="20"/>
                <w:szCs w:val="20"/>
              </w:rPr>
              <w:t>198</w:t>
            </w:r>
          </w:p>
          <w:p w:rsid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p>
          <w:p w:rsidR="00B016B4" w:rsidRPr="00B016B4" w:rsidRDefault="00B016B4" w:rsidP="00B016B4">
            <w:pPr>
              <w:pStyle w:val="naisf"/>
              <w:spacing w:before="0" w:beforeAutospacing="0" w:after="0" w:afterAutospacing="0"/>
              <w:jc w:val="center"/>
              <w:rPr>
                <w:i/>
                <w:sz w:val="20"/>
                <w:szCs w:val="20"/>
              </w:rPr>
            </w:pPr>
            <w:r w:rsidRPr="00B016B4">
              <w:rPr>
                <w:i/>
                <w:sz w:val="20"/>
                <w:szCs w:val="20"/>
              </w:rPr>
              <w:t>84 014 238</w:t>
            </w:r>
          </w:p>
          <w:p w:rsidR="00B016B4" w:rsidRPr="00B016B4" w:rsidRDefault="00B016B4" w:rsidP="00B016B4">
            <w:pPr>
              <w:pStyle w:val="naisf"/>
              <w:spacing w:before="0" w:beforeAutospacing="0" w:after="0" w:afterAutospacing="0"/>
              <w:jc w:val="center"/>
              <w:rPr>
                <w:i/>
                <w:sz w:val="20"/>
                <w:szCs w:val="20"/>
              </w:rPr>
            </w:pP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Default="00B016B4" w:rsidP="00B016B4">
            <w:pPr>
              <w:pStyle w:val="naisf"/>
              <w:spacing w:before="0" w:beforeAutospacing="0" w:after="0" w:afterAutospacing="0"/>
              <w:jc w:val="center"/>
              <w:rPr>
                <w:i/>
                <w:sz w:val="20"/>
                <w:szCs w:val="20"/>
              </w:rPr>
            </w:pPr>
            <w:r w:rsidRPr="009E73B1">
              <w:rPr>
                <w:i/>
                <w:sz w:val="20"/>
                <w:szCs w:val="20"/>
              </w:rPr>
              <w:t>-2 693</w:t>
            </w:r>
            <w:r>
              <w:rPr>
                <w:i/>
                <w:sz w:val="20"/>
                <w:szCs w:val="20"/>
              </w:rPr>
              <w:t> </w:t>
            </w:r>
            <w:r w:rsidRPr="009E73B1">
              <w:rPr>
                <w:i/>
                <w:sz w:val="20"/>
                <w:szCs w:val="20"/>
              </w:rPr>
              <w:t>307</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-2 746 700</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53 393</w:t>
            </w:r>
          </w:p>
          <w:p w:rsidR="00B016B4" w:rsidRDefault="00B016B4" w:rsidP="00B016B4">
            <w:pPr>
              <w:pStyle w:val="naisf"/>
              <w:spacing w:before="0" w:beforeAutospacing="0" w:after="0" w:afterAutospacing="0"/>
              <w:jc w:val="center"/>
              <w:rPr>
                <w:i/>
                <w:sz w:val="20"/>
                <w:szCs w:val="20"/>
              </w:rPr>
            </w:pPr>
          </w:p>
          <w:p w:rsidR="00B016B4" w:rsidRPr="009E73B1" w:rsidRDefault="00B016B4" w:rsidP="00B016B4">
            <w:pPr>
              <w:pStyle w:val="naisf"/>
              <w:spacing w:before="0" w:beforeAutospacing="0" w:after="0" w:afterAutospacing="0"/>
              <w:jc w:val="center"/>
              <w:rPr>
                <w:i/>
                <w:sz w:val="20"/>
                <w:szCs w:val="20"/>
              </w:rPr>
            </w:pPr>
          </w:p>
        </w:tc>
        <w:tc>
          <w:tcPr>
            <w:tcW w:w="1450" w:type="dxa"/>
          </w:tcPr>
          <w:p w:rsidR="00B016B4" w:rsidRDefault="00B016B4" w:rsidP="00B016B4">
            <w:pPr>
              <w:pStyle w:val="naisf"/>
              <w:spacing w:before="0" w:beforeAutospacing="0" w:after="0" w:afterAutospacing="0"/>
              <w:jc w:val="center"/>
              <w:rPr>
                <w:i/>
                <w:sz w:val="20"/>
                <w:szCs w:val="20"/>
              </w:rPr>
            </w:pPr>
            <w:r w:rsidRPr="009E73B1">
              <w:rPr>
                <w:i/>
                <w:sz w:val="20"/>
                <w:szCs w:val="20"/>
              </w:rPr>
              <w:t>-4 990</w:t>
            </w:r>
            <w:r>
              <w:rPr>
                <w:i/>
                <w:sz w:val="20"/>
                <w:szCs w:val="20"/>
              </w:rPr>
              <w:t> </w:t>
            </w:r>
            <w:r w:rsidRPr="009E73B1">
              <w:rPr>
                <w:i/>
                <w:sz w:val="20"/>
                <w:szCs w:val="20"/>
              </w:rPr>
              <w:t>517</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- 3 768 904</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-453 313</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124 470</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Pr="009E73B1" w:rsidRDefault="00B016B4" w:rsidP="00B016B4">
            <w:pPr>
              <w:pStyle w:val="naisf"/>
              <w:spacing w:before="0" w:beforeAutospacing="0" w:after="0" w:afterAutospacing="0"/>
              <w:jc w:val="center"/>
              <w:rPr>
                <w:i/>
                <w:sz w:val="20"/>
                <w:szCs w:val="20"/>
              </w:rPr>
            </w:pPr>
            <w:r>
              <w:rPr>
                <w:i/>
                <w:sz w:val="20"/>
                <w:szCs w:val="20"/>
              </w:rPr>
              <w:t>-892 770</w:t>
            </w:r>
          </w:p>
        </w:tc>
        <w:tc>
          <w:tcPr>
            <w:tcW w:w="1186" w:type="dxa"/>
          </w:tcPr>
          <w:p w:rsidR="00B016B4" w:rsidRDefault="00B016B4" w:rsidP="00B016B4">
            <w:pPr>
              <w:pStyle w:val="naisf"/>
              <w:spacing w:before="0" w:beforeAutospacing="0" w:after="0" w:afterAutospacing="0"/>
              <w:jc w:val="center"/>
              <w:rPr>
                <w:i/>
                <w:sz w:val="20"/>
                <w:szCs w:val="20"/>
              </w:rPr>
            </w:pPr>
            <w:r w:rsidRPr="009E73B1">
              <w:rPr>
                <w:i/>
                <w:sz w:val="20"/>
                <w:szCs w:val="20"/>
              </w:rPr>
              <w:t>-5 166</w:t>
            </w:r>
            <w:r>
              <w:rPr>
                <w:i/>
                <w:sz w:val="20"/>
                <w:szCs w:val="20"/>
              </w:rPr>
              <w:t> </w:t>
            </w:r>
            <w:r w:rsidRPr="009E73B1">
              <w:rPr>
                <w:i/>
                <w:sz w:val="20"/>
                <w:szCs w:val="20"/>
              </w:rPr>
              <w:t>640</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-3 948 125</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-448 115</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r>
              <w:rPr>
                <w:i/>
                <w:sz w:val="20"/>
                <w:szCs w:val="20"/>
              </w:rPr>
              <w:t>122 218</w:t>
            </w:r>
          </w:p>
          <w:p w:rsidR="00B016B4" w:rsidRDefault="00B016B4" w:rsidP="00B016B4">
            <w:pPr>
              <w:pStyle w:val="naisf"/>
              <w:spacing w:before="0" w:beforeAutospacing="0" w:after="0" w:afterAutospacing="0"/>
              <w:jc w:val="center"/>
              <w:rPr>
                <w:i/>
                <w:sz w:val="20"/>
                <w:szCs w:val="20"/>
              </w:rPr>
            </w:pPr>
          </w:p>
          <w:p w:rsidR="00B016B4" w:rsidRDefault="00B016B4" w:rsidP="00B016B4">
            <w:pPr>
              <w:pStyle w:val="naisf"/>
              <w:spacing w:before="0" w:beforeAutospacing="0" w:after="0" w:afterAutospacing="0"/>
              <w:jc w:val="center"/>
              <w:rPr>
                <w:i/>
                <w:sz w:val="20"/>
                <w:szCs w:val="20"/>
              </w:rPr>
            </w:pPr>
          </w:p>
          <w:p w:rsidR="00B016B4" w:rsidRPr="009E73B1" w:rsidRDefault="00B016B4" w:rsidP="00B016B4">
            <w:pPr>
              <w:pStyle w:val="naisf"/>
              <w:spacing w:before="0" w:beforeAutospacing="0" w:after="0" w:afterAutospacing="0"/>
              <w:jc w:val="center"/>
              <w:rPr>
                <w:i/>
                <w:sz w:val="20"/>
                <w:szCs w:val="20"/>
              </w:rPr>
            </w:pPr>
            <w:r>
              <w:rPr>
                <w:i/>
                <w:sz w:val="20"/>
                <w:szCs w:val="20"/>
              </w:rPr>
              <w:t>-892 618</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04.05.00 „Valsts sociālās apdrošināšanas aģentūras speciālais budžets”</w:t>
            </w:r>
          </w:p>
        </w:tc>
        <w:tc>
          <w:tcPr>
            <w:tcW w:w="1604" w:type="dxa"/>
            <w:gridSpan w:val="2"/>
          </w:tcPr>
          <w:p w:rsidR="00B016B4" w:rsidRPr="006E5576" w:rsidRDefault="00B016B4" w:rsidP="00B016B4">
            <w:pPr>
              <w:jc w:val="center"/>
              <w:rPr>
                <w:rFonts w:ascii="Times New Roman" w:eastAsia="Times New Roman" w:hAnsi="Times New Roman"/>
                <w:bCs/>
                <w:color w:val="000000"/>
              </w:rPr>
            </w:pPr>
            <w:r w:rsidRPr="006E5576">
              <w:rPr>
                <w:rFonts w:ascii="Times New Roman" w:hAnsi="Times New Roman"/>
                <w:bCs/>
                <w:color w:val="000000"/>
              </w:rPr>
              <w:t>15 960 524</w:t>
            </w:r>
          </w:p>
          <w:p w:rsidR="00B016B4" w:rsidRPr="006E5576" w:rsidRDefault="00B016B4" w:rsidP="00B016B4">
            <w:pPr>
              <w:spacing w:after="0" w:line="240" w:lineRule="auto"/>
              <w:rPr>
                <w:rFonts w:ascii="Times New Roman" w:hAnsi="Times New Roman"/>
                <w:i/>
              </w:rPr>
            </w:pP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+375 200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+380 000</w:t>
            </w:r>
          </w:p>
          <w:p w:rsidR="00B016B4" w:rsidRPr="009E73B1" w:rsidRDefault="00B016B4" w:rsidP="00B016B4">
            <w:pPr>
              <w:pStyle w:val="naisf"/>
              <w:spacing w:before="0" w:beforeAutospacing="0" w:after="0" w:afterAutospacing="0"/>
              <w:jc w:val="center"/>
              <w:rPr>
                <w:i/>
                <w:sz w:val="20"/>
                <w:szCs w:val="20"/>
              </w:rPr>
            </w:pPr>
            <w:r w:rsidRPr="009E73B1">
              <w:rPr>
                <w:i/>
                <w:sz w:val="20"/>
                <w:szCs w:val="20"/>
              </w:rPr>
              <w:t>(konsolidējamā pozīcija SB ietvaros)</w:t>
            </w:r>
          </w:p>
        </w:tc>
        <w:tc>
          <w:tcPr>
            <w:tcW w:w="1186" w:type="dxa"/>
          </w:tcPr>
          <w:p w:rsidR="00B016B4" w:rsidRPr="009E73B1" w:rsidRDefault="00B016B4" w:rsidP="00B016B4">
            <w:pPr>
              <w:pStyle w:val="naisf"/>
              <w:spacing w:before="0" w:beforeAutospacing="0" w:after="0" w:afterAutospacing="0"/>
              <w:jc w:val="center"/>
              <w:rPr>
                <w:i/>
                <w:sz w:val="20"/>
                <w:szCs w:val="20"/>
              </w:rPr>
            </w:pP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 xml:space="preserve">2.3. pašvaldību budžets </w:t>
            </w:r>
          </w:p>
        </w:tc>
        <w:tc>
          <w:tcPr>
            <w:tcW w:w="1604" w:type="dxa"/>
            <w:gridSpan w:val="2"/>
          </w:tcPr>
          <w:p w:rsidR="00B016B4" w:rsidRPr="00B016B4" w:rsidRDefault="00B016B4" w:rsidP="00B016B4">
            <w:pPr>
              <w:jc w:val="center"/>
              <w:rPr>
                <w:rFonts w:ascii="Times New Roman" w:hAnsi="Times New Roman"/>
                <w:bCs/>
                <w:color w:val="000000"/>
              </w:rPr>
            </w:pPr>
            <w:r w:rsidRPr="00B016B4">
              <w:rPr>
                <w:rFonts w:ascii="Times New Roman" w:hAnsi="Times New Roman"/>
                <w:bCs/>
                <w:color w:val="000000"/>
              </w:rPr>
              <w:t>0</w:t>
            </w:r>
          </w:p>
        </w:tc>
        <w:tc>
          <w:tcPr>
            <w:tcW w:w="136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45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45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186"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3. Finansiālā ietekme:</w:t>
            </w:r>
          </w:p>
        </w:tc>
        <w:tc>
          <w:tcPr>
            <w:tcW w:w="1604" w:type="dxa"/>
            <w:gridSpan w:val="2"/>
            <w:shd w:val="clear" w:color="auto" w:fill="auto"/>
            <w:vAlign w:val="center"/>
          </w:tcPr>
          <w:p w:rsidR="00B016B4" w:rsidRPr="00B016B4" w:rsidRDefault="00B016B4" w:rsidP="00B016B4">
            <w:pPr>
              <w:jc w:val="center"/>
              <w:rPr>
                <w:rFonts w:ascii="Times New Roman" w:hAnsi="Times New Roman"/>
                <w:bCs/>
                <w:color w:val="000000"/>
              </w:rPr>
            </w:pPr>
            <w:r w:rsidRPr="00B016B4">
              <w:rPr>
                <w:rFonts w:ascii="Times New Roman" w:hAnsi="Times New Roman"/>
                <w:bCs/>
                <w:color w:val="000000"/>
              </w:rPr>
              <w:t>73 191 058</w:t>
            </w: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bCs/>
                <w:sz w:val="18"/>
                <w:szCs w:val="18"/>
              </w:rPr>
              <w:t>0</w:t>
            </w:r>
          </w:p>
        </w:tc>
        <w:tc>
          <w:tcPr>
            <w:tcW w:w="1450" w:type="dxa"/>
            <w:vAlign w:val="bottom"/>
          </w:tcPr>
          <w:p w:rsidR="00B016B4" w:rsidRPr="009E73B1" w:rsidRDefault="00B016B4" w:rsidP="00B016B4">
            <w:pPr>
              <w:jc w:val="right"/>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+2 630 307</w:t>
            </w:r>
          </w:p>
        </w:tc>
        <w:tc>
          <w:tcPr>
            <w:tcW w:w="1450" w:type="dxa"/>
            <w:vAlign w:val="bottom"/>
          </w:tcPr>
          <w:p w:rsidR="00B016B4" w:rsidRPr="009E73B1" w:rsidRDefault="00B016B4" w:rsidP="00B016B4">
            <w:pPr>
              <w:jc w:val="right"/>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+4 990 517</w:t>
            </w:r>
          </w:p>
        </w:tc>
        <w:tc>
          <w:tcPr>
            <w:tcW w:w="1186" w:type="dxa"/>
            <w:vAlign w:val="bottom"/>
          </w:tcPr>
          <w:p w:rsidR="00B016B4" w:rsidRPr="009E73B1" w:rsidRDefault="00B016B4" w:rsidP="00B016B4">
            <w:pPr>
              <w:jc w:val="right"/>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3.1. valsts pamatbudžets</w:t>
            </w:r>
          </w:p>
        </w:tc>
        <w:tc>
          <w:tcPr>
            <w:tcW w:w="1604" w:type="dxa"/>
            <w:gridSpan w:val="2"/>
            <w:shd w:val="clear" w:color="auto" w:fill="auto"/>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27103B" w:rsidRDefault="00B016B4" w:rsidP="0027103B">
            <w:pPr>
              <w:jc w:val="right"/>
              <w:rPr>
                <w:rFonts w:ascii="Times New Roman" w:eastAsia="Times New Roman" w:hAnsi="Times New Roman"/>
                <w:sz w:val="20"/>
                <w:szCs w:val="20"/>
                <w:lang w:eastAsia="lv-LV"/>
              </w:rPr>
            </w:pPr>
            <w:r w:rsidRPr="0027103B">
              <w:rPr>
                <w:rFonts w:ascii="Times New Roman" w:eastAsia="Times New Roman" w:hAnsi="Times New Roman"/>
                <w:sz w:val="20"/>
                <w:szCs w:val="20"/>
                <w:lang w:eastAsia="lv-LV"/>
              </w:rPr>
              <w:t>-63 000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186"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3.2. speciālais budžets</w:t>
            </w:r>
          </w:p>
        </w:tc>
        <w:tc>
          <w:tcPr>
            <w:tcW w:w="1604" w:type="dxa"/>
            <w:gridSpan w:val="2"/>
            <w:shd w:val="clear" w:color="auto" w:fill="auto"/>
          </w:tcPr>
          <w:p w:rsidR="00B016B4" w:rsidRPr="00B016B4" w:rsidRDefault="00B016B4" w:rsidP="00B016B4">
            <w:pPr>
              <w:jc w:val="center"/>
              <w:rPr>
                <w:rFonts w:ascii="Times New Roman" w:hAnsi="Times New Roman"/>
                <w:bCs/>
                <w:color w:val="000000"/>
              </w:rPr>
            </w:pPr>
            <w:r w:rsidRPr="00B016B4">
              <w:rPr>
                <w:rFonts w:ascii="Times New Roman" w:hAnsi="Times New Roman"/>
                <w:bCs/>
                <w:color w:val="000000"/>
              </w:rPr>
              <w:t>73 191 058</w:t>
            </w:r>
          </w:p>
        </w:tc>
        <w:tc>
          <w:tcPr>
            <w:tcW w:w="1360" w:type="dxa"/>
          </w:tcPr>
          <w:p w:rsidR="00B016B4" w:rsidRPr="009E73B1" w:rsidRDefault="00B016B4" w:rsidP="00B016B4">
            <w:pPr>
              <w:pStyle w:val="naisf"/>
              <w:spacing w:before="0" w:beforeAutospacing="0" w:after="0" w:afterAutospacing="0"/>
              <w:jc w:val="center"/>
              <w:rPr>
                <w:sz w:val="20"/>
                <w:szCs w:val="20"/>
              </w:rPr>
            </w:pPr>
            <w:r w:rsidRPr="009E73B1">
              <w:rPr>
                <w:sz w:val="20"/>
                <w:szCs w:val="20"/>
              </w:rPr>
              <w:t>0</w:t>
            </w:r>
          </w:p>
        </w:tc>
        <w:tc>
          <w:tcPr>
            <w:tcW w:w="1450" w:type="dxa"/>
            <w:vAlign w:val="bottom"/>
          </w:tcPr>
          <w:p w:rsidR="00B016B4" w:rsidRPr="009E73B1" w:rsidRDefault="00B016B4" w:rsidP="00B016B4">
            <w:pPr>
              <w:jc w:val="right"/>
              <w:rPr>
                <w:rFonts w:ascii="Times New Roman" w:eastAsia="Times New Roman" w:hAnsi="Times New Roman"/>
                <w:sz w:val="20"/>
                <w:szCs w:val="20"/>
                <w:lang w:eastAsia="lv-LV"/>
              </w:rPr>
            </w:pPr>
            <w:r w:rsidRPr="0027103B">
              <w:rPr>
                <w:rFonts w:ascii="Times New Roman" w:eastAsia="Times New Roman" w:hAnsi="Times New Roman"/>
                <w:sz w:val="20"/>
                <w:szCs w:val="20"/>
                <w:lang w:eastAsia="lv-LV"/>
              </w:rPr>
              <w:t>+2 693 307</w:t>
            </w:r>
          </w:p>
        </w:tc>
        <w:tc>
          <w:tcPr>
            <w:tcW w:w="1450" w:type="dxa"/>
            <w:vAlign w:val="bottom"/>
          </w:tcPr>
          <w:p w:rsidR="00B016B4" w:rsidRPr="009E73B1" w:rsidRDefault="00B016B4" w:rsidP="00B016B4">
            <w:pPr>
              <w:jc w:val="right"/>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+4 990 517</w:t>
            </w:r>
          </w:p>
        </w:tc>
        <w:tc>
          <w:tcPr>
            <w:tcW w:w="1186" w:type="dxa"/>
            <w:vAlign w:val="bottom"/>
          </w:tcPr>
          <w:p w:rsidR="00B016B4" w:rsidRPr="009E73B1" w:rsidRDefault="00B016B4" w:rsidP="00B016B4">
            <w:pPr>
              <w:jc w:val="right"/>
              <w:rPr>
                <w:rFonts w:ascii="Times New Roman" w:eastAsia="Times New Roman" w:hAnsi="Times New Roman"/>
                <w:sz w:val="20"/>
                <w:szCs w:val="20"/>
                <w:lang w:eastAsia="lv-LV"/>
              </w:rPr>
            </w:pPr>
            <w:r w:rsidRPr="009E73B1">
              <w:rPr>
                <w:rFonts w:ascii="Times New Roman" w:eastAsia="Times New Roman" w:hAnsi="Times New Roman"/>
                <w:sz w:val="20"/>
                <w:szCs w:val="20"/>
                <w:lang w:eastAsia="lv-LV"/>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i/>
                <w:sz w:val="24"/>
                <w:szCs w:val="24"/>
              </w:rPr>
            </w:pPr>
            <w:r w:rsidRPr="009E73B1">
              <w:rPr>
                <w:rFonts w:ascii="Times New Roman" w:hAnsi="Times New Roman"/>
                <w:i/>
                <w:sz w:val="24"/>
                <w:szCs w:val="24"/>
              </w:rPr>
              <w:t>04.04.00 "Invaliditātes, maternitātes un slimības speciālais budžets</w:t>
            </w:r>
            <w:r>
              <w:rPr>
                <w:rFonts w:ascii="Times New Roman" w:hAnsi="Times New Roman"/>
                <w:i/>
                <w:sz w:val="24"/>
                <w:szCs w:val="24"/>
              </w:rPr>
              <w:t>”</w:t>
            </w:r>
          </w:p>
        </w:tc>
        <w:tc>
          <w:tcPr>
            <w:tcW w:w="1604" w:type="dxa"/>
            <w:gridSpan w:val="2"/>
            <w:shd w:val="clear" w:color="auto" w:fill="auto"/>
          </w:tcPr>
          <w:p w:rsidR="00B016B4" w:rsidRPr="006E5576" w:rsidRDefault="00B016B4" w:rsidP="00B016B4">
            <w:pPr>
              <w:spacing w:after="0" w:line="240" w:lineRule="auto"/>
              <w:jc w:val="center"/>
              <w:rPr>
                <w:rFonts w:ascii="Times New Roman" w:hAnsi="Times New Roman"/>
                <w:i/>
                <w:sz w:val="20"/>
                <w:szCs w:val="20"/>
              </w:rPr>
            </w:pPr>
            <w:r w:rsidRPr="006E5576">
              <w:rPr>
                <w:rFonts w:ascii="Times New Roman" w:hAnsi="Times New Roman"/>
                <w:i/>
                <w:sz w:val="20"/>
                <w:szCs w:val="20"/>
              </w:rPr>
              <w:t>73 191 058</w:t>
            </w:r>
          </w:p>
        </w:tc>
        <w:tc>
          <w:tcPr>
            <w:tcW w:w="136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0</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+2 565 307</w:t>
            </w:r>
          </w:p>
        </w:tc>
        <w:tc>
          <w:tcPr>
            <w:tcW w:w="1450"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+4 911 401</w:t>
            </w:r>
          </w:p>
        </w:tc>
        <w:tc>
          <w:tcPr>
            <w:tcW w:w="1186" w:type="dxa"/>
          </w:tcPr>
          <w:p w:rsidR="00B016B4" w:rsidRPr="009E73B1" w:rsidRDefault="00B016B4" w:rsidP="00B016B4">
            <w:pPr>
              <w:pStyle w:val="naisf"/>
              <w:spacing w:before="0" w:beforeAutospacing="0" w:after="0" w:afterAutospacing="0"/>
              <w:jc w:val="center"/>
              <w:rPr>
                <w:i/>
                <w:sz w:val="20"/>
                <w:szCs w:val="20"/>
              </w:rPr>
            </w:pPr>
            <w:r w:rsidRPr="009E73B1">
              <w:rPr>
                <w:i/>
                <w:sz w:val="20"/>
                <w:szCs w:val="20"/>
              </w:rPr>
              <w:t>+5 166 640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p>
        </w:tc>
        <w:tc>
          <w:tcPr>
            <w:tcW w:w="1604" w:type="dxa"/>
            <w:gridSpan w:val="2"/>
            <w:shd w:val="clear" w:color="auto" w:fill="auto"/>
          </w:tcPr>
          <w:p w:rsidR="00B016B4" w:rsidRPr="009E73B1" w:rsidRDefault="00B016B4" w:rsidP="00B016B4">
            <w:pPr>
              <w:pStyle w:val="naisf"/>
              <w:spacing w:before="0" w:beforeAutospacing="0" w:after="0" w:afterAutospacing="0"/>
              <w:jc w:val="center"/>
              <w:rPr>
                <w:sz w:val="18"/>
                <w:szCs w:val="18"/>
              </w:rPr>
            </w:pPr>
          </w:p>
        </w:tc>
        <w:tc>
          <w:tcPr>
            <w:tcW w:w="1360" w:type="dxa"/>
          </w:tcPr>
          <w:p w:rsidR="00B016B4" w:rsidRPr="009E73B1" w:rsidRDefault="00B016B4" w:rsidP="00B016B4">
            <w:pPr>
              <w:pStyle w:val="naisf"/>
              <w:spacing w:before="0" w:beforeAutospacing="0" w:after="0" w:afterAutospacing="0"/>
              <w:jc w:val="center"/>
              <w:rPr>
                <w:bCs/>
                <w:sz w:val="18"/>
                <w:szCs w:val="18"/>
              </w:rPr>
            </w:pPr>
          </w:p>
        </w:tc>
        <w:tc>
          <w:tcPr>
            <w:tcW w:w="1450" w:type="dxa"/>
          </w:tcPr>
          <w:p w:rsidR="00B016B4" w:rsidRPr="009E73B1" w:rsidRDefault="00B016B4" w:rsidP="00B016B4">
            <w:pPr>
              <w:pStyle w:val="naisf"/>
              <w:spacing w:before="0" w:beforeAutospacing="0" w:after="0" w:afterAutospacing="0"/>
              <w:jc w:val="center"/>
              <w:rPr>
                <w:sz w:val="18"/>
                <w:szCs w:val="18"/>
              </w:rPr>
            </w:pPr>
          </w:p>
        </w:tc>
        <w:tc>
          <w:tcPr>
            <w:tcW w:w="1450" w:type="dxa"/>
          </w:tcPr>
          <w:p w:rsidR="00B016B4" w:rsidRPr="009E73B1" w:rsidRDefault="00B016B4" w:rsidP="00B016B4">
            <w:pPr>
              <w:pStyle w:val="naisf"/>
              <w:spacing w:before="0" w:beforeAutospacing="0" w:after="0" w:afterAutospacing="0"/>
              <w:jc w:val="center"/>
              <w:rPr>
                <w:sz w:val="18"/>
                <w:szCs w:val="18"/>
              </w:rPr>
            </w:pPr>
          </w:p>
        </w:tc>
        <w:tc>
          <w:tcPr>
            <w:tcW w:w="1186" w:type="dxa"/>
          </w:tcPr>
          <w:p w:rsidR="00B016B4" w:rsidRPr="009E73B1" w:rsidRDefault="00B016B4" w:rsidP="00B016B4">
            <w:pPr>
              <w:pStyle w:val="naisf"/>
              <w:spacing w:before="0" w:beforeAutospacing="0" w:after="0" w:afterAutospacing="0"/>
              <w:jc w:val="center"/>
              <w:rPr>
                <w:sz w:val="18"/>
                <w:szCs w:val="18"/>
              </w:rPr>
            </w:pP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 xml:space="preserve">3.3. pašvaldību budžets </w:t>
            </w:r>
          </w:p>
        </w:tc>
        <w:tc>
          <w:tcPr>
            <w:tcW w:w="1604" w:type="dxa"/>
            <w:gridSpan w:val="2"/>
            <w:shd w:val="clear" w:color="auto" w:fill="auto"/>
          </w:tcPr>
          <w:p w:rsidR="00B016B4" w:rsidRPr="009E73B1" w:rsidRDefault="00B016B4" w:rsidP="00B016B4">
            <w:pPr>
              <w:pStyle w:val="naisf"/>
              <w:spacing w:before="0" w:beforeAutospacing="0" w:after="0" w:afterAutospacing="0"/>
              <w:rPr>
                <w:i/>
              </w:rPr>
            </w:pPr>
          </w:p>
        </w:tc>
        <w:tc>
          <w:tcPr>
            <w:tcW w:w="136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45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450"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c>
          <w:tcPr>
            <w:tcW w:w="1186" w:type="dxa"/>
          </w:tcPr>
          <w:p w:rsidR="00B016B4" w:rsidRPr="009E73B1" w:rsidRDefault="00B016B4" w:rsidP="00B016B4">
            <w:pPr>
              <w:jc w:val="center"/>
              <w:rPr>
                <w:rFonts w:ascii="Times New Roman" w:hAnsi="Times New Roman"/>
                <w:bCs/>
                <w:sz w:val="18"/>
                <w:szCs w:val="18"/>
              </w:rPr>
            </w:pPr>
            <w:r w:rsidRPr="009E73B1">
              <w:rPr>
                <w:rFonts w:ascii="Times New Roman" w:hAnsi="Times New Roman"/>
                <w:bCs/>
                <w:sz w:val="18"/>
                <w:szCs w:val="18"/>
              </w:rPr>
              <w:t>0</w:t>
            </w:r>
          </w:p>
        </w:tc>
      </w:tr>
      <w:tr w:rsidR="00B016B4" w:rsidRPr="009E73B1" w:rsidTr="00B016B4">
        <w:tblPrEx>
          <w:jc w:val="center"/>
        </w:tblPrEx>
        <w:trPr>
          <w:jc w:val="center"/>
        </w:trPr>
        <w:tc>
          <w:tcPr>
            <w:tcW w:w="2603" w:type="dxa"/>
            <w:vMerge w:val="restart"/>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4. Finanšu līdzekļi papildu izdevumu finansēšanai (kompensējošu izdevumu samazinājumu norāda ar "+" zīmi)*</w:t>
            </w:r>
          </w:p>
        </w:tc>
        <w:tc>
          <w:tcPr>
            <w:tcW w:w="1604" w:type="dxa"/>
            <w:gridSpan w:val="2"/>
            <w:vMerge w:val="restart"/>
          </w:tcPr>
          <w:p w:rsidR="00B016B4" w:rsidRPr="009E73B1" w:rsidRDefault="00B016B4" w:rsidP="00B016B4">
            <w:pPr>
              <w:pStyle w:val="naisf"/>
              <w:spacing w:before="0" w:beforeAutospacing="0" w:after="0" w:afterAutospacing="0"/>
              <w:jc w:val="center"/>
              <w:rPr>
                <w:i/>
              </w:rPr>
            </w:pPr>
            <w:r w:rsidRPr="009E73B1">
              <w:t>X</w:t>
            </w:r>
          </w:p>
        </w:tc>
        <w:tc>
          <w:tcPr>
            <w:tcW w:w="1360" w:type="dxa"/>
          </w:tcPr>
          <w:p w:rsidR="00B016B4" w:rsidRPr="009E73B1" w:rsidRDefault="00B016B4" w:rsidP="00B016B4">
            <w:pPr>
              <w:pStyle w:val="naisf"/>
              <w:spacing w:before="0" w:beforeAutospacing="0" w:after="0" w:afterAutospacing="0"/>
              <w:jc w:val="center"/>
              <w:rPr>
                <w:b/>
                <w:i/>
                <w:sz w:val="18"/>
                <w:szCs w:val="18"/>
              </w:rPr>
            </w:pPr>
            <w:r w:rsidRPr="009E73B1">
              <w:rPr>
                <w:bCs/>
                <w:sz w:val="18"/>
                <w:szCs w:val="18"/>
              </w:rPr>
              <w:t>0</w:t>
            </w:r>
          </w:p>
        </w:tc>
        <w:tc>
          <w:tcPr>
            <w:tcW w:w="1450" w:type="dxa"/>
          </w:tcPr>
          <w:p w:rsidR="00B016B4" w:rsidRPr="009E73B1" w:rsidRDefault="00B016B4" w:rsidP="00B016B4">
            <w:pPr>
              <w:pStyle w:val="naisf"/>
              <w:spacing w:before="0" w:beforeAutospacing="0" w:after="0" w:afterAutospacing="0"/>
              <w:jc w:val="center"/>
              <w:rPr>
                <w:b/>
                <w:i/>
                <w:sz w:val="18"/>
                <w:szCs w:val="18"/>
              </w:rPr>
            </w:pPr>
            <w:r>
              <w:rPr>
                <w:bCs/>
                <w:sz w:val="18"/>
                <w:szCs w:val="18"/>
              </w:rPr>
              <w:t>0</w:t>
            </w:r>
          </w:p>
        </w:tc>
        <w:tc>
          <w:tcPr>
            <w:tcW w:w="1450" w:type="dxa"/>
          </w:tcPr>
          <w:p w:rsidR="00B016B4" w:rsidRPr="009E73B1" w:rsidRDefault="00B016B4" w:rsidP="00B016B4">
            <w:pPr>
              <w:pStyle w:val="naisf"/>
              <w:spacing w:before="0" w:beforeAutospacing="0" w:after="0" w:afterAutospacing="0"/>
              <w:jc w:val="center"/>
              <w:rPr>
                <w:b/>
                <w:i/>
                <w:sz w:val="18"/>
                <w:szCs w:val="18"/>
              </w:rPr>
            </w:pPr>
            <w:r w:rsidRPr="009E73B1">
              <w:rPr>
                <w:bCs/>
                <w:sz w:val="18"/>
                <w:szCs w:val="18"/>
              </w:rPr>
              <w:t>0</w:t>
            </w:r>
          </w:p>
        </w:tc>
        <w:tc>
          <w:tcPr>
            <w:tcW w:w="1186" w:type="dxa"/>
          </w:tcPr>
          <w:p w:rsidR="00B016B4" w:rsidRPr="009E73B1" w:rsidRDefault="00B016B4" w:rsidP="00B016B4">
            <w:pPr>
              <w:pStyle w:val="naisf"/>
              <w:spacing w:before="0" w:beforeAutospacing="0" w:after="0" w:afterAutospacing="0"/>
              <w:jc w:val="center"/>
              <w:rPr>
                <w:b/>
                <w:i/>
                <w:sz w:val="18"/>
                <w:szCs w:val="18"/>
              </w:rPr>
            </w:pPr>
            <w:r w:rsidRPr="009E73B1">
              <w:rPr>
                <w:bCs/>
                <w:sz w:val="18"/>
                <w:szCs w:val="18"/>
              </w:rPr>
              <w:t>0</w:t>
            </w:r>
          </w:p>
        </w:tc>
      </w:tr>
      <w:tr w:rsidR="00B016B4" w:rsidRPr="009E73B1" w:rsidTr="00B016B4">
        <w:tblPrEx>
          <w:jc w:val="center"/>
        </w:tblPrEx>
        <w:trPr>
          <w:jc w:val="center"/>
        </w:trPr>
        <w:tc>
          <w:tcPr>
            <w:tcW w:w="2603" w:type="dxa"/>
            <w:vMerge/>
          </w:tcPr>
          <w:p w:rsidR="00B016B4" w:rsidRPr="009E73B1" w:rsidRDefault="00B016B4" w:rsidP="00B016B4">
            <w:pPr>
              <w:spacing w:after="0" w:line="240" w:lineRule="auto"/>
              <w:rPr>
                <w:rFonts w:ascii="Times New Roman" w:hAnsi="Times New Roman"/>
                <w:sz w:val="24"/>
                <w:szCs w:val="24"/>
              </w:rPr>
            </w:pPr>
          </w:p>
        </w:tc>
        <w:tc>
          <w:tcPr>
            <w:tcW w:w="1604" w:type="dxa"/>
            <w:gridSpan w:val="2"/>
            <w:vMerge/>
          </w:tcPr>
          <w:p w:rsidR="00B016B4" w:rsidRPr="009E73B1" w:rsidRDefault="00B016B4" w:rsidP="00B016B4">
            <w:pPr>
              <w:pStyle w:val="naisf"/>
              <w:spacing w:before="0" w:beforeAutospacing="0" w:after="0" w:afterAutospacing="0"/>
              <w:jc w:val="center"/>
              <w:rPr>
                <w:i/>
              </w:rPr>
            </w:pPr>
          </w:p>
        </w:tc>
        <w:tc>
          <w:tcPr>
            <w:tcW w:w="136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186"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r>
      <w:tr w:rsidR="00B016B4" w:rsidRPr="009E73B1" w:rsidTr="00B016B4">
        <w:tblPrEx>
          <w:jc w:val="center"/>
        </w:tblPrEx>
        <w:trPr>
          <w:jc w:val="center"/>
        </w:trPr>
        <w:tc>
          <w:tcPr>
            <w:tcW w:w="2603" w:type="dxa"/>
            <w:vMerge/>
          </w:tcPr>
          <w:p w:rsidR="00B016B4" w:rsidRPr="009E73B1" w:rsidRDefault="00B016B4" w:rsidP="00B016B4">
            <w:pPr>
              <w:spacing w:after="0" w:line="240" w:lineRule="auto"/>
              <w:rPr>
                <w:rFonts w:ascii="Times New Roman" w:hAnsi="Times New Roman"/>
                <w:sz w:val="24"/>
                <w:szCs w:val="24"/>
              </w:rPr>
            </w:pPr>
          </w:p>
        </w:tc>
        <w:tc>
          <w:tcPr>
            <w:tcW w:w="1604" w:type="dxa"/>
            <w:gridSpan w:val="2"/>
            <w:vMerge/>
          </w:tcPr>
          <w:p w:rsidR="00B016B4" w:rsidRPr="009E73B1" w:rsidRDefault="00B016B4" w:rsidP="00B016B4">
            <w:pPr>
              <w:pStyle w:val="naisf"/>
              <w:spacing w:before="0" w:beforeAutospacing="0" w:after="0" w:afterAutospacing="0"/>
              <w:jc w:val="center"/>
              <w:rPr>
                <w:i/>
              </w:rPr>
            </w:pPr>
          </w:p>
        </w:tc>
        <w:tc>
          <w:tcPr>
            <w:tcW w:w="136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186"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5. Precizēta finansiālā ietekme:</w:t>
            </w:r>
          </w:p>
        </w:tc>
        <w:tc>
          <w:tcPr>
            <w:tcW w:w="1604" w:type="dxa"/>
            <w:gridSpan w:val="2"/>
            <w:vMerge w:val="restart"/>
          </w:tcPr>
          <w:p w:rsidR="00B016B4" w:rsidRPr="009E73B1" w:rsidRDefault="00B016B4" w:rsidP="00B016B4">
            <w:pPr>
              <w:pStyle w:val="naisf"/>
              <w:spacing w:before="0" w:beforeAutospacing="0" w:after="0" w:afterAutospacing="0"/>
              <w:jc w:val="center"/>
              <w:rPr>
                <w:i/>
              </w:rPr>
            </w:pPr>
            <w:r w:rsidRPr="009E73B1">
              <w:t>X</w:t>
            </w: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186"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5.1. valsts pamatbudžets</w:t>
            </w:r>
          </w:p>
        </w:tc>
        <w:tc>
          <w:tcPr>
            <w:tcW w:w="1604" w:type="dxa"/>
            <w:gridSpan w:val="2"/>
            <w:vMerge/>
            <w:vAlign w:val="center"/>
          </w:tcPr>
          <w:p w:rsidR="00B016B4" w:rsidRPr="009E73B1" w:rsidRDefault="00B016B4" w:rsidP="00B016B4">
            <w:pPr>
              <w:pStyle w:val="naisf"/>
              <w:spacing w:before="0" w:beforeAutospacing="0" w:after="0" w:afterAutospacing="0"/>
              <w:jc w:val="center"/>
              <w:rPr>
                <w:i/>
              </w:rPr>
            </w:pP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186"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5.2. speciālais budžets</w:t>
            </w:r>
          </w:p>
        </w:tc>
        <w:tc>
          <w:tcPr>
            <w:tcW w:w="1604" w:type="dxa"/>
            <w:gridSpan w:val="2"/>
            <w:vMerge/>
            <w:vAlign w:val="center"/>
          </w:tcPr>
          <w:p w:rsidR="00B016B4" w:rsidRPr="009E73B1" w:rsidRDefault="00B016B4" w:rsidP="00B016B4">
            <w:pPr>
              <w:pStyle w:val="naisf"/>
              <w:spacing w:before="0" w:beforeAutospacing="0" w:after="0" w:afterAutospacing="0"/>
              <w:jc w:val="center"/>
              <w:rPr>
                <w:i/>
              </w:rPr>
            </w:pPr>
          </w:p>
        </w:tc>
        <w:tc>
          <w:tcPr>
            <w:tcW w:w="136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450"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c>
          <w:tcPr>
            <w:tcW w:w="1186" w:type="dxa"/>
          </w:tcPr>
          <w:p w:rsidR="00B016B4" w:rsidRPr="009E73B1" w:rsidRDefault="00B016B4" w:rsidP="00B016B4">
            <w:pPr>
              <w:pStyle w:val="naisf"/>
              <w:spacing w:before="0" w:beforeAutospacing="0" w:after="0" w:afterAutospacing="0"/>
              <w:jc w:val="center"/>
              <w:rPr>
                <w:sz w:val="18"/>
                <w:szCs w:val="18"/>
              </w:rPr>
            </w:pPr>
            <w:r w:rsidRPr="009E73B1">
              <w:rPr>
                <w:sz w:val="18"/>
                <w:szCs w:val="18"/>
              </w:rPr>
              <w:t>0</w:t>
            </w:r>
          </w:p>
        </w:tc>
      </w:tr>
      <w:tr w:rsidR="00B016B4" w:rsidRPr="009E73B1" w:rsidTr="00B016B4">
        <w:tblPrEx>
          <w:jc w:val="center"/>
        </w:tblPrEx>
        <w:trPr>
          <w:trHeight w:val="731"/>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 xml:space="preserve">5.3. pašvaldību budžets </w:t>
            </w:r>
          </w:p>
        </w:tc>
        <w:tc>
          <w:tcPr>
            <w:tcW w:w="1604" w:type="dxa"/>
            <w:gridSpan w:val="2"/>
            <w:vMerge/>
            <w:vAlign w:val="center"/>
          </w:tcPr>
          <w:p w:rsidR="00B016B4" w:rsidRPr="009E73B1" w:rsidRDefault="00B016B4" w:rsidP="00B016B4">
            <w:pPr>
              <w:pStyle w:val="naisf"/>
              <w:spacing w:before="0" w:beforeAutospacing="0" w:after="0" w:afterAutospacing="0"/>
              <w:jc w:val="center"/>
              <w:rPr>
                <w:i/>
              </w:rPr>
            </w:pPr>
          </w:p>
        </w:tc>
        <w:tc>
          <w:tcPr>
            <w:tcW w:w="136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450"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c>
          <w:tcPr>
            <w:tcW w:w="1186" w:type="dxa"/>
          </w:tcPr>
          <w:p w:rsidR="00B016B4" w:rsidRPr="009E73B1" w:rsidRDefault="00B016B4" w:rsidP="00B016B4">
            <w:pPr>
              <w:pStyle w:val="naisf"/>
              <w:spacing w:before="0" w:beforeAutospacing="0" w:after="0" w:afterAutospacing="0"/>
              <w:jc w:val="center"/>
              <w:rPr>
                <w:b/>
                <w:i/>
              </w:rPr>
            </w:pPr>
            <w:r w:rsidRPr="009E73B1">
              <w:rPr>
                <w:bCs/>
                <w:sz w:val="20"/>
                <w:szCs w:val="20"/>
              </w:rPr>
              <w:t>0</w:t>
            </w:r>
          </w:p>
        </w:tc>
      </w:tr>
      <w:tr w:rsidR="00B016B4" w:rsidRPr="009E73B1" w:rsidTr="00B016B4">
        <w:tblPrEx>
          <w:jc w:val="center"/>
        </w:tblPrEx>
        <w:trPr>
          <w:trHeight w:val="2713"/>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lastRenderedPageBreak/>
              <w:t>6. Detalizēts ieņēmumu un izdevumu aprēķins (ja nepie</w:t>
            </w:r>
            <w:r w:rsidRPr="009E73B1">
              <w:rPr>
                <w:rFonts w:ascii="Times New Roman" w:hAnsi="Times New Roman"/>
                <w:sz w:val="24"/>
                <w:szCs w:val="24"/>
              </w:rPr>
              <w:softHyphen/>
              <w:t>ciešams, detalizētu ieņēmumu un izdevumu aprēķinu var pie</w:t>
            </w:r>
            <w:r w:rsidRPr="009E73B1">
              <w:rPr>
                <w:rFonts w:ascii="Times New Roman" w:hAnsi="Times New Roman"/>
                <w:sz w:val="24"/>
                <w:szCs w:val="24"/>
              </w:rPr>
              <w:softHyphen/>
              <w:t>vienot anotācijas pielikumā):</w:t>
            </w:r>
          </w:p>
        </w:tc>
        <w:tc>
          <w:tcPr>
            <w:tcW w:w="7050" w:type="dxa"/>
            <w:gridSpan w:val="6"/>
            <w:vMerge w:val="restart"/>
          </w:tcPr>
          <w:p w:rsidR="00B016B4" w:rsidRPr="009E73B1" w:rsidRDefault="00B016B4" w:rsidP="00B016B4">
            <w:pPr>
              <w:jc w:val="both"/>
              <w:rPr>
                <w:rFonts w:ascii="Times New Roman" w:hAnsi="Times New Roman"/>
                <w:sz w:val="24"/>
                <w:szCs w:val="24"/>
              </w:rPr>
            </w:pPr>
            <w:r w:rsidRPr="009E73B1">
              <w:rPr>
                <w:rFonts w:ascii="Times New Roman" w:hAnsi="Times New Roman"/>
                <w:sz w:val="24"/>
                <w:szCs w:val="24"/>
              </w:rPr>
              <w:t xml:space="preserve">* Atbilstoši Ministru kabineta 16.08.2016. sēdes </w:t>
            </w:r>
            <w:proofErr w:type="spellStart"/>
            <w:r w:rsidRPr="009E73B1">
              <w:rPr>
                <w:rFonts w:ascii="Times New Roman" w:hAnsi="Times New Roman"/>
                <w:sz w:val="24"/>
                <w:szCs w:val="24"/>
              </w:rPr>
              <w:t>protokollēmuma</w:t>
            </w:r>
            <w:proofErr w:type="spellEnd"/>
            <w:r w:rsidRPr="009E73B1">
              <w:rPr>
                <w:rFonts w:ascii="Times New Roman" w:hAnsi="Times New Roman"/>
                <w:sz w:val="24"/>
                <w:szCs w:val="24"/>
              </w:rPr>
              <w:t xml:space="preserve"> Nr.40 59.§ 2.punktam atbalstīts priekšlikums LM jaunajai politikas iniciatīvai „Alternatīvo ģimenes aprūpes formu attīstība” finansēšanai 2017.-2019.gadam ik gadu 4 869 889 </w:t>
            </w:r>
            <w:proofErr w:type="spellStart"/>
            <w:r w:rsidRPr="009E73B1">
              <w:rPr>
                <w:rFonts w:ascii="Times New Roman" w:hAnsi="Times New Roman"/>
                <w:i/>
                <w:sz w:val="24"/>
                <w:szCs w:val="24"/>
              </w:rPr>
              <w:t>euro</w:t>
            </w:r>
            <w:proofErr w:type="spellEnd"/>
            <w:r w:rsidRPr="009E73B1">
              <w:rPr>
                <w:rFonts w:ascii="Times New Roman" w:hAnsi="Times New Roman"/>
                <w:sz w:val="24"/>
                <w:szCs w:val="24"/>
              </w:rPr>
              <w:t xml:space="preserve">, t.sk. 2017.gadā 108 000 </w:t>
            </w:r>
            <w:proofErr w:type="spellStart"/>
            <w:r w:rsidRPr="009E73B1">
              <w:rPr>
                <w:rFonts w:ascii="Times New Roman" w:hAnsi="Times New Roman"/>
                <w:i/>
                <w:sz w:val="24"/>
                <w:szCs w:val="24"/>
              </w:rPr>
              <w:t>euro</w:t>
            </w:r>
            <w:proofErr w:type="spellEnd"/>
            <w:r w:rsidRPr="009E73B1">
              <w:rPr>
                <w:rFonts w:ascii="Times New Roman" w:hAnsi="Times New Roman"/>
                <w:sz w:val="24"/>
                <w:szCs w:val="24"/>
              </w:rPr>
              <w:t xml:space="preserve"> VSAA IT sistēmu pielāgošanai </w:t>
            </w:r>
            <w:proofErr w:type="gramStart"/>
            <w:r w:rsidRPr="009E73B1">
              <w:rPr>
                <w:rFonts w:ascii="Times New Roman" w:hAnsi="Times New Roman"/>
                <w:sz w:val="24"/>
                <w:szCs w:val="24"/>
              </w:rPr>
              <w:t>(</w:t>
            </w:r>
            <w:proofErr w:type="gramEnd"/>
            <w:r w:rsidRPr="009E73B1">
              <w:rPr>
                <w:rFonts w:ascii="Times New Roman" w:hAnsi="Times New Roman"/>
                <w:sz w:val="24"/>
                <w:szCs w:val="24"/>
              </w:rPr>
              <w:t xml:space="preserve">t.sk. finansējums no LM pamatbudžeta apakšprogrammas 97.02.00 „Nozares centralizēto funkciju izpilde” izdevumiem valsts budžeta uzturēšanas kapitālo izdevumu transfertiem no valsts pamatbudžeta uz valsts speciālo budžetu 63 000 </w:t>
            </w:r>
            <w:proofErr w:type="spellStart"/>
            <w:r w:rsidRPr="009E73B1">
              <w:rPr>
                <w:rFonts w:ascii="Times New Roman" w:hAnsi="Times New Roman"/>
                <w:i/>
                <w:sz w:val="24"/>
                <w:szCs w:val="24"/>
              </w:rPr>
              <w:t>euro</w:t>
            </w:r>
            <w:proofErr w:type="spellEnd"/>
            <w:r w:rsidRPr="009E73B1">
              <w:rPr>
                <w:rFonts w:ascii="Times New Roman" w:hAnsi="Times New Roman"/>
                <w:sz w:val="24"/>
                <w:szCs w:val="24"/>
              </w:rPr>
              <w:t xml:space="preserve"> apmērā un 45 000</w:t>
            </w:r>
            <w:r w:rsidRPr="009E73B1">
              <w:rPr>
                <w:rFonts w:ascii="Times New Roman" w:hAnsi="Times New Roman"/>
                <w:i/>
                <w:sz w:val="24"/>
                <w:szCs w:val="24"/>
              </w:rPr>
              <w:t xml:space="preserve"> </w:t>
            </w:r>
            <w:proofErr w:type="spellStart"/>
            <w:r w:rsidRPr="009E73B1">
              <w:rPr>
                <w:rFonts w:ascii="Times New Roman" w:hAnsi="Times New Roman"/>
                <w:i/>
                <w:sz w:val="24"/>
                <w:szCs w:val="24"/>
              </w:rPr>
              <w:t>euro</w:t>
            </w:r>
            <w:proofErr w:type="spellEnd"/>
            <w:r w:rsidRPr="009E73B1">
              <w:rPr>
                <w:rFonts w:ascii="Times New Roman" w:hAnsi="Times New Roman"/>
                <w:i/>
                <w:sz w:val="24"/>
                <w:szCs w:val="24"/>
              </w:rPr>
              <w:t xml:space="preserve"> </w:t>
            </w:r>
            <w:r w:rsidRPr="009E73B1">
              <w:rPr>
                <w:rFonts w:ascii="Times New Roman" w:hAnsi="Times New Roman"/>
                <w:sz w:val="24"/>
                <w:szCs w:val="24"/>
              </w:rPr>
              <w:t>no speciālā budžeta atskaitījumiem, atbilstoši ieņēmumu īpatsvariem.  Finansējums iekļauts LM pamatbudžeta un speciālā budžeta maksimāli pieļaujamos valsts budžeta izdevumu kopējos apjomos 2017., 2018. un 2019.gadam.</w:t>
            </w:r>
          </w:p>
          <w:p w:rsidR="00B016B4" w:rsidRPr="009E73B1" w:rsidRDefault="00B016B4" w:rsidP="00B016B4">
            <w:pPr>
              <w:spacing w:before="60" w:after="60"/>
              <w:rPr>
                <w:rFonts w:ascii="Times New Roman" w:hAnsi="Times New Roman"/>
                <w:b/>
                <w:sz w:val="24"/>
                <w:szCs w:val="24"/>
                <w:u w:val="single"/>
              </w:rPr>
            </w:pPr>
            <w:r w:rsidRPr="009E73B1">
              <w:rPr>
                <w:rFonts w:ascii="Times New Roman" w:hAnsi="Times New Roman"/>
                <w:b/>
                <w:sz w:val="24"/>
                <w:szCs w:val="24"/>
                <w:u w:val="single"/>
              </w:rPr>
              <w:t>I Slimības pabalsts</w:t>
            </w:r>
          </w:p>
          <w:p w:rsidR="00B016B4" w:rsidRPr="009E73B1" w:rsidRDefault="00B016B4" w:rsidP="00B016B4">
            <w:pPr>
              <w:spacing w:before="60" w:after="60"/>
              <w:rPr>
                <w:rFonts w:ascii="Times New Roman" w:hAnsi="Times New Roman"/>
                <w:u w:val="single"/>
              </w:rPr>
            </w:pPr>
          </w:p>
          <w:p w:rsidR="00B016B4" w:rsidRPr="009E73B1" w:rsidRDefault="00B016B4" w:rsidP="00B016B4">
            <w:pPr>
              <w:spacing w:after="120"/>
              <w:rPr>
                <w:rFonts w:ascii="Times New Roman" w:hAnsi="Times New Roman"/>
                <w:b/>
              </w:rPr>
            </w:pPr>
            <w:r w:rsidRPr="009E73B1">
              <w:rPr>
                <w:rFonts w:ascii="Times New Roman" w:hAnsi="Times New Roman"/>
                <w:b/>
              </w:rPr>
              <w:t>Slimības pabalsts (bāzes projekts)</w:t>
            </w:r>
          </w:p>
          <w:tbl>
            <w:tblPr>
              <w:tblStyle w:val="TableGrid"/>
              <w:tblW w:w="0" w:type="auto"/>
              <w:tblLook w:val="04A0" w:firstRow="1" w:lastRow="0" w:firstColumn="1" w:lastColumn="0" w:noHBand="0" w:noVBand="1"/>
            </w:tblPr>
            <w:tblGrid>
              <w:gridCol w:w="1741"/>
              <w:gridCol w:w="1694"/>
              <w:gridCol w:w="1694"/>
              <w:gridCol w:w="1695"/>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Kontingents</w:t>
                  </w:r>
                  <w:r>
                    <w:rPr>
                      <w:rFonts w:ascii="Times New Roman" w:hAnsi="Times New Roman"/>
                    </w:rPr>
                    <w:t>,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15 978</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16 624</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17 129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826.74</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919.17</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989.27</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Izdevumi, EUR</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158 515 821</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183 363 385</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203 342 470</w:t>
                  </w:r>
                </w:p>
              </w:tc>
            </w:tr>
          </w:tbl>
          <w:p w:rsidR="00B016B4" w:rsidRPr="009E73B1" w:rsidRDefault="00B016B4" w:rsidP="00B016B4">
            <w:pPr>
              <w:spacing w:before="60" w:after="60"/>
              <w:rPr>
                <w:rFonts w:ascii="Times New Roman" w:hAnsi="Times New Roman"/>
                <w:u w:val="single"/>
              </w:rPr>
            </w:pPr>
          </w:p>
          <w:p w:rsidR="00B016B4" w:rsidRPr="00B016B4" w:rsidRDefault="00B016B4" w:rsidP="00B016B4">
            <w:pPr>
              <w:spacing w:before="60" w:after="60"/>
              <w:rPr>
                <w:rFonts w:ascii="Times New Roman" w:hAnsi="Times New Roman"/>
                <w:sz w:val="24"/>
                <w:szCs w:val="24"/>
              </w:rPr>
            </w:pPr>
            <w:r w:rsidRPr="009E73B1">
              <w:rPr>
                <w:rFonts w:ascii="Times New Roman" w:hAnsi="Times New Roman"/>
              </w:rPr>
              <w:t xml:space="preserve">1) </w:t>
            </w:r>
            <w:r w:rsidRPr="00B016B4">
              <w:rPr>
                <w:rFonts w:ascii="Times New Roman" w:hAnsi="Times New Roman"/>
                <w:sz w:val="24"/>
                <w:szCs w:val="24"/>
              </w:rPr>
              <w:t>Nenoteikt tiesības uz slimības pabalstu, ja darba nespēja iestājusies mēneša laikā pēc tam, kad persona vairs nav darba ņēmēja statusā (likumprojekta 6.un 8.pants un pārejas noteikumu 29. un 30.punkts).</w:t>
            </w:r>
          </w:p>
          <w:p w:rsidR="00B016B4" w:rsidRPr="009E73B1" w:rsidRDefault="00B016B4" w:rsidP="00B016B4">
            <w:pPr>
              <w:spacing w:before="60" w:after="60"/>
              <w:rPr>
                <w:rFonts w:ascii="Times New Roman" w:hAnsi="Times New Roman"/>
                <w:sz w:val="24"/>
                <w:szCs w:val="24"/>
              </w:rPr>
            </w:pPr>
            <w:r w:rsidRPr="009E73B1">
              <w:rPr>
                <w:rFonts w:ascii="Times New Roman" w:hAnsi="Times New Roman"/>
                <w:sz w:val="24"/>
                <w:szCs w:val="24"/>
              </w:rPr>
              <w:t>Veikts pieņēmums, ka ierobežojot slimības pabalsta izmaksu, vidējais pabalsta saņēmēju skaits samazināsies (pret bāzes projektu) straujāk 2017.gadā (par 1.1%), attiecīgi 2018.gadā – par 1.02% un 2019.gadā – par 0.96%.</w:t>
            </w:r>
          </w:p>
          <w:tbl>
            <w:tblPr>
              <w:tblStyle w:val="TableGrid"/>
              <w:tblW w:w="0" w:type="auto"/>
              <w:tblLook w:val="04A0" w:firstRow="1" w:lastRow="0" w:firstColumn="1" w:lastColumn="0" w:noHBand="0" w:noVBand="1"/>
            </w:tblPr>
            <w:tblGrid>
              <w:gridCol w:w="1753"/>
              <w:gridCol w:w="1690"/>
              <w:gridCol w:w="1690"/>
              <w:gridCol w:w="1691"/>
            </w:tblGrid>
            <w:tr w:rsidR="00B016B4" w:rsidRPr="009E73B1" w:rsidTr="00B016B4">
              <w:tc>
                <w:tcPr>
                  <w:tcW w:w="1753" w:type="dxa"/>
                </w:tcPr>
                <w:p w:rsidR="00B016B4" w:rsidRPr="009E73B1" w:rsidRDefault="00B016B4" w:rsidP="00B016B4">
                  <w:pPr>
                    <w:spacing w:after="120"/>
                    <w:jc w:val="center"/>
                    <w:rPr>
                      <w:rFonts w:ascii="Times New Roman" w:hAnsi="Times New Roman"/>
                      <w:b/>
                    </w:rPr>
                  </w:pPr>
                </w:p>
              </w:tc>
              <w:tc>
                <w:tcPr>
                  <w:tcW w:w="169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169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691"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53" w:type="dxa"/>
                </w:tcPr>
                <w:p w:rsidR="00B016B4" w:rsidRPr="009E73B1" w:rsidRDefault="00B016B4" w:rsidP="00B016B4">
                  <w:pPr>
                    <w:spacing w:after="120"/>
                    <w:rPr>
                      <w:rFonts w:ascii="Times New Roman" w:hAnsi="Times New Roman"/>
                    </w:rPr>
                  </w:pPr>
                  <w:r w:rsidRPr="009E73B1">
                    <w:rPr>
                      <w:rFonts w:ascii="Times New Roman" w:hAnsi="Times New Roman"/>
                    </w:rPr>
                    <w:t>kontingenta samazinājums</w:t>
                  </w:r>
                  <w:r>
                    <w:rPr>
                      <w:rFonts w:ascii="Times New Roman" w:hAnsi="Times New Roman"/>
                    </w:rPr>
                    <w:t xml:space="preserve"> (vidēji mēnesī)</w:t>
                  </w:r>
                </w:p>
              </w:tc>
              <w:tc>
                <w:tcPr>
                  <w:tcW w:w="1690"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-175</w:t>
                  </w:r>
                </w:p>
              </w:tc>
              <w:tc>
                <w:tcPr>
                  <w:tcW w:w="1690"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-169</w:t>
                  </w:r>
                </w:p>
              </w:tc>
              <w:tc>
                <w:tcPr>
                  <w:tcW w:w="1691"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-165</w:t>
                  </w:r>
                </w:p>
              </w:tc>
            </w:tr>
            <w:tr w:rsidR="00B016B4" w:rsidRPr="009E73B1" w:rsidTr="00B016B4">
              <w:tc>
                <w:tcPr>
                  <w:tcW w:w="1753"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690"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-1 733 461</w:t>
                  </w:r>
                </w:p>
              </w:tc>
              <w:tc>
                <w:tcPr>
                  <w:tcW w:w="1690"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-1 860 182</w:t>
                  </w:r>
                </w:p>
              </w:tc>
              <w:tc>
                <w:tcPr>
                  <w:tcW w:w="1691" w:type="dxa"/>
                  <w:vAlign w:val="center"/>
                </w:tcPr>
                <w:p w:rsidR="00B016B4" w:rsidRPr="009E73B1" w:rsidRDefault="00B016B4" w:rsidP="00B016B4">
                  <w:pPr>
                    <w:spacing w:after="120"/>
                    <w:jc w:val="center"/>
                    <w:rPr>
                      <w:rFonts w:ascii="Times New Roman" w:hAnsi="Times New Roman"/>
                    </w:rPr>
                  </w:pPr>
                  <w:r w:rsidRPr="0027103B">
                    <w:rPr>
                      <w:rFonts w:ascii="Times New Roman" w:hAnsi="Times New Roman"/>
                    </w:rPr>
                    <w:t>-1 956 289</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B016B4" w:rsidRDefault="00B016B4" w:rsidP="00B016B4">
            <w:pPr>
              <w:spacing w:before="60" w:after="60"/>
              <w:rPr>
                <w:rFonts w:ascii="Times New Roman" w:hAnsi="Times New Roman"/>
                <w:sz w:val="24"/>
                <w:szCs w:val="24"/>
              </w:rPr>
            </w:pPr>
            <w:r w:rsidRPr="009E73B1">
              <w:rPr>
                <w:rFonts w:ascii="Times New Roman" w:hAnsi="Times New Roman"/>
              </w:rPr>
              <w:t xml:space="preserve">2) </w:t>
            </w:r>
            <w:r w:rsidRPr="00B016B4">
              <w:rPr>
                <w:rFonts w:ascii="Times New Roman" w:hAnsi="Times New Roman"/>
                <w:sz w:val="24"/>
                <w:szCs w:val="24"/>
              </w:rPr>
              <w:t>Kvalifikācijas perioda ieviešana, tiesību noteikšanai uz slimības pabalstu (likumprojekta 5.pants).</w:t>
            </w:r>
          </w:p>
          <w:p w:rsidR="00B016B4" w:rsidRPr="009E73B1" w:rsidRDefault="00B016B4" w:rsidP="00B016B4">
            <w:pPr>
              <w:spacing w:before="60" w:after="60"/>
              <w:rPr>
                <w:rFonts w:ascii="Times New Roman" w:hAnsi="Times New Roman"/>
                <w:sz w:val="24"/>
                <w:szCs w:val="24"/>
              </w:rPr>
            </w:pPr>
            <w:r w:rsidRPr="009E73B1">
              <w:rPr>
                <w:rFonts w:ascii="Times New Roman" w:hAnsi="Times New Roman"/>
                <w:sz w:val="24"/>
                <w:szCs w:val="24"/>
              </w:rPr>
              <w:t>Veikts pieņēmums, ka ieviešot kvalifikācijas periodu tiesību noteikšanai uz slimības pabalstu, vidējais pabalsta saņēmēju skaits samazināsies (pret bāzes projektu) par aptuveni 0.27% vidēji gadā.</w:t>
            </w:r>
          </w:p>
          <w:tbl>
            <w:tblPr>
              <w:tblStyle w:val="TableGrid"/>
              <w:tblW w:w="0" w:type="auto"/>
              <w:tblLook w:val="04A0" w:firstRow="1" w:lastRow="0" w:firstColumn="1" w:lastColumn="0" w:noHBand="0" w:noVBand="1"/>
            </w:tblPr>
            <w:tblGrid>
              <w:gridCol w:w="1753"/>
              <w:gridCol w:w="1690"/>
              <w:gridCol w:w="1690"/>
              <w:gridCol w:w="1691"/>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kontingenta samazinājums</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0</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-44</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-46</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0</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-488 816</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-542 077</w:t>
                  </w:r>
                </w:p>
              </w:tc>
            </w:tr>
          </w:tbl>
          <w:p w:rsidR="00B016B4" w:rsidRPr="009E73B1" w:rsidRDefault="00B016B4" w:rsidP="00B016B4">
            <w:pPr>
              <w:spacing w:before="60" w:after="60"/>
              <w:rPr>
                <w:rFonts w:ascii="Times New Roman" w:hAnsi="Times New Roman"/>
                <w:sz w:val="24"/>
                <w:szCs w:val="24"/>
              </w:rPr>
            </w:pPr>
          </w:p>
          <w:p w:rsidR="00B016B4" w:rsidRPr="00B016B4" w:rsidRDefault="00B016B4" w:rsidP="00B016B4">
            <w:pPr>
              <w:spacing w:before="60" w:after="60"/>
              <w:rPr>
                <w:rFonts w:ascii="Times New Roman" w:hAnsi="Times New Roman"/>
                <w:sz w:val="24"/>
                <w:szCs w:val="24"/>
              </w:rPr>
            </w:pPr>
            <w:r w:rsidRPr="009E73B1">
              <w:rPr>
                <w:rFonts w:ascii="Times New Roman" w:hAnsi="Times New Roman"/>
              </w:rPr>
              <w:t xml:space="preserve">3) </w:t>
            </w:r>
            <w:r w:rsidRPr="00B016B4">
              <w:rPr>
                <w:rFonts w:ascii="Times New Roman" w:hAnsi="Times New Roman"/>
                <w:sz w:val="24"/>
                <w:szCs w:val="24"/>
              </w:rPr>
              <w:t>Darbnespējas kontroles uzlabošana (likumprojekta 7.pants).</w:t>
            </w:r>
          </w:p>
          <w:p w:rsidR="00B016B4" w:rsidRPr="009E73B1" w:rsidRDefault="00B016B4" w:rsidP="00B016B4">
            <w:pPr>
              <w:spacing w:before="60" w:after="60"/>
              <w:rPr>
                <w:rFonts w:ascii="Times New Roman" w:hAnsi="Times New Roman"/>
              </w:rPr>
            </w:pPr>
            <w:r w:rsidRPr="009E73B1">
              <w:rPr>
                <w:rFonts w:ascii="Times New Roman" w:hAnsi="Times New Roman"/>
                <w:sz w:val="24"/>
                <w:szCs w:val="24"/>
              </w:rPr>
              <w:t xml:space="preserve">Veikts pieņēmums, ka uzlabojot darbnespējas kontroli, gan vidējais pabalsta saņēmēju skaits, gan vidējais pabalsta apmērs 2017.gadā samazināsies (pret bāzes projektu) par aptuveni 0.32% vidēji gadā, kas dos kopējo ietaupījumu </w:t>
            </w:r>
            <w:r w:rsidRPr="009E73B1">
              <w:rPr>
                <w:rFonts w:ascii="Times New Roman" w:hAnsi="Times New Roman"/>
              </w:rPr>
              <w:t>1 013 239 EUR apmērā.</w:t>
            </w:r>
          </w:p>
          <w:p w:rsidR="00B016B4" w:rsidRPr="009E73B1" w:rsidRDefault="00B016B4" w:rsidP="00B016B4">
            <w:pPr>
              <w:spacing w:before="60" w:after="60"/>
              <w:rPr>
                <w:rFonts w:ascii="Times New Roman" w:hAnsi="Times New Roman"/>
              </w:rPr>
            </w:pPr>
          </w:p>
          <w:tbl>
            <w:tblPr>
              <w:tblStyle w:val="TableGrid"/>
              <w:tblW w:w="0" w:type="auto"/>
              <w:tblLook w:val="04A0" w:firstRow="1" w:lastRow="0" w:firstColumn="1" w:lastColumn="0" w:noHBand="0" w:noVBand="1"/>
            </w:tblPr>
            <w:tblGrid>
              <w:gridCol w:w="1777"/>
              <w:gridCol w:w="1777"/>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kontingenta samazinājums</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-51</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apmēra samazinājums,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-2.67</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-1 013 239</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sz w:val="24"/>
                <w:szCs w:val="24"/>
              </w:rPr>
            </w:pPr>
          </w:p>
          <w:p w:rsidR="00B016B4" w:rsidRPr="009E73B1" w:rsidRDefault="00B016B4" w:rsidP="00B016B4">
            <w:pPr>
              <w:spacing w:before="60" w:after="60"/>
              <w:rPr>
                <w:rFonts w:ascii="Times New Roman" w:hAnsi="Times New Roman"/>
                <w:sz w:val="24"/>
                <w:szCs w:val="24"/>
              </w:rPr>
            </w:pPr>
            <w:r w:rsidRPr="009E73B1">
              <w:rPr>
                <w:rFonts w:ascii="Times New Roman" w:hAnsi="Times New Roman"/>
                <w:sz w:val="24"/>
                <w:szCs w:val="24"/>
              </w:rPr>
              <w:t>4) Korekcijas vidējās iemaksu algas aprēķinā</w:t>
            </w:r>
            <w:r>
              <w:rPr>
                <w:rFonts w:ascii="Times New Roman" w:hAnsi="Times New Roman"/>
                <w:sz w:val="24"/>
                <w:szCs w:val="24"/>
              </w:rPr>
              <w:t xml:space="preserve"> </w:t>
            </w:r>
            <w:r>
              <w:rPr>
                <w:rFonts w:ascii="Times New Roman" w:hAnsi="Times New Roman"/>
              </w:rPr>
              <w:t>(likumprojekta 10.pants un pārejas noteikumu 31. un 32.punkts).</w:t>
            </w:r>
          </w:p>
          <w:p w:rsidR="00B016B4" w:rsidRDefault="00B016B4" w:rsidP="00B016B4">
            <w:pPr>
              <w:spacing w:before="60" w:after="60"/>
              <w:rPr>
                <w:rFonts w:ascii="Times New Roman" w:hAnsi="Times New Roman"/>
                <w:sz w:val="24"/>
                <w:szCs w:val="24"/>
              </w:rPr>
            </w:pPr>
            <w:r w:rsidRPr="009E73B1">
              <w:rPr>
                <w:rFonts w:ascii="Times New Roman" w:hAnsi="Times New Roman"/>
                <w:sz w:val="24"/>
                <w:szCs w:val="24"/>
              </w:rPr>
              <w:t>Veikts pieņēmums, ka pārskatot vidējās apdrošināšanas iemaksu algas aprēķināšanu, pabalstu apmērs vidēji samazinātos (pret bāzes projektu) par 0.7-0.8%.</w:t>
            </w:r>
          </w:p>
          <w:p w:rsidR="00F5335C" w:rsidRPr="009E73B1" w:rsidRDefault="00F5335C" w:rsidP="00B016B4">
            <w:pPr>
              <w:spacing w:before="60" w:after="60"/>
              <w:rPr>
                <w:rFonts w:ascii="Times New Roman" w:hAnsi="Times New Roman"/>
              </w:rPr>
            </w:pP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apmēra samazinājums,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-7.12</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-7.05</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-1 419 906</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-1 449 759</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rPr>
            </w:pPr>
          </w:p>
          <w:p w:rsidR="00B016B4" w:rsidRPr="009E73B1" w:rsidRDefault="00B016B4" w:rsidP="00B016B4">
            <w:pPr>
              <w:spacing w:before="60" w:after="60"/>
              <w:rPr>
                <w:rFonts w:ascii="Times New Roman" w:hAnsi="Times New Roman"/>
              </w:rPr>
            </w:pPr>
            <w:r w:rsidRPr="009E73B1">
              <w:rPr>
                <w:rFonts w:ascii="Times New Roman" w:hAnsi="Times New Roman"/>
              </w:rPr>
              <w:t>5) Kopējais ietaupījums slimības pabalstiem, EUR</w:t>
            </w:r>
          </w:p>
          <w:tbl>
            <w:tblPr>
              <w:tblStyle w:val="TableGrid"/>
              <w:tblW w:w="0" w:type="auto"/>
              <w:tblLook w:val="04A0" w:firstRow="1" w:lastRow="0" w:firstColumn="1" w:lastColumn="0" w:noHBand="0" w:noVBand="1"/>
            </w:tblPr>
            <w:tblGrid>
              <w:gridCol w:w="2274"/>
              <w:gridCol w:w="2275"/>
              <w:gridCol w:w="2275"/>
            </w:tblGrid>
            <w:tr w:rsidR="00B016B4" w:rsidRPr="009E73B1" w:rsidTr="00B016B4">
              <w:tc>
                <w:tcPr>
                  <w:tcW w:w="2369"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2369"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-2 746 700</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-3 768 904</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-3 948 125</w:t>
                  </w:r>
                </w:p>
              </w:tc>
            </w:tr>
          </w:tbl>
          <w:p w:rsidR="00B016B4" w:rsidRDefault="00B016B4" w:rsidP="00B016B4">
            <w:pPr>
              <w:spacing w:before="60" w:after="60"/>
              <w:rPr>
                <w:rFonts w:ascii="Times New Roman" w:hAnsi="Times New Roman"/>
              </w:rPr>
            </w:pPr>
          </w:p>
          <w:p w:rsidR="00B016B4" w:rsidRPr="009E73B1" w:rsidRDefault="00B016B4" w:rsidP="00B016B4">
            <w:pPr>
              <w:spacing w:before="60" w:after="60"/>
              <w:rPr>
                <w:rFonts w:ascii="Times New Roman" w:hAnsi="Times New Roman"/>
                <w:b/>
                <w:sz w:val="24"/>
                <w:szCs w:val="24"/>
                <w:u w:val="single"/>
              </w:rPr>
            </w:pPr>
            <w:r w:rsidRPr="009E73B1">
              <w:rPr>
                <w:rFonts w:ascii="Times New Roman" w:hAnsi="Times New Roman"/>
                <w:b/>
                <w:sz w:val="24"/>
                <w:szCs w:val="24"/>
                <w:u w:val="single"/>
              </w:rPr>
              <w:t>II  Maternitātes  pabalsts</w:t>
            </w:r>
          </w:p>
          <w:p w:rsidR="00B016B4" w:rsidRPr="009E73B1" w:rsidRDefault="00B016B4" w:rsidP="00B016B4">
            <w:pPr>
              <w:spacing w:after="120"/>
              <w:rPr>
                <w:rFonts w:ascii="Times New Roman" w:hAnsi="Times New Roman"/>
                <w:b/>
              </w:rPr>
            </w:pPr>
            <w:r w:rsidRPr="009E73B1">
              <w:rPr>
                <w:rFonts w:ascii="Times New Roman" w:hAnsi="Times New Roman"/>
                <w:b/>
              </w:rPr>
              <w:t>Maternitātes pabalsts (bāzes projekts)</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Kontingents</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1 695</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1 725</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2 878.06</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3 036.35</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Izdevumi, EUR</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58 539 740</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62 852 445</w:t>
                  </w:r>
                </w:p>
              </w:tc>
            </w:tr>
          </w:tbl>
          <w:p w:rsidR="00B016B4" w:rsidRPr="009E73B1" w:rsidRDefault="00B016B4" w:rsidP="00B016B4">
            <w:pPr>
              <w:spacing w:before="60" w:after="60"/>
              <w:rPr>
                <w:rFonts w:ascii="Times New Roman" w:hAnsi="Times New Roman"/>
              </w:rPr>
            </w:pPr>
          </w:p>
          <w:p w:rsidR="00B016B4" w:rsidRPr="009E73B1" w:rsidRDefault="00B016B4" w:rsidP="00B016B4">
            <w:pPr>
              <w:pStyle w:val="ListParagraph"/>
              <w:numPr>
                <w:ilvl w:val="0"/>
                <w:numId w:val="5"/>
              </w:numPr>
              <w:spacing w:before="60" w:after="60"/>
            </w:pPr>
            <w:r w:rsidRPr="009E73B1">
              <w:t>Korekcijas vidējās iemaksu algas aprēķinā</w:t>
            </w:r>
            <w:r>
              <w:t xml:space="preserve"> (likumprojekta 10.pants un pārejas noteikumu 31. un 32.punkts).</w:t>
            </w:r>
          </w:p>
          <w:p w:rsidR="00B016B4" w:rsidRPr="009E73B1" w:rsidRDefault="00B016B4" w:rsidP="00B016B4">
            <w:pPr>
              <w:spacing w:before="60" w:after="60"/>
              <w:rPr>
                <w:rFonts w:ascii="Times New Roman" w:hAnsi="Times New Roman"/>
              </w:rPr>
            </w:pPr>
            <w:r w:rsidRPr="009E73B1">
              <w:rPr>
                <w:rFonts w:ascii="Times New Roman" w:hAnsi="Times New Roman"/>
                <w:sz w:val="24"/>
                <w:szCs w:val="24"/>
              </w:rPr>
              <w:t>Veikts pieņēmums, ka pārskatot vidējās apdrošināšanas iemaksu algas aprēķināšanu, pabalstu apmērs vidēji samazinātos (pret bāzes projektu) par 0.7-0.8%.</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apmēra samazinājums,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-22.29</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-21.65</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-453 313</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-448 115</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u w:val="single"/>
              </w:rPr>
            </w:pPr>
          </w:p>
          <w:p w:rsidR="00B016B4" w:rsidRPr="009E73B1" w:rsidRDefault="00B016B4" w:rsidP="00B016B4">
            <w:pPr>
              <w:spacing w:before="60" w:after="60"/>
              <w:rPr>
                <w:rFonts w:ascii="Times New Roman" w:hAnsi="Times New Roman"/>
                <w:b/>
                <w:sz w:val="24"/>
                <w:szCs w:val="24"/>
                <w:u w:val="single"/>
              </w:rPr>
            </w:pPr>
            <w:r w:rsidRPr="009E73B1">
              <w:rPr>
                <w:rFonts w:ascii="Times New Roman" w:hAnsi="Times New Roman"/>
                <w:b/>
                <w:sz w:val="24"/>
                <w:szCs w:val="24"/>
                <w:u w:val="single"/>
              </w:rPr>
              <w:t>III</w:t>
            </w:r>
            <w:proofErr w:type="gramStart"/>
            <w:r w:rsidRPr="009E73B1">
              <w:rPr>
                <w:rFonts w:ascii="Times New Roman" w:hAnsi="Times New Roman"/>
                <w:b/>
                <w:sz w:val="24"/>
                <w:szCs w:val="24"/>
                <w:u w:val="single"/>
              </w:rPr>
              <w:t xml:space="preserve">  </w:t>
            </w:r>
            <w:proofErr w:type="gramEnd"/>
            <w:r w:rsidRPr="009E73B1">
              <w:rPr>
                <w:rFonts w:ascii="Times New Roman" w:hAnsi="Times New Roman"/>
                <w:b/>
                <w:sz w:val="24"/>
                <w:szCs w:val="24"/>
                <w:u w:val="single"/>
              </w:rPr>
              <w:t>Paternitātes  pabalsts</w:t>
            </w:r>
            <w:r>
              <w:rPr>
                <w:rFonts w:ascii="Times New Roman" w:hAnsi="Times New Roman"/>
                <w:b/>
                <w:sz w:val="24"/>
                <w:szCs w:val="24"/>
                <w:u w:val="single"/>
              </w:rPr>
              <w:t xml:space="preserve"> </w:t>
            </w:r>
          </w:p>
          <w:p w:rsidR="00B016B4" w:rsidRPr="009E73B1" w:rsidRDefault="00B016B4" w:rsidP="00B016B4">
            <w:pPr>
              <w:spacing w:after="120"/>
              <w:rPr>
                <w:rFonts w:ascii="Times New Roman" w:hAnsi="Times New Roman"/>
                <w:b/>
              </w:rPr>
            </w:pPr>
            <w:r w:rsidRPr="009E73B1">
              <w:rPr>
                <w:rFonts w:ascii="Times New Roman" w:hAnsi="Times New Roman"/>
                <w:b/>
              </w:rPr>
              <w:t>Paternitātes pabalsts (bāzes projekts)</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Kontingents</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1 203</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1 314</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330.30</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348.47</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Izdevumi, EUR</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4 768 211</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5 494 675</w:t>
                  </w:r>
                </w:p>
              </w:tc>
            </w:tr>
          </w:tbl>
          <w:p w:rsidR="00B016B4" w:rsidRPr="009E73B1" w:rsidRDefault="00B016B4" w:rsidP="00B016B4">
            <w:pPr>
              <w:spacing w:before="60" w:after="60"/>
              <w:rPr>
                <w:rFonts w:ascii="Times New Roman" w:hAnsi="Times New Roman"/>
              </w:rPr>
            </w:pPr>
          </w:p>
          <w:p w:rsidR="00B016B4" w:rsidRPr="009E73B1" w:rsidRDefault="00B016B4" w:rsidP="00B016B4">
            <w:pPr>
              <w:pStyle w:val="ListParagraph"/>
              <w:numPr>
                <w:ilvl w:val="0"/>
                <w:numId w:val="6"/>
              </w:numPr>
              <w:spacing w:before="60" w:after="60"/>
            </w:pPr>
            <w:r w:rsidRPr="009E73B1">
              <w:t>Korekcijas vidējās iemaksu algas aprēķinā</w:t>
            </w:r>
            <w:r>
              <w:t xml:space="preserve"> (likumprojekta 10.pants un pārejas noteikumu 31. un 32.punkts).</w:t>
            </w:r>
          </w:p>
          <w:p w:rsidR="00B016B4" w:rsidRPr="009E73B1" w:rsidRDefault="00B016B4" w:rsidP="00B016B4">
            <w:pPr>
              <w:spacing w:before="60" w:after="60"/>
              <w:rPr>
                <w:rFonts w:ascii="Times New Roman" w:hAnsi="Times New Roman"/>
              </w:rPr>
            </w:pPr>
            <w:r w:rsidRPr="009E73B1">
              <w:rPr>
                <w:rFonts w:ascii="Times New Roman" w:hAnsi="Times New Roman"/>
                <w:sz w:val="24"/>
                <w:szCs w:val="24"/>
              </w:rPr>
              <w:t>Veikts pieņēmums, ka pārskatot vidējās apdrošināšanas iemaksu algas aprēķināšanu, pabalstu apmērs vidēji samazinātos (pret bāzes projektu) par 0.7-0.8%.</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apmēra samazinājums, EUR</w:t>
                  </w:r>
                  <w:r>
                    <w:rPr>
                      <w:rFonts w:ascii="Times New Roman" w:hAnsi="Times New Roman"/>
                    </w:rPr>
                    <w:t xml:space="preserve"> (vidēji </w:t>
                  </w:r>
                  <w:r>
                    <w:rPr>
                      <w:rFonts w:ascii="Times New Roman" w:hAnsi="Times New Roman"/>
                    </w:rPr>
                    <w:lastRenderedPageBreak/>
                    <w:t>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lastRenderedPageBreak/>
                    <w:t>-2.56</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-2.48</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lastRenderedPageBreak/>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-36 923</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-39 175</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rPr>
            </w:pPr>
          </w:p>
          <w:p w:rsidR="00B016B4" w:rsidRPr="007A0CBA" w:rsidRDefault="00B016B4" w:rsidP="00B016B4">
            <w:pPr>
              <w:pStyle w:val="ListParagraph"/>
              <w:numPr>
                <w:ilvl w:val="0"/>
                <w:numId w:val="6"/>
              </w:numPr>
              <w:spacing w:before="60" w:after="60"/>
            </w:pPr>
            <w:r w:rsidRPr="007A0CBA">
              <w:t>Izmaksāt paternitātes pabalstu vienam no vecākiem, kurš adoptējis bērnu vecumā līdz trim gadiem (par Darba likuma 155.panta piektajā daļā piešķirto 10 kalendāra dienas ilgo atvaļinājumu)</w:t>
            </w:r>
            <w:r>
              <w:t xml:space="preserve"> (likumprojekta 2.pants un pārejas noteikumu 28.punkts).</w:t>
            </w:r>
          </w:p>
          <w:p w:rsidR="00B016B4" w:rsidRPr="00997355" w:rsidRDefault="00B016B4" w:rsidP="00B016B4">
            <w:pPr>
              <w:spacing w:before="60" w:after="60"/>
              <w:rPr>
                <w:rFonts w:ascii="Times New Roman" w:hAnsi="Times New Roman"/>
                <w:sz w:val="24"/>
                <w:szCs w:val="24"/>
              </w:rPr>
            </w:pPr>
            <w:r w:rsidRPr="00997355">
              <w:rPr>
                <w:rFonts w:ascii="Times New Roman" w:hAnsi="Times New Roman"/>
                <w:sz w:val="24"/>
                <w:szCs w:val="24"/>
              </w:rPr>
              <w:t>Tiek pieņemts, ka 2017.gadā pusei no atlīdzības par adoptējamā bērna aprūpi saņēmējiem būtu tiesības uz paternitātes pabalstu. Ņemot vērā īstenotos pasākumus adopcijas un ārpusģimenes aprūpes sistēmas pilnveidošanai, plānotais pabalstu skaits 2017.gadā – 15, 2018.gadā – 41, bet 2019.gadā – 39.  Paternitātes pabalsta plānotais apmērs ir 2017.gadā: 303.71 EUR; 2018.gadā 330.30 EUR; 2019.gadā: 348.47 EUR.</w:t>
            </w:r>
          </w:p>
          <w:tbl>
            <w:tblPr>
              <w:tblStyle w:val="TableGrid"/>
              <w:tblW w:w="0" w:type="auto"/>
              <w:tblLook w:val="04A0" w:firstRow="1" w:lastRow="0" w:firstColumn="1" w:lastColumn="0" w:noHBand="0" w:noVBand="1"/>
            </w:tblPr>
            <w:tblGrid>
              <w:gridCol w:w="1724"/>
              <w:gridCol w:w="1699"/>
              <w:gridCol w:w="1700"/>
              <w:gridCol w:w="1701"/>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papildus, EUR *</w:t>
                  </w:r>
                </w:p>
              </w:tc>
              <w:tc>
                <w:tcPr>
                  <w:tcW w:w="1777" w:type="dxa"/>
                  <w:vAlign w:val="bottom"/>
                </w:tcPr>
                <w:p w:rsidR="00B016B4" w:rsidRPr="009E73B1" w:rsidRDefault="00B016B4" w:rsidP="00B016B4">
                  <w:pPr>
                    <w:spacing w:after="120"/>
                    <w:jc w:val="center"/>
                    <w:rPr>
                      <w:rFonts w:ascii="Times New Roman" w:hAnsi="Times New Roman"/>
                    </w:rPr>
                  </w:pPr>
                  <w:r w:rsidRPr="009E73B1">
                    <w:rPr>
                      <w:rFonts w:ascii="Times New Roman" w:hAnsi="Times New Roman"/>
                    </w:rPr>
                    <w:t>+53 393</w:t>
                  </w:r>
                </w:p>
              </w:tc>
              <w:tc>
                <w:tcPr>
                  <w:tcW w:w="1777" w:type="dxa"/>
                  <w:vAlign w:val="bottom"/>
                </w:tcPr>
                <w:p w:rsidR="00B016B4" w:rsidRPr="009E73B1" w:rsidRDefault="00B016B4" w:rsidP="00B016B4">
                  <w:pPr>
                    <w:spacing w:after="120"/>
                    <w:jc w:val="center"/>
                    <w:rPr>
                      <w:rFonts w:ascii="Times New Roman" w:hAnsi="Times New Roman"/>
                    </w:rPr>
                  </w:pPr>
                  <w:r w:rsidRPr="009E73B1">
                    <w:rPr>
                      <w:rFonts w:ascii="Times New Roman" w:hAnsi="Times New Roman"/>
                    </w:rPr>
                    <w:t>+161 393</w:t>
                  </w:r>
                </w:p>
              </w:tc>
              <w:tc>
                <w:tcPr>
                  <w:tcW w:w="1778" w:type="dxa"/>
                  <w:vAlign w:val="bottom"/>
                </w:tcPr>
                <w:p w:rsidR="00B016B4" w:rsidRPr="009E73B1" w:rsidRDefault="00B016B4" w:rsidP="00B016B4">
                  <w:pPr>
                    <w:spacing w:after="120"/>
                    <w:jc w:val="center"/>
                    <w:rPr>
                      <w:rFonts w:ascii="Times New Roman" w:hAnsi="Times New Roman"/>
                    </w:rPr>
                  </w:pPr>
                  <w:r w:rsidRPr="009E73B1">
                    <w:rPr>
                      <w:rFonts w:ascii="Times New Roman" w:hAnsi="Times New Roman"/>
                    </w:rPr>
                    <w:t>+161 393</w:t>
                  </w:r>
                </w:p>
              </w:tc>
            </w:tr>
          </w:tbl>
          <w:p w:rsidR="00B016B4" w:rsidRPr="009E73B1" w:rsidRDefault="00B016B4" w:rsidP="00B016B4">
            <w:pPr>
              <w:pStyle w:val="ListParagraph"/>
              <w:spacing w:before="60" w:after="60"/>
              <w:ind w:left="360"/>
              <w:rPr>
                <w:i/>
                <w:sz w:val="16"/>
                <w:szCs w:val="16"/>
              </w:rPr>
            </w:pPr>
            <w:r w:rsidRPr="009E73B1">
              <w:rPr>
                <w:i/>
                <w:sz w:val="16"/>
                <w:szCs w:val="16"/>
              </w:rPr>
              <w:t>*Prognoze.</w:t>
            </w:r>
          </w:p>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rPr>
            </w:pPr>
          </w:p>
          <w:p w:rsidR="00B016B4" w:rsidRPr="009E73B1" w:rsidRDefault="00EA0BAF" w:rsidP="00B016B4">
            <w:pPr>
              <w:spacing w:before="60" w:after="60"/>
              <w:rPr>
                <w:rFonts w:ascii="Times New Roman" w:hAnsi="Times New Roman"/>
              </w:rPr>
            </w:pPr>
            <w:r>
              <w:rPr>
                <w:rFonts w:ascii="Times New Roman" w:hAnsi="Times New Roman"/>
              </w:rPr>
              <w:t xml:space="preserve">3) Kopējā ietekme </w:t>
            </w:r>
            <w:r w:rsidR="00B016B4" w:rsidRPr="009E73B1">
              <w:rPr>
                <w:rFonts w:ascii="Times New Roman" w:hAnsi="Times New Roman"/>
              </w:rPr>
              <w:t>uz paternitātes pabalstu izdevumiem, EUR</w:t>
            </w:r>
          </w:p>
          <w:tbl>
            <w:tblPr>
              <w:tblStyle w:val="TableGrid"/>
              <w:tblW w:w="0" w:type="auto"/>
              <w:tblLook w:val="04A0" w:firstRow="1" w:lastRow="0" w:firstColumn="1" w:lastColumn="0" w:noHBand="0" w:noVBand="1"/>
            </w:tblPr>
            <w:tblGrid>
              <w:gridCol w:w="2274"/>
              <w:gridCol w:w="2275"/>
              <w:gridCol w:w="2275"/>
            </w:tblGrid>
            <w:tr w:rsidR="00B016B4" w:rsidRPr="009E73B1" w:rsidTr="00B016B4">
              <w:tc>
                <w:tcPr>
                  <w:tcW w:w="2369"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2369"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+53 393</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+124 470</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+122 218</w:t>
                  </w:r>
                </w:p>
              </w:tc>
            </w:tr>
          </w:tbl>
          <w:p w:rsidR="00B016B4" w:rsidRPr="009E73B1" w:rsidRDefault="00B016B4" w:rsidP="00B016B4">
            <w:pPr>
              <w:spacing w:before="60" w:after="60"/>
              <w:rPr>
                <w:rFonts w:ascii="Times New Roman" w:hAnsi="Times New Roman"/>
              </w:rPr>
            </w:pPr>
          </w:p>
          <w:p w:rsidR="00B016B4" w:rsidRPr="009E73B1" w:rsidRDefault="00B016B4" w:rsidP="00B016B4">
            <w:pPr>
              <w:spacing w:before="60" w:after="60"/>
              <w:rPr>
                <w:rFonts w:ascii="Times New Roman" w:hAnsi="Times New Roman"/>
                <w:b/>
              </w:rPr>
            </w:pPr>
            <w:r w:rsidRPr="009E73B1">
              <w:rPr>
                <w:rFonts w:ascii="Times New Roman" w:hAnsi="Times New Roman"/>
                <w:b/>
                <w:sz w:val="24"/>
                <w:szCs w:val="24"/>
                <w:u w:val="single"/>
              </w:rPr>
              <w:t>IV</w:t>
            </w:r>
            <w:proofErr w:type="gramStart"/>
            <w:r w:rsidRPr="009E73B1">
              <w:rPr>
                <w:rFonts w:ascii="Times New Roman" w:hAnsi="Times New Roman"/>
                <w:b/>
                <w:sz w:val="24"/>
                <w:szCs w:val="24"/>
                <w:u w:val="single"/>
              </w:rPr>
              <w:t xml:space="preserve">  </w:t>
            </w:r>
            <w:proofErr w:type="gramEnd"/>
            <w:r w:rsidRPr="009E73B1">
              <w:rPr>
                <w:rFonts w:ascii="Times New Roman" w:hAnsi="Times New Roman"/>
                <w:b/>
                <w:sz w:val="24"/>
                <w:szCs w:val="24"/>
                <w:u w:val="single"/>
              </w:rPr>
              <w:t>Vecāku</w:t>
            </w:r>
            <w:r w:rsidRPr="009E73B1">
              <w:rPr>
                <w:rFonts w:ascii="Times New Roman" w:hAnsi="Times New Roman"/>
                <w:b/>
                <w:vanish/>
                <w:sz w:val="24"/>
                <w:szCs w:val="24"/>
                <w:u w:val="single"/>
              </w:rPr>
              <w:t>sniti 2.las kops</w:t>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vanish/>
                <w:sz w:val="24"/>
                <w:szCs w:val="24"/>
                <w:u w:val="single"/>
              </w:rPr>
              <w:pgNum/>
            </w:r>
            <w:r w:rsidRPr="009E73B1">
              <w:rPr>
                <w:rFonts w:ascii="Times New Roman" w:hAnsi="Times New Roman"/>
                <w:b/>
                <w:sz w:val="24"/>
                <w:szCs w:val="24"/>
                <w:u w:val="single"/>
              </w:rPr>
              <w:t xml:space="preserve">  pabalsts</w:t>
            </w:r>
          </w:p>
          <w:p w:rsidR="00B016B4" w:rsidRPr="009E73B1" w:rsidRDefault="00B016B4" w:rsidP="00B016B4">
            <w:pPr>
              <w:spacing w:after="120"/>
              <w:rPr>
                <w:rFonts w:ascii="Times New Roman" w:hAnsi="Times New Roman"/>
                <w:b/>
              </w:rPr>
            </w:pPr>
            <w:r w:rsidRPr="009E73B1">
              <w:rPr>
                <w:rFonts w:ascii="Times New Roman" w:hAnsi="Times New Roman"/>
                <w:b/>
              </w:rPr>
              <w:t>Vecāku pabalsts (bāzes projekts)</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Kontingents</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24 108</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24 577</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apmērs,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398.52</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424.51</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Izdevumi, EUR</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115 290 242</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125 198 187</w:t>
                  </w:r>
                </w:p>
              </w:tc>
            </w:tr>
          </w:tbl>
          <w:p w:rsidR="00B016B4" w:rsidRPr="009E73B1" w:rsidRDefault="00B016B4" w:rsidP="00B016B4">
            <w:pPr>
              <w:spacing w:before="60" w:after="60"/>
              <w:rPr>
                <w:rFonts w:ascii="Times New Roman" w:hAnsi="Times New Roman"/>
              </w:rPr>
            </w:pPr>
          </w:p>
          <w:p w:rsidR="00B016B4" w:rsidRPr="009E73B1" w:rsidRDefault="00B016B4" w:rsidP="00B016B4">
            <w:pPr>
              <w:pStyle w:val="ListParagraph"/>
              <w:numPr>
                <w:ilvl w:val="0"/>
                <w:numId w:val="7"/>
              </w:numPr>
              <w:spacing w:before="60" w:after="60"/>
            </w:pPr>
            <w:r w:rsidRPr="009E73B1">
              <w:t>Korekcijas vidējās iemaksu algas aprēķinā</w:t>
            </w:r>
            <w:r>
              <w:t xml:space="preserve"> (likumprojekta 10.pants un pārejas noteikumu 31. un 32.punkts).</w:t>
            </w:r>
          </w:p>
          <w:p w:rsidR="00B016B4" w:rsidRPr="009E73B1" w:rsidRDefault="00B016B4" w:rsidP="00B016B4">
            <w:pPr>
              <w:spacing w:before="60" w:after="60"/>
              <w:rPr>
                <w:rFonts w:ascii="Times New Roman" w:hAnsi="Times New Roman"/>
              </w:rPr>
            </w:pPr>
            <w:r w:rsidRPr="009E73B1">
              <w:rPr>
                <w:rFonts w:ascii="Times New Roman" w:hAnsi="Times New Roman"/>
                <w:sz w:val="24"/>
                <w:szCs w:val="24"/>
              </w:rPr>
              <w:t>Veikts pieņēmums, ka pārskatot vidējās apdrošināšanas iemaksu algas aprēķināšanu, pabalstu apmērs vidēji samazinātos (pret bāzes projektu) par 0.7%.</w:t>
            </w:r>
          </w:p>
          <w:tbl>
            <w:tblPr>
              <w:tblStyle w:val="TableGrid"/>
              <w:tblW w:w="0" w:type="auto"/>
              <w:tblLook w:val="04A0" w:firstRow="1" w:lastRow="0" w:firstColumn="1" w:lastColumn="0" w:noHBand="0" w:noVBand="1"/>
            </w:tblPr>
            <w:tblGrid>
              <w:gridCol w:w="1777"/>
              <w:gridCol w:w="1777"/>
              <w:gridCol w:w="1778"/>
            </w:tblGrid>
            <w:tr w:rsidR="00B016B4" w:rsidRPr="009E73B1" w:rsidTr="00B016B4">
              <w:tc>
                <w:tcPr>
                  <w:tcW w:w="1777" w:type="dxa"/>
                </w:tcPr>
                <w:p w:rsidR="00B016B4" w:rsidRPr="009E73B1" w:rsidRDefault="00B016B4" w:rsidP="00B016B4">
                  <w:pPr>
                    <w:spacing w:after="120"/>
                    <w:jc w:val="center"/>
                    <w:rPr>
                      <w:rFonts w:ascii="Times New Roman" w:hAnsi="Times New Roman"/>
                      <w:b/>
                    </w:rPr>
                  </w:pPr>
                </w:p>
              </w:tc>
              <w:tc>
                <w:tcPr>
                  <w:tcW w:w="1777"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1778"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lastRenderedPageBreak/>
                    <w:t>apmēra samazinājums, EUR</w:t>
                  </w:r>
                  <w:r>
                    <w:rPr>
                      <w:rFonts w:ascii="Times New Roman" w:hAnsi="Times New Roman"/>
                    </w:rPr>
                    <w:t xml:space="preserve"> (vidēji mēnesī)</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-3.09</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-3.03</w:t>
                  </w:r>
                </w:p>
              </w:tc>
            </w:tr>
            <w:tr w:rsidR="00B016B4" w:rsidRPr="009E73B1" w:rsidTr="00B016B4">
              <w:tc>
                <w:tcPr>
                  <w:tcW w:w="1777" w:type="dxa"/>
                </w:tcPr>
                <w:p w:rsidR="00B016B4" w:rsidRPr="009E73B1" w:rsidRDefault="00B016B4" w:rsidP="00B016B4">
                  <w:pPr>
                    <w:spacing w:after="120"/>
                    <w:rPr>
                      <w:rFonts w:ascii="Times New Roman" w:hAnsi="Times New Roman"/>
                    </w:rPr>
                  </w:pPr>
                  <w:r w:rsidRPr="009E73B1">
                    <w:rPr>
                      <w:rFonts w:ascii="Times New Roman" w:hAnsi="Times New Roman"/>
                    </w:rPr>
                    <w:t>ietaupījums, EUR *</w:t>
                  </w:r>
                </w:p>
              </w:tc>
              <w:tc>
                <w:tcPr>
                  <w:tcW w:w="1777"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-892 770</w:t>
                  </w:r>
                </w:p>
              </w:tc>
              <w:tc>
                <w:tcPr>
                  <w:tcW w:w="1778" w:type="dxa"/>
                  <w:vAlign w:val="center"/>
                </w:tcPr>
                <w:p w:rsidR="00B016B4" w:rsidRPr="009E73B1" w:rsidRDefault="00B016B4" w:rsidP="00B016B4">
                  <w:pPr>
                    <w:spacing w:after="120"/>
                    <w:jc w:val="center"/>
                    <w:rPr>
                      <w:rFonts w:ascii="Times New Roman" w:hAnsi="Times New Roman"/>
                    </w:rPr>
                  </w:pPr>
                  <w:r w:rsidRPr="009E73B1">
                    <w:rPr>
                      <w:rFonts w:ascii="Times New Roman" w:hAnsi="Times New Roman"/>
                    </w:rPr>
                    <w:t>-892 618</w:t>
                  </w:r>
                </w:p>
              </w:tc>
            </w:tr>
          </w:tbl>
          <w:p w:rsidR="00B016B4" w:rsidRPr="009E73B1" w:rsidRDefault="00B016B4" w:rsidP="00B016B4">
            <w:pPr>
              <w:spacing w:before="60" w:after="60"/>
              <w:rPr>
                <w:rFonts w:ascii="Times New Roman" w:hAnsi="Times New Roman"/>
                <w:i/>
              </w:rPr>
            </w:pPr>
            <w:r w:rsidRPr="009E73B1">
              <w:rPr>
                <w:rFonts w:ascii="Times New Roman" w:hAnsi="Times New Roman"/>
                <w:i/>
              </w:rPr>
              <w:t>* precizitāti ietekmē aprēķinu veikšana Excel (uz noapaļošanas rēķina)</w:t>
            </w:r>
          </w:p>
          <w:p w:rsidR="00B016B4" w:rsidRPr="009E73B1" w:rsidRDefault="00B016B4" w:rsidP="00B016B4">
            <w:pPr>
              <w:spacing w:before="60" w:after="60"/>
              <w:rPr>
                <w:rFonts w:ascii="Times New Roman" w:hAnsi="Times New Roman"/>
              </w:rPr>
            </w:pPr>
          </w:p>
          <w:p w:rsidR="00B016B4" w:rsidRPr="00997355" w:rsidRDefault="00B016B4" w:rsidP="00B016B4">
            <w:pPr>
              <w:spacing w:before="60" w:after="60"/>
              <w:rPr>
                <w:rFonts w:ascii="Times New Roman" w:hAnsi="Times New Roman"/>
                <w:sz w:val="24"/>
                <w:szCs w:val="24"/>
              </w:rPr>
            </w:pPr>
            <w:r w:rsidRPr="00997355">
              <w:rPr>
                <w:rFonts w:ascii="Times New Roman" w:hAnsi="Times New Roman"/>
                <w:sz w:val="24"/>
                <w:szCs w:val="24"/>
              </w:rPr>
              <w:t xml:space="preserve">Ņemot vērā, ka atbilstoši Ministru kabineta 2016.gada 18.augusta sēdes prot.Nr.41, 5.§ 18.3.apakšpunktam tika noteikts izdevumu samazinājums slimības pabalsta izmaksām 2017.gadam 2 746 700 </w:t>
            </w:r>
            <w:proofErr w:type="spellStart"/>
            <w:r w:rsidRPr="00997355">
              <w:rPr>
                <w:rFonts w:ascii="Times New Roman" w:hAnsi="Times New Roman"/>
                <w:sz w:val="24"/>
                <w:szCs w:val="24"/>
              </w:rPr>
              <w:t>euro</w:t>
            </w:r>
            <w:proofErr w:type="spellEnd"/>
            <w:r w:rsidRPr="00997355">
              <w:rPr>
                <w:rFonts w:ascii="Times New Roman" w:hAnsi="Times New Roman"/>
                <w:sz w:val="24"/>
                <w:szCs w:val="24"/>
              </w:rPr>
              <w:t xml:space="preserve"> apmērā, 2018.gadam 5 151 910 </w:t>
            </w:r>
            <w:proofErr w:type="spellStart"/>
            <w:r w:rsidRPr="00997355">
              <w:rPr>
                <w:rFonts w:ascii="Times New Roman" w:hAnsi="Times New Roman"/>
                <w:sz w:val="24"/>
                <w:szCs w:val="24"/>
              </w:rPr>
              <w:t>euro</w:t>
            </w:r>
            <w:proofErr w:type="spellEnd"/>
            <w:r w:rsidRPr="00997355">
              <w:rPr>
                <w:rFonts w:ascii="Times New Roman" w:hAnsi="Times New Roman"/>
                <w:sz w:val="24"/>
                <w:szCs w:val="24"/>
              </w:rPr>
              <w:t xml:space="preserve"> apmērā un 2019.gadam 5 328 033 </w:t>
            </w:r>
            <w:proofErr w:type="spellStart"/>
            <w:r w:rsidRPr="00997355">
              <w:rPr>
                <w:rFonts w:ascii="Times New Roman" w:hAnsi="Times New Roman"/>
                <w:sz w:val="24"/>
                <w:szCs w:val="24"/>
              </w:rPr>
              <w:t>euro</w:t>
            </w:r>
            <w:proofErr w:type="spellEnd"/>
            <w:r w:rsidRPr="00997355">
              <w:rPr>
                <w:rFonts w:ascii="Times New Roman" w:hAnsi="Times New Roman"/>
                <w:sz w:val="24"/>
                <w:szCs w:val="24"/>
              </w:rPr>
              <w:t xml:space="preserve"> apmērā, savukārt atbilstoši likumprojekta anotācijā norādītājam likumprojektā paredzēto pasākumu īstenošanai samazinājums plānots arī maternitātes, paternitātes un vecāku pabalsta izmaksām, likumprojektam pievienojams Ministru kabineta sēdes </w:t>
            </w:r>
            <w:proofErr w:type="spellStart"/>
            <w:r w:rsidRPr="00997355">
              <w:rPr>
                <w:rFonts w:ascii="Times New Roman" w:hAnsi="Times New Roman"/>
                <w:sz w:val="24"/>
                <w:szCs w:val="24"/>
              </w:rPr>
              <w:t>protokollēmuma</w:t>
            </w:r>
            <w:proofErr w:type="spellEnd"/>
            <w:r w:rsidRPr="00997355">
              <w:rPr>
                <w:rFonts w:ascii="Times New Roman" w:hAnsi="Times New Roman"/>
                <w:sz w:val="24"/>
                <w:szCs w:val="24"/>
              </w:rPr>
              <w:t xml:space="preserve"> projekts </w:t>
            </w:r>
            <w:proofErr w:type="gramStart"/>
            <w:r w:rsidRPr="00997355">
              <w:rPr>
                <w:rFonts w:ascii="Times New Roman" w:hAnsi="Times New Roman"/>
                <w:sz w:val="24"/>
                <w:szCs w:val="24"/>
              </w:rPr>
              <w:t>(</w:t>
            </w:r>
            <w:proofErr w:type="gramEnd"/>
            <w:r w:rsidRPr="00997355">
              <w:rPr>
                <w:rFonts w:ascii="Times New Roman" w:hAnsi="Times New Roman"/>
                <w:sz w:val="24"/>
                <w:szCs w:val="24"/>
              </w:rPr>
              <w:t>skat. 7.punktu „Cita informācija</w:t>
            </w:r>
            <w:r w:rsidR="00997355">
              <w:rPr>
                <w:rFonts w:ascii="Times New Roman" w:hAnsi="Times New Roman"/>
                <w:sz w:val="24"/>
                <w:szCs w:val="24"/>
              </w:rPr>
              <w:t>”.</w:t>
            </w:r>
          </w:p>
          <w:p w:rsidR="00EA0BAF" w:rsidRDefault="00EA0BAF" w:rsidP="00B016B4">
            <w:pPr>
              <w:spacing w:before="60" w:after="60"/>
              <w:rPr>
                <w:rFonts w:ascii="Times New Roman" w:hAnsi="Times New Roman"/>
                <w:b/>
                <w:sz w:val="24"/>
                <w:szCs w:val="24"/>
                <w:u w:val="single"/>
              </w:rPr>
            </w:pPr>
          </w:p>
          <w:p w:rsidR="00B016B4" w:rsidRPr="009E73B1" w:rsidRDefault="00B016B4" w:rsidP="00B016B4">
            <w:pPr>
              <w:spacing w:before="60" w:after="60"/>
              <w:rPr>
                <w:rFonts w:ascii="Times New Roman" w:hAnsi="Times New Roman"/>
                <w:b/>
                <w:sz w:val="24"/>
                <w:szCs w:val="24"/>
                <w:u w:val="single"/>
              </w:rPr>
            </w:pPr>
            <w:r w:rsidRPr="009E73B1">
              <w:rPr>
                <w:rFonts w:ascii="Times New Roman" w:hAnsi="Times New Roman"/>
                <w:b/>
                <w:sz w:val="24"/>
                <w:szCs w:val="24"/>
                <w:u w:val="single"/>
              </w:rPr>
              <w:t>V Kopējais ietaupījums sociālajiem pabalstiem, EUR</w:t>
            </w:r>
          </w:p>
          <w:p w:rsidR="00B016B4" w:rsidRPr="009E73B1" w:rsidRDefault="00B016B4" w:rsidP="00B016B4">
            <w:pPr>
              <w:spacing w:before="60" w:after="60"/>
              <w:rPr>
                <w:rFonts w:ascii="Times New Roman" w:hAnsi="Times New Roman"/>
              </w:rPr>
            </w:pPr>
          </w:p>
          <w:tbl>
            <w:tblPr>
              <w:tblStyle w:val="TableGrid"/>
              <w:tblW w:w="0" w:type="auto"/>
              <w:tblLook w:val="04A0" w:firstRow="1" w:lastRow="0" w:firstColumn="1" w:lastColumn="0" w:noHBand="0" w:noVBand="1"/>
            </w:tblPr>
            <w:tblGrid>
              <w:gridCol w:w="2274"/>
              <w:gridCol w:w="2275"/>
              <w:gridCol w:w="2275"/>
            </w:tblGrid>
            <w:tr w:rsidR="00B016B4" w:rsidRPr="009E73B1" w:rsidTr="00B016B4">
              <w:tc>
                <w:tcPr>
                  <w:tcW w:w="2369"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2017</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2018</w:t>
                  </w:r>
                </w:p>
              </w:tc>
              <w:tc>
                <w:tcPr>
                  <w:tcW w:w="2370" w:type="dxa"/>
                </w:tcPr>
                <w:p w:rsidR="00B016B4" w:rsidRPr="009E73B1" w:rsidRDefault="00B016B4" w:rsidP="00B016B4">
                  <w:pPr>
                    <w:spacing w:after="120"/>
                    <w:jc w:val="center"/>
                    <w:rPr>
                      <w:rFonts w:ascii="Times New Roman" w:hAnsi="Times New Roman"/>
                      <w:b/>
                    </w:rPr>
                  </w:pPr>
                  <w:r w:rsidRPr="009E73B1">
                    <w:rPr>
                      <w:rFonts w:ascii="Times New Roman" w:hAnsi="Times New Roman"/>
                      <w:b/>
                    </w:rPr>
                    <w:t>2019</w:t>
                  </w:r>
                </w:p>
              </w:tc>
            </w:tr>
            <w:tr w:rsidR="00B016B4" w:rsidRPr="009E73B1" w:rsidTr="00B016B4">
              <w:tc>
                <w:tcPr>
                  <w:tcW w:w="2369"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-2 693 307</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-4 990 517</w:t>
                  </w:r>
                </w:p>
              </w:tc>
              <w:tc>
                <w:tcPr>
                  <w:tcW w:w="2370" w:type="dxa"/>
                  <w:vAlign w:val="bottom"/>
                </w:tcPr>
                <w:p w:rsidR="00B016B4" w:rsidRPr="009E73B1" w:rsidRDefault="00B016B4" w:rsidP="00B016B4">
                  <w:pPr>
                    <w:spacing w:after="120"/>
                    <w:jc w:val="center"/>
                    <w:rPr>
                      <w:rFonts w:ascii="Times New Roman" w:hAnsi="Times New Roman"/>
                      <w:b/>
                    </w:rPr>
                  </w:pPr>
                  <w:r w:rsidRPr="009E73B1">
                    <w:rPr>
                      <w:rFonts w:ascii="Times New Roman" w:hAnsi="Times New Roman"/>
                      <w:b/>
                    </w:rPr>
                    <w:t>-5 166 640</w:t>
                  </w:r>
                </w:p>
              </w:tc>
            </w:tr>
          </w:tbl>
          <w:p w:rsidR="00B016B4" w:rsidRPr="009E73B1" w:rsidRDefault="00B016B4" w:rsidP="00B016B4">
            <w:pPr>
              <w:spacing w:before="60" w:after="60"/>
              <w:rPr>
                <w:rFonts w:ascii="Times New Roman" w:hAnsi="Times New Roman"/>
              </w:rPr>
            </w:pPr>
          </w:p>
          <w:p w:rsidR="00B016B4" w:rsidRPr="009E73B1" w:rsidRDefault="00B016B4" w:rsidP="00B016B4">
            <w:pPr>
              <w:spacing w:before="60" w:after="60"/>
              <w:rPr>
                <w:rFonts w:ascii="Times New Roman" w:hAnsi="Times New Roman"/>
                <w:b/>
                <w:sz w:val="24"/>
                <w:szCs w:val="24"/>
                <w:u w:val="single"/>
              </w:rPr>
            </w:pPr>
            <w:r w:rsidRPr="009E73B1">
              <w:rPr>
                <w:rFonts w:ascii="Times New Roman" w:hAnsi="Times New Roman"/>
                <w:b/>
                <w:sz w:val="24"/>
                <w:szCs w:val="24"/>
                <w:u w:val="single"/>
              </w:rPr>
              <w:t>VI</w:t>
            </w:r>
            <w:proofErr w:type="gramStart"/>
            <w:r w:rsidRPr="009E73B1">
              <w:rPr>
                <w:rFonts w:ascii="Times New Roman" w:hAnsi="Times New Roman"/>
                <w:b/>
                <w:sz w:val="24"/>
                <w:szCs w:val="24"/>
                <w:u w:val="single"/>
              </w:rPr>
              <w:t xml:space="preserve">  </w:t>
            </w:r>
            <w:proofErr w:type="gramEnd"/>
            <w:r w:rsidRPr="009E73B1">
              <w:rPr>
                <w:rFonts w:ascii="Times New Roman" w:hAnsi="Times New Roman"/>
                <w:b/>
                <w:sz w:val="24"/>
                <w:szCs w:val="24"/>
                <w:u w:val="single"/>
              </w:rPr>
              <w:t>Administratīvie izdevumi</w:t>
            </w:r>
          </w:p>
          <w:p w:rsidR="00B016B4" w:rsidRPr="00D92038" w:rsidRDefault="00B016B4" w:rsidP="00B016B4">
            <w:pPr>
              <w:spacing w:before="60" w:after="60"/>
              <w:rPr>
                <w:rFonts w:ascii="Times New Roman" w:eastAsia="Times New Roman" w:hAnsi="Times New Roman"/>
                <w:sz w:val="24"/>
                <w:szCs w:val="24"/>
              </w:rPr>
            </w:pPr>
            <w:r w:rsidRPr="00D92038">
              <w:rPr>
                <w:rFonts w:ascii="Times New Roman" w:hAnsi="Times New Roman"/>
                <w:sz w:val="24"/>
                <w:szCs w:val="24"/>
              </w:rPr>
              <w:t xml:space="preserve">Lai nodrošinātu likumprojekta ieviešanu VSAA nepieciešami papildus izdevumi IT sistēmu pielāgošanai administratīvie izdevumi likumprojekta ieviešanas nodrošināšanai papildus 2017. gadā - 375 200 </w:t>
            </w:r>
            <w:proofErr w:type="spellStart"/>
            <w:r w:rsidRPr="00D92038">
              <w:rPr>
                <w:rFonts w:ascii="Times New Roman" w:hAnsi="Times New Roman"/>
                <w:sz w:val="24"/>
                <w:szCs w:val="24"/>
              </w:rPr>
              <w:t>euro</w:t>
            </w:r>
            <w:proofErr w:type="spellEnd"/>
            <w:r w:rsidRPr="00D92038">
              <w:rPr>
                <w:rFonts w:ascii="Times New Roman" w:hAnsi="Times New Roman"/>
                <w:sz w:val="24"/>
                <w:szCs w:val="24"/>
              </w:rPr>
              <w:t>= 360 eiro * 1042.22c/d</w:t>
            </w:r>
            <w:proofErr w:type="gramStart"/>
            <w:r w:rsidRPr="00D92038">
              <w:rPr>
                <w:rFonts w:ascii="Times New Roman" w:hAnsi="Times New Roman"/>
                <w:sz w:val="24"/>
                <w:szCs w:val="24"/>
              </w:rPr>
              <w:t xml:space="preserve"> , </w:t>
            </w:r>
            <w:proofErr w:type="gramEnd"/>
            <w:r w:rsidRPr="00D92038">
              <w:rPr>
                <w:rFonts w:ascii="Times New Roman" w:hAnsi="Times New Roman"/>
                <w:sz w:val="24"/>
                <w:szCs w:val="24"/>
              </w:rPr>
              <w:t xml:space="preserve">no kuriem 312 200 </w:t>
            </w:r>
            <w:proofErr w:type="spellStart"/>
            <w:r w:rsidRPr="00D92038">
              <w:rPr>
                <w:rFonts w:ascii="Times New Roman" w:hAnsi="Times New Roman"/>
                <w:sz w:val="24"/>
                <w:szCs w:val="24"/>
              </w:rPr>
              <w:t>euro</w:t>
            </w:r>
            <w:proofErr w:type="spellEnd"/>
            <w:r w:rsidRPr="00D92038">
              <w:rPr>
                <w:rFonts w:ascii="Times New Roman" w:hAnsi="Times New Roman"/>
                <w:sz w:val="24"/>
                <w:szCs w:val="24"/>
              </w:rPr>
              <w:t xml:space="preserve">  paredzēts finansēt no sociālās apdrošināšanas pakalpojumu budžetiem, atbilstoši to īpatsvariem gada sociālās apdrošināšanas pakalpojumu finansējumā, bet 63 000 – dotācija no PB. No kopējās summas 108 000 paredzēti saistībā ar Ārpusģimenes koncepciju, no kuriem 63 000 – dotācija no PB un 45 000 – no sociālās apdrošināšanas pakalpojumu budžetiem</w:t>
            </w:r>
            <w:proofErr w:type="gramStart"/>
            <w:r w:rsidRPr="00D92038">
              <w:rPr>
                <w:rFonts w:ascii="Times New Roman" w:hAnsi="Times New Roman"/>
                <w:sz w:val="24"/>
                <w:szCs w:val="24"/>
              </w:rPr>
              <w:t xml:space="preserve"> ;</w:t>
            </w:r>
            <w:proofErr w:type="gramEnd"/>
            <w:r w:rsidRPr="00D92038">
              <w:rPr>
                <w:rFonts w:ascii="Times New Roman" w:hAnsi="Times New Roman"/>
                <w:sz w:val="24"/>
                <w:szCs w:val="24"/>
              </w:rPr>
              <w:t xml:space="preserve"> 2018.gadā - 380 000 EUR</w:t>
            </w:r>
            <w:r w:rsidRPr="00D92038">
              <w:rPr>
                <w:rFonts w:ascii="Times New Roman" w:eastAsia="Times New Roman" w:hAnsi="Times New Roman"/>
                <w:sz w:val="24"/>
                <w:szCs w:val="24"/>
              </w:rPr>
              <w:t xml:space="preserve">, ko paredzēts finansēt no </w:t>
            </w:r>
            <w:r w:rsidRPr="00D92038">
              <w:rPr>
                <w:rFonts w:ascii="Times New Roman" w:hAnsi="Times New Roman"/>
                <w:sz w:val="24"/>
                <w:szCs w:val="24"/>
              </w:rPr>
              <w:t>sociālās apdrošināšanas pakalpojumu budžetiem, atbilstoši to īpatsvariem gada sociālās apdrošināšanas pakalpojumu finansējumā</w:t>
            </w:r>
            <w:r w:rsidRPr="00D92038">
              <w:rPr>
                <w:rFonts w:ascii="Times New Roman" w:eastAsia="Times New Roman" w:hAnsi="Times New Roman"/>
                <w:sz w:val="24"/>
                <w:szCs w:val="24"/>
              </w:rPr>
              <w:t>.</w:t>
            </w:r>
          </w:p>
          <w:p w:rsidR="00B016B4" w:rsidRPr="00D92038" w:rsidRDefault="00B016B4" w:rsidP="00B016B4">
            <w:pPr>
              <w:spacing w:before="60" w:after="60"/>
              <w:rPr>
                <w:rFonts w:ascii="Times New Roman" w:eastAsia="Times New Roman" w:hAnsi="Times New Roman"/>
                <w:sz w:val="24"/>
                <w:szCs w:val="24"/>
              </w:rPr>
            </w:pPr>
            <w:r w:rsidRPr="00D92038">
              <w:rPr>
                <w:rFonts w:ascii="Times New Roman" w:eastAsia="Times New Roman" w:hAnsi="Times New Roman"/>
                <w:sz w:val="24"/>
                <w:szCs w:val="24"/>
              </w:rPr>
              <w:t>Speciālā budžeta</w:t>
            </w:r>
            <w:proofErr w:type="gramStart"/>
            <w:r w:rsidRPr="00D92038">
              <w:rPr>
                <w:rFonts w:ascii="Times New Roman" w:eastAsia="Times New Roman" w:hAnsi="Times New Roman"/>
                <w:sz w:val="24"/>
                <w:szCs w:val="24"/>
              </w:rPr>
              <w:t xml:space="preserve">  </w:t>
            </w:r>
            <w:proofErr w:type="gramEnd"/>
            <w:r w:rsidRPr="00D92038">
              <w:rPr>
                <w:rFonts w:ascii="Times New Roman" w:eastAsia="Times New Roman" w:hAnsi="Times New Roman"/>
                <w:sz w:val="24"/>
                <w:szCs w:val="24"/>
              </w:rPr>
              <w:t>īpatsvari (2017.gadam un 2018.gadam) uz likumprojekta sagatavošanas brīdi ir noteikti:</w:t>
            </w:r>
          </w:p>
          <w:p w:rsidR="00EA0BAF" w:rsidRPr="009E73B1" w:rsidRDefault="00EA0BAF" w:rsidP="00B016B4">
            <w:pPr>
              <w:spacing w:before="60" w:after="60"/>
              <w:rPr>
                <w:rFonts w:ascii="Times New Roman" w:hAnsi="Times New Roman"/>
                <w:sz w:val="24"/>
                <w:szCs w:val="24"/>
              </w:rPr>
            </w:pPr>
          </w:p>
          <w:tbl>
            <w:tblPr>
              <w:tblStyle w:val="TableGrid"/>
              <w:tblW w:w="0" w:type="auto"/>
              <w:tblLook w:val="04A0" w:firstRow="1" w:lastRow="0" w:firstColumn="1" w:lastColumn="0" w:noHBand="0" w:noVBand="1"/>
            </w:tblPr>
            <w:tblGrid>
              <w:gridCol w:w="1396"/>
              <w:gridCol w:w="1357"/>
              <w:gridCol w:w="1357"/>
              <w:gridCol w:w="1357"/>
              <w:gridCol w:w="1357"/>
            </w:tblGrid>
            <w:tr w:rsidR="00B016B4" w:rsidRPr="009E73B1" w:rsidTr="00B016B4">
              <w:tc>
                <w:tcPr>
                  <w:tcW w:w="1421"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Nosaukums</w:t>
                  </w:r>
                </w:p>
              </w:tc>
              <w:tc>
                <w:tcPr>
                  <w:tcW w:w="5688" w:type="dxa"/>
                  <w:gridSpan w:val="4"/>
                </w:tcPr>
                <w:p w:rsidR="00B016B4" w:rsidRPr="009E73B1" w:rsidRDefault="00B016B4" w:rsidP="00B016B4">
                  <w:pPr>
                    <w:spacing w:before="60" w:after="60"/>
                    <w:jc w:val="center"/>
                    <w:rPr>
                      <w:rFonts w:ascii="Times New Roman" w:eastAsia="Times New Roman" w:hAnsi="Times New Roman"/>
                      <w:szCs w:val="24"/>
                    </w:rPr>
                  </w:pPr>
                  <w:r w:rsidRPr="009E73B1">
                    <w:rPr>
                      <w:rFonts w:ascii="Times New Roman" w:eastAsia="Times New Roman" w:hAnsi="Times New Roman"/>
                      <w:szCs w:val="24"/>
                    </w:rPr>
                    <w:t>Apakšprogramma</w:t>
                  </w:r>
                </w:p>
              </w:tc>
            </w:tr>
            <w:tr w:rsidR="00B016B4" w:rsidRPr="009E73B1" w:rsidTr="00B016B4">
              <w:tc>
                <w:tcPr>
                  <w:tcW w:w="1421" w:type="dxa"/>
                </w:tcPr>
                <w:p w:rsidR="00B016B4" w:rsidRPr="009E73B1" w:rsidRDefault="00B016B4" w:rsidP="00B016B4">
                  <w:pPr>
                    <w:spacing w:before="60" w:after="60"/>
                    <w:rPr>
                      <w:rFonts w:ascii="Times New Roman" w:eastAsia="Times New Roman" w:hAnsi="Times New Roman"/>
                      <w:szCs w:val="24"/>
                    </w:rPr>
                  </w:pPr>
                </w:p>
              </w:tc>
              <w:tc>
                <w:tcPr>
                  <w:tcW w:w="1422"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04.01.00</w:t>
                  </w:r>
                </w:p>
              </w:tc>
              <w:tc>
                <w:tcPr>
                  <w:tcW w:w="1422"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04.02.00</w:t>
                  </w:r>
                </w:p>
              </w:tc>
              <w:tc>
                <w:tcPr>
                  <w:tcW w:w="1422"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04.03.00</w:t>
                  </w:r>
                </w:p>
              </w:tc>
              <w:tc>
                <w:tcPr>
                  <w:tcW w:w="1422"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04.04.00</w:t>
                  </w:r>
                </w:p>
              </w:tc>
            </w:tr>
            <w:tr w:rsidR="00B016B4" w:rsidRPr="009E73B1" w:rsidTr="00B016B4">
              <w:tc>
                <w:tcPr>
                  <w:tcW w:w="1421"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īpatsvari</w:t>
                  </w:r>
                </w:p>
              </w:tc>
              <w:tc>
                <w:tcPr>
                  <w:tcW w:w="1422" w:type="dxa"/>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72,47%</w:t>
                  </w:r>
                </w:p>
              </w:tc>
              <w:tc>
                <w:tcPr>
                  <w:tcW w:w="1422" w:type="dxa"/>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5,30%</w:t>
                  </w:r>
                </w:p>
              </w:tc>
              <w:tc>
                <w:tcPr>
                  <w:tcW w:w="1422" w:type="dxa"/>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1,41%</w:t>
                  </w:r>
                </w:p>
              </w:tc>
              <w:tc>
                <w:tcPr>
                  <w:tcW w:w="1422" w:type="dxa"/>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20,82%</w:t>
                  </w:r>
                </w:p>
              </w:tc>
            </w:tr>
            <w:tr w:rsidR="00B016B4" w:rsidRPr="009E73B1" w:rsidTr="00B016B4">
              <w:tc>
                <w:tcPr>
                  <w:tcW w:w="1421"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lastRenderedPageBreak/>
                    <w:t>Izdevumi 2017.gadā</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226 251</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16 547</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4 402</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65 000</w:t>
                  </w:r>
                </w:p>
              </w:tc>
            </w:tr>
            <w:tr w:rsidR="00B016B4" w:rsidRPr="009E73B1" w:rsidTr="00B016B4">
              <w:tc>
                <w:tcPr>
                  <w:tcW w:w="1421" w:type="dxa"/>
                </w:tcPr>
                <w:p w:rsidR="00B016B4" w:rsidRPr="009E73B1" w:rsidRDefault="00B016B4" w:rsidP="00B016B4">
                  <w:pPr>
                    <w:spacing w:before="60" w:after="60"/>
                    <w:rPr>
                      <w:rFonts w:ascii="Times New Roman" w:eastAsia="Times New Roman" w:hAnsi="Times New Roman"/>
                      <w:szCs w:val="24"/>
                    </w:rPr>
                  </w:pPr>
                  <w:r w:rsidRPr="009E73B1">
                    <w:rPr>
                      <w:rFonts w:ascii="Times New Roman" w:eastAsia="Times New Roman" w:hAnsi="Times New Roman"/>
                      <w:szCs w:val="24"/>
                    </w:rPr>
                    <w:t>Izdevumi 2018.gadā</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275 386</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20 140</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5 358</w:t>
                  </w:r>
                </w:p>
              </w:tc>
              <w:tc>
                <w:tcPr>
                  <w:tcW w:w="1422" w:type="dxa"/>
                  <w:vAlign w:val="bottom"/>
                </w:tcPr>
                <w:p w:rsidR="00B016B4" w:rsidRPr="009E73B1" w:rsidRDefault="00B016B4" w:rsidP="00B016B4">
                  <w:pPr>
                    <w:spacing w:before="60" w:after="60"/>
                    <w:jc w:val="right"/>
                    <w:rPr>
                      <w:rFonts w:ascii="Times New Roman" w:eastAsia="Times New Roman" w:hAnsi="Times New Roman"/>
                      <w:szCs w:val="24"/>
                    </w:rPr>
                  </w:pPr>
                  <w:r w:rsidRPr="009E73B1">
                    <w:rPr>
                      <w:rFonts w:ascii="Times New Roman" w:eastAsia="Times New Roman" w:hAnsi="Times New Roman"/>
                      <w:szCs w:val="24"/>
                    </w:rPr>
                    <w:t>79 116</w:t>
                  </w:r>
                </w:p>
              </w:tc>
            </w:tr>
          </w:tbl>
          <w:p w:rsidR="00B016B4" w:rsidRPr="009E73B1" w:rsidRDefault="00B016B4" w:rsidP="00B016B4">
            <w:pPr>
              <w:spacing w:before="60" w:after="60"/>
              <w:rPr>
                <w:b/>
                <w:i/>
                <w:highlight w:val="yellow"/>
              </w:rPr>
            </w:pP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6.1. detalizēts ieņēmumu aprēķins</w:t>
            </w:r>
          </w:p>
        </w:tc>
        <w:tc>
          <w:tcPr>
            <w:tcW w:w="7050" w:type="dxa"/>
            <w:gridSpan w:val="6"/>
            <w:vMerge/>
          </w:tcPr>
          <w:p w:rsidR="00B016B4" w:rsidRPr="009E73B1" w:rsidRDefault="00B016B4" w:rsidP="00B016B4">
            <w:pPr>
              <w:pStyle w:val="naisf"/>
              <w:spacing w:before="0" w:beforeAutospacing="0" w:after="0" w:afterAutospacing="0"/>
              <w:rPr>
                <w:b/>
                <w:i/>
              </w:rPr>
            </w:pPr>
          </w:p>
        </w:tc>
      </w:tr>
      <w:tr w:rsidR="00B016B4" w:rsidRPr="009E73B1" w:rsidTr="00B016B4">
        <w:tblPrEx>
          <w:jc w:val="center"/>
        </w:tblPrEx>
        <w:trPr>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t>6.2. detalizēts izdevumu aprēķins</w:t>
            </w:r>
          </w:p>
        </w:tc>
        <w:tc>
          <w:tcPr>
            <w:tcW w:w="7050" w:type="dxa"/>
            <w:gridSpan w:val="6"/>
            <w:vMerge/>
          </w:tcPr>
          <w:p w:rsidR="00B016B4" w:rsidRPr="009E73B1" w:rsidRDefault="00B016B4" w:rsidP="00B016B4">
            <w:pPr>
              <w:pStyle w:val="naisf"/>
              <w:spacing w:before="0" w:beforeAutospacing="0" w:after="0" w:afterAutospacing="0"/>
              <w:rPr>
                <w:b/>
                <w:i/>
              </w:rPr>
            </w:pPr>
          </w:p>
        </w:tc>
      </w:tr>
      <w:tr w:rsidR="00B016B4" w:rsidRPr="009E73B1" w:rsidTr="00B016B4">
        <w:tblPrEx>
          <w:jc w:val="center"/>
        </w:tblPrEx>
        <w:trPr>
          <w:trHeight w:val="415"/>
          <w:jc w:val="center"/>
        </w:trPr>
        <w:tc>
          <w:tcPr>
            <w:tcW w:w="2603" w:type="dxa"/>
          </w:tcPr>
          <w:p w:rsidR="00B016B4" w:rsidRPr="009E73B1" w:rsidRDefault="00B016B4" w:rsidP="00B016B4">
            <w:pPr>
              <w:spacing w:after="0" w:line="240" w:lineRule="auto"/>
              <w:rPr>
                <w:rFonts w:ascii="Times New Roman" w:hAnsi="Times New Roman"/>
                <w:sz w:val="24"/>
                <w:szCs w:val="24"/>
              </w:rPr>
            </w:pPr>
            <w:r w:rsidRPr="009E73B1">
              <w:rPr>
                <w:rFonts w:ascii="Times New Roman" w:hAnsi="Times New Roman"/>
                <w:sz w:val="24"/>
                <w:szCs w:val="24"/>
              </w:rPr>
              <w:lastRenderedPageBreak/>
              <w:t>7. Cita informācija</w:t>
            </w:r>
          </w:p>
        </w:tc>
        <w:tc>
          <w:tcPr>
            <w:tcW w:w="7050" w:type="dxa"/>
            <w:gridSpan w:val="6"/>
          </w:tcPr>
          <w:p w:rsidR="00B016B4" w:rsidRPr="00997355" w:rsidRDefault="00B016B4" w:rsidP="00B016B4">
            <w:pPr>
              <w:autoSpaceDE w:val="0"/>
              <w:autoSpaceDN w:val="0"/>
              <w:adjustRightInd w:val="0"/>
              <w:spacing w:after="0" w:line="240" w:lineRule="auto"/>
              <w:ind w:firstLine="229"/>
              <w:jc w:val="both"/>
              <w:rPr>
                <w:rFonts w:ascii="Times New Roman" w:eastAsia="Times New Roman" w:hAnsi="Times New Roman"/>
                <w:sz w:val="24"/>
                <w:szCs w:val="24"/>
              </w:rPr>
            </w:pPr>
            <w:r w:rsidRPr="00997355">
              <w:rPr>
                <w:rFonts w:ascii="Times New Roman" w:eastAsia="Times New Roman" w:hAnsi="Times New Roman"/>
                <w:sz w:val="24"/>
                <w:szCs w:val="24"/>
              </w:rPr>
              <w:t xml:space="preserve">Plānotais finansējuma palielinājums 2017. – 2019.gadam ik gadu 161 393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ir daļa no Ministru kabineta 2016.gada 16.augusta sēdē (prot.Nr.40, 59.§ 2.punkts) atbalstītā finansējuma palielinājuma jaunajai politikas iniciatīvai “Alternatīvo ģimenes aprūpes formu attīstība”, kā arī plānotais izdevumu palielinājums 2017.gadam 267 200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2018.gadam 380 000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ir daļa no Ministru kabineta 2016.gada 18.augusta sēdē (prot.Nr.41, 5.§ 18.4.apakšpunkts) noteiktā izdevumu palielinājuma VSAA likumdošanas izmaiņu ieviešanai.</w:t>
            </w:r>
          </w:p>
          <w:p w:rsidR="00B016B4" w:rsidRDefault="00B016B4" w:rsidP="00B016B4">
            <w:pPr>
              <w:autoSpaceDE w:val="0"/>
              <w:autoSpaceDN w:val="0"/>
              <w:adjustRightInd w:val="0"/>
              <w:spacing w:after="0" w:line="240" w:lineRule="auto"/>
              <w:ind w:firstLine="229"/>
              <w:jc w:val="both"/>
              <w:rPr>
                <w:rFonts w:ascii="Times New Roman" w:eastAsia="Times New Roman" w:hAnsi="Times New Roman"/>
                <w:sz w:val="24"/>
                <w:szCs w:val="24"/>
              </w:rPr>
            </w:pPr>
            <w:r w:rsidRPr="00997355">
              <w:rPr>
                <w:rFonts w:ascii="Times New Roman" w:eastAsia="Times New Roman" w:hAnsi="Times New Roman"/>
                <w:sz w:val="24"/>
                <w:szCs w:val="24"/>
              </w:rPr>
              <w:t xml:space="preserve">Ņemot vērā, ka atbilstoši Ministru kabineta 2016.gada 18.augusta sēdes prot.Nr.41, 5.§ 18.3.apakšpunktam tika noteikts izdevumu samazinājums slimības pabalsta izmaksām 2017.gadam 2 746 700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2018.gadam 5 151 910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5 328 033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savukārt atbilstoši likumprojekta anotācijā norādītājam likumprojektā paredzēto pasākumu īstenošanai samazinājums plānots arī maternitātes, paternitātes un vecāku pabalsta izmaksām, likumprojektam pievienojams Ministru kabineta sēdes </w:t>
            </w:r>
            <w:proofErr w:type="spellStart"/>
            <w:r w:rsidRPr="00997355">
              <w:rPr>
                <w:rFonts w:ascii="Times New Roman" w:eastAsia="Times New Roman" w:hAnsi="Times New Roman"/>
                <w:sz w:val="24"/>
                <w:szCs w:val="24"/>
              </w:rPr>
              <w:t>protokollēmuma</w:t>
            </w:r>
            <w:proofErr w:type="spellEnd"/>
            <w:r w:rsidRPr="00997355">
              <w:rPr>
                <w:rFonts w:ascii="Times New Roman" w:eastAsia="Times New Roman" w:hAnsi="Times New Roman"/>
                <w:sz w:val="24"/>
                <w:szCs w:val="24"/>
              </w:rPr>
              <w:t xml:space="preserve"> projekts šādā redakcijā: “Atbalstīt Labklājības ministrijas priekšlikumu, ka Ministru kabineta 2016.gada 18.augusta sēdes prot.Nr.41, 5.§ 18.3.apakšpunktā apakšprogrammā 04.04.00 “Invaliditātes, maternitātes un slimības speciālais budžets” noteiktais izdevumu samazinājums sociālajiem pabalstiem slimības pabalsta izmaksām 2017.gadam 2 746 700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2018.gadam 5 151 910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5 328 033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tiek precizēts, nemainot izdevumu sociālajiem pabalstiem plānoto kopējo apmēru apakšprogrammā 04.04.00 “Invaliditātes, maternitātes un slimības speciālais budžets”, samazinot izdevumus slimības pabalsta izmaksām 2017.gadam 2 746 700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2018.gadam 3 768 904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3 948 125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maternitātes pabalsta izmaksām 2018.gadam 453 313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448 115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paternitātes pabalsta izmaksām 2018.gadam 36 923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39 175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vecāku pabalsta izmaksām 2018.gadam 892 770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 un 2019.gadam 892 618 </w:t>
            </w:r>
            <w:proofErr w:type="spellStart"/>
            <w:r w:rsidRPr="00997355">
              <w:rPr>
                <w:rFonts w:ascii="Times New Roman" w:eastAsia="Times New Roman" w:hAnsi="Times New Roman"/>
                <w:sz w:val="24"/>
                <w:szCs w:val="24"/>
              </w:rPr>
              <w:t>euro</w:t>
            </w:r>
            <w:proofErr w:type="spellEnd"/>
            <w:r w:rsidRPr="00997355">
              <w:rPr>
                <w:rFonts w:ascii="Times New Roman" w:eastAsia="Times New Roman" w:hAnsi="Times New Roman"/>
                <w:sz w:val="24"/>
                <w:szCs w:val="24"/>
              </w:rPr>
              <w:t xml:space="preserve"> apmērā.”</w:t>
            </w:r>
          </w:p>
          <w:p w:rsidR="00EA0BAF" w:rsidRPr="009E73B1" w:rsidRDefault="00EA0BAF" w:rsidP="00B016B4">
            <w:pPr>
              <w:autoSpaceDE w:val="0"/>
              <w:autoSpaceDN w:val="0"/>
              <w:adjustRightInd w:val="0"/>
              <w:spacing w:after="0" w:line="240" w:lineRule="auto"/>
              <w:ind w:firstLine="229"/>
              <w:jc w:val="both"/>
              <w:rPr>
                <w:rFonts w:ascii="Times New Roman" w:hAnsi="Times New Roman"/>
                <w:sz w:val="24"/>
                <w:szCs w:val="24"/>
              </w:rPr>
            </w:pPr>
          </w:p>
        </w:tc>
      </w:tr>
      <w:tr w:rsidR="009E73B1" w:rsidRPr="009E73B1" w:rsidTr="006A2469">
        <w:tc>
          <w:tcPr>
            <w:tcW w:w="9653" w:type="dxa"/>
            <w:gridSpan w:val="7"/>
            <w:shd w:val="clear" w:color="auto" w:fill="auto"/>
          </w:tcPr>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IV. Tiesību akta projekta ietekme uz spēkā esošo tiesību normu sistēmu</w:t>
            </w:r>
          </w:p>
        </w:tc>
      </w:tr>
      <w:tr w:rsidR="009E73B1" w:rsidRPr="009E73B1" w:rsidTr="006A2469">
        <w:tc>
          <w:tcPr>
            <w:tcW w:w="3561" w:type="dxa"/>
            <w:gridSpan w:val="2"/>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Nepieciešamie saistītie tiesību aktu projekti</w:t>
            </w:r>
          </w:p>
        </w:tc>
        <w:tc>
          <w:tcPr>
            <w:tcW w:w="6092" w:type="dxa"/>
            <w:gridSpan w:val="5"/>
            <w:shd w:val="clear" w:color="auto" w:fill="auto"/>
          </w:tcPr>
          <w:p w:rsidR="00604A2D" w:rsidRPr="00082922" w:rsidRDefault="00604A2D" w:rsidP="00082922">
            <w:pPr>
              <w:suppressAutoHyphens/>
              <w:spacing w:after="0" w:line="240" w:lineRule="auto"/>
              <w:jc w:val="both"/>
              <w:rPr>
                <w:rFonts w:ascii="Times New Roman" w:eastAsia="Times New Roman" w:hAnsi="Times New Roman"/>
                <w:sz w:val="24"/>
                <w:szCs w:val="24"/>
                <w:lang w:eastAsia="ar-SA"/>
              </w:rPr>
            </w:pPr>
            <w:r w:rsidRPr="00082922">
              <w:rPr>
                <w:rFonts w:ascii="Times New Roman" w:eastAsia="Times New Roman" w:hAnsi="Times New Roman"/>
                <w:sz w:val="24"/>
                <w:szCs w:val="24"/>
                <w:lang w:eastAsia="ar-SA"/>
              </w:rPr>
              <w:t>Likumprojekts izskatāms vienotā paketē ar Finanšu ministrijas sagatavoto likumprojektu „Par valsts budžetu 2017.gadam”.</w:t>
            </w:r>
          </w:p>
          <w:p w:rsidR="0074786F" w:rsidRPr="00082922" w:rsidRDefault="0074786F" w:rsidP="00082922">
            <w:pPr>
              <w:suppressAutoHyphens/>
              <w:spacing w:after="0" w:line="240" w:lineRule="auto"/>
              <w:jc w:val="both"/>
              <w:rPr>
                <w:rFonts w:ascii="Times New Roman" w:eastAsia="Times New Roman" w:hAnsi="Times New Roman"/>
                <w:sz w:val="24"/>
                <w:szCs w:val="24"/>
                <w:lang w:eastAsia="ar-SA"/>
              </w:rPr>
            </w:pPr>
          </w:p>
          <w:p w:rsidR="0074786F" w:rsidRPr="00082922" w:rsidRDefault="0074786F" w:rsidP="00082922">
            <w:pPr>
              <w:suppressAutoHyphens/>
              <w:spacing w:after="0" w:line="240" w:lineRule="auto"/>
              <w:jc w:val="both"/>
              <w:rPr>
                <w:rFonts w:ascii="Times New Roman" w:eastAsia="Times New Roman" w:hAnsi="Times New Roman"/>
                <w:color w:val="000000"/>
                <w:sz w:val="24"/>
                <w:szCs w:val="24"/>
                <w:lang w:eastAsia="ar-SA"/>
              </w:rPr>
            </w:pPr>
            <w:r w:rsidRPr="00082922">
              <w:rPr>
                <w:rFonts w:ascii="Times New Roman" w:eastAsia="Times New Roman" w:hAnsi="Times New Roman"/>
                <w:color w:val="000000"/>
                <w:sz w:val="24"/>
                <w:szCs w:val="24"/>
                <w:lang w:eastAsia="ar-SA"/>
              </w:rPr>
              <w:t>Likumprojekts saistīts ar grozījumiem likumā „Par apdrošināšanu bezdarba gadījumam” un grozījumiem likumā "</w:t>
            </w:r>
            <w:hyperlink r:id="rId12" w:tgtFrame="_blank" w:history="1">
              <w:r w:rsidRPr="00082922">
                <w:rPr>
                  <w:rFonts w:ascii="Times New Roman" w:eastAsia="Times New Roman" w:hAnsi="Times New Roman"/>
                  <w:color w:val="000000"/>
                  <w:sz w:val="24"/>
                  <w:szCs w:val="24"/>
                  <w:lang w:eastAsia="ar-SA"/>
                </w:rPr>
                <w:t>Par obligāto sociālo apdrošināšanu pret nelaimes gadījumiem darbā un arodslimībām</w:t>
              </w:r>
            </w:hyperlink>
            <w:r w:rsidRPr="00082922">
              <w:rPr>
                <w:rFonts w:ascii="Times New Roman" w:eastAsia="Times New Roman" w:hAnsi="Times New Roman"/>
                <w:color w:val="000000"/>
                <w:sz w:val="24"/>
                <w:szCs w:val="24"/>
                <w:lang w:eastAsia="ar-SA"/>
              </w:rPr>
              <w:t>".</w:t>
            </w:r>
          </w:p>
          <w:p w:rsidR="0074786F" w:rsidRPr="00082922" w:rsidRDefault="0074786F" w:rsidP="00082922">
            <w:pPr>
              <w:suppressAutoHyphens/>
              <w:spacing w:after="0" w:line="240" w:lineRule="auto"/>
              <w:jc w:val="both"/>
              <w:rPr>
                <w:rFonts w:ascii="Times New Roman" w:eastAsia="Times New Roman" w:hAnsi="Times New Roman"/>
                <w:sz w:val="24"/>
                <w:szCs w:val="24"/>
                <w:lang w:eastAsia="ar-SA"/>
              </w:rPr>
            </w:pPr>
          </w:p>
          <w:p w:rsidR="001D568F" w:rsidRDefault="0074786F" w:rsidP="00082922">
            <w:pPr>
              <w:shd w:val="clear" w:color="auto" w:fill="FFFFFF"/>
              <w:spacing w:after="0" w:line="240" w:lineRule="auto"/>
              <w:jc w:val="both"/>
              <w:rPr>
                <w:rFonts w:ascii="Times New Roman" w:hAnsi="Times New Roman"/>
                <w:sz w:val="24"/>
                <w:szCs w:val="24"/>
              </w:rPr>
            </w:pPr>
            <w:r w:rsidRPr="00082922">
              <w:rPr>
                <w:rFonts w:ascii="Times New Roman" w:eastAsia="Times New Roman" w:hAnsi="Times New Roman"/>
                <w:sz w:val="24"/>
                <w:szCs w:val="24"/>
                <w:lang w:eastAsia="lv-LV"/>
              </w:rPr>
              <w:t xml:space="preserve">Līdz 2019.gada 31.decembrim jāizstrādā Ministru kabineta noteikumi par vidējās apdrošināšanas iemaksu algas </w:t>
            </w:r>
            <w:r w:rsidRPr="00082922">
              <w:rPr>
                <w:rFonts w:ascii="Times New Roman" w:eastAsia="Times New Roman" w:hAnsi="Times New Roman"/>
                <w:sz w:val="24"/>
                <w:szCs w:val="24"/>
                <w:lang w:eastAsia="lv-LV"/>
              </w:rPr>
              <w:lastRenderedPageBreak/>
              <w:t xml:space="preserve">piešķiršanai aprēķināšanas nosacījumiem un kārtību (visiem sociālās apdrošināšanas pakalpojumiem un apdrošināšanas atlīdzībām), kā arī no jauna jāizdod MK noteikumi par valsts sociālās apdrošināšanas pabalstu piešķiršanas, aprēķināšanas un izmaksas kārtību (izdoti saskaņā ar </w:t>
            </w:r>
            <w:r w:rsidR="00350008" w:rsidRPr="00082922">
              <w:rPr>
                <w:rFonts w:ascii="Times New Roman" w:eastAsia="Times New Roman" w:hAnsi="Times New Roman"/>
                <w:sz w:val="24"/>
                <w:szCs w:val="24"/>
                <w:lang w:eastAsia="lv-LV"/>
              </w:rPr>
              <w:t>L</w:t>
            </w:r>
            <w:r w:rsidRPr="00082922">
              <w:rPr>
                <w:rFonts w:ascii="Times New Roman" w:eastAsia="Times New Roman" w:hAnsi="Times New Roman"/>
                <w:sz w:val="24"/>
                <w:szCs w:val="24"/>
                <w:lang w:eastAsia="lv-LV"/>
              </w:rPr>
              <w:t>ikuma 24.pantu).</w:t>
            </w:r>
            <w:r w:rsidR="001D568F" w:rsidRPr="00082922">
              <w:rPr>
                <w:rFonts w:ascii="Times New Roman" w:hAnsi="Times New Roman"/>
                <w:sz w:val="24"/>
                <w:szCs w:val="24"/>
              </w:rPr>
              <w:t xml:space="preserve"> Līdz attiecīgo noteikumu spēkā stāšanās dienai, bet ne ilgāk kā līdz 2019.gada 31.decembrim, piemērojami Ministru kabineta </w:t>
            </w:r>
            <w:r w:rsidR="001D568F" w:rsidRPr="00082922">
              <w:rPr>
                <w:rFonts w:ascii="Times New Roman" w:eastAsia="Times New Roman" w:hAnsi="Times New Roman"/>
                <w:sz w:val="24"/>
                <w:szCs w:val="24"/>
                <w:lang w:eastAsia="lv-LV"/>
              </w:rPr>
              <w:t>1998.gada 28.jūlija noteikumi Nr.270 „Vidējās apdrošināšanas iemaksu algas aprēķināšanas kārtība un valsts sociālās apdrošināšanas pabalstu piešķiršanas, aprēķināšanas un izmaksas kārtība”</w:t>
            </w:r>
            <w:r w:rsidR="001D568F" w:rsidRPr="00082922">
              <w:rPr>
                <w:rFonts w:ascii="Times New Roman" w:hAnsi="Times New Roman"/>
                <w:sz w:val="24"/>
                <w:szCs w:val="24"/>
              </w:rPr>
              <w:t>, ciktāl tie nav pretrunā ar šo likumu.</w:t>
            </w:r>
          </w:p>
          <w:p w:rsidR="00F5335C" w:rsidRPr="00082922" w:rsidRDefault="00F5335C" w:rsidP="00082922">
            <w:pPr>
              <w:shd w:val="clear" w:color="auto" w:fill="FFFFFF"/>
              <w:spacing w:after="0" w:line="240" w:lineRule="auto"/>
              <w:jc w:val="both"/>
              <w:rPr>
                <w:rFonts w:ascii="Times New Roman" w:eastAsia="Times New Roman" w:hAnsi="Times New Roman"/>
                <w:sz w:val="24"/>
                <w:szCs w:val="24"/>
                <w:lang w:eastAsia="lv-LV"/>
              </w:rPr>
            </w:pPr>
          </w:p>
          <w:p w:rsidR="00604A2D" w:rsidRDefault="0074786F" w:rsidP="00082922">
            <w:pPr>
              <w:pStyle w:val="naisf"/>
              <w:spacing w:before="0" w:beforeAutospacing="0" w:after="0" w:afterAutospacing="0"/>
              <w:jc w:val="both"/>
            </w:pPr>
            <w:r w:rsidRPr="00082922">
              <w:t>Ar 2020.gada 1.janvāri spēku zaudēs Ministru kabineta 1998.gada 28.jūlija noteikumi Nr.270 „Vidējās apdrošināšanas iemaksu algas aprēķināšanas kārtība un valsts sociālās apdrošināšanas pabalstu piešķiršanas, aprēķināšanas un izmaksas kārtība”.</w:t>
            </w:r>
          </w:p>
          <w:p w:rsidR="00F5335C" w:rsidRPr="009E73B1" w:rsidRDefault="00F5335C" w:rsidP="00082922">
            <w:pPr>
              <w:pStyle w:val="naisf"/>
              <w:spacing w:before="0" w:beforeAutospacing="0" w:after="0" w:afterAutospacing="0"/>
              <w:jc w:val="both"/>
              <w:rPr>
                <w:b/>
                <w:i/>
                <w:iCs/>
              </w:rPr>
            </w:pPr>
          </w:p>
        </w:tc>
      </w:tr>
      <w:tr w:rsidR="009E73B1" w:rsidRPr="009E73B1" w:rsidTr="006A2469">
        <w:tc>
          <w:tcPr>
            <w:tcW w:w="3561" w:type="dxa"/>
            <w:gridSpan w:val="2"/>
            <w:shd w:val="clear" w:color="auto" w:fill="auto"/>
          </w:tcPr>
          <w:p w:rsidR="00604A2D" w:rsidRPr="009E73B1" w:rsidRDefault="00604A2D" w:rsidP="001D568F">
            <w:pPr>
              <w:tabs>
                <w:tab w:val="left" w:pos="2628"/>
              </w:tabs>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lastRenderedPageBreak/>
              <w:t>Atbildīgā institūcija</w:t>
            </w:r>
          </w:p>
        </w:tc>
        <w:tc>
          <w:tcPr>
            <w:tcW w:w="6092" w:type="dxa"/>
            <w:gridSpan w:val="5"/>
            <w:shd w:val="clear" w:color="auto" w:fill="auto"/>
          </w:tcPr>
          <w:p w:rsidR="00604A2D" w:rsidRDefault="00604A2D" w:rsidP="001D568F">
            <w:pPr>
              <w:tabs>
                <w:tab w:val="left" w:pos="2628"/>
              </w:tabs>
              <w:spacing w:after="0" w:line="240" w:lineRule="auto"/>
              <w:jc w:val="both"/>
              <w:rPr>
                <w:rFonts w:ascii="Times New Roman" w:eastAsia="Times New Roman" w:hAnsi="Times New Roman"/>
                <w:iCs/>
                <w:sz w:val="24"/>
                <w:szCs w:val="24"/>
                <w:lang w:eastAsia="lv-LV"/>
              </w:rPr>
            </w:pPr>
            <w:r w:rsidRPr="009E73B1">
              <w:rPr>
                <w:rFonts w:ascii="Times New Roman" w:eastAsia="Times New Roman" w:hAnsi="Times New Roman"/>
                <w:iCs/>
                <w:sz w:val="24"/>
                <w:szCs w:val="24"/>
                <w:lang w:eastAsia="lv-LV"/>
              </w:rPr>
              <w:t>Labklājības ministrija.</w:t>
            </w:r>
          </w:p>
          <w:p w:rsidR="00EA0BAF" w:rsidRPr="009E73B1" w:rsidRDefault="00EA0BAF" w:rsidP="001D568F">
            <w:pPr>
              <w:tabs>
                <w:tab w:val="left" w:pos="2628"/>
              </w:tabs>
              <w:spacing w:after="0" w:line="240" w:lineRule="auto"/>
              <w:jc w:val="both"/>
              <w:rPr>
                <w:rFonts w:ascii="Times New Roman" w:eastAsia="Times New Roman" w:hAnsi="Times New Roman"/>
                <w:iCs/>
                <w:sz w:val="24"/>
                <w:szCs w:val="24"/>
                <w:lang w:eastAsia="lv-LV"/>
              </w:rPr>
            </w:pPr>
          </w:p>
        </w:tc>
      </w:tr>
      <w:tr w:rsidR="009E73B1" w:rsidRPr="009E73B1" w:rsidTr="006A2469">
        <w:trPr>
          <w:trHeight w:val="627"/>
        </w:trPr>
        <w:tc>
          <w:tcPr>
            <w:tcW w:w="3561" w:type="dxa"/>
            <w:gridSpan w:val="2"/>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Cita informācija</w:t>
            </w:r>
          </w:p>
        </w:tc>
        <w:tc>
          <w:tcPr>
            <w:tcW w:w="6092" w:type="dxa"/>
            <w:gridSpan w:val="5"/>
            <w:shd w:val="clear" w:color="auto" w:fill="auto"/>
          </w:tcPr>
          <w:p w:rsidR="00604A2D" w:rsidRPr="009E73B1" w:rsidRDefault="00604A2D" w:rsidP="001D568F">
            <w:pPr>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iCs/>
                <w:sz w:val="24"/>
                <w:szCs w:val="24"/>
                <w:lang w:eastAsia="lv-LV"/>
              </w:rPr>
              <w:t>Nav.</w:t>
            </w:r>
          </w:p>
        </w:tc>
      </w:tr>
    </w:tbl>
    <w:p w:rsidR="00604A2D" w:rsidRPr="009E73B1" w:rsidRDefault="00604A2D" w:rsidP="00604A2D">
      <w:pPr>
        <w:spacing w:after="0" w:line="240" w:lineRule="auto"/>
        <w:jc w:val="center"/>
        <w:rPr>
          <w:rFonts w:ascii="Times New Roman" w:hAnsi="Times New Roman"/>
          <w:b/>
          <w:bCs/>
        </w:rPr>
      </w:pPr>
    </w:p>
    <w:p w:rsidR="00604A2D" w:rsidRPr="009E73B1" w:rsidRDefault="00604A2D" w:rsidP="00604A2D">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E73B1" w:rsidRPr="009E73B1" w:rsidTr="001D568F">
        <w:tc>
          <w:tcPr>
            <w:tcW w:w="9287" w:type="dxa"/>
            <w:shd w:val="clear" w:color="auto" w:fill="auto"/>
          </w:tcPr>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V. Tiesību akta projekta atbilstība Latvijas Republikas starptautiskajām saistībām</w:t>
            </w:r>
          </w:p>
        </w:tc>
      </w:tr>
      <w:tr w:rsidR="009E73B1" w:rsidRPr="009E73B1" w:rsidTr="001D568F">
        <w:trPr>
          <w:trHeight w:val="278"/>
        </w:trPr>
        <w:tc>
          <w:tcPr>
            <w:tcW w:w="9287" w:type="dxa"/>
            <w:shd w:val="clear" w:color="auto" w:fill="auto"/>
          </w:tcPr>
          <w:p w:rsidR="00604A2D" w:rsidRPr="009E73B1" w:rsidRDefault="00604A2D" w:rsidP="001D568F">
            <w:pPr>
              <w:spacing w:after="0" w:line="240" w:lineRule="auto"/>
              <w:jc w:val="center"/>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Likumprojekts šo jomu neskar.</w:t>
            </w:r>
          </w:p>
        </w:tc>
      </w:tr>
    </w:tbl>
    <w:p w:rsidR="00604A2D" w:rsidRPr="009E73B1" w:rsidRDefault="00604A2D" w:rsidP="00604A2D">
      <w:pPr>
        <w:spacing w:after="0" w:line="240" w:lineRule="auto"/>
        <w:jc w:val="center"/>
        <w:rPr>
          <w:rFonts w:ascii="Times New Roman" w:eastAsia="Times New Roman" w:hAnsi="Times New Roman"/>
          <w:sz w:val="24"/>
          <w:szCs w:val="24"/>
          <w:lang w:eastAsia="lv-LV"/>
        </w:rPr>
      </w:pPr>
    </w:p>
    <w:p w:rsidR="00604A2D" w:rsidRPr="009E73B1" w:rsidRDefault="00604A2D" w:rsidP="00604A2D">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9E73B1" w:rsidRPr="009E73B1" w:rsidTr="001D568F">
        <w:tc>
          <w:tcPr>
            <w:tcW w:w="9287" w:type="dxa"/>
            <w:gridSpan w:val="3"/>
            <w:shd w:val="clear" w:color="auto" w:fill="auto"/>
          </w:tcPr>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VI. Sabiedrības līdzdalība un komunikācijas aktivitātes</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 xml:space="preserve">1. </w:t>
            </w:r>
          </w:p>
        </w:tc>
        <w:tc>
          <w:tcPr>
            <w:tcW w:w="3072" w:type="dxa"/>
            <w:shd w:val="clear" w:color="auto" w:fill="auto"/>
          </w:tcPr>
          <w:p w:rsidR="00604A2D" w:rsidRPr="009E73B1" w:rsidRDefault="00604A2D" w:rsidP="001D568F">
            <w:pPr>
              <w:spacing w:after="0" w:line="240" w:lineRule="auto"/>
              <w:ind w:left="57" w:right="57"/>
              <w:rPr>
                <w:rFonts w:ascii="Times New Roman" w:eastAsia="Times New Roman" w:hAnsi="Times New Roman"/>
                <w:lang w:eastAsia="lv-LV"/>
              </w:rPr>
            </w:pPr>
            <w:r w:rsidRPr="009E73B1">
              <w:rPr>
                <w:rFonts w:ascii="Times New Roman" w:eastAsia="Times New Roman" w:hAnsi="Times New Roman"/>
                <w:sz w:val="24"/>
                <w:szCs w:val="24"/>
                <w:lang w:eastAsia="lv-LV"/>
              </w:rPr>
              <w:t>Plānotās sabiedrības līdzdalības un komunikācijas aktivitātes saistībā ar projektu</w:t>
            </w:r>
          </w:p>
        </w:tc>
        <w:tc>
          <w:tcPr>
            <w:tcW w:w="5819" w:type="dxa"/>
            <w:shd w:val="clear" w:color="auto" w:fill="auto"/>
          </w:tcPr>
          <w:p w:rsidR="00604A2D" w:rsidRPr="009E73B1" w:rsidRDefault="002C60B8" w:rsidP="002C60B8">
            <w:pPr>
              <w:spacing w:after="0" w:line="240" w:lineRule="auto"/>
              <w:jc w:val="both"/>
              <w:rPr>
                <w:rFonts w:ascii="Times New Roman" w:eastAsia="Times New Roman" w:hAnsi="Times New Roman"/>
                <w:i/>
                <w:sz w:val="24"/>
                <w:szCs w:val="24"/>
                <w:lang w:eastAsia="lv-LV"/>
              </w:rPr>
            </w:pPr>
            <w:r w:rsidRPr="009E73B1">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2017.gadam”.</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 xml:space="preserve">2. </w:t>
            </w:r>
          </w:p>
        </w:tc>
        <w:tc>
          <w:tcPr>
            <w:tcW w:w="3072" w:type="dxa"/>
            <w:shd w:val="clear" w:color="auto" w:fill="auto"/>
          </w:tcPr>
          <w:p w:rsidR="00604A2D" w:rsidRPr="009E73B1" w:rsidRDefault="00604A2D" w:rsidP="001D568F">
            <w:pPr>
              <w:spacing w:after="0" w:line="240" w:lineRule="auto"/>
              <w:ind w:left="57" w:right="57"/>
              <w:rPr>
                <w:rFonts w:ascii="Times New Roman" w:eastAsia="Times New Roman" w:hAnsi="Times New Roman"/>
                <w:lang w:eastAsia="lv-LV"/>
              </w:rPr>
            </w:pPr>
            <w:r w:rsidRPr="009E73B1">
              <w:rPr>
                <w:rFonts w:ascii="Times New Roman" w:eastAsia="Times New Roman" w:hAnsi="Times New Roman"/>
                <w:lang w:eastAsia="lv-LV"/>
              </w:rPr>
              <w:t xml:space="preserve">Sabiedrības līdzdalība projekta izstrādē </w:t>
            </w:r>
          </w:p>
        </w:tc>
        <w:tc>
          <w:tcPr>
            <w:tcW w:w="5819" w:type="dxa"/>
            <w:shd w:val="clear" w:color="auto" w:fill="auto"/>
          </w:tcPr>
          <w:p w:rsidR="00604A2D" w:rsidRPr="009E73B1" w:rsidRDefault="00604A2D" w:rsidP="001D568F">
            <w:pPr>
              <w:rPr>
                <w:rFonts w:ascii="Times New Roman" w:eastAsia="Times New Roman" w:hAnsi="Times New Roman"/>
                <w:iCs/>
                <w:sz w:val="24"/>
                <w:szCs w:val="24"/>
                <w:lang w:eastAsia="lv-LV"/>
              </w:rPr>
            </w:pPr>
            <w:r w:rsidRPr="009E73B1">
              <w:rPr>
                <w:rFonts w:ascii="Times New Roman" w:eastAsia="Times New Roman" w:hAnsi="Times New Roman"/>
                <w:iCs/>
                <w:sz w:val="24"/>
                <w:szCs w:val="24"/>
                <w:lang w:eastAsia="lv-LV"/>
              </w:rPr>
              <w:t xml:space="preserve">Likumprojekts izskatīts </w:t>
            </w:r>
            <w:r w:rsidRPr="009E73B1">
              <w:rPr>
                <w:rFonts w:ascii="Times New Roman" w:hAnsi="Times New Roman"/>
                <w:sz w:val="24"/>
                <w:szCs w:val="24"/>
              </w:rPr>
              <w:t xml:space="preserve">2016.gada 25.augusta Nacionālās trīspusējās sadarbības padomes (NTSP) Sociālās drošības </w:t>
            </w:r>
            <w:proofErr w:type="spellStart"/>
            <w:r w:rsidR="003E5C38">
              <w:rPr>
                <w:rFonts w:ascii="Times New Roman" w:hAnsi="Times New Roman"/>
                <w:sz w:val="24"/>
                <w:szCs w:val="24"/>
              </w:rPr>
              <w:t>apakšpadomes</w:t>
            </w:r>
            <w:proofErr w:type="spellEnd"/>
            <w:r w:rsidR="003E5C38" w:rsidRPr="00212084">
              <w:rPr>
                <w:rFonts w:ascii="Times New Roman" w:hAnsi="Times New Roman"/>
                <w:sz w:val="24"/>
                <w:szCs w:val="24"/>
              </w:rPr>
              <w:t xml:space="preserve"> </w:t>
            </w:r>
            <w:r w:rsidRPr="009E73B1">
              <w:rPr>
                <w:rFonts w:ascii="Times New Roman" w:hAnsi="Times New Roman"/>
                <w:sz w:val="24"/>
                <w:szCs w:val="24"/>
              </w:rPr>
              <w:t xml:space="preserve">sēdē. </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3.</w:t>
            </w:r>
          </w:p>
        </w:tc>
        <w:tc>
          <w:tcPr>
            <w:tcW w:w="3072" w:type="dxa"/>
            <w:shd w:val="clear" w:color="auto" w:fill="auto"/>
          </w:tcPr>
          <w:p w:rsidR="00604A2D" w:rsidRPr="009E73B1" w:rsidRDefault="00604A2D" w:rsidP="001D568F">
            <w:pPr>
              <w:spacing w:after="0" w:line="240" w:lineRule="auto"/>
              <w:ind w:left="57" w:right="57"/>
              <w:rPr>
                <w:rFonts w:ascii="Times New Roman" w:eastAsia="Times New Roman" w:hAnsi="Times New Roman"/>
                <w:lang w:eastAsia="lv-LV"/>
              </w:rPr>
            </w:pPr>
            <w:r w:rsidRPr="009E73B1">
              <w:rPr>
                <w:rFonts w:ascii="Times New Roman" w:eastAsia="Times New Roman" w:hAnsi="Times New Roman"/>
                <w:lang w:eastAsia="lv-LV"/>
              </w:rPr>
              <w:t xml:space="preserve">Sabiedrības līdzdalības rezultāti </w:t>
            </w:r>
          </w:p>
        </w:tc>
        <w:tc>
          <w:tcPr>
            <w:tcW w:w="5819" w:type="dxa"/>
            <w:shd w:val="clear" w:color="auto" w:fill="auto"/>
          </w:tcPr>
          <w:p w:rsidR="00604A2D" w:rsidRPr="009E73B1" w:rsidRDefault="00604A2D" w:rsidP="001D568F">
            <w:pPr>
              <w:suppressAutoHyphens/>
              <w:spacing w:after="0" w:line="240" w:lineRule="auto"/>
              <w:ind w:right="57"/>
              <w:jc w:val="both"/>
              <w:rPr>
                <w:rFonts w:ascii="Times New Roman" w:eastAsia="Times New Roman" w:hAnsi="Times New Roman"/>
                <w:iCs/>
                <w:sz w:val="24"/>
                <w:szCs w:val="24"/>
                <w:lang w:eastAsia="ar-SA"/>
              </w:rPr>
            </w:pPr>
            <w:r w:rsidRPr="009E73B1">
              <w:rPr>
                <w:rFonts w:ascii="Times New Roman" w:hAnsi="Times New Roman"/>
                <w:sz w:val="24"/>
                <w:szCs w:val="24"/>
              </w:rPr>
              <w:t xml:space="preserve">NTSP Sociālās drošības </w:t>
            </w:r>
            <w:proofErr w:type="spellStart"/>
            <w:r w:rsidR="003E5C38">
              <w:rPr>
                <w:rFonts w:ascii="Times New Roman" w:hAnsi="Times New Roman"/>
                <w:sz w:val="24"/>
                <w:szCs w:val="24"/>
              </w:rPr>
              <w:t>apakšpadomes</w:t>
            </w:r>
            <w:proofErr w:type="spellEnd"/>
            <w:r w:rsidR="003E5C38" w:rsidRPr="00212084">
              <w:rPr>
                <w:rFonts w:ascii="Times New Roman" w:hAnsi="Times New Roman"/>
                <w:sz w:val="24"/>
                <w:szCs w:val="24"/>
              </w:rPr>
              <w:t xml:space="preserve"> </w:t>
            </w:r>
            <w:r w:rsidRPr="009E73B1">
              <w:rPr>
                <w:rFonts w:ascii="Times New Roman" w:hAnsi="Times New Roman"/>
                <w:sz w:val="24"/>
                <w:szCs w:val="24"/>
              </w:rPr>
              <w:t>sēdē likumprojekts atbalstīts.</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4.</w:t>
            </w:r>
          </w:p>
        </w:tc>
        <w:tc>
          <w:tcPr>
            <w:tcW w:w="3072" w:type="dxa"/>
            <w:shd w:val="clear" w:color="auto" w:fill="auto"/>
          </w:tcPr>
          <w:p w:rsidR="00604A2D" w:rsidRPr="009E73B1" w:rsidRDefault="00604A2D" w:rsidP="001D568F">
            <w:pPr>
              <w:spacing w:after="0" w:line="240" w:lineRule="auto"/>
              <w:ind w:left="57" w:right="57"/>
              <w:rPr>
                <w:rFonts w:ascii="Times New Roman" w:eastAsia="Times New Roman" w:hAnsi="Times New Roman"/>
                <w:lang w:eastAsia="lv-LV"/>
              </w:rPr>
            </w:pPr>
            <w:r w:rsidRPr="009E73B1">
              <w:rPr>
                <w:rFonts w:ascii="Times New Roman" w:eastAsia="Times New Roman" w:hAnsi="Times New Roman"/>
                <w:lang w:eastAsia="lv-LV"/>
              </w:rPr>
              <w:t>Cita informācija</w:t>
            </w:r>
          </w:p>
          <w:p w:rsidR="00604A2D" w:rsidRPr="009E73B1" w:rsidRDefault="00604A2D" w:rsidP="001D568F">
            <w:pPr>
              <w:spacing w:after="0" w:line="240" w:lineRule="auto"/>
              <w:ind w:left="57" w:right="57"/>
              <w:rPr>
                <w:rFonts w:ascii="Times New Roman" w:eastAsia="Times New Roman" w:hAnsi="Times New Roman"/>
                <w:lang w:eastAsia="lv-LV"/>
              </w:rPr>
            </w:pPr>
          </w:p>
        </w:tc>
        <w:tc>
          <w:tcPr>
            <w:tcW w:w="5819" w:type="dxa"/>
            <w:shd w:val="clear" w:color="auto" w:fill="auto"/>
          </w:tcPr>
          <w:p w:rsidR="00604A2D" w:rsidRPr="009E73B1" w:rsidRDefault="002C60B8" w:rsidP="001D56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Nav.</w:t>
            </w:r>
          </w:p>
        </w:tc>
      </w:tr>
    </w:tbl>
    <w:p w:rsidR="00604A2D" w:rsidRDefault="00604A2D" w:rsidP="00604A2D">
      <w:pPr>
        <w:spacing w:after="0" w:line="240" w:lineRule="auto"/>
        <w:jc w:val="center"/>
        <w:rPr>
          <w:rFonts w:ascii="Times New Roman" w:eastAsia="Times New Roman" w:hAnsi="Times New Roman"/>
          <w:sz w:val="24"/>
          <w:szCs w:val="24"/>
          <w:lang w:eastAsia="lv-LV"/>
        </w:rPr>
      </w:pPr>
    </w:p>
    <w:p w:rsidR="00EA0BAF" w:rsidRPr="009E73B1" w:rsidRDefault="00EA0BAF" w:rsidP="00604A2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9E73B1" w:rsidRPr="009E73B1" w:rsidTr="001D568F">
        <w:tc>
          <w:tcPr>
            <w:tcW w:w="9287" w:type="dxa"/>
            <w:gridSpan w:val="3"/>
            <w:shd w:val="clear" w:color="auto" w:fill="auto"/>
          </w:tcPr>
          <w:p w:rsidR="00604A2D" w:rsidRPr="009E73B1" w:rsidRDefault="00604A2D" w:rsidP="001D568F">
            <w:pPr>
              <w:spacing w:after="0" w:line="240" w:lineRule="auto"/>
              <w:jc w:val="center"/>
              <w:rPr>
                <w:rFonts w:ascii="Times New Roman" w:eastAsia="Times New Roman" w:hAnsi="Times New Roman"/>
                <w:b/>
                <w:sz w:val="24"/>
                <w:szCs w:val="24"/>
                <w:lang w:eastAsia="lv-LV"/>
              </w:rPr>
            </w:pPr>
            <w:r w:rsidRPr="009E73B1">
              <w:rPr>
                <w:rFonts w:ascii="Times New Roman" w:eastAsia="Times New Roman" w:hAnsi="Times New Roman"/>
                <w:b/>
                <w:sz w:val="24"/>
                <w:szCs w:val="24"/>
                <w:lang w:eastAsia="lv-LV"/>
              </w:rPr>
              <w:t>VII. Tiesību akta projekta izpildes nodrošināšana un tās ietekme uz institūcijām</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 xml:space="preserve">1. </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Projekta izpildē iesaistītās institūcijas</w:t>
            </w:r>
          </w:p>
        </w:tc>
        <w:tc>
          <w:tcPr>
            <w:tcW w:w="5819" w:type="dxa"/>
            <w:shd w:val="clear" w:color="auto" w:fill="auto"/>
          </w:tcPr>
          <w:p w:rsidR="00604A2D" w:rsidRPr="009E73B1" w:rsidRDefault="00604A2D" w:rsidP="001D568F">
            <w:pPr>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iCs/>
                <w:sz w:val="24"/>
                <w:szCs w:val="24"/>
                <w:lang w:eastAsia="lv-LV"/>
              </w:rPr>
              <w:t>Likumprojekta izpildi nodrošinās VSAA.</w:t>
            </w: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 xml:space="preserve">2. </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Projekta izpildes ietekme uz pār</w:t>
            </w:r>
            <w:r w:rsidRPr="009E73B1">
              <w:rPr>
                <w:rFonts w:ascii="Times New Roman" w:eastAsia="Times New Roman" w:hAnsi="Times New Roman"/>
                <w:lang w:eastAsia="lv-LV"/>
              </w:rPr>
              <w:softHyphen/>
              <w:t>valdes funkcijām un institucionālo struktūru.</w:t>
            </w:r>
          </w:p>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 xml:space="preserve">Jaunu institūciju izveide, esošu institūciju likvidācija vai </w:t>
            </w:r>
            <w:r w:rsidRPr="009E73B1">
              <w:rPr>
                <w:rFonts w:ascii="Times New Roman" w:eastAsia="Times New Roman" w:hAnsi="Times New Roman"/>
                <w:lang w:eastAsia="lv-LV"/>
              </w:rPr>
              <w:lastRenderedPageBreak/>
              <w:t>reorga</w:t>
            </w:r>
            <w:r w:rsidRPr="009E73B1">
              <w:rPr>
                <w:rFonts w:ascii="Times New Roman" w:eastAsia="Times New Roman" w:hAnsi="Times New Roman"/>
                <w:lang w:eastAsia="lv-LV"/>
              </w:rPr>
              <w:softHyphen/>
              <w:t>nizācija, to ietekme uz institūcijas cilvēkresursiem</w:t>
            </w:r>
          </w:p>
        </w:tc>
        <w:tc>
          <w:tcPr>
            <w:tcW w:w="5819" w:type="dxa"/>
            <w:shd w:val="clear" w:color="auto" w:fill="auto"/>
          </w:tcPr>
          <w:p w:rsidR="00604A2D" w:rsidRPr="009E73B1" w:rsidRDefault="00604A2D" w:rsidP="001D568F">
            <w:pPr>
              <w:jc w:val="both"/>
              <w:rPr>
                <w:rFonts w:ascii="Times New Roman" w:hAnsi="Times New Roman"/>
                <w:sz w:val="24"/>
                <w:szCs w:val="24"/>
              </w:rPr>
            </w:pPr>
            <w:r w:rsidRPr="009E73B1">
              <w:rPr>
                <w:rFonts w:ascii="Times New Roman" w:hAnsi="Times New Roman"/>
                <w:sz w:val="24"/>
                <w:szCs w:val="24"/>
              </w:rPr>
              <w:lastRenderedPageBreak/>
              <w:t>Likumprojekta izpildi VSAA nodrošinās esošo funkciju ietvaros.</w:t>
            </w:r>
          </w:p>
          <w:p w:rsidR="00604A2D" w:rsidRPr="009E73B1" w:rsidRDefault="00604A2D" w:rsidP="001D568F">
            <w:pPr>
              <w:spacing w:after="0" w:line="240" w:lineRule="auto"/>
              <w:jc w:val="both"/>
              <w:rPr>
                <w:rFonts w:ascii="Times New Roman" w:eastAsia="Times New Roman" w:hAnsi="Times New Roman"/>
                <w:sz w:val="24"/>
                <w:szCs w:val="24"/>
                <w:lang w:eastAsia="lv-LV"/>
              </w:rPr>
            </w:pPr>
          </w:p>
        </w:tc>
      </w:tr>
      <w:tr w:rsidR="009E73B1" w:rsidRPr="009E73B1" w:rsidTr="001D568F">
        <w:tc>
          <w:tcPr>
            <w:tcW w:w="396" w:type="dxa"/>
            <w:shd w:val="clear" w:color="auto" w:fill="auto"/>
          </w:tcPr>
          <w:p w:rsidR="00604A2D" w:rsidRPr="009E73B1" w:rsidRDefault="00604A2D" w:rsidP="001D568F">
            <w:pPr>
              <w:spacing w:after="0" w:line="240" w:lineRule="auto"/>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lastRenderedPageBreak/>
              <w:t xml:space="preserve">3. </w:t>
            </w:r>
          </w:p>
        </w:tc>
        <w:tc>
          <w:tcPr>
            <w:tcW w:w="3072" w:type="dxa"/>
            <w:shd w:val="clear" w:color="auto" w:fill="auto"/>
          </w:tcPr>
          <w:p w:rsidR="00604A2D" w:rsidRPr="009E73B1" w:rsidRDefault="00604A2D" w:rsidP="001D568F">
            <w:pPr>
              <w:spacing w:after="0" w:line="240" w:lineRule="auto"/>
              <w:rPr>
                <w:rFonts w:ascii="Times New Roman" w:eastAsia="Times New Roman" w:hAnsi="Times New Roman"/>
                <w:lang w:eastAsia="lv-LV"/>
              </w:rPr>
            </w:pPr>
            <w:r w:rsidRPr="009E73B1">
              <w:rPr>
                <w:rFonts w:ascii="Times New Roman" w:eastAsia="Times New Roman" w:hAnsi="Times New Roman"/>
                <w:lang w:eastAsia="lv-LV"/>
              </w:rPr>
              <w:t>Cita informācija</w:t>
            </w:r>
          </w:p>
        </w:tc>
        <w:tc>
          <w:tcPr>
            <w:tcW w:w="5819" w:type="dxa"/>
            <w:shd w:val="clear" w:color="auto" w:fill="auto"/>
          </w:tcPr>
          <w:p w:rsidR="00604A2D" w:rsidRDefault="00604A2D" w:rsidP="001D568F">
            <w:pPr>
              <w:spacing w:after="0" w:line="240" w:lineRule="auto"/>
              <w:jc w:val="both"/>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Nav.</w:t>
            </w:r>
          </w:p>
          <w:p w:rsidR="00F5335C" w:rsidRPr="009E73B1" w:rsidRDefault="00F5335C" w:rsidP="001D568F">
            <w:pPr>
              <w:spacing w:after="0" w:line="240" w:lineRule="auto"/>
              <w:jc w:val="both"/>
              <w:rPr>
                <w:rFonts w:ascii="Times New Roman" w:eastAsia="Times New Roman" w:hAnsi="Times New Roman"/>
                <w:sz w:val="24"/>
                <w:szCs w:val="24"/>
                <w:lang w:eastAsia="lv-LV"/>
              </w:rPr>
            </w:pPr>
          </w:p>
        </w:tc>
      </w:tr>
    </w:tbl>
    <w:p w:rsidR="00604A2D" w:rsidRPr="009E73B1" w:rsidRDefault="00604A2D" w:rsidP="00604A2D">
      <w:pPr>
        <w:spacing w:after="0" w:line="240" w:lineRule="auto"/>
        <w:rPr>
          <w:rFonts w:ascii="Times New Roman" w:eastAsia="Times New Roman" w:hAnsi="Times New Roman"/>
          <w:sz w:val="24"/>
          <w:szCs w:val="24"/>
          <w:lang w:eastAsia="lv-LV"/>
        </w:rPr>
      </w:pPr>
    </w:p>
    <w:p w:rsidR="00604A2D" w:rsidRPr="009E73B1" w:rsidRDefault="00604A2D" w:rsidP="00604A2D">
      <w:pPr>
        <w:spacing w:after="0" w:line="240" w:lineRule="auto"/>
        <w:rPr>
          <w:rFonts w:ascii="Times New Roman" w:eastAsia="Times New Roman" w:hAnsi="Times New Roman"/>
          <w:sz w:val="24"/>
          <w:szCs w:val="24"/>
          <w:lang w:eastAsia="lv-LV"/>
        </w:rPr>
      </w:pPr>
    </w:p>
    <w:p w:rsidR="00DE5C92" w:rsidRPr="008F584D" w:rsidRDefault="001E1577" w:rsidP="00082922">
      <w:pPr>
        <w:spacing w:before="60" w:after="0" w:line="240" w:lineRule="auto"/>
        <w:rPr>
          <w:rFonts w:ascii="Times New Roman" w:hAnsi="Times New Roman"/>
          <w:sz w:val="28"/>
          <w:szCs w:val="28"/>
          <w:lang w:val="de-DE"/>
        </w:rPr>
      </w:pPr>
      <w:r>
        <w:rPr>
          <w:rFonts w:ascii="Times New Roman" w:hAnsi="Times New Roman"/>
          <w:sz w:val="28"/>
          <w:szCs w:val="28"/>
        </w:rPr>
        <w:t>L</w:t>
      </w:r>
      <w:r w:rsidR="00082922">
        <w:rPr>
          <w:rFonts w:ascii="Times New Roman" w:hAnsi="Times New Roman"/>
          <w:sz w:val="28"/>
          <w:szCs w:val="28"/>
          <w:lang w:val="de-DE"/>
        </w:rPr>
        <w:t>abklājības ministrs                                                                          J.Reirs</w:t>
      </w:r>
    </w:p>
    <w:p w:rsidR="00F5335C" w:rsidRDefault="00F5335C" w:rsidP="009050A7">
      <w:pPr>
        <w:spacing w:after="0" w:line="240" w:lineRule="auto"/>
        <w:ind w:firstLine="720"/>
        <w:rPr>
          <w:rFonts w:ascii="Times New Roman" w:eastAsia="Times New Roman" w:hAnsi="Times New Roman"/>
          <w:sz w:val="24"/>
          <w:szCs w:val="24"/>
          <w:lang w:eastAsia="lv-LV"/>
        </w:rPr>
      </w:pPr>
    </w:p>
    <w:p w:rsidR="00F5335C" w:rsidRDefault="00F5335C" w:rsidP="009050A7">
      <w:pPr>
        <w:spacing w:after="0" w:line="240" w:lineRule="auto"/>
        <w:ind w:firstLine="720"/>
        <w:rPr>
          <w:rFonts w:ascii="Times New Roman" w:eastAsia="Times New Roman" w:hAnsi="Times New Roman"/>
          <w:sz w:val="24"/>
          <w:szCs w:val="24"/>
          <w:lang w:eastAsia="lv-LV"/>
        </w:rPr>
      </w:pPr>
    </w:p>
    <w:p w:rsidR="00F5335C" w:rsidRDefault="00F5335C" w:rsidP="009050A7">
      <w:pPr>
        <w:spacing w:after="0" w:line="240" w:lineRule="auto"/>
        <w:ind w:firstLine="720"/>
        <w:rPr>
          <w:rFonts w:ascii="Times New Roman" w:eastAsia="Times New Roman" w:hAnsi="Times New Roman"/>
          <w:sz w:val="24"/>
          <w:szCs w:val="24"/>
          <w:lang w:eastAsia="lv-LV"/>
        </w:rPr>
      </w:pPr>
    </w:p>
    <w:p w:rsidR="00604A2D" w:rsidRPr="009E73B1" w:rsidRDefault="00604A2D" w:rsidP="009050A7">
      <w:pPr>
        <w:spacing w:after="0" w:line="240" w:lineRule="auto"/>
        <w:ind w:firstLine="720"/>
        <w:rPr>
          <w:rFonts w:ascii="Times New Roman" w:eastAsia="Times New Roman" w:hAnsi="Times New Roman"/>
          <w:sz w:val="24"/>
          <w:szCs w:val="24"/>
          <w:lang w:eastAsia="lv-LV"/>
        </w:rPr>
      </w:pPr>
      <w:r w:rsidRPr="009E73B1">
        <w:rPr>
          <w:rFonts w:ascii="Times New Roman" w:eastAsia="Times New Roman" w:hAnsi="Times New Roman"/>
          <w:sz w:val="24"/>
          <w:szCs w:val="24"/>
          <w:lang w:eastAsia="lv-LV"/>
        </w:rPr>
        <w:tab/>
      </w:r>
      <w:r w:rsidRPr="009E73B1">
        <w:rPr>
          <w:rFonts w:ascii="Times New Roman" w:eastAsia="Times New Roman" w:hAnsi="Times New Roman"/>
          <w:sz w:val="24"/>
          <w:szCs w:val="24"/>
          <w:lang w:eastAsia="lv-LV"/>
        </w:rPr>
        <w:tab/>
      </w:r>
      <w:r w:rsidRPr="009E73B1">
        <w:rPr>
          <w:rFonts w:ascii="Times New Roman" w:eastAsia="Times New Roman" w:hAnsi="Times New Roman"/>
          <w:sz w:val="24"/>
          <w:szCs w:val="24"/>
          <w:lang w:eastAsia="lv-LV"/>
        </w:rPr>
        <w:tab/>
        <w:t xml:space="preserve">                  </w:t>
      </w:r>
    </w:p>
    <w:p w:rsidR="00563752" w:rsidRDefault="00563752" w:rsidP="00604A2D">
      <w:pPr>
        <w:suppressAutoHyphens/>
        <w:spacing w:after="0" w:line="240" w:lineRule="auto"/>
        <w:textAlignment w:val="baseline"/>
        <w:rPr>
          <w:rFonts w:ascii="Times New Roman" w:eastAsia="Times New Roman" w:hAnsi="Times New Roman"/>
          <w:sz w:val="20"/>
          <w:szCs w:val="20"/>
          <w:lang w:eastAsia="ar-SA"/>
        </w:rPr>
      </w:pPr>
      <w:r>
        <w:rPr>
          <w:rFonts w:ascii="Times New Roman" w:eastAsia="Times New Roman" w:hAnsi="Times New Roman"/>
          <w:sz w:val="20"/>
          <w:szCs w:val="20"/>
          <w:lang w:eastAsia="ar-SA"/>
        </w:rPr>
        <w:t>12.09.2016 12:08</w:t>
      </w:r>
    </w:p>
    <w:p w:rsidR="00604A2D" w:rsidRPr="00EA0BAF" w:rsidRDefault="009050A7" w:rsidP="00604A2D">
      <w:pPr>
        <w:suppressAutoHyphens/>
        <w:spacing w:after="0" w:line="240" w:lineRule="auto"/>
        <w:textAlignment w:val="baseline"/>
        <w:rPr>
          <w:rFonts w:ascii="Times New Roman" w:eastAsia="Arial" w:hAnsi="Times New Roman"/>
          <w:kern w:val="1"/>
          <w:sz w:val="20"/>
          <w:szCs w:val="20"/>
          <w:lang w:eastAsia="ar-SA"/>
        </w:rPr>
      </w:pPr>
      <w:bookmarkStart w:id="0" w:name="_GoBack"/>
      <w:bookmarkEnd w:id="0"/>
      <w:r w:rsidRPr="00EA0BAF">
        <w:rPr>
          <w:rFonts w:ascii="Times New Roman" w:eastAsia="Times New Roman" w:hAnsi="Times New Roman"/>
          <w:sz w:val="20"/>
          <w:szCs w:val="20"/>
          <w:lang w:eastAsia="ar-SA"/>
        </w:rPr>
        <w:t>5</w:t>
      </w:r>
      <w:r w:rsidR="00EA0BAF" w:rsidRPr="00EA0BAF">
        <w:rPr>
          <w:rFonts w:ascii="Times New Roman" w:eastAsia="Times New Roman" w:hAnsi="Times New Roman"/>
          <w:sz w:val="20"/>
          <w:szCs w:val="20"/>
          <w:lang w:eastAsia="ar-SA"/>
        </w:rPr>
        <w:t>965</w:t>
      </w:r>
    </w:p>
    <w:p w:rsidR="00604A2D" w:rsidRPr="00EA0BAF" w:rsidRDefault="00604A2D" w:rsidP="00604A2D">
      <w:pPr>
        <w:spacing w:after="0"/>
        <w:rPr>
          <w:rFonts w:ascii="Times New Roman" w:hAnsi="Times New Roman"/>
          <w:sz w:val="20"/>
          <w:szCs w:val="20"/>
        </w:rPr>
      </w:pPr>
      <w:r w:rsidRPr="00EA0BAF">
        <w:rPr>
          <w:rFonts w:ascii="Times New Roman" w:hAnsi="Times New Roman"/>
          <w:sz w:val="20"/>
          <w:szCs w:val="20"/>
        </w:rPr>
        <w:t>D.Trušinska,67021553</w:t>
      </w:r>
    </w:p>
    <w:p w:rsidR="00604A2D" w:rsidRPr="00EA0BAF" w:rsidRDefault="00604A2D" w:rsidP="00604A2D">
      <w:pPr>
        <w:spacing w:after="0"/>
        <w:rPr>
          <w:rFonts w:ascii="Times New Roman" w:hAnsi="Times New Roman"/>
          <w:sz w:val="20"/>
          <w:szCs w:val="20"/>
        </w:rPr>
      </w:pPr>
      <w:r w:rsidRPr="00EA0BAF">
        <w:rPr>
          <w:rFonts w:ascii="Times New Roman" w:hAnsi="Times New Roman"/>
          <w:sz w:val="20"/>
          <w:szCs w:val="20"/>
        </w:rPr>
        <w:t>S.Stabiņa, 67021551</w:t>
      </w:r>
    </w:p>
    <w:p w:rsidR="00604A2D" w:rsidRPr="00EA0BAF" w:rsidRDefault="0085387B" w:rsidP="00604A2D">
      <w:pPr>
        <w:spacing w:after="0" w:line="240" w:lineRule="auto"/>
        <w:rPr>
          <w:rStyle w:val="Hyperlink"/>
          <w:rFonts w:ascii="Times New Roman" w:hAnsi="Times New Roman"/>
          <w:color w:val="auto"/>
          <w:sz w:val="20"/>
          <w:szCs w:val="20"/>
        </w:rPr>
      </w:pPr>
      <w:hyperlink r:id="rId13" w:history="1">
        <w:r w:rsidR="00604A2D" w:rsidRPr="00EA0BAF">
          <w:rPr>
            <w:rStyle w:val="Hyperlink"/>
            <w:rFonts w:ascii="Times New Roman" w:hAnsi="Times New Roman"/>
            <w:color w:val="auto"/>
            <w:sz w:val="20"/>
            <w:szCs w:val="20"/>
          </w:rPr>
          <w:t>Dace.Trusinska@lm.gov.lv</w:t>
        </w:r>
      </w:hyperlink>
    </w:p>
    <w:p w:rsidR="00604A2D" w:rsidRPr="00EA0BAF" w:rsidRDefault="00604A2D" w:rsidP="00604A2D">
      <w:pPr>
        <w:spacing w:after="0" w:line="240" w:lineRule="auto"/>
        <w:rPr>
          <w:rFonts w:ascii="Times New Roman" w:hAnsi="Times New Roman"/>
          <w:sz w:val="20"/>
          <w:szCs w:val="20"/>
        </w:rPr>
      </w:pPr>
      <w:r w:rsidRPr="00EA0BAF">
        <w:rPr>
          <w:rStyle w:val="Hyperlink"/>
          <w:rFonts w:ascii="Times New Roman" w:hAnsi="Times New Roman"/>
          <w:color w:val="auto"/>
          <w:sz w:val="20"/>
          <w:szCs w:val="20"/>
        </w:rPr>
        <w:t>Sandra.Stabina@lm.gov.lv</w:t>
      </w:r>
    </w:p>
    <w:p w:rsidR="00905ACF" w:rsidRPr="00EA0BAF" w:rsidRDefault="00905ACF">
      <w:pPr>
        <w:rPr>
          <w:rFonts w:ascii="Times New Roman" w:hAnsi="Times New Roman"/>
          <w:sz w:val="20"/>
          <w:szCs w:val="20"/>
        </w:rPr>
      </w:pPr>
    </w:p>
    <w:sectPr w:rsidR="00905ACF" w:rsidRPr="00EA0BAF" w:rsidSect="001D568F">
      <w:headerReference w:type="even" r:id="rId14"/>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7B" w:rsidRDefault="0085387B" w:rsidP="00604A2D">
      <w:pPr>
        <w:spacing w:after="0" w:line="240" w:lineRule="auto"/>
      </w:pPr>
      <w:r>
        <w:separator/>
      </w:r>
    </w:p>
  </w:endnote>
  <w:endnote w:type="continuationSeparator" w:id="0">
    <w:p w:rsidR="0085387B" w:rsidRDefault="0085387B" w:rsidP="0060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F" w:rsidRPr="009050A7" w:rsidRDefault="00EA0BAF" w:rsidP="009050A7">
    <w:pPr>
      <w:pStyle w:val="NormalWeb"/>
      <w:spacing w:before="0" w:after="0"/>
      <w:jc w:val="both"/>
      <w:rPr>
        <w:sz w:val="20"/>
        <w:szCs w:val="20"/>
      </w:rPr>
    </w:pPr>
    <w:r w:rsidRPr="009050A7">
      <w:rPr>
        <w:sz w:val="20"/>
        <w:szCs w:val="20"/>
      </w:rPr>
      <w:t>LManot_120916_SP; Likumprojekts „Grozījumi likumā „Par maternitātes un slimības apdrošināšanu””</w:t>
    </w:r>
  </w:p>
  <w:p w:rsidR="00EA0BAF" w:rsidRPr="009050A7" w:rsidRDefault="00EA0BAF" w:rsidP="0090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F" w:rsidRPr="009050A7" w:rsidRDefault="00EA0BAF" w:rsidP="001D568F">
    <w:pPr>
      <w:pStyle w:val="NormalWeb"/>
      <w:spacing w:before="0" w:after="0"/>
      <w:jc w:val="both"/>
      <w:rPr>
        <w:sz w:val="20"/>
        <w:szCs w:val="20"/>
      </w:rPr>
    </w:pPr>
    <w:r w:rsidRPr="009050A7">
      <w:rPr>
        <w:sz w:val="20"/>
        <w:szCs w:val="20"/>
      </w:rPr>
      <w:t>LManot_120916_SP; Likumprojekts „Grozījumi likumā „Par maternitātes un slimības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7B" w:rsidRDefault="0085387B" w:rsidP="00604A2D">
      <w:pPr>
        <w:spacing w:after="0" w:line="240" w:lineRule="auto"/>
      </w:pPr>
      <w:r>
        <w:separator/>
      </w:r>
    </w:p>
  </w:footnote>
  <w:footnote w:type="continuationSeparator" w:id="0">
    <w:p w:rsidR="0085387B" w:rsidRDefault="0085387B" w:rsidP="00604A2D">
      <w:pPr>
        <w:spacing w:after="0" w:line="240" w:lineRule="auto"/>
      </w:pPr>
      <w:r>
        <w:continuationSeparator/>
      </w:r>
    </w:p>
  </w:footnote>
  <w:footnote w:id="1">
    <w:p w:rsidR="00EA0BAF" w:rsidRPr="009643D0" w:rsidRDefault="00EA0BAF" w:rsidP="00604A2D">
      <w:pPr>
        <w:pStyle w:val="ListParagraph"/>
        <w:ind w:left="0"/>
        <w:jc w:val="both"/>
        <w:rPr>
          <w:sz w:val="16"/>
          <w:szCs w:val="16"/>
        </w:rPr>
      </w:pPr>
      <w:r w:rsidRPr="003A1961">
        <w:rPr>
          <w:rStyle w:val="FootnoteReference"/>
          <w:sz w:val="16"/>
          <w:szCs w:val="16"/>
        </w:rPr>
        <w:footnoteRef/>
      </w:r>
      <w:r w:rsidRPr="003A1961">
        <w:rPr>
          <w:sz w:val="16"/>
          <w:szCs w:val="16"/>
        </w:rPr>
        <w:t xml:space="preserve"> No 2010.gada 1.janvāra</w:t>
      </w:r>
      <w:r>
        <w:rPr>
          <w:sz w:val="16"/>
          <w:szCs w:val="16"/>
        </w:rPr>
        <w:t xml:space="preserve"> </w:t>
      </w:r>
      <w:r w:rsidRPr="009643D0">
        <w:rPr>
          <w:sz w:val="16"/>
          <w:szCs w:val="16"/>
        </w:rPr>
        <w:t xml:space="preserve"> līdz 201</w:t>
      </w:r>
      <w:r>
        <w:rPr>
          <w:sz w:val="16"/>
          <w:szCs w:val="16"/>
        </w:rPr>
        <w:t>4</w:t>
      </w:r>
      <w:r w:rsidRPr="009643D0">
        <w:rPr>
          <w:sz w:val="16"/>
          <w:szCs w:val="16"/>
        </w:rPr>
        <w:t xml:space="preserve">.gada 31.decembrim pabalsta izmaksu ierobežojumi – ja piešķirtā pabalsta apmērs vienā kalendārā dienā pārsniedza 16,38 EUR, tad izmaksājamā pabalsta apmērs dienā: 16,38 EUR + 50% no summas, kas pārsniedz 16,38 EUR. </w:t>
      </w:r>
    </w:p>
    <w:p w:rsidR="00EA0BAF" w:rsidRPr="00B64C80" w:rsidRDefault="00EA0BAF" w:rsidP="00604A2D">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F" w:rsidRDefault="00EA0BAF" w:rsidP="001D5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BAF" w:rsidRDefault="00EA0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F" w:rsidRDefault="00EA0BAF" w:rsidP="001D5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752">
      <w:rPr>
        <w:rStyle w:val="PageNumber"/>
        <w:noProof/>
      </w:rPr>
      <w:t>21</w:t>
    </w:r>
    <w:r>
      <w:rPr>
        <w:rStyle w:val="PageNumber"/>
      </w:rPr>
      <w:fldChar w:fldCharType="end"/>
    </w:r>
  </w:p>
  <w:p w:rsidR="00EA0BAF" w:rsidRDefault="00EA0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2A4"/>
    <w:multiLevelType w:val="hybridMultilevel"/>
    <w:tmpl w:val="EBCC9B4A"/>
    <w:lvl w:ilvl="0" w:tplc="90EE7E32">
      <w:start w:val="2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035C53"/>
    <w:multiLevelType w:val="hybridMultilevel"/>
    <w:tmpl w:val="322643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6B36814"/>
    <w:multiLevelType w:val="hybridMultilevel"/>
    <w:tmpl w:val="46602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7C5856"/>
    <w:multiLevelType w:val="hybridMultilevel"/>
    <w:tmpl w:val="5824CA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5E7093"/>
    <w:multiLevelType w:val="hybridMultilevel"/>
    <w:tmpl w:val="FC281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36341D"/>
    <w:multiLevelType w:val="hybridMultilevel"/>
    <w:tmpl w:val="46602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216053F"/>
    <w:multiLevelType w:val="hybridMultilevel"/>
    <w:tmpl w:val="46602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3B3B58"/>
    <w:multiLevelType w:val="hybridMultilevel"/>
    <w:tmpl w:val="C84C81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2D"/>
    <w:rsid w:val="00003790"/>
    <w:rsid w:val="00013003"/>
    <w:rsid w:val="0001453B"/>
    <w:rsid w:val="00016458"/>
    <w:rsid w:val="000251DA"/>
    <w:rsid w:val="00030124"/>
    <w:rsid w:val="0003315A"/>
    <w:rsid w:val="00034C32"/>
    <w:rsid w:val="00041368"/>
    <w:rsid w:val="00045021"/>
    <w:rsid w:val="00050441"/>
    <w:rsid w:val="0005065F"/>
    <w:rsid w:val="00051C61"/>
    <w:rsid w:val="00057D2E"/>
    <w:rsid w:val="000631FA"/>
    <w:rsid w:val="0006727F"/>
    <w:rsid w:val="00082922"/>
    <w:rsid w:val="00086B42"/>
    <w:rsid w:val="00087B52"/>
    <w:rsid w:val="000910D7"/>
    <w:rsid w:val="00093CF3"/>
    <w:rsid w:val="000A0A43"/>
    <w:rsid w:val="000A4605"/>
    <w:rsid w:val="000B57A7"/>
    <w:rsid w:val="000C0120"/>
    <w:rsid w:val="000D0439"/>
    <w:rsid w:val="000D1590"/>
    <w:rsid w:val="000D2757"/>
    <w:rsid w:val="000D7EB3"/>
    <w:rsid w:val="000E3E07"/>
    <w:rsid w:val="000F2970"/>
    <w:rsid w:val="000F4D42"/>
    <w:rsid w:val="000F6B4A"/>
    <w:rsid w:val="00102775"/>
    <w:rsid w:val="00103B28"/>
    <w:rsid w:val="00106774"/>
    <w:rsid w:val="00110581"/>
    <w:rsid w:val="00110D0D"/>
    <w:rsid w:val="0011250A"/>
    <w:rsid w:val="00117DDF"/>
    <w:rsid w:val="001224B0"/>
    <w:rsid w:val="001225BB"/>
    <w:rsid w:val="00123C42"/>
    <w:rsid w:val="001251C0"/>
    <w:rsid w:val="00132C38"/>
    <w:rsid w:val="00136B3C"/>
    <w:rsid w:val="00152651"/>
    <w:rsid w:val="0015430F"/>
    <w:rsid w:val="00160473"/>
    <w:rsid w:val="00165679"/>
    <w:rsid w:val="00171268"/>
    <w:rsid w:val="0017149A"/>
    <w:rsid w:val="00180E23"/>
    <w:rsid w:val="0018704F"/>
    <w:rsid w:val="001877A1"/>
    <w:rsid w:val="0019570A"/>
    <w:rsid w:val="001A0666"/>
    <w:rsid w:val="001A4F97"/>
    <w:rsid w:val="001B0C2A"/>
    <w:rsid w:val="001B5C66"/>
    <w:rsid w:val="001B73F2"/>
    <w:rsid w:val="001C011B"/>
    <w:rsid w:val="001D3509"/>
    <w:rsid w:val="001D4F8C"/>
    <w:rsid w:val="001D568F"/>
    <w:rsid w:val="001D66EF"/>
    <w:rsid w:val="001E1577"/>
    <w:rsid w:val="001E6583"/>
    <w:rsid w:val="001F3A18"/>
    <w:rsid w:val="002025C4"/>
    <w:rsid w:val="00220916"/>
    <w:rsid w:val="00221E9F"/>
    <w:rsid w:val="00222BD6"/>
    <w:rsid w:val="00226973"/>
    <w:rsid w:val="002279EC"/>
    <w:rsid w:val="00227C20"/>
    <w:rsid w:val="00233C0B"/>
    <w:rsid w:val="002351EA"/>
    <w:rsid w:val="00244629"/>
    <w:rsid w:val="0025319B"/>
    <w:rsid w:val="00255EE7"/>
    <w:rsid w:val="00260C0D"/>
    <w:rsid w:val="00264BE9"/>
    <w:rsid w:val="0027103B"/>
    <w:rsid w:val="00271E13"/>
    <w:rsid w:val="002727D5"/>
    <w:rsid w:val="00272F11"/>
    <w:rsid w:val="00273BB1"/>
    <w:rsid w:val="0027697B"/>
    <w:rsid w:val="00280692"/>
    <w:rsid w:val="00283F7E"/>
    <w:rsid w:val="00284ED5"/>
    <w:rsid w:val="00290C80"/>
    <w:rsid w:val="00291EA8"/>
    <w:rsid w:val="00295C2E"/>
    <w:rsid w:val="002A1BD1"/>
    <w:rsid w:val="002B1B6A"/>
    <w:rsid w:val="002B3D72"/>
    <w:rsid w:val="002B7543"/>
    <w:rsid w:val="002B7C4C"/>
    <w:rsid w:val="002C0859"/>
    <w:rsid w:val="002C2A57"/>
    <w:rsid w:val="002C5CAA"/>
    <w:rsid w:val="002C60B8"/>
    <w:rsid w:val="002D4FED"/>
    <w:rsid w:val="002F1A31"/>
    <w:rsid w:val="00304010"/>
    <w:rsid w:val="00325132"/>
    <w:rsid w:val="003253CD"/>
    <w:rsid w:val="00344821"/>
    <w:rsid w:val="00344A68"/>
    <w:rsid w:val="00347F41"/>
    <w:rsid w:val="00350008"/>
    <w:rsid w:val="00365AC6"/>
    <w:rsid w:val="00365BC5"/>
    <w:rsid w:val="003671D6"/>
    <w:rsid w:val="00371332"/>
    <w:rsid w:val="00372B45"/>
    <w:rsid w:val="00393F09"/>
    <w:rsid w:val="003A3670"/>
    <w:rsid w:val="003A3DE6"/>
    <w:rsid w:val="003B1B9D"/>
    <w:rsid w:val="003B3271"/>
    <w:rsid w:val="003B518A"/>
    <w:rsid w:val="003B72BC"/>
    <w:rsid w:val="003C7369"/>
    <w:rsid w:val="003D1C5A"/>
    <w:rsid w:val="003D22E1"/>
    <w:rsid w:val="003D2E11"/>
    <w:rsid w:val="003E12E1"/>
    <w:rsid w:val="003E5C38"/>
    <w:rsid w:val="003E5FDF"/>
    <w:rsid w:val="003F017F"/>
    <w:rsid w:val="003F1980"/>
    <w:rsid w:val="003F66B5"/>
    <w:rsid w:val="003F7418"/>
    <w:rsid w:val="00405272"/>
    <w:rsid w:val="00426F66"/>
    <w:rsid w:val="00431574"/>
    <w:rsid w:val="00432CEF"/>
    <w:rsid w:val="0043302D"/>
    <w:rsid w:val="00433C24"/>
    <w:rsid w:val="004406B4"/>
    <w:rsid w:val="00444C27"/>
    <w:rsid w:val="00450D02"/>
    <w:rsid w:val="00452705"/>
    <w:rsid w:val="00452DB7"/>
    <w:rsid w:val="004672D6"/>
    <w:rsid w:val="0047156D"/>
    <w:rsid w:val="0047789D"/>
    <w:rsid w:val="00482437"/>
    <w:rsid w:val="00483DE3"/>
    <w:rsid w:val="00493ADB"/>
    <w:rsid w:val="00493B2F"/>
    <w:rsid w:val="004A7E40"/>
    <w:rsid w:val="004B3CBF"/>
    <w:rsid w:val="004C2AFD"/>
    <w:rsid w:val="004C43AD"/>
    <w:rsid w:val="004C5BA8"/>
    <w:rsid w:val="004D2E6B"/>
    <w:rsid w:val="004D6E60"/>
    <w:rsid w:val="004E0AB0"/>
    <w:rsid w:val="004E19F0"/>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50A89"/>
    <w:rsid w:val="00551BF0"/>
    <w:rsid w:val="0055333D"/>
    <w:rsid w:val="005546F0"/>
    <w:rsid w:val="00563752"/>
    <w:rsid w:val="0056546D"/>
    <w:rsid w:val="00572EEC"/>
    <w:rsid w:val="00577C5D"/>
    <w:rsid w:val="00583219"/>
    <w:rsid w:val="00591A84"/>
    <w:rsid w:val="005A0B6B"/>
    <w:rsid w:val="005A2BB6"/>
    <w:rsid w:val="005A6459"/>
    <w:rsid w:val="005A6FCB"/>
    <w:rsid w:val="005B1AA5"/>
    <w:rsid w:val="005B2263"/>
    <w:rsid w:val="005B2B4B"/>
    <w:rsid w:val="005E0804"/>
    <w:rsid w:val="005E3464"/>
    <w:rsid w:val="005F0731"/>
    <w:rsid w:val="005F598A"/>
    <w:rsid w:val="0060004F"/>
    <w:rsid w:val="006047DC"/>
    <w:rsid w:val="00604A2D"/>
    <w:rsid w:val="00617618"/>
    <w:rsid w:val="00617865"/>
    <w:rsid w:val="00617F87"/>
    <w:rsid w:val="00626B97"/>
    <w:rsid w:val="006302D8"/>
    <w:rsid w:val="00633934"/>
    <w:rsid w:val="006358C3"/>
    <w:rsid w:val="00655F02"/>
    <w:rsid w:val="00656961"/>
    <w:rsid w:val="00660377"/>
    <w:rsid w:val="00667E8F"/>
    <w:rsid w:val="00690637"/>
    <w:rsid w:val="00692709"/>
    <w:rsid w:val="00693DA8"/>
    <w:rsid w:val="006A2469"/>
    <w:rsid w:val="006A3767"/>
    <w:rsid w:val="006A389C"/>
    <w:rsid w:val="006A3DEA"/>
    <w:rsid w:val="006A43CD"/>
    <w:rsid w:val="006A5394"/>
    <w:rsid w:val="006A59C7"/>
    <w:rsid w:val="006A7A1B"/>
    <w:rsid w:val="006C62EB"/>
    <w:rsid w:val="006E55B5"/>
    <w:rsid w:val="006F17FC"/>
    <w:rsid w:val="006F2F2C"/>
    <w:rsid w:val="00701C20"/>
    <w:rsid w:val="00711CA2"/>
    <w:rsid w:val="007137C7"/>
    <w:rsid w:val="00716EDB"/>
    <w:rsid w:val="007206A0"/>
    <w:rsid w:val="0072571E"/>
    <w:rsid w:val="00725C26"/>
    <w:rsid w:val="0072729D"/>
    <w:rsid w:val="00731C30"/>
    <w:rsid w:val="00732ABA"/>
    <w:rsid w:val="00735D76"/>
    <w:rsid w:val="00743E0C"/>
    <w:rsid w:val="00745D57"/>
    <w:rsid w:val="0074786F"/>
    <w:rsid w:val="00750D09"/>
    <w:rsid w:val="0075356C"/>
    <w:rsid w:val="00760642"/>
    <w:rsid w:val="00761191"/>
    <w:rsid w:val="007653E7"/>
    <w:rsid w:val="00766256"/>
    <w:rsid w:val="00770931"/>
    <w:rsid w:val="007735FE"/>
    <w:rsid w:val="007806B5"/>
    <w:rsid w:val="00783221"/>
    <w:rsid w:val="00787D52"/>
    <w:rsid w:val="0079231A"/>
    <w:rsid w:val="00795DF3"/>
    <w:rsid w:val="0079771A"/>
    <w:rsid w:val="007A0CBA"/>
    <w:rsid w:val="007B4185"/>
    <w:rsid w:val="007B548D"/>
    <w:rsid w:val="007C452F"/>
    <w:rsid w:val="007C6A68"/>
    <w:rsid w:val="007C7091"/>
    <w:rsid w:val="007D02C0"/>
    <w:rsid w:val="007D2603"/>
    <w:rsid w:val="007D344D"/>
    <w:rsid w:val="007D5ABB"/>
    <w:rsid w:val="007E343A"/>
    <w:rsid w:val="007F21DA"/>
    <w:rsid w:val="007F7820"/>
    <w:rsid w:val="007F7EB5"/>
    <w:rsid w:val="0080360C"/>
    <w:rsid w:val="00805BBF"/>
    <w:rsid w:val="00806204"/>
    <w:rsid w:val="00810812"/>
    <w:rsid w:val="0081595C"/>
    <w:rsid w:val="0081608E"/>
    <w:rsid w:val="00820598"/>
    <w:rsid w:val="00821B64"/>
    <w:rsid w:val="008259BF"/>
    <w:rsid w:val="008317AF"/>
    <w:rsid w:val="00840775"/>
    <w:rsid w:val="00852CD8"/>
    <w:rsid w:val="0085387B"/>
    <w:rsid w:val="00853B72"/>
    <w:rsid w:val="008554B7"/>
    <w:rsid w:val="00856A03"/>
    <w:rsid w:val="008634BC"/>
    <w:rsid w:val="00867AD1"/>
    <w:rsid w:val="00881F00"/>
    <w:rsid w:val="00885048"/>
    <w:rsid w:val="00892440"/>
    <w:rsid w:val="00892575"/>
    <w:rsid w:val="00895EFC"/>
    <w:rsid w:val="008961D2"/>
    <w:rsid w:val="008A0BB4"/>
    <w:rsid w:val="008A157B"/>
    <w:rsid w:val="008A2BAC"/>
    <w:rsid w:val="008B561A"/>
    <w:rsid w:val="008B7994"/>
    <w:rsid w:val="008D3FFE"/>
    <w:rsid w:val="008D4FF7"/>
    <w:rsid w:val="008D57CB"/>
    <w:rsid w:val="008E18BC"/>
    <w:rsid w:val="008E2054"/>
    <w:rsid w:val="008E4E50"/>
    <w:rsid w:val="008E5D8E"/>
    <w:rsid w:val="008F0FC4"/>
    <w:rsid w:val="008F4F4F"/>
    <w:rsid w:val="00901762"/>
    <w:rsid w:val="009041DC"/>
    <w:rsid w:val="009050A7"/>
    <w:rsid w:val="00905ACF"/>
    <w:rsid w:val="00906953"/>
    <w:rsid w:val="00906E2A"/>
    <w:rsid w:val="009125E1"/>
    <w:rsid w:val="009176ED"/>
    <w:rsid w:val="00930514"/>
    <w:rsid w:val="00930ABC"/>
    <w:rsid w:val="0093474C"/>
    <w:rsid w:val="00936F7D"/>
    <w:rsid w:val="00942356"/>
    <w:rsid w:val="00954691"/>
    <w:rsid w:val="009566E1"/>
    <w:rsid w:val="00960509"/>
    <w:rsid w:val="00961067"/>
    <w:rsid w:val="00963DDB"/>
    <w:rsid w:val="0096626A"/>
    <w:rsid w:val="0097034B"/>
    <w:rsid w:val="0097347F"/>
    <w:rsid w:val="00974AD4"/>
    <w:rsid w:val="00982381"/>
    <w:rsid w:val="009914CA"/>
    <w:rsid w:val="00993116"/>
    <w:rsid w:val="00997355"/>
    <w:rsid w:val="009A27ED"/>
    <w:rsid w:val="009A5222"/>
    <w:rsid w:val="009B2BFA"/>
    <w:rsid w:val="009C2C5B"/>
    <w:rsid w:val="009D047E"/>
    <w:rsid w:val="009D2B22"/>
    <w:rsid w:val="009D4DAF"/>
    <w:rsid w:val="009E1E8F"/>
    <w:rsid w:val="009E6B19"/>
    <w:rsid w:val="009E73B1"/>
    <w:rsid w:val="009F20E7"/>
    <w:rsid w:val="009F3C8A"/>
    <w:rsid w:val="009F69F9"/>
    <w:rsid w:val="00A0379B"/>
    <w:rsid w:val="00A045EF"/>
    <w:rsid w:val="00A05951"/>
    <w:rsid w:val="00A10437"/>
    <w:rsid w:val="00A1471F"/>
    <w:rsid w:val="00A15B76"/>
    <w:rsid w:val="00A172B5"/>
    <w:rsid w:val="00A21892"/>
    <w:rsid w:val="00A327BF"/>
    <w:rsid w:val="00A329A2"/>
    <w:rsid w:val="00A35349"/>
    <w:rsid w:val="00A36FB6"/>
    <w:rsid w:val="00A43C76"/>
    <w:rsid w:val="00A44828"/>
    <w:rsid w:val="00A45CA8"/>
    <w:rsid w:val="00A4751A"/>
    <w:rsid w:val="00A631E8"/>
    <w:rsid w:val="00A705C7"/>
    <w:rsid w:val="00A7104F"/>
    <w:rsid w:val="00A72CAC"/>
    <w:rsid w:val="00A74EC5"/>
    <w:rsid w:val="00A75F2F"/>
    <w:rsid w:val="00A80E85"/>
    <w:rsid w:val="00A81FA4"/>
    <w:rsid w:val="00A82F32"/>
    <w:rsid w:val="00A83F1F"/>
    <w:rsid w:val="00A875CC"/>
    <w:rsid w:val="00A919F9"/>
    <w:rsid w:val="00AA1EE9"/>
    <w:rsid w:val="00AA32DE"/>
    <w:rsid w:val="00AB077B"/>
    <w:rsid w:val="00AC348C"/>
    <w:rsid w:val="00AC457A"/>
    <w:rsid w:val="00AC7928"/>
    <w:rsid w:val="00AD536E"/>
    <w:rsid w:val="00AD59C2"/>
    <w:rsid w:val="00AD5BC5"/>
    <w:rsid w:val="00AD60E5"/>
    <w:rsid w:val="00AE6084"/>
    <w:rsid w:val="00AF0DB3"/>
    <w:rsid w:val="00AF266F"/>
    <w:rsid w:val="00AF3022"/>
    <w:rsid w:val="00B00B5A"/>
    <w:rsid w:val="00B016B4"/>
    <w:rsid w:val="00B018FC"/>
    <w:rsid w:val="00B01B60"/>
    <w:rsid w:val="00B03603"/>
    <w:rsid w:val="00B04FA4"/>
    <w:rsid w:val="00B12107"/>
    <w:rsid w:val="00B14AEB"/>
    <w:rsid w:val="00B15573"/>
    <w:rsid w:val="00B17214"/>
    <w:rsid w:val="00B2593D"/>
    <w:rsid w:val="00B30971"/>
    <w:rsid w:val="00B30B35"/>
    <w:rsid w:val="00B344B5"/>
    <w:rsid w:val="00B34B0F"/>
    <w:rsid w:val="00B35D6B"/>
    <w:rsid w:val="00B36396"/>
    <w:rsid w:val="00B37331"/>
    <w:rsid w:val="00B4257D"/>
    <w:rsid w:val="00B436BB"/>
    <w:rsid w:val="00B50907"/>
    <w:rsid w:val="00B5132D"/>
    <w:rsid w:val="00B5315B"/>
    <w:rsid w:val="00B577B3"/>
    <w:rsid w:val="00B605AA"/>
    <w:rsid w:val="00B6124E"/>
    <w:rsid w:val="00B62A7C"/>
    <w:rsid w:val="00B67B26"/>
    <w:rsid w:val="00B71FE1"/>
    <w:rsid w:val="00B74A8D"/>
    <w:rsid w:val="00B74BF1"/>
    <w:rsid w:val="00B81339"/>
    <w:rsid w:val="00B81F18"/>
    <w:rsid w:val="00B90114"/>
    <w:rsid w:val="00B91095"/>
    <w:rsid w:val="00B94D0B"/>
    <w:rsid w:val="00B964F4"/>
    <w:rsid w:val="00BB14C1"/>
    <w:rsid w:val="00BC31F6"/>
    <w:rsid w:val="00BC4ABD"/>
    <w:rsid w:val="00BC546C"/>
    <w:rsid w:val="00BD30FC"/>
    <w:rsid w:val="00BD5216"/>
    <w:rsid w:val="00BE2272"/>
    <w:rsid w:val="00BE4007"/>
    <w:rsid w:val="00BF02C8"/>
    <w:rsid w:val="00BF0ADA"/>
    <w:rsid w:val="00BF1BD3"/>
    <w:rsid w:val="00BF5213"/>
    <w:rsid w:val="00BF7BA3"/>
    <w:rsid w:val="00C00854"/>
    <w:rsid w:val="00C02920"/>
    <w:rsid w:val="00C10CE7"/>
    <w:rsid w:val="00C12152"/>
    <w:rsid w:val="00C1718F"/>
    <w:rsid w:val="00C20365"/>
    <w:rsid w:val="00C2386F"/>
    <w:rsid w:val="00C26D28"/>
    <w:rsid w:val="00C30EE2"/>
    <w:rsid w:val="00C42A4B"/>
    <w:rsid w:val="00C57159"/>
    <w:rsid w:val="00C6037A"/>
    <w:rsid w:val="00C6143C"/>
    <w:rsid w:val="00C62771"/>
    <w:rsid w:val="00C72669"/>
    <w:rsid w:val="00C75757"/>
    <w:rsid w:val="00C76429"/>
    <w:rsid w:val="00C806AF"/>
    <w:rsid w:val="00C874CB"/>
    <w:rsid w:val="00C91F19"/>
    <w:rsid w:val="00C9375A"/>
    <w:rsid w:val="00C97EBC"/>
    <w:rsid w:val="00CA41A1"/>
    <w:rsid w:val="00CA4A6A"/>
    <w:rsid w:val="00CB17D9"/>
    <w:rsid w:val="00CB69AF"/>
    <w:rsid w:val="00CC6B86"/>
    <w:rsid w:val="00CD1587"/>
    <w:rsid w:val="00CF16C4"/>
    <w:rsid w:val="00CF1BED"/>
    <w:rsid w:val="00D0200B"/>
    <w:rsid w:val="00D03AFF"/>
    <w:rsid w:val="00D1117D"/>
    <w:rsid w:val="00D11A33"/>
    <w:rsid w:val="00D11CF6"/>
    <w:rsid w:val="00D12C94"/>
    <w:rsid w:val="00D140F6"/>
    <w:rsid w:val="00D15C5B"/>
    <w:rsid w:val="00D20EB2"/>
    <w:rsid w:val="00D33271"/>
    <w:rsid w:val="00D413DF"/>
    <w:rsid w:val="00D41E42"/>
    <w:rsid w:val="00D43BC9"/>
    <w:rsid w:val="00D53C15"/>
    <w:rsid w:val="00D53EF1"/>
    <w:rsid w:val="00D649A7"/>
    <w:rsid w:val="00D75E1E"/>
    <w:rsid w:val="00D8494A"/>
    <w:rsid w:val="00D92038"/>
    <w:rsid w:val="00D93AD9"/>
    <w:rsid w:val="00D94B6A"/>
    <w:rsid w:val="00D95F8B"/>
    <w:rsid w:val="00D9607E"/>
    <w:rsid w:val="00D97758"/>
    <w:rsid w:val="00DA0352"/>
    <w:rsid w:val="00DA4F10"/>
    <w:rsid w:val="00DC100F"/>
    <w:rsid w:val="00DC41D0"/>
    <w:rsid w:val="00DE5C92"/>
    <w:rsid w:val="00DE5F1B"/>
    <w:rsid w:val="00DE6432"/>
    <w:rsid w:val="00DF609F"/>
    <w:rsid w:val="00DF725A"/>
    <w:rsid w:val="00DF73C2"/>
    <w:rsid w:val="00E01043"/>
    <w:rsid w:val="00E0226E"/>
    <w:rsid w:val="00E052C0"/>
    <w:rsid w:val="00E0601C"/>
    <w:rsid w:val="00E10683"/>
    <w:rsid w:val="00E14190"/>
    <w:rsid w:val="00E15D73"/>
    <w:rsid w:val="00E33221"/>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3DFB"/>
    <w:rsid w:val="00E95284"/>
    <w:rsid w:val="00EA0BAF"/>
    <w:rsid w:val="00EA7718"/>
    <w:rsid w:val="00EB46CC"/>
    <w:rsid w:val="00ED2EEF"/>
    <w:rsid w:val="00ED38C0"/>
    <w:rsid w:val="00EF6625"/>
    <w:rsid w:val="00F02475"/>
    <w:rsid w:val="00F055A1"/>
    <w:rsid w:val="00F150C5"/>
    <w:rsid w:val="00F16672"/>
    <w:rsid w:val="00F24CD6"/>
    <w:rsid w:val="00F25E89"/>
    <w:rsid w:val="00F30D68"/>
    <w:rsid w:val="00F3188C"/>
    <w:rsid w:val="00F332A2"/>
    <w:rsid w:val="00F3793D"/>
    <w:rsid w:val="00F4165A"/>
    <w:rsid w:val="00F44D8F"/>
    <w:rsid w:val="00F47CE2"/>
    <w:rsid w:val="00F5335C"/>
    <w:rsid w:val="00F5460A"/>
    <w:rsid w:val="00F54FE7"/>
    <w:rsid w:val="00F70E49"/>
    <w:rsid w:val="00F714D0"/>
    <w:rsid w:val="00F717B2"/>
    <w:rsid w:val="00F76882"/>
    <w:rsid w:val="00F83298"/>
    <w:rsid w:val="00F864B5"/>
    <w:rsid w:val="00F8698D"/>
    <w:rsid w:val="00F942C8"/>
    <w:rsid w:val="00FA045E"/>
    <w:rsid w:val="00FA1C82"/>
    <w:rsid w:val="00FB5C1D"/>
    <w:rsid w:val="00FC588F"/>
    <w:rsid w:val="00FC625C"/>
    <w:rsid w:val="00FC7DB6"/>
    <w:rsid w:val="00FD0F03"/>
    <w:rsid w:val="00FD334C"/>
    <w:rsid w:val="00FD4503"/>
    <w:rsid w:val="00FD6D78"/>
    <w:rsid w:val="00FE1A39"/>
    <w:rsid w:val="00FF3C37"/>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A2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604A2D"/>
    <w:rPr>
      <w:rFonts w:ascii="Times New Roman" w:eastAsia="Times New Roman" w:hAnsi="Times New Roman" w:cs="Times New Roman"/>
      <w:sz w:val="24"/>
      <w:szCs w:val="24"/>
      <w:lang w:eastAsia="lv-LV"/>
    </w:rPr>
  </w:style>
  <w:style w:type="character" w:styleId="PageNumber">
    <w:name w:val="page number"/>
    <w:basedOn w:val="DefaultParagraphFont"/>
    <w:rsid w:val="00604A2D"/>
  </w:style>
  <w:style w:type="paragraph" w:styleId="NormalWeb">
    <w:name w:val="Normal (Web)"/>
    <w:basedOn w:val="Normal"/>
    <w:uiPriority w:val="99"/>
    <w:rsid w:val="00604A2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uiPriority w:val="99"/>
    <w:rsid w:val="00604A2D"/>
    <w:rPr>
      <w:color w:val="0000FF"/>
      <w:u w:val="single"/>
    </w:rPr>
  </w:style>
  <w:style w:type="character" w:customStyle="1" w:styleId="apple-converted-space">
    <w:name w:val="apple-converted-space"/>
    <w:basedOn w:val="DefaultParagraphFont"/>
    <w:rsid w:val="00604A2D"/>
  </w:style>
  <w:style w:type="paragraph" w:styleId="FootnoteText">
    <w:name w:val="footnote text"/>
    <w:basedOn w:val="Normal"/>
    <w:link w:val="FootnoteTextChar"/>
    <w:uiPriority w:val="99"/>
    <w:unhideWhenUsed/>
    <w:rsid w:val="00604A2D"/>
    <w:rPr>
      <w:sz w:val="20"/>
      <w:szCs w:val="20"/>
      <w:lang w:val="en-GB"/>
    </w:rPr>
  </w:style>
  <w:style w:type="character" w:customStyle="1" w:styleId="FootnoteTextChar">
    <w:name w:val="Footnote Text Char"/>
    <w:basedOn w:val="DefaultParagraphFont"/>
    <w:link w:val="FootnoteText"/>
    <w:uiPriority w:val="99"/>
    <w:rsid w:val="00604A2D"/>
    <w:rPr>
      <w:rFonts w:ascii="Calibri" w:eastAsia="Calibri" w:hAnsi="Calibri" w:cs="Times New Roman"/>
      <w:sz w:val="20"/>
      <w:szCs w:val="20"/>
      <w:lang w:val="en-GB"/>
    </w:rPr>
  </w:style>
  <w:style w:type="character" w:styleId="FootnoteReference">
    <w:name w:val="footnote reference"/>
    <w:uiPriority w:val="99"/>
    <w:semiHidden/>
    <w:unhideWhenUsed/>
    <w:rsid w:val="00604A2D"/>
    <w:rPr>
      <w:vertAlign w:val="superscript"/>
    </w:rPr>
  </w:style>
  <w:style w:type="paragraph" w:styleId="ListParagraph">
    <w:name w:val="List Paragraph"/>
    <w:basedOn w:val="Normal"/>
    <w:uiPriority w:val="34"/>
    <w:qFormat/>
    <w:rsid w:val="00604A2D"/>
    <w:pPr>
      <w:spacing w:after="0" w:line="240" w:lineRule="auto"/>
      <w:ind w:left="720"/>
      <w:contextualSpacing/>
    </w:pPr>
    <w:rPr>
      <w:rFonts w:ascii="Times New Roman" w:eastAsia="Times New Roman" w:hAnsi="Times New Roman"/>
      <w:sz w:val="24"/>
      <w:szCs w:val="24"/>
      <w:lang w:eastAsia="lv-LV"/>
    </w:rPr>
  </w:style>
  <w:style w:type="paragraph" w:customStyle="1" w:styleId="tv213">
    <w:name w:val="tv213"/>
    <w:basedOn w:val="Normal"/>
    <w:rsid w:val="00604A2D"/>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nhideWhenUsed/>
    <w:rsid w:val="0018704F"/>
    <w:pPr>
      <w:tabs>
        <w:tab w:val="center" w:pos="4153"/>
        <w:tab w:val="right" w:pos="8306"/>
      </w:tabs>
      <w:spacing w:after="0" w:line="240" w:lineRule="auto"/>
    </w:pPr>
  </w:style>
  <w:style w:type="character" w:customStyle="1" w:styleId="FooterChar">
    <w:name w:val="Footer Char"/>
    <w:basedOn w:val="DefaultParagraphFont"/>
    <w:link w:val="Footer"/>
    <w:rsid w:val="0018704F"/>
    <w:rPr>
      <w:rFonts w:ascii="Calibri" w:eastAsia="Calibri" w:hAnsi="Calibri" w:cs="Times New Roman"/>
    </w:rPr>
  </w:style>
  <w:style w:type="paragraph" w:customStyle="1" w:styleId="naisf">
    <w:name w:val="naisf"/>
    <w:basedOn w:val="Normal"/>
    <w:link w:val="naisfChar"/>
    <w:rsid w:val="006A24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6A2469"/>
    <w:rPr>
      <w:rFonts w:ascii="Times New Roman" w:eastAsia="Times New Roman" w:hAnsi="Times New Roman" w:cs="Times New Roman"/>
      <w:sz w:val="24"/>
      <w:szCs w:val="24"/>
      <w:lang w:eastAsia="lv-LV"/>
    </w:rPr>
  </w:style>
  <w:style w:type="table" w:styleId="TableGrid">
    <w:name w:val="Table Grid"/>
    <w:basedOn w:val="TableNormal"/>
    <w:uiPriority w:val="59"/>
    <w:rsid w:val="006A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2469"/>
    <w:rPr>
      <w:sz w:val="16"/>
      <w:szCs w:val="16"/>
    </w:rPr>
  </w:style>
  <w:style w:type="paragraph" w:styleId="CommentText">
    <w:name w:val="annotation text"/>
    <w:basedOn w:val="Normal"/>
    <w:link w:val="CommentTextChar"/>
    <w:uiPriority w:val="99"/>
    <w:semiHidden/>
    <w:unhideWhenUsed/>
    <w:rsid w:val="006A2469"/>
    <w:pPr>
      <w:spacing w:line="240" w:lineRule="auto"/>
    </w:pPr>
    <w:rPr>
      <w:sz w:val="20"/>
      <w:szCs w:val="20"/>
    </w:rPr>
  </w:style>
  <w:style w:type="character" w:customStyle="1" w:styleId="CommentTextChar">
    <w:name w:val="Comment Text Char"/>
    <w:basedOn w:val="DefaultParagraphFont"/>
    <w:link w:val="CommentText"/>
    <w:uiPriority w:val="99"/>
    <w:semiHidden/>
    <w:rsid w:val="006A24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2469"/>
    <w:rPr>
      <w:b/>
      <w:bCs/>
    </w:rPr>
  </w:style>
  <w:style w:type="character" w:customStyle="1" w:styleId="CommentSubjectChar">
    <w:name w:val="Comment Subject Char"/>
    <w:basedOn w:val="CommentTextChar"/>
    <w:link w:val="CommentSubject"/>
    <w:uiPriority w:val="99"/>
    <w:semiHidden/>
    <w:rsid w:val="006A246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69"/>
    <w:rPr>
      <w:rFonts w:ascii="Tahoma" w:eastAsia="Calibri" w:hAnsi="Tahoma" w:cs="Tahoma"/>
      <w:sz w:val="16"/>
      <w:szCs w:val="16"/>
    </w:rPr>
  </w:style>
  <w:style w:type="paragraph" w:styleId="Revision">
    <w:name w:val="Revision"/>
    <w:hidden/>
    <w:uiPriority w:val="99"/>
    <w:semiHidden/>
    <w:rsid w:val="005533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A2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604A2D"/>
    <w:rPr>
      <w:rFonts w:ascii="Times New Roman" w:eastAsia="Times New Roman" w:hAnsi="Times New Roman" w:cs="Times New Roman"/>
      <w:sz w:val="24"/>
      <w:szCs w:val="24"/>
      <w:lang w:eastAsia="lv-LV"/>
    </w:rPr>
  </w:style>
  <w:style w:type="character" w:styleId="PageNumber">
    <w:name w:val="page number"/>
    <w:basedOn w:val="DefaultParagraphFont"/>
    <w:rsid w:val="00604A2D"/>
  </w:style>
  <w:style w:type="paragraph" w:styleId="NormalWeb">
    <w:name w:val="Normal (Web)"/>
    <w:basedOn w:val="Normal"/>
    <w:uiPriority w:val="99"/>
    <w:rsid w:val="00604A2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uiPriority w:val="99"/>
    <w:rsid w:val="00604A2D"/>
    <w:rPr>
      <w:color w:val="0000FF"/>
      <w:u w:val="single"/>
    </w:rPr>
  </w:style>
  <w:style w:type="character" w:customStyle="1" w:styleId="apple-converted-space">
    <w:name w:val="apple-converted-space"/>
    <w:basedOn w:val="DefaultParagraphFont"/>
    <w:rsid w:val="00604A2D"/>
  </w:style>
  <w:style w:type="paragraph" w:styleId="FootnoteText">
    <w:name w:val="footnote text"/>
    <w:basedOn w:val="Normal"/>
    <w:link w:val="FootnoteTextChar"/>
    <w:uiPriority w:val="99"/>
    <w:unhideWhenUsed/>
    <w:rsid w:val="00604A2D"/>
    <w:rPr>
      <w:sz w:val="20"/>
      <w:szCs w:val="20"/>
      <w:lang w:val="en-GB"/>
    </w:rPr>
  </w:style>
  <w:style w:type="character" w:customStyle="1" w:styleId="FootnoteTextChar">
    <w:name w:val="Footnote Text Char"/>
    <w:basedOn w:val="DefaultParagraphFont"/>
    <w:link w:val="FootnoteText"/>
    <w:uiPriority w:val="99"/>
    <w:rsid w:val="00604A2D"/>
    <w:rPr>
      <w:rFonts w:ascii="Calibri" w:eastAsia="Calibri" w:hAnsi="Calibri" w:cs="Times New Roman"/>
      <w:sz w:val="20"/>
      <w:szCs w:val="20"/>
      <w:lang w:val="en-GB"/>
    </w:rPr>
  </w:style>
  <w:style w:type="character" w:styleId="FootnoteReference">
    <w:name w:val="footnote reference"/>
    <w:uiPriority w:val="99"/>
    <w:semiHidden/>
    <w:unhideWhenUsed/>
    <w:rsid w:val="00604A2D"/>
    <w:rPr>
      <w:vertAlign w:val="superscript"/>
    </w:rPr>
  </w:style>
  <w:style w:type="paragraph" w:styleId="ListParagraph">
    <w:name w:val="List Paragraph"/>
    <w:basedOn w:val="Normal"/>
    <w:uiPriority w:val="34"/>
    <w:qFormat/>
    <w:rsid w:val="00604A2D"/>
    <w:pPr>
      <w:spacing w:after="0" w:line="240" w:lineRule="auto"/>
      <w:ind w:left="720"/>
      <w:contextualSpacing/>
    </w:pPr>
    <w:rPr>
      <w:rFonts w:ascii="Times New Roman" w:eastAsia="Times New Roman" w:hAnsi="Times New Roman"/>
      <w:sz w:val="24"/>
      <w:szCs w:val="24"/>
      <w:lang w:eastAsia="lv-LV"/>
    </w:rPr>
  </w:style>
  <w:style w:type="paragraph" w:customStyle="1" w:styleId="tv213">
    <w:name w:val="tv213"/>
    <w:basedOn w:val="Normal"/>
    <w:rsid w:val="00604A2D"/>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nhideWhenUsed/>
    <w:rsid w:val="0018704F"/>
    <w:pPr>
      <w:tabs>
        <w:tab w:val="center" w:pos="4153"/>
        <w:tab w:val="right" w:pos="8306"/>
      </w:tabs>
      <w:spacing w:after="0" w:line="240" w:lineRule="auto"/>
    </w:pPr>
  </w:style>
  <w:style w:type="character" w:customStyle="1" w:styleId="FooterChar">
    <w:name w:val="Footer Char"/>
    <w:basedOn w:val="DefaultParagraphFont"/>
    <w:link w:val="Footer"/>
    <w:rsid w:val="0018704F"/>
    <w:rPr>
      <w:rFonts w:ascii="Calibri" w:eastAsia="Calibri" w:hAnsi="Calibri" w:cs="Times New Roman"/>
    </w:rPr>
  </w:style>
  <w:style w:type="paragraph" w:customStyle="1" w:styleId="naisf">
    <w:name w:val="naisf"/>
    <w:basedOn w:val="Normal"/>
    <w:link w:val="naisfChar"/>
    <w:rsid w:val="006A24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6A2469"/>
    <w:rPr>
      <w:rFonts w:ascii="Times New Roman" w:eastAsia="Times New Roman" w:hAnsi="Times New Roman" w:cs="Times New Roman"/>
      <w:sz w:val="24"/>
      <w:szCs w:val="24"/>
      <w:lang w:eastAsia="lv-LV"/>
    </w:rPr>
  </w:style>
  <w:style w:type="table" w:styleId="TableGrid">
    <w:name w:val="Table Grid"/>
    <w:basedOn w:val="TableNormal"/>
    <w:uiPriority w:val="59"/>
    <w:rsid w:val="006A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2469"/>
    <w:rPr>
      <w:sz w:val="16"/>
      <w:szCs w:val="16"/>
    </w:rPr>
  </w:style>
  <w:style w:type="paragraph" w:styleId="CommentText">
    <w:name w:val="annotation text"/>
    <w:basedOn w:val="Normal"/>
    <w:link w:val="CommentTextChar"/>
    <w:uiPriority w:val="99"/>
    <w:semiHidden/>
    <w:unhideWhenUsed/>
    <w:rsid w:val="006A2469"/>
    <w:pPr>
      <w:spacing w:line="240" w:lineRule="auto"/>
    </w:pPr>
    <w:rPr>
      <w:sz w:val="20"/>
      <w:szCs w:val="20"/>
    </w:rPr>
  </w:style>
  <w:style w:type="character" w:customStyle="1" w:styleId="CommentTextChar">
    <w:name w:val="Comment Text Char"/>
    <w:basedOn w:val="DefaultParagraphFont"/>
    <w:link w:val="CommentText"/>
    <w:uiPriority w:val="99"/>
    <w:semiHidden/>
    <w:rsid w:val="006A24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2469"/>
    <w:rPr>
      <w:b/>
      <w:bCs/>
    </w:rPr>
  </w:style>
  <w:style w:type="character" w:customStyle="1" w:styleId="CommentSubjectChar">
    <w:name w:val="Comment Subject Char"/>
    <w:basedOn w:val="CommentTextChar"/>
    <w:link w:val="CommentSubject"/>
    <w:uiPriority w:val="99"/>
    <w:semiHidden/>
    <w:rsid w:val="006A246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69"/>
    <w:rPr>
      <w:rFonts w:ascii="Tahoma" w:eastAsia="Calibri" w:hAnsi="Tahoma" w:cs="Tahoma"/>
      <w:sz w:val="16"/>
      <w:szCs w:val="16"/>
    </w:rPr>
  </w:style>
  <w:style w:type="paragraph" w:styleId="Revision">
    <w:name w:val="Revision"/>
    <w:hidden/>
    <w:uiPriority w:val="99"/>
    <w:semiHidden/>
    <w:rsid w:val="005533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ce.Trusinska@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37968-par-obligato-socialo-apdrosinasanu-pret-nelaimes-gadijumiem-darba-un-arodslimib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37968-par-obligato-socialo-apdrosinasanu-pret-nelaimes-gadijumiem-darba-un-arodslimiba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ta/id/37968-par-obligato-socialo-apdrosinasanu-pret-nelaimes-gadijumiem-darba-un-arodslimib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51B4-D9CA-48B7-ADE9-1DA02B0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29166</Words>
  <Characters>16626</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Anotācija</dc:subject>
  <dc:creator>Dace Trusinska</dc:creator>
  <dc:description>D.Trušinska, tālr. 67021553_x000d_
Dace.Trusinska@lm.gov.lv</dc:description>
  <cp:lastModifiedBy>Irena Salmane</cp:lastModifiedBy>
  <cp:revision>14</cp:revision>
  <cp:lastPrinted>2016-09-09T12:19:00Z</cp:lastPrinted>
  <dcterms:created xsi:type="dcterms:W3CDTF">2016-09-09T11:38:00Z</dcterms:created>
  <dcterms:modified xsi:type="dcterms:W3CDTF">2016-09-12T09:08:00Z</dcterms:modified>
</cp:coreProperties>
</file>