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895B95" w:rsidRDefault="00C70D99" w:rsidP="00205628">
      <w:pPr>
        <w:pStyle w:val="Paraststmeklis"/>
        <w:spacing w:after="0" w:line="240" w:lineRule="auto"/>
        <w:jc w:val="center"/>
        <w:rPr>
          <w:rFonts w:eastAsia="Times New Roman"/>
          <w:b/>
          <w:bCs/>
          <w:lang w:eastAsia="lv-LV"/>
        </w:rPr>
      </w:pPr>
      <w:bookmarkStart w:id="0" w:name="_GoBack"/>
      <w:bookmarkEnd w:id="0"/>
      <w:r>
        <w:rPr>
          <w:rFonts w:eastAsia="Times New Roman"/>
          <w:b/>
          <w:bCs/>
          <w:lang w:eastAsia="lv-LV"/>
        </w:rPr>
        <w:t>Ministru kabineta n</w:t>
      </w:r>
      <w:r w:rsidR="00895B95" w:rsidRPr="00895B95">
        <w:rPr>
          <w:rFonts w:eastAsia="Times New Roman"/>
          <w:b/>
          <w:bCs/>
          <w:lang w:eastAsia="lv-LV"/>
        </w:rPr>
        <w:t xml:space="preserve">oteikumu </w:t>
      </w:r>
      <w:r w:rsidR="00A0717C" w:rsidRPr="00895B95">
        <w:rPr>
          <w:rFonts w:eastAsia="Times New Roman"/>
          <w:b/>
          <w:bCs/>
          <w:lang w:eastAsia="lv-LV"/>
        </w:rPr>
        <w:t>projekta “</w:t>
      </w:r>
      <w:r w:rsidR="00895B95" w:rsidRPr="00895B95">
        <w:rPr>
          <w:b/>
          <w:bCs/>
        </w:rPr>
        <w:t>Grozījumi Ministru kabineta 2014. gada 2. septembra noteikumos Nr.</w:t>
      </w:r>
      <w:r>
        <w:rPr>
          <w:b/>
          <w:bCs/>
        </w:rPr>
        <w:t> </w:t>
      </w:r>
      <w:r w:rsidR="00895B95" w:rsidRPr="00895B95">
        <w:rPr>
          <w:b/>
          <w:bCs/>
        </w:rPr>
        <w:t xml:space="preserve">529 </w:t>
      </w:r>
      <w:r w:rsidR="00F90F56" w:rsidRPr="00895B95">
        <w:rPr>
          <w:rFonts w:eastAsia="Times New Roman"/>
          <w:b/>
          <w:bCs/>
          <w:lang w:eastAsia="lv-LV"/>
        </w:rPr>
        <w:t>“</w:t>
      </w:r>
      <w:r w:rsidR="00895B95" w:rsidRPr="00895B95">
        <w:rPr>
          <w:b/>
          <w:bCs/>
        </w:rPr>
        <w:t>Ēku būvnoteikumi”</w:t>
      </w:r>
      <w:r w:rsidR="00895B95">
        <w:rPr>
          <w:b/>
          <w:bCs/>
        </w:rPr>
        <w:t>”</w:t>
      </w:r>
      <w:r>
        <w:rPr>
          <w:rFonts w:eastAsia="Times New Roman"/>
          <w:b/>
          <w:bCs/>
          <w:lang w:eastAsia="lv-LV"/>
        </w:rPr>
        <w:t xml:space="preserve"> </w:t>
      </w:r>
      <w:r w:rsidR="004D15A9" w:rsidRPr="00895B95">
        <w:rPr>
          <w:rFonts w:eastAsia="Times New Roman"/>
          <w:b/>
          <w:bCs/>
          <w:lang w:eastAsia="lv-LV"/>
        </w:rPr>
        <w:t>sākotnējās ietekmes novērtējuma ziņojums (anotācija)</w:t>
      </w:r>
    </w:p>
    <w:p w:rsidR="00954607" w:rsidRPr="007D0C14" w:rsidRDefault="0095460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
        <w:gridCol w:w="427"/>
        <w:gridCol w:w="140"/>
        <w:gridCol w:w="2697"/>
        <w:gridCol w:w="5854"/>
      </w:tblGrid>
      <w:tr w:rsidR="007D0C14" w:rsidRPr="007D0C14" w:rsidTr="00072483">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4D15A9" w:rsidRPr="007D0C14" w:rsidRDefault="004D15A9">
            <w:pPr>
              <w:spacing w:after="0" w:line="240" w:lineRule="auto"/>
              <w:ind w:firstLine="300"/>
              <w:jc w:val="center"/>
              <w:rPr>
                <w:rFonts w:ascii="Times New Roman" w:eastAsia="Times New Roman" w:hAnsi="Times New Roman" w:cs="Times New Roman"/>
                <w:b/>
                <w:bCs/>
                <w:sz w:val="24"/>
                <w:szCs w:val="24"/>
                <w:lang w:eastAsia="lv-LV"/>
              </w:rPr>
            </w:pPr>
            <w:r w:rsidRPr="007D0C14">
              <w:rPr>
                <w:rFonts w:ascii="Times New Roman" w:eastAsia="Times New Roman" w:hAnsi="Times New Roman" w:cs="Times New Roman"/>
                <w:b/>
                <w:bCs/>
                <w:sz w:val="24"/>
                <w:szCs w:val="24"/>
                <w:lang w:eastAsia="lv-LV"/>
              </w:rPr>
              <w:t>I. Tiesību akta projekta izstrādes nepieciešamība</w:t>
            </w:r>
          </w:p>
        </w:tc>
      </w:tr>
      <w:tr w:rsidR="00370CF5" w:rsidRPr="00D01E55" w:rsidTr="00A006D0">
        <w:trPr>
          <w:trHeight w:val="1343"/>
        </w:trPr>
        <w:tc>
          <w:tcPr>
            <w:tcW w:w="327" w:type="pct"/>
            <w:gridSpan w:val="3"/>
            <w:tcBorders>
              <w:top w:val="outset" w:sz="6" w:space="0" w:color="414142"/>
              <w:left w:val="outset" w:sz="6" w:space="0" w:color="414142"/>
              <w:bottom w:val="outset" w:sz="6" w:space="0" w:color="414142"/>
              <w:right w:val="outset" w:sz="6" w:space="0" w:color="414142"/>
            </w:tcBorders>
            <w:hideMark/>
          </w:tcPr>
          <w:p w:rsidR="004D15A9" w:rsidRPr="00D01E55" w:rsidRDefault="004D15A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w:t>
            </w:r>
          </w:p>
        </w:tc>
        <w:tc>
          <w:tcPr>
            <w:tcW w:w="1473" w:type="pct"/>
            <w:tcBorders>
              <w:top w:val="outset" w:sz="6" w:space="0" w:color="414142"/>
              <w:left w:val="outset" w:sz="6" w:space="0" w:color="414142"/>
              <w:bottom w:val="outset" w:sz="6" w:space="0" w:color="414142"/>
              <w:right w:val="outset" w:sz="6" w:space="0" w:color="414142"/>
            </w:tcBorders>
            <w:hideMark/>
          </w:tcPr>
          <w:p w:rsidR="004D15A9" w:rsidRPr="00D01E55" w:rsidRDefault="004D15A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11B58" w:rsidRPr="00D01E55" w:rsidRDefault="00E83352">
            <w:pPr>
              <w:spacing w:after="0" w:line="240" w:lineRule="auto"/>
              <w:ind w:firstLine="409"/>
              <w:jc w:val="both"/>
              <w:rPr>
                <w:rFonts w:ascii="Times New Roman" w:eastAsia="Times New Roman" w:hAnsi="Times New Roman" w:cs="Times New Roman"/>
                <w:bCs/>
                <w:sz w:val="24"/>
                <w:szCs w:val="24"/>
                <w:lang w:eastAsia="lv-LV"/>
              </w:rPr>
            </w:pPr>
            <w:r w:rsidRPr="00E83352">
              <w:rPr>
                <w:rFonts w:ascii="Times New Roman" w:eastAsia="Times New Roman" w:hAnsi="Times New Roman" w:cs="Times New Roman"/>
                <w:bCs/>
                <w:sz w:val="24"/>
                <w:szCs w:val="24"/>
                <w:lang w:eastAsia="lv-LV"/>
              </w:rPr>
              <w:t>2015. gada 5. marta grozījumi Civillikumā, ar kuriem tiek papi</w:t>
            </w:r>
            <w:r w:rsidR="00A0717C">
              <w:rPr>
                <w:rFonts w:ascii="Times New Roman" w:eastAsia="Times New Roman" w:hAnsi="Times New Roman" w:cs="Times New Roman"/>
                <w:bCs/>
                <w:sz w:val="24"/>
                <w:szCs w:val="24"/>
                <w:lang w:eastAsia="lv-LV"/>
              </w:rPr>
              <w:t>ldināta Civillikuma trešā daļa “Lietu tiesības”</w:t>
            </w:r>
            <w:r w:rsidRPr="00E83352">
              <w:rPr>
                <w:rFonts w:ascii="Times New Roman" w:eastAsia="Times New Roman" w:hAnsi="Times New Roman" w:cs="Times New Roman"/>
                <w:bCs/>
                <w:sz w:val="24"/>
                <w:szCs w:val="24"/>
                <w:lang w:eastAsia="lv-LV"/>
              </w:rPr>
              <w:t xml:space="preserve"> ar jaunu TREŠO A NO</w:t>
            </w:r>
            <w:r w:rsidR="00A0717C">
              <w:rPr>
                <w:rFonts w:ascii="Times New Roman" w:eastAsia="Times New Roman" w:hAnsi="Times New Roman" w:cs="Times New Roman"/>
                <w:bCs/>
                <w:sz w:val="24"/>
                <w:szCs w:val="24"/>
                <w:lang w:eastAsia="lv-LV"/>
              </w:rPr>
              <w:t xml:space="preserve">DAĻU </w:t>
            </w:r>
            <w:r w:rsidR="007321E5">
              <w:rPr>
                <w:rFonts w:ascii="Times New Roman" w:eastAsia="Times New Roman" w:hAnsi="Times New Roman" w:cs="Times New Roman"/>
                <w:bCs/>
                <w:sz w:val="24"/>
                <w:szCs w:val="24"/>
                <w:lang w:eastAsia="lv-LV"/>
              </w:rPr>
              <w:t>“</w:t>
            </w:r>
            <w:r w:rsidR="00A0717C">
              <w:rPr>
                <w:rFonts w:ascii="Times New Roman" w:eastAsia="Times New Roman" w:hAnsi="Times New Roman" w:cs="Times New Roman"/>
                <w:bCs/>
                <w:sz w:val="24"/>
                <w:szCs w:val="24"/>
                <w:lang w:eastAsia="lv-LV"/>
              </w:rPr>
              <w:t>Apbūves tiesība” (turpmāk –</w:t>
            </w:r>
            <w:r w:rsidRPr="00E83352">
              <w:rPr>
                <w:rFonts w:ascii="Times New Roman" w:eastAsia="Times New Roman" w:hAnsi="Times New Roman" w:cs="Times New Roman"/>
                <w:bCs/>
                <w:sz w:val="24"/>
                <w:szCs w:val="24"/>
                <w:lang w:eastAsia="lv-LV"/>
              </w:rPr>
              <w:t xml:space="preserve"> grozījumi Civillikumā), kas stāsies spēkā 2017. gada 1. janvār</w:t>
            </w:r>
            <w:r w:rsidR="004C7A4B">
              <w:rPr>
                <w:rFonts w:ascii="Times New Roman" w:eastAsia="Times New Roman" w:hAnsi="Times New Roman" w:cs="Times New Roman"/>
                <w:bCs/>
                <w:sz w:val="24"/>
                <w:szCs w:val="24"/>
                <w:lang w:eastAsia="lv-LV"/>
              </w:rPr>
              <w:t>ī</w:t>
            </w:r>
            <w:r w:rsidRPr="00E83352">
              <w:rPr>
                <w:rFonts w:ascii="Times New Roman" w:eastAsia="Times New Roman" w:hAnsi="Times New Roman" w:cs="Times New Roman"/>
                <w:bCs/>
                <w:sz w:val="24"/>
                <w:szCs w:val="24"/>
                <w:lang w:eastAsia="lv-LV"/>
              </w:rPr>
              <w:t>.</w:t>
            </w:r>
          </w:p>
        </w:tc>
      </w:tr>
      <w:tr w:rsidR="007D0C14" w:rsidRPr="00D01E55" w:rsidTr="00072483">
        <w:trPr>
          <w:trHeight w:val="465"/>
        </w:trPr>
        <w:tc>
          <w:tcPr>
            <w:tcW w:w="327" w:type="pct"/>
            <w:gridSpan w:val="3"/>
            <w:tcBorders>
              <w:top w:val="outset" w:sz="6" w:space="0" w:color="414142"/>
              <w:left w:val="outset" w:sz="6" w:space="0" w:color="414142"/>
              <w:bottom w:val="outset" w:sz="6" w:space="0" w:color="414142"/>
              <w:right w:val="outset" w:sz="6" w:space="0" w:color="414142"/>
            </w:tcBorders>
            <w:hideMark/>
          </w:tcPr>
          <w:p w:rsidR="004D15A9" w:rsidRPr="00D01E55" w:rsidRDefault="004D15A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w:t>
            </w:r>
          </w:p>
        </w:tc>
        <w:tc>
          <w:tcPr>
            <w:tcW w:w="1473" w:type="pct"/>
            <w:tcBorders>
              <w:top w:val="outset" w:sz="6" w:space="0" w:color="414142"/>
              <w:left w:val="outset" w:sz="6" w:space="0" w:color="414142"/>
              <w:bottom w:val="outset" w:sz="6" w:space="0" w:color="414142"/>
              <w:right w:val="outset" w:sz="6" w:space="0" w:color="414142"/>
            </w:tcBorders>
            <w:hideMark/>
          </w:tcPr>
          <w:p w:rsidR="004D15A9" w:rsidRPr="00D01E55" w:rsidRDefault="009236E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2D6F1E" w:rsidRDefault="0028173E">
            <w:pPr>
              <w:pStyle w:val="Sarakstarindkopa"/>
              <w:numPr>
                <w:ilvl w:val="0"/>
                <w:numId w:val="6"/>
              </w:numPr>
              <w:tabs>
                <w:tab w:val="left" w:pos="692"/>
              </w:tabs>
              <w:spacing w:after="0" w:line="240" w:lineRule="auto"/>
              <w:ind w:left="0" w:right="-1" w:firstLine="409"/>
              <w:jc w:val="both"/>
              <w:rPr>
                <w:rFonts w:ascii="Times New Roman" w:hAnsi="Times New Roman"/>
                <w:sz w:val="24"/>
                <w:szCs w:val="24"/>
                <w:u w:val="single"/>
                <w:lang w:eastAsia="lv-LV"/>
              </w:rPr>
            </w:pPr>
            <w:r w:rsidRPr="00D01E55">
              <w:rPr>
                <w:rFonts w:ascii="Times New Roman" w:hAnsi="Times New Roman"/>
                <w:sz w:val="24"/>
                <w:szCs w:val="24"/>
                <w:u w:val="single"/>
                <w:lang w:eastAsia="lv-LV"/>
              </w:rPr>
              <w:t>Pašreizējā situācija</w:t>
            </w:r>
          </w:p>
          <w:p w:rsidR="00D453A7" w:rsidRDefault="00D453A7">
            <w:pPr>
              <w:spacing w:after="0" w:line="240" w:lineRule="auto"/>
              <w:ind w:firstLine="408"/>
              <w:jc w:val="both"/>
              <w:rPr>
                <w:rFonts w:ascii="Times New Roman" w:hAnsi="Times New Roman"/>
                <w:sz w:val="24"/>
                <w:szCs w:val="24"/>
                <w:lang w:eastAsia="lv-LV"/>
              </w:rPr>
            </w:pPr>
          </w:p>
          <w:p w:rsidR="00A006D0" w:rsidRPr="00252D0C" w:rsidRDefault="004C7A4B">
            <w:pPr>
              <w:spacing w:after="0" w:line="240" w:lineRule="auto"/>
              <w:ind w:firstLine="408"/>
              <w:jc w:val="both"/>
              <w:rPr>
                <w:rFonts w:ascii="Times New Roman" w:hAnsi="Times New Roman" w:cs="Times New Roman"/>
                <w:sz w:val="24"/>
                <w:szCs w:val="24"/>
              </w:rPr>
            </w:pPr>
            <w:r w:rsidRPr="00144628">
              <w:rPr>
                <w:rFonts w:ascii="Times New Roman" w:hAnsi="Times New Roman"/>
                <w:sz w:val="24"/>
                <w:szCs w:val="24"/>
                <w:lang w:eastAsia="lv-LV"/>
              </w:rPr>
              <w:t>G</w:t>
            </w:r>
            <w:r w:rsidR="008452BC" w:rsidRPr="00144628">
              <w:rPr>
                <w:rFonts w:ascii="Times New Roman" w:hAnsi="Times New Roman"/>
                <w:sz w:val="24"/>
                <w:szCs w:val="24"/>
                <w:lang w:eastAsia="lv-LV"/>
              </w:rPr>
              <w:t xml:space="preserve">rozījumi Civillikumā paredz </w:t>
            </w:r>
            <w:r w:rsidR="00072483">
              <w:rPr>
                <w:rFonts w:ascii="Times New Roman" w:hAnsi="Times New Roman"/>
                <w:sz w:val="24"/>
                <w:szCs w:val="24"/>
                <w:lang w:eastAsia="lv-LV"/>
              </w:rPr>
              <w:t>ar 2017. </w:t>
            </w:r>
            <w:r w:rsidRPr="00144628">
              <w:rPr>
                <w:rFonts w:ascii="Times New Roman" w:hAnsi="Times New Roman"/>
                <w:sz w:val="24"/>
                <w:szCs w:val="24"/>
                <w:lang w:eastAsia="lv-LV"/>
              </w:rPr>
              <w:t xml:space="preserve">gada 1. janvāri </w:t>
            </w:r>
            <w:r w:rsidR="008452BC" w:rsidRPr="00144628">
              <w:rPr>
                <w:rFonts w:ascii="Times New Roman" w:hAnsi="Times New Roman"/>
                <w:sz w:val="24"/>
                <w:szCs w:val="24"/>
                <w:lang w:eastAsia="lv-LV"/>
              </w:rPr>
              <w:t>Latvijas tiesību sistēmā ieviest jaunu tiesību institūtu</w:t>
            </w:r>
            <w:r w:rsidR="00A0717C">
              <w:rPr>
                <w:rFonts w:ascii="Times New Roman" w:hAnsi="Times New Roman"/>
                <w:sz w:val="24"/>
                <w:szCs w:val="24"/>
                <w:lang w:eastAsia="lv-LV"/>
              </w:rPr>
              <w:t> </w:t>
            </w:r>
            <w:r w:rsidR="008452BC" w:rsidRPr="00144628">
              <w:rPr>
                <w:rFonts w:ascii="Times New Roman" w:hAnsi="Times New Roman"/>
                <w:sz w:val="24"/>
                <w:szCs w:val="24"/>
                <w:lang w:eastAsia="lv-LV"/>
              </w:rPr>
              <w:t>– apbūves tiesība (</w:t>
            </w:r>
            <w:proofErr w:type="spellStart"/>
            <w:r w:rsidR="008452BC" w:rsidRPr="000436E7">
              <w:rPr>
                <w:rFonts w:ascii="Times New Roman" w:hAnsi="Times New Roman"/>
                <w:i/>
                <w:sz w:val="24"/>
                <w:szCs w:val="24"/>
                <w:lang w:eastAsia="lv-LV"/>
              </w:rPr>
              <w:t>superficies</w:t>
            </w:r>
            <w:proofErr w:type="spellEnd"/>
            <w:r w:rsidRPr="00144628">
              <w:rPr>
                <w:rFonts w:ascii="Times New Roman" w:hAnsi="Times New Roman"/>
                <w:sz w:val="24"/>
                <w:szCs w:val="24"/>
                <w:lang w:eastAsia="lv-LV"/>
              </w:rPr>
              <w:t>). Apbūves tiesība ir ar līgumu piešķirta mantojama un atsavināma lietu tiesība</w:t>
            </w:r>
            <w:r w:rsidR="00EB2E25" w:rsidRPr="00144628">
              <w:rPr>
                <w:rFonts w:ascii="Times New Roman" w:hAnsi="Times New Roman"/>
                <w:sz w:val="24"/>
                <w:szCs w:val="24"/>
                <w:lang w:eastAsia="lv-LV"/>
              </w:rPr>
              <w:t>, kas  nodrošinās iespēju apbūves tiesību ieguvējam (apbūves tiesīgajam) būvēt nedzīvojamas ēkas vai inženierbūves uz citai personai (zemes gabala īpašniekam) piederošas zemes un lietot tās kā īpašniekam šīs tiesības spēkā esamības laikā. Apbūves tiesības termiņš nedrīkst būt mazāks par desmit gadiem, un no tās izrietošā lietu tiesība ir nodibināta un spēkā tikai pēc apbūves tiesības ierakstīšanas zemes grāmatā.</w:t>
            </w:r>
            <w:r w:rsidR="008452BC" w:rsidRPr="00144628">
              <w:rPr>
                <w:rFonts w:ascii="Times New Roman" w:hAnsi="Times New Roman"/>
                <w:sz w:val="24"/>
                <w:szCs w:val="24"/>
                <w:lang w:eastAsia="lv-LV"/>
              </w:rPr>
              <w:t xml:space="preserve"> </w:t>
            </w:r>
            <w:r w:rsidR="00EB2E25" w:rsidRPr="00144628">
              <w:rPr>
                <w:rFonts w:ascii="Times New Roman" w:hAnsi="Times New Roman"/>
                <w:sz w:val="24"/>
                <w:szCs w:val="24"/>
                <w:lang w:eastAsia="lv-LV"/>
              </w:rPr>
              <w:t>G</w:t>
            </w:r>
            <w:r w:rsidR="008452BC" w:rsidRPr="00144628">
              <w:rPr>
                <w:rFonts w:ascii="Times New Roman" w:hAnsi="Times New Roman"/>
                <w:sz w:val="24"/>
                <w:szCs w:val="24"/>
                <w:lang w:eastAsia="lv-LV"/>
              </w:rPr>
              <w:t>rozījumi Civillikumā aizstās šobrīd pastāvošo brīvprātīgā dalītā īpašuma sistēmu</w:t>
            </w:r>
            <w:r w:rsidR="00E83352" w:rsidRPr="00144628">
              <w:rPr>
                <w:rFonts w:ascii="Times New Roman" w:hAnsi="Times New Roman"/>
                <w:sz w:val="24"/>
                <w:szCs w:val="24"/>
                <w:lang w:eastAsia="lv-LV"/>
              </w:rPr>
              <w:t xml:space="preserve">, proti, uz </w:t>
            </w:r>
            <w:r w:rsidR="008452BC" w:rsidRPr="00144628">
              <w:rPr>
                <w:rFonts w:ascii="Times New Roman" w:hAnsi="Times New Roman"/>
                <w:sz w:val="24"/>
                <w:szCs w:val="24"/>
                <w:lang w:eastAsia="lv-LV"/>
              </w:rPr>
              <w:t>apbūves tiesības pamata uzcelta nedzīvojama ēka vai inženierbūve ir uzskatāma par apbūves tiesīb</w:t>
            </w:r>
            <w:r w:rsidR="007321E5">
              <w:rPr>
                <w:rFonts w:ascii="Times New Roman" w:hAnsi="Times New Roman"/>
                <w:sz w:val="24"/>
                <w:szCs w:val="24"/>
                <w:lang w:eastAsia="lv-LV"/>
              </w:rPr>
              <w:t>as</w:t>
            </w:r>
            <w:r w:rsidR="008452BC" w:rsidRPr="00144628">
              <w:rPr>
                <w:rFonts w:ascii="Times New Roman" w:hAnsi="Times New Roman"/>
                <w:sz w:val="24"/>
                <w:szCs w:val="24"/>
                <w:lang w:eastAsia="lv-LV"/>
              </w:rPr>
              <w:t xml:space="preserve"> būtisku daļu, līdz ar to nedzīvojama ēka vai inženierbūve, kas uzcelta uz apbūves tiesīb</w:t>
            </w:r>
            <w:r w:rsidR="007321E5">
              <w:rPr>
                <w:rFonts w:ascii="Times New Roman" w:hAnsi="Times New Roman"/>
                <w:sz w:val="24"/>
                <w:szCs w:val="24"/>
                <w:lang w:eastAsia="lv-LV"/>
              </w:rPr>
              <w:t>as</w:t>
            </w:r>
            <w:r w:rsidR="008452BC" w:rsidRPr="00144628">
              <w:rPr>
                <w:rFonts w:ascii="Times New Roman" w:hAnsi="Times New Roman"/>
                <w:sz w:val="24"/>
                <w:szCs w:val="24"/>
                <w:lang w:eastAsia="lv-LV"/>
              </w:rPr>
              <w:t xml:space="preserve"> pamata, ir atsavināma un mantojama tikai kopā ar </w:t>
            </w:r>
            <w:r w:rsidR="008506C8" w:rsidRPr="00144628">
              <w:rPr>
                <w:rFonts w:ascii="Times New Roman" w:hAnsi="Times New Roman"/>
                <w:sz w:val="24"/>
                <w:szCs w:val="24"/>
                <w:lang w:eastAsia="lv-LV"/>
              </w:rPr>
              <w:t xml:space="preserve">galveno lietu </w:t>
            </w:r>
            <w:r w:rsidR="00F4072B">
              <w:rPr>
                <w:rFonts w:ascii="Times New Roman" w:hAnsi="Times New Roman"/>
                <w:sz w:val="24"/>
                <w:szCs w:val="24"/>
                <w:lang w:eastAsia="lv-LV"/>
              </w:rPr>
              <w:t>–</w:t>
            </w:r>
            <w:r w:rsidR="008506C8" w:rsidRPr="00144628">
              <w:rPr>
                <w:rFonts w:ascii="Times New Roman" w:hAnsi="Times New Roman"/>
                <w:sz w:val="24"/>
                <w:szCs w:val="24"/>
                <w:lang w:eastAsia="lv-LV"/>
              </w:rPr>
              <w:t xml:space="preserve"> apbūves tiesību, </w:t>
            </w:r>
            <w:r w:rsidR="003A59C7" w:rsidRPr="00144628">
              <w:rPr>
                <w:rFonts w:ascii="Times New Roman" w:hAnsi="Times New Roman"/>
                <w:sz w:val="24"/>
                <w:szCs w:val="24"/>
                <w:lang w:eastAsia="lv-LV"/>
              </w:rPr>
              <w:t>turklāt</w:t>
            </w:r>
            <w:r w:rsidR="008506C8" w:rsidRPr="00144628">
              <w:rPr>
                <w:rFonts w:ascii="Times New Roman" w:hAnsi="Times New Roman"/>
                <w:sz w:val="24"/>
                <w:szCs w:val="24"/>
                <w:lang w:eastAsia="lv-LV"/>
              </w:rPr>
              <w:t xml:space="preserve"> u</w:t>
            </w:r>
            <w:r w:rsidR="008452BC" w:rsidRPr="00144628">
              <w:rPr>
                <w:rFonts w:ascii="Times New Roman" w:hAnsi="Times New Roman"/>
                <w:sz w:val="24"/>
                <w:szCs w:val="24"/>
                <w:lang w:eastAsia="lv-LV"/>
              </w:rPr>
              <w:t>z apbūves tiesības pamata uzceltā nedzīvojamā ēka vai inženierbūve pēc apbūves tiesības termiņa izbeigšanās kļūs par zemes būtisku daļu</w:t>
            </w:r>
            <w:r w:rsidR="00EB2E25" w:rsidRPr="00144628">
              <w:rPr>
                <w:rFonts w:ascii="Times New Roman" w:hAnsi="Times New Roman"/>
                <w:sz w:val="24"/>
                <w:szCs w:val="24"/>
                <w:lang w:eastAsia="lv-LV"/>
              </w:rPr>
              <w:t>,</w:t>
            </w:r>
            <w:r w:rsidR="008452BC" w:rsidRPr="00144628">
              <w:rPr>
                <w:rFonts w:ascii="Times New Roman" w:hAnsi="Times New Roman"/>
                <w:sz w:val="24"/>
                <w:szCs w:val="24"/>
                <w:lang w:eastAsia="lv-LV"/>
              </w:rPr>
              <w:t xml:space="preserve"> līdz ar to par zemes īpašnieka īpašumu. </w:t>
            </w:r>
            <w:r w:rsidR="00A006D0" w:rsidRPr="00FF4EA4">
              <w:rPr>
                <w:rFonts w:ascii="Times New Roman" w:hAnsi="Times New Roman"/>
                <w:sz w:val="24"/>
                <w:szCs w:val="24"/>
                <w:lang w:eastAsia="lv-LV"/>
              </w:rPr>
              <w:t>Apbūves tiesība atbilstoši Civillikuma 1129.</w:t>
            </w:r>
            <w:r w:rsidR="00A006D0" w:rsidRPr="00FF4EA4">
              <w:rPr>
                <w:rFonts w:ascii="Times New Roman" w:hAnsi="Times New Roman"/>
                <w:sz w:val="24"/>
                <w:szCs w:val="24"/>
                <w:vertAlign w:val="superscript"/>
                <w:lang w:eastAsia="lv-LV"/>
              </w:rPr>
              <w:t>1</w:t>
            </w:r>
            <w:r w:rsidR="007321E5">
              <w:rPr>
                <w:rFonts w:ascii="Times New Roman" w:hAnsi="Times New Roman"/>
                <w:sz w:val="24"/>
                <w:szCs w:val="24"/>
                <w:lang w:eastAsia="lv-LV"/>
              </w:rPr>
              <w:t> </w:t>
            </w:r>
            <w:r w:rsidR="00A006D0" w:rsidRPr="00FF4EA4">
              <w:rPr>
                <w:rFonts w:ascii="Times New Roman" w:hAnsi="Times New Roman"/>
                <w:sz w:val="24"/>
                <w:szCs w:val="24"/>
                <w:lang w:eastAsia="lv-LV"/>
              </w:rPr>
              <w:t>pantam, kas stāsies spēkā 2017.</w:t>
            </w:r>
            <w:r w:rsidR="007321E5">
              <w:rPr>
                <w:rFonts w:ascii="Times New Roman" w:hAnsi="Times New Roman"/>
                <w:sz w:val="24"/>
                <w:szCs w:val="24"/>
                <w:lang w:eastAsia="lv-LV"/>
              </w:rPr>
              <w:t> </w:t>
            </w:r>
            <w:r w:rsidR="00A006D0" w:rsidRPr="00FF4EA4">
              <w:rPr>
                <w:rFonts w:ascii="Times New Roman" w:hAnsi="Times New Roman"/>
                <w:sz w:val="24"/>
                <w:szCs w:val="24"/>
                <w:lang w:eastAsia="lv-LV"/>
              </w:rPr>
              <w:t>gada 1.</w:t>
            </w:r>
            <w:r w:rsidR="007321E5">
              <w:rPr>
                <w:rFonts w:ascii="Times New Roman" w:hAnsi="Times New Roman"/>
                <w:sz w:val="24"/>
                <w:szCs w:val="24"/>
                <w:lang w:eastAsia="lv-LV"/>
              </w:rPr>
              <w:t> </w:t>
            </w:r>
            <w:r w:rsidR="00A006D0" w:rsidRPr="00FF4EA4">
              <w:rPr>
                <w:rFonts w:ascii="Times New Roman" w:hAnsi="Times New Roman"/>
                <w:sz w:val="24"/>
                <w:szCs w:val="24"/>
                <w:lang w:eastAsia="lv-LV"/>
              </w:rPr>
              <w:t>janvārī, būs izmantojama vienīgi nedzīvojamo ēku vai inženierbūvju būvniecībai. Līdz ar to zemesgrāmatā nebūs nostiprināmas apbūves tiesības un apbūves tiesības izmaiņas attiecībā uz dzīvojamo māju.</w:t>
            </w:r>
            <w:r w:rsidR="00A006D0">
              <w:rPr>
                <w:rFonts w:ascii="Times New Roman" w:hAnsi="Times New Roman"/>
                <w:b/>
                <w:sz w:val="24"/>
                <w:szCs w:val="24"/>
                <w:lang w:eastAsia="lv-LV"/>
              </w:rPr>
              <w:t xml:space="preserve"> </w:t>
            </w:r>
            <w:r w:rsidR="008452BC" w:rsidRPr="00144628">
              <w:rPr>
                <w:rFonts w:ascii="Times New Roman" w:hAnsi="Times New Roman"/>
                <w:sz w:val="24"/>
                <w:szCs w:val="24"/>
                <w:lang w:eastAsia="lv-LV"/>
              </w:rPr>
              <w:t>Apbūves tiesība</w:t>
            </w:r>
            <w:r w:rsidR="00A006D0">
              <w:rPr>
                <w:rFonts w:ascii="Times New Roman" w:hAnsi="Times New Roman"/>
                <w:sz w:val="24"/>
                <w:szCs w:val="24"/>
                <w:lang w:eastAsia="lv-LV"/>
              </w:rPr>
              <w:t>i</w:t>
            </w:r>
            <w:r w:rsidR="008452BC" w:rsidRPr="00144628">
              <w:rPr>
                <w:rFonts w:ascii="Times New Roman" w:hAnsi="Times New Roman"/>
                <w:sz w:val="24"/>
                <w:szCs w:val="24"/>
                <w:lang w:eastAsia="lv-LV"/>
              </w:rPr>
              <w:t xml:space="preserve"> </w:t>
            </w:r>
            <w:r w:rsidR="00EB2E25" w:rsidRPr="00144628">
              <w:rPr>
                <w:rFonts w:ascii="Times New Roman" w:hAnsi="Times New Roman"/>
                <w:sz w:val="24"/>
                <w:szCs w:val="24"/>
                <w:lang w:eastAsia="lv-LV"/>
              </w:rPr>
              <w:t>piemērojami Civillikuma noteikumi, kas attiecas uz nekustamām lietām, izņemot pirmpirkuma tiesības un izpirkuma tiesību.</w:t>
            </w:r>
            <w:r w:rsidR="00A006D0">
              <w:rPr>
                <w:rFonts w:ascii="Times New Roman" w:hAnsi="Times New Roman"/>
                <w:sz w:val="24"/>
                <w:szCs w:val="24"/>
                <w:lang w:eastAsia="lv-LV"/>
              </w:rPr>
              <w:t xml:space="preserve"> </w:t>
            </w:r>
            <w:r w:rsidR="00A006D0" w:rsidRPr="00FF4EA4">
              <w:rPr>
                <w:rFonts w:ascii="Times New Roman" w:hAnsi="Times New Roman"/>
                <w:sz w:val="24"/>
                <w:szCs w:val="24"/>
                <w:lang w:eastAsia="lv-LV"/>
              </w:rPr>
              <w:t>Kā norādīts grozījumu Civillikumā anotācijā</w:t>
            </w:r>
            <w:r w:rsidR="00A006D0" w:rsidRPr="00FF4EA4">
              <w:rPr>
                <w:rStyle w:val="Vresatsauce"/>
                <w:rFonts w:ascii="Times New Roman" w:hAnsi="Times New Roman"/>
                <w:sz w:val="24"/>
                <w:szCs w:val="24"/>
                <w:lang w:eastAsia="lv-LV"/>
              </w:rPr>
              <w:footnoteReference w:id="1"/>
            </w:r>
            <w:r w:rsidR="00A006D0" w:rsidRPr="00FF4EA4">
              <w:rPr>
                <w:rFonts w:ascii="Times New Roman" w:hAnsi="Times New Roman"/>
                <w:sz w:val="24"/>
                <w:szCs w:val="24"/>
                <w:lang w:eastAsia="lv-LV"/>
              </w:rPr>
              <w:t xml:space="preserve">, grozījumi Civillikumā nepieļauj dzīvojamo ēku būvniecību brīvprātīgā dalītā īpašuma veidā un ir vērsti uz to, lai noteiktu tiesisko regulējumu tiem gadījumiem, kad ekonomiski izdevīgāk ir iegūt zemes apbūves tiesības, nevis iegūt zemi īpašumā ar mērķi to </w:t>
            </w:r>
            <w:r w:rsidR="00A006D0" w:rsidRPr="00FF4EA4">
              <w:rPr>
                <w:rFonts w:ascii="Times New Roman" w:hAnsi="Times New Roman"/>
                <w:sz w:val="24"/>
                <w:szCs w:val="24"/>
                <w:lang w:eastAsia="lv-LV"/>
              </w:rPr>
              <w:lastRenderedPageBreak/>
              <w:t>apbūvēt, piemēram, komercdarbības veikšanas</w:t>
            </w:r>
            <w:r w:rsidR="00A006D0">
              <w:rPr>
                <w:rFonts w:ascii="Times New Roman" w:hAnsi="Times New Roman"/>
                <w:b/>
                <w:sz w:val="24"/>
                <w:szCs w:val="24"/>
                <w:lang w:eastAsia="lv-LV"/>
              </w:rPr>
              <w:t xml:space="preserve"> </w:t>
            </w:r>
            <w:r w:rsidR="00A006D0" w:rsidRPr="00FF4EA4">
              <w:rPr>
                <w:rFonts w:ascii="Times New Roman" w:hAnsi="Times New Roman"/>
                <w:sz w:val="24"/>
                <w:szCs w:val="24"/>
                <w:lang w:eastAsia="lv-LV"/>
              </w:rPr>
              <w:t>nolūkos</w:t>
            </w:r>
            <w:r w:rsidR="00A006D0" w:rsidRPr="00FF4EA4">
              <w:rPr>
                <w:rFonts w:ascii="Times New Roman" w:hAnsi="Times New Roman" w:cs="Times New Roman"/>
                <w:sz w:val="24"/>
                <w:szCs w:val="24"/>
                <w:lang w:eastAsia="lv-LV"/>
              </w:rPr>
              <w:t>.</w:t>
            </w:r>
            <w:r w:rsidR="00DA5C90" w:rsidRPr="00DA5C90">
              <w:rPr>
                <w:rFonts w:ascii="Times New Roman" w:hAnsi="Times New Roman" w:cs="Times New Roman"/>
                <w:b/>
                <w:sz w:val="24"/>
                <w:szCs w:val="24"/>
                <w:lang w:eastAsia="lv-LV"/>
              </w:rPr>
              <w:t xml:space="preserve"> </w:t>
            </w:r>
            <w:r w:rsidR="00DA5C90" w:rsidRPr="00FF4EA4">
              <w:rPr>
                <w:rFonts w:ascii="Times New Roman" w:hAnsi="Times New Roman" w:cs="Times New Roman"/>
                <w:sz w:val="24"/>
                <w:szCs w:val="24"/>
              </w:rPr>
              <w:t xml:space="preserve">Līdz ar to likumdevējs ir politiski izšķīries, ka apbūves tiesība attiecināma vienīgi uz nedzīvojamām ēkām un </w:t>
            </w:r>
            <w:r w:rsidR="00DA5C90" w:rsidRPr="00252D0C">
              <w:rPr>
                <w:rFonts w:ascii="Times New Roman" w:hAnsi="Times New Roman" w:cs="Times New Roman"/>
                <w:sz w:val="24"/>
                <w:szCs w:val="24"/>
              </w:rPr>
              <w:t>inženierbūvēm.</w:t>
            </w:r>
          </w:p>
          <w:p w:rsidR="00252D0C" w:rsidRPr="00252D0C" w:rsidRDefault="00252D0C">
            <w:pPr>
              <w:spacing w:after="0" w:line="240" w:lineRule="auto"/>
              <w:jc w:val="both"/>
              <w:rPr>
                <w:rFonts w:ascii="Times New Roman" w:eastAsia="Times New Roman" w:hAnsi="Times New Roman" w:cs="Times New Roman"/>
                <w:sz w:val="24"/>
                <w:szCs w:val="24"/>
                <w:lang w:eastAsia="lv-LV"/>
              </w:rPr>
            </w:pPr>
            <w:r w:rsidRPr="00252D0C">
              <w:rPr>
                <w:rFonts w:ascii="Times New Roman" w:hAnsi="Times New Roman" w:cs="Times New Roman"/>
                <w:sz w:val="24"/>
                <w:szCs w:val="24"/>
                <w:lang w:eastAsia="lv-LV"/>
              </w:rPr>
              <w:t xml:space="preserve">         Atbilstoši Ministru kabineta 2009.</w:t>
            </w:r>
            <w:r w:rsidR="00C70D99">
              <w:rPr>
                <w:rFonts w:ascii="Times New Roman" w:hAnsi="Times New Roman" w:cs="Times New Roman"/>
                <w:sz w:val="24"/>
                <w:szCs w:val="24"/>
                <w:lang w:eastAsia="lv-LV"/>
              </w:rPr>
              <w:t> </w:t>
            </w:r>
            <w:r w:rsidRPr="00252D0C">
              <w:rPr>
                <w:rFonts w:ascii="Times New Roman" w:hAnsi="Times New Roman" w:cs="Times New Roman"/>
                <w:sz w:val="24"/>
                <w:szCs w:val="24"/>
                <w:lang w:eastAsia="lv-LV"/>
              </w:rPr>
              <w:t>gada 22.</w:t>
            </w:r>
            <w:r w:rsidR="00C70D99">
              <w:rPr>
                <w:rFonts w:ascii="Times New Roman" w:hAnsi="Times New Roman" w:cs="Times New Roman"/>
                <w:sz w:val="24"/>
                <w:szCs w:val="24"/>
                <w:lang w:eastAsia="lv-LV"/>
              </w:rPr>
              <w:t> </w:t>
            </w:r>
            <w:r w:rsidRPr="00252D0C">
              <w:rPr>
                <w:rFonts w:ascii="Times New Roman" w:hAnsi="Times New Roman" w:cs="Times New Roman"/>
                <w:sz w:val="24"/>
                <w:szCs w:val="24"/>
                <w:lang w:eastAsia="lv-LV"/>
              </w:rPr>
              <w:t>decembra noteikumiem Nr.</w:t>
            </w:r>
            <w:r w:rsidR="00C70D99">
              <w:rPr>
                <w:rFonts w:ascii="Times New Roman" w:hAnsi="Times New Roman" w:cs="Times New Roman"/>
                <w:sz w:val="24"/>
                <w:szCs w:val="24"/>
                <w:lang w:eastAsia="lv-LV"/>
              </w:rPr>
              <w:t> </w:t>
            </w:r>
            <w:r w:rsidRPr="00252D0C">
              <w:rPr>
                <w:rFonts w:ascii="Times New Roman" w:hAnsi="Times New Roman" w:cs="Times New Roman"/>
                <w:sz w:val="24"/>
                <w:szCs w:val="24"/>
                <w:lang w:eastAsia="lv-LV"/>
              </w:rPr>
              <w:t xml:space="preserve">1620 “Noteikumi par būvju klasifikāciju” nedzīvojamās ēkas ir </w:t>
            </w:r>
            <w:r w:rsidRPr="00252D0C">
              <w:rPr>
                <w:rFonts w:ascii="Times New Roman" w:eastAsia="Times New Roman" w:hAnsi="Times New Roman" w:cs="Times New Roman"/>
                <w:sz w:val="24"/>
                <w:szCs w:val="24"/>
                <w:lang w:eastAsia="lv-LV"/>
              </w:rPr>
              <w:t>būves, kuras pamatā netiek izmantotas vai nav paredzētas dzīvošanai. Ja vismaz puse no ēkas kopējās platības tiek izmantota dzīvošanai, tā tiek klasificēta kā dzīvojamā māja</w:t>
            </w:r>
            <w:r>
              <w:rPr>
                <w:rFonts w:ascii="Times New Roman" w:eastAsia="Times New Roman" w:hAnsi="Times New Roman" w:cs="Times New Roman"/>
                <w:sz w:val="24"/>
                <w:szCs w:val="24"/>
                <w:lang w:eastAsia="lv-LV"/>
              </w:rPr>
              <w:t>.</w:t>
            </w:r>
            <w:r w:rsidRPr="00252D0C">
              <w:rPr>
                <w:rFonts w:ascii="Times New Roman" w:hAnsi="Times New Roman" w:cs="Times New Roman"/>
                <w:sz w:val="24"/>
                <w:szCs w:val="24"/>
                <w:lang w:eastAsia="lv-LV"/>
              </w:rPr>
              <w:t xml:space="preserve"> </w:t>
            </w:r>
            <w:r>
              <w:rPr>
                <w:rFonts w:ascii="Times New Roman" w:hAnsi="Times New Roman" w:cs="Times New Roman"/>
                <w:sz w:val="24"/>
                <w:szCs w:val="24"/>
                <w:lang w:eastAsia="lv-LV"/>
              </w:rPr>
              <w:t>I</w:t>
            </w:r>
            <w:r w:rsidRPr="00252D0C">
              <w:rPr>
                <w:rFonts w:ascii="Times New Roman" w:hAnsi="Times New Roman" w:cs="Times New Roman"/>
                <w:sz w:val="24"/>
                <w:szCs w:val="24"/>
                <w:lang w:eastAsia="lv-LV"/>
              </w:rPr>
              <w:t>zvērtējot būvniecības jomu reglamentējošajos normatīvajos aktos ietverto regulējumu, Tieslietu ministrija secināja, ka Ministru kabineta 2014.</w:t>
            </w:r>
            <w:r>
              <w:rPr>
                <w:rFonts w:ascii="Times New Roman" w:hAnsi="Times New Roman" w:cs="Times New Roman"/>
                <w:sz w:val="24"/>
                <w:szCs w:val="24"/>
                <w:lang w:eastAsia="lv-LV"/>
              </w:rPr>
              <w:t> </w:t>
            </w:r>
            <w:r w:rsidRPr="00252D0C">
              <w:rPr>
                <w:rFonts w:ascii="Times New Roman" w:hAnsi="Times New Roman" w:cs="Times New Roman"/>
                <w:sz w:val="24"/>
                <w:szCs w:val="24"/>
                <w:lang w:eastAsia="lv-LV"/>
              </w:rPr>
              <w:t>gada 2.</w:t>
            </w:r>
            <w:r w:rsidR="00C70D99">
              <w:rPr>
                <w:rFonts w:ascii="Times New Roman" w:hAnsi="Times New Roman" w:cs="Times New Roman"/>
                <w:sz w:val="24"/>
                <w:szCs w:val="24"/>
                <w:lang w:eastAsia="lv-LV"/>
              </w:rPr>
              <w:t> </w:t>
            </w:r>
            <w:r w:rsidRPr="00252D0C">
              <w:rPr>
                <w:rFonts w:ascii="Times New Roman" w:hAnsi="Times New Roman" w:cs="Times New Roman"/>
                <w:sz w:val="24"/>
                <w:szCs w:val="24"/>
                <w:lang w:eastAsia="lv-LV"/>
              </w:rPr>
              <w:t>septembra noteikumi Nr.</w:t>
            </w:r>
            <w:r w:rsidR="00C70D99">
              <w:rPr>
                <w:rFonts w:ascii="Times New Roman" w:hAnsi="Times New Roman" w:cs="Times New Roman"/>
                <w:sz w:val="24"/>
                <w:szCs w:val="24"/>
                <w:lang w:eastAsia="lv-LV"/>
              </w:rPr>
              <w:t> </w:t>
            </w:r>
            <w:r w:rsidRPr="00252D0C">
              <w:rPr>
                <w:rFonts w:ascii="Times New Roman" w:hAnsi="Times New Roman" w:cs="Times New Roman"/>
                <w:sz w:val="24"/>
                <w:szCs w:val="24"/>
                <w:lang w:eastAsia="lv-LV"/>
              </w:rPr>
              <w:t xml:space="preserve">529 “Ēku būvnoteikumi” šobrīd neierobežo citai personai tiesības ar zemes gabala īpašnieka saskaņojumu uz zemes gabala īpašnieka zemes būvēt nedzīvojamās ēkas, kurās mazāk nekā </w:t>
            </w:r>
            <w:r w:rsidRPr="00252D0C">
              <w:rPr>
                <w:rFonts w:ascii="Times New Roman" w:eastAsia="Times New Roman" w:hAnsi="Times New Roman" w:cs="Times New Roman"/>
                <w:sz w:val="24"/>
                <w:szCs w:val="24"/>
                <w:lang w:eastAsia="lv-LV"/>
              </w:rPr>
              <w:t>puse no ēkas kopējās platības tiek izmantota</w:t>
            </w:r>
            <w:r w:rsidR="00C70D99">
              <w:rPr>
                <w:rFonts w:ascii="Times New Roman" w:eastAsia="Times New Roman" w:hAnsi="Times New Roman" w:cs="Times New Roman"/>
                <w:sz w:val="24"/>
                <w:szCs w:val="24"/>
                <w:lang w:eastAsia="lv-LV"/>
              </w:rPr>
              <w:t xml:space="preserve"> </w:t>
            </w:r>
            <w:r w:rsidRPr="00252D0C">
              <w:rPr>
                <w:rFonts w:ascii="Times New Roman" w:eastAsia="Times New Roman" w:hAnsi="Times New Roman" w:cs="Times New Roman"/>
                <w:sz w:val="24"/>
                <w:szCs w:val="24"/>
                <w:lang w:eastAsia="lv-LV"/>
              </w:rPr>
              <w:t>dzīvošanai, vai arī mainīt jau uzbūvēto nedzīvojamo ēku lietošanas veidu uz dzīvojamo māju vai tajā ietilpstošās nedzīvojamās telpas pārveidot par dzīvojamām telpām, kas savukārt ir pretrunā apbūves tiesības mērķim un būtībai.</w:t>
            </w:r>
          </w:p>
          <w:p w:rsidR="0028173E" w:rsidRPr="00144628" w:rsidRDefault="0028173E">
            <w:pPr>
              <w:spacing w:after="0" w:line="240" w:lineRule="auto"/>
              <w:ind w:right="-1" w:firstLine="409"/>
              <w:jc w:val="both"/>
              <w:rPr>
                <w:rFonts w:ascii="Times New Roman" w:eastAsia="Times New Roman" w:hAnsi="Times New Roman" w:cs="Times New Roman"/>
                <w:sz w:val="24"/>
                <w:szCs w:val="24"/>
                <w:lang w:eastAsia="lv-LV"/>
              </w:rPr>
            </w:pPr>
          </w:p>
          <w:p w:rsidR="0028173E" w:rsidRPr="00144628" w:rsidRDefault="0028173E">
            <w:pPr>
              <w:pStyle w:val="Sarakstarindkopa"/>
              <w:numPr>
                <w:ilvl w:val="0"/>
                <w:numId w:val="6"/>
              </w:numPr>
              <w:spacing w:after="0" w:line="240" w:lineRule="auto"/>
              <w:ind w:left="0" w:right="-1" w:firstLine="409"/>
              <w:jc w:val="both"/>
              <w:rPr>
                <w:rFonts w:ascii="Times New Roman" w:hAnsi="Times New Roman"/>
                <w:sz w:val="24"/>
                <w:szCs w:val="24"/>
                <w:u w:val="single"/>
                <w:lang w:eastAsia="lv-LV"/>
              </w:rPr>
            </w:pPr>
            <w:r w:rsidRPr="00144628">
              <w:rPr>
                <w:rFonts w:ascii="Times New Roman" w:hAnsi="Times New Roman"/>
                <w:sz w:val="24"/>
                <w:szCs w:val="24"/>
                <w:u w:val="single"/>
                <w:lang w:eastAsia="lv-LV"/>
              </w:rPr>
              <w:t>Tiesiskā regulējuma mērķis un būtība</w:t>
            </w:r>
          </w:p>
          <w:p w:rsidR="00FF4EA4" w:rsidRDefault="00FF4EA4">
            <w:pPr>
              <w:spacing w:after="0" w:line="240" w:lineRule="auto"/>
              <w:jc w:val="both"/>
              <w:rPr>
                <w:rFonts w:ascii="Times New Roman" w:hAnsi="Times New Roman"/>
                <w:sz w:val="24"/>
                <w:szCs w:val="24"/>
                <w:lang w:eastAsia="lv-LV"/>
              </w:rPr>
            </w:pPr>
          </w:p>
          <w:p w:rsidR="00252D0C" w:rsidRPr="00D453A7" w:rsidRDefault="00252D0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252D0C">
              <w:rPr>
                <w:rFonts w:ascii="Times New Roman" w:eastAsia="Times New Roman" w:hAnsi="Times New Roman" w:cs="Times New Roman"/>
                <w:sz w:val="24"/>
                <w:szCs w:val="24"/>
                <w:lang w:eastAsia="lv-LV"/>
              </w:rPr>
              <w:t>Lai, sākot ar 2017.</w:t>
            </w:r>
            <w:r w:rsidR="00C70D99">
              <w:rPr>
                <w:rFonts w:ascii="Times New Roman" w:eastAsia="Times New Roman" w:hAnsi="Times New Roman" w:cs="Times New Roman"/>
                <w:sz w:val="24"/>
                <w:szCs w:val="24"/>
                <w:lang w:eastAsia="lv-LV"/>
              </w:rPr>
              <w:t> </w:t>
            </w:r>
            <w:r w:rsidRPr="00252D0C">
              <w:rPr>
                <w:rFonts w:ascii="Times New Roman" w:eastAsia="Times New Roman" w:hAnsi="Times New Roman" w:cs="Times New Roman"/>
                <w:sz w:val="24"/>
                <w:szCs w:val="24"/>
                <w:lang w:eastAsia="lv-LV"/>
              </w:rPr>
              <w:t>gada 1.</w:t>
            </w:r>
            <w:r w:rsidR="00C70D99">
              <w:rPr>
                <w:rFonts w:ascii="Times New Roman" w:eastAsia="Times New Roman" w:hAnsi="Times New Roman" w:cs="Times New Roman"/>
                <w:sz w:val="24"/>
                <w:szCs w:val="24"/>
                <w:lang w:eastAsia="lv-LV"/>
              </w:rPr>
              <w:t> </w:t>
            </w:r>
            <w:r w:rsidRPr="00252D0C">
              <w:rPr>
                <w:rFonts w:ascii="Times New Roman" w:eastAsia="Times New Roman" w:hAnsi="Times New Roman" w:cs="Times New Roman"/>
                <w:sz w:val="24"/>
                <w:szCs w:val="24"/>
                <w:lang w:eastAsia="lv-LV"/>
              </w:rPr>
              <w:t xml:space="preserve">janvāri, novērstu iespēju uz apbūves tiesības pamata projektēt un būvēt ne tikai dzīvojamās mājas, bet arī nedzīvojamās ēkas, </w:t>
            </w:r>
            <w:r w:rsidRPr="00252D0C">
              <w:rPr>
                <w:rFonts w:ascii="Times New Roman" w:hAnsi="Times New Roman" w:cs="Times New Roman"/>
                <w:sz w:val="24"/>
                <w:szCs w:val="24"/>
                <w:lang w:eastAsia="lv-LV"/>
              </w:rPr>
              <w:t xml:space="preserve">kurās mazāk nekā </w:t>
            </w:r>
            <w:r w:rsidRPr="00252D0C">
              <w:rPr>
                <w:rFonts w:ascii="Times New Roman" w:eastAsia="Times New Roman" w:hAnsi="Times New Roman" w:cs="Times New Roman"/>
                <w:sz w:val="24"/>
                <w:szCs w:val="24"/>
                <w:lang w:eastAsia="lv-LV"/>
              </w:rPr>
              <w:t>puse no ēkas kopējās platības tiek izmantota dzīvošanai, vai arī mainīt uz apbūves tiesības pamata uzbūvētās nedzīvojamās ēkas lietošanas veidu uz dzīvojamo māju, vai tajā ietilpstošās nedzīvojamās telpas pārveidot par dzīvojamām telpām,</w:t>
            </w:r>
            <w:r w:rsidR="00D453A7">
              <w:rPr>
                <w:rFonts w:ascii="Times New Roman" w:eastAsia="Times New Roman" w:hAnsi="Times New Roman" w:cs="Times New Roman"/>
                <w:sz w:val="24"/>
                <w:szCs w:val="24"/>
                <w:lang w:eastAsia="lv-LV"/>
              </w:rPr>
              <w:t xml:space="preserve"> </w:t>
            </w:r>
            <w:r w:rsidR="00D453A7" w:rsidRPr="00D453A7">
              <w:rPr>
                <w:rFonts w:ascii="Times New Roman" w:eastAsia="Times New Roman" w:hAnsi="Times New Roman" w:cs="Times New Roman"/>
                <w:sz w:val="24"/>
                <w:szCs w:val="24"/>
                <w:lang w:eastAsia="lv-LV"/>
              </w:rPr>
              <w:t>projekts paredz noteikt, ka:</w:t>
            </w:r>
          </w:p>
          <w:p w:rsidR="00D453A7" w:rsidRDefault="00D453A7">
            <w:pPr>
              <w:spacing w:after="0" w:line="240" w:lineRule="auto"/>
              <w:jc w:val="both"/>
              <w:rPr>
                <w:rFonts w:ascii="Times New Roman" w:hAnsi="Times New Roman" w:cs="Times New Roman"/>
                <w:sz w:val="24"/>
                <w:szCs w:val="24"/>
              </w:rPr>
            </w:pPr>
            <w:r w:rsidRPr="00D453A7">
              <w:rPr>
                <w:rFonts w:ascii="Times New Roman" w:eastAsia="Times New Roman" w:hAnsi="Times New Roman" w:cs="Times New Roman"/>
                <w:sz w:val="24"/>
                <w:szCs w:val="24"/>
                <w:lang w:eastAsia="lv-LV"/>
              </w:rPr>
              <w:t>1) ē</w:t>
            </w:r>
            <w:r w:rsidRPr="00D453A7">
              <w:rPr>
                <w:rFonts w:ascii="Times New Roman" w:hAnsi="Times New Roman" w:cs="Times New Roman"/>
                <w:sz w:val="24"/>
                <w:szCs w:val="24"/>
              </w:rPr>
              <w:t>kas, kuru paredzēts būvēt uz zemesgrāmatā ierakstītas apbūves tiesības pamata, projektēšanas uzdevumā kā plānotās telpu grupas norād</w:t>
            </w:r>
            <w:r>
              <w:rPr>
                <w:rFonts w:ascii="Times New Roman" w:hAnsi="Times New Roman" w:cs="Times New Roman"/>
                <w:sz w:val="24"/>
                <w:szCs w:val="24"/>
              </w:rPr>
              <w:t>āmas</w:t>
            </w:r>
            <w:r w:rsidRPr="00D453A7">
              <w:rPr>
                <w:rFonts w:ascii="Times New Roman" w:hAnsi="Times New Roman" w:cs="Times New Roman"/>
                <w:sz w:val="24"/>
                <w:szCs w:val="24"/>
              </w:rPr>
              <w:t xml:space="preserve"> vienīgi nedzīvojamās telpas</w:t>
            </w:r>
            <w:r>
              <w:rPr>
                <w:rFonts w:ascii="Times New Roman" w:hAnsi="Times New Roman" w:cs="Times New Roman"/>
                <w:sz w:val="24"/>
                <w:szCs w:val="24"/>
              </w:rPr>
              <w:t>;</w:t>
            </w:r>
          </w:p>
          <w:p w:rsidR="00D453A7" w:rsidRDefault="00D4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w:t>
            </w:r>
            <w:r w:rsidRPr="00D453A7">
              <w:rPr>
                <w:rFonts w:ascii="Times New Roman" w:hAnsi="Times New Roman" w:cs="Times New Roman"/>
                <w:sz w:val="24"/>
                <w:szCs w:val="24"/>
              </w:rPr>
              <w:t>būvvalde atsaka izdot būvatļauju vai akceptēt būvniecības ieceri, ja ēkai, kuru būvē, atjauno, restaurē, pārbūvē uz zemesgrāmatā ierakstītas apbūves tiesības pamata, paredz dzīvojamās telpu grupas (telpas) vai maina ēkas vai telpu grupas nedzīvojamo lietošanas veidu uz dzīvošanai atbilstīgu lietošanas veidu</w:t>
            </w:r>
            <w:r>
              <w:rPr>
                <w:rFonts w:ascii="Times New Roman" w:hAnsi="Times New Roman" w:cs="Times New Roman"/>
                <w:sz w:val="24"/>
                <w:szCs w:val="24"/>
              </w:rPr>
              <w:t>;</w:t>
            </w:r>
          </w:p>
          <w:p w:rsidR="00D453A7" w:rsidRDefault="00D453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C70D99">
              <w:rPr>
                <w:rFonts w:ascii="Times New Roman" w:hAnsi="Times New Roman" w:cs="Times New Roman"/>
                <w:sz w:val="24"/>
                <w:szCs w:val="24"/>
              </w:rPr>
              <w:t> </w:t>
            </w:r>
            <w:r>
              <w:rPr>
                <w:rFonts w:ascii="Times New Roman" w:hAnsi="Times New Roman" w:cs="Times New Roman"/>
                <w:sz w:val="24"/>
                <w:szCs w:val="24"/>
              </w:rPr>
              <w:t>u</w:t>
            </w:r>
            <w:r w:rsidRPr="00D453A7">
              <w:rPr>
                <w:rFonts w:ascii="Times New Roman" w:hAnsi="Times New Roman" w:cs="Times New Roman"/>
                <w:sz w:val="24"/>
                <w:szCs w:val="24"/>
              </w:rPr>
              <w:t>z apbūves tiesības pamata jaunbūvējamās vai uzbūvētās ēkas vai tās telpu grupas būvniecības, pārbūves, atjaunošanas, restaurācijas vai nojaukšanas gadījumā būvniecības iesniegumā kā telpu grupas norāda vienīgi nedzīvojamās telpas</w:t>
            </w:r>
            <w:r>
              <w:rPr>
                <w:rFonts w:ascii="Times New Roman" w:hAnsi="Times New Roman" w:cs="Times New Roman"/>
                <w:sz w:val="24"/>
                <w:szCs w:val="24"/>
              </w:rPr>
              <w:t>.</w:t>
            </w:r>
          </w:p>
          <w:p w:rsidR="00D453A7" w:rsidRPr="00252D0C" w:rsidRDefault="00D453A7">
            <w:pPr>
              <w:spacing w:after="0" w:line="240" w:lineRule="auto"/>
              <w:jc w:val="both"/>
              <w:rPr>
                <w:rFonts w:ascii="Times New Roman" w:hAnsi="Times New Roman" w:cs="Times New Roman"/>
                <w:sz w:val="24"/>
                <w:szCs w:val="24"/>
                <w:lang w:eastAsia="lv-LV"/>
              </w:rPr>
            </w:pPr>
          </w:p>
        </w:tc>
      </w:tr>
      <w:tr w:rsidR="00A225EA" w:rsidRPr="00D01E55" w:rsidTr="00072483">
        <w:tc>
          <w:tcPr>
            <w:tcW w:w="327" w:type="pct"/>
            <w:gridSpan w:val="3"/>
            <w:tcBorders>
              <w:top w:val="outset" w:sz="6" w:space="0" w:color="414142"/>
              <w:left w:val="outset" w:sz="6" w:space="0" w:color="414142"/>
              <w:bottom w:val="outset" w:sz="6" w:space="0" w:color="414142"/>
              <w:right w:val="outset" w:sz="6" w:space="0" w:color="414142"/>
            </w:tcBorders>
          </w:tcPr>
          <w:p w:rsidR="00A225EA" w:rsidRPr="00D01E55" w:rsidRDefault="00A225EA">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3.</w:t>
            </w:r>
          </w:p>
        </w:tc>
        <w:tc>
          <w:tcPr>
            <w:tcW w:w="1473" w:type="pct"/>
            <w:tcBorders>
              <w:top w:val="outset" w:sz="6" w:space="0" w:color="414142"/>
              <w:left w:val="outset" w:sz="6" w:space="0" w:color="414142"/>
              <w:bottom w:val="outset" w:sz="6" w:space="0" w:color="414142"/>
              <w:right w:val="outset" w:sz="6" w:space="0" w:color="414142"/>
            </w:tcBorders>
          </w:tcPr>
          <w:p w:rsidR="00A225EA" w:rsidRPr="00D01E55" w:rsidRDefault="00A225EA">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tcPr>
          <w:p w:rsidR="00A225EA" w:rsidRPr="00D01E55" w:rsidRDefault="00D453A7">
            <w:pPr>
              <w:spacing w:after="0" w:line="240" w:lineRule="auto"/>
              <w:ind w:right="-1" w:firstLine="409"/>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p>
        </w:tc>
      </w:tr>
      <w:tr w:rsidR="00A225EA" w:rsidRPr="00D01E55" w:rsidTr="00072483">
        <w:tc>
          <w:tcPr>
            <w:tcW w:w="327" w:type="pct"/>
            <w:gridSpan w:val="3"/>
            <w:tcBorders>
              <w:top w:val="outset" w:sz="6" w:space="0" w:color="414142"/>
              <w:left w:val="outset" w:sz="6" w:space="0" w:color="414142"/>
              <w:bottom w:val="outset" w:sz="6" w:space="0" w:color="414142"/>
              <w:right w:val="outset" w:sz="6" w:space="0" w:color="414142"/>
            </w:tcBorders>
          </w:tcPr>
          <w:p w:rsidR="00A225EA" w:rsidRPr="00D01E55" w:rsidRDefault="00A225EA">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4.</w:t>
            </w:r>
          </w:p>
        </w:tc>
        <w:tc>
          <w:tcPr>
            <w:tcW w:w="1473" w:type="pct"/>
            <w:tcBorders>
              <w:top w:val="outset" w:sz="6" w:space="0" w:color="414142"/>
              <w:left w:val="outset" w:sz="6" w:space="0" w:color="414142"/>
              <w:bottom w:val="outset" w:sz="6" w:space="0" w:color="414142"/>
              <w:right w:val="outset" w:sz="6" w:space="0" w:color="414142"/>
            </w:tcBorders>
          </w:tcPr>
          <w:p w:rsidR="00A225EA" w:rsidRPr="00D01E55" w:rsidRDefault="00A225EA">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rsidR="00A225EA" w:rsidRPr="00D01E55" w:rsidRDefault="00AD32C1">
            <w:pPr>
              <w:tabs>
                <w:tab w:val="left" w:pos="1249"/>
              </w:tabs>
              <w:spacing w:after="0" w:line="240" w:lineRule="auto"/>
              <w:ind w:right="-1" w:firstLine="409"/>
              <w:jc w:val="both"/>
              <w:rPr>
                <w:rFonts w:ascii="Times New Roman" w:eastAsia="Times New Roman" w:hAnsi="Times New Roman" w:cs="Times New Roman"/>
                <w:sz w:val="24"/>
                <w:szCs w:val="24"/>
                <w:lang w:eastAsia="lv-LV"/>
              </w:rPr>
            </w:pPr>
            <w:r>
              <w:rPr>
                <w:rFonts w:ascii="Times New Roman" w:hAnsi="Times New Roman"/>
                <w:sz w:val="24"/>
                <w:szCs w:val="24"/>
                <w:lang w:eastAsia="lv-LV"/>
              </w:rPr>
              <w:t xml:space="preserve">Tā kā grozījumi </w:t>
            </w:r>
            <w:r w:rsidR="00072483">
              <w:rPr>
                <w:rFonts w:ascii="Times New Roman" w:hAnsi="Times New Roman"/>
                <w:sz w:val="24"/>
                <w:szCs w:val="24"/>
                <w:lang w:eastAsia="lv-LV"/>
              </w:rPr>
              <w:t>Civillikumā stāsies spēkā 2017. </w:t>
            </w:r>
            <w:r>
              <w:rPr>
                <w:rFonts w:ascii="Times New Roman" w:hAnsi="Times New Roman"/>
                <w:sz w:val="24"/>
                <w:szCs w:val="24"/>
                <w:lang w:eastAsia="lv-LV"/>
              </w:rPr>
              <w:t xml:space="preserve">gada 1. janvārī, </w:t>
            </w:r>
            <w:r w:rsidR="00D453A7">
              <w:rPr>
                <w:rFonts w:ascii="Times New Roman" w:hAnsi="Times New Roman"/>
                <w:sz w:val="24"/>
                <w:szCs w:val="24"/>
                <w:lang w:eastAsia="lv-LV"/>
              </w:rPr>
              <w:t xml:space="preserve">noteikumu projekta </w:t>
            </w:r>
            <w:r w:rsidRPr="00D01E55">
              <w:rPr>
                <w:rFonts w:ascii="Times New Roman" w:eastAsia="Times New Roman" w:hAnsi="Times New Roman" w:cs="Times New Roman"/>
                <w:sz w:val="24"/>
                <w:szCs w:val="24"/>
                <w:lang w:eastAsia="lv-LV"/>
              </w:rPr>
              <w:t>spēkā</w:t>
            </w:r>
            <w:r>
              <w:rPr>
                <w:rFonts w:ascii="Times New Roman" w:eastAsia="Times New Roman" w:hAnsi="Times New Roman" w:cs="Times New Roman"/>
                <w:sz w:val="24"/>
                <w:szCs w:val="24"/>
                <w:lang w:eastAsia="lv-LV"/>
              </w:rPr>
              <w:t xml:space="preserve"> stāšanās arī paredzēta</w:t>
            </w:r>
            <w:r w:rsidR="00072483">
              <w:rPr>
                <w:rFonts w:ascii="Times New Roman" w:eastAsia="Times New Roman" w:hAnsi="Times New Roman" w:cs="Times New Roman"/>
                <w:sz w:val="24"/>
                <w:szCs w:val="24"/>
                <w:lang w:eastAsia="lv-LV"/>
              </w:rPr>
              <w:t xml:space="preserve"> 2017. gada 1. </w:t>
            </w:r>
            <w:r w:rsidRPr="00D01E55">
              <w:rPr>
                <w:rFonts w:ascii="Times New Roman" w:eastAsia="Times New Roman" w:hAnsi="Times New Roman" w:cs="Times New Roman"/>
                <w:sz w:val="24"/>
                <w:szCs w:val="24"/>
                <w:lang w:eastAsia="lv-LV"/>
              </w:rPr>
              <w:t>janvār</w:t>
            </w:r>
            <w:r>
              <w:rPr>
                <w:rFonts w:ascii="Times New Roman" w:eastAsia="Times New Roman" w:hAnsi="Times New Roman" w:cs="Times New Roman"/>
                <w:sz w:val="24"/>
                <w:szCs w:val="24"/>
                <w:lang w:eastAsia="lv-LV"/>
              </w:rPr>
              <w:t>ī</w:t>
            </w:r>
            <w:r w:rsidRPr="00D01E55">
              <w:rPr>
                <w:rFonts w:ascii="Times New Roman" w:eastAsia="Times New Roman" w:hAnsi="Times New Roman" w:cs="Times New Roman"/>
                <w:sz w:val="24"/>
                <w:szCs w:val="24"/>
                <w:lang w:eastAsia="lv-LV"/>
              </w:rPr>
              <w:t>.</w:t>
            </w:r>
          </w:p>
        </w:tc>
      </w:tr>
      <w:tr w:rsidR="00A225EA" w:rsidRPr="00D01E55" w:rsidTr="00072483">
        <w:trPr>
          <w:trHeight w:val="128"/>
        </w:trPr>
        <w:tc>
          <w:tcPr>
            <w:tcW w:w="5000" w:type="pct"/>
            <w:gridSpan w:val="5"/>
            <w:tcBorders>
              <w:top w:val="outset" w:sz="6" w:space="0" w:color="414142"/>
              <w:left w:val="nil"/>
              <w:bottom w:val="nil"/>
              <w:right w:val="nil"/>
            </w:tcBorders>
          </w:tcPr>
          <w:p w:rsidR="00A225EA" w:rsidRPr="00D01E55" w:rsidRDefault="00A225EA">
            <w:pPr>
              <w:tabs>
                <w:tab w:val="left" w:pos="990"/>
              </w:tabs>
              <w:spacing w:after="0" w:line="240" w:lineRule="auto"/>
              <w:rPr>
                <w:rFonts w:ascii="Times New Roman" w:eastAsia="Times New Roman" w:hAnsi="Times New Roman" w:cs="Times New Roman"/>
                <w:sz w:val="24"/>
                <w:szCs w:val="24"/>
                <w:lang w:eastAsia="lv-LV"/>
              </w:rPr>
            </w:pPr>
          </w:p>
        </w:tc>
      </w:tr>
      <w:tr w:rsidR="007D0C14" w:rsidRPr="00D01E55" w:rsidTr="00072483">
        <w:trPr>
          <w:gridBefore w:val="1"/>
          <w:wBefore w:w="16" w:type="pct"/>
          <w:trHeight w:val="555"/>
        </w:trPr>
        <w:tc>
          <w:tcPr>
            <w:tcW w:w="4984" w:type="pct"/>
            <w:gridSpan w:val="4"/>
            <w:tcBorders>
              <w:top w:val="single" w:sz="4" w:space="0" w:color="auto"/>
              <w:left w:val="outset" w:sz="6" w:space="0" w:color="414142"/>
              <w:bottom w:val="outset" w:sz="6" w:space="0" w:color="414142"/>
              <w:right w:val="outset" w:sz="6" w:space="0" w:color="414142"/>
            </w:tcBorders>
            <w:vAlign w:val="center"/>
            <w:hideMark/>
          </w:tcPr>
          <w:p w:rsidR="00954607" w:rsidRPr="00D01E55" w:rsidRDefault="004D15A9">
            <w:pPr>
              <w:spacing w:after="0" w:line="240" w:lineRule="auto"/>
              <w:ind w:firstLine="300"/>
              <w:jc w:val="center"/>
              <w:rPr>
                <w:rFonts w:ascii="Times New Roman" w:eastAsia="Times New Roman" w:hAnsi="Times New Roman" w:cs="Times New Roman"/>
                <w:b/>
                <w:bCs/>
                <w:sz w:val="24"/>
                <w:szCs w:val="24"/>
                <w:lang w:eastAsia="lv-LV"/>
              </w:rPr>
            </w:pPr>
            <w:r w:rsidRPr="00D01E55">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7D0C14" w:rsidRPr="00D01E55" w:rsidTr="00072483">
        <w:trPr>
          <w:gridBefore w:val="1"/>
          <w:wBefore w:w="16" w:type="pct"/>
          <w:trHeight w:val="233"/>
        </w:trPr>
        <w:tc>
          <w:tcPr>
            <w:tcW w:w="234" w:type="pct"/>
            <w:tcBorders>
              <w:top w:val="outset" w:sz="6" w:space="0" w:color="414142"/>
              <w:left w:val="outset" w:sz="6" w:space="0" w:color="414142"/>
              <w:bottom w:val="outset" w:sz="6" w:space="0" w:color="414142"/>
              <w:right w:val="outset" w:sz="6" w:space="0" w:color="414142"/>
            </w:tcBorders>
            <w:hideMark/>
          </w:tcPr>
          <w:p w:rsidR="004D15A9" w:rsidRPr="00D01E55" w:rsidRDefault="004D15A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4D15A9" w:rsidRPr="00D01E55" w:rsidRDefault="004D15A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Sabiedrības mērķgrupas, kuras tiesiskais regulējums ietekmē vai varētu ietekmēt</w:t>
            </w:r>
          </w:p>
        </w:tc>
        <w:tc>
          <w:tcPr>
            <w:tcW w:w="3199" w:type="pct"/>
            <w:tcBorders>
              <w:top w:val="outset" w:sz="6" w:space="0" w:color="414142"/>
              <w:left w:val="outset" w:sz="6" w:space="0" w:color="414142"/>
              <w:bottom w:val="outset" w:sz="6" w:space="0" w:color="414142"/>
              <w:right w:val="outset" w:sz="6" w:space="0" w:color="414142"/>
            </w:tcBorders>
            <w:hideMark/>
          </w:tcPr>
          <w:p w:rsidR="004D15A9" w:rsidRPr="00282E29" w:rsidRDefault="00D453A7">
            <w:pPr>
              <w:spacing w:after="0" w:line="240" w:lineRule="auto"/>
              <w:ind w:firstLine="409"/>
              <w:jc w:val="both"/>
              <w:rPr>
                <w:rFonts w:ascii="Times New Roman" w:eastAsia="Times New Roman" w:hAnsi="Times New Roman" w:cs="Times New Roman"/>
                <w:sz w:val="24"/>
                <w:szCs w:val="24"/>
                <w:lang w:eastAsia="lv-LV"/>
              </w:rPr>
            </w:pPr>
            <w:r w:rsidRPr="00282E29">
              <w:rPr>
                <w:rFonts w:ascii="Times New Roman" w:eastAsia="Times New Roman" w:hAnsi="Times New Roman" w:cs="Times New Roman"/>
                <w:sz w:val="24"/>
                <w:szCs w:val="24"/>
                <w:lang w:eastAsia="lv-LV"/>
              </w:rPr>
              <w:t>Šis regulējums var ietekmēt visas tās personas, kas, noslēdzot līgumu, iegūs tiesības celt un lietot uz sveša zemes gabala nedzīvojamas ēkas un inženierbūves, tostarp teritorijās, kurās ir ierobežotas zemes atsavināšanas iespējas (ostas, speciālās ekonomiskās zonas u.</w:t>
            </w:r>
            <w:r w:rsidRPr="00282E29">
              <w:rPr>
                <w:rFonts w:ascii="Times New Roman" w:hAnsi="Times New Roman" w:cs="Times New Roman"/>
                <w:sz w:val="24"/>
                <w:szCs w:val="24"/>
                <w:lang w:eastAsia="lv-LV"/>
              </w:rPr>
              <w:t> tml.</w:t>
            </w:r>
            <w:r w:rsidRPr="00282E29">
              <w:rPr>
                <w:rFonts w:ascii="Times New Roman" w:eastAsia="Times New Roman" w:hAnsi="Times New Roman" w:cs="Times New Roman"/>
                <w:sz w:val="24"/>
                <w:szCs w:val="24"/>
                <w:lang w:eastAsia="lv-LV"/>
              </w:rPr>
              <w:t>), kā arī apbūvei nodoto zemes gabalu īpašniekus. P</w:t>
            </w:r>
            <w:r w:rsidR="00EE6FD4" w:rsidRPr="00282E29">
              <w:rPr>
                <w:rFonts w:ascii="Times New Roman" w:eastAsia="Times New Roman" w:hAnsi="Times New Roman" w:cs="Times New Roman"/>
                <w:sz w:val="24"/>
                <w:szCs w:val="24"/>
                <w:lang w:eastAsia="lv-LV"/>
              </w:rPr>
              <w:t>rojekta regulējums ietekmēs arī republikas pilsētas un novada pašvaldības, kur</w:t>
            </w:r>
            <w:r w:rsidRPr="00282E29">
              <w:rPr>
                <w:rFonts w:ascii="Times New Roman" w:eastAsia="Times New Roman" w:hAnsi="Times New Roman" w:cs="Times New Roman"/>
                <w:sz w:val="24"/>
                <w:szCs w:val="24"/>
                <w:lang w:eastAsia="lv-LV"/>
              </w:rPr>
              <w:t>u būvvaldes</w:t>
            </w:r>
            <w:r w:rsidR="00EE6FD4" w:rsidRPr="00282E29">
              <w:rPr>
                <w:rFonts w:ascii="Times New Roman" w:eastAsia="Times New Roman" w:hAnsi="Times New Roman" w:cs="Times New Roman"/>
                <w:sz w:val="24"/>
                <w:szCs w:val="24"/>
                <w:lang w:eastAsia="lv-LV"/>
              </w:rPr>
              <w:t xml:space="preserve"> </w:t>
            </w:r>
            <w:r w:rsidRPr="00282E29">
              <w:rPr>
                <w:rFonts w:ascii="Times New Roman" w:hAnsi="Times New Roman" w:cs="Times New Roman"/>
                <w:sz w:val="24"/>
                <w:szCs w:val="24"/>
              </w:rPr>
              <w:t xml:space="preserve">kontrolē būvniecības procesu un tā atbilstību </w:t>
            </w:r>
            <w:r w:rsidR="00282E29" w:rsidRPr="00282E29">
              <w:rPr>
                <w:rFonts w:ascii="Times New Roman" w:hAnsi="Times New Roman" w:cs="Times New Roman"/>
                <w:sz w:val="24"/>
                <w:szCs w:val="24"/>
              </w:rPr>
              <w:t xml:space="preserve">Būvniecības </w:t>
            </w:r>
            <w:r w:rsidRPr="00282E29">
              <w:rPr>
                <w:rFonts w:ascii="Times New Roman" w:hAnsi="Times New Roman" w:cs="Times New Roman"/>
                <w:sz w:val="24"/>
                <w:szCs w:val="24"/>
              </w:rPr>
              <w:t>likuma un citu būvniecību regulējošu normatīvo aktu prasībām</w:t>
            </w:r>
            <w:r w:rsidR="00282E29" w:rsidRPr="00282E29">
              <w:rPr>
                <w:rFonts w:ascii="Times New Roman" w:hAnsi="Times New Roman" w:cs="Times New Roman"/>
                <w:sz w:val="24"/>
                <w:szCs w:val="24"/>
              </w:rPr>
              <w:t>, tajā skaitā</w:t>
            </w:r>
            <w:r w:rsidR="00282E29">
              <w:rPr>
                <w:rFonts w:ascii="Times New Roman" w:hAnsi="Times New Roman" w:cs="Times New Roman"/>
                <w:sz w:val="24"/>
                <w:szCs w:val="24"/>
              </w:rPr>
              <w:t xml:space="preserve"> izskata būvniecības ieceres,</w:t>
            </w:r>
            <w:r w:rsidR="00282E29" w:rsidRPr="00282E29">
              <w:rPr>
                <w:rFonts w:ascii="Times New Roman" w:hAnsi="Times New Roman" w:cs="Times New Roman"/>
                <w:sz w:val="24"/>
                <w:szCs w:val="24"/>
              </w:rPr>
              <w:t xml:space="preserve"> izdod vai atsaka izdot būvatļaujas. </w:t>
            </w:r>
            <w:r w:rsidR="00E14ACF" w:rsidRPr="00282E29">
              <w:rPr>
                <w:rFonts w:ascii="Times New Roman" w:eastAsia="Times New Roman" w:hAnsi="Times New Roman" w:cs="Times New Roman"/>
                <w:sz w:val="24"/>
                <w:szCs w:val="24"/>
                <w:lang w:eastAsia="lv-LV"/>
              </w:rPr>
              <w:t>Latvijā šobrīd ir pavisam 119 pašvaldības (9 republikas pilsētas pašvaldības un 110 novada pašvaldības).</w:t>
            </w:r>
          </w:p>
        </w:tc>
      </w:tr>
      <w:tr w:rsidR="007D0C14" w:rsidRPr="00D01E55" w:rsidTr="00072483">
        <w:trPr>
          <w:gridBefore w:val="1"/>
          <w:wBefore w:w="16" w:type="pct"/>
          <w:trHeight w:val="510"/>
        </w:trPr>
        <w:tc>
          <w:tcPr>
            <w:tcW w:w="234" w:type="pct"/>
            <w:tcBorders>
              <w:top w:val="outset" w:sz="6" w:space="0" w:color="414142"/>
              <w:left w:val="outset" w:sz="6" w:space="0" w:color="414142"/>
              <w:bottom w:val="outset" w:sz="6" w:space="0" w:color="414142"/>
              <w:right w:val="outset" w:sz="6" w:space="0" w:color="414142"/>
            </w:tcBorders>
            <w:hideMark/>
          </w:tcPr>
          <w:p w:rsidR="004D15A9" w:rsidRPr="00D01E55" w:rsidRDefault="004D15A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4D15A9" w:rsidRPr="00D01E55" w:rsidRDefault="004D15A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Tiesiskā regulējuma ietekme uz tautsaimniecību un administratīvo slogu</w:t>
            </w:r>
          </w:p>
        </w:tc>
        <w:tc>
          <w:tcPr>
            <w:tcW w:w="3199" w:type="pct"/>
            <w:tcBorders>
              <w:top w:val="outset" w:sz="6" w:space="0" w:color="414142"/>
              <w:left w:val="outset" w:sz="6" w:space="0" w:color="414142"/>
              <w:bottom w:val="outset" w:sz="6" w:space="0" w:color="414142"/>
              <w:right w:val="outset" w:sz="6" w:space="0" w:color="414142"/>
            </w:tcBorders>
            <w:hideMark/>
          </w:tcPr>
          <w:p w:rsidR="004D15A9" w:rsidRPr="00D01E55" w:rsidRDefault="00282E29">
            <w:pPr>
              <w:spacing w:after="0" w:line="240" w:lineRule="auto"/>
              <w:ind w:firstLine="4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Projekts paredz pienākumu </w:t>
            </w:r>
            <w:r w:rsidRPr="00D453A7">
              <w:rPr>
                <w:rFonts w:ascii="Times New Roman" w:hAnsi="Times New Roman" w:cs="Times New Roman"/>
                <w:sz w:val="24"/>
                <w:szCs w:val="24"/>
              </w:rPr>
              <w:t>būvvalde</w:t>
            </w:r>
            <w:r>
              <w:rPr>
                <w:rFonts w:ascii="Times New Roman" w:hAnsi="Times New Roman" w:cs="Times New Roman"/>
                <w:sz w:val="24"/>
                <w:szCs w:val="24"/>
              </w:rPr>
              <w:t>i</w:t>
            </w:r>
            <w:r w:rsidRPr="00D453A7">
              <w:rPr>
                <w:rFonts w:ascii="Times New Roman" w:hAnsi="Times New Roman" w:cs="Times New Roman"/>
                <w:sz w:val="24"/>
                <w:szCs w:val="24"/>
              </w:rPr>
              <w:t xml:space="preserve"> </w:t>
            </w:r>
            <w:r>
              <w:rPr>
                <w:rFonts w:ascii="Times New Roman" w:hAnsi="Times New Roman" w:cs="Times New Roman"/>
                <w:sz w:val="24"/>
                <w:szCs w:val="24"/>
              </w:rPr>
              <w:t>atteikt</w:t>
            </w:r>
            <w:r w:rsidRPr="00D453A7">
              <w:rPr>
                <w:rFonts w:ascii="Times New Roman" w:hAnsi="Times New Roman" w:cs="Times New Roman"/>
                <w:sz w:val="24"/>
                <w:szCs w:val="24"/>
              </w:rPr>
              <w:t xml:space="preserve"> izdot būvatļauju vai akceptēt būvniecības ieceri, ja ēkai, kuru būvē, atjauno, restaurē, pārbūvē uz zemesgrāmatā ierakstītas apbūves tiesības pamata, paredz dzīvojamās telpu grupas (telpas) vai maina ēkas vai telpu grupas nedzīvojamo lietošanas veidu uz dzīvošanai atbilstīgu lietošanas veidu</w:t>
            </w:r>
            <w:r>
              <w:rPr>
                <w:rFonts w:ascii="Times New Roman" w:hAnsi="Times New Roman" w:cs="Times New Roman"/>
                <w:sz w:val="24"/>
                <w:szCs w:val="24"/>
              </w:rPr>
              <w:t>.</w:t>
            </w:r>
          </w:p>
        </w:tc>
      </w:tr>
      <w:tr w:rsidR="007D0C14" w:rsidRPr="00D01E55" w:rsidTr="00072483">
        <w:trPr>
          <w:gridBefore w:val="1"/>
          <w:wBefore w:w="16" w:type="pct"/>
          <w:trHeight w:val="510"/>
        </w:trPr>
        <w:tc>
          <w:tcPr>
            <w:tcW w:w="234" w:type="pct"/>
            <w:tcBorders>
              <w:top w:val="outset" w:sz="6" w:space="0" w:color="414142"/>
              <w:left w:val="outset" w:sz="6" w:space="0" w:color="414142"/>
              <w:bottom w:val="outset" w:sz="6" w:space="0" w:color="414142"/>
              <w:right w:val="outset" w:sz="6" w:space="0" w:color="414142"/>
            </w:tcBorders>
            <w:hideMark/>
          </w:tcPr>
          <w:p w:rsidR="004D15A9" w:rsidRPr="00D01E55" w:rsidRDefault="004D15A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w:t>
            </w:r>
          </w:p>
        </w:tc>
        <w:tc>
          <w:tcPr>
            <w:tcW w:w="1551" w:type="pct"/>
            <w:gridSpan w:val="2"/>
            <w:tcBorders>
              <w:top w:val="outset" w:sz="6" w:space="0" w:color="414142"/>
              <w:left w:val="outset" w:sz="6" w:space="0" w:color="414142"/>
              <w:bottom w:val="outset" w:sz="6" w:space="0" w:color="414142"/>
              <w:right w:val="outset" w:sz="6" w:space="0" w:color="414142"/>
            </w:tcBorders>
            <w:hideMark/>
          </w:tcPr>
          <w:p w:rsidR="004D15A9" w:rsidRPr="00D01E55" w:rsidRDefault="004D15A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Administratīvo izmaksu monetārs novērtējums</w:t>
            </w:r>
          </w:p>
        </w:tc>
        <w:tc>
          <w:tcPr>
            <w:tcW w:w="3199" w:type="pct"/>
            <w:tcBorders>
              <w:top w:val="outset" w:sz="6" w:space="0" w:color="414142"/>
              <w:left w:val="outset" w:sz="6" w:space="0" w:color="414142"/>
              <w:bottom w:val="outset" w:sz="6" w:space="0" w:color="414142"/>
              <w:right w:val="outset" w:sz="6" w:space="0" w:color="414142"/>
            </w:tcBorders>
            <w:hideMark/>
          </w:tcPr>
          <w:p w:rsidR="004D15A9" w:rsidRPr="00D01E55" w:rsidRDefault="00282E29">
            <w:pPr>
              <w:spacing w:after="0" w:line="240" w:lineRule="auto"/>
              <w:ind w:firstLine="409"/>
              <w:jc w:val="both"/>
              <w:rPr>
                <w:rFonts w:ascii="Times New Roman" w:eastAsia="Times New Roman" w:hAnsi="Times New Roman" w:cs="Times New Roman"/>
                <w:sz w:val="24"/>
                <w:szCs w:val="24"/>
                <w:lang w:eastAsia="lv-LV"/>
              </w:rPr>
            </w:pPr>
            <w:r>
              <w:rPr>
                <w:rFonts w:ascii="Times New Roman" w:hAnsi="Times New Roman" w:cs="Times New Roman"/>
                <w:sz w:val="24"/>
                <w:szCs w:val="24"/>
              </w:rPr>
              <w:t>P</w:t>
            </w:r>
            <w:r w:rsidR="0092023F" w:rsidRPr="00D01E55">
              <w:rPr>
                <w:rFonts w:ascii="Times New Roman" w:hAnsi="Times New Roman" w:cs="Times New Roman"/>
                <w:sz w:val="24"/>
                <w:szCs w:val="24"/>
              </w:rPr>
              <w:t>rojekts</w:t>
            </w:r>
            <w:r w:rsidR="004B1A15" w:rsidRPr="00D01E55">
              <w:rPr>
                <w:rFonts w:ascii="Times New Roman" w:hAnsi="Times New Roman" w:cs="Times New Roman"/>
                <w:sz w:val="24"/>
                <w:szCs w:val="24"/>
              </w:rPr>
              <w:t xml:space="preserve"> tiešā veidā neietekmē administratīvās izmaksas privātpersonām.</w:t>
            </w:r>
          </w:p>
        </w:tc>
      </w:tr>
      <w:tr w:rsidR="007D0C14" w:rsidRPr="00D01E55" w:rsidTr="00072483">
        <w:trPr>
          <w:gridBefore w:val="1"/>
          <w:wBefore w:w="16" w:type="pct"/>
          <w:trHeight w:val="345"/>
        </w:trPr>
        <w:tc>
          <w:tcPr>
            <w:tcW w:w="234" w:type="pct"/>
            <w:tcBorders>
              <w:top w:val="outset" w:sz="6" w:space="0" w:color="414142"/>
              <w:left w:val="outset" w:sz="6" w:space="0" w:color="414142"/>
              <w:bottom w:val="single" w:sz="4" w:space="0" w:color="auto"/>
              <w:right w:val="outset" w:sz="6" w:space="0" w:color="414142"/>
            </w:tcBorders>
            <w:hideMark/>
          </w:tcPr>
          <w:p w:rsidR="004D15A9" w:rsidRPr="00D01E55" w:rsidRDefault="004D15A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4.</w:t>
            </w:r>
          </w:p>
        </w:tc>
        <w:tc>
          <w:tcPr>
            <w:tcW w:w="1551" w:type="pct"/>
            <w:gridSpan w:val="2"/>
            <w:tcBorders>
              <w:top w:val="outset" w:sz="6" w:space="0" w:color="414142"/>
              <w:left w:val="outset" w:sz="6" w:space="0" w:color="414142"/>
              <w:bottom w:val="single" w:sz="4" w:space="0" w:color="auto"/>
              <w:right w:val="outset" w:sz="6" w:space="0" w:color="414142"/>
            </w:tcBorders>
            <w:hideMark/>
          </w:tcPr>
          <w:p w:rsidR="004D15A9" w:rsidRPr="00D01E55" w:rsidRDefault="004D15A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Cita informācija</w:t>
            </w:r>
          </w:p>
        </w:tc>
        <w:tc>
          <w:tcPr>
            <w:tcW w:w="3199" w:type="pct"/>
            <w:tcBorders>
              <w:top w:val="outset" w:sz="6" w:space="0" w:color="414142"/>
              <w:left w:val="outset" w:sz="6" w:space="0" w:color="414142"/>
              <w:bottom w:val="single" w:sz="4" w:space="0" w:color="auto"/>
              <w:right w:val="outset" w:sz="6" w:space="0" w:color="414142"/>
            </w:tcBorders>
            <w:hideMark/>
          </w:tcPr>
          <w:p w:rsidR="004D15A9" w:rsidRPr="00FF4EA4" w:rsidRDefault="00EF3851">
            <w:pPr>
              <w:spacing w:after="0" w:line="240" w:lineRule="auto"/>
              <w:ind w:firstLine="409"/>
              <w:jc w:val="both"/>
              <w:rPr>
                <w:rFonts w:ascii="Times New Roman" w:eastAsia="Times New Roman" w:hAnsi="Times New Roman" w:cs="Times New Roman"/>
                <w:sz w:val="24"/>
                <w:szCs w:val="24"/>
                <w:lang w:eastAsia="lv-LV"/>
              </w:rPr>
            </w:pPr>
            <w:r w:rsidRPr="00FF4EA4">
              <w:rPr>
                <w:rFonts w:ascii="Times New Roman" w:eastAsia="Times New Roman" w:hAnsi="Times New Roman"/>
                <w:sz w:val="24"/>
                <w:szCs w:val="24"/>
                <w:lang w:eastAsia="lv-LV"/>
              </w:rPr>
              <w:t xml:space="preserve">Atbilstoši </w:t>
            </w:r>
            <w:r w:rsidR="0062351E" w:rsidRPr="00144628">
              <w:rPr>
                <w:rFonts w:ascii="Times New Roman" w:hAnsi="Times New Roman"/>
                <w:sz w:val="24"/>
                <w:szCs w:val="24"/>
              </w:rPr>
              <w:t xml:space="preserve">Nekustamā īpašuma valsts </w:t>
            </w:r>
            <w:r w:rsidR="0062351E">
              <w:rPr>
                <w:rFonts w:ascii="Times New Roman" w:eastAsia="Times New Roman" w:hAnsi="Times New Roman"/>
                <w:sz w:val="24"/>
                <w:szCs w:val="24"/>
                <w:lang w:eastAsia="lv-LV"/>
              </w:rPr>
              <w:t>k</w:t>
            </w:r>
            <w:r w:rsidRPr="00FF4EA4">
              <w:rPr>
                <w:rFonts w:ascii="Times New Roman" w:eastAsia="Times New Roman" w:hAnsi="Times New Roman"/>
                <w:sz w:val="24"/>
                <w:szCs w:val="24"/>
                <w:lang w:eastAsia="lv-LV"/>
              </w:rPr>
              <w:t>adastra informācijas sistēmas datiem laikposmā no 2012. līdz 2015.</w:t>
            </w:r>
            <w:r w:rsidRPr="00FF4EA4">
              <w:rPr>
                <w:rFonts w:ascii="Times New Roman" w:hAnsi="Times New Roman"/>
                <w:sz w:val="24"/>
                <w:szCs w:val="24"/>
                <w:lang w:eastAsia="lv-LV"/>
              </w:rPr>
              <w:t> </w:t>
            </w:r>
            <w:r w:rsidRPr="00FF4EA4">
              <w:rPr>
                <w:rFonts w:ascii="Times New Roman" w:eastAsia="Times New Roman" w:hAnsi="Times New Roman"/>
                <w:sz w:val="24"/>
                <w:szCs w:val="24"/>
                <w:lang w:eastAsia="lv-LV"/>
              </w:rPr>
              <w:t>gadam ir reģistrētas 8319 nedzīvojamās ēkas un 442 inženierbūves, kas uzceltas uz citām personām piederošiem zemes gabaliem.</w:t>
            </w:r>
          </w:p>
        </w:tc>
      </w:tr>
      <w:tr w:rsidR="007D0C14" w:rsidRPr="00D01E55" w:rsidTr="00072483">
        <w:trPr>
          <w:gridBefore w:val="1"/>
          <w:wBefore w:w="16" w:type="pct"/>
          <w:trHeight w:val="1797"/>
        </w:trPr>
        <w:tc>
          <w:tcPr>
            <w:tcW w:w="4984" w:type="pct"/>
            <w:gridSpan w:val="4"/>
            <w:tcBorders>
              <w:top w:val="single" w:sz="4" w:space="0" w:color="auto"/>
              <w:left w:val="nil"/>
              <w:bottom w:val="nil"/>
              <w:right w:val="nil"/>
            </w:tcBorders>
          </w:tcPr>
          <w:p w:rsidR="00310628" w:rsidRPr="00D01E55" w:rsidRDefault="00310628">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75"/>
              <w:gridCol w:w="1175"/>
              <w:gridCol w:w="1537"/>
              <w:gridCol w:w="1085"/>
              <w:gridCol w:w="1085"/>
              <w:gridCol w:w="1085"/>
            </w:tblGrid>
            <w:tr w:rsidR="00D56D72" w:rsidRPr="00D01E55" w:rsidTr="00576DF7">
              <w:trPr>
                <w:trHeight w:val="281"/>
              </w:trPr>
              <w:tc>
                <w:tcPr>
                  <w:tcW w:w="0" w:type="auto"/>
                  <w:gridSpan w:val="6"/>
                  <w:tcBorders>
                    <w:top w:val="single" w:sz="4" w:space="0" w:color="auto"/>
                    <w:left w:val="outset" w:sz="6" w:space="0" w:color="414142"/>
                    <w:bottom w:val="single" w:sz="4" w:space="0" w:color="auto"/>
                    <w:right w:val="outset" w:sz="6" w:space="0" w:color="414142"/>
                  </w:tcBorders>
                  <w:vAlign w:val="center"/>
                  <w:hideMark/>
                </w:tcPr>
                <w:p w:rsidR="00954607" w:rsidRPr="00D01E55" w:rsidRDefault="00D76089">
                  <w:pPr>
                    <w:spacing w:after="0" w:line="240" w:lineRule="auto"/>
                    <w:ind w:firstLine="300"/>
                    <w:jc w:val="center"/>
                    <w:rPr>
                      <w:rFonts w:ascii="Times New Roman" w:eastAsia="Times New Roman" w:hAnsi="Times New Roman" w:cs="Times New Roman"/>
                      <w:b/>
                      <w:bCs/>
                      <w:sz w:val="24"/>
                      <w:szCs w:val="24"/>
                      <w:lang w:eastAsia="lv-LV"/>
                    </w:rPr>
                  </w:pPr>
                  <w:r w:rsidRPr="00D01E55">
                    <w:rPr>
                      <w:rFonts w:ascii="Times New Roman" w:eastAsia="Times New Roman" w:hAnsi="Times New Roman" w:cs="Times New Roman"/>
                      <w:b/>
                      <w:bCs/>
                      <w:sz w:val="24"/>
                      <w:szCs w:val="24"/>
                      <w:lang w:eastAsia="lv-LV"/>
                    </w:rPr>
                    <w:t>III. Tiesību akta projekta ietekme uz valsts budžetu un pašvaldību budžetiem</w:t>
                  </w:r>
                </w:p>
              </w:tc>
            </w:tr>
            <w:tr w:rsidR="00D56D72" w:rsidRPr="00D01E55" w:rsidTr="00D56D72">
              <w:tc>
                <w:tcPr>
                  <w:tcW w:w="1700" w:type="pct"/>
                  <w:vMerge w:val="restart"/>
                  <w:tcBorders>
                    <w:top w:val="single" w:sz="4" w:space="0" w:color="auto"/>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ind w:firstLine="300"/>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Rādītāji</w:t>
                  </w:r>
                </w:p>
              </w:tc>
              <w:tc>
                <w:tcPr>
                  <w:tcW w:w="1500" w:type="pct"/>
                  <w:gridSpan w:val="2"/>
                  <w:vMerge w:val="restart"/>
                  <w:tcBorders>
                    <w:top w:val="single" w:sz="4" w:space="0" w:color="auto"/>
                    <w:left w:val="outset" w:sz="6" w:space="0" w:color="414142"/>
                    <w:bottom w:val="outset" w:sz="6" w:space="0" w:color="414142"/>
                    <w:right w:val="outset" w:sz="6" w:space="0" w:color="414142"/>
                  </w:tcBorders>
                  <w:vAlign w:val="center"/>
                  <w:hideMark/>
                </w:tcPr>
                <w:p w:rsidR="00D76089" w:rsidRPr="00D01E55" w:rsidRDefault="005E4209">
                  <w:pPr>
                    <w:spacing w:after="0" w:line="240" w:lineRule="auto"/>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201</w:t>
                  </w:r>
                  <w:r w:rsidR="00271DEA">
                    <w:rPr>
                      <w:rFonts w:ascii="Times New Roman" w:eastAsia="Times New Roman" w:hAnsi="Times New Roman" w:cs="Times New Roman"/>
                      <w:bCs/>
                      <w:sz w:val="24"/>
                      <w:szCs w:val="24"/>
                      <w:lang w:eastAsia="lv-LV"/>
                    </w:rPr>
                    <w:t>6</w:t>
                  </w:r>
                  <w:r w:rsidRPr="00D01E55">
                    <w:rPr>
                      <w:rFonts w:ascii="Times New Roman" w:eastAsia="Times New Roman" w:hAnsi="Times New Roman" w:cs="Times New Roman"/>
                      <w:bCs/>
                      <w:sz w:val="24"/>
                      <w:szCs w:val="24"/>
                      <w:lang w:eastAsia="lv-LV"/>
                    </w:rPr>
                    <w:t>.</w:t>
                  </w:r>
                  <w:r w:rsidR="00072483">
                    <w:rPr>
                      <w:rFonts w:ascii="Times New Roman" w:eastAsia="Times New Roman" w:hAnsi="Times New Roman" w:cs="Times New Roman"/>
                      <w:bCs/>
                      <w:sz w:val="24"/>
                      <w:szCs w:val="24"/>
                      <w:lang w:eastAsia="lv-LV"/>
                    </w:rPr>
                    <w:t> </w:t>
                  </w:r>
                  <w:r w:rsidR="00D76089" w:rsidRPr="00D01E55">
                    <w:rPr>
                      <w:rFonts w:ascii="Times New Roman" w:eastAsia="Times New Roman" w:hAnsi="Times New Roman" w:cs="Times New Roman"/>
                      <w:bCs/>
                      <w:sz w:val="24"/>
                      <w:szCs w:val="24"/>
                      <w:lang w:eastAsia="lv-LV"/>
                    </w:rPr>
                    <w:t>gads</w:t>
                  </w:r>
                </w:p>
              </w:tc>
              <w:tc>
                <w:tcPr>
                  <w:tcW w:w="1800" w:type="pct"/>
                  <w:gridSpan w:val="3"/>
                  <w:tcBorders>
                    <w:top w:val="single" w:sz="4" w:space="0" w:color="auto"/>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ind w:firstLine="20"/>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Turpmākie trīs gadi (</w:t>
                  </w:r>
                  <w:proofErr w:type="spellStart"/>
                  <w:r w:rsidR="00D56D72" w:rsidRPr="00D01E55">
                    <w:rPr>
                      <w:rFonts w:ascii="Times New Roman" w:eastAsia="Times New Roman" w:hAnsi="Times New Roman" w:cs="Times New Roman"/>
                      <w:i/>
                      <w:sz w:val="24"/>
                      <w:szCs w:val="24"/>
                      <w:lang w:eastAsia="lv-LV"/>
                    </w:rPr>
                    <w:t>euro</w:t>
                  </w:r>
                  <w:proofErr w:type="spellEnd"/>
                  <w:r w:rsidRPr="00D01E55">
                    <w:rPr>
                      <w:rFonts w:ascii="Times New Roman" w:eastAsia="Times New Roman" w:hAnsi="Times New Roman" w:cs="Times New Roman"/>
                      <w:sz w:val="24"/>
                      <w:szCs w:val="24"/>
                      <w:lang w:eastAsia="lv-LV"/>
                    </w:rPr>
                    <w:t>)</w:t>
                  </w:r>
                </w:p>
              </w:tc>
            </w:tr>
            <w:tr w:rsidR="00D56D72" w:rsidRPr="00D01E55"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rPr>
                      <w:rFonts w:ascii="Times New Roman" w:eastAsia="Times New Roman" w:hAnsi="Times New Roman" w:cs="Times New Roman"/>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rPr>
                      <w:rFonts w:ascii="Times New Roman" w:eastAsia="Times New Roman" w:hAnsi="Times New Roman" w:cs="Times New Roman"/>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5E4209">
                  <w:pPr>
                    <w:spacing w:after="0" w:line="240" w:lineRule="auto"/>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201</w:t>
                  </w:r>
                  <w:r w:rsidR="00271DEA">
                    <w:rPr>
                      <w:rFonts w:ascii="Times New Roman" w:eastAsia="Times New Roman" w:hAnsi="Times New Roman" w:cs="Times New Roman"/>
                      <w:bCs/>
                      <w:sz w:val="24"/>
                      <w:szCs w:val="24"/>
                      <w:lang w:eastAsia="lv-LV"/>
                    </w:rPr>
                    <w:t>7</w:t>
                  </w:r>
                  <w:r w:rsidR="00E54843">
                    <w:rPr>
                      <w:rFonts w:ascii="Times New Roman" w:eastAsia="Times New Roman" w:hAnsi="Times New Roman" w:cs="Times New Roman"/>
                      <w:bCs/>
                      <w:sz w:val="24"/>
                      <w:szCs w:val="24"/>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5E4209">
                  <w:pPr>
                    <w:spacing w:after="0" w:line="240" w:lineRule="auto"/>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201</w:t>
                  </w:r>
                  <w:r w:rsidR="00271DEA">
                    <w:rPr>
                      <w:rFonts w:ascii="Times New Roman" w:eastAsia="Times New Roman" w:hAnsi="Times New Roman" w:cs="Times New Roman"/>
                      <w:bCs/>
                      <w:sz w:val="24"/>
                      <w:szCs w:val="24"/>
                      <w:lang w:eastAsia="lv-LV"/>
                    </w:rPr>
                    <w:t>8</w:t>
                  </w:r>
                  <w:r w:rsidR="00E54843">
                    <w:rPr>
                      <w:rFonts w:ascii="Times New Roman" w:eastAsia="Times New Roman" w:hAnsi="Times New Roman" w:cs="Times New Roman"/>
                      <w:bCs/>
                      <w:sz w:val="24"/>
                      <w:szCs w:val="24"/>
                      <w:lang w:eastAsia="lv-LV"/>
                    </w:rPr>
                    <w:t>.</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5E4209">
                  <w:pPr>
                    <w:spacing w:after="0" w:line="240" w:lineRule="auto"/>
                    <w:jc w:val="center"/>
                    <w:rPr>
                      <w:rFonts w:ascii="Times New Roman" w:eastAsia="Times New Roman" w:hAnsi="Times New Roman" w:cs="Times New Roman"/>
                      <w:bCs/>
                      <w:sz w:val="24"/>
                      <w:szCs w:val="24"/>
                      <w:lang w:eastAsia="lv-LV"/>
                    </w:rPr>
                  </w:pPr>
                  <w:r w:rsidRPr="00D01E55">
                    <w:rPr>
                      <w:rFonts w:ascii="Times New Roman" w:eastAsia="Times New Roman" w:hAnsi="Times New Roman" w:cs="Times New Roman"/>
                      <w:bCs/>
                      <w:sz w:val="24"/>
                      <w:szCs w:val="24"/>
                      <w:lang w:eastAsia="lv-LV"/>
                    </w:rPr>
                    <w:t>2</w:t>
                  </w:r>
                  <w:r w:rsidR="00444DD9" w:rsidRPr="00D01E55">
                    <w:rPr>
                      <w:rFonts w:ascii="Times New Roman" w:eastAsia="Times New Roman" w:hAnsi="Times New Roman" w:cs="Times New Roman"/>
                      <w:bCs/>
                      <w:sz w:val="24"/>
                      <w:szCs w:val="24"/>
                      <w:lang w:eastAsia="lv-LV"/>
                    </w:rPr>
                    <w:t>01</w:t>
                  </w:r>
                  <w:r w:rsidR="00271DEA">
                    <w:rPr>
                      <w:rFonts w:ascii="Times New Roman" w:eastAsia="Times New Roman" w:hAnsi="Times New Roman" w:cs="Times New Roman"/>
                      <w:bCs/>
                      <w:sz w:val="24"/>
                      <w:szCs w:val="24"/>
                      <w:lang w:eastAsia="lv-LV"/>
                    </w:rPr>
                    <w:t>9</w:t>
                  </w:r>
                  <w:r w:rsidR="00E54843">
                    <w:rPr>
                      <w:rFonts w:ascii="Times New Roman" w:eastAsia="Times New Roman" w:hAnsi="Times New Roman" w:cs="Times New Roman"/>
                      <w:bCs/>
                      <w:sz w:val="24"/>
                      <w:szCs w:val="24"/>
                      <w:lang w:eastAsia="lv-LV"/>
                    </w:rPr>
                    <w:t>.</w:t>
                  </w:r>
                </w:p>
              </w:tc>
            </w:tr>
            <w:tr w:rsidR="00D56D72" w:rsidRPr="00D01E55"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rPr>
                      <w:rFonts w:ascii="Times New Roman" w:eastAsia="Times New Roman" w:hAnsi="Times New Roman" w:cs="Times New Roman"/>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ind w:firstLine="19"/>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ind w:firstLine="20"/>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ind w:firstLine="54"/>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izmaiņas, salīdzinot ar kārtējo (n) gadu</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izmaiņas, salīdzinot ar kārtējo (n) gadu</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4</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6</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xml:space="preserve">1.1. valsts pamatbudžets, tai skaitā ieņēmumi no maksas </w:t>
                  </w:r>
                  <w:r w:rsidRPr="00D01E55">
                    <w:rPr>
                      <w:rFonts w:ascii="Times New Roman" w:eastAsia="Times New Roman" w:hAnsi="Times New Roman" w:cs="Times New Roman"/>
                      <w:sz w:val="24"/>
                      <w:szCs w:val="24"/>
                      <w:lang w:eastAsia="lv-LV"/>
                    </w:rPr>
                    <w:lastRenderedPageBreak/>
                    <w:t>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vMerge w:val="restar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jc w:val="cente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4643CE">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c>
                <w:tcPr>
                  <w:tcW w:w="6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w:t>
                  </w:r>
                </w:p>
              </w:tc>
            </w:tr>
            <w:tr w:rsidR="00D56D72" w:rsidRPr="00D01E55" w:rsidTr="00335990">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rPr>
                      <w:rFonts w:ascii="Times New Roman" w:eastAsia="Times New Roman" w:hAnsi="Times New Roman" w:cs="Times New Roman"/>
                      <w:sz w:val="24"/>
                      <w:szCs w:val="24"/>
                      <w:lang w:eastAsia="lv-LV"/>
                    </w:rPr>
                  </w:pPr>
                </w:p>
              </w:tc>
            </w:tr>
            <w:tr w:rsidR="00D56D72" w:rsidRPr="00D01E55" w:rsidTr="00335990">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rPr>
                      <w:rFonts w:ascii="Times New Roman" w:eastAsia="Times New Roman" w:hAnsi="Times New Roman" w:cs="Times New Roman"/>
                      <w:sz w:val="24"/>
                      <w:szCs w:val="24"/>
                      <w:lang w:eastAsia="lv-LV"/>
                    </w:rPr>
                  </w:pPr>
                </w:p>
              </w:tc>
            </w:tr>
            <w:tr w:rsidR="00D56D72" w:rsidRPr="00D01E55" w:rsidTr="00335990">
              <w:tc>
                <w:tcPr>
                  <w:tcW w:w="1700" w:type="pct"/>
                  <w:tcBorders>
                    <w:top w:val="outset" w:sz="6" w:space="0" w:color="414142"/>
                    <w:left w:val="outset" w:sz="6" w:space="0" w:color="414142"/>
                    <w:bottom w:val="outset" w:sz="6" w:space="0" w:color="414142"/>
                    <w:right w:val="outset" w:sz="6" w:space="0" w:color="414142"/>
                  </w:tcBorders>
                  <w:hideMark/>
                </w:tcPr>
                <w:p w:rsidR="00D76089" w:rsidRPr="00D01E55" w:rsidRDefault="00D76089">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D76089" w:rsidRPr="00D01E55" w:rsidRDefault="00D76089">
                  <w:pPr>
                    <w:spacing w:after="0" w:line="240" w:lineRule="auto"/>
                    <w:rPr>
                      <w:rFonts w:ascii="Times New Roman" w:eastAsia="Times New Roman" w:hAnsi="Times New Roman" w:cs="Times New Roman"/>
                      <w:sz w:val="24"/>
                      <w:szCs w:val="24"/>
                      <w:lang w:eastAsia="lv-LV"/>
                    </w:rPr>
                  </w:pPr>
                </w:p>
              </w:tc>
            </w:tr>
            <w:tr w:rsidR="00443B20" w:rsidRPr="00D01E55" w:rsidTr="00335990">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443B20" w:rsidRPr="00D01E55" w:rsidRDefault="00443B20">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43B20" w:rsidRPr="00FF4EA4" w:rsidRDefault="00282E29">
                  <w:pPr>
                    <w:spacing w:after="0" w:line="240" w:lineRule="auto"/>
                    <w:jc w:val="both"/>
                    <w:rPr>
                      <w:rFonts w:ascii="Times New Roman" w:eastAsia="Times New Roman" w:hAnsi="Times New Roman"/>
                      <w:sz w:val="24"/>
                      <w:szCs w:val="24"/>
                      <w:lang w:eastAsia="lv-LV"/>
                    </w:rPr>
                  </w:pPr>
                  <w:r>
                    <w:rPr>
                      <w:rFonts w:ascii="Times New Roman" w:hAnsi="Times New Roman"/>
                      <w:sz w:val="24"/>
                      <w:szCs w:val="24"/>
                    </w:rPr>
                    <w:t>P</w:t>
                  </w:r>
                  <w:r w:rsidR="00443B20" w:rsidRPr="00FF4EA4">
                    <w:rPr>
                      <w:rFonts w:ascii="Times New Roman" w:hAnsi="Times New Roman"/>
                      <w:sz w:val="24"/>
                      <w:szCs w:val="24"/>
                    </w:rPr>
                    <w:t>rojektā iekļauto normu īstenošana tiks nodrošināta piešķirto valsts budžeta līdzekļu ietvaros.</w:t>
                  </w:r>
                </w:p>
              </w:tc>
            </w:tr>
          </w:tbl>
          <w:p w:rsidR="00310628" w:rsidRDefault="00310628">
            <w:pPr>
              <w:spacing w:after="0" w:line="240" w:lineRule="auto"/>
              <w:ind w:firstLine="300"/>
              <w:jc w:val="center"/>
              <w:rPr>
                <w:rFonts w:ascii="Times New Roman" w:eastAsia="Times New Roman" w:hAnsi="Times New Roman" w:cs="Times New Roman"/>
                <w:b/>
                <w:bCs/>
                <w:sz w:val="24"/>
                <w:szCs w:val="24"/>
                <w:lang w:eastAsia="lv-LV"/>
              </w:rPr>
            </w:pPr>
          </w:p>
          <w:tbl>
            <w:tblPr>
              <w:tblW w:w="9041"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0"/>
              <w:gridCol w:w="2638"/>
              <w:gridCol w:w="5963"/>
            </w:tblGrid>
            <w:tr w:rsidR="00C01B28" w:rsidRPr="00D01E55" w:rsidTr="00576DF7">
              <w:trPr>
                <w:trHeight w:val="20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54607" w:rsidRPr="00D01E55" w:rsidRDefault="00C01B28">
                  <w:pPr>
                    <w:spacing w:after="0" w:line="240" w:lineRule="auto"/>
                    <w:ind w:firstLine="300"/>
                    <w:jc w:val="center"/>
                    <w:rPr>
                      <w:rFonts w:ascii="Times New Roman" w:eastAsia="Times New Roman" w:hAnsi="Times New Roman" w:cs="Times New Roman"/>
                      <w:b/>
                      <w:bCs/>
                      <w:color w:val="414142"/>
                      <w:sz w:val="24"/>
                      <w:szCs w:val="24"/>
                      <w:lang w:eastAsia="lv-LV"/>
                    </w:rPr>
                  </w:pPr>
                  <w:r w:rsidRPr="00D01E55">
                    <w:rPr>
                      <w:rFonts w:ascii="Times New Roman" w:eastAsia="Times New Roman" w:hAnsi="Times New Roman" w:cs="Times New Roman"/>
                      <w:b/>
                      <w:bCs/>
                      <w:sz w:val="24"/>
                      <w:szCs w:val="24"/>
                      <w:lang w:eastAsia="lv-LV"/>
                    </w:rPr>
                    <w:t>VI. Sabiedrības līdzdalība un komunikācijas aktivitātes</w:t>
                  </w:r>
                </w:p>
              </w:tc>
            </w:tr>
            <w:tr w:rsidR="00C01B28" w:rsidRPr="00D01E55" w:rsidTr="00B477AB">
              <w:trPr>
                <w:trHeight w:val="539"/>
              </w:trPr>
              <w:tc>
                <w:tcPr>
                  <w:tcW w:w="243"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pPr>
                    <w:spacing w:after="0" w:line="240" w:lineRule="auto"/>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1.</w:t>
                  </w:r>
                </w:p>
              </w:tc>
              <w:tc>
                <w:tcPr>
                  <w:tcW w:w="1459"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Plānotās sabiedrības līdzdalības un komunikācijas aktivitātes saistībā ar projektu</w:t>
                  </w:r>
                </w:p>
              </w:tc>
              <w:tc>
                <w:tcPr>
                  <w:tcW w:w="3298" w:type="pct"/>
                  <w:tcBorders>
                    <w:top w:val="outset" w:sz="6" w:space="0" w:color="414142"/>
                    <w:left w:val="outset" w:sz="6" w:space="0" w:color="414142"/>
                    <w:bottom w:val="outset" w:sz="6" w:space="0" w:color="414142"/>
                    <w:right w:val="outset" w:sz="6" w:space="0" w:color="414142"/>
                  </w:tcBorders>
                  <w:hideMark/>
                </w:tcPr>
                <w:p w:rsidR="00E14ACF" w:rsidRPr="00137826" w:rsidRDefault="00137826">
                  <w:pPr>
                    <w:spacing w:after="0" w:line="240" w:lineRule="auto"/>
                    <w:ind w:firstLine="415"/>
                    <w:jc w:val="both"/>
                    <w:rPr>
                      <w:rFonts w:ascii="Times New Roman" w:eastAsia="Times New Roman" w:hAnsi="Times New Roman" w:cs="Times New Roman"/>
                      <w:sz w:val="24"/>
                      <w:szCs w:val="24"/>
                      <w:lang w:eastAsia="lv-LV"/>
                    </w:rPr>
                  </w:pPr>
                  <w:r>
                    <w:rPr>
                      <w:rFonts w:ascii="Times New Roman" w:hAnsi="Times New Roman" w:cs="Times New Roman"/>
                      <w:sz w:val="24"/>
                      <w:szCs w:val="24"/>
                    </w:rPr>
                    <w:t>Ņemot vērā, ka p</w:t>
                  </w:r>
                  <w:r w:rsidRPr="00137826">
                    <w:rPr>
                      <w:rFonts w:ascii="Times New Roman" w:hAnsi="Times New Roman" w:cs="Times New Roman"/>
                      <w:sz w:val="24"/>
                      <w:szCs w:val="24"/>
                    </w:rPr>
                    <w:t xml:space="preserve">rojekts būtiski </w:t>
                  </w:r>
                  <w:r>
                    <w:rPr>
                      <w:rFonts w:ascii="Times New Roman" w:hAnsi="Times New Roman" w:cs="Times New Roman"/>
                      <w:sz w:val="24"/>
                      <w:szCs w:val="24"/>
                    </w:rPr>
                    <w:t>ne</w:t>
                  </w:r>
                  <w:r w:rsidRPr="00137826">
                    <w:rPr>
                      <w:rFonts w:ascii="Times New Roman" w:hAnsi="Times New Roman" w:cs="Times New Roman"/>
                      <w:sz w:val="24"/>
                      <w:szCs w:val="24"/>
                    </w:rPr>
                    <w:t xml:space="preserve">maina esošo </w:t>
                  </w:r>
                  <w:r>
                    <w:rPr>
                      <w:rFonts w:ascii="Times New Roman" w:hAnsi="Times New Roman" w:cs="Times New Roman"/>
                      <w:sz w:val="24"/>
                      <w:szCs w:val="24"/>
                    </w:rPr>
                    <w:t xml:space="preserve">tiesisko </w:t>
                  </w:r>
                  <w:r w:rsidRPr="00137826">
                    <w:rPr>
                      <w:rFonts w:ascii="Times New Roman" w:hAnsi="Times New Roman" w:cs="Times New Roman"/>
                      <w:sz w:val="24"/>
                      <w:szCs w:val="24"/>
                    </w:rPr>
                    <w:t>regulējumu</w:t>
                  </w:r>
                  <w:r>
                    <w:rPr>
                      <w:rFonts w:ascii="Times New Roman" w:hAnsi="Times New Roman" w:cs="Times New Roman"/>
                      <w:sz w:val="24"/>
                      <w:szCs w:val="24"/>
                    </w:rPr>
                    <w:t xml:space="preserve"> </w:t>
                  </w:r>
                  <w:r w:rsidR="00282E29">
                    <w:rPr>
                      <w:rFonts w:ascii="Times New Roman" w:hAnsi="Times New Roman" w:cs="Times New Roman"/>
                      <w:sz w:val="24"/>
                      <w:szCs w:val="24"/>
                    </w:rPr>
                    <w:t>ēku būvniecības jomā</w:t>
                  </w:r>
                  <w:r>
                    <w:rPr>
                      <w:rFonts w:ascii="Times New Roman" w:hAnsi="Times New Roman" w:cs="Times New Roman"/>
                      <w:sz w:val="24"/>
                      <w:szCs w:val="24"/>
                    </w:rPr>
                    <w:t xml:space="preserve">, </w:t>
                  </w:r>
                  <w:r w:rsidR="00E14ACF">
                    <w:rPr>
                      <w:rFonts w:ascii="Times New Roman" w:hAnsi="Times New Roman" w:cs="Times New Roman"/>
                      <w:sz w:val="24"/>
                      <w:szCs w:val="24"/>
                    </w:rPr>
                    <w:t xml:space="preserve">bet precizē tikai atsevišķas </w:t>
                  </w:r>
                  <w:r w:rsidR="00895B95" w:rsidRPr="00895B95">
                    <w:rPr>
                      <w:rFonts w:ascii="Times New Roman" w:hAnsi="Times New Roman" w:cs="Times New Roman"/>
                      <w:sz w:val="24"/>
                      <w:szCs w:val="24"/>
                      <w:lang w:eastAsia="lv-LV"/>
                    </w:rPr>
                    <w:t>Ministru kabineta 2014.</w:t>
                  </w:r>
                  <w:r w:rsidR="00C70D99">
                    <w:rPr>
                      <w:rFonts w:ascii="Times New Roman" w:hAnsi="Times New Roman" w:cs="Times New Roman"/>
                      <w:sz w:val="24"/>
                      <w:szCs w:val="24"/>
                      <w:lang w:eastAsia="lv-LV"/>
                    </w:rPr>
                    <w:t> </w:t>
                  </w:r>
                  <w:r w:rsidR="00895B95" w:rsidRPr="00895B95">
                    <w:rPr>
                      <w:rFonts w:ascii="Times New Roman" w:hAnsi="Times New Roman" w:cs="Times New Roman"/>
                      <w:sz w:val="24"/>
                      <w:szCs w:val="24"/>
                      <w:lang w:eastAsia="lv-LV"/>
                    </w:rPr>
                    <w:t>gada 2.</w:t>
                  </w:r>
                  <w:r w:rsidR="00C70D99">
                    <w:rPr>
                      <w:rFonts w:ascii="Times New Roman" w:hAnsi="Times New Roman" w:cs="Times New Roman"/>
                      <w:sz w:val="24"/>
                      <w:szCs w:val="24"/>
                      <w:lang w:eastAsia="lv-LV"/>
                    </w:rPr>
                    <w:t> </w:t>
                  </w:r>
                  <w:r w:rsidR="00895B95" w:rsidRPr="00895B95">
                    <w:rPr>
                      <w:rFonts w:ascii="Times New Roman" w:hAnsi="Times New Roman" w:cs="Times New Roman"/>
                      <w:sz w:val="24"/>
                      <w:szCs w:val="24"/>
                      <w:lang w:eastAsia="lv-LV"/>
                    </w:rPr>
                    <w:t>septembra noteikum</w:t>
                  </w:r>
                  <w:r w:rsidR="00895B95">
                    <w:rPr>
                      <w:rFonts w:ascii="Times New Roman" w:hAnsi="Times New Roman" w:cs="Times New Roman"/>
                      <w:sz w:val="24"/>
                      <w:szCs w:val="24"/>
                      <w:lang w:eastAsia="lv-LV"/>
                    </w:rPr>
                    <w:t>u</w:t>
                  </w:r>
                  <w:r w:rsidR="00895B95" w:rsidRPr="00895B95">
                    <w:rPr>
                      <w:rFonts w:ascii="Times New Roman" w:hAnsi="Times New Roman" w:cs="Times New Roman"/>
                      <w:sz w:val="24"/>
                      <w:szCs w:val="24"/>
                      <w:lang w:eastAsia="lv-LV"/>
                    </w:rPr>
                    <w:t xml:space="preserve"> Nr.</w:t>
                  </w:r>
                  <w:r w:rsidR="00C70D99">
                    <w:rPr>
                      <w:rFonts w:ascii="Times New Roman" w:hAnsi="Times New Roman" w:cs="Times New Roman"/>
                      <w:sz w:val="24"/>
                      <w:szCs w:val="24"/>
                      <w:lang w:eastAsia="lv-LV"/>
                    </w:rPr>
                    <w:t> </w:t>
                  </w:r>
                  <w:r w:rsidR="00895B95" w:rsidRPr="00895B95">
                    <w:rPr>
                      <w:rFonts w:ascii="Times New Roman" w:hAnsi="Times New Roman" w:cs="Times New Roman"/>
                      <w:sz w:val="24"/>
                      <w:szCs w:val="24"/>
                      <w:lang w:eastAsia="lv-LV"/>
                    </w:rPr>
                    <w:t xml:space="preserve">529 “Ēku būvnoteikumi” </w:t>
                  </w:r>
                  <w:r w:rsidR="00E14ACF">
                    <w:rPr>
                      <w:rFonts w:ascii="Times New Roman" w:hAnsi="Times New Roman" w:cs="Times New Roman"/>
                      <w:sz w:val="24"/>
                      <w:szCs w:val="24"/>
                    </w:rPr>
                    <w:t>normas, tās saskaņojot ar grozījumiem Civillikumā, sa</w:t>
                  </w:r>
                  <w:r>
                    <w:rPr>
                      <w:rFonts w:ascii="Times New Roman" w:hAnsi="Times New Roman" w:cs="Times New Roman"/>
                      <w:sz w:val="24"/>
                      <w:szCs w:val="24"/>
                    </w:rPr>
                    <w:t xml:space="preserve">skaņā ar </w:t>
                  </w:r>
                  <w:r w:rsidRPr="00137826">
                    <w:rPr>
                      <w:rFonts w:ascii="Times New Roman" w:hAnsi="Times New Roman" w:cs="Times New Roman"/>
                      <w:sz w:val="24"/>
                      <w:szCs w:val="24"/>
                    </w:rPr>
                    <w:t>Ministru kabineta 2009.</w:t>
                  </w:r>
                  <w:r w:rsidR="00072483">
                    <w:rPr>
                      <w:rFonts w:ascii="Times New Roman" w:hAnsi="Times New Roman" w:cs="Times New Roman"/>
                      <w:sz w:val="24"/>
                      <w:szCs w:val="24"/>
                    </w:rPr>
                    <w:t> </w:t>
                  </w:r>
                  <w:r w:rsidRPr="00137826">
                    <w:rPr>
                      <w:rFonts w:ascii="Times New Roman" w:hAnsi="Times New Roman" w:cs="Times New Roman"/>
                      <w:sz w:val="24"/>
                      <w:szCs w:val="24"/>
                    </w:rPr>
                    <w:t>gada 25.</w:t>
                  </w:r>
                  <w:r w:rsidR="00072483">
                    <w:rPr>
                      <w:rFonts w:ascii="Times New Roman" w:hAnsi="Times New Roman" w:cs="Times New Roman"/>
                      <w:sz w:val="24"/>
                      <w:szCs w:val="24"/>
                    </w:rPr>
                    <w:t> </w:t>
                  </w:r>
                  <w:r w:rsidRPr="00137826">
                    <w:rPr>
                      <w:rFonts w:ascii="Times New Roman" w:hAnsi="Times New Roman" w:cs="Times New Roman"/>
                      <w:sz w:val="24"/>
                      <w:szCs w:val="24"/>
                    </w:rPr>
                    <w:t>augusta noteikum</w:t>
                  </w:r>
                  <w:r>
                    <w:rPr>
                      <w:rFonts w:ascii="Times New Roman" w:hAnsi="Times New Roman" w:cs="Times New Roman"/>
                      <w:sz w:val="24"/>
                      <w:szCs w:val="24"/>
                    </w:rPr>
                    <w:t>u</w:t>
                  </w:r>
                  <w:r w:rsidRPr="00137826">
                    <w:rPr>
                      <w:rFonts w:ascii="Times New Roman" w:hAnsi="Times New Roman" w:cs="Times New Roman"/>
                      <w:sz w:val="24"/>
                      <w:szCs w:val="24"/>
                    </w:rPr>
                    <w:t xml:space="preserve"> Nr.</w:t>
                  </w:r>
                  <w:r w:rsidR="00072483">
                    <w:rPr>
                      <w:rFonts w:ascii="Times New Roman" w:hAnsi="Times New Roman" w:cs="Times New Roman"/>
                      <w:sz w:val="24"/>
                      <w:szCs w:val="24"/>
                    </w:rPr>
                    <w:t> </w:t>
                  </w:r>
                  <w:r w:rsidRPr="00137826">
                    <w:rPr>
                      <w:rFonts w:ascii="Times New Roman" w:hAnsi="Times New Roman" w:cs="Times New Roman"/>
                      <w:sz w:val="24"/>
                      <w:szCs w:val="24"/>
                    </w:rPr>
                    <w:t xml:space="preserve">970 </w:t>
                  </w:r>
                  <w:r w:rsidR="00DF6C7D">
                    <w:rPr>
                      <w:rFonts w:ascii="Times New Roman" w:hAnsi="Times New Roman" w:cs="Times New Roman"/>
                      <w:sz w:val="24"/>
                      <w:szCs w:val="24"/>
                    </w:rPr>
                    <w:t>“</w:t>
                  </w:r>
                  <w:r w:rsidRPr="00137826">
                    <w:rPr>
                      <w:rFonts w:ascii="Times New Roman" w:hAnsi="Times New Roman" w:cs="Times New Roman"/>
                      <w:sz w:val="24"/>
                      <w:szCs w:val="24"/>
                    </w:rPr>
                    <w:t>Sabiedrības līdzdalības kārtība attīstības plānošanas procesā” 5.</w:t>
                  </w:r>
                  <w:r w:rsidR="00072483">
                    <w:rPr>
                      <w:rFonts w:ascii="Times New Roman" w:hAnsi="Times New Roman" w:cs="Times New Roman"/>
                      <w:sz w:val="24"/>
                      <w:szCs w:val="24"/>
                    </w:rPr>
                    <w:t> </w:t>
                  </w:r>
                  <w:r>
                    <w:rPr>
                      <w:rFonts w:ascii="Times New Roman" w:hAnsi="Times New Roman" w:cs="Times New Roman"/>
                      <w:sz w:val="24"/>
                      <w:szCs w:val="24"/>
                    </w:rPr>
                    <w:t>p</w:t>
                  </w:r>
                  <w:r w:rsidRPr="00137826">
                    <w:rPr>
                      <w:rFonts w:ascii="Times New Roman" w:hAnsi="Times New Roman" w:cs="Times New Roman"/>
                      <w:sz w:val="24"/>
                      <w:szCs w:val="24"/>
                    </w:rPr>
                    <w:t>unktu</w:t>
                  </w:r>
                  <w:r>
                    <w:rPr>
                      <w:rFonts w:ascii="Times New Roman" w:hAnsi="Times New Roman" w:cs="Times New Roman"/>
                      <w:sz w:val="24"/>
                      <w:szCs w:val="24"/>
                    </w:rPr>
                    <w:t xml:space="preserve"> sabiedrības</w:t>
                  </w:r>
                  <w:r w:rsidR="00E14ACF">
                    <w:rPr>
                      <w:rFonts w:ascii="Times New Roman" w:hAnsi="Times New Roman" w:cs="Times New Roman"/>
                      <w:sz w:val="24"/>
                      <w:szCs w:val="24"/>
                    </w:rPr>
                    <w:t xml:space="preserve"> papildu</w:t>
                  </w:r>
                  <w:r>
                    <w:rPr>
                      <w:rFonts w:ascii="Times New Roman" w:hAnsi="Times New Roman" w:cs="Times New Roman"/>
                      <w:sz w:val="24"/>
                      <w:szCs w:val="24"/>
                    </w:rPr>
                    <w:t xml:space="preserve"> līdzdalība projekta izstrādē nav nepieciešama.</w:t>
                  </w:r>
                </w:p>
              </w:tc>
            </w:tr>
            <w:tr w:rsidR="00C01B28" w:rsidRPr="00D01E55" w:rsidTr="00B477AB">
              <w:trPr>
                <w:trHeight w:val="329"/>
              </w:trPr>
              <w:tc>
                <w:tcPr>
                  <w:tcW w:w="243"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pPr>
                    <w:spacing w:after="0" w:line="240" w:lineRule="auto"/>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lastRenderedPageBreak/>
                    <w:t>2.</w:t>
                  </w:r>
                </w:p>
              </w:tc>
              <w:tc>
                <w:tcPr>
                  <w:tcW w:w="1459"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Sabiedrības līdzdalība projekta izstrādē</w:t>
                  </w:r>
                </w:p>
              </w:tc>
              <w:tc>
                <w:tcPr>
                  <w:tcW w:w="3298" w:type="pct"/>
                  <w:tcBorders>
                    <w:top w:val="outset" w:sz="6" w:space="0" w:color="414142"/>
                    <w:left w:val="outset" w:sz="6" w:space="0" w:color="414142"/>
                    <w:bottom w:val="outset" w:sz="6" w:space="0" w:color="414142"/>
                    <w:right w:val="outset" w:sz="6" w:space="0" w:color="414142"/>
                  </w:tcBorders>
                  <w:hideMark/>
                </w:tcPr>
                <w:p w:rsidR="00C01B28" w:rsidRPr="00D07866" w:rsidRDefault="00D07866">
                  <w:pPr>
                    <w:spacing w:after="0" w:line="240" w:lineRule="auto"/>
                    <w:ind w:firstLine="415"/>
                    <w:jc w:val="both"/>
                    <w:rPr>
                      <w:rFonts w:ascii="Times New Roman" w:hAnsi="Times New Roman" w:cs="Times New Roman"/>
                      <w:sz w:val="24"/>
                      <w:szCs w:val="24"/>
                    </w:rPr>
                  </w:pPr>
                  <w:r w:rsidRPr="00D07866">
                    <w:rPr>
                      <w:rFonts w:ascii="Times New Roman" w:hAnsi="Times New Roman" w:cs="Times New Roman"/>
                      <w:sz w:val="24"/>
                      <w:szCs w:val="24"/>
                    </w:rPr>
                    <w:t>Nav.</w:t>
                  </w:r>
                </w:p>
              </w:tc>
            </w:tr>
            <w:tr w:rsidR="00C01B28" w:rsidRPr="00D01E55" w:rsidTr="00B477AB">
              <w:trPr>
                <w:trHeight w:val="464"/>
              </w:trPr>
              <w:tc>
                <w:tcPr>
                  <w:tcW w:w="243"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pPr>
                    <w:spacing w:after="0" w:line="240" w:lineRule="auto"/>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3.</w:t>
                  </w:r>
                </w:p>
              </w:tc>
              <w:tc>
                <w:tcPr>
                  <w:tcW w:w="1459" w:type="pct"/>
                  <w:tcBorders>
                    <w:top w:val="outset" w:sz="6" w:space="0" w:color="414142"/>
                    <w:left w:val="outset" w:sz="6" w:space="0" w:color="414142"/>
                    <w:bottom w:val="outset" w:sz="6" w:space="0" w:color="414142"/>
                    <w:right w:val="outset" w:sz="6" w:space="0" w:color="414142"/>
                  </w:tcBorders>
                  <w:hideMark/>
                </w:tcPr>
                <w:p w:rsidR="00C01B28" w:rsidRPr="00D01E55" w:rsidRDefault="00C01B28">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Sabiedrības līdzdalības rezultāti</w:t>
                  </w:r>
                </w:p>
              </w:tc>
              <w:tc>
                <w:tcPr>
                  <w:tcW w:w="3298" w:type="pct"/>
                  <w:tcBorders>
                    <w:top w:val="outset" w:sz="6" w:space="0" w:color="414142"/>
                    <w:left w:val="outset" w:sz="6" w:space="0" w:color="414142"/>
                    <w:bottom w:val="outset" w:sz="6" w:space="0" w:color="414142"/>
                    <w:right w:val="outset" w:sz="6" w:space="0" w:color="414142"/>
                  </w:tcBorders>
                  <w:hideMark/>
                </w:tcPr>
                <w:p w:rsidR="00C01B28" w:rsidRPr="00D01E55" w:rsidRDefault="002B0DF8">
                  <w:pPr>
                    <w:spacing w:after="0" w:line="240" w:lineRule="auto"/>
                    <w:ind w:firstLine="415"/>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Nav.</w:t>
                  </w:r>
                </w:p>
              </w:tc>
            </w:tr>
            <w:tr w:rsidR="00B477AB" w:rsidRPr="00D01E55" w:rsidTr="00B477AB">
              <w:trPr>
                <w:trHeight w:val="275"/>
              </w:trPr>
              <w:tc>
                <w:tcPr>
                  <w:tcW w:w="243" w:type="pct"/>
                  <w:tcBorders>
                    <w:top w:val="outset" w:sz="6" w:space="0" w:color="414142"/>
                    <w:left w:val="outset" w:sz="6" w:space="0" w:color="414142"/>
                    <w:bottom w:val="single" w:sz="4" w:space="0" w:color="auto"/>
                    <w:right w:val="outset" w:sz="6" w:space="0" w:color="414142"/>
                  </w:tcBorders>
                  <w:hideMark/>
                </w:tcPr>
                <w:p w:rsidR="00B477AB" w:rsidRPr="00D01E55" w:rsidRDefault="00B477AB">
                  <w:pPr>
                    <w:spacing w:after="0" w:line="240" w:lineRule="auto"/>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4.</w:t>
                  </w:r>
                </w:p>
              </w:tc>
              <w:tc>
                <w:tcPr>
                  <w:tcW w:w="1459" w:type="pct"/>
                  <w:tcBorders>
                    <w:top w:val="outset" w:sz="6" w:space="0" w:color="414142"/>
                    <w:left w:val="outset" w:sz="6" w:space="0" w:color="414142"/>
                    <w:bottom w:val="single" w:sz="4" w:space="0" w:color="auto"/>
                    <w:right w:val="outset" w:sz="6" w:space="0" w:color="414142"/>
                  </w:tcBorders>
                  <w:hideMark/>
                </w:tcPr>
                <w:p w:rsidR="00B477AB" w:rsidRPr="00D01E55" w:rsidRDefault="00B477AB">
                  <w:pPr>
                    <w:spacing w:after="0" w:line="240" w:lineRule="auto"/>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Cita informācija</w:t>
                  </w:r>
                </w:p>
              </w:tc>
              <w:tc>
                <w:tcPr>
                  <w:tcW w:w="3298" w:type="pct"/>
                  <w:tcBorders>
                    <w:top w:val="outset" w:sz="6" w:space="0" w:color="414142"/>
                    <w:left w:val="outset" w:sz="6" w:space="0" w:color="414142"/>
                    <w:bottom w:val="outset" w:sz="6" w:space="0" w:color="414142"/>
                    <w:right w:val="outset" w:sz="6" w:space="0" w:color="414142"/>
                  </w:tcBorders>
                  <w:hideMark/>
                </w:tcPr>
                <w:p w:rsidR="00B477AB" w:rsidRPr="00D01E55" w:rsidRDefault="00B477AB">
                  <w:pPr>
                    <w:spacing w:after="0" w:line="240" w:lineRule="auto"/>
                    <w:ind w:firstLine="415"/>
                    <w:jc w:val="both"/>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Nav.</w:t>
                  </w:r>
                </w:p>
              </w:tc>
            </w:tr>
            <w:tr w:rsidR="00B477AB" w:rsidRPr="001D6F2C" w:rsidTr="00B477AB">
              <w:trPr>
                <w:trHeight w:val="275"/>
              </w:trPr>
              <w:tc>
                <w:tcPr>
                  <w:tcW w:w="5000" w:type="pct"/>
                  <w:gridSpan w:val="3"/>
                  <w:tcBorders>
                    <w:top w:val="single" w:sz="4" w:space="0" w:color="auto"/>
                    <w:left w:val="nil"/>
                    <w:right w:val="nil"/>
                  </w:tcBorders>
                </w:tcPr>
                <w:p w:rsidR="001D6F2C" w:rsidRPr="001D6F2C" w:rsidRDefault="001D6F2C">
                  <w:pPr>
                    <w:spacing w:after="0" w:line="240" w:lineRule="auto"/>
                    <w:jc w:val="both"/>
                    <w:rPr>
                      <w:rFonts w:ascii="Times New Roman" w:eastAsia="Times New Roman" w:hAnsi="Times New Roman" w:cs="Times New Roman"/>
                      <w:i/>
                      <w:sz w:val="24"/>
                      <w:szCs w:val="24"/>
                      <w:lang w:eastAsia="lv-LV"/>
                    </w:rPr>
                  </w:pPr>
                </w:p>
              </w:tc>
            </w:tr>
          </w:tbl>
          <w:tbl>
            <w:tblPr>
              <w:tblStyle w:val="Reatabula"/>
              <w:tblW w:w="9037" w:type="dxa"/>
              <w:tblCellMar>
                <w:left w:w="0" w:type="dxa"/>
                <w:right w:w="0" w:type="dxa"/>
              </w:tblCellMar>
              <w:tblLook w:val="04A0" w:firstRow="1" w:lastRow="0" w:firstColumn="1" w:lastColumn="0" w:noHBand="0" w:noVBand="1"/>
            </w:tblPr>
            <w:tblGrid>
              <w:gridCol w:w="420"/>
              <w:gridCol w:w="3488"/>
              <w:gridCol w:w="5129"/>
            </w:tblGrid>
            <w:tr w:rsidR="002B0DF8" w:rsidRPr="00D01E55" w:rsidTr="001D6F2C">
              <w:tc>
                <w:tcPr>
                  <w:tcW w:w="9037" w:type="dxa"/>
                  <w:gridSpan w:val="3"/>
                </w:tcPr>
                <w:p w:rsidR="00954607" w:rsidRPr="00D01E55" w:rsidRDefault="002B0DF8">
                  <w:pPr>
                    <w:jc w:val="center"/>
                    <w:rPr>
                      <w:rFonts w:ascii="Times New Roman" w:hAnsi="Times New Roman" w:cs="Times New Roman"/>
                      <w:sz w:val="24"/>
                      <w:szCs w:val="24"/>
                    </w:rPr>
                  </w:pPr>
                  <w:r w:rsidRPr="00D01E55">
                    <w:rPr>
                      <w:rFonts w:ascii="Times New Roman" w:eastAsia="Times New Roman" w:hAnsi="Times New Roman" w:cs="Times New Roman"/>
                      <w:b/>
                      <w:bCs/>
                      <w:sz w:val="24"/>
                      <w:szCs w:val="24"/>
                      <w:lang w:eastAsia="lv-LV"/>
                    </w:rPr>
                    <w:t>VII. Tiesību akta projekta izpildes nodrošināšana un tās ietekme uz institūcijām</w:t>
                  </w:r>
                </w:p>
              </w:tc>
            </w:tr>
            <w:tr w:rsidR="002B0DF8" w:rsidRPr="00D01E55" w:rsidTr="001D6F2C">
              <w:tc>
                <w:tcPr>
                  <w:tcW w:w="420" w:type="dxa"/>
                </w:tcPr>
                <w:p w:rsidR="002B0DF8" w:rsidRPr="00D01E55" w:rsidRDefault="002B0DF8">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1.</w:t>
                  </w:r>
                </w:p>
              </w:tc>
              <w:tc>
                <w:tcPr>
                  <w:tcW w:w="3488" w:type="dxa"/>
                </w:tcPr>
                <w:p w:rsidR="002B0DF8" w:rsidRPr="00D01E55" w:rsidRDefault="002B0DF8">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Projekta izpildē iesaistītās institūcijas</w:t>
                  </w:r>
                </w:p>
              </w:tc>
              <w:tc>
                <w:tcPr>
                  <w:tcW w:w="5129" w:type="dxa"/>
                </w:tcPr>
                <w:p w:rsidR="002B0DF8" w:rsidRPr="00D01E55" w:rsidRDefault="00895B95">
                  <w:pPr>
                    <w:ind w:firstLine="32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00BF7A55">
                    <w:rPr>
                      <w:rFonts w:ascii="Times New Roman" w:eastAsia="Times New Roman" w:hAnsi="Times New Roman" w:cs="Times New Roman"/>
                      <w:sz w:val="24"/>
                      <w:szCs w:val="24"/>
                      <w:lang w:eastAsia="lv-LV"/>
                    </w:rPr>
                    <w:t xml:space="preserve">rojekta izpildi nodrošinās </w:t>
                  </w:r>
                  <w:r w:rsidR="00E14ACF">
                    <w:rPr>
                      <w:rFonts w:ascii="Times New Roman" w:eastAsia="Times New Roman" w:hAnsi="Times New Roman" w:cs="Times New Roman"/>
                      <w:sz w:val="24"/>
                      <w:szCs w:val="24"/>
                      <w:lang w:eastAsia="lv-LV"/>
                    </w:rPr>
                    <w:t>p</w:t>
                  </w:r>
                  <w:r w:rsidR="002B0DF8" w:rsidRPr="00D01E55">
                    <w:rPr>
                      <w:rFonts w:ascii="Times New Roman" w:eastAsia="Times New Roman" w:hAnsi="Times New Roman" w:cs="Times New Roman"/>
                      <w:sz w:val="24"/>
                      <w:szCs w:val="24"/>
                      <w:lang w:eastAsia="lv-LV"/>
                    </w:rPr>
                    <w:t>ašvaldīb</w:t>
                  </w:r>
                  <w:r>
                    <w:rPr>
                      <w:rFonts w:ascii="Times New Roman" w:eastAsia="Times New Roman" w:hAnsi="Times New Roman" w:cs="Times New Roman"/>
                      <w:sz w:val="24"/>
                      <w:szCs w:val="24"/>
                      <w:lang w:eastAsia="lv-LV"/>
                    </w:rPr>
                    <w:t>u būvvaldes.</w:t>
                  </w:r>
                  <w:r w:rsidR="00E14ACF">
                    <w:rPr>
                      <w:rFonts w:ascii="Times New Roman" w:eastAsia="Times New Roman" w:hAnsi="Times New Roman" w:cs="Times New Roman"/>
                      <w:sz w:val="24"/>
                      <w:szCs w:val="24"/>
                      <w:lang w:eastAsia="lv-LV"/>
                    </w:rPr>
                    <w:t xml:space="preserve"> </w:t>
                  </w:r>
                </w:p>
              </w:tc>
            </w:tr>
            <w:tr w:rsidR="002B0DF8" w:rsidRPr="00D01E55" w:rsidTr="001D6F2C">
              <w:tc>
                <w:tcPr>
                  <w:tcW w:w="420" w:type="dxa"/>
                </w:tcPr>
                <w:p w:rsidR="002B0DF8" w:rsidRPr="00D01E55" w:rsidRDefault="002B0DF8">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2.</w:t>
                  </w:r>
                </w:p>
              </w:tc>
              <w:tc>
                <w:tcPr>
                  <w:tcW w:w="3488" w:type="dxa"/>
                </w:tcPr>
                <w:p w:rsidR="002B0DF8" w:rsidRPr="00D01E55" w:rsidRDefault="002B0DF8">
                  <w:pPr>
                    <w:rPr>
                      <w:rFonts w:ascii="Times New Roman" w:eastAsia="Times New Roman" w:hAnsi="Times New Roman" w:cs="Times New Roman"/>
                      <w:sz w:val="24"/>
                      <w:szCs w:val="24"/>
                      <w:lang w:eastAsia="lv-LV"/>
                    </w:rPr>
                  </w:pPr>
                  <w:r w:rsidRPr="00D01E55">
                    <w:rPr>
                      <w:rFonts w:ascii="Times New Roman" w:eastAsia="Times New Roman" w:hAnsi="Times New Roman" w:cs="Times New Roman"/>
                      <w:sz w:val="24"/>
                      <w:szCs w:val="24"/>
                      <w:lang w:eastAsia="lv-LV"/>
                    </w:rPr>
                    <w:t xml:space="preserve">Projekta izpildes ietekme uz pārvaldes funkcijām un institucionālo struktūru. </w:t>
                  </w:r>
                </w:p>
                <w:p w:rsidR="002B0DF8" w:rsidRPr="00D01E55" w:rsidRDefault="002B0DF8">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5129" w:type="dxa"/>
                </w:tcPr>
                <w:p w:rsidR="002B0DF8" w:rsidRPr="00D01E55" w:rsidRDefault="00895B95">
                  <w:pPr>
                    <w:ind w:firstLine="32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P</w:t>
                  </w:r>
                  <w:r w:rsidR="002B0DF8" w:rsidRPr="00D01E55">
                    <w:rPr>
                      <w:rFonts w:ascii="Times New Roman" w:eastAsia="Times New Roman" w:hAnsi="Times New Roman" w:cs="Times New Roman"/>
                      <w:sz w:val="24"/>
                      <w:szCs w:val="24"/>
                      <w:lang w:eastAsia="lv-LV"/>
                    </w:rPr>
                    <w:t>rojekta izpilde tiks nodrošināta pašvaldību līdzšinējo funkciju ietvaros. Jaunas institūcijas netiks veidotas.</w:t>
                  </w:r>
                </w:p>
              </w:tc>
            </w:tr>
            <w:tr w:rsidR="002B0DF8" w:rsidRPr="00D01E55" w:rsidTr="001D6F2C">
              <w:tc>
                <w:tcPr>
                  <w:tcW w:w="420" w:type="dxa"/>
                </w:tcPr>
                <w:p w:rsidR="002B0DF8" w:rsidRPr="00D01E55" w:rsidRDefault="002B0DF8">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3.</w:t>
                  </w:r>
                </w:p>
              </w:tc>
              <w:tc>
                <w:tcPr>
                  <w:tcW w:w="3488" w:type="dxa"/>
                </w:tcPr>
                <w:p w:rsidR="002B0DF8" w:rsidRPr="00D01E55" w:rsidRDefault="002B0DF8">
                  <w:pPr>
                    <w:rPr>
                      <w:rFonts w:ascii="Times New Roman" w:hAnsi="Times New Roman" w:cs="Times New Roman"/>
                      <w:sz w:val="24"/>
                      <w:szCs w:val="24"/>
                    </w:rPr>
                  </w:pPr>
                  <w:r w:rsidRPr="00D01E55">
                    <w:rPr>
                      <w:rFonts w:ascii="Times New Roman" w:eastAsia="Times New Roman" w:hAnsi="Times New Roman" w:cs="Times New Roman"/>
                      <w:sz w:val="24"/>
                      <w:szCs w:val="24"/>
                      <w:lang w:eastAsia="lv-LV"/>
                    </w:rPr>
                    <w:t>Cita informācija</w:t>
                  </w:r>
                </w:p>
              </w:tc>
              <w:tc>
                <w:tcPr>
                  <w:tcW w:w="5129" w:type="dxa"/>
                </w:tcPr>
                <w:p w:rsidR="002B0DF8" w:rsidRPr="00BF7A55" w:rsidRDefault="00E14ACF">
                  <w:pPr>
                    <w:ind w:firstLine="32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2B0DF8" w:rsidRDefault="002B0DF8">
            <w:pPr>
              <w:spacing w:after="0" w:line="240" w:lineRule="auto"/>
              <w:rPr>
                <w:rFonts w:ascii="Times New Roman" w:hAnsi="Times New Roman" w:cs="Times New Roman"/>
                <w:sz w:val="24"/>
                <w:szCs w:val="24"/>
              </w:rPr>
            </w:pPr>
          </w:p>
          <w:p w:rsidR="00895B95" w:rsidRDefault="00895B95">
            <w:pPr>
              <w:spacing w:after="0" w:line="240" w:lineRule="auto"/>
              <w:rPr>
                <w:rFonts w:ascii="Times New Roman" w:hAnsi="Times New Roman" w:cs="Times New Roman"/>
                <w:sz w:val="24"/>
                <w:szCs w:val="24"/>
              </w:rPr>
            </w:pPr>
            <w:r>
              <w:rPr>
                <w:rFonts w:ascii="Times New Roman" w:hAnsi="Times New Roman" w:cs="Times New Roman"/>
                <w:sz w:val="24"/>
                <w:szCs w:val="24"/>
              </w:rPr>
              <w:t>Anotācijas IV un V sadaļa – projekts šīs jomas neskar.</w:t>
            </w:r>
          </w:p>
          <w:p w:rsidR="00DF6C7D" w:rsidRDefault="00DF6C7D">
            <w:pPr>
              <w:spacing w:after="0" w:line="240" w:lineRule="auto"/>
              <w:rPr>
                <w:rFonts w:ascii="Times New Roman" w:hAnsi="Times New Roman" w:cs="Times New Roman"/>
                <w:sz w:val="24"/>
                <w:szCs w:val="24"/>
              </w:rPr>
            </w:pPr>
          </w:p>
          <w:p w:rsidR="0060549F" w:rsidRDefault="0060549F">
            <w:pPr>
              <w:spacing w:after="0" w:line="240" w:lineRule="auto"/>
              <w:rPr>
                <w:rFonts w:ascii="Times New Roman" w:hAnsi="Times New Roman" w:cs="Times New Roman"/>
                <w:sz w:val="24"/>
                <w:szCs w:val="24"/>
              </w:rPr>
            </w:pPr>
          </w:p>
          <w:p w:rsidR="00895B95" w:rsidRPr="00841557" w:rsidRDefault="00895B95">
            <w:pPr>
              <w:pStyle w:val="naisf"/>
              <w:spacing w:before="0" w:beforeAutospacing="0" w:after="0" w:afterAutospacing="0"/>
            </w:pPr>
            <w:r w:rsidRPr="00841557">
              <w:t>Iesniedzējs:</w:t>
            </w:r>
          </w:p>
          <w:p w:rsidR="00895B95" w:rsidRPr="00841557" w:rsidRDefault="00841557">
            <w:pPr>
              <w:pStyle w:val="naisf"/>
              <w:spacing w:before="0" w:beforeAutospacing="0" w:after="0" w:afterAutospacing="0"/>
            </w:pPr>
            <w:r w:rsidRPr="00841557">
              <w:t>t</w:t>
            </w:r>
            <w:r w:rsidR="00895B95" w:rsidRPr="00841557">
              <w:t xml:space="preserve">ieslietu ministrs </w:t>
            </w:r>
            <w:r w:rsidR="00895B95" w:rsidRPr="00841557">
              <w:tab/>
            </w:r>
            <w:r w:rsidR="00895B95" w:rsidRPr="00841557">
              <w:tab/>
            </w:r>
            <w:r w:rsidR="00895B95" w:rsidRPr="00841557">
              <w:tab/>
            </w:r>
            <w:r w:rsidR="0060549F" w:rsidRPr="00841557">
              <w:tab/>
            </w:r>
            <w:r w:rsidR="0060549F" w:rsidRPr="00841557">
              <w:tab/>
            </w:r>
            <w:r w:rsidR="0060549F" w:rsidRPr="00841557">
              <w:tab/>
            </w:r>
            <w:r w:rsidR="0060549F" w:rsidRPr="00841557">
              <w:tab/>
            </w:r>
            <w:r w:rsidR="0060549F" w:rsidRPr="00841557">
              <w:tab/>
            </w:r>
            <w:r w:rsidRPr="00841557">
              <w:t>Dzintars Rasnačs</w:t>
            </w:r>
          </w:p>
          <w:p w:rsidR="00B422B9" w:rsidRDefault="00B422B9">
            <w:pPr>
              <w:pStyle w:val="StyleRight"/>
              <w:tabs>
                <w:tab w:val="left" w:pos="7185"/>
              </w:tabs>
              <w:spacing w:after="0"/>
              <w:ind w:firstLine="0"/>
              <w:jc w:val="both"/>
              <w:rPr>
                <w:sz w:val="24"/>
                <w:szCs w:val="24"/>
              </w:rPr>
            </w:pPr>
          </w:p>
          <w:p w:rsidR="00B422B9" w:rsidRDefault="00B422B9">
            <w:pPr>
              <w:pStyle w:val="StyleRight"/>
              <w:tabs>
                <w:tab w:val="left" w:pos="7185"/>
              </w:tabs>
              <w:spacing w:after="0"/>
              <w:ind w:firstLine="0"/>
              <w:jc w:val="both"/>
              <w:rPr>
                <w:sz w:val="24"/>
                <w:szCs w:val="24"/>
              </w:rPr>
            </w:pPr>
          </w:p>
          <w:p w:rsidR="002B0DF8" w:rsidRPr="001452EC" w:rsidRDefault="00841557">
            <w:pPr>
              <w:pStyle w:val="StyleRight"/>
              <w:spacing w:after="0"/>
              <w:ind w:firstLine="0"/>
              <w:jc w:val="both"/>
              <w:rPr>
                <w:sz w:val="22"/>
                <w:szCs w:val="22"/>
              </w:rPr>
            </w:pPr>
            <w:r>
              <w:rPr>
                <w:sz w:val="22"/>
                <w:szCs w:val="22"/>
              </w:rPr>
              <w:t>08</w:t>
            </w:r>
            <w:r w:rsidR="002B0DF8" w:rsidRPr="001452EC">
              <w:rPr>
                <w:sz w:val="22"/>
                <w:szCs w:val="22"/>
              </w:rPr>
              <w:t>.</w:t>
            </w:r>
            <w:r w:rsidR="00895B95">
              <w:rPr>
                <w:sz w:val="22"/>
                <w:szCs w:val="22"/>
              </w:rPr>
              <w:t>0</w:t>
            </w:r>
            <w:r>
              <w:rPr>
                <w:sz w:val="22"/>
                <w:szCs w:val="22"/>
              </w:rPr>
              <w:t>9</w:t>
            </w:r>
            <w:r w:rsidR="002B0DF8" w:rsidRPr="001452EC">
              <w:rPr>
                <w:sz w:val="22"/>
                <w:szCs w:val="22"/>
              </w:rPr>
              <w:t>.201</w:t>
            </w:r>
            <w:r w:rsidR="00640584">
              <w:rPr>
                <w:sz w:val="22"/>
                <w:szCs w:val="22"/>
              </w:rPr>
              <w:t>6</w:t>
            </w:r>
            <w:r w:rsidR="002B0DF8" w:rsidRPr="001452EC">
              <w:rPr>
                <w:sz w:val="22"/>
                <w:szCs w:val="22"/>
              </w:rPr>
              <w:t xml:space="preserve">. </w:t>
            </w:r>
            <w:r>
              <w:rPr>
                <w:sz w:val="22"/>
                <w:szCs w:val="22"/>
              </w:rPr>
              <w:t>9</w:t>
            </w:r>
            <w:r w:rsidR="002B0DF8" w:rsidRPr="001452EC">
              <w:rPr>
                <w:sz w:val="22"/>
                <w:szCs w:val="22"/>
              </w:rPr>
              <w:t>:</w:t>
            </w:r>
            <w:r>
              <w:rPr>
                <w:sz w:val="22"/>
                <w:szCs w:val="22"/>
              </w:rPr>
              <w:t>2</w:t>
            </w:r>
            <w:r w:rsidR="00895B95">
              <w:rPr>
                <w:sz w:val="22"/>
                <w:szCs w:val="22"/>
              </w:rPr>
              <w:t>0</w:t>
            </w:r>
          </w:p>
          <w:p w:rsidR="00B617F9" w:rsidRPr="001452EC" w:rsidRDefault="00874BB8">
            <w:pPr>
              <w:pStyle w:val="StyleRight"/>
              <w:spacing w:after="0"/>
              <w:ind w:firstLine="0"/>
              <w:jc w:val="both"/>
              <w:rPr>
                <w:sz w:val="22"/>
                <w:szCs w:val="22"/>
              </w:rPr>
            </w:pPr>
            <w:r>
              <w:rPr>
                <w:sz w:val="22"/>
                <w:szCs w:val="22"/>
              </w:rPr>
              <w:t>12</w:t>
            </w:r>
            <w:r w:rsidR="00841557">
              <w:rPr>
                <w:sz w:val="22"/>
                <w:szCs w:val="22"/>
              </w:rPr>
              <w:t>38</w:t>
            </w:r>
          </w:p>
          <w:p w:rsidR="00A1244D" w:rsidRDefault="00A1244D">
            <w:pPr>
              <w:pStyle w:val="StyleRight"/>
              <w:spacing w:after="0"/>
              <w:ind w:firstLine="0"/>
              <w:jc w:val="both"/>
              <w:rPr>
                <w:sz w:val="22"/>
                <w:szCs w:val="22"/>
              </w:rPr>
            </w:pPr>
            <w:r>
              <w:rPr>
                <w:sz w:val="22"/>
                <w:szCs w:val="22"/>
              </w:rPr>
              <w:t>S.</w:t>
            </w:r>
            <w:r w:rsidR="000E6AF8" w:rsidRPr="001452EC">
              <w:rPr>
                <w:sz w:val="22"/>
                <w:szCs w:val="22"/>
              </w:rPr>
              <w:t>Rāgs</w:t>
            </w:r>
            <w:r w:rsidR="00B617F9" w:rsidRPr="001452EC">
              <w:rPr>
                <w:sz w:val="22"/>
                <w:szCs w:val="22"/>
              </w:rPr>
              <w:t xml:space="preserve"> </w:t>
            </w:r>
          </w:p>
          <w:p w:rsidR="002B0DF8" w:rsidRPr="00D01E55" w:rsidRDefault="00B617F9">
            <w:pPr>
              <w:pStyle w:val="StyleRight"/>
              <w:spacing w:after="0"/>
              <w:ind w:firstLine="0"/>
              <w:jc w:val="both"/>
              <w:rPr>
                <w:b/>
                <w:bCs/>
                <w:sz w:val="24"/>
                <w:szCs w:val="24"/>
                <w:lang w:eastAsia="lv-LV"/>
              </w:rPr>
            </w:pPr>
            <w:r w:rsidRPr="001452EC">
              <w:rPr>
                <w:sz w:val="22"/>
                <w:szCs w:val="22"/>
              </w:rPr>
              <w:t>67036</w:t>
            </w:r>
            <w:r w:rsidR="000E6AF8" w:rsidRPr="001452EC">
              <w:rPr>
                <w:sz w:val="22"/>
                <w:szCs w:val="22"/>
              </w:rPr>
              <w:t>974</w:t>
            </w:r>
            <w:r w:rsidR="00A1244D">
              <w:rPr>
                <w:sz w:val="22"/>
                <w:szCs w:val="22"/>
              </w:rPr>
              <w:t xml:space="preserve">, </w:t>
            </w:r>
            <w:r w:rsidR="007455E8">
              <w:rPr>
                <w:sz w:val="22"/>
                <w:szCs w:val="22"/>
              </w:rPr>
              <w:t>s</w:t>
            </w:r>
            <w:r w:rsidR="000E6AF8" w:rsidRPr="001452EC">
              <w:rPr>
                <w:sz w:val="22"/>
                <w:szCs w:val="22"/>
              </w:rPr>
              <w:t>andris</w:t>
            </w:r>
            <w:r w:rsidRPr="001452EC">
              <w:rPr>
                <w:sz w:val="22"/>
                <w:szCs w:val="22"/>
              </w:rPr>
              <w:t>.</w:t>
            </w:r>
            <w:r w:rsidR="007455E8">
              <w:rPr>
                <w:sz w:val="22"/>
                <w:szCs w:val="22"/>
              </w:rPr>
              <w:t>r</w:t>
            </w:r>
            <w:r w:rsidR="000E6AF8" w:rsidRPr="001452EC">
              <w:rPr>
                <w:sz w:val="22"/>
                <w:szCs w:val="22"/>
              </w:rPr>
              <w:t>ags</w:t>
            </w:r>
            <w:r w:rsidR="002B0DF8" w:rsidRPr="001452EC">
              <w:rPr>
                <w:sz w:val="22"/>
                <w:szCs w:val="22"/>
              </w:rPr>
              <w:t>@tm.gov.lv</w:t>
            </w:r>
          </w:p>
        </w:tc>
      </w:tr>
    </w:tbl>
    <w:p w:rsidR="004D15A9" w:rsidRPr="004C3B71" w:rsidRDefault="004D15A9">
      <w:pPr>
        <w:pStyle w:val="StyleRight"/>
        <w:spacing w:after="0"/>
        <w:ind w:firstLine="0"/>
        <w:jc w:val="both"/>
        <w:rPr>
          <w:sz w:val="22"/>
          <w:szCs w:val="22"/>
        </w:rPr>
      </w:pPr>
    </w:p>
    <w:sectPr w:rsidR="004D15A9" w:rsidRPr="004C3B71" w:rsidSect="004D15A9">
      <w:headerReference w:type="default" r:id="rId12"/>
      <w:footerReference w:type="default" r:id="rId13"/>
      <w:footerReference w:type="first" r:id="rId14"/>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826" w:rsidRDefault="00137826" w:rsidP="004D15A9">
      <w:pPr>
        <w:spacing w:after="0" w:line="240" w:lineRule="auto"/>
      </w:pPr>
      <w:r>
        <w:separator/>
      </w:r>
    </w:p>
  </w:endnote>
  <w:endnote w:type="continuationSeparator" w:id="0">
    <w:p w:rsidR="00137826" w:rsidRDefault="0013782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826" w:rsidRDefault="00C70D99" w:rsidP="00C70D99">
    <w:pPr>
      <w:spacing w:after="0" w:line="240" w:lineRule="auto"/>
      <w:jc w:val="both"/>
      <w:rPr>
        <w:rFonts w:ascii="Times New Roman" w:eastAsia="Times New Roman" w:hAnsi="Times New Roman" w:cs="Times New Roman"/>
        <w:b/>
        <w:bCs/>
        <w:color w:val="414142"/>
        <w:sz w:val="24"/>
        <w:szCs w:val="24"/>
        <w:lang w:eastAsia="lv-LV"/>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08</w:t>
    </w:r>
    <w:r w:rsidR="00841557">
      <w:rPr>
        <w:rFonts w:ascii="Times New Roman" w:hAnsi="Times New Roman" w:cs="Times New Roman"/>
        <w:color w:val="000000" w:themeColor="text1"/>
        <w:sz w:val="20"/>
        <w:szCs w:val="20"/>
      </w:rPr>
      <w:t>09</w:t>
    </w:r>
    <w:r>
      <w:rPr>
        <w:rFonts w:ascii="Times New Roman" w:hAnsi="Times New Roman" w:cs="Times New Roman"/>
        <w:color w:val="000000" w:themeColor="text1"/>
        <w:sz w:val="20"/>
        <w:szCs w:val="20"/>
      </w:rPr>
      <w:t>16</w:t>
    </w:r>
    <w:r w:rsidRPr="004D15A9">
      <w:rPr>
        <w:rFonts w:ascii="Times New Roman" w:hAnsi="Times New Roman" w:cs="Times New Roman"/>
        <w:color w:val="000000" w:themeColor="text1"/>
        <w:sz w:val="20"/>
        <w:szCs w:val="20"/>
      </w:rPr>
      <w:t>_</w:t>
    </w:r>
    <w:r w:rsidR="00841557">
      <w:rPr>
        <w:rFonts w:ascii="Times New Roman" w:hAnsi="Times New Roman" w:cs="Times New Roman"/>
        <w:color w:val="000000" w:themeColor="text1"/>
        <w:sz w:val="20"/>
        <w:szCs w:val="20"/>
      </w:rPr>
      <w:t>VSS-795</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Ministru kabineta </w:t>
    </w:r>
    <w:r w:rsidRPr="00895B95">
      <w:rPr>
        <w:rFonts w:ascii="Times New Roman" w:hAnsi="Times New Roman" w:cs="Times New Roman"/>
        <w:color w:val="000000" w:themeColor="text1"/>
        <w:sz w:val="20"/>
        <w:szCs w:val="20"/>
      </w:rPr>
      <w:t xml:space="preserve">noteikumu projekta “Grozījumi </w:t>
    </w:r>
    <w:r w:rsidRPr="00895B95">
      <w:rPr>
        <w:rFonts w:ascii="Times New Roman" w:hAnsi="Times New Roman" w:cs="Times New Roman"/>
        <w:sz w:val="20"/>
        <w:szCs w:val="20"/>
        <w:lang w:eastAsia="lv-LV"/>
      </w:rPr>
      <w:t>Ministru kabineta 2014.</w:t>
    </w:r>
    <w:r>
      <w:rPr>
        <w:rFonts w:ascii="Times New Roman" w:hAnsi="Times New Roman" w:cs="Times New Roman"/>
        <w:sz w:val="20"/>
        <w:szCs w:val="20"/>
        <w:lang w:eastAsia="lv-LV"/>
      </w:rPr>
      <w:t> </w:t>
    </w:r>
    <w:r w:rsidRPr="00895B95">
      <w:rPr>
        <w:rFonts w:ascii="Times New Roman" w:hAnsi="Times New Roman" w:cs="Times New Roman"/>
        <w:sz w:val="20"/>
        <w:szCs w:val="20"/>
        <w:lang w:eastAsia="lv-LV"/>
      </w:rPr>
      <w:t>gada 2.</w:t>
    </w:r>
    <w:r>
      <w:rPr>
        <w:rFonts w:ascii="Times New Roman" w:hAnsi="Times New Roman" w:cs="Times New Roman"/>
        <w:sz w:val="20"/>
        <w:szCs w:val="20"/>
        <w:lang w:eastAsia="lv-LV"/>
      </w:rPr>
      <w:t> </w:t>
    </w:r>
    <w:r w:rsidRPr="00895B95">
      <w:rPr>
        <w:rFonts w:ascii="Times New Roman" w:hAnsi="Times New Roman" w:cs="Times New Roman"/>
        <w:sz w:val="20"/>
        <w:szCs w:val="20"/>
        <w:lang w:eastAsia="lv-LV"/>
      </w:rPr>
      <w:t>septembra noteikum</w:t>
    </w:r>
    <w:r>
      <w:rPr>
        <w:rFonts w:ascii="Times New Roman" w:hAnsi="Times New Roman" w:cs="Times New Roman"/>
        <w:sz w:val="20"/>
        <w:szCs w:val="20"/>
        <w:lang w:eastAsia="lv-LV"/>
      </w:rPr>
      <w:t>os</w:t>
    </w:r>
    <w:r w:rsidRPr="00895B95">
      <w:rPr>
        <w:rFonts w:ascii="Times New Roman" w:hAnsi="Times New Roman" w:cs="Times New Roman"/>
        <w:sz w:val="20"/>
        <w:szCs w:val="20"/>
        <w:lang w:eastAsia="lv-LV"/>
      </w:rPr>
      <w:t xml:space="preserve"> Nr.</w:t>
    </w:r>
    <w:r>
      <w:rPr>
        <w:rFonts w:ascii="Times New Roman" w:hAnsi="Times New Roman" w:cs="Times New Roman"/>
        <w:sz w:val="20"/>
        <w:szCs w:val="20"/>
        <w:lang w:eastAsia="lv-LV"/>
      </w:rPr>
      <w:t> </w:t>
    </w:r>
    <w:r w:rsidRPr="00895B95">
      <w:rPr>
        <w:rFonts w:ascii="Times New Roman" w:hAnsi="Times New Roman" w:cs="Times New Roman"/>
        <w:sz w:val="20"/>
        <w:szCs w:val="20"/>
        <w:lang w:eastAsia="lv-LV"/>
      </w:rPr>
      <w:t>529 “Ēku būvnoteikumi”</w:t>
    </w:r>
    <w:r>
      <w:rPr>
        <w:rFonts w:ascii="Times New Roman" w:hAnsi="Times New Roman" w:cs="Times New Roman"/>
        <w:sz w:val="20"/>
        <w:szCs w:val="20"/>
        <w:lang w:eastAsia="lv-LV"/>
      </w:rPr>
      <w:t>”</w:t>
    </w:r>
    <w:r w:rsidRPr="00895B95">
      <w:rPr>
        <w:rFonts w:ascii="Times New Roman" w:hAnsi="Times New Roman" w:cs="Times New Roman"/>
        <w:sz w:val="20"/>
        <w:szCs w:val="20"/>
        <w:lang w:eastAsia="lv-LV"/>
      </w:rPr>
      <w:t xml:space="preserve"> </w:t>
    </w:r>
    <w:r w:rsidRPr="00525B2F">
      <w:rPr>
        <w:rFonts w:ascii="Times New Roman" w:hAnsi="Times New Roman" w:cs="Times New Roman"/>
        <w:color w:val="000000" w:themeColor="text1"/>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557" w:rsidRDefault="00841557" w:rsidP="00841557">
    <w:pPr>
      <w:spacing w:after="0" w:line="240" w:lineRule="auto"/>
      <w:jc w:val="both"/>
      <w:rPr>
        <w:rFonts w:ascii="Times New Roman" w:eastAsia="Times New Roman" w:hAnsi="Times New Roman" w:cs="Times New Roman"/>
        <w:b/>
        <w:bCs/>
        <w:color w:val="414142"/>
        <w:sz w:val="24"/>
        <w:szCs w:val="24"/>
        <w:lang w:eastAsia="lv-LV"/>
      </w:rPr>
    </w:pPr>
    <w:r w:rsidRPr="004D15A9">
      <w:rPr>
        <w:rFonts w:ascii="Times New Roman" w:hAnsi="Times New Roman" w:cs="Times New Roman"/>
        <w:color w:val="000000" w:themeColor="text1"/>
        <w:sz w:val="20"/>
        <w:szCs w:val="20"/>
      </w:rPr>
      <w:t>TMAnot_</w:t>
    </w:r>
    <w:r>
      <w:rPr>
        <w:rFonts w:ascii="Times New Roman" w:hAnsi="Times New Roman" w:cs="Times New Roman"/>
        <w:color w:val="000000" w:themeColor="text1"/>
        <w:sz w:val="20"/>
        <w:szCs w:val="20"/>
      </w:rPr>
      <w:t>080916</w:t>
    </w:r>
    <w:r w:rsidRPr="004D15A9">
      <w:rPr>
        <w:rFonts w:ascii="Times New Roman" w:hAnsi="Times New Roman" w:cs="Times New Roman"/>
        <w:color w:val="000000" w:themeColor="text1"/>
        <w:sz w:val="20"/>
        <w:szCs w:val="20"/>
      </w:rPr>
      <w:t>_</w:t>
    </w:r>
    <w:r>
      <w:rPr>
        <w:rFonts w:ascii="Times New Roman" w:hAnsi="Times New Roman" w:cs="Times New Roman"/>
        <w:color w:val="000000" w:themeColor="text1"/>
        <w:sz w:val="20"/>
        <w:szCs w:val="20"/>
      </w:rPr>
      <w:t>VSS-795</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Ministru kabineta </w:t>
    </w:r>
    <w:r w:rsidRPr="00895B95">
      <w:rPr>
        <w:rFonts w:ascii="Times New Roman" w:hAnsi="Times New Roman" w:cs="Times New Roman"/>
        <w:color w:val="000000" w:themeColor="text1"/>
        <w:sz w:val="20"/>
        <w:szCs w:val="20"/>
      </w:rPr>
      <w:t xml:space="preserve">noteikumu projekta “Grozījumi </w:t>
    </w:r>
    <w:r w:rsidRPr="00895B95">
      <w:rPr>
        <w:rFonts w:ascii="Times New Roman" w:hAnsi="Times New Roman" w:cs="Times New Roman"/>
        <w:sz w:val="20"/>
        <w:szCs w:val="20"/>
        <w:lang w:eastAsia="lv-LV"/>
      </w:rPr>
      <w:t>Ministru kabineta 2014.</w:t>
    </w:r>
    <w:r>
      <w:rPr>
        <w:rFonts w:ascii="Times New Roman" w:hAnsi="Times New Roman" w:cs="Times New Roman"/>
        <w:sz w:val="20"/>
        <w:szCs w:val="20"/>
        <w:lang w:eastAsia="lv-LV"/>
      </w:rPr>
      <w:t> </w:t>
    </w:r>
    <w:r w:rsidRPr="00895B95">
      <w:rPr>
        <w:rFonts w:ascii="Times New Roman" w:hAnsi="Times New Roman" w:cs="Times New Roman"/>
        <w:sz w:val="20"/>
        <w:szCs w:val="20"/>
        <w:lang w:eastAsia="lv-LV"/>
      </w:rPr>
      <w:t>gada 2.</w:t>
    </w:r>
    <w:r>
      <w:rPr>
        <w:rFonts w:ascii="Times New Roman" w:hAnsi="Times New Roman" w:cs="Times New Roman"/>
        <w:sz w:val="20"/>
        <w:szCs w:val="20"/>
        <w:lang w:eastAsia="lv-LV"/>
      </w:rPr>
      <w:t> </w:t>
    </w:r>
    <w:r w:rsidRPr="00895B95">
      <w:rPr>
        <w:rFonts w:ascii="Times New Roman" w:hAnsi="Times New Roman" w:cs="Times New Roman"/>
        <w:sz w:val="20"/>
        <w:szCs w:val="20"/>
        <w:lang w:eastAsia="lv-LV"/>
      </w:rPr>
      <w:t>septembra noteikum</w:t>
    </w:r>
    <w:r>
      <w:rPr>
        <w:rFonts w:ascii="Times New Roman" w:hAnsi="Times New Roman" w:cs="Times New Roman"/>
        <w:sz w:val="20"/>
        <w:szCs w:val="20"/>
        <w:lang w:eastAsia="lv-LV"/>
      </w:rPr>
      <w:t>os</w:t>
    </w:r>
    <w:r w:rsidRPr="00895B95">
      <w:rPr>
        <w:rFonts w:ascii="Times New Roman" w:hAnsi="Times New Roman" w:cs="Times New Roman"/>
        <w:sz w:val="20"/>
        <w:szCs w:val="20"/>
        <w:lang w:eastAsia="lv-LV"/>
      </w:rPr>
      <w:t xml:space="preserve"> Nr.</w:t>
    </w:r>
    <w:r>
      <w:rPr>
        <w:rFonts w:ascii="Times New Roman" w:hAnsi="Times New Roman" w:cs="Times New Roman"/>
        <w:sz w:val="20"/>
        <w:szCs w:val="20"/>
        <w:lang w:eastAsia="lv-LV"/>
      </w:rPr>
      <w:t> </w:t>
    </w:r>
    <w:r w:rsidRPr="00895B95">
      <w:rPr>
        <w:rFonts w:ascii="Times New Roman" w:hAnsi="Times New Roman" w:cs="Times New Roman"/>
        <w:sz w:val="20"/>
        <w:szCs w:val="20"/>
        <w:lang w:eastAsia="lv-LV"/>
      </w:rPr>
      <w:t>529 “Ēku būvnoteikumi”</w:t>
    </w:r>
    <w:r>
      <w:rPr>
        <w:rFonts w:ascii="Times New Roman" w:hAnsi="Times New Roman" w:cs="Times New Roman"/>
        <w:sz w:val="20"/>
        <w:szCs w:val="20"/>
        <w:lang w:eastAsia="lv-LV"/>
      </w:rPr>
      <w:t>”</w:t>
    </w:r>
    <w:r w:rsidRPr="00895B95">
      <w:rPr>
        <w:rFonts w:ascii="Times New Roman" w:hAnsi="Times New Roman" w:cs="Times New Roman"/>
        <w:sz w:val="20"/>
        <w:szCs w:val="20"/>
        <w:lang w:eastAsia="lv-LV"/>
      </w:rPr>
      <w:t xml:space="preserve"> </w:t>
    </w:r>
    <w:r w:rsidRPr="00525B2F">
      <w:rPr>
        <w:rFonts w:ascii="Times New Roman" w:hAnsi="Times New Roman" w:cs="Times New Roman"/>
        <w:color w:val="000000" w:themeColor="text1"/>
        <w:sz w:val="20"/>
        <w:szCs w:val="20"/>
      </w:rPr>
      <w:t>sākotnējās ietekmes novērtējuma ziņojums (anotācija)</w:t>
    </w:r>
  </w:p>
  <w:p w:rsidR="00137826" w:rsidRPr="00841557" w:rsidRDefault="00137826" w:rsidP="0084155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826" w:rsidRDefault="00137826" w:rsidP="004D15A9">
      <w:pPr>
        <w:spacing w:after="0" w:line="240" w:lineRule="auto"/>
      </w:pPr>
      <w:r>
        <w:separator/>
      </w:r>
    </w:p>
  </w:footnote>
  <w:footnote w:type="continuationSeparator" w:id="0">
    <w:p w:rsidR="00137826" w:rsidRDefault="00137826" w:rsidP="004D15A9">
      <w:pPr>
        <w:spacing w:after="0" w:line="240" w:lineRule="auto"/>
      </w:pPr>
      <w:r>
        <w:continuationSeparator/>
      </w:r>
    </w:p>
  </w:footnote>
  <w:footnote w:id="1">
    <w:p w:rsidR="00A006D0" w:rsidRPr="0054445A" w:rsidRDefault="00A006D0" w:rsidP="00FF0881">
      <w:pPr>
        <w:pStyle w:val="Vresteksts"/>
        <w:spacing w:after="0"/>
        <w:rPr>
          <w:rFonts w:ascii="Times New Roman" w:hAnsi="Times New Roman"/>
        </w:rPr>
      </w:pPr>
      <w:r>
        <w:rPr>
          <w:rStyle w:val="Vresatsauce"/>
        </w:rPr>
        <w:footnoteRef/>
      </w:r>
      <w:r>
        <w:t xml:space="preserve"> </w:t>
      </w:r>
      <w:hyperlink r:id="rId1" w:history="1">
        <w:r w:rsidRPr="000E503F">
          <w:rPr>
            <w:rStyle w:val="Hipersaite"/>
            <w:rFonts w:ascii="Times New Roman" w:hAnsi="Times New Roman"/>
          </w:rPr>
          <w:t>http://titania.saeima.lv/LIVS11/saeimalivs11.nsf/0/4b7311843c72aebdc2257b6c0032308a/$FILE/8_4-2-41-11_13.pdf</w:t>
        </w:r>
      </w:hyperlink>
      <w:r>
        <w:rPr>
          <w:rFonts w:ascii="Times New Roman" w:hAnsi="Times New Roman"/>
        </w:rPr>
        <w:t>; pārlūkots 2016. gada 22. februārī.</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137826" w:rsidRPr="004D15A9" w:rsidRDefault="00137826">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B5623B">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rsidR="00137826" w:rsidRDefault="00137826">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5C01"/>
    <w:multiLevelType w:val="hybridMultilevel"/>
    <w:tmpl w:val="398E6A76"/>
    <w:lvl w:ilvl="0" w:tplc="A210C9FA">
      <w:start w:val="1"/>
      <w:numFmt w:val="decimal"/>
      <w:lvlText w:val="%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1">
    <w:nsid w:val="1CF34959"/>
    <w:multiLevelType w:val="hybridMultilevel"/>
    <w:tmpl w:val="1400C6A8"/>
    <w:lvl w:ilvl="0" w:tplc="E3A00C3E">
      <w:start w:val="4"/>
      <w:numFmt w:val="decimal"/>
      <w:lvlText w:val="%1)"/>
      <w:lvlJc w:val="left"/>
      <w:pPr>
        <w:ind w:left="670"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2">
    <w:nsid w:val="22EF54EF"/>
    <w:multiLevelType w:val="hybridMultilevel"/>
    <w:tmpl w:val="D0A4C2AE"/>
    <w:lvl w:ilvl="0" w:tplc="AD5C2C82">
      <w:start w:val="1"/>
      <w:numFmt w:val="decimal"/>
      <w:lvlText w:val="%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3">
    <w:nsid w:val="2AF2452E"/>
    <w:multiLevelType w:val="multilevel"/>
    <w:tmpl w:val="8A4E471A"/>
    <w:lvl w:ilvl="0">
      <w:start w:val="1"/>
      <w:numFmt w:val="decimal"/>
      <w:lvlText w:val="%1."/>
      <w:lvlJc w:val="left"/>
      <w:pPr>
        <w:ind w:left="901" w:hanging="360"/>
      </w:pPr>
      <w:rPr>
        <w:rFonts w:hint="default"/>
      </w:rPr>
    </w:lvl>
    <w:lvl w:ilvl="1">
      <w:start w:val="1"/>
      <w:numFmt w:val="decimal"/>
      <w:isLgl/>
      <w:lvlText w:val="%1.%2."/>
      <w:lvlJc w:val="left"/>
      <w:pPr>
        <w:ind w:left="901" w:hanging="360"/>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261" w:hanging="72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621" w:hanging="108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1981" w:hanging="1440"/>
      </w:pPr>
      <w:rPr>
        <w:rFonts w:hint="default"/>
      </w:rPr>
    </w:lvl>
    <w:lvl w:ilvl="8">
      <w:start w:val="1"/>
      <w:numFmt w:val="decimal"/>
      <w:isLgl/>
      <w:lvlText w:val="%1.%2.%3.%4.%5.%6.%7.%8.%9."/>
      <w:lvlJc w:val="left"/>
      <w:pPr>
        <w:ind w:left="2341" w:hanging="1800"/>
      </w:pPr>
      <w:rPr>
        <w:rFonts w:hint="default"/>
      </w:rPr>
    </w:lvl>
  </w:abstractNum>
  <w:abstractNum w:abstractNumId="4">
    <w:nsid w:val="567A4B49"/>
    <w:multiLevelType w:val="hybridMultilevel"/>
    <w:tmpl w:val="AA4E1B84"/>
    <w:lvl w:ilvl="0" w:tplc="E242A954">
      <w:start w:val="1"/>
      <w:numFmt w:val="lowerLetter"/>
      <w:lvlText w:val="%1)"/>
      <w:lvlJc w:val="left"/>
      <w:pPr>
        <w:ind w:left="720" w:hanging="360"/>
      </w:pPr>
      <w:rPr>
        <w:rFonts w:ascii="Times New Roman" w:eastAsia="Times New Roman" w:hAnsi="Times New Roman" w:cs="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9AC579A"/>
    <w:multiLevelType w:val="hybridMultilevel"/>
    <w:tmpl w:val="847C208E"/>
    <w:lvl w:ilvl="0" w:tplc="04260011">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6">
    <w:nsid w:val="6B1308D7"/>
    <w:multiLevelType w:val="hybridMultilevel"/>
    <w:tmpl w:val="2198364E"/>
    <w:lvl w:ilvl="0" w:tplc="5424530A">
      <w:start w:val="1"/>
      <w:numFmt w:val="decimal"/>
      <w:lvlText w:val="%1."/>
      <w:lvlJc w:val="left"/>
      <w:pPr>
        <w:ind w:left="901" w:hanging="360"/>
      </w:pPr>
      <w:rPr>
        <w:rFonts w:hint="default"/>
      </w:rPr>
    </w:lvl>
    <w:lvl w:ilvl="1" w:tplc="04260019" w:tentative="1">
      <w:start w:val="1"/>
      <w:numFmt w:val="lowerLetter"/>
      <w:lvlText w:val="%2."/>
      <w:lvlJc w:val="left"/>
      <w:pPr>
        <w:ind w:left="1621" w:hanging="360"/>
      </w:pPr>
    </w:lvl>
    <w:lvl w:ilvl="2" w:tplc="0426001B" w:tentative="1">
      <w:start w:val="1"/>
      <w:numFmt w:val="lowerRoman"/>
      <w:lvlText w:val="%3."/>
      <w:lvlJc w:val="right"/>
      <w:pPr>
        <w:ind w:left="2341" w:hanging="180"/>
      </w:pPr>
    </w:lvl>
    <w:lvl w:ilvl="3" w:tplc="0426000F" w:tentative="1">
      <w:start w:val="1"/>
      <w:numFmt w:val="decimal"/>
      <w:lvlText w:val="%4."/>
      <w:lvlJc w:val="left"/>
      <w:pPr>
        <w:ind w:left="3061" w:hanging="360"/>
      </w:pPr>
    </w:lvl>
    <w:lvl w:ilvl="4" w:tplc="04260019" w:tentative="1">
      <w:start w:val="1"/>
      <w:numFmt w:val="lowerLetter"/>
      <w:lvlText w:val="%5."/>
      <w:lvlJc w:val="left"/>
      <w:pPr>
        <w:ind w:left="3781" w:hanging="360"/>
      </w:pPr>
    </w:lvl>
    <w:lvl w:ilvl="5" w:tplc="0426001B" w:tentative="1">
      <w:start w:val="1"/>
      <w:numFmt w:val="lowerRoman"/>
      <w:lvlText w:val="%6."/>
      <w:lvlJc w:val="right"/>
      <w:pPr>
        <w:ind w:left="4501" w:hanging="180"/>
      </w:pPr>
    </w:lvl>
    <w:lvl w:ilvl="6" w:tplc="0426000F" w:tentative="1">
      <w:start w:val="1"/>
      <w:numFmt w:val="decimal"/>
      <w:lvlText w:val="%7."/>
      <w:lvlJc w:val="left"/>
      <w:pPr>
        <w:ind w:left="5221" w:hanging="360"/>
      </w:pPr>
    </w:lvl>
    <w:lvl w:ilvl="7" w:tplc="04260019" w:tentative="1">
      <w:start w:val="1"/>
      <w:numFmt w:val="lowerLetter"/>
      <w:lvlText w:val="%8."/>
      <w:lvlJc w:val="left"/>
      <w:pPr>
        <w:ind w:left="5941" w:hanging="360"/>
      </w:pPr>
    </w:lvl>
    <w:lvl w:ilvl="8" w:tplc="0426001B" w:tentative="1">
      <w:start w:val="1"/>
      <w:numFmt w:val="lowerRoman"/>
      <w:lvlText w:val="%9."/>
      <w:lvlJc w:val="right"/>
      <w:pPr>
        <w:ind w:left="6661" w:hanging="180"/>
      </w:pPr>
    </w:lvl>
  </w:abstractNum>
  <w:abstractNum w:abstractNumId="7">
    <w:nsid w:val="6DE94B55"/>
    <w:multiLevelType w:val="hybridMultilevel"/>
    <w:tmpl w:val="00A89812"/>
    <w:lvl w:ilvl="0" w:tplc="694ACED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4"/>
  </w:num>
  <w:num w:numId="2">
    <w:abstractNumId w:val="2"/>
  </w:num>
  <w:num w:numId="3">
    <w:abstractNumId w:val="7"/>
  </w:num>
  <w:num w:numId="4">
    <w:abstractNumId w:val="0"/>
  </w:num>
  <w:num w:numId="5">
    <w:abstractNumId w:val="1"/>
  </w:num>
  <w:num w:numId="6">
    <w:abstractNumId w:val="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3352"/>
    <w:rsid w:val="00015790"/>
    <w:rsid w:val="0002159B"/>
    <w:rsid w:val="00023D60"/>
    <w:rsid w:val="00031256"/>
    <w:rsid w:val="000377AF"/>
    <w:rsid w:val="000436E7"/>
    <w:rsid w:val="00043B2C"/>
    <w:rsid w:val="00065319"/>
    <w:rsid w:val="00072190"/>
    <w:rsid w:val="00072483"/>
    <w:rsid w:val="000748FB"/>
    <w:rsid w:val="0007544E"/>
    <w:rsid w:val="00081C5B"/>
    <w:rsid w:val="00087B52"/>
    <w:rsid w:val="00091405"/>
    <w:rsid w:val="00093C0C"/>
    <w:rsid w:val="000B3E37"/>
    <w:rsid w:val="000C47A6"/>
    <w:rsid w:val="000D1837"/>
    <w:rsid w:val="000D63D4"/>
    <w:rsid w:val="000E6AF8"/>
    <w:rsid w:val="000F60DF"/>
    <w:rsid w:val="00101CD5"/>
    <w:rsid w:val="0010791D"/>
    <w:rsid w:val="00116DBF"/>
    <w:rsid w:val="00126CC5"/>
    <w:rsid w:val="00137826"/>
    <w:rsid w:val="00144628"/>
    <w:rsid w:val="00144D4A"/>
    <w:rsid w:val="001452EC"/>
    <w:rsid w:val="00154BDB"/>
    <w:rsid w:val="00172DAD"/>
    <w:rsid w:val="00184220"/>
    <w:rsid w:val="00187D76"/>
    <w:rsid w:val="001948AD"/>
    <w:rsid w:val="001A2C87"/>
    <w:rsid w:val="001A7B80"/>
    <w:rsid w:val="001B0EBE"/>
    <w:rsid w:val="001C2881"/>
    <w:rsid w:val="001D6F2C"/>
    <w:rsid w:val="001F0CC5"/>
    <w:rsid w:val="002029CA"/>
    <w:rsid w:val="00202CD2"/>
    <w:rsid w:val="0020338E"/>
    <w:rsid w:val="00205628"/>
    <w:rsid w:val="00211F7D"/>
    <w:rsid w:val="00230BAB"/>
    <w:rsid w:val="00252D0C"/>
    <w:rsid w:val="002569D2"/>
    <w:rsid w:val="00257765"/>
    <w:rsid w:val="00261C52"/>
    <w:rsid w:val="00265D27"/>
    <w:rsid w:val="00267C1E"/>
    <w:rsid w:val="00271DEA"/>
    <w:rsid w:val="002742F9"/>
    <w:rsid w:val="002808F9"/>
    <w:rsid w:val="0028173E"/>
    <w:rsid w:val="00282E29"/>
    <w:rsid w:val="00284AC5"/>
    <w:rsid w:val="00294B89"/>
    <w:rsid w:val="002A6227"/>
    <w:rsid w:val="002B0DF8"/>
    <w:rsid w:val="002B2B2E"/>
    <w:rsid w:val="002B74D4"/>
    <w:rsid w:val="002C193A"/>
    <w:rsid w:val="002C1B16"/>
    <w:rsid w:val="002C6AEF"/>
    <w:rsid w:val="002D040D"/>
    <w:rsid w:val="002D396D"/>
    <w:rsid w:val="002D6F1E"/>
    <w:rsid w:val="002D7476"/>
    <w:rsid w:val="002F6708"/>
    <w:rsid w:val="002F7EB2"/>
    <w:rsid w:val="00300ED5"/>
    <w:rsid w:val="00310628"/>
    <w:rsid w:val="00312FCB"/>
    <w:rsid w:val="00320B37"/>
    <w:rsid w:val="00322E20"/>
    <w:rsid w:val="00323F54"/>
    <w:rsid w:val="0033037F"/>
    <w:rsid w:val="00331283"/>
    <w:rsid w:val="003341FC"/>
    <w:rsid w:val="00334A2C"/>
    <w:rsid w:val="00335990"/>
    <w:rsid w:val="00344D2E"/>
    <w:rsid w:val="00354F37"/>
    <w:rsid w:val="003702B8"/>
    <w:rsid w:val="00370CF5"/>
    <w:rsid w:val="003750AB"/>
    <w:rsid w:val="0038401D"/>
    <w:rsid w:val="0038483E"/>
    <w:rsid w:val="003922B0"/>
    <w:rsid w:val="00395EB7"/>
    <w:rsid w:val="003A2A0B"/>
    <w:rsid w:val="003A59C7"/>
    <w:rsid w:val="003A75CF"/>
    <w:rsid w:val="003B1879"/>
    <w:rsid w:val="003B41CA"/>
    <w:rsid w:val="003D5F80"/>
    <w:rsid w:val="003E7076"/>
    <w:rsid w:val="003F3450"/>
    <w:rsid w:val="003F3DEE"/>
    <w:rsid w:val="003F4880"/>
    <w:rsid w:val="003F48A7"/>
    <w:rsid w:val="00402746"/>
    <w:rsid w:val="0040549C"/>
    <w:rsid w:val="004166BF"/>
    <w:rsid w:val="00417486"/>
    <w:rsid w:val="00436E75"/>
    <w:rsid w:val="00443B20"/>
    <w:rsid w:val="00444DD9"/>
    <w:rsid w:val="004643CE"/>
    <w:rsid w:val="004903E3"/>
    <w:rsid w:val="00495A42"/>
    <w:rsid w:val="004B1A15"/>
    <w:rsid w:val="004B5675"/>
    <w:rsid w:val="004B5D4E"/>
    <w:rsid w:val="004C3B71"/>
    <w:rsid w:val="004C7A4B"/>
    <w:rsid w:val="004D15A9"/>
    <w:rsid w:val="004D4B54"/>
    <w:rsid w:val="004D6C5B"/>
    <w:rsid w:val="004E2DC4"/>
    <w:rsid w:val="004E719F"/>
    <w:rsid w:val="004F10A1"/>
    <w:rsid w:val="004F59A9"/>
    <w:rsid w:val="005033C2"/>
    <w:rsid w:val="00503C25"/>
    <w:rsid w:val="00510773"/>
    <w:rsid w:val="0051281F"/>
    <w:rsid w:val="005158C0"/>
    <w:rsid w:val="00525B2F"/>
    <w:rsid w:val="005272FF"/>
    <w:rsid w:val="00543337"/>
    <w:rsid w:val="0054702B"/>
    <w:rsid w:val="00562A71"/>
    <w:rsid w:val="005677F9"/>
    <w:rsid w:val="00574CDB"/>
    <w:rsid w:val="00576DF7"/>
    <w:rsid w:val="005779BD"/>
    <w:rsid w:val="005871E6"/>
    <w:rsid w:val="005873B9"/>
    <w:rsid w:val="005A2F8D"/>
    <w:rsid w:val="005A47DA"/>
    <w:rsid w:val="005A4C0D"/>
    <w:rsid w:val="005B464C"/>
    <w:rsid w:val="005B6058"/>
    <w:rsid w:val="005C3CDF"/>
    <w:rsid w:val="005D4E8A"/>
    <w:rsid w:val="005E416B"/>
    <w:rsid w:val="005E4209"/>
    <w:rsid w:val="005E50D4"/>
    <w:rsid w:val="0060250F"/>
    <w:rsid w:val="00603AFE"/>
    <w:rsid w:val="00603D67"/>
    <w:rsid w:val="0060549F"/>
    <w:rsid w:val="00606596"/>
    <w:rsid w:val="0062351E"/>
    <w:rsid w:val="00640584"/>
    <w:rsid w:val="00647C23"/>
    <w:rsid w:val="00657F58"/>
    <w:rsid w:val="006770D4"/>
    <w:rsid w:val="006974C9"/>
    <w:rsid w:val="006A2099"/>
    <w:rsid w:val="006B04E3"/>
    <w:rsid w:val="006B0C22"/>
    <w:rsid w:val="006B6133"/>
    <w:rsid w:val="006C2799"/>
    <w:rsid w:val="006F19A2"/>
    <w:rsid w:val="006F2934"/>
    <w:rsid w:val="006F7100"/>
    <w:rsid w:val="00712539"/>
    <w:rsid w:val="007217F3"/>
    <w:rsid w:val="00722057"/>
    <w:rsid w:val="00730561"/>
    <w:rsid w:val="00731F39"/>
    <w:rsid w:val="007321E5"/>
    <w:rsid w:val="007455E8"/>
    <w:rsid w:val="00751FA1"/>
    <w:rsid w:val="007568AE"/>
    <w:rsid w:val="007761E9"/>
    <w:rsid w:val="007A35B2"/>
    <w:rsid w:val="007A7A90"/>
    <w:rsid w:val="007B041D"/>
    <w:rsid w:val="007B24F3"/>
    <w:rsid w:val="007B7035"/>
    <w:rsid w:val="007C127B"/>
    <w:rsid w:val="007C2F19"/>
    <w:rsid w:val="007C33A3"/>
    <w:rsid w:val="007D0C14"/>
    <w:rsid w:val="007D495C"/>
    <w:rsid w:val="007E1979"/>
    <w:rsid w:val="007E6CCC"/>
    <w:rsid w:val="007F1910"/>
    <w:rsid w:val="0081203F"/>
    <w:rsid w:val="00817DC1"/>
    <w:rsid w:val="00820D29"/>
    <w:rsid w:val="0082310D"/>
    <w:rsid w:val="0083127A"/>
    <w:rsid w:val="008340B7"/>
    <w:rsid w:val="00841557"/>
    <w:rsid w:val="00844BD9"/>
    <w:rsid w:val="008452BC"/>
    <w:rsid w:val="008506C8"/>
    <w:rsid w:val="00855F8A"/>
    <w:rsid w:val="0085608E"/>
    <w:rsid w:val="00862B5F"/>
    <w:rsid w:val="00863989"/>
    <w:rsid w:val="00863AE7"/>
    <w:rsid w:val="00874BB8"/>
    <w:rsid w:val="00886540"/>
    <w:rsid w:val="00895B95"/>
    <w:rsid w:val="008A6E3F"/>
    <w:rsid w:val="008A7731"/>
    <w:rsid w:val="008D10F4"/>
    <w:rsid w:val="008E6254"/>
    <w:rsid w:val="008E6EE6"/>
    <w:rsid w:val="00901AEA"/>
    <w:rsid w:val="00902BDB"/>
    <w:rsid w:val="00913340"/>
    <w:rsid w:val="00915DD4"/>
    <w:rsid w:val="0092023F"/>
    <w:rsid w:val="009236E9"/>
    <w:rsid w:val="00923E56"/>
    <w:rsid w:val="00933490"/>
    <w:rsid w:val="0094435B"/>
    <w:rsid w:val="00947AA3"/>
    <w:rsid w:val="00953B12"/>
    <w:rsid w:val="00954607"/>
    <w:rsid w:val="00960644"/>
    <w:rsid w:val="00966F2C"/>
    <w:rsid w:val="0097452F"/>
    <w:rsid w:val="009801B3"/>
    <w:rsid w:val="00981582"/>
    <w:rsid w:val="00985062"/>
    <w:rsid w:val="00997BC9"/>
    <w:rsid w:val="009A07D1"/>
    <w:rsid w:val="009A2F40"/>
    <w:rsid w:val="009B053A"/>
    <w:rsid w:val="009D311F"/>
    <w:rsid w:val="009E00EE"/>
    <w:rsid w:val="009E2173"/>
    <w:rsid w:val="009E4358"/>
    <w:rsid w:val="00A006D0"/>
    <w:rsid w:val="00A00B0A"/>
    <w:rsid w:val="00A0717C"/>
    <w:rsid w:val="00A07E8B"/>
    <w:rsid w:val="00A1244D"/>
    <w:rsid w:val="00A132C2"/>
    <w:rsid w:val="00A225EA"/>
    <w:rsid w:val="00A24DF2"/>
    <w:rsid w:val="00A25FDD"/>
    <w:rsid w:val="00A34B90"/>
    <w:rsid w:val="00A36823"/>
    <w:rsid w:val="00A36AD1"/>
    <w:rsid w:val="00A4445F"/>
    <w:rsid w:val="00A710E9"/>
    <w:rsid w:val="00A91287"/>
    <w:rsid w:val="00A913E1"/>
    <w:rsid w:val="00A963D3"/>
    <w:rsid w:val="00AA496B"/>
    <w:rsid w:val="00AB7014"/>
    <w:rsid w:val="00AC5A77"/>
    <w:rsid w:val="00AD32C1"/>
    <w:rsid w:val="00AE3089"/>
    <w:rsid w:val="00AE743D"/>
    <w:rsid w:val="00AF40AC"/>
    <w:rsid w:val="00AF7F8E"/>
    <w:rsid w:val="00B00362"/>
    <w:rsid w:val="00B360B6"/>
    <w:rsid w:val="00B41BD6"/>
    <w:rsid w:val="00B422B9"/>
    <w:rsid w:val="00B477AB"/>
    <w:rsid w:val="00B5623B"/>
    <w:rsid w:val="00B617F9"/>
    <w:rsid w:val="00B64D7A"/>
    <w:rsid w:val="00B71B91"/>
    <w:rsid w:val="00B84AAA"/>
    <w:rsid w:val="00B92B36"/>
    <w:rsid w:val="00B94EEB"/>
    <w:rsid w:val="00BA0C02"/>
    <w:rsid w:val="00BA4A3C"/>
    <w:rsid w:val="00BB1F46"/>
    <w:rsid w:val="00BB4489"/>
    <w:rsid w:val="00BC4DA2"/>
    <w:rsid w:val="00BC5D6F"/>
    <w:rsid w:val="00BC725F"/>
    <w:rsid w:val="00BD025B"/>
    <w:rsid w:val="00BD0CFB"/>
    <w:rsid w:val="00BD4039"/>
    <w:rsid w:val="00BD5EF6"/>
    <w:rsid w:val="00BE0F54"/>
    <w:rsid w:val="00BF0D7D"/>
    <w:rsid w:val="00BF52F8"/>
    <w:rsid w:val="00BF7A55"/>
    <w:rsid w:val="00C01B28"/>
    <w:rsid w:val="00C0213B"/>
    <w:rsid w:val="00C06413"/>
    <w:rsid w:val="00C13189"/>
    <w:rsid w:val="00C2285A"/>
    <w:rsid w:val="00C278F0"/>
    <w:rsid w:val="00C34D89"/>
    <w:rsid w:val="00C36353"/>
    <w:rsid w:val="00C40BCA"/>
    <w:rsid w:val="00C45408"/>
    <w:rsid w:val="00C46744"/>
    <w:rsid w:val="00C470C0"/>
    <w:rsid w:val="00C54374"/>
    <w:rsid w:val="00C54F09"/>
    <w:rsid w:val="00C57A94"/>
    <w:rsid w:val="00C6354A"/>
    <w:rsid w:val="00C66406"/>
    <w:rsid w:val="00C70D99"/>
    <w:rsid w:val="00C73F08"/>
    <w:rsid w:val="00C84709"/>
    <w:rsid w:val="00CA04E1"/>
    <w:rsid w:val="00CA338C"/>
    <w:rsid w:val="00CB2BD6"/>
    <w:rsid w:val="00CB5175"/>
    <w:rsid w:val="00CB6215"/>
    <w:rsid w:val="00CB6AED"/>
    <w:rsid w:val="00CD5964"/>
    <w:rsid w:val="00CE353F"/>
    <w:rsid w:val="00CE45B9"/>
    <w:rsid w:val="00CF1AC9"/>
    <w:rsid w:val="00CF562E"/>
    <w:rsid w:val="00D01E55"/>
    <w:rsid w:val="00D0302A"/>
    <w:rsid w:val="00D05C13"/>
    <w:rsid w:val="00D07866"/>
    <w:rsid w:val="00D12BAF"/>
    <w:rsid w:val="00D15751"/>
    <w:rsid w:val="00D20E10"/>
    <w:rsid w:val="00D313D5"/>
    <w:rsid w:val="00D420C2"/>
    <w:rsid w:val="00D453A7"/>
    <w:rsid w:val="00D45BA8"/>
    <w:rsid w:val="00D51291"/>
    <w:rsid w:val="00D56D72"/>
    <w:rsid w:val="00D57A60"/>
    <w:rsid w:val="00D73325"/>
    <w:rsid w:val="00D76089"/>
    <w:rsid w:val="00D87140"/>
    <w:rsid w:val="00D872A7"/>
    <w:rsid w:val="00D95213"/>
    <w:rsid w:val="00DA4416"/>
    <w:rsid w:val="00DA596D"/>
    <w:rsid w:val="00DA5C90"/>
    <w:rsid w:val="00DB197C"/>
    <w:rsid w:val="00DC26F7"/>
    <w:rsid w:val="00DC5263"/>
    <w:rsid w:val="00DD5818"/>
    <w:rsid w:val="00DE0B78"/>
    <w:rsid w:val="00DF6C7D"/>
    <w:rsid w:val="00E07A15"/>
    <w:rsid w:val="00E11B58"/>
    <w:rsid w:val="00E14ACF"/>
    <w:rsid w:val="00E2006A"/>
    <w:rsid w:val="00E41590"/>
    <w:rsid w:val="00E415C2"/>
    <w:rsid w:val="00E41FE2"/>
    <w:rsid w:val="00E43E86"/>
    <w:rsid w:val="00E54843"/>
    <w:rsid w:val="00E55507"/>
    <w:rsid w:val="00E577E0"/>
    <w:rsid w:val="00E64D42"/>
    <w:rsid w:val="00E66E71"/>
    <w:rsid w:val="00E700E6"/>
    <w:rsid w:val="00E774FC"/>
    <w:rsid w:val="00E83352"/>
    <w:rsid w:val="00E93CBA"/>
    <w:rsid w:val="00EA4A96"/>
    <w:rsid w:val="00EA5B29"/>
    <w:rsid w:val="00EB10A0"/>
    <w:rsid w:val="00EB2E25"/>
    <w:rsid w:val="00EB5EB4"/>
    <w:rsid w:val="00EB6090"/>
    <w:rsid w:val="00EB7EEB"/>
    <w:rsid w:val="00EC003D"/>
    <w:rsid w:val="00EC6750"/>
    <w:rsid w:val="00ED180D"/>
    <w:rsid w:val="00EE5754"/>
    <w:rsid w:val="00EE6FD4"/>
    <w:rsid w:val="00EF2E99"/>
    <w:rsid w:val="00EF3851"/>
    <w:rsid w:val="00F07B82"/>
    <w:rsid w:val="00F212C3"/>
    <w:rsid w:val="00F26F96"/>
    <w:rsid w:val="00F31F56"/>
    <w:rsid w:val="00F37D73"/>
    <w:rsid w:val="00F4072B"/>
    <w:rsid w:val="00F50F0E"/>
    <w:rsid w:val="00F5327B"/>
    <w:rsid w:val="00F56051"/>
    <w:rsid w:val="00F6170A"/>
    <w:rsid w:val="00F648E5"/>
    <w:rsid w:val="00F70325"/>
    <w:rsid w:val="00F8262D"/>
    <w:rsid w:val="00F9079F"/>
    <w:rsid w:val="00F90F56"/>
    <w:rsid w:val="00FA0EA5"/>
    <w:rsid w:val="00FB325A"/>
    <w:rsid w:val="00FB5071"/>
    <w:rsid w:val="00FC10C6"/>
    <w:rsid w:val="00FC7B6A"/>
    <w:rsid w:val="00FD315B"/>
    <w:rsid w:val="00FD45D6"/>
    <w:rsid w:val="00FE28A9"/>
    <w:rsid w:val="00FF0881"/>
    <w:rsid w:val="00FF4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tv2131">
    <w:name w:val="tv2131"/>
    <w:basedOn w:val="Parasts"/>
    <w:rsid w:val="00FC10C6"/>
    <w:pPr>
      <w:spacing w:after="0" w:line="360" w:lineRule="auto"/>
      <w:ind w:firstLine="300"/>
    </w:pPr>
    <w:rPr>
      <w:rFonts w:ascii="Times New Roman" w:hAnsi="Times New Roman" w:cs="Times New Roman"/>
      <w:color w:val="414142"/>
      <w:sz w:val="20"/>
      <w:szCs w:val="20"/>
      <w:lang w:eastAsia="lv-LV"/>
    </w:rPr>
  </w:style>
  <w:style w:type="paragraph" w:customStyle="1" w:styleId="naisc">
    <w:name w:val="naisc"/>
    <w:basedOn w:val="Parasts"/>
    <w:uiPriority w:val="99"/>
    <w:rsid w:val="00FC10C6"/>
    <w:pPr>
      <w:spacing w:before="75" w:after="75" w:line="240" w:lineRule="auto"/>
      <w:jc w:val="center"/>
    </w:pPr>
    <w:rPr>
      <w:rFonts w:ascii="Times New Roman" w:hAnsi="Times New Roman" w:cs="Times New Roman"/>
      <w:sz w:val="24"/>
      <w:szCs w:val="24"/>
      <w:lang w:eastAsia="lv-LV"/>
    </w:rPr>
  </w:style>
  <w:style w:type="character" w:customStyle="1" w:styleId="t33">
    <w:name w:val="t33"/>
    <w:basedOn w:val="Noklusjumarindkopasfonts"/>
    <w:rsid w:val="00603D67"/>
  </w:style>
  <w:style w:type="character" w:customStyle="1" w:styleId="fwn1">
    <w:name w:val="fwn1"/>
    <w:basedOn w:val="Noklusjumarindkopasfonts"/>
    <w:rsid w:val="00603D67"/>
    <w:rPr>
      <w:b w:val="0"/>
      <w:bCs w:val="0"/>
    </w:rPr>
  </w:style>
  <w:style w:type="character" w:styleId="Komentraatsauce">
    <w:name w:val="annotation reference"/>
    <w:basedOn w:val="Noklusjumarindkopasfonts"/>
    <w:uiPriority w:val="99"/>
    <w:semiHidden/>
    <w:unhideWhenUsed/>
    <w:rsid w:val="00543337"/>
    <w:rPr>
      <w:sz w:val="16"/>
      <w:szCs w:val="16"/>
    </w:rPr>
  </w:style>
  <w:style w:type="paragraph" w:styleId="Komentrateksts">
    <w:name w:val="annotation text"/>
    <w:basedOn w:val="Parasts"/>
    <w:link w:val="KomentratekstsRakstz"/>
    <w:uiPriority w:val="99"/>
    <w:semiHidden/>
    <w:unhideWhenUsed/>
    <w:rsid w:val="005433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3337"/>
    <w:rPr>
      <w:sz w:val="20"/>
      <w:szCs w:val="20"/>
    </w:rPr>
  </w:style>
  <w:style w:type="paragraph" w:styleId="Komentratma">
    <w:name w:val="annotation subject"/>
    <w:basedOn w:val="Komentrateksts"/>
    <w:next w:val="Komentrateksts"/>
    <w:link w:val="KomentratmaRakstz"/>
    <w:uiPriority w:val="99"/>
    <w:semiHidden/>
    <w:unhideWhenUsed/>
    <w:rsid w:val="00543337"/>
    <w:rPr>
      <w:b/>
      <w:bCs/>
    </w:rPr>
  </w:style>
  <w:style w:type="character" w:customStyle="1" w:styleId="KomentratmaRakstz">
    <w:name w:val="Komentāra tēma Rakstz."/>
    <w:basedOn w:val="KomentratekstsRakstz"/>
    <w:link w:val="Komentratma"/>
    <w:uiPriority w:val="99"/>
    <w:semiHidden/>
    <w:rsid w:val="00543337"/>
    <w:rPr>
      <w:b/>
      <w:bCs/>
      <w:sz w:val="20"/>
      <w:szCs w:val="20"/>
    </w:rPr>
  </w:style>
  <w:style w:type="table" w:styleId="Reatabula">
    <w:name w:val="Table Grid"/>
    <w:basedOn w:val="Parastatabula"/>
    <w:uiPriority w:val="59"/>
    <w:rsid w:val="00464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unhideWhenUsed/>
    <w:rsid w:val="00844BD9"/>
    <w:rPr>
      <w:color w:val="0000FF" w:themeColor="hyperlink"/>
      <w:u w:val="single"/>
    </w:rPr>
  </w:style>
  <w:style w:type="paragraph" w:styleId="Sarakstarindkopa">
    <w:name w:val="List Paragraph"/>
    <w:basedOn w:val="Parasts"/>
    <w:uiPriority w:val="34"/>
    <w:qFormat/>
    <w:rsid w:val="00C01B28"/>
    <w:pPr>
      <w:ind w:left="720"/>
      <w:contextualSpacing/>
    </w:pPr>
    <w:rPr>
      <w:rFonts w:ascii="Calibri" w:eastAsia="Times New Roman" w:hAnsi="Calibri" w:cs="Times New Roman"/>
    </w:rPr>
  </w:style>
  <w:style w:type="paragraph" w:styleId="Paraststmeklis">
    <w:name w:val="Normal (Web)"/>
    <w:basedOn w:val="Parasts"/>
    <w:unhideWhenUsed/>
    <w:rsid w:val="00E11B58"/>
    <w:rPr>
      <w:rFonts w:ascii="Times New Roman" w:hAnsi="Times New Roman" w:cs="Times New Roman"/>
      <w:sz w:val="24"/>
      <w:szCs w:val="24"/>
    </w:rPr>
  </w:style>
  <w:style w:type="paragraph" w:customStyle="1" w:styleId="naisf">
    <w:name w:val="naisf"/>
    <w:basedOn w:val="Parasts"/>
    <w:rsid w:val="00EB60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semiHidden/>
    <w:unhideWhenUsed/>
    <w:rsid w:val="00A006D0"/>
    <w:rPr>
      <w:rFonts w:ascii="Calibri" w:eastAsia="Calibri" w:hAnsi="Calibri" w:cs="Times New Roman"/>
      <w:sz w:val="20"/>
      <w:szCs w:val="20"/>
      <w:lang w:val="x-none"/>
    </w:rPr>
  </w:style>
  <w:style w:type="character" w:customStyle="1" w:styleId="VrestekstsRakstz">
    <w:name w:val="Vēres teksts Rakstz."/>
    <w:basedOn w:val="Noklusjumarindkopasfonts"/>
    <w:link w:val="Vresteksts"/>
    <w:semiHidden/>
    <w:rsid w:val="00A006D0"/>
    <w:rPr>
      <w:rFonts w:ascii="Calibri" w:eastAsia="Calibri" w:hAnsi="Calibri" w:cs="Times New Roman"/>
      <w:sz w:val="20"/>
      <w:szCs w:val="20"/>
      <w:lang w:val="x-none"/>
    </w:rPr>
  </w:style>
  <w:style w:type="character" w:styleId="Vresatsauce">
    <w:name w:val="footnote reference"/>
    <w:semiHidden/>
    <w:unhideWhenUsed/>
    <w:rsid w:val="00A006D0"/>
    <w:rPr>
      <w:vertAlign w:val="superscript"/>
    </w:rPr>
  </w:style>
  <w:style w:type="paragraph" w:customStyle="1" w:styleId="tv213">
    <w:name w:val="tv213"/>
    <w:basedOn w:val="Parasts"/>
    <w:rsid w:val="00FF4E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uiPriority w:val="20"/>
    <w:qFormat/>
    <w:rsid w:val="00895B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tv2131">
    <w:name w:val="tv2131"/>
    <w:basedOn w:val="Parasts"/>
    <w:rsid w:val="00FC10C6"/>
    <w:pPr>
      <w:spacing w:after="0" w:line="360" w:lineRule="auto"/>
      <w:ind w:firstLine="300"/>
    </w:pPr>
    <w:rPr>
      <w:rFonts w:ascii="Times New Roman" w:hAnsi="Times New Roman" w:cs="Times New Roman"/>
      <w:color w:val="414142"/>
      <w:sz w:val="20"/>
      <w:szCs w:val="20"/>
      <w:lang w:eastAsia="lv-LV"/>
    </w:rPr>
  </w:style>
  <w:style w:type="paragraph" w:customStyle="1" w:styleId="naisc">
    <w:name w:val="naisc"/>
    <w:basedOn w:val="Parasts"/>
    <w:uiPriority w:val="99"/>
    <w:rsid w:val="00FC10C6"/>
    <w:pPr>
      <w:spacing w:before="75" w:after="75" w:line="240" w:lineRule="auto"/>
      <w:jc w:val="center"/>
    </w:pPr>
    <w:rPr>
      <w:rFonts w:ascii="Times New Roman" w:hAnsi="Times New Roman" w:cs="Times New Roman"/>
      <w:sz w:val="24"/>
      <w:szCs w:val="24"/>
      <w:lang w:eastAsia="lv-LV"/>
    </w:rPr>
  </w:style>
  <w:style w:type="character" w:customStyle="1" w:styleId="t33">
    <w:name w:val="t33"/>
    <w:basedOn w:val="Noklusjumarindkopasfonts"/>
    <w:rsid w:val="00603D67"/>
  </w:style>
  <w:style w:type="character" w:customStyle="1" w:styleId="fwn1">
    <w:name w:val="fwn1"/>
    <w:basedOn w:val="Noklusjumarindkopasfonts"/>
    <w:rsid w:val="00603D67"/>
    <w:rPr>
      <w:b w:val="0"/>
      <w:bCs w:val="0"/>
    </w:rPr>
  </w:style>
  <w:style w:type="character" w:styleId="Komentraatsauce">
    <w:name w:val="annotation reference"/>
    <w:basedOn w:val="Noklusjumarindkopasfonts"/>
    <w:uiPriority w:val="99"/>
    <w:semiHidden/>
    <w:unhideWhenUsed/>
    <w:rsid w:val="00543337"/>
    <w:rPr>
      <w:sz w:val="16"/>
      <w:szCs w:val="16"/>
    </w:rPr>
  </w:style>
  <w:style w:type="paragraph" w:styleId="Komentrateksts">
    <w:name w:val="annotation text"/>
    <w:basedOn w:val="Parasts"/>
    <w:link w:val="KomentratekstsRakstz"/>
    <w:uiPriority w:val="99"/>
    <w:semiHidden/>
    <w:unhideWhenUsed/>
    <w:rsid w:val="005433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43337"/>
    <w:rPr>
      <w:sz w:val="20"/>
      <w:szCs w:val="20"/>
    </w:rPr>
  </w:style>
  <w:style w:type="paragraph" w:styleId="Komentratma">
    <w:name w:val="annotation subject"/>
    <w:basedOn w:val="Komentrateksts"/>
    <w:next w:val="Komentrateksts"/>
    <w:link w:val="KomentratmaRakstz"/>
    <w:uiPriority w:val="99"/>
    <w:semiHidden/>
    <w:unhideWhenUsed/>
    <w:rsid w:val="00543337"/>
    <w:rPr>
      <w:b/>
      <w:bCs/>
    </w:rPr>
  </w:style>
  <w:style w:type="character" w:customStyle="1" w:styleId="KomentratmaRakstz">
    <w:name w:val="Komentāra tēma Rakstz."/>
    <w:basedOn w:val="KomentratekstsRakstz"/>
    <w:link w:val="Komentratma"/>
    <w:uiPriority w:val="99"/>
    <w:semiHidden/>
    <w:rsid w:val="00543337"/>
    <w:rPr>
      <w:b/>
      <w:bCs/>
      <w:sz w:val="20"/>
      <w:szCs w:val="20"/>
    </w:rPr>
  </w:style>
  <w:style w:type="table" w:styleId="Reatabula">
    <w:name w:val="Table Grid"/>
    <w:basedOn w:val="Parastatabula"/>
    <w:uiPriority w:val="59"/>
    <w:rsid w:val="004643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unhideWhenUsed/>
    <w:rsid w:val="00844BD9"/>
    <w:rPr>
      <w:color w:val="0000FF" w:themeColor="hyperlink"/>
      <w:u w:val="single"/>
    </w:rPr>
  </w:style>
  <w:style w:type="paragraph" w:styleId="Sarakstarindkopa">
    <w:name w:val="List Paragraph"/>
    <w:basedOn w:val="Parasts"/>
    <w:uiPriority w:val="34"/>
    <w:qFormat/>
    <w:rsid w:val="00C01B28"/>
    <w:pPr>
      <w:ind w:left="720"/>
      <w:contextualSpacing/>
    </w:pPr>
    <w:rPr>
      <w:rFonts w:ascii="Calibri" w:eastAsia="Times New Roman" w:hAnsi="Calibri" w:cs="Times New Roman"/>
    </w:rPr>
  </w:style>
  <w:style w:type="paragraph" w:styleId="Paraststmeklis">
    <w:name w:val="Normal (Web)"/>
    <w:basedOn w:val="Parasts"/>
    <w:unhideWhenUsed/>
    <w:rsid w:val="00E11B58"/>
    <w:rPr>
      <w:rFonts w:ascii="Times New Roman" w:hAnsi="Times New Roman" w:cs="Times New Roman"/>
      <w:sz w:val="24"/>
      <w:szCs w:val="24"/>
    </w:rPr>
  </w:style>
  <w:style w:type="paragraph" w:customStyle="1" w:styleId="naisf">
    <w:name w:val="naisf"/>
    <w:basedOn w:val="Parasts"/>
    <w:rsid w:val="00EB609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Vresteksts">
    <w:name w:val="footnote text"/>
    <w:basedOn w:val="Parasts"/>
    <w:link w:val="VrestekstsRakstz"/>
    <w:semiHidden/>
    <w:unhideWhenUsed/>
    <w:rsid w:val="00A006D0"/>
    <w:rPr>
      <w:rFonts w:ascii="Calibri" w:eastAsia="Calibri" w:hAnsi="Calibri" w:cs="Times New Roman"/>
      <w:sz w:val="20"/>
      <w:szCs w:val="20"/>
      <w:lang w:val="x-none"/>
    </w:rPr>
  </w:style>
  <w:style w:type="character" w:customStyle="1" w:styleId="VrestekstsRakstz">
    <w:name w:val="Vēres teksts Rakstz."/>
    <w:basedOn w:val="Noklusjumarindkopasfonts"/>
    <w:link w:val="Vresteksts"/>
    <w:semiHidden/>
    <w:rsid w:val="00A006D0"/>
    <w:rPr>
      <w:rFonts w:ascii="Calibri" w:eastAsia="Calibri" w:hAnsi="Calibri" w:cs="Times New Roman"/>
      <w:sz w:val="20"/>
      <w:szCs w:val="20"/>
      <w:lang w:val="x-none"/>
    </w:rPr>
  </w:style>
  <w:style w:type="character" w:styleId="Vresatsauce">
    <w:name w:val="footnote reference"/>
    <w:semiHidden/>
    <w:unhideWhenUsed/>
    <w:rsid w:val="00A006D0"/>
    <w:rPr>
      <w:vertAlign w:val="superscript"/>
    </w:rPr>
  </w:style>
  <w:style w:type="paragraph" w:customStyle="1" w:styleId="tv213">
    <w:name w:val="tv213"/>
    <w:basedOn w:val="Parasts"/>
    <w:rsid w:val="00FF4EA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Izclums">
    <w:name w:val="Emphasis"/>
    <w:uiPriority w:val="20"/>
    <w:qFormat/>
    <w:rsid w:val="00895B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04111">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86757710">
      <w:bodyDiv w:val="1"/>
      <w:marLeft w:val="0"/>
      <w:marRight w:val="0"/>
      <w:marTop w:val="0"/>
      <w:marBottom w:val="0"/>
      <w:divBdr>
        <w:top w:val="none" w:sz="0" w:space="0" w:color="auto"/>
        <w:left w:val="none" w:sz="0" w:space="0" w:color="auto"/>
        <w:bottom w:val="none" w:sz="0" w:space="0" w:color="auto"/>
        <w:right w:val="none" w:sz="0" w:space="0" w:color="auto"/>
      </w:divBdr>
    </w:div>
    <w:div w:id="424762442">
      <w:bodyDiv w:val="1"/>
      <w:marLeft w:val="0"/>
      <w:marRight w:val="0"/>
      <w:marTop w:val="0"/>
      <w:marBottom w:val="0"/>
      <w:divBdr>
        <w:top w:val="none" w:sz="0" w:space="0" w:color="auto"/>
        <w:left w:val="none" w:sz="0" w:space="0" w:color="auto"/>
        <w:bottom w:val="none" w:sz="0" w:space="0" w:color="auto"/>
        <w:right w:val="none" w:sz="0" w:space="0" w:color="auto"/>
      </w:divBdr>
      <w:divsChild>
        <w:div w:id="1653757435">
          <w:marLeft w:val="0"/>
          <w:marRight w:val="0"/>
          <w:marTop w:val="0"/>
          <w:marBottom w:val="0"/>
          <w:divBdr>
            <w:top w:val="none" w:sz="0" w:space="0" w:color="auto"/>
            <w:left w:val="none" w:sz="0" w:space="0" w:color="auto"/>
            <w:bottom w:val="none" w:sz="0" w:space="0" w:color="auto"/>
            <w:right w:val="none" w:sz="0" w:space="0" w:color="auto"/>
          </w:divBdr>
          <w:divsChild>
            <w:div w:id="962032494">
              <w:marLeft w:val="0"/>
              <w:marRight w:val="0"/>
              <w:marTop w:val="0"/>
              <w:marBottom w:val="0"/>
              <w:divBdr>
                <w:top w:val="none" w:sz="0" w:space="0" w:color="auto"/>
                <w:left w:val="none" w:sz="0" w:space="0" w:color="auto"/>
                <w:bottom w:val="none" w:sz="0" w:space="0" w:color="auto"/>
                <w:right w:val="none" w:sz="0" w:space="0" w:color="auto"/>
              </w:divBdr>
              <w:divsChild>
                <w:div w:id="1338969307">
                  <w:marLeft w:val="0"/>
                  <w:marRight w:val="0"/>
                  <w:marTop w:val="0"/>
                  <w:marBottom w:val="0"/>
                  <w:divBdr>
                    <w:top w:val="none" w:sz="0" w:space="0" w:color="auto"/>
                    <w:left w:val="none" w:sz="0" w:space="0" w:color="auto"/>
                    <w:bottom w:val="none" w:sz="0" w:space="0" w:color="auto"/>
                    <w:right w:val="none" w:sz="0" w:space="0" w:color="auto"/>
                  </w:divBdr>
                  <w:divsChild>
                    <w:div w:id="1895239016">
                      <w:marLeft w:val="0"/>
                      <w:marRight w:val="0"/>
                      <w:marTop w:val="0"/>
                      <w:marBottom w:val="0"/>
                      <w:divBdr>
                        <w:top w:val="none" w:sz="0" w:space="0" w:color="auto"/>
                        <w:left w:val="none" w:sz="0" w:space="0" w:color="auto"/>
                        <w:bottom w:val="none" w:sz="0" w:space="0" w:color="auto"/>
                        <w:right w:val="none" w:sz="0" w:space="0" w:color="auto"/>
                      </w:divBdr>
                      <w:divsChild>
                        <w:div w:id="1424456890">
                          <w:marLeft w:val="0"/>
                          <w:marRight w:val="0"/>
                          <w:marTop w:val="0"/>
                          <w:marBottom w:val="0"/>
                          <w:divBdr>
                            <w:top w:val="none" w:sz="0" w:space="0" w:color="auto"/>
                            <w:left w:val="none" w:sz="0" w:space="0" w:color="auto"/>
                            <w:bottom w:val="none" w:sz="0" w:space="0" w:color="auto"/>
                            <w:right w:val="none" w:sz="0" w:space="0" w:color="auto"/>
                          </w:divBdr>
                          <w:divsChild>
                            <w:div w:id="19406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751826">
      <w:bodyDiv w:val="1"/>
      <w:marLeft w:val="0"/>
      <w:marRight w:val="0"/>
      <w:marTop w:val="0"/>
      <w:marBottom w:val="0"/>
      <w:divBdr>
        <w:top w:val="none" w:sz="0" w:space="0" w:color="auto"/>
        <w:left w:val="none" w:sz="0" w:space="0" w:color="auto"/>
        <w:bottom w:val="none" w:sz="0" w:space="0" w:color="auto"/>
        <w:right w:val="none" w:sz="0" w:space="0" w:color="auto"/>
      </w:divBdr>
    </w:div>
    <w:div w:id="694580166">
      <w:bodyDiv w:val="1"/>
      <w:marLeft w:val="0"/>
      <w:marRight w:val="0"/>
      <w:marTop w:val="0"/>
      <w:marBottom w:val="0"/>
      <w:divBdr>
        <w:top w:val="none" w:sz="0" w:space="0" w:color="auto"/>
        <w:left w:val="none" w:sz="0" w:space="0" w:color="auto"/>
        <w:bottom w:val="none" w:sz="0" w:space="0" w:color="auto"/>
        <w:right w:val="none" w:sz="0" w:space="0" w:color="auto"/>
      </w:divBdr>
    </w:div>
    <w:div w:id="749155876">
      <w:bodyDiv w:val="1"/>
      <w:marLeft w:val="0"/>
      <w:marRight w:val="0"/>
      <w:marTop w:val="0"/>
      <w:marBottom w:val="0"/>
      <w:divBdr>
        <w:top w:val="none" w:sz="0" w:space="0" w:color="auto"/>
        <w:left w:val="none" w:sz="0" w:space="0" w:color="auto"/>
        <w:bottom w:val="none" w:sz="0" w:space="0" w:color="auto"/>
        <w:right w:val="none" w:sz="0" w:space="0" w:color="auto"/>
      </w:divBdr>
    </w:div>
    <w:div w:id="782959975">
      <w:bodyDiv w:val="1"/>
      <w:marLeft w:val="0"/>
      <w:marRight w:val="0"/>
      <w:marTop w:val="0"/>
      <w:marBottom w:val="0"/>
      <w:divBdr>
        <w:top w:val="none" w:sz="0" w:space="0" w:color="auto"/>
        <w:left w:val="none" w:sz="0" w:space="0" w:color="auto"/>
        <w:bottom w:val="none" w:sz="0" w:space="0" w:color="auto"/>
        <w:right w:val="none" w:sz="0" w:space="0" w:color="auto"/>
      </w:divBdr>
    </w:div>
    <w:div w:id="978071297">
      <w:bodyDiv w:val="1"/>
      <w:marLeft w:val="0"/>
      <w:marRight w:val="0"/>
      <w:marTop w:val="0"/>
      <w:marBottom w:val="0"/>
      <w:divBdr>
        <w:top w:val="none" w:sz="0" w:space="0" w:color="auto"/>
        <w:left w:val="none" w:sz="0" w:space="0" w:color="auto"/>
        <w:bottom w:val="none" w:sz="0" w:space="0" w:color="auto"/>
        <w:right w:val="none" w:sz="0" w:space="0" w:color="auto"/>
      </w:divBdr>
    </w:div>
    <w:div w:id="2055737830">
      <w:bodyDiv w:val="1"/>
      <w:marLeft w:val="0"/>
      <w:marRight w:val="0"/>
      <w:marTop w:val="0"/>
      <w:marBottom w:val="0"/>
      <w:divBdr>
        <w:top w:val="none" w:sz="0" w:space="0" w:color="auto"/>
        <w:left w:val="none" w:sz="0" w:space="0" w:color="auto"/>
        <w:bottom w:val="none" w:sz="0" w:space="0" w:color="auto"/>
        <w:right w:val="none" w:sz="0" w:space="0" w:color="auto"/>
      </w:divBdr>
      <w:divsChild>
        <w:div w:id="883101887">
          <w:marLeft w:val="0"/>
          <w:marRight w:val="0"/>
          <w:marTop w:val="0"/>
          <w:marBottom w:val="0"/>
          <w:divBdr>
            <w:top w:val="none" w:sz="0" w:space="0" w:color="auto"/>
            <w:left w:val="none" w:sz="0" w:space="0" w:color="auto"/>
            <w:bottom w:val="none" w:sz="0" w:space="0" w:color="auto"/>
            <w:right w:val="none" w:sz="0" w:space="0" w:color="auto"/>
          </w:divBdr>
          <w:divsChild>
            <w:div w:id="1333606195">
              <w:marLeft w:val="0"/>
              <w:marRight w:val="0"/>
              <w:marTop w:val="0"/>
              <w:marBottom w:val="0"/>
              <w:divBdr>
                <w:top w:val="none" w:sz="0" w:space="0" w:color="auto"/>
                <w:left w:val="none" w:sz="0" w:space="0" w:color="auto"/>
                <w:bottom w:val="none" w:sz="0" w:space="0" w:color="auto"/>
                <w:right w:val="none" w:sz="0" w:space="0" w:color="auto"/>
              </w:divBdr>
              <w:divsChild>
                <w:div w:id="1856994501">
                  <w:marLeft w:val="0"/>
                  <w:marRight w:val="0"/>
                  <w:marTop w:val="0"/>
                  <w:marBottom w:val="0"/>
                  <w:divBdr>
                    <w:top w:val="none" w:sz="0" w:space="0" w:color="auto"/>
                    <w:left w:val="none" w:sz="0" w:space="0" w:color="auto"/>
                    <w:bottom w:val="none" w:sz="0" w:space="0" w:color="auto"/>
                    <w:right w:val="none" w:sz="0" w:space="0" w:color="auto"/>
                  </w:divBdr>
                  <w:divsChild>
                    <w:div w:id="374744803">
                      <w:marLeft w:val="0"/>
                      <w:marRight w:val="0"/>
                      <w:marTop w:val="0"/>
                      <w:marBottom w:val="0"/>
                      <w:divBdr>
                        <w:top w:val="none" w:sz="0" w:space="0" w:color="auto"/>
                        <w:left w:val="none" w:sz="0" w:space="0" w:color="auto"/>
                        <w:bottom w:val="none" w:sz="0" w:space="0" w:color="auto"/>
                        <w:right w:val="none" w:sz="0" w:space="0" w:color="auto"/>
                      </w:divBdr>
                      <w:divsChild>
                        <w:div w:id="966592325">
                          <w:marLeft w:val="0"/>
                          <w:marRight w:val="0"/>
                          <w:marTop w:val="0"/>
                          <w:marBottom w:val="0"/>
                          <w:divBdr>
                            <w:top w:val="none" w:sz="0" w:space="0" w:color="auto"/>
                            <w:left w:val="none" w:sz="0" w:space="0" w:color="auto"/>
                            <w:bottom w:val="none" w:sz="0" w:space="0" w:color="auto"/>
                            <w:right w:val="none" w:sz="0" w:space="0" w:color="auto"/>
                          </w:divBdr>
                          <w:divsChild>
                            <w:div w:id="19921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titania.saeima.lv/LIVS11/saeimalivs11.nsf/0/4b7311843c72aebdc2257b6c0032308a/$FILE/8_4-2-41-11_13.pdf"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A9E0E-216F-40B9-A8CC-E4AB90E46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BF113A5-F62C-4F1A-8686-D0FDAEFF88AA}">
  <ds:schemaRefs>
    <ds:schemaRef ds:uri="http://schemas.microsoft.com/sharepoint/v3/contenttype/forms"/>
  </ds:schemaRefs>
</ds:datastoreItem>
</file>

<file path=customXml/itemProps3.xml><?xml version="1.0" encoding="utf-8"?>
<ds:datastoreItem xmlns:ds="http://schemas.openxmlformats.org/officeDocument/2006/customXml" ds:itemID="{EB74311C-6B2B-42B9-8A43-22D6D3D30143}">
  <ds:schemaRefs>
    <ds:schemaRef ds:uri="http://schemas.openxmlformats.org/package/2006/metadata/core-properties"/>
    <ds:schemaRef ds:uri="http://schemas.microsoft.com/office/2006/documentManagement/types"/>
    <ds:schemaRef ds:uri="http://purl.org/dc/dcmitype/"/>
    <ds:schemaRef ds:uri="http://purl.org/dc/terms/"/>
    <ds:schemaRef ds:uri="http://schemas.microsoft.com/office/2006/metadata/properties"/>
    <ds:schemaRef ds:uri="http://purl.org/dc/elements/1.1/"/>
    <ds:schemaRef ds:uri="http://www.w3.org/XML/1998/namespace"/>
  </ds:schemaRefs>
</ds:datastoreItem>
</file>

<file path=customXml/itemProps4.xml><?xml version="1.0" encoding="utf-8"?>
<ds:datastoreItem xmlns:ds="http://schemas.openxmlformats.org/officeDocument/2006/customXml" ds:itemID="{957A33CF-1139-4FE9-A4E3-1678C047F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6181</Words>
  <Characters>3524</Characters>
  <Application>Microsoft Office Word</Application>
  <DocSecurity>0</DocSecurity>
  <Lines>29</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2014. gada 2. septembra noteikumos Nr. 529 „Ēku būvnoteikumi”” sākotnējās ietekmes novērtējuma ziņojums (anotācija)</vt:lpstr>
      <vt:lpstr>Likumprojekta „Grozījumi likumā „Par nekustamā īpašuma nodokli”” sākotnējās ietekmes novērtējuma ziņojums (anotācija)</vt:lpstr>
    </vt:vector>
  </TitlesOfParts>
  <Company>Tieslietu ministrija</Company>
  <LinksUpToDate>false</LinksUpToDate>
  <CharactersWithSpaces>9686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 septembra noteikumos Nr. 529 „Ēku būvnoteikumi”” sākotnējās ietekmes novērtējuma ziņojums (anotācija)</dc:title>
  <dc:subject>Anotācija</dc:subject>
  <dc:creator>Sandris Rāgs</dc:creator>
  <dc:description>67036974, Sandris.Rags@tm.gov.lv</dc:description>
  <cp:lastModifiedBy>Agita Sproge</cp:lastModifiedBy>
  <cp:revision>3</cp:revision>
  <cp:lastPrinted>2015-11-24T10:29:00Z</cp:lastPrinted>
  <dcterms:created xsi:type="dcterms:W3CDTF">2016-09-09T11:44:00Z</dcterms:created>
  <dcterms:modified xsi:type="dcterms:W3CDTF">2016-09-16T07:31:00Z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