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4819A6" w:rsidRDefault="00686E56" w:rsidP="00DD7678">
      <w:pPr>
        <w:spacing w:after="0" w:line="240" w:lineRule="auto"/>
        <w:jc w:val="center"/>
        <w:rPr>
          <w:rFonts w:ascii="Times New Roman" w:eastAsia="Times New Roman" w:hAnsi="Times New Roman" w:cs="Times New Roman"/>
          <w:b/>
          <w:bCs/>
          <w:sz w:val="24"/>
          <w:szCs w:val="24"/>
          <w:lang w:eastAsia="lv-LV"/>
        </w:rPr>
      </w:pPr>
      <w:r w:rsidRPr="004819A6">
        <w:rPr>
          <w:rFonts w:ascii="Times New Roman" w:eastAsia="Times New Roman" w:hAnsi="Times New Roman" w:cs="Times New Roman"/>
          <w:b/>
          <w:bCs/>
          <w:sz w:val="24"/>
          <w:szCs w:val="24"/>
          <w:lang w:eastAsia="lv-LV"/>
        </w:rPr>
        <w:t>L</w:t>
      </w:r>
      <w:r w:rsidR="00DF0F96">
        <w:rPr>
          <w:rFonts w:ascii="Times New Roman" w:eastAsia="Times New Roman" w:hAnsi="Times New Roman" w:cs="Times New Roman"/>
          <w:b/>
          <w:bCs/>
          <w:sz w:val="24"/>
          <w:szCs w:val="24"/>
          <w:lang w:eastAsia="lv-LV"/>
        </w:rPr>
        <w:t>ikumprojekta "</w:t>
      </w:r>
      <w:r w:rsidR="00986482">
        <w:rPr>
          <w:rFonts w:ascii="Times New Roman" w:eastAsia="Times New Roman" w:hAnsi="Times New Roman" w:cs="Times New Roman"/>
          <w:b/>
          <w:bCs/>
          <w:sz w:val="24"/>
          <w:szCs w:val="24"/>
          <w:lang w:eastAsia="lv-LV"/>
        </w:rPr>
        <w:t>Par</w:t>
      </w:r>
      <w:r w:rsidRPr="004819A6">
        <w:rPr>
          <w:rFonts w:ascii="Times New Roman" w:eastAsia="Times New Roman" w:hAnsi="Times New Roman" w:cs="Times New Roman"/>
          <w:b/>
          <w:bCs/>
          <w:sz w:val="24"/>
          <w:szCs w:val="24"/>
          <w:lang w:eastAsia="lv-LV"/>
        </w:rPr>
        <w:t xml:space="preserve"> Konvenciju par pieaugušo pe</w:t>
      </w:r>
      <w:r w:rsidR="00DF0F96">
        <w:rPr>
          <w:rFonts w:ascii="Times New Roman" w:eastAsia="Times New Roman" w:hAnsi="Times New Roman" w:cs="Times New Roman"/>
          <w:b/>
          <w:bCs/>
          <w:sz w:val="24"/>
          <w:szCs w:val="24"/>
          <w:lang w:eastAsia="lv-LV"/>
        </w:rPr>
        <w:t>rsonu starptautisko aizsardzību"</w:t>
      </w:r>
      <w:r w:rsidRPr="004819A6">
        <w:rPr>
          <w:rFonts w:ascii="Times New Roman" w:eastAsia="Times New Roman" w:hAnsi="Times New Roman" w:cs="Times New Roman"/>
          <w:b/>
          <w:bCs/>
          <w:sz w:val="24"/>
          <w:szCs w:val="24"/>
          <w:lang w:eastAsia="lv-LV"/>
        </w:rPr>
        <w:t xml:space="preserve"> sākotnējās ietekmes novērtējuma ziņojums (anotācija)</w:t>
      </w:r>
    </w:p>
    <w:p w:rsidR="00686E56" w:rsidRPr="004819A6" w:rsidRDefault="00686E56"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686E56" w:rsidRPr="004819A6"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819A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819A6">
              <w:rPr>
                <w:rFonts w:ascii="Times New Roman" w:eastAsia="Times New Roman" w:hAnsi="Times New Roman" w:cs="Times New Roman"/>
                <w:b/>
                <w:bCs/>
                <w:sz w:val="24"/>
                <w:szCs w:val="24"/>
                <w:lang w:eastAsia="lv-LV"/>
              </w:rPr>
              <w:t>I. Tiesību akta projekta izstrādes nepieciešamība</w:t>
            </w:r>
          </w:p>
        </w:tc>
      </w:tr>
      <w:tr w:rsidR="00686E56" w:rsidRPr="004819A6"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819A6" w:rsidRDefault="00C8105D" w:rsidP="00986482">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 xml:space="preserve">Hāgas </w:t>
            </w:r>
            <w:r>
              <w:rPr>
                <w:rFonts w:ascii="Times New Roman" w:eastAsia="Times New Roman" w:hAnsi="Times New Roman" w:cs="Times New Roman"/>
                <w:sz w:val="24"/>
                <w:szCs w:val="24"/>
                <w:lang w:eastAsia="lv-LV"/>
              </w:rPr>
              <w:t>S</w:t>
            </w:r>
            <w:r w:rsidRPr="004819A6">
              <w:rPr>
                <w:rFonts w:ascii="Times New Roman" w:eastAsia="Times New Roman" w:hAnsi="Times New Roman" w:cs="Times New Roman"/>
                <w:sz w:val="24"/>
                <w:szCs w:val="24"/>
                <w:lang w:eastAsia="lv-LV"/>
              </w:rPr>
              <w:t xml:space="preserve">tarptautisko privāttiesību konferences (turpmāk </w:t>
            </w:r>
            <w:r>
              <w:rPr>
                <w:rFonts w:ascii="Times New Roman" w:eastAsia="Times New Roman" w:hAnsi="Times New Roman" w:cs="Times New Roman"/>
                <w:sz w:val="24"/>
                <w:szCs w:val="24"/>
                <w:lang w:eastAsia="lv-LV"/>
              </w:rPr>
              <w:t>–</w:t>
            </w:r>
            <w:r w:rsidRPr="004819A6">
              <w:rPr>
                <w:rFonts w:ascii="Times New Roman" w:eastAsia="Times New Roman" w:hAnsi="Times New Roman" w:cs="Times New Roman"/>
                <w:sz w:val="24"/>
                <w:szCs w:val="24"/>
                <w:lang w:eastAsia="lv-LV"/>
              </w:rPr>
              <w:t xml:space="preserve"> HCCH) </w:t>
            </w:r>
            <w:r>
              <w:rPr>
                <w:rFonts w:ascii="Times New Roman" w:eastAsia="Times New Roman" w:hAnsi="Times New Roman" w:cs="Times New Roman"/>
                <w:sz w:val="24"/>
                <w:szCs w:val="24"/>
                <w:lang w:eastAsia="lv-LV"/>
              </w:rPr>
              <w:t>ģ</w:t>
            </w:r>
            <w:r w:rsidR="00887BDE">
              <w:rPr>
                <w:rFonts w:ascii="Times New Roman" w:eastAsia="Times New Roman" w:hAnsi="Times New Roman" w:cs="Times New Roman"/>
                <w:sz w:val="24"/>
                <w:szCs w:val="24"/>
                <w:lang w:eastAsia="lv-LV"/>
              </w:rPr>
              <w:t xml:space="preserve">enerālsekretārs </w:t>
            </w:r>
            <w:r w:rsidR="00B93920">
              <w:rPr>
                <w:rFonts w:ascii="Times New Roman" w:eastAsia="Times New Roman" w:hAnsi="Times New Roman" w:cs="Times New Roman"/>
                <w:sz w:val="24"/>
                <w:szCs w:val="24"/>
                <w:lang w:eastAsia="lv-LV"/>
              </w:rPr>
              <w:t>Latvijas Republikas vēstniecībai Nīderland</w:t>
            </w:r>
            <w:r w:rsidR="00986482">
              <w:rPr>
                <w:rFonts w:ascii="Times New Roman" w:eastAsia="Times New Roman" w:hAnsi="Times New Roman" w:cs="Times New Roman"/>
                <w:sz w:val="24"/>
                <w:szCs w:val="24"/>
                <w:lang w:eastAsia="lv-LV"/>
              </w:rPr>
              <w:t xml:space="preserve">es Karalistē </w:t>
            </w:r>
            <w:r w:rsidR="005267F8">
              <w:rPr>
                <w:rFonts w:ascii="Times New Roman" w:eastAsia="Times New Roman" w:hAnsi="Times New Roman" w:cs="Times New Roman"/>
                <w:sz w:val="24"/>
                <w:szCs w:val="24"/>
                <w:lang w:eastAsia="lv-LV"/>
              </w:rPr>
              <w:t>lūdzis nodot</w:t>
            </w:r>
            <w:r w:rsidR="00B93920">
              <w:rPr>
                <w:rFonts w:ascii="Times New Roman" w:eastAsia="Times New Roman" w:hAnsi="Times New Roman" w:cs="Times New Roman"/>
                <w:sz w:val="24"/>
                <w:szCs w:val="24"/>
                <w:lang w:eastAsia="lv-LV"/>
              </w:rPr>
              <w:t xml:space="preserve"> aicinājumu Latvijai ratificēt Hāgas 2000. gada 13. janvāra Konvenciju</w:t>
            </w:r>
            <w:r w:rsidR="00B93920" w:rsidRPr="004819A6">
              <w:rPr>
                <w:rFonts w:ascii="Times New Roman" w:eastAsia="Times New Roman" w:hAnsi="Times New Roman" w:cs="Times New Roman"/>
                <w:sz w:val="24"/>
                <w:szCs w:val="24"/>
                <w:lang w:eastAsia="lv-LV"/>
              </w:rPr>
              <w:t xml:space="preserve"> par pieaugušo</w:t>
            </w:r>
            <w:r w:rsidR="00B93920">
              <w:rPr>
                <w:rFonts w:ascii="Times New Roman" w:eastAsia="Times New Roman" w:hAnsi="Times New Roman" w:cs="Times New Roman"/>
                <w:sz w:val="24"/>
                <w:szCs w:val="24"/>
                <w:lang w:eastAsia="lv-LV"/>
              </w:rPr>
              <w:t xml:space="preserve"> personu</w:t>
            </w:r>
            <w:r w:rsidR="00B93920" w:rsidRPr="004819A6">
              <w:rPr>
                <w:rFonts w:ascii="Times New Roman" w:eastAsia="Times New Roman" w:hAnsi="Times New Roman" w:cs="Times New Roman"/>
                <w:sz w:val="24"/>
                <w:szCs w:val="24"/>
                <w:lang w:eastAsia="lv-LV"/>
              </w:rPr>
              <w:t xml:space="preserve"> starptautisko aizsardzību (</w:t>
            </w:r>
            <w:r w:rsidR="00B93920">
              <w:rPr>
                <w:rFonts w:ascii="Times New Roman" w:eastAsia="Times New Roman" w:hAnsi="Times New Roman" w:cs="Times New Roman"/>
                <w:sz w:val="24"/>
                <w:szCs w:val="24"/>
                <w:lang w:eastAsia="lv-LV"/>
              </w:rPr>
              <w:t>turpmāk – Konvencija</w:t>
            </w:r>
            <w:r w:rsidR="00B93920" w:rsidRPr="004819A6">
              <w:rPr>
                <w:rFonts w:ascii="Times New Roman" w:eastAsia="Times New Roman" w:hAnsi="Times New Roman" w:cs="Times New Roman"/>
                <w:sz w:val="24"/>
                <w:szCs w:val="24"/>
                <w:lang w:eastAsia="lv-LV"/>
              </w:rPr>
              <w:t>).</w:t>
            </w:r>
            <w:r w:rsidR="00B93920">
              <w:rPr>
                <w:rFonts w:ascii="Times New Roman" w:eastAsia="Times New Roman" w:hAnsi="Times New Roman" w:cs="Times New Roman"/>
                <w:sz w:val="24"/>
                <w:szCs w:val="24"/>
                <w:lang w:eastAsia="lv-LV"/>
              </w:rPr>
              <w:t xml:space="preserve"> Līdzīgu aicinājumu </w:t>
            </w:r>
            <w:r w:rsidR="005267F8">
              <w:rPr>
                <w:rFonts w:ascii="Times New Roman" w:eastAsia="Times New Roman" w:hAnsi="Times New Roman" w:cs="Times New Roman"/>
                <w:sz w:val="24"/>
                <w:szCs w:val="24"/>
                <w:lang w:eastAsia="lv-LV"/>
              </w:rPr>
              <w:t>visām Eiropas valstīm, kuras</w:t>
            </w:r>
            <w:r w:rsidR="00B93920">
              <w:rPr>
                <w:rFonts w:ascii="Times New Roman" w:eastAsia="Times New Roman" w:hAnsi="Times New Roman" w:cs="Times New Roman"/>
                <w:sz w:val="24"/>
                <w:szCs w:val="24"/>
                <w:lang w:eastAsia="lv-LV"/>
              </w:rPr>
              <w:t xml:space="preserve"> vēl nav </w:t>
            </w:r>
            <w:r w:rsidR="005267F8">
              <w:rPr>
                <w:rFonts w:ascii="Times New Roman" w:eastAsia="Times New Roman" w:hAnsi="Times New Roman" w:cs="Times New Roman"/>
                <w:sz w:val="24"/>
                <w:szCs w:val="24"/>
                <w:lang w:eastAsia="lv-LV"/>
              </w:rPr>
              <w:t xml:space="preserve">pievienojušās Konvencijai, </w:t>
            </w:r>
            <w:r w:rsidR="00B93920">
              <w:rPr>
                <w:rFonts w:ascii="Times New Roman" w:eastAsia="Times New Roman" w:hAnsi="Times New Roman" w:cs="Times New Roman"/>
                <w:sz w:val="24"/>
                <w:szCs w:val="24"/>
                <w:lang w:eastAsia="lv-LV"/>
              </w:rPr>
              <w:t xml:space="preserve">tai skaitā Latvijas Republikai </w:t>
            </w:r>
            <w:r w:rsidR="00887BDE">
              <w:rPr>
                <w:rFonts w:ascii="Times New Roman" w:eastAsia="Times New Roman" w:hAnsi="Times New Roman" w:cs="Times New Roman"/>
                <w:sz w:val="24"/>
                <w:szCs w:val="24"/>
                <w:lang w:eastAsia="lv-LV"/>
              </w:rPr>
              <w:t>2012.</w:t>
            </w:r>
            <w:r w:rsidR="005267F8">
              <w:rPr>
                <w:rFonts w:ascii="Times New Roman" w:eastAsia="Times New Roman" w:hAnsi="Times New Roman" w:cs="Times New Roman"/>
                <w:sz w:val="24"/>
                <w:szCs w:val="24"/>
                <w:lang w:eastAsia="lv-LV"/>
              </w:rPr>
              <w:t> </w:t>
            </w:r>
            <w:r w:rsidR="00B93920">
              <w:rPr>
                <w:rFonts w:ascii="Times New Roman" w:eastAsia="Times New Roman" w:hAnsi="Times New Roman" w:cs="Times New Roman"/>
                <w:sz w:val="24"/>
                <w:szCs w:val="24"/>
                <w:lang w:eastAsia="lv-LV"/>
              </w:rPr>
              <w:t xml:space="preserve">gadā izteikusi arī </w:t>
            </w:r>
            <w:r w:rsidR="00887BDE">
              <w:rPr>
                <w:rFonts w:ascii="Times New Roman" w:eastAsia="Times New Roman" w:hAnsi="Times New Roman" w:cs="Times New Roman"/>
                <w:sz w:val="24"/>
                <w:szCs w:val="24"/>
                <w:lang w:eastAsia="lv-LV"/>
              </w:rPr>
              <w:t>Eiropas Padome</w:t>
            </w:r>
            <w:r w:rsidR="00B93920">
              <w:rPr>
                <w:rFonts w:ascii="Times New Roman" w:eastAsia="Times New Roman" w:hAnsi="Times New Roman" w:cs="Times New Roman"/>
                <w:sz w:val="24"/>
                <w:szCs w:val="24"/>
                <w:lang w:eastAsia="lv-LV"/>
              </w:rPr>
              <w:t>s Juridiskā komiteja.</w:t>
            </w:r>
          </w:p>
        </w:tc>
      </w:tr>
      <w:tr w:rsidR="00686E56" w:rsidRPr="004819A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956D9" w:rsidRDefault="00187F1F" w:rsidP="00D239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 </w:t>
            </w:r>
            <w:r w:rsidR="00686E56" w:rsidRPr="004819A6">
              <w:rPr>
                <w:rFonts w:ascii="Times New Roman" w:eastAsia="Times New Roman" w:hAnsi="Times New Roman" w:cs="Times New Roman"/>
                <w:sz w:val="24"/>
                <w:szCs w:val="24"/>
                <w:lang w:eastAsia="lv-LV"/>
              </w:rPr>
              <w:t xml:space="preserve">vērsta uz personu aizsardzību, kuras veselības traucējumu vai citu personu ierobežojošu faktoru dēļ vairs nevar pilnvērtīgi aizsargāt savas intereses. </w:t>
            </w:r>
            <w:r w:rsidR="00C956D9">
              <w:rPr>
                <w:rFonts w:ascii="Times New Roman" w:eastAsia="Times New Roman" w:hAnsi="Times New Roman" w:cs="Times New Roman"/>
                <w:sz w:val="24"/>
                <w:szCs w:val="24"/>
                <w:lang w:eastAsia="lv-LV"/>
              </w:rPr>
              <w:t xml:space="preserve">Konvencija attiecas uz pieaugušo aizsardzību situācijās ar pārrobežu elementu, kuras </w:t>
            </w:r>
            <w:r w:rsidR="009834B2">
              <w:rPr>
                <w:rFonts w:ascii="Times New Roman" w:eastAsia="Times New Roman" w:hAnsi="Times New Roman" w:cs="Times New Roman"/>
                <w:sz w:val="24"/>
                <w:szCs w:val="24"/>
                <w:lang w:eastAsia="lv-LV"/>
              </w:rPr>
              <w:t>savu spēju pasliktināšanās vai nepietiekamības dēļ nespēj aizsargāt savas intereses.</w:t>
            </w:r>
            <w:r w:rsidR="005B5C23">
              <w:rPr>
                <w:rFonts w:ascii="Times New Roman" w:eastAsia="Times New Roman" w:hAnsi="Times New Roman" w:cs="Times New Roman"/>
                <w:sz w:val="24"/>
                <w:szCs w:val="24"/>
                <w:lang w:eastAsia="lv-LV"/>
              </w:rPr>
              <w:t xml:space="preserve"> Tādejādi </w:t>
            </w:r>
            <w:r w:rsidR="006330B1">
              <w:rPr>
                <w:rFonts w:ascii="Times New Roman" w:eastAsia="Times New Roman" w:hAnsi="Times New Roman" w:cs="Times New Roman"/>
                <w:sz w:val="24"/>
                <w:szCs w:val="24"/>
                <w:lang w:eastAsia="lv-LV"/>
              </w:rPr>
              <w:t xml:space="preserve">tiek uzsvērta </w:t>
            </w:r>
            <w:r w:rsidR="005B5C23">
              <w:rPr>
                <w:rFonts w:ascii="Times New Roman" w:eastAsia="Times New Roman" w:hAnsi="Times New Roman" w:cs="Times New Roman"/>
                <w:sz w:val="24"/>
                <w:szCs w:val="24"/>
                <w:lang w:eastAsia="lv-LV"/>
              </w:rPr>
              <w:t>starptautiskās sadarbības nozīm</w:t>
            </w:r>
            <w:r w:rsidR="006330B1">
              <w:rPr>
                <w:rFonts w:ascii="Times New Roman" w:eastAsia="Times New Roman" w:hAnsi="Times New Roman" w:cs="Times New Roman"/>
                <w:sz w:val="24"/>
                <w:szCs w:val="24"/>
                <w:lang w:eastAsia="lv-LV"/>
              </w:rPr>
              <w:t>e</w:t>
            </w:r>
            <w:r w:rsidR="005B5C23">
              <w:rPr>
                <w:rFonts w:ascii="Times New Roman" w:eastAsia="Times New Roman" w:hAnsi="Times New Roman" w:cs="Times New Roman"/>
                <w:sz w:val="24"/>
                <w:szCs w:val="24"/>
                <w:lang w:eastAsia="lv-LV"/>
              </w:rPr>
              <w:t xml:space="preserve"> pieaugušo aizsardz</w:t>
            </w:r>
            <w:r w:rsidR="005B5224">
              <w:rPr>
                <w:rFonts w:ascii="Times New Roman" w:eastAsia="Times New Roman" w:hAnsi="Times New Roman" w:cs="Times New Roman"/>
                <w:sz w:val="24"/>
                <w:szCs w:val="24"/>
                <w:lang w:eastAsia="lv-LV"/>
              </w:rPr>
              <w:t>ības jomā.</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Konvencija</w:t>
            </w:r>
            <w:r w:rsidR="003B7FB0">
              <w:rPr>
                <w:rFonts w:ascii="Times New Roman" w:eastAsia="Times New Roman" w:hAnsi="Times New Roman" w:cs="Times New Roman"/>
                <w:sz w:val="24"/>
                <w:szCs w:val="24"/>
                <w:lang w:eastAsia="lv-LV"/>
              </w:rPr>
              <w:t xml:space="preserve"> </w:t>
            </w:r>
            <w:r w:rsidR="00A9436B">
              <w:rPr>
                <w:rFonts w:ascii="Times New Roman" w:eastAsia="Times New Roman" w:hAnsi="Times New Roman" w:cs="Times New Roman"/>
                <w:sz w:val="24"/>
                <w:szCs w:val="24"/>
                <w:lang w:eastAsia="lv-LV"/>
              </w:rPr>
              <w:t>pieņemta</w:t>
            </w:r>
            <w:r w:rsidR="003B7FB0">
              <w:rPr>
                <w:rFonts w:ascii="Times New Roman" w:eastAsia="Times New Roman" w:hAnsi="Times New Roman" w:cs="Times New Roman"/>
                <w:sz w:val="24"/>
                <w:szCs w:val="24"/>
                <w:lang w:eastAsia="lv-LV"/>
              </w:rPr>
              <w:t xml:space="preserve"> 2000.</w:t>
            </w:r>
            <w:r w:rsidR="007F010D">
              <w:rPr>
                <w:rFonts w:ascii="Times New Roman" w:eastAsia="Times New Roman" w:hAnsi="Times New Roman" w:cs="Times New Roman"/>
                <w:sz w:val="24"/>
                <w:szCs w:val="24"/>
                <w:lang w:eastAsia="lv-LV"/>
              </w:rPr>
              <w:t> </w:t>
            </w:r>
            <w:r w:rsidR="003B7FB0">
              <w:rPr>
                <w:rFonts w:ascii="Times New Roman" w:eastAsia="Times New Roman" w:hAnsi="Times New Roman" w:cs="Times New Roman"/>
                <w:sz w:val="24"/>
                <w:szCs w:val="24"/>
                <w:lang w:eastAsia="lv-LV"/>
              </w:rPr>
              <w:t>gada 13.</w:t>
            </w:r>
            <w:r w:rsidR="007F010D">
              <w:rPr>
                <w:rFonts w:ascii="Times New Roman" w:eastAsia="Times New Roman" w:hAnsi="Times New Roman" w:cs="Times New Roman"/>
                <w:sz w:val="24"/>
                <w:szCs w:val="24"/>
                <w:lang w:eastAsia="lv-LV"/>
              </w:rPr>
              <w:t> </w:t>
            </w:r>
            <w:r w:rsidR="003B7FB0">
              <w:rPr>
                <w:rFonts w:ascii="Times New Roman" w:eastAsia="Times New Roman" w:hAnsi="Times New Roman" w:cs="Times New Roman"/>
                <w:sz w:val="24"/>
                <w:szCs w:val="24"/>
                <w:lang w:eastAsia="lv-LV"/>
              </w:rPr>
              <w:t>janvārī.</w:t>
            </w:r>
            <w:r w:rsidR="0063480E">
              <w:rPr>
                <w:rFonts w:ascii="Times New Roman" w:eastAsia="Times New Roman" w:hAnsi="Times New Roman" w:cs="Times New Roman"/>
                <w:sz w:val="24"/>
                <w:szCs w:val="24"/>
                <w:lang w:eastAsia="lv-LV"/>
              </w:rPr>
              <w:t xml:space="preserve"> Tā ir </w:t>
            </w:r>
            <w:proofErr w:type="gramStart"/>
            <w:r w:rsidR="0063480E">
              <w:rPr>
                <w:rFonts w:ascii="Times New Roman" w:eastAsia="Times New Roman" w:hAnsi="Times New Roman" w:cs="Times New Roman"/>
                <w:sz w:val="24"/>
                <w:szCs w:val="24"/>
                <w:lang w:eastAsia="lv-LV"/>
              </w:rPr>
              <w:t>atvērta parakstīšanai tām valstīm</w:t>
            </w:r>
            <w:proofErr w:type="gramEnd"/>
            <w:r w:rsidR="0063480E">
              <w:rPr>
                <w:rFonts w:ascii="Times New Roman" w:eastAsia="Times New Roman" w:hAnsi="Times New Roman" w:cs="Times New Roman"/>
                <w:sz w:val="24"/>
                <w:szCs w:val="24"/>
                <w:lang w:eastAsia="lv-LV"/>
              </w:rPr>
              <w:t>, kas bija 1999.</w:t>
            </w:r>
            <w:r w:rsidR="007F010D">
              <w:rPr>
                <w:rFonts w:ascii="Times New Roman" w:eastAsia="Times New Roman" w:hAnsi="Times New Roman" w:cs="Times New Roman"/>
                <w:sz w:val="24"/>
                <w:szCs w:val="24"/>
                <w:lang w:eastAsia="lv-LV"/>
              </w:rPr>
              <w:t> </w:t>
            </w:r>
            <w:r w:rsidR="0063480E">
              <w:rPr>
                <w:rFonts w:ascii="Times New Roman" w:eastAsia="Times New Roman" w:hAnsi="Times New Roman" w:cs="Times New Roman"/>
                <w:sz w:val="24"/>
                <w:szCs w:val="24"/>
                <w:lang w:eastAsia="lv-LV"/>
              </w:rPr>
              <w:t>gada 2.</w:t>
            </w:r>
            <w:r w:rsidR="007F010D">
              <w:rPr>
                <w:rFonts w:ascii="Times New Roman" w:eastAsia="Times New Roman" w:hAnsi="Times New Roman" w:cs="Times New Roman"/>
                <w:sz w:val="24"/>
                <w:szCs w:val="24"/>
                <w:lang w:eastAsia="lv-LV"/>
              </w:rPr>
              <w:t> </w:t>
            </w:r>
            <w:r w:rsidR="0063480E">
              <w:rPr>
                <w:rFonts w:ascii="Times New Roman" w:eastAsia="Times New Roman" w:hAnsi="Times New Roman" w:cs="Times New Roman"/>
                <w:sz w:val="24"/>
                <w:szCs w:val="24"/>
                <w:lang w:eastAsia="lv-LV"/>
              </w:rPr>
              <w:t>oktobra</w:t>
            </w:r>
            <w:r w:rsidR="003B7FB0">
              <w:rPr>
                <w:rFonts w:ascii="Times New Roman" w:eastAsia="Times New Roman" w:hAnsi="Times New Roman" w:cs="Times New Roman"/>
                <w:sz w:val="24"/>
                <w:szCs w:val="24"/>
                <w:lang w:eastAsia="lv-LV"/>
              </w:rPr>
              <w:t xml:space="preserve"> </w:t>
            </w:r>
            <w:r w:rsidR="00986482">
              <w:rPr>
                <w:rFonts w:ascii="Times New Roman" w:eastAsia="Times New Roman" w:hAnsi="Times New Roman" w:cs="Times New Roman"/>
                <w:sz w:val="24"/>
                <w:szCs w:val="24"/>
                <w:lang w:eastAsia="lv-LV"/>
              </w:rPr>
              <w:t xml:space="preserve">HCCH </w:t>
            </w:r>
            <w:r w:rsidR="00D577BB">
              <w:rPr>
                <w:rFonts w:ascii="Times New Roman" w:eastAsia="Times New Roman" w:hAnsi="Times New Roman" w:cs="Times New Roman"/>
                <w:sz w:val="24"/>
                <w:szCs w:val="24"/>
                <w:lang w:eastAsia="lv-LV"/>
              </w:rPr>
              <w:t>dalībnieces</w:t>
            </w:r>
            <w:r w:rsidR="00CC68B9">
              <w:rPr>
                <w:rFonts w:ascii="Times New Roman" w:eastAsia="Times New Roman" w:hAnsi="Times New Roman" w:cs="Times New Roman"/>
                <w:sz w:val="24"/>
                <w:szCs w:val="24"/>
                <w:lang w:eastAsia="lv-LV"/>
              </w:rPr>
              <w:t>. To ratificē, pieņem, apstiprina, un ratifikācijas, pieņemšanas vai apstiprināšanas dokumentus deponē Nīderlandes Karalistes Ā</w:t>
            </w:r>
            <w:r w:rsidR="000F4919">
              <w:rPr>
                <w:rFonts w:ascii="Times New Roman" w:eastAsia="Times New Roman" w:hAnsi="Times New Roman" w:cs="Times New Roman"/>
                <w:sz w:val="24"/>
                <w:szCs w:val="24"/>
                <w:lang w:eastAsia="lv-LV"/>
              </w:rPr>
              <w:t>rlietu ministrija</w:t>
            </w:r>
            <w:r w:rsidR="00953F37">
              <w:rPr>
                <w:rFonts w:ascii="Times New Roman" w:eastAsia="Times New Roman" w:hAnsi="Times New Roman" w:cs="Times New Roman"/>
                <w:sz w:val="24"/>
                <w:szCs w:val="24"/>
                <w:lang w:eastAsia="lv-LV"/>
              </w:rPr>
              <w:t>i</w:t>
            </w:r>
            <w:r w:rsidR="00CC68B9">
              <w:rPr>
                <w:rFonts w:ascii="Times New Roman" w:eastAsia="Times New Roman" w:hAnsi="Times New Roman" w:cs="Times New Roman"/>
                <w:sz w:val="24"/>
                <w:szCs w:val="24"/>
                <w:lang w:eastAsia="lv-LV"/>
              </w:rPr>
              <w:t>, kas ir Konvencijas depozitārijs</w:t>
            </w:r>
            <w:r w:rsidR="00767EC7">
              <w:rPr>
                <w:rFonts w:ascii="Times New Roman" w:eastAsia="Times New Roman" w:hAnsi="Times New Roman" w:cs="Times New Roman"/>
                <w:sz w:val="24"/>
                <w:szCs w:val="24"/>
                <w:lang w:eastAsia="lv-LV"/>
              </w:rPr>
              <w:t xml:space="preserve"> un tā</w:t>
            </w:r>
            <w:r w:rsidRPr="004819A6">
              <w:rPr>
                <w:rFonts w:ascii="Times New Roman" w:eastAsia="Times New Roman" w:hAnsi="Times New Roman" w:cs="Times New Roman"/>
                <w:sz w:val="24"/>
                <w:szCs w:val="24"/>
                <w:lang w:eastAsia="lv-LV"/>
              </w:rPr>
              <w:t xml:space="preserve"> stājas spēkā nākamā mēneša pirmajā dienā pēc tam, kad notecējis trīs mēnešu termiņš no ratifikācijas, pievienošanās vai akceptēšanas instrumentu iesniegšanas Konvencijas depozitārijā. </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0E680D">
              <w:rPr>
                <w:rFonts w:ascii="Times New Roman" w:eastAsia="Times New Roman" w:hAnsi="Times New Roman" w:cs="Times New Roman"/>
                <w:sz w:val="24"/>
                <w:szCs w:val="24"/>
                <w:lang w:eastAsia="lv-LV"/>
              </w:rPr>
              <w:t>Konvenciju ir parakstījušas 13 Eiropas Savienības valst</w:t>
            </w:r>
            <w:r w:rsidR="000E680D" w:rsidRPr="000E680D">
              <w:rPr>
                <w:rFonts w:ascii="Times New Roman" w:eastAsia="Times New Roman" w:hAnsi="Times New Roman" w:cs="Times New Roman"/>
                <w:sz w:val="24"/>
                <w:szCs w:val="24"/>
                <w:lang w:eastAsia="lv-LV"/>
              </w:rPr>
              <w:t>is</w:t>
            </w:r>
            <w:r w:rsidR="00187F1F">
              <w:rPr>
                <w:rFonts w:ascii="Times New Roman" w:eastAsia="Times New Roman" w:hAnsi="Times New Roman" w:cs="Times New Roman"/>
                <w:sz w:val="24"/>
                <w:szCs w:val="24"/>
                <w:lang w:eastAsia="lv-LV"/>
              </w:rPr>
              <w:t xml:space="preserve">, kā arī </w:t>
            </w:r>
            <w:r w:rsidR="000E680D" w:rsidRPr="000E680D">
              <w:rPr>
                <w:rFonts w:ascii="Times New Roman" w:eastAsia="Times New Roman" w:hAnsi="Times New Roman" w:cs="Times New Roman"/>
                <w:sz w:val="24"/>
                <w:szCs w:val="24"/>
                <w:lang w:eastAsia="lv-LV"/>
              </w:rPr>
              <w:t>Šveice</w:t>
            </w:r>
            <w:r w:rsidR="00187F1F">
              <w:rPr>
                <w:rFonts w:ascii="Times New Roman" w:eastAsia="Times New Roman" w:hAnsi="Times New Roman" w:cs="Times New Roman"/>
                <w:sz w:val="24"/>
                <w:szCs w:val="24"/>
                <w:lang w:eastAsia="lv-LV"/>
              </w:rPr>
              <w:t xml:space="preserve"> un Monako</w:t>
            </w:r>
            <w:r w:rsidR="000E680D" w:rsidRPr="000E680D">
              <w:rPr>
                <w:rFonts w:ascii="Times New Roman" w:eastAsia="Times New Roman" w:hAnsi="Times New Roman" w:cs="Times New Roman"/>
                <w:sz w:val="24"/>
                <w:szCs w:val="24"/>
                <w:lang w:eastAsia="lv-LV"/>
              </w:rPr>
              <w:t>, un ratificējušas 7</w:t>
            </w:r>
            <w:r w:rsidRPr="000E680D">
              <w:rPr>
                <w:rFonts w:ascii="Times New Roman" w:eastAsia="Times New Roman" w:hAnsi="Times New Roman" w:cs="Times New Roman"/>
                <w:sz w:val="24"/>
                <w:szCs w:val="24"/>
                <w:lang w:eastAsia="lv-LV"/>
              </w:rPr>
              <w:t xml:space="preserve"> Eiropas Savienības valstis </w:t>
            </w:r>
            <w:r w:rsidR="00F754EE">
              <w:rPr>
                <w:rFonts w:ascii="Times New Roman" w:eastAsia="Times New Roman" w:hAnsi="Times New Roman" w:cs="Times New Roman"/>
                <w:sz w:val="24"/>
                <w:szCs w:val="24"/>
                <w:lang w:eastAsia="lv-LV"/>
              </w:rPr>
              <w:t>–</w:t>
            </w:r>
            <w:r w:rsidRPr="000E680D">
              <w:rPr>
                <w:rFonts w:ascii="Times New Roman" w:eastAsia="Times New Roman" w:hAnsi="Times New Roman" w:cs="Times New Roman"/>
                <w:sz w:val="24"/>
                <w:szCs w:val="24"/>
                <w:lang w:eastAsia="lv-LV"/>
              </w:rPr>
              <w:t xml:space="preserve"> </w:t>
            </w:r>
            <w:r w:rsidR="00F754EE">
              <w:rPr>
                <w:rFonts w:ascii="Times New Roman" w:eastAsia="Times New Roman" w:hAnsi="Times New Roman" w:cs="Times New Roman"/>
                <w:sz w:val="24"/>
                <w:szCs w:val="24"/>
                <w:lang w:eastAsia="lv-LV"/>
              </w:rPr>
              <w:t>Austrija</w:t>
            </w:r>
            <w:r w:rsidR="00A9436B">
              <w:rPr>
                <w:rFonts w:ascii="Times New Roman" w:eastAsia="Times New Roman" w:hAnsi="Times New Roman" w:cs="Times New Roman"/>
                <w:sz w:val="24"/>
                <w:szCs w:val="24"/>
                <w:lang w:eastAsia="lv-LV"/>
              </w:rPr>
              <w:t xml:space="preserve"> (spēkā no 01.02.2014.)</w:t>
            </w:r>
            <w:r w:rsidR="00F754EE">
              <w:rPr>
                <w:rFonts w:ascii="Times New Roman" w:eastAsia="Times New Roman" w:hAnsi="Times New Roman" w:cs="Times New Roman"/>
                <w:sz w:val="24"/>
                <w:szCs w:val="24"/>
                <w:lang w:eastAsia="lv-LV"/>
              </w:rPr>
              <w:t xml:space="preserve">, </w:t>
            </w:r>
            <w:r w:rsidRPr="000E680D">
              <w:rPr>
                <w:rFonts w:ascii="Times New Roman" w:eastAsia="Times New Roman" w:hAnsi="Times New Roman" w:cs="Times New Roman"/>
                <w:sz w:val="24"/>
                <w:szCs w:val="24"/>
                <w:lang w:eastAsia="lv-LV"/>
              </w:rPr>
              <w:t>Vācija</w:t>
            </w:r>
            <w:r w:rsidR="00A9436B">
              <w:rPr>
                <w:rFonts w:ascii="Times New Roman" w:eastAsia="Times New Roman" w:hAnsi="Times New Roman" w:cs="Times New Roman"/>
                <w:sz w:val="24"/>
                <w:szCs w:val="24"/>
                <w:lang w:eastAsia="lv-LV"/>
              </w:rPr>
              <w:t xml:space="preserve"> (spēkā no 01.01.2009.)</w:t>
            </w:r>
            <w:r w:rsidRPr="000E680D">
              <w:rPr>
                <w:rFonts w:ascii="Times New Roman" w:eastAsia="Times New Roman" w:hAnsi="Times New Roman" w:cs="Times New Roman"/>
                <w:sz w:val="24"/>
                <w:szCs w:val="24"/>
                <w:lang w:eastAsia="lv-LV"/>
              </w:rPr>
              <w:t>, Somija</w:t>
            </w:r>
            <w:r w:rsidR="00A9436B">
              <w:rPr>
                <w:rFonts w:ascii="Times New Roman" w:eastAsia="Times New Roman" w:hAnsi="Times New Roman" w:cs="Times New Roman"/>
                <w:sz w:val="24"/>
                <w:szCs w:val="24"/>
                <w:lang w:eastAsia="lv-LV"/>
              </w:rPr>
              <w:t xml:space="preserve"> (spēkā no 01.03.2011.)</w:t>
            </w:r>
            <w:r w:rsidRPr="000E680D">
              <w:rPr>
                <w:rFonts w:ascii="Times New Roman" w:eastAsia="Times New Roman" w:hAnsi="Times New Roman" w:cs="Times New Roman"/>
                <w:sz w:val="24"/>
                <w:szCs w:val="24"/>
                <w:lang w:eastAsia="lv-LV"/>
              </w:rPr>
              <w:t>, Francija</w:t>
            </w:r>
            <w:r w:rsidR="00A9436B">
              <w:rPr>
                <w:rFonts w:ascii="Times New Roman" w:eastAsia="Times New Roman" w:hAnsi="Times New Roman" w:cs="Times New Roman"/>
                <w:sz w:val="24"/>
                <w:szCs w:val="24"/>
                <w:lang w:eastAsia="lv-LV"/>
              </w:rPr>
              <w:t xml:space="preserve"> (spēkā no 01.01.2009.)</w:t>
            </w:r>
            <w:r w:rsidRPr="000E680D">
              <w:rPr>
                <w:rFonts w:ascii="Times New Roman" w:eastAsia="Times New Roman" w:hAnsi="Times New Roman" w:cs="Times New Roman"/>
                <w:sz w:val="24"/>
                <w:szCs w:val="24"/>
                <w:lang w:eastAsia="lv-LV"/>
              </w:rPr>
              <w:t>, Apvienotā Karaliste</w:t>
            </w:r>
            <w:r w:rsidR="00A9436B">
              <w:rPr>
                <w:rFonts w:ascii="Times New Roman" w:eastAsia="Times New Roman" w:hAnsi="Times New Roman" w:cs="Times New Roman"/>
                <w:sz w:val="24"/>
                <w:szCs w:val="24"/>
                <w:lang w:eastAsia="lv-LV"/>
              </w:rPr>
              <w:t xml:space="preserve"> (spēkā no 01.01.2009.)</w:t>
            </w:r>
            <w:r w:rsidRPr="000E680D">
              <w:rPr>
                <w:rFonts w:ascii="Times New Roman" w:eastAsia="Times New Roman" w:hAnsi="Times New Roman" w:cs="Times New Roman"/>
                <w:sz w:val="24"/>
                <w:szCs w:val="24"/>
                <w:lang w:eastAsia="lv-LV"/>
              </w:rPr>
              <w:t>, Čehijas Republika</w:t>
            </w:r>
            <w:r w:rsidR="00A9436B">
              <w:rPr>
                <w:rFonts w:ascii="Times New Roman" w:eastAsia="Times New Roman" w:hAnsi="Times New Roman" w:cs="Times New Roman"/>
                <w:sz w:val="24"/>
                <w:szCs w:val="24"/>
                <w:lang w:eastAsia="lv-LV"/>
              </w:rPr>
              <w:t xml:space="preserve"> (spēkā no 01.08.2012.)</w:t>
            </w:r>
            <w:r w:rsidRPr="000E680D">
              <w:rPr>
                <w:rFonts w:ascii="Times New Roman" w:eastAsia="Times New Roman" w:hAnsi="Times New Roman" w:cs="Times New Roman"/>
                <w:sz w:val="24"/>
                <w:szCs w:val="24"/>
                <w:lang w:eastAsia="lv-LV"/>
              </w:rPr>
              <w:t xml:space="preserve"> un Igaunija</w:t>
            </w:r>
            <w:r w:rsidR="00A9436B">
              <w:rPr>
                <w:rFonts w:ascii="Times New Roman" w:eastAsia="Times New Roman" w:hAnsi="Times New Roman" w:cs="Times New Roman"/>
                <w:sz w:val="24"/>
                <w:szCs w:val="24"/>
                <w:lang w:eastAsia="lv-LV"/>
              </w:rPr>
              <w:t xml:space="preserve"> (spēkā no 01.11.2011.)</w:t>
            </w:r>
            <w:r w:rsidRPr="000E680D">
              <w:rPr>
                <w:rFonts w:ascii="Times New Roman" w:eastAsia="Times New Roman" w:hAnsi="Times New Roman" w:cs="Times New Roman"/>
                <w:sz w:val="24"/>
                <w:szCs w:val="24"/>
                <w:lang w:eastAsia="lv-LV"/>
              </w:rPr>
              <w:t>.</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 xml:space="preserve">Konvencija saturiski ir līdzīga HCCH vecāku atbildības un bērnu tiesību aizsardzības regulējumam, bet ir pielāgota tieši aizsargājamo pieaugušo vajadzībām. Konvencijas nepieciešamības galvenie iemesli ir starp valstīm pastāvošā migrācija un tās pakāpenisks pieaugums, vispārējā pasaules iedzīvotāju </w:t>
            </w:r>
            <w:r w:rsidR="00187F1F" w:rsidRPr="004819A6">
              <w:rPr>
                <w:rFonts w:ascii="Times New Roman" w:eastAsia="Times New Roman" w:hAnsi="Times New Roman" w:cs="Times New Roman"/>
                <w:sz w:val="24"/>
                <w:szCs w:val="24"/>
                <w:lang w:eastAsia="lv-LV"/>
              </w:rPr>
              <w:t>n</w:t>
            </w:r>
            <w:r w:rsidR="00187F1F">
              <w:rPr>
                <w:rFonts w:ascii="Times New Roman" w:eastAsia="Times New Roman" w:hAnsi="Times New Roman" w:cs="Times New Roman"/>
                <w:sz w:val="24"/>
                <w:szCs w:val="24"/>
                <w:lang w:eastAsia="lv-LV"/>
              </w:rPr>
              <w:t>ovecošana</w:t>
            </w:r>
            <w:r w:rsidRPr="004819A6">
              <w:rPr>
                <w:rFonts w:ascii="Times New Roman" w:eastAsia="Times New Roman" w:hAnsi="Times New Roman" w:cs="Times New Roman"/>
                <w:sz w:val="24"/>
                <w:szCs w:val="24"/>
                <w:lang w:eastAsia="lv-LV"/>
              </w:rPr>
              <w:t xml:space="preserve">, kas saistīta ar vidējā mūža ilguma palielināšanos, kas paaugstina veselības traucējumu un citu faktoru risku, kas var traucēt pilnvērtīgi aizsargāt pieaugušas personas, kas atrodas ārvalstīs, intereses vai mantu. Konvencija attiecināma uz jebkuru personu, kas Konvencijas izpratnē ir pieaugušais, proti, </w:t>
            </w:r>
            <w:r w:rsidR="007F010D" w:rsidRPr="004819A6">
              <w:rPr>
                <w:rFonts w:ascii="Times New Roman" w:eastAsia="Times New Roman" w:hAnsi="Times New Roman" w:cs="Times New Roman"/>
                <w:sz w:val="24"/>
                <w:szCs w:val="24"/>
                <w:lang w:eastAsia="lv-LV"/>
              </w:rPr>
              <w:t>sasnie</w:t>
            </w:r>
            <w:r w:rsidR="007F010D">
              <w:rPr>
                <w:rFonts w:ascii="Times New Roman" w:eastAsia="Times New Roman" w:hAnsi="Times New Roman" w:cs="Times New Roman"/>
                <w:sz w:val="24"/>
                <w:szCs w:val="24"/>
                <w:lang w:eastAsia="lv-LV"/>
              </w:rPr>
              <w:t>gusi</w:t>
            </w:r>
            <w:r w:rsidR="007F010D" w:rsidRPr="004819A6">
              <w:rPr>
                <w:rFonts w:ascii="Times New Roman" w:eastAsia="Times New Roman" w:hAnsi="Times New Roman" w:cs="Times New Roman"/>
                <w:sz w:val="24"/>
                <w:szCs w:val="24"/>
                <w:lang w:eastAsia="lv-LV"/>
              </w:rPr>
              <w:t xml:space="preserve"> </w:t>
            </w:r>
            <w:r w:rsidRPr="004819A6">
              <w:rPr>
                <w:rFonts w:ascii="Times New Roman" w:eastAsia="Times New Roman" w:hAnsi="Times New Roman" w:cs="Times New Roman"/>
                <w:sz w:val="24"/>
                <w:szCs w:val="24"/>
                <w:lang w:eastAsia="lv-LV"/>
              </w:rPr>
              <w:t xml:space="preserve">18 gadu vecumu. </w:t>
            </w:r>
          </w:p>
          <w:p w:rsidR="00686E56" w:rsidRPr="004819A6" w:rsidRDefault="003E1643" w:rsidP="00D239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Nepastāvot vienotiem noteikumiem,</w:t>
            </w:r>
            <w:r w:rsidR="00686E56" w:rsidRPr="004819A6">
              <w:rPr>
                <w:rFonts w:ascii="Times New Roman" w:eastAsia="Times New Roman" w:hAnsi="Times New Roman" w:cs="Times New Roman"/>
                <w:sz w:val="24"/>
                <w:szCs w:val="24"/>
                <w:lang w:eastAsia="lv-LV"/>
              </w:rPr>
              <w:t xml:space="preserve"> kas attiecas uz </w:t>
            </w:r>
            <w:r w:rsidR="00686E56" w:rsidRPr="004819A6">
              <w:rPr>
                <w:rFonts w:ascii="Times New Roman" w:eastAsia="Times New Roman" w:hAnsi="Times New Roman" w:cs="Times New Roman"/>
                <w:sz w:val="24"/>
                <w:szCs w:val="24"/>
                <w:lang w:eastAsia="lv-LV"/>
              </w:rPr>
              <w:lastRenderedPageBreak/>
              <w:t xml:space="preserve">pieaugušo aizsardzības jautājumiem, proti, jurisdikciju, piemērojamo likumu, pārstāvību, aizsardzības līdzekļu atzīšanu un izpildi, pieaugušajām personām tiek liegta iespēja pilnvērtīgi aizsargāt savas intereses, piemēram, konstatējot, ka personai iestājies rīcībnespējas stāvoklis, vai gadījumos, kad persona zaudē rīcībspēju, bet iepriekš </w:t>
            </w:r>
            <w:r w:rsidR="00187F1F">
              <w:rPr>
                <w:rFonts w:ascii="Times New Roman" w:eastAsia="Times New Roman" w:hAnsi="Times New Roman" w:cs="Times New Roman"/>
                <w:sz w:val="24"/>
                <w:szCs w:val="24"/>
                <w:lang w:eastAsia="lv-LV"/>
              </w:rPr>
              <w:t xml:space="preserve">nav veikusi </w:t>
            </w:r>
            <w:r w:rsidR="00686E56" w:rsidRPr="004819A6">
              <w:rPr>
                <w:rFonts w:ascii="Times New Roman" w:eastAsia="Times New Roman" w:hAnsi="Times New Roman" w:cs="Times New Roman"/>
                <w:sz w:val="24"/>
                <w:szCs w:val="24"/>
                <w:lang w:eastAsia="lv-LV"/>
              </w:rPr>
              <w:t xml:space="preserve">pasākumus, lai šādos gadījumos nodotu kontroli pār savu mantu vai saimniecisko darbību citām personām. </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Konvencija papildina tiesisko ietvaru</w:t>
            </w:r>
            <w:r w:rsidR="00042A8B">
              <w:rPr>
                <w:rFonts w:ascii="Times New Roman" w:eastAsia="Times New Roman" w:hAnsi="Times New Roman" w:cs="Times New Roman"/>
                <w:sz w:val="24"/>
                <w:szCs w:val="24"/>
                <w:lang w:eastAsia="lv-LV"/>
              </w:rPr>
              <w:t xml:space="preserve">, kas nostiprināts ar </w:t>
            </w:r>
            <w:r w:rsidR="00187F1F">
              <w:rPr>
                <w:rFonts w:ascii="Times New Roman" w:eastAsia="Times New Roman" w:hAnsi="Times New Roman" w:cs="Times New Roman"/>
                <w:sz w:val="24"/>
                <w:szCs w:val="24"/>
                <w:lang w:eastAsia="lv-LV"/>
              </w:rPr>
              <w:t xml:space="preserve">Apvienoto Nāciju Organizācijas </w:t>
            </w:r>
            <w:r w:rsidR="00986482">
              <w:rPr>
                <w:rFonts w:ascii="Times New Roman" w:eastAsia="Times New Roman" w:hAnsi="Times New Roman" w:cs="Times New Roman"/>
                <w:sz w:val="24"/>
                <w:szCs w:val="24"/>
                <w:lang w:eastAsia="lv-LV"/>
              </w:rPr>
              <w:t xml:space="preserve">(turpmāk – ANO) </w:t>
            </w:r>
            <w:r w:rsidR="00042A8B">
              <w:rPr>
                <w:rFonts w:ascii="Times New Roman" w:eastAsia="Times New Roman" w:hAnsi="Times New Roman" w:cs="Times New Roman"/>
                <w:sz w:val="24"/>
                <w:szCs w:val="24"/>
                <w:lang w:eastAsia="lv-LV"/>
              </w:rPr>
              <w:t>2006.</w:t>
            </w:r>
            <w:r w:rsidR="007F010D">
              <w:rPr>
                <w:rFonts w:ascii="Times New Roman" w:eastAsia="Times New Roman" w:hAnsi="Times New Roman" w:cs="Times New Roman"/>
                <w:sz w:val="24"/>
                <w:szCs w:val="24"/>
                <w:lang w:eastAsia="lv-LV"/>
              </w:rPr>
              <w:t> </w:t>
            </w:r>
            <w:r w:rsidRPr="004819A6">
              <w:rPr>
                <w:rFonts w:ascii="Times New Roman" w:eastAsia="Times New Roman" w:hAnsi="Times New Roman" w:cs="Times New Roman"/>
                <w:sz w:val="24"/>
                <w:szCs w:val="24"/>
                <w:lang w:eastAsia="lv-LV"/>
              </w:rPr>
              <w:t>gada 13.</w:t>
            </w:r>
            <w:r w:rsidR="007F010D">
              <w:rPr>
                <w:rFonts w:ascii="Times New Roman" w:eastAsia="Times New Roman" w:hAnsi="Times New Roman" w:cs="Times New Roman"/>
                <w:sz w:val="24"/>
                <w:szCs w:val="24"/>
                <w:lang w:eastAsia="lv-LV"/>
              </w:rPr>
              <w:t> </w:t>
            </w:r>
            <w:r w:rsidRPr="004819A6">
              <w:rPr>
                <w:rFonts w:ascii="Times New Roman" w:eastAsia="Times New Roman" w:hAnsi="Times New Roman" w:cs="Times New Roman"/>
                <w:sz w:val="24"/>
                <w:szCs w:val="24"/>
                <w:lang w:eastAsia="lv-LV"/>
              </w:rPr>
              <w:t>decembra Konvenciju par person</w:t>
            </w:r>
            <w:r w:rsidR="00953F37">
              <w:rPr>
                <w:rFonts w:ascii="Times New Roman" w:eastAsia="Times New Roman" w:hAnsi="Times New Roman" w:cs="Times New Roman"/>
                <w:sz w:val="24"/>
                <w:szCs w:val="24"/>
                <w:lang w:eastAsia="lv-LV"/>
              </w:rPr>
              <w:t>u ar invaliditāti tiesībām, kura Latvijā</w:t>
            </w:r>
            <w:r w:rsidRPr="004819A6">
              <w:rPr>
                <w:rFonts w:ascii="Times New Roman" w:eastAsia="Times New Roman" w:hAnsi="Times New Roman" w:cs="Times New Roman"/>
                <w:sz w:val="24"/>
                <w:szCs w:val="24"/>
                <w:lang w:eastAsia="lv-LV"/>
              </w:rPr>
              <w:t xml:space="preserve"> </w:t>
            </w:r>
            <w:r w:rsidR="00953F37">
              <w:rPr>
                <w:rFonts w:ascii="Times New Roman" w:eastAsia="Times New Roman" w:hAnsi="Times New Roman" w:cs="Times New Roman"/>
                <w:sz w:val="24"/>
                <w:szCs w:val="24"/>
                <w:lang w:eastAsia="lv-LV"/>
              </w:rPr>
              <w:t>spēkā stājās</w:t>
            </w:r>
            <w:r w:rsidRPr="004819A6">
              <w:rPr>
                <w:rFonts w:ascii="Times New Roman" w:eastAsia="Times New Roman" w:hAnsi="Times New Roman" w:cs="Times New Roman"/>
                <w:sz w:val="24"/>
                <w:szCs w:val="24"/>
                <w:lang w:eastAsia="lv-LV"/>
              </w:rPr>
              <w:t xml:space="preserve"> 2010.</w:t>
            </w:r>
            <w:r w:rsidR="00953F37">
              <w:rPr>
                <w:rFonts w:ascii="Times New Roman" w:eastAsia="Times New Roman" w:hAnsi="Times New Roman" w:cs="Times New Roman"/>
                <w:sz w:val="24"/>
                <w:szCs w:val="24"/>
                <w:lang w:eastAsia="lv-LV"/>
              </w:rPr>
              <w:t> g</w:t>
            </w:r>
            <w:r w:rsidRPr="004819A6">
              <w:rPr>
                <w:rFonts w:ascii="Times New Roman" w:eastAsia="Times New Roman" w:hAnsi="Times New Roman" w:cs="Times New Roman"/>
                <w:sz w:val="24"/>
                <w:szCs w:val="24"/>
                <w:lang w:eastAsia="lv-LV"/>
              </w:rPr>
              <w:t>ad</w:t>
            </w:r>
            <w:r w:rsidR="00953F37">
              <w:rPr>
                <w:rFonts w:ascii="Times New Roman" w:eastAsia="Times New Roman" w:hAnsi="Times New Roman" w:cs="Times New Roman"/>
                <w:sz w:val="24"/>
                <w:szCs w:val="24"/>
                <w:lang w:eastAsia="lv-LV"/>
              </w:rPr>
              <w:t>a 31. martā</w:t>
            </w:r>
            <w:r w:rsidRPr="004819A6">
              <w:rPr>
                <w:rFonts w:ascii="Times New Roman" w:eastAsia="Times New Roman" w:hAnsi="Times New Roman" w:cs="Times New Roman"/>
                <w:sz w:val="24"/>
                <w:szCs w:val="24"/>
                <w:lang w:eastAsia="lv-LV"/>
              </w:rPr>
              <w:t xml:space="preserve"> (Latvijas Vēstnesis Nr.27 (4219), </w:t>
            </w:r>
            <w:proofErr w:type="gramStart"/>
            <w:r w:rsidRPr="004819A6">
              <w:rPr>
                <w:rFonts w:ascii="Times New Roman" w:eastAsia="Times New Roman" w:hAnsi="Times New Roman" w:cs="Times New Roman"/>
                <w:sz w:val="24"/>
                <w:szCs w:val="24"/>
                <w:lang w:eastAsia="lv-LV"/>
              </w:rPr>
              <w:t>2010.gada</w:t>
            </w:r>
            <w:proofErr w:type="gramEnd"/>
            <w:r w:rsidRPr="004819A6">
              <w:rPr>
                <w:rFonts w:ascii="Times New Roman" w:eastAsia="Times New Roman" w:hAnsi="Times New Roman" w:cs="Times New Roman"/>
                <w:sz w:val="24"/>
                <w:szCs w:val="24"/>
                <w:lang w:eastAsia="lv-LV"/>
              </w:rPr>
              <w:t xml:space="preserve"> 17.februārī). </w:t>
            </w:r>
          </w:p>
          <w:p w:rsidR="00686E56" w:rsidRPr="004819A6" w:rsidRDefault="00D057D0" w:rsidP="00D239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Īstenojot jurisdikciju, Konvencija</w:t>
            </w:r>
            <w:r w:rsidR="00482F17">
              <w:rPr>
                <w:rFonts w:ascii="Times New Roman" w:eastAsia="Times New Roman" w:hAnsi="Times New Roman" w:cs="Times New Roman"/>
                <w:sz w:val="24"/>
                <w:szCs w:val="24"/>
                <w:lang w:eastAsia="lv-LV"/>
              </w:rPr>
              <w:t xml:space="preserve"> pieļauj </w:t>
            </w:r>
            <w:r w:rsidR="00554130">
              <w:rPr>
                <w:rFonts w:ascii="Times New Roman" w:eastAsia="Times New Roman" w:hAnsi="Times New Roman" w:cs="Times New Roman"/>
                <w:sz w:val="24"/>
                <w:szCs w:val="24"/>
                <w:lang w:eastAsia="lv-LV"/>
              </w:rPr>
              <w:t xml:space="preserve">piemērot </w:t>
            </w:r>
            <w:r w:rsidR="00686E56" w:rsidRPr="004819A6">
              <w:rPr>
                <w:rFonts w:ascii="Times New Roman" w:eastAsia="Times New Roman" w:hAnsi="Times New Roman" w:cs="Times New Roman"/>
                <w:sz w:val="24"/>
                <w:szCs w:val="24"/>
                <w:lang w:eastAsia="lv-LV"/>
              </w:rPr>
              <w:t>Latvijas nacionālajos tiesību aktos noteikto kārtību (Civilprocesa likuma 33.nodaļa „Personas rīcībspējas ierobežošana un aizgādnības nodibināšana garīga rakstura vai citu veselības traucējumu dēļ”, Civillikuma</w:t>
            </w:r>
            <w:r w:rsidR="00187F1F" w:rsidRPr="004819A6">
              <w:rPr>
                <w:rFonts w:ascii="Times New Roman" w:eastAsia="Times New Roman" w:hAnsi="Times New Roman" w:cs="Times New Roman"/>
                <w:sz w:val="24"/>
                <w:szCs w:val="24"/>
                <w:lang w:eastAsia="lv-LV"/>
              </w:rPr>
              <w:t xml:space="preserve"> </w:t>
            </w:r>
            <w:r w:rsidR="00187F1F">
              <w:rPr>
                <w:rFonts w:ascii="Times New Roman" w:eastAsia="Times New Roman" w:hAnsi="Times New Roman" w:cs="Times New Roman"/>
                <w:sz w:val="24"/>
                <w:szCs w:val="24"/>
                <w:lang w:eastAsia="lv-LV"/>
              </w:rPr>
              <w:t xml:space="preserve">pirmās daļas </w:t>
            </w:r>
            <w:r w:rsidR="00187F1F" w:rsidRPr="004819A6">
              <w:rPr>
                <w:rFonts w:ascii="Times New Roman" w:eastAsia="Times New Roman" w:hAnsi="Times New Roman" w:cs="Times New Roman"/>
                <w:sz w:val="24"/>
                <w:szCs w:val="24"/>
                <w:lang w:eastAsia="lv-LV"/>
              </w:rPr>
              <w:t xml:space="preserve">ceturtā nodaļa </w:t>
            </w:r>
            <w:r w:rsidR="00686E56" w:rsidRPr="004819A6">
              <w:rPr>
                <w:rFonts w:ascii="Times New Roman" w:eastAsia="Times New Roman" w:hAnsi="Times New Roman" w:cs="Times New Roman"/>
                <w:sz w:val="24"/>
                <w:szCs w:val="24"/>
                <w:lang w:eastAsia="lv-LV"/>
              </w:rPr>
              <w:t>„Aizbildnība un aizgādnība”, Ārstniecības likuma noteikumi), kas attiecas uz personas stāvokļa konstatēšanu, aizgādnības noteikšanu, rīcību ar personas mantu, personas ievietošanu ārstniecīb</w:t>
            </w:r>
            <w:r w:rsidR="001A6C99">
              <w:rPr>
                <w:rFonts w:ascii="Times New Roman" w:eastAsia="Times New Roman" w:hAnsi="Times New Roman" w:cs="Times New Roman"/>
                <w:sz w:val="24"/>
                <w:szCs w:val="24"/>
                <w:lang w:eastAsia="lv-LV"/>
              </w:rPr>
              <w:t>as iestādē. Konvencijas ieviešan</w:t>
            </w:r>
            <w:r w:rsidR="00686E56" w:rsidRPr="004819A6">
              <w:rPr>
                <w:rFonts w:ascii="Times New Roman" w:eastAsia="Times New Roman" w:hAnsi="Times New Roman" w:cs="Times New Roman"/>
                <w:sz w:val="24"/>
                <w:szCs w:val="24"/>
                <w:lang w:eastAsia="lv-LV"/>
              </w:rPr>
              <w:t xml:space="preserve">a Latvijā ļautu veikt īpašus aizsardzības pasākumus, kā arī ārvalstīs sekmīgi īstenot Latvijā </w:t>
            </w:r>
            <w:proofErr w:type="spellStart"/>
            <w:r w:rsidR="00686E56" w:rsidRPr="004819A6">
              <w:rPr>
                <w:rFonts w:ascii="Times New Roman" w:eastAsia="Times New Roman" w:hAnsi="Times New Roman" w:cs="Times New Roman"/>
                <w:sz w:val="24"/>
                <w:szCs w:val="24"/>
                <w:lang w:eastAsia="lv-LV"/>
              </w:rPr>
              <w:t>jaunieviestus</w:t>
            </w:r>
            <w:proofErr w:type="spellEnd"/>
            <w:r w:rsidR="00C85C05">
              <w:rPr>
                <w:rFonts w:ascii="Times New Roman" w:eastAsia="Times New Roman" w:hAnsi="Times New Roman" w:cs="Times New Roman"/>
                <w:sz w:val="24"/>
                <w:szCs w:val="24"/>
                <w:lang w:eastAsia="lv-LV"/>
              </w:rPr>
              <w:t xml:space="preserve"> tiesību institūtus, piemēram, n</w:t>
            </w:r>
            <w:r w:rsidR="00686E56" w:rsidRPr="004819A6">
              <w:rPr>
                <w:rFonts w:ascii="Times New Roman" w:eastAsia="Times New Roman" w:hAnsi="Times New Roman" w:cs="Times New Roman"/>
                <w:sz w:val="24"/>
                <w:szCs w:val="24"/>
                <w:lang w:eastAsia="lv-LV"/>
              </w:rPr>
              <w:t>ākotnes pilnvarojumu (</w:t>
            </w:r>
            <w:proofErr w:type="gramStart"/>
            <w:r w:rsidR="00686E56" w:rsidRPr="004819A6">
              <w:rPr>
                <w:rFonts w:ascii="Times New Roman" w:eastAsia="Times New Roman" w:hAnsi="Times New Roman" w:cs="Times New Roman"/>
                <w:sz w:val="24"/>
                <w:szCs w:val="24"/>
                <w:lang w:eastAsia="lv-LV"/>
              </w:rPr>
              <w:t>2012.gada</w:t>
            </w:r>
            <w:proofErr w:type="gramEnd"/>
            <w:r w:rsidR="00686E56" w:rsidRPr="004819A6">
              <w:rPr>
                <w:rFonts w:ascii="Times New Roman" w:eastAsia="Times New Roman" w:hAnsi="Times New Roman" w:cs="Times New Roman"/>
                <w:sz w:val="24"/>
                <w:szCs w:val="24"/>
                <w:lang w:eastAsia="lv-LV"/>
              </w:rPr>
              <w:t xml:space="preserve"> 29.novembra </w:t>
            </w:r>
            <w:r w:rsidR="00D32034">
              <w:rPr>
                <w:rFonts w:ascii="Times New Roman" w:eastAsia="Times New Roman" w:hAnsi="Times New Roman" w:cs="Times New Roman"/>
                <w:sz w:val="24"/>
                <w:szCs w:val="24"/>
                <w:lang w:eastAsia="lv-LV"/>
              </w:rPr>
              <w:t>g</w:t>
            </w:r>
            <w:r w:rsidR="00686E56" w:rsidRPr="004819A6">
              <w:rPr>
                <w:rFonts w:ascii="Times New Roman" w:eastAsia="Times New Roman" w:hAnsi="Times New Roman" w:cs="Times New Roman"/>
                <w:sz w:val="24"/>
                <w:szCs w:val="24"/>
                <w:lang w:eastAsia="lv-LV"/>
              </w:rPr>
              <w:t>rozījumi Civillikumā, Latvijas Vēstnesis Nr.200 (4823), 2012.gada 20.decembrī), kas ļauj nodot tiesības kontrolēt savu mantu vai pārstāvēt personu kādai uzticības personai, gadījumā, ja nākotnes pilnvarotājs savas intereses aizsargāt vairs nevar.</w:t>
            </w:r>
            <w:r w:rsidR="004D40E7">
              <w:rPr>
                <w:rFonts w:ascii="Times New Roman" w:eastAsia="Times New Roman" w:hAnsi="Times New Roman" w:cs="Times New Roman"/>
                <w:sz w:val="24"/>
                <w:szCs w:val="24"/>
                <w:lang w:eastAsia="lv-LV"/>
              </w:rPr>
              <w:t xml:space="preserve"> </w:t>
            </w:r>
            <w:r w:rsidR="00686E56" w:rsidRPr="004819A6">
              <w:rPr>
                <w:rFonts w:ascii="Times New Roman" w:eastAsia="Times New Roman" w:hAnsi="Times New Roman" w:cs="Times New Roman"/>
                <w:sz w:val="24"/>
                <w:szCs w:val="24"/>
                <w:lang w:eastAsia="lv-LV"/>
              </w:rPr>
              <w:t xml:space="preserve">Likumprojekta mērķis ir ar Konvencijas starpniecību veicināt efektīvu Latvijas valstspiederīgo pieaugušo personu tiesību aizsardzību ārvalstīs un ārvalsts pieaugušo pilsoņu un rezidentu tiesību aizsardzību Latvijā. Konvencija </w:t>
            </w:r>
            <w:r w:rsidR="007C3280">
              <w:rPr>
                <w:rFonts w:ascii="Times New Roman" w:eastAsia="Times New Roman" w:hAnsi="Times New Roman" w:cs="Times New Roman"/>
                <w:sz w:val="24"/>
                <w:szCs w:val="24"/>
                <w:lang w:eastAsia="lv-LV"/>
              </w:rPr>
              <w:t>rada vienotus noteikumus</w:t>
            </w:r>
            <w:r w:rsidR="00686E56" w:rsidRPr="004819A6">
              <w:rPr>
                <w:rFonts w:ascii="Times New Roman" w:eastAsia="Times New Roman" w:hAnsi="Times New Roman" w:cs="Times New Roman"/>
                <w:sz w:val="24"/>
                <w:szCs w:val="24"/>
                <w:lang w:eastAsia="lv-LV"/>
              </w:rPr>
              <w:t>, kas attiecas uz jurisdikciju, piemērojamo likumu un pieaugušo aizsardzības pasākumu atzīšanu un izpildi.</w:t>
            </w:r>
            <w:r w:rsidR="00554130">
              <w:rPr>
                <w:rFonts w:ascii="Times New Roman" w:eastAsia="Times New Roman" w:hAnsi="Times New Roman" w:cs="Times New Roman"/>
                <w:sz w:val="24"/>
                <w:szCs w:val="24"/>
                <w:lang w:eastAsia="lv-LV"/>
              </w:rPr>
              <w:t xml:space="preserve"> </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 xml:space="preserve">Konvencija attieksies uz situācijām, kad pieaugusi persona veselības traucējumu vai citu personu ierobežojošu faktoru dēļ vairs nevar pilnvērtīgi aizsargāt savas intereses, un jānoskaidro 1) valsts iestādes, kurām ir jurisdikcija īstenot pieaugušās personas aizsardzības līdzekļus, 2) likums, kas jāpiemēro iestādēm, īstenojot šo jurisdikciju, 3) likums, kas jāpiemēro attiecībā uz pieaugušās personas pārstāvību. Konvencija nodrošinās, lai šādi aizsardzības līdzekļi tiktu atzīti un izpildīti visās </w:t>
            </w:r>
            <w:r w:rsidR="005C43CA" w:rsidRPr="00725071">
              <w:rPr>
                <w:rFonts w:ascii="Times New Roman" w:eastAsia="Times New Roman" w:hAnsi="Times New Roman" w:cs="Times New Roman"/>
                <w:sz w:val="24"/>
                <w:szCs w:val="24"/>
                <w:lang w:eastAsia="lv-LV"/>
              </w:rPr>
              <w:t>Līgumslēdzējās Valstīs</w:t>
            </w:r>
            <w:r w:rsidRPr="00725071">
              <w:rPr>
                <w:rFonts w:ascii="Times New Roman" w:eastAsia="Times New Roman" w:hAnsi="Times New Roman" w:cs="Times New Roman"/>
                <w:sz w:val="24"/>
                <w:szCs w:val="24"/>
                <w:lang w:eastAsia="lv-LV"/>
              </w:rPr>
              <w:t>. Konvencijas</w:t>
            </w:r>
            <w:r w:rsidRPr="004819A6">
              <w:rPr>
                <w:rFonts w:ascii="Times New Roman" w:eastAsia="Times New Roman" w:hAnsi="Times New Roman" w:cs="Times New Roman"/>
                <w:sz w:val="24"/>
                <w:szCs w:val="24"/>
                <w:lang w:eastAsia="lv-LV"/>
              </w:rPr>
              <w:t xml:space="preserve"> mērķu sasniegšanai Konvencijā paredzēta </w:t>
            </w:r>
            <w:r w:rsidR="005C43CA">
              <w:rPr>
                <w:rFonts w:ascii="Times New Roman" w:eastAsia="Times New Roman" w:hAnsi="Times New Roman" w:cs="Times New Roman"/>
                <w:sz w:val="24"/>
                <w:szCs w:val="24"/>
                <w:lang w:eastAsia="lv-LV"/>
              </w:rPr>
              <w:t xml:space="preserve">Līgumslēdzēju Valstu </w:t>
            </w:r>
            <w:r w:rsidRPr="004819A6">
              <w:rPr>
                <w:rFonts w:ascii="Times New Roman" w:eastAsia="Times New Roman" w:hAnsi="Times New Roman" w:cs="Times New Roman"/>
                <w:sz w:val="24"/>
                <w:szCs w:val="24"/>
                <w:lang w:eastAsia="lv-LV"/>
              </w:rPr>
              <w:t xml:space="preserve">iestāžu sadarbība. </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Konvencija sastāv no 59 pantiem un 7 nodaļām:</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I Konvencijas darbības joma;</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II Jurisdikcija;</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lastRenderedPageBreak/>
              <w:t>III Piemērojamie tiesību akti;</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IV Atzīšana un izpilde;</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V Sadarbība;</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VI Vispārējie noteikumi;</w:t>
            </w:r>
          </w:p>
          <w:p w:rsidR="00686E56" w:rsidRPr="004819A6" w:rsidRDefault="00986482" w:rsidP="00D239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VII</w:t>
            </w:r>
            <w:r w:rsidR="00187F1F">
              <w:rPr>
                <w:rFonts w:ascii="Times New Roman" w:eastAsia="Times New Roman" w:hAnsi="Times New Roman" w:cs="Times New Roman"/>
                <w:sz w:val="24"/>
                <w:szCs w:val="24"/>
                <w:lang w:eastAsia="lv-LV"/>
              </w:rPr>
              <w:t xml:space="preserve"> Nobeiguma noteikumi.</w:t>
            </w:r>
          </w:p>
          <w:p w:rsidR="003D4763" w:rsidRPr="005E5E9D" w:rsidRDefault="003D4763" w:rsidP="003D47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Attiecībā uz jurisdikcijas aspektu norādāms, </w:t>
            </w:r>
            <w:r w:rsidRPr="005E5E9D">
              <w:rPr>
                <w:rFonts w:ascii="Times New Roman" w:eastAsia="Times New Roman" w:hAnsi="Times New Roman" w:cs="Times New Roman"/>
                <w:sz w:val="24"/>
                <w:szCs w:val="24"/>
                <w:lang w:eastAsia="lv-LV"/>
              </w:rPr>
              <w:t>ka</w:t>
            </w:r>
            <w:r w:rsidR="00D32034" w:rsidRPr="005E5E9D">
              <w:rPr>
                <w:rFonts w:ascii="Times New Roman" w:eastAsia="Times New Roman" w:hAnsi="Times New Roman" w:cs="Times New Roman"/>
                <w:sz w:val="24"/>
                <w:szCs w:val="24"/>
                <w:lang w:eastAsia="lv-LV"/>
              </w:rPr>
              <w:t>,</w:t>
            </w:r>
            <w:r w:rsidRPr="005E5E9D">
              <w:rPr>
                <w:rFonts w:ascii="Times New Roman" w:eastAsia="Times New Roman" w:hAnsi="Times New Roman" w:cs="Times New Roman"/>
                <w:sz w:val="24"/>
                <w:szCs w:val="24"/>
                <w:lang w:eastAsia="lv-LV"/>
              </w:rPr>
              <w:t xml:space="preserve"> </w:t>
            </w:r>
            <w:r w:rsidR="00D32034" w:rsidRPr="005E5E9D">
              <w:rPr>
                <w:rFonts w:ascii="Times New Roman" w:eastAsia="Times New Roman" w:hAnsi="Times New Roman" w:cs="Times New Roman"/>
                <w:sz w:val="24"/>
                <w:szCs w:val="24"/>
                <w:lang w:eastAsia="lv-LV"/>
              </w:rPr>
              <w:t xml:space="preserve">lai </w:t>
            </w:r>
            <w:r w:rsidRPr="005E5E9D">
              <w:rPr>
                <w:rFonts w:ascii="Times New Roman" w:eastAsia="Times New Roman" w:hAnsi="Times New Roman" w:cs="Times New Roman"/>
                <w:sz w:val="24"/>
                <w:szCs w:val="24"/>
                <w:lang w:eastAsia="lv-LV"/>
              </w:rPr>
              <w:t xml:space="preserve">gan </w:t>
            </w:r>
            <w:r w:rsidR="005E5E9D" w:rsidRPr="005E5E9D">
              <w:rPr>
                <w:rFonts w:ascii="Times New Roman" w:eastAsia="Times New Roman" w:hAnsi="Times New Roman" w:cs="Times New Roman"/>
                <w:sz w:val="24"/>
                <w:szCs w:val="24"/>
                <w:lang w:eastAsia="lv-LV"/>
              </w:rPr>
              <w:t xml:space="preserve">Konvencija piešķir jurisdikciju galvenokārt tām </w:t>
            </w:r>
            <w:r w:rsidR="005E5E9D" w:rsidRPr="005E5E9D">
              <w:rPr>
                <w:rFonts w:ascii="Times New Roman" w:hAnsi="Times New Roman" w:cs="Times New Roman"/>
                <w:sz w:val="24"/>
                <w:szCs w:val="24"/>
              </w:rPr>
              <w:t>tiesām vai administratīvajām iestādēm</w:t>
            </w:r>
            <w:r w:rsidR="005E5E9D" w:rsidRPr="005E5E9D">
              <w:rPr>
                <w:rFonts w:ascii="Times New Roman" w:eastAsia="Times New Roman" w:hAnsi="Times New Roman" w:cs="Times New Roman"/>
                <w:sz w:val="24"/>
                <w:szCs w:val="24"/>
                <w:lang w:eastAsia="lv-LV"/>
              </w:rPr>
              <w:t>, kas atrodas pieaugušā patstāvīgajā dzīvesvietā (5. </w:t>
            </w:r>
            <w:r w:rsidR="005E5E9D" w:rsidRPr="005E5E9D">
              <w:rPr>
                <w:rFonts w:ascii="Times New Roman" w:hAnsi="Times New Roman" w:cs="Times New Roman"/>
                <w:sz w:val="24"/>
                <w:szCs w:val="24"/>
              </w:rPr>
              <w:t>P</w:t>
            </w:r>
            <w:r w:rsidR="005E5E9D" w:rsidRPr="005E5E9D">
              <w:rPr>
                <w:rFonts w:ascii="Times New Roman" w:eastAsia="Times New Roman" w:hAnsi="Times New Roman" w:cs="Times New Roman"/>
                <w:sz w:val="24"/>
                <w:szCs w:val="24"/>
                <w:lang w:eastAsia="lv-LV"/>
              </w:rPr>
              <w:t>ants</w:t>
            </w:r>
            <w:r w:rsidR="005E5E9D" w:rsidRPr="005E5E9D">
              <w:rPr>
                <w:rFonts w:ascii="Times New Roman" w:hAnsi="Times New Roman" w:cs="Times New Roman"/>
                <w:sz w:val="24"/>
                <w:szCs w:val="24"/>
              </w:rPr>
              <w:t>)</w:t>
            </w:r>
            <w:r w:rsidRPr="005E5E9D">
              <w:rPr>
                <w:rFonts w:ascii="Times New Roman" w:eastAsia="Times New Roman" w:hAnsi="Times New Roman" w:cs="Times New Roman"/>
                <w:sz w:val="24"/>
                <w:szCs w:val="24"/>
                <w:lang w:eastAsia="lv-LV"/>
              </w:rPr>
              <w:t>, tomēr tiek pieļauta arīdzan vienlaicīga tās valsts jurisdikcija, kuras pilsonis pieaugušais ir (izriet no 7.</w:t>
            </w:r>
            <w:r w:rsidR="00ED4AC5" w:rsidRPr="005E5E9D">
              <w:rPr>
                <w:rFonts w:ascii="Times New Roman" w:eastAsia="Times New Roman" w:hAnsi="Times New Roman" w:cs="Times New Roman"/>
                <w:sz w:val="24"/>
                <w:szCs w:val="24"/>
                <w:lang w:eastAsia="lv-LV"/>
              </w:rPr>
              <w:t> </w:t>
            </w:r>
            <w:r w:rsidRPr="005E5E9D">
              <w:rPr>
                <w:rFonts w:ascii="Times New Roman" w:eastAsia="Times New Roman" w:hAnsi="Times New Roman" w:cs="Times New Roman"/>
                <w:sz w:val="24"/>
                <w:szCs w:val="24"/>
                <w:lang w:eastAsia="lv-LV"/>
              </w:rPr>
              <w:t>panta).</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 xml:space="preserve">Konvencija paredz prioritāti tās valsts tiesību aktu piemērošanai, kurai ir jurisdikcija pār pieaugušās personas aizsardzību. </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Valsts, kurai saskaņā ar Konvenciju ir jurisdikcija pieaugušo aizsar</w:t>
            </w:r>
            <w:r w:rsidR="000F4919">
              <w:rPr>
                <w:rFonts w:ascii="Times New Roman" w:eastAsia="Times New Roman" w:hAnsi="Times New Roman" w:cs="Times New Roman"/>
                <w:sz w:val="24"/>
                <w:szCs w:val="24"/>
                <w:lang w:eastAsia="lv-LV"/>
              </w:rPr>
              <w:t>dzības jautājumā, var atteikt</w:t>
            </w:r>
            <w:r w:rsidRPr="004819A6">
              <w:rPr>
                <w:rFonts w:ascii="Times New Roman" w:eastAsia="Times New Roman" w:hAnsi="Times New Roman" w:cs="Times New Roman"/>
                <w:sz w:val="24"/>
                <w:szCs w:val="24"/>
                <w:lang w:eastAsia="lv-LV"/>
              </w:rPr>
              <w:t xml:space="preserve"> piemērot citas valsts tiesību aktus vai atzīt kādus aizsardzības līdzekļus, ja tie ir pretrunā šīs valsts sabiedriskajai kārtībai. </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 xml:space="preserve">Lai īstenotu Konvencijas uzdevumus, valstis ieceļ </w:t>
            </w:r>
            <w:r w:rsidR="00975EC6">
              <w:rPr>
                <w:rFonts w:ascii="Times New Roman" w:eastAsia="Times New Roman" w:hAnsi="Times New Roman" w:cs="Times New Roman"/>
                <w:sz w:val="24"/>
                <w:szCs w:val="24"/>
                <w:lang w:eastAsia="lv-LV"/>
              </w:rPr>
              <w:t>c</w:t>
            </w:r>
            <w:r w:rsidRPr="004819A6">
              <w:rPr>
                <w:rFonts w:ascii="Times New Roman" w:eastAsia="Times New Roman" w:hAnsi="Times New Roman" w:cs="Times New Roman"/>
                <w:sz w:val="24"/>
                <w:szCs w:val="24"/>
                <w:lang w:eastAsia="lv-LV"/>
              </w:rPr>
              <w:t xml:space="preserve">entrālo iestādi, kuras kompetencē ir veikt informācijas apmaiņu, pieprasot vai atbildot uz informācijas pieprasījumiem no citu valstu </w:t>
            </w:r>
            <w:r w:rsidR="00AC1214">
              <w:rPr>
                <w:rFonts w:ascii="Times New Roman" w:eastAsia="Times New Roman" w:hAnsi="Times New Roman" w:cs="Times New Roman"/>
                <w:sz w:val="24"/>
                <w:szCs w:val="24"/>
                <w:lang w:eastAsia="lv-LV"/>
              </w:rPr>
              <w:t>c</w:t>
            </w:r>
            <w:r w:rsidRPr="004819A6">
              <w:rPr>
                <w:rFonts w:ascii="Times New Roman" w:eastAsia="Times New Roman" w:hAnsi="Times New Roman" w:cs="Times New Roman"/>
                <w:sz w:val="24"/>
                <w:szCs w:val="24"/>
                <w:lang w:eastAsia="lv-LV"/>
              </w:rPr>
              <w:t>entrālajām iestādēm. Saskaņā ar Konvencijas 28.</w:t>
            </w:r>
            <w:r w:rsidR="00ED4AC5">
              <w:rPr>
                <w:rFonts w:ascii="Times New Roman" w:eastAsia="Times New Roman" w:hAnsi="Times New Roman" w:cs="Times New Roman"/>
                <w:sz w:val="24"/>
                <w:szCs w:val="24"/>
                <w:lang w:eastAsia="lv-LV"/>
              </w:rPr>
              <w:t> </w:t>
            </w:r>
            <w:r w:rsidRPr="004819A6">
              <w:rPr>
                <w:rFonts w:ascii="Times New Roman" w:eastAsia="Times New Roman" w:hAnsi="Times New Roman" w:cs="Times New Roman"/>
                <w:sz w:val="24"/>
                <w:szCs w:val="24"/>
                <w:lang w:eastAsia="lv-LV"/>
              </w:rPr>
              <w:t>pantu</w:t>
            </w:r>
            <w:r w:rsidR="00E67D95">
              <w:rPr>
                <w:rFonts w:ascii="Times New Roman" w:eastAsia="Times New Roman" w:hAnsi="Times New Roman" w:cs="Times New Roman"/>
                <w:sz w:val="24"/>
                <w:szCs w:val="24"/>
                <w:lang w:eastAsia="lv-LV"/>
              </w:rPr>
              <w:t xml:space="preserve"> paredzēts, ka</w:t>
            </w:r>
            <w:r w:rsidRPr="004819A6">
              <w:rPr>
                <w:rFonts w:ascii="Times New Roman" w:eastAsia="Times New Roman" w:hAnsi="Times New Roman" w:cs="Times New Roman"/>
                <w:sz w:val="24"/>
                <w:szCs w:val="24"/>
                <w:lang w:eastAsia="lv-LV"/>
              </w:rPr>
              <w:t xml:space="preserve"> </w:t>
            </w:r>
            <w:r w:rsidR="00975EC6">
              <w:rPr>
                <w:rFonts w:ascii="Times New Roman" w:eastAsia="Times New Roman" w:hAnsi="Times New Roman" w:cs="Times New Roman"/>
                <w:sz w:val="24"/>
                <w:szCs w:val="24"/>
                <w:lang w:eastAsia="lv-LV"/>
              </w:rPr>
              <w:t>c</w:t>
            </w:r>
            <w:r w:rsidRPr="00975EC6">
              <w:rPr>
                <w:rFonts w:ascii="Times New Roman" w:eastAsia="Times New Roman" w:hAnsi="Times New Roman" w:cs="Times New Roman"/>
                <w:sz w:val="24"/>
                <w:szCs w:val="24"/>
                <w:lang w:eastAsia="lv-LV"/>
              </w:rPr>
              <w:t>entrā</w:t>
            </w:r>
            <w:r w:rsidR="00E67D95" w:rsidRPr="00975EC6">
              <w:rPr>
                <w:rFonts w:ascii="Times New Roman" w:eastAsia="Times New Roman" w:hAnsi="Times New Roman" w:cs="Times New Roman"/>
                <w:sz w:val="24"/>
                <w:szCs w:val="24"/>
                <w:lang w:eastAsia="lv-LV"/>
              </w:rPr>
              <w:t>lā iestāde</w:t>
            </w:r>
            <w:r w:rsidR="00E67D95">
              <w:rPr>
                <w:rFonts w:ascii="Times New Roman" w:eastAsia="Times New Roman" w:hAnsi="Times New Roman" w:cs="Times New Roman"/>
                <w:sz w:val="24"/>
                <w:szCs w:val="24"/>
                <w:lang w:eastAsia="lv-LV"/>
              </w:rPr>
              <w:t xml:space="preserve"> Latvijas Republikā būs</w:t>
            </w:r>
            <w:r w:rsidRPr="004819A6">
              <w:rPr>
                <w:rFonts w:ascii="Times New Roman" w:eastAsia="Times New Roman" w:hAnsi="Times New Roman" w:cs="Times New Roman"/>
                <w:sz w:val="24"/>
                <w:szCs w:val="24"/>
                <w:lang w:eastAsia="lv-LV"/>
              </w:rPr>
              <w:t xml:space="preserve"> Tieslietu ministrija. </w:t>
            </w:r>
          </w:p>
          <w:p w:rsidR="00686E56" w:rsidRPr="004819A6" w:rsidRDefault="00686E56"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Saskaņā ar Konvencijas 51.</w:t>
            </w:r>
            <w:r w:rsidR="00ED4AC5">
              <w:rPr>
                <w:rFonts w:ascii="Times New Roman" w:eastAsia="Times New Roman" w:hAnsi="Times New Roman" w:cs="Times New Roman"/>
                <w:sz w:val="24"/>
                <w:szCs w:val="24"/>
                <w:lang w:eastAsia="lv-LV"/>
              </w:rPr>
              <w:t> </w:t>
            </w:r>
            <w:r w:rsidRPr="004819A6">
              <w:rPr>
                <w:rFonts w:ascii="Times New Roman" w:eastAsia="Times New Roman" w:hAnsi="Times New Roman" w:cs="Times New Roman"/>
                <w:sz w:val="24"/>
                <w:szCs w:val="24"/>
                <w:lang w:eastAsia="lv-LV"/>
              </w:rPr>
              <w:t>panta 2.</w:t>
            </w:r>
            <w:r w:rsidR="00ED4AC5">
              <w:rPr>
                <w:rFonts w:ascii="Times New Roman" w:eastAsia="Times New Roman" w:hAnsi="Times New Roman" w:cs="Times New Roman"/>
                <w:sz w:val="24"/>
                <w:szCs w:val="24"/>
                <w:lang w:eastAsia="lv-LV"/>
              </w:rPr>
              <w:t> </w:t>
            </w:r>
            <w:r w:rsidR="00747C8C">
              <w:rPr>
                <w:rFonts w:ascii="Times New Roman" w:eastAsia="Times New Roman" w:hAnsi="Times New Roman" w:cs="Times New Roman"/>
                <w:sz w:val="24"/>
                <w:szCs w:val="24"/>
                <w:lang w:eastAsia="lv-LV"/>
              </w:rPr>
              <w:t>punktu Latvijas Republikā netiks</w:t>
            </w:r>
            <w:r w:rsidRPr="004819A6">
              <w:rPr>
                <w:rFonts w:ascii="Times New Roman" w:eastAsia="Times New Roman" w:hAnsi="Times New Roman" w:cs="Times New Roman"/>
                <w:sz w:val="24"/>
                <w:szCs w:val="24"/>
                <w:lang w:eastAsia="lv-LV"/>
              </w:rPr>
              <w:t xml:space="preserve"> pieņemti dokumentu tulkojumi franču valodā. </w:t>
            </w:r>
            <w:r w:rsidRPr="00B7114D">
              <w:rPr>
                <w:rFonts w:ascii="Times New Roman" w:eastAsia="Times New Roman" w:hAnsi="Times New Roman" w:cs="Times New Roman"/>
                <w:sz w:val="24"/>
                <w:szCs w:val="24"/>
                <w:lang w:eastAsia="lv-LV"/>
              </w:rPr>
              <w:t>Latvijas Repub</w:t>
            </w:r>
            <w:r w:rsidR="003C2E7A" w:rsidRPr="00B7114D">
              <w:rPr>
                <w:rFonts w:ascii="Times New Roman" w:eastAsia="Times New Roman" w:hAnsi="Times New Roman" w:cs="Times New Roman"/>
                <w:sz w:val="24"/>
                <w:szCs w:val="24"/>
                <w:lang w:eastAsia="lv-LV"/>
              </w:rPr>
              <w:t>likā Konvencijas 32.</w:t>
            </w:r>
            <w:r w:rsidR="00ED4AC5">
              <w:rPr>
                <w:rFonts w:ascii="Times New Roman" w:eastAsia="Times New Roman" w:hAnsi="Times New Roman" w:cs="Times New Roman"/>
                <w:sz w:val="24"/>
                <w:szCs w:val="24"/>
                <w:lang w:eastAsia="lv-LV"/>
              </w:rPr>
              <w:t> </w:t>
            </w:r>
            <w:r w:rsidR="003C2E7A" w:rsidRPr="00B7114D">
              <w:rPr>
                <w:rFonts w:ascii="Times New Roman" w:eastAsia="Times New Roman" w:hAnsi="Times New Roman" w:cs="Times New Roman"/>
                <w:sz w:val="24"/>
                <w:szCs w:val="24"/>
                <w:lang w:eastAsia="lv-LV"/>
              </w:rPr>
              <w:t>panta 1.</w:t>
            </w:r>
            <w:r w:rsidR="00ED4AC5">
              <w:rPr>
                <w:rFonts w:ascii="Times New Roman" w:eastAsia="Times New Roman" w:hAnsi="Times New Roman" w:cs="Times New Roman"/>
                <w:sz w:val="24"/>
                <w:szCs w:val="24"/>
                <w:lang w:eastAsia="lv-LV"/>
              </w:rPr>
              <w:t> </w:t>
            </w:r>
            <w:r w:rsidR="003C2E7A" w:rsidRPr="00B7114D">
              <w:rPr>
                <w:rFonts w:ascii="Times New Roman" w:eastAsia="Times New Roman" w:hAnsi="Times New Roman" w:cs="Times New Roman"/>
                <w:sz w:val="24"/>
                <w:szCs w:val="24"/>
                <w:lang w:eastAsia="lv-LV"/>
              </w:rPr>
              <w:t>pun</w:t>
            </w:r>
            <w:r w:rsidRPr="00B7114D">
              <w:rPr>
                <w:rFonts w:ascii="Times New Roman" w:eastAsia="Times New Roman" w:hAnsi="Times New Roman" w:cs="Times New Roman"/>
                <w:sz w:val="24"/>
                <w:szCs w:val="24"/>
                <w:lang w:eastAsia="lv-LV"/>
              </w:rPr>
              <w:t>k</w:t>
            </w:r>
            <w:r w:rsidR="003C2E7A" w:rsidRPr="00B7114D">
              <w:rPr>
                <w:rFonts w:ascii="Times New Roman" w:eastAsia="Times New Roman" w:hAnsi="Times New Roman" w:cs="Times New Roman"/>
                <w:sz w:val="24"/>
                <w:szCs w:val="24"/>
                <w:lang w:eastAsia="lv-LV"/>
              </w:rPr>
              <w:t>t</w:t>
            </w:r>
            <w:r w:rsidRPr="00B7114D">
              <w:rPr>
                <w:rFonts w:ascii="Times New Roman" w:eastAsia="Times New Roman" w:hAnsi="Times New Roman" w:cs="Times New Roman"/>
                <w:sz w:val="24"/>
                <w:szCs w:val="24"/>
                <w:lang w:eastAsia="lv-LV"/>
              </w:rPr>
              <w:t xml:space="preserve">ā paredzētos informācijas pieprasījumus nosūta tikai caur Latvijas Republikas </w:t>
            </w:r>
            <w:r w:rsidR="00975EC6">
              <w:rPr>
                <w:rFonts w:ascii="Times New Roman" w:eastAsia="Times New Roman" w:hAnsi="Times New Roman" w:cs="Times New Roman"/>
                <w:sz w:val="24"/>
                <w:szCs w:val="24"/>
                <w:lang w:eastAsia="lv-LV"/>
              </w:rPr>
              <w:t>c</w:t>
            </w:r>
            <w:r w:rsidRPr="00975EC6">
              <w:rPr>
                <w:rFonts w:ascii="Times New Roman" w:eastAsia="Times New Roman" w:hAnsi="Times New Roman" w:cs="Times New Roman"/>
                <w:sz w:val="24"/>
                <w:szCs w:val="24"/>
                <w:lang w:eastAsia="lv-LV"/>
              </w:rPr>
              <w:t>entrālo iestādi</w:t>
            </w:r>
            <w:r w:rsidRPr="00B7114D">
              <w:rPr>
                <w:rFonts w:ascii="Times New Roman" w:eastAsia="Times New Roman" w:hAnsi="Times New Roman" w:cs="Times New Roman"/>
                <w:sz w:val="24"/>
                <w:szCs w:val="24"/>
                <w:lang w:eastAsia="lv-LV"/>
              </w:rPr>
              <w:t>.</w:t>
            </w:r>
          </w:p>
        </w:tc>
      </w:tr>
      <w:tr w:rsidR="00686E56" w:rsidRPr="004819A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819A6" w:rsidRDefault="00686E56"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Tieslietu ministrija.</w:t>
            </w:r>
          </w:p>
        </w:tc>
      </w:tr>
      <w:tr w:rsidR="00686E56" w:rsidRPr="004819A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819A6" w:rsidRDefault="00686E56" w:rsidP="00686E56">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Nav</w:t>
            </w:r>
            <w:r w:rsidR="00572ED8">
              <w:rPr>
                <w:rFonts w:ascii="Times New Roman" w:eastAsia="Times New Roman" w:hAnsi="Times New Roman" w:cs="Times New Roman"/>
                <w:sz w:val="24"/>
                <w:szCs w:val="24"/>
                <w:lang w:eastAsia="lv-LV"/>
              </w:rPr>
              <w:t>.</w:t>
            </w:r>
          </w:p>
        </w:tc>
      </w:tr>
      <w:tr w:rsidR="005D4E8A" w:rsidRPr="004819A6" w:rsidTr="00D313D5">
        <w:trPr>
          <w:trHeight w:val="128"/>
        </w:trPr>
        <w:tc>
          <w:tcPr>
            <w:tcW w:w="5000" w:type="pct"/>
            <w:gridSpan w:val="3"/>
            <w:tcBorders>
              <w:top w:val="outset" w:sz="6" w:space="0" w:color="414142"/>
              <w:left w:val="nil"/>
              <w:bottom w:val="outset" w:sz="6" w:space="0" w:color="414142"/>
              <w:right w:val="nil"/>
            </w:tcBorders>
          </w:tcPr>
          <w:p w:rsidR="00031256" w:rsidRPr="004819A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ab/>
            </w:r>
          </w:p>
        </w:tc>
      </w:tr>
    </w:tbl>
    <w:p w:rsidR="004D15A9" w:rsidRPr="004819A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831"/>
        <w:gridCol w:w="5838"/>
      </w:tblGrid>
      <w:tr w:rsidR="00686E56" w:rsidRPr="004819A6"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819A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819A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86E56" w:rsidRPr="004819A6" w:rsidTr="004C576A">
        <w:trPr>
          <w:trHeight w:val="465"/>
        </w:trPr>
        <w:tc>
          <w:tcPr>
            <w:tcW w:w="253"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Sabiedrības mērķgrupas, kuras tiesiskais regulējums ietekmē vai varētu ietekmēt</w:t>
            </w:r>
          </w:p>
        </w:tc>
        <w:tc>
          <w:tcPr>
            <w:tcW w:w="3197" w:type="pct"/>
            <w:tcBorders>
              <w:top w:val="outset" w:sz="6" w:space="0" w:color="414142"/>
              <w:left w:val="outset" w:sz="6" w:space="0" w:color="414142"/>
              <w:bottom w:val="outset" w:sz="6" w:space="0" w:color="414142"/>
              <w:right w:val="outset" w:sz="6" w:space="0" w:color="414142"/>
            </w:tcBorders>
            <w:hideMark/>
          </w:tcPr>
          <w:p w:rsidR="00085FF9" w:rsidRDefault="00D70C9A" w:rsidP="00D23971">
            <w:pPr>
              <w:spacing w:after="0" w:line="240" w:lineRule="auto"/>
              <w:jc w:val="both"/>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Likumprojekts attiecināms uz pieauguš</w:t>
            </w:r>
            <w:r w:rsidR="00E71576">
              <w:rPr>
                <w:rFonts w:ascii="Times New Roman" w:eastAsia="Times New Roman" w:hAnsi="Times New Roman" w:cs="Times New Roman"/>
                <w:sz w:val="24"/>
                <w:szCs w:val="24"/>
                <w:lang w:eastAsia="lv-LV"/>
              </w:rPr>
              <w:t xml:space="preserve">o aizsardzību situācijās ar starptautisku elementu, kas savu spēju pasliktināšanās vai nepietiekamības dēļ nespēj aizsargāt savas intereses. </w:t>
            </w:r>
          </w:p>
          <w:p w:rsidR="004D15A9" w:rsidRDefault="00DF0F96" w:rsidP="00975E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Termins "pieaugušais"</w:t>
            </w:r>
            <w:r w:rsidR="00085FF9">
              <w:rPr>
                <w:rFonts w:ascii="Times New Roman" w:eastAsia="Times New Roman" w:hAnsi="Times New Roman" w:cs="Times New Roman"/>
                <w:sz w:val="24"/>
                <w:szCs w:val="24"/>
                <w:lang w:eastAsia="lv-LV"/>
              </w:rPr>
              <w:t xml:space="preserve"> ir attiecināms uz</w:t>
            </w:r>
            <w:r w:rsidR="00D70C9A" w:rsidRPr="004819A6">
              <w:rPr>
                <w:rFonts w:ascii="Times New Roman" w:eastAsia="Times New Roman" w:hAnsi="Times New Roman" w:cs="Times New Roman"/>
                <w:sz w:val="24"/>
                <w:szCs w:val="24"/>
                <w:lang w:eastAsia="lv-LV"/>
              </w:rPr>
              <w:t xml:space="preserve"> personām, </w:t>
            </w:r>
            <w:r w:rsidR="00975EC6" w:rsidRPr="004819A6">
              <w:rPr>
                <w:rFonts w:ascii="Times New Roman" w:eastAsia="Times New Roman" w:hAnsi="Times New Roman" w:cs="Times New Roman"/>
                <w:sz w:val="24"/>
                <w:szCs w:val="24"/>
                <w:lang w:eastAsia="lv-LV"/>
              </w:rPr>
              <w:t>kuras ir</w:t>
            </w:r>
            <w:proofErr w:type="gramStart"/>
            <w:r w:rsidR="00975EC6">
              <w:rPr>
                <w:rFonts w:ascii="Times New Roman" w:eastAsia="Times New Roman" w:hAnsi="Times New Roman" w:cs="Times New Roman"/>
                <w:sz w:val="24"/>
                <w:szCs w:val="24"/>
                <w:lang w:eastAsia="lv-LV"/>
              </w:rPr>
              <w:t xml:space="preserve"> </w:t>
            </w:r>
            <w:r w:rsidR="00975EC6" w:rsidRPr="004819A6">
              <w:rPr>
                <w:rFonts w:ascii="Times New Roman" w:eastAsia="Times New Roman" w:hAnsi="Times New Roman" w:cs="Times New Roman"/>
                <w:sz w:val="24"/>
                <w:szCs w:val="24"/>
                <w:lang w:eastAsia="lv-LV"/>
              </w:rPr>
              <w:t>sasniegušas 18 gadu vecumu</w:t>
            </w:r>
            <w:proofErr w:type="gramEnd"/>
            <w:r w:rsidR="00975EC6">
              <w:rPr>
                <w:rFonts w:ascii="Times New Roman" w:eastAsia="Times New Roman" w:hAnsi="Times New Roman" w:cs="Times New Roman"/>
                <w:sz w:val="24"/>
                <w:szCs w:val="24"/>
                <w:lang w:eastAsia="lv-LV"/>
              </w:rPr>
              <w:t>, kā arī</w:t>
            </w:r>
            <w:r w:rsidR="00975EC6" w:rsidRPr="004819A6">
              <w:rPr>
                <w:rFonts w:ascii="Times New Roman" w:eastAsia="Times New Roman" w:hAnsi="Times New Roman" w:cs="Times New Roman"/>
                <w:sz w:val="24"/>
                <w:szCs w:val="24"/>
                <w:lang w:eastAsia="lv-LV"/>
              </w:rPr>
              <w:t xml:space="preserve"> personām, kuras laikā, kad aizsardzības </w:t>
            </w:r>
            <w:r w:rsidR="00975EC6">
              <w:rPr>
                <w:rFonts w:ascii="Times New Roman" w:eastAsia="Times New Roman" w:hAnsi="Times New Roman" w:cs="Times New Roman"/>
                <w:sz w:val="24"/>
                <w:szCs w:val="24"/>
                <w:lang w:eastAsia="lv-LV"/>
              </w:rPr>
              <w:t>pasākumi</w:t>
            </w:r>
            <w:r w:rsidR="00975EC6" w:rsidRPr="004819A6">
              <w:rPr>
                <w:rFonts w:ascii="Times New Roman" w:eastAsia="Times New Roman" w:hAnsi="Times New Roman" w:cs="Times New Roman"/>
                <w:sz w:val="24"/>
                <w:szCs w:val="24"/>
                <w:lang w:eastAsia="lv-LV"/>
              </w:rPr>
              <w:t xml:space="preserve"> tika </w:t>
            </w:r>
            <w:r w:rsidR="00975EC6">
              <w:rPr>
                <w:rFonts w:ascii="Times New Roman" w:eastAsia="Times New Roman" w:hAnsi="Times New Roman" w:cs="Times New Roman"/>
                <w:sz w:val="24"/>
                <w:szCs w:val="24"/>
                <w:lang w:eastAsia="lv-LV"/>
              </w:rPr>
              <w:t>pieņemti</w:t>
            </w:r>
            <w:r w:rsidR="00975EC6" w:rsidRPr="004819A6">
              <w:rPr>
                <w:rFonts w:ascii="Times New Roman" w:eastAsia="Times New Roman" w:hAnsi="Times New Roman" w:cs="Times New Roman"/>
                <w:sz w:val="24"/>
                <w:szCs w:val="24"/>
                <w:lang w:eastAsia="lv-LV"/>
              </w:rPr>
              <w:t xml:space="preserve">, </w:t>
            </w:r>
            <w:r w:rsidR="00D70C9A" w:rsidRPr="004819A6">
              <w:rPr>
                <w:rFonts w:ascii="Times New Roman" w:eastAsia="Times New Roman" w:hAnsi="Times New Roman" w:cs="Times New Roman"/>
                <w:sz w:val="24"/>
                <w:szCs w:val="24"/>
                <w:lang w:eastAsia="lv-LV"/>
              </w:rPr>
              <w:t>bija jaunāk</w:t>
            </w:r>
            <w:r w:rsidR="005543FE">
              <w:rPr>
                <w:rFonts w:ascii="Times New Roman" w:eastAsia="Times New Roman" w:hAnsi="Times New Roman" w:cs="Times New Roman"/>
                <w:sz w:val="24"/>
                <w:szCs w:val="24"/>
                <w:lang w:eastAsia="lv-LV"/>
              </w:rPr>
              <w:t>as</w:t>
            </w:r>
            <w:r w:rsidR="00D70C9A" w:rsidRPr="004819A6">
              <w:rPr>
                <w:rFonts w:ascii="Times New Roman" w:eastAsia="Times New Roman" w:hAnsi="Times New Roman" w:cs="Times New Roman"/>
                <w:sz w:val="24"/>
                <w:szCs w:val="24"/>
                <w:lang w:eastAsia="lv-LV"/>
              </w:rPr>
              <w:t xml:space="preserve"> par 18 gadiem (Konvencijas 2.</w:t>
            </w:r>
            <w:r w:rsidR="00ED4AC5">
              <w:rPr>
                <w:rFonts w:ascii="Times New Roman" w:eastAsia="Times New Roman" w:hAnsi="Times New Roman" w:cs="Times New Roman"/>
                <w:sz w:val="24"/>
                <w:szCs w:val="24"/>
                <w:lang w:eastAsia="lv-LV"/>
              </w:rPr>
              <w:t> </w:t>
            </w:r>
            <w:r w:rsidR="00D70C9A" w:rsidRPr="004819A6">
              <w:rPr>
                <w:rFonts w:ascii="Times New Roman" w:eastAsia="Times New Roman" w:hAnsi="Times New Roman" w:cs="Times New Roman"/>
                <w:sz w:val="24"/>
                <w:szCs w:val="24"/>
                <w:lang w:eastAsia="lv-LV"/>
              </w:rPr>
              <w:t>pants).</w:t>
            </w:r>
            <w:r w:rsidR="00E71576">
              <w:rPr>
                <w:rFonts w:ascii="Times New Roman" w:eastAsia="Times New Roman" w:hAnsi="Times New Roman" w:cs="Times New Roman"/>
                <w:sz w:val="24"/>
                <w:szCs w:val="24"/>
                <w:lang w:eastAsia="lv-LV"/>
              </w:rPr>
              <w:t xml:space="preserve"> </w:t>
            </w:r>
          </w:p>
          <w:p w:rsidR="00BC5847" w:rsidRDefault="00BC5847" w:rsidP="00975E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vienlaikus skars ar</w:t>
            </w:r>
            <w:r w:rsidR="000E0426">
              <w:rPr>
                <w:rFonts w:ascii="Times New Roman" w:eastAsia="Times New Roman" w:hAnsi="Times New Roman" w:cs="Times New Roman"/>
                <w:sz w:val="24"/>
                <w:szCs w:val="24"/>
                <w:lang w:eastAsia="lv-LV"/>
              </w:rPr>
              <w:t>ī</w:t>
            </w:r>
            <w:r w:rsidR="002B3554">
              <w:rPr>
                <w:rFonts w:ascii="Times New Roman" w:eastAsia="Times New Roman" w:hAnsi="Times New Roman" w:cs="Times New Roman"/>
                <w:sz w:val="24"/>
                <w:szCs w:val="24"/>
                <w:lang w:eastAsia="lv-LV"/>
              </w:rPr>
              <w:t xml:space="preserve"> Tieslietu ministrijas </w:t>
            </w:r>
            <w:r w:rsidR="000E0426">
              <w:rPr>
                <w:rFonts w:ascii="Times New Roman" w:eastAsia="Times New Roman" w:hAnsi="Times New Roman" w:cs="Times New Roman"/>
                <w:sz w:val="24"/>
                <w:szCs w:val="24"/>
                <w:lang w:eastAsia="lv-LV"/>
              </w:rPr>
              <w:t xml:space="preserve">struktūras, </w:t>
            </w:r>
            <w:r>
              <w:rPr>
                <w:rFonts w:ascii="Times New Roman" w:eastAsia="Times New Roman" w:hAnsi="Times New Roman" w:cs="Times New Roman"/>
                <w:sz w:val="24"/>
                <w:szCs w:val="24"/>
                <w:lang w:eastAsia="lv-LV"/>
              </w:rPr>
              <w:t>kuras pild</w:t>
            </w:r>
            <w:r w:rsidR="008F6CC7">
              <w:rPr>
                <w:rFonts w:ascii="Times New Roman" w:eastAsia="Times New Roman" w:hAnsi="Times New Roman" w:cs="Times New Roman"/>
                <w:sz w:val="24"/>
                <w:szCs w:val="24"/>
                <w:lang w:eastAsia="lv-LV"/>
              </w:rPr>
              <w:t xml:space="preserve">īs </w:t>
            </w:r>
            <w:r>
              <w:rPr>
                <w:rFonts w:ascii="Times New Roman" w:eastAsia="Times New Roman" w:hAnsi="Times New Roman" w:cs="Times New Roman"/>
                <w:sz w:val="24"/>
                <w:szCs w:val="24"/>
                <w:lang w:eastAsia="lv-LV"/>
              </w:rPr>
              <w:t xml:space="preserve">centrālās iestādes </w:t>
            </w:r>
            <w:r w:rsidR="008F6CC7">
              <w:rPr>
                <w:rFonts w:ascii="Times New Roman" w:eastAsia="Times New Roman" w:hAnsi="Times New Roman" w:cs="Times New Roman"/>
                <w:sz w:val="24"/>
                <w:szCs w:val="24"/>
                <w:lang w:eastAsia="lv-LV"/>
              </w:rPr>
              <w:t>pienākumus.</w:t>
            </w:r>
          </w:p>
          <w:p w:rsidR="00BC5847" w:rsidRPr="004819A6" w:rsidRDefault="000E0426" w:rsidP="007C15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Gadījumos, </w:t>
            </w:r>
            <w:r w:rsidR="002B3554">
              <w:rPr>
                <w:rFonts w:ascii="Times New Roman" w:eastAsia="Times New Roman" w:hAnsi="Times New Roman" w:cs="Times New Roman"/>
                <w:sz w:val="24"/>
                <w:szCs w:val="24"/>
                <w:lang w:eastAsia="lv-LV"/>
              </w:rPr>
              <w:t>kad Latvijas valsts iestādēm būs jurisdikcija</w:t>
            </w:r>
            <w:r w:rsidR="007C1564">
              <w:rPr>
                <w:rFonts w:ascii="Times New Roman" w:eastAsia="Times New Roman" w:hAnsi="Times New Roman" w:cs="Times New Roman"/>
                <w:sz w:val="24"/>
                <w:szCs w:val="24"/>
                <w:lang w:eastAsia="lv-LV"/>
              </w:rPr>
              <w:t xml:space="preserve"> veikt pasākumus</w:t>
            </w:r>
            <w:r w:rsidR="002B3554">
              <w:rPr>
                <w:rFonts w:ascii="Times New Roman" w:eastAsia="Times New Roman" w:hAnsi="Times New Roman" w:cs="Times New Roman"/>
                <w:sz w:val="24"/>
                <w:szCs w:val="24"/>
                <w:lang w:eastAsia="lv-LV"/>
              </w:rPr>
              <w:t>,</w:t>
            </w:r>
            <w:r w:rsidR="007C1564">
              <w:rPr>
                <w:rFonts w:ascii="Times New Roman" w:eastAsia="Times New Roman" w:hAnsi="Times New Roman" w:cs="Times New Roman"/>
                <w:sz w:val="24"/>
                <w:szCs w:val="24"/>
                <w:lang w:eastAsia="lv-LV"/>
              </w:rPr>
              <w:t xml:space="preserve"> kas vēsti uz pieaugušās personas vai tās īpašumu aizsardzību,</w:t>
            </w:r>
            <w:r w:rsidR="002B3554">
              <w:rPr>
                <w:rFonts w:ascii="Times New Roman" w:eastAsia="Times New Roman" w:hAnsi="Times New Roman" w:cs="Times New Roman"/>
                <w:sz w:val="24"/>
                <w:szCs w:val="24"/>
                <w:lang w:eastAsia="lv-LV"/>
              </w:rPr>
              <w:t xml:space="preserve"> </w:t>
            </w:r>
            <w:r w:rsidR="007C1564">
              <w:rPr>
                <w:rFonts w:ascii="Times New Roman" w:eastAsia="Times New Roman" w:hAnsi="Times New Roman" w:cs="Times New Roman"/>
                <w:sz w:val="24"/>
                <w:szCs w:val="24"/>
                <w:lang w:eastAsia="lv-LV"/>
              </w:rPr>
              <w:t xml:space="preserve">skartas tiks Latvijas bāriņtiesas, jo tām </w:t>
            </w:r>
            <w:r w:rsidR="007C1564" w:rsidRPr="007C1564">
              <w:rPr>
                <w:rFonts w:ascii="Times New Roman" w:eastAsia="Times New Roman" w:hAnsi="Times New Roman" w:cs="Times New Roman"/>
                <w:sz w:val="24"/>
                <w:szCs w:val="24"/>
                <w:lang w:eastAsia="lv-LV"/>
              </w:rPr>
              <w:t>savu kompetenču ietvaros būs jāveic minēt</w:t>
            </w:r>
            <w:r w:rsidR="007C1564">
              <w:rPr>
                <w:rFonts w:ascii="Times New Roman" w:eastAsia="Times New Roman" w:hAnsi="Times New Roman" w:cs="Times New Roman"/>
                <w:sz w:val="24"/>
                <w:szCs w:val="24"/>
                <w:lang w:eastAsia="lv-LV"/>
              </w:rPr>
              <w:t>o</w:t>
            </w:r>
            <w:r w:rsidR="007C1564" w:rsidRPr="007C1564">
              <w:rPr>
                <w:rFonts w:ascii="Times New Roman" w:eastAsia="Times New Roman" w:hAnsi="Times New Roman" w:cs="Times New Roman"/>
                <w:sz w:val="24"/>
                <w:szCs w:val="24"/>
                <w:lang w:eastAsia="lv-LV"/>
              </w:rPr>
              <w:t xml:space="preserve"> pasākumu </w:t>
            </w:r>
            <w:r w:rsidR="007C1564" w:rsidRPr="007C1564">
              <w:rPr>
                <w:rFonts w:ascii="Times New Roman" w:eastAsia="Times New Roman" w:hAnsi="Times New Roman" w:cs="Times New Roman"/>
                <w:sz w:val="24"/>
                <w:szCs w:val="24"/>
                <w:lang w:eastAsia="lv-LV"/>
              </w:rPr>
              <w:lastRenderedPageBreak/>
              <w:t>izpild</w:t>
            </w:r>
            <w:r w:rsidR="007C1564">
              <w:rPr>
                <w:rFonts w:ascii="Times New Roman" w:eastAsia="Times New Roman" w:hAnsi="Times New Roman" w:cs="Times New Roman"/>
                <w:sz w:val="24"/>
                <w:szCs w:val="24"/>
                <w:lang w:eastAsia="lv-LV"/>
              </w:rPr>
              <w:t>e</w:t>
            </w:r>
            <w:r w:rsidR="007C1564" w:rsidRPr="007C1564">
              <w:rPr>
                <w:rFonts w:ascii="Times New Roman" w:eastAsia="Times New Roman" w:hAnsi="Times New Roman" w:cs="Times New Roman"/>
                <w:sz w:val="24"/>
                <w:szCs w:val="24"/>
                <w:lang w:eastAsia="lv-LV"/>
              </w:rPr>
              <w:t>.</w:t>
            </w:r>
            <w:r w:rsidR="007C1564">
              <w:rPr>
                <w:rFonts w:ascii="Times New Roman" w:eastAsia="Times New Roman" w:hAnsi="Times New Roman" w:cs="Times New Roman"/>
                <w:sz w:val="24"/>
                <w:szCs w:val="24"/>
                <w:lang w:eastAsia="lv-LV"/>
              </w:rPr>
              <w:t xml:space="preserve"> Skartas tiks arī Latvijas tiesas, kurām būs jālemj par ārvalstu iestāžu veikto pasākumu atzīšanu.</w:t>
            </w:r>
          </w:p>
        </w:tc>
      </w:tr>
      <w:tr w:rsidR="00686E56" w:rsidRPr="004819A6" w:rsidTr="004C576A">
        <w:trPr>
          <w:trHeight w:val="510"/>
        </w:trPr>
        <w:tc>
          <w:tcPr>
            <w:tcW w:w="253"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Tiesiskā regulējuma ietekme uz tautsaimniecību un administratīvo slogu</w:t>
            </w:r>
          </w:p>
        </w:tc>
        <w:tc>
          <w:tcPr>
            <w:tcW w:w="3197" w:type="pct"/>
            <w:tcBorders>
              <w:top w:val="outset" w:sz="6" w:space="0" w:color="414142"/>
              <w:left w:val="outset" w:sz="6" w:space="0" w:color="414142"/>
              <w:bottom w:val="outset" w:sz="6" w:space="0" w:color="414142"/>
              <w:right w:val="outset" w:sz="6" w:space="0" w:color="414142"/>
            </w:tcBorders>
            <w:hideMark/>
          </w:tcPr>
          <w:p w:rsidR="00110A25" w:rsidRPr="004819A6" w:rsidRDefault="00C36079" w:rsidP="00D239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Netiek plānots liels ar Konvenciju saistīt</w:t>
            </w:r>
            <w:r w:rsidR="003523CB">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lietu skaits, </w:t>
            </w:r>
            <w:r w:rsidR="00B041C3">
              <w:rPr>
                <w:rFonts w:ascii="Times New Roman" w:eastAsia="Times New Roman" w:hAnsi="Times New Roman" w:cs="Times New Roman"/>
                <w:sz w:val="24"/>
                <w:szCs w:val="24"/>
                <w:lang w:eastAsia="lv-LV"/>
              </w:rPr>
              <w:t xml:space="preserve">jo </w:t>
            </w:r>
            <w:r w:rsidR="00402C12">
              <w:rPr>
                <w:rFonts w:ascii="Times New Roman" w:eastAsia="Times New Roman" w:hAnsi="Times New Roman" w:cs="Times New Roman"/>
                <w:sz w:val="24"/>
                <w:szCs w:val="24"/>
                <w:lang w:eastAsia="lv-LV"/>
              </w:rPr>
              <w:t xml:space="preserve">tā </w:t>
            </w:r>
            <w:r w:rsidR="0013290C">
              <w:rPr>
                <w:rFonts w:ascii="Times New Roman" w:eastAsia="Times New Roman" w:hAnsi="Times New Roman" w:cs="Times New Roman"/>
                <w:sz w:val="24"/>
                <w:szCs w:val="24"/>
                <w:lang w:eastAsia="lv-LV"/>
              </w:rPr>
              <w:t>adresē</w:t>
            </w:r>
            <w:r w:rsidR="00B041C3">
              <w:rPr>
                <w:rFonts w:ascii="Times New Roman" w:eastAsia="Times New Roman" w:hAnsi="Times New Roman" w:cs="Times New Roman"/>
                <w:sz w:val="24"/>
                <w:szCs w:val="24"/>
                <w:lang w:eastAsia="lv-LV"/>
              </w:rPr>
              <w:t>t</w:t>
            </w:r>
            <w:r w:rsidR="00402C12">
              <w:rPr>
                <w:rFonts w:ascii="Times New Roman" w:eastAsia="Times New Roman" w:hAnsi="Times New Roman" w:cs="Times New Roman"/>
                <w:sz w:val="24"/>
                <w:szCs w:val="24"/>
                <w:lang w:eastAsia="lv-LV"/>
              </w:rPr>
              <w:t>a salīdzinoši šauram personu lokam</w:t>
            </w:r>
            <w:r w:rsidR="003523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tāpēc, lai gan </w:t>
            </w:r>
            <w:r w:rsidR="00E95E01" w:rsidRPr="004819A6">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ieslietu ministrijas funkcijas</w:t>
            </w:r>
            <w:r w:rsidR="00B041C3">
              <w:rPr>
                <w:rFonts w:ascii="Times New Roman" w:eastAsia="Times New Roman" w:hAnsi="Times New Roman" w:cs="Times New Roman"/>
                <w:sz w:val="24"/>
                <w:szCs w:val="24"/>
                <w:lang w:eastAsia="lv-LV"/>
              </w:rPr>
              <w:t xml:space="preserve"> teorētiski</w:t>
            </w:r>
            <w:r>
              <w:rPr>
                <w:rFonts w:ascii="Times New Roman" w:eastAsia="Times New Roman" w:hAnsi="Times New Roman" w:cs="Times New Roman"/>
                <w:sz w:val="24"/>
                <w:szCs w:val="24"/>
                <w:lang w:eastAsia="lv-LV"/>
              </w:rPr>
              <w:t xml:space="preserve"> ti</w:t>
            </w:r>
            <w:r w:rsidR="00B509B2">
              <w:rPr>
                <w:rFonts w:ascii="Times New Roman" w:eastAsia="Times New Roman" w:hAnsi="Times New Roman" w:cs="Times New Roman"/>
                <w:sz w:val="24"/>
                <w:szCs w:val="24"/>
                <w:lang w:eastAsia="lv-LV"/>
              </w:rPr>
              <w:t>ks</w:t>
            </w:r>
            <w:r>
              <w:rPr>
                <w:rFonts w:ascii="Times New Roman" w:eastAsia="Times New Roman" w:hAnsi="Times New Roman" w:cs="Times New Roman"/>
                <w:sz w:val="24"/>
                <w:szCs w:val="24"/>
                <w:lang w:eastAsia="lv-LV"/>
              </w:rPr>
              <w:t xml:space="preserve"> </w:t>
            </w:r>
            <w:r w:rsidR="0090316E">
              <w:rPr>
                <w:rFonts w:ascii="Times New Roman" w:eastAsia="Times New Roman" w:hAnsi="Times New Roman" w:cs="Times New Roman"/>
                <w:sz w:val="24"/>
                <w:szCs w:val="24"/>
                <w:lang w:eastAsia="lv-LV"/>
              </w:rPr>
              <w:t xml:space="preserve">paplašinātas, </w:t>
            </w:r>
            <w:r w:rsidR="007C1564">
              <w:rPr>
                <w:rFonts w:ascii="Times New Roman" w:eastAsia="Times New Roman" w:hAnsi="Times New Roman" w:cs="Times New Roman"/>
                <w:sz w:val="24"/>
                <w:szCs w:val="24"/>
                <w:lang w:eastAsia="lv-LV"/>
              </w:rPr>
              <w:t xml:space="preserve">netiek plānots, ka administratīvais slogs varētu </w:t>
            </w:r>
            <w:r w:rsidR="003523CB">
              <w:rPr>
                <w:rFonts w:ascii="Times New Roman" w:eastAsia="Times New Roman" w:hAnsi="Times New Roman" w:cs="Times New Roman"/>
                <w:sz w:val="24"/>
                <w:szCs w:val="24"/>
                <w:lang w:eastAsia="lv-LV"/>
              </w:rPr>
              <w:t>būtiski</w:t>
            </w:r>
            <w:r w:rsidR="007C1564">
              <w:rPr>
                <w:rFonts w:ascii="Times New Roman" w:eastAsia="Times New Roman" w:hAnsi="Times New Roman" w:cs="Times New Roman"/>
                <w:sz w:val="24"/>
                <w:szCs w:val="24"/>
                <w:lang w:eastAsia="lv-LV"/>
              </w:rPr>
              <w:t xml:space="preserve"> palielin</w:t>
            </w:r>
            <w:r w:rsidR="003523CB">
              <w:rPr>
                <w:rFonts w:ascii="Times New Roman" w:eastAsia="Times New Roman" w:hAnsi="Times New Roman" w:cs="Times New Roman"/>
                <w:sz w:val="24"/>
                <w:szCs w:val="24"/>
                <w:lang w:eastAsia="lv-LV"/>
              </w:rPr>
              <w:t>āties</w:t>
            </w:r>
            <w:r w:rsidR="007C1564">
              <w:rPr>
                <w:rFonts w:ascii="Times New Roman" w:eastAsia="Times New Roman" w:hAnsi="Times New Roman" w:cs="Times New Roman"/>
                <w:sz w:val="24"/>
                <w:szCs w:val="24"/>
                <w:lang w:eastAsia="lv-LV"/>
              </w:rPr>
              <w:t>. F</w:t>
            </w:r>
            <w:r w:rsidR="0090316E" w:rsidRPr="004819A6">
              <w:rPr>
                <w:rFonts w:ascii="Times New Roman" w:eastAsia="Times New Roman" w:hAnsi="Times New Roman" w:cs="Times New Roman"/>
                <w:sz w:val="24"/>
                <w:szCs w:val="24"/>
                <w:lang w:eastAsia="lv-LV"/>
              </w:rPr>
              <w:t xml:space="preserve">inansiālā ietekme nav paredzama – paredzēts, ka Tieslietu ministrija veiks pienākumus esošā finansējuma </w:t>
            </w:r>
            <w:r w:rsidR="0090316E">
              <w:rPr>
                <w:rFonts w:ascii="Times New Roman" w:eastAsia="Times New Roman" w:hAnsi="Times New Roman" w:cs="Times New Roman"/>
                <w:sz w:val="24"/>
                <w:szCs w:val="24"/>
                <w:lang w:eastAsia="lv-LV"/>
              </w:rPr>
              <w:t xml:space="preserve">ietvaros. </w:t>
            </w:r>
            <w:r w:rsidR="00B509B2">
              <w:rPr>
                <w:rFonts w:ascii="Times New Roman" w:eastAsia="Times New Roman" w:hAnsi="Times New Roman" w:cs="Times New Roman"/>
                <w:sz w:val="24"/>
                <w:szCs w:val="24"/>
                <w:lang w:eastAsia="lv-LV"/>
              </w:rPr>
              <w:t>Minētais būtu attiecināms arī uz</w:t>
            </w:r>
            <w:r w:rsidR="003523CB">
              <w:rPr>
                <w:rFonts w:ascii="Times New Roman" w:eastAsia="Times New Roman" w:hAnsi="Times New Roman" w:cs="Times New Roman"/>
                <w:sz w:val="24"/>
                <w:szCs w:val="24"/>
                <w:lang w:eastAsia="lv-LV"/>
              </w:rPr>
              <w:t xml:space="preserve"> Latvijas tiesām un</w:t>
            </w:r>
            <w:r w:rsidR="00B509B2">
              <w:rPr>
                <w:rFonts w:ascii="Times New Roman" w:eastAsia="Times New Roman" w:hAnsi="Times New Roman" w:cs="Times New Roman"/>
                <w:sz w:val="24"/>
                <w:szCs w:val="24"/>
                <w:lang w:eastAsia="lv-LV"/>
              </w:rPr>
              <w:t xml:space="preserve"> bāriņtiesām, jo nelielais</w:t>
            </w:r>
            <w:r w:rsidR="00402C12">
              <w:rPr>
                <w:rFonts w:ascii="Times New Roman" w:eastAsia="Times New Roman" w:hAnsi="Times New Roman" w:cs="Times New Roman"/>
                <w:sz w:val="24"/>
                <w:szCs w:val="24"/>
                <w:lang w:eastAsia="lv-LV"/>
              </w:rPr>
              <w:t xml:space="preserve"> </w:t>
            </w:r>
            <w:r w:rsidR="00B509B2">
              <w:rPr>
                <w:rFonts w:ascii="Times New Roman" w:eastAsia="Times New Roman" w:hAnsi="Times New Roman" w:cs="Times New Roman"/>
                <w:sz w:val="24"/>
                <w:szCs w:val="24"/>
                <w:lang w:eastAsia="lv-LV"/>
              </w:rPr>
              <w:t>lietu skaits to noslodzi neietekmēs</w:t>
            </w:r>
            <w:r w:rsidR="00402C12">
              <w:rPr>
                <w:rFonts w:ascii="Times New Roman" w:eastAsia="Times New Roman" w:hAnsi="Times New Roman" w:cs="Times New Roman"/>
                <w:sz w:val="24"/>
                <w:szCs w:val="24"/>
                <w:lang w:eastAsia="lv-LV"/>
              </w:rPr>
              <w:t xml:space="preserve"> tādā mērā, lai būtu pamats runāt par administratīvā sloga palielināšanos</w:t>
            </w:r>
            <w:r w:rsidR="00B509B2">
              <w:rPr>
                <w:rFonts w:ascii="Times New Roman" w:eastAsia="Times New Roman" w:hAnsi="Times New Roman" w:cs="Times New Roman"/>
                <w:sz w:val="24"/>
                <w:szCs w:val="24"/>
                <w:lang w:eastAsia="lv-LV"/>
              </w:rPr>
              <w:t>.</w:t>
            </w:r>
          </w:p>
          <w:p w:rsidR="00FF5C92" w:rsidRPr="004819A6" w:rsidRDefault="00FF5C92" w:rsidP="003523CB">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Centrālā iestāde</w:t>
            </w:r>
            <w:r w:rsidR="003523C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veicinot ātru, lētu un vienkāršu informācijas apmaiņu starp valstu iestādēm</w:t>
            </w:r>
            <w:r w:rsidR="003523CB">
              <w:rPr>
                <w:rFonts w:ascii="Times New Roman" w:eastAsia="Times New Roman" w:hAnsi="Times New Roman" w:cs="Times New Roman"/>
                <w:sz w:val="24"/>
                <w:szCs w:val="24"/>
                <w:lang w:eastAsia="lv-LV"/>
              </w:rPr>
              <w:t>, aiztaupīs vairākus resursus.</w:t>
            </w:r>
          </w:p>
        </w:tc>
      </w:tr>
      <w:tr w:rsidR="00686E56" w:rsidRPr="004819A6" w:rsidTr="004C576A">
        <w:trPr>
          <w:trHeight w:val="510"/>
        </w:trPr>
        <w:tc>
          <w:tcPr>
            <w:tcW w:w="253"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Administratīvo izmaksu monetārs novērtējums</w:t>
            </w:r>
          </w:p>
        </w:tc>
        <w:tc>
          <w:tcPr>
            <w:tcW w:w="3197" w:type="pct"/>
            <w:tcBorders>
              <w:top w:val="outset" w:sz="6" w:space="0" w:color="414142"/>
              <w:left w:val="outset" w:sz="6" w:space="0" w:color="414142"/>
              <w:bottom w:val="outset" w:sz="6" w:space="0" w:color="414142"/>
              <w:right w:val="outset" w:sz="6" w:space="0" w:color="414142"/>
            </w:tcBorders>
            <w:hideMark/>
          </w:tcPr>
          <w:p w:rsidR="00E95E01" w:rsidRDefault="00D610DF" w:rsidP="00D23971">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Likump</w:t>
            </w:r>
            <w:r w:rsidRPr="00BE7A8A">
              <w:rPr>
                <w:rFonts w:ascii="Times New Roman" w:hAnsi="Times New Roman" w:cs="Times New Roman"/>
                <w:iCs/>
                <w:color w:val="000000" w:themeColor="text1"/>
                <w:sz w:val="24"/>
                <w:szCs w:val="24"/>
              </w:rPr>
              <w:t>rojekts šo jomu neskar.</w:t>
            </w:r>
          </w:p>
          <w:p w:rsidR="004D15A9" w:rsidRPr="004819A6" w:rsidRDefault="004D15A9" w:rsidP="00D23971">
            <w:pPr>
              <w:spacing w:after="0" w:line="240" w:lineRule="auto"/>
              <w:jc w:val="both"/>
              <w:rPr>
                <w:rFonts w:ascii="Times New Roman" w:eastAsia="Times New Roman" w:hAnsi="Times New Roman" w:cs="Times New Roman"/>
                <w:sz w:val="24"/>
                <w:szCs w:val="24"/>
                <w:lang w:eastAsia="lv-LV"/>
              </w:rPr>
            </w:pPr>
          </w:p>
        </w:tc>
      </w:tr>
      <w:tr w:rsidR="00686E56" w:rsidRPr="004819A6" w:rsidTr="004C576A">
        <w:trPr>
          <w:trHeight w:val="345"/>
        </w:trPr>
        <w:tc>
          <w:tcPr>
            <w:tcW w:w="253"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819A6" w:rsidRDefault="004D15A9" w:rsidP="00DA596D">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Cita informācija</w:t>
            </w:r>
          </w:p>
        </w:tc>
        <w:tc>
          <w:tcPr>
            <w:tcW w:w="3197" w:type="pct"/>
            <w:tcBorders>
              <w:top w:val="outset" w:sz="6" w:space="0" w:color="414142"/>
              <w:left w:val="outset" w:sz="6" w:space="0" w:color="414142"/>
              <w:bottom w:val="outset" w:sz="6" w:space="0" w:color="414142"/>
              <w:right w:val="outset" w:sz="6" w:space="0" w:color="414142"/>
            </w:tcBorders>
            <w:hideMark/>
          </w:tcPr>
          <w:p w:rsidR="004D15A9" w:rsidRPr="004819A6" w:rsidRDefault="00D70C9A" w:rsidP="007E29FB">
            <w:pPr>
              <w:spacing w:after="0" w:line="240" w:lineRule="auto"/>
              <w:rPr>
                <w:rFonts w:ascii="Times New Roman" w:eastAsia="Times New Roman" w:hAnsi="Times New Roman" w:cs="Times New Roman"/>
                <w:sz w:val="24"/>
                <w:szCs w:val="24"/>
                <w:lang w:eastAsia="lv-LV"/>
              </w:rPr>
            </w:pPr>
            <w:r w:rsidRPr="004819A6">
              <w:rPr>
                <w:rFonts w:ascii="Times New Roman" w:eastAsia="Times New Roman" w:hAnsi="Times New Roman" w:cs="Times New Roman"/>
                <w:sz w:val="24"/>
                <w:szCs w:val="24"/>
                <w:lang w:eastAsia="lv-LV"/>
              </w:rPr>
              <w:t>Nav</w:t>
            </w:r>
            <w:r w:rsidR="000319ED">
              <w:rPr>
                <w:rFonts w:ascii="Times New Roman" w:eastAsia="Times New Roman" w:hAnsi="Times New Roman" w:cs="Times New Roman"/>
                <w:sz w:val="24"/>
                <w:szCs w:val="24"/>
                <w:lang w:eastAsia="lv-LV"/>
              </w:rPr>
              <w:t>.</w:t>
            </w:r>
          </w:p>
        </w:tc>
      </w:tr>
    </w:tbl>
    <w:p w:rsidR="00C56023" w:rsidRDefault="00C56023" w:rsidP="00D07220">
      <w:pPr>
        <w:spacing w:after="0" w:line="240" w:lineRule="auto"/>
        <w:jc w:val="both"/>
        <w:rPr>
          <w:rFonts w:ascii="Times New Roman" w:eastAsia="Times New Roman" w:hAnsi="Times New Roman" w:cs="Times New Roman"/>
          <w:sz w:val="28"/>
          <w:szCs w:val="28"/>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02"/>
      </w:tblGrid>
      <w:tr w:rsidR="00975EC6" w:rsidRPr="004D15A9" w:rsidTr="00B5487A">
        <w:trPr>
          <w:trHeight w:val="450"/>
        </w:trPr>
        <w:tc>
          <w:tcPr>
            <w:tcW w:w="5000" w:type="pct"/>
            <w:tcBorders>
              <w:top w:val="single" w:sz="4" w:space="0" w:color="auto"/>
              <w:left w:val="single" w:sz="4" w:space="0" w:color="auto"/>
              <w:bottom w:val="single" w:sz="4" w:space="0" w:color="auto"/>
              <w:right w:val="single" w:sz="4" w:space="0" w:color="auto"/>
            </w:tcBorders>
            <w:vAlign w:val="center"/>
          </w:tcPr>
          <w:p w:rsidR="00975EC6" w:rsidRPr="000349F6" w:rsidRDefault="00975EC6" w:rsidP="00B5487A">
            <w:pPr>
              <w:spacing w:after="0" w:line="240" w:lineRule="auto"/>
              <w:ind w:firstLine="283"/>
              <w:jc w:val="both"/>
              <w:rPr>
                <w:rFonts w:ascii="Times New Roman" w:eastAsia="Times New Roman" w:hAnsi="Times New Roman" w:cs="Times New Roman"/>
                <w:b/>
                <w:bCs/>
                <w:color w:val="000000" w:themeColor="text1"/>
                <w:sz w:val="24"/>
                <w:szCs w:val="24"/>
                <w:lang w:eastAsia="lv-LV"/>
              </w:rPr>
            </w:pPr>
            <w:r w:rsidRPr="000349F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975EC6" w:rsidRPr="004D15A9" w:rsidTr="00B5487A">
        <w:trPr>
          <w:trHeight w:val="450"/>
        </w:trPr>
        <w:tc>
          <w:tcPr>
            <w:tcW w:w="5000" w:type="pct"/>
            <w:tcBorders>
              <w:top w:val="single" w:sz="4" w:space="0" w:color="auto"/>
              <w:left w:val="single" w:sz="4" w:space="0" w:color="auto"/>
              <w:bottom w:val="single" w:sz="4" w:space="0" w:color="auto"/>
              <w:right w:val="single" w:sz="4" w:space="0" w:color="auto"/>
            </w:tcBorders>
            <w:vAlign w:val="center"/>
          </w:tcPr>
          <w:p w:rsidR="00975EC6" w:rsidRPr="000349F6" w:rsidRDefault="00975EC6" w:rsidP="00B5487A">
            <w:pPr>
              <w:spacing w:after="0" w:line="240" w:lineRule="auto"/>
              <w:ind w:firstLine="283"/>
              <w:jc w:val="center"/>
              <w:rPr>
                <w:rFonts w:ascii="Times New Roman" w:eastAsia="Times New Roman" w:hAnsi="Times New Roman" w:cs="Times New Roman"/>
                <w:bCs/>
                <w:color w:val="000000" w:themeColor="text1"/>
                <w:sz w:val="24"/>
                <w:szCs w:val="24"/>
                <w:lang w:eastAsia="lv-LV"/>
              </w:rPr>
            </w:pPr>
            <w:r w:rsidRPr="000349F6">
              <w:rPr>
                <w:rFonts w:ascii="Times New Roman" w:eastAsia="Times New Roman" w:hAnsi="Times New Roman" w:cs="Times New Roman"/>
                <w:bCs/>
                <w:color w:val="000000" w:themeColor="text1"/>
                <w:sz w:val="24"/>
                <w:szCs w:val="24"/>
                <w:lang w:eastAsia="lv-LV"/>
              </w:rPr>
              <w:t>Likumprojekts šo jomu neskar</w:t>
            </w:r>
            <w:r w:rsidR="00E77975">
              <w:rPr>
                <w:rFonts w:ascii="Times New Roman" w:eastAsia="Times New Roman" w:hAnsi="Times New Roman" w:cs="Times New Roman"/>
                <w:bCs/>
                <w:color w:val="000000" w:themeColor="text1"/>
                <w:sz w:val="24"/>
                <w:szCs w:val="24"/>
                <w:lang w:eastAsia="lv-LV"/>
              </w:rPr>
              <w:t>.</w:t>
            </w:r>
          </w:p>
        </w:tc>
      </w:tr>
    </w:tbl>
    <w:p w:rsidR="00975EC6" w:rsidRDefault="00975EC6" w:rsidP="00975EC6">
      <w:pPr>
        <w:spacing w:after="0" w:line="240" w:lineRule="auto"/>
        <w:jc w:val="both"/>
        <w:rPr>
          <w:rFonts w:ascii="Times New Roman" w:eastAsia="Times New Roman" w:hAnsi="Times New Roman" w:cs="Times New Roman"/>
          <w:sz w:val="28"/>
          <w:szCs w:val="28"/>
          <w:lang w:eastAsia="lv-LV"/>
        </w:rPr>
      </w:pPr>
    </w:p>
    <w:tbl>
      <w:tblPr>
        <w:tblW w:w="49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15"/>
      </w:tblGrid>
      <w:tr w:rsidR="00975EC6" w:rsidRPr="004D15A9" w:rsidTr="00B5487A">
        <w:trPr>
          <w:trHeight w:val="464"/>
        </w:trPr>
        <w:tc>
          <w:tcPr>
            <w:tcW w:w="5000" w:type="pct"/>
            <w:tcBorders>
              <w:top w:val="single" w:sz="4" w:space="0" w:color="auto"/>
              <w:left w:val="single" w:sz="4" w:space="0" w:color="auto"/>
              <w:bottom w:val="single" w:sz="4" w:space="0" w:color="auto"/>
              <w:right w:val="single" w:sz="4" w:space="0" w:color="auto"/>
            </w:tcBorders>
            <w:vAlign w:val="center"/>
          </w:tcPr>
          <w:p w:rsidR="00975EC6" w:rsidRPr="000349F6" w:rsidRDefault="00975EC6" w:rsidP="00B5487A">
            <w:pPr>
              <w:spacing w:after="0" w:line="240" w:lineRule="auto"/>
              <w:ind w:firstLine="283"/>
              <w:jc w:val="both"/>
              <w:rPr>
                <w:rFonts w:ascii="Times New Roman" w:eastAsia="Times New Roman" w:hAnsi="Times New Roman" w:cs="Times New Roman"/>
                <w:b/>
                <w:bCs/>
                <w:color w:val="000000" w:themeColor="text1"/>
                <w:sz w:val="24"/>
                <w:szCs w:val="24"/>
                <w:lang w:eastAsia="lv-LV"/>
              </w:rPr>
            </w:pPr>
            <w:r w:rsidRPr="000349F6">
              <w:rPr>
                <w:rFonts w:ascii="Times New Roman" w:eastAsia="Times New Roman" w:hAnsi="Times New Roman" w:cs="Times New Roman"/>
                <w:b/>
                <w:bCs/>
                <w:color w:val="000000" w:themeColor="text1"/>
                <w:sz w:val="24"/>
                <w:szCs w:val="24"/>
                <w:lang w:eastAsia="lv-LV"/>
              </w:rPr>
              <w:t>I</w:t>
            </w:r>
            <w:r>
              <w:rPr>
                <w:rFonts w:ascii="Times New Roman" w:eastAsia="Times New Roman" w:hAnsi="Times New Roman" w:cs="Times New Roman"/>
                <w:b/>
                <w:bCs/>
                <w:color w:val="000000" w:themeColor="text1"/>
                <w:sz w:val="24"/>
                <w:szCs w:val="24"/>
                <w:lang w:eastAsia="lv-LV"/>
              </w:rPr>
              <w:t>V</w:t>
            </w:r>
            <w:r w:rsidRPr="000349F6">
              <w:rPr>
                <w:rFonts w:ascii="Times New Roman" w:eastAsia="Times New Roman" w:hAnsi="Times New Roman" w:cs="Times New Roman"/>
                <w:b/>
                <w:bCs/>
                <w:color w:val="000000" w:themeColor="text1"/>
                <w:sz w:val="24"/>
                <w:szCs w:val="24"/>
                <w:lang w:eastAsia="lv-LV"/>
              </w:rPr>
              <w:t xml:space="preserve">. Tiesību akta projekta ietekme uz </w:t>
            </w:r>
            <w:r>
              <w:rPr>
                <w:rFonts w:ascii="Times New Roman" w:eastAsia="Times New Roman" w:hAnsi="Times New Roman" w:cs="Times New Roman"/>
                <w:b/>
                <w:bCs/>
                <w:color w:val="000000" w:themeColor="text1"/>
                <w:sz w:val="24"/>
                <w:szCs w:val="24"/>
                <w:lang w:eastAsia="lv-LV"/>
              </w:rPr>
              <w:t>spēkā esošo tiesību normu sistēmu</w:t>
            </w:r>
          </w:p>
        </w:tc>
      </w:tr>
      <w:tr w:rsidR="00975EC6" w:rsidRPr="004D15A9" w:rsidTr="00B5487A">
        <w:trPr>
          <w:trHeight w:val="464"/>
        </w:trPr>
        <w:tc>
          <w:tcPr>
            <w:tcW w:w="5000" w:type="pct"/>
            <w:tcBorders>
              <w:top w:val="single" w:sz="4" w:space="0" w:color="auto"/>
              <w:left w:val="single" w:sz="4" w:space="0" w:color="auto"/>
              <w:bottom w:val="single" w:sz="4" w:space="0" w:color="auto"/>
              <w:right w:val="single" w:sz="4" w:space="0" w:color="auto"/>
            </w:tcBorders>
            <w:vAlign w:val="center"/>
          </w:tcPr>
          <w:p w:rsidR="00975EC6" w:rsidRPr="000349F6" w:rsidRDefault="00975EC6" w:rsidP="00B5487A">
            <w:pPr>
              <w:spacing w:after="0" w:line="240" w:lineRule="auto"/>
              <w:ind w:firstLine="283"/>
              <w:jc w:val="center"/>
              <w:rPr>
                <w:rFonts w:ascii="Times New Roman" w:eastAsia="Times New Roman" w:hAnsi="Times New Roman" w:cs="Times New Roman"/>
                <w:bCs/>
                <w:color w:val="000000" w:themeColor="text1"/>
                <w:sz w:val="24"/>
                <w:szCs w:val="24"/>
                <w:lang w:eastAsia="lv-LV"/>
              </w:rPr>
            </w:pPr>
            <w:r w:rsidRPr="000349F6">
              <w:rPr>
                <w:rFonts w:ascii="Times New Roman" w:eastAsia="Times New Roman" w:hAnsi="Times New Roman" w:cs="Times New Roman"/>
                <w:bCs/>
                <w:color w:val="000000" w:themeColor="text1"/>
                <w:sz w:val="24"/>
                <w:szCs w:val="24"/>
                <w:lang w:eastAsia="lv-LV"/>
              </w:rPr>
              <w:t>Likumprojekts šo jomu neskar</w:t>
            </w:r>
            <w:r w:rsidR="00E77975">
              <w:rPr>
                <w:rFonts w:ascii="Times New Roman" w:eastAsia="Times New Roman" w:hAnsi="Times New Roman" w:cs="Times New Roman"/>
                <w:bCs/>
                <w:color w:val="000000" w:themeColor="text1"/>
                <w:sz w:val="24"/>
                <w:szCs w:val="24"/>
                <w:lang w:eastAsia="lv-LV"/>
              </w:rPr>
              <w:t>.</w:t>
            </w:r>
          </w:p>
        </w:tc>
      </w:tr>
    </w:tbl>
    <w:p w:rsidR="003F3DFC" w:rsidRDefault="003F3DFC" w:rsidP="00D07220">
      <w:pPr>
        <w:spacing w:after="0" w:line="240" w:lineRule="auto"/>
        <w:jc w:val="both"/>
        <w:rPr>
          <w:rFonts w:ascii="Times New Roman" w:eastAsia="Times New Roman" w:hAnsi="Times New Roman" w:cs="Times New Roman"/>
          <w:sz w:val="28"/>
          <w:szCs w:val="28"/>
          <w:lang w:eastAsia="lv-LV"/>
        </w:rPr>
      </w:pPr>
    </w:p>
    <w:tbl>
      <w:tblPr>
        <w:tblW w:w="907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23"/>
        <w:gridCol w:w="1648"/>
        <w:gridCol w:w="1290"/>
        <w:gridCol w:w="624"/>
        <w:gridCol w:w="2436"/>
        <w:gridCol w:w="2751"/>
      </w:tblGrid>
      <w:tr w:rsidR="00266BBF" w:rsidTr="00266BBF">
        <w:tc>
          <w:tcPr>
            <w:tcW w:w="9072" w:type="dxa"/>
            <w:gridSpan w:val="6"/>
            <w:tcBorders>
              <w:top w:val="outset" w:sz="6" w:space="0" w:color="auto"/>
              <w:left w:val="outset" w:sz="6" w:space="0" w:color="auto"/>
              <w:bottom w:val="outset" w:sz="6" w:space="0" w:color="auto"/>
              <w:right w:val="outset" w:sz="6" w:space="0" w:color="auto"/>
            </w:tcBorders>
            <w:vAlign w:val="center"/>
            <w:hideMark/>
          </w:tcPr>
          <w:p w:rsidR="00266BBF" w:rsidRPr="00266BBF" w:rsidRDefault="00266BBF">
            <w:pPr>
              <w:jc w:val="center"/>
              <w:rPr>
                <w:rFonts w:ascii="Times New Roman" w:eastAsia="Calibri" w:hAnsi="Times New Roman" w:cs="Times New Roman"/>
                <w:b/>
                <w:sz w:val="24"/>
                <w:szCs w:val="24"/>
              </w:rPr>
            </w:pPr>
            <w:r w:rsidRPr="00266BBF">
              <w:rPr>
                <w:rFonts w:ascii="Arial" w:eastAsia="Times New Roman" w:hAnsi="Arial" w:cs="Arial"/>
                <w:color w:val="414142"/>
                <w:sz w:val="24"/>
                <w:szCs w:val="24"/>
                <w:lang w:eastAsia="lv-LV"/>
              </w:rPr>
              <w:t> </w:t>
            </w:r>
            <w:r w:rsidRPr="00266BBF">
              <w:rPr>
                <w:rFonts w:ascii="Times New Roman" w:hAnsi="Times New Roman"/>
                <w:b/>
                <w:sz w:val="24"/>
                <w:szCs w:val="24"/>
              </w:rPr>
              <w:t>V. Tiesību akta projekta atbilstība Latvijas Republikas starptautiskajām saistībām</w:t>
            </w:r>
          </w:p>
        </w:tc>
      </w:tr>
      <w:tr w:rsidR="00266BBF" w:rsidTr="00235446">
        <w:trPr>
          <w:trHeight w:val="556"/>
        </w:trPr>
        <w:tc>
          <w:tcPr>
            <w:tcW w:w="323" w:type="dxa"/>
            <w:tcBorders>
              <w:top w:val="outset" w:sz="6" w:space="0" w:color="auto"/>
              <w:left w:val="outset" w:sz="6" w:space="0" w:color="auto"/>
              <w:bottom w:val="outset" w:sz="6" w:space="0" w:color="auto"/>
              <w:right w:val="outset" w:sz="6" w:space="0" w:color="auto"/>
            </w:tcBorders>
            <w:hideMark/>
          </w:tcPr>
          <w:p w:rsidR="00266BBF" w:rsidRPr="007703DD" w:rsidRDefault="00266BBF" w:rsidP="008E6937">
            <w:pPr>
              <w:ind w:left="-28"/>
              <w:rPr>
                <w:rFonts w:ascii="Times New Roman" w:eastAsia="Calibri" w:hAnsi="Times New Roman" w:cs="Times New Roman"/>
                <w:sz w:val="24"/>
                <w:szCs w:val="24"/>
              </w:rPr>
            </w:pPr>
            <w:r w:rsidRPr="007703DD">
              <w:rPr>
                <w:rFonts w:ascii="Times New Roman" w:hAnsi="Times New Roman"/>
                <w:sz w:val="24"/>
                <w:szCs w:val="24"/>
              </w:rPr>
              <w:t>1.</w:t>
            </w:r>
          </w:p>
        </w:tc>
        <w:tc>
          <w:tcPr>
            <w:tcW w:w="2938" w:type="dxa"/>
            <w:gridSpan w:val="2"/>
            <w:tcBorders>
              <w:top w:val="outset" w:sz="6" w:space="0" w:color="auto"/>
              <w:left w:val="outset" w:sz="6" w:space="0" w:color="auto"/>
              <w:bottom w:val="outset" w:sz="6" w:space="0" w:color="auto"/>
              <w:right w:val="outset" w:sz="6" w:space="0" w:color="auto"/>
            </w:tcBorders>
            <w:hideMark/>
          </w:tcPr>
          <w:p w:rsidR="00266BBF" w:rsidRPr="00266BBF" w:rsidRDefault="00266BBF">
            <w:pPr>
              <w:ind w:left="57"/>
              <w:rPr>
                <w:rFonts w:ascii="Times New Roman" w:eastAsia="Calibri" w:hAnsi="Times New Roman" w:cs="Times New Roman"/>
                <w:sz w:val="24"/>
                <w:szCs w:val="24"/>
              </w:rPr>
            </w:pPr>
            <w:r w:rsidRPr="00266BBF">
              <w:rPr>
                <w:rFonts w:ascii="Times New Roman" w:hAnsi="Times New Roman"/>
                <w:sz w:val="24"/>
                <w:szCs w:val="24"/>
              </w:rPr>
              <w:t>Saistības pret Eiropas Savienību</w:t>
            </w:r>
          </w:p>
        </w:tc>
        <w:tc>
          <w:tcPr>
            <w:tcW w:w="5811" w:type="dxa"/>
            <w:gridSpan w:val="3"/>
            <w:tcBorders>
              <w:top w:val="outset" w:sz="6" w:space="0" w:color="auto"/>
              <w:left w:val="outset" w:sz="6" w:space="0" w:color="auto"/>
              <w:bottom w:val="outset" w:sz="6" w:space="0" w:color="auto"/>
              <w:right w:val="outset" w:sz="6" w:space="0" w:color="auto"/>
            </w:tcBorders>
            <w:hideMark/>
          </w:tcPr>
          <w:p w:rsidR="00266BBF" w:rsidRPr="00B7114D" w:rsidRDefault="003D3BFA" w:rsidP="00D72499">
            <w:pPr>
              <w:spacing w:after="0" w:line="240" w:lineRule="auto"/>
              <w:ind w:left="57"/>
              <w:jc w:val="both"/>
              <w:rPr>
                <w:rFonts w:ascii="Times New Roman" w:eastAsia="Calibri" w:hAnsi="Times New Roman" w:cs="Times New Roman"/>
                <w:sz w:val="24"/>
                <w:szCs w:val="24"/>
              </w:rPr>
            </w:pPr>
            <w:r>
              <w:rPr>
                <w:rFonts w:ascii="Times New Roman" w:hAnsi="Times New Roman" w:cs="Times New Roman"/>
                <w:iCs/>
                <w:sz w:val="24"/>
                <w:szCs w:val="24"/>
                <w:lang w:eastAsia="lv-LV"/>
              </w:rPr>
              <w:t>Likumprojekts šo jomu neskar.</w:t>
            </w:r>
          </w:p>
        </w:tc>
      </w:tr>
      <w:tr w:rsidR="00266BBF" w:rsidTr="00235446">
        <w:tc>
          <w:tcPr>
            <w:tcW w:w="323" w:type="dxa"/>
            <w:tcBorders>
              <w:top w:val="outset" w:sz="6" w:space="0" w:color="auto"/>
              <w:left w:val="outset" w:sz="6" w:space="0" w:color="auto"/>
              <w:bottom w:val="outset" w:sz="6" w:space="0" w:color="auto"/>
              <w:right w:val="outset" w:sz="6" w:space="0" w:color="auto"/>
            </w:tcBorders>
            <w:hideMark/>
          </w:tcPr>
          <w:p w:rsidR="00266BBF" w:rsidRPr="007703DD" w:rsidRDefault="00266BBF" w:rsidP="008E6937">
            <w:pPr>
              <w:ind w:left="-28"/>
              <w:rPr>
                <w:rFonts w:ascii="Times New Roman" w:eastAsia="Calibri" w:hAnsi="Times New Roman" w:cs="Times New Roman"/>
                <w:sz w:val="24"/>
                <w:szCs w:val="24"/>
              </w:rPr>
            </w:pPr>
            <w:r w:rsidRPr="007703DD">
              <w:rPr>
                <w:rFonts w:ascii="Times New Roman" w:hAnsi="Times New Roman"/>
                <w:sz w:val="24"/>
                <w:szCs w:val="24"/>
              </w:rPr>
              <w:t>2.</w:t>
            </w:r>
          </w:p>
        </w:tc>
        <w:tc>
          <w:tcPr>
            <w:tcW w:w="2938" w:type="dxa"/>
            <w:gridSpan w:val="2"/>
            <w:tcBorders>
              <w:top w:val="outset" w:sz="6" w:space="0" w:color="auto"/>
              <w:left w:val="outset" w:sz="6" w:space="0" w:color="auto"/>
              <w:bottom w:val="outset" w:sz="6" w:space="0" w:color="auto"/>
              <w:right w:val="outset" w:sz="6" w:space="0" w:color="auto"/>
            </w:tcBorders>
            <w:hideMark/>
          </w:tcPr>
          <w:p w:rsidR="00266BBF" w:rsidRPr="00266BBF" w:rsidRDefault="00266BBF">
            <w:pPr>
              <w:ind w:left="57"/>
              <w:rPr>
                <w:rFonts w:ascii="Times New Roman" w:eastAsia="Calibri" w:hAnsi="Times New Roman" w:cs="Times New Roman"/>
                <w:sz w:val="24"/>
                <w:szCs w:val="24"/>
              </w:rPr>
            </w:pPr>
            <w:r w:rsidRPr="00266BBF">
              <w:rPr>
                <w:rFonts w:ascii="Times New Roman" w:hAnsi="Times New Roman"/>
                <w:sz w:val="24"/>
                <w:szCs w:val="24"/>
              </w:rPr>
              <w:t>Citas starptautiskās saistības</w:t>
            </w:r>
          </w:p>
        </w:tc>
        <w:tc>
          <w:tcPr>
            <w:tcW w:w="5811" w:type="dxa"/>
            <w:gridSpan w:val="3"/>
            <w:tcBorders>
              <w:top w:val="outset" w:sz="6" w:space="0" w:color="auto"/>
              <w:left w:val="outset" w:sz="6" w:space="0" w:color="auto"/>
              <w:bottom w:val="outset" w:sz="6" w:space="0" w:color="auto"/>
              <w:right w:val="outset" w:sz="6" w:space="0" w:color="auto"/>
            </w:tcBorders>
            <w:hideMark/>
          </w:tcPr>
          <w:p w:rsidR="00266BBF" w:rsidRPr="00266BBF" w:rsidRDefault="00975EC6" w:rsidP="0013290C">
            <w:pPr>
              <w:spacing w:line="240" w:lineRule="auto"/>
              <w:ind w:left="57"/>
              <w:jc w:val="both"/>
              <w:rPr>
                <w:rFonts w:ascii="Times New Roman" w:eastAsia="Calibri" w:hAnsi="Times New Roman" w:cs="Times New Roman"/>
                <w:sz w:val="24"/>
                <w:szCs w:val="24"/>
              </w:rPr>
            </w:pPr>
            <w:r>
              <w:rPr>
                <w:rFonts w:ascii="Times New Roman" w:hAnsi="Times New Roman"/>
                <w:sz w:val="24"/>
                <w:szCs w:val="24"/>
              </w:rPr>
              <w:t xml:space="preserve">Likumprojekts paredz pieņemt un apstiprināt </w:t>
            </w:r>
            <w:r w:rsidR="0013290C">
              <w:rPr>
                <w:rFonts w:ascii="Times New Roman" w:hAnsi="Times New Roman"/>
                <w:sz w:val="24"/>
                <w:szCs w:val="24"/>
              </w:rPr>
              <w:t xml:space="preserve">Hāgas </w:t>
            </w:r>
            <w:r>
              <w:rPr>
                <w:rFonts w:ascii="Times New Roman" w:hAnsi="Times New Roman"/>
                <w:sz w:val="24"/>
                <w:szCs w:val="24"/>
              </w:rPr>
              <w:t>2000. gada 13. janvāra Konvenciju par pieaugušo personu starptautisk</w:t>
            </w:r>
            <w:r w:rsidR="006B3C4C">
              <w:rPr>
                <w:rFonts w:ascii="Times New Roman" w:hAnsi="Times New Roman"/>
                <w:sz w:val="24"/>
                <w:szCs w:val="24"/>
              </w:rPr>
              <w:t>o</w:t>
            </w:r>
            <w:r>
              <w:rPr>
                <w:rFonts w:ascii="Times New Roman" w:hAnsi="Times New Roman"/>
                <w:sz w:val="24"/>
                <w:szCs w:val="24"/>
              </w:rPr>
              <w:t xml:space="preserve"> aizsardzību un īstenot Konvencijā paredzētās saistības nacionālā līmenī.</w:t>
            </w:r>
          </w:p>
        </w:tc>
      </w:tr>
      <w:tr w:rsidR="00266BBF" w:rsidTr="00235446">
        <w:tc>
          <w:tcPr>
            <w:tcW w:w="323" w:type="dxa"/>
            <w:tcBorders>
              <w:top w:val="outset" w:sz="6" w:space="0" w:color="auto"/>
              <w:left w:val="outset" w:sz="6" w:space="0" w:color="auto"/>
              <w:bottom w:val="outset" w:sz="6" w:space="0" w:color="auto"/>
              <w:right w:val="outset" w:sz="6" w:space="0" w:color="auto"/>
            </w:tcBorders>
            <w:hideMark/>
          </w:tcPr>
          <w:p w:rsidR="00266BBF" w:rsidRPr="007703DD" w:rsidRDefault="00266BBF" w:rsidP="008E6937">
            <w:pPr>
              <w:ind w:left="-28"/>
              <w:rPr>
                <w:rFonts w:ascii="Times New Roman" w:eastAsia="Calibri" w:hAnsi="Times New Roman" w:cs="Times New Roman"/>
                <w:sz w:val="24"/>
                <w:szCs w:val="24"/>
              </w:rPr>
            </w:pPr>
            <w:r w:rsidRPr="007703DD">
              <w:rPr>
                <w:rFonts w:ascii="Times New Roman" w:hAnsi="Times New Roman"/>
                <w:sz w:val="24"/>
                <w:szCs w:val="24"/>
              </w:rPr>
              <w:t>3.</w:t>
            </w:r>
          </w:p>
        </w:tc>
        <w:tc>
          <w:tcPr>
            <w:tcW w:w="2938" w:type="dxa"/>
            <w:gridSpan w:val="2"/>
            <w:tcBorders>
              <w:top w:val="outset" w:sz="6" w:space="0" w:color="auto"/>
              <w:left w:val="outset" w:sz="6" w:space="0" w:color="auto"/>
              <w:bottom w:val="outset" w:sz="6" w:space="0" w:color="auto"/>
              <w:right w:val="outset" w:sz="6" w:space="0" w:color="auto"/>
            </w:tcBorders>
            <w:hideMark/>
          </w:tcPr>
          <w:p w:rsidR="00266BBF" w:rsidRPr="00266BBF" w:rsidRDefault="00266BBF">
            <w:pPr>
              <w:ind w:left="57"/>
              <w:rPr>
                <w:rFonts w:ascii="Times New Roman" w:eastAsia="Calibri" w:hAnsi="Times New Roman" w:cs="Times New Roman"/>
                <w:sz w:val="24"/>
                <w:szCs w:val="24"/>
              </w:rPr>
            </w:pPr>
            <w:r w:rsidRPr="00266BBF">
              <w:rPr>
                <w:rFonts w:ascii="Times New Roman" w:hAnsi="Times New Roman"/>
                <w:sz w:val="24"/>
                <w:szCs w:val="24"/>
              </w:rPr>
              <w:t>Cita informācija</w:t>
            </w:r>
          </w:p>
        </w:tc>
        <w:tc>
          <w:tcPr>
            <w:tcW w:w="5811" w:type="dxa"/>
            <w:gridSpan w:val="3"/>
            <w:tcBorders>
              <w:top w:val="outset" w:sz="6" w:space="0" w:color="auto"/>
              <w:left w:val="outset" w:sz="6" w:space="0" w:color="auto"/>
              <w:bottom w:val="outset" w:sz="6" w:space="0" w:color="auto"/>
              <w:right w:val="outset" w:sz="6" w:space="0" w:color="auto"/>
            </w:tcBorders>
            <w:hideMark/>
          </w:tcPr>
          <w:p w:rsidR="00266BBF" w:rsidRPr="00266BBF" w:rsidRDefault="00266BBF">
            <w:pPr>
              <w:ind w:left="57"/>
              <w:rPr>
                <w:rFonts w:ascii="Times New Roman" w:eastAsia="Calibri" w:hAnsi="Times New Roman" w:cs="Times New Roman"/>
                <w:sz w:val="24"/>
                <w:szCs w:val="24"/>
              </w:rPr>
            </w:pPr>
            <w:r w:rsidRPr="00266BBF">
              <w:rPr>
                <w:rFonts w:ascii="Times New Roman" w:hAnsi="Times New Roman"/>
                <w:sz w:val="24"/>
                <w:szCs w:val="24"/>
              </w:rPr>
              <w:t>Nav.</w:t>
            </w:r>
          </w:p>
        </w:tc>
      </w:tr>
      <w:tr w:rsidR="007F1184" w:rsidRPr="003D0AFE" w:rsidTr="00B5487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072" w:type="dxa"/>
            <w:gridSpan w:val="6"/>
            <w:tcBorders>
              <w:top w:val="outset" w:sz="6" w:space="0" w:color="414142"/>
              <w:left w:val="outset" w:sz="6" w:space="0" w:color="414142"/>
              <w:bottom w:val="outset" w:sz="6" w:space="0" w:color="414142"/>
              <w:right w:val="outset" w:sz="6" w:space="0" w:color="414142"/>
            </w:tcBorders>
            <w:vAlign w:val="center"/>
            <w:hideMark/>
          </w:tcPr>
          <w:p w:rsidR="007F1184" w:rsidRPr="003D0AFE" w:rsidRDefault="007F1184" w:rsidP="00B5487A">
            <w:pPr>
              <w:spacing w:after="0" w:line="240" w:lineRule="auto"/>
              <w:ind w:firstLine="300"/>
              <w:jc w:val="center"/>
              <w:rPr>
                <w:rFonts w:ascii="Times New Roman" w:eastAsia="Times New Roman" w:hAnsi="Times New Roman" w:cs="Times New Roman"/>
                <w:b/>
                <w:bCs/>
                <w:sz w:val="24"/>
                <w:szCs w:val="24"/>
                <w:lang w:eastAsia="lv-LV"/>
              </w:rPr>
            </w:pPr>
            <w:r w:rsidRPr="003D0AFE">
              <w:rPr>
                <w:rFonts w:ascii="Times New Roman" w:eastAsia="Times New Roman" w:hAnsi="Times New Roman" w:cs="Times New Roman"/>
                <w:b/>
                <w:bCs/>
                <w:sz w:val="24"/>
                <w:szCs w:val="24"/>
                <w:lang w:eastAsia="lv-LV"/>
              </w:rPr>
              <w:t>1.tabula</w:t>
            </w:r>
            <w:r w:rsidRPr="003D0AFE">
              <w:rPr>
                <w:rFonts w:ascii="Times New Roman" w:eastAsia="Times New Roman" w:hAnsi="Times New Roman" w:cs="Times New Roman"/>
                <w:b/>
                <w:bCs/>
                <w:sz w:val="24"/>
                <w:szCs w:val="24"/>
                <w:lang w:eastAsia="lv-LV"/>
              </w:rPr>
              <w:br/>
              <w:t>Tiesību akta projekta atbilstība ES tiesību aktiem</w:t>
            </w:r>
          </w:p>
        </w:tc>
      </w:tr>
      <w:tr w:rsidR="007F1184" w:rsidRPr="003D0AFE" w:rsidTr="00B5487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1971" w:type="dxa"/>
            <w:gridSpan w:val="2"/>
            <w:tcBorders>
              <w:top w:val="outset" w:sz="6" w:space="0" w:color="414142"/>
              <w:left w:val="outset" w:sz="6" w:space="0" w:color="414142"/>
              <w:bottom w:val="outset" w:sz="6" w:space="0" w:color="414142"/>
              <w:right w:val="outset" w:sz="6" w:space="0" w:color="414142"/>
            </w:tcBorders>
            <w:hideMark/>
          </w:tcPr>
          <w:p w:rsidR="007F1184" w:rsidRPr="003D0AFE" w:rsidRDefault="007F1184" w:rsidP="00B5487A">
            <w:pPr>
              <w:spacing w:after="0" w:line="240" w:lineRule="auto"/>
              <w:rPr>
                <w:rFonts w:ascii="Times New Roman" w:eastAsia="Times New Roman" w:hAnsi="Times New Roman" w:cs="Times New Roman"/>
                <w:sz w:val="24"/>
                <w:szCs w:val="24"/>
                <w:lang w:eastAsia="lv-LV"/>
              </w:rPr>
            </w:pPr>
            <w:r w:rsidRPr="003D0AFE">
              <w:rPr>
                <w:rFonts w:ascii="Times New Roman" w:eastAsia="Times New Roman" w:hAnsi="Times New Roman" w:cs="Times New Roman"/>
                <w:sz w:val="24"/>
                <w:szCs w:val="24"/>
                <w:lang w:eastAsia="lv-LV"/>
              </w:rPr>
              <w:t>Attiecīgā ES tiesību akta datums, numurs un nosaukums</w:t>
            </w:r>
          </w:p>
        </w:tc>
        <w:tc>
          <w:tcPr>
            <w:tcW w:w="7101" w:type="dxa"/>
            <w:gridSpan w:val="4"/>
            <w:tcBorders>
              <w:top w:val="outset" w:sz="6" w:space="0" w:color="414142"/>
              <w:left w:val="outset" w:sz="6" w:space="0" w:color="414142"/>
              <w:bottom w:val="outset" w:sz="6" w:space="0" w:color="414142"/>
              <w:right w:val="outset" w:sz="6" w:space="0" w:color="414142"/>
            </w:tcBorders>
            <w:hideMark/>
          </w:tcPr>
          <w:p w:rsidR="007F1184" w:rsidRPr="003D0AFE" w:rsidRDefault="007F1184" w:rsidP="00B5487A">
            <w:pPr>
              <w:spacing w:after="0" w:line="240" w:lineRule="auto"/>
              <w:rPr>
                <w:rFonts w:ascii="Times New Roman" w:eastAsia="Times New Roman" w:hAnsi="Times New Roman" w:cs="Times New Roman"/>
                <w:sz w:val="24"/>
                <w:szCs w:val="24"/>
                <w:lang w:eastAsia="lv-LV"/>
              </w:rPr>
            </w:pPr>
            <w:r w:rsidRPr="003D0AFE">
              <w:rPr>
                <w:rFonts w:ascii="Times New Roman" w:hAnsi="Times New Roman" w:cs="Times New Roman"/>
                <w:iCs/>
                <w:sz w:val="24"/>
                <w:szCs w:val="24"/>
                <w:lang w:eastAsia="lv-LV"/>
              </w:rPr>
              <w:t>Likumprojekts šo jomu neskar.</w:t>
            </w:r>
          </w:p>
        </w:tc>
      </w:tr>
      <w:tr w:rsidR="007F1184" w:rsidRPr="003D0AFE" w:rsidTr="00B5487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1971" w:type="dxa"/>
            <w:gridSpan w:val="2"/>
            <w:tcBorders>
              <w:top w:val="outset" w:sz="6" w:space="0" w:color="414142"/>
              <w:left w:val="outset" w:sz="6" w:space="0" w:color="414142"/>
              <w:bottom w:val="outset" w:sz="6" w:space="0" w:color="414142"/>
              <w:right w:val="outset" w:sz="6" w:space="0" w:color="414142"/>
            </w:tcBorders>
            <w:vAlign w:val="center"/>
            <w:hideMark/>
          </w:tcPr>
          <w:p w:rsidR="007F1184" w:rsidRPr="003D0AFE" w:rsidRDefault="007F1184" w:rsidP="00B5487A">
            <w:pPr>
              <w:spacing w:after="0" w:line="240" w:lineRule="auto"/>
              <w:ind w:firstLine="300"/>
              <w:jc w:val="center"/>
              <w:rPr>
                <w:rFonts w:ascii="Times New Roman" w:eastAsia="Times New Roman" w:hAnsi="Times New Roman" w:cs="Times New Roman"/>
                <w:sz w:val="24"/>
                <w:szCs w:val="24"/>
                <w:lang w:eastAsia="lv-LV"/>
              </w:rPr>
            </w:pPr>
            <w:r w:rsidRPr="003D0AFE">
              <w:rPr>
                <w:rFonts w:ascii="Times New Roman" w:eastAsia="Times New Roman" w:hAnsi="Times New Roman" w:cs="Times New Roman"/>
                <w:sz w:val="24"/>
                <w:szCs w:val="24"/>
                <w:lang w:eastAsia="lv-LV"/>
              </w:rPr>
              <w:t>A</w:t>
            </w:r>
          </w:p>
        </w:tc>
        <w:tc>
          <w:tcPr>
            <w:tcW w:w="1914" w:type="dxa"/>
            <w:gridSpan w:val="2"/>
            <w:tcBorders>
              <w:top w:val="outset" w:sz="6" w:space="0" w:color="414142"/>
              <w:left w:val="outset" w:sz="6" w:space="0" w:color="414142"/>
              <w:bottom w:val="outset" w:sz="6" w:space="0" w:color="414142"/>
              <w:right w:val="outset" w:sz="6" w:space="0" w:color="414142"/>
            </w:tcBorders>
            <w:vAlign w:val="center"/>
            <w:hideMark/>
          </w:tcPr>
          <w:p w:rsidR="007F1184" w:rsidRPr="003D0AFE" w:rsidRDefault="007F1184" w:rsidP="00B5487A">
            <w:pPr>
              <w:spacing w:after="0" w:line="240" w:lineRule="auto"/>
              <w:ind w:firstLine="300"/>
              <w:jc w:val="center"/>
              <w:rPr>
                <w:rFonts w:ascii="Times New Roman" w:eastAsia="Times New Roman" w:hAnsi="Times New Roman" w:cs="Times New Roman"/>
                <w:sz w:val="24"/>
                <w:szCs w:val="24"/>
                <w:lang w:eastAsia="lv-LV"/>
              </w:rPr>
            </w:pPr>
            <w:r w:rsidRPr="003D0AFE">
              <w:rPr>
                <w:rFonts w:ascii="Times New Roman" w:eastAsia="Times New Roman" w:hAnsi="Times New Roman" w:cs="Times New Roman"/>
                <w:sz w:val="24"/>
                <w:szCs w:val="24"/>
                <w:lang w:eastAsia="lv-LV"/>
              </w:rPr>
              <w:t>B</w:t>
            </w:r>
          </w:p>
        </w:tc>
        <w:tc>
          <w:tcPr>
            <w:tcW w:w="2436" w:type="dxa"/>
            <w:tcBorders>
              <w:top w:val="outset" w:sz="6" w:space="0" w:color="414142"/>
              <w:left w:val="outset" w:sz="6" w:space="0" w:color="414142"/>
              <w:bottom w:val="outset" w:sz="6" w:space="0" w:color="414142"/>
              <w:right w:val="outset" w:sz="6" w:space="0" w:color="414142"/>
            </w:tcBorders>
            <w:vAlign w:val="center"/>
            <w:hideMark/>
          </w:tcPr>
          <w:p w:rsidR="007F1184" w:rsidRPr="003D0AFE" w:rsidRDefault="007F1184" w:rsidP="00B5487A">
            <w:pPr>
              <w:spacing w:after="0" w:line="240" w:lineRule="auto"/>
              <w:ind w:firstLine="300"/>
              <w:jc w:val="center"/>
              <w:rPr>
                <w:rFonts w:ascii="Times New Roman" w:eastAsia="Times New Roman" w:hAnsi="Times New Roman" w:cs="Times New Roman"/>
                <w:sz w:val="24"/>
                <w:szCs w:val="24"/>
                <w:lang w:eastAsia="lv-LV"/>
              </w:rPr>
            </w:pPr>
            <w:r w:rsidRPr="003D0AFE">
              <w:rPr>
                <w:rFonts w:ascii="Times New Roman" w:eastAsia="Times New Roman" w:hAnsi="Times New Roman" w:cs="Times New Roman"/>
                <w:sz w:val="24"/>
                <w:szCs w:val="24"/>
                <w:lang w:eastAsia="lv-LV"/>
              </w:rPr>
              <w:t>C</w:t>
            </w:r>
          </w:p>
        </w:tc>
        <w:tc>
          <w:tcPr>
            <w:tcW w:w="2751" w:type="dxa"/>
            <w:tcBorders>
              <w:top w:val="outset" w:sz="6" w:space="0" w:color="414142"/>
              <w:left w:val="outset" w:sz="6" w:space="0" w:color="414142"/>
              <w:bottom w:val="outset" w:sz="6" w:space="0" w:color="414142"/>
              <w:right w:val="outset" w:sz="6" w:space="0" w:color="414142"/>
            </w:tcBorders>
            <w:vAlign w:val="center"/>
            <w:hideMark/>
          </w:tcPr>
          <w:p w:rsidR="007F1184" w:rsidRPr="003D0AFE" w:rsidRDefault="007F1184" w:rsidP="00B5487A">
            <w:pPr>
              <w:spacing w:after="0" w:line="240" w:lineRule="auto"/>
              <w:ind w:firstLine="300"/>
              <w:jc w:val="center"/>
              <w:rPr>
                <w:rFonts w:ascii="Times New Roman" w:eastAsia="Times New Roman" w:hAnsi="Times New Roman" w:cs="Times New Roman"/>
                <w:sz w:val="24"/>
                <w:szCs w:val="24"/>
                <w:lang w:eastAsia="lv-LV"/>
              </w:rPr>
            </w:pPr>
            <w:r w:rsidRPr="003D0AFE">
              <w:rPr>
                <w:rFonts w:ascii="Times New Roman" w:eastAsia="Times New Roman" w:hAnsi="Times New Roman" w:cs="Times New Roman"/>
                <w:sz w:val="24"/>
                <w:szCs w:val="24"/>
                <w:lang w:eastAsia="lv-LV"/>
              </w:rPr>
              <w:t>D</w:t>
            </w:r>
          </w:p>
        </w:tc>
      </w:tr>
      <w:tr w:rsidR="007F1184" w:rsidRPr="003D0AFE" w:rsidTr="00B5487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1971" w:type="dxa"/>
            <w:gridSpan w:val="2"/>
            <w:tcBorders>
              <w:top w:val="outset" w:sz="6" w:space="0" w:color="414142"/>
              <w:left w:val="outset" w:sz="6" w:space="0" w:color="414142"/>
              <w:bottom w:val="outset" w:sz="6" w:space="0" w:color="414142"/>
              <w:right w:val="outset" w:sz="6" w:space="0" w:color="414142"/>
            </w:tcBorders>
            <w:hideMark/>
          </w:tcPr>
          <w:p w:rsidR="007F1184" w:rsidRPr="003D0AFE" w:rsidRDefault="00E77975" w:rsidP="00B5487A">
            <w:pPr>
              <w:spacing w:after="0" w:line="240" w:lineRule="auto"/>
              <w:rPr>
                <w:rFonts w:ascii="Times New Roman" w:eastAsia="Times New Roman" w:hAnsi="Times New Roman" w:cs="Times New Roman"/>
                <w:sz w:val="24"/>
                <w:szCs w:val="24"/>
                <w:lang w:eastAsia="lv-LV"/>
              </w:rPr>
            </w:pPr>
            <w:r w:rsidRPr="003D0AFE">
              <w:rPr>
                <w:rFonts w:ascii="Times New Roman" w:hAnsi="Times New Roman" w:cs="Times New Roman"/>
                <w:iCs/>
                <w:sz w:val="24"/>
                <w:szCs w:val="24"/>
                <w:lang w:eastAsia="lv-LV"/>
              </w:rPr>
              <w:lastRenderedPageBreak/>
              <w:t>Likumprojekts šo jomu neskar.</w:t>
            </w:r>
          </w:p>
        </w:tc>
        <w:tc>
          <w:tcPr>
            <w:tcW w:w="1914" w:type="dxa"/>
            <w:gridSpan w:val="2"/>
            <w:tcBorders>
              <w:top w:val="outset" w:sz="6" w:space="0" w:color="414142"/>
              <w:left w:val="outset" w:sz="6" w:space="0" w:color="414142"/>
              <w:bottom w:val="outset" w:sz="6" w:space="0" w:color="414142"/>
              <w:right w:val="outset" w:sz="6" w:space="0" w:color="414142"/>
            </w:tcBorders>
            <w:hideMark/>
          </w:tcPr>
          <w:p w:rsidR="007F1184" w:rsidRPr="003D0AFE" w:rsidRDefault="00E77975" w:rsidP="00B5487A">
            <w:pPr>
              <w:spacing w:after="0" w:line="240" w:lineRule="auto"/>
              <w:rPr>
                <w:rFonts w:ascii="Times New Roman" w:eastAsia="Times New Roman" w:hAnsi="Times New Roman" w:cs="Times New Roman"/>
                <w:sz w:val="24"/>
                <w:szCs w:val="24"/>
                <w:lang w:eastAsia="lv-LV"/>
              </w:rPr>
            </w:pPr>
            <w:r w:rsidRPr="003D0AFE">
              <w:rPr>
                <w:rFonts w:ascii="Times New Roman" w:hAnsi="Times New Roman" w:cs="Times New Roman"/>
                <w:iCs/>
                <w:sz w:val="24"/>
                <w:szCs w:val="24"/>
                <w:lang w:eastAsia="lv-LV"/>
              </w:rPr>
              <w:t>Likumprojekts šo jomu neskar.</w:t>
            </w:r>
          </w:p>
        </w:tc>
        <w:tc>
          <w:tcPr>
            <w:tcW w:w="2436" w:type="dxa"/>
            <w:tcBorders>
              <w:top w:val="outset" w:sz="6" w:space="0" w:color="414142"/>
              <w:left w:val="outset" w:sz="6" w:space="0" w:color="414142"/>
              <w:bottom w:val="outset" w:sz="6" w:space="0" w:color="414142"/>
              <w:right w:val="outset" w:sz="6" w:space="0" w:color="414142"/>
            </w:tcBorders>
            <w:hideMark/>
          </w:tcPr>
          <w:p w:rsidR="007F1184" w:rsidRPr="003D0AFE" w:rsidRDefault="00E77975" w:rsidP="00B5487A">
            <w:pPr>
              <w:spacing w:after="0" w:line="240" w:lineRule="auto"/>
              <w:rPr>
                <w:rFonts w:ascii="Times New Roman" w:eastAsia="Times New Roman" w:hAnsi="Times New Roman" w:cs="Times New Roman"/>
                <w:sz w:val="24"/>
                <w:szCs w:val="24"/>
                <w:lang w:eastAsia="lv-LV"/>
              </w:rPr>
            </w:pPr>
            <w:r w:rsidRPr="003D0AFE">
              <w:rPr>
                <w:rFonts w:ascii="Times New Roman" w:hAnsi="Times New Roman" w:cs="Times New Roman"/>
                <w:iCs/>
                <w:sz w:val="24"/>
                <w:szCs w:val="24"/>
                <w:lang w:eastAsia="lv-LV"/>
              </w:rPr>
              <w:t>Likumprojekts šo jomu neskar.</w:t>
            </w:r>
          </w:p>
        </w:tc>
        <w:tc>
          <w:tcPr>
            <w:tcW w:w="2751" w:type="dxa"/>
            <w:tcBorders>
              <w:top w:val="outset" w:sz="6" w:space="0" w:color="414142"/>
              <w:left w:val="outset" w:sz="6" w:space="0" w:color="414142"/>
              <w:bottom w:val="outset" w:sz="6" w:space="0" w:color="414142"/>
              <w:right w:val="outset" w:sz="6" w:space="0" w:color="414142"/>
            </w:tcBorders>
            <w:hideMark/>
          </w:tcPr>
          <w:p w:rsidR="007F1184" w:rsidRPr="003D0AFE" w:rsidRDefault="00E77975" w:rsidP="00B5487A">
            <w:pPr>
              <w:spacing w:after="0" w:line="240" w:lineRule="auto"/>
              <w:rPr>
                <w:rFonts w:ascii="Times New Roman" w:eastAsia="Times New Roman" w:hAnsi="Times New Roman" w:cs="Times New Roman"/>
                <w:sz w:val="24"/>
                <w:szCs w:val="24"/>
                <w:lang w:eastAsia="lv-LV"/>
              </w:rPr>
            </w:pPr>
            <w:r w:rsidRPr="003D0AFE">
              <w:rPr>
                <w:rFonts w:ascii="Times New Roman" w:hAnsi="Times New Roman" w:cs="Times New Roman"/>
                <w:iCs/>
                <w:sz w:val="24"/>
                <w:szCs w:val="24"/>
                <w:lang w:eastAsia="lv-LV"/>
              </w:rPr>
              <w:t>Likumprojekts šo jomu neskar.</w:t>
            </w:r>
          </w:p>
        </w:tc>
      </w:tr>
      <w:tr w:rsidR="007F1184" w:rsidRPr="003D0AFE" w:rsidTr="00B5487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1971" w:type="dxa"/>
            <w:gridSpan w:val="2"/>
            <w:tcBorders>
              <w:top w:val="outset" w:sz="6" w:space="0" w:color="414142"/>
              <w:left w:val="outset" w:sz="6" w:space="0" w:color="414142"/>
              <w:bottom w:val="outset" w:sz="6" w:space="0" w:color="414142"/>
              <w:right w:val="outset" w:sz="6" w:space="0" w:color="414142"/>
            </w:tcBorders>
            <w:hideMark/>
          </w:tcPr>
          <w:p w:rsidR="007F1184" w:rsidRPr="003D0AFE" w:rsidRDefault="007F1184" w:rsidP="00B5487A">
            <w:pPr>
              <w:spacing w:after="0" w:line="240" w:lineRule="auto"/>
              <w:rPr>
                <w:rFonts w:ascii="Times New Roman" w:eastAsia="Times New Roman" w:hAnsi="Times New Roman" w:cs="Times New Roman"/>
                <w:sz w:val="24"/>
                <w:szCs w:val="24"/>
                <w:lang w:eastAsia="lv-LV"/>
              </w:rPr>
            </w:pPr>
            <w:proofErr w:type="gramStart"/>
            <w:r w:rsidRPr="003D0AFE">
              <w:rPr>
                <w:rFonts w:ascii="Times New Roman" w:eastAsia="Times New Roman" w:hAnsi="Times New Roman" w:cs="Times New Roman"/>
                <w:sz w:val="24"/>
                <w:szCs w:val="24"/>
                <w:lang w:eastAsia="lv-LV"/>
              </w:rPr>
              <w:t>Kā ir izmantota ES tiesību aktā paredzētā rīcības brīvība dalībvalstij pārņemt vai ieviest</w:t>
            </w:r>
            <w:proofErr w:type="gramEnd"/>
            <w:r w:rsidRPr="003D0AFE">
              <w:rPr>
                <w:rFonts w:ascii="Times New Roman" w:eastAsia="Times New Roman" w:hAnsi="Times New Roman" w:cs="Times New Roman"/>
                <w:sz w:val="24"/>
                <w:szCs w:val="24"/>
                <w:lang w:eastAsia="lv-LV"/>
              </w:rPr>
              <w:t xml:space="preserve"> noteiktas ES tiesību akta normas?</w:t>
            </w:r>
            <w:r w:rsidRPr="003D0AFE">
              <w:rPr>
                <w:rFonts w:ascii="Times New Roman" w:eastAsia="Times New Roman" w:hAnsi="Times New Roman" w:cs="Times New Roman"/>
                <w:sz w:val="24"/>
                <w:szCs w:val="24"/>
                <w:lang w:eastAsia="lv-LV"/>
              </w:rPr>
              <w:br/>
              <w:t>Kādēļ?</w:t>
            </w:r>
          </w:p>
        </w:tc>
        <w:tc>
          <w:tcPr>
            <w:tcW w:w="7101" w:type="dxa"/>
            <w:gridSpan w:val="4"/>
            <w:tcBorders>
              <w:top w:val="outset" w:sz="6" w:space="0" w:color="414142"/>
              <w:left w:val="outset" w:sz="6" w:space="0" w:color="414142"/>
              <w:bottom w:val="outset" w:sz="6" w:space="0" w:color="414142"/>
              <w:right w:val="outset" w:sz="6" w:space="0" w:color="414142"/>
            </w:tcBorders>
            <w:hideMark/>
          </w:tcPr>
          <w:p w:rsidR="007F1184" w:rsidRPr="003D0AFE" w:rsidRDefault="007F1184" w:rsidP="00B5487A">
            <w:pPr>
              <w:spacing w:after="0" w:line="240" w:lineRule="auto"/>
              <w:rPr>
                <w:rFonts w:ascii="Times New Roman" w:eastAsia="Times New Roman" w:hAnsi="Times New Roman" w:cs="Times New Roman"/>
                <w:sz w:val="24"/>
                <w:szCs w:val="24"/>
                <w:lang w:eastAsia="lv-LV"/>
              </w:rPr>
            </w:pPr>
            <w:r w:rsidRPr="003D0AFE">
              <w:rPr>
                <w:rFonts w:ascii="Times New Roman" w:hAnsi="Times New Roman" w:cs="Times New Roman"/>
                <w:iCs/>
                <w:sz w:val="24"/>
                <w:szCs w:val="24"/>
                <w:lang w:eastAsia="lv-LV"/>
              </w:rPr>
              <w:t>Likumprojekts šo jomu neskar.</w:t>
            </w:r>
          </w:p>
        </w:tc>
      </w:tr>
      <w:tr w:rsidR="007F1184" w:rsidRPr="003D0AFE" w:rsidTr="00B5487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1971" w:type="dxa"/>
            <w:gridSpan w:val="2"/>
            <w:tcBorders>
              <w:top w:val="outset" w:sz="6" w:space="0" w:color="414142"/>
              <w:left w:val="outset" w:sz="6" w:space="0" w:color="414142"/>
              <w:bottom w:val="outset" w:sz="6" w:space="0" w:color="414142"/>
              <w:right w:val="outset" w:sz="6" w:space="0" w:color="414142"/>
            </w:tcBorders>
            <w:hideMark/>
          </w:tcPr>
          <w:p w:rsidR="007F1184" w:rsidRPr="003D0AFE" w:rsidRDefault="007F1184" w:rsidP="00B5487A">
            <w:pPr>
              <w:spacing w:after="0" w:line="240" w:lineRule="auto"/>
              <w:rPr>
                <w:rFonts w:ascii="Times New Roman" w:eastAsia="Times New Roman" w:hAnsi="Times New Roman" w:cs="Times New Roman"/>
                <w:sz w:val="24"/>
                <w:szCs w:val="24"/>
                <w:lang w:eastAsia="lv-LV"/>
              </w:rPr>
            </w:pPr>
            <w:r w:rsidRPr="003D0AFE">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01" w:type="dxa"/>
            <w:gridSpan w:val="4"/>
            <w:tcBorders>
              <w:top w:val="outset" w:sz="6" w:space="0" w:color="414142"/>
              <w:left w:val="outset" w:sz="6" w:space="0" w:color="414142"/>
              <w:bottom w:val="outset" w:sz="6" w:space="0" w:color="414142"/>
              <w:right w:val="outset" w:sz="6" w:space="0" w:color="414142"/>
            </w:tcBorders>
            <w:hideMark/>
          </w:tcPr>
          <w:p w:rsidR="007F1184" w:rsidRPr="003D0AFE" w:rsidRDefault="007F1184" w:rsidP="00B5487A">
            <w:pPr>
              <w:spacing w:after="0" w:line="240" w:lineRule="auto"/>
              <w:rPr>
                <w:rFonts w:ascii="Times New Roman" w:eastAsia="Times New Roman" w:hAnsi="Times New Roman" w:cs="Times New Roman"/>
                <w:sz w:val="24"/>
                <w:szCs w:val="24"/>
                <w:lang w:eastAsia="lv-LV"/>
              </w:rPr>
            </w:pPr>
            <w:r w:rsidRPr="003D0AFE">
              <w:rPr>
                <w:rFonts w:ascii="Times New Roman" w:hAnsi="Times New Roman" w:cs="Times New Roman"/>
                <w:iCs/>
                <w:sz w:val="24"/>
                <w:szCs w:val="24"/>
                <w:lang w:eastAsia="lv-LV"/>
              </w:rPr>
              <w:t>Likumprojekts šo jomu neskar.</w:t>
            </w:r>
          </w:p>
        </w:tc>
      </w:tr>
      <w:tr w:rsidR="007F1184" w:rsidRPr="003D0AFE" w:rsidTr="00B5487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1971" w:type="dxa"/>
            <w:gridSpan w:val="2"/>
            <w:tcBorders>
              <w:top w:val="outset" w:sz="6" w:space="0" w:color="414142"/>
              <w:left w:val="outset" w:sz="6" w:space="0" w:color="414142"/>
              <w:bottom w:val="outset" w:sz="6" w:space="0" w:color="414142"/>
              <w:right w:val="outset" w:sz="6" w:space="0" w:color="414142"/>
            </w:tcBorders>
            <w:hideMark/>
          </w:tcPr>
          <w:p w:rsidR="007F1184" w:rsidRPr="003D0AFE" w:rsidRDefault="007F1184" w:rsidP="00B5487A">
            <w:pPr>
              <w:spacing w:after="0" w:line="240" w:lineRule="auto"/>
              <w:rPr>
                <w:rFonts w:ascii="Times New Roman" w:eastAsia="Times New Roman" w:hAnsi="Times New Roman" w:cs="Times New Roman"/>
                <w:sz w:val="24"/>
                <w:szCs w:val="24"/>
                <w:lang w:eastAsia="lv-LV"/>
              </w:rPr>
            </w:pPr>
            <w:r w:rsidRPr="003D0AFE">
              <w:rPr>
                <w:rFonts w:ascii="Times New Roman" w:eastAsia="Times New Roman" w:hAnsi="Times New Roman" w:cs="Times New Roman"/>
                <w:sz w:val="24"/>
                <w:szCs w:val="24"/>
                <w:lang w:eastAsia="lv-LV"/>
              </w:rPr>
              <w:t>Cita informācija</w:t>
            </w:r>
          </w:p>
        </w:tc>
        <w:tc>
          <w:tcPr>
            <w:tcW w:w="7101" w:type="dxa"/>
            <w:gridSpan w:val="4"/>
            <w:tcBorders>
              <w:top w:val="outset" w:sz="6" w:space="0" w:color="414142"/>
              <w:left w:val="outset" w:sz="6" w:space="0" w:color="414142"/>
              <w:bottom w:val="outset" w:sz="6" w:space="0" w:color="414142"/>
              <w:right w:val="outset" w:sz="6" w:space="0" w:color="414142"/>
            </w:tcBorders>
            <w:hideMark/>
          </w:tcPr>
          <w:p w:rsidR="007F1184" w:rsidRPr="003D0AFE" w:rsidRDefault="007F1184" w:rsidP="00B5487A">
            <w:pPr>
              <w:spacing w:after="0" w:line="240" w:lineRule="auto"/>
              <w:rPr>
                <w:rFonts w:ascii="Times New Roman" w:eastAsia="Times New Roman" w:hAnsi="Times New Roman" w:cs="Times New Roman"/>
                <w:sz w:val="24"/>
                <w:szCs w:val="24"/>
                <w:lang w:eastAsia="lv-LV"/>
              </w:rPr>
            </w:pPr>
            <w:r w:rsidRPr="003D0AFE">
              <w:rPr>
                <w:rFonts w:ascii="Times New Roman" w:eastAsia="Times New Roman" w:hAnsi="Times New Roman" w:cs="Times New Roman"/>
                <w:sz w:val="24"/>
                <w:szCs w:val="24"/>
                <w:lang w:eastAsia="lv-LV"/>
              </w:rPr>
              <w:t>Nav.</w:t>
            </w:r>
          </w:p>
        </w:tc>
      </w:tr>
    </w:tbl>
    <w:tbl>
      <w:tblPr>
        <w:tblStyle w:val="Reatabula"/>
        <w:tblpPr w:leftFromText="180" w:rightFromText="180" w:vertAnchor="text" w:horzAnchor="margin" w:tblpX="108" w:tblpY="264"/>
        <w:tblW w:w="4884" w:type="pct"/>
        <w:tblLook w:val="04A0" w:firstRow="1" w:lastRow="0" w:firstColumn="1" w:lastColumn="0" w:noHBand="0" w:noVBand="1"/>
      </w:tblPr>
      <w:tblGrid>
        <w:gridCol w:w="3130"/>
        <w:gridCol w:w="2117"/>
        <w:gridCol w:w="3825"/>
      </w:tblGrid>
      <w:tr w:rsidR="00986482" w:rsidRPr="00AD4FDF" w:rsidTr="00064F72">
        <w:tc>
          <w:tcPr>
            <w:tcW w:w="5000" w:type="pct"/>
            <w:gridSpan w:val="3"/>
            <w:hideMark/>
          </w:tcPr>
          <w:p w:rsidR="00986482" w:rsidRPr="00AD4FDF" w:rsidRDefault="00986482" w:rsidP="00064F72">
            <w:pPr>
              <w:spacing w:before="100" w:beforeAutospacing="1" w:after="100" w:afterAutospacing="1"/>
              <w:ind w:firstLine="301"/>
              <w:jc w:val="center"/>
              <w:rPr>
                <w:rFonts w:ascii="Times New Roman" w:eastAsia="Times New Roman" w:hAnsi="Times New Roman" w:cs="Times New Roman"/>
                <w:b/>
                <w:bCs/>
                <w:color w:val="414142"/>
                <w:sz w:val="24"/>
                <w:szCs w:val="24"/>
                <w:lang w:eastAsia="lv-LV"/>
              </w:rPr>
            </w:pPr>
            <w:r w:rsidRPr="00AD4FDF">
              <w:rPr>
                <w:rFonts w:ascii="Times New Roman" w:eastAsia="Times New Roman" w:hAnsi="Times New Roman" w:cs="Times New Roman"/>
                <w:b/>
                <w:bCs/>
                <w:color w:val="000000" w:themeColor="text1"/>
                <w:sz w:val="24"/>
                <w:szCs w:val="24"/>
                <w:lang w:eastAsia="lv-LV"/>
              </w:rPr>
              <w:t>2.tabula</w:t>
            </w:r>
            <w:r w:rsidRPr="00AD4FDF">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AD4FDF">
              <w:rPr>
                <w:rFonts w:ascii="Times New Roman" w:eastAsia="Times New Roman" w:hAnsi="Times New Roman" w:cs="Times New Roman"/>
                <w:b/>
                <w:bCs/>
                <w:color w:val="000000" w:themeColor="text1"/>
                <w:sz w:val="24"/>
                <w:szCs w:val="24"/>
                <w:lang w:eastAsia="lv-LV"/>
              </w:rPr>
              <w:br/>
              <w:t>Pasākumi šo saistību izpildei</w:t>
            </w:r>
          </w:p>
        </w:tc>
      </w:tr>
      <w:tr w:rsidR="00986482" w:rsidRPr="00AD4FDF" w:rsidTr="00064F72">
        <w:tc>
          <w:tcPr>
            <w:tcW w:w="1725" w:type="pct"/>
            <w:hideMark/>
          </w:tcPr>
          <w:p w:rsidR="00986482" w:rsidRPr="00AD4FDF" w:rsidRDefault="00986482" w:rsidP="00064F72">
            <w:pPr>
              <w:rPr>
                <w:rFonts w:ascii="Times New Roman" w:eastAsia="Times New Roman" w:hAnsi="Times New Roman" w:cs="Times New Roman"/>
                <w:color w:val="000000" w:themeColor="text1"/>
                <w:sz w:val="24"/>
                <w:szCs w:val="24"/>
                <w:lang w:eastAsia="lv-LV"/>
              </w:rPr>
            </w:pPr>
            <w:r w:rsidRPr="00AD4FDF">
              <w:rPr>
                <w:rFonts w:ascii="Times New Roman" w:eastAsia="Times New Roman" w:hAnsi="Times New Roman" w:cs="Times New Roman"/>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3275" w:type="pct"/>
            <w:gridSpan w:val="2"/>
            <w:hideMark/>
          </w:tcPr>
          <w:p w:rsidR="00986482" w:rsidRPr="00AD4FDF" w:rsidRDefault="00986482" w:rsidP="00DF0F96">
            <w:pPr>
              <w:jc w:val="both"/>
              <w:rPr>
                <w:rFonts w:ascii="Times New Roman" w:eastAsia="Times New Roman" w:hAnsi="Times New Roman" w:cs="Times New Roman"/>
                <w:color w:val="000000" w:themeColor="text1"/>
                <w:sz w:val="24"/>
                <w:szCs w:val="24"/>
                <w:lang w:eastAsia="lv-LV"/>
              </w:rPr>
            </w:pPr>
            <w:r w:rsidRPr="002F7DDC">
              <w:rPr>
                <w:rFonts w:ascii="Times New Roman" w:hAnsi="Times New Roman"/>
                <w:color w:val="000000" w:themeColor="text1"/>
                <w:sz w:val="24"/>
                <w:szCs w:val="24"/>
              </w:rPr>
              <w:t>Konvencija par pieaugušo pe</w:t>
            </w:r>
            <w:r w:rsidR="00DF0F96">
              <w:rPr>
                <w:rFonts w:ascii="Times New Roman" w:hAnsi="Times New Roman"/>
                <w:color w:val="000000" w:themeColor="text1"/>
                <w:sz w:val="24"/>
                <w:szCs w:val="24"/>
              </w:rPr>
              <w:t>rsonu starptautisk</w:t>
            </w:r>
            <w:r w:rsidR="006B3C4C">
              <w:rPr>
                <w:rFonts w:ascii="Times New Roman" w:hAnsi="Times New Roman"/>
                <w:color w:val="000000" w:themeColor="text1"/>
                <w:sz w:val="24"/>
                <w:szCs w:val="24"/>
              </w:rPr>
              <w:t>o</w:t>
            </w:r>
            <w:r w:rsidR="00DF0F96">
              <w:rPr>
                <w:rFonts w:ascii="Times New Roman" w:hAnsi="Times New Roman"/>
                <w:color w:val="000000" w:themeColor="text1"/>
                <w:sz w:val="24"/>
                <w:szCs w:val="24"/>
              </w:rPr>
              <w:t xml:space="preserve"> aizsardzību (noslēgta 2000. gada </w:t>
            </w:r>
            <w:r w:rsidR="00B42AAC">
              <w:rPr>
                <w:rFonts w:ascii="Times New Roman" w:hAnsi="Times New Roman"/>
                <w:color w:val="000000" w:themeColor="text1"/>
                <w:sz w:val="24"/>
                <w:szCs w:val="24"/>
              </w:rPr>
              <w:t>13. janvārī Hāgā</w:t>
            </w:r>
            <w:r w:rsidR="00DF0F96">
              <w:rPr>
                <w:rFonts w:ascii="Times New Roman" w:hAnsi="Times New Roman"/>
                <w:color w:val="000000" w:themeColor="text1"/>
                <w:sz w:val="24"/>
                <w:szCs w:val="24"/>
              </w:rPr>
              <w:t>).</w:t>
            </w:r>
          </w:p>
        </w:tc>
      </w:tr>
      <w:tr w:rsidR="00064F72" w:rsidRPr="00AD4FDF" w:rsidTr="00064F72">
        <w:tc>
          <w:tcPr>
            <w:tcW w:w="1725" w:type="pct"/>
            <w:hideMark/>
          </w:tcPr>
          <w:p w:rsidR="00986482" w:rsidRPr="00AD4FDF" w:rsidRDefault="00986482" w:rsidP="00064F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AD4FDF">
              <w:rPr>
                <w:rFonts w:ascii="Times New Roman" w:eastAsia="Times New Roman" w:hAnsi="Times New Roman" w:cs="Times New Roman"/>
                <w:color w:val="414142"/>
                <w:sz w:val="24"/>
                <w:szCs w:val="24"/>
                <w:lang w:eastAsia="lv-LV"/>
              </w:rPr>
              <w:t>A</w:t>
            </w:r>
          </w:p>
        </w:tc>
        <w:tc>
          <w:tcPr>
            <w:tcW w:w="1167" w:type="pct"/>
            <w:hideMark/>
          </w:tcPr>
          <w:p w:rsidR="00986482" w:rsidRPr="00AD4FDF" w:rsidRDefault="00986482" w:rsidP="00064F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AD4FDF">
              <w:rPr>
                <w:rFonts w:ascii="Times New Roman" w:eastAsia="Times New Roman" w:hAnsi="Times New Roman" w:cs="Times New Roman"/>
                <w:color w:val="414142"/>
                <w:sz w:val="24"/>
                <w:szCs w:val="24"/>
                <w:lang w:eastAsia="lv-LV"/>
              </w:rPr>
              <w:t>B</w:t>
            </w:r>
          </w:p>
        </w:tc>
        <w:tc>
          <w:tcPr>
            <w:tcW w:w="2108" w:type="pct"/>
            <w:hideMark/>
          </w:tcPr>
          <w:p w:rsidR="00986482" w:rsidRPr="00AD4FDF" w:rsidRDefault="00986482" w:rsidP="00064F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AD4FDF">
              <w:rPr>
                <w:rFonts w:ascii="Times New Roman" w:eastAsia="Times New Roman" w:hAnsi="Times New Roman" w:cs="Times New Roman"/>
                <w:color w:val="414142"/>
                <w:sz w:val="24"/>
                <w:szCs w:val="24"/>
                <w:lang w:eastAsia="lv-LV"/>
              </w:rPr>
              <w:t>C</w:t>
            </w:r>
          </w:p>
        </w:tc>
      </w:tr>
      <w:tr w:rsidR="00064F72" w:rsidRPr="00AD4FDF" w:rsidTr="00064F72">
        <w:tc>
          <w:tcPr>
            <w:tcW w:w="1725" w:type="pct"/>
            <w:hideMark/>
          </w:tcPr>
          <w:p w:rsidR="00986482" w:rsidRPr="00AD4FDF" w:rsidRDefault="00986482" w:rsidP="00064F72">
            <w:pPr>
              <w:rPr>
                <w:rFonts w:ascii="Times New Roman" w:eastAsia="Times New Roman" w:hAnsi="Times New Roman" w:cs="Times New Roman"/>
                <w:color w:val="000000" w:themeColor="text1"/>
                <w:sz w:val="24"/>
                <w:szCs w:val="24"/>
                <w:lang w:eastAsia="lv-LV"/>
              </w:rPr>
            </w:pPr>
            <w:r w:rsidRPr="002F7DDC">
              <w:rPr>
                <w:rFonts w:ascii="Times New Roman" w:hAnsi="Times New Roman"/>
                <w:color w:val="000000" w:themeColor="text1"/>
                <w:sz w:val="24"/>
                <w:szCs w:val="24"/>
              </w:rPr>
              <w:t>Konvencij</w:t>
            </w:r>
            <w:r>
              <w:rPr>
                <w:rFonts w:ascii="Times New Roman" w:hAnsi="Times New Roman"/>
                <w:color w:val="000000" w:themeColor="text1"/>
                <w:sz w:val="24"/>
                <w:szCs w:val="24"/>
              </w:rPr>
              <w:t>a</w:t>
            </w:r>
            <w:r w:rsidRPr="002F7DDC">
              <w:rPr>
                <w:rFonts w:ascii="Times New Roman" w:hAnsi="Times New Roman"/>
                <w:color w:val="000000" w:themeColor="text1"/>
                <w:sz w:val="24"/>
                <w:szCs w:val="24"/>
              </w:rPr>
              <w:t xml:space="preserve"> par pieaugušo personu starptautisk</w:t>
            </w:r>
            <w:r w:rsidR="006B3C4C">
              <w:rPr>
                <w:rFonts w:ascii="Times New Roman" w:hAnsi="Times New Roman"/>
                <w:color w:val="000000" w:themeColor="text1"/>
                <w:sz w:val="24"/>
                <w:szCs w:val="24"/>
              </w:rPr>
              <w:t>o</w:t>
            </w:r>
            <w:r w:rsidRPr="002F7DDC">
              <w:rPr>
                <w:rFonts w:ascii="Times New Roman" w:hAnsi="Times New Roman"/>
                <w:color w:val="000000" w:themeColor="text1"/>
                <w:sz w:val="24"/>
                <w:szCs w:val="24"/>
              </w:rPr>
              <w:t xml:space="preserve"> aizsardzību</w:t>
            </w:r>
            <w:r>
              <w:rPr>
                <w:rFonts w:ascii="Times New Roman" w:hAnsi="Times New Roman"/>
                <w:color w:val="000000" w:themeColor="text1"/>
                <w:sz w:val="24"/>
                <w:szCs w:val="24"/>
              </w:rPr>
              <w:t xml:space="preserve"> </w:t>
            </w:r>
            <w:r w:rsidRPr="002F7DDC">
              <w:rPr>
                <w:rFonts w:ascii="Times New Roman" w:hAnsi="Times New Roman"/>
                <w:color w:val="000000" w:themeColor="text1"/>
                <w:sz w:val="24"/>
                <w:szCs w:val="24"/>
              </w:rPr>
              <w:t>2000.</w:t>
            </w:r>
            <w:r>
              <w:rPr>
                <w:rFonts w:ascii="Times New Roman" w:hAnsi="Times New Roman"/>
                <w:color w:val="000000" w:themeColor="text1"/>
                <w:sz w:val="24"/>
                <w:szCs w:val="24"/>
              </w:rPr>
              <w:t> </w:t>
            </w:r>
            <w:r w:rsidRPr="002F7DDC">
              <w:rPr>
                <w:rFonts w:ascii="Times New Roman" w:hAnsi="Times New Roman"/>
                <w:color w:val="000000" w:themeColor="text1"/>
                <w:sz w:val="24"/>
                <w:szCs w:val="24"/>
              </w:rPr>
              <w:t>gada 13.</w:t>
            </w:r>
            <w:r>
              <w:rPr>
                <w:rFonts w:ascii="Times New Roman" w:hAnsi="Times New Roman"/>
                <w:color w:val="000000" w:themeColor="text1"/>
                <w:sz w:val="24"/>
                <w:szCs w:val="24"/>
              </w:rPr>
              <w:t> </w:t>
            </w:r>
            <w:r w:rsidRPr="002F7DDC">
              <w:rPr>
                <w:rFonts w:ascii="Times New Roman" w:hAnsi="Times New Roman"/>
                <w:color w:val="000000" w:themeColor="text1"/>
                <w:sz w:val="24"/>
                <w:szCs w:val="24"/>
              </w:rPr>
              <w:t>janvāris</w:t>
            </w:r>
            <w:r>
              <w:rPr>
                <w:rFonts w:ascii="Times New Roman" w:hAnsi="Times New Roman"/>
                <w:color w:val="000000" w:themeColor="text1"/>
                <w:sz w:val="24"/>
                <w:szCs w:val="24"/>
              </w:rPr>
              <w:t>,</w:t>
            </w:r>
            <w:r w:rsidRPr="002F7DDC">
              <w:rPr>
                <w:rFonts w:ascii="Times New Roman" w:hAnsi="Times New Roman"/>
                <w:color w:val="000000" w:themeColor="text1"/>
                <w:sz w:val="24"/>
                <w:szCs w:val="24"/>
              </w:rPr>
              <w:t xml:space="preserve"> </w:t>
            </w:r>
            <w:r>
              <w:rPr>
                <w:rFonts w:ascii="Times New Roman" w:hAnsi="Times New Roman"/>
                <w:color w:val="000000" w:themeColor="text1"/>
                <w:sz w:val="24"/>
                <w:szCs w:val="24"/>
              </w:rPr>
              <w:t>Hāga.</w:t>
            </w:r>
          </w:p>
        </w:tc>
        <w:tc>
          <w:tcPr>
            <w:tcW w:w="1167" w:type="pct"/>
            <w:hideMark/>
          </w:tcPr>
          <w:p w:rsidR="00986482" w:rsidRPr="00AD4FDF" w:rsidRDefault="00986482" w:rsidP="00064F72">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Likumprojekts </w:t>
            </w:r>
          </w:p>
        </w:tc>
        <w:tc>
          <w:tcPr>
            <w:tcW w:w="2108" w:type="pct"/>
            <w:hideMark/>
          </w:tcPr>
          <w:p w:rsidR="00986482" w:rsidRPr="00AD4FDF" w:rsidRDefault="00986482" w:rsidP="00064F72">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Saistības izpildītas pilnībā. </w:t>
            </w:r>
          </w:p>
        </w:tc>
      </w:tr>
      <w:tr w:rsidR="00986482" w:rsidRPr="00AD4FDF" w:rsidTr="00064F72">
        <w:tc>
          <w:tcPr>
            <w:tcW w:w="1725" w:type="pct"/>
            <w:hideMark/>
          </w:tcPr>
          <w:p w:rsidR="00986482" w:rsidRPr="00AD4FDF" w:rsidRDefault="00986482" w:rsidP="00064F72">
            <w:pPr>
              <w:rPr>
                <w:rFonts w:ascii="Times New Roman" w:eastAsia="Times New Roman" w:hAnsi="Times New Roman" w:cs="Times New Roman"/>
                <w:color w:val="000000" w:themeColor="text1"/>
                <w:sz w:val="24"/>
                <w:szCs w:val="24"/>
                <w:lang w:eastAsia="lv-LV"/>
              </w:rPr>
            </w:pPr>
            <w:r w:rsidRPr="00AD4FDF">
              <w:rPr>
                <w:rFonts w:ascii="Times New Roman" w:eastAsia="Times New Roman" w:hAnsi="Times New Roman" w:cs="Times New Roman"/>
                <w:color w:val="000000" w:themeColor="text1"/>
                <w:sz w:val="24"/>
                <w:szCs w:val="24"/>
                <w:lang w:eastAsia="lv-LV"/>
              </w:rPr>
              <w:t xml:space="preserve">Vai starptautiskajā dokumentā paredzētās saistības nav pretrunā ar jau </w:t>
            </w:r>
            <w:r w:rsidRPr="00AD4FDF">
              <w:rPr>
                <w:rFonts w:ascii="Times New Roman" w:eastAsia="Times New Roman" w:hAnsi="Times New Roman" w:cs="Times New Roman"/>
                <w:color w:val="000000" w:themeColor="text1"/>
                <w:sz w:val="24"/>
                <w:szCs w:val="24"/>
                <w:lang w:eastAsia="lv-LV"/>
              </w:rPr>
              <w:lastRenderedPageBreak/>
              <w:t>esošajām Latvijas Republikas starptautiskajām saistībām</w:t>
            </w:r>
          </w:p>
        </w:tc>
        <w:tc>
          <w:tcPr>
            <w:tcW w:w="3275" w:type="pct"/>
            <w:gridSpan w:val="2"/>
            <w:hideMark/>
          </w:tcPr>
          <w:p w:rsidR="00986482" w:rsidRDefault="00986482" w:rsidP="00064F72">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 xml:space="preserve"> </w:t>
            </w:r>
          </w:p>
          <w:p w:rsidR="00986482" w:rsidRPr="00AD4FDF" w:rsidRDefault="00986482" w:rsidP="00064F72">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986482" w:rsidRPr="00AD4FDF" w:rsidTr="00064F72">
        <w:tc>
          <w:tcPr>
            <w:tcW w:w="1725" w:type="pct"/>
            <w:hideMark/>
          </w:tcPr>
          <w:p w:rsidR="00986482" w:rsidRPr="00AD4FDF" w:rsidRDefault="00986482" w:rsidP="00064F72">
            <w:pPr>
              <w:rPr>
                <w:rFonts w:ascii="Times New Roman" w:eastAsia="Times New Roman" w:hAnsi="Times New Roman" w:cs="Times New Roman"/>
                <w:color w:val="000000" w:themeColor="text1"/>
                <w:sz w:val="24"/>
                <w:szCs w:val="24"/>
                <w:lang w:eastAsia="lv-LV"/>
              </w:rPr>
            </w:pPr>
            <w:r w:rsidRPr="00AD4FDF">
              <w:rPr>
                <w:rFonts w:ascii="Times New Roman" w:eastAsia="Times New Roman" w:hAnsi="Times New Roman" w:cs="Times New Roman"/>
                <w:color w:val="000000" w:themeColor="text1"/>
                <w:sz w:val="24"/>
                <w:szCs w:val="24"/>
                <w:lang w:eastAsia="lv-LV"/>
              </w:rPr>
              <w:lastRenderedPageBreak/>
              <w:t>Cita informācija</w:t>
            </w:r>
          </w:p>
        </w:tc>
        <w:tc>
          <w:tcPr>
            <w:tcW w:w="3275" w:type="pct"/>
            <w:gridSpan w:val="2"/>
            <w:hideMark/>
          </w:tcPr>
          <w:p w:rsidR="00986482" w:rsidRPr="00AD4FDF" w:rsidRDefault="00986482" w:rsidP="00064F72">
            <w:pPr>
              <w:spacing w:before="100" w:beforeAutospacing="1" w:after="100" w:afterAutospacing="1" w:line="360" w:lineRule="auto"/>
              <w:rPr>
                <w:rFonts w:ascii="Times New Roman" w:eastAsia="Times New Roman" w:hAnsi="Times New Roman" w:cs="Times New Roman"/>
                <w:color w:val="000000" w:themeColor="text1"/>
                <w:sz w:val="24"/>
                <w:szCs w:val="24"/>
                <w:lang w:eastAsia="lv-LV"/>
              </w:rPr>
            </w:pPr>
            <w:r w:rsidRPr="00CF0E60">
              <w:rPr>
                <w:rFonts w:ascii="Times New Roman" w:eastAsia="Times New Roman" w:hAnsi="Times New Roman" w:cs="Times New Roman"/>
                <w:color w:val="000000" w:themeColor="text1"/>
                <w:sz w:val="24"/>
                <w:szCs w:val="24"/>
                <w:lang w:eastAsia="lv-LV"/>
              </w:rPr>
              <w:t>Nav.</w:t>
            </w:r>
          </w:p>
        </w:tc>
      </w:tr>
    </w:tbl>
    <w:p w:rsidR="004F0914" w:rsidRDefault="004F0914" w:rsidP="00D07220">
      <w:pPr>
        <w:spacing w:after="0" w:line="240" w:lineRule="auto"/>
        <w:jc w:val="both"/>
        <w:rPr>
          <w:rFonts w:ascii="Times New Roman" w:eastAsia="Times New Roman" w:hAnsi="Times New Roman" w:cs="Times New Roman"/>
          <w:sz w:val="28"/>
          <w:szCs w:val="28"/>
          <w:lang w:eastAsia="lv-LV"/>
        </w:rPr>
      </w:pPr>
    </w:p>
    <w:tbl>
      <w:tblPr>
        <w:tblW w:w="5000"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2737"/>
        <w:gridCol w:w="5935"/>
      </w:tblGrid>
      <w:tr w:rsidR="00D07220" w:rsidTr="00915B3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220" w:rsidRPr="008C3A1A" w:rsidRDefault="00D07220" w:rsidP="00915B3C">
            <w:pPr>
              <w:spacing w:after="0" w:line="240" w:lineRule="auto"/>
              <w:ind w:firstLine="300"/>
              <w:jc w:val="center"/>
              <w:rPr>
                <w:rFonts w:ascii="Times New Roman" w:eastAsia="Times New Roman" w:hAnsi="Times New Roman" w:cs="Times New Roman"/>
                <w:b/>
                <w:bCs/>
                <w:sz w:val="24"/>
                <w:szCs w:val="24"/>
                <w:lang w:eastAsia="lv-LV"/>
              </w:rPr>
            </w:pPr>
            <w:r w:rsidRPr="008C3A1A">
              <w:rPr>
                <w:rFonts w:ascii="Times New Roman" w:eastAsia="Times New Roman" w:hAnsi="Times New Roman" w:cs="Times New Roman"/>
                <w:b/>
                <w:bCs/>
                <w:sz w:val="24"/>
                <w:szCs w:val="24"/>
                <w:lang w:eastAsia="lv-LV"/>
              </w:rPr>
              <w:t>VI. Sabiedrības līdzdalība un komunikācijas aktivitātes</w:t>
            </w:r>
          </w:p>
        </w:tc>
      </w:tr>
      <w:tr w:rsidR="00D07220" w:rsidRPr="006D7090" w:rsidTr="00915B3C">
        <w:trPr>
          <w:trHeight w:val="540"/>
        </w:trPr>
        <w:tc>
          <w:tcPr>
            <w:tcW w:w="251" w:type="pct"/>
            <w:tcBorders>
              <w:top w:val="outset" w:sz="6" w:space="0" w:color="414142"/>
              <w:left w:val="outset" w:sz="6" w:space="0" w:color="414142"/>
              <w:bottom w:val="outset" w:sz="6" w:space="0" w:color="414142"/>
              <w:right w:val="outset" w:sz="6" w:space="0" w:color="414142"/>
            </w:tcBorders>
            <w:hideMark/>
          </w:tcPr>
          <w:p w:rsidR="00D07220" w:rsidRPr="002D7015" w:rsidRDefault="00D07220" w:rsidP="00915B3C">
            <w:pPr>
              <w:spacing w:after="0" w:line="240" w:lineRule="auto"/>
              <w:rPr>
                <w:rFonts w:ascii="Times New Roman" w:eastAsia="Times New Roman" w:hAnsi="Times New Roman" w:cs="Times New Roman"/>
                <w:sz w:val="24"/>
                <w:szCs w:val="24"/>
                <w:lang w:eastAsia="lv-LV"/>
              </w:rPr>
            </w:pPr>
            <w:r w:rsidRPr="002D7015">
              <w:rPr>
                <w:rFonts w:ascii="Times New Roman" w:eastAsia="Times New Roman" w:hAnsi="Times New Roman" w:cs="Times New Roman"/>
                <w:sz w:val="24"/>
                <w:szCs w:val="24"/>
                <w:lang w:eastAsia="lv-LV"/>
              </w:rPr>
              <w:t>1.</w:t>
            </w:r>
          </w:p>
        </w:tc>
        <w:tc>
          <w:tcPr>
            <w:tcW w:w="1499" w:type="pct"/>
            <w:tcBorders>
              <w:top w:val="outset" w:sz="6" w:space="0" w:color="414142"/>
              <w:left w:val="outset" w:sz="6" w:space="0" w:color="414142"/>
              <w:bottom w:val="outset" w:sz="6" w:space="0" w:color="414142"/>
              <w:right w:val="outset" w:sz="6" w:space="0" w:color="414142"/>
            </w:tcBorders>
            <w:hideMark/>
          </w:tcPr>
          <w:p w:rsidR="00D07220" w:rsidRPr="008C3A1A" w:rsidRDefault="00D07220" w:rsidP="00915B3C">
            <w:pPr>
              <w:spacing w:after="0" w:line="240" w:lineRule="auto"/>
              <w:rPr>
                <w:rFonts w:ascii="Times New Roman" w:eastAsia="Times New Roman" w:hAnsi="Times New Roman" w:cs="Times New Roman"/>
                <w:sz w:val="24"/>
                <w:szCs w:val="24"/>
                <w:lang w:eastAsia="lv-LV"/>
              </w:rPr>
            </w:pPr>
            <w:r w:rsidRPr="008C3A1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D07220" w:rsidRPr="008C3A1A" w:rsidRDefault="00D07220" w:rsidP="00915B3C">
            <w:pPr>
              <w:spacing w:after="0" w:line="240" w:lineRule="auto"/>
              <w:jc w:val="both"/>
              <w:rPr>
                <w:rFonts w:ascii="Times New Roman" w:eastAsia="Times New Roman" w:hAnsi="Times New Roman" w:cs="Times New Roman"/>
                <w:sz w:val="24"/>
                <w:szCs w:val="24"/>
                <w:lang w:eastAsia="lv-LV"/>
              </w:rPr>
            </w:pPr>
            <w:r w:rsidRPr="008C3A1A">
              <w:rPr>
                <w:rFonts w:ascii="Times New Roman" w:eastAsia="Times New Roman" w:hAnsi="Times New Roman" w:cs="Times New Roman"/>
                <w:sz w:val="24"/>
                <w:szCs w:val="24"/>
                <w:lang w:eastAsia="lv-LV"/>
              </w:rPr>
              <w:t>Sabiedrības līdzdalība tik</w:t>
            </w:r>
            <w:r w:rsidR="00725071">
              <w:rPr>
                <w:rFonts w:ascii="Times New Roman" w:eastAsia="Times New Roman" w:hAnsi="Times New Roman" w:cs="Times New Roman"/>
                <w:sz w:val="24"/>
                <w:szCs w:val="24"/>
                <w:lang w:eastAsia="lv-LV"/>
              </w:rPr>
              <w:t>a</w:t>
            </w:r>
            <w:r w:rsidRPr="008C3A1A">
              <w:rPr>
                <w:rFonts w:ascii="Times New Roman" w:eastAsia="Times New Roman" w:hAnsi="Times New Roman" w:cs="Times New Roman"/>
                <w:sz w:val="24"/>
                <w:szCs w:val="24"/>
                <w:lang w:eastAsia="lv-LV"/>
              </w:rPr>
              <w:t xml:space="preserve"> nodrošināta, izsludinot likumprojektu Valsts sekretāru sanāksmē, un </w:t>
            </w:r>
            <w:r w:rsidR="003D3BFA">
              <w:rPr>
                <w:rFonts w:ascii="Times New Roman" w:eastAsia="Times New Roman" w:hAnsi="Times New Roman" w:cs="Times New Roman"/>
                <w:sz w:val="24"/>
                <w:szCs w:val="24"/>
                <w:lang w:eastAsia="lv-LV"/>
              </w:rPr>
              <w:t>likum</w:t>
            </w:r>
            <w:r w:rsidRPr="008C3A1A">
              <w:rPr>
                <w:rFonts w:ascii="Times New Roman" w:eastAsia="Times New Roman" w:hAnsi="Times New Roman" w:cs="Times New Roman"/>
                <w:sz w:val="24"/>
                <w:szCs w:val="24"/>
                <w:lang w:eastAsia="lv-LV"/>
              </w:rPr>
              <w:t>projekts kopā ar sākotnējās ietekmes novērtējuma ziņojumu tik</w:t>
            </w:r>
            <w:r w:rsidR="00986482">
              <w:rPr>
                <w:rFonts w:ascii="Times New Roman" w:eastAsia="Times New Roman" w:hAnsi="Times New Roman" w:cs="Times New Roman"/>
                <w:sz w:val="24"/>
                <w:szCs w:val="24"/>
                <w:lang w:eastAsia="lv-LV"/>
              </w:rPr>
              <w:t>a</w:t>
            </w:r>
            <w:r w:rsidRPr="008C3A1A">
              <w:rPr>
                <w:rFonts w:ascii="Times New Roman" w:eastAsia="Times New Roman" w:hAnsi="Times New Roman" w:cs="Times New Roman"/>
                <w:sz w:val="24"/>
                <w:szCs w:val="24"/>
                <w:lang w:eastAsia="lv-LV"/>
              </w:rPr>
              <w:t xml:space="preserve"> ievietots Tieslietu ministrijas interneta vietnē </w:t>
            </w:r>
            <w:hyperlink r:id="rId8" w:history="1">
              <w:r w:rsidRPr="008C3A1A">
                <w:rPr>
                  <w:rStyle w:val="Hipersaite"/>
                  <w:rFonts w:ascii="Times New Roman" w:eastAsia="Times New Roman" w:hAnsi="Times New Roman" w:cs="Times New Roman"/>
                  <w:sz w:val="24"/>
                  <w:szCs w:val="24"/>
                  <w:lang w:eastAsia="lv-LV"/>
                </w:rPr>
                <w:t>www.tm.gov.lv</w:t>
              </w:r>
            </w:hyperlink>
            <w:r w:rsidR="00DF0F96">
              <w:rPr>
                <w:rFonts w:ascii="Times New Roman" w:eastAsia="Times New Roman" w:hAnsi="Times New Roman" w:cs="Times New Roman"/>
                <w:sz w:val="24"/>
                <w:szCs w:val="24"/>
                <w:lang w:eastAsia="lv-LV"/>
              </w:rPr>
              <w:t xml:space="preserve"> sadaļā "Sabiedrības līdzdalība"</w:t>
            </w:r>
            <w:r w:rsidRPr="008C3A1A">
              <w:rPr>
                <w:rFonts w:ascii="Times New Roman" w:eastAsia="Times New Roman" w:hAnsi="Times New Roman" w:cs="Times New Roman"/>
                <w:sz w:val="24"/>
                <w:szCs w:val="24"/>
                <w:lang w:eastAsia="lv-LV"/>
              </w:rPr>
              <w:t>, aicinot sabiedrību izteikt savu viedokli, izmantojot interneta pakalpojumus.</w:t>
            </w:r>
          </w:p>
        </w:tc>
      </w:tr>
      <w:tr w:rsidR="00D07220" w:rsidRPr="006D7090" w:rsidTr="00915B3C">
        <w:trPr>
          <w:trHeight w:val="330"/>
        </w:trPr>
        <w:tc>
          <w:tcPr>
            <w:tcW w:w="251" w:type="pct"/>
            <w:tcBorders>
              <w:top w:val="outset" w:sz="6" w:space="0" w:color="414142"/>
              <w:left w:val="outset" w:sz="6" w:space="0" w:color="414142"/>
              <w:bottom w:val="outset" w:sz="6" w:space="0" w:color="414142"/>
              <w:right w:val="outset" w:sz="6" w:space="0" w:color="414142"/>
            </w:tcBorders>
            <w:hideMark/>
          </w:tcPr>
          <w:p w:rsidR="00D07220" w:rsidRPr="002D7015" w:rsidRDefault="00D07220" w:rsidP="00915B3C">
            <w:pPr>
              <w:spacing w:after="0" w:line="240" w:lineRule="auto"/>
              <w:rPr>
                <w:rFonts w:ascii="Times New Roman" w:eastAsia="Times New Roman" w:hAnsi="Times New Roman" w:cs="Times New Roman"/>
                <w:sz w:val="24"/>
                <w:szCs w:val="24"/>
                <w:lang w:eastAsia="lv-LV"/>
              </w:rPr>
            </w:pPr>
            <w:r w:rsidRPr="002D7015">
              <w:rPr>
                <w:rFonts w:ascii="Times New Roman" w:eastAsia="Times New Roman" w:hAnsi="Times New Roman" w:cs="Times New Roman"/>
                <w:sz w:val="24"/>
                <w:szCs w:val="24"/>
                <w:lang w:eastAsia="lv-LV"/>
              </w:rPr>
              <w:t>2.</w:t>
            </w:r>
          </w:p>
        </w:tc>
        <w:tc>
          <w:tcPr>
            <w:tcW w:w="1499" w:type="pct"/>
            <w:tcBorders>
              <w:top w:val="outset" w:sz="6" w:space="0" w:color="414142"/>
              <w:left w:val="outset" w:sz="6" w:space="0" w:color="414142"/>
              <w:bottom w:val="outset" w:sz="6" w:space="0" w:color="414142"/>
              <w:right w:val="outset" w:sz="6" w:space="0" w:color="414142"/>
            </w:tcBorders>
            <w:hideMark/>
          </w:tcPr>
          <w:p w:rsidR="00D07220" w:rsidRPr="008C3A1A" w:rsidRDefault="00D07220" w:rsidP="00915B3C">
            <w:pPr>
              <w:spacing w:after="0" w:line="240" w:lineRule="auto"/>
              <w:rPr>
                <w:rFonts w:ascii="Times New Roman" w:eastAsia="Times New Roman" w:hAnsi="Times New Roman" w:cs="Times New Roman"/>
                <w:sz w:val="24"/>
                <w:szCs w:val="24"/>
                <w:lang w:eastAsia="lv-LV"/>
              </w:rPr>
            </w:pPr>
            <w:r w:rsidRPr="008C3A1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D07220" w:rsidRPr="008C3A1A" w:rsidRDefault="0088113F" w:rsidP="00915B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D07220" w:rsidRPr="008C3A1A">
              <w:rPr>
                <w:rFonts w:ascii="Times New Roman" w:eastAsia="Times New Roman" w:hAnsi="Times New Roman" w:cs="Times New Roman"/>
                <w:sz w:val="24"/>
                <w:szCs w:val="24"/>
                <w:lang w:eastAsia="lv-LV"/>
              </w:rPr>
              <w:t xml:space="preserve">rojekts kopā ar sākotnējās ietekmes novērtējuma ziņojumu (anotāciju) </w:t>
            </w:r>
            <w:r w:rsidR="00644398">
              <w:rPr>
                <w:rFonts w:ascii="Times New Roman" w:eastAsia="Times New Roman" w:hAnsi="Times New Roman" w:cs="Times New Roman"/>
                <w:sz w:val="24"/>
                <w:szCs w:val="24"/>
                <w:lang w:eastAsia="lv-LV"/>
              </w:rPr>
              <w:t>2016. gada 28. jūnijā</w:t>
            </w:r>
            <w:r w:rsidR="00D07220" w:rsidRPr="008C3A1A">
              <w:rPr>
                <w:rFonts w:ascii="Times New Roman" w:eastAsia="Times New Roman" w:hAnsi="Times New Roman" w:cs="Times New Roman"/>
                <w:sz w:val="24"/>
                <w:szCs w:val="24"/>
                <w:lang w:eastAsia="lv-LV"/>
              </w:rPr>
              <w:t xml:space="preserve"> tika ievietots Tieslietu ministrijas interneta vietnē </w:t>
            </w:r>
            <w:hyperlink r:id="rId9" w:history="1">
              <w:r w:rsidR="00D07220" w:rsidRPr="008C3A1A">
                <w:rPr>
                  <w:rStyle w:val="Hipersaite"/>
                  <w:rFonts w:ascii="Times New Roman" w:eastAsia="Times New Roman" w:hAnsi="Times New Roman" w:cs="Times New Roman"/>
                  <w:sz w:val="24"/>
                  <w:szCs w:val="24"/>
                  <w:lang w:eastAsia="lv-LV"/>
                </w:rPr>
                <w:t>www.tm.gov.lv</w:t>
              </w:r>
            </w:hyperlink>
            <w:r w:rsidR="00DF0F96">
              <w:rPr>
                <w:rFonts w:ascii="Times New Roman" w:eastAsia="Times New Roman" w:hAnsi="Times New Roman" w:cs="Times New Roman"/>
                <w:sz w:val="24"/>
                <w:szCs w:val="24"/>
                <w:lang w:eastAsia="lv-LV"/>
              </w:rPr>
              <w:t xml:space="preserve"> sadaļā "Sabiedrības līdzdalība"</w:t>
            </w:r>
            <w:r w:rsidR="00D07220" w:rsidRPr="008C3A1A">
              <w:rPr>
                <w:rFonts w:ascii="Times New Roman" w:eastAsia="Times New Roman" w:hAnsi="Times New Roman" w:cs="Times New Roman"/>
                <w:sz w:val="24"/>
                <w:szCs w:val="24"/>
                <w:lang w:eastAsia="lv-LV"/>
              </w:rPr>
              <w:t xml:space="preserve">, aicinot sabiedrību izteikt savu viedokli, izmantojot interneta pakalpojumus līdz </w:t>
            </w:r>
            <w:r w:rsidR="00644398">
              <w:rPr>
                <w:rFonts w:ascii="Times New Roman" w:eastAsia="Times New Roman" w:hAnsi="Times New Roman" w:cs="Times New Roman"/>
                <w:sz w:val="24"/>
                <w:szCs w:val="24"/>
                <w:lang w:eastAsia="lv-LV"/>
              </w:rPr>
              <w:t>2016. gada 13. jūlijam.</w:t>
            </w:r>
          </w:p>
        </w:tc>
      </w:tr>
      <w:tr w:rsidR="00D07220" w:rsidRPr="006D7090" w:rsidTr="00915B3C">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D07220" w:rsidRPr="002D7015" w:rsidRDefault="00D07220" w:rsidP="00915B3C">
            <w:pPr>
              <w:spacing w:after="0" w:line="240" w:lineRule="auto"/>
              <w:rPr>
                <w:rFonts w:ascii="Times New Roman" w:eastAsia="Times New Roman" w:hAnsi="Times New Roman" w:cs="Times New Roman"/>
                <w:sz w:val="24"/>
                <w:szCs w:val="24"/>
                <w:lang w:eastAsia="lv-LV"/>
              </w:rPr>
            </w:pPr>
            <w:r w:rsidRPr="002D7015">
              <w:rPr>
                <w:rFonts w:ascii="Times New Roman" w:eastAsia="Times New Roman" w:hAnsi="Times New Roman" w:cs="Times New Roman"/>
                <w:sz w:val="24"/>
                <w:szCs w:val="24"/>
                <w:lang w:eastAsia="lv-LV"/>
              </w:rPr>
              <w:t>3.</w:t>
            </w:r>
          </w:p>
        </w:tc>
        <w:tc>
          <w:tcPr>
            <w:tcW w:w="1499" w:type="pct"/>
            <w:tcBorders>
              <w:top w:val="outset" w:sz="6" w:space="0" w:color="414142"/>
              <w:left w:val="outset" w:sz="6" w:space="0" w:color="414142"/>
              <w:bottom w:val="outset" w:sz="6" w:space="0" w:color="414142"/>
              <w:right w:val="outset" w:sz="6" w:space="0" w:color="414142"/>
            </w:tcBorders>
            <w:hideMark/>
          </w:tcPr>
          <w:p w:rsidR="00D07220" w:rsidRPr="008C3A1A" w:rsidRDefault="00D07220" w:rsidP="00915B3C">
            <w:pPr>
              <w:spacing w:after="0" w:line="240" w:lineRule="auto"/>
              <w:rPr>
                <w:rFonts w:ascii="Times New Roman" w:eastAsia="Times New Roman" w:hAnsi="Times New Roman" w:cs="Times New Roman"/>
                <w:sz w:val="24"/>
                <w:szCs w:val="24"/>
                <w:lang w:eastAsia="lv-LV"/>
              </w:rPr>
            </w:pPr>
            <w:r w:rsidRPr="008C3A1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D07220" w:rsidRPr="008C3A1A" w:rsidRDefault="00644398" w:rsidP="00915B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izstrādes procesā sabiedrība nav izteikusi priekšlikumus.</w:t>
            </w:r>
          </w:p>
        </w:tc>
      </w:tr>
      <w:tr w:rsidR="00D07220" w:rsidTr="00915B3C">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D07220" w:rsidRPr="002D7015" w:rsidRDefault="00D07220" w:rsidP="00915B3C">
            <w:pPr>
              <w:spacing w:after="0" w:line="240" w:lineRule="auto"/>
              <w:rPr>
                <w:rFonts w:ascii="Times New Roman" w:eastAsia="Times New Roman" w:hAnsi="Times New Roman" w:cs="Times New Roman"/>
                <w:sz w:val="24"/>
                <w:szCs w:val="24"/>
                <w:lang w:eastAsia="lv-LV"/>
              </w:rPr>
            </w:pPr>
            <w:r w:rsidRPr="002D7015">
              <w:rPr>
                <w:rFonts w:ascii="Times New Roman" w:eastAsia="Times New Roman" w:hAnsi="Times New Roman" w:cs="Times New Roman"/>
                <w:sz w:val="24"/>
                <w:szCs w:val="24"/>
                <w:lang w:eastAsia="lv-LV"/>
              </w:rPr>
              <w:t>4.</w:t>
            </w:r>
          </w:p>
        </w:tc>
        <w:tc>
          <w:tcPr>
            <w:tcW w:w="1499" w:type="pct"/>
            <w:tcBorders>
              <w:top w:val="outset" w:sz="6" w:space="0" w:color="414142"/>
              <w:left w:val="outset" w:sz="6" w:space="0" w:color="414142"/>
              <w:bottom w:val="outset" w:sz="6" w:space="0" w:color="414142"/>
              <w:right w:val="outset" w:sz="6" w:space="0" w:color="414142"/>
            </w:tcBorders>
            <w:hideMark/>
          </w:tcPr>
          <w:p w:rsidR="00D07220" w:rsidRPr="008C3A1A" w:rsidRDefault="00D07220" w:rsidP="00915B3C">
            <w:pPr>
              <w:spacing w:after="0" w:line="240" w:lineRule="auto"/>
              <w:rPr>
                <w:rFonts w:ascii="Times New Roman" w:eastAsia="Times New Roman" w:hAnsi="Times New Roman" w:cs="Times New Roman"/>
                <w:sz w:val="24"/>
                <w:szCs w:val="24"/>
                <w:lang w:eastAsia="lv-LV"/>
              </w:rPr>
            </w:pPr>
            <w:r w:rsidRPr="008C3A1A">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D07220" w:rsidRPr="008C3A1A" w:rsidRDefault="00D07220" w:rsidP="00915B3C">
            <w:pPr>
              <w:spacing w:after="0" w:line="240" w:lineRule="auto"/>
              <w:rPr>
                <w:rFonts w:ascii="Times New Roman" w:eastAsia="Times New Roman" w:hAnsi="Times New Roman" w:cs="Times New Roman"/>
                <w:sz w:val="24"/>
                <w:szCs w:val="24"/>
                <w:lang w:eastAsia="lv-LV"/>
              </w:rPr>
            </w:pPr>
            <w:r w:rsidRPr="008C3A1A">
              <w:rPr>
                <w:rFonts w:ascii="Times New Roman" w:eastAsia="Times New Roman" w:hAnsi="Times New Roman" w:cs="Times New Roman"/>
                <w:sz w:val="24"/>
                <w:szCs w:val="24"/>
                <w:lang w:eastAsia="lv-LV"/>
              </w:rPr>
              <w:t>Nav.</w:t>
            </w:r>
          </w:p>
        </w:tc>
      </w:tr>
    </w:tbl>
    <w:p w:rsidR="00D07220" w:rsidRDefault="00D07220" w:rsidP="00D07220">
      <w:pPr>
        <w:spacing w:after="0" w:line="240" w:lineRule="auto"/>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5981"/>
      </w:tblGrid>
      <w:tr w:rsidR="00D07220" w:rsidRPr="00462667" w:rsidTr="00915B3C">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220" w:rsidRPr="00462667" w:rsidRDefault="00D07220" w:rsidP="00915B3C">
            <w:pPr>
              <w:spacing w:after="0" w:line="240" w:lineRule="auto"/>
              <w:ind w:firstLine="300"/>
              <w:jc w:val="both"/>
              <w:rPr>
                <w:rFonts w:ascii="Times New Roman" w:eastAsia="Times New Roman" w:hAnsi="Times New Roman" w:cs="Times New Roman"/>
                <w:b/>
                <w:bCs/>
                <w:sz w:val="24"/>
                <w:szCs w:val="24"/>
                <w:lang w:eastAsia="lv-LV"/>
              </w:rPr>
            </w:pPr>
            <w:r w:rsidRPr="00462667">
              <w:rPr>
                <w:rFonts w:ascii="Times New Roman" w:eastAsia="Times New Roman" w:hAnsi="Times New Roman" w:cs="Times New Roman"/>
                <w:b/>
                <w:bCs/>
                <w:sz w:val="24"/>
                <w:szCs w:val="24"/>
                <w:lang w:eastAsia="lv-LV"/>
              </w:rPr>
              <w:t>VII. Tiesību akta projekta izpildes nodrošināšana un tās ietekme uz institūcijām</w:t>
            </w:r>
          </w:p>
        </w:tc>
      </w:tr>
      <w:tr w:rsidR="00D07220" w:rsidRPr="00462667" w:rsidTr="00EF637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220" w:rsidRPr="00462667" w:rsidRDefault="00D07220" w:rsidP="00915B3C">
            <w:pPr>
              <w:spacing w:after="0" w:line="240" w:lineRule="auto"/>
              <w:jc w:val="both"/>
              <w:rPr>
                <w:rFonts w:ascii="Times New Roman" w:eastAsia="Times New Roman" w:hAnsi="Times New Roman" w:cs="Times New Roman"/>
                <w:sz w:val="24"/>
                <w:szCs w:val="24"/>
                <w:lang w:eastAsia="lv-LV"/>
              </w:rPr>
            </w:pPr>
            <w:r w:rsidRPr="00462667">
              <w:rPr>
                <w:rFonts w:ascii="Times New Roman" w:eastAsia="Times New Roman" w:hAnsi="Times New Roman" w:cs="Times New Roman"/>
                <w:sz w:val="24"/>
                <w:szCs w:val="24"/>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rsidR="00D07220" w:rsidRPr="00462667" w:rsidRDefault="00D07220" w:rsidP="00915B3C">
            <w:pPr>
              <w:spacing w:after="0" w:line="240" w:lineRule="auto"/>
              <w:jc w:val="both"/>
              <w:rPr>
                <w:rFonts w:ascii="Times New Roman" w:eastAsia="Times New Roman" w:hAnsi="Times New Roman" w:cs="Times New Roman"/>
                <w:sz w:val="24"/>
                <w:szCs w:val="24"/>
                <w:lang w:eastAsia="lv-LV"/>
              </w:rPr>
            </w:pPr>
            <w:r w:rsidRPr="00462667">
              <w:rPr>
                <w:rFonts w:ascii="Times New Roman" w:eastAsia="Times New Roman" w:hAnsi="Times New Roman" w:cs="Times New Roman"/>
                <w:sz w:val="24"/>
                <w:szCs w:val="24"/>
                <w:lang w:eastAsia="lv-LV"/>
              </w:rPr>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D07220" w:rsidRPr="00462667" w:rsidRDefault="0078640B" w:rsidP="0064439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Tieslietu ministrija, </w:t>
            </w:r>
            <w:r w:rsidR="00C54D7A">
              <w:rPr>
                <w:rFonts w:ascii="Times New Roman" w:hAnsi="Times New Roman" w:cs="Times New Roman"/>
                <w:sz w:val="24"/>
                <w:szCs w:val="24"/>
              </w:rPr>
              <w:t>bāriņtiesas, tiesas.</w:t>
            </w:r>
          </w:p>
        </w:tc>
      </w:tr>
      <w:tr w:rsidR="00D07220" w:rsidRPr="00462667" w:rsidTr="00EF637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220" w:rsidRPr="00462667" w:rsidRDefault="00D07220" w:rsidP="00915B3C">
            <w:pPr>
              <w:spacing w:after="0" w:line="240" w:lineRule="auto"/>
              <w:jc w:val="both"/>
              <w:rPr>
                <w:rFonts w:ascii="Times New Roman" w:eastAsia="Times New Roman" w:hAnsi="Times New Roman" w:cs="Times New Roman"/>
                <w:sz w:val="24"/>
                <w:szCs w:val="24"/>
                <w:lang w:eastAsia="lv-LV"/>
              </w:rPr>
            </w:pPr>
            <w:r w:rsidRPr="00462667">
              <w:rPr>
                <w:rFonts w:ascii="Times New Roman" w:eastAsia="Times New Roman" w:hAnsi="Times New Roman" w:cs="Times New Roman"/>
                <w:sz w:val="24"/>
                <w:szCs w:val="24"/>
                <w:lang w:eastAsia="lv-LV"/>
              </w:rPr>
              <w:t>2.</w:t>
            </w:r>
          </w:p>
        </w:tc>
        <w:tc>
          <w:tcPr>
            <w:tcW w:w="1475" w:type="pct"/>
            <w:tcBorders>
              <w:top w:val="outset" w:sz="6" w:space="0" w:color="414142"/>
              <w:left w:val="outset" w:sz="6" w:space="0" w:color="414142"/>
              <w:bottom w:val="outset" w:sz="6" w:space="0" w:color="414142"/>
              <w:right w:val="outset" w:sz="6" w:space="0" w:color="414142"/>
            </w:tcBorders>
            <w:hideMark/>
          </w:tcPr>
          <w:p w:rsidR="00D07220" w:rsidRPr="00462667" w:rsidRDefault="00D07220" w:rsidP="000A3F94">
            <w:pPr>
              <w:spacing w:after="0" w:line="240" w:lineRule="auto"/>
              <w:jc w:val="both"/>
              <w:rPr>
                <w:rFonts w:ascii="Times New Roman" w:eastAsia="Times New Roman" w:hAnsi="Times New Roman" w:cs="Times New Roman"/>
                <w:sz w:val="24"/>
                <w:szCs w:val="24"/>
                <w:lang w:eastAsia="lv-LV"/>
              </w:rPr>
            </w:pPr>
            <w:r w:rsidRPr="00462667">
              <w:rPr>
                <w:rFonts w:ascii="Times New Roman" w:eastAsia="Times New Roman" w:hAnsi="Times New Roman" w:cs="Times New Roman"/>
                <w:sz w:val="24"/>
                <w:szCs w:val="24"/>
                <w:lang w:eastAsia="lv-LV"/>
              </w:rPr>
              <w:t xml:space="preserve">Projekta izpildes ietekme uz pārvaldes funkcijām un institucionālo struktūru. </w:t>
            </w:r>
          </w:p>
          <w:p w:rsidR="00D07220" w:rsidRPr="00462667" w:rsidRDefault="00D07220" w:rsidP="000A3F94">
            <w:pPr>
              <w:spacing w:after="0" w:line="240" w:lineRule="auto"/>
              <w:ind w:firstLine="300"/>
              <w:jc w:val="both"/>
              <w:rPr>
                <w:rFonts w:ascii="Times New Roman" w:eastAsia="Times New Roman" w:hAnsi="Times New Roman" w:cs="Times New Roman"/>
                <w:sz w:val="24"/>
                <w:szCs w:val="24"/>
                <w:lang w:eastAsia="lv-LV"/>
              </w:rPr>
            </w:pPr>
            <w:r w:rsidRPr="0046266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000A3F94">
              <w:rPr>
                <w:rFonts w:ascii="Times New Roman" w:eastAsia="Times New Roman" w:hAnsi="Times New Roman" w:cs="Times New Roman"/>
                <w:sz w:val="24"/>
                <w:szCs w:val="24"/>
                <w:lang w:eastAsia="lv-LV"/>
              </w:rPr>
              <w:t>.</w:t>
            </w:r>
          </w:p>
        </w:tc>
        <w:tc>
          <w:tcPr>
            <w:tcW w:w="3275" w:type="pct"/>
            <w:tcBorders>
              <w:top w:val="outset" w:sz="6" w:space="0" w:color="414142"/>
              <w:left w:val="outset" w:sz="6" w:space="0" w:color="414142"/>
              <w:bottom w:val="outset" w:sz="6" w:space="0" w:color="414142"/>
              <w:right w:val="outset" w:sz="6" w:space="0" w:color="414142"/>
            </w:tcBorders>
            <w:hideMark/>
          </w:tcPr>
          <w:p w:rsidR="00D07220" w:rsidRPr="00462667" w:rsidRDefault="00777911" w:rsidP="0077791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Ņemot vērā Konvencijas specifisko darbības sfēru, paredzēts, ka ar to saistīto lietu skaits nebūs liels. Minētais ļauj secināt, ka </w:t>
            </w:r>
            <w:r w:rsidR="0013290C">
              <w:rPr>
                <w:rFonts w:ascii="Times New Roman" w:hAnsi="Times New Roman" w:cs="Times New Roman"/>
                <w:iCs/>
                <w:sz w:val="24"/>
                <w:szCs w:val="24"/>
              </w:rPr>
              <w:t>likum</w:t>
            </w:r>
            <w:r>
              <w:rPr>
                <w:rFonts w:ascii="Times New Roman" w:hAnsi="Times New Roman" w:cs="Times New Roman"/>
                <w:iCs/>
                <w:sz w:val="24"/>
                <w:szCs w:val="24"/>
              </w:rPr>
              <w:t>projekta izpildē iesaistīto institūciju administratīvais slogs netiks būtiski ietekmēts. L</w:t>
            </w:r>
            <w:r w:rsidRPr="00462667">
              <w:rPr>
                <w:rFonts w:ascii="Times New Roman" w:hAnsi="Times New Roman" w:cs="Times New Roman"/>
                <w:iCs/>
                <w:sz w:val="24"/>
                <w:szCs w:val="24"/>
              </w:rPr>
              <w:t xml:space="preserve">ikumprojekta </w:t>
            </w:r>
            <w:r>
              <w:rPr>
                <w:rFonts w:ascii="Times New Roman" w:hAnsi="Times New Roman" w:cs="Times New Roman"/>
                <w:iCs/>
                <w:sz w:val="24"/>
                <w:szCs w:val="24"/>
              </w:rPr>
              <w:t>izpilde</w:t>
            </w:r>
            <w:r w:rsidRPr="00462667">
              <w:rPr>
                <w:rFonts w:ascii="Times New Roman" w:hAnsi="Times New Roman" w:cs="Times New Roman"/>
                <w:iCs/>
                <w:sz w:val="24"/>
                <w:szCs w:val="24"/>
              </w:rPr>
              <w:t xml:space="preserve"> veic</w:t>
            </w:r>
            <w:r>
              <w:rPr>
                <w:rFonts w:ascii="Times New Roman" w:hAnsi="Times New Roman" w:cs="Times New Roman"/>
                <w:iCs/>
                <w:sz w:val="24"/>
                <w:szCs w:val="24"/>
              </w:rPr>
              <w:t>ama</w:t>
            </w:r>
            <w:r w:rsidRPr="00462667">
              <w:rPr>
                <w:rFonts w:ascii="Times New Roman" w:hAnsi="Times New Roman" w:cs="Times New Roman"/>
                <w:iCs/>
                <w:sz w:val="24"/>
                <w:szCs w:val="24"/>
              </w:rPr>
              <w:t xml:space="preserve"> esošo </w:t>
            </w:r>
            <w:r>
              <w:rPr>
                <w:rFonts w:ascii="Times New Roman" w:hAnsi="Times New Roman" w:cs="Times New Roman"/>
                <w:iCs/>
                <w:sz w:val="24"/>
                <w:szCs w:val="24"/>
              </w:rPr>
              <w:t xml:space="preserve">pārvaldes </w:t>
            </w:r>
            <w:r w:rsidRPr="00462667">
              <w:rPr>
                <w:rFonts w:ascii="Times New Roman" w:hAnsi="Times New Roman" w:cs="Times New Roman"/>
                <w:iCs/>
                <w:sz w:val="24"/>
                <w:szCs w:val="24"/>
              </w:rPr>
              <w:t>funkciju</w:t>
            </w:r>
            <w:r>
              <w:rPr>
                <w:rFonts w:ascii="Times New Roman" w:hAnsi="Times New Roman" w:cs="Times New Roman"/>
                <w:iCs/>
                <w:sz w:val="24"/>
                <w:szCs w:val="24"/>
              </w:rPr>
              <w:t xml:space="preserve"> un</w:t>
            </w:r>
            <w:r w:rsidRPr="00462667">
              <w:rPr>
                <w:rFonts w:ascii="Times New Roman" w:hAnsi="Times New Roman" w:cs="Times New Roman"/>
                <w:iCs/>
                <w:sz w:val="24"/>
                <w:szCs w:val="24"/>
              </w:rPr>
              <w:t xml:space="preserve"> </w:t>
            </w:r>
            <w:r>
              <w:rPr>
                <w:rFonts w:ascii="Times New Roman" w:hAnsi="Times New Roman" w:cs="Times New Roman"/>
                <w:iCs/>
                <w:sz w:val="24"/>
                <w:szCs w:val="24"/>
              </w:rPr>
              <w:t>institūcijās pieejamo cilvēkresursu</w:t>
            </w:r>
            <w:r w:rsidRPr="00462667">
              <w:rPr>
                <w:rFonts w:ascii="Times New Roman" w:hAnsi="Times New Roman" w:cs="Times New Roman"/>
                <w:iCs/>
                <w:sz w:val="24"/>
                <w:szCs w:val="24"/>
              </w:rPr>
              <w:t xml:space="preserve"> ietvaros</w:t>
            </w:r>
            <w:r>
              <w:rPr>
                <w:rFonts w:ascii="Times New Roman" w:hAnsi="Times New Roman" w:cs="Times New Roman"/>
                <w:iCs/>
                <w:sz w:val="24"/>
                <w:szCs w:val="24"/>
              </w:rPr>
              <w:t>.</w:t>
            </w:r>
          </w:p>
        </w:tc>
      </w:tr>
      <w:tr w:rsidR="00D07220" w:rsidRPr="00462667" w:rsidTr="00EF6375">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220" w:rsidRPr="00462667" w:rsidRDefault="00D07220" w:rsidP="00915B3C">
            <w:pPr>
              <w:spacing w:after="0" w:line="240" w:lineRule="auto"/>
              <w:jc w:val="both"/>
              <w:rPr>
                <w:rFonts w:ascii="Times New Roman" w:eastAsia="Times New Roman" w:hAnsi="Times New Roman" w:cs="Times New Roman"/>
                <w:sz w:val="24"/>
                <w:szCs w:val="24"/>
                <w:lang w:eastAsia="lv-LV"/>
              </w:rPr>
            </w:pPr>
            <w:r w:rsidRPr="00462667">
              <w:rPr>
                <w:rFonts w:ascii="Times New Roman" w:eastAsia="Times New Roman" w:hAnsi="Times New Roman" w:cs="Times New Roman"/>
                <w:sz w:val="24"/>
                <w:szCs w:val="24"/>
                <w:lang w:eastAsia="lv-LV"/>
              </w:rPr>
              <w:t>3.</w:t>
            </w:r>
          </w:p>
        </w:tc>
        <w:tc>
          <w:tcPr>
            <w:tcW w:w="1475" w:type="pct"/>
            <w:tcBorders>
              <w:top w:val="outset" w:sz="6" w:space="0" w:color="414142"/>
              <w:left w:val="outset" w:sz="6" w:space="0" w:color="414142"/>
              <w:bottom w:val="outset" w:sz="6" w:space="0" w:color="414142"/>
              <w:right w:val="outset" w:sz="6" w:space="0" w:color="414142"/>
            </w:tcBorders>
            <w:hideMark/>
          </w:tcPr>
          <w:p w:rsidR="00D07220" w:rsidRPr="00462667" w:rsidRDefault="00D07220" w:rsidP="00915B3C">
            <w:pPr>
              <w:spacing w:after="0" w:line="240" w:lineRule="auto"/>
              <w:jc w:val="both"/>
              <w:rPr>
                <w:rFonts w:ascii="Times New Roman" w:eastAsia="Times New Roman" w:hAnsi="Times New Roman" w:cs="Times New Roman"/>
                <w:sz w:val="24"/>
                <w:szCs w:val="24"/>
                <w:lang w:eastAsia="lv-LV"/>
              </w:rPr>
            </w:pPr>
            <w:r w:rsidRPr="00462667">
              <w:rPr>
                <w:rFonts w:ascii="Times New Roman" w:eastAsia="Times New Roman" w:hAnsi="Times New Roman" w:cs="Times New Roman"/>
                <w:sz w:val="24"/>
                <w:szCs w:val="24"/>
                <w:lang w:eastAsia="lv-LV"/>
              </w:rPr>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D07220" w:rsidRPr="00462667" w:rsidRDefault="00D07220" w:rsidP="00915B3C">
            <w:pPr>
              <w:spacing w:after="0" w:line="240" w:lineRule="auto"/>
              <w:jc w:val="both"/>
              <w:rPr>
                <w:rFonts w:ascii="Times New Roman" w:eastAsia="Times New Roman" w:hAnsi="Times New Roman" w:cs="Times New Roman"/>
                <w:sz w:val="24"/>
                <w:szCs w:val="24"/>
                <w:lang w:eastAsia="lv-LV"/>
              </w:rPr>
            </w:pPr>
            <w:r w:rsidRPr="00462667">
              <w:rPr>
                <w:rFonts w:ascii="Times New Roman" w:eastAsia="Times New Roman" w:hAnsi="Times New Roman" w:cs="Times New Roman"/>
                <w:sz w:val="24"/>
                <w:szCs w:val="24"/>
                <w:lang w:eastAsia="lv-LV"/>
              </w:rPr>
              <w:t>Nav.</w:t>
            </w:r>
          </w:p>
        </w:tc>
      </w:tr>
    </w:tbl>
    <w:p w:rsidR="00D07220" w:rsidRPr="00462667" w:rsidRDefault="00D07220" w:rsidP="00D07220">
      <w:pPr>
        <w:pStyle w:val="naiskr"/>
        <w:tabs>
          <w:tab w:val="left" w:pos="2628"/>
        </w:tabs>
        <w:spacing w:before="0" w:after="0"/>
        <w:rPr>
          <w:i/>
        </w:rPr>
      </w:pPr>
    </w:p>
    <w:p w:rsidR="00A24949" w:rsidRPr="00A24949" w:rsidRDefault="00A24949" w:rsidP="00A24949">
      <w:pPr>
        <w:tabs>
          <w:tab w:val="left" w:pos="2552"/>
        </w:tabs>
        <w:spacing w:after="0" w:line="240" w:lineRule="auto"/>
        <w:jc w:val="both"/>
        <w:rPr>
          <w:rFonts w:ascii="Times New Roman" w:eastAsia="Times New Roman" w:hAnsi="Times New Roman"/>
          <w:sz w:val="24"/>
          <w:szCs w:val="24"/>
        </w:rPr>
      </w:pPr>
      <w:r w:rsidRPr="00A24949">
        <w:rPr>
          <w:rFonts w:ascii="Times New Roman" w:eastAsia="Times New Roman" w:hAnsi="Times New Roman"/>
          <w:sz w:val="24"/>
          <w:szCs w:val="24"/>
        </w:rPr>
        <w:t>Iesniedzējs:</w:t>
      </w:r>
    </w:p>
    <w:p w:rsidR="00A24949" w:rsidRPr="00A24949" w:rsidRDefault="0088113F" w:rsidP="00A24949">
      <w:pPr>
        <w:tabs>
          <w:tab w:val="left" w:pos="255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tieslietu ministrs</w:t>
      </w:r>
      <w:r>
        <w:rPr>
          <w:rFonts w:ascii="Times New Roman" w:eastAsia="Times New Roman" w:hAnsi="Times New Roman"/>
          <w:sz w:val="24"/>
          <w:szCs w:val="24"/>
        </w:rPr>
        <w:tab/>
      </w:r>
      <w:r w:rsidR="00182817">
        <w:rPr>
          <w:rFonts w:ascii="Times New Roman" w:eastAsia="Times New Roman" w:hAnsi="Times New Roman"/>
          <w:sz w:val="24"/>
          <w:szCs w:val="24"/>
        </w:rPr>
        <w:t xml:space="preserve"> </w:t>
      </w:r>
      <w:r w:rsidR="00182817">
        <w:rPr>
          <w:rFonts w:ascii="Times New Roman" w:eastAsia="Times New Roman" w:hAnsi="Times New Roman"/>
          <w:sz w:val="24"/>
          <w:szCs w:val="24"/>
        </w:rPr>
        <w:tab/>
      </w:r>
      <w:r w:rsidR="00182817">
        <w:rPr>
          <w:rFonts w:ascii="Times New Roman" w:eastAsia="Times New Roman" w:hAnsi="Times New Roman"/>
          <w:sz w:val="24"/>
          <w:szCs w:val="24"/>
        </w:rPr>
        <w:tab/>
      </w:r>
      <w:r w:rsidR="00182817">
        <w:rPr>
          <w:rFonts w:ascii="Times New Roman" w:eastAsia="Times New Roman" w:hAnsi="Times New Roman"/>
          <w:sz w:val="24"/>
          <w:szCs w:val="24"/>
        </w:rPr>
        <w:tab/>
      </w:r>
      <w:r w:rsidR="00182817">
        <w:rPr>
          <w:rFonts w:ascii="Times New Roman" w:eastAsia="Times New Roman" w:hAnsi="Times New Roman"/>
          <w:sz w:val="24"/>
          <w:szCs w:val="24"/>
        </w:rPr>
        <w:tab/>
      </w:r>
      <w:r w:rsidR="00182817">
        <w:rPr>
          <w:rFonts w:ascii="Times New Roman" w:eastAsia="Times New Roman" w:hAnsi="Times New Roman"/>
          <w:sz w:val="24"/>
          <w:szCs w:val="24"/>
        </w:rPr>
        <w:tab/>
      </w:r>
      <w:r w:rsidR="00182817">
        <w:rPr>
          <w:rFonts w:ascii="Times New Roman" w:eastAsia="Times New Roman" w:hAnsi="Times New Roman"/>
          <w:sz w:val="24"/>
          <w:szCs w:val="24"/>
        </w:rPr>
        <w:tab/>
      </w:r>
      <w:r>
        <w:rPr>
          <w:rFonts w:ascii="Times New Roman" w:eastAsia="Times New Roman" w:hAnsi="Times New Roman"/>
          <w:sz w:val="24"/>
          <w:szCs w:val="24"/>
        </w:rPr>
        <w:t>Dzintars Rasnačs</w:t>
      </w:r>
    </w:p>
    <w:p w:rsidR="00A24949" w:rsidRPr="00AB1E04" w:rsidRDefault="00A24949" w:rsidP="00A24949">
      <w:pPr>
        <w:pStyle w:val="StyleRight"/>
        <w:spacing w:after="0"/>
        <w:ind w:firstLine="0"/>
        <w:jc w:val="both"/>
      </w:pPr>
    </w:p>
    <w:p w:rsidR="00514A25" w:rsidRPr="0078515D" w:rsidRDefault="008F30EC" w:rsidP="00514A25">
      <w:pPr>
        <w:pStyle w:val="naisf"/>
        <w:tabs>
          <w:tab w:val="left" w:pos="6804"/>
        </w:tabs>
        <w:spacing w:before="0" w:after="0"/>
        <w:ind w:firstLine="0"/>
        <w:rPr>
          <w:sz w:val="20"/>
          <w:szCs w:val="20"/>
        </w:rPr>
      </w:pPr>
      <w:r>
        <w:rPr>
          <w:sz w:val="20"/>
          <w:szCs w:val="20"/>
        </w:rPr>
        <w:t>14</w:t>
      </w:r>
      <w:r w:rsidR="00660B9D" w:rsidRPr="00EF6375">
        <w:rPr>
          <w:sz w:val="20"/>
          <w:szCs w:val="20"/>
        </w:rPr>
        <w:t>.0</w:t>
      </w:r>
      <w:r w:rsidR="005C43CA">
        <w:rPr>
          <w:sz w:val="20"/>
          <w:szCs w:val="20"/>
        </w:rPr>
        <w:t>9</w:t>
      </w:r>
      <w:r w:rsidR="009478F0" w:rsidRPr="00EF6375">
        <w:rPr>
          <w:sz w:val="20"/>
          <w:szCs w:val="20"/>
        </w:rPr>
        <w:t>.2016</w:t>
      </w:r>
      <w:r w:rsidR="00514A25" w:rsidRPr="00EF6375">
        <w:rPr>
          <w:sz w:val="20"/>
          <w:szCs w:val="20"/>
        </w:rPr>
        <w:t xml:space="preserve">. </w:t>
      </w:r>
      <w:r w:rsidR="00777911">
        <w:rPr>
          <w:sz w:val="20"/>
          <w:szCs w:val="20"/>
        </w:rPr>
        <w:t>1</w:t>
      </w:r>
      <w:r>
        <w:rPr>
          <w:sz w:val="20"/>
          <w:szCs w:val="20"/>
        </w:rPr>
        <w:t>2:44</w:t>
      </w:r>
    </w:p>
    <w:p w:rsidR="00514A25" w:rsidRPr="0078515D" w:rsidRDefault="003523CB" w:rsidP="00514A25">
      <w:pPr>
        <w:pStyle w:val="naisf"/>
        <w:tabs>
          <w:tab w:val="left" w:pos="6804"/>
        </w:tabs>
        <w:spacing w:before="0" w:after="0"/>
        <w:ind w:firstLine="0"/>
        <w:rPr>
          <w:sz w:val="20"/>
          <w:szCs w:val="20"/>
        </w:rPr>
      </w:pPr>
      <w:r>
        <w:rPr>
          <w:sz w:val="20"/>
          <w:szCs w:val="20"/>
        </w:rPr>
        <w:t>15</w:t>
      </w:r>
      <w:r w:rsidR="00DF0F96">
        <w:rPr>
          <w:sz w:val="20"/>
          <w:szCs w:val="20"/>
        </w:rPr>
        <w:t>5</w:t>
      </w:r>
      <w:r w:rsidR="0088113F">
        <w:rPr>
          <w:sz w:val="20"/>
          <w:szCs w:val="20"/>
        </w:rPr>
        <w:t>0</w:t>
      </w:r>
      <w:bookmarkStart w:id="0" w:name="_GoBack"/>
      <w:bookmarkEnd w:id="0"/>
    </w:p>
    <w:p w:rsidR="00514A25" w:rsidRPr="0078515D" w:rsidRDefault="00777911" w:rsidP="00514A25">
      <w:pPr>
        <w:pStyle w:val="naisf"/>
        <w:tabs>
          <w:tab w:val="left" w:pos="6804"/>
        </w:tabs>
        <w:spacing w:before="0" w:after="0"/>
        <w:ind w:firstLine="0"/>
        <w:rPr>
          <w:sz w:val="20"/>
          <w:szCs w:val="20"/>
        </w:rPr>
      </w:pPr>
      <w:r>
        <w:rPr>
          <w:sz w:val="20"/>
          <w:szCs w:val="20"/>
        </w:rPr>
        <w:t>M.Laure</w:t>
      </w:r>
    </w:p>
    <w:p w:rsidR="004D15A9" w:rsidRPr="00777911" w:rsidRDefault="00777911" w:rsidP="00777911">
      <w:pPr>
        <w:pStyle w:val="naisf"/>
        <w:tabs>
          <w:tab w:val="left" w:pos="6804"/>
        </w:tabs>
        <w:spacing w:before="0" w:after="0"/>
        <w:ind w:firstLine="0"/>
        <w:rPr>
          <w:sz w:val="20"/>
          <w:szCs w:val="20"/>
        </w:rPr>
      </w:pPr>
      <w:r>
        <w:rPr>
          <w:sz w:val="20"/>
          <w:szCs w:val="20"/>
        </w:rPr>
        <w:t>67036993</w:t>
      </w:r>
      <w:r w:rsidR="006A7DF2">
        <w:rPr>
          <w:sz w:val="20"/>
          <w:szCs w:val="20"/>
        </w:rPr>
        <w:t xml:space="preserve">, </w:t>
      </w:r>
      <w:r>
        <w:rPr>
          <w:sz w:val="20"/>
          <w:szCs w:val="20"/>
        </w:rPr>
        <w:t>Maija.Laure</w:t>
      </w:r>
      <w:r w:rsidR="00514A25" w:rsidRPr="004819A6">
        <w:rPr>
          <w:sz w:val="20"/>
          <w:szCs w:val="20"/>
        </w:rPr>
        <w:t>@tm.gov.lv</w:t>
      </w:r>
    </w:p>
    <w:sectPr w:rsidR="004D15A9" w:rsidRPr="00777911" w:rsidSect="00C8105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819A6" w:rsidRDefault="004819A6" w:rsidP="004819A6">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574A52">
      <w:rPr>
        <w:rFonts w:ascii="Times New Roman" w:hAnsi="Times New Roman" w:cs="Times New Roman"/>
        <w:color w:val="000000" w:themeColor="text1"/>
        <w:sz w:val="20"/>
        <w:szCs w:val="20"/>
      </w:rPr>
      <w:t>1</w:t>
    </w:r>
    <w:r w:rsidR="008F30EC">
      <w:rPr>
        <w:rFonts w:ascii="Times New Roman" w:hAnsi="Times New Roman" w:cs="Times New Roman"/>
        <w:color w:val="000000" w:themeColor="text1"/>
        <w:sz w:val="20"/>
        <w:szCs w:val="20"/>
      </w:rPr>
      <w:t>4</w:t>
    </w:r>
    <w:r w:rsidR="00574A52">
      <w:rPr>
        <w:rFonts w:ascii="Times New Roman" w:hAnsi="Times New Roman" w:cs="Times New Roman"/>
        <w:color w:val="000000" w:themeColor="text1"/>
        <w:sz w:val="20"/>
        <w:szCs w:val="20"/>
      </w:rPr>
      <w:t>0916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PAK</w:t>
    </w:r>
    <w:r w:rsidRPr="004D15A9">
      <w:rPr>
        <w:rFonts w:ascii="Times New Roman" w:hAnsi="Times New Roman" w:cs="Times New Roman"/>
        <w:color w:val="000000" w:themeColor="text1"/>
        <w:sz w:val="20"/>
        <w:szCs w:val="20"/>
      </w:rPr>
      <w:t xml:space="preserve">; </w:t>
    </w:r>
    <w:r w:rsidR="00DF0F96">
      <w:rPr>
        <w:rFonts w:ascii="Times New Roman" w:hAnsi="Times New Roman" w:cs="Times New Roman"/>
        <w:color w:val="000000" w:themeColor="text1"/>
        <w:sz w:val="20"/>
        <w:szCs w:val="20"/>
      </w:rPr>
      <w:t>Likumprojekta "</w:t>
    </w:r>
    <w:r w:rsidRPr="004819A6">
      <w:rPr>
        <w:rFonts w:ascii="Times New Roman" w:hAnsi="Times New Roman" w:cs="Times New Roman"/>
        <w:color w:val="000000" w:themeColor="text1"/>
        <w:sz w:val="20"/>
        <w:szCs w:val="20"/>
      </w:rPr>
      <w:t>Par Konvenciju par pieaugušo pe</w:t>
    </w:r>
    <w:r w:rsidR="00DF0F96">
      <w:rPr>
        <w:rFonts w:ascii="Times New Roman" w:hAnsi="Times New Roman" w:cs="Times New Roman"/>
        <w:color w:val="000000" w:themeColor="text1"/>
        <w:sz w:val="20"/>
        <w:szCs w:val="20"/>
      </w:rPr>
      <w:t>rsonu starptautisko aizsardzību"</w:t>
    </w:r>
    <w:r w:rsidRPr="004819A6">
      <w:rPr>
        <w:rFonts w:ascii="Times New Roman" w:hAnsi="Times New Roman" w:cs="Times New Roman"/>
        <w:color w:val="000000" w:themeColor="text1"/>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99030F"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44596">
      <w:rPr>
        <w:rFonts w:ascii="Times New Roman" w:hAnsi="Times New Roman" w:cs="Times New Roman"/>
        <w:color w:val="000000" w:themeColor="text1"/>
        <w:sz w:val="20"/>
        <w:szCs w:val="20"/>
      </w:rPr>
      <w:t>14</w:t>
    </w:r>
    <w:r>
      <w:rPr>
        <w:rFonts w:ascii="Times New Roman" w:hAnsi="Times New Roman" w:cs="Times New Roman"/>
        <w:color w:val="000000" w:themeColor="text1"/>
        <w:sz w:val="20"/>
        <w:szCs w:val="20"/>
      </w:rPr>
      <w:t>0916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PAK</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w:t>
    </w:r>
    <w:r w:rsidRPr="004819A6">
      <w:rPr>
        <w:rFonts w:ascii="Times New Roman" w:hAnsi="Times New Roman" w:cs="Times New Roman"/>
        <w:color w:val="000000" w:themeColor="text1"/>
        <w:sz w:val="20"/>
        <w:szCs w:val="20"/>
      </w:rPr>
      <w:t xml:space="preserve">Par Konvenciju par pieaugušo personu </w:t>
    </w:r>
    <w:r>
      <w:rPr>
        <w:rFonts w:ascii="Times New Roman" w:hAnsi="Times New Roman" w:cs="Times New Roman"/>
        <w:color w:val="000000" w:themeColor="text1"/>
        <w:sz w:val="20"/>
        <w:szCs w:val="20"/>
      </w:rPr>
      <w:t xml:space="preserve">starptautisko aizsardzību" </w:t>
    </w:r>
    <w:r w:rsidRPr="004819A6">
      <w:rPr>
        <w:rFonts w:ascii="Times New Roman" w:hAnsi="Times New Roman" w:cs="Times New Roman"/>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459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BA4"/>
    <w:rsid w:val="000154B0"/>
    <w:rsid w:val="00031256"/>
    <w:rsid w:val="000319ED"/>
    <w:rsid w:val="00042A8B"/>
    <w:rsid w:val="00047938"/>
    <w:rsid w:val="000518D6"/>
    <w:rsid w:val="00062176"/>
    <w:rsid w:val="00064F72"/>
    <w:rsid w:val="00085FF9"/>
    <w:rsid w:val="000A1B89"/>
    <w:rsid w:val="000A3F94"/>
    <w:rsid w:val="000E0426"/>
    <w:rsid w:val="000E2E82"/>
    <w:rsid w:val="000E680D"/>
    <w:rsid w:val="000F4919"/>
    <w:rsid w:val="00101CD5"/>
    <w:rsid w:val="0010234A"/>
    <w:rsid w:val="00110A25"/>
    <w:rsid w:val="001233B2"/>
    <w:rsid w:val="0013290C"/>
    <w:rsid w:val="001659CD"/>
    <w:rsid w:val="00177B91"/>
    <w:rsid w:val="00182817"/>
    <w:rsid w:val="00187F1F"/>
    <w:rsid w:val="001A6C99"/>
    <w:rsid w:val="001B699B"/>
    <w:rsid w:val="001D00D4"/>
    <w:rsid w:val="002104A9"/>
    <w:rsid w:val="002164FB"/>
    <w:rsid w:val="00235446"/>
    <w:rsid w:val="00236D33"/>
    <w:rsid w:val="00242151"/>
    <w:rsid w:val="00255BE0"/>
    <w:rsid w:val="00256DF2"/>
    <w:rsid w:val="00266BBF"/>
    <w:rsid w:val="00281061"/>
    <w:rsid w:val="00293764"/>
    <w:rsid w:val="002A298E"/>
    <w:rsid w:val="002A41C6"/>
    <w:rsid w:val="002B3554"/>
    <w:rsid w:val="002C0620"/>
    <w:rsid w:val="002C2600"/>
    <w:rsid w:val="002C7C42"/>
    <w:rsid w:val="002D520C"/>
    <w:rsid w:val="002D7015"/>
    <w:rsid w:val="002F0C97"/>
    <w:rsid w:val="002F4651"/>
    <w:rsid w:val="002F7548"/>
    <w:rsid w:val="002F7DDC"/>
    <w:rsid w:val="003152A1"/>
    <w:rsid w:val="00315E42"/>
    <w:rsid w:val="003416AA"/>
    <w:rsid w:val="003523CB"/>
    <w:rsid w:val="00354825"/>
    <w:rsid w:val="003738A7"/>
    <w:rsid w:val="00374CDA"/>
    <w:rsid w:val="00381A6D"/>
    <w:rsid w:val="00387BB0"/>
    <w:rsid w:val="003922B0"/>
    <w:rsid w:val="003A2A0B"/>
    <w:rsid w:val="003A5E82"/>
    <w:rsid w:val="003B3E0C"/>
    <w:rsid w:val="003B5B16"/>
    <w:rsid w:val="003B7FB0"/>
    <w:rsid w:val="003C2E7A"/>
    <w:rsid w:val="003C78C0"/>
    <w:rsid w:val="003D3BFA"/>
    <w:rsid w:val="003D4763"/>
    <w:rsid w:val="003E1643"/>
    <w:rsid w:val="003F3DFC"/>
    <w:rsid w:val="00402C12"/>
    <w:rsid w:val="00407ECB"/>
    <w:rsid w:val="00411596"/>
    <w:rsid w:val="004117D6"/>
    <w:rsid w:val="00427F7B"/>
    <w:rsid w:val="00433AE6"/>
    <w:rsid w:val="00451CDC"/>
    <w:rsid w:val="00462667"/>
    <w:rsid w:val="004819A6"/>
    <w:rsid w:val="00482F17"/>
    <w:rsid w:val="00485F56"/>
    <w:rsid w:val="00491092"/>
    <w:rsid w:val="004C576A"/>
    <w:rsid w:val="004D15A9"/>
    <w:rsid w:val="004D40E7"/>
    <w:rsid w:val="004F0914"/>
    <w:rsid w:val="004F64BD"/>
    <w:rsid w:val="00503328"/>
    <w:rsid w:val="0051072F"/>
    <w:rsid w:val="00514A25"/>
    <w:rsid w:val="005267F8"/>
    <w:rsid w:val="005421CE"/>
    <w:rsid w:val="00554130"/>
    <w:rsid w:val="005543FE"/>
    <w:rsid w:val="00556F69"/>
    <w:rsid w:val="00561DD0"/>
    <w:rsid w:val="00570E6E"/>
    <w:rsid w:val="00572ED8"/>
    <w:rsid w:val="00574A52"/>
    <w:rsid w:val="005817FA"/>
    <w:rsid w:val="00592CF6"/>
    <w:rsid w:val="00594F79"/>
    <w:rsid w:val="005A5E11"/>
    <w:rsid w:val="005B1B43"/>
    <w:rsid w:val="005B5224"/>
    <w:rsid w:val="005B5C23"/>
    <w:rsid w:val="005C43CA"/>
    <w:rsid w:val="005D0203"/>
    <w:rsid w:val="005D4E8A"/>
    <w:rsid w:val="005D71E1"/>
    <w:rsid w:val="005E5E9D"/>
    <w:rsid w:val="006015D6"/>
    <w:rsid w:val="00603801"/>
    <w:rsid w:val="00605399"/>
    <w:rsid w:val="006330B1"/>
    <w:rsid w:val="0063480E"/>
    <w:rsid w:val="0064370B"/>
    <w:rsid w:val="00644398"/>
    <w:rsid w:val="006444A0"/>
    <w:rsid w:val="006458AB"/>
    <w:rsid w:val="006470CF"/>
    <w:rsid w:val="00657373"/>
    <w:rsid w:val="00660B9D"/>
    <w:rsid w:val="00664BD6"/>
    <w:rsid w:val="006814E3"/>
    <w:rsid w:val="00686E56"/>
    <w:rsid w:val="00697438"/>
    <w:rsid w:val="006A7DF2"/>
    <w:rsid w:val="006B3C4C"/>
    <w:rsid w:val="006E32D7"/>
    <w:rsid w:val="006E492F"/>
    <w:rsid w:val="00710B62"/>
    <w:rsid w:val="0071460A"/>
    <w:rsid w:val="007147C6"/>
    <w:rsid w:val="00717552"/>
    <w:rsid w:val="00721D80"/>
    <w:rsid w:val="00725071"/>
    <w:rsid w:val="0073092E"/>
    <w:rsid w:val="00732C63"/>
    <w:rsid w:val="00744596"/>
    <w:rsid w:val="00747C8C"/>
    <w:rsid w:val="0075632E"/>
    <w:rsid w:val="00767EC7"/>
    <w:rsid w:val="007703DD"/>
    <w:rsid w:val="00777911"/>
    <w:rsid w:val="0078515D"/>
    <w:rsid w:val="00785EAC"/>
    <w:rsid w:val="0078640B"/>
    <w:rsid w:val="007909C5"/>
    <w:rsid w:val="007B563F"/>
    <w:rsid w:val="007C1564"/>
    <w:rsid w:val="007C3280"/>
    <w:rsid w:val="007D01DD"/>
    <w:rsid w:val="007E29FB"/>
    <w:rsid w:val="007F010D"/>
    <w:rsid w:val="007F01BD"/>
    <w:rsid w:val="007F1184"/>
    <w:rsid w:val="0081203F"/>
    <w:rsid w:val="008209D7"/>
    <w:rsid w:val="0082586C"/>
    <w:rsid w:val="00856775"/>
    <w:rsid w:val="0088113F"/>
    <w:rsid w:val="00887BDE"/>
    <w:rsid w:val="0089220F"/>
    <w:rsid w:val="008A21E2"/>
    <w:rsid w:val="008C3A1A"/>
    <w:rsid w:val="008D335C"/>
    <w:rsid w:val="008D4211"/>
    <w:rsid w:val="008E1F75"/>
    <w:rsid w:val="008E6937"/>
    <w:rsid w:val="008F1584"/>
    <w:rsid w:val="008F30EC"/>
    <w:rsid w:val="008F5812"/>
    <w:rsid w:val="008F6CC7"/>
    <w:rsid w:val="008F7138"/>
    <w:rsid w:val="0090316E"/>
    <w:rsid w:val="00910592"/>
    <w:rsid w:val="00940643"/>
    <w:rsid w:val="00946FB2"/>
    <w:rsid w:val="009478F0"/>
    <w:rsid w:val="00953F37"/>
    <w:rsid w:val="00956ED6"/>
    <w:rsid w:val="00963ED2"/>
    <w:rsid w:val="00975EC6"/>
    <w:rsid w:val="009834B2"/>
    <w:rsid w:val="00986482"/>
    <w:rsid w:val="0099030F"/>
    <w:rsid w:val="00990BC1"/>
    <w:rsid w:val="009C31FB"/>
    <w:rsid w:val="009E6EB8"/>
    <w:rsid w:val="009F0F4E"/>
    <w:rsid w:val="009F11B6"/>
    <w:rsid w:val="009F1D3A"/>
    <w:rsid w:val="00A1555F"/>
    <w:rsid w:val="00A24949"/>
    <w:rsid w:val="00A27544"/>
    <w:rsid w:val="00A301EB"/>
    <w:rsid w:val="00A5280A"/>
    <w:rsid w:val="00A70A5D"/>
    <w:rsid w:val="00A9436B"/>
    <w:rsid w:val="00AA7B1D"/>
    <w:rsid w:val="00AC1214"/>
    <w:rsid w:val="00AD4FDF"/>
    <w:rsid w:val="00AE25A8"/>
    <w:rsid w:val="00AE7EF4"/>
    <w:rsid w:val="00AF4138"/>
    <w:rsid w:val="00B041C3"/>
    <w:rsid w:val="00B30E83"/>
    <w:rsid w:val="00B37222"/>
    <w:rsid w:val="00B42AAC"/>
    <w:rsid w:val="00B509B2"/>
    <w:rsid w:val="00B515B4"/>
    <w:rsid w:val="00B5429F"/>
    <w:rsid w:val="00B57616"/>
    <w:rsid w:val="00B57E6B"/>
    <w:rsid w:val="00B7114D"/>
    <w:rsid w:val="00B93920"/>
    <w:rsid w:val="00BA022B"/>
    <w:rsid w:val="00BB1F46"/>
    <w:rsid w:val="00BB5472"/>
    <w:rsid w:val="00BC5847"/>
    <w:rsid w:val="00BD385E"/>
    <w:rsid w:val="00BE503C"/>
    <w:rsid w:val="00BF34EE"/>
    <w:rsid w:val="00C02BA4"/>
    <w:rsid w:val="00C07C16"/>
    <w:rsid w:val="00C34E59"/>
    <w:rsid w:val="00C36079"/>
    <w:rsid w:val="00C54D7A"/>
    <w:rsid w:val="00C56023"/>
    <w:rsid w:val="00C6047E"/>
    <w:rsid w:val="00C63B08"/>
    <w:rsid w:val="00C670DD"/>
    <w:rsid w:val="00C70684"/>
    <w:rsid w:val="00C8105D"/>
    <w:rsid w:val="00C85C05"/>
    <w:rsid w:val="00C956D9"/>
    <w:rsid w:val="00CB5CCB"/>
    <w:rsid w:val="00CC012F"/>
    <w:rsid w:val="00CC68B9"/>
    <w:rsid w:val="00CD24AF"/>
    <w:rsid w:val="00CD4294"/>
    <w:rsid w:val="00CE4870"/>
    <w:rsid w:val="00CF0E60"/>
    <w:rsid w:val="00CF49AD"/>
    <w:rsid w:val="00CF591D"/>
    <w:rsid w:val="00D057D0"/>
    <w:rsid w:val="00D06A46"/>
    <w:rsid w:val="00D07220"/>
    <w:rsid w:val="00D1335D"/>
    <w:rsid w:val="00D1501C"/>
    <w:rsid w:val="00D23971"/>
    <w:rsid w:val="00D2784F"/>
    <w:rsid w:val="00D313D5"/>
    <w:rsid w:val="00D32034"/>
    <w:rsid w:val="00D41693"/>
    <w:rsid w:val="00D577BB"/>
    <w:rsid w:val="00D610DF"/>
    <w:rsid w:val="00D70C9A"/>
    <w:rsid w:val="00D72499"/>
    <w:rsid w:val="00D85927"/>
    <w:rsid w:val="00DA596D"/>
    <w:rsid w:val="00DD2AFC"/>
    <w:rsid w:val="00DD7678"/>
    <w:rsid w:val="00DF0F96"/>
    <w:rsid w:val="00DF2083"/>
    <w:rsid w:val="00E02306"/>
    <w:rsid w:val="00E07795"/>
    <w:rsid w:val="00E07A8B"/>
    <w:rsid w:val="00E50001"/>
    <w:rsid w:val="00E67D95"/>
    <w:rsid w:val="00E71576"/>
    <w:rsid w:val="00E77975"/>
    <w:rsid w:val="00E9256F"/>
    <w:rsid w:val="00E95E01"/>
    <w:rsid w:val="00ED4AC5"/>
    <w:rsid w:val="00EE1A99"/>
    <w:rsid w:val="00EF1E52"/>
    <w:rsid w:val="00EF6375"/>
    <w:rsid w:val="00EF7CE8"/>
    <w:rsid w:val="00F17A58"/>
    <w:rsid w:val="00F23396"/>
    <w:rsid w:val="00F27862"/>
    <w:rsid w:val="00F35021"/>
    <w:rsid w:val="00F57FD3"/>
    <w:rsid w:val="00F61263"/>
    <w:rsid w:val="00F61AEA"/>
    <w:rsid w:val="00F754EE"/>
    <w:rsid w:val="00F86F9F"/>
    <w:rsid w:val="00FB2281"/>
    <w:rsid w:val="00FD19DF"/>
    <w:rsid w:val="00FD6FE6"/>
    <w:rsid w:val="00FF5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kr">
    <w:name w:val="naiskr"/>
    <w:basedOn w:val="Parasts"/>
    <w:rsid w:val="00856775"/>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732C63"/>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s"/>
    <w:rsid w:val="00514A25"/>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14A25"/>
    <w:rPr>
      <w:color w:val="0000FF" w:themeColor="hyperlink"/>
      <w:u w:val="single"/>
    </w:rPr>
  </w:style>
  <w:style w:type="character" w:styleId="Komentraatsauce">
    <w:name w:val="annotation reference"/>
    <w:basedOn w:val="Noklusjumarindkopasfonts"/>
    <w:uiPriority w:val="99"/>
    <w:semiHidden/>
    <w:unhideWhenUsed/>
    <w:rsid w:val="00A70A5D"/>
    <w:rPr>
      <w:sz w:val="16"/>
      <w:szCs w:val="16"/>
    </w:rPr>
  </w:style>
  <w:style w:type="paragraph" w:styleId="Komentrateksts">
    <w:name w:val="annotation text"/>
    <w:basedOn w:val="Parasts"/>
    <w:link w:val="KomentratekstsRakstz"/>
    <w:uiPriority w:val="99"/>
    <w:semiHidden/>
    <w:unhideWhenUsed/>
    <w:rsid w:val="00A70A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0A5D"/>
    <w:rPr>
      <w:sz w:val="20"/>
      <w:szCs w:val="20"/>
    </w:rPr>
  </w:style>
  <w:style w:type="paragraph" w:styleId="Komentratma">
    <w:name w:val="annotation subject"/>
    <w:basedOn w:val="Komentrateksts"/>
    <w:next w:val="Komentrateksts"/>
    <w:link w:val="KomentratmaRakstz"/>
    <w:uiPriority w:val="99"/>
    <w:semiHidden/>
    <w:unhideWhenUsed/>
    <w:rsid w:val="00A70A5D"/>
    <w:rPr>
      <w:b/>
      <w:bCs/>
    </w:rPr>
  </w:style>
  <w:style w:type="character" w:customStyle="1" w:styleId="KomentratmaRakstz">
    <w:name w:val="Komentāra tēma Rakstz."/>
    <w:basedOn w:val="KomentratekstsRakstz"/>
    <w:link w:val="Komentratma"/>
    <w:uiPriority w:val="99"/>
    <w:semiHidden/>
    <w:rsid w:val="00A70A5D"/>
    <w:rPr>
      <w:b/>
      <w:bCs/>
      <w:sz w:val="20"/>
      <w:szCs w:val="20"/>
    </w:rPr>
  </w:style>
  <w:style w:type="paragraph" w:styleId="Prskatjums">
    <w:name w:val="Revision"/>
    <w:hidden/>
    <w:uiPriority w:val="99"/>
    <w:semiHidden/>
    <w:rsid w:val="003D3BFA"/>
    <w:pPr>
      <w:spacing w:after="0" w:line="240" w:lineRule="auto"/>
    </w:pPr>
  </w:style>
  <w:style w:type="table" w:styleId="Reatabula">
    <w:name w:val="Table Grid"/>
    <w:basedOn w:val="Parastatabula"/>
    <w:uiPriority w:val="59"/>
    <w:rsid w:val="00B5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kr">
    <w:name w:val="naiskr"/>
    <w:basedOn w:val="Parasts"/>
    <w:rsid w:val="00856775"/>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732C63"/>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s"/>
    <w:rsid w:val="00514A25"/>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14A25"/>
    <w:rPr>
      <w:color w:val="0000FF" w:themeColor="hyperlink"/>
      <w:u w:val="single"/>
    </w:rPr>
  </w:style>
  <w:style w:type="character" w:styleId="Komentraatsauce">
    <w:name w:val="annotation reference"/>
    <w:basedOn w:val="Noklusjumarindkopasfonts"/>
    <w:uiPriority w:val="99"/>
    <w:semiHidden/>
    <w:unhideWhenUsed/>
    <w:rsid w:val="00A70A5D"/>
    <w:rPr>
      <w:sz w:val="16"/>
      <w:szCs w:val="16"/>
    </w:rPr>
  </w:style>
  <w:style w:type="paragraph" w:styleId="Komentrateksts">
    <w:name w:val="annotation text"/>
    <w:basedOn w:val="Parasts"/>
    <w:link w:val="KomentratekstsRakstz"/>
    <w:uiPriority w:val="99"/>
    <w:semiHidden/>
    <w:unhideWhenUsed/>
    <w:rsid w:val="00A70A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0A5D"/>
    <w:rPr>
      <w:sz w:val="20"/>
      <w:szCs w:val="20"/>
    </w:rPr>
  </w:style>
  <w:style w:type="paragraph" w:styleId="Komentratma">
    <w:name w:val="annotation subject"/>
    <w:basedOn w:val="Komentrateksts"/>
    <w:next w:val="Komentrateksts"/>
    <w:link w:val="KomentratmaRakstz"/>
    <w:uiPriority w:val="99"/>
    <w:semiHidden/>
    <w:unhideWhenUsed/>
    <w:rsid w:val="00A70A5D"/>
    <w:rPr>
      <w:b/>
      <w:bCs/>
    </w:rPr>
  </w:style>
  <w:style w:type="character" w:customStyle="1" w:styleId="KomentratmaRakstz">
    <w:name w:val="Komentāra tēma Rakstz."/>
    <w:basedOn w:val="KomentratekstsRakstz"/>
    <w:link w:val="Komentratma"/>
    <w:uiPriority w:val="99"/>
    <w:semiHidden/>
    <w:rsid w:val="00A70A5D"/>
    <w:rPr>
      <w:b/>
      <w:bCs/>
      <w:sz w:val="20"/>
      <w:szCs w:val="20"/>
    </w:rPr>
  </w:style>
  <w:style w:type="paragraph" w:styleId="Prskatjums">
    <w:name w:val="Revision"/>
    <w:hidden/>
    <w:uiPriority w:val="99"/>
    <w:semiHidden/>
    <w:rsid w:val="003D3BFA"/>
    <w:pPr>
      <w:spacing w:after="0" w:line="240" w:lineRule="auto"/>
    </w:pPr>
  </w:style>
  <w:style w:type="table" w:styleId="Reatabula">
    <w:name w:val="Table Grid"/>
    <w:basedOn w:val="Parastatabula"/>
    <w:uiPriority w:val="59"/>
    <w:rsid w:val="00B5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0211">
      <w:bodyDiv w:val="1"/>
      <w:marLeft w:val="0"/>
      <w:marRight w:val="0"/>
      <w:marTop w:val="0"/>
      <w:marBottom w:val="0"/>
      <w:divBdr>
        <w:top w:val="none" w:sz="0" w:space="0" w:color="auto"/>
        <w:left w:val="none" w:sz="0" w:space="0" w:color="auto"/>
        <w:bottom w:val="none" w:sz="0" w:space="0" w:color="auto"/>
        <w:right w:val="none" w:sz="0" w:space="0" w:color="auto"/>
      </w:divBdr>
      <w:divsChild>
        <w:div w:id="1117214116">
          <w:marLeft w:val="0"/>
          <w:marRight w:val="0"/>
          <w:marTop w:val="0"/>
          <w:marBottom w:val="0"/>
          <w:divBdr>
            <w:top w:val="none" w:sz="0" w:space="0" w:color="auto"/>
            <w:left w:val="none" w:sz="0" w:space="0" w:color="auto"/>
            <w:bottom w:val="none" w:sz="0" w:space="0" w:color="auto"/>
            <w:right w:val="none" w:sz="0" w:space="0" w:color="auto"/>
          </w:divBdr>
          <w:divsChild>
            <w:div w:id="1588802482">
              <w:marLeft w:val="0"/>
              <w:marRight w:val="0"/>
              <w:marTop w:val="0"/>
              <w:marBottom w:val="0"/>
              <w:divBdr>
                <w:top w:val="none" w:sz="0" w:space="0" w:color="auto"/>
                <w:left w:val="none" w:sz="0" w:space="0" w:color="auto"/>
                <w:bottom w:val="none" w:sz="0" w:space="0" w:color="auto"/>
                <w:right w:val="none" w:sz="0" w:space="0" w:color="auto"/>
              </w:divBdr>
              <w:divsChild>
                <w:div w:id="2115054904">
                  <w:marLeft w:val="0"/>
                  <w:marRight w:val="0"/>
                  <w:marTop w:val="0"/>
                  <w:marBottom w:val="0"/>
                  <w:divBdr>
                    <w:top w:val="none" w:sz="0" w:space="0" w:color="auto"/>
                    <w:left w:val="none" w:sz="0" w:space="0" w:color="auto"/>
                    <w:bottom w:val="none" w:sz="0" w:space="0" w:color="auto"/>
                    <w:right w:val="none" w:sz="0" w:space="0" w:color="auto"/>
                  </w:divBdr>
                  <w:divsChild>
                    <w:div w:id="485588090">
                      <w:marLeft w:val="0"/>
                      <w:marRight w:val="0"/>
                      <w:marTop w:val="0"/>
                      <w:marBottom w:val="0"/>
                      <w:divBdr>
                        <w:top w:val="none" w:sz="0" w:space="0" w:color="auto"/>
                        <w:left w:val="none" w:sz="0" w:space="0" w:color="auto"/>
                        <w:bottom w:val="none" w:sz="0" w:space="0" w:color="auto"/>
                        <w:right w:val="none" w:sz="0" w:space="0" w:color="auto"/>
                      </w:divBdr>
                      <w:divsChild>
                        <w:div w:id="556280952">
                          <w:marLeft w:val="0"/>
                          <w:marRight w:val="0"/>
                          <w:marTop w:val="0"/>
                          <w:marBottom w:val="0"/>
                          <w:divBdr>
                            <w:top w:val="none" w:sz="0" w:space="0" w:color="auto"/>
                            <w:left w:val="none" w:sz="0" w:space="0" w:color="auto"/>
                            <w:bottom w:val="none" w:sz="0" w:space="0" w:color="auto"/>
                            <w:right w:val="none" w:sz="0" w:space="0" w:color="auto"/>
                          </w:divBdr>
                          <w:divsChild>
                            <w:div w:id="94759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2707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6356281">
      <w:bodyDiv w:val="1"/>
      <w:marLeft w:val="0"/>
      <w:marRight w:val="0"/>
      <w:marTop w:val="0"/>
      <w:marBottom w:val="0"/>
      <w:divBdr>
        <w:top w:val="none" w:sz="0" w:space="0" w:color="auto"/>
        <w:left w:val="none" w:sz="0" w:space="0" w:color="auto"/>
        <w:bottom w:val="none" w:sz="0" w:space="0" w:color="auto"/>
        <w:right w:val="none" w:sz="0" w:space="0" w:color="auto"/>
      </w:divBdr>
    </w:div>
    <w:div w:id="372536948">
      <w:bodyDiv w:val="1"/>
      <w:marLeft w:val="0"/>
      <w:marRight w:val="0"/>
      <w:marTop w:val="0"/>
      <w:marBottom w:val="0"/>
      <w:divBdr>
        <w:top w:val="none" w:sz="0" w:space="0" w:color="auto"/>
        <w:left w:val="none" w:sz="0" w:space="0" w:color="auto"/>
        <w:bottom w:val="none" w:sz="0" w:space="0" w:color="auto"/>
        <w:right w:val="none" w:sz="0" w:space="0" w:color="auto"/>
      </w:divBdr>
    </w:div>
    <w:div w:id="592012755">
      <w:bodyDiv w:val="1"/>
      <w:marLeft w:val="0"/>
      <w:marRight w:val="0"/>
      <w:marTop w:val="0"/>
      <w:marBottom w:val="0"/>
      <w:divBdr>
        <w:top w:val="none" w:sz="0" w:space="0" w:color="auto"/>
        <w:left w:val="none" w:sz="0" w:space="0" w:color="auto"/>
        <w:bottom w:val="none" w:sz="0" w:space="0" w:color="auto"/>
        <w:right w:val="none" w:sz="0" w:space="0" w:color="auto"/>
      </w:divBdr>
    </w:div>
    <w:div w:id="1088189837">
      <w:bodyDiv w:val="1"/>
      <w:marLeft w:val="0"/>
      <w:marRight w:val="0"/>
      <w:marTop w:val="0"/>
      <w:marBottom w:val="0"/>
      <w:divBdr>
        <w:top w:val="none" w:sz="0" w:space="0" w:color="auto"/>
        <w:left w:val="none" w:sz="0" w:space="0" w:color="auto"/>
        <w:bottom w:val="none" w:sz="0" w:space="0" w:color="auto"/>
        <w:right w:val="none" w:sz="0" w:space="0" w:color="auto"/>
      </w:divBdr>
    </w:div>
    <w:div w:id="1436287580">
      <w:bodyDiv w:val="1"/>
      <w:marLeft w:val="0"/>
      <w:marRight w:val="0"/>
      <w:marTop w:val="0"/>
      <w:marBottom w:val="0"/>
      <w:divBdr>
        <w:top w:val="none" w:sz="0" w:space="0" w:color="auto"/>
        <w:left w:val="none" w:sz="0" w:space="0" w:color="auto"/>
        <w:bottom w:val="none" w:sz="0" w:space="0" w:color="auto"/>
        <w:right w:val="none" w:sz="0" w:space="0" w:color="auto"/>
      </w:divBdr>
    </w:div>
    <w:div w:id="1661153441">
      <w:bodyDiv w:val="1"/>
      <w:marLeft w:val="0"/>
      <w:marRight w:val="0"/>
      <w:marTop w:val="0"/>
      <w:marBottom w:val="0"/>
      <w:divBdr>
        <w:top w:val="none" w:sz="0" w:space="0" w:color="auto"/>
        <w:left w:val="none" w:sz="0" w:space="0" w:color="auto"/>
        <w:bottom w:val="none" w:sz="0" w:space="0" w:color="auto"/>
        <w:right w:val="none" w:sz="0" w:space="0" w:color="auto"/>
      </w:divBdr>
      <w:divsChild>
        <w:div w:id="1491675685">
          <w:marLeft w:val="0"/>
          <w:marRight w:val="0"/>
          <w:marTop w:val="0"/>
          <w:marBottom w:val="0"/>
          <w:divBdr>
            <w:top w:val="none" w:sz="0" w:space="0" w:color="auto"/>
            <w:left w:val="none" w:sz="0" w:space="0" w:color="auto"/>
            <w:bottom w:val="none" w:sz="0" w:space="0" w:color="auto"/>
            <w:right w:val="none" w:sz="0" w:space="0" w:color="auto"/>
          </w:divBdr>
          <w:divsChild>
            <w:div w:id="1403261532">
              <w:marLeft w:val="0"/>
              <w:marRight w:val="0"/>
              <w:marTop w:val="0"/>
              <w:marBottom w:val="0"/>
              <w:divBdr>
                <w:top w:val="none" w:sz="0" w:space="0" w:color="auto"/>
                <w:left w:val="none" w:sz="0" w:space="0" w:color="auto"/>
                <w:bottom w:val="none" w:sz="0" w:space="0" w:color="auto"/>
                <w:right w:val="none" w:sz="0" w:space="0" w:color="auto"/>
              </w:divBdr>
              <w:divsChild>
                <w:div w:id="33577622">
                  <w:marLeft w:val="0"/>
                  <w:marRight w:val="0"/>
                  <w:marTop w:val="0"/>
                  <w:marBottom w:val="0"/>
                  <w:divBdr>
                    <w:top w:val="none" w:sz="0" w:space="0" w:color="auto"/>
                    <w:left w:val="none" w:sz="0" w:space="0" w:color="auto"/>
                    <w:bottom w:val="none" w:sz="0" w:space="0" w:color="auto"/>
                    <w:right w:val="none" w:sz="0" w:space="0" w:color="auto"/>
                  </w:divBdr>
                  <w:divsChild>
                    <w:div w:id="904145176">
                      <w:marLeft w:val="0"/>
                      <w:marRight w:val="0"/>
                      <w:marTop w:val="0"/>
                      <w:marBottom w:val="0"/>
                      <w:divBdr>
                        <w:top w:val="none" w:sz="0" w:space="0" w:color="auto"/>
                        <w:left w:val="none" w:sz="0" w:space="0" w:color="auto"/>
                        <w:bottom w:val="none" w:sz="0" w:space="0" w:color="auto"/>
                        <w:right w:val="none" w:sz="0" w:space="0" w:color="auto"/>
                      </w:divBdr>
                      <w:divsChild>
                        <w:div w:id="2031908748">
                          <w:marLeft w:val="0"/>
                          <w:marRight w:val="0"/>
                          <w:marTop w:val="0"/>
                          <w:marBottom w:val="0"/>
                          <w:divBdr>
                            <w:top w:val="none" w:sz="0" w:space="0" w:color="auto"/>
                            <w:left w:val="none" w:sz="0" w:space="0" w:color="auto"/>
                            <w:bottom w:val="none" w:sz="0" w:space="0" w:color="auto"/>
                            <w:right w:val="none" w:sz="0" w:space="0" w:color="auto"/>
                          </w:divBdr>
                          <w:divsChild>
                            <w:div w:id="12849695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1682">
      <w:bodyDiv w:val="1"/>
      <w:marLeft w:val="0"/>
      <w:marRight w:val="0"/>
      <w:marTop w:val="0"/>
      <w:marBottom w:val="0"/>
      <w:divBdr>
        <w:top w:val="none" w:sz="0" w:space="0" w:color="auto"/>
        <w:left w:val="none" w:sz="0" w:space="0" w:color="auto"/>
        <w:bottom w:val="none" w:sz="0" w:space="0" w:color="auto"/>
        <w:right w:val="none" w:sz="0" w:space="0" w:color="auto"/>
      </w:divBdr>
    </w:div>
    <w:div w:id="1978799362">
      <w:bodyDiv w:val="1"/>
      <w:marLeft w:val="0"/>
      <w:marRight w:val="0"/>
      <w:marTop w:val="0"/>
      <w:marBottom w:val="0"/>
      <w:divBdr>
        <w:top w:val="none" w:sz="0" w:space="0" w:color="auto"/>
        <w:left w:val="none" w:sz="0" w:space="0" w:color="auto"/>
        <w:bottom w:val="none" w:sz="0" w:space="0" w:color="auto"/>
        <w:right w:val="none" w:sz="0" w:space="0" w:color="auto"/>
      </w:divBdr>
      <w:divsChild>
        <w:div w:id="1510562625">
          <w:marLeft w:val="0"/>
          <w:marRight w:val="0"/>
          <w:marTop w:val="0"/>
          <w:marBottom w:val="0"/>
          <w:divBdr>
            <w:top w:val="none" w:sz="0" w:space="0" w:color="auto"/>
            <w:left w:val="none" w:sz="0" w:space="0" w:color="auto"/>
            <w:bottom w:val="none" w:sz="0" w:space="0" w:color="auto"/>
            <w:right w:val="none" w:sz="0" w:space="0" w:color="auto"/>
          </w:divBdr>
          <w:divsChild>
            <w:div w:id="1921601661">
              <w:marLeft w:val="0"/>
              <w:marRight w:val="0"/>
              <w:marTop w:val="0"/>
              <w:marBottom w:val="0"/>
              <w:divBdr>
                <w:top w:val="none" w:sz="0" w:space="0" w:color="auto"/>
                <w:left w:val="none" w:sz="0" w:space="0" w:color="auto"/>
                <w:bottom w:val="none" w:sz="0" w:space="0" w:color="auto"/>
                <w:right w:val="none" w:sz="0" w:space="0" w:color="auto"/>
              </w:divBdr>
              <w:divsChild>
                <w:div w:id="1638341200">
                  <w:marLeft w:val="0"/>
                  <w:marRight w:val="0"/>
                  <w:marTop w:val="0"/>
                  <w:marBottom w:val="0"/>
                  <w:divBdr>
                    <w:top w:val="none" w:sz="0" w:space="0" w:color="auto"/>
                    <w:left w:val="none" w:sz="0" w:space="0" w:color="auto"/>
                    <w:bottom w:val="none" w:sz="0" w:space="0" w:color="auto"/>
                    <w:right w:val="none" w:sz="0" w:space="0" w:color="auto"/>
                  </w:divBdr>
                  <w:divsChild>
                    <w:div w:id="626467578">
                      <w:marLeft w:val="0"/>
                      <w:marRight w:val="0"/>
                      <w:marTop w:val="0"/>
                      <w:marBottom w:val="0"/>
                      <w:divBdr>
                        <w:top w:val="none" w:sz="0" w:space="0" w:color="auto"/>
                        <w:left w:val="none" w:sz="0" w:space="0" w:color="auto"/>
                        <w:bottom w:val="none" w:sz="0" w:space="0" w:color="auto"/>
                        <w:right w:val="none" w:sz="0" w:space="0" w:color="auto"/>
                      </w:divBdr>
                      <w:divsChild>
                        <w:div w:id="607279412">
                          <w:marLeft w:val="0"/>
                          <w:marRight w:val="0"/>
                          <w:marTop w:val="0"/>
                          <w:marBottom w:val="0"/>
                          <w:divBdr>
                            <w:top w:val="none" w:sz="0" w:space="0" w:color="auto"/>
                            <w:left w:val="none" w:sz="0" w:space="0" w:color="auto"/>
                            <w:bottom w:val="none" w:sz="0" w:space="0" w:color="auto"/>
                            <w:right w:val="none" w:sz="0" w:space="0" w:color="auto"/>
                          </w:divBdr>
                          <w:divsChild>
                            <w:div w:id="1554581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2683-B349-4697-AE60-C8D7C651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8231</Words>
  <Characters>4693</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Likumprojekta "Par Konvenciju par pieaugušo personu starptautisko aizsardzību" sākotnējās ietekmes novērtējuma ziņojums (anotācija)</vt:lpstr>
    </vt:vector>
  </TitlesOfParts>
  <Company>Tieslietu Sektors</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Konvenciju par pieaugušo personu starptautisko aizsardzību" sākotnējās ietekmes novērtējuma ziņojums (anotācija)</dc:title>
  <dc:subject>Anotācija</dc:subject>
  <dc:creator>Maija Laure</dc:creator>
  <dc:description>67036993, Maija.Laure@tm.gov.lv</dc:description>
  <cp:lastModifiedBy>Lelde Stepanova</cp:lastModifiedBy>
  <cp:revision>3</cp:revision>
  <cp:lastPrinted>2015-04-24T12:09:00Z</cp:lastPrinted>
  <dcterms:created xsi:type="dcterms:W3CDTF">2016-09-14T09:45:00Z</dcterms:created>
  <dcterms:modified xsi:type="dcterms:W3CDTF">2016-09-14T13:01:00Z</dcterms:modified>
</cp:coreProperties>
</file>