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F95F" w14:textId="77777777" w:rsidR="00F87892" w:rsidRDefault="00F87892" w:rsidP="00F87892">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Projekts</w:t>
      </w:r>
    </w:p>
    <w:p w14:paraId="30CB97F1" w14:textId="77777777" w:rsidR="00F87892" w:rsidRDefault="00F87892" w:rsidP="00F87892">
      <w:pPr>
        <w:spacing w:after="0" w:line="240" w:lineRule="auto"/>
        <w:rPr>
          <w:rFonts w:ascii="Times New Roman" w:hAnsi="Times New Roman" w:cs="Times New Roman"/>
          <w:sz w:val="24"/>
          <w:szCs w:val="24"/>
        </w:rPr>
      </w:pPr>
    </w:p>
    <w:p w14:paraId="0D90B7B8" w14:textId="77777777" w:rsidR="00F87892" w:rsidRDefault="00F87892" w:rsidP="00F878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LATVIJAS REPUBLIKAS MINISTRU KABINETS</w:t>
      </w:r>
    </w:p>
    <w:p w14:paraId="03E4C60B" w14:textId="77777777" w:rsidR="00F87892" w:rsidRDefault="00F87892" w:rsidP="00F87892">
      <w:pPr>
        <w:spacing w:after="0" w:line="240" w:lineRule="auto"/>
        <w:jc w:val="center"/>
        <w:rPr>
          <w:rFonts w:ascii="Times New Roman" w:hAnsi="Times New Roman" w:cs="Times New Roman"/>
          <w:sz w:val="24"/>
          <w:szCs w:val="24"/>
        </w:rPr>
      </w:pPr>
    </w:p>
    <w:p w14:paraId="7A8E504F" w14:textId="77777777" w:rsidR="00F87892" w:rsidRDefault="00F87892" w:rsidP="00F87892">
      <w:pPr>
        <w:spacing w:after="0" w:line="240" w:lineRule="auto"/>
        <w:jc w:val="center"/>
        <w:rPr>
          <w:rFonts w:ascii="Times New Roman" w:hAnsi="Times New Roman" w:cs="Times New Roman"/>
          <w:sz w:val="24"/>
          <w:szCs w:val="24"/>
        </w:rPr>
      </w:pPr>
    </w:p>
    <w:p w14:paraId="40ABEF5E" w14:textId="77777777" w:rsidR="00F87892" w:rsidRDefault="00F87892" w:rsidP="00F87892">
      <w:pPr>
        <w:widowControl w:val="0"/>
        <w:tabs>
          <w:tab w:val="left" w:pos="595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gada__________ </w:t>
      </w:r>
      <w:r>
        <w:rPr>
          <w:rFonts w:ascii="Times New Roman" w:eastAsia="Times New Roman" w:hAnsi="Times New Roman" w:cs="Times New Roman"/>
          <w:sz w:val="24"/>
          <w:szCs w:val="24"/>
        </w:rPr>
        <w:tab/>
        <w:t>Noteikumi Nr.___</w:t>
      </w:r>
    </w:p>
    <w:p w14:paraId="1F0ACEFA" w14:textId="77777777" w:rsidR="00F87892" w:rsidRDefault="00F87892" w:rsidP="00F87892">
      <w:pPr>
        <w:widowControl w:val="0"/>
        <w:tabs>
          <w:tab w:val="left" w:pos="426"/>
          <w:tab w:val="left" w:pos="595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Rīga</w:t>
      </w:r>
      <w:r>
        <w:rPr>
          <w:rFonts w:ascii="Times New Roman" w:eastAsia="Times New Roman" w:hAnsi="Times New Roman" w:cs="Times New Roman"/>
          <w:sz w:val="24"/>
          <w:szCs w:val="24"/>
        </w:rPr>
        <w:tab/>
        <w:t>(prot.</w:t>
      </w:r>
      <w:r w:rsidR="005E73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Nr.____.§)</w:t>
      </w:r>
    </w:p>
    <w:p w14:paraId="7CB320E3" w14:textId="77777777" w:rsidR="00F87892" w:rsidRDefault="00F87892" w:rsidP="00F87892">
      <w:pPr>
        <w:spacing w:after="0" w:line="240" w:lineRule="auto"/>
        <w:rPr>
          <w:rFonts w:ascii="Times New Roman" w:hAnsi="Times New Roman" w:cs="Times New Roman"/>
          <w:sz w:val="24"/>
          <w:szCs w:val="24"/>
        </w:rPr>
      </w:pPr>
    </w:p>
    <w:p w14:paraId="7F019D05" w14:textId="77777777" w:rsidR="00F87892" w:rsidRDefault="00F87892" w:rsidP="00F87892">
      <w:pPr>
        <w:spacing w:after="0" w:line="240" w:lineRule="auto"/>
        <w:rPr>
          <w:rFonts w:ascii="Times New Roman" w:hAnsi="Times New Roman" w:cs="Times New Roman"/>
          <w:sz w:val="24"/>
          <w:szCs w:val="24"/>
        </w:rPr>
      </w:pPr>
    </w:p>
    <w:p w14:paraId="7BF1D30E" w14:textId="77777777" w:rsidR="005E7324" w:rsidRDefault="005E7324" w:rsidP="00F87892">
      <w:pPr>
        <w:spacing w:after="0" w:line="240" w:lineRule="auto"/>
        <w:rPr>
          <w:rFonts w:ascii="Times New Roman" w:hAnsi="Times New Roman" w:cs="Times New Roman"/>
          <w:sz w:val="24"/>
          <w:szCs w:val="24"/>
        </w:rPr>
      </w:pPr>
    </w:p>
    <w:p w14:paraId="073AC53D" w14:textId="77777777" w:rsidR="00F87892" w:rsidRDefault="00F87892" w:rsidP="00F87892">
      <w:pPr>
        <w:spacing w:after="0" w:line="240" w:lineRule="auto"/>
        <w:jc w:val="center"/>
        <w:rPr>
          <w:rFonts w:ascii="Times New Roman" w:hAnsi="Times New Roman" w:cs="Times New Roman"/>
          <w:b/>
          <w:sz w:val="24"/>
          <w:szCs w:val="24"/>
        </w:rPr>
      </w:pPr>
      <w:bookmarkStart w:id="0" w:name="OLE_LINK2"/>
      <w:bookmarkStart w:id="1" w:name="OLE_LINK1"/>
      <w:r>
        <w:rPr>
          <w:rFonts w:ascii="Times New Roman" w:hAnsi="Times New Roman" w:cs="Times New Roman"/>
          <w:b/>
          <w:sz w:val="24"/>
          <w:szCs w:val="24"/>
        </w:rPr>
        <w:t>Grozījumi Ministru kabineta 2009. gada 3. novembra noteikumos Nr. 1</w:t>
      </w:r>
      <w:r w:rsidR="00323408">
        <w:rPr>
          <w:rFonts w:ascii="Times New Roman" w:hAnsi="Times New Roman" w:cs="Times New Roman"/>
          <w:b/>
          <w:sz w:val="24"/>
          <w:szCs w:val="24"/>
        </w:rPr>
        <w:t>290</w:t>
      </w:r>
      <w:r>
        <w:rPr>
          <w:rFonts w:ascii="Times New Roman" w:hAnsi="Times New Roman" w:cs="Times New Roman"/>
          <w:b/>
          <w:sz w:val="24"/>
          <w:szCs w:val="24"/>
        </w:rPr>
        <w:t xml:space="preserve"> „Noteikumi par gaisa kvalitāti”</w:t>
      </w:r>
    </w:p>
    <w:bookmarkEnd w:id="0"/>
    <w:bookmarkEnd w:id="1"/>
    <w:p w14:paraId="74AD6017" w14:textId="77777777" w:rsidR="00F87892" w:rsidRPr="00F11E65" w:rsidRDefault="00F87892" w:rsidP="00F87892">
      <w:pPr>
        <w:spacing w:after="0" w:line="240" w:lineRule="auto"/>
        <w:rPr>
          <w:rFonts w:ascii="Times New Roman" w:hAnsi="Times New Roman" w:cs="Times New Roman"/>
          <w:sz w:val="24"/>
          <w:szCs w:val="24"/>
        </w:rPr>
      </w:pPr>
    </w:p>
    <w:p w14:paraId="3A4C55A1" w14:textId="77777777" w:rsidR="00F87892" w:rsidRPr="00F11E65" w:rsidRDefault="00F87892" w:rsidP="00F87892">
      <w:pPr>
        <w:spacing w:after="0" w:line="240" w:lineRule="auto"/>
        <w:rPr>
          <w:rFonts w:ascii="Times New Roman" w:hAnsi="Times New Roman" w:cs="Times New Roman"/>
          <w:sz w:val="24"/>
          <w:szCs w:val="24"/>
        </w:rPr>
      </w:pPr>
    </w:p>
    <w:p w14:paraId="1D7DE452" w14:textId="77777777" w:rsidR="00F87892" w:rsidRPr="00F11E65" w:rsidRDefault="00F87892" w:rsidP="00F87892">
      <w:pPr>
        <w:pStyle w:val="naislab"/>
        <w:spacing w:before="0" w:after="0"/>
      </w:pPr>
      <w:r w:rsidRPr="00F11E65">
        <w:t>Izdoti saskaņā ar </w:t>
      </w:r>
    </w:p>
    <w:p w14:paraId="01ACE7AC" w14:textId="77777777" w:rsidR="00F87892" w:rsidRPr="00F11E65" w:rsidRDefault="00867EF1" w:rsidP="00F87892">
      <w:pPr>
        <w:pStyle w:val="naislab"/>
        <w:spacing w:before="0" w:after="0"/>
      </w:pPr>
      <w:r>
        <w:t>likuma ,,</w:t>
      </w:r>
      <w:r w:rsidR="00F87892" w:rsidRPr="00F11E65">
        <w:t>Par piesārņojumu</w:t>
      </w:r>
      <w:r>
        <w:t>”</w:t>
      </w:r>
    </w:p>
    <w:p w14:paraId="614068B4" w14:textId="35D12B6D" w:rsidR="00F87892" w:rsidRPr="00F11E65" w:rsidRDefault="00F87892" w:rsidP="00F87892">
      <w:pPr>
        <w:pStyle w:val="naislab"/>
        <w:spacing w:before="0" w:after="0"/>
      </w:pPr>
      <w:r w:rsidRPr="00F11E65">
        <w:t>12.</w:t>
      </w:r>
      <w:r w:rsidR="00FE4906">
        <w:t> </w:t>
      </w:r>
      <w:r w:rsidRPr="00F11E65">
        <w:t xml:space="preserve">panta otro daļu un </w:t>
      </w:r>
    </w:p>
    <w:p w14:paraId="7EFDBC92" w14:textId="347BD6FB" w:rsidR="00F87892" w:rsidRPr="00F11E65" w:rsidRDefault="00F87892" w:rsidP="00F87892">
      <w:pPr>
        <w:pStyle w:val="naislab"/>
        <w:spacing w:before="0" w:after="0"/>
      </w:pPr>
      <w:r w:rsidRPr="00F11E65">
        <w:t>17.</w:t>
      </w:r>
      <w:r w:rsidR="00FE4906">
        <w:t> </w:t>
      </w:r>
      <w:r w:rsidRPr="00F11E65">
        <w:t>panta trešo daļu</w:t>
      </w:r>
    </w:p>
    <w:p w14:paraId="6738358E" w14:textId="77777777" w:rsidR="00323408" w:rsidRPr="00F11E65" w:rsidRDefault="00323408">
      <w:pPr>
        <w:rPr>
          <w:rFonts w:ascii="Times New Roman" w:hAnsi="Times New Roman" w:cs="Times New Roman"/>
          <w:sz w:val="24"/>
          <w:szCs w:val="24"/>
        </w:rPr>
      </w:pPr>
    </w:p>
    <w:p w14:paraId="726B86FD" w14:textId="742B7AE6" w:rsidR="00323408" w:rsidRPr="00F11E65" w:rsidRDefault="00323408" w:rsidP="005B0C73">
      <w:pPr>
        <w:pStyle w:val="naisf"/>
        <w:spacing w:before="0" w:after="0"/>
        <w:ind w:firstLine="720"/>
      </w:pPr>
      <w:r w:rsidRPr="00F11E65">
        <w:t>Izdarīt Ministru kabineta 2009.</w:t>
      </w:r>
      <w:r w:rsidR="00FE4906">
        <w:t> </w:t>
      </w:r>
      <w:r w:rsidRPr="00F11E65">
        <w:t>gada 3.</w:t>
      </w:r>
      <w:r w:rsidR="00FE4906">
        <w:t> </w:t>
      </w:r>
      <w:r w:rsidRPr="00F11E65">
        <w:t>novembra noteikumos Nr.</w:t>
      </w:r>
      <w:r w:rsidR="00FE4906">
        <w:t> </w:t>
      </w:r>
      <w:r w:rsidRPr="00F11E65">
        <w:t>1290 „Noteikumi par gaisa kvalitāti” (Latvijas Vēstnesis, 200</w:t>
      </w:r>
      <w:r w:rsidR="003E72DA">
        <w:t>9</w:t>
      </w:r>
      <w:r w:rsidRPr="00F11E65">
        <w:t xml:space="preserve">, </w:t>
      </w:r>
      <w:r w:rsidR="003E72DA">
        <w:t xml:space="preserve">182 </w:t>
      </w:r>
      <w:r w:rsidRPr="00F11E65">
        <w:t>nr.) šādus grozījumus:</w:t>
      </w:r>
    </w:p>
    <w:p w14:paraId="22268229" w14:textId="77777777" w:rsidR="00323408" w:rsidRPr="00F11E65" w:rsidRDefault="00323408" w:rsidP="005B0C73">
      <w:pPr>
        <w:pStyle w:val="naisf"/>
        <w:spacing w:before="0" w:after="0"/>
        <w:ind w:firstLine="720"/>
      </w:pPr>
    </w:p>
    <w:p w14:paraId="3A5C2840" w14:textId="3FBAE44C" w:rsidR="00FB3953" w:rsidRDefault="00FB3953" w:rsidP="00164BA0">
      <w:pPr>
        <w:pStyle w:val="naisf"/>
        <w:numPr>
          <w:ilvl w:val="0"/>
          <w:numId w:val="1"/>
        </w:numPr>
        <w:spacing w:before="0" w:after="0"/>
        <w:ind w:left="0" w:firstLine="720"/>
      </w:pPr>
      <w:r>
        <w:t xml:space="preserve">Aizstāt visā </w:t>
      </w:r>
      <w:r w:rsidR="007E439B">
        <w:t xml:space="preserve">noteikumu </w:t>
      </w:r>
      <w:r>
        <w:t xml:space="preserve">tekstā vārdus </w:t>
      </w:r>
      <w:r w:rsidR="00651BE6">
        <w:t>„</w:t>
      </w:r>
      <w:r>
        <w:t>Vides ministrija” (attiecīgā locījumā) ar vārdiem ,,Vides aizsardzības un reģionālās attīstības ministrija”</w:t>
      </w:r>
      <w:r w:rsidR="007E439B">
        <w:t xml:space="preserve"> (attiecīgā locījumā).</w:t>
      </w:r>
    </w:p>
    <w:p w14:paraId="7C80F26B" w14:textId="77777777" w:rsidR="00FB3953" w:rsidRDefault="00FB3953" w:rsidP="00164BA0">
      <w:pPr>
        <w:pStyle w:val="naisf"/>
        <w:spacing w:before="0" w:after="0"/>
        <w:ind w:firstLine="720"/>
      </w:pPr>
    </w:p>
    <w:p w14:paraId="79E0E489" w14:textId="67682A4F" w:rsidR="008173CB" w:rsidRDefault="0087277F" w:rsidP="00164BA0">
      <w:pPr>
        <w:pStyle w:val="naisf"/>
        <w:numPr>
          <w:ilvl w:val="0"/>
          <w:numId w:val="1"/>
        </w:numPr>
        <w:spacing w:before="0" w:after="0"/>
        <w:ind w:left="0" w:firstLine="720"/>
      </w:pPr>
      <w:r>
        <w:t xml:space="preserve">Papildināt noteikumus ar </w:t>
      </w:r>
      <w:r w:rsidR="008173CB">
        <w:t>2.30.</w:t>
      </w:r>
      <w:r w:rsidR="00C80EA8">
        <w:t> </w:t>
      </w:r>
      <w:r w:rsidR="008173CB">
        <w:t>apakšpunktu šādā redakcijā:</w:t>
      </w:r>
    </w:p>
    <w:p w14:paraId="43AC4ABD" w14:textId="2B955FC1" w:rsidR="008173CB" w:rsidRDefault="008173CB" w:rsidP="00164BA0">
      <w:pPr>
        <w:pStyle w:val="naisf"/>
        <w:spacing w:before="0" w:after="0"/>
        <w:ind w:firstLine="720"/>
        <w:rPr>
          <w:bCs/>
        </w:rPr>
      </w:pPr>
      <w:r w:rsidRPr="008173CB">
        <w:rPr>
          <w:rFonts w:eastAsiaTheme="minorHAnsi"/>
          <w:bCs/>
          <w:lang w:eastAsia="en-US"/>
        </w:rPr>
        <w:t>,,</w:t>
      </w:r>
      <w:r w:rsidRPr="008173CB">
        <w:rPr>
          <w:bCs/>
        </w:rPr>
        <w:t>2.30.</w:t>
      </w:r>
      <w:r w:rsidR="007E439B">
        <w:rPr>
          <w:bCs/>
        </w:rPr>
        <w:t> </w:t>
      </w:r>
      <w:r w:rsidRPr="008173CB">
        <w:rPr>
          <w:bCs/>
        </w:rPr>
        <w:t xml:space="preserve">valsts monitoringa tīkls – valsts sabiedrības ar ierobežotu atbildību </w:t>
      </w:r>
      <w:r w:rsidR="00564681">
        <w:rPr>
          <w:bCs/>
        </w:rPr>
        <w:t>,,</w:t>
      </w:r>
      <w:r w:rsidRPr="008173CB">
        <w:rPr>
          <w:bCs/>
        </w:rPr>
        <w:t>Latvijas Vides, ģeoloģijas un meteoroloģijas centrs” pārziņā esošās gaisa kvalitātes monitoringa stacijas, k</w:t>
      </w:r>
      <w:r w:rsidR="00C80EA8">
        <w:rPr>
          <w:bCs/>
        </w:rPr>
        <w:t>as</w:t>
      </w:r>
      <w:r w:rsidRPr="008173CB">
        <w:rPr>
          <w:bCs/>
        </w:rPr>
        <w:t xml:space="preserve"> izvietotas visā valsts teritorijā atbilstoši šajos noteikumos noteiktajiem kritērijiem un kurās tiek nodrošinātas citas šajos noteikumos noteiktās prasības ar mērķi sniegt sabiedrībai, kā arī starptautiskajām sadarbības organizācijām un Eiropas Komisijai objektīvu, ticamu un reprezentatīvu informāciju par gaisa kvalitāti Latvijā.”</w:t>
      </w:r>
    </w:p>
    <w:p w14:paraId="43BC0EF3" w14:textId="77777777" w:rsidR="00171EBF" w:rsidRDefault="00171EBF" w:rsidP="00164BA0">
      <w:pPr>
        <w:pStyle w:val="naisf"/>
        <w:spacing w:before="0" w:after="0"/>
        <w:ind w:firstLine="720"/>
        <w:rPr>
          <w:bCs/>
        </w:rPr>
      </w:pPr>
    </w:p>
    <w:p w14:paraId="20965566" w14:textId="1C8731BA" w:rsidR="00171EBF" w:rsidRDefault="00651BE6" w:rsidP="00164BA0">
      <w:pPr>
        <w:pStyle w:val="naisf"/>
        <w:numPr>
          <w:ilvl w:val="0"/>
          <w:numId w:val="1"/>
        </w:numPr>
        <w:spacing w:before="0" w:after="0"/>
        <w:ind w:left="0" w:firstLine="720"/>
      </w:pPr>
      <w:r>
        <w:t>Aizstāt 3.1.2., 3.2.2., 3.6.1. un 3.8.2.</w:t>
      </w:r>
      <w:r w:rsidR="00C80EA8">
        <w:t> </w:t>
      </w:r>
      <w:r>
        <w:t>apakšpunktā skaitli „2005” ar skaitli „201</w:t>
      </w:r>
      <w:r w:rsidR="00A21456">
        <w:t>2</w:t>
      </w:r>
      <w:r>
        <w:t>”</w:t>
      </w:r>
      <w:r w:rsidR="00C80EA8">
        <w:t>.</w:t>
      </w:r>
    </w:p>
    <w:p w14:paraId="4256EAB8" w14:textId="77777777" w:rsidR="00F1322F" w:rsidRDefault="00F1322F" w:rsidP="00164BA0">
      <w:pPr>
        <w:pStyle w:val="naisf"/>
        <w:spacing w:before="0" w:after="0"/>
        <w:ind w:firstLine="720"/>
      </w:pPr>
    </w:p>
    <w:p w14:paraId="1B776552" w14:textId="098B7268" w:rsidR="000B1630" w:rsidRDefault="00F05470" w:rsidP="00164BA0">
      <w:pPr>
        <w:pStyle w:val="naisf"/>
        <w:numPr>
          <w:ilvl w:val="0"/>
          <w:numId w:val="1"/>
        </w:numPr>
        <w:spacing w:before="0" w:after="0"/>
        <w:ind w:left="0" w:firstLine="720"/>
      </w:pPr>
      <w:r>
        <w:t>Aizstāt 3.3.2.</w:t>
      </w:r>
      <w:r w:rsidR="00C80EA8">
        <w:t> </w:t>
      </w:r>
      <w:r>
        <w:t xml:space="preserve">apakšpunktā </w:t>
      </w:r>
      <w:r w:rsidR="0018266D">
        <w:t>vārdus „</w:t>
      </w:r>
      <w:r w:rsidR="005B0C73">
        <w:t xml:space="preserve">12341:2001 </w:t>
      </w:r>
      <w:r w:rsidR="00AB0710">
        <w:t>„</w:t>
      </w:r>
      <w:r w:rsidR="005B0C73">
        <w:t>Gaisa kvalitāte – Cieto daļiņu frakcijas PM</w:t>
      </w:r>
      <w:r w:rsidR="005B0C73">
        <w:rPr>
          <w:vertAlign w:val="subscript"/>
        </w:rPr>
        <w:t>10</w:t>
      </w:r>
      <w:r w:rsidR="005B0C73">
        <w:t xml:space="preserve"> noteikšana – Etalona metode un testēšana lauka apstākļos, lai demonstrētu mērīšanas metožu līdzvērtību etalona </w:t>
      </w:r>
      <w:r w:rsidR="005B0C73" w:rsidRPr="00AB0710">
        <w:t>metodei</w:t>
      </w:r>
      <w:r w:rsidR="0018266D" w:rsidRPr="00AB0710">
        <w:t>”</w:t>
      </w:r>
      <w:r w:rsidR="005B0C73" w:rsidRPr="00AB0710">
        <w:t xml:space="preserve"> ar vārdiem „12341:2014 „</w:t>
      </w:r>
      <w:r w:rsidR="005B0C73" w:rsidRPr="00AB0710">
        <w:rPr>
          <w:shd w:val="clear" w:color="auto" w:fill="FFFFFF"/>
        </w:rPr>
        <w:t>Gaisa kvalitāte. Gravimetrisko mērījumu standartmetode suspendēto cieto daļiņu PM</w:t>
      </w:r>
      <w:r w:rsidR="005B0C73" w:rsidRPr="00AB0710">
        <w:rPr>
          <w:shd w:val="clear" w:color="auto" w:fill="FFFFFF"/>
          <w:vertAlign w:val="subscript"/>
        </w:rPr>
        <w:t>10</w:t>
      </w:r>
      <w:r w:rsidR="005B0C73" w:rsidRPr="00AB0710">
        <w:rPr>
          <w:shd w:val="clear" w:color="auto" w:fill="FFFFFF"/>
        </w:rPr>
        <w:t xml:space="preserve"> vai PM</w:t>
      </w:r>
      <w:r w:rsidR="005B0C73" w:rsidRPr="00AB0710">
        <w:rPr>
          <w:shd w:val="clear" w:color="auto" w:fill="FFFFFF"/>
          <w:vertAlign w:val="subscript"/>
        </w:rPr>
        <w:t>2,5</w:t>
      </w:r>
      <w:r w:rsidR="005B0C73" w:rsidRPr="00AB0710">
        <w:rPr>
          <w:shd w:val="clear" w:color="auto" w:fill="FFFFFF"/>
        </w:rPr>
        <w:t xml:space="preserve"> frakcijas masas koncentrācijas noteikšanai</w:t>
      </w:r>
      <w:r w:rsidR="005B0C73" w:rsidRPr="00AB0710">
        <w:t>”</w:t>
      </w:r>
      <w:r w:rsidR="007E439B">
        <w:t>.</w:t>
      </w:r>
    </w:p>
    <w:p w14:paraId="4E76B169" w14:textId="77777777" w:rsidR="000B1630" w:rsidRDefault="000B1630" w:rsidP="00164BA0">
      <w:pPr>
        <w:pStyle w:val="ListParagraph"/>
        <w:spacing w:after="0" w:line="240" w:lineRule="auto"/>
        <w:ind w:left="0" w:firstLine="720"/>
      </w:pPr>
    </w:p>
    <w:p w14:paraId="3A80F2F2" w14:textId="4FADB5B5" w:rsidR="00827B20" w:rsidRPr="000B1887" w:rsidRDefault="00AB0710" w:rsidP="00164BA0">
      <w:pPr>
        <w:pStyle w:val="naisf"/>
        <w:numPr>
          <w:ilvl w:val="0"/>
          <w:numId w:val="1"/>
        </w:numPr>
        <w:spacing w:before="0" w:after="0"/>
        <w:ind w:left="0" w:firstLine="720"/>
        <w:rPr>
          <w:shd w:val="clear" w:color="auto" w:fill="FFFFFF"/>
        </w:rPr>
      </w:pPr>
      <w:r>
        <w:t>Aizstāt 3.4.2.</w:t>
      </w:r>
      <w:r w:rsidR="00C80EA8">
        <w:t> </w:t>
      </w:r>
      <w:r>
        <w:t>apakšpunktā vārdus „14907:2006 „Gaisa kvalitāte – Gravimetriskā standartmetode suspendēto daļiņu PM</w:t>
      </w:r>
      <w:r w:rsidRPr="000B1630">
        <w:rPr>
          <w:vertAlign w:val="subscript"/>
        </w:rPr>
        <w:t xml:space="preserve">2,5 </w:t>
      </w:r>
      <w:r>
        <w:t>masas frakcijas noteikšanai”</w:t>
      </w:r>
      <w:r w:rsidR="000B1630">
        <w:t xml:space="preserve"> ar vārdiem „</w:t>
      </w:r>
      <w:r w:rsidR="000B1630" w:rsidRPr="00AC01B3">
        <w:t xml:space="preserve">12341:2014 </w:t>
      </w:r>
      <w:r w:rsidR="000B1630" w:rsidRPr="000B1887">
        <w:rPr>
          <w:shd w:val="clear" w:color="auto" w:fill="FFFFFF"/>
        </w:rPr>
        <w:t>„Gaisa kvalitāte. Gravimetrisko mērījumu standartmetode suspendēto cieto daļiņu PM</w:t>
      </w:r>
      <w:r w:rsidR="000B1630" w:rsidRPr="000B1887">
        <w:rPr>
          <w:shd w:val="clear" w:color="auto" w:fill="FFFFFF"/>
          <w:vertAlign w:val="subscript"/>
        </w:rPr>
        <w:t>10</w:t>
      </w:r>
      <w:r w:rsidR="000B1630" w:rsidRPr="000B1887">
        <w:rPr>
          <w:shd w:val="clear" w:color="auto" w:fill="FFFFFF"/>
        </w:rPr>
        <w:t xml:space="preserve"> vai PM</w:t>
      </w:r>
      <w:r w:rsidR="000B1630" w:rsidRPr="000B1887">
        <w:rPr>
          <w:shd w:val="clear" w:color="auto" w:fill="FFFFFF"/>
          <w:vertAlign w:val="subscript"/>
        </w:rPr>
        <w:t xml:space="preserve">2,5 </w:t>
      </w:r>
      <w:r w:rsidR="000B1630" w:rsidRPr="000B1887">
        <w:rPr>
          <w:shd w:val="clear" w:color="auto" w:fill="FFFFFF"/>
        </w:rPr>
        <w:t>frakcijas masas koncentrācijas noteikšanai”</w:t>
      </w:r>
      <w:r w:rsidR="007E439B">
        <w:rPr>
          <w:shd w:val="clear" w:color="auto" w:fill="FFFFFF"/>
        </w:rPr>
        <w:t>.</w:t>
      </w:r>
    </w:p>
    <w:p w14:paraId="7FF4F3AB" w14:textId="77777777" w:rsidR="00827B20" w:rsidRDefault="00827B20" w:rsidP="00164BA0">
      <w:pPr>
        <w:pStyle w:val="ListParagraph"/>
        <w:spacing w:after="0" w:line="240" w:lineRule="auto"/>
        <w:ind w:left="0" w:firstLine="720"/>
      </w:pPr>
    </w:p>
    <w:p w14:paraId="7334EB71" w14:textId="41EDBC05" w:rsidR="00827B20" w:rsidRDefault="00354816" w:rsidP="00164BA0">
      <w:pPr>
        <w:pStyle w:val="naisf"/>
        <w:numPr>
          <w:ilvl w:val="0"/>
          <w:numId w:val="1"/>
        </w:numPr>
        <w:spacing w:before="0" w:after="0"/>
        <w:ind w:left="0" w:firstLine="720"/>
      </w:pPr>
      <w:r>
        <w:t>Papildināt 3.5.2.</w:t>
      </w:r>
      <w:r w:rsidR="00AE26EF">
        <w:t xml:space="preserve"> un 3.9.3.</w:t>
      </w:r>
      <w:r w:rsidR="00C80EA8">
        <w:t> </w:t>
      </w:r>
      <w:r>
        <w:t>apakšpunkt</w:t>
      </w:r>
      <w:r w:rsidR="00827B20">
        <w:t>u</w:t>
      </w:r>
      <w:r>
        <w:t xml:space="preserve"> </w:t>
      </w:r>
      <w:r w:rsidR="00827B20">
        <w:t>aiz vārda un simbola „frakcijā"” ar vārdiem „un identiskajā šīs bāzes (references) metodes angļu valodas versijā”</w:t>
      </w:r>
      <w:r w:rsidR="007E439B">
        <w:t>.</w:t>
      </w:r>
    </w:p>
    <w:p w14:paraId="503945DC" w14:textId="77777777" w:rsidR="00827B20" w:rsidRDefault="00827B20" w:rsidP="00164BA0">
      <w:pPr>
        <w:pStyle w:val="ListParagraph"/>
        <w:spacing w:after="0" w:line="240" w:lineRule="auto"/>
        <w:ind w:left="0" w:firstLine="720"/>
      </w:pPr>
    </w:p>
    <w:p w14:paraId="4039F3D8" w14:textId="74F78EE8" w:rsidR="00827B20" w:rsidRDefault="00827B20" w:rsidP="00164BA0">
      <w:pPr>
        <w:pStyle w:val="naisf"/>
        <w:numPr>
          <w:ilvl w:val="0"/>
          <w:numId w:val="1"/>
        </w:numPr>
        <w:spacing w:before="0" w:after="0"/>
        <w:ind w:left="0" w:firstLine="720"/>
      </w:pPr>
      <w:r>
        <w:t>Aizstāt 3.7.2.</w:t>
      </w:r>
      <w:r w:rsidR="007E439B">
        <w:t> </w:t>
      </w:r>
      <w:r>
        <w:t>apakšpunktā vārdu „standartā” ar vārdu „standarta”</w:t>
      </w:r>
      <w:r w:rsidR="007E439B">
        <w:t>.</w:t>
      </w:r>
    </w:p>
    <w:p w14:paraId="0A4C8707" w14:textId="77777777" w:rsidR="00827B20" w:rsidRDefault="00827B20" w:rsidP="00164BA0">
      <w:pPr>
        <w:pStyle w:val="ListParagraph"/>
        <w:spacing w:after="0" w:line="240" w:lineRule="auto"/>
        <w:ind w:left="0" w:firstLine="720"/>
      </w:pPr>
    </w:p>
    <w:p w14:paraId="34E4DE0D" w14:textId="5852D7A5" w:rsidR="00827B20" w:rsidRDefault="00827B20" w:rsidP="00164BA0">
      <w:pPr>
        <w:pStyle w:val="naisf"/>
        <w:numPr>
          <w:ilvl w:val="0"/>
          <w:numId w:val="1"/>
        </w:numPr>
        <w:spacing w:before="0" w:after="0"/>
        <w:ind w:left="0" w:firstLine="720"/>
      </w:pPr>
      <w:r>
        <w:t>Papildināt 3.7.2.</w:t>
      </w:r>
      <w:r w:rsidR="007E439B">
        <w:t> </w:t>
      </w:r>
      <w:r>
        <w:t>apakšpunktā aiz vārda un simbola „standartmetode" ” ar vārdiem „</w:t>
      </w:r>
      <w:r w:rsidRPr="00827B20">
        <w:t xml:space="preserve"> </w:t>
      </w:r>
      <w:r w:rsidRPr="006F6DFE">
        <w:t>pirmajā, otrajā un trešajā daļā un identiskajā šī standarta angļu valodas versijā</w:t>
      </w:r>
      <w:r>
        <w:t>”</w:t>
      </w:r>
      <w:r w:rsidR="007E439B">
        <w:t>.</w:t>
      </w:r>
    </w:p>
    <w:p w14:paraId="4B276FA4" w14:textId="77777777" w:rsidR="00164BA0" w:rsidRDefault="00164BA0" w:rsidP="00164BA0">
      <w:pPr>
        <w:pStyle w:val="ListParagraph"/>
        <w:spacing w:after="0" w:line="240" w:lineRule="auto"/>
        <w:ind w:left="0" w:firstLine="720"/>
      </w:pPr>
    </w:p>
    <w:p w14:paraId="42F2B507" w14:textId="7D27A7E2" w:rsidR="00164BA0" w:rsidRDefault="00164BA0" w:rsidP="00164BA0">
      <w:pPr>
        <w:pStyle w:val="naisf"/>
        <w:numPr>
          <w:ilvl w:val="0"/>
          <w:numId w:val="1"/>
        </w:numPr>
        <w:spacing w:before="0" w:after="0"/>
        <w:ind w:left="0" w:firstLine="720"/>
      </w:pPr>
      <w:r>
        <w:t>Aizstāt 3.9.3.</w:t>
      </w:r>
      <w:r w:rsidR="007E439B">
        <w:t> </w:t>
      </w:r>
      <w:r>
        <w:t>apakšpunktā vārdus „paraugu ņemšanai” ar vārdiem „mērīšanai”</w:t>
      </w:r>
      <w:r w:rsidR="007E439B">
        <w:t>.</w:t>
      </w:r>
    </w:p>
    <w:p w14:paraId="7417AE33" w14:textId="77777777" w:rsidR="00164BA0" w:rsidRDefault="00164BA0" w:rsidP="00164BA0">
      <w:pPr>
        <w:pStyle w:val="naisf"/>
        <w:spacing w:before="0" w:after="0"/>
        <w:ind w:firstLine="0"/>
      </w:pPr>
    </w:p>
    <w:p w14:paraId="4B82C081" w14:textId="75608C39" w:rsidR="00164BA0" w:rsidRDefault="00164BA0" w:rsidP="00164BA0">
      <w:pPr>
        <w:pStyle w:val="naisf"/>
        <w:numPr>
          <w:ilvl w:val="0"/>
          <w:numId w:val="1"/>
        </w:numPr>
        <w:spacing w:before="0" w:after="0"/>
        <w:ind w:left="0" w:firstLine="720"/>
      </w:pPr>
      <w:r>
        <w:t>Izteikt 3.9.4.</w:t>
      </w:r>
      <w:r w:rsidR="007E439B">
        <w:t> </w:t>
      </w:r>
      <w:r>
        <w:t>apakšpunktu šādā redakcijā:</w:t>
      </w:r>
    </w:p>
    <w:p w14:paraId="721FF6F1" w14:textId="697EEE90" w:rsidR="00164BA0" w:rsidRPr="000B1887" w:rsidRDefault="00164BA0" w:rsidP="00164BA0">
      <w:pPr>
        <w:pStyle w:val="naisf"/>
        <w:spacing w:before="0" w:after="0"/>
        <w:ind w:firstLine="720"/>
      </w:pPr>
      <w:r w:rsidRPr="00164BA0">
        <w:rPr>
          <w:rFonts w:eastAsiaTheme="minorHAnsi"/>
          <w:lang w:eastAsia="en-US"/>
        </w:rPr>
        <w:t>„</w:t>
      </w:r>
      <w:r w:rsidRPr="00164BA0">
        <w:t>3.9.4.</w:t>
      </w:r>
      <w:r w:rsidR="007E439B">
        <w:t> </w:t>
      </w:r>
      <w:r w:rsidRPr="00164BA0">
        <w:t xml:space="preserve">benz(a)pirēna un citu attiecīgo policiklisko aromātisko ogļūdeņražu, kā arī arsēna, kadmija un niķeļa paraugu ņemšanai izmanto bāzes (references) metodi, kas noteikta standartā LVS EN 12341:2014 </w:t>
      </w:r>
      <w:r>
        <w:t>„</w:t>
      </w:r>
      <w:r w:rsidRPr="000B1887">
        <w:t>Gaisa kvalitāte. Gravimetrisko mērījumu standartmetode suspendēto cieto daļiņu PM</w:t>
      </w:r>
      <w:r w:rsidRPr="000B1887">
        <w:rPr>
          <w:vertAlign w:val="subscript"/>
        </w:rPr>
        <w:t>10</w:t>
      </w:r>
      <w:r w:rsidRPr="000B1887">
        <w:t xml:space="preserve"> vai PM</w:t>
      </w:r>
      <w:r w:rsidRPr="000B1887">
        <w:rPr>
          <w:vertAlign w:val="subscript"/>
        </w:rPr>
        <w:t xml:space="preserve">2,5 </w:t>
      </w:r>
      <w:r w:rsidRPr="000B1887">
        <w:t>frakcijas masas koncentrācijas noteikšanai”</w:t>
      </w:r>
      <w:r w:rsidRPr="00164BA0">
        <w:t>, vai citu līdzvērtīgu analīzes metodi;</w:t>
      </w:r>
      <w:r w:rsidRPr="000B1887">
        <w:t>”</w:t>
      </w:r>
    </w:p>
    <w:p w14:paraId="4F5172D6" w14:textId="77777777" w:rsidR="00164BA0" w:rsidRPr="000B1887" w:rsidRDefault="00164BA0" w:rsidP="00164BA0">
      <w:pPr>
        <w:pStyle w:val="naisf"/>
        <w:spacing w:before="0" w:after="0"/>
        <w:ind w:firstLine="720"/>
      </w:pPr>
    </w:p>
    <w:p w14:paraId="02AF5C2E" w14:textId="6F338BA4" w:rsidR="00FB3953" w:rsidRDefault="00164BA0" w:rsidP="008173CB">
      <w:pPr>
        <w:pStyle w:val="naisf"/>
        <w:numPr>
          <w:ilvl w:val="0"/>
          <w:numId w:val="1"/>
        </w:numPr>
        <w:spacing w:before="0" w:after="0"/>
        <w:ind w:left="0" w:firstLine="720"/>
      </w:pPr>
      <w:r>
        <w:t>Izteikt 3.9.5.</w:t>
      </w:r>
      <w:r w:rsidR="007E439B">
        <w:t> </w:t>
      </w:r>
      <w:r>
        <w:t xml:space="preserve">apakšpunktu šādā redakcijā: </w:t>
      </w:r>
    </w:p>
    <w:p w14:paraId="1C6FFB6C" w14:textId="25B68A82" w:rsidR="00164BA0" w:rsidRDefault="00164BA0" w:rsidP="00152EF2">
      <w:pPr>
        <w:pStyle w:val="naisf"/>
      </w:pPr>
      <w:r>
        <w:t xml:space="preserve">„3.9.5. benz(a)pirēna </w:t>
      </w:r>
      <w:r w:rsidRPr="006F6DFE">
        <w:t xml:space="preserve">koncentrācijas mērījumiem izmanto bāzes (references) metodi, kas noteikta standartā LVS EN 15549:2010 </w:t>
      </w:r>
      <w:r w:rsidR="007E439B">
        <w:t>„</w:t>
      </w:r>
      <w:r w:rsidRPr="006F6DFE">
        <w:t>Gaisa kvalitāte. Standartmetode benz(a)pirēna koncentrācijas mērīšanai gaisā</w:t>
      </w:r>
      <w:r w:rsidR="007E439B">
        <w:t>”</w:t>
      </w:r>
      <w:r w:rsidRPr="006F6DFE">
        <w:t xml:space="preserve"> un identiskajā šī standarta angļu valodas versijā, vai citu līdzvērtīgu analīzes metodi, bet citu attiecīgo policiklisko aromātisko ogļūdeņražu koncentrācijas mērījumiem – standartā LVS ISO 12884:2001</w:t>
      </w:r>
      <w:r>
        <w:t xml:space="preserve"> </w:t>
      </w:r>
      <w:r w:rsidR="007E439B">
        <w:t>„</w:t>
      </w:r>
      <w:r>
        <w:t>Gaiss – Kopējā (gāzes un daļiņu fāzē) policiklisko aromātisko ogļūdeņražu satura noteikšana – Savākšana uz filtra un tam sekojoša sorbenta, analīze ar gāzu hromatogrāfijas metodi</w:t>
      </w:r>
      <w:r w:rsidR="007E439B">
        <w:t>”</w:t>
      </w:r>
      <w:r>
        <w:t xml:space="preserve"> noteikto metodi vai citu līdzvērtīgu analīzes metodi;”</w:t>
      </w:r>
    </w:p>
    <w:p w14:paraId="0F0D263F" w14:textId="77777777" w:rsidR="00152EF2" w:rsidRDefault="00152EF2" w:rsidP="00152EF2">
      <w:pPr>
        <w:pStyle w:val="naisf"/>
      </w:pPr>
    </w:p>
    <w:p w14:paraId="0680F85C" w14:textId="57CF7C23" w:rsidR="0065132D" w:rsidRDefault="006F65FC" w:rsidP="0065132D">
      <w:pPr>
        <w:pStyle w:val="naisf"/>
        <w:numPr>
          <w:ilvl w:val="0"/>
          <w:numId w:val="1"/>
        </w:numPr>
        <w:spacing w:before="0" w:after="0"/>
        <w:ind w:left="0" w:firstLine="720"/>
      </w:pPr>
      <w:r>
        <w:t>Izteikt 3.9.6.</w:t>
      </w:r>
      <w:r w:rsidR="007E439B">
        <w:t> </w:t>
      </w:r>
      <w:r>
        <w:t>apakšpunktu šādā redakcijā:</w:t>
      </w:r>
    </w:p>
    <w:p w14:paraId="1CC4A11D" w14:textId="182D9E06" w:rsidR="006F65FC" w:rsidRDefault="006F65FC" w:rsidP="0065132D">
      <w:pPr>
        <w:pStyle w:val="naisf"/>
        <w:spacing w:before="0" w:after="0"/>
        <w:ind w:firstLine="426"/>
      </w:pPr>
      <w:r>
        <w:t>„3.9.6.</w:t>
      </w:r>
      <w:r w:rsidR="007E439B">
        <w:t> </w:t>
      </w:r>
      <w:r>
        <w:t xml:space="preserve">kopējā gāzveida dzīvsudraba (dzīvsudraba tvaiki un reaģētspējīgs gāzveida dzīvsudrabs – </w:t>
      </w:r>
      <w:r w:rsidRPr="006F65FC">
        <w:t xml:space="preserve">ūdenī šķīstoši dzīvsudraba savienojumi ar pietiekami augstu tvaika spiedienu, lai tie būtu gāzveida stāvoklī) koncentrācijas mērījumiem izmanto bāzes (references) metodi, kas noteikta standartā </w:t>
      </w:r>
      <w:r w:rsidRPr="0065132D">
        <w:rPr>
          <w:bCs/>
          <w:shd w:val="clear" w:color="auto" w:fill="FFFFFF"/>
        </w:rPr>
        <w:t>LVS EN 15852:2010</w:t>
      </w:r>
      <w:r w:rsidRPr="006F65FC">
        <w:t xml:space="preserve"> “Gaisa </w:t>
      </w:r>
      <w:r w:rsidRPr="0065132D">
        <w:rPr>
          <w:color w:val="333333"/>
        </w:rPr>
        <w:t>kvalitāte. Standarta metode dzīvsudraba tvaiku noteikšanai</w:t>
      </w:r>
      <w:r w:rsidR="005E4246" w:rsidRPr="0065132D">
        <w:rPr>
          <w:color w:val="333333"/>
        </w:rPr>
        <w:t>”</w:t>
      </w:r>
      <w:r>
        <w:t>, vai citu līdzvērtīgu analīzes metodi;”</w:t>
      </w:r>
    </w:p>
    <w:p w14:paraId="3E659826" w14:textId="77777777" w:rsidR="006F65FC" w:rsidRDefault="006F65FC" w:rsidP="006F65FC">
      <w:pPr>
        <w:pStyle w:val="naisf"/>
        <w:spacing w:before="0" w:after="0"/>
      </w:pPr>
    </w:p>
    <w:p w14:paraId="5A8AAFA3" w14:textId="262AEA2B" w:rsidR="00323408" w:rsidRDefault="00992AB9" w:rsidP="00323408">
      <w:pPr>
        <w:pStyle w:val="naisf"/>
        <w:numPr>
          <w:ilvl w:val="0"/>
          <w:numId w:val="1"/>
        </w:numPr>
        <w:spacing w:before="0" w:after="0"/>
        <w:ind w:left="0" w:firstLine="720"/>
      </w:pPr>
      <w:r>
        <w:t>Izteikt</w:t>
      </w:r>
      <w:r w:rsidR="00CA2AF0">
        <w:t xml:space="preserve"> 3.9.7.</w:t>
      </w:r>
      <w:r w:rsidR="00F5079C">
        <w:t> </w:t>
      </w:r>
      <w:r w:rsidR="00CA2AF0">
        <w:t>apakšpunkt</w:t>
      </w:r>
      <w:r>
        <w:t>u šādā redakcijā:</w:t>
      </w:r>
    </w:p>
    <w:p w14:paraId="1580E525" w14:textId="29140A99" w:rsidR="00992AB9" w:rsidRPr="00992AB9" w:rsidRDefault="00992AB9" w:rsidP="00992AB9">
      <w:pPr>
        <w:pStyle w:val="naisf"/>
      </w:pPr>
      <w:r>
        <w:t>„3.9.7.</w:t>
      </w:r>
      <w:r w:rsidR="00F5079C">
        <w:t> </w:t>
      </w:r>
      <w:r>
        <w:t xml:space="preserve">lai novērtētu arsēna, kadmija, dzīvsudraba, niķeļa un policiklisko aromātisko ogļūdeņražu kopējo </w:t>
      </w:r>
      <w:r w:rsidRPr="00992AB9">
        <w:t>nosēdumu daudzumu izmanto šādas bāzes (references) metodes:</w:t>
      </w:r>
    </w:p>
    <w:p w14:paraId="0CE3899F" w14:textId="00E74ED3" w:rsidR="00992AB9" w:rsidRPr="00992AB9" w:rsidRDefault="00992AB9" w:rsidP="00992AB9">
      <w:pPr>
        <w:pStyle w:val="naisf"/>
        <w:rPr>
          <w:shd w:val="clear" w:color="auto" w:fill="FFFFFF"/>
        </w:rPr>
      </w:pPr>
      <w:r w:rsidRPr="00992AB9">
        <w:t>3.9.7.1.</w:t>
      </w:r>
      <w:r w:rsidR="00F5079C">
        <w:t> </w:t>
      </w:r>
      <w:r w:rsidRPr="00992AB9">
        <w:t xml:space="preserve">arsēna, kadmija un niķeļa nosēdumu noteikšanai - metodi </w:t>
      </w:r>
      <w:r>
        <w:rPr>
          <w:bCs/>
          <w:shd w:val="clear" w:color="auto" w:fill="FFFFFF"/>
        </w:rPr>
        <w:t>LVS EN 15841:2010 „</w:t>
      </w:r>
      <w:r w:rsidRPr="00992AB9">
        <w:rPr>
          <w:shd w:val="clear" w:color="auto" w:fill="FFFFFF"/>
        </w:rPr>
        <w:t>Apkārtējā gaisa kvalitāte. Standartmetode arsēna, kadmija, svina un niķeļa noteikšanai atmosfēras nosēdumos”;</w:t>
      </w:r>
    </w:p>
    <w:p w14:paraId="10234FB0" w14:textId="44C7B3D1" w:rsidR="00992AB9" w:rsidRPr="00992AB9" w:rsidRDefault="00992AB9" w:rsidP="00992AB9">
      <w:pPr>
        <w:pStyle w:val="naisf"/>
        <w:rPr>
          <w:shd w:val="clear" w:color="auto" w:fill="FFFFFF"/>
        </w:rPr>
      </w:pPr>
      <w:r w:rsidRPr="00992AB9">
        <w:rPr>
          <w:shd w:val="clear" w:color="auto" w:fill="FFFFFF"/>
        </w:rPr>
        <w:t>3.9.7.2.</w:t>
      </w:r>
      <w:r w:rsidR="00F5079C">
        <w:rPr>
          <w:shd w:val="clear" w:color="auto" w:fill="FFFFFF"/>
        </w:rPr>
        <w:t> </w:t>
      </w:r>
      <w:r w:rsidRPr="00992AB9">
        <w:rPr>
          <w:shd w:val="clear" w:color="auto" w:fill="FFFFFF"/>
        </w:rPr>
        <w:t xml:space="preserve">dzīvsudraba uzkrāšanās noteikšanai - metodi </w:t>
      </w:r>
      <w:r>
        <w:rPr>
          <w:shd w:val="clear" w:color="auto" w:fill="FFFFFF"/>
        </w:rPr>
        <w:t>LVS EN 15853:2010 „</w:t>
      </w:r>
      <w:r w:rsidRPr="00992AB9">
        <w:rPr>
          <w:shd w:val="clear" w:color="auto" w:fill="FFFFFF"/>
        </w:rPr>
        <w:t>Gaisa kvalitāte. Standarta metode dzīvsudraba nosēdumu noteikšanai”;</w:t>
      </w:r>
    </w:p>
    <w:p w14:paraId="35B4CBE2" w14:textId="063F7E32" w:rsidR="00992AB9" w:rsidRDefault="00992AB9" w:rsidP="00992AB9">
      <w:pPr>
        <w:pStyle w:val="naisf"/>
      </w:pPr>
      <w:r w:rsidRPr="00992AB9">
        <w:rPr>
          <w:shd w:val="clear" w:color="auto" w:fill="FFFFFF"/>
        </w:rPr>
        <w:t>3.9.7.3.</w:t>
      </w:r>
      <w:r w:rsidR="00F5079C">
        <w:rPr>
          <w:shd w:val="clear" w:color="auto" w:fill="FFFFFF"/>
        </w:rPr>
        <w:t> </w:t>
      </w:r>
      <w:r w:rsidRPr="00992AB9">
        <w:t>benz(a)pirēna un pārējo attiecīgo policiklisko aromātisko ogļūdeņražu uzkrāšanās noteikšanai - metodi LVS EN 15980:2011 “Gaisa kvalitāte. Benzo[a]antracēna, benzo[b]fluoretēna, benzo[j]fluoretēna, benzo</w:t>
      </w:r>
      <w:r w:rsidRPr="006F6DFE">
        <w:t>[k]fluoretēna, benzo[a]pirēna, dibenzo[a,h]antracēna un indeno[1,2,3-cd]pirēna nosēdumu noteikšana”.</w:t>
      </w:r>
    </w:p>
    <w:p w14:paraId="73FE78BC" w14:textId="77777777" w:rsidR="000F678E" w:rsidRDefault="000F678E" w:rsidP="00992AB9">
      <w:pPr>
        <w:pStyle w:val="naisf"/>
      </w:pPr>
    </w:p>
    <w:p w14:paraId="046ACA1F" w14:textId="4CD8F817" w:rsidR="0065132D" w:rsidRDefault="005D314C" w:rsidP="0065132D">
      <w:pPr>
        <w:pStyle w:val="naisf"/>
        <w:numPr>
          <w:ilvl w:val="0"/>
          <w:numId w:val="1"/>
        </w:numPr>
      </w:pPr>
      <w:r>
        <w:t xml:space="preserve">Papildināt </w:t>
      </w:r>
      <w:r w:rsidR="007D69CD">
        <w:t>noteikumus ar 3.</w:t>
      </w:r>
      <w:r w:rsidR="007D69CD">
        <w:rPr>
          <w:vertAlign w:val="superscript"/>
        </w:rPr>
        <w:t>1</w:t>
      </w:r>
      <w:r w:rsidR="00F5079C">
        <w:t> </w:t>
      </w:r>
      <w:r w:rsidR="007D69CD">
        <w:t>punktu šādā redakcijā:</w:t>
      </w:r>
    </w:p>
    <w:p w14:paraId="0FD8CAA0" w14:textId="3AB25F7A" w:rsidR="00323408" w:rsidRDefault="0065132D" w:rsidP="0065132D">
      <w:pPr>
        <w:pStyle w:val="naisf"/>
      </w:pPr>
      <w:r>
        <w:t>„</w:t>
      </w:r>
      <w:r w:rsidRPr="000C2298">
        <w:t>3.</w:t>
      </w:r>
      <w:r w:rsidRPr="0065132D">
        <w:rPr>
          <w:vertAlign w:val="superscript"/>
        </w:rPr>
        <w:t>1</w:t>
      </w:r>
      <w:r w:rsidR="00742B90">
        <w:t> </w:t>
      </w:r>
      <w:r w:rsidRPr="000C2298">
        <w:t>Daļiņām PM</w:t>
      </w:r>
      <w:r w:rsidRPr="0065132D">
        <w:rPr>
          <w:vertAlign w:val="subscript"/>
        </w:rPr>
        <w:t>10</w:t>
      </w:r>
      <w:r w:rsidRPr="000C2298">
        <w:t xml:space="preserve"> un daļiņām PM</w:t>
      </w:r>
      <w:r w:rsidRPr="0065132D">
        <w:rPr>
          <w:vertAlign w:val="subscript"/>
        </w:rPr>
        <w:t>2,5</w:t>
      </w:r>
      <w:r w:rsidRPr="000C2298">
        <w:t>, kā arī analizējamām daļiņu sastāvdaļām (piemēram, svinam) parauga tilpumu nosaka attiecīgās vides apstākļos, ņemot vērā temperatūru un atmosfēras spiedienu mērījumu dienā.</w:t>
      </w:r>
      <w:r>
        <w:t>”</w:t>
      </w:r>
    </w:p>
    <w:p w14:paraId="0AE21AEB" w14:textId="77777777" w:rsidR="0065132D" w:rsidRDefault="0065132D" w:rsidP="0065132D">
      <w:pPr>
        <w:pStyle w:val="naisf"/>
      </w:pPr>
    </w:p>
    <w:p w14:paraId="1F2F6517" w14:textId="7FF33945" w:rsidR="0065132D" w:rsidRDefault="00353B36" w:rsidP="0065132D">
      <w:pPr>
        <w:pStyle w:val="naisf"/>
        <w:numPr>
          <w:ilvl w:val="0"/>
          <w:numId w:val="1"/>
        </w:numPr>
      </w:pPr>
      <w:r>
        <w:t>Svītrot 5., 6., 7.,</w:t>
      </w:r>
      <w:r w:rsidR="0065132D">
        <w:t xml:space="preserve"> 8.</w:t>
      </w:r>
      <w:r>
        <w:t>, 50.</w:t>
      </w:r>
      <w:r w:rsidR="00292F1A">
        <w:t>,</w:t>
      </w:r>
      <w:r>
        <w:t xml:space="preserve"> 57</w:t>
      </w:r>
      <w:r w:rsidR="000B1887">
        <w:t>.</w:t>
      </w:r>
      <w:r w:rsidR="00742B90">
        <w:t> </w:t>
      </w:r>
      <w:r w:rsidR="0065132D">
        <w:t>punktu</w:t>
      </w:r>
      <w:r w:rsidR="00292F1A">
        <w:t xml:space="preserve"> un 11.</w:t>
      </w:r>
      <w:r w:rsidR="00742B90">
        <w:t> </w:t>
      </w:r>
      <w:r w:rsidR="00292F1A">
        <w:t>pielikuma 4.</w:t>
      </w:r>
      <w:r w:rsidR="00742B90">
        <w:t> </w:t>
      </w:r>
      <w:r w:rsidR="00292F1A">
        <w:t>punktu</w:t>
      </w:r>
      <w:r w:rsidR="00742B90">
        <w:t>.</w:t>
      </w:r>
    </w:p>
    <w:p w14:paraId="7845F446" w14:textId="77777777" w:rsidR="0065132D" w:rsidRDefault="0065132D" w:rsidP="0065132D">
      <w:pPr>
        <w:pStyle w:val="naisf"/>
      </w:pPr>
    </w:p>
    <w:p w14:paraId="4F98D58F" w14:textId="3E6C5EF3" w:rsidR="008E1C51" w:rsidRDefault="00800BF5" w:rsidP="008E1C51">
      <w:pPr>
        <w:pStyle w:val="naisf"/>
        <w:numPr>
          <w:ilvl w:val="0"/>
          <w:numId w:val="1"/>
        </w:numPr>
      </w:pPr>
      <w:r>
        <w:t xml:space="preserve">Izteikt </w:t>
      </w:r>
      <w:r w:rsidR="0065132D">
        <w:t>II</w:t>
      </w:r>
      <w:r>
        <w:t>I</w:t>
      </w:r>
      <w:r w:rsidR="0065132D">
        <w:t xml:space="preserve"> nodaļas </w:t>
      </w:r>
      <w:r>
        <w:t>virsrakstu šādā redakcijā:</w:t>
      </w:r>
    </w:p>
    <w:p w14:paraId="1492ABFC" w14:textId="77777777" w:rsidR="009A3122" w:rsidRDefault="00800BF5" w:rsidP="009A3122">
      <w:pPr>
        <w:pStyle w:val="naisf"/>
        <w:ind w:firstLine="709"/>
      </w:pPr>
      <w:r>
        <w:t xml:space="preserve">„III. Gaisa kvalitātes novērtējums un </w:t>
      </w:r>
      <w:r w:rsidR="008E1C51">
        <w:t>tā veikšanas</w:t>
      </w:r>
      <w:r>
        <w:t xml:space="preserve"> nosacījumi</w:t>
      </w:r>
      <w:r w:rsidR="008E1C51">
        <w:t>”</w:t>
      </w:r>
    </w:p>
    <w:p w14:paraId="00F818E3" w14:textId="77777777" w:rsidR="009A3122" w:rsidRDefault="009A3122" w:rsidP="009A3122">
      <w:pPr>
        <w:pStyle w:val="naisf"/>
        <w:ind w:firstLine="709"/>
      </w:pPr>
    </w:p>
    <w:p w14:paraId="5D19D551" w14:textId="3E690723" w:rsidR="0065132D" w:rsidRPr="00E40F57" w:rsidRDefault="004F17CE" w:rsidP="009A3122">
      <w:pPr>
        <w:pStyle w:val="naisf"/>
        <w:numPr>
          <w:ilvl w:val="0"/>
          <w:numId w:val="1"/>
        </w:numPr>
        <w:ind w:left="0" w:firstLine="852"/>
      </w:pPr>
      <w:r>
        <w:t>Papildināt noteikumus ar 8.</w:t>
      </w:r>
      <w:r w:rsidR="0065132D" w:rsidRPr="004F17CE">
        <w:rPr>
          <w:vertAlign w:val="superscript"/>
        </w:rPr>
        <w:t>1</w:t>
      </w:r>
      <w:r w:rsidR="0065132D">
        <w:t>, 8.</w:t>
      </w:r>
      <w:r w:rsidR="0065132D" w:rsidRPr="004F17CE">
        <w:rPr>
          <w:vertAlign w:val="superscript"/>
        </w:rPr>
        <w:t>2</w:t>
      </w:r>
      <w:r w:rsidR="0065132D">
        <w:t>, 8.</w:t>
      </w:r>
      <w:r w:rsidR="0065132D" w:rsidRPr="004F17CE">
        <w:rPr>
          <w:vertAlign w:val="superscript"/>
        </w:rPr>
        <w:t>3</w:t>
      </w:r>
      <w:r w:rsidR="0065132D">
        <w:t>, 8.</w:t>
      </w:r>
      <w:r w:rsidR="0065132D" w:rsidRPr="004F17CE">
        <w:rPr>
          <w:vertAlign w:val="superscript"/>
        </w:rPr>
        <w:t>4</w:t>
      </w:r>
      <w:r>
        <w:t>, 8.</w:t>
      </w:r>
      <w:r w:rsidRPr="004F17CE">
        <w:rPr>
          <w:vertAlign w:val="superscript"/>
        </w:rPr>
        <w:t>5</w:t>
      </w:r>
      <w:r>
        <w:t>, 8.</w:t>
      </w:r>
      <w:r w:rsidRPr="004F17CE">
        <w:rPr>
          <w:vertAlign w:val="superscript"/>
        </w:rPr>
        <w:t>6</w:t>
      </w:r>
      <w:r>
        <w:t>, 8.</w:t>
      </w:r>
      <w:r w:rsidRPr="004F17CE">
        <w:rPr>
          <w:vertAlign w:val="superscript"/>
        </w:rPr>
        <w:t>7</w:t>
      </w:r>
      <w:r>
        <w:t>, 8.</w:t>
      </w:r>
      <w:r w:rsidRPr="004F17CE">
        <w:rPr>
          <w:vertAlign w:val="superscript"/>
        </w:rPr>
        <w:t>8</w:t>
      </w:r>
      <w:r>
        <w:t>, 8.</w:t>
      </w:r>
      <w:r w:rsidRPr="004F17CE">
        <w:rPr>
          <w:vertAlign w:val="superscript"/>
        </w:rPr>
        <w:t>9</w:t>
      </w:r>
      <w:r>
        <w:t>, 8.</w:t>
      </w:r>
      <w:r w:rsidRPr="004F17CE">
        <w:rPr>
          <w:vertAlign w:val="superscript"/>
        </w:rPr>
        <w:t>10</w:t>
      </w:r>
      <w:r>
        <w:t>, 8.</w:t>
      </w:r>
      <w:r w:rsidRPr="004F17CE">
        <w:rPr>
          <w:vertAlign w:val="superscript"/>
        </w:rPr>
        <w:t>11</w:t>
      </w:r>
      <w:r>
        <w:t xml:space="preserve"> un 8.</w:t>
      </w:r>
      <w:r w:rsidRPr="004F17CE">
        <w:rPr>
          <w:vertAlign w:val="superscript"/>
        </w:rPr>
        <w:t>12</w:t>
      </w:r>
      <w:r w:rsidR="00742B90">
        <w:rPr>
          <w:vertAlign w:val="superscript"/>
        </w:rPr>
        <w:t> </w:t>
      </w:r>
      <w:r w:rsidR="0065132D" w:rsidRPr="00E40F57">
        <w:t>punktu</w:t>
      </w:r>
      <w:r w:rsidRPr="00E40F57">
        <w:t xml:space="preserve"> </w:t>
      </w:r>
      <w:r w:rsidR="0065132D" w:rsidRPr="00E40F57">
        <w:t>šādā redakcijā:</w:t>
      </w:r>
    </w:p>
    <w:p w14:paraId="43196F80" w14:textId="2F91D4A6" w:rsidR="0065132D" w:rsidRPr="00E40F57" w:rsidRDefault="0065132D" w:rsidP="004F17CE">
      <w:pPr>
        <w:pStyle w:val="naisf"/>
        <w:spacing w:before="0" w:after="0"/>
        <w:ind w:firstLine="720"/>
      </w:pPr>
      <w:r w:rsidRPr="00E40F57">
        <w:rPr>
          <w:rFonts w:eastAsiaTheme="minorHAnsi"/>
          <w:lang w:eastAsia="en-US"/>
        </w:rPr>
        <w:t>„</w:t>
      </w:r>
      <w:r w:rsidR="004F17CE" w:rsidRPr="00E40F57">
        <w:t>8.</w:t>
      </w:r>
      <w:r w:rsidR="004F17CE" w:rsidRPr="00E40F57">
        <w:rPr>
          <w:vertAlign w:val="superscript"/>
        </w:rPr>
        <w:t>1</w:t>
      </w:r>
      <w:r w:rsidR="00742B90">
        <w:t> </w:t>
      </w:r>
      <w:r w:rsidRPr="00E40F57">
        <w:t xml:space="preserve">Valsts sabiedrībā ar ierobežotu atbildību </w:t>
      </w:r>
      <w:r w:rsidR="00372541" w:rsidRPr="00E40F57">
        <w:t>„Latvijas Vides, ģeoloģijas un meteoroloģijas centrs”</w:t>
      </w:r>
      <w:r w:rsidRPr="00E40F57">
        <w:t xml:space="preserve"> (turpmāk – centrs) ir atbildīgā iestāde Latvijā par:</w:t>
      </w:r>
    </w:p>
    <w:p w14:paraId="41D74AA1" w14:textId="0897AF16" w:rsidR="0065132D" w:rsidRPr="00E40F57" w:rsidRDefault="004F17CE" w:rsidP="004F17CE">
      <w:pPr>
        <w:pStyle w:val="naisf"/>
        <w:spacing w:before="0" w:after="0"/>
        <w:ind w:firstLine="720"/>
      </w:pPr>
      <w:r w:rsidRPr="00E40F57">
        <w:t>8.</w:t>
      </w:r>
      <w:r w:rsidRPr="00E40F57">
        <w:rPr>
          <w:vertAlign w:val="superscript"/>
        </w:rPr>
        <w:t>1</w:t>
      </w:r>
      <w:r w:rsidR="0065132D" w:rsidRPr="00E40F57">
        <w:t>1.</w:t>
      </w:r>
      <w:r w:rsidR="00742B90">
        <w:t> </w:t>
      </w:r>
      <w:r w:rsidR="0065132D" w:rsidRPr="00E40F57">
        <w:t>valsts monitoringa tīkla izveidi un uzturēšanu, un gaisa kvalitātes novērtējuma veikšanu;</w:t>
      </w:r>
    </w:p>
    <w:p w14:paraId="7B56E71D" w14:textId="3E249D1C" w:rsidR="0065132D" w:rsidRPr="00E40F57" w:rsidRDefault="004F17CE" w:rsidP="004F17CE">
      <w:pPr>
        <w:pStyle w:val="naisf"/>
        <w:spacing w:before="0" w:after="0"/>
        <w:ind w:firstLine="720"/>
      </w:pPr>
      <w:r w:rsidRPr="00E40F57">
        <w:t>8.</w:t>
      </w:r>
      <w:r w:rsidRPr="00E40F57">
        <w:rPr>
          <w:vertAlign w:val="superscript"/>
        </w:rPr>
        <w:t>1</w:t>
      </w:r>
      <w:r w:rsidR="0065132D" w:rsidRPr="00E40F57">
        <w:t>.2.</w:t>
      </w:r>
      <w:r w:rsidR="00742B90">
        <w:t> </w:t>
      </w:r>
      <w:r w:rsidR="0065132D" w:rsidRPr="00E40F57">
        <w:t>par valsts monitoringa tīklā esošo mērījumu sistēmu akreditāciju un atbilstošas laboratorijas izveidi vai arī sadarbības nodrošināšanu ar šādu laboratoriju;</w:t>
      </w:r>
    </w:p>
    <w:p w14:paraId="4FED4190" w14:textId="1DAC04E7" w:rsidR="0065132D" w:rsidRPr="00E40F57" w:rsidRDefault="004F17CE" w:rsidP="004F17CE">
      <w:pPr>
        <w:pStyle w:val="naisf"/>
        <w:spacing w:before="0" w:after="0"/>
        <w:ind w:firstLine="720"/>
      </w:pPr>
      <w:r w:rsidRPr="00E40F57">
        <w:t>8.</w:t>
      </w:r>
      <w:r w:rsidRPr="00E40F57">
        <w:rPr>
          <w:vertAlign w:val="superscript"/>
        </w:rPr>
        <w:t>1</w:t>
      </w:r>
      <w:r w:rsidR="0065132D" w:rsidRPr="00E40F57">
        <w:t>.3.</w:t>
      </w:r>
      <w:r w:rsidR="00742B90">
        <w:t> </w:t>
      </w:r>
      <w:r w:rsidR="0065132D" w:rsidRPr="00E40F57">
        <w:t>valsts monitoringa tīklā veikto gaisa kvalitātes mērījumu precizitātes nodrošināšanu;</w:t>
      </w:r>
    </w:p>
    <w:p w14:paraId="5BF91F3B" w14:textId="6B44E190" w:rsidR="0065132D" w:rsidRPr="00E40F57" w:rsidRDefault="004F17CE" w:rsidP="004F17CE">
      <w:pPr>
        <w:pStyle w:val="naisf"/>
        <w:spacing w:before="0" w:after="0"/>
        <w:ind w:firstLine="720"/>
      </w:pPr>
      <w:r w:rsidRPr="00E40F57">
        <w:t>8.</w:t>
      </w:r>
      <w:r w:rsidRPr="00E40F57">
        <w:rPr>
          <w:vertAlign w:val="superscript"/>
        </w:rPr>
        <w:t>1</w:t>
      </w:r>
      <w:r w:rsidR="0065132D" w:rsidRPr="00E40F57">
        <w:t>.4.</w:t>
      </w:r>
      <w:r w:rsidR="00742B90">
        <w:t> </w:t>
      </w:r>
      <w:r w:rsidR="0065132D" w:rsidRPr="00E40F57">
        <w:t xml:space="preserve">novērtējuma metožu analīzi un valsts monitoringa tīklā izmantoto metožu līdzvērtīguma pierādīšanas procesu organizēšanu; </w:t>
      </w:r>
    </w:p>
    <w:p w14:paraId="7F30062D" w14:textId="0B55A138" w:rsidR="004F17CE" w:rsidRPr="00521E04" w:rsidRDefault="004F17CE" w:rsidP="004F17CE">
      <w:pPr>
        <w:pStyle w:val="naisf"/>
        <w:spacing w:before="0" w:after="0"/>
        <w:ind w:firstLine="720"/>
        <w:rPr>
          <w:rFonts w:eastAsiaTheme="minorHAnsi"/>
          <w:lang w:eastAsia="en-US"/>
        </w:rPr>
      </w:pPr>
      <w:r w:rsidRPr="00521E04">
        <w:t>8.</w:t>
      </w:r>
      <w:r w:rsidRPr="00521E04">
        <w:rPr>
          <w:vertAlign w:val="superscript"/>
        </w:rPr>
        <w:t>1</w:t>
      </w:r>
      <w:r w:rsidR="0065132D" w:rsidRPr="00521E04">
        <w:t>.5.</w:t>
      </w:r>
      <w:r w:rsidR="00742B90">
        <w:t> </w:t>
      </w:r>
      <w:r w:rsidR="0065132D" w:rsidRPr="00521E04">
        <w:t>sadarbības nodrošināšanu ar Eiropas Komisijas izveidoto Nacionālo references laboratoriju Eiropas tīklu un Kopīgo Pētniecības centru.</w:t>
      </w:r>
    </w:p>
    <w:p w14:paraId="7069F431" w14:textId="77777777" w:rsidR="004F17CE" w:rsidRPr="00521E04" w:rsidRDefault="004F17CE" w:rsidP="004F17CE">
      <w:pPr>
        <w:pStyle w:val="naisf"/>
        <w:spacing w:before="0" w:after="0"/>
        <w:ind w:firstLine="720"/>
        <w:rPr>
          <w:rFonts w:eastAsiaTheme="minorHAnsi"/>
          <w:lang w:eastAsia="en-US"/>
        </w:rPr>
      </w:pPr>
    </w:p>
    <w:p w14:paraId="2BC9E1C8" w14:textId="07DC7571" w:rsidR="004F17CE" w:rsidRPr="00521E04" w:rsidRDefault="004F17CE" w:rsidP="004F17CE">
      <w:pPr>
        <w:pStyle w:val="naisf"/>
        <w:spacing w:before="0" w:after="0"/>
        <w:ind w:firstLine="720"/>
        <w:rPr>
          <w:rFonts w:eastAsiaTheme="minorHAnsi"/>
          <w:lang w:eastAsia="en-US"/>
        </w:rPr>
      </w:pPr>
      <w:r w:rsidRPr="00521E04">
        <w:t>8.</w:t>
      </w:r>
      <w:r w:rsidRPr="00521E04">
        <w:rPr>
          <w:vertAlign w:val="superscript"/>
        </w:rPr>
        <w:t>2</w:t>
      </w:r>
      <w:r w:rsidR="007A5595">
        <w:t> </w:t>
      </w:r>
      <w:r w:rsidRPr="00521E04">
        <w:t>Centrs nodrošina, ka valsts monitoringa tīklā iekļautajās stacijās mērījumus veic laboratorija, kas ir akreditēta attiecībā uz šo noteikumu 3.</w:t>
      </w:r>
      <w:r w:rsidR="007A5595">
        <w:t> </w:t>
      </w:r>
      <w:r w:rsidRPr="00521E04">
        <w:t xml:space="preserve">punktā minētajām standartmetodēm, vismaz attiecībā uz tām piesārņojošajām vielām, kuru koncentrācija pārsniedz apakšējo piesārņojuma novērtēšanas slieksni, atbilstīgi attiecīgajam testēšanas un kalibrēšanas laboratorijām piemērojamajam standartam, uz kuru ir publicēta atsauce </w:t>
      </w:r>
      <w:r w:rsidRPr="00521E04">
        <w:rPr>
          <w:iCs/>
        </w:rPr>
        <w:t>Eiropas Savienības Oficiālajā Vēstnesī</w:t>
      </w:r>
      <w:r w:rsidRPr="00521E04">
        <w:rPr>
          <w:i/>
          <w:iCs/>
        </w:rPr>
        <w:t xml:space="preserve"> </w:t>
      </w:r>
      <w:r w:rsidRPr="00521E04">
        <w:t xml:space="preserve">atbilstīgi </w:t>
      </w:r>
      <w:r w:rsidR="007A5595">
        <w:t xml:space="preserve">Eiropas Parlamenta un Padomes 2008. gada 9. jūlija </w:t>
      </w:r>
      <w:r w:rsidRPr="00521E04">
        <w:t>Regulas (EK) Nr.</w:t>
      </w:r>
      <w:r w:rsidR="007A5595">
        <w:t> </w:t>
      </w:r>
      <w:r w:rsidRPr="00521E04">
        <w:t xml:space="preserve">765/2008, </w:t>
      </w:r>
      <w:r w:rsidR="007A5595">
        <w:t>ar ko nosaka akreditācijas un tirgus uzraudzības prasības attiecībā uz produktu tirdzniecību un atceļ Regulu (EEK) Nr. 339/93</w:t>
      </w:r>
      <w:r w:rsidRPr="00521E04">
        <w:t>2.</w:t>
      </w:r>
      <w:r w:rsidR="007A5595">
        <w:t> </w:t>
      </w:r>
      <w:r w:rsidRPr="00521E04">
        <w:t>panta 9.</w:t>
      </w:r>
      <w:r w:rsidR="007A5595">
        <w:t> </w:t>
      </w:r>
      <w:r w:rsidRPr="00521E04">
        <w:t>punktam (turpmāk – akreditēta laboratorija).</w:t>
      </w:r>
    </w:p>
    <w:p w14:paraId="7AE7715F" w14:textId="77777777" w:rsidR="004F17CE" w:rsidRPr="00521E04" w:rsidRDefault="004F17CE" w:rsidP="004F17CE">
      <w:pPr>
        <w:pStyle w:val="naisf"/>
        <w:spacing w:before="0" w:after="0"/>
        <w:ind w:firstLine="720"/>
        <w:rPr>
          <w:b/>
        </w:rPr>
      </w:pPr>
    </w:p>
    <w:p w14:paraId="1BF540CD" w14:textId="2B155901" w:rsidR="004F17CE" w:rsidRPr="00521E04" w:rsidRDefault="004F17CE" w:rsidP="004F17CE">
      <w:pPr>
        <w:pStyle w:val="naisf"/>
        <w:spacing w:before="0" w:after="0"/>
        <w:ind w:firstLine="720"/>
      </w:pPr>
      <w:r w:rsidRPr="00521E04">
        <w:t>8.</w:t>
      </w:r>
      <w:r w:rsidRPr="00521E04">
        <w:rPr>
          <w:vertAlign w:val="superscript"/>
        </w:rPr>
        <w:t>3</w:t>
      </w:r>
      <w:r w:rsidRPr="00521E04">
        <w:t> Centrs valsts monitoringa tīklā iekļautajām monitoringa stacijām piemēro pārbaudītu kvalitātes nodrošināšanas un kvalitātes kontroles sistēmu, kas paredz veikt regulāru iekārtu apkopi, kas ir nepieciešama mēriekārtu precizitātes garantēšanai, kā arī nodrošina datu vākšanas un paziņošanas kvalitātes kontroles procedūras izstrādi un mērījumu datu izsekojamību, ievērojot prasības, kas izklāstītas testēšanas un kalibrēšanas laboratoriju saskaņotajā standartā. Centrs sākot ar 2019.</w:t>
      </w:r>
      <w:r w:rsidR="007A5595">
        <w:t> </w:t>
      </w:r>
      <w:r w:rsidRPr="00521E04">
        <w:t>gadu vismaz reizi piecos gados izvērtē izveidoto kvalitātes nodrošināšanas sistēmu un par tās rezultātiem informē Vides aizsardzības un reģionālās attīstības ministriju.</w:t>
      </w:r>
    </w:p>
    <w:p w14:paraId="2AC3B28B" w14:textId="77777777" w:rsidR="004F17CE" w:rsidRPr="00521E04" w:rsidRDefault="004F17CE" w:rsidP="004F17CE">
      <w:pPr>
        <w:pStyle w:val="naisf"/>
        <w:spacing w:before="0" w:after="0"/>
        <w:ind w:firstLine="720"/>
      </w:pPr>
    </w:p>
    <w:p w14:paraId="30A54F92" w14:textId="16BFA8D1" w:rsidR="004F17CE" w:rsidRPr="00521E04" w:rsidRDefault="004F17CE" w:rsidP="004F17CE">
      <w:pPr>
        <w:pStyle w:val="naisf"/>
        <w:spacing w:before="0" w:after="0"/>
        <w:ind w:firstLine="720"/>
      </w:pPr>
      <w:r w:rsidRPr="00521E04">
        <w:t>8.</w:t>
      </w:r>
      <w:r w:rsidR="004F54C6" w:rsidRPr="00521E04">
        <w:rPr>
          <w:vertAlign w:val="superscript"/>
        </w:rPr>
        <w:t>4</w:t>
      </w:r>
      <w:r w:rsidR="007A5595">
        <w:rPr>
          <w:vertAlign w:val="superscript"/>
        </w:rPr>
        <w:t> </w:t>
      </w:r>
      <w:r w:rsidRPr="00521E04">
        <w:t xml:space="preserve">Centrs ne vēlāk kā 2019.gadā un pēc tam vismaz reizi trijos gados piedalās Eiropas Savienības mērogā organizētajās kvalitātes nodrošināšanas programmās. Ja, piedaloties šajās programmās, tiek gūti neapmierinoši rezultāti, centrs līdz nākošajai novērtēšanas reizei veic atbilstošus pasākumus un iesniedz ziņojumu par paveikto </w:t>
      </w:r>
      <w:r w:rsidR="007A5595">
        <w:t xml:space="preserve">Eiropas Komisijas </w:t>
      </w:r>
      <w:r w:rsidRPr="00521E04">
        <w:t xml:space="preserve">Kopīgajam </w:t>
      </w:r>
      <w:r w:rsidR="007A5595">
        <w:t>P</w:t>
      </w:r>
      <w:r w:rsidRPr="00521E04">
        <w:t>ētniecības centram.</w:t>
      </w:r>
    </w:p>
    <w:p w14:paraId="50EA5C0B" w14:textId="77777777" w:rsidR="004F17CE" w:rsidRPr="00521E04" w:rsidRDefault="004F17CE" w:rsidP="004F17CE">
      <w:pPr>
        <w:pStyle w:val="CommentText"/>
        <w:ind w:firstLine="720"/>
        <w:rPr>
          <w:noProof/>
        </w:rPr>
      </w:pPr>
    </w:p>
    <w:p w14:paraId="49DA0130" w14:textId="3920577D" w:rsidR="004F17CE" w:rsidRDefault="004F17CE" w:rsidP="004F17CE">
      <w:pPr>
        <w:pStyle w:val="naisf"/>
        <w:spacing w:before="0" w:after="0"/>
        <w:ind w:firstLine="720"/>
      </w:pPr>
      <w:r w:rsidRPr="00521E04">
        <w:t>8.</w:t>
      </w:r>
      <w:r w:rsidR="004F54C6" w:rsidRPr="00521E04">
        <w:rPr>
          <w:vertAlign w:val="superscript"/>
        </w:rPr>
        <w:t>5</w:t>
      </w:r>
      <w:r w:rsidR="007A5595">
        <w:t> </w:t>
      </w:r>
      <w:r w:rsidRPr="00521E04">
        <w:t xml:space="preserve">Centrs atbild par Eiropas Komisijas Kopīgā </w:t>
      </w:r>
      <w:r w:rsidR="007A5595">
        <w:t>P</w:t>
      </w:r>
      <w:r w:rsidRPr="00521E04">
        <w:t xml:space="preserve">ētniecības centra organizētu </w:t>
      </w:r>
      <w:r w:rsidR="007A5595">
        <w:t xml:space="preserve">Eiropas </w:t>
      </w:r>
      <w:r w:rsidRPr="00521E04">
        <w:t>Savienības mēroga kvalitātes nodrošināšanas programmu koordināciju Latvijā un par šo noteikumu 3.</w:t>
      </w:r>
      <w:r w:rsidR="007A5595">
        <w:t> </w:t>
      </w:r>
      <w:r w:rsidRPr="00521E04">
        <w:t>punktā minēto bāzes (references) metožu izmantošanas koordināciju valsts mērogā un tādu valsts monitoringa tīklā izmantojamo metožu līdzvērtības pierādīšanu, kas atšķiras no standartmetodēm. Centrs</w:t>
      </w:r>
      <w:r w:rsidRPr="00E105C0">
        <w:t xml:space="preserve"> savā </w:t>
      </w:r>
      <w:r w:rsidR="007A5595">
        <w:t>tīmekļa vietnē</w:t>
      </w:r>
      <w:r w:rsidR="000B1887">
        <w:t xml:space="preserve"> </w:t>
      </w:r>
      <w:r w:rsidRPr="00E105C0">
        <w:t>publicē norādes par kvalitātes kontroles procedūrām, kas būtu jāpiemēro citu</w:t>
      </w:r>
      <w:r w:rsidRPr="00923A02">
        <w:t xml:space="preserve"> iestāžu un organizāciju pārziņā esošajām gaisa kvalitātes monitoringa iekārtām.</w:t>
      </w:r>
    </w:p>
    <w:p w14:paraId="4B6C7D8E" w14:textId="77777777" w:rsidR="004F17CE" w:rsidRDefault="004F17CE" w:rsidP="004F17CE">
      <w:pPr>
        <w:pStyle w:val="naisf"/>
        <w:spacing w:before="0" w:after="0"/>
        <w:ind w:firstLine="720"/>
      </w:pPr>
    </w:p>
    <w:p w14:paraId="1C1998BD" w14:textId="001AA20A" w:rsidR="004F17CE" w:rsidRDefault="004F17CE" w:rsidP="004F17CE">
      <w:pPr>
        <w:pStyle w:val="naisf"/>
        <w:spacing w:before="0" w:after="0"/>
        <w:ind w:firstLine="720"/>
      </w:pPr>
      <w:r w:rsidRPr="00623527">
        <w:t>8.</w:t>
      </w:r>
      <w:r w:rsidR="004F54C6" w:rsidRPr="00623527">
        <w:rPr>
          <w:vertAlign w:val="superscript"/>
        </w:rPr>
        <w:t>6</w:t>
      </w:r>
      <w:r w:rsidR="007A5595">
        <w:t> </w:t>
      </w:r>
      <w:r>
        <w:t>Lai nodrošinātu mērījumu precizitāti un nodrošinātu atbilstību šajos noteikumos noteiktajiem datu kvalitātes mērķiem</w:t>
      </w:r>
      <w:r w:rsidR="00D41D94">
        <w:t>,</w:t>
      </w:r>
      <w:r w:rsidR="00B36831">
        <w:t xml:space="preserve"> </w:t>
      </w:r>
      <w:r>
        <w:t xml:space="preserve">iestādes un organizācijas, kuru pārziņā ir gaisa kvalitātes monitoringa stacijas un kuru dati tiek izmantoti sabiedrības informēšanai ievēro šajā nodaļā noteiktās prasības attiecībā uz gaisa kvalitātes mērījumu veikšanu un datu kvalitātes nodrošināšanas un kvalitātes kontroles </w:t>
      </w:r>
      <w:r w:rsidRPr="00E105C0">
        <w:t>sistēmas izveidi. Iestāde, kas veic mērījumus atbilstoši šajā punktā norādītajiem mērķiem mēneša laikā pēc attiecīgās iekārtas uzstādīšanas par to informē Centru, kā arī katru gadu līdz 1.</w:t>
      </w:r>
      <w:r w:rsidR="00D41D94">
        <w:t> </w:t>
      </w:r>
      <w:r w:rsidRPr="00E105C0">
        <w:t>jūnijam sniedz informāciju par uzstādītajām gaisa kvalitātes mērīšanas iekārtām, kvalitātes kontroles procesa piemērošanu un citu informāciju, kas centram var būt nepieciešama iekārtas atbilstības pārbaudei, piemēram, iekārtā veiktās tehniskās apkopes rezultātus iepriekšējā gadā.</w:t>
      </w:r>
    </w:p>
    <w:p w14:paraId="1D055092" w14:textId="77777777" w:rsidR="004F17CE" w:rsidRPr="00923A02" w:rsidRDefault="004F17CE" w:rsidP="004F17CE">
      <w:pPr>
        <w:pStyle w:val="naisf"/>
        <w:spacing w:before="0" w:after="0"/>
        <w:ind w:firstLine="720"/>
      </w:pPr>
    </w:p>
    <w:p w14:paraId="6FF0B692" w14:textId="0F757B83" w:rsidR="004F17CE" w:rsidRDefault="004F17CE" w:rsidP="004F17CE">
      <w:pPr>
        <w:pStyle w:val="naisf"/>
        <w:spacing w:before="0" w:after="0"/>
        <w:ind w:firstLine="720"/>
      </w:pPr>
      <w:r w:rsidRPr="00923A02">
        <w:t>8.</w:t>
      </w:r>
      <w:r w:rsidR="004F54C6">
        <w:rPr>
          <w:vertAlign w:val="superscript"/>
        </w:rPr>
        <w:t>7</w:t>
      </w:r>
      <w:r w:rsidR="00D41D94">
        <w:rPr>
          <w:vertAlign w:val="superscript"/>
        </w:rPr>
        <w:t> </w:t>
      </w:r>
      <w:r w:rsidRPr="00923A02">
        <w:t xml:space="preserve">Centrs </w:t>
      </w:r>
      <w:r w:rsidRPr="00E043B2">
        <w:t>sākot ar 2020.gadu reizi piecos gados sagatavo pārskatu par valstī esošajām monitoringa iekārtām un to atbilstību šajos noteikumos noteiktajām prasībām (atbilstību šajos noteikumos noteiktajiem monitoringa staciju</w:t>
      </w:r>
      <w:r>
        <w:t xml:space="preserve"> izvietojuma kritērijiem, datu kvalitātes mērķiem, izmantotajām mērījumu metodēm)</w:t>
      </w:r>
      <w:r w:rsidRPr="00923A02">
        <w:t xml:space="preserve">. Šo </w:t>
      </w:r>
      <w:r w:rsidRPr="00E453CB">
        <w:t xml:space="preserve">informāciju </w:t>
      </w:r>
      <w:r w:rsidR="00D41D94" w:rsidRPr="00E453CB">
        <w:t xml:space="preserve">Centrs </w:t>
      </w:r>
      <w:r w:rsidRPr="00E453CB">
        <w:t xml:space="preserve">publicē savā </w:t>
      </w:r>
      <w:r w:rsidR="00D41D94" w:rsidRPr="00E453CB">
        <w:t>tīmekļa vietnē</w:t>
      </w:r>
      <w:r w:rsidRPr="00E453CB">
        <w:t xml:space="preserve">, norādot arī tās iekārtas, kuru mērījumi neatbilst šajos noteikumos noteiktajām prasībām un kuru mērījumos iegūtos datus var uzskatīt tikai par </w:t>
      </w:r>
      <w:r w:rsidR="004F54C6" w:rsidRPr="00E453CB">
        <w:t>aptuveniem</w:t>
      </w:r>
      <w:r w:rsidRPr="00E453CB">
        <w:t>. Neatbilstības gadījumā centrs informē iestādi, kuras rīcībā ir šādas iekārtas. Iestāde, kuras pārziņā ir konkrētā iekārta, kas neatbilst šajos noteikumos noteiktajām prasībām, publicējot ar konkrēto iekārtu iegūtos gaisa kvalitātes mērījumu rezultātus</w:t>
      </w:r>
      <w:r w:rsidR="00D41D94" w:rsidRPr="00E453CB">
        <w:t>,</w:t>
      </w:r>
      <w:r w:rsidRPr="00E453CB">
        <w:t xml:space="preserve"> norāda, ka šī informācija neatbilst</w:t>
      </w:r>
      <w:r w:rsidRPr="00F56ABC">
        <w:t xml:space="preserve"> noteikumos noteiktajām prasībām</w:t>
      </w:r>
      <w:r w:rsidR="00D41D94">
        <w:t>,</w:t>
      </w:r>
      <w:r w:rsidRPr="00F56ABC">
        <w:t xml:space="preserve"> un ir uzskatāma tikai par indikatīvu.</w:t>
      </w:r>
    </w:p>
    <w:p w14:paraId="0098EE76" w14:textId="77777777" w:rsidR="004F17CE" w:rsidRDefault="004F17CE" w:rsidP="004F17CE">
      <w:pPr>
        <w:pStyle w:val="naisf"/>
        <w:spacing w:before="0" w:after="0"/>
        <w:ind w:firstLine="720"/>
      </w:pPr>
    </w:p>
    <w:p w14:paraId="0600DC3E" w14:textId="1EA333BC" w:rsidR="004F17CE" w:rsidRDefault="004F17CE" w:rsidP="004F17CE">
      <w:pPr>
        <w:pStyle w:val="naisf"/>
        <w:spacing w:before="0" w:after="0"/>
        <w:ind w:firstLine="720"/>
      </w:pPr>
      <w:r>
        <w:t>8.</w:t>
      </w:r>
      <w:r w:rsidR="004F54C6">
        <w:rPr>
          <w:vertAlign w:val="superscript"/>
        </w:rPr>
        <w:t>8</w:t>
      </w:r>
      <w:r>
        <w:t> Centrs un pārējās iestādes un organizācijas, kuru pārziņā ir gaisa kvalitātes monitoringa stacijas, kuru dati tiek izmantoti sabiedrības informēšanai, mērīšanai</w:t>
      </w:r>
      <w:r w:rsidR="00D41D94">
        <w:t>,</w:t>
      </w:r>
      <w:r>
        <w:t xml:space="preserve"> izmanto šo noteikumu 3.</w:t>
      </w:r>
      <w:r w:rsidR="00D41D94">
        <w:t> </w:t>
      </w:r>
      <w:r>
        <w:t>punktā minētās bāzes (references) metodes. Var izmantot arī citas paraugu ņemšanas un analīzes metodes, kas nav šo noteikumu 3.</w:t>
      </w:r>
      <w:r w:rsidR="00D41D94">
        <w:t> </w:t>
      </w:r>
      <w:r>
        <w:t>punktā minētās bāzes (references) metodes, ja attiecīgā iestāde var pierādīt, ka ar šo citu metodi iegūtie rezultāti ir līdzvērtīgi rezultātiem, kas tiek iegūti ar šo noteikumu 3.</w:t>
      </w:r>
      <w:r w:rsidR="00D41D94">
        <w:t> </w:t>
      </w:r>
      <w:r>
        <w:t>punktā minētaj</w:t>
      </w:r>
      <w:r w:rsidRPr="009B11F4">
        <w:t>ā</w:t>
      </w:r>
      <w:r>
        <w:t xml:space="preserve">m standarta (bāzes) metodēm. </w:t>
      </w:r>
    </w:p>
    <w:p w14:paraId="6A0DF2EA" w14:textId="77777777" w:rsidR="004F17CE" w:rsidRDefault="004F17CE" w:rsidP="004F17CE">
      <w:pPr>
        <w:pStyle w:val="naisf"/>
        <w:spacing w:before="0" w:after="0"/>
        <w:ind w:firstLine="720"/>
      </w:pPr>
    </w:p>
    <w:p w14:paraId="342CEFC8" w14:textId="30CD8D5E" w:rsidR="004F17CE" w:rsidRDefault="004F17CE" w:rsidP="004F17CE">
      <w:pPr>
        <w:pStyle w:val="naisf"/>
        <w:spacing w:before="0" w:after="0"/>
        <w:ind w:firstLine="720"/>
      </w:pPr>
      <w:r>
        <w:t>8.</w:t>
      </w:r>
      <w:r w:rsidR="004F54C6">
        <w:rPr>
          <w:vertAlign w:val="superscript"/>
        </w:rPr>
        <w:t>9</w:t>
      </w:r>
      <w:r w:rsidR="00C137CB">
        <w:t> </w:t>
      </w:r>
      <w:r>
        <w:t>Lai pierādītu izmantotās metodes līdzvērtīgumu šo noteikumu 3.</w:t>
      </w:r>
      <w:r w:rsidR="00C137CB">
        <w:t> </w:t>
      </w:r>
      <w:r>
        <w:t xml:space="preserve">punktā minētajām standarta (bāzes) metodēm, </w:t>
      </w:r>
      <w:r w:rsidRPr="009A0968">
        <w:t>iestāde</w:t>
      </w:r>
      <w:r>
        <w:t>, k</w:t>
      </w:r>
      <w:r w:rsidR="00C137CB">
        <w:t>as</w:t>
      </w:r>
      <w:r>
        <w:t xml:space="preserve"> veic gaisa kvalitātes mērījumus un iegūtos mērījumu datus dara pieejamus sabiedrībai,</w:t>
      </w:r>
      <w:r w:rsidRPr="009A0968">
        <w:t xml:space="preserve"> centrā</w:t>
      </w:r>
      <w:r>
        <w:t xml:space="preserve"> iesniedz attiecīgu testēšanas pārskatu, kuru izdevusi akreditēta laboratorija, kuras akreditācijas sfērā ir iekļautas minētās metodes.</w:t>
      </w:r>
      <w:r w:rsidRPr="00AB4E0D">
        <w:t xml:space="preserve"> </w:t>
      </w:r>
      <w:r>
        <w:t xml:space="preserve">Centrs </w:t>
      </w:r>
      <w:r w:rsidRPr="00F40B8B">
        <w:t xml:space="preserve">akceptē </w:t>
      </w:r>
      <w:r>
        <w:t>arī testēšanas pārskatus</w:t>
      </w:r>
      <w:r w:rsidRPr="00F40B8B">
        <w:t>, k</w:t>
      </w:r>
      <w:r w:rsidR="00C137CB">
        <w:t>as</w:t>
      </w:r>
      <w:r w:rsidRPr="00F40B8B">
        <w:t xml:space="preserve"> izdoti citās </w:t>
      </w:r>
      <w:r w:rsidR="00C137CB">
        <w:t xml:space="preserve">Eiropas Savienības </w:t>
      </w:r>
      <w:r w:rsidRPr="00F40B8B">
        <w:t xml:space="preserve">dalībvalstīs, ar nosacījumu, ka </w:t>
      </w:r>
      <w:r>
        <w:t xml:space="preserve">testēšanas pārskatu ir izdevusi </w:t>
      </w:r>
      <w:r w:rsidRPr="00F40B8B">
        <w:t>testēšanas laboratorija</w:t>
      </w:r>
      <w:r>
        <w:t>, kas</w:t>
      </w:r>
      <w:r w:rsidRPr="00F40B8B">
        <w:t xml:space="preserve"> akreditētas atbilstīgi attiecīgajam testēšanas un kalibrēšanas laboratoriju saskaņotajam standartam</w:t>
      </w:r>
      <w:r>
        <w:t xml:space="preserve"> un </w:t>
      </w:r>
      <w:r w:rsidR="00C137CB">
        <w:t xml:space="preserve">šo noteikumu </w:t>
      </w:r>
      <w:r>
        <w:t>3.</w:t>
      </w:r>
      <w:r w:rsidR="00C137CB">
        <w:t> </w:t>
      </w:r>
      <w:r>
        <w:t>punktā minētās standarta (bāzes) metodes ir iekļautas to akreditācijas sfērā</w:t>
      </w:r>
      <w:r w:rsidRPr="00F40B8B">
        <w:t>.</w:t>
      </w:r>
      <w:r w:rsidRPr="001B5CD0">
        <w:t xml:space="preserve"> </w:t>
      </w:r>
      <w:r w:rsidRPr="00ED12AD">
        <w:t>Centrs ievēro šajā punktā minētās prasības arī attiecībā uz valsts monitoringa tīklā iekļautajām stacijām.</w:t>
      </w:r>
    </w:p>
    <w:p w14:paraId="3AF78E0B" w14:textId="77777777" w:rsidR="004F17CE" w:rsidRDefault="004F17CE" w:rsidP="004F17CE">
      <w:pPr>
        <w:pStyle w:val="naisf"/>
        <w:spacing w:before="0" w:after="0"/>
        <w:ind w:firstLine="720"/>
      </w:pPr>
    </w:p>
    <w:p w14:paraId="4611134A" w14:textId="3665C0F1" w:rsidR="004F17CE" w:rsidRDefault="004F17CE" w:rsidP="004F17CE">
      <w:pPr>
        <w:pStyle w:val="naisf"/>
        <w:spacing w:before="0" w:after="0"/>
        <w:ind w:firstLine="720"/>
      </w:pPr>
      <w:r w:rsidRPr="00180045">
        <w:t>8.</w:t>
      </w:r>
      <w:r w:rsidR="004F54C6">
        <w:rPr>
          <w:vertAlign w:val="superscript"/>
        </w:rPr>
        <w:t>10</w:t>
      </w:r>
      <w:r w:rsidR="00C137CB">
        <w:t> </w:t>
      </w:r>
      <w:r>
        <w:t>Šo noteikumu 8.</w:t>
      </w:r>
      <w:r w:rsidR="004F54C6">
        <w:rPr>
          <w:vertAlign w:val="superscript"/>
        </w:rPr>
        <w:t>9</w:t>
      </w:r>
      <w:r w:rsidR="00C137CB">
        <w:rPr>
          <w:vertAlign w:val="superscript"/>
        </w:rPr>
        <w:t> </w:t>
      </w:r>
      <w:r>
        <w:t>punktā minētajiem</w:t>
      </w:r>
      <w:r w:rsidRPr="00D730FD">
        <w:t xml:space="preserve"> </w:t>
      </w:r>
      <w:r>
        <w:t>t</w:t>
      </w:r>
      <w:r w:rsidRPr="00D730FD">
        <w:t>estēšanas</w:t>
      </w:r>
      <w:r w:rsidRPr="006A70C8">
        <w:t xml:space="preserve"> p</w:t>
      </w:r>
      <w:r>
        <w:t>ārskatiem</w:t>
      </w:r>
      <w:r w:rsidRPr="006A70C8">
        <w:t xml:space="preserve"> jāapliecina, ka iekārtas atbilst visām veiktspējas prasībām, tostarp gadījumos, kad atsevišķi vides un vietējie nosacījumi ir specifiski </w:t>
      </w:r>
      <w:r>
        <w:t>konkrētajai vietai, kurā paredzēts veikt mērījumus</w:t>
      </w:r>
      <w:r w:rsidRPr="006A70C8">
        <w:t xml:space="preserve"> un neatbilst nosacījumiem, attiecībā uz kuriem iekārtas jau ir testētas un apstiprinātas citā </w:t>
      </w:r>
      <w:r w:rsidR="00C137CB">
        <w:t xml:space="preserve">Eiropas Savienības </w:t>
      </w:r>
      <w:r w:rsidRPr="006A70C8">
        <w:t>dalībvalstī.</w:t>
      </w:r>
      <w:r>
        <w:t xml:space="preserve"> Daļiņu PM</w:t>
      </w:r>
      <w:r>
        <w:rPr>
          <w:vertAlign w:val="subscript"/>
        </w:rPr>
        <w:t>10</w:t>
      </w:r>
      <w:r>
        <w:t xml:space="preserve"> un daļiņu PM</w:t>
      </w:r>
      <w:r>
        <w:rPr>
          <w:vertAlign w:val="subscript"/>
        </w:rPr>
        <w:t>2,5</w:t>
      </w:r>
      <w:r>
        <w:t xml:space="preserve"> gadījumā izmantojot līdzvērtīgu metodi iegūtie rezultāti ir jākoriģē ar koeficientu, lai tie kļūtu līdzvērtīgi ar standartmetodi iegūtajiem rezultātiem. Attiecīgos gadījumos arī iepriekš veikto mērījumu rezultātus koriģē ar atbilstošu koeficientu, lai datiem nodrošinātu labāku salīdzināmību.</w:t>
      </w:r>
      <w:r w:rsidRPr="00031755">
        <w:t xml:space="preserve"> </w:t>
      </w:r>
      <w:r>
        <w:t>Ja līdzvērtīguma aptuvenai nodrošināšanai izmanto pagaidu koeficientus, tos apstiprina vai groza ar atsauci uz Eiropas Komisijas izstrādātajām vadlīnijām</w:t>
      </w:r>
      <w:r w:rsidR="004F54C6">
        <w:t xml:space="preserve"> par līdzvērtīguma pierādīšanu.</w:t>
      </w:r>
    </w:p>
    <w:p w14:paraId="181DC8D0" w14:textId="77777777" w:rsidR="004F54C6" w:rsidRPr="00F40B8B" w:rsidRDefault="004F54C6" w:rsidP="004F17CE">
      <w:pPr>
        <w:pStyle w:val="naisf"/>
        <w:spacing w:before="0" w:after="0"/>
        <w:ind w:firstLine="720"/>
      </w:pPr>
    </w:p>
    <w:p w14:paraId="49AD9F9D" w14:textId="78A79F56" w:rsidR="004F17CE" w:rsidRDefault="004F17CE" w:rsidP="004F17CE">
      <w:pPr>
        <w:pStyle w:val="naisf"/>
        <w:spacing w:before="0" w:after="0"/>
        <w:ind w:firstLine="720"/>
      </w:pPr>
      <w:r>
        <w:lastRenderedPageBreak/>
        <w:t>8.</w:t>
      </w:r>
      <w:r w:rsidR="004F54C6">
        <w:rPr>
          <w:vertAlign w:val="superscript"/>
        </w:rPr>
        <w:t>11</w:t>
      </w:r>
      <w:r w:rsidR="008C4AF9">
        <w:t> </w:t>
      </w:r>
      <w:r>
        <w:t xml:space="preserve">Ja </w:t>
      </w:r>
      <w:r w:rsidRPr="00E043B2">
        <w:t>nepieciešams, centrs attiecībā uz valsts monitoringa tīkla stacijās izmantotajām metodēm, kas nav šo noteikumu 3.</w:t>
      </w:r>
      <w:r w:rsidR="008C4AF9">
        <w:t> </w:t>
      </w:r>
      <w:r w:rsidRPr="00E043B2">
        <w:t>punktā minētās bāzes (references) metodes, organizē savstarpēju metožu salīdzināšanu</w:t>
      </w:r>
      <w:r w:rsidRPr="00180045">
        <w:t xml:space="preserve"> un sagatavo pārskatu par iegūtajiem rezultātiem. Šo novērtējuma rezultātā sastādītos testēšanas pārskatus un visus testu rezultātus centrs pēc pieprasījuma dara pieejamus citām</w:t>
      </w:r>
      <w:r w:rsidR="001375F2">
        <w:t xml:space="preserve"> </w:t>
      </w:r>
      <w:r w:rsidRPr="00180045">
        <w:t>kompetentajām iestādēm.</w:t>
      </w:r>
    </w:p>
    <w:p w14:paraId="24D131E3" w14:textId="77777777" w:rsidR="004F17CE" w:rsidRDefault="004F17CE" w:rsidP="004F17CE">
      <w:pPr>
        <w:pStyle w:val="naisf"/>
        <w:spacing w:before="0" w:after="0"/>
        <w:ind w:firstLine="720"/>
      </w:pPr>
    </w:p>
    <w:p w14:paraId="0873A1DE" w14:textId="6D783F55" w:rsidR="004F17CE" w:rsidRDefault="004F17CE" w:rsidP="004F17CE">
      <w:pPr>
        <w:pStyle w:val="naisf"/>
        <w:spacing w:before="0" w:after="0"/>
        <w:ind w:firstLine="720"/>
      </w:pPr>
      <w:r>
        <w:t>8.</w:t>
      </w:r>
      <w:r w:rsidR="004F54C6">
        <w:rPr>
          <w:vertAlign w:val="superscript"/>
        </w:rPr>
        <w:t>12</w:t>
      </w:r>
      <w:r>
        <w:t> Centrs saskaņā ar šo noteikumu 8.</w:t>
      </w:r>
      <w:r w:rsidR="004F54C6">
        <w:rPr>
          <w:vertAlign w:val="superscript"/>
        </w:rPr>
        <w:t>9</w:t>
      </w:r>
      <w:r w:rsidR="008C4AF9">
        <w:t> </w:t>
      </w:r>
      <w:r>
        <w:t xml:space="preserve">punktu iesniegtos testēšanas pārskatus uzglabā tik ilgi, kamēr attiecīgā paraugu ņemšanas un analīzes metode </w:t>
      </w:r>
      <w:r w:rsidRPr="004F54C6">
        <w:t>tiek izmantota gaisa piesārņojuma līmeņa noteikšanai un mērīšanai, bet ne mazāk kā piecus gadus.</w:t>
      </w:r>
      <w:r w:rsidR="008C4AF9">
        <w:t>”</w:t>
      </w:r>
    </w:p>
    <w:p w14:paraId="5715714D" w14:textId="77777777" w:rsidR="0065132D" w:rsidRDefault="0065132D" w:rsidP="004F54C6">
      <w:pPr>
        <w:pStyle w:val="naisf"/>
        <w:tabs>
          <w:tab w:val="left" w:pos="1328"/>
        </w:tabs>
        <w:ind w:firstLine="0"/>
        <w:rPr>
          <w:rFonts w:eastAsiaTheme="minorHAnsi"/>
          <w:lang w:eastAsia="en-US"/>
        </w:rPr>
      </w:pPr>
    </w:p>
    <w:p w14:paraId="4EA7CCDD" w14:textId="4E355113" w:rsidR="00B14D71" w:rsidRPr="00256CF3" w:rsidRDefault="00B14D71" w:rsidP="00B14D71">
      <w:pPr>
        <w:pStyle w:val="naisf"/>
        <w:numPr>
          <w:ilvl w:val="0"/>
          <w:numId w:val="1"/>
        </w:numPr>
        <w:spacing w:before="0" w:after="0"/>
        <w:ind w:left="0" w:firstLine="720"/>
      </w:pPr>
      <w:r w:rsidRPr="00256CF3">
        <w:rPr>
          <w:rFonts w:eastAsiaTheme="minorHAnsi"/>
          <w:lang w:eastAsia="en-US"/>
        </w:rPr>
        <w:t xml:space="preserve">Izteikt </w:t>
      </w:r>
      <w:r w:rsidR="004F54C6" w:rsidRPr="00256CF3">
        <w:rPr>
          <w:rFonts w:eastAsiaTheme="minorHAnsi"/>
          <w:lang w:eastAsia="en-US"/>
        </w:rPr>
        <w:t>9.</w:t>
      </w:r>
      <w:r w:rsidR="008C4AF9" w:rsidRPr="00256CF3">
        <w:rPr>
          <w:rFonts w:eastAsiaTheme="minorHAnsi"/>
          <w:lang w:eastAsia="en-US"/>
        </w:rPr>
        <w:t> </w:t>
      </w:r>
      <w:r w:rsidRPr="00256CF3">
        <w:rPr>
          <w:rFonts w:eastAsiaTheme="minorHAnsi"/>
          <w:lang w:eastAsia="en-US"/>
        </w:rPr>
        <w:t>punktu šādā redakcijā:</w:t>
      </w:r>
    </w:p>
    <w:p w14:paraId="329B5117" w14:textId="166B0ECF" w:rsidR="00B14D71" w:rsidRPr="00526E36" w:rsidRDefault="00B14D71" w:rsidP="00B14D71">
      <w:pPr>
        <w:pStyle w:val="naisf"/>
        <w:spacing w:before="0" w:after="0"/>
        <w:ind w:firstLine="720"/>
        <w:rPr>
          <w:highlight w:val="yellow"/>
        </w:rPr>
      </w:pPr>
      <w:r w:rsidRPr="00256CF3">
        <w:rPr>
          <w:rFonts w:eastAsiaTheme="minorHAnsi"/>
          <w:lang w:eastAsia="en-US"/>
        </w:rPr>
        <w:t>„</w:t>
      </w:r>
      <w:r w:rsidRPr="00256CF3">
        <w:t>9. Centrs</w:t>
      </w:r>
      <w:r w:rsidRPr="00180045">
        <w:t xml:space="preserve"> sākot ar 2019.gadu ne retāk kā reizi piecos gados pārskata</w:t>
      </w:r>
      <w:r>
        <w:t xml:space="preserve"> valsts teritorijas iedalījumu zonās (teritoriāla vienība, kas noteikta gaisa kvalitātes novērtēšanas un pārvaldības vajadzībām) un aglomerācijās (apdzīvoto vietu kopums, kurā iedzīvotāju skaits pārsniedz 250 000, vai apdzīvoto vietu kopums, kurā ir mazāks iedzīvotāju skaits, bet kurā iedzīvotāju blīvums pārsniedz 2500 ie</w:t>
      </w:r>
      <w:r>
        <w:softHyphen/>
        <w:t>dzīvotājus uz kvadrātkilometru), novērtējot gaisa kvalitāti attiecībā uz šo noteikumu 3.punktā minētajām piesārņojošajām vielām. Ja aglomerācijās vai zonās ir notikušas būtiskas pārmaiņas, kas ietekmē gaisa piesārņojuma līmeni, centrs organizē ārpuskārtas gaisa kvalitātes novērtējumu.</w:t>
      </w:r>
    </w:p>
    <w:p w14:paraId="3CF3A5BF" w14:textId="77777777" w:rsidR="002E4E99" w:rsidRDefault="002E4E99" w:rsidP="002E4E99">
      <w:pPr>
        <w:pStyle w:val="naisf"/>
        <w:spacing w:before="0" w:after="0"/>
        <w:rPr>
          <w:rFonts w:eastAsiaTheme="minorHAnsi"/>
          <w:lang w:eastAsia="en-US"/>
        </w:rPr>
      </w:pPr>
    </w:p>
    <w:p w14:paraId="6A2A632E" w14:textId="1625064C" w:rsidR="003F5806" w:rsidRDefault="003F5806" w:rsidP="003F5806">
      <w:pPr>
        <w:pStyle w:val="naisf"/>
        <w:numPr>
          <w:ilvl w:val="0"/>
          <w:numId w:val="1"/>
        </w:numPr>
        <w:spacing w:before="0" w:after="0"/>
      </w:pPr>
      <w:r>
        <w:t>Papildināt 11.</w:t>
      </w:r>
      <w:r w:rsidR="00384501">
        <w:t> </w:t>
      </w:r>
      <w:r>
        <w:t>punktu ar otro teikumu šādā redakcijā:</w:t>
      </w:r>
    </w:p>
    <w:p w14:paraId="772BD0E5" w14:textId="4F4EED17" w:rsidR="003F5806" w:rsidRDefault="00384501" w:rsidP="003F5806">
      <w:pPr>
        <w:pStyle w:val="naisf"/>
        <w:spacing w:before="0" w:after="0"/>
        <w:ind w:firstLine="720"/>
        <w:rPr>
          <w:rFonts w:asciiTheme="minorHAnsi" w:eastAsiaTheme="minorHAnsi" w:hAnsiTheme="minorHAnsi" w:cstheme="minorBidi"/>
          <w:sz w:val="22"/>
          <w:szCs w:val="22"/>
          <w:lang w:eastAsia="en-US"/>
        </w:rPr>
      </w:pPr>
      <w:r w:rsidRPr="00917B35">
        <w:rPr>
          <w:rFonts w:eastAsiaTheme="minorHAnsi"/>
          <w:lang w:eastAsia="en-US"/>
        </w:rPr>
        <w:t>„</w:t>
      </w:r>
      <w:r w:rsidR="003F5806">
        <w:t xml:space="preserve">Rīkojumā iekļauj informāciju par valsts monitoringa tīklā esošajām gaisa kvalitātes monitoringa stacijām. Šo staciju novietojumu nedrīkst mainīt, kā arī valsts monitoringa tīklā iekļauto staciju darbību pārtraukt bez saskaņojuma ar </w:t>
      </w:r>
      <w:r>
        <w:t>Vides aizsardzības un reģionālās attīstības</w:t>
      </w:r>
      <w:r w:rsidR="003F5806">
        <w:t>.</w:t>
      </w:r>
      <w:r>
        <w:t>”</w:t>
      </w:r>
    </w:p>
    <w:p w14:paraId="66F9E4B0" w14:textId="77777777" w:rsidR="003F5806" w:rsidRPr="00917B35" w:rsidRDefault="003F5806" w:rsidP="003F5806">
      <w:pPr>
        <w:pStyle w:val="naisf"/>
        <w:spacing w:before="0" w:after="0"/>
        <w:ind w:firstLine="720"/>
        <w:rPr>
          <w:rFonts w:eastAsiaTheme="minorHAnsi"/>
          <w:lang w:eastAsia="en-US"/>
        </w:rPr>
      </w:pPr>
    </w:p>
    <w:p w14:paraId="1BC72BC0" w14:textId="7A5E6F55" w:rsidR="003F5806" w:rsidRPr="00917B35" w:rsidRDefault="00917B35" w:rsidP="00917B35">
      <w:pPr>
        <w:pStyle w:val="naisf"/>
        <w:numPr>
          <w:ilvl w:val="0"/>
          <w:numId w:val="1"/>
        </w:numPr>
        <w:spacing w:before="0" w:after="0"/>
      </w:pPr>
      <w:r w:rsidRPr="00917B35">
        <w:rPr>
          <w:rFonts w:eastAsiaTheme="minorHAnsi"/>
          <w:lang w:eastAsia="en-US"/>
        </w:rPr>
        <w:t>Izteikt 12.1. un 12.2.</w:t>
      </w:r>
      <w:r w:rsidR="00384501">
        <w:rPr>
          <w:rFonts w:eastAsiaTheme="minorHAnsi"/>
          <w:lang w:eastAsia="en-US"/>
        </w:rPr>
        <w:t> </w:t>
      </w:r>
      <w:r w:rsidRPr="00917B35">
        <w:rPr>
          <w:rFonts w:eastAsiaTheme="minorHAnsi"/>
          <w:lang w:eastAsia="en-US"/>
        </w:rPr>
        <w:t>apakšpunktu šādā redakcijā:</w:t>
      </w:r>
    </w:p>
    <w:p w14:paraId="42E6293C" w14:textId="21EA73F5" w:rsidR="00917B35" w:rsidRPr="00917B35" w:rsidRDefault="00917B35" w:rsidP="00917B35">
      <w:pPr>
        <w:pStyle w:val="naisf"/>
      </w:pPr>
      <w:r w:rsidRPr="00917B35">
        <w:rPr>
          <w:rFonts w:eastAsiaTheme="minorHAnsi"/>
          <w:lang w:eastAsia="en-US"/>
        </w:rPr>
        <w:t>„</w:t>
      </w:r>
      <w:r w:rsidRPr="00917B35">
        <w:t>12.1.</w:t>
      </w:r>
      <w:r w:rsidR="00384501">
        <w:t> </w:t>
      </w:r>
      <w:r w:rsidRPr="00917B35">
        <w:t>iepriekšējā gada laikā konkrētai šo noteikumu 3.</w:t>
      </w:r>
      <w:r w:rsidR="00384501">
        <w:t> </w:t>
      </w:r>
      <w:r w:rsidRPr="00917B35">
        <w:t>punktā minētajai piesārņojošajai vielai noteikto robežlielumu pārsniegumu izraisa dabisko avotu radītais piesārņojums. Centrs sniedz informāciju par dabisko avotu radīto gaisu piesārņojošo vielu koncentrāciju un pienesuma avotiem, kā arī sniedz pierādījumus tam, ka pārsniegums radies no dabiskajiem avotiem. Robežlieluma pārsniegumus, kurus rada dabiskie avoti neuzskata par pārsniegumiem šo noteikumu izpratnē.</w:t>
      </w:r>
    </w:p>
    <w:p w14:paraId="12C8BD63" w14:textId="5A116797" w:rsidR="00917B35" w:rsidRDefault="00917B35" w:rsidP="00917B35">
      <w:pPr>
        <w:pStyle w:val="naisf"/>
        <w:rPr>
          <w:rFonts w:eastAsiaTheme="minorHAnsi"/>
          <w:lang w:eastAsia="en-US"/>
        </w:rPr>
      </w:pPr>
      <w:r w:rsidRPr="00917B35">
        <w:t>12.2.</w:t>
      </w:r>
      <w:r w:rsidR="00384501">
        <w:t> </w:t>
      </w:r>
      <w:r w:rsidRPr="00917B35">
        <w:t>iepriekšējā gada laikā daļiņām PM</w:t>
      </w:r>
      <w:r w:rsidRPr="00917B35">
        <w:rPr>
          <w:vertAlign w:val="subscript"/>
        </w:rPr>
        <w:t>10</w:t>
      </w:r>
      <w:r w:rsidRPr="00917B35">
        <w:t xml:space="preserve"> noteikto robežlielumu pārsniegumu izraisa atkārtota daļiņu PM</w:t>
      </w:r>
      <w:r w:rsidRPr="00917B35">
        <w:rPr>
          <w:vertAlign w:val="subscript"/>
        </w:rPr>
        <w:t>10</w:t>
      </w:r>
      <w:r w:rsidRPr="00917B35">
        <w:t xml:space="preserve"> izkliedēšanās pēc ceļu nokaisīšanas ar smiltīm vai sāli ziemā. Centrs sagatavo informāciju par daļiņu PM</w:t>
      </w:r>
      <w:r w:rsidRPr="00917B35">
        <w:rPr>
          <w:vertAlign w:val="subscript"/>
        </w:rPr>
        <w:t>10</w:t>
      </w:r>
      <w:r w:rsidRPr="00917B35">
        <w:t xml:space="preserve"> koncentrāciju un avotiem, kā arī sniedz pierādījumus tam, ka pārsnieguma iemesls ir šādas atkārtoti izkliedētās daļiņas PM</w:t>
      </w:r>
      <w:r w:rsidRPr="00917B35">
        <w:rPr>
          <w:vertAlign w:val="subscript"/>
        </w:rPr>
        <w:t>10</w:t>
      </w:r>
      <w:r w:rsidRPr="00917B35">
        <w:t>.</w:t>
      </w:r>
      <w:r w:rsidRPr="00917B35">
        <w:rPr>
          <w:rFonts w:eastAsiaTheme="minorHAnsi"/>
          <w:lang w:eastAsia="en-US"/>
        </w:rPr>
        <w:t>”</w:t>
      </w:r>
    </w:p>
    <w:p w14:paraId="3A164998" w14:textId="77777777" w:rsidR="00917B35" w:rsidRDefault="00917B35" w:rsidP="00917B35">
      <w:pPr>
        <w:pStyle w:val="naisf"/>
        <w:rPr>
          <w:rFonts w:eastAsiaTheme="minorHAnsi"/>
          <w:lang w:eastAsia="en-US"/>
        </w:rPr>
      </w:pPr>
    </w:p>
    <w:p w14:paraId="041222C4" w14:textId="68BFFD85" w:rsidR="00917B35" w:rsidRDefault="00B122B5" w:rsidP="00917B35">
      <w:pPr>
        <w:pStyle w:val="naisf"/>
        <w:numPr>
          <w:ilvl w:val="0"/>
          <w:numId w:val="1"/>
        </w:numPr>
      </w:pPr>
      <w:r>
        <w:t>Papildināt noteikumus ar 14.</w:t>
      </w:r>
      <w:r>
        <w:rPr>
          <w:vertAlign w:val="superscript"/>
        </w:rPr>
        <w:t>1</w:t>
      </w:r>
      <w:r>
        <w:t xml:space="preserve"> un 14.</w:t>
      </w:r>
      <w:r>
        <w:rPr>
          <w:vertAlign w:val="superscript"/>
        </w:rPr>
        <w:t>2</w:t>
      </w:r>
      <w:r w:rsidR="00384501">
        <w:t> </w:t>
      </w:r>
      <w:r>
        <w:t>punktu šādā redakcijā:</w:t>
      </w:r>
    </w:p>
    <w:p w14:paraId="46CC64D0" w14:textId="286DC636" w:rsidR="00B122B5" w:rsidRDefault="00B122B5" w:rsidP="00B122B5">
      <w:pPr>
        <w:pStyle w:val="naisf"/>
      </w:pPr>
      <w:r>
        <w:t>„14.</w:t>
      </w:r>
      <w:r>
        <w:rPr>
          <w:vertAlign w:val="superscript"/>
        </w:rPr>
        <w:t>1</w:t>
      </w:r>
      <w:r w:rsidR="004934B9">
        <w:t> </w:t>
      </w:r>
      <w:r>
        <w:t>L</w:t>
      </w:r>
      <w:r w:rsidRPr="004D11F8">
        <w:t>ai nodrošinātu</w:t>
      </w:r>
      <w:r>
        <w:t xml:space="preserve">  šajos noteikumos </w:t>
      </w:r>
      <w:r w:rsidRPr="00180045">
        <w:t xml:space="preserve">noteiktajām prasībām atbilstoša valsts monitoringa tīkla izveidi un regulāri izvērtētu vai esošais valsts monitoringa tīkla plānojums un monitoringa staciju atrašanās vietas vēl joprojām ir pamatotas un optimālas, Centrs </w:t>
      </w:r>
      <w:r w:rsidRPr="00A17ACD">
        <w:t>sākot ar 20</w:t>
      </w:r>
      <w:r w:rsidR="008D0E12" w:rsidRPr="00A17ACD">
        <w:t>20</w:t>
      </w:r>
      <w:r w:rsidRPr="00A17ACD">
        <w:t>.</w:t>
      </w:r>
      <w:r w:rsidR="004934B9">
        <w:t> </w:t>
      </w:r>
      <w:r w:rsidRPr="00A17ACD">
        <w:t>gadu un turpmāk pēc nepieciešamības, taču ne retāk kā reizi piecos gados sagatavo ziņojumu, kurā pamato visu valsts monitoringa tīklā iekļauto monitoringa staciju vietu izvēli</w:t>
      </w:r>
      <w:r w:rsidRPr="00180045">
        <w:t xml:space="preserve"> un iekļauj šo monitoringa staciju apkārtnes fotogrāfijas, kurās norādītas</w:t>
      </w:r>
      <w:r w:rsidRPr="004D11F8">
        <w:t xml:space="preserve"> de</w:t>
      </w:r>
      <w:r>
        <w:t>bespuses, un detalizētas kartes. Ziņojumā ietver</w:t>
      </w:r>
      <w:r w:rsidRPr="004D11F8">
        <w:t xml:space="preserve"> informāciju</w:t>
      </w:r>
      <w:r>
        <w:t xml:space="preserve"> par valsts monitoringa tīklā iekļauto staciju atbilstību šo noteikumu 10., 11. un 12.</w:t>
      </w:r>
      <w:r w:rsidR="004934B9">
        <w:t> </w:t>
      </w:r>
      <w:r>
        <w:t xml:space="preserve">pielikumā noteiktajiem kritērijiem un nepieciešamajām izmaiņām esošajā valsts monitoringa tīkla plānojumā. </w:t>
      </w:r>
      <w:r w:rsidRPr="004D11F8">
        <w:t xml:space="preserve">Ja kādā zonā vai aglomerācijā izmanto papildu </w:t>
      </w:r>
      <w:r>
        <w:t xml:space="preserve">novērtējuma </w:t>
      </w:r>
      <w:r w:rsidRPr="004D11F8">
        <w:t>metodes</w:t>
      </w:r>
      <w:r>
        <w:t xml:space="preserve"> (modelēšana vai indikatīvie mērījumi)</w:t>
      </w:r>
      <w:r w:rsidRPr="004D11F8">
        <w:t xml:space="preserve">, </w:t>
      </w:r>
      <w:r>
        <w:t>ziņojumā</w:t>
      </w:r>
      <w:r w:rsidRPr="004D11F8">
        <w:t xml:space="preserve"> iekļauj </w:t>
      </w:r>
      <w:r>
        <w:t>detalizētu</w:t>
      </w:r>
      <w:r w:rsidRPr="004D11F8">
        <w:t xml:space="preserve"> informāciju par šīm </w:t>
      </w:r>
      <w:r w:rsidRPr="004D11F8">
        <w:lastRenderedPageBreak/>
        <w:t>metodēm un informā</w:t>
      </w:r>
      <w:r>
        <w:t>ciju par to, kā ir izpildīti šo noteikumu 20.</w:t>
      </w:r>
      <w:r w:rsidR="004934B9">
        <w:t> </w:t>
      </w:r>
      <w:r>
        <w:t xml:space="preserve">punktā </w:t>
      </w:r>
      <w:r w:rsidRPr="004D11F8">
        <w:t xml:space="preserve">uzskaitītie kritēriji. </w:t>
      </w:r>
      <w:r>
        <w:t>Centrs pēc pieprasījuma trīs mēnešu laikā sagatavoto ziņojumu iesniedz Eiropas</w:t>
      </w:r>
      <w:r w:rsidRPr="004D11F8">
        <w:t xml:space="preserve"> Komisijai</w:t>
      </w:r>
      <w:r>
        <w:t>.</w:t>
      </w:r>
    </w:p>
    <w:p w14:paraId="2A444E77" w14:textId="5574FA5C" w:rsidR="00B122B5" w:rsidRPr="00917B35" w:rsidRDefault="00B122B5" w:rsidP="00B122B5">
      <w:pPr>
        <w:pStyle w:val="naisf"/>
      </w:pPr>
      <w:r w:rsidRPr="002B5BB7">
        <w:t>14.</w:t>
      </w:r>
      <w:r w:rsidRPr="002B5BB7">
        <w:rPr>
          <w:vertAlign w:val="superscript"/>
        </w:rPr>
        <w:t>2</w:t>
      </w:r>
      <w:r w:rsidR="004934B9">
        <w:t> </w:t>
      </w:r>
      <w:r w:rsidRPr="002B5BB7">
        <w:t xml:space="preserve">Gadījumos, ja konkrētā pašvaldība plāno veikt būtiskus būvniecības, infrastruktūras, siltumtīklu vai citus pārbūves darbus valsts monitoringa tīklā iekļauto gaisa monitoringa staciju tuvumā vai arī tiek plānota jaunu objektu būvniecība (piemēram, uzņēmumu vai autostāvvietu), kas var īslaicīgi vai ilgtermiņā ietekmēt gaisa kvalitāti noteiktā teritorijā pašvaldība vismaz gadu pirms plānotajiem darbiem informē </w:t>
      </w:r>
      <w:r w:rsidR="004934B9">
        <w:t>c</w:t>
      </w:r>
      <w:r w:rsidRPr="002B5BB7">
        <w:t>entru.</w:t>
      </w:r>
      <w:r>
        <w:t>”</w:t>
      </w:r>
    </w:p>
    <w:p w14:paraId="1982E8F9" w14:textId="77777777" w:rsidR="0065132D" w:rsidRDefault="0065132D" w:rsidP="0065132D">
      <w:pPr>
        <w:pStyle w:val="naisf"/>
      </w:pPr>
    </w:p>
    <w:p w14:paraId="4E3065B5" w14:textId="03B56F0C" w:rsidR="00B27E8A" w:rsidRDefault="00B122B5" w:rsidP="00B27E8A">
      <w:pPr>
        <w:pStyle w:val="naisf"/>
        <w:numPr>
          <w:ilvl w:val="0"/>
          <w:numId w:val="1"/>
        </w:numPr>
        <w:spacing w:before="0" w:after="0"/>
        <w:ind w:left="0" w:firstLine="720"/>
      </w:pPr>
      <w:r>
        <w:t>Aizstāt 15.</w:t>
      </w:r>
      <w:r w:rsidR="004934B9">
        <w:t> </w:t>
      </w:r>
      <w:r>
        <w:t>punktā vārdus „aglomerācijas vai rūpnieciskas teritorijas” ar vārdiem „vērā ņemamiem piesārņojuma avotiem”</w:t>
      </w:r>
      <w:r w:rsidR="004934B9">
        <w:t>.</w:t>
      </w:r>
    </w:p>
    <w:p w14:paraId="31BAB502" w14:textId="77777777" w:rsidR="00B27E8A" w:rsidRDefault="00B27E8A" w:rsidP="00B27E8A">
      <w:pPr>
        <w:pStyle w:val="naisf"/>
        <w:spacing w:before="0" w:after="0"/>
        <w:ind w:left="720" w:firstLine="0"/>
      </w:pPr>
    </w:p>
    <w:p w14:paraId="62BEE8EA" w14:textId="6271C7BE" w:rsidR="00B27E8A" w:rsidRDefault="00B27E8A" w:rsidP="00B27E8A">
      <w:pPr>
        <w:pStyle w:val="naisf"/>
        <w:numPr>
          <w:ilvl w:val="0"/>
          <w:numId w:val="1"/>
        </w:numPr>
        <w:spacing w:before="0" w:after="0"/>
        <w:ind w:left="0" w:firstLine="720"/>
      </w:pPr>
      <w:r>
        <w:t>Papildināt noteikumus ar 19.</w:t>
      </w:r>
      <w:r w:rsidRPr="00B27E8A">
        <w:rPr>
          <w:vertAlign w:val="superscript"/>
        </w:rPr>
        <w:t>1</w:t>
      </w:r>
      <w:r w:rsidR="00D81EFF">
        <w:t> </w:t>
      </w:r>
      <w:r>
        <w:t xml:space="preserve">punktu šādā redakcijā: </w:t>
      </w:r>
    </w:p>
    <w:p w14:paraId="50FA3505" w14:textId="64CFDD14" w:rsidR="00B27E8A" w:rsidRDefault="00B27E8A" w:rsidP="00B27E8A">
      <w:pPr>
        <w:pStyle w:val="naisf"/>
      </w:pPr>
      <w:r>
        <w:t>„19.</w:t>
      </w:r>
      <w:r>
        <w:rPr>
          <w:vertAlign w:val="superscript"/>
        </w:rPr>
        <w:t>1</w:t>
      </w:r>
      <w:r w:rsidR="00D81EFF">
        <w:rPr>
          <w:vertAlign w:val="superscript"/>
        </w:rPr>
        <w:t> </w:t>
      </w:r>
      <w:r>
        <w:t>Veicot gaisa kvalitātes novērtējumu un gaisa kvalitātes izkliedes modelēšanu</w:t>
      </w:r>
      <w:r w:rsidR="00D81EFF">
        <w:t>,</w:t>
      </w:r>
      <w:r>
        <w:t xml:space="preserve"> ievēro šo noteikumu 15.</w:t>
      </w:r>
      <w:r w:rsidR="00D81EFF">
        <w:t> </w:t>
      </w:r>
      <w:r>
        <w:t>pielikumā noteiktos datu kvalitātes mērķus un citus šajā pielikumā noteiktos kritērijus.”</w:t>
      </w:r>
    </w:p>
    <w:p w14:paraId="29D0DCC1" w14:textId="77777777" w:rsidR="00B27E8A" w:rsidRDefault="00B27E8A" w:rsidP="00B27E8A">
      <w:pPr>
        <w:pStyle w:val="naisf"/>
      </w:pPr>
    </w:p>
    <w:p w14:paraId="20103042" w14:textId="77777777" w:rsidR="00B14D71" w:rsidRDefault="00B14D71" w:rsidP="00B14D71">
      <w:pPr>
        <w:pStyle w:val="naisf"/>
        <w:numPr>
          <w:ilvl w:val="0"/>
          <w:numId w:val="1"/>
        </w:numPr>
        <w:spacing w:before="0" w:after="0"/>
        <w:ind w:left="0" w:firstLine="720"/>
      </w:pPr>
      <w:r>
        <w:t>Izteikt</w:t>
      </w:r>
      <w:r w:rsidR="00B27E8A">
        <w:t xml:space="preserve"> 20.</w:t>
      </w:r>
      <w:r w:rsidR="00D81EFF">
        <w:t> </w:t>
      </w:r>
      <w:r w:rsidR="00B27E8A">
        <w:t>punktu</w:t>
      </w:r>
      <w:r>
        <w:t xml:space="preserve"> šādā redakcijā:</w:t>
      </w:r>
    </w:p>
    <w:p w14:paraId="33BEA522" w14:textId="28181384" w:rsidR="00B14D71" w:rsidRDefault="00B14D71" w:rsidP="00B14D71">
      <w:pPr>
        <w:pStyle w:val="naisf"/>
        <w:spacing w:before="0" w:after="0"/>
        <w:ind w:firstLine="720"/>
      </w:pPr>
      <w:r>
        <w:t>„20. Aglomerācijās un zonās, kur datus no stacionāro mērījumu paraugu ņemšanas vietām papildina ar modelēšanā vai indikatīvos mērījumos iegūtu informāciju, centrs par 50 % var samazināt paraugu ņemšanas vietu kopskaitu, kas noteikts šo noteikumu 10.pielikuma I daļā, ja kvalitātes novērtēšanai ierīkoto gaisa monitoringa staciju skaits un citu novērtējuma metožu nodrošinātā telpiskā izšķirtspēja ir pietiekama, lai sasniegtu šo noteikumu 15.pielikumā noteiktos datu kvalitātes mērķus un paredzētajiem kritērijiem atbilstošus novērtējuma rezultātus. Iegūtos mērījumu rezultātus ņem vērā novērtējot atbilstību šajos noteikumos noteiktajiem robežlielumiem.</w:t>
      </w:r>
    </w:p>
    <w:p w14:paraId="46E5868F" w14:textId="77777777" w:rsidR="007E4E71" w:rsidRDefault="007E4E71" w:rsidP="007C6E67">
      <w:pPr>
        <w:pStyle w:val="naisf"/>
        <w:spacing w:before="0" w:after="0"/>
        <w:ind w:firstLine="720"/>
      </w:pPr>
    </w:p>
    <w:p w14:paraId="6E67F82F" w14:textId="15612BC6" w:rsidR="007E4E71" w:rsidRDefault="007E4E71" w:rsidP="007C6E67">
      <w:pPr>
        <w:pStyle w:val="naisf"/>
        <w:numPr>
          <w:ilvl w:val="0"/>
          <w:numId w:val="1"/>
        </w:numPr>
        <w:spacing w:before="0" w:after="0"/>
        <w:ind w:left="0" w:firstLine="720"/>
      </w:pPr>
      <w:r>
        <w:t>Aizstāt 22.</w:t>
      </w:r>
      <w:r w:rsidR="00635E85">
        <w:t> </w:t>
      </w:r>
      <w:r>
        <w:t>punktā vārdus „</w:t>
      </w:r>
      <w:r w:rsidR="00261439">
        <w:t>vismaz vienam minētajā</w:t>
      </w:r>
      <w:r w:rsidR="007C6E67">
        <w:t xml:space="preserve"> pielikumā norādītajam noradītajam ozona prekursoram</w:t>
      </w:r>
      <w:r>
        <w:t>”</w:t>
      </w:r>
      <w:r w:rsidR="007C6E67">
        <w:t xml:space="preserve"> ar vārdiem „atbilstoši šo noteikumu 17.</w:t>
      </w:r>
      <w:r w:rsidR="00635E85">
        <w:t> </w:t>
      </w:r>
      <w:r w:rsidR="007C6E67">
        <w:t>pielikumā noteiktajām prasībām”</w:t>
      </w:r>
      <w:r w:rsidR="00635E85">
        <w:t>.</w:t>
      </w:r>
    </w:p>
    <w:p w14:paraId="25A913EB" w14:textId="77777777" w:rsidR="00DD0304" w:rsidRDefault="00DD0304" w:rsidP="00DD0304">
      <w:pPr>
        <w:pStyle w:val="naisf"/>
        <w:spacing w:before="0" w:after="0"/>
        <w:ind w:left="720" w:firstLine="0"/>
      </w:pPr>
    </w:p>
    <w:p w14:paraId="626DE720" w14:textId="4BD906CC" w:rsidR="00DD0304" w:rsidRDefault="00DD0304" w:rsidP="007C6E67">
      <w:pPr>
        <w:pStyle w:val="naisf"/>
        <w:numPr>
          <w:ilvl w:val="0"/>
          <w:numId w:val="1"/>
        </w:numPr>
        <w:spacing w:before="0" w:after="0"/>
        <w:ind w:left="0" w:firstLine="720"/>
      </w:pPr>
      <w:r>
        <w:t>Papildināt noteikumus ar 24.</w:t>
      </w:r>
      <w:r>
        <w:rPr>
          <w:vertAlign w:val="superscript"/>
        </w:rPr>
        <w:t>1</w:t>
      </w:r>
      <w:r>
        <w:t xml:space="preserve"> un 24.</w:t>
      </w:r>
      <w:r>
        <w:rPr>
          <w:vertAlign w:val="superscript"/>
        </w:rPr>
        <w:t>2</w:t>
      </w:r>
      <w:r w:rsidR="00635E85">
        <w:t> </w:t>
      </w:r>
      <w:r>
        <w:t>punktu šādā redakcijā:</w:t>
      </w:r>
    </w:p>
    <w:p w14:paraId="2D489EC7" w14:textId="2D6D6849" w:rsidR="00DD0304" w:rsidRPr="00B03310" w:rsidRDefault="00DD0304" w:rsidP="00DD0304">
      <w:pPr>
        <w:pStyle w:val="naisf"/>
      </w:pPr>
      <w:r w:rsidRPr="00B03310">
        <w:rPr>
          <w:rFonts w:eastAsiaTheme="minorHAnsi"/>
          <w:lang w:eastAsia="en-US"/>
        </w:rPr>
        <w:t>„</w:t>
      </w:r>
      <w:r w:rsidRPr="00B03310">
        <w:t>24.</w:t>
      </w:r>
      <w:r w:rsidRPr="00B03310">
        <w:rPr>
          <w:vertAlign w:val="superscript"/>
        </w:rPr>
        <w:t>1</w:t>
      </w:r>
      <w:r w:rsidR="00635E85">
        <w:t> </w:t>
      </w:r>
      <w:r w:rsidRPr="00B03310">
        <w:t xml:space="preserve">Lai nodrošinātu saskaņotu pieeju attiecībā uz dažādās rīcības programmās iekļautajiem pasākumiem, izstrādājot šo noteikumu 24.punktā minēto rīcības programmu pašvaldība ņem vērā pasākumus, kas ietverti rīcības programmās, kas tiek izstrādātas atbilstoši normatīvajiem aktiem par </w:t>
      </w:r>
      <w:r w:rsidRPr="00B03310">
        <w:rPr>
          <w:bCs/>
        </w:rPr>
        <w:t>kopējo valstī maksimāli pieļaujamo emisiju gaisā</w:t>
      </w:r>
      <w:r w:rsidRPr="00B03310">
        <w:t xml:space="preserve"> un normatīvajiem aktiem trokšņa novērtēšanas un pārvaldības jomā</w:t>
      </w:r>
      <w:r w:rsidR="00635E85">
        <w:t>.</w:t>
      </w:r>
    </w:p>
    <w:p w14:paraId="55FFFE33" w14:textId="77777777" w:rsidR="00DD0304" w:rsidRPr="00B03310" w:rsidRDefault="00DD0304" w:rsidP="00DD0304">
      <w:pPr>
        <w:pStyle w:val="naisf"/>
      </w:pPr>
    </w:p>
    <w:p w14:paraId="58C7D66C" w14:textId="47D471B4" w:rsidR="00DD0304" w:rsidRPr="006409DE" w:rsidRDefault="00DD0304" w:rsidP="00DD0304">
      <w:pPr>
        <w:pStyle w:val="naisf"/>
        <w:rPr>
          <w:rFonts w:eastAsiaTheme="minorHAnsi"/>
          <w:lang w:eastAsia="en-US"/>
        </w:rPr>
      </w:pPr>
      <w:r w:rsidRPr="00B03310">
        <w:t> </w:t>
      </w:r>
      <w:r w:rsidRPr="006409DE">
        <w:t>24.</w:t>
      </w:r>
      <w:r w:rsidRPr="006409DE">
        <w:rPr>
          <w:vertAlign w:val="superscript"/>
        </w:rPr>
        <w:t>2</w:t>
      </w:r>
      <w:r w:rsidR="00635E85">
        <w:t> </w:t>
      </w:r>
      <w:r w:rsidRPr="006409DE">
        <w:t xml:space="preserve">Veicot </w:t>
      </w:r>
      <w:r w:rsidR="00635E85">
        <w:t xml:space="preserve">šo noteikumu </w:t>
      </w:r>
      <w:r w:rsidRPr="006409DE">
        <w:t>24.</w:t>
      </w:r>
      <w:r w:rsidR="00635E85">
        <w:t> </w:t>
      </w:r>
      <w:r w:rsidRPr="006409DE">
        <w:t xml:space="preserve">punktā minētās rīcības programmas izstrādi,  pašvaldība sadarbībā ar </w:t>
      </w:r>
      <w:r w:rsidR="00635E85">
        <w:t xml:space="preserve">Vides aizsardzības un reģionālās attīstības </w:t>
      </w:r>
      <w:r w:rsidRPr="006409DE">
        <w:t>ministriju novērtē arī pašvaldību teritorijā esošo sadedzināšanas iekārtu radīto ietekmi uz gaisa kvalitāti. Nepieciešamības gadījumā vidējas</w:t>
      </w:r>
      <w:r w:rsidR="009B4542" w:rsidRPr="006409DE">
        <w:t xml:space="preserve"> un mazas</w:t>
      </w:r>
      <w:r w:rsidRPr="006409DE">
        <w:t xml:space="preserve"> jaudas sadedzināšanas iekārtām zonās vai zonu daļās, kur gaisa kvalitātes novērtējums uzrāda iespējamu gaisu piesārņojošo vielu normatīvu pārsniegumus vai ir tuvu tiem, atbilstoši likumā </w:t>
      </w:r>
      <w:r w:rsidR="00635E85">
        <w:t>„</w:t>
      </w:r>
      <w:r w:rsidRPr="006409DE">
        <w:t xml:space="preserve">Par piesārņojumu” noteiktajam </w:t>
      </w:r>
      <w:r w:rsidR="00953395" w:rsidRPr="006409DE">
        <w:t xml:space="preserve">pašvaldība saistošajos noteikumos </w:t>
      </w:r>
      <w:r w:rsidRPr="006409DE">
        <w:t>ierosina piemērot stingrāk</w:t>
      </w:r>
      <w:r w:rsidR="009B4542" w:rsidRPr="006409DE">
        <w:t>u</w:t>
      </w:r>
      <w:r w:rsidRPr="006409DE">
        <w:t xml:space="preserve">s </w:t>
      </w:r>
      <w:r w:rsidRPr="004644EA">
        <w:t>emisij</w:t>
      </w:r>
      <w:r w:rsidR="009B4542" w:rsidRPr="004644EA">
        <w:t>u</w:t>
      </w:r>
      <w:r w:rsidRPr="004644EA">
        <w:t xml:space="preserve"> robež</w:t>
      </w:r>
      <w:r w:rsidR="009B4542" w:rsidRPr="004644EA">
        <w:t>lielumus</w:t>
      </w:r>
      <w:r w:rsidRPr="004644EA">
        <w:t xml:space="preserve"> nekā t</w:t>
      </w:r>
      <w:r w:rsidR="009B4542" w:rsidRPr="004644EA">
        <w:t>os</w:t>
      </w:r>
      <w:r w:rsidRPr="004644EA">
        <w:t>, kas noteikt</w:t>
      </w:r>
      <w:r w:rsidR="009B4542" w:rsidRPr="004644EA">
        <w:t>i</w:t>
      </w:r>
      <w:r w:rsidRPr="004644EA">
        <w:t xml:space="preserve"> normatīvajos aktos par sadedzināšanas iekārtām.</w:t>
      </w:r>
      <w:r w:rsidR="004644EA" w:rsidRPr="004644EA">
        <w:t xml:space="preserve"> Nosakot stingrākus emisiju robežlielumus</w:t>
      </w:r>
      <w:r w:rsidR="00635E85">
        <w:t>,</w:t>
      </w:r>
      <w:r w:rsidR="004644EA" w:rsidRPr="004644EA">
        <w:t xml:space="preserve"> ņem vērā </w:t>
      </w:r>
      <w:r w:rsidR="009D331B">
        <w:t xml:space="preserve">Eiropas </w:t>
      </w:r>
      <w:r w:rsidR="004644EA" w:rsidRPr="004644EA">
        <w:t>Komisijas publicēto informāciju par emisijas līmeņiem, ko var sasniegt ar labākajām pieejamajām un jaunajām tehnoloģijām.</w:t>
      </w:r>
      <w:r w:rsidRPr="004644EA">
        <w:rPr>
          <w:rFonts w:eastAsiaTheme="minorHAnsi"/>
          <w:lang w:eastAsia="en-US"/>
        </w:rPr>
        <w:t>”</w:t>
      </w:r>
    </w:p>
    <w:p w14:paraId="0579DCA8" w14:textId="77777777" w:rsidR="00525B64" w:rsidRDefault="00525B64" w:rsidP="00DD0304">
      <w:pPr>
        <w:pStyle w:val="naisf"/>
        <w:rPr>
          <w:rFonts w:asciiTheme="minorHAnsi" w:eastAsiaTheme="minorHAnsi" w:hAnsiTheme="minorHAnsi" w:cstheme="minorBidi"/>
          <w:sz w:val="22"/>
          <w:szCs w:val="22"/>
          <w:lang w:eastAsia="en-US"/>
        </w:rPr>
      </w:pPr>
    </w:p>
    <w:p w14:paraId="2F12D054" w14:textId="3C1AE254" w:rsidR="00690854" w:rsidRDefault="0036122A" w:rsidP="00690854">
      <w:pPr>
        <w:pStyle w:val="naisf"/>
        <w:numPr>
          <w:ilvl w:val="0"/>
          <w:numId w:val="1"/>
        </w:numPr>
        <w:ind w:left="0" w:firstLine="720"/>
      </w:pPr>
      <w:r>
        <w:lastRenderedPageBreak/>
        <w:t>Aizstāt 31.</w:t>
      </w:r>
      <w:r w:rsidR="00E76A0D">
        <w:t> </w:t>
      </w:r>
      <w:r>
        <w:t>punktā vārdus „</w:t>
      </w:r>
      <w:r w:rsidRPr="00E24DF5">
        <w:t>Valsts vides dienesta reģionālo vides pārvaldi (turpmāk – reģionālā vides pārvalde) ar vārdiem „Valsts vides dienestu”</w:t>
      </w:r>
      <w:r w:rsidR="00E76A0D" w:rsidRPr="00E24DF5">
        <w:t>.</w:t>
      </w:r>
    </w:p>
    <w:p w14:paraId="7FCF024D" w14:textId="77777777" w:rsidR="00690854" w:rsidRDefault="00690854" w:rsidP="00690854">
      <w:pPr>
        <w:pStyle w:val="naisf"/>
        <w:ind w:left="720" w:firstLine="0"/>
      </w:pPr>
    </w:p>
    <w:p w14:paraId="00FE28E2" w14:textId="77777777" w:rsidR="009A3122" w:rsidRDefault="009A3122" w:rsidP="00690854">
      <w:pPr>
        <w:pStyle w:val="naisf"/>
        <w:numPr>
          <w:ilvl w:val="0"/>
          <w:numId w:val="1"/>
        </w:numPr>
        <w:ind w:left="0" w:firstLine="720"/>
      </w:pPr>
      <w:r>
        <w:t>Izteikt</w:t>
      </w:r>
      <w:r w:rsidR="00690854">
        <w:t xml:space="preserve"> 34.</w:t>
      </w:r>
      <w:r w:rsidR="00E76A0D">
        <w:t> </w:t>
      </w:r>
      <w:r w:rsidR="00690854">
        <w:t>punktu</w:t>
      </w:r>
      <w:r>
        <w:t xml:space="preserve"> šādā redakcijā:</w:t>
      </w:r>
    </w:p>
    <w:p w14:paraId="40AAC47B" w14:textId="55CB6017" w:rsidR="00690854" w:rsidRDefault="009A3122" w:rsidP="009A3122">
      <w:pPr>
        <w:pStyle w:val="naisf"/>
        <w:ind w:firstLine="567"/>
      </w:pPr>
      <w:r w:rsidRPr="009A3122">
        <w:rPr>
          <w:rFonts w:eastAsiaTheme="minorHAnsi"/>
          <w:lang w:eastAsia="en-US"/>
        </w:rPr>
        <w:t>„</w:t>
      </w:r>
      <w:r>
        <w:t>34. Rīcības programmā iekļauj šo noteikumu 18.pielikuma I daļā minēto informāciju, kā arī citu informāciju, kura izriet no Eiropas Savienības tiesību aktiem par informācijas sniegšanu un rīcības programmas izstrādi gaisa aizsardzības jomā vai, kuru programmas izstrādātāji uzskata par nepieciešamu. Rīcības programmā var iekļaut pasākumus emisiju ierobežošanai no stacionāriem piesārņojuma avotiem, kā arī transportlīdzekļu kustības ierobežošanai, ja tie izraisa gaisa kvalitātes robežlielumu pārsniegumus. Ja paredzēts būvēt jaunus objektus, kas radīs satiksmes intensitātes pieaugumu, rīcības programmā novērtē paredzamās satiksmes intensitātes pieauguma ietekmi uz gaisa kvalitāti un rīcības programmā noteikto mērķu sasniegšanu, pamatojot to ar gaisa piesārņojuma izkliedes modelēšanu.</w:t>
      </w:r>
    </w:p>
    <w:p w14:paraId="763225FA" w14:textId="77777777" w:rsidR="009A3122" w:rsidRDefault="009A3122" w:rsidP="009A3122">
      <w:pPr>
        <w:pStyle w:val="naisf"/>
      </w:pPr>
    </w:p>
    <w:p w14:paraId="72407AA6" w14:textId="72DB7A81" w:rsidR="00F324D7" w:rsidRDefault="001722F7" w:rsidP="00F324D7">
      <w:pPr>
        <w:pStyle w:val="naisf"/>
        <w:numPr>
          <w:ilvl w:val="0"/>
          <w:numId w:val="1"/>
        </w:numPr>
        <w:ind w:left="0" w:firstLine="720"/>
      </w:pPr>
      <w:r>
        <w:t>Aizstāt 37.</w:t>
      </w:r>
      <w:r w:rsidR="00E76A0D">
        <w:t> </w:t>
      </w:r>
      <w:r>
        <w:t>punktā vārdus „Reģionālā vides pārvalde” ar vārdiem „</w:t>
      </w:r>
      <w:r w:rsidRPr="006F6DFE">
        <w:t>Vides aizsardzības un reģionālās attīstības ministrija</w:t>
      </w:r>
      <w:r>
        <w:t>”</w:t>
      </w:r>
      <w:r w:rsidR="00E76A0D">
        <w:t>.</w:t>
      </w:r>
    </w:p>
    <w:p w14:paraId="2EAE1596" w14:textId="77777777" w:rsidR="00F324D7" w:rsidRDefault="00F324D7" w:rsidP="00F324D7"/>
    <w:p w14:paraId="677EE8E4" w14:textId="5AC6040C" w:rsidR="00E602B7" w:rsidRDefault="005B5A04" w:rsidP="00F324D7">
      <w:pPr>
        <w:pStyle w:val="naisf"/>
        <w:numPr>
          <w:ilvl w:val="0"/>
          <w:numId w:val="1"/>
        </w:numPr>
        <w:ind w:left="0" w:firstLine="720"/>
      </w:pPr>
      <w:r>
        <w:t>Izteikt 38.</w:t>
      </w:r>
      <w:r w:rsidR="00E76A0D">
        <w:t> </w:t>
      </w:r>
      <w:r>
        <w:t>punktu šādā redakcijā:</w:t>
      </w:r>
      <w:r w:rsidR="00E602B7">
        <w:t xml:space="preserve"> </w:t>
      </w:r>
    </w:p>
    <w:p w14:paraId="52FC4C2A" w14:textId="799619AC" w:rsidR="00BC785E" w:rsidRDefault="00E602B7" w:rsidP="00BC785E">
      <w:pPr>
        <w:pStyle w:val="naisf"/>
      </w:pPr>
      <w:r>
        <w:t>„</w:t>
      </w:r>
      <w:r w:rsidRPr="006F6DFE">
        <w:t>38. Vides aizsardzības un reģionālās attīstības ministrija, pamatojoties uz šo noteikumu 37.</w:t>
      </w:r>
      <w:r w:rsidR="00E76A0D">
        <w:t> </w:t>
      </w:r>
      <w:r w:rsidRPr="006F6DFE">
        <w:t>punktā minētajā pārskatā sniegto informāciju, sagatavo programmas izpildes novērtē</w:t>
      </w:r>
      <w:r w:rsidRPr="006F6DFE">
        <w:softHyphen/>
        <w:t>jumu un priekšlikumus par pasākumiem, kas veicinātu programmas izpildi, un tos nosūta attiecīgajai pašvaldībai divu mēnešu laikā pēc tam, kad saņemts pārskats par programmas izpildi vai arī sasauc sanāksmi, lai pārrunātu identificētos problēmjautājumus.</w:t>
      </w:r>
      <w:r>
        <w:t>”</w:t>
      </w:r>
    </w:p>
    <w:p w14:paraId="67D0B819" w14:textId="77777777" w:rsidR="00BC785E" w:rsidRDefault="00BC785E" w:rsidP="00BC785E">
      <w:pPr>
        <w:pStyle w:val="naisf"/>
      </w:pPr>
    </w:p>
    <w:p w14:paraId="5F33C75E" w14:textId="77777777" w:rsidR="009A3122" w:rsidRDefault="009A3122" w:rsidP="009B1BCE">
      <w:pPr>
        <w:pStyle w:val="naisf"/>
        <w:numPr>
          <w:ilvl w:val="0"/>
          <w:numId w:val="1"/>
        </w:numPr>
        <w:ind w:left="0" w:firstLine="720"/>
      </w:pPr>
      <w:r>
        <w:t>Izteik</w:t>
      </w:r>
      <w:r w:rsidR="00F324D7">
        <w:t>t 40.</w:t>
      </w:r>
      <w:r w:rsidR="00E76A0D">
        <w:t> </w:t>
      </w:r>
      <w:r w:rsidR="00F324D7">
        <w:t>punkt</w:t>
      </w:r>
      <w:r>
        <w:t>u šādā redakcijā:</w:t>
      </w:r>
    </w:p>
    <w:p w14:paraId="544E0E6E" w14:textId="20AE0B0F" w:rsidR="009B1BCE" w:rsidRDefault="009A3122" w:rsidP="009A3122">
      <w:pPr>
        <w:pStyle w:val="naisf"/>
        <w:ind w:firstLine="720"/>
      </w:pPr>
      <w:r>
        <w:t>„</w:t>
      </w:r>
      <w:r w:rsidRPr="006F6DFE">
        <w:t>40. Ja gaisa piesārņojums pārsniedz šajos noteikumos noteiktos gaisa kvalitātes normatīvus, trauksmes līmeņus vai ilgtermiņa mērķus nozīmīgas gaisa</w:t>
      </w:r>
      <w:r>
        <w:t xml:space="preserve"> piesārņojuma (arī ozona prekursoru) pārneses dēļ no Eiropas Savienības dalībvalstīm, Vides </w:t>
      </w:r>
      <w:r w:rsidR="00221795">
        <w:t xml:space="preserve">aizsardzības un reģionālās attīstības </w:t>
      </w:r>
      <w:r>
        <w:t>ministrija sadarbībā ar Eiropas Komisiju un attiecīgās valsts atbildīgo institūciju izstrādā kopīgus plānus un programmas gaisa piesārņojuma samazināšanai. Ja nepieciešams, vietējā pašvaldība saskaņā ar šo noteikumu 26.punktu sagatavo un īsteno kopējas īstermiņa rīcības programmas, kas aptver piegulošās zonas citās dalībvalstīs, un nodrošina, ka šīs valstis saņem visu attiecīgo informāciju.”</w:t>
      </w:r>
    </w:p>
    <w:p w14:paraId="2E999A3A" w14:textId="77777777" w:rsidR="000F2783" w:rsidRDefault="000F2783" w:rsidP="000F2783">
      <w:pPr>
        <w:pStyle w:val="naisf"/>
        <w:ind w:left="720" w:firstLine="0"/>
      </w:pPr>
    </w:p>
    <w:p w14:paraId="11F3617A" w14:textId="429C39B6" w:rsidR="009B1BCE" w:rsidRDefault="009B1BCE" w:rsidP="009B1BCE">
      <w:pPr>
        <w:pStyle w:val="naisf"/>
        <w:numPr>
          <w:ilvl w:val="0"/>
          <w:numId w:val="1"/>
        </w:numPr>
        <w:ind w:left="0" w:firstLine="720"/>
      </w:pPr>
      <w:r>
        <w:t>Izteikt noteikumu 42.</w:t>
      </w:r>
      <w:r w:rsidR="00E76A0D">
        <w:t> </w:t>
      </w:r>
      <w:r>
        <w:t xml:space="preserve">punktu šādā redakcijā: </w:t>
      </w:r>
    </w:p>
    <w:p w14:paraId="5AB776B1" w14:textId="7B789AE5" w:rsidR="009B1BCE" w:rsidRDefault="009B1BCE" w:rsidP="009B1BCE">
      <w:pPr>
        <w:pStyle w:val="naisf"/>
        <w:ind w:firstLine="567"/>
      </w:pPr>
      <w:r>
        <w:t>„</w:t>
      </w:r>
      <w:r w:rsidRPr="006F6DFE">
        <w:t xml:space="preserve">42. Centrs </w:t>
      </w:r>
      <w:r>
        <w:t>sākot ar 2019.</w:t>
      </w:r>
      <w:r w:rsidR="00E76A0D">
        <w:t> </w:t>
      </w:r>
      <w:r>
        <w:t xml:space="preserve">gadu </w:t>
      </w:r>
      <w:r w:rsidRPr="006F6DFE">
        <w:t>ne retāk kā reizi piecos gados apkopo un sagatavo informāciju par gaisa kvalitātes novērtējumu aglomerācijās un zonās</w:t>
      </w:r>
      <w:r>
        <w:t xml:space="preserve"> iepriekšējos piecos gados</w:t>
      </w:r>
      <w:r w:rsidRPr="006F6DFE">
        <w:t>, kā arī pievieno attiecīgas gaisa piesārņojuma izkliedes kartes un nepieciešamos aprakstus.</w:t>
      </w:r>
      <w:r>
        <w:t>”</w:t>
      </w:r>
    </w:p>
    <w:p w14:paraId="54F486F7" w14:textId="77777777" w:rsidR="009B1BCE" w:rsidRDefault="009B1BCE" w:rsidP="009B1BCE">
      <w:pPr>
        <w:pStyle w:val="naisf"/>
        <w:ind w:firstLine="567"/>
      </w:pPr>
    </w:p>
    <w:p w14:paraId="348424D7" w14:textId="18D17905" w:rsidR="00206CBC" w:rsidRDefault="00206CBC" w:rsidP="00BC785E">
      <w:pPr>
        <w:pStyle w:val="naisf"/>
        <w:numPr>
          <w:ilvl w:val="0"/>
          <w:numId w:val="1"/>
        </w:numPr>
        <w:ind w:left="0" w:firstLine="720"/>
      </w:pPr>
      <w:r>
        <w:t>Papildināt noteikumus ar 46.4.</w:t>
      </w:r>
      <w:r w:rsidR="00E76A0D">
        <w:t> </w:t>
      </w:r>
      <w:r>
        <w:t>apakšpunktu šādā redakcijā:</w:t>
      </w:r>
    </w:p>
    <w:p w14:paraId="3DA908DE" w14:textId="602E889C" w:rsidR="00BC785E" w:rsidRDefault="00206CBC" w:rsidP="00BC785E">
      <w:pPr>
        <w:pStyle w:val="naisf"/>
      </w:pPr>
      <w:r>
        <w:t>„46.4.</w:t>
      </w:r>
      <w:r w:rsidR="00E76A0D">
        <w:t> </w:t>
      </w:r>
      <w:r>
        <w:t>Vides aizsardzības un reģionālās attīstības ministrija sadarbībā ar Valsts vides dienestu un attiecīgo pašvaldību sagatavo informāciju iedzīvotājiem par galvenajiem piesārņojuma avotiem, kā arī informāciju par nepieciešamajiem pasākumiem, lai samazinātu šo avotu radīto gaisa piesārņojumu un dara to pieejamu sabiedrībai.”</w:t>
      </w:r>
    </w:p>
    <w:p w14:paraId="7C6D23B0" w14:textId="77777777" w:rsidR="00BC785E" w:rsidRDefault="00BC785E" w:rsidP="00BC785E">
      <w:pPr>
        <w:pStyle w:val="naisf"/>
      </w:pPr>
    </w:p>
    <w:p w14:paraId="20656725" w14:textId="743BB684" w:rsidR="00353B36" w:rsidRDefault="00353B36" w:rsidP="00BC785E">
      <w:pPr>
        <w:pStyle w:val="naisf"/>
        <w:numPr>
          <w:ilvl w:val="0"/>
          <w:numId w:val="1"/>
        </w:numPr>
      </w:pPr>
      <w:r>
        <w:t>Papildināt noteikumus ar 48.</w:t>
      </w:r>
      <w:r>
        <w:rPr>
          <w:vertAlign w:val="superscript"/>
        </w:rPr>
        <w:t>1</w:t>
      </w:r>
      <w:r w:rsidR="00A3188A">
        <w:rPr>
          <w:vertAlign w:val="superscript"/>
        </w:rPr>
        <w:t> </w:t>
      </w:r>
      <w:r>
        <w:t xml:space="preserve">punktu šādā redakcijā: </w:t>
      </w:r>
    </w:p>
    <w:p w14:paraId="06AB5275" w14:textId="38E1462B" w:rsidR="00BC785E" w:rsidRDefault="00353B36" w:rsidP="00BC785E">
      <w:pPr>
        <w:pStyle w:val="naisf"/>
      </w:pPr>
      <w:r>
        <w:lastRenderedPageBreak/>
        <w:t>„48.</w:t>
      </w:r>
      <w:r>
        <w:rPr>
          <w:vertAlign w:val="superscript"/>
        </w:rPr>
        <w:t>1</w:t>
      </w:r>
      <w:r w:rsidR="00A3188A">
        <w:t> </w:t>
      </w:r>
      <w:r>
        <w:t>Ziņošanai izmanto tikai datus, k</w:t>
      </w:r>
      <w:r w:rsidR="00A3188A">
        <w:t>as</w:t>
      </w:r>
      <w:r>
        <w:t xml:space="preserve"> uzskatāmi par derīgiem. </w:t>
      </w:r>
      <w:r w:rsidRPr="00951F96">
        <w:t>Visus saskaņā ar</w:t>
      </w:r>
      <w:r>
        <w:t xml:space="preserve"> šo noteikumu</w:t>
      </w:r>
      <w:r w:rsidRPr="00951F96">
        <w:t xml:space="preserve"> </w:t>
      </w:r>
      <w:r>
        <w:t>48</w:t>
      </w:r>
      <w:r w:rsidRPr="00951F96">
        <w:t>.</w:t>
      </w:r>
      <w:r w:rsidR="00A3188A">
        <w:t> </w:t>
      </w:r>
      <w:r w:rsidRPr="00951F96">
        <w:t>p</w:t>
      </w:r>
      <w:r>
        <w:t>unktu</w:t>
      </w:r>
      <w:r w:rsidRPr="00951F96">
        <w:t xml:space="preserve"> paziņotos datus uzskata par derīgiem, izņemot datus, kas raksturoti kā provizoriski.</w:t>
      </w:r>
      <w:r>
        <w:t>”</w:t>
      </w:r>
    </w:p>
    <w:p w14:paraId="577BF40C" w14:textId="77777777" w:rsidR="00BC785E" w:rsidRDefault="00BC785E" w:rsidP="00BC785E">
      <w:pPr>
        <w:pStyle w:val="naisf"/>
      </w:pPr>
    </w:p>
    <w:p w14:paraId="54C1E2AE" w14:textId="183A8C88" w:rsidR="009F35B3" w:rsidRDefault="009F35B3" w:rsidP="00703D89">
      <w:pPr>
        <w:pStyle w:val="naisf"/>
        <w:numPr>
          <w:ilvl w:val="0"/>
          <w:numId w:val="1"/>
        </w:numPr>
        <w:ind w:left="0" w:firstLine="720"/>
      </w:pPr>
      <w:r>
        <w:t>Papildināt noteikumu informatīvo atsauci</w:t>
      </w:r>
      <w:r w:rsidRPr="009F35B3">
        <w:t xml:space="preserve"> uz Eiropas Savienības direktīvām</w:t>
      </w:r>
      <w:r>
        <w:t xml:space="preserve"> ar 3</w:t>
      </w:r>
      <w:r w:rsidR="00A3188A">
        <w:t>.</w:t>
      </w:r>
      <w:r w:rsidR="00A75749">
        <w:t xml:space="preserve"> un 4</w:t>
      </w:r>
      <w:r w:rsidR="00A3188A">
        <w:t>. </w:t>
      </w:r>
      <w:r>
        <w:t>apakšpunktu šād</w:t>
      </w:r>
      <w:r w:rsidR="00A3188A">
        <w:t>ā</w:t>
      </w:r>
      <w:r>
        <w:t xml:space="preserve"> redakcijā:</w:t>
      </w:r>
    </w:p>
    <w:p w14:paraId="5F7D034D" w14:textId="007F0271" w:rsidR="00A75749" w:rsidRDefault="009F35B3" w:rsidP="00BC785E">
      <w:pPr>
        <w:pStyle w:val="naisf"/>
      </w:pPr>
      <w:r>
        <w:t xml:space="preserve"> „</w:t>
      </w:r>
      <w:r w:rsidR="00A3188A">
        <w:t> </w:t>
      </w:r>
      <w:r w:rsidR="00A75749">
        <w:t>3)</w:t>
      </w:r>
      <w:r w:rsidR="00A3188A">
        <w:t> </w:t>
      </w:r>
      <w:r w:rsidR="00A75749">
        <w:t>Eiropas Komisijas 2015.</w:t>
      </w:r>
      <w:r w:rsidR="00A3188A">
        <w:t> </w:t>
      </w:r>
      <w:r w:rsidR="00A75749">
        <w:t>gada 28.</w:t>
      </w:r>
      <w:r w:rsidR="00A3188A">
        <w:t> </w:t>
      </w:r>
      <w:r w:rsidR="00A75749">
        <w:t xml:space="preserve">augusta Direktīva (ES) </w:t>
      </w:r>
      <w:r w:rsidR="00A75749" w:rsidRPr="00A75749">
        <w:t>2015/1480, ar kuru groza dažus pielikumus Eiropas Parlamenta un Padomes Direktīvās 2004/107/EK un 2008/50/EK, ar ko paredz noteikumus attiecībā uz standartmetodēm, datu validēšanu un paraugu ņemšanas vietu izvietojumu gaisa kvalitātes novērtēšanai</w:t>
      </w:r>
      <w:r w:rsidR="00A75749">
        <w:t>;</w:t>
      </w:r>
    </w:p>
    <w:p w14:paraId="79A52685" w14:textId="238D63B9" w:rsidR="00BC785E" w:rsidRDefault="00A75749" w:rsidP="00BC785E">
      <w:pPr>
        <w:pStyle w:val="naisf"/>
      </w:pPr>
      <w:r>
        <w:t>4</w:t>
      </w:r>
      <w:r w:rsidR="009F35B3">
        <w:t>)</w:t>
      </w:r>
      <w:r w:rsidR="00A3188A">
        <w:t> </w:t>
      </w:r>
      <w:r w:rsidR="009F35B3">
        <w:t>Eiropas Parlamenta un Padomes 2015.</w:t>
      </w:r>
      <w:r w:rsidR="00A3188A">
        <w:t> </w:t>
      </w:r>
      <w:r w:rsidR="009F35B3">
        <w:t>gada 25.</w:t>
      </w:r>
      <w:r w:rsidR="00A3188A">
        <w:t> </w:t>
      </w:r>
      <w:r w:rsidR="009F35B3">
        <w:t xml:space="preserve">novembra Direktīva 2015/2193 par </w:t>
      </w:r>
      <w:r w:rsidR="009F35B3" w:rsidRPr="00DA585F">
        <w:t>ierobežojumiem attiecībā uz dažu piesārņojošu vielu emisiju gaisā no vidējas jaudas sadedzināšanas iekārtām</w:t>
      </w:r>
      <w:r w:rsidR="009F35B3">
        <w:t>.”</w:t>
      </w:r>
    </w:p>
    <w:p w14:paraId="2177BF69" w14:textId="77777777" w:rsidR="00BC785E" w:rsidRDefault="00BC785E" w:rsidP="00BC785E">
      <w:pPr>
        <w:pStyle w:val="naisf"/>
      </w:pPr>
    </w:p>
    <w:p w14:paraId="702E5C71" w14:textId="7C786FC6" w:rsidR="009F35B3" w:rsidRDefault="003C7F83" w:rsidP="00BC785E">
      <w:pPr>
        <w:pStyle w:val="naisf"/>
        <w:numPr>
          <w:ilvl w:val="0"/>
          <w:numId w:val="1"/>
        </w:numPr>
      </w:pPr>
      <w:r>
        <w:t xml:space="preserve">Papildināt </w:t>
      </w:r>
      <w:r w:rsidR="002A575C">
        <w:t>4.</w:t>
      </w:r>
      <w:r w:rsidR="00A3188A">
        <w:t> </w:t>
      </w:r>
      <w:r w:rsidR="002A575C">
        <w:t>pielikuma 1.</w:t>
      </w:r>
      <w:r w:rsidR="00A3188A">
        <w:t> </w:t>
      </w:r>
      <w:r w:rsidR="002A575C">
        <w:t>punktu ar šādu teikumu:</w:t>
      </w:r>
    </w:p>
    <w:p w14:paraId="5F185C21" w14:textId="4DD5D1DA" w:rsidR="00BC785E" w:rsidRPr="00E24DF5" w:rsidRDefault="002A575C" w:rsidP="00BC785E">
      <w:pPr>
        <w:pStyle w:val="naisf"/>
      </w:pPr>
      <w:r>
        <w:t>„</w:t>
      </w:r>
      <w:r w:rsidR="00A3188A">
        <w:t xml:space="preserve">Atbilstīgais </w:t>
      </w:r>
      <w:r w:rsidR="00A3188A" w:rsidRPr="00E24DF5">
        <w:t xml:space="preserve">vidējais ekspozīcijas rādītājs </w:t>
      </w:r>
      <w:r w:rsidRPr="00E24DF5">
        <w:t>2015.</w:t>
      </w:r>
      <w:r w:rsidR="00A3188A" w:rsidRPr="00E24DF5">
        <w:t> </w:t>
      </w:r>
      <w:r w:rsidRPr="00E24DF5">
        <w:t>gadam  ir trijos gados aprēķinātas vidējās koncentrācijas vidējā vērtība visās paraugu ņemšanas vietās 2013., 2014. un 2015. gadā. Vidējo ekspozīcijas rādītāju lieto, lai pārbaudītu, vai ir sasniegts ekspozīcijas samazināšanas mērķis.”</w:t>
      </w:r>
    </w:p>
    <w:p w14:paraId="5FDCE5A9" w14:textId="77777777" w:rsidR="00BC785E" w:rsidRPr="00E24DF5" w:rsidRDefault="00BC785E" w:rsidP="00BC785E">
      <w:pPr>
        <w:pStyle w:val="naisf"/>
      </w:pPr>
    </w:p>
    <w:p w14:paraId="5E70A966" w14:textId="46622CC2" w:rsidR="002A575C" w:rsidRPr="00E24DF5" w:rsidRDefault="00791C49" w:rsidP="00BC785E">
      <w:pPr>
        <w:pStyle w:val="naisf"/>
        <w:numPr>
          <w:ilvl w:val="0"/>
          <w:numId w:val="1"/>
        </w:numPr>
      </w:pPr>
      <w:r w:rsidRPr="00E24DF5">
        <w:t>Izteikt 4.</w:t>
      </w:r>
      <w:r w:rsidR="00A3188A" w:rsidRPr="00E24DF5">
        <w:t> </w:t>
      </w:r>
      <w:r w:rsidRPr="00E24DF5">
        <w:t xml:space="preserve">pielikuma </w:t>
      </w:r>
      <w:r w:rsidR="000B1887" w:rsidRPr="00E24DF5">
        <w:t>II</w:t>
      </w:r>
      <w:r w:rsidR="00F10F58" w:rsidRPr="00E24DF5">
        <w:t>.</w:t>
      </w:r>
      <w:r w:rsidR="00A3188A" w:rsidRPr="00E24DF5">
        <w:t> </w:t>
      </w:r>
      <w:r w:rsidRPr="00E24DF5">
        <w:t>sadaļas tabulas 2</w:t>
      </w:r>
      <w:r w:rsidR="00A3188A" w:rsidRPr="00E24DF5">
        <w:t>. </w:t>
      </w:r>
      <w:r w:rsidRPr="00E24DF5">
        <w:t>kolonnas 1.</w:t>
      </w:r>
      <w:r w:rsidR="00A3188A" w:rsidRPr="00E24DF5">
        <w:t>,2.,3.</w:t>
      </w:r>
      <w:r w:rsidRPr="00E24DF5">
        <w:t xml:space="preserve"> </w:t>
      </w:r>
      <w:r w:rsidR="00A3188A" w:rsidRPr="00E24DF5">
        <w:t>un</w:t>
      </w:r>
      <w:r w:rsidRPr="00E24DF5">
        <w:t xml:space="preserve"> 4.</w:t>
      </w:r>
      <w:r w:rsidR="00A3188A" w:rsidRPr="00E24DF5">
        <w:t> </w:t>
      </w:r>
      <w:r w:rsidRPr="00E24DF5">
        <w:t>rindu šādā redakcijā:</w:t>
      </w:r>
    </w:p>
    <w:p w14:paraId="3900827C" w14:textId="77777777" w:rsidR="00791C49" w:rsidRPr="00E24DF5" w:rsidRDefault="00791C49" w:rsidP="009F35B3">
      <w:pPr>
        <w:pStyle w:val="naisf"/>
      </w:pPr>
      <w:r w:rsidRPr="00E24DF5">
        <w:t>„</w:t>
      </w:r>
    </w:p>
    <w:tbl>
      <w:tblPr>
        <w:tblW w:w="1951" w:type="pct"/>
        <w:tblCellSpacing w:w="0" w:type="dxa"/>
        <w:tblInd w:w="70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39"/>
      </w:tblGrid>
      <w:tr w:rsidR="00791C49" w:rsidRPr="00E24DF5" w14:paraId="4008B5BB" w14:textId="77777777" w:rsidTr="00791C49">
        <w:trPr>
          <w:trHeight w:val="409"/>
          <w:tblCellSpacing w:w="0" w:type="dxa"/>
        </w:trPr>
        <w:tc>
          <w:tcPr>
            <w:tcW w:w="5000" w:type="pct"/>
            <w:tcBorders>
              <w:top w:val="single" w:sz="6" w:space="0" w:color="808080"/>
              <w:left w:val="single" w:sz="6" w:space="0" w:color="808080"/>
              <w:bottom w:val="single" w:sz="6" w:space="0" w:color="808080"/>
              <w:right w:val="single" w:sz="6" w:space="0" w:color="808080"/>
            </w:tcBorders>
            <w:vAlign w:val="center"/>
          </w:tcPr>
          <w:p w14:paraId="639AADC1" w14:textId="77777777" w:rsidR="00791C49" w:rsidRPr="00E24DF5" w:rsidRDefault="00791C49" w:rsidP="00384501">
            <w:pPr>
              <w:pStyle w:val="naisc"/>
            </w:pPr>
            <w:r w:rsidRPr="00E24DF5">
              <w:t>&lt;8,5 = 8,5</w:t>
            </w:r>
          </w:p>
        </w:tc>
      </w:tr>
      <w:tr w:rsidR="00791C49" w:rsidRPr="00E24DF5" w14:paraId="499D3D37" w14:textId="77777777" w:rsidTr="00791C49">
        <w:trPr>
          <w:trHeight w:val="423"/>
          <w:tblCellSpacing w:w="0" w:type="dxa"/>
        </w:trPr>
        <w:tc>
          <w:tcPr>
            <w:tcW w:w="5000" w:type="pct"/>
            <w:tcBorders>
              <w:top w:val="single" w:sz="6" w:space="0" w:color="808080"/>
              <w:left w:val="single" w:sz="6" w:space="0" w:color="808080"/>
              <w:bottom w:val="single" w:sz="6" w:space="0" w:color="808080"/>
              <w:right w:val="single" w:sz="6" w:space="0" w:color="808080"/>
            </w:tcBorders>
            <w:vAlign w:val="center"/>
          </w:tcPr>
          <w:p w14:paraId="2930A100" w14:textId="77777777" w:rsidR="00791C49" w:rsidRPr="00E24DF5" w:rsidRDefault="00791C49" w:rsidP="00384501">
            <w:pPr>
              <w:pStyle w:val="naisc"/>
            </w:pPr>
            <w:r w:rsidRPr="00E24DF5">
              <w:t>no &gt; 8,5 - &lt;13</w:t>
            </w:r>
          </w:p>
        </w:tc>
      </w:tr>
      <w:tr w:rsidR="00791C49" w:rsidRPr="00E24DF5" w14:paraId="76D20013" w14:textId="77777777" w:rsidTr="00791C49">
        <w:trPr>
          <w:trHeight w:val="409"/>
          <w:tblCellSpacing w:w="0" w:type="dxa"/>
        </w:trPr>
        <w:tc>
          <w:tcPr>
            <w:tcW w:w="5000" w:type="pct"/>
            <w:tcBorders>
              <w:top w:val="single" w:sz="6" w:space="0" w:color="808080"/>
              <w:left w:val="single" w:sz="6" w:space="0" w:color="808080"/>
              <w:bottom w:val="single" w:sz="6" w:space="0" w:color="808080"/>
              <w:right w:val="single" w:sz="6" w:space="0" w:color="808080"/>
            </w:tcBorders>
            <w:vAlign w:val="center"/>
          </w:tcPr>
          <w:p w14:paraId="30423402" w14:textId="2E4FF080" w:rsidR="00791C49" w:rsidRPr="00E24DF5" w:rsidRDefault="00791C49" w:rsidP="00384501">
            <w:pPr>
              <w:pStyle w:val="naisc"/>
            </w:pPr>
            <w:r w:rsidRPr="00E24DF5">
              <w:t xml:space="preserve">  = 13 - &lt; 17</w:t>
            </w:r>
          </w:p>
        </w:tc>
      </w:tr>
      <w:tr w:rsidR="00791C49" w:rsidRPr="00E24DF5" w14:paraId="1B38FD2E" w14:textId="77777777" w:rsidTr="00791C49">
        <w:trPr>
          <w:trHeight w:val="423"/>
          <w:tblCellSpacing w:w="0" w:type="dxa"/>
        </w:trPr>
        <w:tc>
          <w:tcPr>
            <w:tcW w:w="5000" w:type="pct"/>
            <w:tcBorders>
              <w:top w:val="single" w:sz="6" w:space="0" w:color="808080"/>
              <w:left w:val="single" w:sz="6" w:space="0" w:color="808080"/>
              <w:bottom w:val="single" w:sz="6" w:space="0" w:color="808080"/>
              <w:right w:val="single" w:sz="6" w:space="0" w:color="808080"/>
            </w:tcBorders>
            <w:vAlign w:val="center"/>
          </w:tcPr>
          <w:p w14:paraId="7159C073" w14:textId="77777777" w:rsidR="00791C49" w:rsidRPr="00E24DF5" w:rsidRDefault="00791C49" w:rsidP="00384501">
            <w:pPr>
              <w:pStyle w:val="naisc"/>
            </w:pPr>
            <w:r w:rsidRPr="00E24DF5">
              <w:t>= 18 - &lt; 21</w:t>
            </w:r>
          </w:p>
        </w:tc>
      </w:tr>
      <w:tr w:rsidR="00791C49" w:rsidRPr="00E24DF5" w14:paraId="13493213" w14:textId="77777777" w:rsidTr="00791C49">
        <w:trPr>
          <w:trHeight w:val="409"/>
          <w:tblCellSpacing w:w="0" w:type="dxa"/>
        </w:trPr>
        <w:tc>
          <w:tcPr>
            <w:tcW w:w="5000" w:type="pct"/>
            <w:tcBorders>
              <w:top w:val="single" w:sz="6" w:space="0" w:color="808080"/>
              <w:left w:val="single" w:sz="6" w:space="0" w:color="808080"/>
              <w:bottom w:val="single" w:sz="6" w:space="0" w:color="808080"/>
              <w:right w:val="single" w:sz="6" w:space="0" w:color="808080"/>
            </w:tcBorders>
            <w:vAlign w:val="center"/>
          </w:tcPr>
          <w:p w14:paraId="74559BDC" w14:textId="77777777" w:rsidR="00791C49" w:rsidRPr="00E24DF5" w:rsidRDefault="00791C49" w:rsidP="00384501">
            <w:pPr>
              <w:pStyle w:val="naisc"/>
            </w:pPr>
            <w:r w:rsidRPr="00E24DF5">
              <w:t xml:space="preserve">≥ 22 </w:t>
            </w:r>
          </w:p>
        </w:tc>
      </w:tr>
    </w:tbl>
    <w:p w14:paraId="131BBF68" w14:textId="77777777" w:rsidR="00BC785E" w:rsidRPr="00E24DF5" w:rsidRDefault="00791C49" w:rsidP="00BC785E">
      <w:pPr>
        <w:pStyle w:val="naisf"/>
        <w:ind w:firstLine="0"/>
        <w:jc w:val="center"/>
      </w:pPr>
      <w:r w:rsidRPr="00E24DF5">
        <w:t>”</w:t>
      </w:r>
    </w:p>
    <w:p w14:paraId="12ADA5BB" w14:textId="6AC65885" w:rsidR="00791C49" w:rsidRPr="00E24DF5" w:rsidRDefault="00BC785E" w:rsidP="00BC785E">
      <w:pPr>
        <w:pStyle w:val="naisf"/>
        <w:numPr>
          <w:ilvl w:val="0"/>
          <w:numId w:val="1"/>
        </w:numPr>
        <w:ind w:left="0" w:firstLine="720"/>
      </w:pPr>
      <w:r w:rsidRPr="00E24DF5">
        <w:t>Papildināt 10.</w:t>
      </w:r>
      <w:r w:rsidR="0028424D" w:rsidRPr="00E24DF5">
        <w:t> </w:t>
      </w:r>
      <w:r w:rsidRPr="00E24DF5">
        <w:t>pielikuma 1.1.</w:t>
      </w:r>
      <w:r w:rsidR="0028424D" w:rsidRPr="00E24DF5">
        <w:t> </w:t>
      </w:r>
      <w:r w:rsidRPr="00E24DF5">
        <w:t>apakšpunkt</w:t>
      </w:r>
      <w:r w:rsidR="0028424D" w:rsidRPr="00E24DF5">
        <w:t>a</w:t>
      </w:r>
      <w:r w:rsidRPr="00E24DF5">
        <w:t xml:space="preserve"> tabulu ar 1.1.7.</w:t>
      </w:r>
      <w:r w:rsidR="0028424D" w:rsidRPr="00E24DF5">
        <w:t>, 1.1.8., 1.1.8., 1.1.9., 1.1.10.</w:t>
      </w:r>
      <w:r w:rsidRPr="00E24DF5">
        <w:t xml:space="preserve"> </w:t>
      </w:r>
      <w:r w:rsidR="0028424D" w:rsidRPr="00E24DF5">
        <w:t>un</w:t>
      </w:r>
      <w:r w:rsidRPr="00E24DF5">
        <w:t xml:space="preserve"> 1.1.11.</w:t>
      </w:r>
      <w:r w:rsidR="0028424D" w:rsidRPr="00E24DF5">
        <w:t> </w:t>
      </w:r>
      <w:r w:rsidRPr="00E24DF5">
        <w:t>rind</w:t>
      </w:r>
      <w:r w:rsidR="0028424D" w:rsidRPr="00E24DF5">
        <w:t>u</w:t>
      </w:r>
      <w:r w:rsidRPr="00E24DF5">
        <w:t xml:space="preserve"> šādā redakcijā:</w:t>
      </w:r>
    </w:p>
    <w:p w14:paraId="1CFD6E31" w14:textId="77777777" w:rsidR="00BC785E" w:rsidRPr="00E24DF5" w:rsidRDefault="00BC785E" w:rsidP="00791C49">
      <w:pPr>
        <w:pStyle w:val="naisf"/>
        <w:ind w:firstLine="0"/>
      </w:pPr>
      <w:r w:rsidRPr="00E24DF5">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43"/>
        <w:gridCol w:w="2268"/>
        <w:gridCol w:w="1208"/>
        <w:gridCol w:w="1440"/>
        <w:gridCol w:w="1604"/>
        <w:gridCol w:w="1560"/>
      </w:tblGrid>
      <w:tr w:rsidR="00BC785E" w:rsidRPr="00E24DF5" w14:paraId="56DB42A7" w14:textId="77777777" w:rsidTr="00BC785E">
        <w:trPr>
          <w:tblCellSpacing w:w="0" w:type="dxa"/>
        </w:trPr>
        <w:tc>
          <w:tcPr>
            <w:tcW w:w="843" w:type="dxa"/>
            <w:tcBorders>
              <w:top w:val="single" w:sz="6" w:space="0" w:color="808080"/>
              <w:left w:val="single" w:sz="6" w:space="0" w:color="808080"/>
              <w:bottom w:val="single" w:sz="6" w:space="0" w:color="808080"/>
              <w:right w:val="single" w:sz="6" w:space="0" w:color="808080"/>
            </w:tcBorders>
            <w:vAlign w:val="center"/>
          </w:tcPr>
          <w:p w14:paraId="417915E2" w14:textId="77777777" w:rsidR="00BC785E" w:rsidRPr="00E24DF5" w:rsidRDefault="00BC785E" w:rsidP="00384501">
            <w:pPr>
              <w:pStyle w:val="naiskr"/>
            </w:pPr>
            <w:r w:rsidRPr="00E24DF5">
              <w:t>1.1.7.</w:t>
            </w:r>
          </w:p>
        </w:tc>
        <w:tc>
          <w:tcPr>
            <w:tcW w:w="2268" w:type="dxa"/>
            <w:tcBorders>
              <w:top w:val="single" w:sz="6" w:space="0" w:color="808080"/>
              <w:left w:val="single" w:sz="6" w:space="0" w:color="808080"/>
              <w:bottom w:val="single" w:sz="6" w:space="0" w:color="808080"/>
              <w:right w:val="single" w:sz="6" w:space="0" w:color="808080"/>
            </w:tcBorders>
            <w:vAlign w:val="center"/>
          </w:tcPr>
          <w:p w14:paraId="5D494EE6" w14:textId="77777777" w:rsidR="00BC785E" w:rsidRPr="00E24DF5" w:rsidRDefault="00BC785E" w:rsidP="00384501">
            <w:pPr>
              <w:pStyle w:val="naisc"/>
            </w:pPr>
            <w:r w:rsidRPr="00E24DF5">
              <w:t>2000 - 2749</w:t>
            </w:r>
          </w:p>
        </w:tc>
        <w:tc>
          <w:tcPr>
            <w:tcW w:w="1208" w:type="dxa"/>
            <w:tcBorders>
              <w:top w:val="single" w:sz="6" w:space="0" w:color="808080"/>
              <w:left w:val="single" w:sz="6" w:space="0" w:color="808080"/>
              <w:bottom w:val="single" w:sz="6" w:space="0" w:color="808080"/>
              <w:right w:val="single" w:sz="6" w:space="0" w:color="808080"/>
            </w:tcBorders>
            <w:vAlign w:val="center"/>
          </w:tcPr>
          <w:p w14:paraId="6064B88D" w14:textId="77777777" w:rsidR="00BC785E" w:rsidRPr="00E24DF5" w:rsidRDefault="00BC785E" w:rsidP="00384501">
            <w:pPr>
              <w:pStyle w:val="naisc"/>
            </w:pPr>
            <w:r w:rsidRPr="00E24DF5">
              <w:t>6</w:t>
            </w:r>
          </w:p>
        </w:tc>
        <w:tc>
          <w:tcPr>
            <w:tcW w:w="1440" w:type="dxa"/>
            <w:tcBorders>
              <w:top w:val="single" w:sz="6" w:space="0" w:color="808080"/>
              <w:left w:val="single" w:sz="6" w:space="0" w:color="808080"/>
              <w:bottom w:val="single" w:sz="6" w:space="0" w:color="808080"/>
              <w:right w:val="single" w:sz="6" w:space="0" w:color="808080"/>
            </w:tcBorders>
            <w:vAlign w:val="center"/>
          </w:tcPr>
          <w:p w14:paraId="1308E1C0" w14:textId="77777777" w:rsidR="00BC785E" w:rsidRPr="00E24DF5" w:rsidRDefault="00BC785E" w:rsidP="00384501">
            <w:pPr>
              <w:pStyle w:val="naisc"/>
            </w:pPr>
            <w:r w:rsidRPr="00E24DF5">
              <w:t>8</w:t>
            </w:r>
          </w:p>
        </w:tc>
        <w:tc>
          <w:tcPr>
            <w:tcW w:w="1604" w:type="dxa"/>
            <w:tcBorders>
              <w:top w:val="single" w:sz="6" w:space="0" w:color="808080"/>
              <w:left w:val="single" w:sz="6" w:space="0" w:color="808080"/>
              <w:bottom w:val="single" w:sz="6" w:space="0" w:color="808080"/>
              <w:right w:val="single" w:sz="6" w:space="0" w:color="808080"/>
            </w:tcBorders>
            <w:vAlign w:val="center"/>
          </w:tcPr>
          <w:p w14:paraId="56C94523" w14:textId="77777777" w:rsidR="00BC785E" w:rsidRPr="00E24DF5" w:rsidRDefault="00BC785E" w:rsidP="00384501">
            <w:pPr>
              <w:pStyle w:val="naisc"/>
            </w:pPr>
            <w:r w:rsidRPr="00E24DF5">
              <w:t>3</w:t>
            </w:r>
          </w:p>
        </w:tc>
        <w:tc>
          <w:tcPr>
            <w:tcW w:w="1560" w:type="dxa"/>
            <w:tcBorders>
              <w:top w:val="single" w:sz="6" w:space="0" w:color="808080"/>
              <w:left w:val="single" w:sz="6" w:space="0" w:color="808080"/>
              <w:bottom w:val="single" w:sz="6" w:space="0" w:color="808080"/>
              <w:right w:val="single" w:sz="6" w:space="0" w:color="808080"/>
            </w:tcBorders>
            <w:vAlign w:val="center"/>
          </w:tcPr>
          <w:p w14:paraId="026E2703" w14:textId="77777777" w:rsidR="00BC785E" w:rsidRPr="00E24DF5" w:rsidRDefault="00BC785E" w:rsidP="00384501">
            <w:pPr>
              <w:pStyle w:val="naisc"/>
            </w:pPr>
            <w:r w:rsidRPr="00E24DF5">
              <w:t>4</w:t>
            </w:r>
          </w:p>
        </w:tc>
      </w:tr>
      <w:tr w:rsidR="00BC785E" w:rsidRPr="00E24DF5" w14:paraId="23122DA0" w14:textId="77777777" w:rsidTr="00BC785E">
        <w:trPr>
          <w:tblCellSpacing w:w="0" w:type="dxa"/>
        </w:trPr>
        <w:tc>
          <w:tcPr>
            <w:tcW w:w="843" w:type="dxa"/>
            <w:tcBorders>
              <w:top w:val="single" w:sz="6" w:space="0" w:color="808080"/>
              <w:left w:val="single" w:sz="6" w:space="0" w:color="808080"/>
              <w:bottom w:val="single" w:sz="6" w:space="0" w:color="808080"/>
              <w:right w:val="single" w:sz="6" w:space="0" w:color="808080"/>
            </w:tcBorders>
            <w:vAlign w:val="center"/>
          </w:tcPr>
          <w:p w14:paraId="3498F316" w14:textId="77777777" w:rsidR="00BC785E" w:rsidRPr="00E24DF5" w:rsidRDefault="00BC785E" w:rsidP="00384501">
            <w:pPr>
              <w:pStyle w:val="naiskr"/>
            </w:pPr>
            <w:r w:rsidRPr="00E24DF5">
              <w:t>1.1.8.</w:t>
            </w:r>
          </w:p>
        </w:tc>
        <w:tc>
          <w:tcPr>
            <w:tcW w:w="2268" w:type="dxa"/>
            <w:tcBorders>
              <w:top w:val="single" w:sz="6" w:space="0" w:color="808080"/>
              <w:left w:val="single" w:sz="6" w:space="0" w:color="808080"/>
              <w:bottom w:val="single" w:sz="6" w:space="0" w:color="808080"/>
              <w:right w:val="single" w:sz="6" w:space="0" w:color="808080"/>
            </w:tcBorders>
            <w:vAlign w:val="center"/>
          </w:tcPr>
          <w:p w14:paraId="6AB26B7B" w14:textId="77777777" w:rsidR="00BC785E" w:rsidRPr="00E24DF5" w:rsidRDefault="00BC785E" w:rsidP="00384501">
            <w:pPr>
              <w:pStyle w:val="naisc"/>
            </w:pPr>
            <w:r w:rsidRPr="00E24DF5">
              <w:t>2759 - 3749</w:t>
            </w:r>
          </w:p>
        </w:tc>
        <w:tc>
          <w:tcPr>
            <w:tcW w:w="1208" w:type="dxa"/>
            <w:tcBorders>
              <w:top w:val="single" w:sz="6" w:space="0" w:color="808080"/>
              <w:left w:val="single" w:sz="6" w:space="0" w:color="808080"/>
              <w:bottom w:val="single" w:sz="6" w:space="0" w:color="808080"/>
              <w:right w:val="single" w:sz="6" w:space="0" w:color="808080"/>
            </w:tcBorders>
            <w:vAlign w:val="center"/>
          </w:tcPr>
          <w:p w14:paraId="59D23B61" w14:textId="77777777" w:rsidR="00BC785E" w:rsidRPr="00E24DF5" w:rsidRDefault="00BC785E" w:rsidP="00384501">
            <w:pPr>
              <w:pStyle w:val="naisc"/>
            </w:pPr>
            <w:r w:rsidRPr="00E24DF5">
              <w:t>7</w:t>
            </w:r>
          </w:p>
        </w:tc>
        <w:tc>
          <w:tcPr>
            <w:tcW w:w="1440" w:type="dxa"/>
            <w:tcBorders>
              <w:top w:val="single" w:sz="6" w:space="0" w:color="808080"/>
              <w:left w:val="single" w:sz="6" w:space="0" w:color="808080"/>
              <w:bottom w:val="single" w:sz="6" w:space="0" w:color="808080"/>
              <w:right w:val="single" w:sz="6" w:space="0" w:color="808080"/>
            </w:tcBorders>
            <w:vAlign w:val="center"/>
          </w:tcPr>
          <w:p w14:paraId="713CCF14" w14:textId="77777777" w:rsidR="00BC785E" w:rsidRPr="00E24DF5" w:rsidRDefault="00BC785E" w:rsidP="00384501">
            <w:pPr>
              <w:pStyle w:val="naisc"/>
            </w:pPr>
            <w:r w:rsidRPr="00E24DF5">
              <w:t>10</w:t>
            </w:r>
          </w:p>
        </w:tc>
        <w:tc>
          <w:tcPr>
            <w:tcW w:w="1604" w:type="dxa"/>
            <w:tcBorders>
              <w:top w:val="single" w:sz="6" w:space="0" w:color="808080"/>
              <w:left w:val="single" w:sz="6" w:space="0" w:color="808080"/>
              <w:bottom w:val="single" w:sz="6" w:space="0" w:color="808080"/>
              <w:right w:val="single" w:sz="6" w:space="0" w:color="808080"/>
            </w:tcBorders>
            <w:vAlign w:val="center"/>
          </w:tcPr>
          <w:p w14:paraId="44E1201C" w14:textId="77777777" w:rsidR="00BC785E" w:rsidRPr="00E24DF5" w:rsidRDefault="00BC785E" w:rsidP="00384501">
            <w:pPr>
              <w:pStyle w:val="naisc"/>
            </w:pPr>
            <w:r w:rsidRPr="00E24DF5">
              <w:t>3</w:t>
            </w:r>
          </w:p>
        </w:tc>
        <w:tc>
          <w:tcPr>
            <w:tcW w:w="1560" w:type="dxa"/>
            <w:tcBorders>
              <w:top w:val="single" w:sz="6" w:space="0" w:color="808080"/>
              <w:left w:val="single" w:sz="6" w:space="0" w:color="808080"/>
              <w:bottom w:val="single" w:sz="6" w:space="0" w:color="808080"/>
              <w:right w:val="single" w:sz="6" w:space="0" w:color="808080"/>
            </w:tcBorders>
            <w:vAlign w:val="center"/>
          </w:tcPr>
          <w:p w14:paraId="0B99B71B" w14:textId="77777777" w:rsidR="00BC785E" w:rsidRPr="00E24DF5" w:rsidRDefault="00BC785E" w:rsidP="00384501">
            <w:pPr>
              <w:pStyle w:val="naisc"/>
            </w:pPr>
            <w:r w:rsidRPr="00E24DF5">
              <w:t>4</w:t>
            </w:r>
          </w:p>
        </w:tc>
      </w:tr>
      <w:tr w:rsidR="00BC785E" w:rsidRPr="00E24DF5" w14:paraId="25E46456" w14:textId="77777777" w:rsidTr="00BC785E">
        <w:trPr>
          <w:tblCellSpacing w:w="0" w:type="dxa"/>
        </w:trPr>
        <w:tc>
          <w:tcPr>
            <w:tcW w:w="843" w:type="dxa"/>
            <w:tcBorders>
              <w:top w:val="single" w:sz="6" w:space="0" w:color="808080"/>
              <w:left w:val="single" w:sz="6" w:space="0" w:color="808080"/>
              <w:bottom w:val="single" w:sz="6" w:space="0" w:color="808080"/>
              <w:right w:val="single" w:sz="6" w:space="0" w:color="808080"/>
            </w:tcBorders>
            <w:vAlign w:val="center"/>
          </w:tcPr>
          <w:p w14:paraId="0B6D0A0D" w14:textId="77777777" w:rsidR="00BC785E" w:rsidRPr="00E24DF5" w:rsidRDefault="00BC785E" w:rsidP="00384501">
            <w:pPr>
              <w:pStyle w:val="naiskr"/>
            </w:pPr>
            <w:r w:rsidRPr="00E24DF5">
              <w:t>1.1.9.</w:t>
            </w:r>
          </w:p>
        </w:tc>
        <w:tc>
          <w:tcPr>
            <w:tcW w:w="2268" w:type="dxa"/>
            <w:tcBorders>
              <w:top w:val="single" w:sz="6" w:space="0" w:color="808080"/>
              <w:left w:val="single" w:sz="6" w:space="0" w:color="808080"/>
              <w:bottom w:val="single" w:sz="6" w:space="0" w:color="808080"/>
              <w:right w:val="single" w:sz="6" w:space="0" w:color="808080"/>
            </w:tcBorders>
            <w:vAlign w:val="center"/>
          </w:tcPr>
          <w:p w14:paraId="71274DAA" w14:textId="77777777" w:rsidR="00BC785E" w:rsidRPr="00E24DF5" w:rsidRDefault="00BC785E" w:rsidP="00384501">
            <w:pPr>
              <w:pStyle w:val="naisc"/>
            </w:pPr>
            <w:r w:rsidRPr="00E24DF5">
              <w:t>3750 - 4749</w:t>
            </w:r>
          </w:p>
        </w:tc>
        <w:tc>
          <w:tcPr>
            <w:tcW w:w="1208" w:type="dxa"/>
            <w:tcBorders>
              <w:top w:val="single" w:sz="6" w:space="0" w:color="808080"/>
              <w:left w:val="single" w:sz="6" w:space="0" w:color="808080"/>
              <w:bottom w:val="single" w:sz="6" w:space="0" w:color="808080"/>
              <w:right w:val="single" w:sz="6" w:space="0" w:color="808080"/>
            </w:tcBorders>
            <w:vAlign w:val="center"/>
          </w:tcPr>
          <w:p w14:paraId="0BDB74C3" w14:textId="77777777" w:rsidR="00BC785E" w:rsidRPr="00E24DF5" w:rsidRDefault="00BC785E" w:rsidP="00384501">
            <w:pPr>
              <w:pStyle w:val="naisc"/>
            </w:pPr>
            <w:r w:rsidRPr="00E24DF5">
              <w:t>8</w:t>
            </w:r>
          </w:p>
        </w:tc>
        <w:tc>
          <w:tcPr>
            <w:tcW w:w="1440" w:type="dxa"/>
            <w:tcBorders>
              <w:top w:val="single" w:sz="6" w:space="0" w:color="808080"/>
              <w:left w:val="single" w:sz="6" w:space="0" w:color="808080"/>
              <w:bottom w:val="single" w:sz="6" w:space="0" w:color="808080"/>
              <w:right w:val="single" w:sz="6" w:space="0" w:color="808080"/>
            </w:tcBorders>
            <w:vAlign w:val="center"/>
          </w:tcPr>
          <w:p w14:paraId="7D1B1602" w14:textId="77777777" w:rsidR="00BC785E" w:rsidRPr="00E24DF5" w:rsidRDefault="00BC785E" w:rsidP="00384501">
            <w:pPr>
              <w:pStyle w:val="naisc"/>
            </w:pPr>
            <w:r w:rsidRPr="00E24DF5">
              <w:t>11</w:t>
            </w:r>
          </w:p>
        </w:tc>
        <w:tc>
          <w:tcPr>
            <w:tcW w:w="1604" w:type="dxa"/>
            <w:tcBorders>
              <w:top w:val="single" w:sz="6" w:space="0" w:color="808080"/>
              <w:left w:val="single" w:sz="6" w:space="0" w:color="808080"/>
              <w:bottom w:val="single" w:sz="6" w:space="0" w:color="808080"/>
              <w:right w:val="single" w:sz="6" w:space="0" w:color="808080"/>
            </w:tcBorders>
            <w:vAlign w:val="center"/>
          </w:tcPr>
          <w:p w14:paraId="13283B46" w14:textId="77777777" w:rsidR="00BC785E" w:rsidRPr="00E24DF5" w:rsidRDefault="00BC785E" w:rsidP="00384501">
            <w:pPr>
              <w:pStyle w:val="naisc"/>
            </w:pPr>
            <w:r w:rsidRPr="00E24DF5">
              <w:t>3</w:t>
            </w:r>
          </w:p>
        </w:tc>
        <w:tc>
          <w:tcPr>
            <w:tcW w:w="1560" w:type="dxa"/>
            <w:tcBorders>
              <w:top w:val="single" w:sz="6" w:space="0" w:color="808080"/>
              <w:left w:val="single" w:sz="6" w:space="0" w:color="808080"/>
              <w:bottom w:val="single" w:sz="6" w:space="0" w:color="808080"/>
              <w:right w:val="single" w:sz="6" w:space="0" w:color="808080"/>
            </w:tcBorders>
            <w:vAlign w:val="center"/>
          </w:tcPr>
          <w:p w14:paraId="09769951" w14:textId="77777777" w:rsidR="00BC785E" w:rsidRPr="00E24DF5" w:rsidRDefault="00BC785E" w:rsidP="00384501">
            <w:pPr>
              <w:pStyle w:val="naisc"/>
            </w:pPr>
            <w:r w:rsidRPr="00E24DF5">
              <w:t>6</w:t>
            </w:r>
          </w:p>
        </w:tc>
      </w:tr>
      <w:tr w:rsidR="00BC785E" w:rsidRPr="00E24DF5" w14:paraId="24D9CAC7" w14:textId="77777777" w:rsidTr="00BC785E">
        <w:trPr>
          <w:tblCellSpacing w:w="0" w:type="dxa"/>
        </w:trPr>
        <w:tc>
          <w:tcPr>
            <w:tcW w:w="843" w:type="dxa"/>
            <w:tcBorders>
              <w:top w:val="single" w:sz="6" w:space="0" w:color="808080"/>
              <w:left w:val="single" w:sz="6" w:space="0" w:color="808080"/>
              <w:bottom w:val="single" w:sz="6" w:space="0" w:color="808080"/>
              <w:right w:val="single" w:sz="6" w:space="0" w:color="808080"/>
            </w:tcBorders>
            <w:vAlign w:val="center"/>
          </w:tcPr>
          <w:p w14:paraId="45E9FBA7" w14:textId="77777777" w:rsidR="00BC785E" w:rsidRPr="00E24DF5" w:rsidRDefault="00BC785E" w:rsidP="00384501">
            <w:pPr>
              <w:pStyle w:val="naiskr"/>
            </w:pPr>
            <w:r w:rsidRPr="00E24DF5">
              <w:t>1.1.10.</w:t>
            </w:r>
          </w:p>
        </w:tc>
        <w:tc>
          <w:tcPr>
            <w:tcW w:w="2268" w:type="dxa"/>
            <w:tcBorders>
              <w:top w:val="single" w:sz="6" w:space="0" w:color="808080"/>
              <w:left w:val="single" w:sz="6" w:space="0" w:color="808080"/>
              <w:bottom w:val="single" w:sz="6" w:space="0" w:color="808080"/>
              <w:right w:val="single" w:sz="6" w:space="0" w:color="808080"/>
            </w:tcBorders>
            <w:vAlign w:val="center"/>
          </w:tcPr>
          <w:p w14:paraId="3C68094A" w14:textId="77777777" w:rsidR="00BC785E" w:rsidRPr="00E24DF5" w:rsidRDefault="00BC785E" w:rsidP="00384501">
            <w:pPr>
              <w:pStyle w:val="naisc"/>
            </w:pPr>
            <w:r w:rsidRPr="00E24DF5">
              <w:t>4750 - 5999</w:t>
            </w:r>
          </w:p>
        </w:tc>
        <w:tc>
          <w:tcPr>
            <w:tcW w:w="1208" w:type="dxa"/>
            <w:tcBorders>
              <w:top w:val="single" w:sz="6" w:space="0" w:color="808080"/>
              <w:left w:val="single" w:sz="6" w:space="0" w:color="808080"/>
              <w:bottom w:val="single" w:sz="6" w:space="0" w:color="808080"/>
              <w:right w:val="single" w:sz="6" w:space="0" w:color="808080"/>
            </w:tcBorders>
            <w:vAlign w:val="center"/>
          </w:tcPr>
          <w:p w14:paraId="7E392AA1" w14:textId="77777777" w:rsidR="00BC785E" w:rsidRPr="00E24DF5" w:rsidRDefault="00BC785E" w:rsidP="00384501">
            <w:pPr>
              <w:pStyle w:val="naisc"/>
            </w:pPr>
            <w:r w:rsidRPr="00E24DF5">
              <w:t>9</w:t>
            </w:r>
          </w:p>
        </w:tc>
        <w:tc>
          <w:tcPr>
            <w:tcW w:w="1440" w:type="dxa"/>
            <w:tcBorders>
              <w:top w:val="single" w:sz="6" w:space="0" w:color="808080"/>
              <w:left w:val="single" w:sz="6" w:space="0" w:color="808080"/>
              <w:bottom w:val="single" w:sz="6" w:space="0" w:color="808080"/>
              <w:right w:val="single" w:sz="6" w:space="0" w:color="808080"/>
            </w:tcBorders>
            <w:vAlign w:val="center"/>
          </w:tcPr>
          <w:p w14:paraId="72255F04" w14:textId="77777777" w:rsidR="00BC785E" w:rsidRPr="00E24DF5" w:rsidRDefault="00BC785E" w:rsidP="00384501">
            <w:pPr>
              <w:pStyle w:val="naisc"/>
            </w:pPr>
            <w:r w:rsidRPr="00E24DF5">
              <w:t>13</w:t>
            </w:r>
          </w:p>
        </w:tc>
        <w:tc>
          <w:tcPr>
            <w:tcW w:w="1604" w:type="dxa"/>
            <w:tcBorders>
              <w:top w:val="single" w:sz="6" w:space="0" w:color="808080"/>
              <w:left w:val="single" w:sz="6" w:space="0" w:color="808080"/>
              <w:bottom w:val="single" w:sz="6" w:space="0" w:color="808080"/>
              <w:right w:val="single" w:sz="6" w:space="0" w:color="808080"/>
            </w:tcBorders>
            <w:vAlign w:val="center"/>
          </w:tcPr>
          <w:p w14:paraId="1EBB1876" w14:textId="77777777" w:rsidR="00BC785E" w:rsidRPr="00E24DF5" w:rsidRDefault="00BC785E" w:rsidP="00384501">
            <w:pPr>
              <w:pStyle w:val="naisc"/>
            </w:pPr>
            <w:r w:rsidRPr="00E24DF5">
              <w:t>4</w:t>
            </w:r>
          </w:p>
        </w:tc>
        <w:tc>
          <w:tcPr>
            <w:tcW w:w="1560" w:type="dxa"/>
            <w:tcBorders>
              <w:top w:val="single" w:sz="6" w:space="0" w:color="808080"/>
              <w:left w:val="single" w:sz="6" w:space="0" w:color="808080"/>
              <w:bottom w:val="single" w:sz="6" w:space="0" w:color="808080"/>
              <w:right w:val="single" w:sz="6" w:space="0" w:color="808080"/>
            </w:tcBorders>
            <w:vAlign w:val="center"/>
          </w:tcPr>
          <w:p w14:paraId="0AA63206" w14:textId="77777777" w:rsidR="00BC785E" w:rsidRPr="00E24DF5" w:rsidRDefault="00BC785E" w:rsidP="00384501">
            <w:pPr>
              <w:pStyle w:val="naisc"/>
            </w:pPr>
            <w:r w:rsidRPr="00E24DF5">
              <w:t>6</w:t>
            </w:r>
          </w:p>
        </w:tc>
      </w:tr>
      <w:tr w:rsidR="00BC785E" w:rsidRPr="00E24DF5" w14:paraId="29FF3DE2" w14:textId="77777777" w:rsidTr="00BC785E">
        <w:trPr>
          <w:tblCellSpacing w:w="0" w:type="dxa"/>
        </w:trPr>
        <w:tc>
          <w:tcPr>
            <w:tcW w:w="843" w:type="dxa"/>
            <w:tcBorders>
              <w:top w:val="single" w:sz="6" w:space="0" w:color="808080"/>
              <w:left w:val="single" w:sz="6" w:space="0" w:color="808080"/>
              <w:bottom w:val="single" w:sz="6" w:space="0" w:color="808080"/>
              <w:right w:val="single" w:sz="6" w:space="0" w:color="808080"/>
            </w:tcBorders>
            <w:vAlign w:val="center"/>
          </w:tcPr>
          <w:p w14:paraId="5244E96B" w14:textId="77777777" w:rsidR="00BC785E" w:rsidRPr="00E24DF5" w:rsidRDefault="00BC785E" w:rsidP="00384501">
            <w:pPr>
              <w:pStyle w:val="naiskr"/>
            </w:pPr>
            <w:r w:rsidRPr="00E24DF5">
              <w:t>1.1.11.</w:t>
            </w:r>
          </w:p>
        </w:tc>
        <w:tc>
          <w:tcPr>
            <w:tcW w:w="2268" w:type="dxa"/>
            <w:tcBorders>
              <w:top w:val="single" w:sz="6" w:space="0" w:color="808080"/>
              <w:left w:val="single" w:sz="6" w:space="0" w:color="808080"/>
              <w:bottom w:val="single" w:sz="6" w:space="0" w:color="808080"/>
              <w:right w:val="single" w:sz="6" w:space="0" w:color="808080"/>
            </w:tcBorders>
            <w:vAlign w:val="center"/>
          </w:tcPr>
          <w:p w14:paraId="38BB7F65" w14:textId="77777777" w:rsidR="00BC785E" w:rsidRPr="00E24DF5" w:rsidRDefault="00BC785E" w:rsidP="00384501">
            <w:pPr>
              <w:pStyle w:val="naisc"/>
            </w:pPr>
            <w:r w:rsidRPr="00E24DF5">
              <w:t>≥ 6000</w:t>
            </w:r>
          </w:p>
        </w:tc>
        <w:tc>
          <w:tcPr>
            <w:tcW w:w="1208" w:type="dxa"/>
            <w:tcBorders>
              <w:top w:val="single" w:sz="6" w:space="0" w:color="808080"/>
              <w:left w:val="single" w:sz="6" w:space="0" w:color="808080"/>
              <w:bottom w:val="single" w:sz="6" w:space="0" w:color="808080"/>
              <w:right w:val="single" w:sz="6" w:space="0" w:color="808080"/>
            </w:tcBorders>
            <w:vAlign w:val="center"/>
          </w:tcPr>
          <w:p w14:paraId="0C131126" w14:textId="77777777" w:rsidR="00BC785E" w:rsidRPr="00E24DF5" w:rsidRDefault="00BC785E" w:rsidP="00384501">
            <w:pPr>
              <w:pStyle w:val="naisc"/>
            </w:pPr>
            <w:r w:rsidRPr="00E24DF5">
              <w:t>10</w:t>
            </w:r>
          </w:p>
        </w:tc>
        <w:tc>
          <w:tcPr>
            <w:tcW w:w="1440" w:type="dxa"/>
            <w:tcBorders>
              <w:top w:val="single" w:sz="6" w:space="0" w:color="808080"/>
              <w:left w:val="single" w:sz="6" w:space="0" w:color="808080"/>
              <w:bottom w:val="single" w:sz="6" w:space="0" w:color="808080"/>
              <w:right w:val="single" w:sz="6" w:space="0" w:color="808080"/>
            </w:tcBorders>
            <w:vAlign w:val="center"/>
          </w:tcPr>
          <w:p w14:paraId="52858EE8" w14:textId="77777777" w:rsidR="00BC785E" w:rsidRPr="00E24DF5" w:rsidRDefault="00BC785E" w:rsidP="00384501">
            <w:pPr>
              <w:pStyle w:val="naisc"/>
            </w:pPr>
            <w:r w:rsidRPr="00E24DF5">
              <w:t>15</w:t>
            </w:r>
          </w:p>
        </w:tc>
        <w:tc>
          <w:tcPr>
            <w:tcW w:w="1604" w:type="dxa"/>
            <w:tcBorders>
              <w:top w:val="single" w:sz="6" w:space="0" w:color="808080"/>
              <w:left w:val="single" w:sz="6" w:space="0" w:color="808080"/>
              <w:bottom w:val="single" w:sz="6" w:space="0" w:color="808080"/>
              <w:right w:val="single" w:sz="6" w:space="0" w:color="808080"/>
            </w:tcBorders>
            <w:vAlign w:val="center"/>
          </w:tcPr>
          <w:p w14:paraId="68C84BA5" w14:textId="77777777" w:rsidR="00BC785E" w:rsidRPr="00E24DF5" w:rsidRDefault="00BC785E" w:rsidP="00384501">
            <w:pPr>
              <w:pStyle w:val="naisc"/>
            </w:pPr>
            <w:r w:rsidRPr="00E24DF5">
              <w:t>4</w:t>
            </w:r>
          </w:p>
        </w:tc>
        <w:tc>
          <w:tcPr>
            <w:tcW w:w="1560" w:type="dxa"/>
            <w:tcBorders>
              <w:top w:val="single" w:sz="6" w:space="0" w:color="808080"/>
              <w:left w:val="single" w:sz="6" w:space="0" w:color="808080"/>
              <w:bottom w:val="single" w:sz="6" w:space="0" w:color="808080"/>
              <w:right w:val="single" w:sz="6" w:space="0" w:color="808080"/>
            </w:tcBorders>
            <w:vAlign w:val="center"/>
          </w:tcPr>
          <w:p w14:paraId="670AF253" w14:textId="77777777" w:rsidR="00BC785E" w:rsidRPr="00E24DF5" w:rsidRDefault="00BC785E" w:rsidP="00384501">
            <w:pPr>
              <w:pStyle w:val="naisc"/>
            </w:pPr>
            <w:r w:rsidRPr="00E24DF5">
              <w:t>7</w:t>
            </w:r>
          </w:p>
        </w:tc>
      </w:tr>
    </w:tbl>
    <w:p w14:paraId="4EA51250" w14:textId="077134A6" w:rsidR="00BC785E" w:rsidRPr="00E24DF5" w:rsidRDefault="00BC785E" w:rsidP="00BC785E">
      <w:pPr>
        <w:pStyle w:val="naisf"/>
        <w:ind w:firstLine="0"/>
        <w:jc w:val="right"/>
      </w:pPr>
      <w:r w:rsidRPr="00E24DF5">
        <w:t>”</w:t>
      </w:r>
    </w:p>
    <w:p w14:paraId="09585C25" w14:textId="7877F0E3" w:rsidR="00BC785E" w:rsidRPr="00E24DF5" w:rsidRDefault="00BC785E" w:rsidP="00ED3CBC">
      <w:pPr>
        <w:pStyle w:val="naisf"/>
        <w:numPr>
          <w:ilvl w:val="0"/>
          <w:numId w:val="1"/>
        </w:numPr>
        <w:ind w:left="0" w:firstLine="720"/>
      </w:pPr>
      <w:r w:rsidRPr="00E24DF5">
        <w:t>Svītrot 10.</w:t>
      </w:r>
      <w:r w:rsidR="0028424D" w:rsidRPr="00E24DF5">
        <w:t> </w:t>
      </w:r>
      <w:r w:rsidRPr="00E24DF5">
        <w:t xml:space="preserve">pielikuma </w:t>
      </w:r>
      <w:r w:rsidR="009648E4" w:rsidRPr="00E24DF5">
        <w:t>II</w:t>
      </w:r>
      <w:r w:rsidR="0028424D" w:rsidRPr="00E24DF5">
        <w:t>. </w:t>
      </w:r>
      <w:r w:rsidR="009648E4" w:rsidRPr="00E24DF5">
        <w:t>sadaļas 3.</w:t>
      </w:r>
      <w:r w:rsidR="0028424D" w:rsidRPr="00E24DF5">
        <w:t> </w:t>
      </w:r>
      <w:r w:rsidR="009648E4" w:rsidRPr="00E24DF5">
        <w:t>punkt</w:t>
      </w:r>
      <w:r w:rsidR="0028424D" w:rsidRPr="00E24DF5">
        <w:t>a</w:t>
      </w:r>
      <w:r w:rsidR="009648E4" w:rsidRPr="00E24DF5">
        <w:t xml:space="preserve"> tabulā vārdus „(pilsēta vai piepilsēta)” un vārdus „(piepilsēta vai lauku apvidus)”</w:t>
      </w:r>
      <w:r w:rsidR="0028424D" w:rsidRPr="00E24DF5">
        <w:t>.</w:t>
      </w:r>
    </w:p>
    <w:p w14:paraId="3D20EDB0" w14:textId="77777777" w:rsidR="00ED3CBC" w:rsidRPr="00E24DF5" w:rsidRDefault="00ED3CBC" w:rsidP="00ED3CBC">
      <w:pPr>
        <w:pStyle w:val="naisf"/>
        <w:ind w:left="720" w:firstLine="0"/>
      </w:pPr>
    </w:p>
    <w:p w14:paraId="2FF9370A" w14:textId="27FF9C8C" w:rsidR="00ED3CBC" w:rsidRPr="00E24DF5" w:rsidRDefault="00ED3CBC" w:rsidP="00801245">
      <w:pPr>
        <w:pStyle w:val="naisf"/>
        <w:numPr>
          <w:ilvl w:val="0"/>
          <w:numId w:val="1"/>
        </w:numPr>
        <w:spacing w:before="0" w:after="0"/>
        <w:ind w:left="0" w:firstLine="720"/>
      </w:pPr>
      <w:r w:rsidRPr="00E24DF5">
        <w:lastRenderedPageBreak/>
        <w:t>Aizstāt 10.</w:t>
      </w:r>
      <w:r w:rsidR="0028424D" w:rsidRPr="00E24DF5">
        <w:t> </w:t>
      </w:r>
      <w:r w:rsidRPr="00E24DF5">
        <w:t>pielikuma II</w:t>
      </w:r>
      <w:r w:rsidR="0028424D" w:rsidRPr="00E24DF5">
        <w:t>. </w:t>
      </w:r>
      <w:r w:rsidRPr="00E24DF5">
        <w:t>sadaļas 3.</w:t>
      </w:r>
      <w:r w:rsidR="0028424D" w:rsidRPr="00E24DF5">
        <w:t> </w:t>
      </w:r>
      <w:r w:rsidRPr="00E24DF5">
        <w:t>punkt</w:t>
      </w:r>
      <w:r w:rsidR="0028424D" w:rsidRPr="00E24DF5">
        <w:t>a</w:t>
      </w:r>
      <w:r w:rsidRPr="00E24DF5">
        <w:t xml:space="preserve"> tabulas 1.</w:t>
      </w:r>
      <w:r w:rsidR="0028424D" w:rsidRPr="00E24DF5">
        <w:t> </w:t>
      </w:r>
      <w:r w:rsidRPr="00E24DF5">
        <w:t>piezīmē vārdu „piepilsētā” ar vārdu „teritorijā”</w:t>
      </w:r>
      <w:r w:rsidR="0028424D" w:rsidRPr="00E24DF5">
        <w:t>.</w:t>
      </w:r>
    </w:p>
    <w:p w14:paraId="02DEF455" w14:textId="77777777" w:rsidR="00ED3CBC" w:rsidRDefault="00ED3CBC" w:rsidP="00801245">
      <w:pPr>
        <w:pStyle w:val="ListParagraph"/>
        <w:spacing w:after="0"/>
      </w:pPr>
    </w:p>
    <w:p w14:paraId="56B0B8E6" w14:textId="78E79CD3" w:rsidR="00292F1A" w:rsidRDefault="00C152CD" w:rsidP="00292F1A">
      <w:pPr>
        <w:pStyle w:val="naisf"/>
        <w:numPr>
          <w:ilvl w:val="0"/>
          <w:numId w:val="1"/>
        </w:numPr>
        <w:ind w:left="0" w:firstLine="720"/>
      </w:pPr>
      <w:r>
        <w:t>Papildināt 11.</w:t>
      </w:r>
      <w:r w:rsidR="0028424D">
        <w:t> </w:t>
      </w:r>
      <w:r>
        <w:t>pielikum</w:t>
      </w:r>
      <w:r w:rsidR="00292F1A">
        <w:t>a 2.5.</w:t>
      </w:r>
      <w:r w:rsidR="0028424D">
        <w:t> </w:t>
      </w:r>
      <w:r w:rsidR="00292F1A">
        <w:t>apakšpunkt</w:t>
      </w:r>
      <w:r w:rsidR="0028424D">
        <w:t>ā</w:t>
      </w:r>
      <w:r w:rsidR="00292F1A">
        <w:t xml:space="preserve"> aiz vārdiem „galvenajiem ceļiem” ar vārdiem „kur satiksmes intensitāte ir lielāka par 50 000 transportlīdzekļu dienā.”</w:t>
      </w:r>
    </w:p>
    <w:p w14:paraId="61A02624" w14:textId="77777777" w:rsidR="00355067" w:rsidRDefault="00355067" w:rsidP="00355067">
      <w:pPr>
        <w:pStyle w:val="naisf"/>
        <w:ind w:firstLine="0"/>
      </w:pPr>
    </w:p>
    <w:p w14:paraId="76B1EC90" w14:textId="679D9F2B" w:rsidR="00292F1A" w:rsidRDefault="00292F1A" w:rsidP="00355067">
      <w:pPr>
        <w:pStyle w:val="naisf"/>
        <w:numPr>
          <w:ilvl w:val="0"/>
          <w:numId w:val="1"/>
        </w:numPr>
        <w:ind w:left="0" w:firstLine="720"/>
      </w:pPr>
      <w:r>
        <w:t>Izteikt 11.</w:t>
      </w:r>
      <w:r w:rsidR="004934B9">
        <w:t> </w:t>
      </w:r>
      <w:r>
        <w:t>pielikuma 3.1.</w:t>
      </w:r>
      <w:r w:rsidR="004934B9">
        <w:t>, 3.2., 3.3., 3.4. un</w:t>
      </w:r>
      <w:r w:rsidR="000B1887">
        <w:t xml:space="preserve"> </w:t>
      </w:r>
      <w:r>
        <w:t>3.5.</w:t>
      </w:r>
      <w:r w:rsidR="004934B9">
        <w:t> </w:t>
      </w:r>
      <w:r>
        <w:t xml:space="preserve">apakšpunktu šādā redakcijā: </w:t>
      </w:r>
    </w:p>
    <w:p w14:paraId="1A94BA06" w14:textId="2C2A8B37" w:rsidR="00292F1A" w:rsidRDefault="00292F1A" w:rsidP="00292F1A">
      <w:pPr>
        <w:pStyle w:val="naisf"/>
      </w:pPr>
      <w:r>
        <w:t>„3.1.</w:t>
      </w:r>
      <w:r w:rsidR="004934B9">
        <w:t> </w:t>
      </w:r>
      <w:r>
        <w:t>gaisa plūsmai ap paraugu ņemšanas ierīces atveri jābūt brīvai no jebkādiem šķēršļiem, kas varētu ietekmēt gaisa plūsmu parauga ņemšanas ierīces tuvumā (paraugu ņemšanas vietām, kas atrodas uz apbūves līnijas vismaz 270</w:t>
      </w:r>
      <w:r>
        <w:rPr>
          <w:vertAlign w:val="superscript"/>
        </w:rPr>
        <w:t xml:space="preserve">o </w:t>
      </w:r>
      <w:r>
        <w:t>vai 180</w:t>
      </w:r>
      <w:r>
        <w:rPr>
          <w:vertAlign w:val="superscript"/>
        </w:rPr>
        <w:t>o</w:t>
      </w:r>
      <w:r>
        <w:t xml:space="preserve"> rādiusā). Parasti šīs ierīces novieto dažu metru attālumā no ēkām, kokiem un citiem šķēršļiem un vismaz 0,5</w:t>
      </w:r>
      <w:r w:rsidR="004934B9">
        <w:t> </w:t>
      </w:r>
      <w:r>
        <w:t>m attālumā no tuvākās būves, ja paraugu ņemšanas vieta raksturo gaisa kvalitāti uz apbūves līnijas;</w:t>
      </w:r>
    </w:p>
    <w:p w14:paraId="56B12F40" w14:textId="62406DC6" w:rsidR="00292F1A" w:rsidRDefault="00292F1A" w:rsidP="00292F1A">
      <w:pPr>
        <w:pStyle w:val="naisf"/>
      </w:pPr>
      <w:r>
        <w:t>3.2.</w:t>
      </w:r>
      <w:r w:rsidR="004934B9">
        <w:t> </w:t>
      </w:r>
      <w:r>
        <w:t xml:space="preserve">gaisa plūsmas paraugu ņemšanas ierīces ieplūdes atvere novietota 1,5 m (elpošanas zona) līdz 4 m augstumā virs zemes. Augstāks novietojums var būt nepieciešams </w:t>
      </w:r>
      <w:r w:rsidRPr="00BF0D93">
        <w:t xml:space="preserve">tad, </w:t>
      </w:r>
      <w:r>
        <w:t xml:space="preserve">ja monitoringa stacija raksturo plašāku teritoriju. </w:t>
      </w:r>
      <w:r w:rsidRPr="001955DE">
        <w:t>Ja paraugu ņemšanas ierīce ir novietota augstāk par 4</w:t>
      </w:r>
      <w:r w:rsidR="004934B9">
        <w:t> </w:t>
      </w:r>
      <w:r w:rsidRPr="001955DE">
        <w:t>m virs zemes šo informāciju iekļauj ziņojumā, kas tiek izstrādāts saskaņā ar šo noteikumu 14.</w:t>
      </w:r>
      <w:r w:rsidRPr="001955DE">
        <w:rPr>
          <w:vertAlign w:val="superscript"/>
        </w:rPr>
        <w:t>1</w:t>
      </w:r>
      <w:r w:rsidR="004934B9">
        <w:t> </w:t>
      </w:r>
      <w:r w:rsidRPr="001955DE">
        <w:t>punktā noteikto</w:t>
      </w:r>
      <w:r w:rsidR="0028424D">
        <w:t>;</w:t>
      </w:r>
    </w:p>
    <w:p w14:paraId="666E977E" w14:textId="77777777" w:rsidR="00292F1A" w:rsidRDefault="00292F1A" w:rsidP="00292F1A">
      <w:pPr>
        <w:pStyle w:val="naisf"/>
      </w:pPr>
      <w:r>
        <w:t>3.3. paraugu ņemšanas ierīces ieplūdes atvere nedrīkst atrasties piesārņojuma avotu tiešā tuvumā, lai nepieļautu tiešu un ar gaisu nesajauktu emitēto piesārņojošo vielu ieplūšanu;</w:t>
      </w:r>
    </w:p>
    <w:p w14:paraId="3BB6B688" w14:textId="5CC02F67" w:rsidR="00292F1A" w:rsidRDefault="00292F1A" w:rsidP="00292F1A">
      <w:pPr>
        <w:pStyle w:val="naisf"/>
      </w:pPr>
      <w:r>
        <w:t>3.4.</w:t>
      </w:r>
      <w:r w:rsidR="0028424D">
        <w:t> </w:t>
      </w:r>
      <w:r>
        <w:t>paraugu ņemšanas ierīces izplūdes atvere novietota tā, lai nepieļautu izplūstošā gaisa recirkulāciju ierīces ieejā;</w:t>
      </w:r>
    </w:p>
    <w:p w14:paraId="0944402A" w14:textId="18297499" w:rsidR="00292F1A" w:rsidRDefault="00292F1A" w:rsidP="00292F1A">
      <w:pPr>
        <w:pStyle w:val="naisf"/>
      </w:pPr>
      <w:r>
        <w:t>3.5.</w:t>
      </w:r>
      <w:r w:rsidR="0028424D">
        <w:t> </w:t>
      </w:r>
      <w:r>
        <w:t xml:space="preserve">transportlīdzekļu radītā </w:t>
      </w:r>
      <w:r w:rsidRPr="00CC4535">
        <w:t>piesārņojuma mērīšanai paredzētās paraugu ņemšanas ierīces novieto vismaz 25</w:t>
      </w:r>
      <w:r w:rsidR="0028424D">
        <w:t> </w:t>
      </w:r>
      <w:r w:rsidRPr="00CC4535">
        <w:t>m attālumā no galvenajiem krustojumiem (tādi krustojumi, kas aptur satiksmes plūsmu un rada atšķirīgas emisijas (apstāšanās un kustības atsākšana) salīdzinājumā ar pārējo ceļu) un tālākais 10</w:t>
      </w:r>
      <w:r w:rsidR="0028424D">
        <w:t> </w:t>
      </w:r>
      <w:r w:rsidRPr="00CC4535">
        <w:t>m no ietves malas;</w:t>
      </w:r>
      <w:r>
        <w:t>”</w:t>
      </w:r>
    </w:p>
    <w:p w14:paraId="2EA4AC6F" w14:textId="77777777" w:rsidR="00292F1A" w:rsidRDefault="00292F1A" w:rsidP="00292F1A">
      <w:pPr>
        <w:pStyle w:val="naisf"/>
      </w:pPr>
    </w:p>
    <w:p w14:paraId="449D112B" w14:textId="647A8F8E" w:rsidR="001A1FBC" w:rsidRDefault="0012220E" w:rsidP="001A1FBC">
      <w:pPr>
        <w:pStyle w:val="naisf"/>
        <w:numPr>
          <w:ilvl w:val="0"/>
          <w:numId w:val="1"/>
        </w:numPr>
      </w:pPr>
      <w:r>
        <w:t>Papildināt 12.</w:t>
      </w:r>
      <w:r w:rsidR="009E1E6C">
        <w:t> </w:t>
      </w:r>
      <w:r>
        <w:t>pielikuma 3.</w:t>
      </w:r>
      <w:r w:rsidR="009E1E6C">
        <w:t> </w:t>
      </w:r>
      <w:r>
        <w:t>rindas 4.</w:t>
      </w:r>
      <w:r w:rsidR="009E1E6C">
        <w:t> kolonnā</w:t>
      </w:r>
      <w:r>
        <w:t xml:space="preserve"> aiz vārda „daži” ar vārdu „simti”</w:t>
      </w:r>
      <w:r w:rsidR="009E1E6C">
        <w:t>.</w:t>
      </w:r>
    </w:p>
    <w:p w14:paraId="52EB4F7C" w14:textId="77777777" w:rsidR="001A1FBC" w:rsidRDefault="001A1FBC" w:rsidP="001A1FBC">
      <w:pPr>
        <w:pStyle w:val="naisf"/>
        <w:ind w:left="1080" w:firstLine="0"/>
      </w:pPr>
    </w:p>
    <w:p w14:paraId="6DD23B76" w14:textId="514D984F" w:rsidR="00CB57D3" w:rsidRDefault="00CB57D3" w:rsidP="001A1FBC">
      <w:pPr>
        <w:pStyle w:val="naisf"/>
        <w:numPr>
          <w:ilvl w:val="0"/>
          <w:numId w:val="1"/>
        </w:numPr>
        <w:ind w:left="0" w:firstLine="720"/>
      </w:pPr>
      <w:r>
        <w:t>Aizstāt 15.</w:t>
      </w:r>
      <w:r w:rsidR="009E1E6C">
        <w:t> </w:t>
      </w:r>
      <w:r>
        <w:t>pielikumā I</w:t>
      </w:r>
      <w:r w:rsidR="009E1E6C">
        <w:t> </w:t>
      </w:r>
      <w:r>
        <w:t>sadaļas 1.punkt</w:t>
      </w:r>
      <w:r w:rsidR="009E1E6C">
        <w:t>a</w:t>
      </w:r>
      <w:r>
        <w:t xml:space="preserve"> tabulā aiz vārda „Nenoteiktība” ar simbolu „*****”</w:t>
      </w:r>
      <w:r w:rsidR="009E1E6C">
        <w:t>.</w:t>
      </w:r>
    </w:p>
    <w:p w14:paraId="4A9E07E6" w14:textId="77777777" w:rsidR="00CB57D3" w:rsidRDefault="00CB57D3" w:rsidP="00CB57D3">
      <w:pPr>
        <w:pStyle w:val="naisf"/>
        <w:ind w:firstLine="0"/>
      </w:pPr>
    </w:p>
    <w:p w14:paraId="706D6D37" w14:textId="386A86C9" w:rsidR="00CB57D3" w:rsidRDefault="00CB57D3" w:rsidP="00CB57D3">
      <w:pPr>
        <w:pStyle w:val="naisf"/>
        <w:numPr>
          <w:ilvl w:val="0"/>
          <w:numId w:val="1"/>
        </w:numPr>
        <w:ind w:left="0" w:firstLine="720"/>
      </w:pPr>
      <w:r>
        <w:t xml:space="preserve"> Papildināt 15.</w:t>
      </w:r>
      <w:r w:rsidR="009E1E6C">
        <w:t> </w:t>
      </w:r>
      <w:r>
        <w:t>pielikuma I</w:t>
      </w:r>
      <w:r w:rsidR="009E1E6C">
        <w:t> </w:t>
      </w:r>
      <w:r>
        <w:t>sadaļas 1.</w:t>
      </w:r>
      <w:r w:rsidR="009E1E6C">
        <w:t> </w:t>
      </w:r>
      <w:r>
        <w:t>punkt</w:t>
      </w:r>
      <w:r w:rsidR="009E1E6C">
        <w:t>a</w:t>
      </w:r>
      <w:r>
        <w:t xml:space="preserve"> tabulu ar 5.</w:t>
      </w:r>
      <w:r w:rsidR="009E1E6C">
        <w:t> </w:t>
      </w:r>
      <w:r>
        <w:t xml:space="preserve">piezīmi šādā redakcijā: </w:t>
      </w:r>
    </w:p>
    <w:p w14:paraId="7937FEF3" w14:textId="01067E8F" w:rsidR="00292F1A" w:rsidRDefault="00CB57D3" w:rsidP="00CB57D3">
      <w:pPr>
        <w:pStyle w:val="naisf"/>
        <w:ind w:firstLine="426"/>
      </w:pPr>
      <w:r>
        <w:t xml:space="preserve">„5. ***** </w:t>
      </w:r>
      <w:r w:rsidRPr="009C29C9">
        <w:t>norādītie nenoteiktības procentuālie lielumi attiecas uz konkrētiem mērījumiem, kuru vidējā vērtība ir noteikta laika periodam, k</w:t>
      </w:r>
      <w:r w:rsidR="009E1E6C">
        <w:t>am</w:t>
      </w:r>
      <w:r w:rsidRPr="009C29C9">
        <w:t xml:space="preserve"> piemēro robežlielumu (vai mērķlielumu – ozona gadījumā), ja ticamības intervāls ir 95</w:t>
      </w:r>
      <w:r w:rsidR="009E1E6C">
        <w:t> </w:t>
      </w:r>
      <w:r w:rsidRPr="009C29C9">
        <w:t xml:space="preserve">%. Stacionāro mērījumu nenoteiktību piemēro teritorijai, kurā tiek novērtēta atbilstība attiecīgajam robežlielumam (vai </w:t>
      </w:r>
      <w:r>
        <w:t>ozona gadījumā - mērķlielumam).”</w:t>
      </w:r>
    </w:p>
    <w:p w14:paraId="349A8E73" w14:textId="77777777" w:rsidR="00CB57D3" w:rsidRDefault="00CB57D3" w:rsidP="00CB57D3">
      <w:pPr>
        <w:pStyle w:val="naisf"/>
        <w:ind w:firstLine="426"/>
      </w:pPr>
    </w:p>
    <w:p w14:paraId="7DD864BB" w14:textId="7131E300" w:rsidR="00807210" w:rsidRDefault="00217892" w:rsidP="00807210">
      <w:pPr>
        <w:pStyle w:val="naisf"/>
        <w:numPr>
          <w:ilvl w:val="0"/>
          <w:numId w:val="1"/>
        </w:numPr>
        <w:ind w:left="0" w:firstLine="720"/>
      </w:pPr>
      <w:r>
        <w:t>Izteikt 15.</w:t>
      </w:r>
      <w:r w:rsidR="009E1E6C">
        <w:t> </w:t>
      </w:r>
      <w:r>
        <w:t>pielikuma 2.</w:t>
      </w:r>
      <w:r w:rsidR="009E1E6C">
        <w:t> </w:t>
      </w:r>
      <w:r>
        <w:t>punkta 2.3.1.</w:t>
      </w:r>
      <w:r w:rsidR="009E1E6C">
        <w:t> </w:t>
      </w:r>
      <w:r>
        <w:t xml:space="preserve">rindas </w:t>
      </w:r>
      <w:r w:rsidR="00807210">
        <w:t>2.</w:t>
      </w:r>
      <w:r w:rsidR="009E1E6C">
        <w:t> </w:t>
      </w:r>
      <w:r w:rsidR="00807210">
        <w:t>kolonnā vārdus „stacionārie mērījumi” ar vārdiem „stacionārie mērījumi</w:t>
      </w:r>
      <w:r w:rsidR="00807210">
        <w:rPr>
          <w:vertAlign w:val="superscript"/>
        </w:rPr>
        <w:t>1</w:t>
      </w:r>
      <w:r w:rsidR="00807210">
        <w:t>”</w:t>
      </w:r>
      <w:r w:rsidR="009E1E6C">
        <w:t>.</w:t>
      </w:r>
    </w:p>
    <w:p w14:paraId="3E862C38" w14:textId="77777777" w:rsidR="00807210" w:rsidRDefault="00807210" w:rsidP="00807210">
      <w:pPr>
        <w:pStyle w:val="naisf"/>
        <w:ind w:left="720" w:firstLine="0"/>
      </w:pPr>
    </w:p>
    <w:p w14:paraId="6B4524CE" w14:textId="21DE79E7" w:rsidR="007A5CA2" w:rsidRDefault="00807210" w:rsidP="007A5CA2">
      <w:pPr>
        <w:pStyle w:val="naisf"/>
        <w:numPr>
          <w:ilvl w:val="0"/>
          <w:numId w:val="1"/>
        </w:numPr>
        <w:ind w:left="0" w:firstLine="720"/>
      </w:pPr>
      <w:r>
        <w:t xml:space="preserve"> Izteikt 15.</w:t>
      </w:r>
      <w:r w:rsidR="009E1E6C">
        <w:t> </w:t>
      </w:r>
      <w:r>
        <w:t>pielikuma 2.</w:t>
      </w:r>
      <w:r w:rsidR="009E1E6C">
        <w:t> </w:t>
      </w:r>
      <w:r>
        <w:t>punkta 2.3.2.rindas 2.</w:t>
      </w:r>
      <w:r w:rsidR="009E1E6C">
        <w:t> </w:t>
      </w:r>
      <w:r>
        <w:t>kolonnā vārdus „indikatīvie mērījumi” ar „</w:t>
      </w:r>
      <w:r w:rsidRPr="00807210">
        <w:t xml:space="preserve"> </w:t>
      </w:r>
      <w:r>
        <w:t>indikatīvie mērījumi</w:t>
      </w:r>
      <w:r>
        <w:rPr>
          <w:vertAlign w:val="superscript"/>
        </w:rPr>
        <w:t>1, 2</w:t>
      </w:r>
      <w:r>
        <w:t>”</w:t>
      </w:r>
      <w:r w:rsidR="009E1E6C">
        <w:t>.</w:t>
      </w:r>
    </w:p>
    <w:p w14:paraId="446E0846" w14:textId="77777777" w:rsidR="007A5CA2" w:rsidRDefault="007A5CA2" w:rsidP="007A5CA2">
      <w:pPr>
        <w:pStyle w:val="naisf"/>
        <w:ind w:firstLine="0"/>
      </w:pPr>
    </w:p>
    <w:p w14:paraId="49768D31" w14:textId="22F1F8B9" w:rsidR="007A5CA2" w:rsidRDefault="007A5CA2" w:rsidP="007A5CA2">
      <w:pPr>
        <w:pStyle w:val="naisf"/>
        <w:numPr>
          <w:ilvl w:val="0"/>
          <w:numId w:val="1"/>
        </w:numPr>
        <w:ind w:left="0" w:firstLine="720"/>
      </w:pPr>
      <w:r>
        <w:t>Papildināt 15.</w:t>
      </w:r>
      <w:r w:rsidR="009E1E6C">
        <w:t> </w:t>
      </w:r>
      <w:r>
        <w:t>pielikuma 2.</w:t>
      </w:r>
      <w:r w:rsidR="009E1E6C">
        <w:t> </w:t>
      </w:r>
      <w:r>
        <w:t>punkt</w:t>
      </w:r>
      <w:r w:rsidR="009E1E6C">
        <w:t>a</w:t>
      </w:r>
      <w:r>
        <w:t xml:space="preserve"> tabulu ar piezīmēm šādā redakcijā: </w:t>
      </w:r>
    </w:p>
    <w:p w14:paraId="39940033" w14:textId="37DF93F8" w:rsidR="007A5CA2" w:rsidRDefault="007A5CA2" w:rsidP="007A5CA2">
      <w:pPr>
        <w:pStyle w:val="naisf"/>
      </w:pPr>
      <w:r>
        <w:t>„Piezīmes.</w:t>
      </w:r>
    </w:p>
    <w:p w14:paraId="7DD86EED" w14:textId="173C64DE" w:rsidR="007A5CA2" w:rsidRDefault="007A5CA2" w:rsidP="007A5CA2">
      <w:pPr>
        <w:pStyle w:val="naisf"/>
      </w:pPr>
      <w:r>
        <w:rPr>
          <w:vertAlign w:val="superscript"/>
        </w:rPr>
        <w:lastRenderedPageBreak/>
        <w:t>1</w:t>
      </w:r>
      <w:r w:rsidR="009E1E6C">
        <w:t> </w:t>
      </w:r>
      <w:r>
        <w:t>sadala vienmērīgi gada laikā tā, lai tie būtu reprezentatīvi attiecībā uz dažādiem klimatiskajiem apstākļiem un antropogēnajām darbībām. </w:t>
      </w:r>
    </w:p>
    <w:p w14:paraId="4D240855" w14:textId="3E407462" w:rsidR="007A5CA2" w:rsidRDefault="007A5CA2" w:rsidP="007A5CA2">
      <w:pPr>
        <w:pStyle w:val="naisf"/>
      </w:pPr>
      <w:r w:rsidRPr="001520A8">
        <w:rPr>
          <w:vertAlign w:val="superscript"/>
        </w:rPr>
        <w:t>2</w:t>
      </w:r>
      <w:r w:rsidR="009E1E6C">
        <w:t> </w:t>
      </w:r>
      <w:r w:rsidRPr="001520A8">
        <w:t>indikatīvi</w:t>
      </w:r>
      <w:r>
        <w:t xml:space="preserve"> mērījumi ir tādi mērījumi, ko veic ar mazāku regularitāti, bet kas atbilst pārējiem datu kvalitātes mērķiem.”</w:t>
      </w:r>
    </w:p>
    <w:p w14:paraId="61661BF9" w14:textId="77777777" w:rsidR="007A5CA2" w:rsidRDefault="007A5CA2" w:rsidP="007A5CA2">
      <w:pPr>
        <w:pStyle w:val="naisf"/>
      </w:pPr>
    </w:p>
    <w:p w14:paraId="4B0197CB" w14:textId="5B99816B" w:rsidR="007A5CA2" w:rsidRDefault="007A5CA2" w:rsidP="007A5CA2">
      <w:pPr>
        <w:pStyle w:val="naisf"/>
        <w:numPr>
          <w:ilvl w:val="0"/>
          <w:numId w:val="1"/>
        </w:numPr>
      </w:pPr>
      <w:r>
        <w:t>Izteikt 15.</w:t>
      </w:r>
      <w:r w:rsidR="009E1E6C">
        <w:t> </w:t>
      </w:r>
      <w:r>
        <w:t>pielikuma 4. un 5.</w:t>
      </w:r>
      <w:r w:rsidR="009E1E6C">
        <w:t> </w:t>
      </w:r>
      <w:r>
        <w:t xml:space="preserve">punktu šādā redakcijā: </w:t>
      </w:r>
    </w:p>
    <w:p w14:paraId="459FAAB3" w14:textId="49BDA9D9" w:rsidR="007A5CA2" w:rsidRDefault="007A5CA2" w:rsidP="007A5CA2">
      <w:pPr>
        <w:pStyle w:val="naisf"/>
        <w:spacing w:before="0" w:after="0"/>
        <w:ind w:firstLine="374"/>
      </w:pPr>
      <w:r>
        <w:t>„4. Modelēšanas nenoteiktība ir maksimālā atšķirība starp izmērīto un aprēķināto koncentrāciju līmeni 90</w:t>
      </w:r>
      <w:r w:rsidR="009E1E6C">
        <w:t> %</w:t>
      </w:r>
      <w:r>
        <w:t xml:space="preserve"> no konkrētiem monitoringa punktiem attiecīgā robežlieluma (ozona piesārņojuma gadījumā – mērķlieluma) noteikšanas periodam, neņemot vērā notikumu secību. Modelēšanas nenoteiktību piemēro teritorijai, kurā tiek novērtēta atbilstība attiecīgajam robežlielumam (ozona piesārņojuma gadījumā – mērķlielumam).</w:t>
      </w:r>
      <w:r w:rsidRPr="006C73D1">
        <w:t xml:space="preserve"> </w:t>
      </w:r>
      <w:r>
        <w:t>Stacionārie mērījumi, kas jāatlasa, lai tos salīdzinātu ar modelēšanas rezultātiem, atbilst modeļa aptvertajam mērogam. Objektīvas novērtējuma metodes nenoteiktība ir maksimālā atšķirība starp izmērīto un aprēķināto koncentrāciju attiecīgā robežlieluma (vai ozona gadījumā - mērķlieluma) noteikšanas periodam, neņemot vērā notikumu secību.</w:t>
      </w:r>
    </w:p>
    <w:p w14:paraId="1E7BDAE4" w14:textId="77777777" w:rsidR="007A5CA2" w:rsidRDefault="007A5CA2" w:rsidP="007A5CA2">
      <w:pPr>
        <w:pStyle w:val="naisf"/>
        <w:spacing w:before="0" w:after="0"/>
        <w:ind w:firstLine="374"/>
      </w:pPr>
    </w:p>
    <w:p w14:paraId="4B94185F" w14:textId="56A6D982" w:rsidR="007A5CA2" w:rsidRDefault="007A5CA2" w:rsidP="007A5CA2">
      <w:pPr>
        <w:pStyle w:val="naisf"/>
        <w:spacing w:before="0" w:after="0"/>
        <w:ind w:firstLine="374"/>
      </w:pPr>
      <w:r>
        <w:t>5. Benz(a)pirēna un citu policiklisko aromātisko ogļūdeņražu paraugus ņem 24 stundu periodā. Arsēna, kadmija, niķeļa, kopējā gāzveida dzīvsudraba, benz(a)pirēna un citu policiklisko aromātisko ogļūdeņražu atsevišķos paraugus (līdz pat viena mēneša periodam) izmanto kompleksai analīzei, ja metode nodrošina paraugu ņemšanas stabilitāti šajā periodā. Atsevišķas vielas (piemēram, benz(b)fluorantēns, benz(j)fluorantēns, benz(k)fluorantēns) analītiski ir sarežģīti nosakāmas, bet iespējams noteikt to summu. Paraugus ņem katru dienu visa gada laikā. Lai noteiktu nosēdumu intensitāti, paraugus ņem mēneša vai nedēļas periodā gada laikā. Mitro nosēdumu paraugu ņemšanu atļauts aizstāt ar kopējo nosēdumu paraugiem, ja atšķirība starp tiem nav lielāka par 10 % (nosēdumus mēra µg/m</w:t>
      </w:r>
      <w:r>
        <w:rPr>
          <w:vertAlign w:val="superscript"/>
        </w:rPr>
        <w:t>2</w:t>
      </w:r>
      <w:r w:rsidR="004934B9">
        <w:t> </w:t>
      </w:r>
      <w:r>
        <w:t>diennaktī).”</w:t>
      </w:r>
    </w:p>
    <w:p w14:paraId="1089316D" w14:textId="77777777" w:rsidR="007A5CA2" w:rsidRDefault="007A5CA2" w:rsidP="007A5CA2">
      <w:pPr>
        <w:pStyle w:val="naisf"/>
        <w:spacing w:before="0" w:after="0"/>
        <w:ind w:firstLine="374"/>
      </w:pPr>
    </w:p>
    <w:p w14:paraId="7A39D8D8" w14:textId="59F32B7D" w:rsidR="007A5CA2" w:rsidRDefault="007A5CA2" w:rsidP="007A5CA2">
      <w:pPr>
        <w:pStyle w:val="naisf"/>
        <w:numPr>
          <w:ilvl w:val="0"/>
          <w:numId w:val="1"/>
        </w:numPr>
        <w:spacing w:before="0" w:after="0"/>
      </w:pPr>
      <w:r>
        <w:t>Papildināt 15.</w:t>
      </w:r>
      <w:r w:rsidR="00391E2D">
        <w:t> </w:t>
      </w:r>
      <w:r>
        <w:t>pielikumu ar 5.</w:t>
      </w:r>
      <w:r>
        <w:rPr>
          <w:vertAlign w:val="superscript"/>
        </w:rPr>
        <w:t>1</w:t>
      </w:r>
      <w:r w:rsidR="00391E2D">
        <w:rPr>
          <w:vertAlign w:val="superscript"/>
        </w:rPr>
        <w:t> </w:t>
      </w:r>
      <w:r>
        <w:t>punktu šādā redakcijā:</w:t>
      </w:r>
    </w:p>
    <w:p w14:paraId="5D3F767F" w14:textId="62B7FD24" w:rsidR="007A5CA2" w:rsidRDefault="007A5CA2" w:rsidP="007A5CA2">
      <w:pPr>
        <w:pStyle w:val="naisf"/>
      </w:pPr>
      <w:r>
        <w:t>„5.</w:t>
      </w:r>
      <w:r>
        <w:rPr>
          <w:vertAlign w:val="superscript"/>
        </w:rPr>
        <w:t>1</w:t>
      </w:r>
      <w:r w:rsidR="00391E2D">
        <w:t> </w:t>
      </w:r>
      <w:r>
        <w:t xml:space="preserve">Daļiņu </w:t>
      </w:r>
      <w:r w:rsidRPr="00D42B9B">
        <w:t>PM</w:t>
      </w:r>
      <w:r w:rsidRPr="00D42B9B">
        <w:rPr>
          <w:vertAlign w:val="subscript"/>
        </w:rPr>
        <w:t>10</w:t>
      </w:r>
      <w:r w:rsidRPr="00D42B9B">
        <w:t xml:space="preserve"> filtru apakšparaugu ņemšana metālu noteikšanai, lai veiktu sekojošu analīzi, ir atļauta, ja ir pierādījumi, ka apakšparaugs ir reprezentatīvs attiecībā uz kopumu un ka noteikšanas jutība netiek pasliktināta salīdzinājumā ar attiecīgajiem datu kvalitātes mērķiem. Alternatīvi ikdienas paraugu ņemšanai var veikt iknedēļas paraugu ņemšanu metālu noteikšanai </w:t>
      </w:r>
      <w:r>
        <w:t xml:space="preserve">daļiņu </w:t>
      </w:r>
      <w:r w:rsidRPr="00D42B9B">
        <w:t>PM</w:t>
      </w:r>
      <w:r w:rsidRPr="00D42B9B">
        <w:rPr>
          <w:vertAlign w:val="subscript"/>
        </w:rPr>
        <w:t>10</w:t>
      </w:r>
      <w:r w:rsidRPr="00D42B9B">
        <w:t>, ja netiek apdraudēti paraugu vākšanas raksturlielumi.</w:t>
      </w:r>
      <w:r>
        <w:t>”</w:t>
      </w:r>
    </w:p>
    <w:p w14:paraId="410406EB" w14:textId="77777777" w:rsidR="004A11AC" w:rsidRDefault="004A11AC" w:rsidP="007A5CA2">
      <w:pPr>
        <w:pStyle w:val="naisf"/>
      </w:pPr>
    </w:p>
    <w:p w14:paraId="528A3B9D" w14:textId="101F36D8" w:rsidR="004A11AC" w:rsidRDefault="004A11AC" w:rsidP="004A11AC">
      <w:pPr>
        <w:pStyle w:val="naisf"/>
        <w:numPr>
          <w:ilvl w:val="0"/>
          <w:numId w:val="1"/>
        </w:numPr>
        <w:ind w:left="0" w:firstLine="720"/>
      </w:pPr>
      <w:r>
        <w:t>Papildināt 17.</w:t>
      </w:r>
      <w:r w:rsidR="00391E2D">
        <w:t> </w:t>
      </w:r>
      <w:r>
        <w:t>pielikuma 1.punkt</w:t>
      </w:r>
      <w:r w:rsidR="00391E2D">
        <w:t>ā</w:t>
      </w:r>
      <w:r>
        <w:t xml:space="preserve"> aiz vārdiem „slāpekļa oksīdi” ar vārdiem „un atbilstošie gaistošie organiskie savienojumi, kas minēti š</w:t>
      </w:r>
      <w:r w:rsidR="00391E2D">
        <w:t>ā</w:t>
      </w:r>
      <w:r>
        <w:t xml:space="preserve"> pielikuma 2.</w:t>
      </w:r>
      <w:r w:rsidR="00391E2D">
        <w:t> </w:t>
      </w:r>
      <w:r>
        <w:t>punktā.”</w:t>
      </w:r>
    </w:p>
    <w:p w14:paraId="2429D298" w14:textId="77777777" w:rsidR="003A70FD" w:rsidRDefault="003A70FD" w:rsidP="003A70FD">
      <w:pPr>
        <w:pStyle w:val="naisf"/>
        <w:ind w:left="720" w:firstLine="0"/>
      </w:pPr>
    </w:p>
    <w:p w14:paraId="39D38A73" w14:textId="77777777" w:rsidR="00AF5C11" w:rsidRDefault="00AF5C11" w:rsidP="003A70FD">
      <w:pPr>
        <w:pStyle w:val="naisf"/>
        <w:numPr>
          <w:ilvl w:val="0"/>
          <w:numId w:val="1"/>
        </w:numPr>
        <w:ind w:left="0" w:firstLine="720"/>
      </w:pPr>
      <w:r>
        <w:t>Izteikt</w:t>
      </w:r>
      <w:r w:rsidR="003A70FD">
        <w:t xml:space="preserve"> 17.</w:t>
      </w:r>
      <w:r w:rsidR="00391E2D">
        <w:t> </w:t>
      </w:r>
      <w:r w:rsidR="003A70FD">
        <w:t>pielikuma 3.</w:t>
      </w:r>
      <w:r w:rsidR="00391E2D">
        <w:t> </w:t>
      </w:r>
      <w:r w:rsidR="003A70FD">
        <w:t xml:space="preserve">punktu </w:t>
      </w:r>
      <w:r>
        <w:t>šādā redakcijā:</w:t>
      </w:r>
    </w:p>
    <w:p w14:paraId="2179A3E1" w14:textId="0AB3A014" w:rsidR="00AF5C11" w:rsidRPr="00AF5C11" w:rsidRDefault="00AF5C11" w:rsidP="00AF5C11">
      <w:pPr>
        <w:pStyle w:val="naisf"/>
        <w:ind w:firstLine="709"/>
        <w:rPr>
          <w:rFonts w:eastAsiaTheme="minorHAnsi"/>
          <w:lang w:eastAsia="en-US"/>
        </w:rPr>
      </w:pPr>
      <w:r w:rsidRPr="00AF5C11">
        <w:rPr>
          <w:rFonts w:eastAsiaTheme="minorHAnsi"/>
          <w:lang w:eastAsia="en-US"/>
        </w:rPr>
        <w:t>„</w:t>
      </w:r>
      <w:r>
        <w:t>3. Galvenie šādu mērījumu mērķi ir iegūt datus attīstības tendenču analīzei attiecībā uz ozona prekursoriem, novērtēt emisiju samazināšanas stratēģiju efektivitāti, pārbaudīt emisiju inventarizācijas atbilstību un attiecināt konstatētās piesārņojuma koncentrācijas uz emisiju avotiem. Ozona prekursoru mērījumus pēc iespējas veic pilsētas vai piepilsētas monitoringa stacijās, kas izvietotas saskaņā ar šajos noteikumos noteiktajām prasībām un kas izvietotas tādās teritorijās, kas ļauj iegūt šajā punktā minētajiem mērķiem atbilstošu informāciju.</w:t>
      </w:r>
      <w:r w:rsidRPr="00AF5C11">
        <w:rPr>
          <w:rFonts w:eastAsiaTheme="minorHAnsi"/>
          <w:lang w:eastAsia="en-US"/>
        </w:rPr>
        <w:t xml:space="preserve">” </w:t>
      </w:r>
    </w:p>
    <w:p w14:paraId="4DA342B2" w14:textId="77777777" w:rsidR="0033492C" w:rsidRDefault="0033492C" w:rsidP="0033492C">
      <w:pPr>
        <w:pStyle w:val="naisf"/>
        <w:ind w:firstLine="567"/>
      </w:pPr>
    </w:p>
    <w:p w14:paraId="04B81F61" w14:textId="1887B558" w:rsidR="003A70FD" w:rsidRDefault="003A70FD" w:rsidP="003A70FD">
      <w:pPr>
        <w:pStyle w:val="naisf"/>
        <w:numPr>
          <w:ilvl w:val="0"/>
          <w:numId w:val="1"/>
        </w:numPr>
        <w:ind w:left="0" w:firstLine="720"/>
      </w:pPr>
      <w:r>
        <w:t>Aizstāt 18.</w:t>
      </w:r>
      <w:r w:rsidR="00384501">
        <w:t> </w:t>
      </w:r>
      <w:r>
        <w:t>pielikuma 7.</w:t>
      </w:r>
      <w:r w:rsidR="00384501">
        <w:t> </w:t>
      </w:r>
      <w:r>
        <w:t>punktā vārdus „pirms 2008.</w:t>
      </w:r>
      <w:r w:rsidR="00384501">
        <w:t> </w:t>
      </w:r>
      <w:r>
        <w:t>gada 21.</w:t>
      </w:r>
      <w:r w:rsidR="00384501">
        <w:t> </w:t>
      </w:r>
      <w:r>
        <w:t>maija” ar vārdiem „</w:t>
      </w:r>
      <w:r w:rsidRPr="002640CC">
        <w:t>iepriekš apstiprinātās rīcības programmas darbības laikā:</w:t>
      </w:r>
      <w:r>
        <w:t>”</w:t>
      </w:r>
    </w:p>
    <w:p w14:paraId="2334B704" w14:textId="77777777" w:rsidR="00C8347C" w:rsidRDefault="00C8347C" w:rsidP="00C8347C">
      <w:pPr>
        <w:pStyle w:val="naisf"/>
        <w:ind w:left="720" w:firstLine="0"/>
      </w:pPr>
    </w:p>
    <w:p w14:paraId="45F203ED" w14:textId="2C6E394F" w:rsidR="003A70FD" w:rsidRDefault="003A70FD" w:rsidP="003A70FD">
      <w:pPr>
        <w:pStyle w:val="naisf"/>
        <w:numPr>
          <w:ilvl w:val="0"/>
          <w:numId w:val="1"/>
        </w:numPr>
        <w:ind w:left="0" w:firstLine="720"/>
      </w:pPr>
      <w:r>
        <w:lastRenderedPageBreak/>
        <w:t>Aizstāt 18.</w:t>
      </w:r>
      <w:r w:rsidR="00384501">
        <w:t> </w:t>
      </w:r>
      <w:r>
        <w:t>pielikuma 8.</w:t>
      </w:r>
      <w:r w:rsidR="00384501">
        <w:t> </w:t>
      </w:r>
      <w:r>
        <w:t>punktā vārdus „pasākumiem, kas rīcības programmā plānoti vai īstenoti gaisa kvalitātes uzlabošanai pēc 2008.</w:t>
      </w:r>
      <w:r w:rsidR="00384501">
        <w:t> </w:t>
      </w:r>
      <w:r>
        <w:t>gada 21.</w:t>
      </w:r>
      <w:r w:rsidR="00384501">
        <w:t> </w:t>
      </w:r>
      <w:r>
        <w:t>maija” ar vārdiem „rīcības programmā iekļautajiem pasākumiem, kurus plānots veikt gaisa kvalitātes uzlabošanai”.</w:t>
      </w:r>
    </w:p>
    <w:p w14:paraId="13D4B119" w14:textId="77777777" w:rsidR="00323408" w:rsidRPr="00651BE6" w:rsidRDefault="00323408" w:rsidP="00323408">
      <w:pPr>
        <w:rPr>
          <w:rFonts w:ascii="Times New Roman" w:hAnsi="Times New Roman" w:cs="Times New Roman"/>
          <w:sz w:val="24"/>
          <w:szCs w:val="24"/>
        </w:rPr>
      </w:pPr>
    </w:p>
    <w:p w14:paraId="619AB5AA" w14:textId="77777777" w:rsidR="00323408" w:rsidRPr="00651BE6" w:rsidRDefault="00323408" w:rsidP="00323408">
      <w:pPr>
        <w:rPr>
          <w:rFonts w:ascii="Times New Roman" w:hAnsi="Times New Roman" w:cs="Times New Roman"/>
          <w:sz w:val="24"/>
          <w:szCs w:val="24"/>
        </w:rPr>
      </w:pPr>
    </w:p>
    <w:p w14:paraId="4DEA1E07" w14:textId="29449F47" w:rsidR="008F6762" w:rsidRDefault="00323408" w:rsidP="00B65757">
      <w:pPr>
        <w:spacing w:after="0"/>
        <w:ind w:firstLine="720"/>
        <w:jc w:val="both"/>
        <w:rPr>
          <w:rFonts w:ascii="Times New Roman" w:hAnsi="Times New Roman" w:cs="Times New Roman"/>
          <w:sz w:val="24"/>
          <w:szCs w:val="24"/>
          <w:lang w:eastAsia="lv-LV"/>
        </w:rPr>
      </w:pPr>
      <w:r w:rsidRPr="00651BE6">
        <w:rPr>
          <w:rFonts w:ascii="Times New Roman" w:hAnsi="Times New Roman" w:cs="Times New Roman"/>
          <w:sz w:val="24"/>
          <w:szCs w:val="24"/>
          <w:lang w:eastAsia="lv-LV"/>
        </w:rPr>
        <w:t>Ministru prezidents                                                 </w:t>
      </w:r>
      <w:r w:rsidR="008F6762">
        <w:rPr>
          <w:rFonts w:ascii="Times New Roman" w:hAnsi="Times New Roman" w:cs="Times New Roman"/>
          <w:sz w:val="24"/>
          <w:szCs w:val="24"/>
          <w:lang w:eastAsia="lv-LV"/>
        </w:rPr>
        <w:tab/>
      </w:r>
      <w:r w:rsidR="008F6762">
        <w:rPr>
          <w:rFonts w:ascii="Times New Roman" w:hAnsi="Times New Roman" w:cs="Times New Roman"/>
          <w:sz w:val="24"/>
          <w:szCs w:val="24"/>
          <w:lang w:eastAsia="lv-LV"/>
        </w:rPr>
        <w:tab/>
      </w:r>
      <w:r w:rsidR="0094145C">
        <w:rPr>
          <w:rFonts w:ascii="Times New Roman" w:hAnsi="Times New Roman" w:cs="Times New Roman"/>
          <w:sz w:val="24"/>
          <w:szCs w:val="24"/>
          <w:lang w:eastAsia="lv-LV"/>
        </w:rPr>
        <w:t>M.</w:t>
      </w:r>
      <w:r w:rsidR="00384501">
        <w:rPr>
          <w:rFonts w:ascii="Times New Roman" w:hAnsi="Times New Roman" w:cs="Times New Roman"/>
          <w:sz w:val="24"/>
          <w:szCs w:val="24"/>
          <w:lang w:eastAsia="lv-LV"/>
        </w:rPr>
        <w:t> </w:t>
      </w:r>
      <w:r w:rsidR="0094145C">
        <w:rPr>
          <w:rFonts w:ascii="Times New Roman" w:hAnsi="Times New Roman" w:cs="Times New Roman"/>
          <w:sz w:val="24"/>
          <w:szCs w:val="24"/>
          <w:lang w:eastAsia="lv-LV"/>
        </w:rPr>
        <w:t>Kučinskis</w:t>
      </w:r>
    </w:p>
    <w:p w14:paraId="762FD6D5" w14:textId="77777777" w:rsidR="00CF0549" w:rsidRPr="00651BE6" w:rsidRDefault="00CF0549" w:rsidP="00B54359">
      <w:pPr>
        <w:spacing w:after="0"/>
        <w:ind w:firstLine="374"/>
        <w:rPr>
          <w:rFonts w:ascii="Times New Roman" w:hAnsi="Times New Roman" w:cs="Times New Roman"/>
          <w:sz w:val="24"/>
          <w:szCs w:val="24"/>
          <w:lang w:eastAsia="lv-LV"/>
        </w:rPr>
      </w:pPr>
    </w:p>
    <w:p w14:paraId="075E56A2" w14:textId="77777777" w:rsidR="00323408" w:rsidRPr="00651BE6" w:rsidRDefault="00323408" w:rsidP="008F6762">
      <w:pPr>
        <w:spacing w:after="0" w:line="240" w:lineRule="auto"/>
        <w:ind w:firstLine="720"/>
        <w:rPr>
          <w:rFonts w:ascii="Times New Roman" w:hAnsi="Times New Roman" w:cs="Times New Roman"/>
          <w:sz w:val="24"/>
          <w:szCs w:val="24"/>
          <w:lang w:eastAsia="lv-LV"/>
        </w:rPr>
      </w:pPr>
      <w:r w:rsidRPr="00651BE6">
        <w:rPr>
          <w:rFonts w:ascii="Times New Roman" w:hAnsi="Times New Roman" w:cs="Times New Roman"/>
          <w:sz w:val="24"/>
          <w:szCs w:val="24"/>
          <w:lang w:eastAsia="lv-LV"/>
        </w:rPr>
        <w:t xml:space="preserve">Vides aizsardzības un </w:t>
      </w:r>
    </w:p>
    <w:p w14:paraId="492E2EBC" w14:textId="58ED38C3" w:rsidR="00323408" w:rsidRPr="00651BE6" w:rsidRDefault="00323408" w:rsidP="008F6762">
      <w:pPr>
        <w:spacing w:after="0" w:line="240" w:lineRule="auto"/>
        <w:ind w:firstLine="720"/>
        <w:rPr>
          <w:rFonts w:ascii="Times New Roman" w:hAnsi="Times New Roman" w:cs="Times New Roman"/>
          <w:sz w:val="24"/>
          <w:szCs w:val="24"/>
          <w:lang w:eastAsia="lv-LV"/>
        </w:rPr>
      </w:pPr>
      <w:r w:rsidRPr="00651BE6">
        <w:rPr>
          <w:rFonts w:ascii="Times New Roman" w:hAnsi="Times New Roman" w:cs="Times New Roman"/>
          <w:sz w:val="24"/>
          <w:szCs w:val="24"/>
          <w:lang w:eastAsia="lv-LV"/>
        </w:rPr>
        <w:t>reģionālās attīstības ministrs</w:t>
      </w:r>
      <w:r w:rsidRPr="00651BE6">
        <w:rPr>
          <w:rFonts w:ascii="Times New Roman" w:hAnsi="Times New Roman" w:cs="Times New Roman"/>
          <w:sz w:val="24"/>
          <w:szCs w:val="24"/>
          <w:lang w:eastAsia="lv-LV"/>
        </w:rPr>
        <w:tab/>
      </w:r>
      <w:r w:rsidRPr="00651BE6">
        <w:rPr>
          <w:rFonts w:ascii="Times New Roman" w:hAnsi="Times New Roman" w:cs="Times New Roman"/>
          <w:sz w:val="24"/>
          <w:szCs w:val="24"/>
          <w:lang w:eastAsia="lv-LV"/>
        </w:rPr>
        <w:tab/>
      </w:r>
      <w:r w:rsidRPr="00651BE6">
        <w:rPr>
          <w:rFonts w:ascii="Times New Roman" w:hAnsi="Times New Roman" w:cs="Times New Roman"/>
          <w:sz w:val="24"/>
          <w:szCs w:val="24"/>
          <w:lang w:eastAsia="lv-LV"/>
        </w:rPr>
        <w:tab/>
      </w:r>
      <w:r w:rsidRPr="00651BE6">
        <w:rPr>
          <w:rFonts w:ascii="Times New Roman" w:hAnsi="Times New Roman" w:cs="Times New Roman"/>
          <w:sz w:val="24"/>
          <w:szCs w:val="24"/>
          <w:lang w:eastAsia="lv-LV"/>
        </w:rPr>
        <w:tab/>
      </w:r>
      <w:r w:rsidRPr="00651BE6">
        <w:rPr>
          <w:rFonts w:ascii="Times New Roman" w:hAnsi="Times New Roman" w:cs="Times New Roman"/>
          <w:sz w:val="24"/>
          <w:szCs w:val="24"/>
          <w:lang w:eastAsia="lv-LV"/>
        </w:rPr>
        <w:tab/>
        <w:t>K.</w:t>
      </w:r>
      <w:r w:rsidR="00384501">
        <w:rPr>
          <w:rFonts w:ascii="Times New Roman" w:hAnsi="Times New Roman" w:cs="Times New Roman"/>
          <w:sz w:val="24"/>
          <w:szCs w:val="24"/>
          <w:lang w:eastAsia="lv-LV"/>
        </w:rPr>
        <w:t> </w:t>
      </w:r>
      <w:r w:rsidRPr="00651BE6">
        <w:rPr>
          <w:rFonts w:ascii="Times New Roman" w:hAnsi="Times New Roman" w:cs="Times New Roman"/>
          <w:sz w:val="24"/>
          <w:szCs w:val="24"/>
          <w:lang w:eastAsia="lv-LV"/>
        </w:rPr>
        <w:t>Gerhards</w:t>
      </w:r>
    </w:p>
    <w:p w14:paraId="0BC3D0BF" w14:textId="77777777" w:rsidR="00323408" w:rsidRPr="00651BE6" w:rsidRDefault="00323408" w:rsidP="00B54359">
      <w:pPr>
        <w:spacing w:after="0"/>
        <w:rPr>
          <w:rFonts w:ascii="Times New Roman" w:hAnsi="Times New Roman" w:cs="Times New Roman"/>
          <w:sz w:val="24"/>
          <w:szCs w:val="24"/>
        </w:rPr>
      </w:pPr>
    </w:p>
    <w:p w14:paraId="722BD8D2" w14:textId="77777777" w:rsidR="00323408" w:rsidRPr="00651BE6" w:rsidRDefault="00323408" w:rsidP="00B54359">
      <w:pPr>
        <w:pStyle w:val="naisf"/>
        <w:spacing w:before="0" w:after="0"/>
      </w:pPr>
    </w:p>
    <w:p w14:paraId="1729DB4A" w14:textId="77777777" w:rsidR="00323408" w:rsidRDefault="00323408" w:rsidP="00B54359">
      <w:pPr>
        <w:pStyle w:val="naisf"/>
        <w:spacing w:before="0" w:after="0"/>
      </w:pPr>
    </w:p>
    <w:p w14:paraId="3BCE680C" w14:textId="2342F486" w:rsidR="00323408" w:rsidRPr="00651BE6" w:rsidRDefault="00391E2D" w:rsidP="00BB4C2F">
      <w:pPr>
        <w:pStyle w:val="naisf"/>
        <w:spacing w:before="0" w:after="0"/>
        <w:ind w:firstLine="0"/>
        <w:rPr>
          <w:b/>
          <w:bCs/>
        </w:rPr>
      </w:pPr>
      <w:r>
        <w:rPr>
          <w:b/>
        </w:rPr>
        <w:t xml:space="preserve">            </w:t>
      </w:r>
      <w:r w:rsidR="00323408" w:rsidRPr="00651BE6">
        <w:rPr>
          <w:b/>
        </w:rPr>
        <w:t xml:space="preserve">Iesniedzējs: </w:t>
      </w:r>
    </w:p>
    <w:p w14:paraId="787A56BE" w14:textId="1FA7758C" w:rsidR="00323408" w:rsidRPr="00651BE6" w:rsidRDefault="00323408" w:rsidP="00B54359">
      <w:pPr>
        <w:spacing w:after="0"/>
        <w:ind w:firstLine="720"/>
        <w:rPr>
          <w:rFonts w:ascii="Times New Roman" w:hAnsi="Times New Roman" w:cs="Times New Roman"/>
          <w:sz w:val="24"/>
          <w:szCs w:val="24"/>
          <w:lang w:eastAsia="lv-LV"/>
        </w:rPr>
      </w:pPr>
      <w:r w:rsidRPr="00651BE6">
        <w:rPr>
          <w:rFonts w:ascii="Times New Roman" w:hAnsi="Times New Roman" w:cs="Times New Roman"/>
          <w:sz w:val="24"/>
          <w:szCs w:val="24"/>
          <w:lang w:eastAsia="lv-LV"/>
        </w:rPr>
        <w:t>vides aizsardzības un reģionālās attīstības ministrs                K.</w:t>
      </w:r>
      <w:r w:rsidR="00384501">
        <w:rPr>
          <w:rFonts w:ascii="Times New Roman" w:hAnsi="Times New Roman" w:cs="Times New Roman"/>
          <w:sz w:val="24"/>
          <w:szCs w:val="24"/>
          <w:lang w:eastAsia="lv-LV"/>
        </w:rPr>
        <w:t> </w:t>
      </w:r>
      <w:r w:rsidRPr="00651BE6">
        <w:rPr>
          <w:rFonts w:ascii="Times New Roman" w:hAnsi="Times New Roman" w:cs="Times New Roman"/>
          <w:sz w:val="24"/>
          <w:szCs w:val="24"/>
          <w:lang w:eastAsia="lv-LV"/>
        </w:rPr>
        <w:t>Gerhards</w:t>
      </w:r>
    </w:p>
    <w:p w14:paraId="085EB4AF" w14:textId="77777777" w:rsidR="00323408" w:rsidRPr="00651BE6" w:rsidRDefault="00323408" w:rsidP="00323408">
      <w:pPr>
        <w:pStyle w:val="Title"/>
        <w:tabs>
          <w:tab w:val="left" w:pos="3600"/>
        </w:tabs>
        <w:jc w:val="left"/>
        <w:rPr>
          <w:b w:val="0"/>
        </w:rPr>
      </w:pPr>
      <w:r w:rsidRPr="00651BE6">
        <w:rPr>
          <w:b w:val="0"/>
        </w:rPr>
        <w:tab/>
      </w:r>
    </w:p>
    <w:p w14:paraId="34464237" w14:textId="77777777" w:rsidR="00323408" w:rsidRPr="00651BE6" w:rsidRDefault="00323408" w:rsidP="00323408">
      <w:pPr>
        <w:pStyle w:val="Title"/>
        <w:tabs>
          <w:tab w:val="left" w:pos="3600"/>
        </w:tabs>
        <w:jc w:val="left"/>
        <w:rPr>
          <w:b w:val="0"/>
        </w:rPr>
      </w:pPr>
    </w:p>
    <w:p w14:paraId="06670B01" w14:textId="77777777" w:rsidR="00323408" w:rsidRPr="00651BE6" w:rsidRDefault="00323408" w:rsidP="00323408">
      <w:pPr>
        <w:pStyle w:val="naisf"/>
        <w:spacing w:before="0" w:after="0"/>
        <w:ind w:firstLine="720"/>
        <w:rPr>
          <w:bCs/>
        </w:rPr>
      </w:pPr>
      <w:r w:rsidRPr="00651BE6">
        <w:rPr>
          <w:b/>
          <w:bCs/>
        </w:rPr>
        <w:t xml:space="preserve">Vīza: </w:t>
      </w:r>
    </w:p>
    <w:p w14:paraId="3A1DE2BB" w14:textId="76553421" w:rsidR="00323408" w:rsidRPr="00651BE6" w:rsidRDefault="00323408" w:rsidP="00323408">
      <w:pPr>
        <w:pStyle w:val="naisf"/>
        <w:spacing w:before="0" w:after="0"/>
        <w:ind w:firstLine="720"/>
        <w:rPr>
          <w:bCs/>
        </w:rPr>
      </w:pPr>
      <w:r w:rsidRPr="00651BE6">
        <w:rPr>
          <w:bCs/>
        </w:rPr>
        <w:t>valsts sekretārs</w:t>
      </w:r>
      <w:r w:rsidRPr="00651BE6">
        <w:rPr>
          <w:bCs/>
        </w:rPr>
        <w:tab/>
      </w:r>
      <w:r w:rsidRPr="00651BE6">
        <w:rPr>
          <w:bCs/>
        </w:rPr>
        <w:tab/>
      </w:r>
      <w:r w:rsidRPr="00651BE6">
        <w:rPr>
          <w:bCs/>
        </w:rPr>
        <w:tab/>
      </w:r>
      <w:r w:rsidRPr="00651BE6">
        <w:rPr>
          <w:bCs/>
        </w:rPr>
        <w:tab/>
      </w:r>
      <w:r w:rsidRPr="00651BE6">
        <w:rPr>
          <w:bCs/>
        </w:rPr>
        <w:tab/>
      </w:r>
      <w:r w:rsidRPr="00651BE6">
        <w:rPr>
          <w:bCs/>
        </w:rPr>
        <w:tab/>
      </w:r>
      <w:r w:rsidRPr="00651BE6">
        <w:rPr>
          <w:bCs/>
        </w:rPr>
        <w:tab/>
        <w:t xml:space="preserve"> </w:t>
      </w:r>
      <w:r w:rsidR="00BC1144">
        <w:rPr>
          <w:bCs/>
        </w:rPr>
        <w:t>R.</w:t>
      </w:r>
      <w:r w:rsidR="00384501">
        <w:rPr>
          <w:bCs/>
        </w:rPr>
        <w:t> </w:t>
      </w:r>
      <w:r w:rsidR="00BC1144">
        <w:rPr>
          <w:bCs/>
        </w:rPr>
        <w:t>Muciņš</w:t>
      </w:r>
    </w:p>
    <w:p w14:paraId="641817B2" w14:textId="77777777" w:rsidR="00323408" w:rsidRPr="00BC1144" w:rsidRDefault="00323408" w:rsidP="00323408">
      <w:pPr>
        <w:tabs>
          <w:tab w:val="left" w:pos="6804"/>
        </w:tabs>
        <w:jc w:val="both"/>
        <w:rPr>
          <w:rFonts w:ascii="Times New Roman" w:hAnsi="Times New Roman" w:cs="Times New Roman"/>
        </w:rPr>
      </w:pPr>
      <w:bookmarkStart w:id="2" w:name="_GoBack"/>
      <w:bookmarkEnd w:id="2"/>
    </w:p>
    <w:p w14:paraId="0B51F9A2" w14:textId="37E84B78" w:rsidR="00323408" w:rsidRPr="00BB4C2F" w:rsidRDefault="00703D89" w:rsidP="00BC1144">
      <w:pPr>
        <w:tabs>
          <w:tab w:val="left" w:pos="6804"/>
        </w:tabs>
        <w:spacing w:after="0" w:line="240" w:lineRule="auto"/>
        <w:jc w:val="both"/>
        <w:rPr>
          <w:rFonts w:ascii="Times New Roman" w:hAnsi="Times New Roman" w:cs="Times New Roman"/>
          <w:sz w:val="20"/>
          <w:szCs w:val="20"/>
        </w:rPr>
      </w:pPr>
      <w:r w:rsidRPr="00BB4C2F">
        <w:rPr>
          <w:rFonts w:ascii="Times New Roman" w:hAnsi="Times New Roman" w:cs="Times New Roman"/>
          <w:sz w:val="20"/>
          <w:szCs w:val="20"/>
        </w:rPr>
        <w:t>04.09.2016</w:t>
      </w:r>
      <w:r w:rsidR="00323408" w:rsidRPr="00BB4C2F">
        <w:rPr>
          <w:rFonts w:ascii="Times New Roman" w:hAnsi="Times New Roman" w:cs="Times New Roman"/>
          <w:sz w:val="20"/>
          <w:szCs w:val="20"/>
        </w:rPr>
        <w:t>. 10:05</w:t>
      </w:r>
    </w:p>
    <w:p w14:paraId="62E279E4" w14:textId="18565741" w:rsidR="00BC1144" w:rsidRPr="00BB4C2F" w:rsidRDefault="00BC1144" w:rsidP="00BC1144">
      <w:pPr>
        <w:tabs>
          <w:tab w:val="left" w:pos="6804"/>
        </w:tabs>
        <w:spacing w:after="0" w:line="240" w:lineRule="auto"/>
        <w:jc w:val="both"/>
        <w:rPr>
          <w:rFonts w:ascii="Times New Roman" w:hAnsi="Times New Roman" w:cs="Times New Roman"/>
          <w:sz w:val="20"/>
          <w:szCs w:val="20"/>
        </w:rPr>
      </w:pPr>
      <w:r w:rsidRPr="00BB4C2F">
        <w:rPr>
          <w:rFonts w:ascii="Times New Roman" w:hAnsi="Times New Roman" w:cs="Times New Roman"/>
          <w:sz w:val="20"/>
          <w:szCs w:val="20"/>
        </w:rPr>
        <w:fldChar w:fldCharType="begin"/>
      </w:r>
      <w:r w:rsidRPr="00BB4C2F">
        <w:rPr>
          <w:rFonts w:ascii="Times New Roman" w:hAnsi="Times New Roman" w:cs="Times New Roman"/>
          <w:sz w:val="20"/>
          <w:szCs w:val="20"/>
        </w:rPr>
        <w:instrText xml:space="preserve"> NUMWORDS  \* Arabic  \* MERGEFORMAT </w:instrText>
      </w:r>
      <w:r w:rsidRPr="00BB4C2F">
        <w:rPr>
          <w:rFonts w:ascii="Times New Roman" w:hAnsi="Times New Roman" w:cs="Times New Roman"/>
          <w:sz w:val="20"/>
          <w:szCs w:val="20"/>
        </w:rPr>
        <w:fldChar w:fldCharType="separate"/>
      </w:r>
      <w:r w:rsidR="00E453CB">
        <w:rPr>
          <w:rFonts w:ascii="Times New Roman" w:hAnsi="Times New Roman" w:cs="Times New Roman"/>
          <w:noProof/>
          <w:sz w:val="20"/>
          <w:szCs w:val="20"/>
        </w:rPr>
        <w:t>3912</w:t>
      </w:r>
      <w:r w:rsidRPr="00BB4C2F">
        <w:rPr>
          <w:rFonts w:ascii="Times New Roman" w:hAnsi="Times New Roman" w:cs="Times New Roman"/>
          <w:sz w:val="20"/>
          <w:szCs w:val="20"/>
        </w:rPr>
        <w:fldChar w:fldCharType="end"/>
      </w:r>
    </w:p>
    <w:p w14:paraId="256B08F4" w14:textId="77777777" w:rsidR="00323408" w:rsidRPr="00BB4C2F" w:rsidRDefault="00323408" w:rsidP="00BC1144">
      <w:pPr>
        <w:tabs>
          <w:tab w:val="left" w:pos="6804"/>
        </w:tabs>
        <w:spacing w:after="0" w:line="240" w:lineRule="auto"/>
        <w:jc w:val="both"/>
        <w:rPr>
          <w:rFonts w:ascii="Times New Roman" w:hAnsi="Times New Roman" w:cs="Times New Roman"/>
          <w:sz w:val="20"/>
          <w:szCs w:val="20"/>
        </w:rPr>
      </w:pPr>
      <w:r w:rsidRPr="00BB4C2F">
        <w:rPr>
          <w:rFonts w:ascii="Times New Roman" w:hAnsi="Times New Roman" w:cs="Times New Roman"/>
          <w:sz w:val="20"/>
          <w:szCs w:val="20"/>
        </w:rPr>
        <w:t>L.Maslova</w:t>
      </w:r>
    </w:p>
    <w:p w14:paraId="16434C6A" w14:textId="77777777" w:rsidR="00323408" w:rsidRPr="00BB4C2F" w:rsidRDefault="00323408" w:rsidP="00BC1144">
      <w:pPr>
        <w:spacing w:after="0" w:line="240" w:lineRule="auto"/>
        <w:jc w:val="both"/>
        <w:rPr>
          <w:rFonts w:ascii="Times New Roman" w:hAnsi="Times New Roman" w:cs="Times New Roman"/>
          <w:sz w:val="20"/>
          <w:szCs w:val="20"/>
        </w:rPr>
      </w:pPr>
      <w:r w:rsidRPr="00BB4C2F">
        <w:rPr>
          <w:rFonts w:ascii="Times New Roman" w:hAnsi="Times New Roman" w:cs="Times New Roman"/>
          <w:sz w:val="20"/>
          <w:szCs w:val="20"/>
        </w:rPr>
        <w:t xml:space="preserve">67026586, </w:t>
      </w:r>
      <w:hyperlink r:id="rId8" w:history="1">
        <w:r w:rsidRPr="00BB4C2F">
          <w:rPr>
            <w:rStyle w:val="Hyperlink"/>
            <w:rFonts w:ascii="Times New Roman" w:hAnsi="Times New Roman" w:cs="Times New Roman"/>
            <w:sz w:val="20"/>
            <w:szCs w:val="20"/>
          </w:rPr>
          <w:t>lana.maslova@varam.gov.lv</w:t>
        </w:r>
      </w:hyperlink>
    </w:p>
    <w:p w14:paraId="2ED734D5" w14:textId="77777777" w:rsidR="00323408" w:rsidRPr="00BB4C2F" w:rsidRDefault="00323408">
      <w:pPr>
        <w:rPr>
          <w:sz w:val="20"/>
          <w:szCs w:val="20"/>
        </w:rPr>
      </w:pPr>
    </w:p>
    <w:sectPr w:rsidR="00323408" w:rsidRPr="00BB4C2F" w:rsidSect="003F5806">
      <w:headerReference w:type="default" r:id="rId9"/>
      <w:footerReference w:type="default" r:id="rId10"/>
      <w:type w:val="continuous"/>
      <w:pgSz w:w="11920" w:h="16840"/>
      <w:pgMar w:top="1134" w:right="1134" w:bottom="1134" w:left="170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EF677" w14:textId="77777777" w:rsidR="003A643F" w:rsidRDefault="003A643F" w:rsidP="003F5806">
      <w:pPr>
        <w:spacing w:after="0" w:line="240" w:lineRule="auto"/>
      </w:pPr>
      <w:r>
        <w:separator/>
      </w:r>
    </w:p>
  </w:endnote>
  <w:endnote w:type="continuationSeparator" w:id="0">
    <w:p w14:paraId="6B16F4C2" w14:textId="77777777" w:rsidR="003A643F" w:rsidRDefault="003A643F" w:rsidP="003F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B36D" w14:textId="713BD596" w:rsidR="00384501" w:rsidRPr="00B36831" w:rsidRDefault="00384501" w:rsidP="00E327C1">
    <w:pPr>
      <w:spacing w:after="0" w:line="240" w:lineRule="auto"/>
      <w:jc w:val="both"/>
      <w:rPr>
        <w:rFonts w:ascii="Times New Roman" w:hAnsi="Times New Roman" w:cs="Times New Roman"/>
        <w:sz w:val="20"/>
        <w:szCs w:val="20"/>
      </w:rPr>
    </w:pPr>
    <w:r w:rsidRPr="00B36831">
      <w:rPr>
        <w:rFonts w:ascii="Times New Roman" w:hAnsi="Times New Roman" w:cs="Times New Roman"/>
        <w:sz w:val="20"/>
        <w:szCs w:val="20"/>
      </w:rPr>
      <w:t>VARAMNot_010916_gaiss; Noteikumu projekts „Grozījumi Ministru kabineta 2009. gada 3. novembra noteikumos Nr. 1290 „Noteikumi par gaisa kvalitāti””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6D2C7" w14:textId="77777777" w:rsidR="003A643F" w:rsidRDefault="003A643F" w:rsidP="003F5806">
      <w:pPr>
        <w:spacing w:after="0" w:line="240" w:lineRule="auto"/>
      </w:pPr>
      <w:r>
        <w:separator/>
      </w:r>
    </w:p>
  </w:footnote>
  <w:footnote w:type="continuationSeparator" w:id="0">
    <w:p w14:paraId="5542DC16" w14:textId="77777777" w:rsidR="003A643F" w:rsidRDefault="003A643F" w:rsidP="003F5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79853"/>
      <w:docPartObj>
        <w:docPartGallery w:val="Page Numbers (Top of Page)"/>
        <w:docPartUnique/>
      </w:docPartObj>
    </w:sdtPr>
    <w:sdtEndPr>
      <w:rPr>
        <w:rFonts w:ascii="Times New Roman" w:hAnsi="Times New Roman" w:cs="Times New Roman"/>
        <w:noProof/>
        <w:sz w:val="24"/>
        <w:szCs w:val="24"/>
      </w:rPr>
    </w:sdtEndPr>
    <w:sdtContent>
      <w:p w14:paraId="6B21EDF2" w14:textId="77777777" w:rsidR="00384501" w:rsidRPr="00B122B5" w:rsidRDefault="00384501">
        <w:pPr>
          <w:pStyle w:val="Header"/>
          <w:jc w:val="center"/>
          <w:rPr>
            <w:rFonts w:ascii="Times New Roman" w:hAnsi="Times New Roman" w:cs="Times New Roman"/>
            <w:sz w:val="24"/>
            <w:szCs w:val="24"/>
          </w:rPr>
        </w:pPr>
        <w:r w:rsidRPr="00B122B5">
          <w:rPr>
            <w:rFonts w:ascii="Times New Roman" w:hAnsi="Times New Roman" w:cs="Times New Roman"/>
            <w:sz w:val="24"/>
            <w:szCs w:val="24"/>
          </w:rPr>
          <w:fldChar w:fldCharType="begin"/>
        </w:r>
        <w:r w:rsidRPr="00B122B5">
          <w:rPr>
            <w:rFonts w:ascii="Times New Roman" w:hAnsi="Times New Roman" w:cs="Times New Roman"/>
            <w:sz w:val="24"/>
            <w:szCs w:val="24"/>
          </w:rPr>
          <w:instrText xml:space="preserve"> PAGE   \* MERGEFORMAT </w:instrText>
        </w:r>
        <w:r w:rsidRPr="00B122B5">
          <w:rPr>
            <w:rFonts w:ascii="Times New Roman" w:hAnsi="Times New Roman" w:cs="Times New Roman"/>
            <w:sz w:val="24"/>
            <w:szCs w:val="24"/>
          </w:rPr>
          <w:fldChar w:fldCharType="separate"/>
        </w:r>
        <w:r w:rsidR="00E453CB">
          <w:rPr>
            <w:rFonts w:ascii="Times New Roman" w:hAnsi="Times New Roman" w:cs="Times New Roman"/>
            <w:noProof/>
            <w:sz w:val="24"/>
            <w:szCs w:val="24"/>
          </w:rPr>
          <w:t>10</w:t>
        </w:r>
        <w:r w:rsidRPr="00B122B5">
          <w:rPr>
            <w:rFonts w:ascii="Times New Roman" w:hAnsi="Times New Roman" w:cs="Times New Roman"/>
            <w:noProof/>
            <w:sz w:val="24"/>
            <w:szCs w:val="24"/>
          </w:rPr>
          <w:fldChar w:fldCharType="end"/>
        </w:r>
      </w:p>
    </w:sdtContent>
  </w:sdt>
  <w:p w14:paraId="0FB24B70" w14:textId="77777777" w:rsidR="00384501" w:rsidRPr="00E327C1" w:rsidRDefault="0038450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76F0"/>
    <w:multiLevelType w:val="hybridMultilevel"/>
    <w:tmpl w:val="3CB8AA5C"/>
    <w:lvl w:ilvl="0" w:tplc="F86E5E34">
      <w:start w:val="1"/>
      <w:numFmt w:val="decimal"/>
      <w:lvlText w:val="%1."/>
      <w:lvlJc w:val="left"/>
      <w:pPr>
        <w:ind w:left="121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AF4008"/>
    <w:multiLevelType w:val="hybridMultilevel"/>
    <w:tmpl w:val="6BBEBA68"/>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92"/>
    <w:rsid w:val="00002D3B"/>
    <w:rsid w:val="00010FFE"/>
    <w:rsid w:val="000557FF"/>
    <w:rsid w:val="000620D7"/>
    <w:rsid w:val="0006290D"/>
    <w:rsid w:val="00094C9E"/>
    <w:rsid w:val="000B1630"/>
    <w:rsid w:val="000B1887"/>
    <w:rsid w:val="000B3FF6"/>
    <w:rsid w:val="000F0E9F"/>
    <w:rsid w:val="000F2783"/>
    <w:rsid w:val="000F678E"/>
    <w:rsid w:val="001063FB"/>
    <w:rsid w:val="0012220E"/>
    <w:rsid w:val="001375F2"/>
    <w:rsid w:val="00146167"/>
    <w:rsid w:val="00152EF2"/>
    <w:rsid w:val="00154508"/>
    <w:rsid w:val="00164BA0"/>
    <w:rsid w:val="00171EBF"/>
    <w:rsid w:val="001722F7"/>
    <w:rsid w:val="001753C3"/>
    <w:rsid w:val="0018266D"/>
    <w:rsid w:val="001A02FC"/>
    <w:rsid w:val="001A1FBC"/>
    <w:rsid w:val="001A5B91"/>
    <w:rsid w:val="001F0393"/>
    <w:rsid w:val="00206CBC"/>
    <w:rsid w:val="002102A2"/>
    <w:rsid w:val="00217892"/>
    <w:rsid w:val="00221795"/>
    <w:rsid w:val="002243BD"/>
    <w:rsid w:val="002309B9"/>
    <w:rsid w:val="00256CF3"/>
    <w:rsid w:val="00257326"/>
    <w:rsid w:val="00261439"/>
    <w:rsid w:val="0028424D"/>
    <w:rsid w:val="002843BA"/>
    <w:rsid w:val="00286018"/>
    <w:rsid w:val="0029140A"/>
    <w:rsid w:val="00292F1A"/>
    <w:rsid w:val="002A5698"/>
    <w:rsid w:val="002A575C"/>
    <w:rsid w:val="002A6C8E"/>
    <w:rsid w:val="002D1899"/>
    <w:rsid w:val="002D647A"/>
    <w:rsid w:val="002E40F8"/>
    <w:rsid w:val="002E4E99"/>
    <w:rsid w:val="00323408"/>
    <w:rsid w:val="0033492C"/>
    <w:rsid w:val="00353B36"/>
    <w:rsid w:val="00354816"/>
    <w:rsid w:val="00355067"/>
    <w:rsid w:val="0036122A"/>
    <w:rsid w:val="00372541"/>
    <w:rsid w:val="00384501"/>
    <w:rsid w:val="00391E2D"/>
    <w:rsid w:val="003A643F"/>
    <w:rsid w:val="003A70FD"/>
    <w:rsid w:val="003C7F83"/>
    <w:rsid w:val="003E72DA"/>
    <w:rsid w:val="003F5806"/>
    <w:rsid w:val="003F5FE6"/>
    <w:rsid w:val="00413806"/>
    <w:rsid w:val="004309A3"/>
    <w:rsid w:val="00442E35"/>
    <w:rsid w:val="004644EA"/>
    <w:rsid w:val="00475647"/>
    <w:rsid w:val="004934B9"/>
    <w:rsid w:val="004A11AC"/>
    <w:rsid w:val="004A2D03"/>
    <w:rsid w:val="004D1096"/>
    <w:rsid w:val="004E2324"/>
    <w:rsid w:val="004E6E2B"/>
    <w:rsid w:val="004F17CE"/>
    <w:rsid w:val="004F54C6"/>
    <w:rsid w:val="00521E04"/>
    <w:rsid w:val="00525B64"/>
    <w:rsid w:val="00526E36"/>
    <w:rsid w:val="00527263"/>
    <w:rsid w:val="00557EBD"/>
    <w:rsid w:val="00564681"/>
    <w:rsid w:val="00564EF2"/>
    <w:rsid w:val="00573359"/>
    <w:rsid w:val="005754D8"/>
    <w:rsid w:val="005B0C73"/>
    <w:rsid w:val="005B5A04"/>
    <w:rsid w:val="005D314C"/>
    <w:rsid w:val="005D557A"/>
    <w:rsid w:val="005E4246"/>
    <w:rsid w:val="005E6689"/>
    <w:rsid w:val="005E7324"/>
    <w:rsid w:val="005F3D2D"/>
    <w:rsid w:val="006031A4"/>
    <w:rsid w:val="00610D30"/>
    <w:rsid w:val="00614CA5"/>
    <w:rsid w:val="00623527"/>
    <w:rsid w:val="00623836"/>
    <w:rsid w:val="00635E85"/>
    <w:rsid w:val="006409DE"/>
    <w:rsid w:val="00641C69"/>
    <w:rsid w:val="0065132D"/>
    <w:rsid w:val="00651BE6"/>
    <w:rsid w:val="00663EAD"/>
    <w:rsid w:val="006853E0"/>
    <w:rsid w:val="00685621"/>
    <w:rsid w:val="00690854"/>
    <w:rsid w:val="006D35C3"/>
    <w:rsid w:val="006D573F"/>
    <w:rsid w:val="006F303E"/>
    <w:rsid w:val="006F43E9"/>
    <w:rsid w:val="006F5DEA"/>
    <w:rsid w:val="006F65FC"/>
    <w:rsid w:val="00703D89"/>
    <w:rsid w:val="00714426"/>
    <w:rsid w:val="00723300"/>
    <w:rsid w:val="00742B90"/>
    <w:rsid w:val="00791C49"/>
    <w:rsid w:val="007A5595"/>
    <w:rsid w:val="007A5634"/>
    <w:rsid w:val="007A5CA2"/>
    <w:rsid w:val="007C6E67"/>
    <w:rsid w:val="007D69CD"/>
    <w:rsid w:val="007E439B"/>
    <w:rsid w:val="007E4E71"/>
    <w:rsid w:val="00800BF5"/>
    <w:rsid w:val="00800D26"/>
    <w:rsid w:val="00801245"/>
    <w:rsid w:val="00807210"/>
    <w:rsid w:val="008173CB"/>
    <w:rsid w:val="008223F9"/>
    <w:rsid w:val="00827538"/>
    <w:rsid w:val="00827B20"/>
    <w:rsid w:val="00832962"/>
    <w:rsid w:val="00845850"/>
    <w:rsid w:val="0085699E"/>
    <w:rsid w:val="00867EF1"/>
    <w:rsid w:val="0087277F"/>
    <w:rsid w:val="00876700"/>
    <w:rsid w:val="008A299C"/>
    <w:rsid w:val="008A31BD"/>
    <w:rsid w:val="008A42F6"/>
    <w:rsid w:val="008C4AF9"/>
    <w:rsid w:val="008D0E12"/>
    <w:rsid w:val="008D2B90"/>
    <w:rsid w:val="008D65E3"/>
    <w:rsid w:val="008E1C51"/>
    <w:rsid w:val="008F6762"/>
    <w:rsid w:val="008F68FC"/>
    <w:rsid w:val="00900A61"/>
    <w:rsid w:val="00917B35"/>
    <w:rsid w:val="0094145C"/>
    <w:rsid w:val="00943E37"/>
    <w:rsid w:val="00946248"/>
    <w:rsid w:val="00953395"/>
    <w:rsid w:val="009612C7"/>
    <w:rsid w:val="009644C1"/>
    <w:rsid w:val="009648E4"/>
    <w:rsid w:val="00992AB9"/>
    <w:rsid w:val="009A3122"/>
    <w:rsid w:val="009B1BCE"/>
    <w:rsid w:val="009B4542"/>
    <w:rsid w:val="009B4A4B"/>
    <w:rsid w:val="009D331B"/>
    <w:rsid w:val="009E1E6C"/>
    <w:rsid w:val="009E3B99"/>
    <w:rsid w:val="009F35B3"/>
    <w:rsid w:val="00A14E62"/>
    <w:rsid w:val="00A17ACD"/>
    <w:rsid w:val="00A21456"/>
    <w:rsid w:val="00A3188A"/>
    <w:rsid w:val="00A339FF"/>
    <w:rsid w:val="00A75749"/>
    <w:rsid w:val="00AA5CBF"/>
    <w:rsid w:val="00AB0710"/>
    <w:rsid w:val="00AE26EF"/>
    <w:rsid w:val="00AE52ED"/>
    <w:rsid w:val="00AF5B73"/>
    <w:rsid w:val="00AF5C11"/>
    <w:rsid w:val="00B03310"/>
    <w:rsid w:val="00B122B5"/>
    <w:rsid w:val="00B14D71"/>
    <w:rsid w:val="00B27E8A"/>
    <w:rsid w:val="00B36831"/>
    <w:rsid w:val="00B46F50"/>
    <w:rsid w:val="00B54359"/>
    <w:rsid w:val="00B65757"/>
    <w:rsid w:val="00B838FD"/>
    <w:rsid w:val="00BB2A05"/>
    <w:rsid w:val="00BB4C2F"/>
    <w:rsid w:val="00BC1144"/>
    <w:rsid w:val="00BC1CC1"/>
    <w:rsid w:val="00BC785E"/>
    <w:rsid w:val="00BD74D3"/>
    <w:rsid w:val="00BE0414"/>
    <w:rsid w:val="00C0091F"/>
    <w:rsid w:val="00C137CB"/>
    <w:rsid w:val="00C152CD"/>
    <w:rsid w:val="00C16D17"/>
    <w:rsid w:val="00C60A59"/>
    <w:rsid w:val="00C67F08"/>
    <w:rsid w:val="00C80EA8"/>
    <w:rsid w:val="00C8347C"/>
    <w:rsid w:val="00C96F4E"/>
    <w:rsid w:val="00CA2AF0"/>
    <w:rsid w:val="00CB57D3"/>
    <w:rsid w:val="00CB7926"/>
    <w:rsid w:val="00CE258A"/>
    <w:rsid w:val="00CF01C1"/>
    <w:rsid w:val="00CF0549"/>
    <w:rsid w:val="00D41D94"/>
    <w:rsid w:val="00D81882"/>
    <w:rsid w:val="00D81EFF"/>
    <w:rsid w:val="00D93229"/>
    <w:rsid w:val="00DD0304"/>
    <w:rsid w:val="00DE2699"/>
    <w:rsid w:val="00DE3642"/>
    <w:rsid w:val="00E043B2"/>
    <w:rsid w:val="00E105C0"/>
    <w:rsid w:val="00E24DF5"/>
    <w:rsid w:val="00E327C1"/>
    <w:rsid w:val="00E40F57"/>
    <w:rsid w:val="00E453CB"/>
    <w:rsid w:val="00E602B7"/>
    <w:rsid w:val="00E76A0D"/>
    <w:rsid w:val="00E83F01"/>
    <w:rsid w:val="00ED3CBC"/>
    <w:rsid w:val="00F05470"/>
    <w:rsid w:val="00F10F58"/>
    <w:rsid w:val="00F11E65"/>
    <w:rsid w:val="00F124EF"/>
    <w:rsid w:val="00F1322F"/>
    <w:rsid w:val="00F1727F"/>
    <w:rsid w:val="00F27F76"/>
    <w:rsid w:val="00F324D7"/>
    <w:rsid w:val="00F36D34"/>
    <w:rsid w:val="00F44730"/>
    <w:rsid w:val="00F5079C"/>
    <w:rsid w:val="00F87892"/>
    <w:rsid w:val="00FA5ED0"/>
    <w:rsid w:val="00FB3953"/>
    <w:rsid w:val="00FB6E06"/>
    <w:rsid w:val="00FE29B7"/>
    <w:rsid w:val="00FE2DFC"/>
    <w:rsid w:val="00FE49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2B50"/>
  <w15:chartTrackingRefBased/>
  <w15:docId w15:val="{9F3ADBA7-F064-4E90-960F-176D088A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789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32340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23408"/>
    <w:rPr>
      <w:color w:val="0000FF"/>
      <w:u w:val="single"/>
    </w:rPr>
  </w:style>
  <w:style w:type="paragraph" w:styleId="Title">
    <w:name w:val="Title"/>
    <w:basedOn w:val="Normal"/>
    <w:link w:val="TitleChar"/>
    <w:qFormat/>
    <w:rsid w:val="0032340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23408"/>
    <w:rPr>
      <w:rFonts w:ascii="Times New Roman" w:eastAsia="Times New Roman" w:hAnsi="Times New Roman" w:cs="Times New Roman"/>
      <w:b/>
      <w:bCs/>
      <w:sz w:val="24"/>
      <w:szCs w:val="24"/>
    </w:rPr>
  </w:style>
  <w:style w:type="paragraph" w:styleId="ListParagraph">
    <w:name w:val="List Paragraph"/>
    <w:basedOn w:val="Normal"/>
    <w:uiPriority w:val="34"/>
    <w:qFormat/>
    <w:rsid w:val="00FB3953"/>
    <w:pPr>
      <w:ind w:left="720"/>
      <w:contextualSpacing/>
    </w:pPr>
  </w:style>
  <w:style w:type="character" w:styleId="CommentReference">
    <w:name w:val="annotation reference"/>
    <w:rsid w:val="004F17CE"/>
    <w:rPr>
      <w:sz w:val="16"/>
      <w:szCs w:val="16"/>
    </w:rPr>
  </w:style>
  <w:style w:type="paragraph" w:styleId="CommentText">
    <w:name w:val="annotation text"/>
    <w:basedOn w:val="Normal"/>
    <w:link w:val="CommentTextChar"/>
    <w:rsid w:val="004F17C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4F17CE"/>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4F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7CE"/>
    <w:rPr>
      <w:rFonts w:ascii="Segoe UI" w:hAnsi="Segoe UI" w:cs="Segoe UI"/>
      <w:sz w:val="18"/>
      <w:szCs w:val="18"/>
    </w:rPr>
  </w:style>
  <w:style w:type="paragraph" w:styleId="Header">
    <w:name w:val="header"/>
    <w:basedOn w:val="Normal"/>
    <w:link w:val="HeaderChar"/>
    <w:uiPriority w:val="99"/>
    <w:unhideWhenUsed/>
    <w:rsid w:val="003F58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5806"/>
  </w:style>
  <w:style w:type="paragraph" w:styleId="Footer">
    <w:name w:val="footer"/>
    <w:basedOn w:val="Normal"/>
    <w:link w:val="FooterChar"/>
    <w:uiPriority w:val="99"/>
    <w:unhideWhenUsed/>
    <w:rsid w:val="003F58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5806"/>
  </w:style>
  <w:style w:type="paragraph" w:styleId="CommentSubject">
    <w:name w:val="annotation subject"/>
    <w:basedOn w:val="CommentText"/>
    <w:next w:val="CommentText"/>
    <w:link w:val="CommentSubjectChar"/>
    <w:uiPriority w:val="99"/>
    <w:semiHidden/>
    <w:unhideWhenUsed/>
    <w:rsid w:val="00C16D1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16D17"/>
    <w:rPr>
      <w:rFonts w:ascii="Times New Roman" w:eastAsia="Times New Roman" w:hAnsi="Times New Roman" w:cs="Times New Roman"/>
      <w:b/>
      <w:bCs/>
      <w:sz w:val="20"/>
      <w:szCs w:val="20"/>
      <w:lang w:eastAsia="lv-LV"/>
    </w:rPr>
  </w:style>
  <w:style w:type="paragraph" w:customStyle="1" w:styleId="naisc">
    <w:name w:val="naisc"/>
    <w:basedOn w:val="Normal"/>
    <w:rsid w:val="00791C49"/>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BC785E"/>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00BF5"/>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01836">
      <w:bodyDiv w:val="1"/>
      <w:marLeft w:val="0"/>
      <w:marRight w:val="0"/>
      <w:marTop w:val="0"/>
      <w:marBottom w:val="0"/>
      <w:divBdr>
        <w:top w:val="none" w:sz="0" w:space="0" w:color="auto"/>
        <w:left w:val="none" w:sz="0" w:space="0" w:color="auto"/>
        <w:bottom w:val="none" w:sz="0" w:space="0" w:color="auto"/>
        <w:right w:val="none" w:sz="0" w:space="0" w:color="auto"/>
      </w:divBdr>
    </w:div>
    <w:div w:id="17660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maslov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F9E0-1244-4890-A0D9-57F91641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3926</Words>
  <Characters>26856</Characters>
  <Application>Microsoft Office Word</Application>
  <DocSecurity>0</DocSecurity>
  <Lines>537</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Maslova</dc:creator>
  <cp:keywords/>
  <dc:description/>
  <cp:lastModifiedBy>Lana Maslova</cp:lastModifiedBy>
  <cp:revision>27</cp:revision>
  <dcterms:created xsi:type="dcterms:W3CDTF">2016-10-03T12:09:00Z</dcterms:created>
  <dcterms:modified xsi:type="dcterms:W3CDTF">2016-10-05T08:11:00Z</dcterms:modified>
</cp:coreProperties>
</file>