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55" w:rsidRPr="005B5F1E" w:rsidRDefault="006E3768" w:rsidP="006E3768">
      <w:pPr>
        <w:jc w:val="center"/>
        <w:rPr>
          <w:rFonts w:eastAsia="Times New Roman" w:cs="Times New Roman"/>
          <w:b/>
          <w:bCs/>
          <w:szCs w:val="24"/>
          <w:lang w:eastAsia="lv-LV"/>
        </w:rPr>
      </w:pPr>
      <w:bookmarkStart w:id="0" w:name="OLE_LINK1"/>
      <w:bookmarkStart w:id="1" w:name="OLE_LINK2"/>
      <w:r w:rsidRPr="005B5F1E">
        <w:rPr>
          <w:rFonts w:eastAsia="Times New Roman" w:cs="Times New Roman"/>
          <w:b/>
          <w:bCs/>
          <w:szCs w:val="24"/>
          <w:lang w:eastAsia="lv-LV"/>
        </w:rPr>
        <w:t xml:space="preserve">Ministru kabineta </w:t>
      </w:r>
      <w:r w:rsidR="002631EB">
        <w:rPr>
          <w:rFonts w:eastAsia="Times New Roman" w:cs="Times New Roman"/>
          <w:b/>
          <w:bCs/>
          <w:szCs w:val="24"/>
          <w:lang w:eastAsia="lv-LV"/>
        </w:rPr>
        <w:t>noteikumu</w:t>
      </w:r>
      <w:r w:rsidRPr="005B5F1E">
        <w:rPr>
          <w:rFonts w:eastAsia="Times New Roman" w:cs="Times New Roman"/>
          <w:b/>
          <w:bCs/>
          <w:szCs w:val="24"/>
          <w:lang w:eastAsia="lv-LV"/>
        </w:rPr>
        <w:t xml:space="preserve"> projekta </w:t>
      </w:r>
    </w:p>
    <w:p w:rsidR="00CC40FD" w:rsidRPr="005B5F1E" w:rsidRDefault="003A5CF6" w:rsidP="00CC40FD">
      <w:pPr>
        <w:pStyle w:val="Footer"/>
        <w:jc w:val="center"/>
        <w:rPr>
          <w:b/>
          <w:szCs w:val="24"/>
        </w:rPr>
      </w:pPr>
      <w:r w:rsidRPr="005B5F1E">
        <w:rPr>
          <w:rFonts w:eastAsia="Times New Roman" w:cs="Times New Roman"/>
          <w:b/>
          <w:bCs/>
          <w:szCs w:val="24"/>
          <w:lang w:eastAsia="lv-LV"/>
        </w:rPr>
        <w:t>„</w:t>
      </w:r>
      <w:r w:rsidR="00CC40FD" w:rsidRPr="005B5F1E">
        <w:rPr>
          <w:b/>
          <w:szCs w:val="24"/>
        </w:rPr>
        <w:t>Grozījum</w:t>
      </w:r>
      <w:r w:rsidR="00A11B0F">
        <w:rPr>
          <w:b/>
          <w:szCs w:val="24"/>
        </w:rPr>
        <w:t>i</w:t>
      </w:r>
      <w:r w:rsidR="00CC40FD" w:rsidRPr="005B5F1E">
        <w:rPr>
          <w:b/>
          <w:szCs w:val="24"/>
        </w:rPr>
        <w:t xml:space="preserve"> </w:t>
      </w:r>
      <w:r w:rsidRPr="005B5F1E">
        <w:rPr>
          <w:b/>
          <w:szCs w:val="24"/>
        </w:rPr>
        <w:t>Ministru kabineta 2006.</w:t>
      </w:r>
      <w:r w:rsidR="00466550">
        <w:rPr>
          <w:b/>
          <w:szCs w:val="24"/>
        </w:rPr>
        <w:t> </w:t>
      </w:r>
      <w:r w:rsidRPr="005B5F1E">
        <w:rPr>
          <w:b/>
          <w:szCs w:val="24"/>
        </w:rPr>
        <w:t>gada 17.</w:t>
      </w:r>
      <w:r w:rsidR="00466550">
        <w:rPr>
          <w:b/>
          <w:szCs w:val="24"/>
        </w:rPr>
        <w:t> </w:t>
      </w:r>
      <w:r w:rsidRPr="005B5F1E">
        <w:rPr>
          <w:b/>
          <w:szCs w:val="24"/>
        </w:rPr>
        <w:t>janvāra noteikumos Nr.</w:t>
      </w:r>
      <w:r w:rsidR="00466550">
        <w:rPr>
          <w:b/>
          <w:szCs w:val="24"/>
        </w:rPr>
        <w:t> </w:t>
      </w:r>
      <w:r w:rsidRPr="005B5F1E">
        <w:rPr>
          <w:b/>
          <w:szCs w:val="24"/>
        </w:rPr>
        <w:t>57 „</w:t>
      </w:r>
      <w:hyperlink r:id="rId8" w:tgtFrame="_blank" w:history="1">
        <w:r w:rsidRPr="005B5F1E">
          <w:rPr>
            <w:rStyle w:val="Hyperlink"/>
            <w:b/>
            <w:color w:val="auto"/>
            <w:szCs w:val="24"/>
            <w:u w:val="none"/>
          </w:rPr>
          <w:t>Noteikumi par zāļu marķēšanas kārtību un zāļu lietošanas instrukcijai izvirzāmajām prasībām</w:t>
        </w:r>
      </w:hyperlink>
      <w:r w:rsidRPr="005B5F1E">
        <w:rPr>
          <w:b/>
          <w:szCs w:val="24"/>
        </w:rPr>
        <w:t xml:space="preserve">”” </w:t>
      </w:r>
      <w:r w:rsidR="00CC40FD" w:rsidRPr="005B5F1E">
        <w:rPr>
          <w:b/>
          <w:szCs w:val="24"/>
        </w:rPr>
        <w:t xml:space="preserve">sākotnējās ietekmes novērtējuma ziņojums </w:t>
      </w:r>
      <w:bookmarkEnd w:id="0"/>
      <w:bookmarkEnd w:id="1"/>
      <w:r w:rsidR="00CC40FD" w:rsidRPr="005B5F1E">
        <w:rPr>
          <w:b/>
          <w:szCs w:val="24"/>
        </w:rPr>
        <w:t>(anotācija)</w:t>
      </w:r>
    </w:p>
    <w:p w:rsidR="006E3768" w:rsidRPr="005B5F1E" w:rsidRDefault="006E3768" w:rsidP="006E3768">
      <w:pPr>
        <w:jc w:val="center"/>
        <w:rPr>
          <w:rFonts w:eastAsia="Times New Roman" w:cs="Times New Roman"/>
          <w:b/>
          <w:bCs/>
          <w:szCs w:val="24"/>
          <w:lang w:eastAsia="lv-LV"/>
        </w:rPr>
      </w:pPr>
    </w:p>
    <w:tbl>
      <w:tblPr>
        <w:tblW w:w="4984"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62"/>
        <w:gridCol w:w="2829"/>
        <w:gridCol w:w="552"/>
        <w:gridCol w:w="15"/>
        <w:gridCol w:w="425"/>
        <w:gridCol w:w="4931"/>
      </w:tblGrid>
      <w:tr w:rsidR="003E6B1C" w:rsidRPr="005B5F1E" w:rsidTr="00337DA1">
        <w:trPr>
          <w:trHeight w:val="235"/>
        </w:trPr>
        <w:tc>
          <w:tcPr>
            <w:tcW w:w="9214" w:type="dxa"/>
            <w:gridSpan w:val="6"/>
            <w:tcBorders>
              <w:top w:val="outset" w:sz="6" w:space="0" w:color="auto"/>
              <w:left w:val="outset" w:sz="6" w:space="0" w:color="auto"/>
              <w:bottom w:val="outset" w:sz="6" w:space="0" w:color="auto"/>
              <w:right w:val="outset" w:sz="6" w:space="0" w:color="auto"/>
            </w:tcBorders>
            <w:vAlign w:val="center"/>
            <w:hideMark/>
          </w:tcPr>
          <w:p w:rsidR="003E6B1C" w:rsidRPr="005B5F1E" w:rsidRDefault="00F9663A" w:rsidP="002B7FAB">
            <w:pPr>
              <w:jc w:val="center"/>
              <w:rPr>
                <w:rFonts w:eastAsia="Times New Roman" w:cs="Times New Roman"/>
                <w:b/>
                <w:bCs/>
                <w:szCs w:val="24"/>
                <w:lang w:eastAsia="lv-LV"/>
              </w:rPr>
            </w:pPr>
            <w:r>
              <w:rPr>
                <w:rFonts w:eastAsia="Times New Roman" w:cs="Times New Roman"/>
                <w:b/>
                <w:bCs/>
                <w:szCs w:val="24"/>
                <w:lang w:eastAsia="lv-LV"/>
              </w:rPr>
              <w:t>I. </w:t>
            </w:r>
            <w:r w:rsidR="003E6B1C" w:rsidRPr="005B5F1E">
              <w:rPr>
                <w:rFonts w:eastAsia="Times New Roman" w:cs="Times New Roman"/>
                <w:b/>
                <w:bCs/>
                <w:szCs w:val="24"/>
                <w:lang w:eastAsia="lv-LV"/>
              </w:rPr>
              <w:t>Tiesību akta projekta izstrādes nepieciešamība</w:t>
            </w:r>
          </w:p>
          <w:p w:rsidR="00E344E4" w:rsidRPr="005B5F1E" w:rsidRDefault="00E344E4" w:rsidP="002B7FAB">
            <w:pPr>
              <w:jc w:val="center"/>
              <w:rPr>
                <w:rFonts w:eastAsia="Times New Roman" w:cs="Times New Roman"/>
                <w:szCs w:val="24"/>
                <w:lang w:eastAsia="lv-LV"/>
              </w:rPr>
            </w:pPr>
          </w:p>
        </w:tc>
      </w:tr>
      <w:tr w:rsidR="003E6B1C" w:rsidRPr="005B5F1E" w:rsidTr="00337DA1">
        <w:trPr>
          <w:trHeight w:val="405"/>
        </w:trPr>
        <w:tc>
          <w:tcPr>
            <w:tcW w:w="462" w:type="dxa"/>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1.</w:t>
            </w:r>
          </w:p>
        </w:tc>
        <w:tc>
          <w:tcPr>
            <w:tcW w:w="3821" w:type="dxa"/>
            <w:gridSpan w:val="4"/>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Pamatojums</w:t>
            </w:r>
          </w:p>
        </w:tc>
        <w:tc>
          <w:tcPr>
            <w:tcW w:w="4931" w:type="dxa"/>
            <w:tcBorders>
              <w:top w:val="outset" w:sz="6" w:space="0" w:color="auto"/>
              <w:left w:val="outset" w:sz="6" w:space="0" w:color="auto"/>
              <w:bottom w:val="outset" w:sz="6" w:space="0" w:color="auto"/>
              <w:right w:val="outset" w:sz="6" w:space="0" w:color="auto"/>
            </w:tcBorders>
            <w:hideMark/>
          </w:tcPr>
          <w:p w:rsidR="009A5093" w:rsidRPr="009A5093" w:rsidRDefault="005B5F1E" w:rsidP="00A11B0F">
            <w:pPr>
              <w:jc w:val="both"/>
              <w:rPr>
                <w:bCs/>
                <w:szCs w:val="24"/>
              </w:rPr>
            </w:pPr>
            <w:r w:rsidRPr="005B5F1E">
              <w:rPr>
                <w:rFonts w:eastAsia="Times New Roman" w:cs="Times New Roman"/>
                <w:bCs/>
                <w:szCs w:val="24"/>
                <w:lang w:eastAsia="lv-LV"/>
              </w:rPr>
              <w:t xml:space="preserve">Ministru kabineta </w:t>
            </w:r>
            <w:r w:rsidR="006F66D0">
              <w:rPr>
                <w:rFonts w:eastAsia="Times New Roman" w:cs="Times New Roman"/>
                <w:bCs/>
                <w:szCs w:val="24"/>
                <w:lang w:eastAsia="lv-LV"/>
              </w:rPr>
              <w:t>noteikumu</w:t>
            </w:r>
            <w:r w:rsidRPr="005B5F1E">
              <w:rPr>
                <w:rFonts w:eastAsia="Times New Roman" w:cs="Times New Roman"/>
                <w:bCs/>
                <w:szCs w:val="24"/>
                <w:lang w:eastAsia="lv-LV"/>
              </w:rPr>
              <w:t xml:space="preserve"> projekts „</w:t>
            </w:r>
            <w:r w:rsidRPr="005B5F1E">
              <w:rPr>
                <w:szCs w:val="24"/>
              </w:rPr>
              <w:t>Grozījum</w:t>
            </w:r>
            <w:r w:rsidR="00D355C5">
              <w:rPr>
                <w:szCs w:val="24"/>
              </w:rPr>
              <w:t>i</w:t>
            </w:r>
            <w:r w:rsidRPr="005B5F1E">
              <w:rPr>
                <w:szCs w:val="24"/>
              </w:rPr>
              <w:t xml:space="preserve"> Ministru kabineta 2006.</w:t>
            </w:r>
            <w:r w:rsidR="00466550">
              <w:rPr>
                <w:szCs w:val="24"/>
              </w:rPr>
              <w:t> </w:t>
            </w:r>
            <w:r w:rsidRPr="005B5F1E">
              <w:rPr>
                <w:szCs w:val="24"/>
              </w:rPr>
              <w:t>gada 17.</w:t>
            </w:r>
            <w:r w:rsidR="00466550">
              <w:rPr>
                <w:szCs w:val="24"/>
              </w:rPr>
              <w:t> </w:t>
            </w:r>
            <w:r w:rsidRPr="005B5F1E">
              <w:rPr>
                <w:szCs w:val="24"/>
              </w:rPr>
              <w:t>janvāra noteikumos Nr.</w:t>
            </w:r>
            <w:r w:rsidR="00466550">
              <w:rPr>
                <w:szCs w:val="24"/>
              </w:rPr>
              <w:t> </w:t>
            </w:r>
            <w:r w:rsidRPr="005B5F1E">
              <w:rPr>
                <w:szCs w:val="24"/>
              </w:rPr>
              <w:t>57 „</w:t>
            </w:r>
            <w:hyperlink r:id="rId9" w:tgtFrame="_blank" w:history="1">
              <w:r w:rsidRPr="005B5F1E">
                <w:rPr>
                  <w:rStyle w:val="Hyperlink"/>
                  <w:color w:val="auto"/>
                  <w:szCs w:val="24"/>
                  <w:u w:val="none"/>
                </w:rPr>
                <w:t>Noteikumi par zāļu marķēšanas kārtību un zāļu lietošanas instrukcijai izvirzāmajām prasībām</w:t>
              </w:r>
            </w:hyperlink>
            <w:r w:rsidRPr="005B5F1E">
              <w:rPr>
                <w:szCs w:val="24"/>
              </w:rPr>
              <w:t>””</w:t>
            </w:r>
            <w:r w:rsidR="006F127C">
              <w:rPr>
                <w:szCs w:val="24"/>
              </w:rPr>
              <w:t xml:space="preserve"> </w:t>
            </w:r>
            <w:r w:rsidRPr="005B5F1E">
              <w:rPr>
                <w:szCs w:val="24"/>
              </w:rPr>
              <w:t>(turpmāk</w:t>
            </w:r>
            <w:r w:rsidR="00466550">
              <w:rPr>
                <w:szCs w:val="24"/>
              </w:rPr>
              <w:t> </w:t>
            </w:r>
            <w:r w:rsidR="00906865">
              <w:rPr>
                <w:szCs w:val="24"/>
              </w:rPr>
              <w:t>-</w:t>
            </w:r>
            <w:r w:rsidR="00466550">
              <w:rPr>
                <w:szCs w:val="24"/>
              </w:rPr>
              <w:t> </w:t>
            </w:r>
            <w:r w:rsidRPr="005B5F1E">
              <w:rPr>
                <w:szCs w:val="24"/>
              </w:rPr>
              <w:t xml:space="preserve">Noteikumu projekts) izstrādāts </w:t>
            </w:r>
            <w:r w:rsidRPr="005B5F1E">
              <w:rPr>
                <w:bCs/>
                <w:szCs w:val="24"/>
              </w:rPr>
              <w:t>saskaņā ar Farmācijas likuma 5.</w:t>
            </w:r>
            <w:r w:rsidR="00466550">
              <w:rPr>
                <w:bCs/>
                <w:szCs w:val="24"/>
              </w:rPr>
              <w:t> </w:t>
            </w:r>
            <w:r w:rsidRPr="005B5F1E">
              <w:rPr>
                <w:bCs/>
                <w:szCs w:val="24"/>
              </w:rPr>
              <w:t>panta 3. un 12.</w:t>
            </w:r>
            <w:r w:rsidR="00466550">
              <w:rPr>
                <w:bCs/>
                <w:szCs w:val="24"/>
              </w:rPr>
              <w:t> </w:t>
            </w:r>
            <w:r w:rsidRPr="005B5F1E">
              <w:rPr>
                <w:bCs/>
                <w:szCs w:val="24"/>
              </w:rPr>
              <w:t>punktu.</w:t>
            </w:r>
          </w:p>
        </w:tc>
      </w:tr>
      <w:tr w:rsidR="003E6B1C" w:rsidRPr="005B5F1E" w:rsidTr="00337DA1">
        <w:trPr>
          <w:trHeight w:val="465"/>
        </w:trPr>
        <w:tc>
          <w:tcPr>
            <w:tcW w:w="462" w:type="dxa"/>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spacing w:before="75" w:after="75"/>
              <w:rPr>
                <w:rFonts w:eastAsia="Times New Roman" w:cs="Times New Roman"/>
                <w:szCs w:val="24"/>
                <w:lang w:eastAsia="lv-LV"/>
              </w:rPr>
            </w:pPr>
            <w:r w:rsidRPr="005B5F1E">
              <w:rPr>
                <w:rFonts w:eastAsia="Times New Roman" w:cs="Times New Roman"/>
                <w:szCs w:val="24"/>
                <w:lang w:eastAsia="lv-LV"/>
              </w:rPr>
              <w:t>2.</w:t>
            </w:r>
          </w:p>
        </w:tc>
        <w:tc>
          <w:tcPr>
            <w:tcW w:w="3821" w:type="dxa"/>
            <w:gridSpan w:val="4"/>
            <w:tcBorders>
              <w:top w:val="outset" w:sz="6" w:space="0" w:color="auto"/>
              <w:left w:val="outset" w:sz="6" w:space="0" w:color="auto"/>
              <w:bottom w:val="outset" w:sz="6" w:space="0" w:color="auto"/>
              <w:right w:val="outset" w:sz="6" w:space="0" w:color="auto"/>
            </w:tcBorders>
            <w:hideMark/>
          </w:tcPr>
          <w:p w:rsidR="0086332E" w:rsidRPr="005B5F1E" w:rsidRDefault="003E6B1C" w:rsidP="002B7FAB">
            <w:pPr>
              <w:rPr>
                <w:rFonts w:eastAsia="Times New Roman" w:cs="Times New Roman"/>
                <w:szCs w:val="24"/>
                <w:lang w:eastAsia="lv-LV"/>
              </w:rPr>
            </w:pPr>
            <w:r w:rsidRPr="005B5F1E">
              <w:rPr>
                <w:rFonts w:eastAsia="Times New Roman" w:cs="Times New Roman"/>
                <w:szCs w:val="24"/>
                <w:lang w:eastAsia="lv-LV"/>
              </w:rPr>
              <w:t>Pašreizējā situācija un problēmas, kuru risināšanai tiesību akta projekts izstrādāts, tiesiskā regulējuma mērķis un būtība</w:t>
            </w:r>
          </w:p>
          <w:p w:rsidR="003E6B1C" w:rsidRPr="005B5F1E" w:rsidRDefault="003E6B1C" w:rsidP="002B7FAB">
            <w:pPr>
              <w:rPr>
                <w:rFonts w:eastAsia="Times New Roman" w:cs="Times New Roman"/>
                <w:szCs w:val="24"/>
                <w:lang w:eastAsia="lv-LV"/>
              </w:rPr>
            </w:pPr>
          </w:p>
        </w:tc>
        <w:tc>
          <w:tcPr>
            <w:tcW w:w="4931" w:type="dxa"/>
            <w:tcBorders>
              <w:top w:val="outset" w:sz="6" w:space="0" w:color="auto"/>
              <w:left w:val="outset" w:sz="6" w:space="0" w:color="auto"/>
              <w:bottom w:val="outset" w:sz="6" w:space="0" w:color="auto"/>
              <w:right w:val="outset" w:sz="6" w:space="0" w:color="auto"/>
            </w:tcBorders>
            <w:hideMark/>
          </w:tcPr>
          <w:p w:rsidR="0099128F" w:rsidRPr="002154B4" w:rsidRDefault="007B420D" w:rsidP="007B420D">
            <w:pPr>
              <w:pStyle w:val="Default"/>
              <w:jc w:val="both"/>
              <w:rPr>
                <w:rFonts w:ascii="Times New Roman" w:hAnsi="Times New Roman" w:cs="Times New Roman"/>
              </w:rPr>
            </w:pPr>
            <w:r w:rsidRPr="002154B4">
              <w:rPr>
                <w:rFonts w:ascii="Times New Roman" w:hAnsi="Times New Roman" w:cs="Times New Roman"/>
                <w:color w:val="auto"/>
              </w:rPr>
              <w:t>Ministru kabineta 2006.</w:t>
            </w:r>
            <w:r w:rsidR="00466550" w:rsidRPr="002154B4">
              <w:rPr>
                <w:rFonts w:ascii="Times New Roman" w:hAnsi="Times New Roman" w:cs="Times New Roman"/>
                <w:color w:val="auto"/>
              </w:rPr>
              <w:t> </w:t>
            </w:r>
            <w:r w:rsidRPr="002154B4">
              <w:rPr>
                <w:rFonts w:ascii="Times New Roman" w:hAnsi="Times New Roman" w:cs="Times New Roman"/>
                <w:color w:val="auto"/>
              </w:rPr>
              <w:t>gada 17.</w:t>
            </w:r>
            <w:r w:rsidR="00466550" w:rsidRPr="002154B4">
              <w:rPr>
                <w:rFonts w:ascii="Times New Roman" w:hAnsi="Times New Roman" w:cs="Times New Roman"/>
                <w:color w:val="auto"/>
              </w:rPr>
              <w:t> </w:t>
            </w:r>
            <w:r w:rsidRPr="002154B4">
              <w:rPr>
                <w:rFonts w:ascii="Times New Roman" w:hAnsi="Times New Roman" w:cs="Times New Roman"/>
                <w:color w:val="auto"/>
              </w:rPr>
              <w:t>janvāra noteikumu Nr.</w:t>
            </w:r>
            <w:r w:rsidR="00466550" w:rsidRPr="002154B4">
              <w:rPr>
                <w:rFonts w:ascii="Times New Roman" w:hAnsi="Times New Roman" w:cs="Times New Roman"/>
                <w:color w:val="auto"/>
              </w:rPr>
              <w:t> </w:t>
            </w:r>
            <w:r w:rsidRPr="002154B4">
              <w:rPr>
                <w:rFonts w:ascii="Times New Roman" w:hAnsi="Times New Roman" w:cs="Times New Roman"/>
                <w:color w:val="auto"/>
              </w:rPr>
              <w:t>57 „</w:t>
            </w:r>
            <w:hyperlink r:id="rId10" w:tgtFrame="_blank" w:history="1">
              <w:r w:rsidRPr="002154B4">
                <w:rPr>
                  <w:rStyle w:val="Hyperlink"/>
                  <w:rFonts w:ascii="Times New Roman" w:hAnsi="Times New Roman" w:cs="Times New Roman"/>
                  <w:color w:val="auto"/>
                  <w:u w:val="none"/>
                </w:rPr>
                <w:t>Noteikumi par zāļu marķēšanas kārtību un zāļu lietošanas instrukcijai izvirzāmajām prasībām</w:t>
              </w:r>
            </w:hyperlink>
            <w:r w:rsidRPr="002154B4">
              <w:rPr>
                <w:rFonts w:ascii="Times New Roman" w:hAnsi="Times New Roman" w:cs="Times New Roman"/>
                <w:color w:val="auto"/>
              </w:rPr>
              <w:t>” (turpmāk</w:t>
            </w:r>
            <w:r w:rsidR="00466550" w:rsidRPr="002154B4">
              <w:rPr>
                <w:rFonts w:ascii="Times New Roman" w:hAnsi="Times New Roman" w:cs="Times New Roman"/>
                <w:color w:val="auto"/>
              </w:rPr>
              <w:t> </w:t>
            </w:r>
            <w:r w:rsidR="00F9663A" w:rsidRPr="002154B4">
              <w:rPr>
                <w:rFonts w:ascii="Times New Roman" w:hAnsi="Times New Roman" w:cs="Times New Roman"/>
                <w:color w:val="auto"/>
              </w:rPr>
              <w:t>-</w:t>
            </w:r>
            <w:r w:rsidR="00466550" w:rsidRPr="002154B4">
              <w:rPr>
                <w:rFonts w:ascii="Times New Roman" w:hAnsi="Times New Roman" w:cs="Times New Roman"/>
                <w:color w:val="auto"/>
              </w:rPr>
              <w:t> </w:t>
            </w:r>
            <w:r w:rsidRPr="002154B4">
              <w:rPr>
                <w:rFonts w:ascii="Times New Roman" w:hAnsi="Times New Roman" w:cs="Times New Roman"/>
                <w:color w:val="auto"/>
              </w:rPr>
              <w:t>MK noteikumi Nr.</w:t>
            </w:r>
            <w:r w:rsidR="00466550" w:rsidRPr="002154B4">
              <w:rPr>
                <w:rFonts w:ascii="Times New Roman" w:hAnsi="Times New Roman" w:cs="Times New Roman"/>
                <w:color w:val="auto"/>
              </w:rPr>
              <w:t> </w:t>
            </w:r>
            <w:r w:rsidRPr="002154B4">
              <w:rPr>
                <w:rFonts w:ascii="Times New Roman" w:hAnsi="Times New Roman" w:cs="Times New Roman"/>
                <w:color w:val="auto"/>
              </w:rPr>
              <w:t xml:space="preserve">57) </w:t>
            </w:r>
            <w:r w:rsidR="00FA30FE" w:rsidRPr="002154B4">
              <w:rPr>
                <w:rFonts w:ascii="Times New Roman" w:hAnsi="Times New Roman" w:cs="Times New Roman"/>
              </w:rPr>
              <w:t>9.</w:t>
            </w:r>
            <w:r w:rsidR="00F9663A" w:rsidRPr="002154B4">
              <w:rPr>
                <w:rFonts w:ascii="Times New Roman" w:hAnsi="Times New Roman" w:cs="Times New Roman"/>
                <w:vertAlign w:val="superscript"/>
              </w:rPr>
              <w:t>1</w:t>
            </w:r>
            <w:r w:rsidR="00F9663A" w:rsidRPr="002154B4">
              <w:rPr>
                <w:rFonts w:ascii="Times New Roman" w:hAnsi="Times New Roman" w:cs="Times New Roman"/>
              </w:rPr>
              <w:t> </w:t>
            </w:r>
            <w:r w:rsidR="00FA30FE" w:rsidRPr="002154B4">
              <w:rPr>
                <w:rFonts w:ascii="Times New Roman" w:hAnsi="Times New Roman" w:cs="Times New Roman"/>
              </w:rPr>
              <w:t>punkts nosaka, ka zālēm, kuras izplata stacionārām ārstniecības iestādēm, katru sekundāro iepakojumu papildus marķē (spiedogs vai cits marķējums) ar norādi valsts valodā „Iepakojums slimnīcām</w:t>
            </w:r>
            <w:r w:rsidR="007E1E58" w:rsidRPr="002154B4">
              <w:rPr>
                <w:rFonts w:ascii="Times New Roman" w:hAnsi="Times New Roman" w:cs="Times New Roman"/>
              </w:rPr>
              <w:t>”</w:t>
            </w:r>
            <w:r w:rsidR="00094149" w:rsidRPr="002154B4">
              <w:rPr>
                <w:rFonts w:ascii="Times New Roman" w:hAnsi="Times New Roman" w:cs="Times New Roman"/>
              </w:rPr>
              <w:t>,</w:t>
            </w:r>
            <w:r w:rsidR="00FA30FE" w:rsidRPr="002154B4">
              <w:rPr>
                <w:rFonts w:ascii="Times New Roman" w:hAnsi="Times New Roman" w:cs="Times New Roman"/>
              </w:rPr>
              <w:t xml:space="preserve"> un pirms zāļu izplatīšanas t</w:t>
            </w:r>
            <w:r w:rsidR="007E1E58" w:rsidRPr="002154B4">
              <w:rPr>
                <w:rFonts w:ascii="Times New Roman" w:hAnsi="Times New Roman" w:cs="Times New Roman"/>
              </w:rPr>
              <w:t>o</w:t>
            </w:r>
            <w:r w:rsidR="00FA30FE" w:rsidRPr="002154B4">
              <w:rPr>
                <w:rFonts w:ascii="Times New Roman" w:hAnsi="Times New Roman" w:cs="Times New Roman"/>
              </w:rPr>
              <w:t xml:space="preserve"> jānodrošina zāļu lieltirgotavai vai aptiekai, kas piegādā zāles stacionārai ārstniecības iestādei.</w:t>
            </w:r>
            <w:r w:rsidR="00AE682E" w:rsidRPr="002154B4">
              <w:rPr>
                <w:rFonts w:ascii="Times New Roman" w:hAnsi="Times New Roman" w:cs="Times New Roman"/>
              </w:rPr>
              <w:t xml:space="preserve"> Normas tiesiskā regulējuma mērķis bija izvairīties no stacionārām ārstniecības iestādēm piegādāto zāļu nokļūšanas nelegālajā apritē</w:t>
            </w:r>
            <w:r w:rsidR="00D170B7" w:rsidRPr="002154B4">
              <w:rPr>
                <w:rFonts w:ascii="Times New Roman" w:hAnsi="Times New Roman" w:cs="Times New Roman"/>
              </w:rPr>
              <w:t>, kā arī</w:t>
            </w:r>
            <w:r w:rsidR="00AE682E" w:rsidRPr="002154B4">
              <w:rPr>
                <w:rFonts w:ascii="Times New Roman" w:hAnsi="Times New Roman" w:cs="Times New Roman"/>
              </w:rPr>
              <w:t xml:space="preserve"> stiprināt zāļu aprites uzraudzību</w:t>
            </w:r>
            <w:r w:rsidR="00D170B7" w:rsidRPr="002154B4">
              <w:rPr>
                <w:rFonts w:ascii="Times New Roman" w:hAnsi="Times New Roman" w:cs="Times New Roman"/>
              </w:rPr>
              <w:t xml:space="preserve"> ārstniecības iestādēs.</w:t>
            </w:r>
          </w:p>
          <w:p w:rsidR="00B35055" w:rsidRPr="002154B4" w:rsidRDefault="0019479C" w:rsidP="007B420D">
            <w:pPr>
              <w:pStyle w:val="Default"/>
              <w:jc w:val="both"/>
              <w:rPr>
                <w:rFonts w:ascii="Times New Roman" w:hAnsi="Times New Roman" w:cs="Times New Roman"/>
              </w:rPr>
            </w:pPr>
            <w:r w:rsidRPr="002154B4">
              <w:rPr>
                <w:rFonts w:ascii="Times New Roman" w:hAnsi="Times New Roman" w:cs="Times New Roman"/>
              </w:rPr>
              <w:t>Minētā norma tika pieņemta ar Ministru kabineta 2016.</w:t>
            </w:r>
            <w:r w:rsidR="00466550" w:rsidRPr="002154B4">
              <w:rPr>
                <w:rFonts w:ascii="Times New Roman" w:hAnsi="Times New Roman" w:cs="Times New Roman"/>
              </w:rPr>
              <w:t> </w:t>
            </w:r>
            <w:r w:rsidRPr="002154B4">
              <w:rPr>
                <w:rFonts w:ascii="Times New Roman" w:hAnsi="Times New Roman" w:cs="Times New Roman"/>
              </w:rPr>
              <w:t>gada 2.</w:t>
            </w:r>
            <w:r w:rsidR="00466550" w:rsidRPr="002154B4">
              <w:rPr>
                <w:rFonts w:ascii="Times New Roman" w:hAnsi="Times New Roman" w:cs="Times New Roman"/>
              </w:rPr>
              <w:t> </w:t>
            </w:r>
            <w:r w:rsidRPr="002154B4">
              <w:rPr>
                <w:rFonts w:ascii="Times New Roman" w:hAnsi="Times New Roman" w:cs="Times New Roman"/>
              </w:rPr>
              <w:t>februāra noteikumiem Nr.</w:t>
            </w:r>
            <w:r w:rsidR="00466550" w:rsidRPr="002154B4">
              <w:rPr>
                <w:rFonts w:ascii="Times New Roman" w:hAnsi="Times New Roman" w:cs="Times New Roman"/>
              </w:rPr>
              <w:t> </w:t>
            </w:r>
            <w:r w:rsidRPr="002154B4">
              <w:rPr>
                <w:rFonts w:ascii="Times New Roman" w:hAnsi="Times New Roman" w:cs="Times New Roman"/>
              </w:rPr>
              <w:t>83 „Grozījumi Ministru kabineta 2006.gada 17.</w:t>
            </w:r>
            <w:r w:rsidR="00466550" w:rsidRPr="002154B4">
              <w:rPr>
                <w:rFonts w:ascii="Times New Roman" w:hAnsi="Times New Roman" w:cs="Times New Roman"/>
              </w:rPr>
              <w:t> </w:t>
            </w:r>
            <w:r w:rsidRPr="002154B4">
              <w:rPr>
                <w:rFonts w:ascii="Times New Roman" w:hAnsi="Times New Roman" w:cs="Times New Roman"/>
              </w:rPr>
              <w:t>janvāra noteikumos Nr.</w:t>
            </w:r>
            <w:r w:rsidR="00466550" w:rsidRPr="002154B4">
              <w:rPr>
                <w:rFonts w:ascii="Times New Roman" w:hAnsi="Times New Roman" w:cs="Times New Roman"/>
              </w:rPr>
              <w:t> </w:t>
            </w:r>
            <w:r w:rsidRPr="002154B4">
              <w:rPr>
                <w:rFonts w:ascii="Times New Roman" w:hAnsi="Times New Roman" w:cs="Times New Roman"/>
              </w:rPr>
              <w:t>57 „</w:t>
            </w:r>
            <w:hyperlink r:id="rId11" w:tgtFrame="_blank" w:history="1">
              <w:r w:rsidRPr="002154B4">
                <w:rPr>
                  <w:rStyle w:val="Hyperlink"/>
                  <w:rFonts w:ascii="Times New Roman" w:hAnsi="Times New Roman" w:cs="Times New Roman"/>
                  <w:color w:val="auto"/>
                  <w:u w:val="none"/>
                </w:rPr>
                <w:t>Noteikumi par zāļu marķēšanas kārtību un zāļu lietošanas instrukcijai izvirzāmajām prasībām</w:t>
              </w:r>
            </w:hyperlink>
            <w:r w:rsidRPr="002154B4">
              <w:rPr>
                <w:rFonts w:ascii="Times New Roman" w:hAnsi="Times New Roman" w:cs="Times New Roman"/>
              </w:rPr>
              <w:t xml:space="preserve">”” (spēkā ar 01.06.2016). </w:t>
            </w:r>
            <w:r w:rsidR="00983989" w:rsidRPr="002154B4">
              <w:rPr>
                <w:rFonts w:ascii="Times New Roman" w:hAnsi="Times New Roman" w:cs="Times New Roman"/>
              </w:rPr>
              <w:t>N</w:t>
            </w:r>
            <w:r w:rsidR="004D6641" w:rsidRPr="002154B4">
              <w:rPr>
                <w:rFonts w:ascii="Times New Roman" w:hAnsi="Times New Roman" w:cs="Times New Roman"/>
              </w:rPr>
              <w:t xml:space="preserve">ormatīvā akta </w:t>
            </w:r>
            <w:r w:rsidR="00160BD7" w:rsidRPr="002154B4">
              <w:rPr>
                <w:rFonts w:ascii="Times New Roman" w:hAnsi="Times New Roman" w:cs="Times New Roman"/>
              </w:rPr>
              <w:t>izstrādes gaitā</w:t>
            </w:r>
            <w:r w:rsidR="00983989" w:rsidRPr="002154B4">
              <w:rPr>
                <w:rFonts w:ascii="Times New Roman" w:hAnsi="Times New Roman" w:cs="Times New Roman"/>
              </w:rPr>
              <w:t xml:space="preserve"> notika sabiedriskā apspriede (</w:t>
            </w:r>
            <w:r w:rsidR="007E5EC4" w:rsidRPr="002154B4">
              <w:rPr>
                <w:rFonts w:ascii="Times New Roman" w:hAnsi="Times New Roman" w:cs="Times New Roman"/>
              </w:rPr>
              <w:t xml:space="preserve">27.03.2015.), un </w:t>
            </w:r>
            <w:r w:rsidR="00983989" w:rsidRPr="002154B4">
              <w:rPr>
                <w:rFonts w:ascii="Times New Roman" w:hAnsi="Times New Roman" w:cs="Times New Roman"/>
              </w:rPr>
              <w:t>par 9.</w:t>
            </w:r>
            <w:r w:rsidR="00F9663A" w:rsidRPr="002154B4">
              <w:rPr>
                <w:rFonts w:ascii="Times New Roman" w:hAnsi="Times New Roman" w:cs="Times New Roman"/>
                <w:vertAlign w:val="superscript"/>
              </w:rPr>
              <w:t>1 </w:t>
            </w:r>
            <w:r w:rsidR="00983989" w:rsidRPr="002154B4">
              <w:rPr>
                <w:rFonts w:ascii="Times New Roman" w:hAnsi="Times New Roman" w:cs="Times New Roman"/>
              </w:rPr>
              <w:t>punktā iekļauto regulējumu</w:t>
            </w:r>
            <w:r w:rsidR="007E5EC4" w:rsidRPr="002154B4">
              <w:rPr>
                <w:rFonts w:ascii="Times New Roman" w:hAnsi="Times New Roman" w:cs="Times New Roman"/>
              </w:rPr>
              <w:t xml:space="preserve"> būtiski iebildumi netika saņemti, kā arī ne</w:t>
            </w:r>
            <w:r w:rsidR="000550B0" w:rsidRPr="002154B4">
              <w:rPr>
                <w:rFonts w:ascii="Times New Roman" w:hAnsi="Times New Roman" w:cs="Times New Roman"/>
              </w:rPr>
              <w:t xml:space="preserve">tika pausts viedoklis, </w:t>
            </w:r>
            <w:r w:rsidR="007E5EC4" w:rsidRPr="002154B4">
              <w:rPr>
                <w:rFonts w:ascii="Times New Roman" w:hAnsi="Times New Roman" w:cs="Times New Roman"/>
              </w:rPr>
              <w:t xml:space="preserve">ka </w:t>
            </w:r>
            <w:r w:rsidR="00983989" w:rsidRPr="002154B4">
              <w:rPr>
                <w:rFonts w:ascii="Times New Roman" w:hAnsi="Times New Roman" w:cs="Times New Roman"/>
              </w:rPr>
              <w:t>šāda papildus marķējuma norād</w:t>
            </w:r>
            <w:r w:rsidR="007E5EC4" w:rsidRPr="002154B4">
              <w:rPr>
                <w:rFonts w:ascii="Times New Roman" w:hAnsi="Times New Roman" w:cs="Times New Roman"/>
              </w:rPr>
              <w:t>e</w:t>
            </w:r>
            <w:r w:rsidR="00983989" w:rsidRPr="002154B4">
              <w:rPr>
                <w:rFonts w:ascii="Times New Roman" w:hAnsi="Times New Roman" w:cs="Times New Roman"/>
              </w:rPr>
              <w:t xml:space="preserve"> uz zāļu sekundārajiem iepakojumiem</w:t>
            </w:r>
            <w:r w:rsidR="007E5EC4" w:rsidRPr="002154B4">
              <w:rPr>
                <w:rFonts w:ascii="Times New Roman" w:hAnsi="Times New Roman" w:cs="Times New Roman"/>
              </w:rPr>
              <w:t xml:space="preserve"> </w:t>
            </w:r>
            <w:r w:rsidR="00983989" w:rsidRPr="002154B4">
              <w:rPr>
                <w:rFonts w:ascii="Times New Roman" w:hAnsi="Times New Roman" w:cs="Times New Roman"/>
              </w:rPr>
              <w:t xml:space="preserve">varētu </w:t>
            </w:r>
            <w:r w:rsidR="000550B0" w:rsidRPr="002154B4">
              <w:rPr>
                <w:rFonts w:ascii="Times New Roman" w:hAnsi="Times New Roman" w:cs="Times New Roman"/>
              </w:rPr>
              <w:t xml:space="preserve">būtiski </w:t>
            </w:r>
            <w:r w:rsidR="00983989" w:rsidRPr="002154B4">
              <w:rPr>
                <w:rFonts w:ascii="Times New Roman" w:hAnsi="Times New Roman" w:cs="Times New Roman"/>
              </w:rPr>
              <w:t xml:space="preserve">ietekmēt </w:t>
            </w:r>
            <w:r w:rsidR="007E5EC4" w:rsidRPr="002154B4">
              <w:rPr>
                <w:rFonts w:ascii="Times New Roman" w:hAnsi="Times New Roman" w:cs="Times New Roman"/>
              </w:rPr>
              <w:t xml:space="preserve">zāļu vairumtirgotāju administratīvo izmaksu pieaugumu, kas </w:t>
            </w:r>
            <w:r w:rsidR="000550B0" w:rsidRPr="002154B4">
              <w:rPr>
                <w:rFonts w:ascii="Times New Roman" w:hAnsi="Times New Roman" w:cs="Times New Roman"/>
              </w:rPr>
              <w:t xml:space="preserve">gada laikā </w:t>
            </w:r>
            <w:r w:rsidR="007E5EC4" w:rsidRPr="002154B4">
              <w:rPr>
                <w:rFonts w:ascii="Times New Roman" w:hAnsi="Times New Roman" w:cs="Times New Roman"/>
              </w:rPr>
              <w:t>pārsniegtu</w:t>
            </w:r>
            <w:r w:rsidR="000550B0" w:rsidRPr="002154B4">
              <w:rPr>
                <w:rFonts w:ascii="Times New Roman" w:hAnsi="Times New Roman" w:cs="Times New Roman"/>
              </w:rPr>
              <w:t xml:space="preserve"> Ministru kabineta 2009.</w:t>
            </w:r>
            <w:r w:rsidR="00466550" w:rsidRPr="002154B4">
              <w:rPr>
                <w:rFonts w:ascii="Times New Roman" w:hAnsi="Times New Roman" w:cs="Times New Roman"/>
              </w:rPr>
              <w:t> </w:t>
            </w:r>
            <w:r w:rsidR="000550B0" w:rsidRPr="002154B4">
              <w:rPr>
                <w:rFonts w:ascii="Times New Roman" w:hAnsi="Times New Roman" w:cs="Times New Roman"/>
              </w:rPr>
              <w:t>gada 15.</w:t>
            </w:r>
            <w:r w:rsidR="00466550" w:rsidRPr="002154B4">
              <w:rPr>
                <w:rFonts w:ascii="Times New Roman" w:hAnsi="Times New Roman" w:cs="Times New Roman"/>
              </w:rPr>
              <w:t> </w:t>
            </w:r>
            <w:r w:rsidR="000550B0" w:rsidRPr="002154B4">
              <w:rPr>
                <w:rFonts w:ascii="Times New Roman" w:hAnsi="Times New Roman" w:cs="Times New Roman"/>
              </w:rPr>
              <w:t>decembra instrukcijas Nr.</w:t>
            </w:r>
            <w:r w:rsidR="00466550" w:rsidRPr="002154B4">
              <w:rPr>
                <w:rFonts w:ascii="Times New Roman" w:hAnsi="Times New Roman" w:cs="Times New Roman"/>
              </w:rPr>
              <w:t> </w:t>
            </w:r>
            <w:r w:rsidR="000550B0" w:rsidRPr="002154B4">
              <w:rPr>
                <w:rFonts w:ascii="Times New Roman" w:hAnsi="Times New Roman" w:cs="Times New Roman"/>
              </w:rPr>
              <w:t>19 „Tiesību aktu projekta sākotnējās ietekmes izvērtēšanas kārtība”</w:t>
            </w:r>
            <w:r w:rsidR="00160BD7" w:rsidRPr="002154B4">
              <w:rPr>
                <w:rFonts w:ascii="Times New Roman" w:hAnsi="Times New Roman" w:cs="Times New Roman"/>
              </w:rPr>
              <w:t xml:space="preserve"> </w:t>
            </w:r>
            <w:r w:rsidR="000550B0" w:rsidRPr="002154B4">
              <w:rPr>
                <w:rFonts w:ascii="Times New Roman" w:hAnsi="Times New Roman" w:cs="Times New Roman"/>
              </w:rPr>
              <w:lastRenderedPageBreak/>
              <w:t>25.</w:t>
            </w:r>
            <w:r w:rsidR="00466550" w:rsidRPr="002154B4">
              <w:rPr>
                <w:rFonts w:ascii="Times New Roman" w:hAnsi="Times New Roman" w:cs="Times New Roman"/>
              </w:rPr>
              <w:t> </w:t>
            </w:r>
            <w:r w:rsidR="000550B0" w:rsidRPr="002154B4">
              <w:rPr>
                <w:rFonts w:ascii="Times New Roman" w:hAnsi="Times New Roman" w:cs="Times New Roman"/>
              </w:rPr>
              <w:t xml:space="preserve">punktā norādīto summu, un noteikumu projekts </w:t>
            </w:r>
            <w:r w:rsidR="004D6641" w:rsidRPr="002154B4">
              <w:rPr>
                <w:rFonts w:ascii="Times New Roman" w:hAnsi="Times New Roman" w:cs="Times New Roman"/>
              </w:rPr>
              <w:t xml:space="preserve">tika saskaņots ar </w:t>
            </w:r>
            <w:r w:rsidR="000550B0" w:rsidRPr="002154B4">
              <w:rPr>
                <w:rFonts w:ascii="Times New Roman" w:hAnsi="Times New Roman" w:cs="Times New Roman"/>
              </w:rPr>
              <w:t xml:space="preserve">farmācijas </w:t>
            </w:r>
            <w:r w:rsidR="004D6641" w:rsidRPr="002154B4">
              <w:rPr>
                <w:rFonts w:ascii="Times New Roman" w:hAnsi="Times New Roman" w:cs="Times New Roman"/>
              </w:rPr>
              <w:t>nozares nevalstiskajām organizācijām.</w:t>
            </w:r>
          </w:p>
          <w:p w:rsidR="00160BD7" w:rsidRPr="002154B4" w:rsidRDefault="00BC27BC" w:rsidP="0099128F">
            <w:pPr>
              <w:spacing w:before="100" w:beforeAutospacing="1" w:after="100" w:afterAutospacing="1"/>
              <w:jc w:val="both"/>
              <w:outlineLvl w:val="0"/>
              <w:rPr>
                <w:rFonts w:cs="Times New Roman"/>
                <w:szCs w:val="24"/>
                <w:u w:val="single"/>
              </w:rPr>
            </w:pPr>
            <w:r w:rsidRPr="002154B4">
              <w:rPr>
                <w:rFonts w:cs="Times New Roman"/>
                <w:szCs w:val="24"/>
              </w:rPr>
              <w:t xml:space="preserve">Tomēr </w:t>
            </w:r>
            <w:r w:rsidR="0099128F" w:rsidRPr="002154B4">
              <w:rPr>
                <w:rFonts w:cs="Times New Roman"/>
              </w:rPr>
              <w:t>9.</w:t>
            </w:r>
            <w:r w:rsidR="00F9663A" w:rsidRPr="002154B4">
              <w:rPr>
                <w:rFonts w:cs="Times New Roman"/>
                <w:vertAlign w:val="superscript"/>
              </w:rPr>
              <w:t>1 </w:t>
            </w:r>
            <w:r w:rsidR="0099128F" w:rsidRPr="002154B4">
              <w:rPr>
                <w:rFonts w:cs="Times New Roman"/>
              </w:rPr>
              <w:t xml:space="preserve">punktā </w:t>
            </w:r>
            <w:r w:rsidR="0099128F" w:rsidRPr="002154B4">
              <w:rPr>
                <w:rFonts w:cs="Times New Roman"/>
                <w:szCs w:val="24"/>
              </w:rPr>
              <w:t xml:space="preserve">iekļautās </w:t>
            </w:r>
            <w:r w:rsidR="00CA5511" w:rsidRPr="002154B4">
              <w:rPr>
                <w:rFonts w:cs="Times New Roman"/>
                <w:szCs w:val="24"/>
              </w:rPr>
              <w:t xml:space="preserve">normas </w:t>
            </w:r>
            <w:r w:rsidR="0099128F" w:rsidRPr="002154B4">
              <w:rPr>
                <w:rFonts w:cs="Times New Roman"/>
                <w:szCs w:val="24"/>
              </w:rPr>
              <w:t>ieviešanas</w:t>
            </w:r>
            <w:r w:rsidRPr="002154B4">
              <w:rPr>
                <w:rFonts w:cs="Times New Roman"/>
                <w:szCs w:val="24"/>
              </w:rPr>
              <w:t xml:space="preserve"> </w:t>
            </w:r>
            <w:r w:rsidR="0099128F" w:rsidRPr="002154B4">
              <w:rPr>
                <w:rFonts w:cs="Times New Roman"/>
                <w:szCs w:val="24"/>
              </w:rPr>
              <w:t xml:space="preserve">gaitā </w:t>
            </w:r>
            <w:r w:rsidR="00160BD7" w:rsidRPr="002154B4">
              <w:rPr>
                <w:rFonts w:cs="Times New Roman"/>
                <w:szCs w:val="24"/>
              </w:rPr>
              <w:t>Latvijas Zāļu lieltirgotāju asociācija (</w:t>
            </w:r>
            <w:r w:rsidR="00C560FE" w:rsidRPr="002154B4">
              <w:rPr>
                <w:rFonts w:cs="Times New Roman"/>
                <w:szCs w:val="24"/>
              </w:rPr>
              <w:t>L</w:t>
            </w:r>
            <w:r w:rsidR="00160BD7" w:rsidRPr="002154B4">
              <w:rPr>
                <w:rFonts w:cs="Times New Roman"/>
                <w:szCs w:val="24"/>
              </w:rPr>
              <w:t xml:space="preserve">ZLA) </w:t>
            </w:r>
            <w:r w:rsidR="0099128F" w:rsidRPr="002154B4">
              <w:rPr>
                <w:rFonts w:cs="Times New Roman"/>
                <w:szCs w:val="24"/>
              </w:rPr>
              <w:t>vērsa uzmanību uz vairākām problēmām</w:t>
            </w:r>
            <w:r w:rsidR="00ED3CAA" w:rsidRPr="002154B4">
              <w:rPr>
                <w:rFonts w:cs="Times New Roman"/>
                <w:szCs w:val="24"/>
              </w:rPr>
              <w:t xml:space="preserve">, kas </w:t>
            </w:r>
            <w:r w:rsidR="0099128F" w:rsidRPr="002154B4">
              <w:rPr>
                <w:rFonts w:cs="Times New Roman"/>
                <w:szCs w:val="24"/>
              </w:rPr>
              <w:t>radīsies šīs normas piemērošanā (</w:t>
            </w:r>
            <w:r w:rsidR="00B074AC" w:rsidRPr="002154B4">
              <w:rPr>
                <w:rFonts w:cs="Times New Roman"/>
                <w:szCs w:val="24"/>
              </w:rPr>
              <w:t xml:space="preserve">argumentācija </w:t>
            </w:r>
            <w:r w:rsidR="0099128F" w:rsidRPr="002154B4">
              <w:rPr>
                <w:rFonts w:cs="Times New Roman"/>
                <w:szCs w:val="24"/>
              </w:rPr>
              <w:t>zāļu cenu palielināšan</w:t>
            </w:r>
            <w:r w:rsidR="00B074AC" w:rsidRPr="002154B4">
              <w:rPr>
                <w:rFonts w:cs="Times New Roman"/>
                <w:szCs w:val="24"/>
              </w:rPr>
              <w:t>ai</w:t>
            </w:r>
            <w:r w:rsidR="0099128F" w:rsidRPr="002154B4">
              <w:rPr>
                <w:rFonts w:cs="Times New Roman"/>
                <w:szCs w:val="24"/>
              </w:rPr>
              <w:t xml:space="preserve">, </w:t>
            </w:r>
            <w:r w:rsidR="00B074AC" w:rsidRPr="002154B4">
              <w:rPr>
                <w:rFonts w:cs="Times New Roman"/>
                <w:szCs w:val="24"/>
              </w:rPr>
              <w:t xml:space="preserve">iespējami </w:t>
            </w:r>
            <w:r w:rsidR="0099128F" w:rsidRPr="002154B4">
              <w:rPr>
                <w:rFonts w:cs="Times New Roman"/>
                <w:szCs w:val="24"/>
              </w:rPr>
              <w:t xml:space="preserve">zāļu piegādes kavējumi slimnīcām vai līgumu neizpilde, </w:t>
            </w:r>
            <w:r w:rsidR="00B074AC" w:rsidRPr="002154B4">
              <w:rPr>
                <w:rFonts w:cs="Times New Roman"/>
                <w:szCs w:val="24"/>
              </w:rPr>
              <w:t>apgrūtināta</w:t>
            </w:r>
            <w:r w:rsidR="0099128F" w:rsidRPr="002154B4">
              <w:rPr>
                <w:rFonts w:cs="Times New Roman"/>
                <w:szCs w:val="24"/>
              </w:rPr>
              <w:t xml:space="preserve"> </w:t>
            </w:r>
            <w:r w:rsidR="00B074AC" w:rsidRPr="002154B4">
              <w:rPr>
                <w:rFonts w:cs="Times New Roman"/>
                <w:szCs w:val="24"/>
              </w:rPr>
              <w:t xml:space="preserve">zāļu iepirkumu procedūra u.c.). </w:t>
            </w:r>
            <w:r w:rsidR="00160BD7" w:rsidRPr="002154B4">
              <w:rPr>
                <w:rFonts w:cs="Times New Roman"/>
                <w:szCs w:val="24"/>
              </w:rPr>
              <w:t xml:space="preserve">Kā skaidro </w:t>
            </w:r>
            <w:r w:rsidR="00C560FE" w:rsidRPr="002154B4">
              <w:rPr>
                <w:rFonts w:cs="Times New Roman"/>
                <w:szCs w:val="24"/>
              </w:rPr>
              <w:t>L</w:t>
            </w:r>
            <w:r w:rsidR="00160BD7" w:rsidRPr="002154B4">
              <w:rPr>
                <w:rFonts w:cs="Times New Roman"/>
                <w:szCs w:val="24"/>
              </w:rPr>
              <w:t>ZLA</w:t>
            </w:r>
            <w:r w:rsidR="002611A8" w:rsidRPr="002154B4">
              <w:rPr>
                <w:rFonts w:cs="Times New Roman"/>
                <w:szCs w:val="24"/>
              </w:rPr>
              <w:t xml:space="preserve"> (16.05.2016. vēstule Nr. 1605/2016)</w:t>
            </w:r>
            <w:r w:rsidR="00160BD7" w:rsidRPr="002154B4">
              <w:rPr>
                <w:rFonts w:cs="Times New Roman"/>
                <w:szCs w:val="24"/>
              </w:rPr>
              <w:t>, z</w:t>
            </w:r>
            <w:r w:rsidR="009B0BB5" w:rsidRPr="002154B4">
              <w:rPr>
                <w:rFonts w:cs="Times New Roman"/>
                <w:szCs w:val="24"/>
              </w:rPr>
              <w:t xml:space="preserve">āļu sadārdzinājums ir saistīts ar zāļu lieltirgotavu pieaugošajām izmaksām </w:t>
            </w:r>
            <w:r w:rsidR="0067391F" w:rsidRPr="002154B4">
              <w:rPr>
                <w:rFonts w:cs="Times New Roman"/>
                <w:szCs w:val="24"/>
              </w:rPr>
              <w:t xml:space="preserve">speciālas </w:t>
            </w:r>
            <w:r w:rsidR="009B0BB5" w:rsidRPr="002154B4">
              <w:rPr>
                <w:rFonts w:cs="Times New Roman"/>
                <w:szCs w:val="24"/>
              </w:rPr>
              <w:t xml:space="preserve">marķēšanas tehnikas </w:t>
            </w:r>
            <w:r w:rsidR="0067391F" w:rsidRPr="002154B4">
              <w:rPr>
                <w:rFonts w:cs="Times New Roman"/>
                <w:szCs w:val="24"/>
              </w:rPr>
              <w:t xml:space="preserve">un marķēšanas izejmateriālu </w:t>
            </w:r>
            <w:r w:rsidR="009B0BB5" w:rsidRPr="002154B4">
              <w:rPr>
                <w:rFonts w:cs="Times New Roman"/>
                <w:szCs w:val="24"/>
              </w:rPr>
              <w:t>iegādei</w:t>
            </w:r>
            <w:r w:rsidR="006E1008" w:rsidRPr="002154B4">
              <w:rPr>
                <w:rFonts w:cs="Times New Roman"/>
                <w:szCs w:val="24"/>
              </w:rPr>
              <w:t xml:space="preserve"> un papildus personāla algām</w:t>
            </w:r>
            <w:r w:rsidR="0067391F" w:rsidRPr="002154B4">
              <w:rPr>
                <w:rFonts w:cs="Times New Roman"/>
              </w:rPr>
              <w:t>.</w:t>
            </w:r>
            <w:r w:rsidR="009212B5" w:rsidRPr="002154B4">
              <w:rPr>
                <w:rFonts w:cs="Times New Roman"/>
              </w:rPr>
              <w:t xml:space="preserve"> </w:t>
            </w:r>
            <w:r w:rsidR="00076FC6" w:rsidRPr="002154B4">
              <w:rPr>
                <w:rFonts w:cs="Times New Roman"/>
              </w:rPr>
              <w:t>Zāļu vairumtirgotāji norāda, ka</w:t>
            </w:r>
            <w:r w:rsidR="00327933" w:rsidRPr="002154B4">
              <w:rPr>
                <w:rFonts w:cs="Times New Roman"/>
              </w:rPr>
              <w:t>,</w:t>
            </w:r>
            <w:r w:rsidR="00076FC6" w:rsidRPr="002154B4">
              <w:rPr>
                <w:rFonts w:cs="Times New Roman"/>
              </w:rPr>
              <w:t xml:space="preserve"> lai nodrošinātu uz zāļu sekundārā iepakojuma papildus marķējumu (atbilstošā, precīzā lielumā un kvalitātē), zāļu lieltirgotavām investīcijas speciālas marķēšanas tehnikas iegādei varētu būt ap EUR 20 000,00, kā arī papildus būs nepieciešams 1 (viens) pilnas slodzes darbinieks, kas apkalpos minēto tehniku un veiks marķēšanu, kas izmaksās aptuveni EUR 15 000,00 (gadā). Kopā izmaksas varētu būt ap EUR 35 000,00. Ja marķēšanas tehnikas vietā izmantotu speciālu pasūtītu spiedogu, taču šāda tipa marķēšana būs apgrūtināta uz maza izmēra iepakojumiem, uz iepakojumiem, kur ir maz brīvas vietas, kā arī uz neregulāriem un mīkstas virsmas iepakojumiem, kā </w:t>
            </w:r>
            <w:r w:rsidR="00076FC6" w:rsidRPr="002154B4">
              <w:rPr>
                <w:rFonts w:cs="Times New Roman"/>
                <w:szCs w:val="24"/>
              </w:rPr>
              <w:t>rezultātā marķējums var būt nesalasāms vai salasāms daļēji. Lai visam lielajam zāļu apjomam nodrošinātu nepieciešamo marķējumu, šādā variantā būs jānodarbina 2 (divi) pilna laika darbinieki, kas savukārt izmaksās aptuveni no EUR 25 000,00 līdz EUR 30 000,00 gadā. Līdz ar to, atkarībā no izvēlētā marķēšanas veida, marķēšanas izmaksas uz vienu zāļu iepakojumu varētu būt no EUR 0,04 līdz EUR 0,06, kas sadārdzinās zāļu cenu proporcionāli marķēšanas izmaksām.</w:t>
            </w:r>
            <w:r w:rsidR="009212B5" w:rsidRPr="002154B4">
              <w:rPr>
                <w:rFonts w:cs="Times New Roman"/>
                <w:szCs w:val="24"/>
              </w:rPr>
              <w:t xml:space="preserve"> </w:t>
            </w:r>
            <w:r w:rsidR="009A720B" w:rsidRPr="002154B4">
              <w:rPr>
                <w:rFonts w:cs="Times New Roman"/>
                <w:szCs w:val="24"/>
              </w:rPr>
              <w:t xml:space="preserve">Savukārt </w:t>
            </w:r>
            <w:r w:rsidR="009212B5" w:rsidRPr="002154B4">
              <w:rPr>
                <w:rFonts w:cs="Times New Roman"/>
                <w:szCs w:val="24"/>
              </w:rPr>
              <w:t>Veselības ministrija ir a</w:t>
            </w:r>
            <w:r w:rsidR="009A720B" w:rsidRPr="002154B4">
              <w:rPr>
                <w:rFonts w:cs="Times New Roman"/>
                <w:szCs w:val="24"/>
              </w:rPr>
              <w:t>i</w:t>
            </w:r>
            <w:r w:rsidR="009212B5" w:rsidRPr="002154B4">
              <w:rPr>
                <w:rFonts w:cs="Times New Roman"/>
                <w:szCs w:val="24"/>
              </w:rPr>
              <w:t xml:space="preserve">cinājusi Latvijas </w:t>
            </w:r>
            <w:r w:rsidR="009A720B" w:rsidRPr="002154B4">
              <w:rPr>
                <w:rFonts w:cs="Times New Roman"/>
                <w:szCs w:val="24"/>
              </w:rPr>
              <w:t>LZLA</w:t>
            </w:r>
            <w:r w:rsidR="009212B5" w:rsidRPr="002154B4">
              <w:rPr>
                <w:rFonts w:cs="Times New Roman"/>
                <w:szCs w:val="24"/>
              </w:rPr>
              <w:t xml:space="preserve"> kritiskāk izvērtēt prognozēto investīciju apjomu un izmaksas iepriekš minētās normas ieviešanā, lai nepamatoti</w:t>
            </w:r>
            <w:r w:rsidR="009A720B" w:rsidRPr="002154B4">
              <w:rPr>
                <w:rFonts w:cs="Times New Roman"/>
                <w:szCs w:val="24"/>
              </w:rPr>
              <w:t xml:space="preserve"> nesadārdzinātos</w:t>
            </w:r>
            <w:r w:rsidR="009212B5" w:rsidRPr="002154B4">
              <w:rPr>
                <w:rFonts w:cs="Times New Roman"/>
                <w:szCs w:val="24"/>
              </w:rPr>
              <w:t xml:space="preserve"> zāļu iepakojumus. Šajā sakarā </w:t>
            </w:r>
            <w:r w:rsidR="009A720B" w:rsidRPr="002154B4">
              <w:rPr>
                <w:rFonts w:cs="Times New Roman"/>
                <w:szCs w:val="24"/>
              </w:rPr>
              <w:t>tika atzīmēts, ka pat</w:t>
            </w:r>
            <w:r w:rsidR="009212B5" w:rsidRPr="002154B4">
              <w:rPr>
                <w:rFonts w:cs="Times New Roman"/>
                <w:szCs w:val="24"/>
              </w:rPr>
              <w:t xml:space="preserve"> saskaņā </w:t>
            </w:r>
            <w:r w:rsidR="00D430C4" w:rsidRPr="002154B4">
              <w:rPr>
                <w:rFonts w:cs="Times New Roman"/>
                <w:szCs w:val="24"/>
              </w:rPr>
              <w:t xml:space="preserve">ar </w:t>
            </w:r>
            <w:r w:rsidR="00A910EA">
              <w:rPr>
                <w:rFonts w:cs="Times New Roman"/>
                <w:szCs w:val="24"/>
              </w:rPr>
              <w:t>Eiropas Komisijas 2015. </w:t>
            </w:r>
            <w:r w:rsidR="00DC235C" w:rsidRPr="002154B4">
              <w:rPr>
                <w:rFonts w:cs="Times New Roman"/>
                <w:szCs w:val="24"/>
              </w:rPr>
              <w:t>gada 2.</w:t>
            </w:r>
            <w:r w:rsidR="00457CA1" w:rsidRPr="002154B4">
              <w:rPr>
                <w:rFonts w:cs="Times New Roman"/>
                <w:szCs w:val="24"/>
              </w:rPr>
              <w:t> </w:t>
            </w:r>
            <w:r w:rsidR="00DC235C" w:rsidRPr="002154B4">
              <w:rPr>
                <w:rFonts w:cs="Times New Roman"/>
                <w:szCs w:val="24"/>
              </w:rPr>
              <w:t xml:space="preserve">oktobra </w:t>
            </w:r>
            <w:r w:rsidR="00F9663A" w:rsidRPr="002154B4">
              <w:rPr>
                <w:rFonts w:cs="Times New Roman"/>
              </w:rPr>
              <w:t>deleģēto regulu Nr.</w:t>
            </w:r>
            <w:r w:rsidR="00457CA1" w:rsidRPr="002154B4">
              <w:rPr>
                <w:rFonts w:cs="Times New Roman"/>
              </w:rPr>
              <w:t> </w:t>
            </w:r>
            <w:r w:rsidR="00DC235C" w:rsidRPr="002154B4">
              <w:rPr>
                <w:rFonts w:cs="Times New Roman"/>
              </w:rPr>
              <w:t xml:space="preserve">2016/161, ar ko papildina Eiropas </w:t>
            </w:r>
            <w:r w:rsidR="00DC235C" w:rsidRPr="002154B4">
              <w:rPr>
                <w:rFonts w:cs="Times New Roman"/>
              </w:rPr>
              <w:lastRenderedPageBreak/>
              <w:t>Parlamenta un Padomes Direktīvu 2001/83/EK, noteicot detalizētus noteikumus par drošuma pazīmēm uz cilvēkiem paredzētu zāļu iesaiņojuma</w:t>
            </w:r>
            <w:r w:rsidR="009212B5" w:rsidRPr="002154B4">
              <w:rPr>
                <w:rFonts w:cs="Times New Roman"/>
                <w:szCs w:val="24"/>
              </w:rPr>
              <w:t xml:space="preserve">, proti, identifikatora ieviešanu katram zāļu iepakojumam (svītrkoda uzdrukāšana uz vienu zāļu iepakojuma) un pārbaudēm, </w:t>
            </w:r>
            <w:r w:rsidR="009A720B" w:rsidRPr="002154B4">
              <w:rPr>
                <w:rFonts w:cs="Times New Roman"/>
                <w:szCs w:val="24"/>
              </w:rPr>
              <w:t>kas varētu būt daudz darbietilpīgāk</w:t>
            </w:r>
            <w:r w:rsidR="00F9663A" w:rsidRPr="002154B4">
              <w:rPr>
                <w:rFonts w:cs="Times New Roman"/>
                <w:szCs w:val="24"/>
              </w:rPr>
              <w:t>a</w:t>
            </w:r>
            <w:r w:rsidR="009A720B" w:rsidRPr="002154B4">
              <w:rPr>
                <w:rFonts w:cs="Times New Roman"/>
                <w:szCs w:val="24"/>
              </w:rPr>
              <w:t xml:space="preserve">s </w:t>
            </w:r>
            <w:r w:rsidR="00F9663A" w:rsidRPr="002154B4">
              <w:rPr>
                <w:rFonts w:cs="Times New Roman"/>
                <w:szCs w:val="24"/>
              </w:rPr>
              <w:t xml:space="preserve">un </w:t>
            </w:r>
            <w:r w:rsidR="009A720B" w:rsidRPr="002154B4">
              <w:rPr>
                <w:rFonts w:cs="Times New Roman"/>
                <w:szCs w:val="24"/>
              </w:rPr>
              <w:t xml:space="preserve">izmaksu ziņā daudz dārgāks process, izmaksas </w:t>
            </w:r>
            <w:r w:rsidR="00F9663A" w:rsidRPr="002154B4">
              <w:rPr>
                <w:rFonts w:cs="Times New Roman"/>
                <w:szCs w:val="24"/>
              </w:rPr>
              <w:t>sastādītu</w:t>
            </w:r>
            <w:r w:rsidR="009212B5" w:rsidRPr="002154B4">
              <w:rPr>
                <w:rFonts w:cs="Times New Roman"/>
                <w:szCs w:val="24"/>
              </w:rPr>
              <w:t xml:space="preserve"> vienam zāļu iepakojumam 0,016 EU.</w:t>
            </w:r>
          </w:p>
          <w:p w:rsidR="009A5093" w:rsidRPr="002154B4" w:rsidRDefault="00DA794C" w:rsidP="00906865">
            <w:pPr>
              <w:jc w:val="both"/>
              <w:rPr>
                <w:rFonts w:cs="Times New Roman"/>
                <w:szCs w:val="24"/>
              </w:rPr>
            </w:pPr>
            <w:r w:rsidRPr="002154B4">
              <w:rPr>
                <w:rFonts w:cs="Times New Roman"/>
                <w:szCs w:val="24"/>
              </w:rPr>
              <w:t xml:space="preserve">Ņemot vērā </w:t>
            </w:r>
            <w:r w:rsidR="00EE1A03" w:rsidRPr="002154B4">
              <w:rPr>
                <w:rFonts w:cs="Times New Roman"/>
                <w:szCs w:val="24"/>
              </w:rPr>
              <w:t xml:space="preserve">LZLA </w:t>
            </w:r>
            <w:r w:rsidRPr="002154B4">
              <w:rPr>
                <w:rFonts w:cs="Times New Roman"/>
                <w:szCs w:val="24"/>
              </w:rPr>
              <w:t>viedokli</w:t>
            </w:r>
            <w:r w:rsidR="00EE1A03" w:rsidRPr="002154B4">
              <w:rPr>
                <w:rFonts w:cs="Times New Roman"/>
                <w:szCs w:val="24"/>
              </w:rPr>
              <w:t xml:space="preserve">, </w:t>
            </w:r>
            <w:r w:rsidR="00457CA1" w:rsidRPr="002154B4">
              <w:rPr>
                <w:rFonts w:cs="Times New Roman"/>
                <w:szCs w:val="24"/>
              </w:rPr>
              <w:t xml:space="preserve">to, ka </w:t>
            </w:r>
            <w:r w:rsidR="0067391F" w:rsidRPr="002154B4">
              <w:rPr>
                <w:rFonts w:cs="Times New Roman"/>
                <w:szCs w:val="24"/>
              </w:rPr>
              <w:t xml:space="preserve">liela apjoma </w:t>
            </w:r>
            <w:r w:rsidR="006E1008" w:rsidRPr="002154B4">
              <w:rPr>
                <w:rFonts w:cs="Times New Roman"/>
                <w:szCs w:val="24"/>
              </w:rPr>
              <w:t>ārstniecības iestādēm</w:t>
            </w:r>
            <w:r w:rsidR="0067391F" w:rsidRPr="002154B4">
              <w:rPr>
                <w:rFonts w:cs="Times New Roman"/>
                <w:szCs w:val="24"/>
              </w:rPr>
              <w:t xml:space="preserve"> paredzēto zāļu marķējumu, </w:t>
            </w:r>
            <w:r w:rsidR="00677AEE" w:rsidRPr="002154B4">
              <w:rPr>
                <w:rFonts w:cs="Times New Roman"/>
              </w:rPr>
              <w:t>zāļu piegādes laiks ne vienmēr būs paredzams un ātri izpildāms, kā to nosaka normatīvi</w:t>
            </w:r>
            <w:r w:rsidR="006E1008" w:rsidRPr="002154B4">
              <w:rPr>
                <w:rFonts w:cs="Times New Roman"/>
              </w:rPr>
              <w:t>e akti</w:t>
            </w:r>
            <w:r w:rsidRPr="002154B4">
              <w:rPr>
                <w:rFonts w:cs="Times New Roman"/>
              </w:rPr>
              <w:t>, un ka z</w:t>
            </w:r>
            <w:r w:rsidR="006E1008" w:rsidRPr="002154B4">
              <w:rPr>
                <w:rFonts w:cs="Times New Roman"/>
              </w:rPr>
              <w:t>āļu vairumtirgotājiem ārstniecības iestādēm</w:t>
            </w:r>
            <w:r w:rsidR="00677AEE" w:rsidRPr="002154B4">
              <w:rPr>
                <w:rFonts w:cs="Times New Roman"/>
              </w:rPr>
              <w:t xml:space="preserve"> paredzēto zāļu papildus marķēšana varētu atstāt ietekmi uz jau noslēgtajiem publisko iepirkumu līgumiem</w:t>
            </w:r>
            <w:r w:rsidR="006D5567" w:rsidRPr="002154B4">
              <w:rPr>
                <w:rFonts w:cs="Times New Roman"/>
              </w:rPr>
              <w:t xml:space="preserve"> un novest pie situācijas, ka zāļu lieltirgotavas nevarēs piegādāt ārstniecības iestādēm noteiktas grupas zāles par publiskajos iepirkumos piedāvātajām piegādes cenām</w:t>
            </w:r>
            <w:r w:rsidRPr="002154B4">
              <w:rPr>
                <w:rFonts w:cs="Times New Roman"/>
                <w:szCs w:val="24"/>
              </w:rPr>
              <w:t>,</w:t>
            </w:r>
            <w:r w:rsidR="00E0332E" w:rsidRPr="002154B4">
              <w:rPr>
                <w:rFonts w:cs="Times New Roman"/>
                <w:szCs w:val="24"/>
              </w:rPr>
              <w:t xml:space="preserve"> </w:t>
            </w:r>
            <w:r w:rsidR="00457CA1" w:rsidRPr="002154B4">
              <w:rPr>
                <w:rFonts w:cs="Times New Roman"/>
                <w:szCs w:val="24"/>
              </w:rPr>
              <w:t>MK noteikumi Nr. </w:t>
            </w:r>
            <w:r w:rsidR="002154B4">
              <w:rPr>
                <w:rFonts w:cs="Times New Roman"/>
                <w:szCs w:val="24"/>
              </w:rPr>
              <w:t>57</w:t>
            </w:r>
            <w:r w:rsidR="00457CA1" w:rsidRPr="002154B4">
              <w:rPr>
                <w:rFonts w:cs="Times New Roman"/>
                <w:szCs w:val="24"/>
              </w:rPr>
              <w:t xml:space="preserve"> tiek precizēti, </w:t>
            </w:r>
            <w:r w:rsidR="00AE682E" w:rsidRPr="002154B4">
              <w:rPr>
                <w:rFonts w:cs="Times New Roman"/>
                <w:szCs w:val="24"/>
              </w:rPr>
              <w:t>paredz</w:t>
            </w:r>
            <w:r w:rsidR="00457CA1" w:rsidRPr="002154B4">
              <w:rPr>
                <w:rFonts w:cs="Times New Roman"/>
                <w:szCs w:val="24"/>
              </w:rPr>
              <w:t>ot</w:t>
            </w:r>
            <w:r w:rsidR="00E0332E" w:rsidRPr="002154B4">
              <w:rPr>
                <w:rFonts w:cs="Times New Roman"/>
                <w:szCs w:val="24"/>
              </w:rPr>
              <w:t xml:space="preserve"> </w:t>
            </w:r>
            <w:r w:rsidR="00FE0410" w:rsidRPr="002154B4">
              <w:rPr>
                <w:rFonts w:cs="Times New Roman"/>
              </w:rPr>
              <w:t>MK noteikumu Nr.</w:t>
            </w:r>
            <w:r w:rsidR="00466550" w:rsidRPr="002154B4">
              <w:rPr>
                <w:rFonts w:cs="Times New Roman"/>
              </w:rPr>
              <w:t> </w:t>
            </w:r>
            <w:r w:rsidR="00FE0410" w:rsidRPr="002154B4">
              <w:rPr>
                <w:rFonts w:cs="Times New Roman"/>
              </w:rPr>
              <w:t>57 9.</w:t>
            </w:r>
            <w:r w:rsidR="00F9663A" w:rsidRPr="002154B4">
              <w:rPr>
                <w:rFonts w:cs="Times New Roman"/>
                <w:vertAlign w:val="superscript"/>
              </w:rPr>
              <w:t>1</w:t>
            </w:r>
            <w:r w:rsidR="00457CA1" w:rsidRPr="002154B4">
              <w:rPr>
                <w:rFonts w:cs="Times New Roman"/>
              </w:rPr>
              <w:t> </w:t>
            </w:r>
            <w:r w:rsidR="00FE0410" w:rsidRPr="002154B4">
              <w:rPr>
                <w:rFonts w:cs="Times New Roman"/>
              </w:rPr>
              <w:t>punkt</w:t>
            </w:r>
            <w:r w:rsidR="00AE682E" w:rsidRPr="002154B4">
              <w:rPr>
                <w:rFonts w:cs="Times New Roman"/>
              </w:rPr>
              <w:t>u</w:t>
            </w:r>
            <w:r w:rsidR="00FE0410" w:rsidRPr="002154B4">
              <w:rPr>
                <w:rFonts w:cs="Times New Roman"/>
              </w:rPr>
              <w:t xml:space="preserve"> </w:t>
            </w:r>
            <w:r w:rsidR="00AE682E" w:rsidRPr="002154B4">
              <w:rPr>
                <w:rFonts w:cs="Times New Roman"/>
                <w:szCs w:val="24"/>
              </w:rPr>
              <w:t>izteikt</w:t>
            </w:r>
            <w:r w:rsidR="00E06052" w:rsidRPr="002154B4">
              <w:rPr>
                <w:rFonts w:cs="Times New Roman"/>
                <w:szCs w:val="24"/>
              </w:rPr>
              <w:t xml:space="preserve"> jaunā redakcijā, </w:t>
            </w:r>
            <w:r w:rsidR="00466550" w:rsidRPr="002154B4">
              <w:rPr>
                <w:rFonts w:cs="Times New Roman"/>
                <w:szCs w:val="24"/>
              </w:rPr>
              <w:t>tiek notei</w:t>
            </w:r>
            <w:r w:rsidR="00457CA1" w:rsidRPr="002154B4">
              <w:rPr>
                <w:rFonts w:cs="Times New Roman"/>
                <w:szCs w:val="24"/>
              </w:rPr>
              <w:t xml:space="preserve">ktas </w:t>
            </w:r>
            <w:r w:rsidR="00906865" w:rsidRPr="002154B4">
              <w:rPr>
                <w:rFonts w:cs="Times New Roman"/>
                <w:szCs w:val="24"/>
              </w:rPr>
              <w:t>ārstniecības iestādei tiesības veikt zāļu iepakojuma papildus marķēšanu, norādot to piederību konkrētajai ārstniecības iestādei, bet nenosakot to kā obligātu prasību.</w:t>
            </w:r>
            <w:r w:rsidR="00AF6F4C" w:rsidRPr="002154B4">
              <w:rPr>
                <w:rFonts w:cs="Times New Roman"/>
                <w:szCs w:val="24"/>
              </w:rPr>
              <w:t xml:space="preserve"> Turklāt, šīs tiesības tiek piešķirtas ne tikai stacionārajām ārstniecības iestādēm, bet visām ārstniecības iestādēm.</w:t>
            </w:r>
            <w:r w:rsidR="00906865" w:rsidRPr="002154B4">
              <w:rPr>
                <w:rFonts w:cs="Times New Roman"/>
                <w:szCs w:val="24"/>
              </w:rPr>
              <w:t xml:space="preserve"> </w:t>
            </w:r>
            <w:r w:rsidR="0048714E" w:rsidRPr="002154B4">
              <w:rPr>
                <w:rFonts w:cs="Times New Roman"/>
                <w:szCs w:val="24"/>
              </w:rPr>
              <w:t>Marķējuma teksta saturs par piederību konkrētajai ārstniecības iestādei ir ārstniecības iestādes izvēle.</w:t>
            </w:r>
          </w:p>
          <w:p w:rsidR="00906865" w:rsidRPr="002154B4" w:rsidRDefault="00906865" w:rsidP="00906865">
            <w:pPr>
              <w:jc w:val="both"/>
              <w:rPr>
                <w:rFonts w:cs="Times New Roman"/>
                <w:szCs w:val="24"/>
              </w:rPr>
            </w:pPr>
            <w:r w:rsidRPr="002154B4">
              <w:rPr>
                <w:rFonts w:cs="Times New Roman"/>
                <w:szCs w:val="24"/>
              </w:rPr>
              <w:t xml:space="preserve">Šāda kārtība </w:t>
            </w:r>
            <w:r w:rsidR="005D37FA" w:rsidRPr="002154B4">
              <w:rPr>
                <w:rFonts w:cs="Times New Roman"/>
                <w:szCs w:val="24"/>
              </w:rPr>
              <w:t>atrisinās iepriekš minēt</w:t>
            </w:r>
            <w:r w:rsidR="00BA6BE8" w:rsidRPr="002154B4">
              <w:rPr>
                <w:rFonts w:cs="Times New Roman"/>
                <w:szCs w:val="24"/>
              </w:rPr>
              <w:t>ā</w:t>
            </w:r>
            <w:r w:rsidR="006D5567" w:rsidRPr="002154B4">
              <w:rPr>
                <w:rFonts w:cs="Times New Roman"/>
                <w:szCs w:val="24"/>
              </w:rPr>
              <w:t>s problēmas, kas saistītas ar zāļu cenu palielināšanās risku slimnīcu iepirkumos un zāļu piegādēs ārstniecības iestādēm</w:t>
            </w:r>
            <w:r w:rsidR="006E1008" w:rsidRPr="002154B4">
              <w:rPr>
                <w:rFonts w:cs="Times New Roman"/>
                <w:szCs w:val="24"/>
              </w:rPr>
              <w:t>,</w:t>
            </w:r>
            <w:r w:rsidR="006D5567" w:rsidRPr="002154B4">
              <w:rPr>
                <w:rFonts w:cs="Times New Roman"/>
                <w:szCs w:val="24"/>
              </w:rPr>
              <w:t xml:space="preserve"> </w:t>
            </w:r>
            <w:r w:rsidR="006E1008" w:rsidRPr="002154B4">
              <w:rPr>
                <w:rFonts w:cs="Times New Roman"/>
                <w:szCs w:val="24"/>
              </w:rPr>
              <w:t>v</w:t>
            </w:r>
            <w:r w:rsidR="005D37FA" w:rsidRPr="002154B4">
              <w:rPr>
                <w:rFonts w:cs="Times New Roman"/>
                <w:szCs w:val="24"/>
              </w:rPr>
              <w:t xml:space="preserve">ienlaicīgi ļaujot </w:t>
            </w:r>
            <w:r w:rsidR="001E268E" w:rsidRPr="002154B4">
              <w:rPr>
                <w:rFonts w:cs="Times New Roman"/>
                <w:szCs w:val="24"/>
              </w:rPr>
              <w:t>ārstniecības iestādei pašai</w:t>
            </w:r>
            <w:r w:rsidR="00AF6F4C" w:rsidRPr="002154B4">
              <w:rPr>
                <w:rFonts w:cs="Times New Roman"/>
                <w:szCs w:val="24"/>
              </w:rPr>
              <w:t xml:space="preserve"> </w:t>
            </w:r>
            <w:r w:rsidRPr="002154B4">
              <w:rPr>
                <w:rFonts w:cs="Times New Roman"/>
                <w:szCs w:val="24"/>
              </w:rPr>
              <w:t>pārraudzīt savu resursu izmantošanu ārstniecības procesa nodrošināšanai</w:t>
            </w:r>
            <w:r w:rsidR="005D37FA" w:rsidRPr="002154B4">
              <w:rPr>
                <w:rFonts w:cs="Times New Roman"/>
                <w:szCs w:val="24"/>
              </w:rPr>
              <w:t xml:space="preserve"> </w:t>
            </w:r>
            <w:r w:rsidR="001E268E" w:rsidRPr="002154B4">
              <w:rPr>
                <w:rFonts w:cs="Times New Roman"/>
                <w:szCs w:val="24"/>
              </w:rPr>
              <w:t xml:space="preserve">un </w:t>
            </w:r>
            <w:r w:rsidR="00FE0410" w:rsidRPr="002154B4">
              <w:rPr>
                <w:rFonts w:cs="Times New Roman"/>
                <w:szCs w:val="24"/>
              </w:rPr>
              <w:t>izslēgt risku piegādātajām zālēm nokļūt ārpus konkrētās ārstniecības iestādes zāļu aprites</w:t>
            </w:r>
            <w:r w:rsidR="00E06052" w:rsidRPr="002154B4">
              <w:rPr>
                <w:rFonts w:cs="Times New Roman"/>
                <w:szCs w:val="24"/>
              </w:rPr>
              <w:t xml:space="preserve"> (Noteikumu projekta 2.</w:t>
            </w:r>
            <w:r w:rsidR="00466550" w:rsidRPr="002154B4">
              <w:rPr>
                <w:rFonts w:cs="Times New Roman"/>
                <w:szCs w:val="24"/>
              </w:rPr>
              <w:t> </w:t>
            </w:r>
            <w:r w:rsidR="00E06052" w:rsidRPr="002154B4">
              <w:rPr>
                <w:rFonts w:cs="Times New Roman"/>
                <w:szCs w:val="24"/>
              </w:rPr>
              <w:t>punkts).</w:t>
            </w:r>
          </w:p>
          <w:p w:rsidR="00E06052" w:rsidRPr="002154B4" w:rsidRDefault="00E06052" w:rsidP="00906865">
            <w:pPr>
              <w:jc w:val="both"/>
              <w:rPr>
                <w:rFonts w:cs="Times New Roman"/>
                <w:szCs w:val="24"/>
              </w:rPr>
            </w:pPr>
            <w:r w:rsidRPr="002154B4">
              <w:rPr>
                <w:rFonts w:cs="Times New Roman"/>
                <w:szCs w:val="24"/>
              </w:rPr>
              <w:t xml:space="preserve">Vienlaikus no </w:t>
            </w:r>
            <w:r w:rsidRPr="002154B4">
              <w:rPr>
                <w:rFonts w:cs="Times New Roman"/>
              </w:rPr>
              <w:t>MK noteikumu Nr.</w:t>
            </w:r>
            <w:r w:rsidR="00466550" w:rsidRPr="002154B4">
              <w:rPr>
                <w:rFonts w:cs="Times New Roman"/>
              </w:rPr>
              <w:t> </w:t>
            </w:r>
            <w:r w:rsidRPr="002154B4">
              <w:rPr>
                <w:rFonts w:cs="Times New Roman"/>
              </w:rPr>
              <w:t>57 7.6.</w:t>
            </w:r>
            <w:r w:rsidR="00466550" w:rsidRPr="002154B4">
              <w:rPr>
                <w:rFonts w:cs="Times New Roman"/>
              </w:rPr>
              <w:t> </w:t>
            </w:r>
            <w:r w:rsidRPr="002154B4">
              <w:rPr>
                <w:rFonts w:cs="Times New Roman"/>
              </w:rPr>
              <w:t>apakšpunkta tehniski tiek svītrota atsauce uz 9.</w:t>
            </w:r>
            <w:r w:rsidR="00F9663A" w:rsidRPr="002154B4">
              <w:rPr>
                <w:rFonts w:cs="Times New Roman"/>
                <w:vertAlign w:val="superscript"/>
              </w:rPr>
              <w:t>1</w:t>
            </w:r>
            <w:r w:rsidR="00466550" w:rsidRPr="002154B4">
              <w:rPr>
                <w:rFonts w:cs="Times New Roman"/>
              </w:rPr>
              <w:t> </w:t>
            </w:r>
            <w:r w:rsidRPr="002154B4">
              <w:rPr>
                <w:rFonts w:cs="Times New Roman"/>
              </w:rPr>
              <w:t>punkt</w:t>
            </w:r>
            <w:r w:rsidR="00EC35F0" w:rsidRPr="002154B4">
              <w:rPr>
                <w:rFonts w:cs="Times New Roman"/>
              </w:rPr>
              <w:t>u, jo Noteikumu projekta 9.</w:t>
            </w:r>
            <w:r w:rsidR="00F9663A" w:rsidRPr="002154B4">
              <w:rPr>
                <w:rFonts w:cs="Times New Roman"/>
                <w:vertAlign w:val="superscript"/>
              </w:rPr>
              <w:t>1</w:t>
            </w:r>
            <w:r w:rsidR="00466550" w:rsidRPr="002154B4">
              <w:rPr>
                <w:rFonts w:cs="Times New Roman"/>
              </w:rPr>
              <w:t> </w:t>
            </w:r>
            <w:r w:rsidR="00EC35F0" w:rsidRPr="002154B4">
              <w:rPr>
                <w:rFonts w:cs="Times New Roman"/>
              </w:rPr>
              <w:t>punkta norma neattiecas uz zāļu vairumtirgotāja</w:t>
            </w:r>
            <w:r w:rsidR="006F127C" w:rsidRPr="002154B4">
              <w:rPr>
                <w:rFonts w:cs="Times New Roman"/>
              </w:rPr>
              <w:t xml:space="preserve"> pienākumiem.</w:t>
            </w:r>
          </w:p>
          <w:p w:rsidR="009A5093" w:rsidRPr="002154B4" w:rsidRDefault="007B420D" w:rsidP="006F127C">
            <w:pPr>
              <w:jc w:val="both"/>
              <w:rPr>
                <w:rFonts w:cs="Times New Roman"/>
                <w:szCs w:val="24"/>
              </w:rPr>
            </w:pPr>
            <w:r w:rsidRPr="002154B4">
              <w:rPr>
                <w:rFonts w:cs="Times New Roman"/>
                <w:szCs w:val="24"/>
              </w:rPr>
              <w:t xml:space="preserve">Noteikumu projekts </w:t>
            </w:r>
            <w:r w:rsidR="00906865" w:rsidRPr="002154B4">
              <w:rPr>
                <w:rFonts w:cs="Times New Roman"/>
                <w:szCs w:val="24"/>
              </w:rPr>
              <w:t>ne</w:t>
            </w:r>
            <w:r w:rsidRPr="002154B4">
              <w:rPr>
                <w:rFonts w:cs="Times New Roman"/>
                <w:szCs w:val="24"/>
              </w:rPr>
              <w:t xml:space="preserve">paredz </w:t>
            </w:r>
            <w:r w:rsidR="00906865" w:rsidRPr="002154B4">
              <w:rPr>
                <w:rFonts w:cs="Times New Roman"/>
                <w:szCs w:val="24"/>
              </w:rPr>
              <w:t>pārejas periodu.</w:t>
            </w:r>
          </w:p>
        </w:tc>
      </w:tr>
      <w:tr w:rsidR="003E6B1C" w:rsidRPr="005B5F1E" w:rsidTr="00337DA1">
        <w:trPr>
          <w:trHeight w:val="465"/>
        </w:trPr>
        <w:tc>
          <w:tcPr>
            <w:tcW w:w="462" w:type="dxa"/>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spacing w:before="75" w:after="75"/>
              <w:rPr>
                <w:rFonts w:eastAsia="Times New Roman" w:cs="Times New Roman"/>
                <w:szCs w:val="24"/>
                <w:lang w:eastAsia="lv-LV"/>
              </w:rPr>
            </w:pPr>
            <w:r w:rsidRPr="005B5F1E">
              <w:rPr>
                <w:rFonts w:eastAsia="Times New Roman" w:cs="Times New Roman"/>
                <w:szCs w:val="24"/>
                <w:lang w:eastAsia="lv-LV"/>
              </w:rPr>
              <w:lastRenderedPageBreak/>
              <w:t>3.</w:t>
            </w:r>
          </w:p>
        </w:tc>
        <w:tc>
          <w:tcPr>
            <w:tcW w:w="3821" w:type="dxa"/>
            <w:gridSpan w:val="4"/>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Projekta izstrādē iesaistītās institūcijas</w:t>
            </w:r>
          </w:p>
        </w:tc>
        <w:tc>
          <w:tcPr>
            <w:tcW w:w="4931" w:type="dxa"/>
            <w:tcBorders>
              <w:top w:val="outset" w:sz="6" w:space="0" w:color="auto"/>
              <w:left w:val="outset" w:sz="6" w:space="0" w:color="auto"/>
              <w:bottom w:val="outset" w:sz="6" w:space="0" w:color="auto"/>
              <w:right w:val="outset" w:sz="6" w:space="0" w:color="auto"/>
            </w:tcBorders>
            <w:hideMark/>
          </w:tcPr>
          <w:p w:rsidR="003E6B1C" w:rsidRDefault="003A5CF6" w:rsidP="00906865">
            <w:pPr>
              <w:rPr>
                <w:rFonts w:eastAsia="Times New Roman" w:cs="Times New Roman"/>
                <w:szCs w:val="24"/>
                <w:lang w:eastAsia="lv-LV"/>
              </w:rPr>
            </w:pPr>
            <w:r w:rsidRPr="005B5F1E">
              <w:rPr>
                <w:rFonts w:eastAsia="Times New Roman" w:cs="Times New Roman"/>
                <w:szCs w:val="24"/>
                <w:lang w:eastAsia="lv-LV"/>
              </w:rPr>
              <w:t>Veselības inspekcija</w:t>
            </w:r>
          </w:p>
          <w:p w:rsidR="006F0710" w:rsidRPr="005B5F1E" w:rsidRDefault="006F0710" w:rsidP="00906865">
            <w:pPr>
              <w:rPr>
                <w:rFonts w:eastAsia="Times New Roman" w:cs="Times New Roman"/>
                <w:szCs w:val="24"/>
                <w:lang w:eastAsia="lv-LV"/>
              </w:rPr>
            </w:pPr>
            <w:r>
              <w:rPr>
                <w:rFonts w:eastAsia="Times New Roman" w:cs="Times New Roman"/>
                <w:szCs w:val="24"/>
                <w:lang w:eastAsia="lv-LV"/>
              </w:rPr>
              <w:t>Zāļu valsts aģentūra</w:t>
            </w:r>
          </w:p>
        </w:tc>
      </w:tr>
      <w:tr w:rsidR="003E6B1C" w:rsidRPr="005B5F1E" w:rsidTr="00337DA1">
        <w:tc>
          <w:tcPr>
            <w:tcW w:w="462" w:type="dxa"/>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spacing w:before="75" w:after="75"/>
              <w:rPr>
                <w:rFonts w:eastAsia="Times New Roman" w:cs="Times New Roman"/>
                <w:szCs w:val="24"/>
                <w:lang w:eastAsia="lv-LV"/>
              </w:rPr>
            </w:pPr>
            <w:r w:rsidRPr="005B5F1E">
              <w:rPr>
                <w:rFonts w:eastAsia="Times New Roman" w:cs="Times New Roman"/>
                <w:szCs w:val="24"/>
                <w:lang w:eastAsia="lv-LV"/>
              </w:rPr>
              <w:t>4.</w:t>
            </w:r>
          </w:p>
        </w:tc>
        <w:tc>
          <w:tcPr>
            <w:tcW w:w="3821" w:type="dxa"/>
            <w:gridSpan w:val="4"/>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Cita informācija</w:t>
            </w:r>
          </w:p>
        </w:tc>
        <w:tc>
          <w:tcPr>
            <w:tcW w:w="4931" w:type="dxa"/>
            <w:tcBorders>
              <w:top w:val="outset" w:sz="6" w:space="0" w:color="auto"/>
              <w:left w:val="outset" w:sz="6" w:space="0" w:color="auto"/>
              <w:bottom w:val="outset" w:sz="6" w:space="0" w:color="auto"/>
              <w:right w:val="outset" w:sz="6" w:space="0" w:color="auto"/>
            </w:tcBorders>
            <w:hideMark/>
          </w:tcPr>
          <w:p w:rsidR="00DF5AD0" w:rsidRPr="005B5F1E" w:rsidRDefault="00C93517" w:rsidP="002B7FAB">
            <w:pPr>
              <w:pStyle w:val="NormalWeb"/>
            </w:pPr>
            <w:r w:rsidRPr="005B5F1E">
              <w:t>Nav</w:t>
            </w:r>
          </w:p>
        </w:tc>
      </w:tr>
      <w:tr w:rsidR="00695404" w:rsidRPr="005B5F1E" w:rsidTr="00337DA1">
        <w:tblPrEx>
          <w:tblBorders>
            <w:top w:val="outset" w:sz="6" w:space="0" w:color="414142"/>
            <w:left w:val="outset" w:sz="6" w:space="0" w:color="414142"/>
            <w:bottom w:val="outset" w:sz="6" w:space="0" w:color="414142"/>
            <w:right w:val="outset" w:sz="6" w:space="0" w:color="414142"/>
          </w:tblBorders>
        </w:tblPrEx>
        <w:trPr>
          <w:trHeight w:val="420"/>
        </w:trPr>
        <w:tc>
          <w:tcPr>
            <w:tcW w:w="921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95404" w:rsidRPr="00647D38" w:rsidRDefault="00695404" w:rsidP="00695404">
            <w:pPr>
              <w:ind w:firstLine="300"/>
              <w:jc w:val="center"/>
              <w:rPr>
                <w:b/>
                <w:bCs/>
              </w:rPr>
            </w:pPr>
            <w:r w:rsidRPr="00647D38">
              <w:rPr>
                <w:b/>
                <w:bCs/>
              </w:rPr>
              <w:t>II. Tiesību akta projekta ietekme uz sabiedrību, tautsaimniecības attīstību un administratīvo slogu</w:t>
            </w:r>
          </w:p>
        </w:tc>
      </w:tr>
      <w:tr w:rsidR="00695404" w:rsidRPr="00647D38" w:rsidTr="005019BC">
        <w:tblPrEx>
          <w:tblBorders>
            <w:top w:val="outset" w:sz="6" w:space="0" w:color="414142"/>
            <w:left w:val="outset" w:sz="6" w:space="0" w:color="414142"/>
            <w:bottom w:val="outset" w:sz="6" w:space="0" w:color="414142"/>
            <w:right w:val="outset" w:sz="6" w:space="0" w:color="414142"/>
          </w:tblBorders>
        </w:tblPrEx>
        <w:trPr>
          <w:trHeight w:val="465"/>
        </w:trPr>
        <w:tc>
          <w:tcPr>
            <w:tcW w:w="462" w:type="dxa"/>
            <w:tcBorders>
              <w:top w:val="outset" w:sz="6" w:space="0" w:color="414142"/>
              <w:left w:val="outset" w:sz="6" w:space="0" w:color="414142"/>
              <w:bottom w:val="outset" w:sz="6" w:space="0" w:color="414142"/>
              <w:right w:val="outset" w:sz="6" w:space="0" w:color="414142"/>
            </w:tcBorders>
            <w:hideMark/>
          </w:tcPr>
          <w:p w:rsidR="00695404" w:rsidRPr="00647D38" w:rsidRDefault="00695404" w:rsidP="00695404">
            <w:r w:rsidRPr="00647D38">
              <w:t>1.</w:t>
            </w:r>
          </w:p>
        </w:tc>
        <w:tc>
          <w:tcPr>
            <w:tcW w:w="2829" w:type="dxa"/>
            <w:tcBorders>
              <w:top w:val="outset" w:sz="6" w:space="0" w:color="414142"/>
              <w:left w:val="outset" w:sz="6" w:space="0" w:color="414142"/>
              <w:bottom w:val="outset" w:sz="6" w:space="0" w:color="414142"/>
              <w:right w:val="outset" w:sz="6" w:space="0" w:color="414142"/>
            </w:tcBorders>
            <w:hideMark/>
          </w:tcPr>
          <w:p w:rsidR="00695404" w:rsidRPr="00647D38" w:rsidRDefault="00695404" w:rsidP="00695404">
            <w:r w:rsidRPr="00647D38">
              <w:t>Sabiedrības mērķgrupas, kuras tiesiskais regulējums ietekmē vai varētu ietekmēt</w:t>
            </w:r>
          </w:p>
        </w:tc>
        <w:tc>
          <w:tcPr>
            <w:tcW w:w="5923" w:type="dxa"/>
            <w:gridSpan w:val="4"/>
            <w:tcBorders>
              <w:top w:val="outset" w:sz="6" w:space="0" w:color="414142"/>
              <w:left w:val="outset" w:sz="6" w:space="0" w:color="414142"/>
              <w:bottom w:val="outset" w:sz="6" w:space="0" w:color="414142"/>
              <w:right w:val="outset" w:sz="6" w:space="0" w:color="414142"/>
            </w:tcBorders>
            <w:hideMark/>
          </w:tcPr>
          <w:p w:rsidR="00695404" w:rsidRPr="000B4CD7" w:rsidRDefault="00F6557E" w:rsidP="00F956F0">
            <w:pPr>
              <w:spacing w:before="75" w:after="75"/>
              <w:jc w:val="both"/>
            </w:pPr>
            <w:r>
              <w:t>1</w:t>
            </w:r>
            <w:r w:rsidR="006F127C">
              <w:t>)</w:t>
            </w:r>
            <w:r w:rsidR="00457CA1">
              <w:t> </w:t>
            </w:r>
            <w:r w:rsidR="00906865">
              <w:t>Ārstniecības iestādes (ārstniecības iestāžu reģistrs ir</w:t>
            </w:r>
            <w:r w:rsidR="0052010E" w:rsidRPr="00FF60E7">
              <w:t xml:space="preserve"> </w:t>
            </w:r>
            <w:r w:rsidR="0052010E" w:rsidRPr="000B4CD7">
              <w:t>pieejam</w:t>
            </w:r>
            <w:r w:rsidR="00906865" w:rsidRPr="000B4CD7">
              <w:t>s</w:t>
            </w:r>
            <w:r w:rsidR="0052010E" w:rsidRPr="000B4CD7">
              <w:t xml:space="preserve"> V</w:t>
            </w:r>
            <w:r w:rsidR="00906865" w:rsidRPr="000B4CD7">
              <w:t>eselības inspekcijas</w:t>
            </w:r>
            <w:r w:rsidR="0052010E" w:rsidRPr="000B4CD7">
              <w:t xml:space="preserve"> </w:t>
            </w:r>
            <w:r w:rsidR="00AD67A7" w:rsidRPr="000B4CD7">
              <w:t>elektroniskajā vietnē</w:t>
            </w:r>
            <w:r w:rsidR="0052010E" w:rsidRPr="000B4CD7">
              <w:t xml:space="preserve">: </w:t>
            </w:r>
            <w:hyperlink r:id="rId12" w:history="1">
              <w:r w:rsidR="005D37FA" w:rsidRPr="000B4CD7">
                <w:rPr>
                  <w:rStyle w:val="Hyperlink"/>
                  <w:color w:val="auto"/>
                  <w:u w:val="none"/>
                </w:rPr>
                <w:t>www.vi.gov.lv</w:t>
              </w:r>
            </w:hyperlink>
            <w:r w:rsidR="00906865" w:rsidRPr="000B4CD7">
              <w:t>)</w:t>
            </w:r>
            <w:r w:rsidR="00094149" w:rsidRPr="000B4CD7">
              <w:t>.</w:t>
            </w:r>
          </w:p>
          <w:p w:rsidR="005D37FA" w:rsidRPr="00647D38" w:rsidRDefault="00F6557E" w:rsidP="006F127C">
            <w:pPr>
              <w:spacing w:before="75" w:after="75"/>
              <w:jc w:val="both"/>
            </w:pPr>
            <w:r>
              <w:t>2</w:t>
            </w:r>
            <w:r w:rsidR="006F127C">
              <w:t>)</w:t>
            </w:r>
            <w:r w:rsidR="00457CA1">
              <w:t> </w:t>
            </w:r>
            <w:r w:rsidR="005D37FA">
              <w:t>Zāļu lieltirgotavas un vispārējā tipa aptiekas</w:t>
            </w:r>
            <w:r w:rsidR="00B35055">
              <w:t>, kuras piegādā zāles ārstniecības iestādēm</w:t>
            </w:r>
            <w:r w:rsidR="00AD67A7">
              <w:t xml:space="preserve"> (zāļu lieltirgotavu un vispārējā tipa aptieku reģistrs ir pieejams Zāļu valsts aģentūras elektroniskajā vietnē:</w:t>
            </w:r>
            <w:r w:rsidR="00B35055">
              <w:t xml:space="preserve"> </w:t>
            </w:r>
            <w:proofErr w:type="spellStart"/>
            <w:r w:rsidR="00AD67A7">
              <w:t>www.zva.gov.lv</w:t>
            </w:r>
            <w:proofErr w:type="spellEnd"/>
            <w:r w:rsidR="00AD67A7">
              <w:t>).</w:t>
            </w:r>
          </w:p>
        </w:tc>
      </w:tr>
      <w:tr w:rsidR="00695404" w:rsidRPr="00647D38" w:rsidTr="005019BC">
        <w:tblPrEx>
          <w:tblBorders>
            <w:top w:val="outset" w:sz="6" w:space="0" w:color="414142"/>
            <w:left w:val="outset" w:sz="6" w:space="0" w:color="414142"/>
            <w:bottom w:val="outset" w:sz="6" w:space="0" w:color="414142"/>
            <w:right w:val="outset" w:sz="6" w:space="0" w:color="414142"/>
          </w:tblBorders>
        </w:tblPrEx>
        <w:trPr>
          <w:trHeight w:val="510"/>
        </w:trPr>
        <w:tc>
          <w:tcPr>
            <w:tcW w:w="462" w:type="dxa"/>
            <w:tcBorders>
              <w:top w:val="outset" w:sz="6" w:space="0" w:color="414142"/>
              <w:left w:val="outset" w:sz="6" w:space="0" w:color="414142"/>
              <w:bottom w:val="outset" w:sz="6" w:space="0" w:color="414142"/>
              <w:right w:val="outset" w:sz="6" w:space="0" w:color="414142"/>
            </w:tcBorders>
            <w:hideMark/>
          </w:tcPr>
          <w:p w:rsidR="00695404" w:rsidRPr="00647D38" w:rsidRDefault="00695404" w:rsidP="00695404">
            <w:r w:rsidRPr="00647D38">
              <w:t>2.</w:t>
            </w:r>
          </w:p>
        </w:tc>
        <w:tc>
          <w:tcPr>
            <w:tcW w:w="2829" w:type="dxa"/>
            <w:tcBorders>
              <w:top w:val="outset" w:sz="6" w:space="0" w:color="414142"/>
              <w:left w:val="outset" w:sz="6" w:space="0" w:color="414142"/>
              <w:bottom w:val="outset" w:sz="6" w:space="0" w:color="414142"/>
              <w:right w:val="outset" w:sz="6" w:space="0" w:color="414142"/>
            </w:tcBorders>
            <w:hideMark/>
          </w:tcPr>
          <w:p w:rsidR="00695404" w:rsidRPr="00647D38" w:rsidRDefault="00695404" w:rsidP="00695404">
            <w:r w:rsidRPr="00647D38">
              <w:t>Tiesiskā regulējuma ietekme uz tautsaimniecību un administratīvo slogu</w:t>
            </w:r>
          </w:p>
        </w:tc>
        <w:tc>
          <w:tcPr>
            <w:tcW w:w="5923" w:type="dxa"/>
            <w:gridSpan w:val="4"/>
            <w:tcBorders>
              <w:top w:val="outset" w:sz="6" w:space="0" w:color="414142"/>
              <w:left w:val="outset" w:sz="6" w:space="0" w:color="414142"/>
              <w:bottom w:val="outset" w:sz="6" w:space="0" w:color="414142"/>
              <w:right w:val="outset" w:sz="6" w:space="0" w:color="414142"/>
            </w:tcBorders>
            <w:hideMark/>
          </w:tcPr>
          <w:p w:rsidR="008D3A8B" w:rsidRDefault="00B35055" w:rsidP="002154B4">
            <w:pPr>
              <w:ind w:right="82"/>
              <w:jc w:val="both"/>
              <w:rPr>
                <w:szCs w:val="24"/>
              </w:rPr>
            </w:pPr>
            <w:r>
              <w:t>1)</w:t>
            </w:r>
            <w:r w:rsidR="00457CA1">
              <w:t> </w:t>
            </w:r>
            <w:r w:rsidR="006156A0">
              <w:t xml:space="preserve">Ārstniecības iestādēm dotās tiesības </w:t>
            </w:r>
            <w:r w:rsidR="006156A0" w:rsidRPr="00906865">
              <w:rPr>
                <w:szCs w:val="24"/>
              </w:rPr>
              <w:t>veikt zāļu iepakojuma papildus marķēšanu, norādot to piederību konkrētajai ārstniecības iestādei,</w:t>
            </w:r>
            <w:r>
              <w:rPr>
                <w:szCs w:val="24"/>
              </w:rPr>
              <w:t xml:space="preserve"> nav obligātas</w:t>
            </w:r>
            <w:r w:rsidR="008D3A8B">
              <w:rPr>
                <w:szCs w:val="24"/>
              </w:rPr>
              <w:t>.</w:t>
            </w:r>
            <w:r w:rsidR="006F127C">
              <w:rPr>
                <w:szCs w:val="24"/>
              </w:rPr>
              <w:t xml:space="preserve"> Līdz ar to</w:t>
            </w:r>
            <w:r w:rsidR="008D3A8B">
              <w:rPr>
                <w:szCs w:val="24"/>
              </w:rPr>
              <w:t xml:space="preserve"> </w:t>
            </w:r>
            <w:r w:rsidR="006F127C">
              <w:t>papildus</w:t>
            </w:r>
            <w:r w:rsidR="008D3A8B">
              <w:t xml:space="preserve"> </w:t>
            </w:r>
            <w:r w:rsidR="008D3A8B">
              <w:rPr>
                <w:szCs w:val="24"/>
              </w:rPr>
              <w:t>administratīv</w:t>
            </w:r>
            <w:r w:rsidR="006F127C">
              <w:rPr>
                <w:szCs w:val="24"/>
              </w:rPr>
              <w:t>ais</w:t>
            </w:r>
            <w:r w:rsidR="008D3A8B">
              <w:rPr>
                <w:szCs w:val="24"/>
              </w:rPr>
              <w:t xml:space="preserve"> slog</w:t>
            </w:r>
            <w:r w:rsidR="006F127C">
              <w:rPr>
                <w:szCs w:val="24"/>
              </w:rPr>
              <w:t>s</w:t>
            </w:r>
            <w:r w:rsidR="00B242A2">
              <w:rPr>
                <w:szCs w:val="24"/>
              </w:rPr>
              <w:t xml:space="preserve"> var palielināties tām ārstniecības iestādēm, kuras veiks papildus marķēšanu.</w:t>
            </w:r>
          </w:p>
          <w:p w:rsidR="002154B4" w:rsidRDefault="002154B4" w:rsidP="002154B4">
            <w:pPr>
              <w:ind w:right="82"/>
              <w:jc w:val="both"/>
              <w:rPr>
                <w:szCs w:val="24"/>
              </w:rPr>
            </w:pPr>
          </w:p>
          <w:p w:rsidR="009A5093" w:rsidRPr="00B35055" w:rsidRDefault="00B35055" w:rsidP="008D3A8B">
            <w:pPr>
              <w:jc w:val="both"/>
              <w:rPr>
                <w:rFonts w:eastAsia="Times New Roman" w:cs="Times New Roman"/>
                <w:szCs w:val="24"/>
                <w:lang w:eastAsia="lv-LV"/>
              </w:rPr>
            </w:pPr>
            <w:r>
              <w:t>2)</w:t>
            </w:r>
            <w:r w:rsidR="00457CA1">
              <w:t> </w:t>
            </w:r>
            <w:r w:rsidR="00337DA1">
              <w:t>Atceļot prasību</w:t>
            </w:r>
            <w:r w:rsidR="00BA6BE8">
              <w:t xml:space="preserve"> par </w:t>
            </w:r>
            <w:r w:rsidR="00BA6BE8" w:rsidRPr="007B420D">
              <w:rPr>
                <w:rFonts w:cs="Times New Roman"/>
              </w:rPr>
              <w:t>katr</w:t>
            </w:r>
            <w:r w:rsidR="00BA6BE8">
              <w:rPr>
                <w:rFonts w:cs="Times New Roman"/>
              </w:rPr>
              <w:t>a</w:t>
            </w:r>
            <w:r w:rsidR="00BA6BE8" w:rsidRPr="007B420D">
              <w:rPr>
                <w:rFonts w:cs="Times New Roman"/>
              </w:rPr>
              <w:t xml:space="preserve"> sekundār</w:t>
            </w:r>
            <w:r w:rsidR="00BA6BE8">
              <w:rPr>
                <w:rFonts w:cs="Times New Roman"/>
              </w:rPr>
              <w:t>ā</w:t>
            </w:r>
            <w:r w:rsidR="00BA6BE8" w:rsidRPr="007B420D">
              <w:rPr>
                <w:rFonts w:cs="Times New Roman"/>
              </w:rPr>
              <w:t xml:space="preserve"> iepakojum</w:t>
            </w:r>
            <w:r w:rsidR="00BA6BE8">
              <w:rPr>
                <w:rFonts w:cs="Times New Roman"/>
              </w:rPr>
              <w:t>a</w:t>
            </w:r>
            <w:r w:rsidR="00BA6BE8" w:rsidRPr="007B420D">
              <w:rPr>
                <w:rFonts w:cs="Times New Roman"/>
              </w:rPr>
              <w:t xml:space="preserve"> papildus marķē</w:t>
            </w:r>
            <w:r w:rsidR="00BA6BE8">
              <w:rPr>
                <w:rFonts w:cs="Times New Roman"/>
              </w:rPr>
              <w:t>šanu zālēm</w:t>
            </w:r>
            <w:r w:rsidR="00BA6BE8" w:rsidRPr="007B420D">
              <w:rPr>
                <w:rFonts w:cs="Times New Roman"/>
              </w:rPr>
              <w:t xml:space="preserve"> ar norādi valsts valodā „Iepakojums slimnīcām”</w:t>
            </w:r>
            <w:r w:rsidR="00BA6BE8">
              <w:rPr>
                <w:rFonts w:cs="Times New Roman"/>
              </w:rPr>
              <w:t xml:space="preserve"> administratīvais slogs samazināsies zāļu lieltirgotavām un aptiekām, kuras izplata zāles ārstniecības iestādēm,</w:t>
            </w:r>
            <w:r w:rsidR="005D37FA">
              <w:rPr>
                <w:rFonts w:eastAsia="Times New Roman" w:cs="Times New Roman"/>
                <w:szCs w:val="24"/>
                <w:lang w:eastAsia="lv-LV"/>
              </w:rPr>
              <w:t xml:space="preserve"> jo tām t</w:t>
            </w:r>
            <w:r w:rsidR="00BA6BE8">
              <w:rPr>
                <w:rFonts w:eastAsia="Times New Roman" w:cs="Times New Roman"/>
                <w:szCs w:val="24"/>
                <w:lang w:eastAsia="lv-LV"/>
              </w:rPr>
              <w:t>urpmāk</w:t>
            </w:r>
            <w:r w:rsidR="005D37FA">
              <w:rPr>
                <w:rFonts w:eastAsia="Times New Roman" w:cs="Times New Roman"/>
                <w:szCs w:val="24"/>
                <w:lang w:eastAsia="lv-LV"/>
              </w:rPr>
              <w:t xml:space="preserve"> </w:t>
            </w:r>
            <w:r w:rsidR="008D1726">
              <w:rPr>
                <w:rFonts w:eastAsia="Times New Roman" w:cs="Times New Roman"/>
                <w:szCs w:val="24"/>
                <w:lang w:eastAsia="lv-LV"/>
              </w:rPr>
              <w:t>nevajadzēs</w:t>
            </w:r>
            <w:r w:rsidR="005D37FA">
              <w:rPr>
                <w:rFonts w:eastAsia="Times New Roman" w:cs="Times New Roman"/>
                <w:szCs w:val="24"/>
                <w:lang w:eastAsia="lv-LV"/>
              </w:rPr>
              <w:t xml:space="preserve"> nodrošināt </w:t>
            </w:r>
            <w:r w:rsidR="00BA6BE8">
              <w:rPr>
                <w:rFonts w:eastAsia="Times New Roman" w:cs="Times New Roman"/>
                <w:szCs w:val="24"/>
                <w:lang w:eastAsia="lv-LV"/>
              </w:rPr>
              <w:t>ārstniecības iestādēm</w:t>
            </w:r>
            <w:r w:rsidR="005D37FA">
              <w:rPr>
                <w:rFonts w:eastAsia="Times New Roman" w:cs="Times New Roman"/>
                <w:szCs w:val="24"/>
                <w:lang w:eastAsia="lv-LV"/>
              </w:rPr>
              <w:t xml:space="preserve"> </w:t>
            </w:r>
            <w:r w:rsidR="00BA6BE8">
              <w:rPr>
                <w:rFonts w:eastAsia="Times New Roman" w:cs="Times New Roman"/>
                <w:szCs w:val="24"/>
                <w:lang w:eastAsia="lv-LV"/>
              </w:rPr>
              <w:t>paredzēto</w:t>
            </w:r>
            <w:r w:rsidR="005D37FA">
              <w:rPr>
                <w:rFonts w:eastAsia="Times New Roman" w:cs="Times New Roman"/>
                <w:szCs w:val="24"/>
                <w:lang w:eastAsia="lv-LV"/>
              </w:rPr>
              <w:t xml:space="preserve"> zāļu marķēšanu.</w:t>
            </w:r>
          </w:p>
        </w:tc>
      </w:tr>
      <w:tr w:rsidR="00695404" w:rsidRPr="00647D38" w:rsidTr="005019BC">
        <w:tblPrEx>
          <w:tblBorders>
            <w:top w:val="outset" w:sz="6" w:space="0" w:color="414142"/>
            <w:left w:val="outset" w:sz="6" w:space="0" w:color="414142"/>
            <w:bottom w:val="outset" w:sz="6" w:space="0" w:color="414142"/>
            <w:right w:val="outset" w:sz="6" w:space="0" w:color="414142"/>
          </w:tblBorders>
        </w:tblPrEx>
        <w:trPr>
          <w:trHeight w:val="510"/>
        </w:trPr>
        <w:tc>
          <w:tcPr>
            <w:tcW w:w="462" w:type="dxa"/>
            <w:tcBorders>
              <w:top w:val="outset" w:sz="6" w:space="0" w:color="414142"/>
              <w:left w:val="outset" w:sz="6" w:space="0" w:color="414142"/>
              <w:bottom w:val="outset" w:sz="6" w:space="0" w:color="414142"/>
              <w:right w:val="outset" w:sz="6" w:space="0" w:color="414142"/>
            </w:tcBorders>
            <w:hideMark/>
          </w:tcPr>
          <w:p w:rsidR="00695404" w:rsidRPr="00647D38" w:rsidRDefault="00695404" w:rsidP="00695404">
            <w:r w:rsidRPr="00647D38">
              <w:t>3.</w:t>
            </w:r>
          </w:p>
        </w:tc>
        <w:tc>
          <w:tcPr>
            <w:tcW w:w="2829" w:type="dxa"/>
            <w:tcBorders>
              <w:top w:val="outset" w:sz="6" w:space="0" w:color="414142"/>
              <w:left w:val="outset" w:sz="6" w:space="0" w:color="414142"/>
              <w:bottom w:val="outset" w:sz="6" w:space="0" w:color="414142"/>
              <w:right w:val="outset" w:sz="6" w:space="0" w:color="414142"/>
            </w:tcBorders>
            <w:hideMark/>
          </w:tcPr>
          <w:p w:rsidR="00695404" w:rsidRPr="00647D38" w:rsidRDefault="00695404" w:rsidP="00695404">
            <w:r w:rsidRPr="00647D38">
              <w:t>Administratīvo izmaksu monetārs novērtējums</w:t>
            </w:r>
          </w:p>
        </w:tc>
        <w:tc>
          <w:tcPr>
            <w:tcW w:w="5923" w:type="dxa"/>
            <w:gridSpan w:val="4"/>
            <w:tcBorders>
              <w:top w:val="outset" w:sz="6" w:space="0" w:color="414142"/>
              <w:left w:val="outset" w:sz="6" w:space="0" w:color="414142"/>
              <w:bottom w:val="outset" w:sz="6" w:space="0" w:color="414142"/>
              <w:right w:val="outset" w:sz="6" w:space="0" w:color="414142"/>
            </w:tcBorders>
            <w:hideMark/>
          </w:tcPr>
          <w:p w:rsidR="00623187" w:rsidRPr="00B242A2" w:rsidRDefault="00623187" w:rsidP="00B242A2">
            <w:pPr>
              <w:spacing w:before="75" w:after="75"/>
              <w:jc w:val="both"/>
              <w:rPr>
                <w:rFonts w:eastAsia="Times New Roman" w:cs="Times New Roman"/>
                <w:szCs w:val="24"/>
                <w:lang w:eastAsia="lv-LV"/>
              </w:rPr>
            </w:pPr>
            <w:r w:rsidRPr="00B242A2">
              <w:rPr>
                <w:rFonts w:eastAsia="Times New Roman" w:cs="Times New Roman"/>
                <w:szCs w:val="24"/>
                <w:lang w:eastAsia="lv-LV"/>
              </w:rPr>
              <w:t>Ņemot vērā, ka ārstniecības iestādēm tiek piešķirta rīcības brīvība gan attiecībā uz to, marķēt vai nemarķēt zāles, gan attiecībā uz to, kuras zāles marķēt un kuras nemarķēt, gan attiecībā uz to, kādā veidā (ar zīmogu, uzlīm</w:t>
            </w:r>
            <w:r w:rsidR="00B242A2">
              <w:rPr>
                <w:rFonts w:eastAsia="Times New Roman" w:cs="Times New Roman"/>
                <w:szCs w:val="24"/>
                <w:lang w:eastAsia="lv-LV"/>
              </w:rPr>
              <w:t>i</w:t>
            </w:r>
            <w:r w:rsidRPr="00B242A2">
              <w:rPr>
                <w:rFonts w:eastAsia="Times New Roman" w:cs="Times New Roman"/>
                <w:szCs w:val="24"/>
                <w:lang w:eastAsia="lv-LV"/>
              </w:rPr>
              <w:t xml:space="preserve"> u.c.) marķēt zāles, nav iespējams aprēķināt administratīvās izmaksas.</w:t>
            </w:r>
          </w:p>
        </w:tc>
      </w:tr>
      <w:tr w:rsidR="00695404" w:rsidRPr="00647D38" w:rsidTr="005019BC">
        <w:tblPrEx>
          <w:tblBorders>
            <w:top w:val="outset" w:sz="6" w:space="0" w:color="414142"/>
            <w:left w:val="outset" w:sz="6" w:space="0" w:color="414142"/>
            <w:bottom w:val="outset" w:sz="6" w:space="0" w:color="414142"/>
            <w:right w:val="outset" w:sz="6" w:space="0" w:color="414142"/>
          </w:tblBorders>
        </w:tblPrEx>
        <w:trPr>
          <w:trHeight w:val="345"/>
        </w:trPr>
        <w:tc>
          <w:tcPr>
            <w:tcW w:w="462" w:type="dxa"/>
            <w:tcBorders>
              <w:top w:val="outset" w:sz="6" w:space="0" w:color="414142"/>
              <w:left w:val="outset" w:sz="6" w:space="0" w:color="414142"/>
              <w:bottom w:val="outset" w:sz="6" w:space="0" w:color="414142"/>
              <w:right w:val="outset" w:sz="6" w:space="0" w:color="414142"/>
            </w:tcBorders>
            <w:hideMark/>
          </w:tcPr>
          <w:p w:rsidR="00695404" w:rsidRPr="00647D38" w:rsidRDefault="00695404" w:rsidP="00695404">
            <w:r w:rsidRPr="00647D38">
              <w:t>4.</w:t>
            </w:r>
          </w:p>
        </w:tc>
        <w:tc>
          <w:tcPr>
            <w:tcW w:w="2829" w:type="dxa"/>
            <w:tcBorders>
              <w:top w:val="outset" w:sz="6" w:space="0" w:color="414142"/>
              <w:left w:val="outset" w:sz="6" w:space="0" w:color="414142"/>
              <w:bottom w:val="outset" w:sz="6" w:space="0" w:color="414142"/>
              <w:right w:val="outset" w:sz="6" w:space="0" w:color="414142"/>
            </w:tcBorders>
            <w:hideMark/>
          </w:tcPr>
          <w:p w:rsidR="00695404" w:rsidRPr="00647D38" w:rsidRDefault="00695404" w:rsidP="00695404">
            <w:r w:rsidRPr="00647D38">
              <w:t>Cita informācija</w:t>
            </w:r>
          </w:p>
        </w:tc>
        <w:tc>
          <w:tcPr>
            <w:tcW w:w="5923" w:type="dxa"/>
            <w:gridSpan w:val="4"/>
            <w:tcBorders>
              <w:top w:val="outset" w:sz="6" w:space="0" w:color="414142"/>
              <w:left w:val="outset" w:sz="6" w:space="0" w:color="414142"/>
              <w:bottom w:val="outset" w:sz="6" w:space="0" w:color="414142"/>
              <w:right w:val="outset" w:sz="6" w:space="0" w:color="414142"/>
            </w:tcBorders>
            <w:hideMark/>
          </w:tcPr>
          <w:p w:rsidR="00695404" w:rsidRPr="00B242A2" w:rsidRDefault="00623187" w:rsidP="00B242A2">
            <w:pPr>
              <w:jc w:val="both"/>
            </w:pPr>
            <w:r w:rsidRPr="00B242A2">
              <w:t>Atbilstoši Eiropas Komisijas informācijai publiskās konsultācijas laikā tika sniegts viedoklis saistīb</w:t>
            </w:r>
            <w:r w:rsidR="00B242A2">
              <w:t>ā</w:t>
            </w:r>
            <w:r w:rsidRPr="00B242A2">
              <w:t xml:space="preserve"> ar Komisijas 2015.</w:t>
            </w:r>
            <w:r w:rsidR="00466550">
              <w:t> </w:t>
            </w:r>
            <w:r w:rsidRPr="00B242A2">
              <w:t>gada 2.</w:t>
            </w:r>
            <w:r w:rsidR="00466550">
              <w:t> </w:t>
            </w:r>
            <w:r w:rsidRPr="00B242A2">
              <w:t>oktobra deleģētās regulas (ES) 2016/161, ar ko papildina Eiropas Parlamenta un Padomes Direktīvu 2001/83/EK, noteicot detalizētus noteikumus par drošuma pazīmēm uz cilvēkiem paredzētu zāļu iesaiņojuma, ieviešanu, proti, identifikatora ieviešana zāļu iepakojumam (svītrkoda uzdrukāšana uz vienu zāļu iepakojuma) izmaksu ziņā sastāda vienam zāļu iepakojumam 0.016</w:t>
            </w:r>
            <w:r w:rsidR="00466550">
              <w:t> </w:t>
            </w:r>
            <w:r w:rsidRPr="00B242A2">
              <w:t>EUR.</w:t>
            </w:r>
          </w:p>
        </w:tc>
      </w:tr>
      <w:tr w:rsidR="00187587" w:rsidRPr="005B5F1E" w:rsidTr="00337DA1">
        <w:tblPrEx>
          <w:jc w:val="center"/>
        </w:tblPrEx>
        <w:trPr>
          <w:trHeight w:val="375"/>
          <w:jc w:val="center"/>
        </w:trPr>
        <w:tc>
          <w:tcPr>
            <w:tcW w:w="9214" w:type="dxa"/>
            <w:gridSpan w:val="6"/>
            <w:tcBorders>
              <w:top w:val="outset" w:sz="6" w:space="0" w:color="auto"/>
              <w:left w:val="outset" w:sz="6" w:space="0" w:color="auto"/>
              <w:bottom w:val="outset" w:sz="6" w:space="0" w:color="auto"/>
              <w:right w:val="outset" w:sz="6" w:space="0" w:color="auto"/>
            </w:tcBorders>
            <w:vAlign w:val="center"/>
            <w:hideMark/>
          </w:tcPr>
          <w:p w:rsidR="00187587" w:rsidRPr="00647D38" w:rsidRDefault="00187587" w:rsidP="00187587">
            <w:pPr>
              <w:ind w:firstLine="300"/>
              <w:jc w:val="center"/>
              <w:rPr>
                <w:b/>
                <w:bCs/>
              </w:rPr>
            </w:pPr>
            <w:r w:rsidRPr="00647D38">
              <w:rPr>
                <w:b/>
                <w:bCs/>
              </w:rPr>
              <w:t>VI. Sabiedrības līdzdalība un komunikācijas aktivitātes</w:t>
            </w:r>
          </w:p>
        </w:tc>
      </w:tr>
      <w:tr w:rsidR="00187587" w:rsidRPr="00647D38" w:rsidTr="002154B4">
        <w:tblPrEx>
          <w:tblBorders>
            <w:top w:val="outset" w:sz="6" w:space="0" w:color="414142"/>
            <w:left w:val="outset" w:sz="6" w:space="0" w:color="414142"/>
            <w:bottom w:val="outset" w:sz="6" w:space="0" w:color="414142"/>
            <w:right w:val="outset" w:sz="6" w:space="0" w:color="414142"/>
          </w:tblBorders>
        </w:tblPrEx>
        <w:trPr>
          <w:trHeight w:val="540"/>
        </w:trPr>
        <w:tc>
          <w:tcPr>
            <w:tcW w:w="462" w:type="dxa"/>
            <w:tcBorders>
              <w:top w:val="outset" w:sz="6" w:space="0" w:color="414142"/>
              <w:left w:val="outset" w:sz="6" w:space="0" w:color="414142"/>
              <w:bottom w:val="outset" w:sz="6" w:space="0" w:color="414142"/>
              <w:right w:val="outset" w:sz="6" w:space="0" w:color="414142"/>
            </w:tcBorders>
            <w:hideMark/>
          </w:tcPr>
          <w:p w:rsidR="00187587" w:rsidRPr="00647D38" w:rsidRDefault="00187587" w:rsidP="00187587">
            <w:r w:rsidRPr="00647D38">
              <w:t>1.</w:t>
            </w:r>
          </w:p>
        </w:tc>
        <w:tc>
          <w:tcPr>
            <w:tcW w:w="3396" w:type="dxa"/>
            <w:gridSpan w:val="3"/>
            <w:tcBorders>
              <w:top w:val="outset" w:sz="6" w:space="0" w:color="414142"/>
              <w:left w:val="outset" w:sz="6" w:space="0" w:color="414142"/>
              <w:bottom w:val="outset" w:sz="6" w:space="0" w:color="414142"/>
              <w:right w:val="outset" w:sz="6" w:space="0" w:color="414142"/>
            </w:tcBorders>
            <w:hideMark/>
          </w:tcPr>
          <w:p w:rsidR="00187587" w:rsidRPr="00647D38" w:rsidRDefault="00187587" w:rsidP="00187587">
            <w:r w:rsidRPr="00647D38">
              <w:t>Plānotās sabiedrības līdzdalības un komunikācijas aktivitātes saistībā ar projektu</w:t>
            </w:r>
          </w:p>
        </w:tc>
        <w:tc>
          <w:tcPr>
            <w:tcW w:w="5356" w:type="dxa"/>
            <w:gridSpan w:val="2"/>
            <w:tcBorders>
              <w:top w:val="outset" w:sz="6" w:space="0" w:color="414142"/>
              <w:left w:val="outset" w:sz="6" w:space="0" w:color="414142"/>
              <w:bottom w:val="outset" w:sz="6" w:space="0" w:color="414142"/>
              <w:right w:val="outset" w:sz="6" w:space="0" w:color="414142"/>
            </w:tcBorders>
            <w:hideMark/>
          </w:tcPr>
          <w:p w:rsidR="009A5093" w:rsidRPr="00647D38" w:rsidRDefault="00FA0958" w:rsidP="006F0710">
            <w:pPr>
              <w:jc w:val="both"/>
            </w:pPr>
            <w:r>
              <w:t>Noteikumu projekt</w:t>
            </w:r>
            <w:r w:rsidR="00906865">
              <w:t>a</w:t>
            </w:r>
            <w:r>
              <w:t xml:space="preserve"> sabiedriskā apspried</w:t>
            </w:r>
            <w:r w:rsidR="00906865">
              <w:t xml:space="preserve">e </w:t>
            </w:r>
            <w:r w:rsidR="004B6D13">
              <w:t xml:space="preserve">notika </w:t>
            </w:r>
            <w:r>
              <w:t>2016.</w:t>
            </w:r>
            <w:r w:rsidR="00466550">
              <w:t> </w:t>
            </w:r>
            <w:r>
              <w:t>gada</w:t>
            </w:r>
            <w:r w:rsidR="006F66D0">
              <w:t xml:space="preserve"> 19.</w:t>
            </w:r>
            <w:r w:rsidR="00466550">
              <w:t> </w:t>
            </w:r>
            <w:r>
              <w:t>jūlijā.</w:t>
            </w:r>
            <w:r w:rsidR="006F0710">
              <w:t xml:space="preserve"> Informācija par sabiedrisko </w:t>
            </w:r>
            <w:r w:rsidR="006F0710" w:rsidRPr="00C4460D">
              <w:t xml:space="preserve">apspriedi pieejama elektroniskajā vietnē </w:t>
            </w:r>
            <w:hyperlink r:id="rId13" w:history="1">
              <w:r w:rsidR="009A5093" w:rsidRPr="00C4460D">
                <w:rPr>
                  <w:rStyle w:val="Hyperlink"/>
                  <w:color w:val="auto"/>
                  <w:u w:val="none"/>
                </w:rPr>
                <w:t>www.vm.gov.lv</w:t>
              </w:r>
            </w:hyperlink>
            <w:r w:rsidR="006F0710">
              <w:t>.</w:t>
            </w:r>
          </w:p>
        </w:tc>
      </w:tr>
      <w:tr w:rsidR="00187587" w:rsidRPr="00647D38" w:rsidTr="002154B4">
        <w:tblPrEx>
          <w:tblBorders>
            <w:top w:val="outset" w:sz="6" w:space="0" w:color="414142"/>
            <w:left w:val="outset" w:sz="6" w:space="0" w:color="414142"/>
            <w:bottom w:val="outset" w:sz="6" w:space="0" w:color="414142"/>
            <w:right w:val="outset" w:sz="6" w:space="0" w:color="414142"/>
          </w:tblBorders>
        </w:tblPrEx>
        <w:trPr>
          <w:trHeight w:val="330"/>
        </w:trPr>
        <w:tc>
          <w:tcPr>
            <w:tcW w:w="462" w:type="dxa"/>
            <w:tcBorders>
              <w:top w:val="outset" w:sz="6" w:space="0" w:color="414142"/>
              <w:left w:val="outset" w:sz="6" w:space="0" w:color="414142"/>
              <w:bottom w:val="outset" w:sz="6" w:space="0" w:color="414142"/>
              <w:right w:val="outset" w:sz="6" w:space="0" w:color="414142"/>
            </w:tcBorders>
            <w:hideMark/>
          </w:tcPr>
          <w:p w:rsidR="00187587" w:rsidRPr="00647D38" w:rsidRDefault="00187587" w:rsidP="00187587">
            <w:r w:rsidRPr="00647D38">
              <w:lastRenderedPageBreak/>
              <w:t>2.</w:t>
            </w:r>
          </w:p>
        </w:tc>
        <w:tc>
          <w:tcPr>
            <w:tcW w:w="3396" w:type="dxa"/>
            <w:gridSpan w:val="3"/>
            <w:tcBorders>
              <w:top w:val="outset" w:sz="6" w:space="0" w:color="414142"/>
              <w:left w:val="outset" w:sz="6" w:space="0" w:color="414142"/>
              <w:bottom w:val="outset" w:sz="6" w:space="0" w:color="414142"/>
              <w:right w:val="outset" w:sz="6" w:space="0" w:color="414142"/>
            </w:tcBorders>
            <w:hideMark/>
          </w:tcPr>
          <w:p w:rsidR="00187587" w:rsidRPr="00647D38" w:rsidRDefault="00187587" w:rsidP="00187587">
            <w:r w:rsidRPr="00647D38">
              <w:t xml:space="preserve">Sabiedrības līdzdalība projekta izstrādē </w:t>
            </w:r>
          </w:p>
        </w:tc>
        <w:tc>
          <w:tcPr>
            <w:tcW w:w="5356" w:type="dxa"/>
            <w:gridSpan w:val="2"/>
            <w:tcBorders>
              <w:top w:val="outset" w:sz="6" w:space="0" w:color="414142"/>
              <w:left w:val="outset" w:sz="6" w:space="0" w:color="414142"/>
              <w:bottom w:val="outset" w:sz="6" w:space="0" w:color="414142"/>
              <w:right w:val="outset" w:sz="6" w:space="0" w:color="414142"/>
            </w:tcBorders>
            <w:hideMark/>
          </w:tcPr>
          <w:p w:rsidR="006F0710" w:rsidRDefault="00906865" w:rsidP="006F0710">
            <w:pPr>
              <w:autoSpaceDE w:val="0"/>
              <w:autoSpaceDN w:val="0"/>
              <w:adjustRightInd w:val="0"/>
              <w:jc w:val="both"/>
            </w:pPr>
            <w:r>
              <w:t>Noteikumu</w:t>
            </w:r>
            <w:r w:rsidR="004B6D13">
              <w:t xml:space="preserve"> projekta sabiedriskā apspriede notika</w:t>
            </w:r>
            <w:r>
              <w:t xml:space="preserve"> 2016.</w:t>
            </w:r>
            <w:r w:rsidR="00466550">
              <w:t> </w:t>
            </w:r>
            <w:r>
              <w:t>gada</w:t>
            </w:r>
            <w:r w:rsidR="006F66D0">
              <w:t xml:space="preserve"> 19.</w:t>
            </w:r>
            <w:r w:rsidR="00466550">
              <w:t> </w:t>
            </w:r>
            <w:r>
              <w:t>jūlijā.</w:t>
            </w:r>
          </w:p>
          <w:p w:rsidR="009A5093" w:rsidRPr="009A5093" w:rsidRDefault="006F0710" w:rsidP="00725D10">
            <w:pPr>
              <w:autoSpaceDE w:val="0"/>
              <w:autoSpaceDN w:val="0"/>
              <w:adjustRightInd w:val="0"/>
              <w:jc w:val="both"/>
              <w:rPr>
                <w:rFonts w:eastAsia="Times New Roman" w:cs="Times New Roman"/>
                <w:szCs w:val="24"/>
                <w:lang w:eastAsia="lv-LV"/>
              </w:rPr>
            </w:pPr>
            <w:r w:rsidRPr="006F0710">
              <w:rPr>
                <w:rFonts w:eastAsia="Times New Roman" w:cs="Times New Roman"/>
                <w:szCs w:val="24"/>
                <w:lang w:eastAsia="lv-LV"/>
              </w:rPr>
              <w:t>Par Noteikumu projektu iebildumi netika saņemti, kā arī netika izteikti sabiedriskajā apspriedē.</w:t>
            </w:r>
            <w:r w:rsidR="00725D10">
              <w:t xml:space="preserve"> </w:t>
            </w:r>
          </w:p>
        </w:tc>
      </w:tr>
      <w:tr w:rsidR="00187587" w:rsidRPr="00647D38" w:rsidTr="002154B4">
        <w:tblPrEx>
          <w:tblBorders>
            <w:top w:val="outset" w:sz="6" w:space="0" w:color="414142"/>
            <w:left w:val="outset" w:sz="6" w:space="0" w:color="414142"/>
            <w:bottom w:val="outset" w:sz="6" w:space="0" w:color="414142"/>
            <w:right w:val="outset" w:sz="6" w:space="0" w:color="414142"/>
          </w:tblBorders>
        </w:tblPrEx>
        <w:trPr>
          <w:trHeight w:val="465"/>
        </w:trPr>
        <w:tc>
          <w:tcPr>
            <w:tcW w:w="462" w:type="dxa"/>
            <w:tcBorders>
              <w:top w:val="outset" w:sz="6" w:space="0" w:color="414142"/>
              <w:left w:val="outset" w:sz="6" w:space="0" w:color="414142"/>
              <w:bottom w:val="outset" w:sz="6" w:space="0" w:color="414142"/>
              <w:right w:val="outset" w:sz="6" w:space="0" w:color="414142"/>
            </w:tcBorders>
            <w:hideMark/>
          </w:tcPr>
          <w:p w:rsidR="00187587" w:rsidRPr="00647D38" w:rsidRDefault="00187587" w:rsidP="00187587">
            <w:r w:rsidRPr="00647D38">
              <w:t>3.</w:t>
            </w:r>
          </w:p>
        </w:tc>
        <w:tc>
          <w:tcPr>
            <w:tcW w:w="3396" w:type="dxa"/>
            <w:gridSpan w:val="3"/>
            <w:tcBorders>
              <w:top w:val="outset" w:sz="6" w:space="0" w:color="414142"/>
              <w:left w:val="outset" w:sz="6" w:space="0" w:color="414142"/>
              <w:bottom w:val="outset" w:sz="6" w:space="0" w:color="414142"/>
              <w:right w:val="outset" w:sz="6" w:space="0" w:color="414142"/>
            </w:tcBorders>
            <w:hideMark/>
          </w:tcPr>
          <w:p w:rsidR="00187587" w:rsidRPr="00647D38" w:rsidRDefault="00187587" w:rsidP="00187587">
            <w:r w:rsidRPr="00647D38">
              <w:t>Sabiedrības līdzdalības rezultāti</w:t>
            </w:r>
          </w:p>
        </w:tc>
        <w:tc>
          <w:tcPr>
            <w:tcW w:w="5356" w:type="dxa"/>
            <w:gridSpan w:val="2"/>
            <w:tcBorders>
              <w:top w:val="outset" w:sz="6" w:space="0" w:color="414142"/>
              <w:left w:val="outset" w:sz="6" w:space="0" w:color="414142"/>
              <w:bottom w:val="outset" w:sz="6" w:space="0" w:color="414142"/>
              <w:right w:val="outset" w:sz="6" w:space="0" w:color="414142"/>
            </w:tcBorders>
            <w:hideMark/>
          </w:tcPr>
          <w:p w:rsidR="00FF3ECF" w:rsidRDefault="006F0710">
            <w:pPr>
              <w:pStyle w:val="NoSpacing"/>
              <w:jc w:val="both"/>
              <w:rPr>
                <w:rStyle w:val="BodytextNotBold"/>
                <w:b w:val="0"/>
                <w:color w:val="auto"/>
              </w:rPr>
            </w:pPr>
            <w:r w:rsidRPr="00FC6D87">
              <w:rPr>
                <w:lang w:eastAsia="lv-LV"/>
              </w:rPr>
              <w:t>Noteikumu projekta virzību atbalstīja visi sabiedrības pārstāvji, kuri piedalījās sabiedriskajā apspriedē</w:t>
            </w:r>
            <w:r w:rsidR="005A1C5C" w:rsidRPr="00FC6D87">
              <w:rPr>
                <w:lang w:eastAsia="lv-LV"/>
              </w:rPr>
              <w:t xml:space="preserve">: </w:t>
            </w:r>
            <w:r w:rsidR="009212B5" w:rsidRPr="00F9663A">
              <w:rPr>
                <w:lang w:eastAsia="lv-LV"/>
              </w:rPr>
              <w:t xml:space="preserve">Aptieku Īpašnieku asociācija, </w:t>
            </w:r>
            <w:r w:rsidR="00AD6338" w:rsidRPr="00F9663A">
              <w:rPr>
                <w:lang w:eastAsia="lv-LV"/>
              </w:rPr>
              <w:t>Rīga</w:t>
            </w:r>
            <w:r w:rsidR="00C4460D">
              <w:rPr>
                <w:lang w:eastAsia="lv-LV"/>
              </w:rPr>
              <w:t>s</w:t>
            </w:r>
            <w:r w:rsidR="00AD6338" w:rsidRPr="00F9663A">
              <w:rPr>
                <w:lang w:eastAsia="lv-LV"/>
              </w:rPr>
              <w:t xml:space="preserve"> Austrumu klīniskā univers</w:t>
            </w:r>
            <w:r w:rsidR="00945A90" w:rsidRPr="00F9663A">
              <w:rPr>
                <w:lang w:eastAsia="lv-LV"/>
              </w:rPr>
              <w:t>itātes slimnīcas</w:t>
            </w:r>
            <w:r w:rsidR="009212B5" w:rsidRPr="00F9663A">
              <w:rPr>
                <w:lang w:eastAsia="lv-LV"/>
              </w:rPr>
              <w:t xml:space="preserve"> </w:t>
            </w:r>
            <w:r w:rsidR="000022E1" w:rsidRPr="00F9663A">
              <w:rPr>
                <w:lang w:eastAsia="lv-LV"/>
              </w:rPr>
              <w:t xml:space="preserve">aptiekas dienests, </w:t>
            </w:r>
            <w:r w:rsidR="009212B5" w:rsidRPr="00F9663A">
              <w:rPr>
                <w:rStyle w:val="BodytextNotBold"/>
                <w:b w:val="0"/>
                <w:color w:val="auto"/>
              </w:rPr>
              <w:t>VSIA „Traumatoloģijas un ortopēdijas slimnīca”</w:t>
            </w:r>
            <w:r w:rsidR="00945A90" w:rsidRPr="00F9663A">
              <w:rPr>
                <w:rStyle w:val="BodytextNotBold"/>
                <w:rFonts w:eastAsiaTheme="minorHAnsi"/>
                <w:b w:val="0"/>
                <w:color w:val="auto"/>
              </w:rPr>
              <w:t>,</w:t>
            </w:r>
            <w:r w:rsidR="00945A90" w:rsidRPr="00F9663A">
              <w:rPr>
                <w:rStyle w:val="BodytextNotBold"/>
                <w:rFonts w:eastAsiaTheme="minorHAnsi"/>
                <w:color w:val="auto"/>
              </w:rPr>
              <w:t xml:space="preserve"> </w:t>
            </w:r>
            <w:r w:rsidR="009212B5" w:rsidRPr="00F9663A">
              <w:rPr>
                <w:shd w:val="clear" w:color="auto" w:fill="FFFFFF"/>
              </w:rPr>
              <w:t>Bērnu klīniskā universitātes slimnīc</w:t>
            </w:r>
            <w:r w:rsidR="00A77C8B" w:rsidRPr="00F9663A">
              <w:rPr>
                <w:shd w:val="clear" w:color="auto" w:fill="FFFFFF"/>
              </w:rPr>
              <w:t>a</w:t>
            </w:r>
            <w:r w:rsidR="009212B5" w:rsidRPr="00F9663A">
              <w:rPr>
                <w:shd w:val="clear" w:color="auto" w:fill="FFFFFF"/>
              </w:rPr>
              <w:t>s</w:t>
            </w:r>
            <w:r w:rsidR="00FC6D87" w:rsidRPr="00F9663A">
              <w:t xml:space="preserve"> </w:t>
            </w:r>
            <w:proofErr w:type="spellStart"/>
            <w:r w:rsidR="009212B5" w:rsidRPr="00F9663A">
              <w:rPr>
                <w:rStyle w:val="BodytextNotBold"/>
                <w:b w:val="0"/>
                <w:color w:val="auto"/>
              </w:rPr>
              <w:t>Citostatisko</w:t>
            </w:r>
            <w:proofErr w:type="spellEnd"/>
            <w:r w:rsidR="009212B5" w:rsidRPr="00F9663A">
              <w:rPr>
                <w:rStyle w:val="BodytextNotBold"/>
                <w:b w:val="0"/>
                <w:color w:val="auto"/>
              </w:rPr>
              <w:t xml:space="preserve"> līdzekļu pagatavošanas dienest</w:t>
            </w:r>
            <w:r w:rsidR="009212B5" w:rsidRPr="00F9663A">
              <w:rPr>
                <w:rStyle w:val="BodytextNotBold"/>
                <w:rFonts w:eastAsiaTheme="minorHAnsi"/>
                <w:b w:val="0"/>
                <w:color w:val="auto"/>
              </w:rPr>
              <w:t xml:space="preserve">s, </w:t>
            </w:r>
            <w:r w:rsidR="006B4AE5">
              <w:rPr>
                <w:rStyle w:val="BodytextNotBold"/>
                <w:rFonts w:eastAsiaTheme="minorHAnsi"/>
                <w:b w:val="0"/>
                <w:color w:val="auto"/>
              </w:rPr>
              <w:t>biedrības „</w:t>
            </w:r>
            <w:r w:rsidR="00A77C8B" w:rsidRPr="00F9663A">
              <w:rPr>
                <w:rStyle w:val="BodytextNotBold"/>
                <w:b w:val="0"/>
                <w:color w:val="auto"/>
              </w:rPr>
              <w:t>Starptautisko inovatīvo farm</w:t>
            </w:r>
            <w:r w:rsidR="00C4460D">
              <w:rPr>
                <w:rStyle w:val="BodytextNotBold"/>
                <w:b w:val="0"/>
                <w:color w:val="auto"/>
              </w:rPr>
              <w:t>aceitisko firmu asociācija</w:t>
            </w:r>
            <w:r w:rsidR="006B4AE5">
              <w:rPr>
                <w:rStyle w:val="BodytextNotBold"/>
                <w:b w:val="0"/>
                <w:color w:val="auto"/>
              </w:rPr>
              <w:t>”</w:t>
            </w:r>
            <w:r w:rsidR="00C4460D">
              <w:rPr>
                <w:rStyle w:val="BodytextNotBold"/>
                <w:b w:val="0"/>
                <w:color w:val="auto"/>
              </w:rPr>
              <w:t xml:space="preserve"> un</w:t>
            </w:r>
            <w:r w:rsidR="009212B5" w:rsidRPr="00F9663A">
              <w:rPr>
                <w:rStyle w:val="BodytextNotBold"/>
                <w:b w:val="0"/>
                <w:color w:val="auto"/>
              </w:rPr>
              <w:t xml:space="preserve"> </w:t>
            </w:r>
            <w:r w:rsidR="006B4AE5">
              <w:rPr>
                <w:rStyle w:val="BodytextNotBold"/>
                <w:b w:val="0"/>
                <w:color w:val="auto"/>
              </w:rPr>
              <w:t>„</w:t>
            </w:r>
            <w:r w:rsidR="009212B5" w:rsidRPr="00F9663A">
              <w:rPr>
                <w:rStyle w:val="BodytextNotBold"/>
                <w:b w:val="0"/>
                <w:color w:val="auto"/>
              </w:rPr>
              <w:t xml:space="preserve">Latvijas </w:t>
            </w:r>
            <w:proofErr w:type="spellStart"/>
            <w:r w:rsidR="009212B5" w:rsidRPr="00F9663A">
              <w:rPr>
                <w:rStyle w:val="BodytextNotBold"/>
                <w:b w:val="0"/>
                <w:color w:val="auto"/>
              </w:rPr>
              <w:t>Patentbrīvo</w:t>
            </w:r>
            <w:proofErr w:type="spellEnd"/>
            <w:r w:rsidR="009212B5" w:rsidRPr="00F9663A">
              <w:rPr>
                <w:rStyle w:val="BodytextNotBold"/>
                <w:b w:val="0"/>
                <w:color w:val="auto"/>
              </w:rPr>
              <w:t xml:space="preserve"> medikamentu asociācija</w:t>
            </w:r>
            <w:r w:rsidR="006B4AE5">
              <w:rPr>
                <w:rStyle w:val="BodytextNotBold"/>
                <w:b w:val="0"/>
                <w:color w:val="auto"/>
              </w:rPr>
              <w:t>”</w:t>
            </w:r>
            <w:r w:rsidR="009212B5" w:rsidRPr="00F9663A">
              <w:rPr>
                <w:rStyle w:val="BodytextNotBold"/>
                <w:b w:val="0"/>
                <w:color w:val="auto"/>
              </w:rPr>
              <w:t>.</w:t>
            </w:r>
          </w:p>
          <w:p w:rsidR="00725D10" w:rsidRDefault="00725D10">
            <w:pPr>
              <w:pStyle w:val="NoSpacing"/>
              <w:jc w:val="both"/>
              <w:rPr>
                <w:b/>
                <w:bCs/>
                <w:color w:val="000000"/>
                <w:lang w:eastAsia="lv-LV" w:bidi="lv-LV"/>
              </w:rPr>
            </w:pPr>
            <w:r>
              <w:t xml:space="preserve">Biedrības “Starptautisko inovatīvo farmaceitisko firmu asociācija”, “Latvijas </w:t>
            </w:r>
            <w:proofErr w:type="spellStart"/>
            <w:r>
              <w:t>Patentbrīvo</w:t>
            </w:r>
            <w:proofErr w:type="spellEnd"/>
            <w:r>
              <w:t xml:space="preserve"> Medikamentu Asociācija” un “Biofarmaceitisko zāļu ražotāju asociācija Latvijā” 2016.gada 10.augustā </w:t>
            </w:r>
            <w:r w:rsidR="006B4AE5">
              <w:t xml:space="preserve">vēl papildus </w:t>
            </w:r>
            <w:r>
              <w:t>informēja Veselības ministriju par to, ka atbalsta Noteikumu projekta tālāko virzību.</w:t>
            </w:r>
          </w:p>
        </w:tc>
      </w:tr>
      <w:tr w:rsidR="00187587" w:rsidRPr="00647D38" w:rsidTr="002154B4">
        <w:tblPrEx>
          <w:tblBorders>
            <w:top w:val="outset" w:sz="6" w:space="0" w:color="414142"/>
            <w:left w:val="outset" w:sz="6" w:space="0" w:color="414142"/>
            <w:bottom w:val="outset" w:sz="6" w:space="0" w:color="414142"/>
            <w:right w:val="outset" w:sz="6" w:space="0" w:color="414142"/>
          </w:tblBorders>
        </w:tblPrEx>
        <w:trPr>
          <w:trHeight w:val="465"/>
        </w:trPr>
        <w:tc>
          <w:tcPr>
            <w:tcW w:w="462" w:type="dxa"/>
            <w:tcBorders>
              <w:top w:val="outset" w:sz="6" w:space="0" w:color="414142"/>
              <w:left w:val="outset" w:sz="6" w:space="0" w:color="414142"/>
              <w:bottom w:val="outset" w:sz="6" w:space="0" w:color="414142"/>
              <w:right w:val="outset" w:sz="6" w:space="0" w:color="414142"/>
            </w:tcBorders>
            <w:hideMark/>
          </w:tcPr>
          <w:p w:rsidR="00187587" w:rsidRPr="00647D38" w:rsidRDefault="00187587" w:rsidP="00187587">
            <w:r w:rsidRPr="00647D38">
              <w:t>4.</w:t>
            </w:r>
          </w:p>
        </w:tc>
        <w:tc>
          <w:tcPr>
            <w:tcW w:w="3396" w:type="dxa"/>
            <w:gridSpan w:val="3"/>
            <w:tcBorders>
              <w:top w:val="outset" w:sz="6" w:space="0" w:color="414142"/>
              <w:left w:val="outset" w:sz="6" w:space="0" w:color="414142"/>
              <w:bottom w:val="outset" w:sz="6" w:space="0" w:color="414142"/>
              <w:right w:val="outset" w:sz="6" w:space="0" w:color="414142"/>
            </w:tcBorders>
            <w:hideMark/>
          </w:tcPr>
          <w:p w:rsidR="00187587" w:rsidRPr="00647D38" w:rsidRDefault="00187587" w:rsidP="00187587">
            <w:r w:rsidRPr="00647D38">
              <w:t>Cita informācija</w:t>
            </w:r>
          </w:p>
        </w:tc>
        <w:tc>
          <w:tcPr>
            <w:tcW w:w="5356" w:type="dxa"/>
            <w:gridSpan w:val="2"/>
            <w:tcBorders>
              <w:top w:val="outset" w:sz="6" w:space="0" w:color="414142"/>
              <w:left w:val="outset" w:sz="6" w:space="0" w:color="414142"/>
              <w:bottom w:val="outset" w:sz="6" w:space="0" w:color="414142"/>
              <w:right w:val="outset" w:sz="6" w:space="0" w:color="414142"/>
            </w:tcBorders>
            <w:hideMark/>
          </w:tcPr>
          <w:p w:rsidR="00187587" w:rsidRPr="00647D38" w:rsidRDefault="00187587" w:rsidP="00187587">
            <w:r w:rsidRPr="00647D38">
              <w:t>Nav</w:t>
            </w:r>
          </w:p>
        </w:tc>
      </w:tr>
      <w:tr w:rsidR="00187587" w:rsidRPr="005B5F1E" w:rsidTr="00337DA1">
        <w:tblPrEx>
          <w:jc w:val="center"/>
        </w:tblPrEx>
        <w:trPr>
          <w:trHeight w:val="375"/>
          <w:jc w:val="center"/>
        </w:trPr>
        <w:tc>
          <w:tcPr>
            <w:tcW w:w="9214" w:type="dxa"/>
            <w:gridSpan w:val="6"/>
            <w:tcBorders>
              <w:top w:val="outset" w:sz="6" w:space="0" w:color="auto"/>
              <w:left w:val="outset" w:sz="6" w:space="0" w:color="auto"/>
              <w:bottom w:val="outset" w:sz="6" w:space="0" w:color="auto"/>
              <w:right w:val="outset" w:sz="6" w:space="0" w:color="auto"/>
            </w:tcBorders>
            <w:vAlign w:val="center"/>
            <w:hideMark/>
          </w:tcPr>
          <w:p w:rsidR="00187587" w:rsidRDefault="00187587" w:rsidP="00CC40FD">
            <w:pPr>
              <w:spacing w:before="75" w:after="75"/>
              <w:jc w:val="center"/>
              <w:rPr>
                <w:rFonts w:eastAsia="Times New Roman" w:cs="Times New Roman"/>
                <w:b/>
                <w:bCs/>
                <w:szCs w:val="24"/>
                <w:lang w:eastAsia="lv-LV"/>
              </w:rPr>
            </w:pPr>
            <w:r w:rsidRPr="005B5F1E">
              <w:rPr>
                <w:rFonts w:eastAsia="Times New Roman" w:cs="Times New Roman"/>
                <w:b/>
                <w:bCs/>
                <w:szCs w:val="24"/>
                <w:lang w:eastAsia="lv-LV"/>
              </w:rPr>
              <w:t>VII. Tiesību akta projekta izpildes nodrošināšana un tās ietekme uz institūcijām</w:t>
            </w:r>
          </w:p>
        </w:tc>
      </w:tr>
      <w:tr w:rsidR="003E6B1C" w:rsidRPr="005B5F1E" w:rsidTr="002154B4">
        <w:tblPrEx>
          <w:jc w:val="center"/>
        </w:tblPrEx>
        <w:trPr>
          <w:trHeight w:val="420"/>
          <w:jc w:val="center"/>
        </w:trPr>
        <w:tc>
          <w:tcPr>
            <w:tcW w:w="462" w:type="dxa"/>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1.</w:t>
            </w:r>
          </w:p>
        </w:tc>
        <w:tc>
          <w:tcPr>
            <w:tcW w:w="3381" w:type="dxa"/>
            <w:gridSpan w:val="2"/>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Projekta izpildē iesaistītās institūcijas</w:t>
            </w:r>
          </w:p>
        </w:tc>
        <w:tc>
          <w:tcPr>
            <w:tcW w:w="5371" w:type="dxa"/>
            <w:gridSpan w:val="3"/>
            <w:tcBorders>
              <w:top w:val="outset" w:sz="6" w:space="0" w:color="auto"/>
              <w:left w:val="outset" w:sz="6" w:space="0" w:color="auto"/>
              <w:bottom w:val="outset" w:sz="6" w:space="0" w:color="auto"/>
              <w:right w:val="outset" w:sz="6" w:space="0" w:color="auto"/>
            </w:tcBorders>
            <w:hideMark/>
          </w:tcPr>
          <w:p w:rsidR="006F6A6F" w:rsidRPr="005B5F1E" w:rsidRDefault="006F6A6F" w:rsidP="002B7FAB">
            <w:pPr>
              <w:rPr>
                <w:rFonts w:eastAsia="Times New Roman" w:cs="Times New Roman"/>
                <w:szCs w:val="24"/>
                <w:lang w:eastAsia="lv-LV"/>
              </w:rPr>
            </w:pPr>
            <w:r w:rsidRPr="005B5F1E">
              <w:rPr>
                <w:rFonts w:eastAsia="Times New Roman" w:cs="Times New Roman"/>
                <w:szCs w:val="24"/>
                <w:lang w:eastAsia="lv-LV"/>
              </w:rPr>
              <w:t>Veselības inspekcija</w:t>
            </w:r>
          </w:p>
        </w:tc>
      </w:tr>
      <w:tr w:rsidR="003E6B1C" w:rsidRPr="005B5F1E" w:rsidTr="002154B4">
        <w:tblPrEx>
          <w:jc w:val="center"/>
        </w:tblPrEx>
        <w:trPr>
          <w:trHeight w:val="450"/>
          <w:jc w:val="center"/>
        </w:trPr>
        <w:tc>
          <w:tcPr>
            <w:tcW w:w="462" w:type="dxa"/>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2.</w:t>
            </w:r>
          </w:p>
        </w:tc>
        <w:tc>
          <w:tcPr>
            <w:tcW w:w="3381" w:type="dxa"/>
            <w:gridSpan w:val="2"/>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 xml:space="preserve">Projekta izpildes ietekme uz pārvaldes funkcijām un institucionālo struktūru. </w:t>
            </w:r>
          </w:p>
          <w:p w:rsidR="003E6B1C" w:rsidRPr="005B5F1E" w:rsidRDefault="003E6B1C" w:rsidP="00CC40FD">
            <w:pPr>
              <w:spacing w:before="75" w:after="75"/>
              <w:rPr>
                <w:rFonts w:eastAsia="Times New Roman" w:cs="Times New Roman"/>
                <w:szCs w:val="24"/>
                <w:lang w:eastAsia="lv-LV"/>
              </w:rPr>
            </w:pPr>
            <w:r w:rsidRPr="005B5F1E">
              <w:rPr>
                <w:rFonts w:eastAsia="Times New Roman" w:cs="Times New Roman"/>
                <w:szCs w:val="24"/>
                <w:lang w:eastAsia="lv-LV"/>
              </w:rPr>
              <w:t>Jaunu institūciju izveide, esošu institūciju likvidācija vai reorganizācija, to ietekme uz institūcijas cilvēkresursiem</w:t>
            </w:r>
          </w:p>
        </w:tc>
        <w:tc>
          <w:tcPr>
            <w:tcW w:w="5371" w:type="dxa"/>
            <w:gridSpan w:val="3"/>
            <w:tcBorders>
              <w:top w:val="outset" w:sz="6" w:space="0" w:color="auto"/>
              <w:left w:val="outset" w:sz="6" w:space="0" w:color="auto"/>
              <w:bottom w:val="outset" w:sz="6" w:space="0" w:color="auto"/>
              <w:right w:val="outset" w:sz="6" w:space="0" w:color="auto"/>
            </w:tcBorders>
            <w:hideMark/>
          </w:tcPr>
          <w:p w:rsidR="005B5F1E" w:rsidRPr="005B5F1E" w:rsidRDefault="005B5F1E" w:rsidP="006F66D0">
            <w:pPr>
              <w:jc w:val="both"/>
            </w:pPr>
            <w:r w:rsidRPr="005B5F1E">
              <w:t>Projekta izpilde neietekmēs pārvaldes funkcijas vai institucionālo sistēmu.</w:t>
            </w:r>
          </w:p>
          <w:p w:rsidR="007D2F6A" w:rsidRPr="005B5F1E" w:rsidRDefault="005B5F1E" w:rsidP="006F66D0">
            <w:pPr>
              <w:spacing w:before="75" w:after="75"/>
              <w:jc w:val="both"/>
              <w:rPr>
                <w:rFonts w:eastAsia="Times New Roman" w:cs="Times New Roman"/>
                <w:szCs w:val="24"/>
                <w:lang w:eastAsia="lv-LV"/>
              </w:rPr>
            </w:pPr>
            <w:r w:rsidRPr="005B5F1E">
              <w:t>Saistībā ar Noteikuma projekta izpildi nav nepieciešams veidot jaunas institūcijas, likvidēt vai reorganizēt esošās</w:t>
            </w:r>
            <w:r w:rsidR="006F66D0">
              <w:t>.</w:t>
            </w:r>
          </w:p>
        </w:tc>
      </w:tr>
      <w:tr w:rsidR="003E6B1C" w:rsidRPr="005B5F1E" w:rsidTr="002154B4">
        <w:tblPrEx>
          <w:jc w:val="center"/>
        </w:tblPrEx>
        <w:trPr>
          <w:trHeight w:val="390"/>
          <w:jc w:val="center"/>
        </w:trPr>
        <w:tc>
          <w:tcPr>
            <w:tcW w:w="462" w:type="dxa"/>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3.</w:t>
            </w:r>
          </w:p>
        </w:tc>
        <w:tc>
          <w:tcPr>
            <w:tcW w:w="3381" w:type="dxa"/>
            <w:gridSpan w:val="2"/>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rPr>
                <w:rFonts w:eastAsia="Times New Roman" w:cs="Times New Roman"/>
                <w:szCs w:val="24"/>
                <w:lang w:eastAsia="lv-LV"/>
              </w:rPr>
            </w:pPr>
            <w:r w:rsidRPr="005B5F1E">
              <w:rPr>
                <w:rFonts w:eastAsia="Times New Roman" w:cs="Times New Roman"/>
                <w:szCs w:val="24"/>
                <w:lang w:eastAsia="lv-LV"/>
              </w:rPr>
              <w:t>Cita informācija</w:t>
            </w:r>
          </w:p>
        </w:tc>
        <w:tc>
          <w:tcPr>
            <w:tcW w:w="5371" w:type="dxa"/>
            <w:gridSpan w:val="3"/>
            <w:tcBorders>
              <w:top w:val="outset" w:sz="6" w:space="0" w:color="auto"/>
              <w:left w:val="outset" w:sz="6" w:space="0" w:color="auto"/>
              <w:bottom w:val="outset" w:sz="6" w:space="0" w:color="auto"/>
              <w:right w:val="outset" w:sz="6" w:space="0" w:color="auto"/>
            </w:tcBorders>
            <w:hideMark/>
          </w:tcPr>
          <w:p w:rsidR="003E6B1C" w:rsidRPr="005B5F1E" w:rsidRDefault="003E6B1C" w:rsidP="002B7FAB">
            <w:pPr>
              <w:spacing w:before="75" w:after="75"/>
              <w:rPr>
                <w:rFonts w:eastAsia="Times New Roman" w:cs="Times New Roman"/>
                <w:szCs w:val="24"/>
                <w:lang w:eastAsia="lv-LV"/>
              </w:rPr>
            </w:pPr>
            <w:r w:rsidRPr="005B5F1E">
              <w:rPr>
                <w:rFonts w:eastAsia="Times New Roman" w:cs="Times New Roman"/>
                <w:szCs w:val="24"/>
                <w:lang w:eastAsia="lv-LV"/>
              </w:rPr>
              <w:t>Nav</w:t>
            </w:r>
            <w:r w:rsidR="00F24940" w:rsidRPr="005B5F1E">
              <w:rPr>
                <w:rFonts w:eastAsia="Times New Roman" w:cs="Times New Roman"/>
                <w:szCs w:val="24"/>
                <w:lang w:eastAsia="lv-LV"/>
              </w:rPr>
              <w:t>.</w:t>
            </w:r>
          </w:p>
        </w:tc>
      </w:tr>
    </w:tbl>
    <w:p w:rsidR="00EF0B31" w:rsidRPr="00A8351A" w:rsidRDefault="00EF0B31" w:rsidP="003E6B1C">
      <w:pPr>
        <w:rPr>
          <w:rFonts w:cs="Times New Roman"/>
          <w:sz w:val="28"/>
          <w:szCs w:val="28"/>
        </w:rPr>
      </w:pPr>
    </w:p>
    <w:p w:rsidR="005B5F1E" w:rsidRPr="002D4607" w:rsidRDefault="008E7EA4" w:rsidP="001D01A5">
      <w:pPr>
        <w:spacing w:after="480"/>
        <w:jc w:val="center"/>
        <w:rPr>
          <w:rFonts w:cs="Times New Roman"/>
          <w:i/>
          <w:szCs w:val="24"/>
        </w:rPr>
      </w:pPr>
      <w:r w:rsidRPr="005B5F1E">
        <w:rPr>
          <w:rFonts w:cs="Times New Roman"/>
          <w:i/>
          <w:szCs w:val="24"/>
        </w:rPr>
        <w:t>Anotācijas II</w:t>
      </w:r>
      <w:r w:rsidR="00E344E4" w:rsidRPr="005B5F1E">
        <w:rPr>
          <w:rFonts w:cs="Times New Roman"/>
          <w:i/>
          <w:szCs w:val="24"/>
        </w:rPr>
        <w:t>I</w:t>
      </w:r>
      <w:r w:rsidR="006F6A6F" w:rsidRPr="005B5F1E">
        <w:rPr>
          <w:rFonts w:cs="Times New Roman"/>
          <w:i/>
          <w:szCs w:val="24"/>
        </w:rPr>
        <w:t>,</w:t>
      </w:r>
      <w:r w:rsidR="00E344E4" w:rsidRPr="005B5F1E">
        <w:rPr>
          <w:rFonts w:cs="Times New Roman"/>
          <w:i/>
          <w:szCs w:val="24"/>
        </w:rPr>
        <w:t xml:space="preserve"> </w:t>
      </w:r>
      <w:r w:rsidR="006F66D0">
        <w:rPr>
          <w:rFonts w:cs="Times New Roman"/>
          <w:i/>
          <w:szCs w:val="24"/>
        </w:rPr>
        <w:t xml:space="preserve">IV un </w:t>
      </w:r>
      <w:r w:rsidR="00A8351A">
        <w:rPr>
          <w:rFonts w:cs="Times New Roman"/>
          <w:i/>
          <w:szCs w:val="24"/>
        </w:rPr>
        <w:t>V sadaļa - </w:t>
      </w:r>
      <w:r w:rsidR="00906865">
        <w:rPr>
          <w:rFonts w:cs="Times New Roman"/>
          <w:i/>
          <w:szCs w:val="24"/>
        </w:rPr>
        <w:t>Noteikumu p</w:t>
      </w:r>
      <w:r w:rsidRPr="005B5F1E">
        <w:rPr>
          <w:rFonts w:cs="Times New Roman"/>
          <w:i/>
          <w:szCs w:val="24"/>
        </w:rPr>
        <w:t>rojekts šīs jomas neskar.</w:t>
      </w:r>
    </w:p>
    <w:p w:rsidR="00B174DE" w:rsidRPr="005B5F1E" w:rsidRDefault="00492F76" w:rsidP="002D4607">
      <w:pPr>
        <w:tabs>
          <w:tab w:val="left" w:pos="7230"/>
        </w:tabs>
        <w:ind w:right="-766"/>
        <w:rPr>
          <w:rFonts w:eastAsia="Calibri" w:cs="Times New Roman"/>
          <w:sz w:val="28"/>
          <w:szCs w:val="28"/>
        </w:rPr>
      </w:pPr>
      <w:r w:rsidRPr="005B5F1E">
        <w:rPr>
          <w:rFonts w:eastAsia="Calibri" w:cs="Times New Roman"/>
          <w:sz w:val="28"/>
          <w:szCs w:val="28"/>
        </w:rPr>
        <w:t>Veselības ministr</w:t>
      </w:r>
      <w:r w:rsidR="00FA0958">
        <w:rPr>
          <w:rFonts w:eastAsia="Calibri" w:cs="Times New Roman"/>
          <w:sz w:val="28"/>
          <w:szCs w:val="28"/>
        </w:rPr>
        <w:t>e</w:t>
      </w:r>
      <w:r w:rsidRPr="005B5F1E">
        <w:rPr>
          <w:rFonts w:eastAsia="Calibri" w:cs="Times New Roman"/>
          <w:sz w:val="28"/>
          <w:szCs w:val="28"/>
        </w:rPr>
        <w:tab/>
      </w:r>
      <w:r w:rsidR="002154B4">
        <w:rPr>
          <w:rFonts w:eastAsia="Calibri" w:cs="Times New Roman"/>
          <w:sz w:val="28"/>
          <w:szCs w:val="28"/>
        </w:rPr>
        <w:tab/>
      </w:r>
      <w:r w:rsidR="00FA0958">
        <w:rPr>
          <w:rFonts w:eastAsia="Calibri" w:cs="Times New Roman"/>
          <w:sz w:val="28"/>
          <w:szCs w:val="28"/>
        </w:rPr>
        <w:t xml:space="preserve">Anda </w:t>
      </w:r>
      <w:proofErr w:type="spellStart"/>
      <w:r w:rsidR="00FA0958">
        <w:rPr>
          <w:rFonts w:eastAsia="Calibri" w:cs="Times New Roman"/>
          <w:sz w:val="28"/>
          <w:szCs w:val="28"/>
        </w:rPr>
        <w:t>Čakša</w:t>
      </w:r>
      <w:proofErr w:type="spellEnd"/>
    </w:p>
    <w:p w:rsidR="001D01A5" w:rsidRDefault="001D01A5" w:rsidP="002D4607">
      <w:pPr>
        <w:tabs>
          <w:tab w:val="right" w:pos="9072"/>
        </w:tabs>
        <w:ind w:right="-1"/>
        <w:rPr>
          <w:rFonts w:eastAsia="Calibri" w:cs="Times New Roman"/>
          <w:sz w:val="28"/>
          <w:szCs w:val="28"/>
        </w:rPr>
      </w:pPr>
    </w:p>
    <w:p w:rsidR="00A8351A" w:rsidRDefault="00A8351A" w:rsidP="002D4607">
      <w:pPr>
        <w:tabs>
          <w:tab w:val="right" w:pos="9072"/>
        </w:tabs>
        <w:ind w:right="-1"/>
        <w:rPr>
          <w:rFonts w:eastAsia="Calibri" w:cs="Times New Roman"/>
          <w:sz w:val="28"/>
          <w:szCs w:val="28"/>
        </w:rPr>
      </w:pPr>
    </w:p>
    <w:p w:rsidR="00A8351A" w:rsidRDefault="00A8351A" w:rsidP="002D4607">
      <w:pPr>
        <w:tabs>
          <w:tab w:val="right" w:pos="9072"/>
        </w:tabs>
        <w:ind w:right="-1"/>
        <w:rPr>
          <w:rFonts w:eastAsia="Calibri" w:cs="Times New Roman"/>
          <w:sz w:val="28"/>
          <w:szCs w:val="28"/>
        </w:rPr>
      </w:pPr>
    </w:p>
    <w:p w:rsidR="00B174DE" w:rsidRPr="005B5F1E" w:rsidRDefault="00B174DE" w:rsidP="002D4607">
      <w:pPr>
        <w:tabs>
          <w:tab w:val="right" w:pos="9072"/>
        </w:tabs>
        <w:ind w:right="-1"/>
        <w:rPr>
          <w:rFonts w:eastAsia="Calibri" w:cs="Times New Roman"/>
          <w:sz w:val="28"/>
          <w:szCs w:val="28"/>
        </w:rPr>
      </w:pPr>
      <w:r w:rsidRPr="005B5F1E">
        <w:rPr>
          <w:rFonts w:eastAsia="Calibri" w:cs="Times New Roman"/>
          <w:sz w:val="28"/>
          <w:szCs w:val="28"/>
        </w:rPr>
        <w:t>Vīza: Valsts sekretār</w:t>
      </w:r>
      <w:r w:rsidR="008F6BEE">
        <w:rPr>
          <w:rFonts w:eastAsia="Calibri" w:cs="Times New Roman"/>
          <w:sz w:val="28"/>
          <w:szCs w:val="28"/>
        </w:rPr>
        <w:t xml:space="preserve">a </w:t>
      </w:r>
      <w:proofErr w:type="spellStart"/>
      <w:r w:rsidR="008F6BEE">
        <w:rPr>
          <w:rFonts w:eastAsia="Calibri" w:cs="Times New Roman"/>
          <w:sz w:val="28"/>
          <w:szCs w:val="28"/>
        </w:rPr>
        <w:t>p.i</w:t>
      </w:r>
      <w:proofErr w:type="spellEnd"/>
      <w:r w:rsidR="008F6BEE">
        <w:rPr>
          <w:rFonts w:eastAsia="Calibri" w:cs="Times New Roman"/>
          <w:sz w:val="28"/>
          <w:szCs w:val="28"/>
        </w:rPr>
        <w:t>.</w:t>
      </w:r>
      <w:r w:rsidR="002154B4">
        <w:rPr>
          <w:rFonts w:eastAsia="Calibri" w:cs="Times New Roman"/>
          <w:sz w:val="28"/>
          <w:szCs w:val="28"/>
        </w:rPr>
        <w:t xml:space="preserve"> </w:t>
      </w:r>
      <w:r w:rsidR="002154B4">
        <w:rPr>
          <w:rFonts w:eastAsia="Calibri" w:cs="Times New Roman"/>
          <w:sz w:val="28"/>
          <w:szCs w:val="28"/>
        </w:rPr>
        <w:tab/>
      </w:r>
      <w:r w:rsidR="008F6BEE">
        <w:rPr>
          <w:rFonts w:eastAsia="Calibri" w:cs="Times New Roman"/>
          <w:sz w:val="28"/>
          <w:szCs w:val="28"/>
        </w:rPr>
        <w:t xml:space="preserve">Kārlis </w:t>
      </w:r>
      <w:proofErr w:type="spellStart"/>
      <w:r w:rsidR="008F6BEE">
        <w:rPr>
          <w:rFonts w:eastAsia="Calibri" w:cs="Times New Roman"/>
          <w:sz w:val="28"/>
          <w:szCs w:val="28"/>
        </w:rPr>
        <w:t>Ketners</w:t>
      </w:r>
      <w:proofErr w:type="spellEnd"/>
    </w:p>
    <w:p w:rsidR="007040EA" w:rsidRPr="00A8351A" w:rsidRDefault="007040EA" w:rsidP="000B636C">
      <w:pPr>
        <w:ind w:right="-3228"/>
        <w:rPr>
          <w:rFonts w:eastAsia="Times New Roman" w:cs="Times New Roman"/>
          <w:sz w:val="28"/>
          <w:szCs w:val="28"/>
          <w:lang w:eastAsia="lv-LV"/>
        </w:rPr>
      </w:pPr>
    </w:p>
    <w:p w:rsidR="007040EA" w:rsidRPr="00A8351A" w:rsidRDefault="007040EA" w:rsidP="000B636C">
      <w:pPr>
        <w:ind w:right="-3228"/>
        <w:rPr>
          <w:rFonts w:eastAsia="Times New Roman" w:cs="Times New Roman"/>
          <w:sz w:val="28"/>
          <w:szCs w:val="28"/>
          <w:lang w:eastAsia="lv-LV"/>
        </w:rPr>
      </w:pPr>
    </w:p>
    <w:p w:rsidR="005019BC" w:rsidRDefault="005019BC" w:rsidP="005B5F1E">
      <w:pPr>
        <w:ind w:right="-3228"/>
        <w:rPr>
          <w:rFonts w:eastAsia="Times New Roman" w:cs="Times New Roman"/>
          <w:sz w:val="22"/>
          <w:lang w:eastAsia="lv-LV"/>
        </w:rPr>
      </w:pPr>
    </w:p>
    <w:p w:rsidR="00F956F0" w:rsidRPr="00725D10" w:rsidRDefault="00725D10" w:rsidP="005B5F1E">
      <w:pPr>
        <w:ind w:right="-3228"/>
        <w:rPr>
          <w:rFonts w:eastAsia="Times New Roman" w:cs="Times New Roman"/>
          <w:sz w:val="22"/>
          <w:lang w:eastAsia="lv-LV"/>
        </w:rPr>
      </w:pPr>
      <w:r>
        <w:rPr>
          <w:rFonts w:eastAsia="Times New Roman" w:cs="Times New Roman"/>
          <w:sz w:val="22"/>
          <w:lang w:eastAsia="lv-LV"/>
        </w:rPr>
        <w:lastRenderedPageBreak/>
        <w:t>31</w:t>
      </w:r>
      <w:r w:rsidR="000B636C" w:rsidRPr="00725D10">
        <w:rPr>
          <w:rFonts w:eastAsia="Times New Roman" w:cs="Times New Roman"/>
          <w:sz w:val="22"/>
          <w:lang w:eastAsia="lv-LV"/>
        </w:rPr>
        <w:t>.</w:t>
      </w:r>
      <w:r w:rsidR="00E344E4" w:rsidRPr="00725D10">
        <w:rPr>
          <w:rFonts w:eastAsia="Times New Roman" w:cs="Times New Roman"/>
          <w:sz w:val="22"/>
          <w:lang w:eastAsia="lv-LV"/>
        </w:rPr>
        <w:t>0</w:t>
      </w:r>
      <w:r w:rsidR="00337DA1" w:rsidRPr="00725D10">
        <w:rPr>
          <w:rFonts w:eastAsia="Times New Roman" w:cs="Times New Roman"/>
          <w:sz w:val="22"/>
          <w:lang w:eastAsia="lv-LV"/>
        </w:rPr>
        <w:t>8</w:t>
      </w:r>
      <w:r w:rsidR="00E344E4" w:rsidRPr="00725D10">
        <w:rPr>
          <w:rFonts w:eastAsia="Times New Roman" w:cs="Times New Roman"/>
          <w:sz w:val="22"/>
          <w:lang w:eastAsia="lv-LV"/>
        </w:rPr>
        <w:t>.</w:t>
      </w:r>
      <w:r w:rsidR="000B636C" w:rsidRPr="00725D10">
        <w:rPr>
          <w:rFonts w:eastAsia="Times New Roman" w:cs="Times New Roman"/>
          <w:sz w:val="22"/>
          <w:lang w:eastAsia="lv-LV"/>
        </w:rPr>
        <w:t>201</w:t>
      </w:r>
      <w:r w:rsidR="00E344E4" w:rsidRPr="00725D10">
        <w:rPr>
          <w:rFonts w:eastAsia="Times New Roman" w:cs="Times New Roman"/>
          <w:sz w:val="22"/>
          <w:lang w:eastAsia="lv-LV"/>
        </w:rPr>
        <w:t>6</w:t>
      </w:r>
      <w:r w:rsidR="00F956F0" w:rsidRPr="00725D10">
        <w:rPr>
          <w:rFonts w:eastAsia="Times New Roman" w:cs="Times New Roman"/>
          <w:sz w:val="22"/>
          <w:lang w:eastAsia="lv-LV"/>
        </w:rPr>
        <w:t xml:space="preserve">. </w:t>
      </w:r>
      <w:r w:rsidR="00B71543">
        <w:rPr>
          <w:rFonts w:eastAsia="Times New Roman" w:cs="Times New Roman"/>
          <w:sz w:val="22"/>
          <w:lang w:eastAsia="lv-LV"/>
        </w:rPr>
        <w:t>10</w:t>
      </w:r>
      <w:r w:rsidR="00E0332E" w:rsidRPr="00725D10">
        <w:rPr>
          <w:rFonts w:eastAsia="Times New Roman" w:cs="Times New Roman"/>
          <w:sz w:val="22"/>
          <w:lang w:eastAsia="lv-LV"/>
        </w:rPr>
        <w:t>:</w:t>
      </w:r>
      <w:r w:rsidR="00B71543">
        <w:rPr>
          <w:rFonts w:eastAsia="Times New Roman" w:cs="Times New Roman"/>
          <w:sz w:val="22"/>
          <w:lang w:eastAsia="lv-LV"/>
        </w:rPr>
        <w:t>5</w:t>
      </w:r>
      <w:r w:rsidR="0058627F">
        <w:rPr>
          <w:rFonts w:eastAsia="Times New Roman" w:cs="Times New Roman"/>
          <w:sz w:val="22"/>
          <w:lang w:eastAsia="lv-LV"/>
        </w:rPr>
        <w:t>1</w:t>
      </w:r>
    </w:p>
    <w:p w:rsidR="00DB382E" w:rsidRPr="00725D10" w:rsidRDefault="00B71543" w:rsidP="005B5F1E">
      <w:pPr>
        <w:ind w:right="-3228"/>
        <w:rPr>
          <w:rFonts w:eastAsia="Calibri" w:cs="Times New Roman"/>
          <w:sz w:val="22"/>
        </w:rPr>
      </w:pPr>
      <w:r>
        <w:rPr>
          <w:rFonts w:eastAsia="Calibri" w:cs="Times New Roman"/>
          <w:sz w:val="22"/>
        </w:rPr>
        <w:t>1338</w:t>
      </w:r>
    </w:p>
    <w:p w:rsidR="00725D10" w:rsidRPr="00725D10" w:rsidRDefault="00725D10" w:rsidP="005B5F1E">
      <w:pPr>
        <w:ind w:right="-3228"/>
        <w:rPr>
          <w:rFonts w:eastAsia="Calibri" w:cs="Times New Roman"/>
          <w:sz w:val="22"/>
        </w:rPr>
      </w:pPr>
      <w:r w:rsidRPr="00725D10">
        <w:rPr>
          <w:rFonts w:eastAsia="Calibri" w:cs="Times New Roman"/>
          <w:sz w:val="22"/>
        </w:rPr>
        <w:t>S.Riekstiņa</w:t>
      </w:r>
    </w:p>
    <w:p w:rsidR="00725D10" w:rsidRPr="00725D10" w:rsidRDefault="00725D10" w:rsidP="005B5F1E">
      <w:pPr>
        <w:ind w:right="-3228"/>
        <w:rPr>
          <w:rFonts w:eastAsia="Calibri" w:cs="Times New Roman"/>
          <w:sz w:val="22"/>
        </w:rPr>
      </w:pPr>
      <w:r w:rsidRPr="00725D10">
        <w:rPr>
          <w:rFonts w:eastAsia="Calibri" w:cs="Times New Roman"/>
          <w:sz w:val="22"/>
        </w:rPr>
        <w:t>67876115, Silvija Riekstina@vm.gov.lv</w:t>
      </w:r>
    </w:p>
    <w:p w:rsidR="00E54B5F" w:rsidRDefault="00E54B5F" w:rsidP="005B5F1E">
      <w:pPr>
        <w:ind w:right="-3228"/>
        <w:rPr>
          <w:rFonts w:eastAsia="Calibri" w:cs="Times New Roman"/>
          <w:sz w:val="22"/>
        </w:rPr>
      </w:pPr>
    </w:p>
    <w:p w:rsidR="00E0332E" w:rsidRPr="00725D10" w:rsidRDefault="00E0332E" w:rsidP="005B5F1E">
      <w:pPr>
        <w:ind w:right="-3228"/>
        <w:rPr>
          <w:rFonts w:eastAsia="Calibri" w:cs="Times New Roman"/>
          <w:sz w:val="22"/>
        </w:rPr>
      </w:pPr>
      <w:r w:rsidRPr="00725D10">
        <w:rPr>
          <w:rFonts w:eastAsia="Calibri" w:cs="Times New Roman"/>
          <w:sz w:val="22"/>
        </w:rPr>
        <w:t>I</w:t>
      </w:r>
      <w:r w:rsidR="00E344E4" w:rsidRPr="00725D10">
        <w:rPr>
          <w:rFonts w:eastAsia="Calibri" w:cs="Times New Roman"/>
          <w:sz w:val="22"/>
        </w:rPr>
        <w:t>.</w:t>
      </w:r>
      <w:r w:rsidRPr="00725D10">
        <w:rPr>
          <w:rFonts w:eastAsia="Calibri" w:cs="Times New Roman"/>
          <w:sz w:val="22"/>
        </w:rPr>
        <w:t>Mača</w:t>
      </w:r>
    </w:p>
    <w:p w:rsidR="006F0710" w:rsidRPr="00725D10" w:rsidRDefault="000B636C" w:rsidP="005B5F1E">
      <w:pPr>
        <w:ind w:right="-3228"/>
        <w:rPr>
          <w:rFonts w:eastAsia="Times New Roman" w:cs="Times New Roman"/>
          <w:sz w:val="22"/>
          <w:lang w:eastAsia="lv-LV"/>
        </w:rPr>
      </w:pPr>
      <w:r w:rsidRPr="00725D10">
        <w:rPr>
          <w:rFonts w:eastAsia="Times New Roman" w:cs="Times New Roman"/>
          <w:sz w:val="22"/>
          <w:lang w:eastAsia="lv-LV"/>
        </w:rPr>
        <w:t>67876</w:t>
      </w:r>
      <w:r w:rsidR="00E0332E" w:rsidRPr="00725D10">
        <w:rPr>
          <w:rFonts w:eastAsia="Times New Roman" w:cs="Times New Roman"/>
          <w:sz w:val="22"/>
          <w:lang w:eastAsia="lv-LV"/>
        </w:rPr>
        <w:t>117</w:t>
      </w:r>
      <w:r w:rsidRPr="00725D10">
        <w:rPr>
          <w:rFonts w:eastAsia="Times New Roman" w:cs="Times New Roman"/>
          <w:sz w:val="22"/>
          <w:lang w:eastAsia="lv-LV"/>
        </w:rPr>
        <w:t>,</w:t>
      </w:r>
      <w:r w:rsidR="003A1F22" w:rsidRPr="00725D10">
        <w:rPr>
          <w:rFonts w:eastAsia="Times New Roman" w:cs="Times New Roman"/>
          <w:sz w:val="22"/>
          <w:lang w:eastAsia="lv-LV"/>
        </w:rPr>
        <w:t xml:space="preserve"> </w:t>
      </w:r>
      <w:hyperlink r:id="rId14" w:history="1">
        <w:r w:rsidR="00725D10" w:rsidRPr="00725D10">
          <w:rPr>
            <w:rStyle w:val="Hyperlink"/>
            <w:rFonts w:eastAsia="Times New Roman" w:cs="Times New Roman"/>
            <w:color w:val="auto"/>
            <w:sz w:val="22"/>
            <w:u w:val="none"/>
            <w:lang w:eastAsia="lv-LV"/>
          </w:rPr>
          <w:t>Inguna.Maca@vm.gov.lv</w:t>
        </w:r>
      </w:hyperlink>
    </w:p>
    <w:p w:rsidR="00725D10" w:rsidRDefault="00725D10" w:rsidP="005B5F1E">
      <w:pPr>
        <w:ind w:right="-3228"/>
        <w:rPr>
          <w:rFonts w:eastAsia="Times New Roman" w:cs="Times New Roman"/>
          <w:sz w:val="22"/>
          <w:lang w:eastAsia="lv-LV"/>
        </w:rPr>
      </w:pPr>
    </w:p>
    <w:sectPr w:rsidR="00725D10" w:rsidSect="00F956F0">
      <w:headerReference w:type="default" r:id="rId15"/>
      <w:footerReference w:type="default" r:id="rId16"/>
      <w:footerReference w:type="first" r:id="rId17"/>
      <w:pgSz w:w="11906" w:h="16838" w:code="9"/>
      <w:pgMar w:top="1134" w:right="1021" w:bottom="1021"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0B" w:rsidRDefault="009A720B" w:rsidP="0086332E">
      <w:r>
        <w:separator/>
      </w:r>
    </w:p>
  </w:endnote>
  <w:endnote w:type="continuationSeparator" w:id="0">
    <w:p w:rsidR="009A720B" w:rsidRDefault="009A720B"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0B" w:rsidRDefault="009A720B" w:rsidP="00F9663A">
    <w:pPr>
      <w:pStyle w:val="Footer"/>
      <w:jc w:val="both"/>
      <w:rPr>
        <w:sz w:val="22"/>
      </w:rPr>
    </w:pPr>
    <w:r w:rsidRPr="002D4607">
      <w:rPr>
        <w:sz w:val="22"/>
      </w:rPr>
      <w:t>VM</w:t>
    </w:r>
    <w:r>
      <w:rPr>
        <w:sz w:val="22"/>
      </w:rPr>
      <w:t>a</w:t>
    </w:r>
    <w:r w:rsidRPr="002D4607">
      <w:rPr>
        <w:sz w:val="22"/>
      </w:rPr>
      <w:t>not_</w:t>
    </w:r>
    <w:r w:rsidR="00725D10">
      <w:rPr>
        <w:sz w:val="22"/>
      </w:rPr>
      <w:t>31</w:t>
    </w:r>
    <w:r w:rsidRPr="002D4607">
      <w:rPr>
        <w:sz w:val="22"/>
      </w:rPr>
      <w:t>0</w:t>
    </w:r>
    <w:r>
      <w:rPr>
        <w:sz w:val="22"/>
      </w:rPr>
      <w:t>816</w:t>
    </w:r>
    <w:r w:rsidRPr="002D4607">
      <w:rPr>
        <w:sz w:val="22"/>
      </w:rPr>
      <w:t>_</w:t>
    </w:r>
    <w:r w:rsidR="00F9663A">
      <w:rPr>
        <w:sz w:val="22"/>
      </w:rPr>
      <w:t>groz_57</w:t>
    </w:r>
    <w:r w:rsidRPr="002D4607">
      <w:rPr>
        <w:sz w:val="22"/>
      </w:rPr>
      <w:t xml:space="preserve"> ; Ministru kabineta noteikumu projekta „Grozījum</w:t>
    </w:r>
    <w:r>
      <w:rPr>
        <w:sz w:val="22"/>
      </w:rPr>
      <w:t>i</w:t>
    </w:r>
    <w:r w:rsidRPr="002D4607">
      <w:rPr>
        <w:sz w:val="22"/>
      </w:rPr>
      <w:t xml:space="preserve"> Ministru kabineta 2006.</w:t>
    </w:r>
    <w:r w:rsidR="00466550">
      <w:rPr>
        <w:sz w:val="22"/>
      </w:rPr>
      <w:t> </w:t>
    </w:r>
    <w:r w:rsidRPr="002D4607">
      <w:rPr>
        <w:sz w:val="22"/>
      </w:rPr>
      <w:t>gada 17.</w:t>
    </w:r>
    <w:r w:rsidR="00466550">
      <w:rPr>
        <w:sz w:val="22"/>
      </w:rPr>
      <w:t> </w:t>
    </w:r>
    <w:r w:rsidRPr="002D4607">
      <w:rPr>
        <w:sz w:val="22"/>
      </w:rPr>
      <w:t>janvāra noteikumos Nr.</w:t>
    </w:r>
    <w:r w:rsidR="00466550">
      <w:rPr>
        <w:sz w:val="22"/>
      </w:rPr>
      <w:t> </w:t>
    </w:r>
    <w:r w:rsidRPr="002D4607">
      <w:rPr>
        <w:sz w:val="22"/>
      </w:rPr>
      <w:t>57 „</w:t>
    </w:r>
    <w:hyperlink r:id="rId1" w:tgtFrame="_blank" w:history="1">
      <w:r w:rsidRPr="002D4607">
        <w:rPr>
          <w:rStyle w:val="Hyperlink"/>
          <w:color w:val="auto"/>
          <w:sz w:val="22"/>
          <w:u w:val="none"/>
        </w:rPr>
        <w:t>Noteikumi par zāļu marķēšanas kārtību un zāļu lietošanas instrukcijai izvirzāmajām prasībām</w:t>
      </w:r>
    </w:hyperlink>
    <w:r w:rsidRPr="002D4607">
      <w:rPr>
        <w:sz w:val="22"/>
      </w:rPr>
      <w:t>”</w:t>
    </w:r>
    <w:r>
      <w:rPr>
        <w:sz w:val="22"/>
      </w:rPr>
      <w:t>”</w:t>
    </w:r>
    <w:r w:rsidRPr="002D4607">
      <w:rPr>
        <w:sz w:val="22"/>
      </w:rPr>
      <w:t xml:space="preserve"> sākotnējās ietekmes novērtējuma ziņojums (anotācija)</w:t>
    </w:r>
  </w:p>
  <w:p w:rsidR="005019BC" w:rsidRPr="002D4607" w:rsidRDefault="005019BC" w:rsidP="00F9663A">
    <w:pPr>
      <w:pStyle w:val="Footer"/>
      <w:jc w:val="both"/>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0B" w:rsidRDefault="009A720B" w:rsidP="004E3C2D">
    <w:pPr>
      <w:jc w:val="both"/>
      <w:rPr>
        <w:szCs w:val="24"/>
      </w:rPr>
    </w:pPr>
  </w:p>
  <w:p w:rsidR="009A720B" w:rsidRDefault="009A720B" w:rsidP="001D01A5">
    <w:pPr>
      <w:jc w:val="both"/>
      <w:rPr>
        <w:sz w:val="22"/>
      </w:rPr>
    </w:pPr>
    <w:r w:rsidRPr="006F66D0">
      <w:rPr>
        <w:sz w:val="22"/>
      </w:rPr>
      <w:t>VM</w:t>
    </w:r>
    <w:r>
      <w:rPr>
        <w:sz w:val="22"/>
      </w:rPr>
      <w:t>a</w:t>
    </w:r>
    <w:r w:rsidRPr="006F66D0">
      <w:rPr>
        <w:sz w:val="22"/>
      </w:rPr>
      <w:t>not_</w:t>
    </w:r>
    <w:r w:rsidR="00725D10">
      <w:rPr>
        <w:sz w:val="22"/>
      </w:rPr>
      <w:t>31</w:t>
    </w:r>
    <w:r w:rsidRPr="006F66D0">
      <w:rPr>
        <w:sz w:val="22"/>
      </w:rPr>
      <w:t>0</w:t>
    </w:r>
    <w:r>
      <w:rPr>
        <w:sz w:val="22"/>
      </w:rPr>
      <w:t>8</w:t>
    </w:r>
    <w:r w:rsidRPr="006F66D0">
      <w:rPr>
        <w:sz w:val="22"/>
      </w:rPr>
      <w:t>16_</w:t>
    </w:r>
    <w:r w:rsidR="00F9663A">
      <w:rPr>
        <w:sz w:val="22"/>
      </w:rPr>
      <w:t>groz_57</w:t>
    </w:r>
    <w:r w:rsidRPr="006F66D0">
      <w:rPr>
        <w:sz w:val="22"/>
      </w:rPr>
      <w:t xml:space="preserve"> ; Ministru kabineta noteikumu projekta „Grozījum</w:t>
    </w:r>
    <w:r>
      <w:rPr>
        <w:sz w:val="22"/>
      </w:rPr>
      <w:t>i</w:t>
    </w:r>
    <w:r w:rsidRPr="006F66D0">
      <w:rPr>
        <w:sz w:val="22"/>
      </w:rPr>
      <w:t xml:space="preserve"> Ministru kabineta 2006.</w:t>
    </w:r>
    <w:r w:rsidR="00466550">
      <w:rPr>
        <w:sz w:val="22"/>
      </w:rPr>
      <w:t> </w:t>
    </w:r>
    <w:r w:rsidRPr="006F66D0">
      <w:rPr>
        <w:sz w:val="22"/>
      </w:rPr>
      <w:t>gada 17.</w:t>
    </w:r>
    <w:r w:rsidR="00466550">
      <w:rPr>
        <w:sz w:val="22"/>
      </w:rPr>
      <w:t> </w:t>
    </w:r>
    <w:r w:rsidRPr="006F66D0">
      <w:rPr>
        <w:sz w:val="22"/>
      </w:rPr>
      <w:t>janvāra noteikumos Nr.</w:t>
    </w:r>
    <w:r w:rsidR="00466550">
      <w:rPr>
        <w:sz w:val="22"/>
      </w:rPr>
      <w:t> </w:t>
    </w:r>
    <w:r w:rsidRPr="006F66D0">
      <w:rPr>
        <w:sz w:val="22"/>
      </w:rPr>
      <w:t>57 „</w:t>
    </w:r>
    <w:hyperlink r:id="rId1" w:tgtFrame="_blank" w:history="1">
      <w:r w:rsidRPr="006F66D0">
        <w:rPr>
          <w:rStyle w:val="Hyperlink"/>
          <w:color w:val="auto"/>
          <w:sz w:val="22"/>
          <w:u w:val="none"/>
        </w:rPr>
        <w:t>Noteikumi par zāļu marķēšanas kārtību un zāļu lietošanas instrukcijai izvirzāmajām prasībām</w:t>
      </w:r>
    </w:hyperlink>
    <w:r w:rsidRPr="006F66D0">
      <w:rPr>
        <w:sz w:val="22"/>
      </w:rPr>
      <w:t>”</w:t>
    </w:r>
    <w:r>
      <w:rPr>
        <w:sz w:val="22"/>
      </w:rPr>
      <w:t>”</w:t>
    </w:r>
    <w:r w:rsidRPr="006F66D0">
      <w:rPr>
        <w:sz w:val="22"/>
      </w:rPr>
      <w:t xml:space="preserve"> sākotnējās ietekmes novērtējuma ziņojums (anotācija)</w:t>
    </w:r>
  </w:p>
  <w:p w:rsidR="005019BC" w:rsidRPr="001D01A5" w:rsidRDefault="005019BC" w:rsidP="001D01A5">
    <w:pPr>
      <w:jc w:val="both"/>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0B" w:rsidRDefault="009A720B" w:rsidP="0086332E">
      <w:r>
        <w:separator/>
      </w:r>
    </w:p>
  </w:footnote>
  <w:footnote w:type="continuationSeparator" w:id="0">
    <w:p w:rsidR="009A720B" w:rsidRDefault="009A720B"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9A720B" w:rsidRDefault="00016E5E">
        <w:pPr>
          <w:pStyle w:val="Header"/>
          <w:jc w:val="center"/>
        </w:pPr>
        <w:fldSimple w:instr=" PAGE   \* MERGEFORMAT ">
          <w:r w:rsidR="0058627F">
            <w:rPr>
              <w:noProof/>
            </w:rPr>
            <w:t>6</w:t>
          </w:r>
        </w:fldSimple>
      </w:p>
    </w:sdtContent>
  </w:sdt>
  <w:p w:rsidR="009A720B" w:rsidRDefault="009A72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74B09A2"/>
    <w:multiLevelType w:val="hybridMultilevel"/>
    <w:tmpl w:val="DA044D06"/>
    <w:lvl w:ilvl="0" w:tplc="0809000F">
      <w:start w:val="1"/>
      <w:numFmt w:val="decimal"/>
      <w:lvlText w:val="%1."/>
      <w:lvlJc w:val="left"/>
      <w:pPr>
        <w:ind w:left="720" w:hanging="360"/>
      </w:pPr>
      <w:rPr>
        <w:rFonts w:ascii="Times New Roman" w:hAnsi="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DE2911"/>
    <w:multiLevelType w:val="hybridMultilevel"/>
    <w:tmpl w:val="3ADED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29F6617"/>
    <w:multiLevelType w:val="hybridMultilevel"/>
    <w:tmpl w:val="28BAB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8">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1">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9"/>
  </w:num>
  <w:num w:numId="3">
    <w:abstractNumId w:val="15"/>
  </w:num>
  <w:num w:numId="4">
    <w:abstractNumId w:val="1"/>
  </w:num>
  <w:num w:numId="5">
    <w:abstractNumId w:val="13"/>
  </w:num>
  <w:num w:numId="6">
    <w:abstractNumId w:val="18"/>
  </w:num>
  <w:num w:numId="7">
    <w:abstractNumId w:val="5"/>
  </w:num>
  <w:num w:numId="8">
    <w:abstractNumId w:val="20"/>
  </w:num>
  <w:num w:numId="9">
    <w:abstractNumId w:val="8"/>
  </w:num>
  <w:num w:numId="10">
    <w:abstractNumId w:val="6"/>
  </w:num>
  <w:num w:numId="11">
    <w:abstractNumId w:val="21"/>
  </w:num>
  <w:num w:numId="12">
    <w:abstractNumId w:val="3"/>
  </w:num>
  <w:num w:numId="13">
    <w:abstractNumId w:val="14"/>
  </w:num>
  <w:num w:numId="14">
    <w:abstractNumId w:val="7"/>
  </w:num>
  <w:num w:numId="15">
    <w:abstractNumId w:val="10"/>
  </w:num>
  <w:num w:numId="16">
    <w:abstractNumId w:val="4"/>
  </w:num>
  <w:num w:numId="17">
    <w:abstractNumId w:val="9"/>
  </w:num>
  <w:num w:numId="18">
    <w:abstractNumId w:val="2"/>
  </w:num>
  <w:num w:numId="19">
    <w:abstractNumId w:val="17"/>
  </w:num>
  <w:num w:numId="20">
    <w:abstractNumId w:val="12"/>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rsids>
    <w:rsidRoot w:val="00E344E4"/>
    <w:rsid w:val="000022E1"/>
    <w:rsid w:val="000035C3"/>
    <w:rsid w:val="00003A8A"/>
    <w:rsid w:val="00010D20"/>
    <w:rsid w:val="000120C1"/>
    <w:rsid w:val="00013DD6"/>
    <w:rsid w:val="0001536A"/>
    <w:rsid w:val="00015658"/>
    <w:rsid w:val="00016E5E"/>
    <w:rsid w:val="000171E8"/>
    <w:rsid w:val="00021042"/>
    <w:rsid w:val="00023F13"/>
    <w:rsid w:val="000264F4"/>
    <w:rsid w:val="00030701"/>
    <w:rsid w:val="00031732"/>
    <w:rsid w:val="0003263E"/>
    <w:rsid w:val="00033470"/>
    <w:rsid w:val="00033CB5"/>
    <w:rsid w:val="00033D26"/>
    <w:rsid w:val="00033D70"/>
    <w:rsid w:val="00034596"/>
    <w:rsid w:val="000352CD"/>
    <w:rsid w:val="00036818"/>
    <w:rsid w:val="0004518E"/>
    <w:rsid w:val="000456D5"/>
    <w:rsid w:val="00047682"/>
    <w:rsid w:val="000477AB"/>
    <w:rsid w:val="00051113"/>
    <w:rsid w:val="000550B0"/>
    <w:rsid w:val="000559F1"/>
    <w:rsid w:val="00056CAC"/>
    <w:rsid w:val="000614CD"/>
    <w:rsid w:val="00075A85"/>
    <w:rsid w:val="00076FC6"/>
    <w:rsid w:val="00080A03"/>
    <w:rsid w:val="00081E93"/>
    <w:rsid w:val="000830E7"/>
    <w:rsid w:val="00084855"/>
    <w:rsid w:val="0008538E"/>
    <w:rsid w:val="00090786"/>
    <w:rsid w:val="00094149"/>
    <w:rsid w:val="00096763"/>
    <w:rsid w:val="000A3F41"/>
    <w:rsid w:val="000A45D5"/>
    <w:rsid w:val="000B2C48"/>
    <w:rsid w:val="000B32FD"/>
    <w:rsid w:val="000B3589"/>
    <w:rsid w:val="000B4256"/>
    <w:rsid w:val="000B4B45"/>
    <w:rsid w:val="000B4CD7"/>
    <w:rsid w:val="000B636C"/>
    <w:rsid w:val="000B6647"/>
    <w:rsid w:val="000C0A0E"/>
    <w:rsid w:val="000C15CD"/>
    <w:rsid w:val="000C3C12"/>
    <w:rsid w:val="000D0B2F"/>
    <w:rsid w:val="000D191D"/>
    <w:rsid w:val="000D339F"/>
    <w:rsid w:val="000D74E3"/>
    <w:rsid w:val="000E47D4"/>
    <w:rsid w:val="000E5651"/>
    <w:rsid w:val="000E683A"/>
    <w:rsid w:val="000F4C05"/>
    <w:rsid w:val="00100D1D"/>
    <w:rsid w:val="001012F1"/>
    <w:rsid w:val="00101358"/>
    <w:rsid w:val="0010137A"/>
    <w:rsid w:val="00101396"/>
    <w:rsid w:val="00101721"/>
    <w:rsid w:val="00103139"/>
    <w:rsid w:val="00103C6D"/>
    <w:rsid w:val="00104C6D"/>
    <w:rsid w:val="001127A7"/>
    <w:rsid w:val="001133A9"/>
    <w:rsid w:val="00114570"/>
    <w:rsid w:val="00114EB2"/>
    <w:rsid w:val="00116D83"/>
    <w:rsid w:val="0011774E"/>
    <w:rsid w:val="00117C74"/>
    <w:rsid w:val="00120D5C"/>
    <w:rsid w:val="00123E23"/>
    <w:rsid w:val="00123EFF"/>
    <w:rsid w:val="00127C3A"/>
    <w:rsid w:val="00130A5B"/>
    <w:rsid w:val="001311A7"/>
    <w:rsid w:val="00132257"/>
    <w:rsid w:val="001379A6"/>
    <w:rsid w:val="00141987"/>
    <w:rsid w:val="00151EC5"/>
    <w:rsid w:val="00153272"/>
    <w:rsid w:val="001532F7"/>
    <w:rsid w:val="00153D74"/>
    <w:rsid w:val="001550F8"/>
    <w:rsid w:val="00155614"/>
    <w:rsid w:val="001575D0"/>
    <w:rsid w:val="00160BD7"/>
    <w:rsid w:val="00167659"/>
    <w:rsid w:val="0017043D"/>
    <w:rsid w:val="00171C46"/>
    <w:rsid w:val="00172819"/>
    <w:rsid w:val="00176EE5"/>
    <w:rsid w:val="00181EE3"/>
    <w:rsid w:val="0018644C"/>
    <w:rsid w:val="001874AB"/>
    <w:rsid w:val="00187587"/>
    <w:rsid w:val="001913A4"/>
    <w:rsid w:val="0019479C"/>
    <w:rsid w:val="00195D76"/>
    <w:rsid w:val="001A0995"/>
    <w:rsid w:val="001A1E54"/>
    <w:rsid w:val="001A25F1"/>
    <w:rsid w:val="001A4EE2"/>
    <w:rsid w:val="001B0642"/>
    <w:rsid w:val="001B0A2D"/>
    <w:rsid w:val="001B0AD9"/>
    <w:rsid w:val="001B41D7"/>
    <w:rsid w:val="001B6CB6"/>
    <w:rsid w:val="001C08FF"/>
    <w:rsid w:val="001C150F"/>
    <w:rsid w:val="001C442D"/>
    <w:rsid w:val="001C7CA6"/>
    <w:rsid w:val="001D01A5"/>
    <w:rsid w:val="001D4F5E"/>
    <w:rsid w:val="001D7A97"/>
    <w:rsid w:val="001E0057"/>
    <w:rsid w:val="001E135E"/>
    <w:rsid w:val="001E268E"/>
    <w:rsid w:val="001E367B"/>
    <w:rsid w:val="001E434A"/>
    <w:rsid w:val="001E5BF4"/>
    <w:rsid w:val="001F1AA4"/>
    <w:rsid w:val="001F282E"/>
    <w:rsid w:val="001F4288"/>
    <w:rsid w:val="00201C13"/>
    <w:rsid w:val="00203A65"/>
    <w:rsid w:val="002054B8"/>
    <w:rsid w:val="00206679"/>
    <w:rsid w:val="00214BB5"/>
    <w:rsid w:val="002154B4"/>
    <w:rsid w:val="00216242"/>
    <w:rsid w:val="00221A74"/>
    <w:rsid w:val="00223576"/>
    <w:rsid w:val="00225970"/>
    <w:rsid w:val="00227AE6"/>
    <w:rsid w:val="00233469"/>
    <w:rsid w:val="002341FD"/>
    <w:rsid w:val="00234D5C"/>
    <w:rsid w:val="002367B8"/>
    <w:rsid w:val="00241B38"/>
    <w:rsid w:val="002432EB"/>
    <w:rsid w:val="0024387C"/>
    <w:rsid w:val="002515AB"/>
    <w:rsid w:val="002525AC"/>
    <w:rsid w:val="00252842"/>
    <w:rsid w:val="002534AE"/>
    <w:rsid w:val="00256219"/>
    <w:rsid w:val="002609B9"/>
    <w:rsid w:val="002611A8"/>
    <w:rsid w:val="002631EB"/>
    <w:rsid w:val="002657F0"/>
    <w:rsid w:val="0026767A"/>
    <w:rsid w:val="00270A64"/>
    <w:rsid w:val="002723AC"/>
    <w:rsid w:val="00277E08"/>
    <w:rsid w:val="00281E41"/>
    <w:rsid w:val="0028334D"/>
    <w:rsid w:val="00284711"/>
    <w:rsid w:val="002924B2"/>
    <w:rsid w:val="00292E9A"/>
    <w:rsid w:val="002935CF"/>
    <w:rsid w:val="00294CCF"/>
    <w:rsid w:val="0029603C"/>
    <w:rsid w:val="002A09BA"/>
    <w:rsid w:val="002A13A4"/>
    <w:rsid w:val="002A2A5D"/>
    <w:rsid w:val="002A438D"/>
    <w:rsid w:val="002A4F36"/>
    <w:rsid w:val="002A5C22"/>
    <w:rsid w:val="002A5F9D"/>
    <w:rsid w:val="002A76E5"/>
    <w:rsid w:val="002B013D"/>
    <w:rsid w:val="002B2F25"/>
    <w:rsid w:val="002B4BF8"/>
    <w:rsid w:val="002B4EAD"/>
    <w:rsid w:val="002B560E"/>
    <w:rsid w:val="002B757B"/>
    <w:rsid w:val="002B7FAB"/>
    <w:rsid w:val="002C18BA"/>
    <w:rsid w:val="002C2548"/>
    <w:rsid w:val="002C40BD"/>
    <w:rsid w:val="002C4AAC"/>
    <w:rsid w:val="002C4B7C"/>
    <w:rsid w:val="002C4F0B"/>
    <w:rsid w:val="002C534A"/>
    <w:rsid w:val="002C607B"/>
    <w:rsid w:val="002D0448"/>
    <w:rsid w:val="002D200E"/>
    <w:rsid w:val="002D2925"/>
    <w:rsid w:val="002D2EF3"/>
    <w:rsid w:val="002D4479"/>
    <w:rsid w:val="002D4607"/>
    <w:rsid w:val="002D5F3E"/>
    <w:rsid w:val="002E0FD7"/>
    <w:rsid w:val="002E1DB7"/>
    <w:rsid w:val="002E2CD4"/>
    <w:rsid w:val="002E74DB"/>
    <w:rsid w:val="002F1CE3"/>
    <w:rsid w:val="002F3BE9"/>
    <w:rsid w:val="002F4292"/>
    <w:rsid w:val="002F4AD7"/>
    <w:rsid w:val="002F4DF8"/>
    <w:rsid w:val="002F667E"/>
    <w:rsid w:val="00304753"/>
    <w:rsid w:val="00307C86"/>
    <w:rsid w:val="00307E73"/>
    <w:rsid w:val="003116C6"/>
    <w:rsid w:val="003125FD"/>
    <w:rsid w:val="003169E3"/>
    <w:rsid w:val="00320622"/>
    <w:rsid w:val="0032160E"/>
    <w:rsid w:val="00323EB3"/>
    <w:rsid w:val="00327064"/>
    <w:rsid w:val="003272AC"/>
    <w:rsid w:val="00327933"/>
    <w:rsid w:val="00327AC0"/>
    <w:rsid w:val="00330C19"/>
    <w:rsid w:val="0033152B"/>
    <w:rsid w:val="00332D9B"/>
    <w:rsid w:val="00337DA1"/>
    <w:rsid w:val="003455BE"/>
    <w:rsid w:val="00353D19"/>
    <w:rsid w:val="00353EC7"/>
    <w:rsid w:val="00355DBD"/>
    <w:rsid w:val="00357997"/>
    <w:rsid w:val="00360F96"/>
    <w:rsid w:val="003722A8"/>
    <w:rsid w:val="00381CD0"/>
    <w:rsid w:val="00382ED7"/>
    <w:rsid w:val="00387F99"/>
    <w:rsid w:val="003945F1"/>
    <w:rsid w:val="00397C72"/>
    <w:rsid w:val="003A1F22"/>
    <w:rsid w:val="003A2A12"/>
    <w:rsid w:val="003A3EAE"/>
    <w:rsid w:val="003A506B"/>
    <w:rsid w:val="003A50DD"/>
    <w:rsid w:val="003A5CF6"/>
    <w:rsid w:val="003A5EFA"/>
    <w:rsid w:val="003A7C8E"/>
    <w:rsid w:val="003B07F1"/>
    <w:rsid w:val="003B6D18"/>
    <w:rsid w:val="003C18AF"/>
    <w:rsid w:val="003D75F1"/>
    <w:rsid w:val="003D7B5D"/>
    <w:rsid w:val="003E24E3"/>
    <w:rsid w:val="003E63A4"/>
    <w:rsid w:val="003E6B1C"/>
    <w:rsid w:val="003E7893"/>
    <w:rsid w:val="003E7F07"/>
    <w:rsid w:val="0040494F"/>
    <w:rsid w:val="00405081"/>
    <w:rsid w:val="00405DF3"/>
    <w:rsid w:val="0040735E"/>
    <w:rsid w:val="00416095"/>
    <w:rsid w:val="00417376"/>
    <w:rsid w:val="00417868"/>
    <w:rsid w:val="00420F59"/>
    <w:rsid w:val="00421FDC"/>
    <w:rsid w:val="004278E8"/>
    <w:rsid w:val="004300DA"/>
    <w:rsid w:val="004311EC"/>
    <w:rsid w:val="00433180"/>
    <w:rsid w:val="004340AF"/>
    <w:rsid w:val="0043520B"/>
    <w:rsid w:val="00435744"/>
    <w:rsid w:val="00440676"/>
    <w:rsid w:val="00441187"/>
    <w:rsid w:val="004428D2"/>
    <w:rsid w:val="004479D2"/>
    <w:rsid w:val="00454089"/>
    <w:rsid w:val="00455D90"/>
    <w:rsid w:val="00456684"/>
    <w:rsid w:val="0045713E"/>
    <w:rsid w:val="00457CA1"/>
    <w:rsid w:val="0046310D"/>
    <w:rsid w:val="00466550"/>
    <w:rsid w:val="00467E9B"/>
    <w:rsid w:val="004704C6"/>
    <w:rsid w:val="0047092A"/>
    <w:rsid w:val="00472F14"/>
    <w:rsid w:val="00474DEF"/>
    <w:rsid w:val="00477977"/>
    <w:rsid w:val="0048046E"/>
    <w:rsid w:val="00481DE1"/>
    <w:rsid w:val="00482D6B"/>
    <w:rsid w:val="00483A07"/>
    <w:rsid w:val="00484824"/>
    <w:rsid w:val="00484F87"/>
    <w:rsid w:val="00486F81"/>
    <w:rsid w:val="0048714E"/>
    <w:rsid w:val="00492A4E"/>
    <w:rsid w:val="00492F76"/>
    <w:rsid w:val="004A5E02"/>
    <w:rsid w:val="004A5E44"/>
    <w:rsid w:val="004B66BE"/>
    <w:rsid w:val="004B66E4"/>
    <w:rsid w:val="004B6D13"/>
    <w:rsid w:val="004B7814"/>
    <w:rsid w:val="004B78C2"/>
    <w:rsid w:val="004C00A6"/>
    <w:rsid w:val="004C202D"/>
    <w:rsid w:val="004C64F1"/>
    <w:rsid w:val="004C70F0"/>
    <w:rsid w:val="004C795B"/>
    <w:rsid w:val="004D0702"/>
    <w:rsid w:val="004D0A5D"/>
    <w:rsid w:val="004D6641"/>
    <w:rsid w:val="004D6E54"/>
    <w:rsid w:val="004E3C2D"/>
    <w:rsid w:val="004E3F68"/>
    <w:rsid w:val="004E3F79"/>
    <w:rsid w:val="004E49C8"/>
    <w:rsid w:val="004E4E8A"/>
    <w:rsid w:val="004E6E67"/>
    <w:rsid w:val="004F0331"/>
    <w:rsid w:val="004F349E"/>
    <w:rsid w:val="004F3E51"/>
    <w:rsid w:val="004F42CA"/>
    <w:rsid w:val="005019BC"/>
    <w:rsid w:val="005038E2"/>
    <w:rsid w:val="00505A91"/>
    <w:rsid w:val="00507B65"/>
    <w:rsid w:val="00507F94"/>
    <w:rsid w:val="00511BB6"/>
    <w:rsid w:val="00512815"/>
    <w:rsid w:val="00512E81"/>
    <w:rsid w:val="005130D4"/>
    <w:rsid w:val="00515BC0"/>
    <w:rsid w:val="005161CC"/>
    <w:rsid w:val="00520072"/>
    <w:rsid w:val="0052010E"/>
    <w:rsid w:val="00520AC5"/>
    <w:rsid w:val="00521073"/>
    <w:rsid w:val="00522724"/>
    <w:rsid w:val="00522DD2"/>
    <w:rsid w:val="00523431"/>
    <w:rsid w:val="00524F53"/>
    <w:rsid w:val="00525D22"/>
    <w:rsid w:val="00530AEF"/>
    <w:rsid w:val="00531DAA"/>
    <w:rsid w:val="00532D6B"/>
    <w:rsid w:val="00536114"/>
    <w:rsid w:val="00537356"/>
    <w:rsid w:val="005406EC"/>
    <w:rsid w:val="00540A53"/>
    <w:rsid w:val="00540BC8"/>
    <w:rsid w:val="005410F5"/>
    <w:rsid w:val="0054191E"/>
    <w:rsid w:val="00543A13"/>
    <w:rsid w:val="00544C6F"/>
    <w:rsid w:val="005469AA"/>
    <w:rsid w:val="00550EA0"/>
    <w:rsid w:val="005522F3"/>
    <w:rsid w:val="00562490"/>
    <w:rsid w:val="00563208"/>
    <w:rsid w:val="00567312"/>
    <w:rsid w:val="005677B3"/>
    <w:rsid w:val="0057245E"/>
    <w:rsid w:val="00576263"/>
    <w:rsid w:val="00582B57"/>
    <w:rsid w:val="005831F6"/>
    <w:rsid w:val="00585F70"/>
    <w:rsid w:val="00585FEF"/>
    <w:rsid w:val="0058627F"/>
    <w:rsid w:val="00592AE3"/>
    <w:rsid w:val="00592DE4"/>
    <w:rsid w:val="00593FD4"/>
    <w:rsid w:val="005943E2"/>
    <w:rsid w:val="005A12D1"/>
    <w:rsid w:val="005A1C5C"/>
    <w:rsid w:val="005A6A86"/>
    <w:rsid w:val="005A6F70"/>
    <w:rsid w:val="005A71CA"/>
    <w:rsid w:val="005B170B"/>
    <w:rsid w:val="005B266D"/>
    <w:rsid w:val="005B2FA2"/>
    <w:rsid w:val="005B38F3"/>
    <w:rsid w:val="005B56CC"/>
    <w:rsid w:val="005B5F1E"/>
    <w:rsid w:val="005D37FA"/>
    <w:rsid w:val="005D4A1C"/>
    <w:rsid w:val="005D5F2F"/>
    <w:rsid w:val="005E100A"/>
    <w:rsid w:val="005E1B69"/>
    <w:rsid w:val="005E2F64"/>
    <w:rsid w:val="005E3599"/>
    <w:rsid w:val="005E7616"/>
    <w:rsid w:val="005F2AE2"/>
    <w:rsid w:val="005F7217"/>
    <w:rsid w:val="0060138F"/>
    <w:rsid w:val="00605A96"/>
    <w:rsid w:val="006156A0"/>
    <w:rsid w:val="0061716C"/>
    <w:rsid w:val="00623083"/>
    <w:rsid w:val="00623187"/>
    <w:rsid w:val="00630076"/>
    <w:rsid w:val="006365FA"/>
    <w:rsid w:val="006369F5"/>
    <w:rsid w:val="00645CF7"/>
    <w:rsid w:val="00654C6F"/>
    <w:rsid w:val="00657E22"/>
    <w:rsid w:val="0066546D"/>
    <w:rsid w:val="00667703"/>
    <w:rsid w:val="00671B95"/>
    <w:rsid w:val="0067391F"/>
    <w:rsid w:val="0067594F"/>
    <w:rsid w:val="00677AEE"/>
    <w:rsid w:val="0068108B"/>
    <w:rsid w:val="0068174F"/>
    <w:rsid w:val="0068214A"/>
    <w:rsid w:val="00687F7E"/>
    <w:rsid w:val="0069140D"/>
    <w:rsid w:val="006945D8"/>
    <w:rsid w:val="00695404"/>
    <w:rsid w:val="00695489"/>
    <w:rsid w:val="006968B8"/>
    <w:rsid w:val="006978AC"/>
    <w:rsid w:val="006A33B4"/>
    <w:rsid w:val="006A6D74"/>
    <w:rsid w:val="006A6F38"/>
    <w:rsid w:val="006B00D1"/>
    <w:rsid w:val="006B038A"/>
    <w:rsid w:val="006B0936"/>
    <w:rsid w:val="006B25B5"/>
    <w:rsid w:val="006B335D"/>
    <w:rsid w:val="006B4AE5"/>
    <w:rsid w:val="006B6B40"/>
    <w:rsid w:val="006B7697"/>
    <w:rsid w:val="006B7EBB"/>
    <w:rsid w:val="006C5621"/>
    <w:rsid w:val="006D1ED9"/>
    <w:rsid w:val="006D38B5"/>
    <w:rsid w:val="006D5567"/>
    <w:rsid w:val="006D5FC3"/>
    <w:rsid w:val="006D65EC"/>
    <w:rsid w:val="006D714A"/>
    <w:rsid w:val="006E1008"/>
    <w:rsid w:val="006E3768"/>
    <w:rsid w:val="006E497D"/>
    <w:rsid w:val="006E4CEB"/>
    <w:rsid w:val="006E78D5"/>
    <w:rsid w:val="006F0710"/>
    <w:rsid w:val="006F127C"/>
    <w:rsid w:val="006F2308"/>
    <w:rsid w:val="006F48D3"/>
    <w:rsid w:val="006F5F7A"/>
    <w:rsid w:val="006F66D0"/>
    <w:rsid w:val="006F6A6F"/>
    <w:rsid w:val="006F6C9E"/>
    <w:rsid w:val="006F6D3E"/>
    <w:rsid w:val="007003DB"/>
    <w:rsid w:val="00701573"/>
    <w:rsid w:val="0070371F"/>
    <w:rsid w:val="007040EA"/>
    <w:rsid w:val="007067C0"/>
    <w:rsid w:val="00706D60"/>
    <w:rsid w:val="00710E4E"/>
    <w:rsid w:val="00713AA2"/>
    <w:rsid w:val="00720018"/>
    <w:rsid w:val="00720FEF"/>
    <w:rsid w:val="00721AE1"/>
    <w:rsid w:val="00722434"/>
    <w:rsid w:val="00724D5C"/>
    <w:rsid w:val="00725D10"/>
    <w:rsid w:val="00727B07"/>
    <w:rsid w:val="007304CC"/>
    <w:rsid w:val="00736011"/>
    <w:rsid w:val="007373AF"/>
    <w:rsid w:val="0073776D"/>
    <w:rsid w:val="00743C5E"/>
    <w:rsid w:val="00744208"/>
    <w:rsid w:val="0075046B"/>
    <w:rsid w:val="00753648"/>
    <w:rsid w:val="00761B1F"/>
    <w:rsid w:val="00763D7A"/>
    <w:rsid w:val="0076636D"/>
    <w:rsid w:val="00766DBC"/>
    <w:rsid w:val="007678DA"/>
    <w:rsid w:val="007729FF"/>
    <w:rsid w:val="00774271"/>
    <w:rsid w:val="00783BAB"/>
    <w:rsid w:val="00786B26"/>
    <w:rsid w:val="00790280"/>
    <w:rsid w:val="00792B5A"/>
    <w:rsid w:val="00795F8E"/>
    <w:rsid w:val="007A00BE"/>
    <w:rsid w:val="007A04A4"/>
    <w:rsid w:val="007A069C"/>
    <w:rsid w:val="007A33F1"/>
    <w:rsid w:val="007B2191"/>
    <w:rsid w:val="007B420D"/>
    <w:rsid w:val="007B4B6E"/>
    <w:rsid w:val="007B6658"/>
    <w:rsid w:val="007C062D"/>
    <w:rsid w:val="007C1485"/>
    <w:rsid w:val="007C654E"/>
    <w:rsid w:val="007C6F77"/>
    <w:rsid w:val="007D16D9"/>
    <w:rsid w:val="007D2B8A"/>
    <w:rsid w:val="007D2F6A"/>
    <w:rsid w:val="007D39C0"/>
    <w:rsid w:val="007D4AEA"/>
    <w:rsid w:val="007D6C09"/>
    <w:rsid w:val="007E0722"/>
    <w:rsid w:val="007E0E52"/>
    <w:rsid w:val="007E1E58"/>
    <w:rsid w:val="007E34A8"/>
    <w:rsid w:val="007E5EC4"/>
    <w:rsid w:val="007E6993"/>
    <w:rsid w:val="007F04F1"/>
    <w:rsid w:val="007F0FBF"/>
    <w:rsid w:val="00801409"/>
    <w:rsid w:val="0080544C"/>
    <w:rsid w:val="008062E4"/>
    <w:rsid w:val="00807AF0"/>
    <w:rsid w:val="0081028A"/>
    <w:rsid w:val="008103A2"/>
    <w:rsid w:val="00810812"/>
    <w:rsid w:val="00813984"/>
    <w:rsid w:val="00814782"/>
    <w:rsid w:val="00816634"/>
    <w:rsid w:val="00822EFB"/>
    <w:rsid w:val="008234A2"/>
    <w:rsid w:val="00825031"/>
    <w:rsid w:val="00830343"/>
    <w:rsid w:val="00830605"/>
    <w:rsid w:val="00830709"/>
    <w:rsid w:val="00833A11"/>
    <w:rsid w:val="00840837"/>
    <w:rsid w:val="00842C37"/>
    <w:rsid w:val="00842D09"/>
    <w:rsid w:val="00850F1E"/>
    <w:rsid w:val="00853FE6"/>
    <w:rsid w:val="00857DFC"/>
    <w:rsid w:val="0086332E"/>
    <w:rsid w:val="00865784"/>
    <w:rsid w:val="008664C9"/>
    <w:rsid w:val="00870AAB"/>
    <w:rsid w:val="0087555E"/>
    <w:rsid w:val="00876349"/>
    <w:rsid w:val="008768D1"/>
    <w:rsid w:val="0087780C"/>
    <w:rsid w:val="00877A02"/>
    <w:rsid w:val="00883E53"/>
    <w:rsid w:val="00884341"/>
    <w:rsid w:val="00890D27"/>
    <w:rsid w:val="00892DF5"/>
    <w:rsid w:val="008931B2"/>
    <w:rsid w:val="00893BCB"/>
    <w:rsid w:val="00894F25"/>
    <w:rsid w:val="00895B7E"/>
    <w:rsid w:val="00895B94"/>
    <w:rsid w:val="008A09C8"/>
    <w:rsid w:val="008A19B3"/>
    <w:rsid w:val="008A391D"/>
    <w:rsid w:val="008A51EB"/>
    <w:rsid w:val="008A6750"/>
    <w:rsid w:val="008B1294"/>
    <w:rsid w:val="008B5839"/>
    <w:rsid w:val="008B6EC7"/>
    <w:rsid w:val="008B7795"/>
    <w:rsid w:val="008B7F45"/>
    <w:rsid w:val="008C0D46"/>
    <w:rsid w:val="008C4183"/>
    <w:rsid w:val="008C4E6C"/>
    <w:rsid w:val="008C58C7"/>
    <w:rsid w:val="008C6A76"/>
    <w:rsid w:val="008C701C"/>
    <w:rsid w:val="008D1726"/>
    <w:rsid w:val="008D1D50"/>
    <w:rsid w:val="008D3964"/>
    <w:rsid w:val="008D3A8B"/>
    <w:rsid w:val="008D427D"/>
    <w:rsid w:val="008D4ED0"/>
    <w:rsid w:val="008E238F"/>
    <w:rsid w:val="008E2CA1"/>
    <w:rsid w:val="008E4145"/>
    <w:rsid w:val="008E46B7"/>
    <w:rsid w:val="008E46FC"/>
    <w:rsid w:val="008E7083"/>
    <w:rsid w:val="008E7EA4"/>
    <w:rsid w:val="008F07A2"/>
    <w:rsid w:val="008F6048"/>
    <w:rsid w:val="008F6129"/>
    <w:rsid w:val="008F6BEE"/>
    <w:rsid w:val="008F7468"/>
    <w:rsid w:val="0090304F"/>
    <w:rsid w:val="00906688"/>
    <w:rsid w:val="00906865"/>
    <w:rsid w:val="00906C5F"/>
    <w:rsid w:val="00914BC7"/>
    <w:rsid w:val="00914D10"/>
    <w:rsid w:val="00916380"/>
    <w:rsid w:val="00917CD1"/>
    <w:rsid w:val="00917E0F"/>
    <w:rsid w:val="009212B5"/>
    <w:rsid w:val="00921E81"/>
    <w:rsid w:val="00924B69"/>
    <w:rsid w:val="00927B58"/>
    <w:rsid w:val="00930E41"/>
    <w:rsid w:val="0093792C"/>
    <w:rsid w:val="009407DB"/>
    <w:rsid w:val="00943C38"/>
    <w:rsid w:val="009458E8"/>
    <w:rsid w:val="00945A90"/>
    <w:rsid w:val="009475EC"/>
    <w:rsid w:val="00955AAA"/>
    <w:rsid w:val="00956F84"/>
    <w:rsid w:val="009572B9"/>
    <w:rsid w:val="00967E9A"/>
    <w:rsid w:val="009706FF"/>
    <w:rsid w:val="009711AF"/>
    <w:rsid w:val="009728D8"/>
    <w:rsid w:val="009737D8"/>
    <w:rsid w:val="00973B96"/>
    <w:rsid w:val="009756DB"/>
    <w:rsid w:val="00975736"/>
    <w:rsid w:val="00982035"/>
    <w:rsid w:val="00983989"/>
    <w:rsid w:val="0098413F"/>
    <w:rsid w:val="00987233"/>
    <w:rsid w:val="00987DC4"/>
    <w:rsid w:val="0099061D"/>
    <w:rsid w:val="0099128F"/>
    <w:rsid w:val="00991302"/>
    <w:rsid w:val="00991E5E"/>
    <w:rsid w:val="0099244C"/>
    <w:rsid w:val="00992B49"/>
    <w:rsid w:val="009936B3"/>
    <w:rsid w:val="00997BC7"/>
    <w:rsid w:val="009A167F"/>
    <w:rsid w:val="009A5093"/>
    <w:rsid w:val="009A720B"/>
    <w:rsid w:val="009B0BB5"/>
    <w:rsid w:val="009B1CAC"/>
    <w:rsid w:val="009B2C7E"/>
    <w:rsid w:val="009C4D99"/>
    <w:rsid w:val="009D0D59"/>
    <w:rsid w:val="009D42EA"/>
    <w:rsid w:val="009E0857"/>
    <w:rsid w:val="009E42C2"/>
    <w:rsid w:val="009F42B0"/>
    <w:rsid w:val="009F465D"/>
    <w:rsid w:val="009F4976"/>
    <w:rsid w:val="009F6B68"/>
    <w:rsid w:val="00A05999"/>
    <w:rsid w:val="00A10911"/>
    <w:rsid w:val="00A11421"/>
    <w:rsid w:val="00A11B0F"/>
    <w:rsid w:val="00A12E33"/>
    <w:rsid w:val="00A1644E"/>
    <w:rsid w:val="00A169A0"/>
    <w:rsid w:val="00A170BE"/>
    <w:rsid w:val="00A178EB"/>
    <w:rsid w:val="00A2261B"/>
    <w:rsid w:val="00A23A68"/>
    <w:rsid w:val="00A24E5C"/>
    <w:rsid w:val="00A26F0E"/>
    <w:rsid w:val="00A326B6"/>
    <w:rsid w:val="00A340CF"/>
    <w:rsid w:val="00A3502F"/>
    <w:rsid w:val="00A35B79"/>
    <w:rsid w:val="00A378DD"/>
    <w:rsid w:val="00A43AFA"/>
    <w:rsid w:val="00A450C7"/>
    <w:rsid w:val="00A45B4F"/>
    <w:rsid w:val="00A51A8F"/>
    <w:rsid w:val="00A56848"/>
    <w:rsid w:val="00A61FDC"/>
    <w:rsid w:val="00A633A2"/>
    <w:rsid w:val="00A66E9E"/>
    <w:rsid w:val="00A70D32"/>
    <w:rsid w:val="00A71127"/>
    <w:rsid w:val="00A763B2"/>
    <w:rsid w:val="00A77C8B"/>
    <w:rsid w:val="00A82F22"/>
    <w:rsid w:val="00A8351A"/>
    <w:rsid w:val="00A910EA"/>
    <w:rsid w:val="00A96536"/>
    <w:rsid w:val="00AA17A4"/>
    <w:rsid w:val="00AA5D9E"/>
    <w:rsid w:val="00AA7911"/>
    <w:rsid w:val="00AB0A3B"/>
    <w:rsid w:val="00AB3542"/>
    <w:rsid w:val="00AB6680"/>
    <w:rsid w:val="00AC380F"/>
    <w:rsid w:val="00AC5A13"/>
    <w:rsid w:val="00AD14EA"/>
    <w:rsid w:val="00AD5243"/>
    <w:rsid w:val="00AD5C6F"/>
    <w:rsid w:val="00AD6338"/>
    <w:rsid w:val="00AD67A7"/>
    <w:rsid w:val="00AE0B42"/>
    <w:rsid w:val="00AE37F4"/>
    <w:rsid w:val="00AE39F7"/>
    <w:rsid w:val="00AE5EAA"/>
    <w:rsid w:val="00AE682E"/>
    <w:rsid w:val="00AE7861"/>
    <w:rsid w:val="00AF0F55"/>
    <w:rsid w:val="00AF2A34"/>
    <w:rsid w:val="00AF2E1B"/>
    <w:rsid w:val="00AF4801"/>
    <w:rsid w:val="00AF6F4C"/>
    <w:rsid w:val="00B0134F"/>
    <w:rsid w:val="00B014F4"/>
    <w:rsid w:val="00B03066"/>
    <w:rsid w:val="00B04DA3"/>
    <w:rsid w:val="00B05831"/>
    <w:rsid w:val="00B074AC"/>
    <w:rsid w:val="00B10090"/>
    <w:rsid w:val="00B11696"/>
    <w:rsid w:val="00B15E34"/>
    <w:rsid w:val="00B174DE"/>
    <w:rsid w:val="00B219D7"/>
    <w:rsid w:val="00B23C14"/>
    <w:rsid w:val="00B242A2"/>
    <w:rsid w:val="00B24532"/>
    <w:rsid w:val="00B3218D"/>
    <w:rsid w:val="00B3364A"/>
    <w:rsid w:val="00B33916"/>
    <w:rsid w:val="00B35055"/>
    <w:rsid w:val="00B35675"/>
    <w:rsid w:val="00B40078"/>
    <w:rsid w:val="00B41596"/>
    <w:rsid w:val="00B41CA8"/>
    <w:rsid w:val="00B458F1"/>
    <w:rsid w:val="00B4797C"/>
    <w:rsid w:val="00B51B35"/>
    <w:rsid w:val="00B532F4"/>
    <w:rsid w:val="00B55BE5"/>
    <w:rsid w:val="00B607AF"/>
    <w:rsid w:val="00B60F04"/>
    <w:rsid w:val="00B615B2"/>
    <w:rsid w:val="00B710AB"/>
    <w:rsid w:val="00B71543"/>
    <w:rsid w:val="00B743FE"/>
    <w:rsid w:val="00B761C3"/>
    <w:rsid w:val="00B77ACF"/>
    <w:rsid w:val="00B830DE"/>
    <w:rsid w:val="00B863B4"/>
    <w:rsid w:val="00B871CD"/>
    <w:rsid w:val="00B87E10"/>
    <w:rsid w:val="00B90EEB"/>
    <w:rsid w:val="00B93692"/>
    <w:rsid w:val="00B93B00"/>
    <w:rsid w:val="00BA470B"/>
    <w:rsid w:val="00BA5DB6"/>
    <w:rsid w:val="00BA6BE8"/>
    <w:rsid w:val="00BB0CBE"/>
    <w:rsid w:val="00BB4C8D"/>
    <w:rsid w:val="00BB69DB"/>
    <w:rsid w:val="00BC24A0"/>
    <w:rsid w:val="00BC27BC"/>
    <w:rsid w:val="00BC2EFA"/>
    <w:rsid w:val="00BC38F5"/>
    <w:rsid w:val="00BC3BFF"/>
    <w:rsid w:val="00BD048D"/>
    <w:rsid w:val="00BD2497"/>
    <w:rsid w:val="00BD7A96"/>
    <w:rsid w:val="00BD7BDE"/>
    <w:rsid w:val="00BE48E2"/>
    <w:rsid w:val="00BE49E0"/>
    <w:rsid w:val="00BE64EF"/>
    <w:rsid w:val="00BE7249"/>
    <w:rsid w:val="00BF0519"/>
    <w:rsid w:val="00BF0E25"/>
    <w:rsid w:val="00BF1FCC"/>
    <w:rsid w:val="00BF29DA"/>
    <w:rsid w:val="00BF2DF7"/>
    <w:rsid w:val="00BF3177"/>
    <w:rsid w:val="00BF4644"/>
    <w:rsid w:val="00BF50B0"/>
    <w:rsid w:val="00C00AB3"/>
    <w:rsid w:val="00C01FD2"/>
    <w:rsid w:val="00C03392"/>
    <w:rsid w:val="00C04100"/>
    <w:rsid w:val="00C111BE"/>
    <w:rsid w:val="00C116DE"/>
    <w:rsid w:val="00C235BB"/>
    <w:rsid w:val="00C2672C"/>
    <w:rsid w:val="00C3232C"/>
    <w:rsid w:val="00C33367"/>
    <w:rsid w:val="00C3398F"/>
    <w:rsid w:val="00C35777"/>
    <w:rsid w:val="00C40DEA"/>
    <w:rsid w:val="00C43288"/>
    <w:rsid w:val="00C442AB"/>
    <w:rsid w:val="00C4460D"/>
    <w:rsid w:val="00C4707A"/>
    <w:rsid w:val="00C47FAD"/>
    <w:rsid w:val="00C52D75"/>
    <w:rsid w:val="00C543CA"/>
    <w:rsid w:val="00C55328"/>
    <w:rsid w:val="00C560FE"/>
    <w:rsid w:val="00C57C10"/>
    <w:rsid w:val="00C63035"/>
    <w:rsid w:val="00C63335"/>
    <w:rsid w:val="00C6339E"/>
    <w:rsid w:val="00C6378F"/>
    <w:rsid w:val="00C7045F"/>
    <w:rsid w:val="00C71569"/>
    <w:rsid w:val="00C7311D"/>
    <w:rsid w:val="00C73406"/>
    <w:rsid w:val="00C824BE"/>
    <w:rsid w:val="00C83201"/>
    <w:rsid w:val="00C86391"/>
    <w:rsid w:val="00C916FE"/>
    <w:rsid w:val="00C93517"/>
    <w:rsid w:val="00C94B3D"/>
    <w:rsid w:val="00C96493"/>
    <w:rsid w:val="00C96B9D"/>
    <w:rsid w:val="00CA0A53"/>
    <w:rsid w:val="00CA48E2"/>
    <w:rsid w:val="00CA5511"/>
    <w:rsid w:val="00CA70A9"/>
    <w:rsid w:val="00CB065D"/>
    <w:rsid w:val="00CB1FD1"/>
    <w:rsid w:val="00CB3BF7"/>
    <w:rsid w:val="00CB503A"/>
    <w:rsid w:val="00CB5C0F"/>
    <w:rsid w:val="00CB6C25"/>
    <w:rsid w:val="00CC0A14"/>
    <w:rsid w:val="00CC12B6"/>
    <w:rsid w:val="00CC17CB"/>
    <w:rsid w:val="00CC1BD0"/>
    <w:rsid w:val="00CC40FD"/>
    <w:rsid w:val="00CC66B7"/>
    <w:rsid w:val="00CD2BE5"/>
    <w:rsid w:val="00CD3904"/>
    <w:rsid w:val="00CD4196"/>
    <w:rsid w:val="00CD493C"/>
    <w:rsid w:val="00CD4BD0"/>
    <w:rsid w:val="00CD7814"/>
    <w:rsid w:val="00CE2E62"/>
    <w:rsid w:val="00CE545B"/>
    <w:rsid w:val="00CE5A84"/>
    <w:rsid w:val="00CF06AA"/>
    <w:rsid w:val="00CF7D5F"/>
    <w:rsid w:val="00CF7F09"/>
    <w:rsid w:val="00D00366"/>
    <w:rsid w:val="00D02E66"/>
    <w:rsid w:val="00D06111"/>
    <w:rsid w:val="00D10393"/>
    <w:rsid w:val="00D115AD"/>
    <w:rsid w:val="00D11F2E"/>
    <w:rsid w:val="00D15E42"/>
    <w:rsid w:val="00D16C5D"/>
    <w:rsid w:val="00D170B7"/>
    <w:rsid w:val="00D23A93"/>
    <w:rsid w:val="00D24917"/>
    <w:rsid w:val="00D250BB"/>
    <w:rsid w:val="00D26309"/>
    <w:rsid w:val="00D355C5"/>
    <w:rsid w:val="00D3658C"/>
    <w:rsid w:val="00D430C4"/>
    <w:rsid w:val="00D440F1"/>
    <w:rsid w:val="00D4536F"/>
    <w:rsid w:val="00D4656F"/>
    <w:rsid w:val="00D536FD"/>
    <w:rsid w:val="00D550B9"/>
    <w:rsid w:val="00D55C5F"/>
    <w:rsid w:val="00D6433C"/>
    <w:rsid w:val="00D64539"/>
    <w:rsid w:val="00D66CA8"/>
    <w:rsid w:val="00D71102"/>
    <w:rsid w:val="00D73CA2"/>
    <w:rsid w:val="00D772F5"/>
    <w:rsid w:val="00D80F9F"/>
    <w:rsid w:val="00D8223A"/>
    <w:rsid w:val="00D92AB2"/>
    <w:rsid w:val="00D9419D"/>
    <w:rsid w:val="00D97591"/>
    <w:rsid w:val="00DA0C1C"/>
    <w:rsid w:val="00DA56D1"/>
    <w:rsid w:val="00DA5EC7"/>
    <w:rsid w:val="00DA794C"/>
    <w:rsid w:val="00DB382E"/>
    <w:rsid w:val="00DB41AE"/>
    <w:rsid w:val="00DB4914"/>
    <w:rsid w:val="00DB5D1E"/>
    <w:rsid w:val="00DB73B3"/>
    <w:rsid w:val="00DB7F66"/>
    <w:rsid w:val="00DC21B3"/>
    <w:rsid w:val="00DC235C"/>
    <w:rsid w:val="00DC552C"/>
    <w:rsid w:val="00DD41C4"/>
    <w:rsid w:val="00DD7687"/>
    <w:rsid w:val="00DE0306"/>
    <w:rsid w:val="00DE0605"/>
    <w:rsid w:val="00DE69E4"/>
    <w:rsid w:val="00DE716F"/>
    <w:rsid w:val="00DF19F0"/>
    <w:rsid w:val="00DF5AD0"/>
    <w:rsid w:val="00DF6E8E"/>
    <w:rsid w:val="00E013D8"/>
    <w:rsid w:val="00E01697"/>
    <w:rsid w:val="00E025C1"/>
    <w:rsid w:val="00E0290D"/>
    <w:rsid w:val="00E0332E"/>
    <w:rsid w:val="00E06052"/>
    <w:rsid w:val="00E0654F"/>
    <w:rsid w:val="00E10D1B"/>
    <w:rsid w:val="00E13E7E"/>
    <w:rsid w:val="00E148B5"/>
    <w:rsid w:val="00E20E5F"/>
    <w:rsid w:val="00E21961"/>
    <w:rsid w:val="00E24B99"/>
    <w:rsid w:val="00E30750"/>
    <w:rsid w:val="00E3248E"/>
    <w:rsid w:val="00E344E4"/>
    <w:rsid w:val="00E346BB"/>
    <w:rsid w:val="00E34714"/>
    <w:rsid w:val="00E37CFC"/>
    <w:rsid w:val="00E4270B"/>
    <w:rsid w:val="00E4482B"/>
    <w:rsid w:val="00E44967"/>
    <w:rsid w:val="00E4789E"/>
    <w:rsid w:val="00E51C46"/>
    <w:rsid w:val="00E52197"/>
    <w:rsid w:val="00E53BAF"/>
    <w:rsid w:val="00E54058"/>
    <w:rsid w:val="00E54B5F"/>
    <w:rsid w:val="00E61595"/>
    <w:rsid w:val="00E65129"/>
    <w:rsid w:val="00E65ABA"/>
    <w:rsid w:val="00E660A0"/>
    <w:rsid w:val="00E66BF8"/>
    <w:rsid w:val="00E700D4"/>
    <w:rsid w:val="00E75134"/>
    <w:rsid w:val="00E759C7"/>
    <w:rsid w:val="00E77542"/>
    <w:rsid w:val="00E77780"/>
    <w:rsid w:val="00E779B7"/>
    <w:rsid w:val="00E80CA7"/>
    <w:rsid w:val="00E81D73"/>
    <w:rsid w:val="00E82D57"/>
    <w:rsid w:val="00E835C9"/>
    <w:rsid w:val="00E906EE"/>
    <w:rsid w:val="00E91D3C"/>
    <w:rsid w:val="00E96F95"/>
    <w:rsid w:val="00E97264"/>
    <w:rsid w:val="00EA3333"/>
    <w:rsid w:val="00EA45B9"/>
    <w:rsid w:val="00EA51B5"/>
    <w:rsid w:val="00EA611F"/>
    <w:rsid w:val="00EA643E"/>
    <w:rsid w:val="00EB0E5C"/>
    <w:rsid w:val="00EB193A"/>
    <w:rsid w:val="00EB2F9A"/>
    <w:rsid w:val="00EC213A"/>
    <w:rsid w:val="00EC2899"/>
    <w:rsid w:val="00EC35F0"/>
    <w:rsid w:val="00EC37D4"/>
    <w:rsid w:val="00EC51F3"/>
    <w:rsid w:val="00EC69E9"/>
    <w:rsid w:val="00EC6C29"/>
    <w:rsid w:val="00EC6E3E"/>
    <w:rsid w:val="00ED0062"/>
    <w:rsid w:val="00ED0729"/>
    <w:rsid w:val="00ED1480"/>
    <w:rsid w:val="00ED2B8F"/>
    <w:rsid w:val="00ED3CAA"/>
    <w:rsid w:val="00ED6C32"/>
    <w:rsid w:val="00EE1771"/>
    <w:rsid w:val="00EE1A03"/>
    <w:rsid w:val="00EE2C5D"/>
    <w:rsid w:val="00EE3246"/>
    <w:rsid w:val="00EF0B31"/>
    <w:rsid w:val="00EF2BEA"/>
    <w:rsid w:val="00EF3082"/>
    <w:rsid w:val="00EF5ED9"/>
    <w:rsid w:val="00EF67AC"/>
    <w:rsid w:val="00F007D9"/>
    <w:rsid w:val="00F00AFE"/>
    <w:rsid w:val="00F00EF2"/>
    <w:rsid w:val="00F0113B"/>
    <w:rsid w:val="00F03275"/>
    <w:rsid w:val="00F103B3"/>
    <w:rsid w:val="00F1159A"/>
    <w:rsid w:val="00F138D9"/>
    <w:rsid w:val="00F147A7"/>
    <w:rsid w:val="00F16840"/>
    <w:rsid w:val="00F24591"/>
    <w:rsid w:val="00F24940"/>
    <w:rsid w:val="00F27B98"/>
    <w:rsid w:val="00F3113E"/>
    <w:rsid w:val="00F31A70"/>
    <w:rsid w:val="00F36326"/>
    <w:rsid w:val="00F37C15"/>
    <w:rsid w:val="00F4053C"/>
    <w:rsid w:val="00F40D5B"/>
    <w:rsid w:val="00F417E2"/>
    <w:rsid w:val="00F418DA"/>
    <w:rsid w:val="00F41D15"/>
    <w:rsid w:val="00F42361"/>
    <w:rsid w:val="00F43E59"/>
    <w:rsid w:val="00F457A7"/>
    <w:rsid w:val="00F46A94"/>
    <w:rsid w:val="00F50796"/>
    <w:rsid w:val="00F55564"/>
    <w:rsid w:val="00F57060"/>
    <w:rsid w:val="00F579A3"/>
    <w:rsid w:val="00F605B9"/>
    <w:rsid w:val="00F6158C"/>
    <w:rsid w:val="00F63624"/>
    <w:rsid w:val="00F63D77"/>
    <w:rsid w:val="00F647D3"/>
    <w:rsid w:val="00F6557E"/>
    <w:rsid w:val="00F676AA"/>
    <w:rsid w:val="00F7127D"/>
    <w:rsid w:val="00F72D04"/>
    <w:rsid w:val="00F750C4"/>
    <w:rsid w:val="00F75383"/>
    <w:rsid w:val="00F75790"/>
    <w:rsid w:val="00F779D0"/>
    <w:rsid w:val="00F83C17"/>
    <w:rsid w:val="00F869D9"/>
    <w:rsid w:val="00F90429"/>
    <w:rsid w:val="00F956F0"/>
    <w:rsid w:val="00F9663A"/>
    <w:rsid w:val="00FA0958"/>
    <w:rsid w:val="00FA21F8"/>
    <w:rsid w:val="00FA2553"/>
    <w:rsid w:val="00FA2C24"/>
    <w:rsid w:val="00FA30FE"/>
    <w:rsid w:val="00FA3A14"/>
    <w:rsid w:val="00FA74E4"/>
    <w:rsid w:val="00FB214F"/>
    <w:rsid w:val="00FB2307"/>
    <w:rsid w:val="00FB2B7D"/>
    <w:rsid w:val="00FB6F5A"/>
    <w:rsid w:val="00FB7689"/>
    <w:rsid w:val="00FC385B"/>
    <w:rsid w:val="00FC4212"/>
    <w:rsid w:val="00FC4BB5"/>
    <w:rsid w:val="00FC4E0F"/>
    <w:rsid w:val="00FC4E51"/>
    <w:rsid w:val="00FC5BA3"/>
    <w:rsid w:val="00FC6D87"/>
    <w:rsid w:val="00FD0D72"/>
    <w:rsid w:val="00FE0410"/>
    <w:rsid w:val="00FE049A"/>
    <w:rsid w:val="00FE2FF7"/>
    <w:rsid w:val="00FE5E4F"/>
    <w:rsid w:val="00FE7FB7"/>
    <w:rsid w:val="00FF149E"/>
    <w:rsid w:val="00FF2921"/>
    <w:rsid w:val="00FF3ECF"/>
    <w:rsid w:val="00FF44D3"/>
    <w:rsid w:val="00FF49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uiPriority w:val="99"/>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uiPriority w:val="99"/>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nhideWhenUsed/>
    <w:rsid w:val="008E7EA4"/>
    <w:rPr>
      <w:sz w:val="20"/>
      <w:szCs w:val="20"/>
    </w:rPr>
  </w:style>
  <w:style w:type="character" w:customStyle="1" w:styleId="CommentTextChar">
    <w:name w:val="Comment Text Char"/>
    <w:basedOn w:val="DefaultParagraphFont"/>
    <w:link w:val="CommentText"/>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 w:type="paragraph" w:customStyle="1" w:styleId="tv213">
    <w:name w:val="tv213"/>
    <w:basedOn w:val="Normal"/>
    <w:rsid w:val="00E344E4"/>
    <w:pPr>
      <w:spacing w:before="100" w:beforeAutospacing="1" w:after="100" w:afterAutospacing="1"/>
    </w:pPr>
    <w:rPr>
      <w:rFonts w:eastAsia="Times New Roman" w:cs="Times New Roman"/>
      <w:szCs w:val="24"/>
      <w:lang w:val="en-US"/>
    </w:rPr>
  </w:style>
  <w:style w:type="paragraph" w:customStyle="1" w:styleId="Default">
    <w:name w:val="Default"/>
    <w:rsid w:val="005B5F1E"/>
    <w:pPr>
      <w:autoSpaceDE w:val="0"/>
      <w:autoSpaceDN w:val="0"/>
      <w:adjustRightInd w:val="0"/>
    </w:pPr>
    <w:rPr>
      <w:rFonts w:ascii="Arial" w:eastAsia="Calibri" w:hAnsi="Arial" w:cs="Arial"/>
      <w:color w:val="000000"/>
      <w:szCs w:val="24"/>
      <w:lang w:eastAsia="lv-LV"/>
    </w:rPr>
  </w:style>
  <w:style w:type="character" w:customStyle="1" w:styleId="BodytextNotBold">
    <w:name w:val="Body text + Not Bold"/>
    <w:basedOn w:val="DefaultParagraphFont"/>
    <w:rsid w:val="000022E1"/>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0"/>
    <w:rsid w:val="00FC6D87"/>
    <w:rPr>
      <w:rFonts w:eastAsia="Times New Roman" w:cs="Times New Roman"/>
      <w:b/>
      <w:bCs/>
      <w:shd w:val="clear" w:color="auto" w:fill="FFFFFF"/>
    </w:rPr>
  </w:style>
  <w:style w:type="paragraph" w:customStyle="1" w:styleId="Bodytext0">
    <w:name w:val="Body text"/>
    <w:basedOn w:val="Normal"/>
    <w:link w:val="Bodytext"/>
    <w:rsid w:val="00FC6D87"/>
    <w:pPr>
      <w:widowControl w:val="0"/>
      <w:shd w:val="clear" w:color="auto" w:fill="FFFFFF"/>
      <w:spacing w:line="371" w:lineRule="exact"/>
      <w:jc w:val="center"/>
    </w:pPr>
    <w:rPr>
      <w:rFonts w:eastAsia="Times New Roman" w:cs="Times New Roman"/>
      <w:b/>
      <w:bCs/>
    </w:rPr>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575">
      <w:bodyDiv w:val="1"/>
      <w:marLeft w:val="0"/>
      <w:marRight w:val="0"/>
      <w:marTop w:val="0"/>
      <w:marBottom w:val="0"/>
      <w:divBdr>
        <w:top w:val="none" w:sz="0" w:space="0" w:color="auto"/>
        <w:left w:val="none" w:sz="0" w:space="0" w:color="auto"/>
        <w:bottom w:val="none" w:sz="0" w:space="0" w:color="auto"/>
        <w:right w:val="none" w:sz="0" w:space="0" w:color="auto"/>
      </w:divBdr>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55917114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hyperlink" Target="http://www.v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263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kumi.lv/doc.php?id=1263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kumi.lv/doc.php?id=126348" TargetMode="External"/><Relationship Id="rId14" Type="http://schemas.openxmlformats.org/officeDocument/2006/relationships/hyperlink" Target="mailto:Inguna.Maca@vm.gov.l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12634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1263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ekstina\AppData\Local\Microsoft\Windows\INetCache\Content.MSO\570531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B6403-9404-423A-9544-FC9229BD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57053188</Template>
  <TotalTime>79</TotalTime>
  <Pages>6</Pages>
  <Words>7077</Words>
  <Characters>4034</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2006.gada 17.janvāra noteikumos Nr.57 „Noteikumi par zāļu marķēšanas kārtību un zāļu lietošanas instrukcijai izvirzāmajām prasībām”” sākotnējās ietekmes novērtējuma ziņojums</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17.janvāra noteikumos Nr.57 „Noteikumi par zāļu marķēšanas kārtību un zāļu lietošanas instrukcijai izvirzāmajām prasībām”” sākotnējās ietekmes novērtējuma ziņojums</dc:title>
  <dc:subject>Anotācija</dc:subject>
  <dc:creator>Ingūna Mača</dc:creator>
  <dc:description>inguna.maca@vm.gov.lv</dc:description>
  <cp:lastModifiedBy>imaca</cp:lastModifiedBy>
  <cp:revision>55</cp:revision>
  <cp:lastPrinted>2016-08-19T13:58:00Z</cp:lastPrinted>
  <dcterms:created xsi:type="dcterms:W3CDTF">2016-08-22T10:38:00Z</dcterms:created>
  <dcterms:modified xsi:type="dcterms:W3CDTF">2016-08-31T07:51:00Z</dcterms:modified>
</cp:coreProperties>
</file>