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43" w:rsidRDefault="005F7343" w:rsidP="00474426">
      <w:pPr>
        <w:pStyle w:val="Paraststmeklis"/>
        <w:spacing w:before="0" w:after="0"/>
        <w:jc w:val="center"/>
        <w:rPr>
          <w:b/>
          <w:szCs w:val="24"/>
          <w:lang w:val="lv-LV"/>
        </w:rPr>
      </w:pPr>
      <w:r w:rsidRPr="00B226EB">
        <w:rPr>
          <w:rStyle w:val="Izteiksmgs"/>
          <w:noProof w:val="0"/>
          <w:szCs w:val="24"/>
          <w:lang w:val="lv-LV"/>
        </w:rPr>
        <w:t>Ministru kabineta noteikumu projekta „</w:t>
      </w:r>
      <w:r w:rsidR="00BD32C5" w:rsidRPr="00B226EB">
        <w:rPr>
          <w:rStyle w:val="Izteiksmgs"/>
          <w:noProof w:val="0"/>
          <w:szCs w:val="24"/>
          <w:lang w:val="lv-LV"/>
        </w:rPr>
        <w:t xml:space="preserve">Grozījumi Ministru kabineta </w:t>
      </w:r>
      <w:proofErr w:type="gramStart"/>
      <w:r w:rsidR="00BD32C5" w:rsidRPr="00B226EB">
        <w:rPr>
          <w:rStyle w:val="Izteiksmgs"/>
          <w:noProof w:val="0"/>
          <w:szCs w:val="24"/>
          <w:lang w:val="lv-LV"/>
        </w:rPr>
        <w:t>2011.gada</w:t>
      </w:r>
      <w:proofErr w:type="gramEnd"/>
      <w:r w:rsidR="00BD32C5" w:rsidRPr="00B226EB">
        <w:rPr>
          <w:rStyle w:val="Izteiksmgs"/>
          <w:noProof w:val="0"/>
          <w:szCs w:val="24"/>
          <w:lang w:val="lv-LV"/>
        </w:rPr>
        <w:t xml:space="preserve"> 13.decembra noteikumos Nr.949 „Noteikumi par augu aizsardzības līdzekļu laišanu tirgū”</w:t>
      </w:r>
      <w:r w:rsidRPr="00B226EB">
        <w:rPr>
          <w:rStyle w:val="Izteiksmgs"/>
          <w:szCs w:val="24"/>
          <w:lang w:val="lv-LV"/>
        </w:rPr>
        <w:t xml:space="preserve">” </w:t>
      </w:r>
      <w:r w:rsidRPr="00B226EB">
        <w:rPr>
          <w:b/>
          <w:szCs w:val="24"/>
          <w:lang w:val="lv-LV"/>
        </w:rPr>
        <w:t xml:space="preserve">sākotnējās ietekmes novērtējuma </w:t>
      </w:r>
      <w:smartTag w:uri="schemas-tilde-lv/tildestengine" w:element="veidnes">
        <w:smartTagPr>
          <w:attr w:name="id" w:val="-1"/>
          <w:attr w:name="baseform" w:val="ziņojums"/>
          <w:attr w:name="text" w:val="ziņojums"/>
        </w:smartTagPr>
        <w:r w:rsidRPr="00B226EB">
          <w:rPr>
            <w:b/>
            <w:szCs w:val="24"/>
            <w:lang w:val="lv-LV"/>
          </w:rPr>
          <w:t>ziņojums</w:t>
        </w:r>
      </w:smartTag>
      <w:r w:rsidRPr="00B226EB">
        <w:rPr>
          <w:b/>
          <w:szCs w:val="24"/>
          <w:lang w:val="lv-LV"/>
        </w:rPr>
        <w:t xml:space="preserve"> (anotācija)</w:t>
      </w:r>
    </w:p>
    <w:p w:rsidR="00170FFD" w:rsidRPr="00B226EB" w:rsidRDefault="00170FFD" w:rsidP="00474426">
      <w:pPr>
        <w:pStyle w:val="Paraststmeklis"/>
        <w:spacing w:before="0" w:after="0"/>
        <w:jc w:val="center"/>
        <w:rPr>
          <w:szCs w:val="24"/>
          <w:lang w:val="lv-LV"/>
        </w:rPr>
      </w:pPr>
    </w:p>
    <w:p w:rsidR="006E0140" w:rsidRPr="00474426" w:rsidRDefault="006E0140" w:rsidP="005F7343">
      <w:pPr>
        <w:jc w:val="center"/>
        <w:rPr>
          <w:b/>
          <w:sz w:val="4"/>
          <w:szCs w:val="4"/>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5F7343" w:rsidRPr="003D040D" w:rsidTr="0038404E">
        <w:tc>
          <w:tcPr>
            <w:tcW w:w="9725" w:type="dxa"/>
            <w:gridSpan w:val="3"/>
            <w:vAlign w:val="center"/>
          </w:tcPr>
          <w:p w:rsidR="005F7343" w:rsidRPr="003D040D" w:rsidRDefault="005F7343" w:rsidP="0038404E">
            <w:pPr>
              <w:pStyle w:val="naisnod"/>
              <w:spacing w:before="0" w:after="0"/>
            </w:pPr>
            <w:r w:rsidRPr="003D040D">
              <w:t>I. Tiesību akta projekta izstrādes nepieciešamība</w:t>
            </w:r>
          </w:p>
        </w:tc>
      </w:tr>
      <w:tr w:rsidR="005F7343" w:rsidRPr="003D040D" w:rsidTr="00AE4192">
        <w:trPr>
          <w:trHeight w:val="412"/>
        </w:trPr>
        <w:tc>
          <w:tcPr>
            <w:tcW w:w="550" w:type="dxa"/>
          </w:tcPr>
          <w:p w:rsidR="005F7343" w:rsidRPr="003D040D" w:rsidRDefault="005F7343" w:rsidP="0038404E">
            <w:pPr>
              <w:pStyle w:val="naiskr"/>
              <w:spacing w:before="0" w:after="0"/>
            </w:pPr>
            <w:r w:rsidRPr="003D040D">
              <w:t>1.</w:t>
            </w:r>
          </w:p>
        </w:tc>
        <w:tc>
          <w:tcPr>
            <w:tcW w:w="4315" w:type="dxa"/>
          </w:tcPr>
          <w:p w:rsidR="005F7343" w:rsidRPr="003D040D" w:rsidRDefault="005F7343" w:rsidP="0038404E">
            <w:pPr>
              <w:pStyle w:val="naiskr"/>
              <w:spacing w:before="0" w:after="0"/>
              <w:ind w:hanging="10"/>
            </w:pPr>
            <w:r w:rsidRPr="003D040D">
              <w:t>Pamatojums</w:t>
            </w:r>
          </w:p>
        </w:tc>
        <w:tc>
          <w:tcPr>
            <w:tcW w:w="4860" w:type="dxa"/>
          </w:tcPr>
          <w:p w:rsidR="0026452D" w:rsidRPr="003D040D" w:rsidRDefault="00AE4192" w:rsidP="00EB0C26">
            <w:pPr>
              <w:pStyle w:val="naiskr"/>
              <w:spacing w:before="0" w:after="0"/>
              <w:ind w:hanging="5"/>
            </w:pPr>
            <w:r w:rsidRPr="003D040D">
              <w:t xml:space="preserve">Augu aizsardzības likuma </w:t>
            </w:r>
            <w:r w:rsidR="00BD32C5">
              <w:t>5.panta 23.punkts un 9.panta otrā daļa.</w:t>
            </w:r>
          </w:p>
        </w:tc>
      </w:tr>
      <w:tr w:rsidR="005F7343" w:rsidRPr="003D040D" w:rsidTr="0038404E">
        <w:trPr>
          <w:trHeight w:val="472"/>
        </w:trPr>
        <w:tc>
          <w:tcPr>
            <w:tcW w:w="550" w:type="dxa"/>
          </w:tcPr>
          <w:p w:rsidR="005F7343" w:rsidRPr="003D040D" w:rsidRDefault="005F7343" w:rsidP="0038404E">
            <w:pPr>
              <w:pStyle w:val="naiskr"/>
              <w:spacing w:before="0" w:after="0"/>
            </w:pPr>
            <w:r w:rsidRPr="003D040D">
              <w:t>2.</w:t>
            </w:r>
          </w:p>
        </w:tc>
        <w:tc>
          <w:tcPr>
            <w:tcW w:w="4315" w:type="dxa"/>
          </w:tcPr>
          <w:p w:rsidR="005F7343" w:rsidRPr="003D040D" w:rsidRDefault="000076C4" w:rsidP="0038404E">
            <w:pPr>
              <w:pStyle w:val="naiskr"/>
              <w:tabs>
                <w:tab w:val="left" w:pos="170"/>
              </w:tabs>
              <w:spacing w:before="0" w:after="0"/>
            </w:pPr>
            <w:r w:rsidRPr="003D040D">
              <w:t>Pašreizējā situācija un problēmas, kuru risināšanai tiesību akta projekts izstrādāts, tiesiskā regulējuma mērķis un būtība</w:t>
            </w:r>
          </w:p>
        </w:tc>
        <w:tc>
          <w:tcPr>
            <w:tcW w:w="4860" w:type="dxa"/>
          </w:tcPr>
          <w:p w:rsidR="00965451" w:rsidRDefault="00445DC5" w:rsidP="00474426">
            <w:pPr>
              <w:pStyle w:val="naiskr"/>
              <w:spacing w:before="0" w:after="0"/>
              <w:jc w:val="both"/>
              <w:rPr>
                <w:iCs/>
              </w:rPr>
            </w:pPr>
            <w:r>
              <w:rPr>
                <w:iCs/>
              </w:rPr>
              <w:t>Patlaban</w:t>
            </w:r>
            <w:r w:rsidR="005F7343" w:rsidRPr="003D040D">
              <w:rPr>
                <w:iCs/>
              </w:rPr>
              <w:t xml:space="preserve"> spēkā ir Ministru kabineta </w:t>
            </w:r>
            <w:r w:rsidR="00BD32C5" w:rsidRPr="00BD32C5">
              <w:rPr>
                <w:iCs/>
              </w:rPr>
              <w:t>2011.gada 13.decembra noteikum</w:t>
            </w:r>
            <w:r w:rsidR="009031EC">
              <w:rPr>
                <w:iCs/>
              </w:rPr>
              <w:t>i</w:t>
            </w:r>
            <w:r w:rsidR="00BD32C5" w:rsidRPr="00BD32C5">
              <w:rPr>
                <w:iCs/>
              </w:rPr>
              <w:t xml:space="preserve"> Nr.949 „Noteikumi par augu aizsardzības līdzekļu laišanu tirgū”</w:t>
            </w:r>
            <w:r w:rsidR="005F7343" w:rsidRPr="003D040D">
              <w:rPr>
                <w:iCs/>
              </w:rPr>
              <w:t xml:space="preserve"> </w:t>
            </w:r>
            <w:r w:rsidR="00AE4192" w:rsidRPr="003D040D">
              <w:rPr>
                <w:iCs/>
              </w:rPr>
              <w:t>(turpmāk</w:t>
            </w:r>
            <w:r>
              <w:rPr>
                <w:iCs/>
              </w:rPr>
              <w:t> </w:t>
            </w:r>
            <w:r w:rsidR="00783EBA" w:rsidRPr="003D040D">
              <w:rPr>
                <w:iCs/>
              </w:rPr>
              <w:t>–</w:t>
            </w:r>
            <w:r w:rsidR="00AE4192" w:rsidRPr="003D040D">
              <w:rPr>
                <w:iCs/>
              </w:rPr>
              <w:t xml:space="preserve"> </w:t>
            </w:r>
            <w:r>
              <w:rPr>
                <w:iCs/>
              </w:rPr>
              <w:t>n</w:t>
            </w:r>
            <w:r w:rsidR="00AE4192" w:rsidRPr="003D040D">
              <w:rPr>
                <w:iCs/>
              </w:rPr>
              <w:t>oteikumi</w:t>
            </w:r>
            <w:r w:rsidR="00D43B82">
              <w:rPr>
                <w:iCs/>
              </w:rPr>
              <w:t xml:space="preserve"> Nr.949</w:t>
            </w:r>
            <w:r w:rsidR="00AE4192" w:rsidRPr="003D040D">
              <w:rPr>
                <w:iCs/>
              </w:rPr>
              <w:t>)</w:t>
            </w:r>
            <w:r w:rsidR="005F7343" w:rsidRPr="003D040D">
              <w:rPr>
                <w:iCs/>
              </w:rPr>
              <w:t>.</w:t>
            </w:r>
            <w:r w:rsidR="00965451">
              <w:rPr>
                <w:iCs/>
              </w:rPr>
              <w:t xml:space="preserve"> </w:t>
            </w:r>
            <w:r w:rsidR="00965451" w:rsidRPr="00965451">
              <w:rPr>
                <w:iCs/>
              </w:rPr>
              <w:t xml:space="preserve">Noteikumi </w:t>
            </w:r>
            <w:r w:rsidR="00965451">
              <w:rPr>
                <w:iCs/>
              </w:rPr>
              <w:t xml:space="preserve">Nr.949 </w:t>
            </w:r>
            <w:r w:rsidR="00965451" w:rsidRPr="00965451">
              <w:rPr>
                <w:iCs/>
              </w:rPr>
              <w:t>nosaka prasības augu aizsardzības līdzekļu laišanai tirgū, tirdzniecības vietām izvirzāmos kritērijus, augu aizsardzības līdzekļu tirdzniecības, ievešanas, izvešanas, uzglabāšanas un transportēšanas prasības, to pārdevēju un augu aizsardzības konsultantu pienākumus, informācijas sniegšanas kārtību augu aizsardzības līdzekļa pircējam un tās saturu, kā arī augu aizsardzības līdz</w:t>
            </w:r>
            <w:r w:rsidR="00965451">
              <w:rPr>
                <w:iCs/>
              </w:rPr>
              <w:t xml:space="preserve">ekļu aprites kontroles kārtību. </w:t>
            </w:r>
          </w:p>
          <w:p w:rsidR="00330433" w:rsidRDefault="00445DC5" w:rsidP="00474426">
            <w:pPr>
              <w:pStyle w:val="naiskr"/>
              <w:spacing w:before="0" w:after="0"/>
              <w:jc w:val="both"/>
              <w:rPr>
                <w:iCs/>
              </w:rPr>
            </w:pPr>
            <w:r>
              <w:rPr>
                <w:iCs/>
              </w:rPr>
              <w:t>Ievērojot</w:t>
            </w:r>
            <w:r w:rsidR="00965451">
              <w:t xml:space="preserve"> </w:t>
            </w:r>
            <w:r w:rsidR="007B036E">
              <w:t xml:space="preserve">noteikumu Nr.949 piemērošanas praksē konstatētās aktualitātes un </w:t>
            </w:r>
            <w:r w:rsidR="00965451" w:rsidRPr="00965451">
              <w:rPr>
                <w:iCs/>
              </w:rPr>
              <w:t>V</w:t>
            </w:r>
            <w:r w:rsidR="00965451">
              <w:rPr>
                <w:iCs/>
              </w:rPr>
              <w:t>alsts augu aizsardzības dienesta</w:t>
            </w:r>
            <w:r w:rsidR="00965451" w:rsidRPr="00965451">
              <w:rPr>
                <w:iCs/>
              </w:rPr>
              <w:t xml:space="preserve"> </w:t>
            </w:r>
            <w:r w:rsidR="00965451">
              <w:rPr>
                <w:iCs/>
              </w:rPr>
              <w:t>priekšlikumus</w:t>
            </w:r>
            <w:r w:rsidR="007B036E">
              <w:rPr>
                <w:iCs/>
              </w:rPr>
              <w:t xml:space="preserve">, </w:t>
            </w:r>
            <w:r>
              <w:rPr>
                <w:iCs/>
              </w:rPr>
              <w:t xml:space="preserve">ir </w:t>
            </w:r>
            <w:r w:rsidR="007B036E">
              <w:rPr>
                <w:iCs/>
              </w:rPr>
              <w:t>sagatavots</w:t>
            </w:r>
            <w:r w:rsidR="00965451">
              <w:rPr>
                <w:iCs/>
              </w:rPr>
              <w:t xml:space="preserve"> </w:t>
            </w:r>
            <w:r w:rsidR="00965451" w:rsidRPr="00965451">
              <w:rPr>
                <w:iCs/>
              </w:rPr>
              <w:t>Mini</w:t>
            </w:r>
            <w:r w:rsidR="00965451">
              <w:rPr>
                <w:iCs/>
              </w:rPr>
              <w:t>stru kabineta noteikumu projekts</w:t>
            </w:r>
            <w:r w:rsidR="00965451" w:rsidRPr="00965451">
              <w:rPr>
                <w:iCs/>
              </w:rPr>
              <w:t xml:space="preserve"> „Grozījumi Ministru kabineta 2011.</w:t>
            </w:r>
            <w:r w:rsidR="00965451">
              <w:rPr>
                <w:iCs/>
              </w:rPr>
              <w:t xml:space="preserve"> </w:t>
            </w:r>
            <w:r w:rsidR="00965451" w:rsidRPr="00965451">
              <w:rPr>
                <w:iCs/>
              </w:rPr>
              <w:t>gada 13.</w:t>
            </w:r>
            <w:r w:rsidR="00965451">
              <w:rPr>
                <w:iCs/>
              </w:rPr>
              <w:t xml:space="preserve"> </w:t>
            </w:r>
            <w:r w:rsidR="00965451" w:rsidRPr="00965451">
              <w:rPr>
                <w:iCs/>
              </w:rPr>
              <w:t>decembra noteikumos Nr.949 „Noteikumi par augu aizsardzības līdzekļu laišanu tirgū””</w:t>
            </w:r>
            <w:r w:rsidR="004206B9">
              <w:rPr>
                <w:iCs/>
              </w:rPr>
              <w:t xml:space="preserve"> </w:t>
            </w:r>
            <w:r w:rsidR="00965451">
              <w:rPr>
                <w:iCs/>
              </w:rPr>
              <w:t>(turpmāk – noteikumu projekts)</w:t>
            </w:r>
            <w:r w:rsidR="007B036E">
              <w:rPr>
                <w:iCs/>
              </w:rPr>
              <w:t>.</w:t>
            </w:r>
          </w:p>
          <w:p w:rsidR="0026452D" w:rsidRDefault="0026452D" w:rsidP="00A64A9A">
            <w:pPr>
              <w:pStyle w:val="naiskr"/>
              <w:numPr>
                <w:ilvl w:val="0"/>
                <w:numId w:val="3"/>
              </w:numPr>
              <w:spacing w:before="0" w:after="0"/>
              <w:ind w:left="102" w:firstLine="0"/>
              <w:jc w:val="both"/>
              <w:rPr>
                <w:bCs/>
                <w:iCs/>
              </w:rPr>
            </w:pPr>
            <w:r>
              <w:rPr>
                <w:bCs/>
                <w:iCs/>
              </w:rPr>
              <w:t xml:space="preserve">Precizēts noteikumu Nr. 949 1.punkts, papildinot to ar uzglabāšanas vietām.  Noteikumu Nr. 949 </w:t>
            </w:r>
            <w:r w:rsidRPr="0026452D">
              <w:rPr>
                <w:bCs/>
                <w:iCs/>
              </w:rPr>
              <w:t>1.</w:t>
            </w:r>
            <w:r w:rsidRPr="0026452D">
              <w:rPr>
                <w:bCs/>
                <w:iCs/>
                <w:vertAlign w:val="superscript"/>
              </w:rPr>
              <w:t>1</w:t>
            </w:r>
            <w:r>
              <w:rPr>
                <w:bCs/>
                <w:iCs/>
              </w:rPr>
              <w:t xml:space="preserve"> punktā ietverti nosacījumi, k</w:t>
            </w:r>
            <w:r w:rsidR="00EB0C26">
              <w:rPr>
                <w:bCs/>
                <w:iCs/>
              </w:rPr>
              <w:t>uri</w:t>
            </w:r>
            <w:r>
              <w:rPr>
                <w:bCs/>
                <w:iCs/>
              </w:rPr>
              <w:t xml:space="preserve"> iepriekš noteikti noteikumu Nr. 949 1.punktā un kuros ietvertas atsauces uz regulējumu, kas ietverts citos normatīvajos aktos.</w:t>
            </w:r>
          </w:p>
          <w:p w:rsidR="00BD32C5" w:rsidRPr="00585A24" w:rsidRDefault="00BD32C5" w:rsidP="00A64A9A">
            <w:pPr>
              <w:pStyle w:val="naiskr"/>
              <w:numPr>
                <w:ilvl w:val="0"/>
                <w:numId w:val="3"/>
              </w:numPr>
              <w:spacing w:before="0" w:after="0"/>
              <w:ind w:left="102" w:firstLine="0"/>
              <w:jc w:val="both"/>
              <w:rPr>
                <w:bCs/>
                <w:iCs/>
              </w:rPr>
            </w:pPr>
            <w:r w:rsidRPr="00585A24">
              <w:rPr>
                <w:bCs/>
                <w:iCs/>
              </w:rPr>
              <w:t xml:space="preserve">Noteikumu </w:t>
            </w:r>
            <w:r w:rsidR="00445DC5">
              <w:rPr>
                <w:bCs/>
                <w:iCs/>
              </w:rPr>
              <w:t xml:space="preserve">Nr. 949 </w:t>
            </w:r>
            <w:r w:rsidRPr="00585A24">
              <w:rPr>
                <w:bCs/>
                <w:iCs/>
              </w:rPr>
              <w:t>8.punkt</w:t>
            </w:r>
            <w:r w:rsidR="00D43B82">
              <w:rPr>
                <w:bCs/>
                <w:iCs/>
              </w:rPr>
              <w:t>s nosaka</w:t>
            </w:r>
            <w:r w:rsidR="00831000">
              <w:t xml:space="preserve">, ka </w:t>
            </w:r>
            <w:r w:rsidR="00831000">
              <w:rPr>
                <w:bCs/>
                <w:iCs/>
              </w:rPr>
              <w:t>n</w:t>
            </w:r>
            <w:r w:rsidR="00831000" w:rsidRPr="00831000">
              <w:rPr>
                <w:bCs/>
                <w:iCs/>
              </w:rPr>
              <w:t>ereģistrētus augu aizsardzības līdzekļus līdz to pārvietošanai uz citu Eiropas Savienības dalībvalsti vai izvešanai uz trešo valsti uzglabā tirdzniecības vietas noliktavā, kuras īpašnieks vai tiesiskais valdītājs ir saņēmis speciālu atļauju (licenci) augu aizsardzības līdzekļu izplatīšanai</w:t>
            </w:r>
            <w:r w:rsidRPr="00585A24">
              <w:rPr>
                <w:bCs/>
                <w:iCs/>
              </w:rPr>
              <w:t xml:space="preserve">. </w:t>
            </w:r>
            <w:r w:rsidR="006B11AD" w:rsidRPr="00585A24">
              <w:rPr>
                <w:bCs/>
                <w:iCs/>
              </w:rPr>
              <w:t xml:space="preserve">Praksē </w:t>
            </w:r>
            <w:r w:rsidRPr="00585A24">
              <w:rPr>
                <w:bCs/>
                <w:iCs/>
              </w:rPr>
              <w:t xml:space="preserve">tā </w:t>
            </w:r>
            <w:r w:rsidR="00445DC5" w:rsidRPr="00585A24">
              <w:rPr>
                <w:bCs/>
                <w:iCs/>
              </w:rPr>
              <w:t>bieži</w:t>
            </w:r>
            <w:r w:rsidR="00445DC5">
              <w:rPr>
                <w:bCs/>
                <w:iCs/>
              </w:rPr>
              <w:t xml:space="preserve"> vien </w:t>
            </w:r>
            <w:r w:rsidRPr="00585A24">
              <w:rPr>
                <w:bCs/>
                <w:iCs/>
              </w:rPr>
              <w:t xml:space="preserve">ir ne tikai </w:t>
            </w:r>
            <w:r w:rsidR="006B11AD" w:rsidRPr="00585A24">
              <w:rPr>
                <w:bCs/>
                <w:iCs/>
              </w:rPr>
              <w:t xml:space="preserve">tirdzniecības vietas noliktava, </w:t>
            </w:r>
            <w:r w:rsidR="00445DC5">
              <w:rPr>
                <w:bCs/>
                <w:iCs/>
              </w:rPr>
              <w:t>bet</w:t>
            </w:r>
            <w:r w:rsidRPr="00585A24">
              <w:rPr>
                <w:bCs/>
                <w:iCs/>
              </w:rPr>
              <w:t xml:space="preserve"> var būt arī augu aizsardzības līdzekļu uzglabāšanas noliktava. Tādēļ, lai  prasības, kas jāievēro augu aizsardzības līdzekļu uzglabāšanā</w:t>
            </w:r>
            <w:r w:rsidR="00445DC5">
              <w:rPr>
                <w:bCs/>
                <w:iCs/>
              </w:rPr>
              <w:t>,</w:t>
            </w:r>
            <w:r w:rsidRPr="00585A24">
              <w:rPr>
                <w:bCs/>
                <w:iCs/>
              </w:rPr>
              <w:t xml:space="preserve"> </w:t>
            </w:r>
            <w:r w:rsidR="00445DC5" w:rsidRPr="00585A24">
              <w:rPr>
                <w:bCs/>
                <w:iCs/>
              </w:rPr>
              <w:t>attiecinātu</w:t>
            </w:r>
            <w:r w:rsidR="00445DC5">
              <w:rPr>
                <w:bCs/>
                <w:iCs/>
              </w:rPr>
              <w:t xml:space="preserve"> </w:t>
            </w:r>
            <w:r w:rsidRPr="00585A24">
              <w:rPr>
                <w:bCs/>
                <w:iCs/>
              </w:rPr>
              <w:t xml:space="preserve">uz visām noliktavām, kurās tiek </w:t>
            </w:r>
            <w:r w:rsidR="00445DC5">
              <w:rPr>
                <w:bCs/>
                <w:iCs/>
              </w:rPr>
              <w:t>uzglabāti</w:t>
            </w:r>
            <w:r w:rsidRPr="00585A24">
              <w:rPr>
                <w:bCs/>
                <w:iCs/>
              </w:rPr>
              <w:t xml:space="preserve"> augu aizsardzības līdzekļ</w:t>
            </w:r>
            <w:r w:rsidR="00445DC5">
              <w:rPr>
                <w:bCs/>
                <w:iCs/>
              </w:rPr>
              <w:t>i</w:t>
            </w:r>
            <w:r w:rsidRPr="00585A24">
              <w:rPr>
                <w:bCs/>
                <w:iCs/>
              </w:rPr>
              <w:t xml:space="preserve">, nepieciešams </w:t>
            </w:r>
            <w:r w:rsidR="00EB0C26">
              <w:rPr>
                <w:bCs/>
                <w:iCs/>
              </w:rPr>
              <w:t xml:space="preserve">attiecīgi </w:t>
            </w:r>
            <w:r w:rsidRPr="00585A24">
              <w:rPr>
                <w:bCs/>
                <w:iCs/>
              </w:rPr>
              <w:t>precizēt noteikumus.</w:t>
            </w:r>
          </w:p>
          <w:p w:rsidR="00BD32C5" w:rsidRPr="00585A24" w:rsidRDefault="00BC625E" w:rsidP="00585A24">
            <w:pPr>
              <w:pStyle w:val="naiskr"/>
              <w:numPr>
                <w:ilvl w:val="0"/>
                <w:numId w:val="3"/>
              </w:numPr>
              <w:spacing w:before="0" w:after="0"/>
              <w:ind w:left="102" w:hanging="10"/>
              <w:jc w:val="both"/>
              <w:rPr>
                <w:bCs/>
                <w:iCs/>
              </w:rPr>
            </w:pPr>
            <w:r w:rsidRPr="00585A24">
              <w:rPr>
                <w:bCs/>
                <w:iCs/>
              </w:rPr>
              <w:t>No</w:t>
            </w:r>
            <w:r w:rsidR="002552B4">
              <w:rPr>
                <w:bCs/>
                <w:iCs/>
              </w:rPr>
              <w:t xml:space="preserve">teikumu </w:t>
            </w:r>
            <w:r w:rsidR="00445DC5">
              <w:rPr>
                <w:bCs/>
                <w:iCs/>
              </w:rPr>
              <w:t xml:space="preserve">Nr. 949 </w:t>
            </w:r>
            <w:r w:rsidR="00CE20C4">
              <w:rPr>
                <w:bCs/>
                <w:iCs/>
              </w:rPr>
              <w:t>12.5.apakšpunkt</w:t>
            </w:r>
            <w:r w:rsidR="00920704">
              <w:rPr>
                <w:bCs/>
                <w:iCs/>
              </w:rPr>
              <w:t>s</w:t>
            </w:r>
            <w:r w:rsidR="00CE20C4">
              <w:rPr>
                <w:bCs/>
                <w:iCs/>
              </w:rPr>
              <w:t xml:space="preserve"> i</w:t>
            </w:r>
            <w:r w:rsidR="00920704">
              <w:rPr>
                <w:bCs/>
                <w:iCs/>
              </w:rPr>
              <w:t xml:space="preserve">zteikts jaunā redakcijā, </w:t>
            </w:r>
            <w:r w:rsidR="00445DC5">
              <w:rPr>
                <w:bCs/>
                <w:iCs/>
              </w:rPr>
              <w:t>svītrojot</w:t>
            </w:r>
            <w:r w:rsidR="002552B4">
              <w:rPr>
                <w:bCs/>
                <w:iCs/>
              </w:rPr>
              <w:t xml:space="preserve"> </w:t>
            </w:r>
            <w:r w:rsidRPr="00585A24">
              <w:rPr>
                <w:bCs/>
                <w:iCs/>
              </w:rPr>
              <w:t>prasīb</w:t>
            </w:r>
            <w:r w:rsidR="00920704">
              <w:rPr>
                <w:bCs/>
                <w:iCs/>
              </w:rPr>
              <w:t>u</w:t>
            </w:r>
            <w:r w:rsidRPr="00585A24">
              <w:rPr>
                <w:bCs/>
                <w:iCs/>
              </w:rPr>
              <w:t xml:space="preserve"> licences </w:t>
            </w:r>
            <w:r w:rsidRPr="00585A24">
              <w:rPr>
                <w:bCs/>
                <w:iCs/>
              </w:rPr>
              <w:lastRenderedPageBreak/>
              <w:t xml:space="preserve">īpašniekam nodrošināt, lai augu aizsardzības līdzekļu uzglabāšanas vietā </w:t>
            </w:r>
            <w:r w:rsidR="00445DC5">
              <w:t xml:space="preserve">ir </w:t>
            </w:r>
            <w:r w:rsidRPr="00585A24">
              <w:rPr>
                <w:bCs/>
                <w:iCs/>
              </w:rPr>
              <w:t>darbinieks, kas ir saņēmis augu aizsardzības līdzekļa pārdevēja apliecību vai apliecību par tiesībām konsultēt par augu aizsardzības līdzekļu lietošanu. Šādu prasību turpmāk paredzēts attiecināt tikai uz augu aizsardzības līdzekļu tirdzniecības vietām.</w:t>
            </w:r>
            <w:r w:rsidR="0051596F">
              <w:rPr>
                <w:bCs/>
                <w:iCs/>
              </w:rPr>
              <w:t xml:space="preserve"> </w:t>
            </w:r>
          </w:p>
          <w:p w:rsidR="00CC2A04" w:rsidRPr="00F37D5D" w:rsidRDefault="0051596F" w:rsidP="00F37D5D">
            <w:pPr>
              <w:pStyle w:val="naiskr"/>
              <w:numPr>
                <w:ilvl w:val="0"/>
                <w:numId w:val="3"/>
              </w:numPr>
              <w:spacing w:before="0" w:after="0"/>
              <w:ind w:left="102" w:hanging="10"/>
              <w:jc w:val="both"/>
              <w:rPr>
                <w:bCs/>
                <w:iCs/>
              </w:rPr>
            </w:pPr>
            <w:r>
              <w:rPr>
                <w:bCs/>
                <w:iCs/>
              </w:rPr>
              <w:t xml:space="preserve"> Ja</w:t>
            </w:r>
            <w:r w:rsidR="002D0B06" w:rsidRPr="00585A24">
              <w:rPr>
                <w:bCs/>
                <w:iCs/>
              </w:rPr>
              <w:t xml:space="preserve"> tiek mainīti augu aizsardzības līdzekļu reģistrācijas nosacījumi, nepieciešams, lai augu aizsardzības līdzekļu lietotāji pēc iespējas efektīvāk tiktu informēti par šīm izmaiņām. Tādēļ licences īpašniekam ir nosakāmi papildu pienākumi augu aizsardzības līdzekļu lietotāju informēšanai</w:t>
            </w:r>
            <w:r w:rsidR="005F4280" w:rsidRPr="00585A24">
              <w:rPr>
                <w:bCs/>
                <w:iCs/>
              </w:rPr>
              <w:t xml:space="preserve">, </w:t>
            </w:r>
            <w:r w:rsidR="00445DC5">
              <w:rPr>
                <w:bCs/>
                <w:iCs/>
              </w:rPr>
              <w:t>t.i., tam jā</w:t>
            </w:r>
            <w:r w:rsidR="005F4280" w:rsidRPr="00585A24">
              <w:rPr>
                <w:bCs/>
                <w:iCs/>
              </w:rPr>
              <w:t>nodrošin</w:t>
            </w:r>
            <w:r w:rsidR="00445DC5">
              <w:rPr>
                <w:bCs/>
                <w:iCs/>
              </w:rPr>
              <w:t>a</w:t>
            </w:r>
            <w:r w:rsidR="005F4280" w:rsidRPr="00585A24">
              <w:rPr>
                <w:bCs/>
                <w:iCs/>
              </w:rPr>
              <w:t xml:space="preserve">, </w:t>
            </w:r>
            <w:r w:rsidR="00EB0C26">
              <w:rPr>
                <w:bCs/>
                <w:iCs/>
              </w:rPr>
              <w:t>lai</w:t>
            </w:r>
            <w:r w:rsidR="005F4280" w:rsidRPr="00585A24">
              <w:rPr>
                <w:bCs/>
                <w:iCs/>
              </w:rPr>
              <w:t xml:space="preserve"> augu aizsardzības līdzekļu lietotāji ir informēti par aktuālajiem reģistrācijas nosacījumiem, kas noteikti konkrēta augu aizsardzības līdzekļa lietošanai</w:t>
            </w:r>
            <w:r w:rsidR="002D0B06" w:rsidRPr="00585A24">
              <w:rPr>
                <w:bCs/>
                <w:iCs/>
              </w:rPr>
              <w:t>.</w:t>
            </w:r>
            <w:r w:rsidR="00F37D5D">
              <w:rPr>
                <w:bCs/>
                <w:iCs/>
              </w:rPr>
              <w:t xml:space="preserve"> </w:t>
            </w:r>
            <w:r w:rsidR="00445DC5">
              <w:rPr>
                <w:bCs/>
                <w:iCs/>
              </w:rPr>
              <w:t>Tādēļ</w:t>
            </w:r>
            <w:r w:rsidR="00F37D5D">
              <w:rPr>
                <w:bCs/>
                <w:iCs/>
              </w:rPr>
              <w:t xml:space="preserve"> </w:t>
            </w:r>
            <w:r w:rsidR="00445DC5">
              <w:rPr>
                <w:bCs/>
                <w:iCs/>
              </w:rPr>
              <w:t>n</w:t>
            </w:r>
            <w:r w:rsidR="00F37D5D">
              <w:rPr>
                <w:bCs/>
                <w:iCs/>
              </w:rPr>
              <w:t xml:space="preserve">oteikumi Nr.949 tiek papildināti ar 12.8.apakšpunktu, kas paredz licences īpašniekam </w:t>
            </w:r>
            <w:r w:rsidR="00F37D5D" w:rsidRPr="00F37D5D">
              <w:rPr>
                <w:bCs/>
                <w:iCs/>
              </w:rPr>
              <w:t>n</w:t>
            </w:r>
            <w:r w:rsidR="00F37D5D">
              <w:rPr>
                <w:bCs/>
                <w:iCs/>
              </w:rPr>
              <w:t>odrošināt</w:t>
            </w:r>
            <w:r w:rsidR="00F37D5D" w:rsidRPr="00F37D5D">
              <w:rPr>
                <w:bCs/>
                <w:iCs/>
              </w:rPr>
              <w:t xml:space="preserve"> </w:t>
            </w:r>
            <w:r w:rsidR="00F37D5D">
              <w:rPr>
                <w:bCs/>
                <w:iCs/>
              </w:rPr>
              <w:t>iespēju</w:t>
            </w:r>
            <w:r w:rsidR="00F37D5D" w:rsidRPr="00F37D5D">
              <w:rPr>
                <w:bCs/>
                <w:iCs/>
              </w:rPr>
              <w:t xml:space="preserve"> personai, kas pērk šo augu aizsa</w:t>
            </w:r>
            <w:r w:rsidR="00F37D5D">
              <w:rPr>
                <w:bCs/>
                <w:iCs/>
              </w:rPr>
              <w:t>r</w:t>
            </w:r>
            <w:r w:rsidR="00F37D5D" w:rsidRPr="00F37D5D">
              <w:rPr>
                <w:bCs/>
                <w:iCs/>
              </w:rPr>
              <w:t>dzības līdzekli</w:t>
            </w:r>
            <w:r w:rsidR="00F37D5D">
              <w:rPr>
                <w:bCs/>
                <w:iCs/>
              </w:rPr>
              <w:t>, iepazīties ar izmaiņām</w:t>
            </w:r>
            <w:r w:rsidR="00F37D5D" w:rsidRPr="00F37D5D">
              <w:rPr>
                <w:bCs/>
                <w:iCs/>
              </w:rPr>
              <w:t xml:space="preserve"> reģistrēta augu aizsardzības līdzekļa reģistrācijas vai izplatīšanas nosacījumos, </w:t>
            </w:r>
            <w:r w:rsidR="00F37D5D">
              <w:rPr>
                <w:bCs/>
                <w:iCs/>
              </w:rPr>
              <w:t>uzrādot attiecīg</w:t>
            </w:r>
            <w:r w:rsidR="00E566FE">
              <w:rPr>
                <w:bCs/>
                <w:iCs/>
              </w:rPr>
              <w:t>ā</w:t>
            </w:r>
            <w:r w:rsidR="00F37D5D">
              <w:rPr>
                <w:bCs/>
                <w:iCs/>
              </w:rPr>
              <w:t xml:space="preserve"> dienesta lēmuma </w:t>
            </w:r>
            <w:r w:rsidR="00F37D5D" w:rsidRPr="00F37D5D">
              <w:rPr>
                <w:bCs/>
                <w:iCs/>
              </w:rPr>
              <w:t xml:space="preserve">kopiju </w:t>
            </w:r>
            <w:r w:rsidR="00757573">
              <w:rPr>
                <w:bCs/>
                <w:iCs/>
              </w:rPr>
              <w:t>tirdzniecības</w:t>
            </w:r>
            <w:r w:rsidR="00F37D5D" w:rsidRPr="00F37D5D">
              <w:rPr>
                <w:bCs/>
                <w:iCs/>
              </w:rPr>
              <w:t xml:space="preserve"> vietā un </w:t>
            </w:r>
            <w:r w:rsidR="00277872">
              <w:rPr>
                <w:bCs/>
                <w:iCs/>
              </w:rPr>
              <w:t xml:space="preserve">šo izmaiņu </w:t>
            </w:r>
            <w:r w:rsidR="00F37D5D" w:rsidRPr="00F37D5D">
              <w:rPr>
                <w:bCs/>
                <w:iCs/>
              </w:rPr>
              <w:t>izsniegšanu</w:t>
            </w:r>
            <w:r w:rsidR="00277872">
              <w:rPr>
                <w:bCs/>
                <w:iCs/>
              </w:rPr>
              <w:t xml:space="preserve"> personai</w:t>
            </w:r>
            <w:r w:rsidR="00F37D5D" w:rsidRPr="00F37D5D">
              <w:rPr>
                <w:bCs/>
                <w:iCs/>
              </w:rPr>
              <w:t>, ja to paredz dienesta lēmums</w:t>
            </w:r>
            <w:r w:rsidR="00F37D5D">
              <w:rPr>
                <w:bCs/>
                <w:iCs/>
              </w:rPr>
              <w:t>.</w:t>
            </w:r>
          </w:p>
          <w:p w:rsidR="005F4280" w:rsidRPr="00585A24" w:rsidRDefault="00E566FE" w:rsidP="00585A24">
            <w:pPr>
              <w:pStyle w:val="naiskr"/>
              <w:numPr>
                <w:ilvl w:val="0"/>
                <w:numId w:val="3"/>
              </w:numPr>
              <w:spacing w:before="0" w:after="0"/>
              <w:ind w:left="102" w:hanging="10"/>
              <w:jc w:val="both"/>
              <w:rPr>
                <w:bCs/>
                <w:iCs/>
              </w:rPr>
            </w:pPr>
            <w:r>
              <w:rPr>
                <w:bCs/>
                <w:iCs/>
              </w:rPr>
              <w:t>N</w:t>
            </w:r>
            <w:r w:rsidR="00DE7F2E" w:rsidRPr="00585A24">
              <w:rPr>
                <w:bCs/>
                <w:iCs/>
              </w:rPr>
              <w:t xml:space="preserve">oteikumu </w:t>
            </w:r>
            <w:r>
              <w:rPr>
                <w:bCs/>
                <w:iCs/>
              </w:rPr>
              <w:t xml:space="preserve">Nr.949 </w:t>
            </w:r>
            <w:r w:rsidR="00DE7F2E" w:rsidRPr="00585A24">
              <w:rPr>
                <w:bCs/>
                <w:iCs/>
              </w:rPr>
              <w:t>26.punkt</w:t>
            </w:r>
            <w:r w:rsidR="005F72C8">
              <w:rPr>
                <w:bCs/>
                <w:iCs/>
              </w:rPr>
              <w:t xml:space="preserve">s izteikts jaunā redakcijā, </w:t>
            </w:r>
            <w:r w:rsidR="00445DC5">
              <w:rPr>
                <w:bCs/>
                <w:iCs/>
              </w:rPr>
              <w:t>no tā svītrojot</w:t>
            </w:r>
            <w:r w:rsidR="00DE7F2E" w:rsidRPr="00585A24">
              <w:rPr>
                <w:bCs/>
                <w:iCs/>
              </w:rPr>
              <w:t xml:space="preserve"> prasīb</w:t>
            </w:r>
            <w:r>
              <w:rPr>
                <w:bCs/>
                <w:iCs/>
              </w:rPr>
              <w:t>u</w:t>
            </w:r>
            <w:r w:rsidR="00DE7F2E" w:rsidRPr="00585A24">
              <w:rPr>
                <w:bCs/>
                <w:iCs/>
              </w:rPr>
              <w:t xml:space="preserve">, ka augu aizsardzības līdzekļu </w:t>
            </w:r>
            <w:r w:rsidR="00FF49C8">
              <w:rPr>
                <w:bCs/>
                <w:iCs/>
              </w:rPr>
              <w:t>tirdzniecības</w:t>
            </w:r>
            <w:r w:rsidR="00DE7F2E" w:rsidRPr="00585A24">
              <w:rPr>
                <w:bCs/>
                <w:iCs/>
              </w:rPr>
              <w:t xml:space="preserve"> vietā tiek aizliegta tirdzniecība ar sadzīves ķīmijas precēm. Līdz šim nav ziņu par gadījumiem, ka</w:t>
            </w:r>
            <w:r w:rsidR="00445DC5">
              <w:rPr>
                <w:bCs/>
                <w:iCs/>
              </w:rPr>
              <w:t>d</w:t>
            </w:r>
            <w:r w:rsidR="00DE7F2E" w:rsidRPr="00585A24">
              <w:rPr>
                <w:bCs/>
                <w:iCs/>
              </w:rPr>
              <w:t xml:space="preserve"> sadzīves ķīmijas preces kopā ar augu aizsardzības līdzekļiem radītu riskantas situācijas. </w:t>
            </w:r>
            <w:r w:rsidR="00445DC5">
              <w:rPr>
                <w:bCs/>
                <w:iCs/>
              </w:rPr>
              <w:t>Svītroj</w:t>
            </w:r>
            <w:r w:rsidR="00DE7F2E" w:rsidRPr="00585A24">
              <w:rPr>
                <w:bCs/>
                <w:iCs/>
              </w:rPr>
              <w:t xml:space="preserve">ot šo prasību, tiek mazināts slogs </w:t>
            </w:r>
            <w:r w:rsidR="00FF49C8">
              <w:rPr>
                <w:bCs/>
                <w:iCs/>
              </w:rPr>
              <w:t>tirdzniecības</w:t>
            </w:r>
            <w:r w:rsidR="00DE7F2E" w:rsidRPr="00585A24">
              <w:rPr>
                <w:bCs/>
                <w:iCs/>
              </w:rPr>
              <w:t xml:space="preserve"> vietām, kas jau iepriekš ir ieguvušas speciālas atļaujas (licences) un vienlai</w:t>
            </w:r>
            <w:r w:rsidR="00445DC5">
              <w:rPr>
                <w:bCs/>
                <w:iCs/>
              </w:rPr>
              <w:t>kus</w:t>
            </w:r>
            <w:r w:rsidR="00DE7F2E" w:rsidRPr="00585A24">
              <w:rPr>
                <w:bCs/>
                <w:iCs/>
              </w:rPr>
              <w:t xml:space="preserve"> tirgojušās ar sadzīves ķīmijas precēm. </w:t>
            </w:r>
            <w:r w:rsidR="005F72C8">
              <w:rPr>
                <w:bCs/>
                <w:iCs/>
              </w:rPr>
              <w:t>Patlaban š</w:t>
            </w:r>
            <w:r w:rsidR="00DE7F2E" w:rsidRPr="00585A24">
              <w:rPr>
                <w:bCs/>
                <w:iCs/>
              </w:rPr>
              <w:t>āda prasība uzli</w:t>
            </w:r>
            <w:r w:rsidR="005F72C8">
              <w:rPr>
                <w:bCs/>
                <w:iCs/>
              </w:rPr>
              <w:t>e</w:t>
            </w:r>
            <w:r w:rsidR="00DE7F2E" w:rsidRPr="00585A24">
              <w:rPr>
                <w:bCs/>
                <w:iCs/>
              </w:rPr>
              <w:t xml:space="preserve">k pienākumu </w:t>
            </w:r>
            <w:r w:rsidR="00FF49C8">
              <w:rPr>
                <w:bCs/>
                <w:iCs/>
              </w:rPr>
              <w:t>tirdzniecības</w:t>
            </w:r>
            <w:r w:rsidR="00DE7F2E" w:rsidRPr="00585A24">
              <w:rPr>
                <w:bCs/>
                <w:iCs/>
              </w:rPr>
              <w:t xml:space="preserve"> vietai papildus meklēt atsevišķu telpu vai arī atteikties no speciālas atļaujas (licences), jo nevar izpildīt šo prasību, ja </w:t>
            </w:r>
            <w:r w:rsidR="00FF49C8">
              <w:rPr>
                <w:bCs/>
                <w:iCs/>
              </w:rPr>
              <w:t>tirdzniecības</w:t>
            </w:r>
            <w:r w:rsidR="00DE7F2E" w:rsidRPr="00585A24">
              <w:rPr>
                <w:bCs/>
                <w:iCs/>
              </w:rPr>
              <w:t xml:space="preserve"> vietai ir viena telpa.</w:t>
            </w:r>
            <w:r w:rsidR="005F72C8">
              <w:rPr>
                <w:bCs/>
                <w:iCs/>
              </w:rPr>
              <w:t xml:space="preserve"> </w:t>
            </w:r>
          </w:p>
          <w:p w:rsidR="0062528C" w:rsidRPr="00585A24" w:rsidRDefault="0062528C" w:rsidP="00585A24">
            <w:pPr>
              <w:pStyle w:val="naiskr"/>
              <w:numPr>
                <w:ilvl w:val="0"/>
                <w:numId w:val="3"/>
              </w:numPr>
              <w:spacing w:before="0" w:after="0"/>
              <w:ind w:left="102" w:hanging="10"/>
              <w:jc w:val="both"/>
              <w:rPr>
                <w:bCs/>
                <w:iCs/>
              </w:rPr>
            </w:pPr>
            <w:r w:rsidRPr="00585A24">
              <w:rPr>
                <w:bCs/>
                <w:iCs/>
              </w:rPr>
              <w:t>Noteikum</w:t>
            </w:r>
            <w:r w:rsidR="00445DC5">
              <w:rPr>
                <w:bCs/>
                <w:iCs/>
              </w:rPr>
              <w:t>i</w:t>
            </w:r>
            <w:r w:rsidR="00C3487B">
              <w:rPr>
                <w:bCs/>
                <w:iCs/>
              </w:rPr>
              <w:t xml:space="preserve"> Nr.949</w:t>
            </w:r>
            <w:r w:rsidR="00961F69">
              <w:rPr>
                <w:bCs/>
                <w:iCs/>
              </w:rPr>
              <w:t xml:space="preserve"> </w:t>
            </w:r>
            <w:r w:rsidR="00445DC5">
              <w:rPr>
                <w:bCs/>
                <w:iCs/>
              </w:rPr>
              <w:t xml:space="preserve">tiek </w:t>
            </w:r>
            <w:r w:rsidR="00961F69">
              <w:rPr>
                <w:bCs/>
                <w:iCs/>
              </w:rPr>
              <w:t>papildināt</w:t>
            </w:r>
            <w:r w:rsidR="00445DC5">
              <w:rPr>
                <w:bCs/>
                <w:iCs/>
              </w:rPr>
              <w:t>i</w:t>
            </w:r>
            <w:r w:rsidR="00961F69">
              <w:rPr>
                <w:bCs/>
                <w:iCs/>
              </w:rPr>
              <w:t xml:space="preserve"> ar </w:t>
            </w:r>
            <w:r w:rsidRPr="00585A24">
              <w:rPr>
                <w:bCs/>
                <w:iCs/>
              </w:rPr>
              <w:t>33.</w:t>
            </w:r>
            <w:r w:rsidRPr="00585A24">
              <w:rPr>
                <w:bCs/>
                <w:iCs/>
                <w:vertAlign w:val="superscript"/>
              </w:rPr>
              <w:t>1</w:t>
            </w:r>
            <w:r w:rsidRPr="00585A24">
              <w:rPr>
                <w:bCs/>
                <w:iCs/>
              </w:rPr>
              <w:t xml:space="preserve"> punkt</w:t>
            </w:r>
            <w:r w:rsidR="00961F69">
              <w:rPr>
                <w:bCs/>
                <w:iCs/>
              </w:rPr>
              <w:t>u</w:t>
            </w:r>
            <w:r w:rsidRPr="00585A24">
              <w:rPr>
                <w:bCs/>
                <w:iCs/>
              </w:rPr>
              <w:t xml:space="preserve">, ieviešot Eiropas </w:t>
            </w:r>
            <w:r w:rsidR="00FE0E85">
              <w:rPr>
                <w:bCs/>
                <w:iCs/>
              </w:rPr>
              <w:t>K</w:t>
            </w:r>
            <w:r w:rsidRPr="00585A24">
              <w:rPr>
                <w:bCs/>
                <w:iCs/>
              </w:rPr>
              <w:t>omisijas Veselības un patērētāju ģenerāldirektorāta Pārtikas un veterinārā biroja 2012.gada 10.</w:t>
            </w:r>
            <w:r w:rsidR="00445DC5">
              <w:rPr>
                <w:bCs/>
                <w:iCs/>
              </w:rPr>
              <w:t>–</w:t>
            </w:r>
            <w:r w:rsidRPr="00585A24">
              <w:rPr>
                <w:bCs/>
                <w:iCs/>
              </w:rPr>
              <w:t>14. septembrī veiktās revīzijas ieteikumu „</w:t>
            </w:r>
            <w:r w:rsidR="00445DC5">
              <w:rPr>
                <w:bCs/>
                <w:iCs/>
              </w:rPr>
              <w:t>n</w:t>
            </w:r>
            <w:r w:rsidRPr="00585A24">
              <w:rPr>
                <w:bCs/>
                <w:iCs/>
              </w:rPr>
              <w:t xml:space="preserve">odrošināt, lai atbilstoši </w:t>
            </w:r>
            <w:r w:rsidRPr="00B64E7F">
              <w:rPr>
                <w:bCs/>
                <w:i/>
                <w:iCs/>
              </w:rPr>
              <w:t>FAO</w:t>
            </w:r>
            <w:r w:rsidRPr="00585A24">
              <w:rPr>
                <w:bCs/>
                <w:iCs/>
              </w:rPr>
              <w:t xml:space="preserve"> Rokasgrāmatai par pesticīdu glabāšanu un krājumu kontroli</w:t>
            </w:r>
            <w:r w:rsidR="00445DC5">
              <w:rPr>
                <w:bCs/>
                <w:iCs/>
              </w:rPr>
              <w:t xml:space="preserve"> </w:t>
            </w:r>
            <w:r w:rsidRPr="00585A24">
              <w:rPr>
                <w:bCs/>
                <w:iCs/>
              </w:rPr>
              <w:t>(FAO/V8966E) uzglabāšanas drošuma noteikumi paredzētu pietiekamu ventilāciju un herbicīdu atsevišķu glabāšanu”</w:t>
            </w:r>
            <w:r w:rsidR="00445DC5">
              <w:rPr>
                <w:bCs/>
                <w:iCs/>
              </w:rPr>
              <w:t>.</w:t>
            </w:r>
            <w:r w:rsidR="00C65101">
              <w:rPr>
                <w:bCs/>
                <w:iCs/>
              </w:rPr>
              <w:t xml:space="preserve"> Tādēļ noteikum</w:t>
            </w:r>
            <w:r w:rsidR="00965451">
              <w:rPr>
                <w:bCs/>
                <w:iCs/>
              </w:rPr>
              <w:t>u projektā</w:t>
            </w:r>
            <w:r w:rsidR="00C65101">
              <w:rPr>
                <w:bCs/>
                <w:iCs/>
              </w:rPr>
              <w:t xml:space="preserve"> ir paredzēta herbicīdu</w:t>
            </w:r>
            <w:r w:rsidR="00682D5E">
              <w:rPr>
                <w:bCs/>
                <w:iCs/>
              </w:rPr>
              <w:t xml:space="preserve">, kā arī citu augu aizsardzības </w:t>
            </w:r>
            <w:r w:rsidR="00682D5E">
              <w:rPr>
                <w:bCs/>
                <w:iCs/>
              </w:rPr>
              <w:lastRenderedPageBreak/>
              <w:t>līdzekļu lietošanas kategoriju</w:t>
            </w:r>
            <w:r w:rsidR="00C65101">
              <w:rPr>
                <w:bCs/>
                <w:iCs/>
              </w:rPr>
              <w:t xml:space="preserve"> nodalīšana, lai </w:t>
            </w:r>
            <w:r w:rsidR="00FF49C8">
              <w:rPr>
                <w:bCs/>
                <w:iCs/>
              </w:rPr>
              <w:t>samazinātu</w:t>
            </w:r>
            <w:r w:rsidR="00C65101">
              <w:rPr>
                <w:bCs/>
                <w:iCs/>
              </w:rPr>
              <w:t xml:space="preserve"> augu aizsardzības līdzekļu sajaukšanās risku.</w:t>
            </w:r>
          </w:p>
          <w:p w:rsidR="0062528C" w:rsidRPr="00585A24" w:rsidRDefault="00445DC5" w:rsidP="00585A24">
            <w:pPr>
              <w:pStyle w:val="naiskr"/>
              <w:numPr>
                <w:ilvl w:val="0"/>
                <w:numId w:val="3"/>
              </w:numPr>
              <w:spacing w:before="0" w:after="0"/>
              <w:ind w:left="102" w:hanging="10"/>
              <w:jc w:val="both"/>
              <w:rPr>
                <w:bCs/>
                <w:iCs/>
              </w:rPr>
            </w:pPr>
            <w:r>
              <w:rPr>
                <w:bCs/>
                <w:iCs/>
              </w:rPr>
              <w:t>Ar n</w:t>
            </w:r>
            <w:r w:rsidR="00F641BB">
              <w:rPr>
                <w:bCs/>
                <w:iCs/>
              </w:rPr>
              <w:t>oteikumu projekt</w:t>
            </w:r>
            <w:r>
              <w:rPr>
                <w:bCs/>
                <w:iCs/>
              </w:rPr>
              <w:t>u</w:t>
            </w:r>
            <w:r w:rsidR="00F641BB">
              <w:rPr>
                <w:bCs/>
                <w:iCs/>
              </w:rPr>
              <w:t xml:space="preserve"> </w:t>
            </w:r>
            <w:r>
              <w:rPr>
                <w:bCs/>
                <w:iCs/>
              </w:rPr>
              <w:t xml:space="preserve">tiek </w:t>
            </w:r>
            <w:r w:rsidR="00F641BB">
              <w:rPr>
                <w:bCs/>
                <w:iCs/>
              </w:rPr>
              <w:t>svītrot</w:t>
            </w:r>
            <w:r>
              <w:rPr>
                <w:bCs/>
                <w:iCs/>
              </w:rPr>
              <w:t>s</w:t>
            </w:r>
            <w:r w:rsidR="00F641BB">
              <w:rPr>
                <w:bCs/>
                <w:iCs/>
              </w:rPr>
              <w:t xml:space="preserve"> noteikumu </w:t>
            </w:r>
            <w:r>
              <w:rPr>
                <w:bCs/>
                <w:iCs/>
              </w:rPr>
              <w:t xml:space="preserve">Nr. 949 </w:t>
            </w:r>
            <w:r w:rsidR="00F641BB">
              <w:rPr>
                <w:bCs/>
                <w:iCs/>
              </w:rPr>
              <w:t>44.punkt</w:t>
            </w:r>
            <w:r>
              <w:rPr>
                <w:bCs/>
                <w:iCs/>
              </w:rPr>
              <w:t>s</w:t>
            </w:r>
            <w:r w:rsidR="00F641BB">
              <w:rPr>
                <w:bCs/>
                <w:iCs/>
              </w:rPr>
              <w:t xml:space="preserve"> </w:t>
            </w:r>
            <w:r>
              <w:rPr>
                <w:bCs/>
                <w:iCs/>
              </w:rPr>
              <w:t xml:space="preserve">– </w:t>
            </w:r>
            <w:r w:rsidR="000E17F0" w:rsidRPr="00585A24">
              <w:rPr>
                <w:bCs/>
                <w:iCs/>
              </w:rPr>
              <w:t>prasīb</w:t>
            </w:r>
            <w:r>
              <w:rPr>
                <w:bCs/>
                <w:iCs/>
              </w:rPr>
              <w:t>a</w:t>
            </w:r>
            <w:r w:rsidR="000E17F0" w:rsidRPr="00585A24">
              <w:rPr>
                <w:bCs/>
                <w:iCs/>
              </w:rPr>
              <w:t xml:space="preserve"> par ugunsdrošības noteikumu ievērošanu, jo to nosaka</w:t>
            </w:r>
            <w:r w:rsidR="005413E2">
              <w:rPr>
                <w:bCs/>
                <w:iCs/>
              </w:rPr>
              <w:t xml:space="preserve"> Ministru kabineta 20</w:t>
            </w:r>
            <w:r w:rsidR="00A941E4">
              <w:rPr>
                <w:bCs/>
                <w:iCs/>
              </w:rPr>
              <w:t>16</w:t>
            </w:r>
            <w:r w:rsidR="005413E2">
              <w:rPr>
                <w:bCs/>
                <w:iCs/>
              </w:rPr>
              <w:t xml:space="preserve">.gada </w:t>
            </w:r>
            <w:r w:rsidR="00A941E4">
              <w:rPr>
                <w:bCs/>
                <w:iCs/>
              </w:rPr>
              <w:t>19.aprīļa</w:t>
            </w:r>
            <w:r w:rsidR="005413E2">
              <w:rPr>
                <w:bCs/>
                <w:iCs/>
              </w:rPr>
              <w:t xml:space="preserve"> noteikumi Nr.2</w:t>
            </w:r>
            <w:r w:rsidR="00A941E4">
              <w:rPr>
                <w:bCs/>
                <w:iCs/>
              </w:rPr>
              <w:t>38</w:t>
            </w:r>
            <w:r w:rsidR="005413E2">
              <w:rPr>
                <w:bCs/>
                <w:iCs/>
              </w:rPr>
              <w:t xml:space="preserve"> „Ugunsdrošības noteikumi”</w:t>
            </w:r>
            <w:r w:rsidR="000E17F0" w:rsidRPr="00585A24">
              <w:rPr>
                <w:bCs/>
                <w:iCs/>
              </w:rPr>
              <w:t>.</w:t>
            </w:r>
          </w:p>
          <w:p w:rsidR="000E17F0" w:rsidRPr="00585A24" w:rsidRDefault="00445DC5" w:rsidP="00585A24">
            <w:pPr>
              <w:pStyle w:val="naiskr"/>
              <w:numPr>
                <w:ilvl w:val="0"/>
                <w:numId w:val="3"/>
              </w:numPr>
              <w:ind w:left="102" w:hanging="10"/>
              <w:jc w:val="both"/>
              <w:rPr>
                <w:bCs/>
                <w:iCs/>
              </w:rPr>
            </w:pPr>
            <w:r>
              <w:rPr>
                <w:bCs/>
                <w:iCs/>
              </w:rPr>
              <w:t>Ievērojot</w:t>
            </w:r>
            <w:r w:rsidR="007A1BD6" w:rsidRPr="00585A24">
              <w:rPr>
                <w:bCs/>
                <w:iCs/>
              </w:rPr>
              <w:t xml:space="preserve"> grozījum</w:t>
            </w:r>
            <w:r>
              <w:rPr>
                <w:bCs/>
                <w:iCs/>
              </w:rPr>
              <w:t>us</w:t>
            </w:r>
            <w:r w:rsidR="007A1BD6" w:rsidRPr="00585A24">
              <w:t xml:space="preserve"> </w:t>
            </w:r>
            <w:r w:rsidR="007A1BD6" w:rsidRPr="00585A24">
              <w:rPr>
                <w:bCs/>
                <w:iCs/>
              </w:rPr>
              <w:t>Ministru kabineta 2013.gada 19.marta noteikumos Nr.147 „Noteikumi par profesionālo augu aizsardzības līdzekļu lietotāju, augu aizsardzības līdzekļu lietošanas operatoru, augu aizsardzības līdzekļu pārdevēju un augu aizsardzības konsultantu apmācību un apliecību izsniegšanas kārtību”</w:t>
            </w:r>
            <w:r>
              <w:rPr>
                <w:bCs/>
                <w:iCs/>
              </w:rPr>
              <w:t>,</w:t>
            </w:r>
            <w:r w:rsidR="007A1BD6" w:rsidRPr="00585A24">
              <w:rPr>
                <w:bCs/>
                <w:iCs/>
              </w:rPr>
              <w:t xml:space="preserve"> nepieciešams precizēt otrās reģistrācijas klases augu aizsardzības līdzekļu profesionālo lietotāju tiesības</w:t>
            </w:r>
            <w:r w:rsidR="00756615" w:rsidRPr="00585A24">
              <w:rPr>
                <w:bCs/>
                <w:iCs/>
              </w:rPr>
              <w:t xml:space="preserve"> augu aizsardzības līdzekļu tirdzniecības jomā</w:t>
            </w:r>
            <w:r w:rsidR="00F641BB">
              <w:rPr>
                <w:bCs/>
                <w:iCs/>
              </w:rPr>
              <w:t xml:space="preserve"> (</w:t>
            </w:r>
            <w:r>
              <w:rPr>
                <w:bCs/>
                <w:iCs/>
              </w:rPr>
              <w:t>n</w:t>
            </w:r>
            <w:r w:rsidR="00F641BB">
              <w:rPr>
                <w:bCs/>
                <w:iCs/>
              </w:rPr>
              <w:t>oteikumu Nr.949 53.punkts)</w:t>
            </w:r>
            <w:r>
              <w:rPr>
                <w:bCs/>
                <w:iCs/>
              </w:rPr>
              <w:t>.</w:t>
            </w:r>
          </w:p>
          <w:p w:rsidR="00756615" w:rsidRPr="00585A24" w:rsidRDefault="00756615" w:rsidP="00585A24">
            <w:pPr>
              <w:pStyle w:val="naiskr"/>
              <w:numPr>
                <w:ilvl w:val="0"/>
                <w:numId w:val="3"/>
              </w:numPr>
              <w:ind w:left="102" w:hanging="10"/>
              <w:jc w:val="both"/>
              <w:rPr>
                <w:bCs/>
                <w:iCs/>
              </w:rPr>
            </w:pPr>
            <w:r w:rsidRPr="00585A24">
              <w:rPr>
                <w:bCs/>
                <w:iCs/>
              </w:rPr>
              <w:t xml:space="preserve">Noteikumi </w:t>
            </w:r>
            <w:r w:rsidR="00F641BB">
              <w:rPr>
                <w:bCs/>
                <w:iCs/>
              </w:rPr>
              <w:t xml:space="preserve">Nr.949 </w:t>
            </w:r>
            <w:r w:rsidRPr="00585A24">
              <w:rPr>
                <w:bCs/>
                <w:iCs/>
              </w:rPr>
              <w:t xml:space="preserve">paredz, ka paraugus analizē akreditētā laboratorijā, kurai pesticīdu noteikšanas jomā ir ieviesta kvalitātes sistēma „Labas laboratorijas prakse”. Iepriekšminētā prakse ir nepieciešama laboratorijām, kas nodarbojas ar pētniecības darbu. </w:t>
            </w:r>
            <w:r w:rsidR="00445DC5">
              <w:rPr>
                <w:bCs/>
                <w:iCs/>
              </w:rPr>
              <w:t>Ievērojot</w:t>
            </w:r>
            <w:r w:rsidR="00445DC5" w:rsidRPr="00585A24">
              <w:rPr>
                <w:bCs/>
                <w:iCs/>
              </w:rPr>
              <w:t xml:space="preserve"> </w:t>
            </w:r>
            <w:r w:rsidRPr="00585A24">
              <w:rPr>
                <w:bCs/>
                <w:iCs/>
              </w:rPr>
              <w:t>ar noteikumiem sasniedzam</w:t>
            </w:r>
            <w:r w:rsidR="00445DC5">
              <w:rPr>
                <w:bCs/>
                <w:iCs/>
              </w:rPr>
              <w:t>os</w:t>
            </w:r>
            <w:r w:rsidRPr="00585A24">
              <w:rPr>
                <w:bCs/>
                <w:iCs/>
              </w:rPr>
              <w:t xml:space="preserve"> mērķ</w:t>
            </w:r>
            <w:r w:rsidR="00445DC5">
              <w:rPr>
                <w:bCs/>
                <w:iCs/>
              </w:rPr>
              <w:t>us</w:t>
            </w:r>
            <w:r w:rsidRPr="00585A24">
              <w:rPr>
                <w:bCs/>
                <w:iCs/>
              </w:rPr>
              <w:t xml:space="preserve">, ir </w:t>
            </w:r>
            <w:r w:rsidR="00F641BB">
              <w:rPr>
                <w:bCs/>
                <w:iCs/>
              </w:rPr>
              <w:t xml:space="preserve">pierādījies, ka </w:t>
            </w:r>
            <w:r w:rsidRPr="00585A24">
              <w:rPr>
                <w:bCs/>
                <w:iCs/>
              </w:rPr>
              <w:t xml:space="preserve">nepieciešama tikai konkrētu rādītāju konstatēšana. Ar grozījumiem </w:t>
            </w:r>
            <w:r w:rsidR="00445DC5">
              <w:rPr>
                <w:bCs/>
                <w:iCs/>
              </w:rPr>
              <w:t>tiek</w:t>
            </w:r>
            <w:r w:rsidR="00445DC5" w:rsidRPr="00585A24">
              <w:rPr>
                <w:bCs/>
                <w:iCs/>
              </w:rPr>
              <w:t xml:space="preserve"> </w:t>
            </w:r>
            <w:r w:rsidRPr="00585A24">
              <w:rPr>
                <w:bCs/>
                <w:iCs/>
              </w:rPr>
              <w:t xml:space="preserve">paplašināts </w:t>
            </w:r>
            <w:r w:rsidR="00445DC5">
              <w:rPr>
                <w:bCs/>
                <w:iCs/>
              </w:rPr>
              <w:t xml:space="preserve">to </w:t>
            </w:r>
            <w:r w:rsidRPr="00585A24">
              <w:rPr>
                <w:bCs/>
                <w:iCs/>
              </w:rPr>
              <w:t>laboratoriju</w:t>
            </w:r>
            <w:r w:rsidR="00445DC5">
              <w:rPr>
                <w:bCs/>
                <w:iCs/>
              </w:rPr>
              <w:t xml:space="preserve"> </w:t>
            </w:r>
            <w:r w:rsidR="00445DC5" w:rsidRPr="00585A24">
              <w:rPr>
                <w:bCs/>
                <w:iCs/>
              </w:rPr>
              <w:t>loks</w:t>
            </w:r>
            <w:r w:rsidRPr="00585A24">
              <w:rPr>
                <w:bCs/>
                <w:iCs/>
              </w:rPr>
              <w:t>, kas varētu sniegt šo pakalpojumu. Pakalpojumu var</w:t>
            </w:r>
            <w:r w:rsidR="00445DC5">
              <w:rPr>
                <w:bCs/>
                <w:iCs/>
              </w:rPr>
              <w:t>ēs</w:t>
            </w:r>
            <w:r w:rsidRPr="00585A24">
              <w:rPr>
                <w:bCs/>
                <w:iCs/>
              </w:rPr>
              <w:t xml:space="preserve"> sniegt akreditēta laboratorija, kas atbilst ISO standartiem</w:t>
            </w:r>
            <w:r w:rsidR="00445DC5">
              <w:rPr>
                <w:bCs/>
                <w:iCs/>
              </w:rPr>
              <w:t xml:space="preserve"> un</w:t>
            </w:r>
            <w:r w:rsidRPr="00585A24">
              <w:rPr>
                <w:bCs/>
                <w:iCs/>
              </w:rPr>
              <w:t xml:space="preserve"> kas nodrošina atbilstošu darba kvalitāti un nepieciešamo rādītāju analīzi</w:t>
            </w:r>
            <w:r w:rsidR="00FF49C8">
              <w:rPr>
                <w:bCs/>
                <w:iCs/>
              </w:rPr>
              <w:t>, kā arī laboratorija, ar kvalitātes sistēmu „Labas laboratorijas prakse”</w:t>
            </w:r>
            <w:r w:rsidRPr="00585A24">
              <w:rPr>
                <w:bCs/>
                <w:iCs/>
              </w:rPr>
              <w:t>.</w:t>
            </w:r>
            <w:r w:rsidR="00F641BB">
              <w:rPr>
                <w:bCs/>
                <w:iCs/>
              </w:rPr>
              <w:t xml:space="preserve"> (Noteikumu Nr.949 56.punkts</w:t>
            </w:r>
            <w:r w:rsidR="00445DC5">
              <w:rPr>
                <w:bCs/>
                <w:iCs/>
              </w:rPr>
              <w:t>.</w:t>
            </w:r>
            <w:r w:rsidR="00F641BB">
              <w:rPr>
                <w:bCs/>
                <w:iCs/>
              </w:rPr>
              <w:t>)</w:t>
            </w:r>
          </w:p>
          <w:p w:rsidR="0009597D" w:rsidRPr="00585A24" w:rsidRDefault="0009597D" w:rsidP="00A64A9A">
            <w:pPr>
              <w:pStyle w:val="naiskr"/>
              <w:numPr>
                <w:ilvl w:val="0"/>
                <w:numId w:val="3"/>
              </w:numPr>
              <w:ind w:left="102" w:firstLine="0"/>
              <w:jc w:val="both"/>
              <w:rPr>
                <w:bCs/>
                <w:iCs/>
              </w:rPr>
            </w:pPr>
            <w:r w:rsidRPr="00585A24">
              <w:rPr>
                <w:bCs/>
                <w:iCs/>
              </w:rPr>
              <w:t>Noteikum</w:t>
            </w:r>
            <w:r w:rsidR="00F641BB">
              <w:rPr>
                <w:bCs/>
                <w:iCs/>
              </w:rPr>
              <w:t>u</w:t>
            </w:r>
            <w:r w:rsidRPr="00585A24">
              <w:rPr>
                <w:bCs/>
                <w:iCs/>
              </w:rPr>
              <w:t xml:space="preserve"> </w:t>
            </w:r>
            <w:r w:rsidR="00F641BB">
              <w:rPr>
                <w:bCs/>
                <w:iCs/>
              </w:rPr>
              <w:t xml:space="preserve">projekts </w:t>
            </w:r>
            <w:r w:rsidR="00042823">
              <w:rPr>
                <w:bCs/>
                <w:iCs/>
              </w:rPr>
              <w:t xml:space="preserve">paredz </w:t>
            </w:r>
            <w:r w:rsidRPr="00585A24">
              <w:rPr>
                <w:bCs/>
                <w:iCs/>
              </w:rPr>
              <w:t>precizēt atkārtotās testēšanas kārtīb</w:t>
            </w:r>
            <w:r w:rsidR="00042823">
              <w:rPr>
                <w:bCs/>
                <w:iCs/>
              </w:rPr>
              <w:t>u</w:t>
            </w:r>
            <w:r w:rsidRPr="00585A24">
              <w:rPr>
                <w:bCs/>
                <w:iCs/>
              </w:rPr>
              <w:t xml:space="preserve">. </w:t>
            </w:r>
            <w:r w:rsidR="00042823">
              <w:rPr>
                <w:bCs/>
                <w:iCs/>
              </w:rPr>
              <w:t>Ja</w:t>
            </w:r>
            <w:r w:rsidR="00445DC5">
              <w:rPr>
                <w:bCs/>
                <w:iCs/>
              </w:rPr>
              <w:t xml:space="preserve"> </w:t>
            </w:r>
            <w:r w:rsidRPr="00585A24">
              <w:rPr>
                <w:bCs/>
                <w:iCs/>
              </w:rPr>
              <w:t>kādam no rādītājiem konstatēta neatbilstība, atkārtotā testēšanā ir analizējami tikai rādītāji, kuriem konstatēta neatbilstība pirmajā testēšanā.</w:t>
            </w:r>
            <w:r w:rsidR="00445DC5">
              <w:rPr>
                <w:bCs/>
                <w:iCs/>
              </w:rPr>
              <w:t xml:space="preserve"> </w:t>
            </w:r>
            <w:r w:rsidR="00042823">
              <w:rPr>
                <w:bCs/>
                <w:iCs/>
              </w:rPr>
              <w:t xml:space="preserve">(Noteikumu Nr.949 </w:t>
            </w:r>
            <w:r w:rsidR="00042823" w:rsidRPr="00042823">
              <w:rPr>
                <w:bCs/>
                <w:iCs/>
              </w:rPr>
              <w:t>63., 64. 65.</w:t>
            </w:r>
            <w:r w:rsidR="003F51D8">
              <w:rPr>
                <w:bCs/>
                <w:iCs/>
              </w:rPr>
              <w:t xml:space="preserve"> un 66.</w:t>
            </w:r>
            <w:r w:rsidR="00445DC5">
              <w:rPr>
                <w:bCs/>
                <w:iCs/>
              </w:rPr>
              <w:t>punkts.</w:t>
            </w:r>
            <w:r w:rsidR="00042823">
              <w:rPr>
                <w:bCs/>
                <w:iCs/>
              </w:rPr>
              <w:t>)</w:t>
            </w:r>
          </w:p>
          <w:p w:rsidR="006E0140" w:rsidRDefault="002B12AF" w:rsidP="008E3943">
            <w:pPr>
              <w:pStyle w:val="naiskr"/>
              <w:numPr>
                <w:ilvl w:val="0"/>
                <w:numId w:val="3"/>
              </w:numPr>
              <w:ind w:left="102" w:hanging="10"/>
              <w:jc w:val="both"/>
              <w:rPr>
                <w:bCs/>
                <w:iCs/>
              </w:rPr>
            </w:pPr>
            <w:r w:rsidRPr="00585A24">
              <w:rPr>
                <w:bCs/>
                <w:iCs/>
              </w:rPr>
              <w:t xml:space="preserve">Noteikumos </w:t>
            </w:r>
            <w:r w:rsidR="00042823">
              <w:rPr>
                <w:bCs/>
                <w:iCs/>
              </w:rPr>
              <w:t xml:space="preserve">Nr.949 </w:t>
            </w:r>
            <w:r w:rsidR="00445DC5">
              <w:rPr>
                <w:bCs/>
                <w:iCs/>
              </w:rPr>
              <w:t xml:space="preserve">ir </w:t>
            </w:r>
            <w:r w:rsidRPr="00585A24">
              <w:rPr>
                <w:bCs/>
                <w:iCs/>
              </w:rPr>
              <w:t>noteikts pienākums</w:t>
            </w:r>
            <w:r w:rsidRPr="00585A24">
              <w:t xml:space="preserve"> </w:t>
            </w:r>
            <w:r w:rsidRPr="00585A24">
              <w:rPr>
                <w:bCs/>
                <w:iCs/>
              </w:rPr>
              <w:t>segt visus ar augu aizsardzības līdzekļa kontroles parauga testēšanu saistītos izdevumus, ja saskaņā ar atzinumu pēc atkārtoto analīžu rezultātiem augu aizsardzības līdzekļa sastāvs neatbilst reģistrētajam augu aizsardzības līdzekļa sastāvam</w:t>
            </w:r>
            <w:r w:rsidR="00042823">
              <w:rPr>
                <w:bCs/>
                <w:iCs/>
              </w:rPr>
              <w:t xml:space="preserve"> (</w:t>
            </w:r>
            <w:r w:rsidR="00445DC5">
              <w:rPr>
                <w:bCs/>
                <w:iCs/>
              </w:rPr>
              <w:t>n</w:t>
            </w:r>
            <w:r w:rsidR="00042823">
              <w:rPr>
                <w:bCs/>
                <w:iCs/>
              </w:rPr>
              <w:t>oteikumu Nr.949</w:t>
            </w:r>
            <w:r w:rsidR="00445DC5">
              <w:rPr>
                <w:bCs/>
                <w:iCs/>
              </w:rPr>
              <w:t xml:space="preserve"> </w:t>
            </w:r>
            <w:r w:rsidR="003F51D8">
              <w:rPr>
                <w:bCs/>
                <w:iCs/>
              </w:rPr>
              <w:t>68</w:t>
            </w:r>
            <w:r w:rsidR="00042823">
              <w:rPr>
                <w:bCs/>
                <w:iCs/>
              </w:rPr>
              <w:t>.punkts)</w:t>
            </w:r>
            <w:r w:rsidRPr="00585A24">
              <w:rPr>
                <w:bCs/>
                <w:iCs/>
              </w:rPr>
              <w:t xml:space="preserve">. </w:t>
            </w:r>
            <w:r w:rsidR="00445DC5">
              <w:rPr>
                <w:bCs/>
                <w:iCs/>
              </w:rPr>
              <w:t>Tā kā</w:t>
            </w:r>
            <w:r w:rsidRPr="00585A24">
              <w:rPr>
                <w:bCs/>
                <w:iCs/>
              </w:rPr>
              <w:t xml:space="preserve"> komersanti ir atbildīgi</w:t>
            </w:r>
            <w:r w:rsidR="003C605C">
              <w:rPr>
                <w:bCs/>
                <w:iCs/>
              </w:rPr>
              <w:t xml:space="preserve"> par augu aizsardzības līdzekļa atbilstību reģistrācijas nosacījumiem, </w:t>
            </w:r>
            <w:r w:rsidR="003C605C">
              <w:rPr>
                <w:bCs/>
                <w:iCs/>
              </w:rPr>
              <w:lastRenderedPageBreak/>
              <w:t xml:space="preserve">tad ir vērtējams ne tikai augu aizsardzības līdzekļa sastāvs </w:t>
            </w:r>
            <w:r w:rsidR="00445DC5">
              <w:rPr>
                <w:bCs/>
                <w:iCs/>
              </w:rPr>
              <w:t>–</w:t>
            </w:r>
            <w:r w:rsidR="003C605C">
              <w:rPr>
                <w:bCs/>
                <w:iCs/>
              </w:rPr>
              <w:t xml:space="preserve"> augu aizsardzības līdzeklī ietilpstošās darbīgās vielas, bet arī citi nosacījumi, kas jāievēro</w:t>
            </w:r>
            <w:r w:rsidR="00445DC5">
              <w:rPr>
                <w:bCs/>
                <w:iCs/>
              </w:rPr>
              <w:t>,</w:t>
            </w:r>
            <w:r w:rsidR="003C605C">
              <w:rPr>
                <w:bCs/>
                <w:iCs/>
              </w:rPr>
              <w:t xml:space="preserve"> reģistrējot augu aizsardzības līdzekli.</w:t>
            </w:r>
          </w:p>
          <w:p w:rsidR="0026452D" w:rsidRPr="008E3943" w:rsidRDefault="0026452D" w:rsidP="0026452D">
            <w:pPr>
              <w:pStyle w:val="naiskr"/>
              <w:ind w:left="102"/>
              <w:jc w:val="both"/>
              <w:rPr>
                <w:bCs/>
                <w:iCs/>
              </w:rPr>
            </w:pPr>
          </w:p>
        </w:tc>
      </w:tr>
      <w:tr w:rsidR="005F7343" w:rsidRPr="003D040D" w:rsidTr="0038404E">
        <w:trPr>
          <w:trHeight w:val="476"/>
        </w:trPr>
        <w:tc>
          <w:tcPr>
            <w:tcW w:w="550" w:type="dxa"/>
          </w:tcPr>
          <w:p w:rsidR="005F7343" w:rsidRPr="003D040D" w:rsidRDefault="00AE4192" w:rsidP="0038404E">
            <w:pPr>
              <w:pStyle w:val="naiskr"/>
              <w:spacing w:before="0" w:after="0"/>
            </w:pPr>
            <w:r w:rsidRPr="003D040D">
              <w:lastRenderedPageBreak/>
              <w:t>3.</w:t>
            </w:r>
          </w:p>
        </w:tc>
        <w:tc>
          <w:tcPr>
            <w:tcW w:w="4315" w:type="dxa"/>
          </w:tcPr>
          <w:p w:rsidR="005F7343" w:rsidRPr="003D040D" w:rsidRDefault="005F7343" w:rsidP="0038404E">
            <w:pPr>
              <w:pStyle w:val="naiskr"/>
              <w:spacing w:before="0" w:after="0"/>
            </w:pPr>
            <w:r w:rsidRPr="003D040D">
              <w:t>Projekta izstrādē iesaistītās institūcijas</w:t>
            </w:r>
          </w:p>
        </w:tc>
        <w:tc>
          <w:tcPr>
            <w:tcW w:w="4860" w:type="dxa"/>
          </w:tcPr>
          <w:p w:rsidR="006E0140" w:rsidRDefault="005F7343" w:rsidP="0038404E">
            <w:pPr>
              <w:pStyle w:val="naiskr"/>
              <w:spacing w:before="0" w:after="0"/>
              <w:rPr>
                <w:iCs/>
              </w:rPr>
            </w:pPr>
            <w:r w:rsidRPr="003D040D">
              <w:rPr>
                <w:iCs/>
              </w:rPr>
              <w:t>Zemkopības ministrija</w:t>
            </w:r>
            <w:r w:rsidR="00445DC5">
              <w:rPr>
                <w:iCs/>
              </w:rPr>
              <w:t xml:space="preserve"> un</w:t>
            </w:r>
            <w:r w:rsidRPr="003D040D">
              <w:rPr>
                <w:iCs/>
              </w:rPr>
              <w:t xml:space="preserve"> Valsts augu aizsardzības dienests</w:t>
            </w:r>
          </w:p>
          <w:p w:rsidR="00277872" w:rsidRPr="003D040D" w:rsidRDefault="00277872" w:rsidP="0038404E">
            <w:pPr>
              <w:pStyle w:val="naiskr"/>
              <w:spacing w:before="0" w:after="0"/>
            </w:pPr>
          </w:p>
        </w:tc>
      </w:tr>
      <w:tr w:rsidR="005F7343" w:rsidRPr="003D040D" w:rsidTr="0038404E">
        <w:tc>
          <w:tcPr>
            <w:tcW w:w="550" w:type="dxa"/>
          </w:tcPr>
          <w:p w:rsidR="005F7343" w:rsidRPr="003D040D" w:rsidRDefault="00AE4192" w:rsidP="0038404E">
            <w:pPr>
              <w:pStyle w:val="naiskr"/>
              <w:spacing w:before="0" w:after="0"/>
            </w:pPr>
            <w:r w:rsidRPr="003D040D">
              <w:t>4</w:t>
            </w:r>
            <w:r w:rsidR="005F7343" w:rsidRPr="003D040D">
              <w:t>.</w:t>
            </w:r>
          </w:p>
        </w:tc>
        <w:tc>
          <w:tcPr>
            <w:tcW w:w="4315" w:type="dxa"/>
          </w:tcPr>
          <w:p w:rsidR="005F7343" w:rsidRPr="003D040D" w:rsidRDefault="005F7343" w:rsidP="0038404E">
            <w:pPr>
              <w:pStyle w:val="naiskr"/>
              <w:spacing w:before="0" w:after="0"/>
            </w:pPr>
            <w:r w:rsidRPr="003D040D">
              <w:t>Cita informācija</w:t>
            </w:r>
          </w:p>
        </w:tc>
        <w:tc>
          <w:tcPr>
            <w:tcW w:w="4860" w:type="dxa"/>
          </w:tcPr>
          <w:p w:rsidR="005F7343" w:rsidRPr="003D040D" w:rsidRDefault="005F7343" w:rsidP="0038404E">
            <w:pPr>
              <w:pStyle w:val="naiskr"/>
              <w:spacing w:before="0" w:after="0"/>
            </w:pPr>
            <w:r w:rsidRPr="003D040D">
              <w:t>Nav</w:t>
            </w:r>
          </w:p>
        </w:tc>
      </w:tr>
    </w:tbl>
    <w:p w:rsidR="0026452D" w:rsidRPr="00474426" w:rsidRDefault="0026452D" w:rsidP="005F7343">
      <w:pPr>
        <w:pStyle w:val="naiskr"/>
        <w:tabs>
          <w:tab w:val="left" w:pos="2628"/>
        </w:tabs>
        <w:spacing w:before="0" w:after="0"/>
        <w:rPr>
          <w:i/>
          <w:sz w:val="20"/>
          <w:szCs w:val="20"/>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
        <w:gridCol w:w="3403"/>
        <w:gridCol w:w="5771"/>
      </w:tblGrid>
      <w:tr w:rsidR="00F35822" w:rsidRPr="006E0140" w:rsidTr="00F35822">
        <w:trPr>
          <w:jc w:val="center"/>
        </w:trPr>
        <w:tc>
          <w:tcPr>
            <w:tcW w:w="9758" w:type="dxa"/>
            <w:gridSpan w:val="3"/>
            <w:vAlign w:val="center"/>
          </w:tcPr>
          <w:p w:rsidR="00F35822" w:rsidRPr="006E0140" w:rsidRDefault="00F35822" w:rsidP="00F35822">
            <w:pPr>
              <w:jc w:val="center"/>
              <w:rPr>
                <w:b/>
                <w:bCs/>
              </w:rPr>
            </w:pPr>
            <w:r w:rsidRPr="006E0140">
              <w:rPr>
                <w:b/>
                <w:bCs/>
              </w:rPr>
              <w:t>II. Tiesību akta projekta ietekme uz sabiedrību,</w:t>
            </w:r>
            <w:r w:rsidRPr="006E0140">
              <w:rPr>
                <w:rFonts w:ascii="Arial" w:hAnsi="Arial" w:cs="Arial"/>
                <w:b/>
                <w:sz w:val="20"/>
                <w:szCs w:val="20"/>
              </w:rPr>
              <w:t xml:space="preserve"> </w:t>
            </w:r>
            <w:r w:rsidRPr="006E0140">
              <w:rPr>
                <w:b/>
              </w:rPr>
              <w:t>tautsaimniecības attīstību un administratīvo slogu</w:t>
            </w:r>
          </w:p>
        </w:tc>
      </w:tr>
      <w:tr w:rsidR="00F35822" w:rsidRPr="006E0140" w:rsidTr="00F35822">
        <w:trPr>
          <w:trHeight w:val="467"/>
          <w:jc w:val="center"/>
        </w:trPr>
        <w:tc>
          <w:tcPr>
            <w:tcW w:w="584" w:type="dxa"/>
          </w:tcPr>
          <w:p w:rsidR="00F35822" w:rsidRPr="006E0140" w:rsidRDefault="00F35822" w:rsidP="00F35822">
            <w:r w:rsidRPr="006E0140">
              <w:t>1.</w:t>
            </w:r>
          </w:p>
        </w:tc>
        <w:tc>
          <w:tcPr>
            <w:tcW w:w="3403" w:type="dxa"/>
          </w:tcPr>
          <w:p w:rsidR="00F35822" w:rsidRPr="006E0140" w:rsidRDefault="00F35822" w:rsidP="00F35822">
            <w:r w:rsidRPr="006E0140">
              <w:t>Sabiedrības mērķgrupas, kuras tiesiskais regulējums ietekmē vai varētu ietekmēt</w:t>
            </w:r>
          </w:p>
        </w:tc>
        <w:tc>
          <w:tcPr>
            <w:tcW w:w="5771" w:type="dxa"/>
          </w:tcPr>
          <w:p w:rsidR="006E0140" w:rsidRPr="00F54B7A" w:rsidRDefault="00F35822" w:rsidP="00F54B7A">
            <w:pPr>
              <w:ind w:hanging="57"/>
              <w:jc w:val="both"/>
              <w:rPr>
                <w:rFonts w:eastAsiaTheme="minorHAnsi"/>
                <w:lang w:eastAsia="en-US"/>
              </w:rPr>
            </w:pPr>
            <w:r w:rsidRPr="006E0140">
              <w:rPr>
                <w:iCs/>
              </w:rPr>
              <w:t> </w:t>
            </w:r>
            <w:r w:rsidR="00F54B7A">
              <w:t>A</w:t>
            </w:r>
            <w:r w:rsidR="00F54B7A" w:rsidRPr="00F54B7A">
              <w:t xml:space="preserve">ugu aizsardzības līdzekļu izplatītāji </w:t>
            </w:r>
            <w:r w:rsidR="00445DC5">
              <w:t>–</w:t>
            </w:r>
            <w:r w:rsidR="00F54B7A" w:rsidRPr="00F54B7A">
              <w:t xml:space="preserve"> komersanti, kas saņēmuši Valsts augu aizsardzības dienesta izdotu speciālo atļauju (licenci</w:t>
            </w:r>
            <w:r w:rsidR="00F54B7A" w:rsidRPr="00737017">
              <w:t>)</w:t>
            </w:r>
            <w:r w:rsidR="00445DC5">
              <w:t>, t.i.,</w:t>
            </w:r>
            <w:r w:rsidR="00FA19DC" w:rsidRPr="00737017">
              <w:t xml:space="preserve"> 300 komersant</w:t>
            </w:r>
            <w:r w:rsidR="00445DC5">
              <w:t>u</w:t>
            </w:r>
            <w:r w:rsidR="00F54B7A" w:rsidRPr="00737017">
              <w:t>.</w:t>
            </w:r>
          </w:p>
        </w:tc>
      </w:tr>
      <w:tr w:rsidR="00F35822" w:rsidRPr="006E0140" w:rsidTr="00F35822">
        <w:trPr>
          <w:trHeight w:val="523"/>
          <w:jc w:val="center"/>
        </w:trPr>
        <w:tc>
          <w:tcPr>
            <w:tcW w:w="584" w:type="dxa"/>
          </w:tcPr>
          <w:p w:rsidR="00F35822" w:rsidRPr="006E0140" w:rsidRDefault="00F35822" w:rsidP="00F35822">
            <w:r w:rsidRPr="006E0140">
              <w:t>2.</w:t>
            </w:r>
          </w:p>
        </w:tc>
        <w:tc>
          <w:tcPr>
            <w:tcW w:w="3403" w:type="dxa"/>
          </w:tcPr>
          <w:p w:rsidR="00F35822" w:rsidRPr="006E0140" w:rsidRDefault="00F35822" w:rsidP="00F35822">
            <w:r w:rsidRPr="006E0140">
              <w:rPr>
                <w:sz w:val="22"/>
              </w:rPr>
              <w:t>Tiesiskā regulējuma ietekme uz tautsaimniecību un administratīvo slogu</w:t>
            </w:r>
          </w:p>
        </w:tc>
        <w:tc>
          <w:tcPr>
            <w:tcW w:w="5771" w:type="dxa"/>
          </w:tcPr>
          <w:p w:rsidR="00F35822" w:rsidRPr="00445DC5" w:rsidRDefault="00845E45" w:rsidP="00F35822">
            <w:pPr>
              <w:jc w:val="both"/>
              <w:rPr>
                <w:bCs/>
              </w:rPr>
            </w:pPr>
            <w:r w:rsidRPr="00B64E7F">
              <w:t>Tiek samazināts administratīvais slogs</w:t>
            </w:r>
            <w:r w:rsidR="00585A24" w:rsidRPr="00B64E7F">
              <w:t xml:space="preserve"> licences īpašniekiem, kas vienlaikus nodarbojas ar sadzīves ķīmijas tirdzniecību</w:t>
            </w:r>
            <w:r w:rsidRPr="00B64E7F">
              <w:t>.</w:t>
            </w:r>
          </w:p>
        </w:tc>
      </w:tr>
      <w:tr w:rsidR="00F35822" w:rsidRPr="006E0140" w:rsidTr="00F35822">
        <w:trPr>
          <w:trHeight w:val="357"/>
          <w:jc w:val="center"/>
        </w:trPr>
        <w:tc>
          <w:tcPr>
            <w:tcW w:w="584" w:type="dxa"/>
          </w:tcPr>
          <w:p w:rsidR="00F35822" w:rsidRPr="006E0140" w:rsidRDefault="00F35822" w:rsidP="00F35822">
            <w:r w:rsidRPr="006E0140">
              <w:t>3.</w:t>
            </w:r>
          </w:p>
        </w:tc>
        <w:tc>
          <w:tcPr>
            <w:tcW w:w="3403" w:type="dxa"/>
          </w:tcPr>
          <w:p w:rsidR="00F35822" w:rsidRPr="006E0140" w:rsidRDefault="00F35822" w:rsidP="00F35822">
            <w:r w:rsidRPr="006E0140">
              <w:rPr>
                <w:sz w:val="22"/>
              </w:rPr>
              <w:t>Administratīvo izmaksu monetārs novērtējums</w:t>
            </w:r>
          </w:p>
        </w:tc>
        <w:tc>
          <w:tcPr>
            <w:tcW w:w="5771" w:type="dxa"/>
          </w:tcPr>
          <w:p w:rsidR="00F35822" w:rsidRPr="00445DC5" w:rsidRDefault="00F35822" w:rsidP="00F35822">
            <w:r w:rsidRPr="00B64E7F">
              <w:t>Projekts šo jomu neskar.</w:t>
            </w:r>
          </w:p>
        </w:tc>
      </w:tr>
      <w:tr w:rsidR="00F35822" w:rsidRPr="006E0140" w:rsidTr="00F35822">
        <w:trPr>
          <w:jc w:val="center"/>
        </w:trPr>
        <w:tc>
          <w:tcPr>
            <w:tcW w:w="584" w:type="dxa"/>
          </w:tcPr>
          <w:p w:rsidR="00F35822" w:rsidRPr="006E0140" w:rsidRDefault="00F35822" w:rsidP="00F35822">
            <w:r w:rsidRPr="006E0140">
              <w:t>4.</w:t>
            </w:r>
          </w:p>
        </w:tc>
        <w:tc>
          <w:tcPr>
            <w:tcW w:w="3403" w:type="dxa"/>
          </w:tcPr>
          <w:p w:rsidR="00F35822" w:rsidRPr="00445DC5" w:rsidRDefault="00F35822" w:rsidP="00F35822">
            <w:r w:rsidRPr="00B64E7F">
              <w:t>Cita informācija</w:t>
            </w:r>
          </w:p>
        </w:tc>
        <w:tc>
          <w:tcPr>
            <w:tcW w:w="5771" w:type="dxa"/>
          </w:tcPr>
          <w:p w:rsidR="00F35822" w:rsidRPr="00445DC5" w:rsidRDefault="00F35822" w:rsidP="00F35822">
            <w:r w:rsidRPr="00B64E7F">
              <w:t>Nav</w:t>
            </w:r>
          </w:p>
        </w:tc>
      </w:tr>
    </w:tbl>
    <w:p w:rsidR="00170FFD" w:rsidRDefault="00170FFD" w:rsidP="00170FFD"/>
    <w:p w:rsidR="00585A24" w:rsidRDefault="00F35822" w:rsidP="00170FFD">
      <w:r w:rsidRPr="006E0140">
        <w:t>Anotācijas III.</w:t>
      </w:r>
      <w:r w:rsidR="008E3943">
        <w:t>, IV. un V.</w:t>
      </w:r>
      <w:r w:rsidRPr="006E0140">
        <w:t xml:space="preserve"> </w:t>
      </w:r>
      <w:proofErr w:type="gramStart"/>
      <w:r w:rsidRPr="006E0140">
        <w:t>sadaļa- p</w:t>
      </w:r>
      <w:proofErr w:type="gramEnd"/>
      <w:r w:rsidRPr="006E0140">
        <w:t>rojekts š</w:t>
      </w:r>
      <w:r w:rsidR="008E3943">
        <w:t>īs</w:t>
      </w:r>
      <w:r w:rsidRPr="006E0140">
        <w:t xml:space="preserve"> jom</w:t>
      </w:r>
      <w:r w:rsidR="008E3943">
        <w:t>as</w:t>
      </w:r>
      <w:r w:rsidRPr="006E0140">
        <w:t xml:space="preserve"> neskar.</w:t>
      </w:r>
    </w:p>
    <w:p w:rsidR="00170FFD" w:rsidRPr="00170FFD" w:rsidRDefault="00170FFD" w:rsidP="00170FFD"/>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4A10F2" w:rsidRPr="0078139A" w:rsidTr="002552B4">
        <w:tc>
          <w:tcPr>
            <w:tcW w:w="5000" w:type="pct"/>
            <w:gridSpan w:val="2"/>
          </w:tcPr>
          <w:p w:rsidR="004A10F2" w:rsidRPr="0078139A" w:rsidRDefault="004A10F2" w:rsidP="002552B4">
            <w:pPr>
              <w:pStyle w:val="naisc"/>
              <w:spacing w:before="0" w:beforeAutospacing="0" w:after="0" w:afterAutospacing="0"/>
              <w:jc w:val="center"/>
              <w:rPr>
                <w:b/>
                <w:bCs/>
              </w:rPr>
            </w:pPr>
          </w:p>
          <w:p w:rsidR="004A10F2" w:rsidRPr="0078139A" w:rsidRDefault="004A10F2" w:rsidP="002552B4">
            <w:pPr>
              <w:pStyle w:val="naisc"/>
              <w:spacing w:before="0" w:beforeAutospacing="0" w:after="0" w:afterAutospacing="0"/>
              <w:jc w:val="center"/>
              <w:rPr>
                <w:b/>
                <w:bCs/>
              </w:rPr>
            </w:pPr>
            <w:r w:rsidRPr="0078139A">
              <w:rPr>
                <w:b/>
                <w:bCs/>
              </w:rPr>
              <w:t>VI. Sabiedrības līdzdalība un komunikācijas aktivitātes</w:t>
            </w:r>
          </w:p>
        </w:tc>
      </w:tr>
      <w:tr w:rsidR="004A10F2" w:rsidRPr="0078139A" w:rsidTr="002552B4">
        <w:tc>
          <w:tcPr>
            <w:tcW w:w="1983" w:type="pct"/>
          </w:tcPr>
          <w:p w:rsidR="004A10F2" w:rsidRPr="0078139A" w:rsidRDefault="004A10F2" w:rsidP="002552B4">
            <w:pPr>
              <w:pStyle w:val="naiskr"/>
            </w:pPr>
            <w:r w:rsidRPr="0078139A">
              <w:t>1. Plānotās sabiedrības līdzdalības un komunikācijas aktivitātes saistībā ar projektu</w:t>
            </w:r>
          </w:p>
        </w:tc>
        <w:tc>
          <w:tcPr>
            <w:tcW w:w="3017" w:type="pct"/>
          </w:tcPr>
          <w:p w:rsidR="004A10F2" w:rsidRPr="0078139A" w:rsidRDefault="004A10F2" w:rsidP="004A10F2">
            <w:pPr>
              <w:jc w:val="both"/>
            </w:pPr>
            <w:r w:rsidRPr="0078139A">
              <w:rPr>
                <w:bCs/>
              </w:rPr>
              <w:t xml:space="preserve">Noteikumu projekts </w:t>
            </w:r>
            <w:r>
              <w:rPr>
                <w:bCs/>
              </w:rPr>
              <w:t xml:space="preserve">tika nosūtīts saskaņošanai </w:t>
            </w:r>
            <w:r w:rsidRPr="004A10F2">
              <w:rPr>
                <w:bCs/>
              </w:rPr>
              <w:t>Latvijas augu aizsardzības līdzekļu ražotāju un tirgotāju asociācija</w:t>
            </w:r>
            <w:r>
              <w:rPr>
                <w:bCs/>
              </w:rPr>
              <w:t>i</w:t>
            </w:r>
            <w:r w:rsidRPr="0078139A">
              <w:rPr>
                <w:bCs/>
              </w:rPr>
              <w:t>.</w:t>
            </w:r>
          </w:p>
        </w:tc>
      </w:tr>
      <w:tr w:rsidR="004A10F2" w:rsidRPr="0078139A" w:rsidTr="002552B4">
        <w:tc>
          <w:tcPr>
            <w:tcW w:w="1983" w:type="pct"/>
          </w:tcPr>
          <w:p w:rsidR="004A10F2" w:rsidRPr="00A93B8E" w:rsidRDefault="004A10F2" w:rsidP="002552B4">
            <w:pPr>
              <w:jc w:val="both"/>
              <w:rPr>
                <w:bCs/>
              </w:rPr>
            </w:pPr>
            <w:r w:rsidRPr="0078139A">
              <w:t xml:space="preserve">2. Sabiedrības līdzdalība projekta izstrādē </w:t>
            </w:r>
          </w:p>
        </w:tc>
        <w:tc>
          <w:tcPr>
            <w:tcW w:w="3017" w:type="pct"/>
          </w:tcPr>
          <w:p w:rsidR="004A10F2" w:rsidRPr="0078139A" w:rsidRDefault="004A10F2" w:rsidP="002552B4">
            <w:r w:rsidRPr="0078139A">
              <w:t>Sagatavošanas gaitā note</w:t>
            </w:r>
            <w:r>
              <w:t>ikumu projekts elektroniski tika</w:t>
            </w:r>
            <w:r w:rsidRPr="0078139A">
              <w:t xml:space="preserve"> nosūtīts </w:t>
            </w:r>
            <w:r w:rsidRPr="004A10F2">
              <w:rPr>
                <w:bCs/>
              </w:rPr>
              <w:t>Latvijas augu aizsardzības līdzekļu ražotāju un tirgotāju asociācija</w:t>
            </w:r>
            <w:r>
              <w:rPr>
                <w:bCs/>
              </w:rPr>
              <w:t>i</w:t>
            </w:r>
            <w:r w:rsidR="00445DC5">
              <w:rPr>
                <w:bCs/>
              </w:rPr>
              <w:t>.</w:t>
            </w:r>
          </w:p>
        </w:tc>
      </w:tr>
      <w:tr w:rsidR="004A10F2" w:rsidRPr="0078139A" w:rsidTr="002552B4">
        <w:tc>
          <w:tcPr>
            <w:tcW w:w="1983" w:type="pct"/>
          </w:tcPr>
          <w:p w:rsidR="004A10F2" w:rsidRPr="0078139A" w:rsidRDefault="004A10F2" w:rsidP="005D5C2E">
            <w:pPr>
              <w:pStyle w:val="naisf"/>
              <w:ind w:firstLine="0"/>
            </w:pPr>
            <w:r w:rsidRPr="0078139A">
              <w:t>3. Sabiedrības līdzdalības rezultāti</w:t>
            </w:r>
          </w:p>
        </w:tc>
        <w:tc>
          <w:tcPr>
            <w:tcW w:w="3017" w:type="pct"/>
          </w:tcPr>
          <w:p w:rsidR="004A10F2" w:rsidRPr="0078139A" w:rsidRDefault="004A10F2" w:rsidP="00445DC5">
            <w:pPr>
              <w:jc w:val="both"/>
            </w:pPr>
            <w:r>
              <w:t xml:space="preserve">Pēc </w:t>
            </w:r>
            <w:r w:rsidRPr="004A10F2">
              <w:rPr>
                <w:bCs/>
              </w:rPr>
              <w:t>Latvijas augu aizsardzības līdzekļu ražotāju un tirgotāju asociācija</w:t>
            </w:r>
            <w:r>
              <w:rPr>
                <w:bCs/>
              </w:rPr>
              <w:t>s priekšlikumiem noteikumu projekts</w:t>
            </w:r>
            <w:r w:rsidR="00445DC5">
              <w:rPr>
                <w:bCs/>
              </w:rPr>
              <w:t xml:space="preserve"> tika precizēts</w:t>
            </w:r>
            <w:r>
              <w:rPr>
                <w:bCs/>
              </w:rPr>
              <w:t xml:space="preserve">, </w:t>
            </w:r>
            <w:r w:rsidR="00445DC5">
              <w:rPr>
                <w:bCs/>
              </w:rPr>
              <w:t>un tā</w:t>
            </w:r>
            <w:r>
              <w:rPr>
                <w:bCs/>
              </w:rPr>
              <w:t xml:space="preserve"> precizēto redakciju asociācija atbalstīja.</w:t>
            </w:r>
          </w:p>
        </w:tc>
      </w:tr>
      <w:tr w:rsidR="004A10F2" w:rsidRPr="0078139A" w:rsidTr="002552B4">
        <w:tc>
          <w:tcPr>
            <w:tcW w:w="1983" w:type="pct"/>
          </w:tcPr>
          <w:p w:rsidR="004A10F2" w:rsidRPr="0078139A" w:rsidRDefault="004A10F2" w:rsidP="002552B4">
            <w:pPr>
              <w:pStyle w:val="naiskr"/>
            </w:pPr>
            <w:r w:rsidRPr="0078139A">
              <w:t>4. Cita informācija</w:t>
            </w:r>
          </w:p>
        </w:tc>
        <w:tc>
          <w:tcPr>
            <w:tcW w:w="3017" w:type="pct"/>
          </w:tcPr>
          <w:p w:rsidR="004A10F2" w:rsidRPr="0078139A" w:rsidRDefault="004A10F2" w:rsidP="002552B4">
            <w:pPr>
              <w:pStyle w:val="naisc"/>
              <w:spacing w:before="0" w:beforeAutospacing="0" w:after="0" w:afterAutospacing="0"/>
            </w:pPr>
            <w:r w:rsidRPr="0078139A">
              <w:t>Nav.</w:t>
            </w:r>
          </w:p>
        </w:tc>
      </w:tr>
    </w:tbl>
    <w:p w:rsidR="0026452D" w:rsidRDefault="0026452D" w:rsidP="002E34EB">
      <w:pPr>
        <w:pStyle w:val="naisf"/>
        <w:spacing w:before="0" w:after="0"/>
        <w:ind w:firstLine="0"/>
        <w:rPr>
          <w:i/>
          <w:sz w:val="16"/>
          <w:szCs w:val="16"/>
        </w:rPr>
      </w:pPr>
    </w:p>
    <w:p w:rsidR="00170FFD" w:rsidRDefault="00170FFD" w:rsidP="002E34EB">
      <w:pPr>
        <w:pStyle w:val="naisf"/>
        <w:spacing w:before="0" w:after="0"/>
        <w:ind w:firstLine="0"/>
        <w:rPr>
          <w:i/>
          <w:sz w:val="16"/>
          <w:szCs w:val="16"/>
        </w:rPr>
      </w:pPr>
    </w:p>
    <w:tbl>
      <w:tblPr>
        <w:tblW w:w="104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4490"/>
        <w:gridCol w:w="5400"/>
      </w:tblGrid>
      <w:tr w:rsidR="005F7343" w:rsidRPr="006E0140" w:rsidTr="0038404E">
        <w:tc>
          <w:tcPr>
            <w:tcW w:w="10440" w:type="dxa"/>
            <w:gridSpan w:val="3"/>
            <w:tcBorders>
              <w:top w:val="single" w:sz="4" w:space="0" w:color="auto"/>
            </w:tcBorders>
          </w:tcPr>
          <w:p w:rsidR="005F7343" w:rsidRPr="006E0140" w:rsidRDefault="005F7343" w:rsidP="0038404E">
            <w:pPr>
              <w:pStyle w:val="naisnod"/>
              <w:spacing w:before="0" w:after="0"/>
              <w:ind w:left="57" w:right="57"/>
            </w:pPr>
            <w:r w:rsidRPr="006E0140">
              <w:t>VII. Tiesību akta projekta izpildes nodrošināšana un tās ietekme uz institūcijām</w:t>
            </w:r>
          </w:p>
        </w:tc>
      </w:tr>
      <w:tr w:rsidR="005F7343" w:rsidRPr="006E0140" w:rsidTr="0038404E">
        <w:trPr>
          <w:trHeight w:val="427"/>
        </w:trPr>
        <w:tc>
          <w:tcPr>
            <w:tcW w:w="550" w:type="dxa"/>
          </w:tcPr>
          <w:p w:rsidR="005F7343" w:rsidRPr="006E0140" w:rsidRDefault="005F7343" w:rsidP="0038404E">
            <w:pPr>
              <w:pStyle w:val="naisnod"/>
              <w:spacing w:before="0" w:after="0"/>
              <w:ind w:left="57" w:right="57"/>
              <w:jc w:val="left"/>
              <w:rPr>
                <w:b w:val="0"/>
              </w:rPr>
            </w:pPr>
            <w:r w:rsidRPr="006E0140">
              <w:rPr>
                <w:b w:val="0"/>
                <w:sz w:val="22"/>
                <w:szCs w:val="22"/>
              </w:rPr>
              <w:t>1.</w:t>
            </w:r>
          </w:p>
        </w:tc>
        <w:tc>
          <w:tcPr>
            <w:tcW w:w="4490" w:type="dxa"/>
          </w:tcPr>
          <w:p w:rsidR="005F7343" w:rsidRPr="006E0140" w:rsidRDefault="005F7343" w:rsidP="0038404E">
            <w:pPr>
              <w:pStyle w:val="naisf"/>
              <w:spacing w:before="0" w:after="0"/>
              <w:ind w:left="57" w:right="57" w:firstLine="0"/>
              <w:jc w:val="left"/>
            </w:pPr>
            <w:r w:rsidRPr="006E0140">
              <w:rPr>
                <w:sz w:val="22"/>
                <w:szCs w:val="22"/>
              </w:rPr>
              <w:t xml:space="preserve">Projekta izpildē iesaistītās institūcijas </w:t>
            </w:r>
          </w:p>
        </w:tc>
        <w:tc>
          <w:tcPr>
            <w:tcW w:w="5400" w:type="dxa"/>
          </w:tcPr>
          <w:p w:rsidR="005F7343" w:rsidRPr="00445DC5" w:rsidRDefault="005F7343" w:rsidP="00585A24">
            <w:pPr>
              <w:pStyle w:val="naisnod"/>
              <w:spacing w:before="0" w:after="0"/>
              <w:ind w:left="57" w:right="57"/>
              <w:jc w:val="left"/>
              <w:rPr>
                <w:b w:val="0"/>
              </w:rPr>
            </w:pPr>
            <w:r w:rsidRPr="00B64E7F">
              <w:rPr>
                <w:b w:val="0"/>
                <w:iCs/>
              </w:rPr>
              <w:t>Izpildi nodrošinās Va</w:t>
            </w:r>
            <w:r w:rsidR="009E10A7" w:rsidRPr="00B64E7F">
              <w:rPr>
                <w:b w:val="0"/>
                <w:iCs/>
              </w:rPr>
              <w:t>lsts augu aizsardzības dienests.</w:t>
            </w:r>
          </w:p>
        </w:tc>
      </w:tr>
      <w:tr w:rsidR="005F7343" w:rsidRPr="006E0140" w:rsidTr="0038404E">
        <w:trPr>
          <w:trHeight w:val="463"/>
        </w:trPr>
        <w:tc>
          <w:tcPr>
            <w:tcW w:w="550" w:type="dxa"/>
          </w:tcPr>
          <w:p w:rsidR="005F7343" w:rsidRPr="006E0140" w:rsidRDefault="005F7343" w:rsidP="0038404E">
            <w:pPr>
              <w:pStyle w:val="naisnod"/>
              <w:spacing w:before="0" w:after="0"/>
              <w:ind w:left="57" w:right="57"/>
              <w:jc w:val="left"/>
              <w:rPr>
                <w:b w:val="0"/>
              </w:rPr>
            </w:pPr>
            <w:r w:rsidRPr="006E0140">
              <w:rPr>
                <w:b w:val="0"/>
                <w:sz w:val="22"/>
                <w:szCs w:val="22"/>
              </w:rPr>
              <w:t>2.</w:t>
            </w:r>
          </w:p>
        </w:tc>
        <w:tc>
          <w:tcPr>
            <w:tcW w:w="4490" w:type="dxa"/>
          </w:tcPr>
          <w:p w:rsidR="005F7343" w:rsidRPr="006E0140" w:rsidRDefault="005F7343" w:rsidP="0038404E">
            <w:pPr>
              <w:pStyle w:val="naisf"/>
              <w:spacing w:before="0" w:after="0"/>
              <w:ind w:left="57" w:right="57" w:firstLine="0"/>
              <w:jc w:val="left"/>
            </w:pPr>
            <w:r w:rsidRPr="006E0140">
              <w:rPr>
                <w:sz w:val="22"/>
                <w:szCs w:val="22"/>
              </w:rPr>
              <w:t xml:space="preserve">Projekta izpildes ietekme uz pārvaldes funkcijām </w:t>
            </w:r>
            <w:r w:rsidR="00AE4192" w:rsidRPr="006E0140">
              <w:rPr>
                <w:sz w:val="22"/>
                <w:szCs w:val="22"/>
              </w:rPr>
              <w:t>un institucionālo struktūru.</w:t>
            </w:r>
          </w:p>
          <w:p w:rsidR="00AE4192" w:rsidRPr="006E0140" w:rsidRDefault="00AE4192" w:rsidP="0038404E">
            <w:pPr>
              <w:pStyle w:val="naisf"/>
              <w:spacing w:before="0" w:after="0"/>
              <w:ind w:left="57" w:right="57" w:firstLine="0"/>
              <w:jc w:val="left"/>
            </w:pPr>
          </w:p>
          <w:p w:rsidR="00AE4192" w:rsidRDefault="00AE4192" w:rsidP="0038404E">
            <w:pPr>
              <w:pStyle w:val="naisf"/>
              <w:spacing w:before="0" w:after="0"/>
              <w:ind w:left="57" w:right="57" w:firstLine="0"/>
              <w:jc w:val="left"/>
            </w:pPr>
            <w:r w:rsidRPr="006E0140">
              <w:t>Jaunu institūciju izveide, esošu institūciju likvidācija vai reorganizācija, to ietekme uz institūcijas cilvēkresursiem.</w:t>
            </w:r>
          </w:p>
          <w:p w:rsidR="003D040D" w:rsidRPr="006E0140" w:rsidRDefault="003D040D" w:rsidP="008E3943">
            <w:pPr>
              <w:pStyle w:val="naisf"/>
              <w:spacing w:before="0" w:after="0"/>
              <w:ind w:right="57"/>
              <w:jc w:val="left"/>
            </w:pPr>
          </w:p>
        </w:tc>
        <w:tc>
          <w:tcPr>
            <w:tcW w:w="5400" w:type="dxa"/>
          </w:tcPr>
          <w:p w:rsidR="005F7343" w:rsidRPr="00445DC5" w:rsidRDefault="00AE4192" w:rsidP="0038404E">
            <w:pPr>
              <w:pStyle w:val="naisnod"/>
              <w:spacing w:before="0" w:after="0"/>
              <w:ind w:left="57" w:right="57"/>
              <w:jc w:val="left"/>
              <w:rPr>
                <w:b w:val="0"/>
              </w:rPr>
            </w:pPr>
            <w:r w:rsidRPr="00B64E7F">
              <w:rPr>
                <w:b w:val="0"/>
                <w:iCs/>
              </w:rPr>
              <w:t>Projekts šo jomu neskar.</w:t>
            </w:r>
          </w:p>
        </w:tc>
      </w:tr>
      <w:tr w:rsidR="005F7343" w:rsidRPr="006E0140" w:rsidTr="0038404E">
        <w:trPr>
          <w:trHeight w:val="476"/>
        </w:trPr>
        <w:tc>
          <w:tcPr>
            <w:tcW w:w="550" w:type="dxa"/>
          </w:tcPr>
          <w:p w:rsidR="005F7343" w:rsidRPr="006E0140" w:rsidRDefault="00AE4192" w:rsidP="0038404E">
            <w:pPr>
              <w:pStyle w:val="naiskr"/>
              <w:spacing w:before="0" w:after="0"/>
              <w:ind w:left="57" w:right="57"/>
            </w:pPr>
            <w:r w:rsidRPr="006E0140">
              <w:rPr>
                <w:sz w:val="22"/>
                <w:szCs w:val="22"/>
              </w:rPr>
              <w:lastRenderedPageBreak/>
              <w:t>3</w:t>
            </w:r>
            <w:r w:rsidR="005F7343" w:rsidRPr="006E0140">
              <w:rPr>
                <w:sz w:val="22"/>
                <w:szCs w:val="22"/>
              </w:rPr>
              <w:t>.</w:t>
            </w:r>
          </w:p>
        </w:tc>
        <w:tc>
          <w:tcPr>
            <w:tcW w:w="4490" w:type="dxa"/>
          </w:tcPr>
          <w:p w:rsidR="005F7343" w:rsidRPr="006E0140" w:rsidRDefault="005F7343" w:rsidP="0038404E">
            <w:pPr>
              <w:pStyle w:val="naiskr"/>
              <w:spacing w:before="0" w:after="0"/>
              <w:ind w:left="57" w:right="57"/>
            </w:pPr>
            <w:r w:rsidRPr="006E0140">
              <w:rPr>
                <w:sz w:val="22"/>
                <w:szCs w:val="22"/>
              </w:rPr>
              <w:t>Cita informācija</w:t>
            </w:r>
          </w:p>
        </w:tc>
        <w:tc>
          <w:tcPr>
            <w:tcW w:w="5400" w:type="dxa"/>
          </w:tcPr>
          <w:p w:rsidR="005F7343" w:rsidRPr="006E0140" w:rsidRDefault="005F7343" w:rsidP="0038404E">
            <w:pPr>
              <w:pStyle w:val="naiskr"/>
              <w:spacing w:before="0" w:after="0"/>
              <w:ind w:left="57" w:right="57"/>
            </w:pPr>
            <w:r w:rsidRPr="006E0140">
              <w:rPr>
                <w:sz w:val="22"/>
                <w:szCs w:val="22"/>
              </w:rPr>
              <w:t>Nav.</w:t>
            </w:r>
          </w:p>
        </w:tc>
      </w:tr>
    </w:tbl>
    <w:p w:rsidR="00170FFD" w:rsidRDefault="00170FFD" w:rsidP="00170FFD">
      <w:pPr>
        <w:rPr>
          <w:bCs/>
        </w:rPr>
      </w:pPr>
    </w:p>
    <w:p w:rsidR="00170FFD" w:rsidRDefault="00170FFD" w:rsidP="00170FFD">
      <w:pPr>
        <w:rPr>
          <w:bCs/>
        </w:rPr>
      </w:pPr>
    </w:p>
    <w:p w:rsidR="002E34EB" w:rsidRPr="00170FFD" w:rsidRDefault="002E34EB" w:rsidP="00170FFD">
      <w:pPr>
        <w:rPr>
          <w:bCs/>
        </w:rPr>
      </w:pPr>
      <w:r w:rsidRPr="00170FFD">
        <w:rPr>
          <w:bCs/>
        </w:rPr>
        <w:t>Zemkopības ministrs</w:t>
      </w:r>
      <w:r w:rsidRPr="00170FFD">
        <w:rPr>
          <w:bCs/>
        </w:rPr>
        <w:tab/>
      </w:r>
      <w:r w:rsidRPr="00170FFD">
        <w:rPr>
          <w:bCs/>
        </w:rPr>
        <w:tab/>
      </w:r>
      <w:r w:rsidRPr="00170FFD">
        <w:rPr>
          <w:bCs/>
        </w:rPr>
        <w:tab/>
      </w:r>
      <w:r w:rsidR="00170FFD">
        <w:rPr>
          <w:bCs/>
        </w:rPr>
        <w:tab/>
      </w:r>
      <w:r w:rsidR="00170FFD">
        <w:rPr>
          <w:bCs/>
        </w:rPr>
        <w:tab/>
      </w:r>
      <w:r w:rsidR="00170FFD">
        <w:rPr>
          <w:bCs/>
        </w:rPr>
        <w:tab/>
      </w:r>
      <w:r w:rsidRPr="00170FFD">
        <w:rPr>
          <w:bCs/>
        </w:rPr>
        <w:tab/>
      </w:r>
      <w:r w:rsidRPr="00170FFD">
        <w:rPr>
          <w:bCs/>
        </w:rPr>
        <w:tab/>
      </w:r>
      <w:r w:rsidR="003D040D" w:rsidRPr="00170FFD">
        <w:rPr>
          <w:bCs/>
        </w:rPr>
        <w:tab/>
      </w:r>
      <w:proofErr w:type="spellStart"/>
      <w:r w:rsidRPr="00170FFD">
        <w:rPr>
          <w:bCs/>
        </w:rPr>
        <w:t>J.Dūklavs</w:t>
      </w:r>
      <w:proofErr w:type="spellEnd"/>
    </w:p>
    <w:p w:rsidR="003D040D" w:rsidRPr="00170FFD" w:rsidRDefault="003D040D" w:rsidP="00170FFD">
      <w:pPr>
        <w:rPr>
          <w:bCs/>
        </w:rPr>
      </w:pPr>
    </w:p>
    <w:p w:rsidR="003D040D" w:rsidRPr="00170FFD" w:rsidRDefault="003D040D" w:rsidP="00170FFD">
      <w:pPr>
        <w:rPr>
          <w:bCs/>
        </w:rPr>
      </w:pPr>
    </w:p>
    <w:p w:rsidR="008E3943" w:rsidRDefault="008E3943"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Default="00170FFD" w:rsidP="00170FFD">
      <w:pPr>
        <w:rPr>
          <w:bCs/>
        </w:rPr>
      </w:pPr>
    </w:p>
    <w:p w:rsidR="00170FFD" w:rsidRPr="00170FFD" w:rsidRDefault="00170FFD" w:rsidP="00170FFD">
      <w:pPr>
        <w:rPr>
          <w:bCs/>
        </w:rPr>
      </w:pPr>
    </w:p>
    <w:p w:rsidR="00170FFD" w:rsidRDefault="00170FFD" w:rsidP="002E34EB">
      <w:pPr>
        <w:pStyle w:val="Standard"/>
        <w:tabs>
          <w:tab w:val="left" w:pos="6660"/>
        </w:tabs>
        <w:jc w:val="both"/>
        <w:rPr>
          <w:sz w:val="20"/>
          <w:szCs w:val="20"/>
        </w:rPr>
      </w:pPr>
      <w:r>
        <w:rPr>
          <w:sz w:val="20"/>
          <w:szCs w:val="20"/>
        </w:rPr>
        <w:t>26.08.2016. 10:00</w:t>
      </w:r>
      <w:bookmarkStart w:id="0" w:name="_GoBack"/>
      <w:bookmarkEnd w:id="0"/>
    </w:p>
    <w:p w:rsidR="00170FFD" w:rsidRDefault="00170FFD" w:rsidP="002E34EB">
      <w:pPr>
        <w:pStyle w:val="Standard"/>
        <w:tabs>
          <w:tab w:val="left" w:pos="6660"/>
        </w:tabs>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1111</w:t>
      </w:r>
      <w:r>
        <w:rPr>
          <w:sz w:val="20"/>
          <w:szCs w:val="20"/>
        </w:rPr>
        <w:fldChar w:fldCharType="end"/>
      </w:r>
    </w:p>
    <w:p w:rsidR="002E34EB" w:rsidRPr="006E0140" w:rsidRDefault="002E34EB" w:rsidP="002E34EB">
      <w:pPr>
        <w:pStyle w:val="Standard"/>
        <w:tabs>
          <w:tab w:val="left" w:pos="6660"/>
        </w:tabs>
        <w:jc w:val="both"/>
        <w:rPr>
          <w:sz w:val="20"/>
          <w:szCs w:val="20"/>
        </w:rPr>
      </w:pPr>
      <w:r w:rsidRPr="006E0140">
        <w:rPr>
          <w:sz w:val="20"/>
          <w:szCs w:val="20"/>
        </w:rPr>
        <w:t>Kjago</w:t>
      </w:r>
    </w:p>
    <w:p w:rsidR="00F30264" w:rsidRPr="00474426" w:rsidRDefault="002E34EB" w:rsidP="00474426">
      <w:pPr>
        <w:pStyle w:val="Standard"/>
        <w:rPr>
          <w:sz w:val="20"/>
          <w:szCs w:val="20"/>
        </w:rPr>
      </w:pPr>
      <w:r w:rsidRPr="006E0140">
        <w:rPr>
          <w:sz w:val="20"/>
          <w:szCs w:val="20"/>
        </w:rPr>
        <w:t>67027309, kristine.kjago@vaad.gov.lv</w:t>
      </w:r>
    </w:p>
    <w:sectPr w:rsidR="00F30264" w:rsidRPr="00474426" w:rsidSect="00170FFD">
      <w:headerReference w:type="even" r:id="rId8"/>
      <w:headerReference w:type="default" r:id="rId9"/>
      <w:footerReference w:type="default" r:id="rId10"/>
      <w:footerReference w:type="first" r:id="rId11"/>
      <w:pgSz w:w="11906" w:h="16838" w:code="9"/>
      <w:pgMar w:top="1276" w:right="1134" w:bottom="993"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DD" w:rsidRDefault="002E5ADD" w:rsidP="00507B34">
      <w:r>
        <w:separator/>
      </w:r>
    </w:p>
  </w:endnote>
  <w:endnote w:type="continuationSeparator" w:id="0">
    <w:p w:rsidR="002E5ADD" w:rsidRDefault="002E5ADD" w:rsidP="0050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5E" w:rsidRPr="001A1713" w:rsidRDefault="00170FFD">
    <w:pPr>
      <w:pStyle w:val="Kjene"/>
      <w:rPr>
        <w:sz w:val="20"/>
        <w:szCs w:val="20"/>
      </w:rPr>
    </w:pPr>
    <w:r w:rsidRPr="00170FFD">
      <w:rPr>
        <w:sz w:val="20"/>
        <w:szCs w:val="20"/>
      </w:rPr>
      <w:t>ZMAnot_260816_laisana_tirgu</w:t>
    </w:r>
    <w:r w:rsidR="00682D5E" w:rsidRPr="001A1713">
      <w:rPr>
        <w:sz w:val="20"/>
        <w:szCs w:val="20"/>
      </w:rPr>
      <w:t xml:space="preserve">; </w:t>
    </w:r>
    <w:r w:rsidR="00682D5E" w:rsidRPr="00585A24">
      <w:rPr>
        <w:sz w:val="20"/>
        <w:szCs w:val="20"/>
      </w:rPr>
      <w:t xml:space="preserve">Grozījumi Ministru kabineta </w:t>
    </w:r>
    <w:proofErr w:type="gramStart"/>
    <w:r w:rsidR="00682D5E" w:rsidRPr="00585A24">
      <w:rPr>
        <w:sz w:val="20"/>
        <w:szCs w:val="20"/>
      </w:rPr>
      <w:t>2011.gada</w:t>
    </w:r>
    <w:proofErr w:type="gramEnd"/>
    <w:r w:rsidR="00682D5E" w:rsidRPr="00585A24">
      <w:rPr>
        <w:sz w:val="20"/>
        <w:szCs w:val="20"/>
      </w:rPr>
      <w:t xml:space="preserve"> 13.decembra noteikumos Nr.949 „Noteikumi par augu aizsardzības līdzekļu laišanu tirgū”</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5E" w:rsidRPr="001A1713" w:rsidRDefault="00170FFD">
    <w:pPr>
      <w:pStyle w:val="Kjene"/>
      <w:rPr>
        <w:sz w:val="20"/>
        <w:szCs w:val="20"/>
      </w:rPr>
    </w:pPr>
    <w:r w:rsidRPr="00170FFD">
      <w:rPr>
        <w:sz w:val="20"/>
        <w:szCs w:val="20"/>
      </w:rPr>
      <w:t>ZMAnot_260816_laisana_tirgu</w:t>
    </w:r>
    <w:r w:rsidR="00682D5E" w:rsidRPr="001A1713">
      <w:rPr>
        <w:sz w:val="20"/>
        <w:szCs w:val="20"/>
      </w:rPr>
      <w:t xml:space="preserve">; </w:t>
    </w:r>
    <w:r w:rsidR="00682D5E" w:rsidRPr="00585A24">
      <w:rPr>
        <w:sz w:val="20"/>
        <w:szCs w:val="20"/>
      </w:rPr>
      <w:t xml:space="preserve">Grozījumi Ministru kabineta </w:t>
    </w:r>
    <w:proofErr w:type="gramStart"/>
    <w:r w:rsidR="00682D5E" w:rsidRPr="00585A24">
      <w:rPr>
        <w:sz w:val="20"/>
        <w:szCs w:val="20"/>
      </w:rPr>
      <w:t>2011.gada</w:t>
    </w:r>
    <w:proofErr w:type="gramEnd"/>
    <w:r w:rsidR="00682D5E" w:rsidRPr="00585A24">
      <w:rPr>
        <w:sz w:val="20"/>
        <w:szCs w:val="20"/>
      </w:rPr>
      <w:t xml:space="preserve"> 13.decembra noteikumos Nr.949 „Noteikumi par augu aizsardzības līdzekļu laišanu tirgū”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DD" w:rsidRDefault="002E5ADD" w:rsidP="00507B34">
      <w:r>
        <w:separator/>
      </w:r>
    </w:p>
  </w:footnote>
  <w:footnote w:type="continuationSeparator" w:id="0">
    <w:p w:rsidR="002E5ADD" w:rsidRDefault="002E5ADD" w:rsidP="0050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5E" w:rsidRDefault="00682D5E" w:rsidP="003840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2D5E" w:rsidRDefault="00682D5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5E" w:rsidRDefault="00682D5E" w:rsidP="003840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0FFD">
      <w:rPr>
        <w:rStyle w:val="Lappusesnumurs"/>
        <w:noProof/>
      </w:rPr>
      <w:t>4</w:t>
    </w:r>
    <w:r>
      <w:rPr>
        <w:rStyle w:val="Lappusesnumurs"/>
      </w:rPr>
      <w:fldChar w:fldCharType="end"/>
    </w:r>
  </w:p>
  <w:p w:rsidR="00682D5E" w:rsidRDefault="00682D5E" w:rsidP="005132A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207F"/>
    <w:multiLevelType w:val="hybridMultilevel"/>
    <w:tmpl w:val="9A261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2" w15:restartNumberingAfterBreak="0">
    <w:nsid w:val="541F67B9"/>
    <w:multiLevelType w:val="hybridMultilevel"/>
    <w:tmpl w:val="AFD62A2A"/>
    <w:lvl w:ilvl="0" w:tplc="9C9C89DE">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3"/>
    <w:rsid w:val="000076C4"/>
    <w:rsid w:val="00016592"/>
    <w:rsid w:val="00030420"/>
    <w:rsid w:val="00042823"/>
    <w:rsid w:val="0009597D"/>
    <w:rsid w:val="00097A22"/>
    <w:rsid w:val="000A2456"/>
    <w:rsid w:val="000D001B"/>
    <w:rsid w:val="000E17F0"/>
    <w:rsid w:val="00170FFD"/>
    <w:rsid w:val="001A1713"/>
    <w:rsid w:val="001A4AB7"/>
    <w:rsid w:val="001A5930"/>
    <w:rsid w:val="001B096A"/>
    <w:rsid w:val="001C2FB4"/>
    <w:rsid w:val="001D635A"/>
    <w:rsid w:val="001F7A51"/>
    <w:rsid w:val="00211691"/>
    <w:rsid w:val="002552B4"/>
    <w:rsid w:val="0026452D"/>
    <w:rsid w:val="00277872"/>
    <w:rsid w:val="002B12AF"/>
    <w:rsid w:val="002C4377"/>
    <w:rsid w:val="002C739D"/>
    <w:rsid w:val="002D0B06"/>
    <w:rsid w:val="002E34EB"/>
    <w:rsid w:val="002E5ADD"/>
    <w:rsid w:val="002E6F54"/>
    <w:rsid w:val="00306887"/>
    <w:rsid w:val="00330433"/>
    <w:rsid w:val="00382D03"/>
    <w:rsid w:val="0038404E"/>
    <w:rsid w:val="003A0216"/>
    <w:rsid w:val="003A2169"/>
    <w:rsid w:val="003C605C"/>
    <w:rsid w:val="003D040D"/>
    <w:rsid w:val="003D29EE"/>
    <w:rsid w:val="003F51D8"/>
    <w:rsid w:val="004206B9"/>
    <w:rsid w:val="00445DC5"/>
    <w:rsid w:val="00474426"/>
    <w:rsid w:val="004A10F2"/>
    <w:rsid w:val="004B059F"/>
    <w:rsid w:val="00507B34"/>
    <w:rsid w:val="005132A4"/>
    <w:rsid w:val="0051582E"/>
    <w:rsid w:val="0051596F"/>
    <w:rsid w:val="00526DC2"/>
    <w:rsid w:val="005413E2"/>
    <w:rsid w:val="005737A9"/>
    <w:rsid w:val="00577AF1"/>
    <w:rsid w:val="00585A24"/>
    <w:rsid w:val="005A43F6"/>
    <w:rsid w:val="005A7C87"/>
    <w:rsid w:val="005A7EF6"/>
    <w:rsid w:val="005D5C2E"/>
    <w:rsid w:val="005F4280"/>
    <w:rsid w:val="005F72C8"/>
    <w:rsid w:val="005F7343"/>
    <w:rsid w:val="0062528C"/>
    <w:rsid w:val="00664598"/>
    <w:rsid w:val="00682D5E"/>
    <w:rsid w:val="006B11AD"/>
    <w:rsid w:val="006C3311"/>
    <w:rsid w:val="006E0140"/>
    <w:rsid w:val="00737017"/>
    <w:rsid w:val="00756615"/>
    <w:rsid w:val="00757573"/>
    <w:rsid w:val="00783EBA"/>
    <w:rsid w:val="007A1BD6"/>
    <w:rsid w:val="007B036E"/>
    <w:rsid w:val="007D14BB"/>
    <w:rsid w:val="00822D4E"/>
    <w:rsid w:val="00831000"/>
    <w:rsid w:val="00845E45"/>
    <w:rsid w:val="008826FC"/>
    <w:rsid w:val="008E3943"/>
    <w:rsid w:val="009031EC"/>
    <w:rsid w:val="00920704"/>
    <w:rsid w:val="009562E0"/>
    <w:rsid w:val="00961F69"/>
    <w:rsid w:val="00965451"/>
    <w:rsid w:val="009A13DC"/>
    <w:rsid w:val="009B192B"/>
    <w:rsid w:val="009C4347"/>
    <w:rsid w:val="009E10A7"/>
    <w:rsid w:val="009F2339"/>
    <w:rsid w:val="00A021E4"/>
    <w:rsid w:val="00A64A9A"/>
    <w:rsid w:val="00A64B08"/>
    <w:rsid w:val="00A826E3"/>
    <w:rsid w:val="00A941E4"/>
    <w:rsid w:val="00AD3AEF"/>
    <w:rsid w:val="00AE4192"/>
    <w:rsid w:val="00AF626E"/>
    <w:rsid w:val="00B226EB"/>
    <w:rsid w:val="00B300A2"/>
    <w:rsid w:val="00B557AF"/>
    <w:rsid w:val="00B57F54"/>
    <w:rsid w:val="00B64E7F"/>
    <w:rsid w:val="00B73079"/>
    <w:rsid w:val="00BC2786"/>
    <w:rsid w:val="00BC625E"/>
    <w:rsid w:val="00BD284C"/>
    <w:rsid w:val="00BD32C5"/>
    <w:rsid w:val="00BE43A4"/>
    <w:rsid w:val="00C3487B"/>
    <w:rsid w:val="00C65101"/>
    <w:rsid w:val="00C81D38"/>
    <w:rsid w:val="00C96ECE"/>
    <w:rsid w:val="00CA391A"/>
    <w:rsid w:val="00CB5CC7"/>
    <w:rsid w:val="00CC2A04"/>
    <w:rsid w:val="00CD43DC"/>
    <w:rsid w:val="00CE20C4"/>
    <w:rsid w:val="00CF424F"/>
    <w:rsid w:val="00D3113E"/>
    <w:rsid w:val="00D345DA"/>
    <w:rsid w:val="00D43B82"/>
    <w:rsid w:val="00DD21B5"/>
    <w:rsid w:val="00DE7F2E"/>
    <w:rsid w:val="00DF5B8F"/>
    <w:rsid w:val="00E52597"/>
    <w:rsid w:val="00E566FE"/>
    <w:rsid w:val="00E91A99"/>
    <w:rsid w:val="00EA6A4D"/>
    <w:rsid w:val="00EB0C26"/>
    <w:rsid w:val="00F02B68"/>
    <w:rsid w:val="00F12971"/>
    <w:rsid w:val="00F24A4A"/>
    <w:rsid w:val="00F30264"/>
    <w:rsid w:val="00F35822"/>
    <w:rsid w:val="00F35DDD"/>
    <w:rsid w:val="00F37D5D"/>
    <w:rsid w:val="00F54B7A"/>
    <w:rsid w:val="00F641BB"/>
    <w:rsid w:val="00F8422E"/>
    <w:rsid w:val="00FA19DC"/>
    <w:rsid w:val="00FE0E85"/>
    <w:rsid w:val="00FF4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BE541CFC-01E6-451E-B4C9-F784D31A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734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F7343"/>
    <w:pPr>
      <w:tabs>
        <w:tab w:val="center" w:pos="4153"/>
        <w:tab w:val="right" w:pos="8306"/>
      </w:tabs>
    </w:pPr>
  </w:style>
  <w:style w:type="character" w:customStyle="1" w:styleId="GalveneRakstz">
    <w:name w:val="Galvene Rakstz."/>
    <w:basedOn w:val="Noklusjumarindkopasfonts"/>
    <w:link w:val="Galvene"/>
    <w:rsid w:val="005F7343"/>
    <w:rPr>
      <w:rFonts w:ascii="Times New Roman" w:eastAsia="Times New Roman" w:hAnsi="Times New Roman" w:cs="Times New Roman"/>
      <w:sz w:val="24"/>
      <w:szCs w:val="24"/>
      <w:lang w:eastAsia="lv-LV"/>
    </w:rPr>
  </w:style>
  <w:style w:type="character" w:styleId="Lappusesnumurs">
    <w:name w:val="page number"/>
    <w:basedOn w:val="Noklusjumarindkopasfonts"/>
    <w:rsid w:val="005F7343"/>
  </w:style>
  <w:style w:type="paragraph" w:customStyle="1" w:styleId="naisf">
    <w:name w:val="naisf"/>
    <w:basedOn w:val="Parasts"/>
    <w:uiPriority w:val="99"/>
    <w:rsid w:val="005F7343"/>
    <w:pPr>
      <w:spacing w:before="75" w:after="75"/>
      <w:ind w:firstLine="375"/>
      <w:jc w:val="both"/>
    </w:pPr>
  </w:style>
  <w:style w:type="paragraph" w:customStyle="1" w:styleId="naisnod">
    <w:name w:val="naisnod"/>
    <w:basedOn w:val="Parasts"/>
    <w:rsid w:val="005F7343"/>
    <w:pPr>
      <w:spacing w:before="150" w:after="150"/>
      <w:jc w:val="center"/>
    </w:pPr>
    <w:rPr>
      <w:b/>
      <w:bCs/>
    </w:rPr>
  </w:style>
  <w:style w:type="paragraph" w:customStyle="1" w:styleId="naislab">
    <w:name w:val="naislab"/>
    <w:basedOn w:val="Parasts"/>
    <w:rsid w:val="005F7343"/>
    <w:pPr>
      <w:spacing w:before="75" w:after="75"/>
      <w:jc w:val="right"/>
    </w:pPr>
  </w:style>
  <w:style w:type="paragraph" w:customStyle="1" w:styleId="naiskr">
    <w:name w:val="naiskr"/>
    <w:basedOn w:val="Parasts"/>
    <w:rsid w:val="005F7343"/>
    <w:pPr>
      <w:spacing w:before="75" w:after="75"/>
    </w:pPr>
  </w:style>
  <w:style w:type="paragraph" w:styleId="Vresteksts">
    <w:name w:val="footnote text"/>
    <w:basedOn w:val="Parasts"/>
    <w:link w:val="VrestekstsRakstz"/>
    <w:semiHidden/>
    <w:rsid w:val="005F7343"/>
    <w:rPr>
      <w:sz w:val="20"/>
      <w:szCs w:val="20"/>
    </w:rPr>
  </w:style>
  <w:style w:type="character" w:customStyle="1" w:styleId="VrestekstsRakstz">
    <w:name w:val="Vēres teksts Rakstz."/>
    <w:basedOn w:val="Noklusjumarindkopasfonts"/>
    <w:link w:val="Vresteksts"/>
    <w:semiHidden/>
    <w:rsid w:val="005F7343"/>
    <w:rPr>
      <w:rFonts w:ascii="Times New Roman" w:eastAsia="Times New Roman" w:hAnsi="Times New Roman" w:cs="Times New Roman"/>
      <w:sz w:val="20"/>
      <w:szCs w:val="20"/>
      <w:lang w:eastAsia="lv-LV"/>
    </w:rPr>
  </w:style>
  <w:style w:type="paragraph" w:styleId="Kjene">
    <w:name w:val="footer"/>
    <w:basedOn w:val="Parasts"/>
    <w:link w:val="KjeneRakstz"/>
    <w:rsid w:val="005F7343"/>
    <w:pPr>
      <w:tabs>
        <w:tab w:val="center" w:pos="4153"/>
        <w:tab w:val="right" w:pos="8306"/>
      </w:tabs>
    </w:pPr>
  </w:style>
  <w:style w:type="character" w:customStyle="1" w:styleId="KjeneRakstz">
    <w:name w:val="Kājene Rakstz."/>
    <w:basedOn w:val="Noklusjumarindkopasfonts"/>
    <w:link w:val="Kjene"/>
    <w:rsid w:val="005F7343"/>
    <w:rPr>
      <w:rFonts w:ascii="Times New Roman" w:eastAsia="Times New Roman" w:hAnsi="Times New Roman" w:cs="Times New Roman"/>
      <w:sz w:val="24"/>
      <w:szCs w:val="24"/>
      <w:lang w:eastAsia="lv-LV"/>
    </w:rPr>
  </w:style>
  <w:style w:type="paragraph" w:styleId="Paraststmeklis">
    <w:name w:val="Normal (Web)"/>
    <w:basedOn w:val="Parasts"/>
    <w:rsid w:val="005F7343"/>
    <w:pPr>
      <w:spacing w:before="100" w:after="100"/>
    </w:pPr>
    <w:rPr>
      <w:noProof/>
      <w:szCs w:val="20"/>
      <w:lang w:val="en-AU"/>
    </w:rPr>
  </w:style>
  <w:style w:type="character" w:styleId="Izteiksmgs">
    <w:name w:val="Strong"/>
    <w:qFormat/>
    <w:rsid w:val="005F7343"/>
    <w:rPr>
      <w:b/>
      <w:bCs/>
    </w:rPr>
  </w:style>
  <w:style w:type="paragraph" w:styleId="Sarakstarindkopa">
    <w:name w:val="List Paragraph"/>
    <w:basedOn w:val="Parasts"/>
    <w:uiPriority w:val="34"/>
    <w:qFormat/>
    <w:rsid w:val="00F358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2E34EB"/>
    <w:pPr>
      <w:suppressAutoHyphens/>
      <w:autoSpaceDN w:val="0"/>
      <w:spacing w:after="0" w:line="240" w:lineRule="auto"/>
    </w:pPr>
    <w:rPr>
      <w:rFonts w:ascii="Times New Roman" w:eastAsia="Times New Roman" w:hAnsi="Times New Roman" w:cs="Times New Roman"/>
      <w:color w:val="000000"/>
      <w:kern w:val="3"/>
      <w:sz w:val="24"/>
      <w:szCs w:val="24"/>
    </w:rPr>
  </w:style>
  <w:style w:type="character" w:styleId="Komentraatsauce">
    <w:name w:val="annotation reference"/>
    <w:basedOn w:val="Noklusjumarindkopasfonts"/>
    <w:unhideWhenUsed/>
    <w:rsid w:val="005A7C87"/>
    <w:rPr>
      <w:sz w:val="16"/>
      <w:szCs w:val="16"/>
    </w:rPr>
  </w:style>
  <w:style w:type="paragraph" w:styleId="Komentrateksts">
    <w:name w:val="annotation text"/>
    <w:basedOn w:val="Parasts"/>
    <w:link w:val="KomentratekstsRakstz"/>
    <w:uiPriority w:val="99"/>
    <w:semiHidden/>
    <w:unhideWhenUsed/>
    <w:rsid w:val="005A7C87"/>
    <w:rPr>
      <w:sz w:val="20"/>
      <w:szCs w:val="20"/>
    </w:rPr>
  </w:style>
  <w:style w:type="character" w:customStyle="1" w:styleId="KomentratekstsRakstz">
    <w:name w:val="Komentāra teksts Rakstz."/>
    <w:basedOn w:val="Noklusjumarindkopasfonts"/>
    <w:link w:val="Komentrateksts"/>
    <w:uiPriority w:val="99"/>
    <w:semiHidden/>
    <w:rsid w:val="005A7C8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A7C87"/>
    <w:rPr>
      <w:b/>
      <w:bCs/>
    </w:rPr>
  </w:style>
  <w:style w:type="character" w:customStyle="1" w:styleId="KomentratmaRakstz">
    <w:name w:val="Komentāra tēma Rakstz."/>
    <w:basedOn w:val="KomentratekstsRakstz"/>
    <w:link w:val="Komentratma"/>
    <w:uiPriority w:val="99"/>
    <w:semiHidden/>
    <w:rsid w:val="005A7C87"/>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A7C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7C87"/>
    <w:rPr>
      <w:rFonts w:ascii="Tahoma" w:eastAsia="Times New Roman" w:hAnsi="Tahoma" w:cs="Tahoma"/>
      <w:sz w:val="16"/>
      <w:szCs w:val="16"/>
      <w:lang w:eastAsia="lv-LV"/>
    </w:rPr>
  </w:style>
  <w:style w:type="paragraph" w:customStyle="1" w:styleId="naisc">
    <w:name w:val="naisc"/>
    <w:basedOn w:val="Parasts"/>
    <w:rsid w:val="004A10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094E-3606-40BD-8F2F-6BB1A8E8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1122</Words>
  <Characters>8207</Characters>
  <Application>Microsoft Office Word</Application>
  <DocSecurity>0</DocSecurity>
  <Lines>293</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 Karklina</dc:creator>
  <cp:lastModifiedBy>Sanita Žagare</cp:lastModifiedBy>
  <cp:revision>7</cp:revision>
  <dcterms:created xsi:type="dcterms:W3CDTF">2016-08-01T08:17:00Z</dcterms:created>
  <dcterms:modified xsi:type="dcterms:W3CDTF">2016-08-26T07:00:00Z</dcterms:modified>
</cp:coreProperties>
</file>