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8C981" w14:textId="77777777" w:rsidR="00500259" w:rsidRDefault="00500259">
      <w:pPr>
        <w:pStyle w:val="TOCHeading"/>
        <w:rPr>
          <w:rFonts w:asciiTheme="minorHAnsi" w:eastAsiaTheme="minorHAnsi" w:hAnsiTheme="minorHAnsi" w:cstheme="minorBidi"/>
          <w:b w:val="0"/>
          <w:bCs w:val="0"/>
          <w:color w:val="auto"/>
          <w:sz w:val="22"/>
          <w:szCs w:val="22"/>
          <w:lang w:val="lv-LV" w:eastAsia="en-US"/>
        </w:rPr>
      </w:pPr>
    </w:p>
    <w:p w14:paraId="31E70061" w14:textId="77777777" w:rsidR="00500259" w:rsidRDefault="00500259">
      <w:pPr>
        <w:pStyle w:val="TOCHeading"/>
        <w:rPr>
          <w:rFonts w:asciiTheme="minorHAnsi" w:eastAsiaTheme="minorHAnsi" w:hAnsiTheme="minorHAnsi" w:cstheme="minorBidi"/>
          <w:b w:val="0"/>
          <w:bCs w:val="0"/>
          <w:color w:val="auto"/>
          <w:sz w:val="22"/>
          <w:szCs w:val="22"/>
          <w:lang w:val="lv-LV" w:eastAsia="en-US"/>
        </w:rPr>
      </w:pPr>
    </w:p>
    <w:p w14:paraId="06064AA8" w14:textId="77777777" w:rsidR="00500259" w:rsidRDefault="00500259">
      <w:pPr>
        <w:pStyle w:val="TOCHeading"/>
        <w:rPr>
          <w:rFonts w:asciiTheme="minorHAnsi" w:eastAsiaTheme="minorHAnsi" w:hAnsiTheme="minorHAnsi" w:cstheme="minorBidi"/>
          <w:b w:val="0"/>
          <w:bCs w:val="0"/>
          <w:color w:val="auto"/>
          <w:sz w:val="22"/>
          <w:szCs w:val="22"/>
          <w:lang w:val="lv-LV" w:eastAsia="en-US"/>
        </w:rPr>
      </w:pPr>
    </w:p>
    <w:p w14:paraId="6577CBC5" w14:textId="77777777" w:rsidR="00545247" w:rsidRPr="00C2342A" w:rsidRDefault="00500259" w:rsidP="00500259">
      <w:pPr>
        <w:pStyle w:val="TOCHeading"/>
        <w:jc w:val="center"/>
        <w:rPr>
          <w:rFonts w:ascii="Times New Roman" w:eastAsia="Times New Roman" w:hAnsi="Times New Roman"/>
          <w:color w:val="auto"/>
          <w:lang w:val="lv-LV" w:eastAsia="lv-LV"/>
        </w:rPr>
      </w:pPr>
      <w:r w:rsidRPr="00C2342A">
        <w:rPr>
          <w:rFonts w:ascii="Times New Roman" w:eastAsia="Times New Roman" w:hAnsi="Times New Roman"/>
          <w:color w:val="auto"/>
          <w:lang w:val="lv-LV" w:eastAsia="lv-LV"/>
        </w:rPr>
        <w:t xml:space="preserve">Ministru prezidenta Māra Kučinska ikgadējais ziņojums Saeimai </w:t>
      </w:r>
    </w:p>
    <w:p w14:paraId="416DA80E" w14:textId="3FD1369C" w:rsidR="00500259" w:rsidRPr="00C2342A" w:rsidRDefault="00500259" w:rsidP="00500259">
      <w:pPr>
        <w:pStyle w:val="TOCHeading"/>
        <w:jc w:val="center"/>
        <w:rPr>
          <w:rFonts w:asciiTheme="minorHAnsi" w:eastAsiaTheme="minorHAnsi" w:hAnsiTheme="minorHAnsi" w:cstheme="minorBidi"/>
          <w:b w:val="0"/>
          <w:bCs w:val="0"/>
          <w:color w:val="auto"/>
          <w:lang w:val="lv-LV" w:eastAsia="en-US"/>
        </w:rPr>
      </w:pPr>
      <w:r w:rsidRPr="00C2342A">
        <w:rPr>
          <w:rFonts w:ascii="Times New Roman" w:eastAsia="Times New Roman" w:hAnsi="Times New Roman"/>
          <w:color w:val="auto"/>
          <w:lang w:val="lv-LV" w:eastAsia="lv-LV"/>
        </w:rPr>
        <w:t>par Ministru kabineta paveikto un iecerēto darbību</w:t>
      </w:r>
    </w:p>
    <w:p w14:paraId="045E2507" w14:textId="77777777" w:rsidR="00500259" w:rsidRDefault="00752305">
      <w:pPr>
        <w:pStyle w:val="TOCHeading"/>
        <w:rPr>
          <w:rFonts w:asciiTheme="minorHAnsi" w:eastAsiaTheme="minorHAnsi" w:hAnsiTheme="minorHAnsi" w:cstheme="minorBidi"/>
          <w:b w:val="0"/>
          <w:bCs w:val="0"/>
          <w:color w:val="auto"/>
          <w:sz w:val="22"/>
          <w:szCs w:val="22"/>
          <w:lang w:val="lv-LV" w:eastAsia="en-US"/>
        </w:rPr>
      </w:pPr>
      <w:r>
        <w:rPr>
          <w:rFonts w:asciiTheme="minorHAnsi" w:eastAsiaTheme="minorHAnsi" w:hAnsiTheme="minorHAnsi" w:cstheme="minorBidi"/>
          <w:b w:val="0"/>
          <w:bCs w:val="0"/>
          <w:color w:val="auto"/>
          <w:sz w:val="22"/>
          <w:szCs w:val="22"/>
          <w:lang w:val="lv-LV" w:eastAsia="en-US"/>
        </w:rPr>
        <w:t xml:space="preserve">             </w:t>
      </w:r>
    </w:p>
    <w:p w14:paraId="038081BA" w14:textId="77777777" w:rsidR="00500259" w:rsidRDefault="00500259">
      <w:pPr>
        <w:pStyle w:val="TOCHeading"/>
        <w:rPr>
          <w:rFonts w:asciiTheme="minorHAnsi" w:eastAsiaTheme="minorHAnsi" w:hAnsiTheme="minorHAnsi" w:cstheme="minorBidi"/>
          <w:b w:val="0"/>
          <w:bCs w:val="0"/>
          <w:color w:val="auto"/>
          <w:sz w:val="22"/>
          <w:szCs w:val="22"/>
          <w:lang w:val="lv-LV" w:eastAsia="en-US"/>
        </w:rPr>
      </w:pPr>
    </w:p>
    <w:p w14:paraId="73FD6388" w14:textId="77777777" w:rsidR="00500259" w:rsidRDefault="00500259">
      <w:pPr>
        <w:pStyle w:val="TOCHeading"/>
        <w:rPr>
          <w:rFonts w:asciiTheme="minorHAnsi" w:eastAsiaTheme="minorHAnsi" w:hAnsiTheme="minorHAnsi" w:cstheme="minorBidi"/>
          <w:b w:val="0"/>
          <w:bCs w:val="0"/>
          <w:color w:val="auto"/>
          <w:sz w:val="22"/>
          <w:szCs w:val="22"/>
          <w:lang w:val="lv-LV" w:eastAsia="en-US"/>
        </w:rPr>
      </w:pPr>
    </w:p>
    <w:p w14:paraId="5AE043A1" w14:textId="77777777" w:rsidR="00500259" w:rsidRDefault="00500259">
      <w:pPr>
        <w:pStyle w:val="TOCHeading"/>
        <w:rPr>
          <w:rFonts w:asciiTheme="minorHAnsi" w:eastAsiaTheme="minorHAnsi" w:hAnsiTheme="minorHAnsi" w:cstheme="minorBidi"/>
          <w:b w:val="0"/>
          <w:bCs w:val="0"/>
          <w:color w:val="auto"/>
          <w:sz w:val="22"/>
          <w:szCs w:val="22"/>
          <w:lang w:val="lv-LV" w:eastAsia="en-US"/>
        </w:rPr>
      </w:pPr>
    </w:p>
    <w:p w14:paraId="688F4EA1" w14:textId="77777777" w:rsidR="00500259" w:rsidRDefault="00500259">
      <w:pPr>
        <w:pStyle w:val="TOCHeading"/>
        <w:rPr>
          <w:rFonts w:asciiTheme="minorHAnsi" w:eastAsiaTheme="minorHAnsi" w:hAnsiTheme="minorHAnsi" w:cstheme="minorBidi"/>
          <w:b w:val="0"/>
          <w:bCs w:val="0"/>
          <w:color w:val="auto"/>
          <w:sz w:val="22"/>
          <w:szCs w:val="22"/>
          <w:lang w:val="lv-LV" w:eastAsia="en-US"/>
        </w:rPr>
      </w:pPr>
    </w:p>
    <w:p w14:paraId="5CC859D7" w14:textId="77777777" w:rsidR="00500259" w:rsidRDefault="00500259">
      <w:pPr>
        <w:pStyle w:val="TOCHeading"/>
        <w:rPr>
          <w:rFonts w:asciiTheme="minorHAnsi" w:eastAsiaTheme="minorHAnsi" w:hAnsiTheme="minorHAnsi" w:cstheme="minorBidi"/>
          <w:b w:val="0"/>
          <w:bCs w:val="0"/>
          <w:color w:val="auto"/>
          <w:sz w:val="22"/>
          <w:szCs w:val="22"/>
          <w:lang w:val="lv-LV" w:eastAsia="en-US"/>
        </w:rPr>
      </w:pPr>
    </w:p>
    <w:p w14:paraId="0D2B87C4" w14:textId="77777777" w:rsidR="00500259" w:rsidRDefault="00500259">
      <w:pPr>
        <w:pStyle w:val="TOCHeading"/>
        <w:rPr>
          <w:rFonts w:asciiTheme="minorHAnsi" w:eastAsiaTheme="minorHAnsi" w:hAnsiTheme="minorHAnsi" w:cstheme="minorBidi"/>
          <w:b w:val="0"/>
          <w:bCs w:val="0"/>
          <w:color w:val="auto"/>
          <w:sz w:val="22"/>
          <w:szCs w:val="22"/>
          <w:lang w:val="lv-LV" w:eastAsia="en-US"/>
        </w:rPr>
      </w:pPr>
    </w:p>
    <w:p w14:paraId="5A042AF1" w14:textId="77777777" w:rsidR="00500259" w:rsidRDefault="00500259">
      <w:pPr>
        <w:pStyle w:val="TOCHeading"/>
        <w:rPr>
          <w:rFonts w:asciiTheme="minorHAnsi" w:eastAsiaTheme="minorHAnsi" w:hAnsiTheme="minorHAnsi" w:cstheme="minorBidi"/>
          <w:b w:val="0"/>
          <w:bCs w:val="0"/>
          <w:color w:val="auto"/>
          <w:sz w:val="22"/>
          <w:szCs w:val="22"/>
          <w:lang w:val="lv-LV" w:eastAsia="en-US"/>
        </w:rPr>
      </w:pPr>
    </w:p>
    <w:p w14:paraId="6CF036FD" w14:textId="77777777" w:rsidR="00500259" w:rsidRDefault="00500259">
      <w:pPr>
        <w:pStyle w:val="TOCHeading"/>
        <w:rPr>
          <w:rFonts w:asciiTheme="minorHAnsi" w:eastAsiaTheme="minorHAnsi" w:hAnsiTheme="minorHAnsi" w:cstheme="minorBidi"/>
          <w:b w:val="0"/>
          <w:bCs w:val="0"/>
          <w:color w:val="auto"/>
          <w:sz w:val="22"/>
          <w:szCs w:val="22"/>
          <w:lang w:val="lv-LV" w:eastAsia="en-US"/>
        </w:rPr>
      </w:pPr>
    </w:p>
    <w:p w14:paraId="3AF26A99" w14:textId="335070DD" w:rsidR="00752305" w:rsidRDefault="00500259" w:rsidP="00500259">
      <w:pPr>
        <w:pStyle w:val="TOCHeading"/>
        <w:jc w:val="center"/>
        <w:rPr>
          <w:rFonts w:ascii="Times New Roman" w:eastAsiaTheme="minorHAnsi" w:hAnsi="Times New Roman" w:cs="Times New Roman"/>
          <w:b w:val="0"/>
          <w:bCs w:val="0"/>
          <w:color w:val="auto"/>
          <w:sz w:val="22"/>
          <w:szCs w:val="22"/>
          <w:lang w:val="lv-LV" w:eastAsia="en-US"/>
        </w:rPr>
      </w:pPr>
      <w:r w:rsidRPr="00500259">
        <w:rPr>
          <w:rFonts w:ascii="Times New Roman" w:eastAsiaTheme="minorHAnsi" w:hAnsi="Times New Roman" w:cs="Times New Roman"/>
          <w:b w:val="0"/>
          <w:bCs w:val="0"/>
          <w:color w:val="auto"/>
          <w:sz w:val="22"/>
          <w:szCs w:val="22"/>
          <w:lang w:val="lv-LV" w:eastAsia="en-US"/>
        </w:rPr>
        <w:t>Rīgā, 2016.</w:t>
      </w:r>
      <w:r w:rsidR="00C2342A">
        <w:rPr>
          <w:rFonts w:ascii="Times New Roman" w:eastAsiaTheme="minorHAnsi" w:hAnsi="Times New Roman" w:cs="Times New Roman"/>
          <w:b w:val="0"/>
          <w:bCs w:val="0"/>
          <w:color w:val="auto"/>
          <w:sz w:val="22"/>
          <w:szCs w:val="22"/>
          <w:lang w:val="lv-LV" w:eastAsia="en-US"/>
        </w:rPr>
        <w:t> </w:t>
      </w:r>
      <w:r w:rsidRPr="00500259">
        <w:rPr>
          <w:rFonts w:ascii="Times New Roman" w:eastAsiaTheme="minorHAnsi" w:hAnsi="Times New Roman" w:cs="Times New Roman"/>
          <w:b w:val="0"/>
          <w:bCs w:val="0"/>
          <w:color w:val="auto"/>
          <w:sz w:val="22"/>
          <w:szCs w:val="22"/>
          <w:lang w:val="lv-LV" w:eastAsia="en-US"/>
        </w:rPr>
        <w:t>gada novembrī</w:t>
      </w:r>
    </w:p>
    <w:p w14:paraId="1133E20D" w14:textId="77777777" w:rsidR="00500259" w:rsidRDefault="00500259" w:rsidP="00500259"/>
    <w:p w14:paraId="0E73D5EE" w14:textId="77777777" w:rsidR="00500259" w:rsidRDefault="00500259" w:rsidP="00500259"/>
    <w:p w14:paraId="0CE2D0B3" w14:textId="77777777" w:rsidR="00500259" w:rsidRDefault="00500259" w:rsidP="00500259"/>
    <w:p w14:paraId="746D1035" w14:textId="77777777" w:rsidR="00500259" w:rsidRPr="00500259" w:rsidRDefault="00500259" w:rsidP="00500259"/>
    <w:sdt>
      <w:sdtPr>
        <w:rPr>
          <w:rFonts w:asciiTheme="minorHAnsi" w:eastAsiaTheme="minorHAnsi" w:hAnsiTheme="minorHAnsi" w:cstheme="minorBidi"/>
          <w:b w:val="0"/>
          <w:bCs w:val="0"/>
          <w:color w:val="auto"/>
          <w:sz w:val="22"/>
          <w:szCs w:val="22"/>
          <w:lang w:val="lv-LV" w:eastAsia="en-US"/>
        </w:rPr>
        <w:id w:val="-1555389985"/>
        <w:docPartObj>
          <w:docPartGallery w:val="Table of Contents"/>
          <w:docPartUnique/>
        </w:docPartObj>
      </w:sdtPr>
      <w:sdtEndPr>
        <w:rPr>
          <w:noProof/>
        </w:rPr>
      </w:sdtEndPr>
      <w:sdtContent>
        <w:p w14:paraId="0F0D5ED3" w14:textId="3A6B2189" w:rsidR="00A23BC7" w:rsidRPr="004E6539" w:rsidRDefault="00A23BC7">
          <w:pPr>
            <w:pStyle w:val="TOCHeading"/>
            <w:rPr>
              <w:rFonts w:ascii="Times New Roman" w:hAnsi="Times New Roman" w:cs="Times New Roman"/>
              <w:color w:val="548DD4" w:themeColor="text2" w:themeTint="99"/>
            </w:rPr>
          </w:pPr>
          <w:proofErr w:type="spellStart"/>
          <w:r w:rsidRPr="004E6539">
            <w:rPr>
              <w:rFonts w:ascii="Times New Roman" w:hAnsi="Times New Roman" w:cs="Times New Roman"/>
              <w:color w:val="548DD4" w:themeColor="text2" w:themeTint="99"/>
            </w:rPr>
            <w:t>Saturs</w:t>
          </w:r>
          <w:proofErr w:type="spellEnd"/>
        </w:p>
        <w:p w14:paraId="71FC1946" w14:textId="77777777" w:rsidR="004C752B" w:rsidRDefault="00A23BC7">
          <w:pPr>
            <w:pStyle w:val="TOC1"/>
            <w:tabs>
              <w:tab w:val="right" w:leader="dot" w:pos="8296"/>
            </w:tabs>
            <w:rPr>
              <w:rFonts w:eastAsiaTheme="minorEastAsia"/>
              <w:noProof/>
              <w:lang w:eastAsia="lv-LV"/>
            </w:rPr>
          </w:pPr>
          <w:r w:rsidRPr="00A71CD6">
            <w:rPr>
              <w:rFonts w:ascii="Times New Roman" w:hAnsi="Times New Roman" w:cs="Times New Roman"/>
            </w:rPr>
            <w:fldChar w:fldCharType="begin"/>
          </w:r>
          <w:r w:rsidRPr="00A71CD6">
            <w:rPr>
              <w:rFonts w:ascii="Times New Roman" w:hAnsi="Times New Roman" w:cs="Times New Roman"/>
            </w:rPr>
            <w:instrText xml:space="preserve"> TOC \o "1-3" \h \z \u </w:instrText>
          </w:r>
          <w:r w:rsidRPr="00A71CD6">
            <w:rPr>
              <w:rFonts w:ascii="Times New Roman" w:hAnsi="Times New Roman" w:cs="Times New Roman"/>
            </w:rPr>
            <w:fldChar w:fldCharType="separate"/>
          </w:r>
          <w:hyperlink w:anchor="_Toc466466851" w:history="1">
            <w:r w:rsidR="004C752B" w:rsidRPr="00022047">
              <w:rPr>
                <w:rStyle w:val="Hyperlink"/>
                <w:noProof/>
              </w:rPr>
              <w:t>Izmantotie saīsinājumi</w:t>
            </w:r>
            <w:r w:rsidR="004C752B">
              <w:rPr>
                <w:noProof/>
                <w:webHidden/>
              </w:rPr>
              <w:tab/>
            </w:r>
            <w:r w:rsidR="004C752B">
              <w:rPr>
                <w:noProof/>
                <w:webHidden/>
              </w:rPr>
              <w:fldChar w:fldCharType="begin"/>
            </w:r>
            <w:r w:rsidR="004C752B">
              <w:rPr>
                <w:noProof/>
                <w:webHidden/>
              </w:rPr>
              <w:instrText xml:space="preserve"> PAGEREF _Toc466466851 \h </w:instrText>
            </w:r>
            <w:r w:rsidR="004C752B">
              <w:rPr>
                <w:noProof/>
                <w:webHidden/>
              </w:rPr>
            </w:r>
            <w:r w:rsidR="004C752B">
              <w:rPr>
                <w:noProof/>
                <w:webHidden/>
              </w:rPr>
              <w:fldChar w:fldCharType="separate"/>
            </w:r>
            <w:r w:rsidR="004C752B">
              <w:rPr>
                <w:noProof/>
                <w:webHidden/>
              </w:rPr>
              <w:t>4</w:t>
            </w:r>
            <w:r w:rsidR="004C752B">
              <w:rPr>
                <w:noProof/>
                <w:webHidden/>
              </w:rPr>
              <w:fldChar w:fldCharType="end"/>
            </w:r>
          </w:hyperlink>
        </w:p>
        <w:p w14:paraId="6F62916E" w14:textId="77777777" w:rsidR="004C752B" w:rsidRDefault="004C752B">
          <w:pPr>
            <w:pStyle w:val="TOC1"/>
            <w:tabs>
              <w:tab w:val="right" w:leader="dot" w:pos="8296"/>
            </w:tabs>
            <w:rPr>
              <w:rFonts w:eastAsiaTheme="minorEastAsia"/>
              <w:noProof/>
              <w:lang w:eastAsia="lv-LV"/>
            </w:rPr>
          </w:pPr>
          <w:hyperlink w:anchor="_Toc466466852" w:history="1">
            <w:r w:rsidRPr="00022047">
              <w:rPr>
                <w:rStyle w:val="Hyperlink"/>
                <w:noProof/>
              </w:rPr>
              <w:t>Ievads</w:t>
            </w:r>
            <w:r>
              <w:rPr>
                <w:noProof/>
                <w:webHidden/>
              </w:rPr>
              <w:tab/>
            </w:r>
            <w:r>
              <w:rPr>
                <w:noProof/>
                <w:webHidden/>
              </w:rPr>
              <w:fldChar w:fldCharType="begin"/>
            </w:r>
            <w:r>
              <w:rPr>
                <w:noProof/>
                <w:webHidden/>
              </w:rPr>
              <w:instrText xml:space="preserve"> PAGEREF _Toc466466852 \h </w:instrText>
            </w:r>
            <w:r>
              <w:rPr>
                <w:noProof/>
                <w:webHidden/>
              </w:rPr>
            </w:r>
            <w:r>
              <w:rPr>
                <w:noProof/>
                <w:webHidden/>
              </w:rPr>
              <w:fldChar w:fldCharType="separate"/>
            </w:r>
            <w:r>
              <w:rPr>
                <w:noProof/>
                <w:webHidden/>
              </w:rPr>
              <w:t>6</w:t>
            </w:r>
            <w:r>
              <w:rPr>
                <w:noProof/>
                <w:webHidden/>
              </w:rPr>
              <w:fldChar w:fldCharType="end"/>
            </w:r>
          </w:hyperlink>
        </w:p>
        <w:p w14:paraId="337224AB" w14:textId="77777777" w:rsidR="004C752B" w:rsidRDefault="004C752B">
          <w:pPr>
            <w:pStyle w:val="TOC1"/>
            <w:tabs>
              <w:tab w:val="left" w:pos="440"/>
              <w:tab w:val="right" w:leader="dot" w:pos="8296"/>
            </w:tabs>
            <w:rPr>
              <w:rFonts w:eastAsiaTheme="minorEastAsia"/>
              <w:noProof/>
              <w:lang w:eastAsia="lv-LV"/>
            </w:rPr>
          </w:pPr>
          <w:hyperlink w:anchor="_Toc466466853" w:history="1">
            <w:r w:rsidRPr="00022047">
              <w:rPr>
                <w:rStyle w:val="Hyperlink"/>
                <w:noProof/>
              </w:rPr>
              <w:t>1.</w:t>
            </w:r>
            <w:r>
              <w:rPr>
                <w:rFonts w:eastAsiaTheme="minorEastAsia"/>
                <w:noProof/>
                <w:lang w:eastAsia="lv-LV"/>
              </w:rPr>
              <w:tab/>
            </w:r>
            <w:r w:rsidRPr="00022047">
              <w:rPr>
                <w:rStyle w:val="Hyperlink"/>
                <w:noProof/>
              </w:rPr>
              <w:t>Ekonomikas izaugsmes veicināšana</w:t>
            </w:r>
            <w:r>
              <w:rPr>
                <w:noProof/>
                <w:webHidden/>
              </w:rPr>
              <w:tab/>
            </w:r>
            <w:r>
              <w:rPr>
                <w:noProof/>
                <w:webHidden/>
              </w:rPr>
              <w:fldChar w:fldCharType="begin"/>
            </w:r>
            <w:r>
              <w:rPr>
                <w:noProof/>
                <w:webHidden/>
              </w:rPr>
              <w:instrText xml:space="preserve"> PAGEREF _Toc466466853 \h </w:instrText>
            </w:r>
            <w:r>
              <w:rPr>
                <w:noProof/>
                <w:webHidden/>
              </w:rPr>
            </w:r>
            <w:r>
              <w:rPr>
                <w:noProof/>
                <w:webHidden/>
              </w:rPr>
              <w:fldChar w:fldCharType="separate"/>
            </w:r>
            <w:r>
              <w:rPr>
                <w:noProof/>
                <w:webHidden/>
              </w:rPr>
              <w:t>8</w:t>
            </w:r>
            <w:r>
              <w:rPr>
                <w:noProof/>
                <w:webHidden/>
              </w:rPr>
              <w:fldChar w:fldCharType="end"/>
            </w:r>
          </w:hyperlink>
        </w:p>
        <w:p w14:paraId="3CF589C4" w14:textId="77777777" w:rsidR="004C752B" w:rsidRDefault="004C752B">
          <w:pPr>
            <w:pStyle w:val="TOC2"/>
            <w:tabs>
              <w:tab w:val="left" w:pos="880"/>
              <w:tab w:val="right" w:leader="dot" w:pos="8296"/>
            </w:tabs>
            <w:rPr>
              <w:rFonts w:eastAsiaTheme="minorEastAsia"/>
              <w:noProof/>
              <w:lang w:eastAsia="lv-LV"/>
            </w:rPr>
          </w:pPr>
          <w:hyperlink w:anchor="_Toc466466854" w:history="1">
            <w:r w:rsidRPr="00022047">
              <w:rPr>
                <w:rStyle w:val="Hyperlink"/>
                <w:noProof/>
                <w14:scene3d>
                  <w14:camera w14:prst="orthographicFront"/>
                  <w14:lightRig w14:rig="threePt" w14:dir="t">
                    <w14:rot w14:lat="0" w14:lon="0" w14:rev="0"/>
                  </w14:lightRig>
                </w14:scene3d>
              </w:rPr>
              <w:t>1.1.</w:t>
            </w:r>
            <w:r>
              <w:rPr>
                <w:rFonts w:eastAsiaTheme="minorEastAsia"/>
                <w:noProof/>
                <w:lang w:eastAsia="lv-LV"/>
              </w:rPr>
              <w:tab/>
            </w:r>
            <w:r w:rsidRPr="00022047">
              <w:rPr>
                <w:rStyle w:val="Hyperlink"/>
                <w:noProof/>
              </w:rPr>
              <w:t>Uzņēmējdarbības vide un investīcijas</w:t>
            </w:r>
            <w:r>
              <w:rPr>
                <w:noProof/>
                <w:webHidden/>
              </w:rPr>
              <w:tab/>
            </w:r>
            <w:r>
              <w:rPr>
                <w:noProof/>
                <w:webHidden/>
              </w:rPr>
              <w:fldChar w:fldCharType="begin"/>
            </w:r>
            <w:r>
              <w:rPr>
                <w:noProof/>
                <w:webHidden/>
              </w:rPr>
              <w:instrText xml:space="preserve"> PAGEREF _Toc466466854 \h </w:instrText>
            </w:r>
            <w:r>
              <w:rPr>
                <w:noProof/>
                <w:webHidden/>
              </w:rPr>
            </w:r>
            <w:r>
              <w:rPr>
                <w:noProof/>
                <w:webHidden/>
              </w:rPr>
              <w:fldChar w:fldCharType="separate"/>
            </w:r>
            <w:r>
              <w:rPr>
                <w:noProof/>
                <w:webHidden/>
              </w:rPr>
              <w:t>11</w:t>
            </w:r>
            <w:r>
              <w:rPr>
                <w:noProof/>
                <w:webHidden/>
              </w:rPr>
              <w:fldChar w:fldCharType="end"/>
            </w:r>
          </w:hyperlink>
        </w:p>
        <w:p w14:paraId="32B2EF48" w14:textId="77777777" w:rsidR="004C752B" w:rsidRDefault="004C752B">
          <w:pPr>
            <w:pStyle w:val="TOC2"/>
            <w:tabs>
              <w:tab w:val="left" w:pos="880"/>
              <w:tab w:val="right" w:leader="dot" w:pos="8296"/>
            </w:tabs>
            <w:rPr>
              <w:rFonts w:eastAsiaTheme="minorEastAsia"/>
              <w:noProof/>
              <w:lang w:eastAsia="lv-LV"/>
            </w:rPr>
          </w:pPr>
          <w:hyperlink w:anchor="_Toc466466855" w:history="1">
            <w:r w:rsidRPr="00022047">
              <w:rPr>
                <w:rStyle w:val="Hyperlink"/>
                <w:noProof/>
                <w14:scene3d>
                  <w14:camera w14:prst="orthographicFront"/>
                  <w14:lightRig w14:rig="threePt" w14:dir="t">
                    <w14:rot w14:lat="0" w14:lon="0" w14:rev="0"/>
                  </w14:lightRig>
                </w14:scene3d>
              </w:rPr>
              <w:t>1.2.</w:t>
            </w:r>
            <w:r>
              <w:rPr>
                <w:rFonts w:eastAsiaTheme="minorEastAsia"/>
                <w:noProof/>
                <w:lang w:eastAsia="lv-LV"/>
              </w:rPr>
              <w:tab/>
            </w:r>
            <w:r w:rsidRPr="00022047">
              <w:rPr>
                <w:rStyle w:val="Hyperlink"/>
                <w:noProof/>
              </w:rPr>
              <w:t>Tiesu sistēma</w:t>
            </w:r>
            <w:r>
              <w:rPr>
                <w:noProof/>
                <w:webHidden/>
              </w:rPr>
              <w:tab/>
            </w:r>
            <w:r>
              <w:rPr>
                <w:noProof/>
                <w:webHidden/>
              </w:rPr>
              <w:fldChar w:fldCharType="begin"/>
            </w:r>
            <w:r>
              <w:rPr>
                <w:noProof/>
                <w:webHidden/>
              </w:rPr>
              <w:instrText xml:space="preserve"> PAGEREF _Toc466466855 \h </w:instrText>
            </w:r>
            <w:r>
              <w:rPr>
                <w:noProof/>
                <w:webHidden/>
              </w:rPr>
            </w:r>
            <w:r>
              <w:rPr>
                <w:noProof/>
                <w:webHidden/>
              </w:rPr>
              <w:fldChar w:fldCharType="separate"/>
            </w:r>
            <w:r>
              <w:rPr>
                <w:noProof/>
                <w:webHidden/>
              </w:rPr>
              <w:t>16</w:t>
            </w:r>
            <w:r>
              <w:rPr>
                <w:noProof/>
                <w:webHidden/>
              </w:rPr>
              <w:fldChar w:fldCharType="end"/>
            </w:r>
          </w:hyperlink>
        </w:p>
        <w:p w14:paraId="15927726" w14:textId="77777777" w:rsidR="004C752B" w:rsidRDefault="004C752B">
          <w:pPr>
            <w:pStyle w:val="TOC2"/>
            <w:tabs>
              <w:tab w:val="left" w:pos="880"/>
              <w:tab w:val="right" w:leader="dot" w:pos="8296"/>
            </w:tabs>
            <w:rPr>
              <w:rFonts w:eastAsiaTheme="minorEastAsia"/>
              <w:noProof/>
              <w:lang w:eastAsia="lv-LV"/>
            </w:rPr>
          </w:pPr>
          <w:hyperlink w:anchor="_Toc466466856" w:history="1">
            <w:r w:rsidRPr="00022047">
              <w:rPr>
                <w:rStyle w:val="Hyperlink"/>
                <w:noProof/>
                <w14:scene3d>
                  <w14:camera w14:prst="orthographicFront"/>
                  <w14:lightRig w14:rig="threePt" w14:dir="t">
                    <w14:rot w14:lat="0" w14:lon="0" w14:rev="0"/>
                  </w14:lightRig>
                </w14:scene3d>
              </w:rPr>
              <w:t>1.3.</w:t>
            </w:r>
            <w:r>
              <w:rPr>
                <w:rFonts w:eastAsiaTheme="minorEastAsia"/>
                <w:noProof/>
                <w:lang w:eastAsia="lv-LV"/>
              </w:rPr>
              <w:tab/>
            </w:r>
            <w:r w:rsidRPr="00022047">
              <w:rPr>
                <w:rStyle w:val="Hyperlink"/>
                <w:noProof/>
              </w:rPr>
              <w:t>Inovācija</w:t>
            </w:r>
            <w:r>
              <w:rPr>
                <w:noProof/>
                <w:webHidden/>
              </w:rPr>
              <w:tab/>
            </w:r>
            <w:r>
              <w:rPr>
                <w:noProof/>
                <w:webHidden/>
              </w:rPr>
              <w:fldChar w:fldCharType="begin"/>
            </w:r>
            <w:r>
              <w:rPr>
                <w:noProof/>
                <w:webHidden/>
              </w:rPr>
              <w:instrText xml:space="preserve"> PAGEREF _Toc466466856 \h </w:instrText>
            </w:r>
            <w:r>
              <w:rPr>
                <w:noProof/>
                <w:webHidden/>
              </w:rPr>
            </w:r>
            <w:r>
              <w:rPr>
                <w:noProof/>
                <w:webHidden/>
              </w:rPr>
              <w:fldChar w:fldCharType="separate"/>
            </w:r>
            <w:r>
              <w:rPr>
                <w:noProof/>
                <w:webHidden/>
              </w:rPr>
              <w:t>18</w:t>
            </w:r>
            <w:r>
              <w:rPr>
                <w:noProof/>
                <w:webHidden/>
              </w:rPr>
              <w:fldChar w:fldCharType="end"/>
            </w:r>
          </w:hyperlink>
        </w:p>
        <w:p w14:paraId="2EF1A60D" w14:textId="77777777" w:rsidR="004C752B" w:rsidRDefault="004C752B">
          <w:pPr>
            <w:pStyle w:val="TOC2"/>
            <w:tabs>
              <w:tab w:val="left" w:pos="880"/>
              <w:tab w:val="right" w:leader="dot" w:pos="8296"/>
            </w:tabs>
            <w:rPr>
              <w:rFonts w:eastAsiaTheme="minorEastAsia"/>
              <w:noProof/>
              <w:lang w:eastAsia="lv-LV"/>
            </w:rPr>
          </w:pPr>
          <w:hyperlink w:anchor="_Toc466466857" w:history="1">
            <w:r w:rsidRPr="00022047">
              <w:rPr>
                <w:rStyle w:val="Hyperlink"/>
                <w:noProof/>
                <w14:scene3d>
                  <w14:camera w14:prst="orthographicFront"/>
                  <w14:lightRig w14:rig="threePt" w14:dir="t">
                    <w14:rot w14:lat="0" w14:lon="0" w14:rev="0"/>
                  </w14:lightRig>
                </w14:scene3d>
              </w:rPr>
              <w:t>1.4.</w:t>
            </w:r>
            <w:r>
              <w:rPr>
                <w:rFonts w:eastAsiaTheme="minorEastAsia"/>
                <w:noProof/>
                <w:lang w:eastAsia="lv-LV"/>
              </w:rPr>
              <w:tab/>
            </w:r>
            <w:r w:rsidRPr="00022047">
              <w:rPr>
                <w:rStyle w:val="Hyperlink"/>
                <w:noProof/>
              </w:rPr>
              <w:t>Finanšu sektora attīstība</w:t>
            </w:r>
            <w:r>
              <w:rPr>
                <w:noProof/>
                <w:webHidden/>
              </w:rPr>
              <w:tab/>
            </w:r>
            <w:r>
              <w:rPr>
                <w:noProof/>
                <w:webHidden/>
              </w:rPr>
              <w:fldChar w:fldCharType="begin"/>
            </w:r>
            <w:r>
              <w:rPr>
                <w:noProof/>
                <w:webHidden/>
              </w:rPr>
              <w:instrText xml:space="preserve"> PAGEREF _Toc466466857 \h </w:instrText>
            </w:r>
            <w:r>
              <w:rPr>
                <w:noProof/>
                <w:webHidden/>
              </w:rPr>
            </w:r>
            <w:r>
              <w:rPr>
                <w:noProof/>
                <w:webHidden/>
              </w:rPr>
              <w:fldChar w:fldCharType="separate"/>
            </w:r>
            <w:r>
              <w:rPr>
                <w:noProof/>
                <w:webHidden/>
              </w:rPr>
              <w:t>20</w:t>
            </w:r>
            <w:r>
              <w:rPr>
                <w:noProof/>
                <w:webHidden/>
              </w:rPr>
              <w:fldChar w:fldCharType="end"/>
            </w:r>
          </w:hyperlink>
        </w:p>
        <w:p w14:paraId="077C11E0" w14:textId="77777777" w:rsidR="004C752B" w:rsidRDefault="004C752B">
          <w:pPr>
            <w:pStyle w:val="TOC2"/>
            <w:tabs>
              <w:tab w:val="left" w:pos="880"/>
              <w:tab w:val="right" w:leader="dot" w:pos="8296"/>
            </w:tabs>
            <w:rPr>
              <w:rFonts w:eastAsiaTheme="minorEastAsia"/>
              <w:noProof/>
              <w:lang w:eastAsia="lv-LV"/>
            </w:rPr>
          </w:pPr>
          <w:hyperlink w:anchor="_Toc466466858" w:history="1">
            <w:r w:rsidRPr="00022047">
              <w:rPr>
                <w:rStyle w:val="Hyperlink"/>
                <w:noProof/>
                <w14:scene3d>
                  <w14:camera w14:prst="orthographicFront"/>
                  <w14:lightRig w14:rig="threePt" w14:dir="t">
                    <w14:rot w14:lat="0" w14:lon="0" w14:rev="0"/>
                  </w14:lightRig>
                </w14:scene3d>
              </w:rPr>
              <w:t>1.5.</w:t>
            </w:r>
            <w:r>
              <w:rPr>
                <w:rFonts w:eastAsiaTheme="minorEastAsia"/>
                <w:noProof/>
                <w:lang w:eastAsia="lv-LV"/>
              </w:rPr>
              <w:tab/>
            </w:r>
            <w:r w:rsidRPr="00022047">
              <w:rPr>
                <w:rStyle w:val="Hyperlink"/>
                <w:noProof/>
              </w:rPr>
              <w:t>Transporta nozares projekti un reformas nozares ilgtspējai</w:t>
            </w:r>
            <w:r>
              <w:rPr>
                <w:noProof/>
                <w:webHidden/>
              </w:rPr>
              <w:tab/>
            </w:r>
            <w:r>
              <w:rPr>
                <w:noProof/>
                <w:webHidden/>
              </w:rPr>
              <w:fldChar w:fldCharType="begin"/>
            </w:r>
            <w:r>
              <w:rPr>
                <w:noProof/>
                <w:webHidden/>
              </w:rPr>
              <w:instrText xml:space="preserve"> PAGEREF _Toc466466858 \h </w:instrText>
            </w:r>
            <w:r>
              <w:rPr>
                <w:noProof/>
                <w:webHidden/>
              </w:rPr>
            </w:r>
            <w:r>
              <w:rPr>
                <w:noProof/>
                <w:webHidden/>
              </w:rPr>
              <w:fldChar w:fldCharType="separate"/>
            </w:r>
            <w:r>
              <w:rPr>
                <w:noProof/>
                <w:webHidden/>
              </w:rPr>
              <w:t>21</w:t>
            </w:r>
            <w:r>
              <w:rPr>
                <w:noProof/>
                <w:webHidden/>
              </w:rPr>
              <w:fldChar w:fldCharType="end"/>
            </w:r>
          </w:hyperlink>
        </w:p>
        <w:p w14:paraId="3DC666FD" w14:textId="77777777" w:rsidR="004C752B" w:rsidRDefault="004C752B">
          <w:pPr>
            <w:pStyle w:val="TOC2"/>
            <w:tabs>
              <w:tab w:val="left" w:pos="880"/>
              <w:tab w:val="right" w:leader="dot" w:pos="8296"/>
            </w:tabs>
            <w:rPr>
              <w:rFonts w:eastAsiaTheme="minorEastAsia"/>
              <w:noProof/>
              <w:lang w:eastAsia="lv-LV"/>
            </w:rPr>
          </w:pPr>
          <w:hyperlink w:anchor="_Toc466466859" w:history="1">
            <w:r w:rsidRPr="00022047">
              <w:rPr>
                <w:rStyle w:val="Hyperlink"/>
                <w:noProof/>
                <w14:scene3d>
                  <w14:camera w14:prst="orthographicFront"/>
                  <w14:lightRig w14:rig="threePt" w14:dir="t">
                    <w14:rot w14:lat="0" w14:lon="0" w14:rev="0"/>
                  </w14:lightRig>
                </w14:scene3d>
              </w:rPr>
              <w:t>1.6.</w:t>
            </w:r>
            <w:r>
              <w:rPr>
                <w:rFonts w:eastAsiaTheme="minorEastAsia"/>
                <w:noProof/>
                <w:lang w:eastAsia="lv-LV"/>
              </w:rPr>
              <w:tab/>
            </w:r>
            <w:r w:rsidRPr="00022047">
              <w:rPr>
                <w:rStyle w:val="Hyperlink"/>
                <w:noProof/>
              </w:rPr>
              <w:t>Enerģētikas politika</w:t>
            </w:r>
            <w:r>
              <w:rPr>
                <w:noProof/>
                <w:webHidden/>
              </w:rPr>
              <w:tab/>
            </w:r>
            <w:r>
              <w:rPr>
                <w:noProof/>
                <w:webHidden/>
              </w:rPr>
              <w:fldChar w:fldCharType="begin"/>
            </w:r>
            <w:r>
              <w:rPr>
                <w:noProof/>
                <w:webHidden/>
              </w:rPr>
              <w:instrText xml:space="preserve"> PAGEREF _Toc466466859 \h </w:instrText>
            </w:r>
            <w:r>
              <w:rPr>
                <w:noProof/>
                <w:webHidden/>
              </w:rPr>
            </w:r>
            <w:r>
              <w:rPr>
                <w:noProof/>
                <w:webHidden/>
              </w:rPr>
              <w:fldChar w:fldCharType="separate"/>
            </w:r>
            <w:r>
              <w:rPr>
                <w:noProof/>
                <w:webHidden/>
              </w:rPr>
              <w:t>23</w:t>
            </w:r>
            <w:r>
              <w:rPr>
                <w:noProof/>
                <w:webHidden/>
              </w:rPr>
              <w:fldChar w:fldCharType="end"/>
            </w:r>
          </w:hyperlink>
        </w:p>
        <w:p w14:paraId="7F69BC9E" w14:textId="77777777" w:rsidR="004C752B" w:rsidRDefault="004C752B">
          <w:pPr>
            <w:pStyle w:val="TOC2"/>
            <w:tabs>
              <w:tab w:val="left" w:pos="880"/>
              <w:tab w:val="right" w:leader="dot" w:pos="8296"/>
            </w:tabs>
            <w:rPr>
              <w:rFonts w:eastAsiaTheme="minorEastAsia"/>
              <w:noProof/>
              <w:lang w:eastAsia="lv-LV"/>
            </w:rPr>
          </w:pPr>
          <w:hyperlink w:anchor="_Toc466466860" w:history="1">
            <w:r w:rsidRPr="00022047">
              <w:rPr>
                <w:rStyle w:val="Hyperlink"/>
                <w:noProof/>
                <w14:scene3d>
                  <w14:camera w14:prst="orthographicFront"/>
                  <w14:lightRig w14:rig="threePt" w14:dir="t">
                    <w14:rot w14:lat="0" w14:lon="0" w14:rev="0"/>
                  </w14:lightRig>
                </w14:scene3d>
              </w:rPr>
              <w:t>1.7.</w:t>
            </w:r>
            <w:r>
              <w:rPr>
                <w:rFonts w:eastAsiaTheme="minorEastAsia"/>
                <w:noProof/>
                <w:lang w:eastAsia="lv-LV"/>
              </w:rPr>
              <w:tab/>
            </w:r>
            <w:r w:rsidRPr="00022047">
              <w:rPr>
                <w:rStyle w:val="Hyperlink"/>
                <w:noProof/>
              </w:rPr>
              <w:t>Klimata pārmaiņu ekonomikas iniciatīvas</w:t>
            </w:r>
            <w:r>
              <w:rPr>
                <w:noProof/>
                <w:webHidden/>
              </w:rPr>
              <w:tab/>
            </w:r>
            <w:r>
              <w:rPr>
                <w:noProof/>
                <w:webHidden/>
              </w:rPr>
              <w:fldChar w:fldCharType="begin"/>
            </w:r>
            <w:r>
              <w:rPr>
                <w:noProof/>
                <w:webHidden/>
              </w:rPr>
              <w:instrText xml:space="preserve"> PAGEREF _Toc466466860 \h </w:instrText>
            </w:r>
            <w:r>
              <w:rPr>
                <w:noProof/>
                <w:webHidden/>
              </w:rPr>
            </w:r>
            <w:r>
              <w:rPr>
                <w:noProof/>
                <w:webHidden/>
              </w:rPr>
              <w:fldChar w:fldCharType="separate"/>
            </w:r>
            <w:r>
              <w:rPr>
                <w:noProof/>
                <w:webHidden/>
              </w:rPr>
              <w:t>24</w:t>
            </w:r>
            <w:r>
              <w:rPr>
                <w:noProof/>
                <w:webHidden/>
              </w:rPr>
              <w:fldChar w:fldCharType="end"/>
            </w:r>
          </w:hyperlink>
        </w:p>
        <w:p w14:paraId="1675E8E5" w14:textId="77777777" w:rsidR="004C752B" w:rsidRDefault="004C752B">
          <w:pPr>
            <w:pStyle w:val="TOC2"/>
            <w:tabs>
              <w:tab w:val="left" w:pos="880"/>
              <w:tab w:val="right" w:leader="dot" w:pos="8296"/>
            </w:tabs>
            <w:rPr>
              <w:rFonts w:eastAsiaTheme="minorEastAsia"/>
              <w:noProof/>
              <w:lang w:eastAsia="lv-LV"/>
            </w:rPr>
          </w:pPr>
          <w:hyperlink w:anchor="_Toc466466861" w:history="1">
            <w:r w:rsidRPr="00022047">
              <w:rPr>
                <w:rStyle w:val="Hyperlink"/>
                <w:noProof/>
                <w14:scene3d>
                  <w14:camera w14:prst="orthographicFront"/>
                  <w14:lightRig w14:rig="threePt" w14:dir="t">
                    <w14:rot w14:lat="0" w14:lon="0" w14:rev="0"/>
                  </w14:lightRig>
                </w14:scene3d>
              </w:rPr>
              <w:t>1.8.</w:t>
            </w:r>
            <w:r>
              <w:rPr>
                <w:rFonts w:eastAsiaTheme="minorEastAsia"/>
                <w:noProof/>
                <w:lang w:eastAsia="lv-LV"/>
              </w:rPr>
              <w:tab/>
            </w:r>
            <w:r w:rsidRPr="00022047">
              <w:rPr>
                <w:rStyle w:val="Hyperlink"/>
                <w:noProof/>
              </w:rPr>
              <w:t>Vietējo resursu efektīva izmantošana un teritoriālā attīstība</w:t>
            </w:r>
            <w:r>
              <w:rPr>
                <w:noProof/>
                <w:webHidden/>
              </w:rPr>
              <w:tab/>
            </w:r>
            <w:r>
              <w:rPr>
                <w:noProof/>
                <w:webHidden/>
              </w:rPr>
              <w:fldChar w:fldCharType="begin"/>
            </w:r>
            <w:r>
              <w:rPr>
                <w:noProof/>
                <w:webHidden/>
              </w:rPr>
              <w:instrText xml:space="preserve"> PAGEREF _Toc466466861 \h </w:instrText>
            </w:r>
            <w:r>
              <w:rPr>
                <w:noProof/>
                <w:webHidden/>
              </w:rPr>
            </w:r>
            <w:r>
              <w:rPr>
                <w:noProof/>
                <w:webHidden/>
              </w:rPr>
              <w:fldChar w:fldCharType="separate"/>
            </w:r>
            <w:r>
              <w:rPr>
                <w:noProof/>
                <w:webHidden/>
              </w:rPr>
              <w:t>25</w:t>
            </w:r>
            <w:r>
              <w:rPr>
                <w:noProof/>
                <w:webHidden/>
              </w:rPr>
              <w:fldChar w:fldCharType="end"/>
            </w:r>
          </w:hyperlink>
        </w:p>
        <w:p w14:paraId="44745775" w14:textId="77777777" w:rsidR="004C752B" w:rsidRDefault="004C752B">
          <w:pPr>
            <w:pStyle w:val="TOC2"/>
            <w:tabs>
              <w:tab w:val="left" w:pos="880"/>
              <w:tab w:val="right" w:leader="dot" w:pos="8296"/>
            </w:tabs>
            <w:rPr>
              <w:rFonts w:eastAsiaTheme="minorEastAsia"/>
              <w:noProof/>
              <w:lang w:eastAsia="lv-LV"/>
            </w:rPr>
          </w:pPr>
          <w:hyperlink w:anchor="_Toc466466862" w:history="1">
            <w:r w:rsidRPr="00022047">
              <w:rPr>
                <w:rStyle w:val="Hyperlink"/>
                <w:noProof/>
                <w14:scene3d>
                  <w14:camera w14:prst="orthographicFront"/>
                  <w14:lightRig w14:rig="threePt" w14:dir="t">
                    <w14:rot w14:lat="0" w14:lon="0" w14:rev="0"/>
                  </w14:lightRig>
                </w14:scene3d>
              </w:rPr>
              <w:t>1.9.</w:t>
            </w:r>
            <w:r>
              <w:rPr>
                <w:rFonts w:eastAsiaTheme="minorEastAsia"/>
                <w:noProof/>
                <w:lang w:eastAsia="lv-LV"/>
              </w:rPr>
              <w:tab/>
            </w:r>
            <w:r w:rsidRPr="00022047">
              <w:rPr>
                <w:rStyle w:val="Hyperlink"/>
                <w:noProof/>
              </w:rPr>
              <w:t>Valsts e-pakalpojumu un IT sektora attīstība</w:t>
            </w:r>
            <w:r>
              <w:rPr>
                <w:noProof/>
                <w:webHidden/>
              </w:rPr>
              <w:tab/>
            </w:r>
            <w:r>
              <w:rPr>
                <w:noProof/>
                <w:webHidden/>
              </w:rPr>
              <w:fldChar w:fldCharType="begin"/>
            </w:r>
            <w:r>
              <w:rPr>
                <w:noProof/>
                <w:webHidden/>
              </w:rPr>
              <w:instrText xml:space="preserve"> PAGEREF _Toc466466862 \h </w:instrText>
            </w:r>
            <w:r>
              <w:rPr>
                <w:noProof/>
                <w:webHidden/>
              </w:rPr>
            </w:r>
            <w:r>
              <w:rPr>
                <w:noProof/>
                <w:webHidden/>
              </w:rPr>
              <w:fldChar w:fldCharType="separate"/>
            </w:r>
            <w:r>
              <w:rPr>
                <w:noProof/>
                <w:webHidden/>
              </w:rPr>
              <w:t>27</w:t>
            </w:r>
            <w:r>
              <w:rPr>
                <w:noProof/>
                <w:webHidden/>
              </w:rPr>
              <w:fldChar w:fldCharType="end"/>
            </w:r>
          </w:hyperlink>
        </w:p>
        <w:p w14:paraId="3E4BFB2C" w14:textId="77777777" w:rsidR="004C752B" w:rsidRDefault="004C752B">
          <w:pPr>
            <w:pStyle w:val="TOC2"/>
            <w:tabs>
              <w:tab w:val="left" w:pos="1100"/>
              <w:tab w:val="right" w:leader="dot" w:pos="8296"/>
            </w:tabs>
            <w:rPr>
              <w:rFonts w:eastAsiaTheme="minorEastAsia"/>
              <w:noProof/>
              <w:lang w:eastAsia="lv-LV"/>
            </w:rPr>
          </w:pPr>
          <w:hyperlink w:anchor="_Toc466466863" w:history="1">
            <w:r w:rsidRPr="00022047">
              <w:rPr>
                <w:rStyle w:val="Hyperlink"/>
                <w:rFonts w:cs="Times New Roman"/>
                <w:noProof/>
                <w14:scene3d>
                  <w14:camera w14:prst="orthographicFront"/>
                  <w14:lightRig w14:rig="threePt" w14:dir="t">
                    <w14:rot w14:lat="0" w14:lon="0" w14:rev="0"/>
                  </w14:lightRig>
                </w14:scene3d>
              </w:rPr>
              <w:t>1.10.</w:t>
            </w:r>
            <w:r>
              <w:rPr>
                <w:rFonts w:eastAsiaTheme="minorEastAsia"/>
                <w:noProof/>
                <w:lang w:eastAsia="lv-LV"/>
              </w:rPr>
              <w:tab/>
            </w:r>
            <w:r w:rsidRPr="00022047">
              <w:rPr>
                <w:rStyle w:val="Hyperlink"/>
                <w:noProof/>
              </w:rPr>
              <w:t>ES fondu 2014.–2020. gada plānošanas perioda progress</w:t>
            </w:r>
            <w:r>
              <w:rPr>
                <w:noProof/>
                <w:webHidden/>
              </w:rPr>
              <w:tab/>
            </w:r>
            <w:r>
              <w:rPr>
                <w:noProof/>
                <w:webHidden/>
              </w:rPr>
              <w:fldChar w:fldCharType="begin"/>
            </w:r>
            <w:r>
              <w:rPr>
                <w:noProof/>
                <w:webHidden/>
              </w:rPr>
              <w:instrText xml:space="preserve"> PAGEREF _Toc466466863 \h </w:instrText>
            </w:r>
            <w:r>
              <w:rPr>
                <w:noProof/>
                <w:webHidden/>
              </w:rPr>
            </w:r>
            <w:r>
              <w:rPr>
                <w:noProof/>
                <w:webHidden/>
              </w:rPr>
              <w:fldChar w:fldCharType="separate"/>
            </w:r>
            <w:r>
              <w:rPr>
                <w:noProof/>
                <w:webHidden/>
              </w:rPr>
              <w:t>28</w:t>
            </w:r>
            <w:r>
              <w:rPr>
                <w:noProof/>
                <w:webHidden/>
              </w:rPr>
              <w:fldChar w:fldCharType="end"/>
            </w:r>
          </w:hyperlink>
        </w:p>
        <w:p w14:paraId="03EF8E65" w14:textId="77777777" w:rsidR="004C752B" w:rsidRDefault="004C752B">
          <w:pPr>
            <w:pStyle w:val="TOC1"/>
            <w:tabs>
              <w:tab w:val="left" w:pos="440"/>
              <w:tab w:val="right" w:leader="dot" w:pos="8296"/>
            </w:tabs>
            <w:rPr>
              <w:rFonts w:eastAsiaTheme="minorEastAsia"/>
              <w:noProof/>
              <w:lang w:eastAsia="lv-LV"/>
            </w:rPr>
          </w:pPr>
          <w:hyperlink w:anchor="_Toc466466864" w:history="1">
            <w:r w:rsidRPr="00022047">
              <w:rPr>
                <w:rStyle w:val="Hyperlink"/>
                <w:noProof/>
              </w:rPr>
              <w:t>2.</w:t>
            </w:r>
            <w:r>
              <w:rPr>
                <w:rFonts w:eastAsiaTheme="minorEastAsia"/>
                <w:noProof/>
                <w:lang w:eastAsia="lv-LV"/>
              </w:rPr>
              <w:tab/>
            </w:r>
            <w:r w:rsidRPr="00022047">
              <w:rPr>
                <w:rStyle w:val="Hyperlink"/>
                <w:noProof/>
              </w:rPr>
              <w:t>Nodokļu sistēma un ēnu ekonomikas apkarošana</w:t>
            </w:r>
            <w:r>
              <w:rPr>
                <w:noProof/>
                <w:webHidden/>
              </w:rPr>
              <w:tab/>
            </w:r>
            <w:r>
              <w:rPr>
                <w:noProof/>
                <w:webHidden/>
              </w:rPr>
              <w:fldChar w:fldCharType="begin"/>
            </w:r>
            <w:r>
              <w:rPr>
                <w:noProof/>
                <w:webHidden/>
              </w:rPr>
              <w:instrText xml:space="preserve"> PAGEREF _Toc466466864 \h </w:instrText>
            </w:r>
            <w:r>
              <w:rPr>
                <w:noProof/>
                <w:webHidden/>
              </w:rPr>
            </w:r>
            <w:r>
              <w:rPr>
                <w:noProof/>
                <w:webHidden/>
              </w:rPr>
              <w:fldChar w:fldCharType="separate"/>
            </w:r>
            <w:r>
              <w:rPr>
                <w:noProof/>
                <w:webHidden/>
              </w:rPr>
              <w:t>29</w:t>
            </w:r>
            <w:r>
              <w:rPr>
                <w:noProof/>
                <w:webHidden/>
              </w:rPr>
              <w:fldChar w:fldCharType="end"/>
            </w:r>
          </w:hyperlink>
        </w:p>
        <w:p w14:paraId="18367024" w14:textId="77777777" w:rsidR="004C752B" w:rsidRDefault="004C752B">
          <w:pPr>
            <w:pStyle w:val="TOC2"/>
            <w:tabs>
              <w:tab w:val="left" w:pos="880"/>
              <w:tab w:val="right" w:leader="dot" w:pos="8296"/>
            </w:tabs>
            <w:rPr>
              <w:rFonts w:eastAsiaTheme="minorEastAsia"/>
              <w:noProof/>
              <w:lang w:eastAsia="lv-LV"/>
            </w:rPr>
          </w:pPr>
          <w:hyperlink w:anchor="_Toc466466865" w:history="1">
            <w:r w:rsidRPr="00022047">
              <w:rPr>
                <w:rStyle w:val="Hyperlink"/>
                <w:noProof/>
                <w14:scene3d>
                  <w14:camera w14:prst="orthographicFront"/>
                  <w14:lightRig w14:rig="threePt" w14:dir="t">
                    <w14:rot w14:lat="0" w14:lon="0" w14:rev="0"/>
                  </w14:lightRig>
                </w14:scene3d>
              </w:rPr>
              <w:t>2.1.</w:t>
            </w:r>
            <w:r>
              <w:rPr>
                <w:rFonts w:eastAsiaTheme="minorEastAsia"/>
                <w:noProof/>
                <w:lang w:eastAsia="lv-LV"/>
              </w:rPr>
              <w:tab/>
            </w:r>
            <w:r w:rsidRPr="00022047">
              <w:rPr>
                <w:rStyle w:val="Hyperlink"/>
                <w:noProof/>
              </w:rPr>
              <w:t>Ilgtspējīgas nodokļu sistēmas izveide un budžeta izdevumu optimizācija</w:t>
            </w:r>
            <w:r>
              <w:rPr>
                <w:noProof/>
                <w:webHidden/>
              </w:rPr>
              <w:tab/>
            </w:r>
            <w:r>
              <w:rPr>
                <w:noProof/>
                <w:webHidden/>
              </w:rPr>
              <w:fldChar w:fldCharType="begin"/>
            </w:r>
            <w:r>
              <w:rPr>
                <w:noProof/>
                <w:webHidden/>
              </w:rPr>
              <w:instrText xml:space="preserve"> PAGEREF _Toc466466865 \h </w:instrText>
            </w:r>
            <w:r>
              <w:rPr>
                <w:noProof/>
                <w:webHidden/>
              </w:rPr>
            </w:r>
            <w:r>
              <w:rPr>
                <w:noProof/>
                <w:webHidden/>
              </w:rPr>
              <w:fldChar w:fldCharType="separate"/>
            </w:r>
            <w:r>
              <w:rPr>
                <w:noProof/>
                <w:webHidden/>
              </w:rPr>
              <w:t>30</w:t>
            </w:r>
            <w:r>
              <w:rPr>
                <w:noProof/>
                <w:webHidden/>
              </w:rPr>
              <w:fldChar w:fldCharType="end"/>
            </w:r>
          </w:hyperlink>
        </w:p>
        <w:p w14:paraId="7B78D86F" w14:textId="77777777" w:rsidR="004C752B" w:rsidRDefault="004C752B">
          <w:pPr>
            <w:pStyle w:val="TOC2"/>
            <w:tabs>
              <w:tab w:val="left" w:pos="880"/>
              <w:tab w:val="right" w:leader="dot" w:pos="8296"/>
            </w:tabs>
            <w:rPr>
              <w:rFonts w:eastAsiaTheme="minorEastAsia"/>
              <w:noProof/>
              <w:lang w:eastAsia="lv-LV"/>
            </w:rPr>
          </w:pPr>
          <w:hyperlink w:anchor="_Toc466466866" w:history="1">
            <w:r w:rsidRPr="00022047">
              <w:rPr>
                <w:rStyle w:val="Hyperlink"/>
                <w:noProof/>
                <w14:scene3d>
                  <w14:camera w14:prst="orthographicFront"/>
                  <w14:lightRig w14:rig="threePt" w14:dir="t">
                    <w14:rot w14:lat="0" w14:lon="0" w14:rev="0"/>
                  </w14:lightRig>
                </w14:scene3d>
              </w:rPr>
              <w:t>2.2.</w:t>
            </w:r>
            <w:r>
              <w:rPr>
                <w:rFonts w:eastAsiaTheme="minorEastAsia"/>
                <w:noProof/>
                <w:lang w:eastAsia="lv-LV"/>
              </w:rPr>
              <w:tab/>
            </w:r>
            <w:r w:rsidRPr="00022047">
              <w:rPr>
                <w:rStyle w:val="Hyperlink"/>
                <w:noProof/>
              </w:rPr>
              <w:t>Ēnu ekonomikas un ekonomisko noziegumu apkarošana</w:t>
            </w:r>
            <w:r>
              <w:rPr>
                <w:noProof/>
                <w:webHidden/>
              </w:rPr>
              <w:tab/>
            </w:r>
            <w:r>
              <w:rPr>
                <w:noProof/>
                <w:webHidden/>
              </w:rPr>
              <w:fldChar w:fldCharType="begin"/>
            </w:r>
            <w:r>
              <w:rPr>
                <w:noProof/>
                <w:webHidden/>
              </w:rPr>
              <w:instrText xml:space="preserve"> PAGEREF _Toc466466866 \h </w:instrText>
            </w:r>
            <w:r>
              <w:rPr>
                <w:noProof/>
                <w:webHidden/>
              </w:rPr>
            </w:r>
            <w:r>
              <w:rPr>
                <w:noProof/>
                <w:webHidden/>
              </w:rPr>
              <w:fldChar w:fldCharType="separate"/>
            </w:r>
            <w:r>
              <w:rPr>
                <w:noProof/>
                <w:webHidden/>
              </w:rPr>
              <w:t>30</w:t>
            </w:r>
            <w:r>
              <w:rPr>
                <w:noProof/>
                <w:webHidden/>
              </w:rPr>
              <w:fldChar w:fldCharType="end"/>
            </w:r>
          </w:hyperlink>
        </w:p>
        <w:p w14:paraId="661425D7" w14:textId="77777777" w:rsidR="004C752B" w:rsidRDefault="004C752B">
          <w:pPr>
            <w:pStyle w:val="TOC1"/>
            <w:tabs>
              <w:tab w:val="left" w:pos="440"/>
              <w:tab w:val="right" w:leader="dot" w:pos="8296"/>
            </w:tabs>
            <w:rPr>
              <w:rFonts w:eastAsiaTheme="minorEastAsia"/>
              <w:noProof/>
              <w:lang w:eastAsia="lv-LV"/>
            </w:rPr>
          </w:pPr>
          <w:hyperlink w:anchor="_Toc466466867" w:history="1">
            <w:r w:rsidRPr="00022047">
              <w:rPr>
                <w:rStyle w:val="Hyperlink"/>
                <w:noProof/>
              </w:rPr>
              <w:t>3.</w:t>
            </w:r>
            <w:r>
              <w:rPr>
                <w:rFonts w:eastAsiaTheme="minorEastAsia"/>
                <w:noProof/>
                <w:lang w:eastAsia="lv-LV"/>
              </w:rPr>
              <w:tab/>
            </w:r>
            <w:r w:rsidRPr="00022047">
              <w:rPr>
                <w:rStyle w:val="Hyperlink"/>
                <w:noProof/>
              </w:rPr>
              <w:t>Demogrāfija un sociālais nodrošinājums</w:t>
            </w:r>
            <w:r>
              <w:rPr>
                <w:noProof/>
                <w:webHidden/>
              </w:rPr>
              <w:tab/>
            </w:r>
            <w:r>
              <w:rPr>
                <w:noProof/>
                <w:webHidden/>
              </w:rPr>
              <w:fldChar w:fldCharType="begin"/>
            </w:r>
            <w:r>
              <w:rPr>
                <w:noProof/>
                <w:webHidden/>
              </w:rPr>
              <w:instrText xml:space="preserve"> PAGEREF _Toc466466867 \h </w:instrText>
            </w:r>
            <w:r>
              <w:rPr>
                <w:noProof/>
                <w:webHidden/>
              </w:rPr>
            </w:r>
            <w:r>
              <w:rPr>
                <w:noProof/>
                <w:webHidden/>
              </w:rPr>
              <w:fldChar w:fldCharType="separate"/>
            </w:r>
            <w:r>
              <w:rPr>
                <w:noProof/>
                <w:webHidden/>
              </w:rPr>
              <w:t>32</w:t>
            </w:r>
            <w:r>
              <w:rPr>
                <w:noProof/>
                <w:webHidden/>
              </w:rPr>
              <w:fldChar w:fldCharType="end"/>
            </w:r>
          </w:hyperlink>
        </w:p>
        <w:p w14:paraId="2DFC8B30" w14:textId="77777777" w:rsidR="004C752B" w:rsidRDefault="004C752B">
          <w:pPr>
            <w:pStyle w:val="TOC2"/>
            <w:tabs>
              <w:tab w:val="left" w:pos="880"/>
              <w:tab w:val="right" w:leader="dot" w:pos="8296"/>
            </w:tabs>
            <w:rPr>
              <w:rFonts w:eastAsiaTheme="minorEastAsia"/>
              <w:noProof/>
              <w:lang w:eastAsia="lv-LV"/>
            </w:rPr>
          </w:pPr>
          <w:hyperlink w:anchor="_Toc466466868" w:history="1">
            <w:r w:rsidRPr="00022047">
              <w:rPr>
                <w:rStyle w:val="Hyperlink"/>
                <w:rFonts w:cs="Times New Roman"/>
                <w:noProof/>
                <w14:scene3d>
                  <w14:camera w14:prst="orthographicFront"/>
                  <w14:lightRig w14:rig="threePt" w14:dir="t">
                    <w14:rot w14:lat="0" w14:lon="0" w14:rev="0"/>
                  </w14:lightRig>
                </w14:scene3d>
              </w:rPr>
              <w:t>3.1.</w:t>
            </w:r>
            <w:r>
              <w:rPr>
                <w:rFonts w:eastAsiaTheme="minorEastAsia"/>
                <w:noProof/>
                <w:lang w:eastAsia="lv-LV"/>
              </w:rPr>
              <w:tab/>
            </w:r>
            <w:r w:rsidRPr="00022047">
              <w:rPr>
                <w:rStyle w:val="Hyperlink"/>
                <w:noProof/>
              </w:rPr>
              <w:t>Demogrāfiskās situācijas uzlabošanas pasākumi</w:t>
            </w:r>
            <w:r>
              <w:rPr>
                <w:noProof/>
                <w:webHidden/>
              </w:rPr>
              <w:tab/>
            </w:r>
            <w:r>
              <w:rPr>
                <w:noProof/>
                <w:webHidden/>
              </w:rPr>
              <w:fldChar w:fldCharType="begin"/>
            </w:r>
            <w:r>
              <w:rPr>
                <w:noProof/>
                <w:webHidden/>
              </w:rPr>
              <w:instrText xml:space="preserve"> PAGEREF _Toc466466868 \h </w:instrText>
            </w:r>
            <w:r>
              <w:rPr>
                <w:noProof/>
                <w:webHidden/>
              </w:rPr>
            </w:r>
            <w:r>
              <w:rPr>
                <w:noProof/>
                <w:webHidden/>
              </w:rPr>
              <w:fldChar w:fldCharType="separate"/>
            </w:r>
            <w:r>
              <w:rPr>
                <w:noProof/>
                <w:webHidden/>
              </w:rPr>
              <w:t>35</w:t>
            </w:r>
            <w:r>
              <w:rPr>
                <w:noProof/>
                <w:webHidden/>
              </w:rPr>
              <w:fldChar w:fldCharType="end"/>
            </w:r>
          </w:hyperlink>
        </w:p>
        <w:p w14:paraId="4C74815C" w14:textId="77777777" w:rsidR="004C752B" w:rsidRDefault="004C752B">
          <w:pPr>
            <w:pStyle w:val="TOC2"/>
            <w:tabs>
              <w:tab w:val="left" w:pos="880"/>
              <w:tab w:val="right" w:leader="dot" w:pos="8296"/>
            </w:tabs>
            <w:rPr>
              <w:rFonts w:eastAsiaTheme="minorEastAsia"/>
              <w:noProof/>
              <w:lang w:eastAsia="lv-LV"/>
            </w:rPr>
          </w:pPr>
          <w:hyperlink w:anchor="_Toc466466869" w:history="1">
            <w:r w:rsidRPr="00022047">
              <w:rPr>
                <w:rStyle w:val="Hyperlink"/>
                <w:rFonts w:cs="Times New Roman"/>
                <w:noProof/>
                <w14:scene3d>
                  <w14:camera w14:prst="orthographicFront"/>
                  <w14:lightRig w14:rig="threePt" w14:dir="t">
                    <w14:rot w14:lat="0" w14:lon="0" w14:rev="0"/>
                  </w14:lightRig>
                </w14:scene3d>
              </w:rPr>
              <w:t>3.2.</w:t>
            </w:r>
            <w:r>
              <w:rPr>
                <w:rFonts w:eastAsiaTheme="minorEastAsia"/>
                <w:noProof/>
                <w:lang w:eastAsia="lv-LV"/>
              </w:rPr>
              <w:tab/>
            </w:r>
            <w:r w:rsidRPr="00022047">
              <w:rPr>
                <w:rStyle w:val="Hyperlink"/>
                <w:noProof/>
              </w:rPr>
              <w:t>Sociālo garantiju un palīdzības sistēmas izvērtēšana</w:t>
            </w:r>
            <w:r>
              <w:rPr>
                <w:noProof/>
                <w:webHidden/>
              </w:rPr>
              <w:tab/>
            </w:r>
            <w:r>
              <w:rPr>
                <w:noProof/>
                <w:webHidden/>
              </w:rPr>
              <w:fldChar w:fldCharType="begin"/>
            </w:r>
            <w:r>
              <w:rPr>
                <w:noProof/>
                <w:webHidden/>
              </w:rPr>
              <w:instrText xml:space="preserve"> PAGEREF _Toc466466869 \h </w:instrText>
            </w:r>
            <w:r>
              <w:rPr>
                <w:noProof/>
                <w:webHidden/>
              </w:rPr>
            </w:r>
            <w:r>
              <w:rPr>
                <w:noProof/>
                <w:webHidden/>
              </w:rPr>
              <w:fldChar w:fldCharType="separate"/>
            </w:r>
            <w:r>
              <w:rPr>
                <w:noProof/>
                <w:webHidden/>
              </w:rPr>
              <w:t>36</w:t>
            </w:r>
            <w:r>
              <w:rPr>
                <w:noProof/>
                <w:webHidden/>
              </w:rPr>
              <w:fldChar w:fldCharType="end"/>
            </w:r>
          </w:hyperlink>
        </w:p>
        <w:p w14:paraId="2C9386DB" w14:textId="77777777" w:rsidR="004C752B" w:rsidRDefault="004C752B">
          <w:pPr>
            <w:pStyle w:val="TOC2"/>
            <w:tabs>
              <w:tab w:val="left" w:pos="880"/>
              <w:tab w:val="right" w:leader="dot" w:pos="8296"/>
            </w:tabs>
            <w:rPr>
              <w:rFonts w:eastAsiaTheme="minorEastAsia"/>
              <w:noProof/>
              <w:lang w:eastAsia="lv-LV"/>
            </w:rPr>
          </w:pPr>
          <w:hyperlink w:anchor="_Toc466466870" w:history="1">
            <w:r w:rsidRPr="00022047">
              <w:rPr>
                <w:rStyle w:val="Hyperlink"/>
                <w:rFonts w:cs="Times New Roman"/>
                <w:noProof/>
                <w14:scene3d>
                  <w14:camera w14:prst="orthographicFront"/>
                  <w14:lightRig w14:rig="threePt" w14:dir="t">
                    <w14:rot w14:lat="0" w14:lon="0" w14:rev="0"/>
                  </w14:lightRig>
                </w14:scene3d>
              </w:rPr>
              <w:t>3.3.</w:t>
            </w:r>
            <w:r>
              <w:rPr>
                <w:rFonts w:eastAsiaTheme="minorEastAsia"/>
                <w:noProof/>
                <w:lang w:eastAsia="lv-LV"/>
              </w:rPr>
              <w:tab/>
            </w:r>
            <w:r w:rsidRPr="00022047">
              <w:rPr>
                <w:rStyle w:val="Hyperlink"/>
                <w:noProof/>
              </w:rPr>
              <w:t>Ilgtspējīgas pensiju sistēmas attīstība</w:t>
            </w:r>
            <w:r>
              <w:rPr>
                <w:noProof/>
                <w:webHidden/>
              </w:rPr>
              <w:tab/>
            </w:r>
            <w:r>
              <w:rPr>
                <w:noProof/>
                <w:webHidden/>
              </w:rPr>
              <w:fldChar w:fldCharType="begin"/>
            </w:r>
            <w:r>
              <w:rPr>
                <w:noProof/>
                <w:webHidden/>
              </w:rPr>
              <w:instrText xml:space="preserve"> PAGEREF _Toc466466870 \h </w:instrText>
            </w:r>
            <w:r>
              <w:rPr>
                <w:noProof/>
                <w:webHidden/>
              </w:rPr>
            </w:r>
            <w:r>
              <w:rPr>
                <w:noProof/>
                <w:webHidden/>
              </w:rPr>
              <w:fldChar w:fldCharType="separate"/>
            </w:r>
            <w:r>
              <w:rPr>
                <w:noProof/>
                <w:webHidden/>
              </w:rPr>
              <w:t>37</w:t>
            </w:r>
            <w:r>
              <w:rPr>
                <w:noProof/>
                <w:webHidden/>
              </w:rPr>
              <w:fldChar w:fldCharType="end"/>
            </w:r>
          </w:hyperlink>
        </w:p>
        <w:p w14:paraId="32A950A2" w14:textId="77777777" w:rsidR="004C752B" w:rsidRDefault="004C752B">
          <w:pPr>
            <w:pStyle w:val="TOC1"/>
            <w:tabs>
              <w:tab w:val="left" w:pos="440"/>
              <w:tab w:val="right" w:leader="dot" w:pos="8296"/>
            </w:tabs>
            <w:rPr>
              <w:rFonts w:eastAsiaTheme="minorEastAsia"/>
              <w:noProof/>
              <w:lang w:eastAsia="lv-LV"/>
            </w:rPr>
          </w:pPr>
          <w:hyperlink w:anchor="_Toc466466871" w:history="1">
            <w:r w:rsidRPr="00022047">
              <w:rPr>
                <w:rStyle w:val="Hyperlink"/>
                <w:noProof/>
              </w:rPr>
              <w:t>4.</w:t>
            </w:r>
            <w:r>
              <w:rPr>
                <w:rFonts w:eastAsiaTheme="minorEastAsia"/>
                <w:noProof/>
                <w:lang w:eastAsia="lv-LV"/>
              </w:rPr>
              <w:tab/>
            </w:r>
            <w:r w:rsidRPr="00022047">
              <w:rPr>
                <w:rStyle w:val="Hyperlink"/>
                <w:noProof/>
              </w:rPr>
              <w:t>Izglītības reformas</w:t>
            </w:r>
            <w:r>
              <w:rPr>
                <w:noProof/>
                <w:webHidden/>
              </w:rPr>
              <w:tab/>
            </w:r>
            <w:r>
              <w:rPr>
                <w:noProof/>
                <w:webHidden/>
              </w:rPr>
              <w:fldChar w:fldCharType="begin"/>
            </w:r>
            <w:r>
              <w:rPr>
                <w:noProof/>
                <w:webHidden/>
              </w:rPr>
              <w:instrText xml:space="preserve"> PAGEREF _Toc466466871 \h </w:instrText>
            </w:r>
            <w:r>
              <w:rPr>
                <w:noProof/>
                <w:webHidden/>
              </w:rPr>
            </w:r>
            <w:r>
              <w:rPr>
                <w:noProof/>
                <w:webHidden/>
              </w:rPr>
              <w:fldChar w:fldCharType="separate"/>
            </w:r>
            <w:r>
              <w:rPr>
                <w:noProof/>
                <w:webHidden/>
              </w:rPr>
              <w:t>38</w:t>
            </w:r>
            <w:r>
              <w:rPr>
                <w:noProof/>
                <w:webHidden/>
              </w:rPr>
              <w:fldChar w:fldCharType="end"/>
            </w:r>
          </w:hyperlink>
        </w:p>
        <w:p w14:paraId="24871EDC" w14:textId="77777777" w:rsidR="004C752B" w:rsidRDefault="004C752B">
          <w:pPr>
            <w:pStyle w:val="TOC2"/>
            <w:tabs>
              <w:tab w:val="left" w:pos="880"/>
              <w:tab w:val="right" w:leader="dot" w:pos="8296"/>
            </w:tabs>
            <w:rPr>
              <w:rFonts w:eastAsiaTheme="minorEastAsia"/>
              <w:noProof/>
              <w:lang w:eastAsia="lv-LV"/>
            </w:rPr>
          </w:pPr>
          <w:hyperlink w:anchor="_Toc466466872" w:history="1">
            <w:r w:rsidRPr="00022047">
              <w:rPr>
                <w:rStyle w:val="Hyperlink"/>
                <w:noProof/>
                <w14:scene3d>
                  <w14:camera w14:prst="orthographicFront"/>
                  <w14:lightRig w14:rig="threePt" w14:dir="t">
                    <w14:rot w14:lat="0" w14:lon="0" w14:rev="0"/>
                  </w14:lightRig>
                </w14:scene3d>
              </w:rPr>
              <w:t>4.1.</w:t>
            </w:r>
            <w:r>
              <w:rPr>
                <w:rFonts w:eastAsiaTheme="minorEastAsia"/>
                <w:noProof/>
                <w:lang w:eastAsia="lv-LV"/>
              </w:rPr>
              <w:tab/>
            </w:r>
            <w:r w:rsidRPr="00022047">
              <w:rPr>
                <w:rStyle w:val="Hyperlink"/>
                <w:noProof/>
              </w:rPr>
              <w:t>Pedagogu atalgojums</w:t>
            </w:r>
            <w:r>
              <w:rPr>
                <w:noProof/>
                <w:webHidden/>
              </w:rPr>
              <w:tab/>
            </w:r>
            <w:r>
              <w:rPr>
                <w:noProof/>
                <w:webHidden/>
              </w:rPr>
              <w:fldChar w:fldCharType="begin"/>
            </w:r>
            <w:r>
              <w:rPr>
                <w:noProof/>
                <w:webHidden/>
              </w:rPr>
              <w:instrText xml:space="preserve"> PAGEREF _Toc466466872 \h </w:instrText>
            </w:r>
            <w:r>
              <w:rPr>
                <w:noProof/>
                <w:webHidden/>
              </w:rPr>
            </w:r>
            <w:r>
              <w:rPr>
                <w:noProof/>
                <w:webHidden/>
              </w:rPr>
              <w:fldChar w:fldCharType="separate"/>
            </w:r>
            <w:r>
              <w:rPr>
                <w:noProof/>
                <w:webHidden/>
              </w:rPr>
              <w:t>38</w:t>
            </w:r>
            <w:r>
              <w:rPr>
                <w:noProof/>
                <w:webHidden/>
              </w:rPr>
              <w:fldChar w:fldCharType="end"/>
            </w:r>
          </w:hyperlink>
        </w:p>
        <w:p w14:paraId="6EB7A6C0" w14:textId="77777777" w:rsidR="004C752B" w:rsidRDefault="004C752B">
          <w:pPr>
            <w:pStyle w:val="TOC2"/>
            <w:tabs>
              <w:tab w:val="left" w:pos="880"/>
              <w:tab w:val="right" w:leader="dot" w:pos="8296"/>
            </w:tabs>
            <w:rPr>
              <w:rFonts w:eastAsiaTheme="minorEastAsia"/>
              <w:noProof/>
              <w:lang w:eastAsia="lv-LV"/>
            </w:rPr>
          </w:pPr>
          <w:hyperlink w:anchor="_Toc466466873" w:history="1">
            <w:r w:rsidRPr="00022047">
              <w:rPr>
                <w:rStyle w:val="Hyperlink"/>
                <w:noProof/>
                <w14:scene3d>
                  <w14:camera w14:prst="orthographicFront"/>
                  <w14:lightRig w14:rig="threePt" w14:dir="t">
                    <w14:rot w14:lat="0" w14:lon="0" w14:rev="0"/>
                  </w14:lightRig>
                </w14:scene3d>
              </w:rPr>
              <w:t>4.2.</w:t>
            </w:r>
            <w:r>
              <w:rPr>
                <w:rFonts w:eastAsiaTheme="minorEastAsia"/>
                <w:noProof/>
                <w:lang w:eastAsia="lv-LV"/>
              </w:rPr>
              <w:tab/>
            </w:r>
            <w:r w:rsidRPr="00022047">
              <w:rPr>
                <w:rStyle w:val="Hyperlink"/>
                <w:noProof/>
              </w:rPr>
              <w:t>Skolu tīkla sakārtošana</w:t>
            </w:r>
            <w:r>
              <w:rPr>
                <w:noProof/>
                <w:webHidden/>
              </w:rPr>
              <w:tab/>
            </w:r>
            <w:r>
              <w:rPr>
                <w:noProof/>
                <w:webHidden/>
              </w:rPr>
              <w:fldChar w:fldCharType="begin"/>
            </w:r>
            <w:r>
              <w:rPr>
                <w:noProof/>
                <w:webHidden/>
              </w:rPr>
              <w:instrText xml:space="preserve"> PAGEREF _Toc466466873 \h </w:instrText>
            </w:r>
            <w:r>
              <w:rPr>
                <w:noProof/>
                <w:webHidden/>
              </w:rPr>
            </w:r>
            <w:r>
              <w:rPr>
                <w:noProof/>
                <w:webHidden/>
              </w:rPr>
              <w:fldChar w:fldCharType="separate"/>
            </w:r>
            <w:r>
              <w:rPr>
                <w:noProof/>
                <w:webHidden/>
              </w:rPr>
              <w:t>39</w:t>
            </w:r>
            <w:r>
              <w:rPr>
                <w:noProof/>
                <w:webHidden/>
              </w:rPr>
              <w:fldChar w:fldCharType="end"/>
            </w:r>
          </w:hyperlink>
        </w:p>
        <w:p w14:paraId="168502DF" w14:textId="77777777" w:rsidR="004C752B" w:rsidRDefault="004C752B">
          <w:pPr>
            <w:pStyle w:val="TOC2"/>
            <w:tabs>
              <w:tab w:val="left" w:pos="880"/>
              <w:tab w:val="right" w:leader="dot" w:pos="8296"/>
            </w:tabs>
            <w:rPr>
              <w:rFonts w:eastAsiaTheme="minorEastAsia"/>
              <w:noProof/>
              <w:lang w:eastAsia="lv-LV"/>
            </w:rPr>
          </w:pPr>
          <w:hyperlink w:anchor="_Toc466466874" w:history="1">
            <w:r w:rsidRPr="00022047">
              <w:rPr>
                <w:rStyle w:val="Hyperlink"/>
                <w:noProof/>
                <w14:scene3d>
                  <w14:camera w14:prst="orthographicFront"/>
                  <w14:lightRig w14:rig="threePt" w14:dir="t">
                    <w14:rot w14:lat="0" w14:lon="0" w14:rev="0"/>
                  </w14:lightRig>
                </w14:scene3d>
              </w:rPr>
              <w:t>4.3.</w:t>
            </w:r>
            <w:r>
              <w:rPr>
                <w:rFonts w:eastAsiaTheme="minorEastAsia"/>
                <w:noProof/>
                <w:lang w:eastAsia="lv-LV"/>
              </w:rPr>
              <w:tab/>
            </w:r>
            <w:r w:rsidRPr="00022047">
              <w:rPr>
                <w:rStyle w:val="Hyperlink"/>
                <w:noProof/>
              </w:rPr>
              <w:t>Izglītības kvalitātes paaugstināšana</w:t>
            </w:r>
            <w:r>
              <w:rPr>
                <w:noProof/>
                <w:webHidden/>
              </w:rPr>
              <w:tab/>
            </w:r>
            <w:r>
              <w:rPr>
                <w:noProof/>
                <w:webHidden/>
              </w:rPr>
              <w:fldChar w:fldCharType="begin"/>
            </w:r>
            <w:r>
              <w:rPr>
                <w:noProof/>
                <w:webHidden/>
              </w:rPr>
              <w:instrText xml:space="preserve"> PAGEREF _Toc466466874 \h </w:instrText>
            </w:r>
            <w:r>
              <w:rPr>
                <w:noProof/>
                <w:webHidden/>
              </w:rPr>
            </w:r>
            <w:r>
              <w:rPr>
                <w:noProof/>
                <w:webHidden/>
              </w:rPr>
              <w:fldChar w:fldCharType="separate"/>
            </w:r>
            <w:r>
              <w:rPr>
                <w:noProof/>
                <w:webHidden/>
              </w:rPr>
              <w:t>40</w:t>
            </w:r>
            <w:r>
              <w:rPr>
                <w:noProof/>
                <w:webHidden/>
              </w:rPr>
              <w:fldChar w:fldCharType="end"/>
            </w:r>
          </w:hyperlink>
        </w:p>
        <w:p w14:paraId="07CBE6E1" w14:textId="77777777" w:rsidR="004C752B" w:rsidRDefault="004C752B">
          <w:pPr>
            <w:pStyle w:val="TOC2"/>
            <w:tabs>
              <w:tab w:val="left" w:pos="880"/>
              <w:tab w:val="right" w:leader="dot" w:pos="8296"/>
            </w:tabs>
            <w:rPr>
              <w:rFonts w:eastAsiaTheme="minorEastAsia"/>
              <w:noProof/>
              <w:lang w:eastAsia="lv-LV"/>
            </w:rPr>
          </w:pPr>
          <w:hyperlink w:anchor="_Toc466466875" w:history="1">
            <w:r w:rsidRPr="00022047">
              <w:rPr>
                <w:rStyle w:val="Hyperlink"/>
                <w:noProof/>
                <w14:scene3d>
                  <w14:camera w14:prst="orthographicFront"/>
                  <w14:lightRig w14:rig="threePt" w14:dir="t">
                    <w14:rot w14:lat="0" w14:lon="0" w14:rev="0"/>
                  </w14:lightRig>
                </w14:scene3d>
              </w:rPr>
              <w:t>4.4.</w:t>
            </w:r>
            <w:r>
              <w:rPr>
                <w:rFonts w:eastAsiaTheme="minorEastAsia"/>
                <w:noProof/>
                <w:lang w:eastAsia="lv-LV"/>
              </w:rPr>
              <w:tab/>
            </w:r>
            <w:r w:rsidRPr="00022047">
              <w:rPr>
                <w:rStyle w:val="Hyperlink"/>
                <w:noProof/>
              </w:rPr>
              <w:t>Profesionālās izglītības attīstība</w:t>
            </w:r>
            <w:r>
              <w:rPr>
                <w:noProof/>
                <w:webHidden/>
              </w:rPr>
              <w:tab/>
            </w:r>
            <w:r>
              <w:rPr>
                <w:noProof/>
                <w:webHidden/>
              </w:rPr>
              <w:fldChar w:fldCharType="begin"/>
            </w:r>
            <w:r>
              <w:rPr>
                <w:noProof/>
                <w:webHidden/>
              </w:rPr>
              <w:instrText xml:space="preserve"> PAGEREF _Toc466466875 \h </w:instrText>
            </w:r>
            <w:r>
              <w:rPr>
                <w:noProof/>
                <w:webHidden/>
              </w:rPr>
            </w:r>
            <w:r>
              <w:rPr>
                <w:noProof/>
                <w:webHidden/>
              </w:rPr>
              <w:fldChar w:fldCharType="separate"/>
            </w:r>
            <w:r>
              <w:rPr>
                <w:noProof/>
                <w:webHidden/>
              </w:rPr>
              <w:t>41</w:t>
            </w:r>
            <w:r>
              <w:rPr>
                <w:noProof/>
                <w:webHidden/>
              </w:rPr>
              <w:fldChar w:fldCharType="end"/>
            </w:r>
          </w:hyperlink>
        </w:p>
        <w:p w14:paraId="3464EC41" w14:textId="77777777" w:rsidR="004C752B" w:rsidRDefault="004C752B">
          <w:pPr>
            <w:pStyle w:val="TOC2"/>
            <w:tabs>
              <w:tab w:val="left" w:pos="880"/>
              <w:tab w:val="right" w:leader="dot" w:pos="8296"/>
            </w:tabs>
            <w:rPr>
              <w:rFonts w:eastAsiaTheme="minorEastAsia"/>
              <w:noProof/>
              <w:lang w:eastAsia="lv-LV"/>
            </w:rPr>
          </w:pPr>
          <w:hyperlink w:anchor="_Toc466466876" w:history="1">
            <w:r w:rsidRPr="00022047">
              <w:rPr>
                <w:rStyle w:val="Hyperlink"/>
                <w:noProof/>
                <w14:scene3d>
                  <w14:camera w14:prst="orthographicFront"/>
                  <w14:lightRig w14:rig="threePt" w14:dir="t">
                    <w14:rot w14:lat="0" w14:lon="0" w14:rev="0"/>
                  </w14:lightRig>
                </w14:scene3d>
              </w:rPr>
              <w:t>4.5.</w:t>
            </w:r>
            <w:r>
              <w:rPr>
                <w:rFonts w:eastAsiaTheme="minorEastAsia"/>
                <w:noProof/>
                <w:lang w:eastAsia="lv-LV"/>
              </w:rPr>
              <w:tab/>
            </w:r>
            <w:r w:rsidRPr="00022047">
              <w:rPr>
                <w:rStyle w:val="Hyperlink"/>
                <w:noProof/>
              </w:rPr>
              <w:t>Augstākā izglītība</w:t>
            </w:r>
            <w:r>
              <w:rPr>
                <w:noProof/>
                <w:webHidden/>
              </w:rPr>
              <w:tab/>
            </w:r>
            <w:r>
              <w:rPr>
                <w:noProof/>
                <w:webHidden/>
              </w:rPr>
              <w:fldChar w:fldCharType="begin"/>
            </w:r>
            <w:r>
              <w:rPr>
                <w:noProof/>
                <w:webHidden/>
              </w:rPr>
              <w:instrText xml:space="preserve"> PAGEREF _Toc466466876 \h </w:instrText>
            </w:r>
            <w:r>
              <w:rPr>
                <w:noProof/>
                <w:webHidden/>
              </w:rPr>
            </w:r>
            <w:r>
              <w:rPr>
                <w:noProof/>
                <w:webHidden/>
              </w:rPr>
              <w:fldChar w:fldCharType="separate"/>
            </w:r>
            <w:r>
              <w:rPr>
                <w:noProof/>
                <w:webHidden/>
              </w:rPr>
              <w:t>41</w:t>
            </w:r>
            <w:r>
              <w:rPr>
                <w:noProof/>
                <w:webHidden/>
              </w:rPr>
              <w:fldChar w:fldCharType="end"/>
            </w:r>
          </w:hyperlink>
        </w:p>
        <w:p w14:paraId="1EC83B07" w14:textId="77777777" w:rsidR="004C752B" w:rsidRDefault="004C752B">
          <w:pPr>
            <w:pStyle w:val="TOC2"/>
            <w:tabs>
              <w:tab w:val="left" w:pos="880"/>
              <w:tab w:val="right" w:leader="dot" w:pos="8296"/>
            </w:tabs>
            <w:rPr>
              <w:rFonts w:eastAsiaTheme="minorEastAsia"/>
              <w:noProof/>
              <w:lang w:eastAsia="lv-LV"/>
            </w:rPr>
          </w:pPr>
          <w:hyperlink w:anchor="_Toc466466877" w:history="1">
            <w:r w:rsidRPr="00022047">
              <w:rPr>
                <w:rStyle w:val="Hyperlink"/>
                <w:noProof/>
                <w14:scene3d>
                  <w14:camera w14:prst="orthographicFront"/>
                  <w14:lightRig w14:rig="threePt" w14:dir="t">
                    <w14:rot w14:lat="0" w14:lon="0" w14:rev="0"/>
                  </w14:lightRig>
                </w14:scene3d>
              </w:rPr>
              <w:t>4.6.</w:t>
            </w:r>
            <w:r>
              <w:rPr>
                <w:rFonts w:eastAsiaTheme="minorEastAsia"/>
                <w:noProof/>
                <w:lang w:eastAsia="lv-LV"/>
              </w:rPr>
              <w:tab/>
            </w:r>
            <w:r w:rsidRPr="00022047">
              <w:rPr>
                <w:rStyle w:val="Hyperlink"/>
                <w:noProof/>
              </w:rPr>
              <w:t>Pieaugušo izglītība</w:t>
            </w:r>
            <w:r>
              <w:rPr>
                <w:noProof/>
                <w:webHidden/>
              </w:rPr>
              <w:tab/>
            </w:r>
            <w:r>
              <w:rPr>
                <w:noProof/>
                <w:webHidden/>
              </w:rPr>
              <w:fldChar w:fldCharType="begin"/>
            </w:r>
            <w:r>
              <w:rPr>
                <w:noProof/>
                <w:webHidden/>
              </w:rPr>
              <w:instrText xml:space="preserve"> PAGEREF _Toc466466877 \h </w:instrText>
            </w:r>
            <w:r>
              <w:rPr>
                <w:noProof/>
                <w:webHidden/>
              </w:rPr>
            </w:r>
            <w:r>
              <w:rPr>
                <w:noProof/>
                <w:webHidden/>
              </w:rPr>
              <w:fldChar w:fldCharType="separate"/>
            </w:r>
            <w:r>
              <w:rPr>
                <w:noProof/>
                <w:webHidden/>
              </w:rPr>
              <w:t>42</w:t>
            </w:r>
            <w:r>
              <w:rPr>
                <w:noProof/>
                <w:webHidden/>
              </w:rPr>
              <w:fldChar w:fldCharType="end"/>
            </w:r>
          </w:hyperlink>
        </w:p>
        <w:p w14:paraId="028D44FA" w14:textId="77777777" w:rsidR="004C752B" w:rsidRDefault="004C752B">
          <w:pPr>
            <w:pStyle w:val="TOC1"/>
            <w:tabs>
              <w:tab w:val="left" w:pos="440"/>
              <w:tab w:val="right" w:leader="dot" w:pos="8296"/>
            </w:tabs>
            <w:rPr>
              <w:rFonts w:eastAsiaTheme="minorEastAsia"/>
              <w:noProof/>
              <w:lang w:eastAsia="lv-LV"/>
            </w:rPr>
          </w:pPr>
          <w:hyperlink w:anchor="_Toc466466878" w:history="1">
            <w:r w:rsidRPr="00022047">
              <w:rPr>
                <w:rStyle w:val="Hyperlink"/>
                <w:noProof/>
              </w:rPr>
              <w:t>5.</w:t>
            </w:r>
            <w:r>
              <w:rPr>
                <w:rFonts w:eastAsiaTheme="minorEastAsia"/>
                <w:noProof/>
                <w:lang w:eastAsia="lv-LV"/>
              </w:rPr>
              <w:tab/>
            </w:r>
            <w:r w:rsidRPr="00022047">
              <w:rPr>
                <w:rStyle w:val="Hyperlink"/>
                <w:noProof/>
              </w:rPr>
              <w:t>Veselības aprūpes reformas</w:t>
            </w:r>
            <w:r>
              <w:rPr>
                <w:noProof/>
                <w:webHidden/>
              </w:rPr>
              <w:tab/>
            </w:r>
            <w:r>
              <w:rPr>
                <w:noProof/>
                <w:webHidden/>
              </w:rPr>
              <w:fldChar w:fldCharType="begin"/>
            </w:r>
            <w:r>
              <w:rPr>
                <w:noProof/>
                <w:webHidden/>
              </w:rPr>
              <w:instrText xml:space="preserve"> PAGEREF _Toc466466878 \h </w:instrText>
            </w:r>
            <w:r>
              <w:rPr>
                <w:noProof/>
                <w:webHidden/>
              </w:rPr>
            </w:r>
            <w:r>
              <w:rPr>
                <w:noProof/>
                <w:webHidden/>
              </w:rPr>
              <w:fldChar w:fldCharType="separate"/>
            </w:r>
            <w:r>
              <w:rPr>
                <w:noProof/>
                <w:webHidden/>
              </w:rPr>
              <w:t>43</w:t>
            </w:r>
            <w:r>
              <w:rPr>
                <w:noProof/>
                <w:webHidden/>
              </w:rPr>
              <w:fldChar w:fldCharType="end"/>
            </w:r>
          </w:hyperlink>
        </w:p>
        <w:p w14:paraId="009BDE9A" w14:textId="77777777" w:rsidR="004C752B" w:rsidRDefault="004C752B">
          <w:pPr>
            <w:pStyle w:val="TOC1"/>
            <w:tabs>
              <w:tab w:val="left" w:pos="440"/>
              <w:tab w:val="right" w:leader="dot" w:pos="8296"/>
            </w:tabs>
            <w:rPr>
              <w:rFonts w:eastAsiaTheme="minorEastAsia"/>
              <w:noProof/>
              <w:lang w:eastAsia="lv-LV"/>
            </w:rPr>
          </w:pPr>
          <w:hyperlink w:anchor="_Toc466466879" w:history="1">
            <w:r w:rsidRPr="00022047">
              <w:rPr>
                <w:rStyle w:val="Hyperlink"/>
                <w:noProof/>
              </w:rPr>
              <w:t>6.</w:t>
            </w:r>
            <w:r>
              <w:rPr>
                <w:rFonts w:eastAsiaTheme="minorEastAsia"/>
                <w:noProof/>
                <w:lang w:eastAsia="lv-LV"/>
              </w:rPr>
              <w:tab/>
            </w:r>
            <w:r w:rsidRPr="00022047">
              <w:rPr>
                <w:rStyle w:val="Hyperlink"/>
                <w:noProof/>
              </w:rPr>
              <w:t>Nacionālā identitāte</w:t>
            </w:r>
            <w:r>
              <w:rPr>
                <w:noProof/>
                <w:webHidden/>
              </w:rPr>
              <w:tab/>
            </w:r>
            <w:r>
              <w:rPr>
                <w:noProof/>
                <w:webHidden/>
              </w:rPr>
              <w:fldChar w:fldCharType="begin"/>
            </w:r>
            <w:r>
              <w:rPr>
                <w:noProof/>
                <w:webHidden/>
              </w:rPr>
              <w:instrText xml:space="preserve"> PAGEREF _Toc466466879 \h </w:instrText>
            </w:r>
            <w:r>
              <w:rPr>
                <w:noProof/>
                <w:webHidden/>
              </w:rPr>
            </w:r>
            <w:r>
              <w:rPr>
                <w:noProof/>
                <w:webHidden/>
              </w:rPr>
              <w:fldChar w:fldCharType="separate"/>
            </w:r>
            <w:r>
              <w:rPr>
                <w:noProof/>
                <w:webHidden/>
              </w:rPr>
              <w:t>45</w:t>
            </w:r>
            <w:r>
              <w:rPr>
                <w:noProof/>
                <w:webHidden/>
              </w:rPr>
              <w:fldChar w:fldCharType="end"/>
            </w:r>
          </w:hyperlink>
        </w:p>
        <w:p w14:paraId="76B75AC3" w14:textId="77777777" w:rsidR="004C752B" w:rsidRDefault="004C752B">
          <w:pPr>
            <w:pStyle w:val="TOC2"/>
            <w:tabs>
              <w:tab w:val="left" w:pos="880"/>
              <w:tab w:val="right" w:leader="dot" w:pos="8296"/>
            </w:tabs>
            <w:rPr>
              <w:rFonts w:eastAsiaTheme="minorEastAsia"/>
              <w:noProof/>
              <w:lang w:eastAsia="lv-LV"/>
            </w:rPr>
          </w:pPr>
          <w:hyperlink w:anchor="_Toc466466880" w:history="1">
            <w:r w:rsidRPr="00022047">
              <w:rPr>
                <w:rStyle w:val="Hyperlink"/>
                <w:rFonts w:cs="Times New Roman"/>
                <w:noProof/>
                <w14:scene3d>
                  <w14:camera w14:prst="orthographicFront"/>
                  <w14:lightRig w14:rig="threePt" w14:dir="t">
                    <w14:rot w14:lat="0" w14:lon="0" w14:rev="0"/>
                  </w14:lightRig>
                </w14:scene3d>
              </w:rPr>
              <w:t>6.1.</w:t>
            </w:r>
            <w:r>
              <w:rPr>
                <w:rFonts w:eastAsiaTheme="minorEastAsia"/>
                <w:noProof/>
                <w:lang w:eastAsia="lv-LV"/>
              </w:rPr>
              <w:tab/>
            </w:r>
            <w:r w:rsidRPr="00022047">
              <w:rPr>
                <w:rStyle w:val="Hyperlink"/>
                <w:noProof/>
              </w:rPr>
              <w:t>Kultūras izglītība un kultūras mantojums</w:t>
            </w:r>
            <w:r>
              <w:rPr>
                <w:noProof/>
                <w:webHidden/>
              </w:rPr>
              <w:tab/>
            </w:r>
            <w:r>
              <w:rPr>
                <w:noProof/>
                <w:webHidden/>
              </w:rPr>
              <w:fldChar w:fldCharType="begin"/>
            </w:r>
            <w:r>
              <w:rPr>
                <w:noProof/>
                <w:webHidden/>
              </w:rPr>
              <w:instrText xml:space="preserve"> PAGEREF _Toc466466880 \h </w:instrText>
            </w:r>
            <w:r>
              <w:rPr>
                <w:noProof/>
                <w:webHidden/>
              </w:rPr>
            </w:r>
            <w:r>
              <w:rPr>
                <w:noProof/>
                <w:webHidden/>
              </w:rPr>
              <w:fldChar w:fldCharType="separate"/>
            </w:r>
            <w:r>
              <w:rPr>
                <w:noProof/>
                <w:webHidden/>
              </w:rPr>
              <w:t>45</w:t>
            </w:r>
            <w:r>
              <w:rPr>
                <w:noProof/>
                <w:webHidden/>
              </w:rPr>
              <w:fldChar w:fldCharType="end"/>
            </w:r>
          </w:hyperlink>
        </w:p>
        <w:p w14:paraId="7321F11A" w14:textId="77777777" w:rsidR="004C752B" w:rsidRDefault="004C752B">
          <w:pPr>
            <w:pStyle w:val="TOC2"/>
            <w:tabs>
              <w:tab w:val="left" w:pos="880"/>
              <w:tab w:val="right" w:leader="dot" w:pos="8296"/>
            </w:tabs>
            <w:rPr>
              <w:rFonts w:eastAsiaTheme="minorEastAsia"/>
              <w:noProof/>
              <w:lang w:eastAsia="lv-LV"/>
            </w:rPr>
          </w:pPr>
          <w:hyperlink w:anchor="_Toc466466881" w:history="1">
            <w:r w:rsidRPr="00022047">
              <w:rPr>
                <w:rStyle w:val="Hyperlink"/>
                <w:noProof/>
                <w14:scene3d>
                  <w14:camera w14:prst="orthographicFront"/>
                  <w14:lightRig w14:rig="threePt" w14:dir="t">
                    <w14:rot w14:lat="0" w14:lon="0" w14:rev="0"/>
                  </w14:lightRig>
                </w14:scene3d>
              </w:rPr>
              <w:t>6.2.</w:t>
            </w:r>
            <w:r>
              <w:rPr>
                <w:rFonts w:eastAsiaTheme="minorEastAsia"/>
                <w:noProof/>
                <w:lang w:eastAsia="lv-LV"/>
              </w:rPr>
              <w:tab/>
            </w:r>
            <w:r w:rsidRPr="00022047">
              <w:rPr>
                <w:rStyle w:val="Hyperlink"/>
                <w:noProof/>
              </w:rPr>
              <w:t>Latvijas valsts simtgade un nacionālā kultūras infrastruktūra</w:t>
            </w:r>
            <w:r>
              <w:rPr>
                <w:noProof/>
                <w:webHidden/>
              </w:rPr>
              <w:tab/>
            </w:r>
            <w:r>
              <w:rPr>
                <w:noProof/>
                <w:webHidden/>
              </w:rPr>
              <w:fldChar w:fldCharType="begin"/>
            </w:r>
            <w:r>
              <w:rPr>
                <w:noProof/>
                <w:webHidden/>
              </w:rPr>
              <w:instrText xml:space="preserve"> PAGEREF _Toc466466881 \h </w:instrText>
            </w:r>
            <w:r>
              <w:rPr>
                <w:noProof/>
                <w:webHidden/>
              </w:rPr>
            </w:r>
            <w:r>
              <w:rPr>
                <w:noProof/>
                <w:webHidden/>
              </w:rPr>
              <w:fldChar w:fldCharType="separate"/>
            </w:r>
            <w:r>
              <w:rPr>
                <w:noProof/>
                <w:webHidden/>
              </w:rPr>
              <w:t>47</w:t>
            </w:r>
            <w:r>
              <w:rPr>
                <w:noProof/>
                <w:webHidden/>
              </w:rPr>
              <w:fldChar w:fldCharType="end"/>
            </w:r>
          </w:hyperlink>
        </w:p>
        <w:p w14:paraId="782B72A5" w14:textId="77777777" w:rsidR="004C752B" w:rsidRDefault="004C752B">
          <w:pPr>
            <w:pStyle w:val="TOC2"/>
            <w:tabs>
              <w:tab w:val="left" w:pos="880"/>
              <w:tab w:val="right" w:leader="dot" w:pos="8296"/>
            </w:tabs>
            <w:rPr>
              <w:rFonts w:eastAsiaTheme="minorEastAsia"/>
              <w:noProof/>
              <w:lang w:eastAsia="lv-LV"/>
            </w:rPr>
          </w:pPr>
          <w:hyperlink w:anchor="_Toc466466882" w:history="1">
            <w:r w:rsidRPr="00022047">
              <w:rPr>
                <w:rStyle w:val="Hyperlink"/>
                <w:noProof/>
                <w14:scene3d>
                  <w14:camera w14:prst="orthographicFront"/>
                  <w14:lightRig w14:rig="threePt" w14:dir="t">
                    <w14:rot w14:lat="0" w14:lon="0" w14:rev="0"/>
                  </w14:lightRig>
                </w14:scene3d>
              </w:rPr>
              <w:t>6.3.</w:t>
            </w:r>
            <w:r>
              <w:rPr>
                <w:rFonts w:eastAsiaTheme="minorEastAsia"/>
                <w:noProof/>
                <w:lang w:eastAsia="lv-LV"/>
              </w:rPr>
              <w:tab/>
            </w:r>
            <w:r w:rsidRPr="00022047">
              <w:rPr>
                <w:rStyle w:val="Hyperlink"/>
                <w:noProof/>
              </w:rPr>
              <w:t>Sabiedrības saliedēšanas pasākumi</w:t>
            </w:r>
            <w:r>
              <w:rPr>
                <w:noProof/>
                <w:webHidden/>
              </w:rPr>
              <w:tab/>
            </w:r>
            <w:r>
              <w:rPr>
                <w:noProof/>
                <w:webHidden/>
              </w:rPr>
              <w:fldChar w:fldCharType="begin"/>
            </w:r>
            <w:r>
              <w:rPr>
                <w:noProof/>
                <w:webHidden/>
              </w:rPr>
              <w:instrText xml:space="preserve"> PAGEREF _Toc466466882 \h </w:instrText>
            </w:r>
            <w:r>
              <w:rPr>
                <w:noProof/>
                <w:webHidden/>
              </w:rPr>
            </w:r>
            <w:r>
              <w:rPr>
                <w:noProof/>
                <w:webHidden/>
              </w:rPr>
              <w:fldChar w:fldCharType="separate"/>
            </w:r>
            <w:r>
              <w:rPr>
                <w:noProof/>
                <w:webHidden/>
              </w:rPr>
              <w:t>47</w:t>
            </w:r>
            <w:r>
              <w:rPr>
                <w:noProof/>
                <w:webHidden/>
              </w:rPr>
              <w:fldChar w:fldCharType="end"/>
            </w:r>
          </w:hyperlink>
        </w:p>
        <w:p w14:paraId="35DA1C0D" w14:textId="77777777" w:rsidR="004C752B" w:rsidRDefault="004C752B">
          <w:pPr>
            <w:pStyle w:val="TOC2"/>
            <w:tabs>
              <w:tab w:val="left" w:pos="880"/>
              <w:tab w:val="right" w:leader="dot" w:pos="8296"/>
            </w:tabs>
            <w:rPr>
              <w:rFonts w:eastAsiaTheme="minorEastAsia"/>
              <w:noProof/>
              <w:lang w:eastAsia="lv-LV"/>
            </w:rPr>
          </w:pPr>
          <w:hyperlink w:anchor="_Toc466466883" w:history="1">
            <w:r w:rsidRPr="00022047">
              <w:rPr>
                <w:rStyle w:val="Hyperlink"/>
                <w:rFonts w:cs="Times New Roman"/>
                <w:noProof/>
                <w14:scene3d>
                  <w14:camera w14:prst="orthographicFront"/>
                  <w14:lightRig w14:rig="threePt" w14:dir="t">
                    <w14:rot w14:lat="0" w14:lon="0" w14:rev="0"/>
                  </w14:lightRig>
                </w14:scene3d>
              </w:rPr>
              <w:t>6.4.</w:t>
            </w:r>
            <w:r>
              <w:rPr>
                <w:rFonts w:eastAsiaTheme="minorEastAsia"/>
                <w:noProof/>
                <w:lang w:eastAsia="lv-LV"/>
              </w:rPr>
              <w:tab/>
            </w:r>
            <w:r w:rsidRPr="00022047">
              <w:rPr>
                <w:rStyle w:val="Hyperlink"/>
                <w:noProof/>
              </w:rPr>
              <w:t>Nacionālās informācijas telpas attīstība un mediju politika</w:t>
            </w:r>
            <w:r>
              <w:rPr>
                <w:noProof/>
                <w:webHidden/>
              </w:rPr>
              <w:tab/>
            </w:r>
            <w:r>
              <w:rPr>
                <w:noProof/>
                <w:webHidden/>
              </w:rPr>
              <w:fldChar w:fldCharType="begin"/>
            </w:r>
            <w:r>
              <w:rPr>
                <w:noProof/>
                <w:webHidden/>
              </w:rPr>
              <w:instrText xml:space="preserve"> PAGEREF _Toc466466883 \h </w:instrText>
            </w:r>
            <w:r>
              <w:rPr>
                <w:noProof/>
                <w:webHidden/>
              </w:rPr>
            </w:r>
            <w:r>
              <w:rPr>
                <w:noProof/>
                <w:webHidden/>
              </w:rPr>
              <w:fldChar w:fldCharType="separate"/>
            </w:r>
            <w:r>
              <w:rPr>
                <w:noProof/>
                <w:webHidden/>
              </w:rPr>
              <w:t>48</w:t>
            </w:r>
            <w:r>
              <w:rPr>
                <w:noProof/>
                <w:webHidden/>
              </w:rPr>
              <w:fldChar w:fldCharType="end"/>
            </w:r>
          </w:hyperlink>
        </w:p>
        <w:p w14:paraId="0B72FF29" w14:textId="77777777" w:rsidR="004C752B" w:rsidRDefault="004C752B">
          <w:pPr>
            <w:pStyle w:val="TOC1"/>
            <w:tabs>
              <w:tab w:val="left" w:pos="440"/>
              <w:tab w:val="right" w:leader="dot" w:pos="8296"/>
            </w:tabs>
            <w:rPr>
              <w:rFonts w:eastAsiaTheme="minorEastAsia"/>
              <w:noProof/>
              <w:lang w:eastAsia="lv-LV"/>
            </w:rPr>
          </w:pPr>
          <w:hyperlink w:anchor="_Toc466466884" w:history="1">
            <w:r w:rsidRPr="00022047">
              <w:rPr>
                <w:rStyle w:val="Hyperlink"/>
                <w:noProof/>
              </w:rPr>
              <w:t>7.</w:t>
            </w:r>
            <w:r>
              <w:rPr>
                <w:rFonts w:eastAsiaTheme="minorEastAsia"/>
                <w:noProof/>
                <w:lang w:eastAsia="lv-LV"/>
              </w:rPr>
              <w:tab/>
            </w:r>
            <w:r w:rsidRPr="00022047">
              <w:rPr>
                <w:rStyle w:val="Hyperlink"/>
                <w:noProof/>
              </w:rPr>
              <w:t>Valsts iekšējā un ārējā drošība</w:t>
            </w:r>
            <w:r>
              <w:rPr>
                <w:noProof/>
                <w:webHidden/>
              </w:rPr>
              <w:tab/>
            </w:r>
            <w:r>
              <w:rPr>
                <w:noProof/>
                <w:webHidden/>
              </w:rPr>
              <w:fldChar w:fldCharType="begin"/>
            </w:r>
            <w:r>
              <w:rPr>
                <w:noProof/>
                <w:webHidden/>
              </w:rPr>
              <w:instrText xml:space="preserve"> PAGEREF _Toc466466884 \h </w:instrText>
            </w:r>
            <w:r>
              <w:rPr>
                <w:noProof/>
                <w:webHidden/>
              </w:rPr>
            </w:r>
            <w:r>
              <w:rPr>
                <w:noProof/>
                <w:webHidden/>
              </w:rPr>
              <w:fldChar w:fldCharType="separate"/>
            </w:r>
            <w:r>
              <w:rPr>
                <w:noProof/>
                <w:webHidden/>
              </w:rPr>
              <w:t>49</w:t>
            </w:r>
            <w:r>
              <w:rPr>
                <w:noProof/>
                <w:webHidden/>
              </w:rPr>
              <w:fldChar w:fldCharType="end"/>
            </w:r>
          </w:hyperlink>
        </w:p>
        <w:p w14:paraId="55B3729A" w14:textId="77777777" w:rsidR="004C752B" w:rsidRDefault="004C752B">
          <w:pPr>
            <w:pStyle w:val="TOC2"/>
            <w:tabs>
              <w:tab w:val="left" w:pos="880"/>
              <w:tab w:val="right" w:leader="dot" w:pos="8296"/>
            </w:tabs>
            <w:rPr>
              <w:rFonts w:eastAsiaTheme="minorEastAsia"/>
              <w:noProof/>
              <w:lang w:eastAsia="lv-LV"/>
            </w:rPr>
          </w:pPr>
          <w:hyperlink w:anchor="_Toc466466885" w:history="1">
            <w:r w:rsidRPr="00022047">
              <w:rPr>
                <w:rStyle w:val="Hyperlink"/>
                <w:noProof/>
                <w14:scene3d>
                  <w14:camera w14:prst="orthographicFront"/>
                  <w14:lightRig w14:rig="threePt" w14:dir="t">
                    <w14:rot w14:lat="0" w14:lon="0" w14:rev="0"/>
                  </w14:lightRig>
                </w14:scene3d>
              </w:rPr>
              <w:t>7.1.</w:t>
            </w:r>
            <w:r>
              <w:rPr>
                <w:rFonts w:eastAsiaTheme="minorEastAsia"/>
                <w:noProof/>
                <w:lang w:eastAsia="lv-LV"/>
              </w:rPr>
              <w:tab/>
            </w:r>
            <w:r w:rsidRPr="00022047">
              <w:rPr>
                <w:rStyle w:val="Hyperlink"/>
                <w:noProof/>
              </w:rPr>
              <w:t>Valsts aizsardzības spēju stiprināšana</w:t>
            </w:r>
            <w:r>
              <w:rPr>
                <w:noProof/>
                <w:webHidden/>
              </w:rPr>
              <w:tab/>
            </w:r>
            <w:r>
              <w:rPr>
                <w:noProof/>
                <w:webHidden/>
              </w:rPr>
              <w:fldChar w:fldCharType="begin"/>
            </w:r>
            <w:r>
              <w:rPr>
                <w:noProof/>
                <w:webHidden/>
              </w:rPr>
              <w:instrText xml:space="preserve"> PAGEREF _Toc466466885 \h </w:instrText>
            </w:r>
            <w:r>
              <w:rPr>
                <w:noProof/>
                <w:webHidden/>
              </w:rPr>
            </w:r>
            <w:r>
              <w:rPr>
                <w:noProof/>
                <w:webHidden/>
              </w:rPr>
              <w:fldChar w:fldCharType="separate"/>
            </w:r>
            <w:r>
              <w:rPr>
                <w:noProof/>
                <w:webHidden/>
              </w:rPr>
              <w:t>49</w:t>
            </w:r>
            <w:r>
              <w:rPr>
                <w:noProof/>
                <w:webHidden/>
              </w:rPr>
              <w:fldChar w:fldCharType="end"/>
            </w:r>
          </w:hyperlink>
        </w:p>
        <w:p w14:paraId="60406C50" w14:textId="77777777" w:rsidR="004C752B" w:rsidRDefault="004C752B">
          <w:pPr>
            <w:pStyle w:val="TOC2"/>
            <w:tabs>
              <w:tab w:val="left" w:pos="880"/>
              <w:tab w:val="right" w:leader="dot" w:pos="8296"/>
            </w:tabs>
            <w:rPr>
              <w:rFonts w:eastAsiaTheme="minorEastAsia"/>
              <w:noProof/>
              <w:lang w:eastAsia="lv-LV"/>
            </w:rPr>
          </w:pPr>
          <w:hyperlink w:anchor="_Toc466466886" w:history="1">
            <w:r w:rsidRPr="00022047">
              <w:rPr>
                <w:rStyle w:val="Hyperlink"/>
                <w:noProof/>
                <w14:scene3d>
                  <w14:camera w14:prst="orthographicFront"/>
                  <w14:lightRig w14:rig="threePt" w14:dir="t">
                    <w14:rot w14:lat="0" w14:lon="0" w14:rev="0"/>
                  </w14:lightRig>
                </w14:scene3d>
              </w:rPr>
              <w:t>7.2.</w:t>
            </w:r>
            <w:r>
              <w:rPr>
                <w:rFonts w:eastAsiaTheme="minorEastAsia"/>
                <w:noProof/>
                <w:lang w:eastAsia="lv-LV"/>
              </w:rPr>
              <w:tab/>
            </w:r>
            <w:r w:rsidRPr="00022047">
              <w:rPr>
                <w:rStyle w:val="Hyperlink"/>
                <w:noProof/>
              </w:rPr>
              <w:t>Iekšējā drošība</w:t>
            </w:r>
            <w:r>
              <w:rPr>
                <w:noProof/>
                <w:webHidden/>
              </w:rPr>
              <w:tab/>
            </w:r>
            <w:r>
              <w:rPr>
                <w:noProof/>
                <w:webHidden/>
              </w:rPr>
              <w:fldChar w:fldCharType="begin"/>
            </w:r>
            <w:r>
              <w:rPr>
                <w:noProof/>
                <w:webHidden/>
              </w:rPr>
              <w:instrText xml:space="preserve"> PAGEREF _Toc466466886 \h </w:instrText>
            </w:r>
            <w:r>
              <w:rPr>
                <w:noProof/>
                <w:webHidden/>
              </w:rPr>
            </w:r>
            <w:r>
              <w:rPr>
                <w:noProof/>
                <w:webHidden/>
              </w:rPr>
              <w:fldChar w:fldCharType="separate"/>
            </w:r>
            <w:r>
              <w:rPr>
                <w:noProof/>
                <w:webHidden/>
              </w:rPr>
              <w:t>51</w:t>
            </w:r>
            <w:r>
              <w:rPr>
                <w:noProof/>
                <w:webHidden/>
              </w:rPr>
              <w:fldChar w:fldCharType="end"/>
            </w:r>
          </w:hyperlink>
        </w:p>
        <w:p w14:paraId="0E426CF0" w14:textId="77777777" w:rsidR="00A23BC7" w:rsidRDefault="00A23BC7">
          <w:r w:rsidRPr="00A71CD6">
            <w:rPr>
              <w:rFonts w:ascii="Times New Roman" w:hAnsi="Times New Roman" w:cs="Times New Roman"/>
              <w:b/>
              <w:bCs/>
              <w:noProof/>
            </w:rPr>
            <w:fldChar w:fldCharType="end"/>
          </w:r>
        </w:p>
      </w:sdtContent>
    </w:sdt>
    <w:p w14:paraId="2559E970" w14:textId="77777777" w:rsidR="00DD63F4" w:rsidRDefault="00DD63F4" w:rsidP="0009008F">
      <w:pPr>
        <w:pStyle w:val="Heading1"/>
        <w:numPr>
          <w:ilvl w:val="0"/>
          <w:numId w:val="0"/>
        </w:numPr>
      </w:pPr>
    </w:p>
    <w:p w14:paraId="41970CC7" w14:textId="77777777" w:rsidR="00FF1B19" w:rsidRDefault="00FF1B19">
      <w:bookmarkStart w:id="0" w:name="_Toc465349526"/>
      <w:bookmarkStart w:id="1" w:name="_Toc465089704"/>
      <w:r>
        <w:rPr>
          <w:b/>
          <w:bCs/>
          <w:caps/>
        </w:rPr>
        <w:br w:type="page"/>
      </w:r>
    </w:p>
    <w:p w14:paraId="5671664A" w14:textId="7954B455" w:rsidR="00E97E07" w:rsidRDefault="00E97E07" w:rsidP="0009008F">
      <w:pPr>
        <w:pStyle w:val="Heading1"/>
        <w:numPr>
          <w:ilvl w:val="0"/>
          <w:numId w:val="0"/>
        </w:numPr>
      </w:pPr>
      <w:bookmarkStart w:id="2" w:name="_Toc466466851"/>
      <w:r>
        <w:lastRenderedPageBreak/>
        <w:t xml:space="preserve">Izmantotie </w:t>
      </w:r>
      <w:r w:rsidR="00885CB6">
        <w:t>s</w:t>
      </w:r>
      <w:r>
        <w:t>aīsinājumi</w:t>
      </w:r>
      <w:bookmarkEnd w:id="0"/>
      <w:bookmarkEnd w:id="1"/>
      <w:bookmarkEnd w:id="2"/>
    </w:p>
    <w:p w14:paraId="576DF74E" w14:textId="77777777" w:rsidR="003A2BE3" w:rsidRDefault="003A2BE3" w:rsidP="003A2BE3">
      <w:pPr>
        <w:spacing w:after="0"/>
        <w:jc w:val="both"/>
        <w:rPr>
          <w:rFonts w:ascii="Times New Roman" w:eastAsia="Times New Roman" w:hAnsi="Times New Roman" w:cs="Times New Roman"/>
          <w:color w:val="000000" w:themeColor="text1"/>
          <w:sz w:val="24"/>
          <w:szCs w:val="24"/>
        </w:rPr>
      </w:pPr>
      <w:proofErr w:type="spellStart"/>
      <w:r w:rsidRPr="009F6EE6">
        <w:rPr>
          <w:rFonts w:ascii="Times New Roman" w:eastAsia="Times New Roman" w:hAnsi="Times New Roman" w:cs="Times New Roman"/>
          <w:b/>
          <w:color w:val="000000" w:themeColor="text1"/>
          <w:sz w:val="24"/>
          <w:szCs w:val="24"/>
        </w:rPr>
        <w:t>AiM</w:t>
      </w:r>
      <w:proofErr w:type="spellEnd"/>
      <w:r>
        <w:rPr>
          <w:rFonts w:ascii="Times New Roman" w:eastAsia="Times New Roman" w:hAnsi="Times New Roman" w:cs="Times New Roman"/>
          <w:color w:val="000000" w:themeColor="text1"/>
          <w:sz w:val="24"/>
          <w:szCs w:val="24"/>
        </w:rPr>
        <w:t xml:space="preserve"> – Aizsardzības ministrija</w:t>
      </w:r>
    </w:p>
    <w:p w14:paraId="5E6F52A2" w14:textId="77777777" w:rsidR="00560C71" w:rsidRDefault="00560C71" w:rsidP="003A2BE3">
      <w:pPr>
        <w:spacing w:after="0"/>
        <w:jc w:val="both"/>
        <w:rPr>
          <w:rFonts w:ascii="Times New Roman" w:hAnsi="Times New Roman" w:cs="Times New Roman"/>
          <w:b/>
          <w:sz w:val="24"/>
          <w:szCs w:val="24"/>
        </w:rPr>
      </w:pPr>
      <w:r>
        <w:rPr>
          <w:rFonts w:ascii="Times New Roman" w:hAnsi="Times New Roman" w:cs="Times New Roman"/>
          <w:b/>
          <w:sz w:val="24"/>
          <w:szCs w:val="24"/>
        </w:rPr>
        <w:t>ĀM</w:t>
      </w:r>
      <w:r w:rsidRPr="00FD66D7">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296A08">
        <w:rPr>
          <w:rFonts w:ascii="Times New Roman" w:hAnsi="Times New Roman" w:cs="Times New Roman"/>
          <w:sz w:val="24"/>
          <w:szCs w:val="24"/>
        </w:rPr>
        <w:t>Ārlietu ministrija</w:t>
      </w:r>
    </w:p>
    <w:p w14:paraId="708A63BD" w14:textId="5F77A91B" w:rsidR="00DA18D0" w:rsidRDefault="00DA18D0" w:rsidP="003A2BE3">
      <w:pPr>
        <w:spacing w:after="0"/>
        <w:jc w:val="both"/>
        <w:rPr>
          <w:rFonts w:ascii="Times New Roman" w:eastAsia="Times New Roman" w:hAnsi="Times New Roman" w:cs="Times New Roman"/>
          <w:color w:val="000000" w:themeColor="text1"/>
          <w:sz w:val="24"/>
          <w:szCs w:val="24"/>
        </w:rPr>
      </w:pPr>
      <w:r w:rsidRPr="00DA18D0">
        <w:rPr>
          <w:rFonts w:ascii="Times New Roman" w:eastAsia="Times New Roman" w:hAnsi="Times New Roman" w:cs="Times New Roman"/>
          <w:b/>
          <w:color w:val="000000" w:themeColor="text1"/>
          <w:sz w:val="24"/>
          <w:szCs w:val="24"/>
        </w:rPr>
        <w:t>ALTUM</w:t>
      </w:r>
      <w:r>
        <w:rPr>
          <w:rFonts w:ascii="Times New Roman" w:eastAsia="Times New Roman" w:hAnsi="Times New Roman" w:cs="Times New Roman"/>
          <w:color w:val="000000" w:themeColor="text1"/>
          <w:sz w:val="24"/>
          <w:szCs w:val="24"/>
        </w:rPr>
        <w:t xml:space="preserve"> </w:t>
      </w:r>
      <w:r w:rsidR="00AA0197">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00826493">
        <w:rPr>
          <w:rFonts w:ascii="Times New Roman" w:eastAsia="Times New Roman" w:hAnsi="Times New Roman" w:cs="Times New Roman"/>
          <w:color w:val="000000" w:themeColor="text1"/>
          <w:sz w:val="24"/>
          <w:szCs w:val="24"/>
        </w:rPr>
        <w:t>akciju sabiedrība</w:t>
      </w:r>
      <w:r w:rsidRPr="00DA18D0">
        <w:rPr>
          <w:rFonts w:ascii="Times New Roman" w:eastAsia="Times New Roman" w:hAnsi="Times New Roman" w:cs="Times New Roman"/>
          <w:color w:val="000000" w:themeColor="text1"/>
          <w:sz w:val="24"/>
          <w:szCs w:val="24"/>
        </w:rPr>
        <w:t xml:space="preserve"> "Attīstības finanšu institūcija </w:t>
      </w:r>
      <w:proofErr w:type="spellStart"/>
      <w:r w:rsidRPr="00DA18D0">
        <w:rPr>
          <w:rFonts w:ascii="Times New Roman" w:eastAsia="Times New Roman" w:hAnsi="Times New Roman" w:cs="Times New Roman"/>
          <w:color w:val="000000" w:themeColor="text1"/>
          <w:sz w:val="24"/>
          <w:szCs w:val="24"/>
        </w:rPr>
        <w:t>Altum</w:t>
      </w:r>
      <w:proofErr w:type="spellEnd"/>
      <w:r w:rsidRPr="00DA18D0">
        <w:rPr>
          <w:rFonts w:ascii="Times New Roman" w:eastAsia="Times New Roman" w:hAnsi="Times New Roman" w:cs="Times New Roman"/>
          <w:color w:val="000000" w:themeColor="text1"/>
          <w:sz w:val="24"/>
          <w:szCs w:val="24"/>
        </w:rPr>
        <w:t>"</w:t>
      </w:r>
    </w:p>
    <w:p w14:paraId="30B53DAF" w14:textId="77777777" w:rsidR="003A2BE3" w:rsidRDefault="003A2BE3" w:rsidP="003A2BE3">
      <w:pPr>
        <w:spacing w:after="0"/>
        <w:jc w:val="both"/>
        <w:rPr>
          <w:rFonts w:ascii="Times New Roman" w:hAnsi="Times New Roman" w:cs="Times New Roman"/>
          <w:sz w:val="24"/>
          <w:szCs w:val="24"/>
        </w:rPr>
      </w:pPr>
      <w:r w:rsidRPr="000D57E4">
        <w:rPr>
          <w:rFonts w:ascii="Times New Roman" w:hAnsi="Times New Roman" w:cs="Times New Roman"/>
          <w:b/>
          <w:sz w:val="24"/>
          <w:szCs w:val="24"/>
        </w:rPr>
        <w:t>CFLA</w:t>
      </w:r>
      <w:r w:rsidRPr="00AA0197">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Centrālā finanšu un līgumu aģentūra</w:t>
      </w:r>
    </w:p>
    <w:p w14:paraId="340C2DF4" w14:textId="2C430410" w:rsidR="003A2BE3" w:rsidRDefault="003A2BE3" w:rsidP="003A2BE3">
      <w:pPr>
        <w:spacing w:after="0"/>
        <w:jc w:val="both"/>
        <w:rPr>
          <w:rFonts w:ascii="Times New Roman" w:eastAsia="Times New Roman" w:hAnsi="Times New Roman" w:cs="Times New Roman"/>
          <w:color w:val="000000" w:themeColor="text1"/>
          <w:sz w:val="24"/>
          <w:szCs w:val="24"/>
        </w:rPr>
      </w:pPr>
      <w:r w:rsidRPr="00F83C6C">
        <w:rPr>
          <w:rFonts w:ascii="Times New Roman" w:eastAsia="Times New Roman" w:hAnsi="Times New Roman" w:cs="Times New Roman"/>
          <w:b/>
          <w:color w:val="000000" w:themeColor="text1"/>
          <w:sz w:val="24"/>
          <w:szCs w:val="24"/>
        </w:rPr>
        <w:t>DLC</w:t>
      </w:r>
      <w:r>
        <w:rPr>
          <w:rFonts w:ascii="Times New Roman" w:eastAsia="Times New Roman" w:hAnsi="Times New Roman" w:cs="Times New Roman"/>
          <w:color w:val="000000" w:themeColor="text1"/>
          <w:sz w:val="24"/>
          <w:szCs w:val="24"/>
        </w:rPr>
        <w:t xml:space="preserve"> – </w:t>
      </w:r>
      <w:r w:rsidR="006B13D3" w:rsidRPr="006B13D3">
        <w:rPr>
          <w:rFonts w:ascii="Times New Roman" w:eastAsia="Times New Roman" w:hAnsi="Times New Roman" w:cs="Times New Roman"/>
          <w:color w:val="000000" w:themeColor="text1"/>
          <w:sz w:val="24"/>
          <w:szCs w:val="24"/>
        </w:rPr>
        <w:t>ekspertu sadarbības platforma “Demogrāfisko lietu centrs”</w:t>
      </w:r>
    </w:p>
    <w:p w14:paraId="6043C132" w14:textId="00347F61" w:rsidR="00C865E9" w:rsidRPr="00C865E9" w:rsidRDefault="00C865E9" w:rsidP="003A2BE3">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DVB </w:t>
      </w:r>
      <w:r>
        <w:rPr>
          <w:rFonts w:ascii="Times New Roman" w:eastAsia="Times New Roman" w:hAnsi="Times New Roman" w:cs="Times New Roman"/>
          <w:color w:val="000000" w:themeColor="text1"/>
          <w:sz w:val="24"/>
          <w:szCs w:val="24"/>
        </w:rPr>
        <w:t xml:space="preserve">– </w:t>
      </w:r>
      <w:r w:rsidR="00E5214F">
        <w:rPr>
          <w:rFonts w:ascii="Times New Roman" w:hAnsi="Times New Roman" w:cs="Times New Roman"/>
          <w:sz w:val="24"/>
          <w:szCs w:val="24"/>
        </w:rPr>
        <w:t>darba vidē balstīts</w:t>
      </w:r>
    </w:p>
    <w:p w14:paraId="524BB924" w14:textId="77777777" w:rsidR="00964BE7" w:rsidRDefault="00964BE7" w:rsidP="003A2BE3">
      <w:pPr>
        <w:spacing w:after="0"/>
        <w:jc w:val="both"/>
        <w:rPr>
          <w:rFonts w:ascii="Times New Roman" w:eastAsia="Times New Roman" w:hAnsi="Times New Roman" w:cs="Times New Roman"/>
          <w:color w:val="000000" w:themeColor="text1"/>
          <w:sz w:val="24"/>
          <w:szCs w:val="24"/>
        </w:rPr>
      </w:pPr>
      <w:r w:rsidRPr="00964BE7">
        <w:rPr>
          <w:rFonts w:ascii="Times New Roman" w:eastAsia="Times New Roman" w:hAnsi="Times New Roman" w:cs="Times New Roman"/>
          <w:b/>
          <w:color w:val="000000" w:themeColor="text1"/>
          <w:sz w:val="24"/>
          <w:szCs w:val="24"/>
        </w:rPr>
        <w:t>EK</w:t>
      </w:r>
      <w:r>
        <w:rPr>
          <w:rFonts w:ascii="Times New Roman" w:eastAsia="Times New Roman" w:hAnsi="Times New Roman" w:cs="Times New Roman"/>
          <w:color w:val="000000" w:themeColor="text1"/>
          <w:sz w:val="24"/>
          <w:szCs w:val="24"/>
        </w:rPr>
        <w:t xml:space="preserve"> – Eiropas Komisija</w:t>
      </w:r>
    </w:p>
    <w:p w14:paraId="70AEB9DE" w14:textId="77777777" w:rsidR="00B80338" w:rsidRDefault="00B80338" w:rsidP="00B80338">
      <w:pPr>
        <w:spacing w:after="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EM</w:t>
      </w:r>
      <w:r w:rsidRPr="00FD66D7">
        <w:rPr>
          <w:rFonts w:ascii="Times New Roman" w:eastAsia="Times New Roman" w:hAnsi="Times New Roman" w:cs="Times New Roman"/>
          <w:color w:val="000000" w:themeColor="text1"/>
          <w:sz w:val="24"/>
          <w:szCs w:val="24"/>
        </w:rPr>
        <w:t xml:space="preserve"> – </w:t>
      </w:r>
      <w:r w:rsidRPr="00FA64FE">
        <w:rPr>
          <w:rFonts w:ascii="Times New Roman" w:eastAsia="Times New Roman" w:hAnsi="Times New Roman" w:cs="Times New Roman"/>
          <w:color w:val="000000" w:themeColor="text1"/>
          <w:sz w:val="24"/>
          <w:szCs w:val="24"/>
        </w:rPr>
        <w:t>Ekonomikas ministrija</w:t>
      </w:r>
    </w:p>
    <w:p w14:paraId="3E0A6934" w14:textId="77777777" w:rsidR="00173A89" w:rsidRDefault="00173A89" w:rsidP="003A2BE3">
      <w:pPr>
        <w:spacing w:after="0"/>
        <w:jc w:val="both"/>
        <w:rPr>
          <w:rFonts w:ascii="Times New Roman" w:eastAsia="Times New Roman" w:hAnsi="Times New Roman" w:cs="Times New Roman"/>
          <w:color w:val="000000" w:themeColor="text1"/>
          <w:sz w:val="24"/>
          <w:szCs w:val="24"/>
        </w:rPr>
      </w:pPr>
      <w:r w:rsidRPr="00173A89">
        <w:rPr>
          <w:rFonts w:ascii="Times New Roman" w:eastAsia="Times New Roman" w:hAnsi="Times New Roman" w:cs="Times New Roman"/>
          <w:b/>
          <w:color w:val="000000" w:themeColor="text1"/>
          <w:sz w:val="24"/>
          <w:szCs w:val="24"/>
        </w:rPr>
        <w:t>EP</w:t>
      </w:r>
      <w:r>
        <w:rPr>
          <w:rFonts w:ascii="Times New Roman" w:eastAsia="Times New Roman" w:hAnsi="Times New Roman" w:cs="Times New Roman"/>
          <w:color w:val="000000" w:themeColor="text1"/>
          <w:sz w:val="24"/>
          <w:szCs w:val="24"/>
        </w:rPr>
        <w:t xml:space="preserve"> – Eiropas Padome</w:t>
      </w:r>
      <w:bookmarkStart w:id="3" w:name="_GoBack"/>
      <w:bookmarkEnd w:id="3"/>
    </w:p>
    <w:p w14:paraId="3072C28A" w14:textId="77777777" w:rsidR="00964BE7" w:rsidRDefault="00964BE7" w:rsidP="003A2BE3">
      <w:pPr>
        <w:spacing w:after="0"/>
        <w:jc w:val="both"/>
        <w:rPr>
          <w:rFonts w:ascii="Times New Roman" w:eastAsia="Times New Roman" w:hAnsi="Times New Roman" w:cs="Times New Roman"/>
          <w:color w:val="000000" w:themeColor="text1"/>
          <w:sz w:val="24"/>
          <w:szCs w:val="24"/>
        </w:rPr>
      </w:pPr>
      <w:r w:rsidRPr="00964BE7">
        <w:rPr>
          <w:rFonts w:ascii="Times New Roman" w:eastAsia="Times New Roman" w:hAnsi="Times New Roman" w:cs="Times New Roman"/>
          <w:b/>
          <w:color w:val="000000" w:themeColor="text1"/>
          <w:sz w:val="24"/>
          <w:szCs w:val="24"/>
        </w:rPr>
        <w:t>ES</w:t>
      </w:r>
      <w:r>
        <w:rPr>
          <w:rFonts w:ascii="Times New Roman" w:eastAsia="Times New Roman" w:hAnsi="Times New Roman" w:cs="Times New Roman"/>
          <w:color w:val="000000" w:themeColor="text1"/>
          <w:sz w:val="24"/>
          <w:szCs w:val="24"/>
        </w:rPr>
        <w:t xml:space="preserve"> – Eiropas Savienība</w:t>
      </w:r>
    </w:p>
    <w:p w14:paraId="3D9DE905" w14:textId="77777777" w:rsidR="00E8338A" w:rsidRDefault="00E8338A" w:rsidP="003A2BE3">
      <w:pPr>
        <w:spacing w:after="0"/>
        <w:jc w:val="both"/>
        <w:rPr>
          <w:rFonts w:ascii="Times New Roman" w:eastAsia="Times New Roman" w:hAnsi="Times New Roman" w:cs="Times New Roman"/>
          <w:color w:val="000000" w:themeColor="text1"/>
          <w:sz w:val="24"/>
          <w:szCs w:val="24"/>
        </w:rPr>
      </w:pPr>
      <w:r w:rsidRPr="00E8338A">
        <w:rPr>
          <w:rFonts w:ascii="Times New Roman" w:eastAsia="Times New Roman" w:hAnsi="Times New Roman" w:cs="Times New Roman"/>
          <w:b/>
          <w:color w:val="000000" w:themeColor="text1"/>
          <w:sz w:val="24"/>
          <w:szCs w:val="24"/>
        </w:rPr>
        <w:t>ETS</w:t>
      </w:r>
      <w:r>
        <w:rPr>
          <w:rFonts w:ascii="Times New Roman" w:eastAsia="Times New Roman" w:hAnsi="Times New Roman" w:cs="Times New Roman"/>
          <w:color w:val="000000" w:themeColor="text1"/>
          <w:sz w:val="24"/>
          <w:szCs w:val="24"/>
        </w:rPr>
        <w:t xml:space="preserve"> – emisiju tirdzniecības sistēma</w:t>
      </w:r>
    </w:p>
    <w:p w14:paraId="6E014A31" w14:textId="56A08CBC" w:rsidR="003A2BE3" w:rsidRDefault="003A2BE3" w:rsidP="003A2BE3">
      <w:pPr>
        <w:spacing w:after="0"/>
        <w:jc w:val="both"/>
        <w:rPr>
          <w:rFonts w:ascii="Times New Roman" w:hAnsi="Times New Roman" w:cs="Times New Roman"/>
          <w:sz w:val="24"/>
          <w:szCs w:val="24"/>
        </w:rPr>
      </w:pPr>
      <w:r w:rsidRPr="00386B2A">
        <w:rPr>
          <w:rFonts w:ascii="Times New Roman" w:hAnsi="Times New Roman" w:cs="Times New Roman"/>
          <w:b/>
          <w:sz w:val="24"/>
          <w:szCs w:val="24"/>
        </w:rPr>
        <w:t>FICIL</w:t>
      </w:r>
      <w:r>
        <w:rPr>
          <w:rFonts w:ascii="Times New Roman" w:hAnsi="Times New Roman" w:cs="Times New Roman"/>
          <w:sz w:val="24"/>
          <w:szCs w:val="24"/>
        </w:rPr>
        <w:t xml:space="preserve"> </w:t>
      </w:r>
      <w:r w:rsidR="00AA0197">
        <w:rPr>
          <w:rFonts w:ascii="Times New Roman" w:hAnsi="Times New Roman" w:cs="Times New Roman"/>
          <w:sz w:val="24"/>
          <w:szCs w:val="24"/>
        </w:rPr>
        <w:t>–</w:t>
      </w:r>
      <w:r w:rsidRPr="00CE18E8">
        <w:rPr>
          <w:rFonts w:ascii="Times New Roman" w:hAnsi="Times New Roman" w:cs="Times New Roman"/>
          <w:sz w:val="24"/>
          <w:szCs w:val="24"/>
        </w:rPr>
        <w:t xml:space="preserve"> Ārvalstu investoru padom</w:t>
      </w:r>
      <w:r w:rsidR="00826493">
        <w:rPr>
          <w:rFonts w:ascii="Times New Roman" w:hAnsi="Times New Roman" w:cs="Times New Roman"/>
          <w:sz w:val="24"/>
          <w:szCs w:val="24"/>
        </w:rPr>
        <w:t>e</w:t>
      </w:r>
      <w:r w:rsidRPr="00CE18E8">
        <w:rPr>
          <w:rFonts w:ascii="Times New Roman" w:hAnsi="Times New Roman" w:cs="Times New Roman"/>
          <w:sz w:val="24"/>
          <w:szCs w:val="24"/>
        </w:rPr>
        <w:t xml:space="preserve"> Latvijā</w:t>
      </w:r>
    </w:p>
    <w:p w14:paraId="428830C9" w14:textId="77777777" w:rsidR="003A2BE3" w:rsidRDefault="003A2BE3" w:rsidP="003A2BE3">
      <w:pPr>
        <w:spacing w:after="0"/>
        <w:jc w:val="both"/>
        <w:rPr>
          <w:rFonts w:ascii="Times New Roman" w:eastAsia="Times New Roman" w:hAnsi="Times New Roman" w:cs="Times New Roman"/>
          <w:color w:val="000000" w:themeColor="text1"/>
          <w:sz w:val="24"/>
          <w:szCs w:val="24"/>
        </w:rPr>
      </w:pPr>
      <w:r w:rsidRPr="00A71CD6">
        <w:rPr>
          <w:rFonts w:ascii="Times New Roman" w:eastAsia="Times New Roman" w:hAnsi="Times New Roman" w:cs="Times New Roman"/>
          <w:b/>
          <w:color w:val="000000" w:themeColor="text1"/>
          <w:sz w:val="24"/>
          <w:szCs w:val="24"/>
        </w:rPr>
        <w:t>FM</w:t>
      </w:r>
      <w:r>
        <w:rPr>
          <w:rFonts w:ascii="Times New Roman" w:eastAsia="Times New Roman" w:hAnsi="Times New Roman" w:cs="Times New Roman"/>
          <w:color w:val="000000" w:themeColor="text1"/>
          <w:sz w:val="24"/>
          <w:szCs w:val="24"/>
        </w:rPr>
        <w:t xml:space="preserve"> – Finanšu ministrija</w:t>
      </w:r>
    </w:p>
    <w:p w14:paraId="6FC1EB36" w14:textId="6521C8D6" w:rsidR="00296A08" w:rsidRDefault="00296A08" w:rsidP="003A2BE3">
      <w:pPr>
        <w:spacing w:after="0"/>
        <w:jc w:val="both"/>
        <w:rPr>
          <w:rFonts w:ascii="Times New Roman" w:hAnsi="Times New Roman" w:cs="Times New Roman"/>
          <w:b/>
          <w:sz w:val="24"/>
          <w:szCs w:val="24"/>
        </w:rPr>
      </w:pPr>
      <w:r w:rsidRPr="00296A08">
        <w:rPr>
          <w:rFonts w:ascii="Times New Roman" w:hAnsi="Times New Roman" w:cs="Times New Roman"/>
          <w:b/>
          <w:sz w:val="24"/>
          <w:szCs w:val="24"/>
        </w:rPr>
        <w:t>GAPMIL</w:t>
      </w:r>
      <w:r>
        <w:rPr>
          <w:rFonts w:ascii="Times New Roman" w:hAnsi="Times New Roman" w:cs="Times New Roman"/>
          <w:sz w:val="24"/>
          <w:szCs w:val="24"/>
        </w:rPr>
        <w:t xml:space="preserve"> </w:t>
      </w:r>
      <w:r w:rsidR="00AA0197">
        <w:rPr>
          <w:rFonts w:ascii="Times New Roman" w:hAnsi="Times New Roman" w:cs="Times New Roman"/>
          <w:sz w:val="24"/>
          <w:szCs w:val="24"/>
        </w:rPr>
        <w:t>–</w:t>
      </w:r>
      <w:r>
        <w:rPr>
          <w:rFonts w:ascii="Times New Roman" w:hAnsi="Times New Roman" w:cs="Times New Roman"/>
          <w:sz w:val="24"/>
          <w:szCs w:val="24"/>
        </w:rPr>
        <w:t xml:space="preserve"> </w:t>
      </w:r>
      <w:r w:rsidRPr="00E641F3">
        <w:rPr>
          <w:rFonts w:ascii="Times New Roman" w:hAnsi="Times New Roman" w:cs="Times New Roman"/>
          <w:sz w:val="24"/>
          <w:szCs w:val="24"/>
        </w:rPr>
        <w:t>Globāl</w:t>
      </w:r>
      <w:r>
        <w:rPr>
          <w:rFonts w:ascii="Times New Roman" w:hAnsi="Times New Roman" w:cs="Times New Roman"/>
          <w:sz w:val="24"/>
          <w:szCs w:val="24"/>
        </w:rPr>
        <w:t>ā</w:t>
      </w:r>
      <w:r w:rsidRPr="00E641F3">
        <w:rPr>
          <w:rFonts w:ascii="Times New Roman" w:hAnsi="Times New Roman" w:cs="Times New Roman"/>
          <w:sz w:val="24"/>
          <w:szCs w:val="24"/>
        </w:rPr>
        <w:t xml:space="preserve"> alians</w:t>
      </w:r>
      <w:r>
        <w:rPr>
          <w:rFonts w:ascii="Times New Roman" w:hAnsi="Times New Roman" w:cs="Times New Roman"/>
          <w:sz w:val="24"/>
          <w:szCs w:val="24"/>
        </w:rPr>
        <w:t>e</w:t>
      </w:r>
      <w:r w:rsidRPr="00E641F3">
        <w:rPr>
          <w:rFonts w:ascii="Times New Roman" w:hAnsi="Times New Roman" w:cs="Times New Roman"/>
          <w:sz w:val="24"/>
          <w:szCs w:val="24"/>
        </w:rPr>
        <w:t xml:space="preserve"> sadarbībai </w:t>
      </w:r>
      <w:proofErr w:type="spellStart"/>
      <w:r w:rsidRPr="00E641F3">
        <w:rPr>
          <w:rFonts w:ascii="Times New Roman" w:hAnsi="Times New Roman" w:cs="Times New Roman"/>
          <w:sz w:val="24"/>
          <w:szCs w:val="24"/>
        </w:rPr>
        <w:t>medijpratības</w:t>
      </w:r>
      <w:proofErr w:type="spellEnd"/>
      <w:r w:rsidRPr="00E641F3">
        <w:rPr>
          <w:rFonts w:ascii="Times New Roman" w:hAnsi="Times New Roman" w:cs="Times New Roman"/>
          <w:sz w:val="24"/>
          <w:szCs w:val="24"/>
        </w:rPr>
        <w:t xml:space="preserve"> un </w:t>
      </w:r>
      <w:proofErr w:type="spellStart"/>
      <w:r w:rsidRPr="00E641F3">
        <w:rPr>
          <w:rFonts w:ascii="Times New Roman" w:hAnsi="Times New Roman" w:cs="Times New Roman"/>
          <w:sz w:val="24"/>
          <w:szCs w:val="24"/>
        </w:rPr>
        <w:t>informācijp</w:t>
      </w:r>
      <w:r>
        <w:rPr>
          <w:rFonts w:ascii="Times New Roman" w:hAnsi="Times New Roman" w:cs="Times New Roman"/>
          <w:sz w:val="24"/>
          <w:szCs w:val="24"/>
        </w:rPr>
        <w:t>ratības</w:t>
      </w:r>
      <w:proofErr w:type="spellEnd"/>
      <w:r>
        <w:rPr>
          <w:rFonts w:ascii="Times New Roman" w:hAnsi="Times New Roman" w:cs="Times New Roman"/>
          <w:sz w:val="24"/>
          <w:szCs w:val="24"/>
        </w:rPr>
        <w:t xml:space="preserve"> jomā</w:t>
      </w:r>
    </w:p>
    <w:p w14:paraId="7586F41B" w14:textId="77777777" w:rsidR="003A2BE3" w:rsidRDefault="003A2BE3" w:rsidP="003A2BE3">
      <w:pPr>
        <w:spacing w:after="0"/>
        <w:jc w:val="both"/>
        <w:rPr>
          <w:rFonts w:ascii="Times New Roman" w:eastAsia="Times New Roman" w:hAnsi="Times New Roman" w:cs="Times New Roman"/>
          <w:color w:val="000000" w:themeColor="text1"/>
          <w:sz w:val="24"/>
          <w:szCs w:val="24"/>
        </w:rPr>
      </w:pPr>
      <w:r w:rsidRPr="009F6EE6">
        <w:rPr>
          <w:rFonts w:ascii="Times New Roman" w:eastAsia="Times New Roman" w:hAnsi="Times New Roman" w:cs="Times New Roman"/>
          <w:b/>
          <w:color w:val="000000" w:themeColor="text1"/>
          <w:sz w:val="24"/>
          <w:szCs w:val="24"/>
        </w:rPr>
        <w:t>IeM</w:t>
      </w:r>
      <w:r>
        <w:rPr>
          <w:rFonts w:ascii="Times New Roman" w:eastAsia="Times New Roman" w:hAnsi="Times New Roman" w:cs="Times New Roman"/>
          <w:color w:val="000000" w:themeColor="text1"/>
          <w:sz w:val="24"/>
          <w:szCs w:val="24"/>
        </w:rPr>
        <w:t xml:space="preserve"> – Iekšlietu ministrija</w:t>
      </w:r>
    </w:p>
    <w:p w14:paraId="554F9CAE" w14:textId="0F1EEC33" w:rsidR="003A2BE3" w:rsidRDefault="003A2BE3" w:rsidP="003A2BE3">
      <w:pPr>
        <w:spacing w:after="0"/>
        <w:jc w:val="both"/>
        <w:rPr>
          <w:rFonts w:ascii="Times New Roman" w:hAnsi="Times New Roman" w:cs="Times New Roman"/>
          <w:sz w:val="24"/>
          <w:szCs w:val="24"/>
        </w:rPr>
      </w:pPr>
      <w:r w:rsidRPr="00395312">
        <w:rPr>
          <w:rFonts w:ascii="Times New Roman" w:hAnsi="Times New Roman" w:cs="Times New Roman"/>
          <w:b/>
          <w:sz w:val="24"/>
          <w:szCs w:val="24"/>
        </w:rPr>
        <w:t>IZM</w:t>
      </w:r>
      <w:r>
        <w:rPr>
          <w:rFonts w:ascii="Times New Roman" w:hAnsi="Times New Roman" w:cs="Times New Roman"/>
          <w:sz w:val="24"/>
          <w:szCs w:val="24"/>
        </w:rPr>
        <w:t xml:space="preserve"> </w:t>
      </w:r>
      <w:r w:rsidR="00826493">
        <w:rPr>
          <w:rFonts w:ascii="Times New Roman" w:hAnsi="Times New Roman" w:cs="Times New Roman"/>
          <w:sz w:val="24"/>
          <w:szCs w:val="24"/>
        </w:rPr>
        <w:t>–</w:t>
      </w:r>
      <w:r>
        <w:rPr>
          <w:rFonts w:ascii="Times New Roman" w:hAnsi="Times New Roman" w:cs="Times New Roman"/>
          <w:sz w:val="24"/>
          <w:szCs w:val="24"/>
        </w:rPr>
        <w:t xml:space="preserve"> </w:t>
      </w:r>
      <w:r w:rsidRPr="00395312">
        <w:rPr>
          <w:rFonts w:ascii="Times New Roman" w:hAnsi="Times New Roman" w:cs="Times New Roman"/>
          <w:sz w:val="24"/>
          <w:szCs w:val="24"/>
        </w:rPr>
        <w:t>Izg</w:t>
      </w:r>
      <w:r>
        <w:rPr>
          <w:rFonts w:ascii="Times New Roman" w:hAnsi="Times New Roman" w:cs="Times New Roman"/>
          <w:sz w:val="24"/>
          <w:szCs w:val="24"/>
        </w:rPr>
        <w:t>lītības un zinātnes ministrija</w:t>
      </w:r>
    </w:p>
    <w:p w14:paraId="3DB5A832" w14:textId="7D9983AD" w:rsidR="006730B1" w:rsidRPr="006730B1" w:rsidRDefault="006730B1" w:rsidP="00CC3E41">
      <w:pPr>
        <w:spacing w:after="0"/>
        <w:jc w:val="both"/>
        <w:rPr>
          <w:rFonts w:ascii="Times New Roman" w:hAnsi="Times New Roman" w:cs="Times New Roman"/>
          <w:sz w:val="24"/>
          <w:szCs w:val="24"/>
        </w:rPr>
      </w:pPr>
      <w:r w:rsidRPr="00F16B91">
        <w:rPr>
          <w:rFonts w:ascii="Times New Roman" w:hAnsi="Times New Roman" w:cs="Times New Roman"/>
          <w:b/>
          <w:sz w:val="24"/>
          <w:szCs w:val="24"/>
        </w:rPr>
        <w:t xml:space="preserve">JRT </w:t>
      </w:r>
      <w:r w:rsidRPr="00F16B91">
        <w:rPr>
          <w:rFonts w:ascii="Times New Roman" w:hAnsi="Times New Roman" w:cs="Times New Roman"/>
          <w:sz w:val="24"/>
          <w:szCs w:val="24"/>
        </w:rPr>
        <w:t xml:space="preserve">– Jaunais Rīgas </w:t>
      </w:r>
      <w:r w:rsidR="003F0C27" w:rsidRPr="00F16B91">
        <w:rPr>
          <w:rFonts w:ascii="Times New Roman" w:hAnsi="Times New Roman" w:cs="Times New Roman"/>
          <w:sz w:val="24"/>
          <w:szCs w:val="24"/>
        </w:rPr>
        <w:t>t</w:t>
      </w:r>
      <w:r w:rsidRPr="00F16B91">
        <w:rPr>
          <w:rFonts w:ascii="Times New Roman" w:hAnsi="Times New Roman" w:cs="Times New Roman"/>
          <w:sz w:val="24"/>
          <w:szCs w:val="24"/>
        </w:rPr>
        <w:t>eātris</w:t>
      </w:r>
    </w:p>
    <w:p w14:paraId="6A3A9633" w14:textId="77777777" w:rsidR="00CC3E41" w:rsidRDefault="00CC3E41" w:rsidP="00CC3E41">
      <w:pPr>
        <w:spacing w:after="0"/>
        <w:jc w:val="both"/>
        <w:rPr>
          <w:rFonts w:ascii="Times New Roman" w:hAnsi="Times New Roman" w:cs="Times New Roman"/>
          <w:sz w:val="24"/>
          <w:szCs w:val="24"/>
        </w:rPr>
      </w:pPr>
      <w:r w:rsidRPr="000D57E4">
        <w:rPr>
          <w:rFonts w:ascii="Times New Roman" w:hAnsi="Times New Roman" w:cs="Times New Roman"/>
          <w:b/>
          <w:sz w:val="24"/>
          <w:szCs w:val="24"/>
        </w:rPr>
        <w:t>KM</w:t>
      </w:r>
      <w:r>
        <w:rPr>
          <w:rFonts w:ascii="Times New Roman" w:hAnsi="Times New Roman" w:cs="Times New Roman"/>
          <w:sz w:val="24"/>
          <w:szCs w:val="24"/>
        </w:rPr>
        <w:t xml:space="preserve"> – Kultūras ministrija</w:t>
      </w:r>
    </w:p>
    <w:p w14:paraId="40671EAE" w14:textId="4F10E089" w:rsidR="000A35B9" w:rsidRDefault="000A35B9" w:rsidP="00CC3E41">
      <w:pPr>
        <w:spacing w:after="0"/>
        <w:jc w:val="both"/>
        <w:rPr>
          <w:rFonts w:ascii="Times New Roman" w:hAnsi="Times New Roman" w:cs="Times New Roman"/>
          <w:sz w:val="24"/>
          <w:szCs w:val="24"/>
        </w:rPr>
      </w:pPr>
      <w:r>
        <w:rPr>
          <w:rFonts w:ascii="Times New Roman" w:hAnsi="Times New Roman" w:cs="Times New Roman"/>
          <w:b/>
          <w:sz w:val="24"/>
          <w:szCs w:val="24"/>
        </w:rPr>
        <w:t xml:space="preserve">KNAB </w:t>
      </w:r>
      <w:r w:rsidRPr="00AA0197">
        <w:rPr>
          <w:rFonts w:ascii="Times New Roman" w:hAnsi="Times New Roman" w:cs="Times New Roman"/>
          <w:sz w:val="24"/>
          <w:szCs w:val="24"/>
        </w:rPr>
        <w:t xml:space="preserve">– </w:t>
      </w:r>
      <w:r w:rsidRPr="005A1F81">
        <w:rPr>
          <w:rFonts w:ascii="Times New Roman" w:hAnsi="Times New Roman" w:cs="Times New Roman"/>
          <w:sz w:val="24"/>
          <w:szCs w:val="24"/>
        </w:rPr>
        <w:t>Korupcijas novēršanas un apkarošanas birojs</w:t>
      </w:r>
    </w:p>
    <w:p w14:paraId="64A11E4F" w14:textId="3E3319D6" w:rsidR="00386B2A" w:rsidRDefault="00386B2A" w:rsidP="00386B2A">
      <w:pPr>
        <w:spacing w:after="0"/>
        <w:jc w:val="both"/>
        <w:rPr>
          <w:rFonts w:ascii="Times New Roman" w:hAnsi="Times New Roman" w:cs="Times New Roman"/>
          <w:sz w:val="24"/>
          <w:szCs w:val="24"/>
        </w:rPr>
      </w:pPr>
      <w:r w:rsidRPr="00386B2A">
        <w:rPr>
          <w:rFonts w:ascii="Times New Roman" w:hAnsi="Times New Roman" w:cs="Times New Roman"/>
          <w:b/>
          <w:sz w:val="24"/>
          <w:szCs w:val="24"/>
        </w:rPr>
        <w:t>LDDK</w:t>
      </w:r>
      <w:r>
        <w:rPr>
          <w:rFonts w:ascii="Times New Roman" w:hAnsi="Times New Roman" w:cs="Times New Roman"/>
          <w:sz w:val="24"/>
          <w:szCs w:val="24"/>
        </w:rPr>
        <w:t xml:space="preserve"> </w:t>
      </w:r>
      <w:r w:rsidR="00AA0197">
        <w:rPr>
          <w:rFonts w:ascii="Times New Roman" w:hAnsi="Times New Roman" w:cs="Times New Roman"/>
          <w:sz w:val="24"/>
          <w:szCs w:val="24"/>
        </w:rPr>
        <w:t>–</w:t>
      </w:r>
      <w:r w:rsidR="00FD66D7">
        <w:rPr>
          <w:rFonts w:ascii="Times New Roman" w:hAnsi="Times New Roman" w:cs="Times New Roman"/>
          <w:sz w:val="24"/>
          <w:szCs w:val="24"/>
        </w:rPr>
        <w:t xml:space="preserve"> </w:t>
      </w:r>
      <w:r w:rsidRPr="00CE18E8">
        <w:rPr>
          <w:rFonts w:ascii="Times New Roman" w:hAnsi="Times New Roman" w:cs="Times New Roman"/>
          <w:sz w:val="24"/>
          <w:szCs w:val="24"/>
        </w:rPr>
        <w:t>Latvijas Darba devēju konfederācij</w:t>
      </w:r>
      <w:r>
        <w:rPr>
          <w:rFonts w:ascii="Times New Roman" w:hAnsi="Times New Roman" w:cs="Times New Roman"/>
          <w:sz w:val="24"/>
          <w:szCs w:val="24"/>
        </w:rPr>
        <w:t>a</w:t>
      </w:r>
    </w:p>
    <w:p w14:paraId="7B898997" w14:textId="77777777" w:rsidR="00542E76" w:rsidRDefault="00542E76" w:rsidP="00386B2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LIAA </w:t>
      </w:r>
      <w:r w:rsidRPr="00AA0197">
        <w:rPr>
          <w:rFonts w:ascii="Times New Roman" w:hAnsi="Times New Roman" w:cs="Times New Roman"/>
          <w:sz w:val="24"/>
          <w:szCs w:val="24"/>
        </w:rPr>
        <w:t>–</w:t>
      </w:r>
      <w:r w:rsidR="00FA64FE">
        <w:rPr>
          <w:rFonts w:ascii="Times New Roman" w:hAnsi="Times New Roman" w:cs="Times New Roman"/>
          <w:b/>
          <w:sz w:val="24"/>
          <w:szCs w:val="24"/>
        </w:rPr>
        <w:t xml:space="preserve"> </w:t>
      </w:r>
      <w:r w:rsidR="00FA64FE" w:rsidRPr="00441F33">
        <w:rPr>
          <w:rFonts w:ascii="Times New Roman" w:hAnsi="Times New Roman" w:cs="Times New Roman"/>
          <w:sz w:val="24"/>
          <w:szCs w:val="24"/>
        </w:rPr>
        <w:t>Latvijas Inv</w:t>
      </w:r>
      <w:r w:rsidR="00FA64FE">
        <w:rPr>
          <w:rFonts w:ascii="Times New Roman" w:hAnsi="Times New Roman" w:cs="Times New Roman"/>
          <w:sz w:val="24"/>
          <w:szCs w:val="24"/>
        </w:rPr>
        <w:t>estīciju un attīstības aģentūra</w:t>
      </w:r>
    </w:p>
    <w:p w14:paraId="1414993D" w14:textId="77F34E0C" w:rsidR="00F93119" w:rsidRDefault="00F93119" w:rsidP="00386B2A">
      <w:pPr>
        <w:spacing w:after="0"/>
        <w:jc w:val="both"/>
        <w:rPr>
          <w:rFonts w:ascii="Times New Roman" w:hAnsi="Times New Roman" w:cs="Times New Roman"/>
          <w:sz w:val="24"/>
          <w:szCs w:val="24"/>
        </w:rPr>
      </w:pPr>
      <w:r w:rsidRPr="00F93119">
        <w:rPr>
          <w:rFonts w:ascii="Times New Roman" w:hAnsi="Times New Roman" w:cs="Times New Roman"/>
          <w:b/>
          <w:sz w:val="24"/>
          <w:szCs w:val="24"/>
        </w:rPr>
        <w:t>LIZDA</w:t>
      </w:r>
      <w:r>
        <w:rPr>
          <w:rFonts w:ascii="Times New Roman" w:hAnsi="Times New Roman" w:cs="Times New Roman"/>
          <w:sz w:val="24"/>
          <w:szCs w:val="24"/>
        </w:rPr>
        <w:t xml:space="preserve"> </w:t>
      </w:r>
      <w:r w:rsidR="00AA0197">
        <w:rPr>
          <w:rFonts w:ascii="Times New Roman" w:hAnsi="Times New Roman" w:cs="Times New Roman"/>
          <w:sz w:val="24"/>
          <w:szCs w:val="24"/>
        </w:rPr>
        <w:t xml:space="preserve">– </w:t>
      </w:r>
      <w:r w:rsidRPr="00F93119">
        <w:rPr>
          <w:rFonts w:ascii="Times New Roman" w:hAnsi="Times New Roman" w:cs="Times New Roman"/>
          <w:sz w:val="24"/>
          <w:szCs w:val="24"/>
        </w:rPr>
        <w:t>Latvijas Izglītības un zinātnes darbinieku arodbiedrība</w:t>
      </w:r>
    </w:p>
    <w:p w14:paraId="75477925" w14:textId="08285FFD" w:rsidR="00964BE7" w:rsidRDefault="00F93119" w:rsidP="003A2BE3">
      <w:pPr>
        <w:spacing w:after="0"/>
        <w:jc w:val="both"/>
        <w:rPr>
          <w:rFonts w:ascii="Times New Roman" w:eastAsia="Times New Roman" w:hAnsi="Times New Roman" w:cs="Times New Roman"/>
          <w:sz w:val="24"/>
          <w:szCs w:val="24"/>
          <w:lang w:eastAsia="lv-LV"/>
        </w:rPr>
      </w:pPr>
      <w:r w:rsidRPr="00F93119">
        <w:rPr>
          <w:rFonts w:ascii="Times New Roman" w:hAnsi="Times New Roman" w:cs="Times New Roman"/>
          <w:b/>
          <w:sz w:val="24"/>
          <w:szCs w:val="24"/>
        </w:rPr>
        <w:t>LIVA</w:t>
      </w:r>
      <w:r>
        <w:rPr>
          <w:rFonts w:ascii="Times New Roman" w:hAnsi="Times New Roman" w:cs="Times New Roman"/>
          <w:sz w:val="24"/>
          <w:szCs w:val="24"/>
        </w:rPr>
        <w:t xml:space="preserve"> </w:t>
      </w:r>
      <w:r w:rsidR="00AA0197">
        <w:rPr>
          <w:rFonts w:ascii="Times New Roman" w:hAnsi="Times New Roman" w:cs="Times New Roman"/>
          <w:sz w:val="24"/>
          <w:szCs w:val="24"/>
        </w:rPr>
        <w:t xml:space="preserve">– </w:t>
      </w:r>
      <w:r w:rsidRPr="008B688A">
        <w:rPr>
          <w:rFonts w:ascii="Times New Roman" w:eastAsia="Times New Roman" w:hAnsi="Times New Roman" w:cs="Times New Roman"/>
          <w:sz w:val="24"/>
          <w:szCs w:val="24"/>
          <w:lang w:eastAsia="lv-LV"/>
        </w:rPr>
        <w:t>Latvijas Izglītības vadītāju asociācija</w:t>
      </w:r>
    </w:p>
    <w:p w14:paraId="51FF854A" w14:textId="77777777" w:rsidR="003A2BE3" w:rsidRDefault="003A2BE3" w:rsidP="003A2BE3">
      <w:pPr>
        <w:spacing w:after="0"/>
        <w:jc w:val="both"/>
        <w:rPr>
          <w:rFonts w:ascii="Times New Roman" w:eastAsia="Times New Roman" w:hAnsi="Times New Roman" w:cs="Times New Roman"/>
          <w:color w:val="000000" w:themeColor="text1"/>
          <w:sz w:val="24"/>
          <w:szCs w:val="24"/>
        </w:rPr>
      </w:pPr>
      <w:r w:rsidRPr="00A71CD6">
        <w:rPr>
          <w:rFonts w:ascii="Times New Roman" w:eastAsia="Times New Roman" w:hAnsi="Times New Roman" w:cs="Times New Roman"/>
          <w:b/>
          <w:color w:val="000000" w:themeColor="text1"/>
          <w:sz w:val="24"/>
          <w:szCs w:val="24"/>
        </w:rPr>
        <w:t>LM</w:t>
      </w:r>
      <w:r>
        <w:rPr>
          <w:rFonts w:ascii="Times New Roman" w:eastAsia="Times New Roman" w:hAnsi="Times New Roman" w:cs="Times New Roman"/>
          <w:color w:val="000000" w:themeColor="text1"/>
          <w:sz w:val="24"/>
          <w:szCs w:val="24"/>
        </w:rPr>
        <w:t xml:space="preserve"> – Labklājības ministrija</w:t>
      </w:r>
    </w:p>
    <w:p w14:paraId="52A943AB" w14:textId="77777777" w:rsidR="001B1CE9" w:rsidRDefault="001B1CE9" w:rsidP="003A2BE3">
      <w:pPr>
        <w:spacing w:after="0"/>
        <w:jc w:val="both"/>
        <w:rPr>
          <w:rFonts w:ascii="Times New Roman" w:eastAsia="Times New Roman" w:hAnsi="Times New Roman" w:cs="Times New Roman"/>
          <w:color w:val="000000" w:themeColor="text1"/>
          <w:sz w:val="24"/>
          <w:szCs w:val="24"/>
        </w:rPr>
      </w:pPr>
      <w:r w:rsidRPr="00964BE7">
        <w:rPr>
          <w:rFonts w:ascii="Times New Roman" w:eastAsia="Times New Roman" w:hAnsi="Times New Roman" w:cs="Times New Roman"/>
          <w:b/>
          <w:color w:val="000000" w:themeColor="text1"/>
          <w:sz w:val="24"/>
          <w:szCs w:val="24"/>
        </w:rPr>
        <w:t>LNB</w:t>
      </w:r>
      <w:r>
        <w:rPr>
          <w:rFonts w:ascii="Times New Roman" w:eastAsia="Times New Roman" w:hAnsi="Times New Roman" w:cs="Times New Roman"/>
          <w:color w:val="000000" w:themeColor="text1"/>
          <w:sz w:val="24"/>
          <w:szCs w:val="24"/>
        </w:rPr>
        <w:t xml:space="preserve"> – Latvijas Nacionālā bibliotēka</w:t>
      </w:r>
    </w:p>
    <w:p w14:paraId="4295E484" w14:textId="6C4EFCDE" w:rsidR="00F93119" w:rsidRDefault="00F93119" w:rsidP="003A2BE3">
      <w:pPr>
        <w:spacing w:after="0"/>
        <w:jc w:val="both"/>
        <w:rPr>
          <w:rFonts w:ascii="Times New Roman" w:eastAsia="Times New Roman" w:hAnsi="Times New Roman" w:cs="Times New Roman"/>
          <w:color w:val="000000" w:themeColor="text1"/>
          <w:sz w:val="24"/>
          <w:szCs w:val="24"/>
        </w:rPr>
      </w:pPr>
      <w:r w:rsidRPr="00F93119">
        <w:rPr>
          <w:rFonts w:ascii="Times New Roman" w:eastAsia="Times New Roman" w:hAnsi="Times New Roman" w:cs="Times New Roman"/>
          <w:b/>
          <w:color w:val="000000" w:themeColor="text1"/>
          <w:sz w:val="24"/>
          <w:szCs w:val="24"/>
        </w:rPr>
        <w:t>LPS</w:t>
      </w:r>
      <w:r>
        <w:rPr>
          <w:rFonts w:ascii="Times New Roman" w:eastAsia="Times New Roman" w:hAnsi="Times New Roman" w:cs="Times New Roman"/>
          <w:color w:val="000000" w:themeColor="text1"/>
          <w:sz w:val="24"/>
          <w:szCs w:val="24"/>
        </w:rPr>
        <w:t xml:space="preserve"> </w:t>
      </w:r>
      <w:r w:rsidR="00AA0197">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8B688A">
        <w:rPr>
          <w:rFonts w:ascii="Times New Roman" w:eastAsia="Times New Roman" w:hAnsi="Times New Roman" w:cs="Times New Roman"/>
          <w:sz w:val="24"/>
          <w:szCs w:val="24"/>
          <w:lang w:eastAsia="lv-LV"/>
        </w:rPr>
        <w:t>Latvijas Pašvaldību savienība</w:t>
      </w:r>
    </w:p>
    <w:p w14:paraId="0B6C7D4A" w14:textId="50019382" w:rsidR="003A2BE3" w:rsidRDefault="003A2BE3" w:rsidP="003A2BE3">
      <w:pPr>
        <w:spacing w:after="0"/>
        <w:jc w:val="both"/>
        <w:rPr>
          <w:rFonts w:ascii="Times New Roman" w:hAnsi="Times New Roman" w:cs="Times New Roman"/>
          <w:sz w:val="24"/>
          <w:szCs w:val="24"/>
        </w:rPr>
      </w:pPr>
      <w:r w:rsidRPr="007C29D9">
        <w:rPr>
          <w:rFonts w:ascii="Times New Roman" w:hAnsi="Times New Roman" w:cs="Times New Roman"/>
          <w:b/>
          <w:sz w:val="24"/>
          <w:szCs w:val="24"/>
        </w:rPr>
        <w:t>LPIS</w:t>
      </w:r>
      <w:r w:rsidR="00DB6C34">
        <w:rPr>
          <w:rFonts w:ascii="Times New Roman" w:hAnsi="Times New Roman" w:cs="Times New Roman"/>
          <w:b/>
          <w:sz w:val="24"/>
          <w:szCs w:val="24"/>
        </w:rPr>
        <w:t>P</w:t>
      </w:r>
      <w:r>
        <w:rPr>
          <w:rFonts w:ascii="Times New Roman" w:hAnsi="Times New Roman" w:cs="Times New Roman"/>
          <w:sz w:val="24"/>
          <w:szCs w:val="24"/>
        </w:rPr>
        <w:t xml:space="preserve"> </w:t>
      </w:r>
      <w:r w:rsidR="00AA0197">
        <w:rPr>
          <w:rFonts w:ascii="Times New Roman" w:hAnsi="Times New Roman" w:cs="Times New Roman"/>
          <w:sz w:val="24"/>
          <w:szCs w:val="24"/>
        </w:rPr>
        <w:t>–</w:t>
      </w:r>
      <w:r>
        <w:rPr>
          <w:rFonts w:ascii="Times New Roman" w:hAnsi="Times New Roman" w:cs="Times New Roman"/>
          <w:sz w:val="24"/>
          <w:szCs w:val="24"/>
        </w:rPr>
        <w:t xml:space="preserve"> </w:t>
      </w:r>
      <w:r w:rsidRPr="0010495F">
        <w:rPr>
          <w:rFonts w:ascii="Times New Roman" w:hAnsi="Times New Roman" w:cs="Times New Roman"/>
          <w:sz w:val="24"/>
          <w:szCs w:val="24"/>
        </w:rPr>
        <w:t>Latvijas pētniecības un inovācijas stratēģisk</w:t>
      </w:r>
      <w:r>
        <w:rPr>
          <w:rFonts w:ascii="Times New Roman" w:hAnsi="Times New Roman" w:cs="Times New Roman"/>
          <w:sz w:val="24"/>
          <w:szCs w:val="24"/>
        </w:rPr>
        <w:t>ā</w:t>
      </w:r>
      <w:r w:rsidRPr="0010495F">
        <w:rPr>
          <w:rFonts w:ascii="Times New Roman" w:hAnsi="Times New Roman" w:cs="Times New Roman"/>
          <w:sz w:val="24"/>
          <w:szCs w:val="24"/>
        </w:rPr>
        <w:t xml:space="preserve"> padom</w:t>
      </w:r>
      <w:r>
        <w:rPr>
          <w:rFonts w:ascii="Times New Roman" w:hAnsi="Times New Roman" w:cs="Times New Roman"/>
          <w:sz w:val="24"/>
          <w:szCs w:val="24"/>
        </w:rPr>
        <w:t>e</w:t>
      </w:r>
    </w:p>
    <w:p w14:paraId="5C0F317C" w14:textId="219F9174" w:rsidR="00386B2A" w:rsidRDefault="00386B2A" w:rsidP="00386B2A">
      <w:pPr>
        <w:spacing w:after="0"/>
        <w:jc w:val="both"/>
        <w:rPr>
          <w:rFonts w:ascii="Times New Roman" w:hAnsi="Times New Roman" w:cs="Times New Roman"/>
          <w:sz w:val="24"/>
          <w:szCs w:val="24"/>
        </w:rPr>
      </w:pPr>
      <w:r w:rsidRPr="00386B2A">
        <w:rPr>
          <w:rFonts w:ascii="Times New Roman" w:hAnsi="Times New Roman" w:cs="Times New Roman"/>
          <w:b/>
          <w:sz w:val="24"/>
          <w:szCs w:val="24"/>
        </w:rPr>
        <w:t>LTRK</w:t>
      </w:r>
      <w:r>
        <w:rPr>
          <w:rFonts w:ascii="Times New Roman" w:hAnsi="Times New Roman" w:cs="Times New Roman"/>
          <w:sz w:val="24"/>
          <w:szCs w:val="24"/>
        </w:rPr>
        <w:t xml:space="preserve"> </w:t>
      </w:r>
      <w:r w:rsidR="00AA0197">
        <w:rPr>
          <w:rFonts w:ascii="Times New Roman" w:hAnsi="Times New Roman" w:cs="Times New Roman"/>
          <w:sz w:val="24"/>
          <w:szCs w:val="24"/>
        </w:rPr>
        <w:t>–</w:t>
      </w:r>
      <w:r w:rsidRPr="00CE18E8">
        <w:rPr>
          <w:rFonts w:ascii="Times New Roman" w:hAnsi="Times New Roman" w:cs="Times New Roman"/>
          <w:sz w:val="24"/>
          <w:szCs w:val="24"/>
        </w:rPr>
        <w:t xml:space="preserve"> Latvijas Tirdzniecības un rūpniecības kamer</w:t>
      </w:r>
      <w:r>
        <w:rPr>
          <w:rFonts w:ascii="Times New Roman" w:hAnsi="Times New Roman" w:cs="Times New Roman"/>
          <w:sz w:val="24"/>
          <w:szCs w:val="24"/>
        </w:rPr>
        <w:t>a</w:t>
      </w:r>
    </w:p>
    <w:p w14:paraId="4DEA4554" w14:textId="77777777" w:rsidR="006026A1" w:rsidRDefault="006026A1" w:rsidP="00386B2A">
      <w:pPr>
        <w:spacing w:after="0"/>
        <w:jc w:val="both"/>
        <w:rPr>
          <w:rFonts w:ascii="Times New Roman" w:hAnsi="Times New Roman" w:cs="Times New Roman"/>
          <w:sz w:val="24"/>
          <w:szCs w:val="24"/>
        </w:rPr>
      </w:pPr>
      <w:r w:rsidRPr="006026A1">
        <w:rPr>
          <w:rFonts w:ascii="Times New Roman" w:hAnsi="Times New Roman" w:cs="Times New Roman"/>
          <w:b/>
          <w:sz w:val="24"/>
          <w:szCs w:val="24"/>
        </w:rPr>
        <w:t>MK</w:t>
      </w:r>
      <w:r>
        <w:rPr>
          <w:rFonts w:ascii="Times New Roman" w:hAnsi="Times New Roman" w:cs="Times New Roman"/>
          <w:sz w:val="24"/>
          <w:szCs w:val="24"/>
        </w:rPr>
        <w:t xml:space="preserve"> – Ministru kabinets</w:t>
      </w:r>
    </w:p>
    <w:p w14:paraId="43CE820F" w14:textId="055D75AB" w:rsidR="00B140E0" w:rsidRDefault="00B140E0" w:rsidP="00386B2A">
      <w:pPr>
        <w:spacing w:after="0"/>
        <w:jc w:val="both"/>
        <w:rPr>
          <w:rFonts w:ascii="Times New Roman" w:hAnsi="Times New Roman" w:cs="Times New Roman"/>
          <w:sz w:val="24"/>
          <w:szCs w:val="24"/>
        </w:rPr>
      </w:pPr>
      <w:r w:rsidRPr="002F0E6E">
        <w:rPr>
          <w:rFonts w:ascii="Times New Roman" w:hAnsi="Times New Roman" w:cs="Times New Roman"/>
          <w:b/>
          <w:sz w:val="24"/>
          <w:szCs w:val="24"/>
        </w:rPr>
        <w:t>NAP2020</w:t>
      </w:r>
      <w:r>
        <w:rPr>
          <w:rFonts w:ascii="Times New Roman" w:hAnsi="Times New Roman" w:cs="Times New Roman"/>
          <w:sz w:val="24"/>
          <w:szCs w:val="24"/>
        </w:rPr>
        <w:t xml:space="preserve"> </w:t>
      </w:r>
      <w:r w:rsidR="00826493">
        <w:rPr>
          <w:rFonts w:ascii="Times New Roman" w:hAnsi="Times New Roman" w:cs="Times New Roman"/>
          <w:sz w:val="24"/>
          <w:szCs w:val="24"/>
        </w:rPr>
        <w:t>–</w:t>
      </w:r>
      <w:r>
        <w:rPr>
          <w:rFonts w:ascii="Times New Roman" w:hAnsi="Times New Roman" w:cs="Times New Roman"/>
          <w:sz w:val="24"/>
          <w:szCs w:val="24"/>
        </w:rPr>
        <w:t xml:space="preserve"> </w:t>
      </w:r>
      <w:r w:rsidRPr="00B140E0">
        <w:rPr>
          <w:rFonts w:ascii="Times New Roman" w:hAnsi="Times New Roman" w:cs="Times New Roman"/>
          <w:bCs/>
          <w:sz w:val="24"/>
          <w:szCs w:val="24"/>
        </w:rPr>
        <w:t>Nacionāl</w:t>
      </w:r>
      <w:r>
        <w:rPr>
          <w:rFonts w:ascii="Times New Roman" w:hAnsi="Times New Roman" w:cs="Times New Roman"/>
          <w:bCs/>
          <w:sz w:val="24"/>
          <w:szCs w:val="24"/>
        </w:rPr>
        <w:t>ais</w:t>
      </w:r>
      <w:r w:rsidRPr="00B140E0">
        <w:rPr>
          <w:rFonts w:ascii="Times New Roman" w:hAnsi="Times New Roman" w:cs="Times New Roman"/>
          <w:bCs/>
          <w:sz w:val="24"/>
          <w:szCs w:val="24"/>
        </w:rPr>
        <w:t xml:space="preserve"> attīstības plān</w:t>
      </w:r>
      <w:r>
        <w:rPr>
          <w:rFonts w:ascii="Times New Roman" w:hAnsi="Times New Roman" w:cs="Times New Roman"/>
          <w:bCs/>
          <w:sz w:val="24"/>
          <w:szCs w:val="24"/>
        </w:rPr>
        <w:t>s</w:t>
      </w:r>
      <w:r w:rsidRPr="00B140E0">
        <w:rPr>
          <w:rFonts w:ascii="Times New Roman" w:hAnsi="Times New Roman" w:cs="Times New Roman"/>
          <w:bCs/>
          <w:sz w:val="24"/>
          <w:szCs w:val="24"/>
        </w:rPr>
        <w:t xml:space="preserve"> </w:t>
      </w:r>
      <w:r w:rsidRPr="00B140E0">
        <w:rPr>
          <w:rFonts w:ascii="Times New Roman" w:hAnsi="Times New Roman" w:cs="Times New Roman"/>
          <w:sz w:val="24"/>
          <w:szCs w:val="24"/>
        </w:rPr>
        <w:t>2014.</w:t>
      </w:r>
      <w:r w:rsidR="00826493">
        <w:rPr>
          <w:rFonts w:ascii="Times New Roman" w:hAnsi="Times New Roman" w:cs="Times New Roman"/>
          <w:sz w:val="24"/>
          <w:szCs w:val="24"/>
        </w:rPr>
        <w:t>–</w:t>
      </w:r>
      <w:r w:rsidRPr="00B140E0">
        <w:rPr>
          <w:rFonts w:ascii="Times New Roman" w:hAnsi="Times New Roman" w:cs="Times New Roman"/>
          <w:bCs/>
          <w:sz w:val="24"/>
          <w:szCs w:val="24"/>
        </w:rPr>
        <w:t>2020</w:t>
      </w:r>
      <w:r w:rsidRPr="00B140E0">
        <w:rPr>
          <w:rFonts w:ascii="Times New Roman" w:hAnsi="Times New Roman" w:cs="Times New Roman"/>
          <w:sz w:val="24"/>
          <w:szCs w:val="24"/>
        </w:rPr>
        <w:t>.</w:t>
      </w:r>
      <w:r w:rsidR="003F0C27">
        <w:rPr>
          <w:rFonts w:ascii="Times New Roman" w:hAnsi="Times New Roman" w:cs="Times New Roman"/>
          <w:sz w:val="24"/>
          <w:szCs w:val="24"/>
        </w:rPr>
        <w:t> </w:t>
      </w:r>
      <w:r w:rsidRPr="00B140E0">
        <w:rPr>
          <w:rFonts w:ascii="Times New Roman" w:hAnsi="Times New Roman" w:cs="Times New Roman"/>
          <w:sz w:val="24"/>
          <w:szCs w:val="24"/>
        </w:rPr>
        <w:t>gadam</w:t>
      </w:r>
    </w:p>
    <w:p w14:paraId="2F7274D8" w14:textId="28A548F2" w:rsidR="00B65784" w:rsidRDefault="00B65784" w:rsidP="00386B2A">
      <w:pPr>
        <w:spacing w:after="0"/>
        <w:jc w:val="both"/>
        <w:rPr>
          <w:rFonts w:ascii="Times New Roman" w:hAnsi="Times New Roman" w:cs="Times New Roman"/>
          <w:sz w:val="24"/>
          <w:szCs w:val="24"/>
        </w:rPr>
      </w:pPr>
      <w:r w:rsidRPr="00B65784">
        <w:rPr>
          <w:rFonts w:ascii="Times New Roman" w:hAnsi="Times New Roman" w:cs="Times New Roman"/>
          <w:b/>
          <w:sz w:val="24"/>
          <w:szCs w:val="24"/>
        </w:rPr>
        <w:t>NATO</w:t>
      </w:r>
      <w:r>
        <w:rPr>
          <w:rFonts w:ascii="Times New Roman" w:hAnsi="Times New Roman" w:cs="Times New Roman"/>
          <w:sz w:val="24"/>
          <w:szCs w:val="24"/>
        </w:rPr>
        <w:t xml:space="preserve"> </w:t>
      </w:r>
      <w:r w:rsidR="00826493">
        <w:rPr>
          <w:rFonts w:ascii="Times New Roman" w:hAnsi="Times New Roman" w:cs="Times New Roman"/>
          <w:sz w:val="24"/>
          <w:szCs w:val="24"/>
        </w:rPr>
        <w:t>–</w:t>
      </w:r>
      <w:r>
        <w:rPr>
          <w:rFonts w:ascii="Times New Roman" w:hAnsi="Times New Roman" w:cs="Times New Roman"/>
          <w:sz w:val="24"/>
          <w:szCs w:val="24"/>
        </w:rPr>
        <w:t xml:space="preserve"> </w:t>
      </w:r>
      <w:r w:rsidRPr="00B65784">
        <w:rPr>
          <w:rFonts w:ascii="Times New Roman" w:hAnsi="Times New Roman" w:cs="Times New Roman"/>
          <w:sz w:val="24"/>
          <w:szCs w:val="24"/>
        </w:rPr>
        <w:t xml:space="preserve">Ziemeļatlantijas </w:t>
      </w:r>
      <w:r w:rsidR="003F0C27">
        <w:rPr>
          <w:rFonts w:ascii="Times New Roman" w:hAnsi="Times New Roman" w:cs="Times New Roman"/>
          <w:sz w:val="24"/>
          <w:szCs w:val="24"/>
        </w:rPr>
        <w:t>l</w:t>
      </w:r>
      <w:r w:rsidRPr="00B65784">
        <w:rPr>
          <w:rFonts w:ascii="Times New Roman" w:hAnsi="Times New Roman" w:cs="Times New Roman"/>
          <w:sz w:val="24"/>
          <w:szCs w:val="24"/>
        </w:rPr>
        <w:t>īguma organizācij</w:t>
      </w:r>
      <w:r>
        <w:rPr>
          <w:rFonts w:ascii="Times New Roman" w:hAnsi="Times New Roman" w:cs="Times New Roman"/>
          <w:sz w:val="24"/>
          <w:szCs w:val="24"/>
        </w:rPr>
        <w:t>a</w:t>
      </w:r>
    </w:p>
    <w:p w14:paraId="54F94754" w14:textId="77777777" w:rsidR="00B65784" w:rsidRDefault="00B65784" w:rsidP="00386B2A">
      <w:pPr>
        <w:spacing w:after="0"/>
        <w:jc w:val="both"/>
        <w:rPr>
          <w:rFonts w:ascii="Times New Roman" w:hAnsi="Times New Roman" w:cs="Times New Roman"/>
          <w:sz w:val="24"/>
          <w:szCs w:val="24"/>
        </w:rPr>
      </w:pPr>
      <w:r w:rsidRPr="00B65784">
        <w:rPr>
          <w:rFonts w:ascii="Times New Roman" w:hAnsi="Times New Roman" w:cs="Times New Roman"/>
          <w:b/>
          <w:sz w:val="24"/>
          <w:szCs w:val="24"/>
        </w:rPr>
        <w:t>NBS</w:t>
      </w:r>
      <w:r>
        <w:rPr>
          <w:rFonts w:ascii="Times New Roman" w:hAnsi="Times New Roman" w:cs="Times New Roman"/>
          <w:sz w:val="24"/>
          <w:szCs w:val="24"/>
        </w:rPr>
        <w:t xml:space="preserve"> – Nacionālie bruņotie spēki</w:t>
      </w:r>
    </w:p>
    <w:p w14:paraId="7A323894" w14:textId="351E45FA" w:rsidR="003A2BE3" w:rsidRDefault="003A2BE3" w:rsidP="003A2BE3">
      <w:pPr>
        <w:spacing w:after="0"/>
        <w:jc w:val="both"/>
        <w:rPr>
          <w:rFonts w:ascii="Times New Roman" w:hAnsi="Times New Roman" w:cs="Times New Roman"/>
          <w:sz w:val="24"/>
          <w:szCs w:val="24"/>
        </w:rPr>
      </w:pPr>
      <w:r w:rsidRPr="00AF6C41">
        <w:rPr>
          <w:rFonts w:ascii="Times New Roman" w:hAnsi="Times New Roman" w:cs="Times New Roman"/>
          <w:b/>
          <w:sz w:val="24"/>
          <w:szCs w:val="24"/>
        </w:rPr>
        <w:t>NIS</w:t>
      </w:r>
      <w:r>
        <w:rPr>
          <w:rFonts w:ascii="Times New Roman" w:hAnsi="Times New Roman" w:cs="Times New Roman"/>
          <w:sz w:val="24"/>
          <w:szCs w:val="24"/>
        </w:rPr>
        <w:t xml:space="preserve"> </w:t>
      </w:r>
      <w:r w:rsidR="00826493">
        <w:rPr>
          <w:rFonts w:ascii="Times New Roman" w:hAnsi="Times New Roman" w:cs="Times New Roman"/>
          <w:sz w:val="24"/>
          <w:szCs w:val="24"/>
        </w:rPr>
        <w:t>–</w:t>
      </w:r>
      <w:r>
        <w:rPr>
          <w:rFonts w:ascii="Times New Roman" w:hAnsi="Times New Roman" w:cs="Times New Roman"/>
          <w:sz w:val="24"/>
          <w:szCs w:val="24"/>
        </w:rPr>
        <w:t xml:space="preserve"> Nacionālā inovācijas sistēma</w:t>
      </w:r>
    </w:p>
    <w:p w14:paraId="73B18883" w14:textId="77777777" w:rsidR="003A2BE3" w:rsidRDefault="003A2BE3" w:rsidP="003A2BE3">
      <w:pPr>
        <w:spacing w:after="0"/>
        <w:jc w:val="both"/>
        <w:rPr>
          <w:rFonts w:ascii="Times New Roman" w:eastAsia="Times New Roman" w:hAnsi="Times New Roman" w:cs="Times New Roman"/>
          <w:color w:val="000000" w:themeColor="text1"/>
          <w:sz w:val="24"/>
          <w:szCs w:val="24"/>
        </w:rPr>
      </w:pPr>
      <w:r w:rsidRPr="00077D14">
        <w:rPr>
          <w:rFonts w:ascii="Times New Roman" w:eastAsia="Times New Roman" w:hAnsi="Times New Roman" w:cs="Times New Roman"/>
          <w:b/>
          <w:color w:val="000000" w:themeColor="text1"/>
          <w:sz w:val="24"/>
          <w:szCs w:val="24"/>
        </w:rPr>
        <w:t>NVO</w:t>
      </w:r>
      <w:r>
        <w:rPr>
          <w:rFonts w:ascii="Times New Roman" w:eastAsia="Times New Roman" w:hAnsi="Times New Roman" w:cs="Times New Roman"/>
          <w:color w:val="000000" w:themeColor="text1"/>
          <w:sz w:val="24"/>
          <w:szCs w:val="24"/>
        </w:rPr>
        <w:t xml:space="preserve"> – nevalstiskās organizācijas</w:t>
      </w:r>
    </w:p>
    <w:p w14:paraId="7CCF0871" w14:textId="141A16EE" w:rsidR="004D7022" w:rsidRDefault="004D7022" w:rsidP="00386B2A">
      <w:pPr>
        <w:spacing w:after="0"/>
        <w:jc w:val="both"/>
        <w:rPr>
          <w:rFonts w:ascii="Times New Roman" w:hAnsi="Times New Roman" w:cs="Times New Roman"/>
          <w:color w:val="000000" w:themeColor="text1"/>
          <w:sz w:val="24"/>
          <w:szCs w:val="24"/>
        </w:rPr>
      </w:pPr>
      <w:r w:rsidRPr="004D7022">
        <w:rPr>
          <w:rFonts w:ascii="Times New Roman" w:hAnsi="Times New Roman" w:cs="Times New Roman"/>
          <w:b/>
          <w:color w:val="000000" w:themeColor="text1"/>
          <w:sz w:val="24"/>
          <w:szCs w:val="24"/>
        </w:rPr>
        <w:t>PIKC</w:t>
      </w:r>
      <w:r>
        <w:rPr>
          <w:rFonts w:ascii="Times New Roman" w:hAnsi="Times New Roman" w:cs="Times New Roman"/>
          <w:b/>
          <w:color w:val="000000" w:themeColor="text1"/>
          <w:sz w:val="24"/>
          <w:szCs w:val="24"/>
        </w:rPr>
        <w:t xml:space="preserve"> </w:t>
      </w:r>
      <w:r w:rsidR="00AA0197">
        <w:rPr>
          <w:rFonts w:ascii="Times New Roman" w:hAnsi="Times New Roman" w:cs="Times New Roman"/>
          <w:color w:val="000000" w:themeColor="text1"/>
          <w:sz w:val="24"/>
          <w:szCs w:val="24"/>
        </w:rPr>
        <w:t>–</w:t>
      </w:r>
      <w:r>
        <w:rPr>
          <w:rFonts w:ascii="Times New Roman" w:hAnsi="Times New Roman" w:cs="Times New Roman"/>
          <w:b/>
          <w:color w:val="000000" w:themeColor="text1"/>
          <w:sz w:val="24"/>
          <w:szCs w:val="24"/>
        </w:rPr>
        <w:t xml:space="preserve"> </w:t>
      </w:r>
      <w:r w:rsidRPr="004D7022">
        <w:rPr>
          <w:rFonts w:ascii="Times New Roman" w:hAnsi="Times New Roman" w:cs="Times New Roman"/>
          <w:color w:val="000000" w:themeColor="text1"/>
          <w:sz w:val="24"/>
          <w:szCs w:val="24"/>
        </w:rPr>
        <w:t>profesionālās izglītības kompetences centr</w:t>
      </w:r>
      <w:r w:rsidR="00EA7442">
        <w:rPr>
          <w:rFonts w:ascii="Times New Roman" w:hAnsi="Times New Roman" w:cs="Times New Roman"/>
          <w:color w:val="000000" w:themeColor="text1"/>
          <w:sz w:val="24"/>
          <w:szCs w:val="24"/>
        </w:rPr>
        <w:t>s</w:t>
      </w:r>
    </w:p>
    <w:p w14:paraId="2D83C4D2" w14:textId="77777777" w:rsidR="00CC3E41" w:rsidRDefault="00CC3E41" w:rsidP="00CC3E41">
      <w:pPr>
        <w:spacing w:after="0"/>
        <w:jc w:val="both"/>
        <w:rPr>
          <w:rFonts w:ascii="Times New Roman" w:eastAsia="Times New Roman" w:hAnsi="Times New Roman" w:cs="Times New Roman"/>
          <w:color w:val="000000" w:themeColor="text1"/>
          <w:sz w:val="24"/>
          <w:szCs w:val="24"/>
        </w:rPr>
      </w:pPr>
      <w:r w:rsidRPr="00A71CD6">
        <w:rPr>
          <w:rFonts w:ascii="Times New Roman" w:eastAsia="Times New Roman" w:hAnsi="Times New Roman" w:cs="Times New Roman"/>
          <w:b/>
          <w:color w:val="000000" w:themeColor="text1"/>
          <w:sz w:val="24"/>
          <w:szCs w:val="24"/>
        </w:rPr>
        <w:t>PKC</w:t>
      </w:r>
      <w:r>
        <w:rPr>
          <w:rFonts w:ascii="Times New Roman" w:eastAsia="Times New Roman" w:hAnsi="Times New Roman" w:cs="Times New Roman"/>
          <w:color w:val="000000" w:themeColor="text1"/>
          <w:sz w:val="24"/>
          <w:szCs w:val="24"/>
        </w:rPr>
        <w:t xml:space="preserve"> – </w:t>
      </w:r>
      <w:proofErr w:type="spellStart"/>
      <w:r>
        <w:rPr>
          <w:rFonts w:ascii="Times New Roman" w:eastAsia="Times New Roman" w:hAnsi="Times New Roman" w:cs="Times New Roman"/>
          <w:color w:val="000000" w:themeColor="text1"/>
          <w:sz w:val="24"/>
          <w:szCs w:val="24"/>
        </w:rPr>
        <w:t>Pārresoru</w:t>
      </w:r>
      <w:proofErr w:type="spellEnd"/>
      <w:r>
        <w:rPr>
          <w:rFonts w:ascii="Times New Roman" w:eastAsia="Times New Roman" w:hAnsi="Times New Roman" w:cs="Times New Roman"/>
          <w:color w:val="000000" w:themeColor="text1"/>
          <w:sz w:val="24"/>
          <w:szCs w:val="24"/>
        </w:rPr>
        <w:t xml:space="preserve"> koordinācijas centrs</w:t>
      </w:r>
    </w:p>
    <w:p w14:paraId="33228A2D" w14:textId="77777777" w:rsidR="00964BE7" w:rsidRDefault="00964BE7" w:rsidP="00CC3E41">
      <w:pPr>
        <w:spacing w:after="0"/>
        <w:jc w:val="both"/>
        <w:rPr>
          <w:rFonts w:ascii="Times New Roman" w:eastAsia="Times New Roman" w:hAnsi="Times New Roman" w:cs="Times New Roman"/>
          <w:color w:val="000000" w:themeColor="text1"/>
          <w:sz w:val="24"/>
          <w:szCs w:val="24"/>
        </w:rPr>
      </w:pPr>
      <w:r w:rsidRPr="00E8338A">
        <w:rPr>
          <w:rFonts w:ascii="Times New Roman" w:eastAsia="Times New Roman" w:hAnsi="Times New Roman" w:cs="Times New Roman"/>
          <w:b/>
          <w:color w:val="000000" w:themeColor="text1"/>
          <w:sz w:val="24"/>
          <w:szCs w:val="24"/>
        </w:rPr>
        <w:t>SEG</w:t>
      </w:r>
      <w:r>
        <w:rPr>
          <w:rFonts w:ascii="Times New Roman" w:eastAsia="Times New Roman" w:hAnsi="Times New Roman" w:cs="Times New Roman"/>
          <w:color w:val="000000" w:themeColor="text1"/>
          <w:sz w:val="24"/>
          <w:szCs w:val="24"/>
        </w:rPr>
        <w:t xml:space="preserve"> – siltumnīcefekta gāzes</w:t>
      </w:r>
    </w:p>
    <w:p w14:paraId="4F1BAAAD" w14:textId="3A3A00E8" w:rsidR="007363E1" w:rsidRDefault="007363E1" w:rsidP="00386B2A">
      <w:pPr>
        <w:spacing w:after="0"/>
        <w:jc w:val="both"/>
        <w:rPr>
          <w:rFonts w:ascii="Times New Roman" w:hAnsi="Times New Roman" w:cs="Times New Roman"/>
          <w:color w:val="000000" w:themeColor="text1"/>
          <w:sz w:val="24"/>
          <w:szCs w:val="24"/>
        </w:rPr>
      </w:pPr>
      <w:r w:rsidRPr="007363E1">
        <w:rPr>
          <w:rFonts w:ascii="Times New Roman" w:hAnsi="Times New Roman" w:cs="Times New Roman"/>
          <w:b/>
          <w:color w:val="000000" w:themeColor="text1"/>
          <w:sz w:val="24"/>
          <w:szCs w:val="24"/>
        </w:rPr>
        <w:t>SIF</w:t>
      </w:r>
      <w:r>
        <w:rPr>
          <w:rFonts w:ascii="Times New Roman" w:hAnsi="Times New Roman" w:cs="Times New Roman"/>
          <w:color w:val="000000" w:themeColor="text1"/>
          <w:sz w:val="24"/>
          <w:szCs w:val="24"/>
        </w:rPr>
        <w:t xml:space="preserve"> </w:t>
      </w:r>
      <w:r w:rsidR="00AA0197">
        <w:rPr>
          <w:rFonts w:ascii="Times New Roman" w:hAnsi="Times New Roman" w:cs="Times New Roman"/>
          <w:color w:val="000000" w:themeColor="text1"/>
          <w:sz w:val="24"/>
          <w:szCs w:val="24"/>
        </w:rPr>
        <w:t xml:space="preserve">– </w:t>
      </w:r>
      <w:r w:rsidRPr="007363E1">
        <w:rPr>
          <w:rFonts w:ascii="Times New Roman" w:hAnsi="Times New Roman" w:cs="Times New Roman"/>
          <w:color w:val="000000" w:themeColor="text1"/>
          <w:sz w:val="24"/>
          <w:szCs w:val="24"/>
        </w:rPr>
        <w:t>Sabiedrības integrācijas fond</w:t>
      </w:r>
      <w:r w:rsidR="00775754">
        <w:rPr>
          <w:rFonts w:ascii="Times New Roman" w:hAnsi="Times New Roman" w:cs="Times New Roman"/>
          <w:color w:val="000000" w:themeColor="text1"/>
          <w:sz w:val="24"/>
          <w:szCs w:val="24"/>
        </w:rPr>
        <w:t>s</w:t>
      </w:r>
    </w:p>
    <w:p w14:paraId="736F8FE1" w14:textId="77777777" w:rsidR="003A2BE3" w:rsidRDefault="003A2BE3" w:rsidP="003A2BE3">
      <w:pPr>
        <w:spacing w:after="0"/>
        <w:jc w:val="both"/>
        <w:rPr>
          <w:rFonts w:ascii="Times New Roman" w:eastAsia="Times New Roman" w:hAnsi="Times New Roman" w:cs="Times New Roman"/>
          <w:b/>
          <w:color w:val="000000" w:themeColor="text1"/>
          <w:sz w:val="24"/>
          <w:szCs w:val="24"/>
        </w:rPr>
      </w:pPr>
      <w:r w:rsidRPr="009F6EE6">
        <w:rPr>
          <w:rFonts w:ascii="Times New Roman" w:eastAsia="Times New Roman" w:hAnsi="Times New Roman" w:cs="Times New Roman"/>
          <w:b/>
          <w:color w:val="000000" w:themeColor="text1"/>
          <w:sz w:val="24"/>
          <w:szCs w:val="24"/>
        </w:rPr>
        <w:t>SM</w:t>
      </w:r>
      <w:r>
        <w:rPr>
          <w:rFonts w:ascii="Times New Roman" w:eastAsia="Times New Roman" w:hAnsi="Times New Roman" w:cs="Times New Roman"/>
          <w:color w:val="000000" w:themeColor="text1"/>
          <w:sz w:val="24"/>
          <w:szCs w:val="24"/>
        </w:rPr>
        <w:t xml:space="preserve"> – Satiksmes ministrija</w:t>
      </w:r>
    </w:p>
    <w:p w14:paraId="37891097" w14:textId="3DADD16C" w:rsidR="00AA0197" w:rsidRDefault="00AA0197" w:rsidP="00CC3E41">
      <w:pPr>
        <w:spacing w:after="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STEM</w:t>
      </w:r>
      <w:r w:rsidRPr="00FD66D7">
        <w:rPr>
          <w:rFonts w:ascii="Times New Roman" w:eastAsia="Times New Roman" w:hAnsi="Times New Roman" w:cs="Times New Roman"/>
          <w:color w:val="000000" w:themeColor="text1"/>
          <w:sz w:val="24"/>
          <w:szCs w:val="24"/>
        </w:rPr>
        <w:t xml:space="preserve"> </w:t>
      </w:r>
      <w:r w:rsidRPr="00AA0197">
        <w:rPr>
          <w:rFonts w:ascii="Times New Roman" w:eastAsia="Times New Roman" w:hAnsi="Times New Roman" w:cs="Times New Roman"/>
          <w:color w:val="000000" w:themeColor="text1"/>
          <w:sz w:val="24"/>
          <w:szCs w:val="24"/>
        </w:rPr>
        <w:t>–</w:t>
      </w:r>
      <w:r w:rsidR="0027035F">
        <w:rPr>
          <w:rFonts w:ascii="Times New Roman" w:eastAsia="Times New Roman" w:hAnsi="Times New Roman" w:cs="Times New Roman"/>
          <w:color w:val="000000" w:themeColor="text1"/>
          <w:sz w:val="24"/>
          <w:szCs w:val="24"/>
        </w:rPr>
        <w:t xml:space="preserve"> </w:t>
      </w:r>
      <w:r w:rsidR="0027035F" w:rsidRPr="00230D75">
        <w:rPr>
          <w:rFonts w:ascii="Times New Roman" w:hAnsi="Times New Roman"/>
          <w:sz w:val="24"/>
          <w:szCs w:val="24"/>
        </w:rPr>
        <w:t>zinātne, tehnoloģijas, inženierzinātnes, matemātika (</w:t>
      </w:r>
      <w:proofErr w:type="spellStart"/>
      <w:r w:rsidR="0027035F" w:rsidRPr="00230D75">
        <w:rPr>
          <w:rFonts w:ascii="Times New Roman" w:hAnsi="Times New Roman"/>
          <w:i/>
          <w:iCs/>
          <w:sz w:val="24"/>
          <w:szCs w:val="24"/>
        </w:rPr>
        <w:t>Science</w:t>
      </w:r>
      <w:proofErr w:type="spellEnd"/>
      <w:r w:rsidR="0027035F" w:rsidRPr="00230D75">
        <w:rPr>
          <w:rFonts w:ascii="Times New Roman" w:hAnsi="Times New Roman"/>
          <w:i/>
          <w:iCs/>
          <w:sz w:val="24"/>
          <w:szCs w:val="24"/>
        </w:rPr>
        <w:t xml:space="preserve">, </w:t>
      </w:r>
      <w:proofErr w:type="spellStart"/>
      <w:r w:rsidR="0027035F" w:rsidRPr="00230D75">
        <w:rPr>
          <w:rFonts w:ascii="Times New Roman" w:hAnsi="Times New Roman"/>
          <w:i/>
          <w:iCs/>
          <w:sz w:val="24"/>
          <w:szCs w:val="24"/>
        </w:rPr>
        <w:t>Technology</w:t>
      </w:r>
      <w:proofErr w:type="spellEnd"/>
      <w:r w:rsidR="0027035F" w:rsidRPr="00230D75">
        <w:rPr>
          <w:rFonts w:ascii="Times New Roman" w:hAnsi="Times New Roman"/>
          <w:i/>
          <w:iCs/>
          <w:sz w:val="24"/>
          <w:szCs w:val="24"/>
        </w:rPr>
        <w:t xml:space="preserve">, </w:t>
      </w:r>
      <w:proofErr w:type="spellStart"/>
      <w:r w:rsidR="0027035F" w:rsidRPr="00230D75">
        <w:rPr>
          <w:rFonts w:ascii="Times New Roman" w:hAnsi="Times New Roman"/>
          <w:i/>
          <w:iCs/>
          <w:sz w:val="24"/>
          <w:szCs w:val="24"/>
        </w:rPr>
        <w:t>Engineering</w:t>
      </w:r>
      <w:proofErr w:type="spellEnd"/>
      <w:r w:rsidR="0027035F" w:rsidRPr="00230D75">
        <w:rPr>
          <w:rFonts w:ascii="Times New Roman" w:hAnsi="Times New Roman"/>
          <w:i/>
          <w:iCs/>
          <w:sz w:val="24"/>
          <w:szCs w:val="24"/>
        </w:rPr>
        <w:t xml:space="preserve"> </w:t>
      </w:r>
      <w:proofErr w:type="spellStart"/>
      <w:r w:rsidR="0027035F" w:rsidRPr="00230D75">
        <w:rPr>
          <w:rFonts w:ascii="Times New Roman" w:hAnsi="Times New Roman"/>
          <w:i/>
          <w:iCs/>
          <w:sz w:val="24"/>
          <w:szCs w:val="24"/>
        </w:rPr>
        <w:t>and</w:t>
      </w:r>
      <w:proofErr w:type="spellEnd"/>
      <w:r w:rsidR="0027035F" w:rsidRPr="00230D75">
        <w:rPr>
          <w:rFonts w:ascii="Times New Roman" w:hAnsi="Times New Roman"/>
          <w:i/>
          <w:iCs/>
          <w:sz w:val="24"/>
          <w:szCs w:val="24"/>
        </w:rPr>
        <w:t xml:space="preserve"> </w:t>
      </w:r>
      <w:proofErr w:type="spellStart"/>
      <w:r w:rsidR="0027035F" w:rsidRPr="00230D75">
        <w:rPr>
          <w:rFonts w:ascii="Times New Roman" w:hAnsi="Times New Roman"/>
          <w:i/>
          <w:iCs/>
          <w:sz w:val="24"/>
          <w:szCs w:val="24"/>
        </w:rPr>
        <w:t>Mathematics</w:t>
      </w:r>
      <w:proofErr w:type="spellEnd"/>
      <w:r w:rsidR="0027035F" w:rsidRPr="00230D75">
        <w:rPr>
          <w:rFonts w:ascii="Times New Roman" w:hAnsi="Times New Roman"/>
          <w:sz w:val="24"/>
          <w:szCs w:val="24"/>
        </w:rPr>
        <w:t>)</w:t>
      </w:r>
    </w:p>
    <w:p w14:paraId="19EF8D32" w14:textId="77777777" w:rsidR="00CC3E41" w:rsidRDefault="00CC3E41" w:rsidP="00CC3E41">
      <w:pPr>
        <w:spacing w:after="0"/>
        <w:jc w:val="both"/>
        <w:rPr>
          <w:rFonts w:ascii="Times New Roman" w:eastAsia="Times New Roman" w:hAnsi="Times New Roman" w:cs="Times New Roman"/>
          <w:color w:val="000000" w:themeColor="text1"/>
          <w:sz w:val="24"/>
          <w:szCs w:val="24"/>
        </w:rPr>
      </w:pPr>
      <w:r w:rsidRPr="009F6EE6">
        <w:rPr>
          <w:rFonts w:ascii="Times New Roman" w:eastAsia="Times New Roman" w:hAnsi="Times New Roman" w:cs="Times New Roman"/>
          <w:b/>
          <w:color w:val="000000" w:themeColor="text1"/>
          <w:sz w:val="24"/>
          <w:szCs w:val="24"/>
        </w:rPr>
        <w:t>TM</w:t>
      </w:r>
      <w:r>
        <w:rPr>
          <w:rFonts w:ascii="Times New Roman" w:eastAsia="Times New Roman" w:hAnsi="Times New Roman" w:cs="Times New Roman"/>
          <w:color w:val="000000" w:themeColor="text1"/>
          <w:sz w:val="24"/>
          <w:szCs w:val="24"/>
        </w:rPr>
        <w:t xml:space="preserve"> – Tieslietu ministrija</w:t>
      </w:r>
    </w:p>
    <w:p w14:paraId="7D697910" w14:textId="7D305FFE" w:rsidR="00296A08" w:rsidRPr="00296A08" w:rsidRDefault="00296A08" w:rsidP="003A2BE3">
      <w:pPr>
        <w:spacing w:after="0"/>
        <w:jc w:val="both"/>
        <w:rPr>
          <w:rFonts w:ascii="Times New Roman" w:eastAsia="Times New Roman" w:hAnsi="Times New Roman" w:cs="Times New Roman"/>
          <w:b/>
          <w:color w:val="000000" w:themeColor="text1"/>
          <w:sz w:val="24"/>
          <w:szCs w:val="24"/>
        </w:rPr>
      </w:pPr>
      <w:r w:rsidRPr="00296A08">
        <w:rPr>
          <w:rFonts w:ascii="Times New Roman" w:hAnsi="Times New Roman" w:cs="Times New Roman"/>
          <w:b/>
          <w:sz w:val="24"/>
          <w:szCs w:val="24"/>
        </w:rPr>
        <w:lastRenderedPageBreak/>
        <w:t>UNESCO</w:t>
      </w:r>
      <w:r w:rsidRPr="00296A08">
        <w:rPr>
          <w:rFonts w:ascii="Times New Roman" w:hAnsi="Times New Roman" w:cs="Times New Roman"/>
          <w:sz w:val="24"/>
          <w:szCs w:val="24"/>
        </w:rPr>
        <w:t xml:space="preserve"> </w:t>
      </w:r>
      <w:r w:rsidR="00826493">
        <w:rPr>
          <w:rFonts w:ascii="Times New Roman" w:hAnsi="Times New Roman" w:cs="Times New Roman"/>
          <w:sz w:val="24"/>
          <w:szCs w:val="24"/>
        </w:rPr>
        <w:t>–</w:t>
      </w:r>
      <w:r w:rsidRPr="00296A08">
        <w:rPr>
          <w:rFonts w:ascii="Times New Roman" w:hAnsi="Times New Roman" w:cs="Times New Roman"/>
          <w:sz w:val="24"/>
          <w:szCs w:val="24"/>
        </w:rPr>
        <w:t xml:space="preserve"> Apvienoto Nāciju Izglītības, zinātnes un kultūras organizācija</w:t>
      </w:r>
    </w:p>
    <w:p w14:paraId="16088491" w14:textId="77777777" w:rsidR="003A2BE3" w:rsidRDefault="003A2BE3" w:rsidP="003A2BE3">
      <w:pPr>
        <w:spacing w:after="0"/>
        <w:jc w:val="both"/>
        <w:rPr>
          <w:rFonts w:ascii="Times New Roman" w:eastAsia="Times New Roman" w:hAnsi="Times New Roman" w:cs="Times New Roman"/>
          <w:color w:val="000000" w:themeColor="text1"/>
          <w:sz w:val="24"/>
          <w:szCs w:val="24"/>
        </w:rPr>
      </w:pPr>
      <w:r w:rsidRPr="009F6EE6">
        <w:rPr>
          <w:rFonts w:ascii="Times New Roman" w:eastAsia="Times New Roman" w:hAnsi="Times New Roman" w:cs="Times New Roman"/>
          <w:b/>
          <w:color w:val="000000" w:themeColor="text1"/>
          <w:sz w:val="24"/>
          <w:szCs w:val="24"/>
        </w:rPr>
        <w:t>VARAM</w:t>
      </w:r>
      <w:r>
        <w:rPr>
          <w:rFonts w:ascii="Times New Roman" w:eastAsia="Times New Roman" w:hAnsi="Times New Roman" w:cs="Times New Roman"/>
          <w:color w:val="000000" w:themeColor="text1"/>
          <w:sz w:val="24"/>
          <w:szCs w:val="24"/>
        </w:rPr>
        <w:t xml:space="preserve"> – Vides aizsardzības un reģionālās attīstības ministrija</w:t>
      </w:r>
    </w:p>
    <w:p w14:paraId="5FD27A80" w14:textId="74B62F38" w:rsidR="003A2BE3" w:rsidRDefault="003A2BE3" w:rsidP="003A2BE3">
      <w:pPr>
        <w:spacing w:after="0"/>
        <w:jc w:val="both"/>
        <w:rPr>
          <w:rFonts w:ascii="Times New Roman" w:eastAsia="Times New Roman" w:hAnsi="Times New Roman" w:cs="Times New Roman"/>
          <w:color w:val="000000" w:themeColor="text1"/>
          <w:sz w:val="24"/>
          <w:szCs w:val="24"/>
        </w:rPr>
      </w:pPr>
      <w:r w:rsidRPr="00775754">
        <w:rPr>
          <w:rFonts w:ascii="Times New Roman" w:hAnsi="Times New Roman" w:cs="Times New Roman"/>
          <w:b/>
          <w:color w:val="000000" w:themeColor="text1"/>
          <w:sz w:val="24"/>
          <w:szCs w:val="24"/>
        </w:rPr>
        <w:t>VKKF</w:t>
      </w:r>
      <w:r>
        <w:rPr>
          <w:rFonts w:ascii="Times New Roman" w:hAnsi="Times New Roman" w:cs="Times New Roman"/>
          <w:color w:val="000000" w:themeColor="text1"/>
          <w:sz w:val="24"/>
          <w:szCs w:val="24"/>
        </w:rPr>
        <w:t xml:space="preserve"> </w:t>
      </w:r>
      <w:r w:rsidR="0082649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Valsts Kultūrkapitāla fonds</w:t>
      </w:r>
      <w:proofErr w:type="gramEnd"/>
    </w:p>
    <w:p w14:paraId="28B279D0" w14:textId="77777777" w:rsidR="00A71CD6" w:rsidRDefault="00A71CD6" w:rsidP="00386B2A">
      <w:pPr>
        <w:spacing w:after="0"/>
        <w:jc w:val="both"/>
        <w:rPr>
          <w:rFonts w:ascii="Times New Roman" w:eastAsia="Times New Roman" w:hAnsi="Times New Roman" w:cs="Times New Roman"/>
          <w:color w:val="000000" w:themeColor="text1"/>
          <w:sz w:val="24"/>
          <w:szCs w:val="24"/>
        </w:rPr>
      </w:pPr>
      <w:r w:rsidRPr="00A71CD6">
        <w:rPr>
          <w:rFonts w:ascii="Times New Roman" w:eastAsia="Times New Roman" w:hAnsi="Times New Roman" w:cs="Times New Roman"/>
          <w:b/>
          <w:color w:val="000000" w:themeColor="text1"/>
          <w:sz w:val="24"/>
          <w:szCs w:val="24"/>
        </w:rPr>
        <w:t>VM</w:t>
      </w:r>
      <w:r>
        <w:rPr>
          <w:rFonts w:ascii="Times New Roman" w:eastAsia="Times New Roman" w:hAnsi="Times New Roman" w:cs="Times New Roman"/>
          <w:color w:val="000000" w:themeColor="text1"/>
          <w:sz w:val="24"/>
          <w:szCs w:val="24"/>
        </w:rPr>
        <w:t xml:space="preserve"> – Veselības ministrija</w:t>
      </w:r>
    </w:p>
    <w:p w14:paraId="61F7D6F5" w14:textId="77777777" w:rsidR="009F6EE6" w:rsidRDefault="009F6EE6" w:rsidP="00386B2A">
      <w:pPr>
        <w:spacing w:after="0"/>
        <w:jc w:val="both"/>
        <w:rPr>
          <w:rFonts w:ascii="Times New Roman" w:eastAsia="Times New Roman" w:hAnsi="Times New Roman" w:cs="Times New Roman"/>
          <w:color w:val="000000" w:themeColor="text1"/>
          <w:sz w:val="24"/>
          <w:szCs w:val="24"/>
        </w:rPr>
      </w:pPr>
      <w:r w:rsidRPr="009F6EE6">
        <w:rPr>
          <w:rFonts w:ascii="Times New Roman" w:eastAsia="Times New Roman" w:hAnsi="Times New Roman" w:cs="Times New Roman"/>
          <w:b/>
          <w:color w:val="000000" w:themeColor="text1"/>
          <w:sz w:val="24"/>
          <w:szCs w:val="24"/>
        </w:rPr>
        <w:t>ZM</w:t>
      </w:r>
      <w:r>
        <w:rPr>
          <w:rFonts w:ascii="Times New Roman" w:eastAsia="Times New Roman" w:hAnsi="Times New Roman" w:cs="Times New Roman"/>
          <w:color w:val="000000" w:themeColor="text1"/>
          <w:sz w:val="24"/>
          <w:szCs w:val="24"/>
        </w:rPr>
        <w:t xml:space="preserve"> – Zemkopības ministrija</w:t>
      </w:r>
    </w:p>
    <w:p w14:paraId="7BFE7042" w14:textId="77777777" w:rsidR="009F6EE6" w:rsidRDefault="009F6EE6" w:rsidP="00386B2A">
      <w:pPr>
        <w:spacing w:after="0"/>
        <w:jc w:val="both"/>
        <w:rPr>
          <w:rFonts w:ascii="Times New Roman" w:eastAsia="Times New Roman" w:hAnsi="Times New Roman" w:cs="Times New Roman"/>
          <w:color w:val="000000" w:themeColor="text1"/>
          <w:sz w:val="24"/>
          <w:szCs w:val="24"/>
        </w:rPr>
      </w:pPr>
    </w:p>
    <w:p w14:paraId="6B258C75" w14:textId="77777777" w:rsidR="009F6EE6" w:rsidRPr="004D7022" w:rsidRDefault="009F6EE6" w:rsidP="00386B2A">
      <w:pPr>
        <w:spacing w:after="0"/>
        <w:jc w:val="both"/>
        <w:rPr>
          <w:rFonts w:ascii="Times New Roman" w:hAnsi="Times New Roman" w:cs="Times New Roman"/>
          <w:b/>
          <w:sz w:val="24"/>
          <w:szCs w:val="24"/>
        </w:rPr>
      </w:pPr>
    </w:p>
    <w:p w14:paraId="1A8A67B5" w14:textId="57DDEC44" w:rsidR="0061294A" w:rsidRDefault="0061294A">
      <w:pPr>
        <w:rPr>
          <w:rFonts w:ascii="Times New Roman" w:hAnsi="Times New Roman" w:cs="Times New Roman"/>
          <w:b/>
          <w:caps/>
          <w:sz w:val="24"/>
          <w:szCs w:val="24"/>
        </w:rPr>
      </w:pPr>
      <w:r>
        <w:rPr>
          <w:rFonts w:ascii="Times New Roman" w:hAnsi="Times New Roman" w:cs="Times New Roman"/>
          <w:b/>
          <w:caps/>
          <w:sz w:val="24"/>
          <w:szCs w:val="24"/>
        </w:rPr>
        <w:br w:type="page"/>
      </w:r>
    </w:p>
    <w:p w14:paraId="4AB94054" w14:textId="77777777" w:rsidR="00794C7C" w:rsidRDefault="00794C7C" w:rsidP="00794C7C">
      <w:pPr>
        <w:pStyle w:val="Heading1"/>
        <w:numPr>
          <w:ilvl w:val="0"/>
          <w:numId w:val="0"/>
        </w:numPr>
      </w:pPr>
      <w:bookmarkStart w:id="4" w:name="_Toc465349527"/>
      <w:bookmarkStart w:id="5" w:name="_Toc465089705"/>
      <w:bookmarkStart w:id="6" w:name="_Toc466466852"/>
      <w:r w:rsidRPr="00E97E07">
        <w:lastRenderedPageBreak/>
        <w:t>Ievads</w:t>
      </w:r>
      <w:bookmarkEnd w:id="4"/>
      <w:bookmarkEnd w:id="5"/>
      <w:bookmarkEnd w:id="6"/>
    </w:p>
    <w:p w14:paraId="451A4CD0" w14:textId="0C3E5E73" w:rsidR="007D4B80" w:rsidRDefault="007D4B80" w:rsidP="007D4B80">
      <w:pPr>
        <w:jc w:val="both"/>
        <w:rPr>
          <w:rFonts w:ascii="Times New Roman" w:hAnsi="Times New Roman" w:cs="Times New Roman"/>
          <w:sz w:val="24"/>
          <w:szCs w:val="24"/>
        </w:rPr>
      </w:pPr>
      <w:r>
        <w:rPr>
          <w:rFonts w:ascii="Times New Roman" w:hAnsi="Times New Roman" w:cs="Times New Roman"/>
          <w:sz w:val="24"/>
          <w:szCs w:val="24"/>
        </w:rPr>
        <w:t xml:space="preserve">Valdības deklarācijā noteiktās prioritātes ir tautsaimniecības stiprināšana, valsts drošība un nacionālā identitāte, demogrāfiskās situācijas uzlabošana, ģimenes dzīves kvalitāte un sociālais nodrošinājums, reformas izglītībā un zinātnē un reformas veselības aprūpē. Šīs prioritātes ir vērstas uz ekonomiskās aktivitātes, nodarbinātības un produktivitātes straujāku </w:t>
      </w:r>
      <w:r w:rsidR="00A955F1">
        <w:rPr>
          <w:rFonts w:ascii="Times New Roman" w:hAnsi="Times New Roman" w:cs="Times New Roman"/>
          <w:sz w:val="24"/>
          <w:szCs w:val="24"/>
        </w:rPr>
        <w:t>pieaugumu</w:t>
      </w:r>
      <w:r>
        <w:rPr>
          <w:rFonts w:ascii="Times New Roman" w:hAnsi="Times New Roman" w:cs="Times New Roman"/>
          <w:sz w:val="24"/>
          <w:szCs w:val="24"/>
        </w:rPr>
        <w:t xml:space="preserve"> kā priekšnosacījumiem straujākai tautsaimniecības izaugsmei. </w:t>
      </w:r>
    </w:p>
    <w:p w14:paraId="1D0190EB" w14:textId="4982B444" w:rsidR="007D4B80" w:rsidRDefault="007D4B80" w:rsidP="007D4B80">
      <w:pPr>
        <w:jc w:val="both"/>
        <w:rPr>
          <w:rFonts w:ascii="Times New Roman" w:hAnsi="Times New Roman" w:cs="Times New Roman"/>
          <w:sz w:val="24"/>
          <w:szCs w:val="24"/>
        </w:rPr>
      </w:pPr>
      <w:r>
        <w:rPr>
          <w:rFonts w:ascii="Times New Roman" w:hAnsi="Times New Roman" w:cs="Times New Roman"/>
          <w:sz w:val="24"/>
          <w:szCs w:val="24"/>
        </w:rPr>
        <w:t>Globālās ilgtermiņa tendences un izaicinājumi, kas mūs sagaida nākotnes tehnoloģiju un inovācij</w:t>
      </w:r>
      <w:r w:rsidR="00246FA2">
        <w:rPr>
          <w:rFonts w:ascii="Times New Roman" w:hAnsi="Times New Roman" w:cs="Times New Roman"/>
          <w:sz w:val="24"/>
          <w:szCs w:val="24"/>
        </w:rPr>
        <w:t>as</w:t>
      </w:r>
      <w:r>
        <w:rPr>
          <w:rFonts w:ascii="Times New Roman" w:hAnsi="Times New Roman" w:cs="Times New Roman"/>
          <w:sz w:val="24"/>
          <w:szCs w:val="24"/>
        </w:rPr>
        <w:t xml:space="preserve"> attīstībā, atvērtajos preču un pakalpojumu tirgos un patērētāju uzv</w:t>
      </w:r>
      <w:r w:rsidR="00CC6CE7">
        <w:rPr>
          <w:rFonts w:ascii="Times New Roman" w:hAnsi="Times New Roman" w:cs="Times New Roman"/>
          <w:sz w:val="24"/>
          <w:szCs w:val="24"/>
        </w:rPr>
        <w:t xml:space="preserve">edības maiņā, </w:t>
      </w:r>
      <w:r>
        <w:rPr>
          <w:rFonts w:ascii="Times New Roman" w:hAnsi="Times New Roman" w:cs="Times New Roman"/>
          <w:sz w:val="24"/>
          <w:szCs w:val="24"/>
        </w:rPr>
        <w:t>demogrāfijā un iedzīvotāju migrācijā, resursu pieejamībā un to ilgtspējīgā izmantošanā, liecina, ka par</w:t>
      </w:r>
      <w:r w:rsidR="00DE6197">
        <w:rPr>
          <w:rFonts w:ascii="Times New Roman" w:hAnsi="Times New Roman" w:cs="Times New Roman"/>
          <w:sz w:val="24"/>
          <w:szCs w:val="24"/>
        </w:rPr>
        <w:t xml:space="preserve"> rītdienu ir jādomā jau šodien </w:t>
      </w:r>
      <w:r>
        <w:rPr>
          <w:rFonts w:ascii="Times New Roman" w:hAnsi="Times New Roman" w:cs="Times New Roman"/>
          <w:sz w:val="24"/>
          <w:szCs w:val="24"/>
        </w:rPr>
        <w:t>– kādu mēs vēlamies redzēt savu valsti pēc desmit, divdesmit un vairāk gadiem un kas valdībai un visai sabiedrībai kopumā ir jādara, lai t</w:t>
      </w:r>
      <w:r w:rsidR="00826493">
        <w:rPr>
          <w:rFonts w:ascii="Times New Roman" w:hAnsi="Times New Roman" w:cs="Times New Roman"/>
          <w:sz w:val="24"/>
          <w:szCs w:val="24"/>
        </w:rPr>
        <w:t>o</w:t>
      </w:r>
      <w:r>
        <w:rPr>
          <w:rFonts w:ascii="Times New Roman" w:hAnsi="Times New Roman" w:cs="Times New Roman"/>
          <w:sz w:val="24"/>
          <w:szCs w:val="24"/>
        </w:rPr>
        <w:t xml:space="preserve"> </w:t>
      </w:r>
      <w:r w:rsidR="00826493">
        <w:rPr>
          <w:rFonts w:ascii="Times New Roman" w:hAnsi="Times New Roman" w:cs="Times New Roman"/>
          <w:sz w:val="24"/>
          <w:szCs w:val="24"/>
        </w:rPr>
        <w:t>sasnieg</w:t>
      </w:r>
      <w:r>
        <w:rPr>
          <w:rFonts w:ascii="Times New Roman" w:hAnsi="Times New Roman" w:cs="Times New Roman"/>
          <w:sz w:val="24"/>
          <w:szCs w:val="24"/>
        </w:rPr>
        <w:t>tu.</w:t>
      </w:r>
    </w:p>
    <w:p w14:paraId="60215A8A" w14:textId="1A73C686" w:rsidR="007D4B80" w:rsidRDefault="007D4B80" w:rsidP="007D4B80">
      <w:pPr>
        <w:jc w:val="both"/>
        <w:rPr>
          <w:rFonts w:ascii="Times New Roman" w:hAnsi="Times New Roman" w:cs="Times New Roman"/>
          <w:sz w:val="24"/>
          <w:szCs w:val="24"/>
        </w:rPr>
      </w:pPr>
      <w:r>
        <w:rPr>
          <w:rFonts w:ascii="Times New Roman" w:hAnsi="Times New Roman" w:cs="Times New Roman"/>
          <w:sz w:val="24"/>
          <w:szCs w:val="24"/>
        </w:rPr>
        <w:t>Valsts labklājība un konkurētspēja balstās uz ilgtspējīgu ekonomiskās attīstības modeli, kurā galvenajam izaugsmes dzinējspēkam jābūt eksportam, tas ir</w:t>
      </w:r>
      <w:r w:rsidR="00826493">
        <w:rPr>
          <w:rFonts w:ascii="Times New Roman" w:hAnsi="Times New Roman" w:cs="Times New Roman"/>
          <w:sz w:val="24"/>
          <w:szCs w:val="24"/>
        </w:rPr>
        <w:t>,</w:t>
      </w:r>
      <w:r>
        <w:rPr>
          <w:rFonts w:ascii="Times New Roman" w:hAnsi="Times New Roman" w:cs="Times New Roman"/>
          <w:sz w:val="24"/>
          <w:szCs w:val="24"/>
        </w:rPr>
        <w:t xml:space="preserve"> spējai konkurēt iekšējos un ārējos produktu</w:t>
      </w:r>
      <w:r w:rsidR="00DE6197">
        <w:rPr>
          <w:rFonts w:ascii="Times New Roman" w:hAnsi="Times New Roman" w:cs="Times New Roman"/>
          <w:sz w:val="24"/>
          <w:szCs w:val="24"/>
        </w:rPr>
        <w:t xml:space="preserve"> un pakalpojumu</w:t>
      </w:r>
      <w:r>
        <w:rPr>
          <w:rFonts w:ascii="Times New Roman" w:hAnsi="Times New Roman" w:cs="Times New Roman"/>
          <w:sz w:val="24"/>
          <w:szCs w:val="24"/>
        </w:rPr>
        <w:t xml:space="preserve"> tirgos, kā arī kapitāla piesaistē, lai kāpinātu produktivitāti un </w:t>
      </w:r>
      <w:r w:rsidR="00826493">
        <w:rPr>
          <w:rFonts w:ascii="Times New Roman" w:hAnsi="Times New Roman" w:cs="Times New Roman"/>
          <w:sz w:val="24"/>
          <w:szCs w:val="24"/>
        </w:rPr>
        <w:t xml:space="preserve">veicinātu </w:t>
      </w:r>
      <w:r>
        <w:rPr>
          <w:rFonts w:ascii="Times New Roman" w:hAnsi="Times New Roman" w:cs="Times New Roman"/>
          <w:sz w:val="24"/>
          <w:szCs w:val="24"/>
        </w:rPr>
        <w:t>augstākas pievienotās vērtības radīšanu. Sekmīgam biznesa modelim ir jābalstās uz tehnoloģiski ietilpīgām nozarēm, savukārt tradicionālajām nozarēm ir nepieciešama struktūras maiņa. Īpaši šodien, kad visā pasaulē notiek ekonomikas transformācija uz oglekļa mazietilpīgu ražošanas attīstību un cirkulārās</w:t>
      </w:r>
      <w:r w:rsidR="00C30353">
        <w:rPr>
          <w:rFonts w:ascii="Times New Roman" w:hAnsi="Times New Roman" w:cs="Times New Roman"/>
          <w:sz w:val="24"/>
          <w:szCs w:val="24"/>
        </w:rPr>
        <w:t xml:space="preserve"> (aprites)</w:t>
      </w:r>
      <w:r>
        <w:rPr>
          <w:rFonts w:ascii="Times New Roman" w:hAnsi="Times New Roman" w:cs="Times New Roman"/>
          <w:sz w:val="24"/>
          <w:szCs w:val="24"/>
        </w:rPr>
        <w:t xml:space="preserve"> ekonomikas iedzīvināšanu visos ražošanas posmos, arī Latvijas uzņēmējiem sadarbībā ar </w:t>
      </w:r>
      <w:r w:rsidR="00DE6197">
        <w:rPr>
          <w:rFonts w:ascii="Times New Roman" w:hAnsi="Times New Roman" w:cs="Times New Roman"/>
          <w:sz w:val="24"/>
          <w:szCs w:val="24"/>
        </w:rPr>
        <w:t>zinātniekiem ir jāveic biznesa</w:t>
      </w:r>
      <w:r>
        <w:rPr>
          <w:rFonts w:ascii="Times New Roman" w:hAnsi="Times New Roman" w:cs="Times New Roman"/>
          <w:sz w:val="24"/>
          <w:szCs w:val="24"/>
        </w:rPr>
        <w:t xml:space="preserve"> modeļu transformācija atbilstoši globālajām tendencēm un pieprasījumam. Sa</w:t>
      </w:r>
      <w:r w:rsidR="00DE6197">
        <w:rPr>
          <w:rFonts w:ascii="Times New Roman" w:hAnsi="Times New Roman" w:cs="Times New Roman"/>
          <w:sz w:val="24"/>
          <w:szCs w:val="24"/>
        </w:rPr>
        <w:t>vukārt no valsts</w:t>
      </w:r>
      <w:r w:rsidR="00FA5AE3">
        <w:rPr>
          <w:rFonts w:ascii="Times New Roman" w:hAnsi="Times New Roman" w:cs="Times New Roman"/>
          <w:sz w:val="24"/>
          <w:szCs w:val="24"/>
        </w:rPr>
        <w:t xml:space="preserve"> puses </w:t>
      </w:r>
      <w:r w:rsidR="00FA5AE3" w:rsidRPr="00FA5AE3">
        <w:rPr>
          <w:rFonts w:ascii="Times New Roman" w:hAnsi="Times New Roman" w:cs="Times New Roman"/>
          <w:sz w:val="24"/>
          <w:szCs w:val="24"/>
        </w:rPr>
        <w:t>ir jārada visi priekšnoteikumi</w:t>
      </w:r>
      <w:r w:rsidR="00FA5AE3">
        <w:rPr>
          <w:rFonts w:ascii="Times New Roman" w:hAnsi="Times New Roman" w:cs="Times New Roman"/>
          <w:sz w:val="24"/>
          <w:szCs w:val="24"/>
        </w:rPr>
        <w:t xml:space="preserve"> </w:t>
      </w:r>
      <w:r w:rsidR="00C30353">
        <w:rPr>
          <w:rFonts w:ascii="Times New Roman" w:hAnsi="Times New Roman" w:cs="Times New Roman"/>
          <w:sz w:val="24"/>
          <w:szCs w:val="24"/>
        </w:rPr>
        <w:t xml:space="preserve">(jo īpaši koncentrējot publiskās pārvaldes pieejamos resursus eksporta </w:t>
      </w:r>
      <w:proofErr w:type="spellStart"/>
      <w:r w:rsidR="00C30353">
        <w:rPr>
          <w:rFonts w:ascii="Times New Roman" w:hAnsi="Times New Roman" w:cs="Times New Roman"/>
          <w:sz w:val="24"/>
          <w:szCs w:val="24"/>
        </w:rPr>
        <w:t>mērķreģionu</w:t>
      </w:r>
      <w:proofErr w:type="spellEnd"/>
      <w:r w:rsidR="00C30353">
        <w:rPr>
          <w:rFonts w:ascii="Times New Roman" w:hAnsi="Times New Roman" w:cs="Times New Roman"/>
          <w:sz w:val="24"/>
          <w:szCs w:val="24"/>
        </w:rPr>
        <w:t xml:space="preserve"> intensifikācijai) </w:t>
      </w:r>
      <w:r w:rsidR="00FA5AE3">
        <w:rPr>
          <w:rFonts w:ascii="Times New Roman" w:hAnsi="Times New Roman" w:cs="Times New Roman"/>
          <w:sz w:val="24"/>
          <w:szCs w:val="24"/>
        </w:rPr>
        <w:t>un jāsniedz nepieciešamais atbalsts</w:t>
      </w:r>
      <w:r w:rsidR="00FA5AE3" w:rsidRPr="00FA5AE3">
        <w:rPr>
          <w:rFonts w:ascii="Times New Roman" w:hAnsi="Times New Roman" w:cs="Times New Roman"/>
          <w:sz w:val="24"/>
          <w:szCs w:val="24"/>
        </w:rPr>
        <w:t>, lai uzņēmēji</w:t>
      </w:r>
      <w:r>
        <w:rPr>
          <w:rFonts w:ascii="Times New Roman" w:hAnsi="Times New Roman" w:cs="Times New Roman"/>
          <w:sz w:val="24"/>
          <w:szCs w:val="24"/>
        </w:rPr>
        <w:t xml:space="preserve"> </w:t>
      </w:r>
      <w:r w:rsidR="00FA5AE3" w:rsidRPr="00FA5AE3">
        <w:rPr>
          <w:rFonts w:ascii="Times New Roman" w:hAnsi="Times New Roman" w:cs="Times New Roman"/>
          <w:sz w:val="24"/>
          <w:szCs w:val="24"/>
        </w:rPr>
        <w:t>meklēt</w:t>
      </w:r>
      <w:r w:rsidR="00FA5AE3">
        <w:rPr>
          <w:rFonts w:ascii="Times New Roman" w:hAnsi="Times New Roman" w:cs="Times New Roman"/>
          <w:sz w:val="24"/>
          <w:szCs w:val="24"/>
        </w:rPr>
        <w:t>u</w:t>
      </w:r>
      <w:r w:rsidR="00FA5AE3" w:rsidRPr="00FA5AE3">
        <w:rPr>
          <w:rFonts w:ascii="Times New Roman" w:hAnsi="Times New Roman" w:cs="Times New Roman"/>
          <w:sz w:val="24"/>
          <w:szCs w:val="24"/>
        </w:rPr>
        <w:t xml:space="preserve"> perspektīvas nišas</w:t>
      </w:r>
      <w:r w:rsidR="00FA5AE3" w:rsidRPr="00FA5AE3" w:rsidDel="00FA5AE3">
        <w:rPr>
          <w:rFonts w:ascii="Times New Roman" w:hAnsi="Times New Roman" w:cs="Times New Roman"/>
          <w:sz w:val="24"/>
          <w:szCs w:val="24"/>
        </w:rPr>
        <w:t xml:space="preserve"> </w:t>
      </w:r>
      <w:r>
        <w:rPr>
          <w:rFonts w:ascii="Times New Roman" w:hAnsi="Times New Roman" w:cs="Times New Roman"/>
          <w:sz w:val="24"/>
          <w:szCs w:val="24"/>
        </w:rPr>
        <w:t xml:space="preserve">un tirgus segmentus, piemēram, finanšu tehnoloģiju pakalpojumi </w:t>
      </w:r>
      <w:r w:rsidRPr="00C2342A">
        <w:rPr>
          <w:rFonts w:ascii="Times New Roman" w:hAnsi="Times New Roman" w:cs="Times New Roman"/>
          <w:sz w:val="24"/>
          <w:szCs w:val="24"/>
        </w:rPr>
        <w:t>(</w:t>
      </w:r>
      <w:proofErr w:type="spellStart"/>
      <w:r>
        <w:rPr>
          <w:rFonts w:ascii="Times New Roman" w:hAnsi="Times New Roman" w:cs="Times New Roman"/>
          <w:i/>
          <w:sz w:val="24"/>
          <w:szCs w:val="24"/>
        </w:rPr>
        <w:t>FinTech</w:t>
      </w:r>
      <w:proofErr w:type="spellEnd"/>
      <w:r w:rsidRPr="00C2342A">
        <w:rPr>
          <w:rFonts w:ascii="Times New Roman" w:hAnsi="Times New Roman" w:cs="Times New Roman"/>
          <w:sz w:val="24"/>
          <w:szCs w:val="24"/>
        </w:rPr>
        <w:t>)</w:t>
      </w:r>
      <w:r w:rsidR="00FA5AE3">
        <w:rPr>
          <w:rFonts w:ascii="Times New Roman" w:hAnsi="Times New Roman" w:cs="Times New Roman"/>
          <w:sz w:val="24"/>
          <w:szCs w:val="24"/>
        </w:rPr>
        <w:t>.</w:t>
      </w:r>
    </w:p>
    <w:p w14:paraId="7A9B51CC" w14:textId="7B39B5C9" w:rsidR="007D4B80" w:rsidRDefault="007D4B80" w:rsidP="007D4B80">
      <w:pPr>
        <w:jc w:val="both"/>
        <w:rPr>
          <w:rFonts w:ascii="Times New Roman" w:hAnsi="Times New Roman" w:cs="Times New Roman"/>
          <w:sz w:val="24"/>
          <w:szCs w:val="24"/>
        </w:rPr>
      </w:pPr>
      <w:r>
        <w:rPr>
          <w:rFonts w:ascii="Times New Roman" w:hAnsi="Times New Roman" w:cs="Times New Roman"/>
          <w:sz w:val="24"/>
          <w:szCs w:val="24"/>
        </w:rPr>
        <w:t>Mērķtiecīgi ES fondu ieguldījumi ir veicinājuši Latvijas tautsaimniecības attīstību un nozaru konkurētspēju</w:t>
      </w:r>
      <w:r w:rsidR="00826493">
        <w:rPr>
          <w:rFonts w:ascii="Times New Roman" w:hAnsi="Times New Roman" w:cs="Times New Roman"/>
          <w:sz w:val="24"/>
          <w:szCs w:val="24"/>
        </w:rPr>
        <w:t>.</w:t>
      </w:r>
      <w:r>
        <w:rPr>
          <w:rFonts w:ascii="Times New Roman" w:hAnsi="Times New Roman" w:cs="Times New Roman"/>
          <w:sz w:val="24"/>
          <w:szCs w:val="24"/>
        </w:rPr>
        <w:t xml:space="preserve"> </w:t>
      </w:r>
      <w:r w:rsidR="00826493">
        <w:rPr>
          <w:rFonts w:ascii="Times New Roman" w:hAnsi="Times New Roman" w:cs="Times New Roman"/>
          <w:sz w:val="24"/>
          <w:szCs w:val="24"/>
        </w:rPr>
        <w:t>V</w:t>
      </w:r>
      <w:r>
        <w:rPr>
          <w:rFonts w:ascii="Times New Roman" w:hAnsi="Times New Roman" w:cs="Times New Roman"/>
          <w:sz w:val="24"/>
          <w:szCs w:val="24"/>
        </w:rPr>
        <w:t>ienlaikus jābūt gataviem reaģēt uz pārmaiņām, kas Latviju sagaida pēc pašreizējā</w:t>
      </w:r>
      <w:r w:rsidR="00AD2BFD">
        <w:rPr>
          <w:rFonts w:ascii="Times New Roman" w:hAnsi="Times New Roman" w:cs="Times New Roman"/>
          <w:sz w:val="24"/>
          <w:szCs w:val="24"/>
        </w:rPr>
        <w:t>m</w:t>
      </w:r>
      <w:r>
        <w:rPr>
          <w:rFonts w:ascii="Times New Roman" w:hAnsi="Times New Roman" w:cs="Times New Roman"/>
          <w:sz w:val="24"/>
          <w:szCs w:val="24"/>
        </w:rPr>
        <w:t xml:space="preserve"> ES fondu plānošanas perioda </w:t>
      </w:r>
      <w:r w:rsidR="00AD2BFD">
        <w:rPr>
          <w:rFonts w:ascii="Times New Roman" w:hAnsi="Times New Roman" w:cs="Times New Roman"/>
          <w:sz w:val="24"/>
          <w:szCs w:val="24"/>
        </w:rPr>
        <w:t xml:space="preserve">investīcijām. </w:t>
      </w:r>
      <w:r>
        <w:rPr>
          <w:rFonts w:ascii="Times New Roman" w:hAnsi="Times New Roman" w:cs="Times New Roman"/>
          <w:sz w:val="24"/>
          <w:szCs w:val="24"/>
        </w:rPr>
        <w:t>ES fondu ieguldījumam ir jākalpo kā katalizatoram t</w:t>
      </w:r>
      <w:r w:rsidR="00545247">
        <w:rPr>
          <w:rFonts w:ascii="Times New Roman" w:hAnsi="Times New Roman" w:cs="Times New Roman"/>
          <w:sz w:val="24"/>
          <w:szCs w:val="24"/>
        </w:rPr>
        <w:t>urpm</w:t>
      </w:r>
      <w:r>
        <w:rPr>
          <w:rFonts w:ascii="Times New Roman" w:hAnsi="Times New Roman" w:cs="Times New Roman"/>
          <w:sz w:val="24"/>
          <w:szCs w:val="24"/>
        </w:rPr>
        <w:t>ākai privāto investīciju pie</w:t>
      </w:r>
      <w:r w:rsidR="00826493">
        <w:rPr>
          <w:rFonts w:ascii="Times New Roman" w:hAnsi="Times New Roman" w:cs="Times New Roman"/>
          <w:sz w:val="24"/>
          <w:szCs w:val="24"/>
        </w:rPr>
        <w:t>saistei. Lai kāpinātu investoru</w:t>
      </w:r>
      <w:r>
        <w:rPr>
          <w:rFonts w:ascii="Times New Roman" w:hAnsi="Times New Roman" w:cs="Times New Roman"/>
          <w:sz w:val="24"/>
          <w:szCs w:val="24"/>
        </w:rPr>
        <w:t xml:space="preserve"> interesi un sekmētu partnerību ar privāto</w:t>
      </w:r>
      <w:r w:rsidR="00DE6197">
        <w:rPr>
          <w:rFonts w:ascii="Times New Roman" w:hAnsi="Times New Roman" w:cs="Times New Roman"/>
          <w:sz w:val="24"/>
          <w:szCs w:val="24"/>
        </w:rPr>
        <w:t xml:space="preserve"> sektoru, jāveido valsts un</w:t>
      </w:r>
      <w:r>
        <w:rPr>
          <w:rFonts w:ascii="Times New Roman" w:hAnsi="Times New Roman" w:cs="Times New Roman"/>
          <w:sz w:val="24"/>
          <w:szCs w:val="24"/>
        </w:rPr>
        <w:t xml:space="preserve"> pašvaldību efektīvas sadarbības modeļi, kas ļautu pieņemt lēmumus ātri un bez garām birokrātiskām p</w:t>
      </w:r>
      <w:r w:rsidR="00826493">
        <w:rPr>
          <w:rFonts w:ascii="Times New Roman" w:hAnsi="Times New Roman" w:cs="Times New Roman"/>
          <w:sz w:val="24"/>
          <w:szCs w:val="24"/>
        </w:rPr>
        <w:t>rocedūrām.</w:t>
      </w:r>
    </w:p>
    <w:p w14:paraId="46D73715" w14:textId="1CA42403" w:rsidR="00794C7C" w:rsidRDefault="007D4B80" w:rsidP="007D4B80">
      <w:pPr>
        <w:jc w:val="both"/>
        <w:rPr>
          <w:rFonts w:ascii="Times New Roman" w:hAnsi="Times New Roman" w:cs="Times New Roman"/>
          <w:b/>
          <w:caps/>
          <w:sz w:val="24"/>
          <w:szCs w:val="24"/>
        </w:rPr>
      </w:pPr>
      <w:r>
        <w:rPr>
          <w:rFonts w:ascii="Times New Roman" w:hAnsi="Times New Roman" w:cs="Times New Roman"/>
          <w:sz w:val="24"/>
          <w:szCs w:val="24"/>
        </w:rPr>
        <w:t>Konsekventi īstenota struktūrpolitika sekmēs Latvijas ekonomikas izaugsmi, kas būs pamats iedzīvotāju dzīves kvalitātes paaugstināšanai. Mūsu mērķis paliek nemainīgs</w:t>
      </w:r>
      <w:r w:rsidR="00C2342A">
        <w:rPr>
          <w:rFonts w:ascii="Times New Roman" w:hAnsi="Times New Roman" w:cs="Times New Roman"/>
          <w:sz w:val="24"/>
          <w:szCs w:val="24"/>
        </w:rPr>
        <w:t> </w:t>
      </w:r>
      <w:r w:rsidR="00826493">
        <w:rPr>
          <w:rFonts w:ascii="Times New Roman" w:hAnsi="Times New Roman" w:cs="Times New Roman"/>
          <w:sz w:val="24"/>
          <w:szCs w:val="24"/>
        </w:rPr>
        <w:t>–</w:t>
      </w:r>
      <w:r>
        <w:rPr>
          <w:rFonts w:ascii="Times New Roman" w:hAnsi="Times New Roman" w:cs="Times New Roman"/>
          <w:sz w:val="24"/>
          <w:szCs w:val="24"/>
        </w:rPr>
        <w:t xml:space="preserve"> turpmākajos gados jānodrošina ilgtspējīg</w:t>
      </w:r>
      <w:r w:rsidR="00826493">
        <w:rPr>
          <w:rFonts w:ascii="Times New Roman" w:hAnsi="Times New Roman" w:cs="Times New Roman"/>
          <w:sz w:val="24"/>
          <w:szCs w:val="24"/>
        </w:rPr>
        <w:t>a</w:t>
      </w:r>
      <w:r>
        <w:rPr>
          <w:rFonts w:ascii="Times New Roman" w:hAnsi="Times New Roman" w:cs="Times New Roman"/>
          <w:sz w:val="24"/>
          <w:szCs w:val="24"/>
        </w:rPr>
        <w:t xml:space="preserve"> izaugsm</w:t>
      </w:r>
      <w:r w:rsidR="00826493">
        <w:rPr>
          <w:rFonts w:ascii="Times New Roman" w:hAnsi="Times New Roman" w:cs="Times New Roman"/>
          <w:sz w:val="24"/>
          <w:szCs w:val="24"/>
        </w:rPr>
        <w:t>e</w:t>
      </w:r>
      <w:r>
        <w:rPr>
          <w:rFonts w:ascii="Times New Roman" w:hAnsi="Times New Roman" w:cs="Times New Roman"/>
          <w:sz w:val="24"/>
          <w:szCs w:val="24"/>
        </w:rPr>
        <w:t xml:space="preserve"> ar </w:t>
      </w:r>
      <w:r w:rsidR="00545247">
        <w:rPr>
          <w:rFonts w:ascii="Times New Roman" w:hAnsi="Times New Roman" w:cs="Times New Roman"/>
          <w:sz w:val="24"/>
          <w:szCs w:val="24"/>
        </w:rPr>
        <w:t xml:space="preserve">ikgadējo pieaugumu </w:t>
      </w:r>
      <w:r>
        <w:rPr>
          <w:rFonts w:ascii="Times New Roman" w:hAnsi="Times New Roman" w:cs="Times New Roman"/>
          <w:sz w:val="24"/>
          <w:szCs w:val="24"/>
        </w:rPr>
        <w:t>4</w:t>
      </w:r>
      <w:r w:rsidR="00826493">
        <w:rPr>
          <w:rFonts w:ascii="Times New Roman" w:hAnsi="Times New Roman" w:cs="Times New Roman"/>
          <w:sz w:val="24"/>
          <w:szCs w:val="24"/>
        </w:rPr>
        <w:t>–</w:t>
      </w:r>
      <w:r>
        <w:rPr>
          <w:rFonts w:ascii="Times New Roman" w:hAnsi="Times New Roman" w:cs="Times New Roman"/>
          <w:sz w:val="24"/>
          <w:szCs w:val="24"/>
        </w:rPr>
        <w:t>5</w:t>
      </w:r>
      <w:r w:rsidR="00826493">
        <w:rPr>
          <w:rFonts w:ascii="Times New Roman" w:hAnsi="Times New Roman" w:cs="Times New Roman"/>
          <w:sz w:val="24"/>
          <w:szCs w:val="24"/>
        </w:rPr>
        <w:t> </w:t>
      </w:r>
      <w:r>
        <w:rPr>
          <w:rFonts w:ascii="Times New Roman" w:hAnsi="Times New Roman" w:cs="Times New Roman"/>
          <w:sz w:val="24"/>
          <w:szCs w:val="24"/>
        </w:rPr>
        <w:t xml:space="preserve">%. Galvenie valsts attīstības mērķi vidējam termiņam ir noteikti NAP2020. Nākamajā gadā tiks veikts </w:t>
      </w:r>
      <w:r>
        <w:rPr>
          <w:rFonts w:ascii="Times New Roman" w:hAnsi="Times New Roman" w:cs="Times New Roman"/>
          <w:bCs/>
          <w:sz w:val="24"/>
          <w:szCs w:val="24"/>
        </w:rPr>
        <w:t>NAP2020</w:t>
      </w:r>
      <w:r>
        <w:rPr>
          <w:rFonts w:ascii="Times New Roman" w:hAnsi="Times New Roman" w:cs="Times New Roman"/>
          <w:sz w:val="24"/>
          <w:szCs w:val="24"/>
        </w:rPr>
        <w:t xml:space="preserve"> vidusposma izvērtējums, ļaujot apzināt sasniegto progresu </w:t>
      </w:r>
      <w:r>
        <w:rPr>
          <w:rFonts w:ascii="Times New Roman" w:hAnsi="Times New Roman" w:cs="Times New Roman"/>
          <w:sz w:val="24"/>
          <w:szCs w:val="24"/>
        </w:rPr>
        <w:lastRenderedPageBreak/>
        <w:t>un veikt iestrādes, lai iezīmētu valsts attīstības prioritātes nākamajam periodam pēc 2020.</w:t>
      </w:r>
      <w:r w:rsidR="00826493">
        <w:rPr>
          <w:rFonts w:ascii="Times New Roman" w:hAnsi="Times New Roman" w:cs="Times New Roman"/>
          <w:sz w:val="24"/>
          <w:szCs w:val="24"/>
        </w:rPr>
        <w:t> </w:t>
      </w:r>
      <w:r>
        <w:rPr>
          <w:rFonts w:ascii="Times New Roman" w:hAnsi="Times New Roman" w:cs="Times New Roman"/>
          <w:sz w:val="24"/>
          <w:szCs w:val="24"/>
        </w:rPr>
        <w:t>gada.</w:t>
      </w:r>
    </w:p>
    <w:p w14:paraId="23374C37" w14:textId="37EB22FF" w:rsidR="004E6539" w:rsidRPr="00E97E07" w:rsidRDefault="00542E76" w:rsidP="00386B2A">
      <w:pPr>
        <w:spacing w:after="0"/>
        <w:jc w:val="both"/>
        <w:rPr>
          <w:rFonts w:ascii="Times New Roman" w:hAnsi="Times New Roman" w:cs="Times New Roman"/>
          <w:b/>
          <w:caps/>
          <w:sz w:val="24"/>
          <w:szCs w:val="24"/>
        </w:rPr>
      </w:pPr>
      <w:r>
        <w:rPr>
          <w:rFonts w:ascii="Times New Roman" w:hAnsi="Times New Roman" w:cs="Times New Roman"/>
          <w:b/>
          <w:caps/>
          <w:sz w:val="24"/>
          <w:szCs w:val="24"/>
        </w:rPr>
        <w:br w:type="page"/>
      </w:r>
    </w:p>
    <w:p w14:paraId="1B73AA3B" w14:textId="77777777" w:rsidR="00E977BD" w:rsidRDefault="009A32E0" w:rsidP="0009008F">
      <w:pPr>
        <w:pStyle w:val="Heading1"/>
        <w:ind w:left="567" w:hanging="567"/>
      </w:pPr>
      <w:bookmarkStart w:id="7" w:name="_Toc465349528"/>
      <w:bookmarkStart w:id="8" w:name="_Toc465089706"/>
      <w:bookmarkStart w:id="9" w:name="_Toc466466853"/>
      <w:r>
        <w:lastRenderedPageBreak/>
        <w:t>Ekonom</w:t>
      </w:r>
      <w:r w:rsidRPr="00337161">
        <w:t>ika</w:t>
      </w:r>
      <w:r>
        <w:t>s izaugsmes veicināšana</w:t>
      </w:r>
      <w:bookmarkEnd w:id="7"/>
      <w:bookmarkEnd w:id="8"/>
      <w:bookmarkEnd w:id="9"/>
      <w:r w:rsidR="00AC5F54" w:rsidRPr="00CE18E8">
        <w:t xml:space="preserve"> </w:t>
      </w:r>
    </w:p>
    <w:p w14:paraId="3F566184" w14:textId="77777777" w:rsidR="004A4E12" w:rsidRDefault="004A4E12" w:rsidP="00447983">
      <w:pPr>
        <w:jc w:val="both"/>
        <w:rPr>
          <w:rFonts w:ascii="Times New Roman" w:hAnsi="Times New Roman" w:cs="Times New Roman"/>
          <w:sz w:val="24"/>
          <w:szCs w:val="24"/>
        </w:rPr>
      </w:pPr>
    </w:p>
    <w:p w14:paraId="619AF1D0" w14:textId="4B404055" w:rsidR="00447983" w:rsidRDefault="004A0251" w:rsidP="00447983">
      <w:pPr>
        <w:spacing w:after="0"/>
        <w:jc w:val="both"/>
        <w:rPr>
          <w:rFonts w:ascii="Times New Roman" w:hAnsi="Times New Roman" w:cs="Times New Roman"/>
          <w:sz w:val="24"/>
          <w:szCs w:val="24"/>
        </w:rPr>
      </w:pPr>
      <w:r w:rsidRPr="006B0706">
        <w:rPr>
          <w:rFonts w:ascii="Times New Roman" w:hAnsi="Times New Roman" w:cs="Times New Roman"/>
          <w:sz w:val="24"/>
          <w:szCs w:val="24"/>
        </w:rPr>
        <w:t>Lai arī ekonom</w:t>
      </w:r>
      <w:r w:rsidRPr="00337161">
        <w:rPr>
          <w:rFonts w:ascii="Times New Roman" w:hAnsi="Times New Roman" w:cs="Times New Roman"/>
          <w:sz w:val="24"/>
          <w:szCs w:val="24"/>
        </w:rPr>
        <w:t>iskā</w:t>
      </w:r>
      <w:r w:rsidRPr="006B0706">
        <w:rPr>
          <w:rFonts w:ascii="Times New Roman" w:hAnsi="Times New Roman" w:cs="Times New Roman"/>
          <w:sz w:val="24"/>
          <w:szCs w:val="24"/>
        </w:rPr>
        <w:t xml:space="preserve"> izaugsme Latvijā ir viena no straujākajām ES, pēdējos gados tā ir palēninājusies</w:t>
      </w:r>
      <w:r w:rsidR="00826493">
        <w:rPr>
          <w:rFonts w:ascii="Times New Roman" w:hAnsi="Times New Roman" w:cs="Times New Roman"/>
          <w:sz w:val="24"/>
          <w:szCs w:val="24"/>
        </w:rPr>
        <w:t>,</w:t>
      </w:r>
      <w:r w:rsidRPr="006B0706">
        <w:rPr>
          <w:rFonts w:ascii="Times New Roman" w:hAnsi="Times New Roman" w:cs="Times New Roman"/>
          <w:sz w:val="24"/>
          <w:szCs w:val="24"/>
        </w:rPr>
        <w:t xml:space="preserve"> paliekot 2</w:t>
      </w:r>
      <w:r w:rsidR="00826493">
        <w:rPr>
          <w:rFonts w:ascii="Times New Roman" w:hAnsi="Times New Roman" w:cs="Times New Roman"/>
          <w:sz w:val="24"/>
          <w:szCs w:val="24"/>
        </w:rPr>
        <w:t>–</w:t>
      </w:r>
      <w:r w:rsidRPr="006B0706">
        <w:rPr>
          <w:rFonts w:ascii="Times New Roman" w:hAnsi="Times New Roman" w:cs="Times New Roman"/>
          <w:sz w:val="24"/>
          <w:szCs w:val="24"/>
        </w:rPr>
        <w:t>3</w:t>
      </w:r>
      <w:r w:rsidR="00826493">
        <w:rPr>
          <w:rFonts w:ascii="Times New Roman" w:hAnsi="Times New Roman" w:cs="Times New Roman"/>
          <w:sz w:val="24"/>
          <w:szCs w:val="24"/>
        </w:rPr>
        <w:t> </w:t>
      </w:r>
      <w:r w:rsidRPr="006B0706">
        <w:rPr>
          <w:rFonts w:ascii="Times New Roman" w:hAnsi="Times New Roman" w:cs="Times New Roman"/>
          <w:sz w:val="24"/>
          <w:szCs w:val="24"/>
        </w:rPr>
        <w:t>% robežās</w:t>
      </w:r>
      <w:r w:rsidR="00A56ADC">
        <w:rPr>
          <w:rFonts w:ascii="Times New Roman" w:hAnsi="Times New Roman" w:cs="Times New Roman"/>
          <w:sz w:val="24"/>
          <w:szCs w:val="24"/>
        </w:rPr>
        <w:t xml:space="preserve"> </w:t>
      </w:r>
      <w:r w:rsidR="00A56ADC" w:rsidRPr="006F6CED">
        <w:rPr>
          <w:rFonts w:ascii="Times New Roman" w:hAnsi="Times New Roman" w:cs="Times New Roman"/>
          <w:sz w:val="24"/>
          <w:szCs w:val="24"/>
        </w:rPr>
        <w:t>(skat.</w:t>
      </w:r>
      <w:r w:rsidR="006F6CED" w:rsidRPr="006F6CED">
        <w:rPr>
          <w:rFonts w:ascii="Times New Roman" w:hAnsi="Times New Roman" w:cs="Times New Roman"/>
          <w:sz w:val="24"/>
          <w:szCs w:val="24"/>
        </w:rPr>
        <w:t xml:space="preserve"> 1.</w:t>
      </w:r>
      <w:r w:rsidR="00826493">
        <w:rPr>
          <w:rFonts w:ascii="Times New Roman" w:hAnsi="Times New Roman" w:cs="Times New Roman"/>
          <w:sz w:val="24"/>
          <w:szCs w:val="24"/>
        </w:rPr>
        <w:t> </w:t>
      </w:r>
      <w:r w:rsidR="00A56ADC" w:rsidRPr="006F6CED">
        <w:rPr>
          <w:rFonts w:ascii="Times New Roman" w:hAnsi="Times New Roman" w:cs="Times New Roman"/>
          <w:sz w:val="24"/>
          <w:szCs w:val="24"/>
        </w:rPr>
        <w:t>attēlu)</w:t>
      </w:r>
      <w:r w:rsidRPr="006B0706">
        <w:rPr>
          <w:rFonts w:ascii="Times New Roman" w:hAnsi="Times New Roman" w:cs="Times New Roman"/>
          <w:sz w:val="24"/>
          <w:szCs w:val="24"/>
        </w:rPr>
        <w:t>. Lēnāku pieauguma tempu lielā mērā nosaka tendences ārējā vidē –</w:t>
      </w:r>
      <w:r>
        <w:rPr>
          <w:rFonts w:ascii="Times New Roman" w:hAnsi="Times New Roman" w:cs="Times New Roman"/>
          <w:sz w:val="24"/>
          <w:szCs w:val="24"/>
        </w:rPr>
        <w:t xml:space="preserve"> </w:t>
      </w:r>
      <w:r w:rsidRPr="006B0706">
        <w:rPr>
          <w:rFonts w:ascii="Times New Roman" w:hAnsi="Times New Roman" w:cs="Times New Roman"/>
          <w:sz w:val="24"/>
          <w:szCs w:val="24"/>
        </w:rPr>
        <w:t xml:space="preserve">lēnā izaugsme ES, ekonomiskā </w:t>
      </w:r>
      <w:r>
        <w:rPr>
          <w:rFonts w:ascii="Times New Roman" w:hAnsi="Times New Roman" w:cs="Times New Roman"/>
          <w:sz w:val="24"/>
          <w:szCs w:val="24"/>
        </w:rPr>
        <w:t>situācija</w:t>
      </w:r>
      <w:r w:rsidRPr="006B0706">
        <w:rPr>
          <w:rFonts w:ascii="Times New Roman" w:hAnsi="Times New Roman" w:cs="Times New Roman"/>
          <w:sz w:val="24"/>
          <w:szCs w:val="24"/>
        </w:rPr>
        <w:t xml:space="preserve"> Krievijā</w:t>
      </w:r>
      <w:r>
        <w:rPr>
          <w:rFonts w:ascii="Times New Roman" w:hAnsi="Times New Roman" w:cs="Times New Roman"/>
          <w:sz w:val="24"/>
          <w:szCs w:val="24"/>
        </w:rPr>
        <w:t>, savstarpējās ES un Krievijas sankcijas, kā arī</w:t>
      </w:r>
      <w:r w:rsidRPr="006B0706">
        <w:rPr>
          <w:rFonts w:ascii="Times New Roman" w:hAnsi="Times New Roman" w:cs="Times New Roman"/>
          <w:sz w:val="24"/>
          <w:szCs w:val="24"/>
        </w:rPr>
        <w:t xml:space="preserve"> nenoteiktība strauji augošo Āzijas valstu tirgos.</w:t>
      </w:r>
    </w:p>
    <w:p w14:paraId="51551988" w14:textId="3D7F4368" w:rsidR="00B55351" w:rsidRDefault="006F6CED" w:rsidP="00BB7C5B">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w:t>
      </w:r>
      <w:r w:rsidR="00B55351">
        <w:rPr>
          <w:rFonts w:ascii="Times New Roman" w:hAnsi="Times New Roman" w:cs="Times New Roman"/>
          <w:color w:val="000000"/>
          <w:sz w:val="24"/>
          <w:szCs w:val="24"/>
        </w:rPr>
        <w:t>.</w:t>
      </w:r>
      <w:r w:rsidR="00826493">
        <w:rPr>
          <w:rFonts w:ascii="Times New Roman" w:hAnsi="Times New Roman" w:cs="Times New Roman"/>
          <w:color w:val="000000"/>
          <w:sz w:val="24"/>
          <w:szCs w:val="24"/>
        </w:rPr>
        <w:t> </w:t>
      </w:r>
      <w:r w:rsidR="00B55351">
        <w:rPr>
          <w:rFonts w:ascii="Times New Roman" w:hAnsi="Times New Roman" w:cs="Times New Roman"/>
          <w:color w:val="000000"/>
          <w:sz w:val="24"/>
          <w:szCs w:val="24"/>
        </w:rPr>
        <w:t>attēls</w:t>
      </w:r>
    </w:p>
    <w:p w14:paraId="1C0D6A5B" w14:textId="46CEA849" w:rsidR="00B55351" w:rsidRDefault="005F340F" w:rsidP="005F34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IKP dinamika</w:t>
      </w:r>
    </w:p>
    <w:p w14:paraId="4BF78AFB" w14:textId="78ABACE9" w:rsidR="00157643" w:rsidRPr="005F340F" w:rsidRDefault="005F340F" w:rsidP="00D8162A">
      <w:pPr>
        <w:spacing w:after="0" w:line="240" w:lineRule="auto"/>
        <w:jc w:val="center"/>
        <w:rPr>
          <w:rFonts w:ascii="Times New Roman" w:hAnsi="Times New Roman" w:cs="Times New Roman"/>
          <w:sz w:val="20"/>
          <w:szCs w:val="24"/>
        </w:rPr>
      </w:pPr>
      <w:r w:rsidRPr="005F340F">
        <w:rPr>
          <w:rFonts w:ascii="Times New Roman" w:hAnsi="Times New Roman" w:cs="Times New Roman"/>
          <w:sz w:val="20"/>
          <w:szCs w:val="24"/>
        </w:rPr>
        <w:t>Salīdzinām</w:t>
      </w:r>
      <w:r w:rsidR="00157643">
        <w:rPr>
          <w:rFonts w:ascii="Times New Roman" w:hAnsi="Times New Roman" w:cs="Times New Roman"/>
          <w:sz w:val="20"/>
          <w:szCs w:val="24"/>
        </w:rPr>
        <w:t>aj</w:t>
      </w:r>
      <w:r w:rsidRPr="005F340F">
        <w:rPr>
          <w:rFonts w:ascii="Times New Roman" w:hAnsi="Times New Roman" w:cs="Times New Roman"/>
          <w:sz w:val="20"/>
          <w:szCs w:val="24"/>
        </w:rPr>
        <w:t>ās cenās, izmaiņas % pret iepriekšējo gadu</w:t>
      </w:r>
    </w:p>
    <w:p w14:paraId="7430E455" w14:textId="5986079B" w:rsidR="00856557" w:rsidRDefault="00D92F2E" w:rsidP="00885B82">
      <w:pPr>
        <w:spacing w:after="0" w:line="240" w:lineRule="auto"/>
        <w:jc w:val="center"/>
        <w:rPr>
          <w:rFonts w:ascii="Times New Roman" w:hAnsi="Times New Roman" w:cs="Times New Roman"/>
          <w:sz w:val="20"/>
          <w:szCs w:val="24"/>
        </w:rPr>
      </w:pPr>
      <w:r>
        <w:rPr>
          <w:noProof/>
          <w:lang w:eastAsia="lv-LV"/>
        </w:rPr>
        <w:drawing>
          <wp:inline distT="0" distB="0" distL="0" distR="0" wp14:anchorId="05DEABD0" wp14:editId="47876A31">
            <wp:extent cx="5383033" cy="2743200"/>
            <wp:effectExtent l="0" t="0" r="27305"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4F4773C" w14:textId="650AB414" w:rsidR="00D92F2E" w:rsidRPr="005F340F" w:rsidRDefault="00D92F2E" w:rsidP="00D92F2E">
      <w:pPr>
        <w:rPr>
          <w:rFonts w:ascii="Times New Roman" w:hAnsi="Times New Roman" w:cs="Times New Roman"/>
          <w:sz w:val="20"/>
          <w:szCs w:val="24"/>
        </w:rPr>
      </w:pPr>
      <w:r>
        <w:rPr>
          <w:rFonts w:ascii="Times New Roman" w:hAnsi="Times New Roman" w:cs="Times New Roman"/>
          <w:sz w:val="20"/>
          <w:szCs w:val="24"/>
        </w:rPr>
        <w:t>Avots: Eurostat, FM makroekonomikas prognozes</w:t>
      </w:r>
    </w:p>
    <w:p w14:paraId="6FE7D4C0" w14:textId="3FF32A0E" w:rsidR="004A4E12" w:rsidRDefault="004A4E12" w:rsidP="004A4E12">
      <w:pPr>
        <w:jc w:val="both"/>
        <w:rPr>
          <w:rFonts w:ascii="Times New Roman" w:hAnsi="Times New Roman" w:cs="Times New Roman"/>
          <w:sz w:val="24"/>
          <w:szCs w:val="24"/>
        </w:rPr>
      </w:pPr>
      <w:r w:rsidRPr="002879FC">
        <w:rPr>
          <w:rFonts w:ascii="Times New Roman" w:hAnsi="Times New Roman" w:cs="Times New Roman"/>
          <w:sz w:val="24"/>
          <w:szCs w:val="24"/>
        </w:rPr>
        <w:t>Latvijas ekonomikas attīstībai ļoti nozīmīgas ir investīcijas</w:t>
      </w:r>
      <w:r w:rsidR="00C2342A">
        <w:rPr>
          <w:rFonts w:ascii="Times New Roman" w:hAnsi="Times New Roman" w:cs="Times New Roman"/>
          <w:sz w:val="24"/>
          <w:szCs w:val="24"/>
        </w:rPr>
        <w:t>.</w:t>
      </w:r>
      <w:r w:rsidRPr="002879FC">
        <w:rPr>
          <w:rFonts w:ascii="Times New Roman" w:hAnsi="Times New Roman" w:cs="Times New Roman"/>
          <w:sz w:val="24"/>
          <w:szCs w:val="24"/>
        </w:rPr>
        <w:t xml:space="preserve"> </w:t>
      </w:r>
      <w:r w:rsidR="00C2342A">
        <w:rPr>
          <w:rFonts w:ascii="Times New Roman" w:hAnsi="Times New Roman" w:cs="Times New Roman"/>
          <w:sz w:val="24"/>
          <w:szCs w:val="24"/>
        </w:rPr>
        <w:t>D</w:t>
      </w:r>
      <w:r w:rsidRPr="002879FC">
        <w:rPr>
          <w:rFonts w:ascii="Times New Roman" w:hAnsi="Times New Roman" w:cs="Times New Roman"/>
          <w:sz w:val="24"/>
          <w:szCs w:val="24"/>
        </w:rPr>
        <w:t>iemžēl to apjomi pēdējā lai</w:t>
      </w:r>
      <w:r w:rsidR="003D1C81">
        <w:rPr>
          <w:rFonts w:ascii="Times New Roman" w:hAnsi="Times New Roman" w:cs="Times New Roman"/>
          <w:sz w:val="24"/>
          <w:szCs w:val="24"/>
        </w:rPr>
        <w:t>kā</w:t>
      </w:r>
      <w:r>
        <w:rPr>
          <w:rFonts w:ascii="Times New Roman" w:hAnsi="Times New Roman" w:cs="Times New Roman"/>
          <w:sz w:val="24"/>
          <w:szCs w:val="24"/>
        </w:rPr>
        <w:t xml:space="preserve"> nav pietiekami izvirzīto valsts attīstības mērķu sasniegšanai</w:t>
      </w:r>
      <w:r w:rsidRPr="002879FC">
        <w:rPr>
          <w:rFonts w:ascii="Times New Roman" w:hAnsi="Times New Roman" w:cs="Times New Roman"/>
          <w:sz w:val="24"/>
          <w:szCs w:val="24"/>
        </w:rPr>
        <w:t xml:space="preserve">. Investīcijas lielā mērā ietekmē vājā kreditēšana, relatīvi zems pieprasījums, salīdzinoši augsts parādsaistību līmenis, kā arī nenoteiktība ārējā vidē. Savukārt sabiedriskā sektora investīcijas ir cieši saistītas ar ES struktūrfondu plānošanas perioda cikliskumu. </w:t>
      </w:r>
    </w:p>
    <w:p w14:paraId="2BD9B4C0" w14:textId="3622C87A" w:rsidR="004A4E12" w:rsidRPr="00526E35" w:rsidRDefault="004A4E12" w:rsidP="004A4E12">
      <w:pPr>
        <w:jc w:val="both"/>
        <w:rPr>
          <w:rFonts w:ascii="Times New Roman" w:hAnsi="Times New Roman" w:cs="Times New Roman"/>
          <w:sz w:val="24"/>
          <w:szCs w:val="24"/>
        </w:rPr>
      </w:pPr>
      <w:r w:rsidRPr="00526E35">
        <w:rPr>
          <w:rFonts w:ascii="Times New Roman" w:hAnsi="Times New Roman" w:cs="Times New Roman"/>
          <w:sz w:val="24"/>
          <w:szCs w:val="24"/>
        </w:rPr>
        <w:t xml:space="preserve">Mūsdienās valsts attīstību būtiski ietekmē sociālekonomiskie un politiskie procesi globālajā pasaulē. </w:t>
      </w:r>
      <w:r w:rsidRPr="002879FC">
        <w:rPr>
          <w:rFonts w:ascii="Times New Roman" w:hAnsi="Times New Roman" w:cs="Times New Roman"/>
          <w:sz w:val="24"/>
          <w:szCs w:val="24"/>
        </w:rPr>
        <w:t xml:space="preserve">Latvijas tautsaimniecība ir cieši integrēta starptautiskajos tirgos. </w:t>
      </w:r>
      <w:r w:rsidRPr="00526E35">
        <w:rPr>
          <w:rFonts w:ascii="Times New Roman" w:hAnsi="Times New Roman" w:cs="Times New Roman"/>
          <w:sz w:val="24"/>
          <w:szCs w:val="24"/>
        </w:rPr>
        <w:t>Valsts integrācija pasaules ekonomikā palielina iespēju piesaistīt starptautiskos resursus sociālo un ekonomi</w:t>
      </w:r>
      <w:r w:rsidR="003D1C81">
        <w:rPr>
          <w:rFonts w:ascii="Times New Roman" w:hAnsi="Times New Roman" w:cs="Times New Roman"/>
          <w:sz w:val="24"/>
          <w:szCs w:val="24"/>
        </w:rPr>
        <w:t>kas</w:t>
      </w:r>
      <w:r w:rsidRPr="00526E35">
        <w:rPr>
          <w:rFonts w:ascii="Times New Roman" w:hAnsi="Times New Roman" w:cs="Times New Roman"/>
          <w:sz w:val="24"/>
          <w:szCs w:val="24"/>
        </w:rPr>
        <w:t xml:space="preserve"> problēmu risināšanai. Tomēr vienlaikus pieaug arī riski, </w:t>
      </w:r>
      <w:r w:rsidR="00FD1974">
        <w:rPr>
          <w:rFonts w:ascii="Times New Roman" w:hAnsi="Times New Roman" w:cs="Times New Roman"/>
          <w:sz w:val="24"/>
          <w:szCs w:val="24"/>
        </w:rPr>
        <w:t xml:space="preserve">kas </w:t>
      </w:r>
      <w:r w:rsidRPr="00526E35">
        <w:rPr>
          <w:rFonts w:ascii="Times New Roman" w:hAnsi="Times New Roman" w:cs="Times New Roman"/>
          <w:sz w:val="24"/>
          <w:szCs w:val="24"/>
        </w:rPr>
        <w:t xml:space="preserve">saistīti ar </w:t>
      </w:r>
      <w:r w:rsidR="00FD1974">
        <w:rPr>
          <w:rFonts w:ascii="Times New Roman" w:hAnsi="Times New Roman" w:cs="Times New Roman"/>
          <w:sz w:val="24"/>
          <w:szCs w:val="24"/>
        </w:rPr>
        <w:t xml:space="preserve">šo </w:t>
      </w:r>
      <w:r w:rsidRPr="00526E35">
        <w:rPr>
          <w:rFonts w:ascii="Times New Roman" w:hAnsi="Times New Roman" w:cs="Times New Roman"/>
          <w:sz w:val="24"/>
          <w:szCs w:val="24"/>
        </w:rPr>
        <w:t>resursu aizplūšanu. Integrācijas ieguvumus lielā mērā nosaka ekonomiskās sistēmas un it īpaši institucionālās vides kvalitāte, kas ir pamatnosacījums ekonomikas attīstībai.</w:t>
      </w:r>
      <w:r w:rsidR="0006108D" w:rsidRPr="0006108D">
        <w:rPr>
          <w:rFonts w:ascii="Times New Roman" w:hAnsi="Times New Roman" w:cs="Times New Roman"/>
          <w:sz w:val="24"/>
          <w:szCs w:val="24"/>
        </w:rPr>
        <w:t xml:space="preserve"> </w:t>
      </w:r>
      <w:r w:rsidR="0006108D" w:rsidRPr="00DC534A">
        <w:rPr>
          <w:rFonts w:ascii="Times New Roman" w:hAnsi="Times New Roman" w:cs="Times New Roman"/>
          <w:sz w:val="24"/>
          <w:szCs w:val="24"/>
        </w:rPr>
        <w:t>2016.</w:t>
      </w:r>
      <w:r w:rsidR="005C5CEF">
        <w:rPr>
          <w:rFonts w:ascii="Times New Roman" w:hAnsi="Times New Roman" w:cs="Times New Roman"/>
          <w:sz w:val="24"/>
          <w:szCs w:val="24"/>
        </w:rPr>
        <w:t> gada 1.</w:t>
      </w:r>
      <w:r w:rsidR="00826493">
        <w:rPr>
          <w:rFonts w:ascii="Times New Roman" w:hAnsi="Times New Roman" w:cs="Times New Roman"/>
          <w:sz w:val="24"/>
          <w:szCs w:val="24"/>
        </w:rPr>
        <w:t> </w:t>
      </w:r>
      <w:r w:rsidR="0006108D" w:rsidRPr="00DC534A">
        <w:rPr>
          <w:rFonts w:ascii="Times New Roman" w:hAnsi="Times New Roman" w:cs="Times New Roman"/>
          <w:sz w:val="24"/>
          <w:szCs w:val="24"/>
        </w:rPr>
        <w:t>jūlijā Latvija kļuva par 35.</w:t>
      </w:r>
      <w:r w:rsidR="00826493">
        <w:rPr>
          <w:rFonts w:ascii="Times New Roman" w:hAnsi="Times New Roman" w:cs="Times New Roman"/>
          <w:sz w:val="24"/>
          <w:szCs w:val="24"/>
        </w:rPr>
        <w:t> </w:t>
      </w:r>
      <w:r w:rsidR="0006108D" w:rsidRPr="00DC534A">
        <w:rPr>
          <w:rFonts w:ascii="Times New Roman" w:hAnsi="Times New Roman" w:cs="Times New Roman"/>
          <w:sz w:val="24"/>
          <w:szCs w:val="24"/>
        </w:rPr>
        <w:t>OECD dalībvalsti. Latvijas iestāšanās process OECD ir ļāvis novērtēt Latvijas vietu starp attīstītākajām OECD dalībvalstīm</w:t>
      </w:r>
      <w:r w:rsidR="00574E98">
        <w:rPr>
          <w:rFonts w:ascii="Times New Roman" w:hAnsi="Times New Roman" w:cs="Times New Roman"/>
          <w:sz w:val="24"/>
          <w:szCs w:val="24"/>
        </w:rPr>
        <w:t xml:space="preserve"> un nodrošinājis piekļuvi </w:t>
      </w:r>
      <w:r w:rsidR="0006108D" w:rsidRPr="00DC534A">
        <w:rPr>
          <w:rFonts w:ascii="Times New Roman" w:hAnsi="Times New Roman" w:cs="Times New Roman"/>
          <w:sz w:val="24"/>
          <w:szCs w:val="24"/>
        </w:rPr>
        <w:t xml:space="preserve">daudzpusīgai ekspertīzei, kas palīdzēs rast </w:t>
      </w:r>
      <w:r w:rsidR="000066AE">
        <w:rPr>
          <w:rFonts w:ascii="Times New Roman" w:hAnsi="Times New Roman" w:cs="Times New Roman"/>
          <w:sz w:val="24"/>
          <w:szCs w:val="24"/>
        </w:rPr>
        <w:t xml:space="preserve">jaunus </w:t>
      </w:r>
      <w:r w:rsidR="0006108D" w:rsidRPr="00DC534A">
        <w:rPr>
          <w:rFonts w:ascii="Times New Roman" w:hAnsi="Times New Roman" w:cs="Times New Roman"/>
          <w:sz w:val="24"/>
          <w:szCs w:val="24"/>
        </w:rPr>
        <w:t>risinājumus valsts konkurētspējas, iedzīvotāju labklājības un sociālās drošības uzlabošanai.</w:t>
      </w:r>
    </w:p>
    <w:p w14:paraId="59F7EBE9" w14:textId="77777777" w:rsidR="00F83B15" w:rsidRPr="004A4E12" w:rsidRDefault="004A4E12" w:rsidP="00E97E07">
      <w:pPr>
        <w:jc w:val="both"/>
        <w:rPr>
          <w:rFonts w:ascii="Times New Roman" w:hAnsi="Times New Roman" w:cs="Times New Roman"/>
          <w:sz w:val="24"/>
          <w:szCs w:val="24"/>
        </w:rPr>
      </w:pPr>
      <w:r w:rsidRPr="004A4E12">
        <w:rPr>
          <w:rFonts w:ascii="Times New Roman" w:hAnsi="Times New Roman" w:cs="Times New Roman"/>
          <w:sz w:val="24"/>
          <w:szCs w:val="24"/>
        </w:rPr>
        <w:lastRenderedPageBreak/>
        <w:t>Pašlaik globālās ekonomikas attīstība ir ļoti vāja, līdz ar to saasinās konkurence starptautiskajos produktu, darba un kapitāla tirgos. Tādēļ, lai straujāk uzlabotu Latvijas uzņēmumu konkurētspēju, valdības rīcība ir vērsta uz atbalstu zināšanu ekonomikas attīstībai, produktivitātes un inovācijas kapacitātes paaugstināšanai, uzņēmējdarbības vides uzlabošanai un eksportam, nodrošinot arī savlaicīgu ES fondu investīciju ieguldīšanu.</w:t>
      </w:r>
    </w:p>
    <w:p w14:paraId="17223266" w14:textId="553963B3" w:rsidR="007B08E4" w:rsidRDefault="003D1C81" w:rsidP="00A92462">
      <w:pPr>
        <w:jc w:val="both"/>
        <w:rPr>
          <w:rFonts w:ascii="Times New Roman" w:hAnsi="Times New Roman" w:cs="Times New Roman"/>
          <w:sz w:val="24"/>
          <w:szCs w:val="24"/>
        </w:rPr>
      </w:pPr>
      <w:r w:rsidRPr="003D1C81">
        <w:rPr>
          <w:rFonts w:ascii="Times New Roman" w:hAnsi="Times New Roman" w:cs="Times New Roman"/>
          <w:sz w:val="24"/>
          <w:szCs w:val="24"/>
        </w:rPr>
        <w:t>Starptautiskie sociālekonomiskie reitingi ir vispāratzīti rīki valsts ekonomiskās sistēmas novērtēšanai. Neraugoties uz dažādām metodoloģiskām nepilnībām, starptautiskie reitingi sniedz vērtīgu informāciju politikas veidotājiem un ļauj noteikt tās jomas, kurās Latvijai ir būtisk</w:t>
      </w:r>
      <w:r w:rsidR="00B12357">
        <w:rPr>
          <w:rFonts w:ascii="Times New Roman" w:hAnsi="Times New Roman" w:cs="Times New Roman"/>
          <w:sz w:val="24"/>
          <w:szCs w:val="24"/>
        </w:rPr>
        <w:t>i</w:t>
      </w:r>
      <w:r w:rsidRPr="003D1C81">
        <w:rPr>
          <w:rFonts w:ascii="Times New Roman" w:hAnsi="Times New Roman" w:cs="Times New Roman"/>
          <w:sz w:val="24"/>
          <w:szCs w:val="24"/>
        </w:rPr>
        <w:t xml:space="preserve"> </w:t>
      </w:r>
      <w:r w:rsidR="00707725">
        <w:rPr>
          <w:rFonts w:ascii="Times New Roman" w:hAnsi="Times New Roman" w:cs="Times New Roman"/>
          <w:sz w:val="24"/>
          <w:szCs w:val="24"/>
        </w:rPr>
        <w:t>jā</w:t>
      </w:r>
      <w:r w:rsidR="00B12357">
        <w:rPr>
          <w:rFonts w:ascii="Times New Roman" w:hAnsi="Times New Roman" w:cs="Times New Roman"/>
          <w:sz w:val="24"/>
          <w:szCs w:val="24"/>
        </w:rPr>
        <w:t>u</w:t>
      </w:r>
      <w:r w:rsidR="00D37A15">
        <w:rPr>
          <w:rFonts w:ascii="Times New Roman" w:hAnsi="Times New Roman" w:cs="Times New Roman"/>
          <w:sz w:val="24"/>
          <w:szCs w:val="24"/>
        </w:rPr>
        <w:t>zlabo sav</w:t>
      </w:r>
      <w:r w:rsidR="00707725">
        <w:rPr>
          <w:rFonts w:ascii="Times New Roman" w:hAnsi="Times New Roman" w:cs="Times New Roman"/>
          <w:sz w:val="24"/>
          <w:szCs w:val="24"/>
        </w:rPr>
        <w:t>s</w:t>
      </w:r>
      <w:r w:rsidR="00D37A15">
        <w:rPr>
          <w:rFonts w:ascii="Times New Roman" w:hAnsi="Times New Roman" w:cs="Times New Roman"/>
          <w:sz w:val="24"/>
          <w:szCs w:val="24"/>
        </w:rPr>
        <w:t xml:space="preserve"> sniegum</w:t>
      </w:r>
      <w:r w:rsidR="00707725">
        <w:rPr>
          <w:rFonts w:ascii="Times New Roman" w:hAnsi="Times New Roman" w:cs="Times New Roman"/>
          <w:sz w:val="24"/>
          <w:szCs w:val="24"/>
        </w:rPr>
        <w:t>s</w:t>
      </w:r>
      <w:r w:rsidR="00D37A15">
        <w:rPr>
          <w:rFonts w:ascii="Times New Roman" w:hAnsi="Times New Roman" w:cs="Times New Roman"/>
          <w:sz w:val="24"/>
          <w:szCs w:val="24"/>
        </w:rPr>
        <w:t xml:space="preserve"> salīdzinājumā</w:t>
      </w:r>
      <w:r w:rsidR="00B12357">
        <w:rPr>
          <w:rFonts w:ascii="Times New Roman" w:hAnsi="Times New Roman" w:cs="Times New Roman"/>
          <w:sz w:val="24"/>
          <w:szCs w:val="24"/>
        </w:rPr>
        <w:t xml:space="preserve"> ar </w:t>
      </w:r>
      <w:r w:rsidRPr="003D1C81">
        <w:rPr>
          <w:rFonts w:ascii="Times New Roman" w:hAnsi="Times New Roman" w:cs="Times New Roman"/>
          <w:sz w:val="24"/>
          <w:szCs w:val="24"/>
        </w:rPr>
        <w:t xml:space="preserve">citām valstīm. </w:t>
      </w:r>
      <w:r w:rsidRPr="00B02009">
        <w:rPr>
          <w:rFonts w:ascii="Times New Roman" w:hAnsi="Times New Roman" w:cs="Times New Roman"/>
          <w:sz w:val="24"/>
          <w:szCs w:val="24"/>
        </w:rPr>
        <w:t>Latvijas pozīcija starptautiskajos reitingos ir viens no faktoriem, kas var ietekmēt potenciālo investoru lēmumus par ieguldījumiem Latvijas ekon</w:t>
      </w:r>
      <w:r w:rsidR="00707725">
        <w:rPr>
          <w:rFonts w:ascii="Times New Roman" w:hAnsi="Times New Roman" w:cs="Times New Roman"/>
          <w:sz w:val="24"/>
          <w:szCs w:val="24"/>
        </w:rPr>
        <w:t>omikā. Tāpēc Latvijas pozīcijas</w:t>
      </w:r>
      <w:r w:rsidRPr="00B02009">
        <w:rPr>
          <w:rFonts w:ascii="Times New Roman" w:hAnsi="Times New Roman" w:cs="Times New Roman"/>
          <w:sz w:val="24"/>
          <w:szCs w:val="24"/>
        </w:rPr>
        <w:t xml:space="preserve"> uzlabošanās starptautiskajos reitingos palielina uzticību Latvijas ekonomikai pasaules mērogā un veicina tās pievilcību starptautisko resursu piesaistei.</w:t>
      </w:r>
      <w:r w:rsidR="0029120F" w:rsidRPr="0029120F">
        <w:rPr>
          <w:rFonts w:ascii="Times New Roman" w:hAnsi="Times New Roman" w:cs="Times New Roman"/>
          <w:sz w:val="24"/>
          <w:szCs w:val="24"/>
        </w:rPr>
        <w:t xml:space="preserve"> </w:t>
      </w:r>
      <w:r w:rsidR="0029120F" w:rsidRPr="006D7C0E">
        <w:rPr>
          <w:rFonts w:ascii="Times New Roman" w:hAnsi="Times New Roman" w:cs="Times New Roman"/>
          <w:sz w:val="24"/>
          <w:szCs w:val="24"/>
        </w:rPr>
        <w:t>Lai virzītos uz izcilu uzņēmējdarbības vidi</w:t>
      </w:r>
      <w:r w:rsidR="00D62682">
        <w:rPr>
          <w:rFonts w:ascii="Times New Roman" w:hAnsi="Times New Roman" w:cs="Times New Roman"/>
          <w:sz w:val="24"/>
          <w:szCs w:val="24"/>
        </w:rPr>
        <w:t>,</w:t>
      </w:r>
      <w:r w:rsidR="0029120F" w:rsidRPr="006D7C0E">
        <w:rPr>
          <w:rFonts w:ascii="Times New Roman" w:hAnsi="Times New Roman" w:cs="Times New Roman"/>
          <w:sz w:val="24"/>
          <w:szCs w:val="24"/>
        </w:rPr>
        <w:t xml:space="preserve"> Valdības deklarācijā un N</w:t>
      </w:r>
      <w:r w:rsidR="00F178A0">
        <w:rPr>
          <w:rFonts w:ascii="Times New Roman" w:hAnsi="Times New Roman" w:cs="Times New Roman"/>
          <w:sz w:val="24"/>
          <w:szCs w:val="24"/>
        </w:rPr>
        <w:t>AP</w:t>
      </w:r>
      <w:r w:rsidR="0029120F" w:rsidRPr="006D7C0E">
        <w:rPr>
          <w:rFonts w:ascii="Times New Roman" w:hAnsi="Times New Roman" w:cs="Times New Roman"/>
          <w:sz w:val="24"/>
          <w:szCs w:val="24"/>
        </w:rPr>
        <w:t xml:space="preserve">2020 </w:t>
      </w:r>
      <w:r w:rsidR="0029120F">
        <w:rPr>
          <w:rFonts w:ascii="Times New Roman" w:hAnsi="Times New Roman" w:cs="Times New Roman"/>
          <w:sz w:val="24"/>
          <w:szCs w:val="24"/>
        </w:rPr>
        <w:t xml:space="preserve">ir </w:t>
      </w:r>
      <w:r w:rsidR="0029120F" w:rsidRPr="006D7C0E">
        <w:rPr>
          <w:rFonts w:ascii="Times New Roman" w:hAnsi="Times New Roman" w:cs="Times New Roman"/>
          <w:sz w:val="24"/>
          <w:szCs w:val="24"/>
        </w:rPr>
        <w:t>izvirzīt</w:t>
      </w:r>
      <w:r w:rsidR="0029120F">
        <w:rPr>
          <w:rFonts w:ascii="Times New Roman" w:hAnsi="Times New Roman" w:cs="Times New Roman"/>
          <w:sz w:val="24"/>
          <w:szCs w:val="24"/>
        </w:rPr>
        <w:t>i</w:t>
      </w:r>
      <w:r w:rsidR="0029120F" w:rsidRPr="006D7C0E">
        <w:rPr>
          <w:rFonts w:ascii="Times New Roman" w:hAnsi="Times New Roman" w:cs="Times New Roman"/>
          <w:sz w:val="24"/>
          <w:szCs w:val="24"/>
        </w:rPr>
        <w:t xml:space="preserve"> mērķa rādītāj</w:t>
      </w:r>
      <w:r w:rsidR="0029120F">
        <w:rPr>
          <w:rFonts w:ascii="Times New Roman" w:hAnsi="Times New Roman" w:cs="Times New Roman"/>
          <w:sz w:val="24"/>
          <w:szCs w:val="24"/>
        </w:rPr>
        <w:t>i</w:t>
      </w:r>
      <w:r w:rsidR="0029120F" w:rsidRPr="006D7C0E">
        <w:rPr>
          <w:rFonts w:ascii="Times New Roman" w:hAnsi="Times New Roman" w:cs="Times New Roman"/>
          <w:sz w:val="24"/>
          <w:szCs w:val="24"/>
        </w:rPr>
        <w:t xml:space="preserve"> – </w:t>
      </w:r>
      <w:r w:rsidR="00D52F39" w:rsidRPr="006D7C0E">
        <w:rPr>
          <w:rFonts w:ascii="Times New Roman" w:hAnsi="Times New Roman" w:cs="Times New Roman"/>
          <w:sz w:val="24"/>
          <w:szCs w:val="24"/>
        </w:rPr>
        <w:t>2018.</w:t>
      </w:r>
      <w:r w:rsidR="00D52F39">
        <w:rPr>
          <w:rFonts w:ascii="Times New Roman" w:hAnsi="Times New Roman" w:cs="Times New Roman"/>
          <w:sz w:val="24"/>
          <w:szCs w:val="24"/>
        </w:rPr>
        <w:t> </w:t>
      </w:r>
      <w:r w:rsidR="00D52F39" w:rsidRPr="006D7C0E">
        <w:rPr>
          <w:rFonts w:ascii="Times New Roman" w:hAnsi="Times New Roman" w:cs="Times New Roman"/>
          <w:sz w:val="24"/>
          <w:szCs w:val="24"/>
        </w:rPr>
        <w:t xml:space="preserve">gadā </w:t>
      </w:r>
      <w:r w:rsidR="0029120F" w:rsidRPr="006D7C0E">
        <w:rPr>
          <w:rFonts w:ascii="Times New Roman" w:hAnsi="Times New Roman" w:cs="Times New Roman"/>
          <w:sz w:val="24"/>
          <w:szCs w:val="24"/>
        </w:rPr>
        <w:t>iekļū</w:t>
      </w:r>
      <w:r w:rsidR="00D52F39">
        <w:rPr>
          <w:rFonts w:ascii="Times New Roman" w:hAnsi="Times New Roman" w:cs="Times New Roman"/>
          <w:sz w:val="24"/>
          <w:szCs w:val="24"/>
        </w:rPr>
        <w:t>t</w:t>
      </w:r>
      <w:r w:rsidR="0029120F" w:rsidRPr="006D7C0E">
        <w:rPr>
          <w:rFonts w:ascii="Times New Roman" w:hAnsi="Times New Roman" w:cs="Times New Roman"/>
          <w:sz w:val="24"/>
          <w:szCs w:val="24"/>
        </w:rPr>
        <w:t xml:space="preserve"> </w:t>
      </w:r>
      <w:proofErr w:type="spellStart"/>
      <w:r w:rsidR="0029120F" w:rsidRPr="00707725">
        <w:rPr>
          <w:rFonts w:ascii="Times New Roman" w:hAnsi="Times New Roman" w:cs="Times New Roman"/>
          <w:i/>
          <w:sz w:val="24"/>
          <w:szCs w:val="24"/>
        </w:rPr>
        <w:t>Doing</w:t>
      </w:r>
      <w:proofErr w:type="spellEnd"/>
      <w:r w:rsidR="0029120F" w:rsidRPr="00707725">
        <w:rPr>
          <w:rFonts w:ascii="Times New Roman" w:hAnsi="Times New Roman" w:cs="Times New Roman"/>
          <w:i/>
          <w:sz w:val="24"/>
          <w:szCs w:val="24"/>
        </w:rPr>
        <w:t xml:space="preserve"> </w:t>
      </w:r>
      <w:proofErr w:type="spellStart"/>
      <w:r w:rsidR="0029120F" w:rsidRPr="00707725">
        <w:rPr>
          <w:rFonts w:ascii="Times New Roman" w:hAnsi="Times New Roman" w:cs="Times New Roman"/>
          <w:i/>
          <w:sz w:val="24"/>
          <w:szCs w:val="24"/>
        </w:rPr>
        <w:t>Business</w:t>
      </w:r>
      <w:proofErr w:type="spellEnd"/>
      <w:r w:rsidR="0029120F" w:rsidRPr="00707725">
        <w:rPr>
          <w:rFonts w:ascii="Times New Roman" w:hAnsi="Times New Roman" w:cs="Times New Roman"/>
          <w:i/>
          <w:sz w:val="24"/>
          <w:szCs w:val="24"/>
        </w:rPr>
        <w:t xml:space="preserve"> </w:t>
      </w:r>
      <w:r w:rsidR="0029120F" w:rsidRPr="006D7C0E">
        <w:rPr>
          <w:rFonts w:ascii="Times New Roman" w:hAnsi="Times New Roman" w:cs="Times New Roman"/>
          <w:sz w:val="24"/>
          <w:szCs w:val="24"/>
        </w:rPr>
        <w:t>TOP20</w:t>
      </w:r>
      <w:r w:rsidR="0029120F">
        <w:rPr>
          <w:rFonts w:ascii="Times New Roman" w:hAnsi="Times New Roman" w:cs="Times New Roman"/>
          <w:sz w:val="24"/>
          <w:szCs w:val="24"/>
        </w:rPr>
        <w:t xml:space="preserve"> </w:t>
      </w:r>
      <w:r w:rsidR="0029120F" w:rsidRPr="006D7C0E">
        <w:rPr>
          <w:rFonts w:ascii="Times New Roman" w:hAnsi="Times New Roman" w:cs="Times New Roman"/>
          <w:sz w:val="24"/>
          <w:szCs w:val="24"/>
        </w:rPr>
        <w:t xml:space="preserve">un </w:t>
      </w:r>
      <w:r w:rsidR="0029120F">
        <w:rPr>
          <w:rFonts w:ascii="Times New Roman" w:hAnsi="Times New Roman" w:cs="Times New Roman"/>
          <w:sz w:val="24"/>
          <w:szCs w:val="24"/>
        </w:rPr>
        <w:t>Globālās konkurētspējas indeksa TOP40.</w:t>
      </w:r>
    </w:p>
    <w:p w14:paraId="2745AAC1" w14:textId="41B02000" w:rsidR="004744C5" w:rsidRDefault="002D6EE2" w:rsidP="005A1615">
      <w:pPr>
        <w:spacing w:after="0"/>
        <w:jc w:val="both"/>
        <w:rPr>
          <w:rFonts w:ascii="Times New Roman" w:hAnsi="Times New Roman" w:cs="Times New Roman"/>
          <w:sz w:val="24"/>
          <w:szCs w:val="24"/>
        </w:rPr>
      </w:pPr>
      <w:r w:rsidRPr="005A1615">
        <w:rPr>
          <w:rFonts w:ascii="Times New Roman" w:hAnsi="Times New Roman" w:cs="Times New Roman"/>
          <w:color w:val="000000"/>
          <w:sz w:val="24"/>
          <w:szCs w:val="24"/>
        </w:rPr>
        <w:t xml:space="preserve">Jaunākā Pasaules Bankas </w:t>
      </w:r>
      <w:proofErr w:type="spellStart"/>
      <w:r w:rsidR="00AF44A1" w:rsidRPr="00C57CF2">
        <w:rPr>
          <w:rFonts w:ascii="Times New Roman" w:hAnsi="Times New Roman" w:cs="Times New Roman"/>
          <w:i/>
          <w:sz w:val="24"/>
          <w:szCs w:val="24"/>
        </w:rPr>
        <w:t>Doing</w:t>
      </w:r>
      <w:proofErr w:type="spellEnd"/>
      <w:r w:rsidR="00AF44A1" w:rsidRPr="00C57CF2">
        <w:rPr>
          <w:rFonts w:ascii="Times New Roman" w:hAnsi="Times New Roman" w:cs="Times New Roman"/>
          <w:i/>
          <w:sz w:val="24"/>
          <w:szCs w:val="24"/>
        </w:rPr>
        <w:t xml:space="preserve"> </w:t>
      </w:r>
      <w:proofErr w:type="spellStart"/>
      <w:r w:rsidR="00AF44A1" w:rsidRPr="00C57CF2">
        <w:rPr>
          <w:rFonts w:ascii="Times New Roman" w:hAnsi="Times New Roman" w:cs="Times New Roman"/>
          <w:i/>
          <w:sz w:val="24"/>
          <w:szCs w:val="24"/>
        </w:rPr>
        <w:t>Business</w:t>
      </w:r>
      <w:proofErr w:type="spellEnd"/>
      <w:r w:rsidR="00AF44A1" w:rsidRPr="00C57CF2">
        <w:rPr>
          <w:rFonts w:ascii="Times New Roman" w:hAnsi="Times New Roman" w:cs="Times New Roman"/>
          <w:i/>
          <w:sz w:val="24"/>
          <w:szCs w:val="24"/>
        </w:rPr>
        <w:t xml:space="preserve"> </w:t>
      </w:r>
      <w:r w:rsidR="00C57CF2" w:rsidRPr="00A038E2">
        <w:rPr>
          <w:rFonts w:ascii="Times New Roman" w:hAnsi="Times New Roman" w:cs="Times New Roman"/>
          <w:i/>
          <w:sz w:val="24"/>
          <w:szCs w:val="24"/>
        </w:rPr>
        <w:t>2017</w:t>
      </w:r>
      <w:r w:rsidR="00C57CF2" w:rsidRPr="00A038E2">
        <w:rPr>
          <w:rFonts w:ascii="Times New Roman" w:hAnsi="Times New Roman" w:cs="Times New Roman"/>
          <w:sz w:val="24"/>
          <w:szCs w:val="24"/>
        </w:rPr>
        <w:t xml:space="preserve"> </w:t>
      </w:r>
      <w:r w:rsidRPr="00A038E2">
        <w:rPr>
          <w:rFonts w:ascii="Times New Roman" w:hAnsi="Times New Roman" w:cs="Times New Roman"/>
          <w:color w:val="000000"/>
          <w:sz w:val="24"/>
          <w:szCs w:val="24"/>
        </w:rPr>
        <w:t xml:space="preserve">pētījuma dati apliecina, ka mērķtiecīgi īstenotas reformas uzņēmējdarbības vides sakārtošanā un ciešā sadarbība ar uzņēmējiem ļāvusi sasniegt </w:t>
      </w:r>
      <w:r w:rsidR="00FE3644" w:rsidRPr="00A038E2">
        <w:rPr>
          <w:rFonts w:ascii="Times New Roman" w:hAnsi="Times New Roman" w:cs="Times New Roman"/>
          <w:color w:val="000000"/>
          <w:sz w:val="24"/>
          <w:szCs w:val="24"/>
        </w:rPr>
        <w:t xml:space="preserve">labus </w:t>
      </w:r>
      <w:r w:rsidRPr="00A038E2">
        <w:rPr>
          <w:rFonts w:ascii="Times New Roman" w:hAnsi="Times New Roman" w:cs="Times New Roman"/>
          <w:color w:val="000000"/>
          <w:sz w:val="24"/>
          <w:szCs w:val="24"/>
        </w:rPr>
        <w:t>rezultātu</w:t>
      </w:r>
      <w:r w:rsidR="00FE3644" w:rsidRPr="00A038E2">
        <w:rPr>
          <w:rFonts w:ascii="Times New Roman" w:hAnsi="Times New Roman" w:cs="Times New Roman"/>
          <w:color w:val="000000"/>
          <w:sz w:val="24"/>
          <w:szCs w:val="24"/>
        </w:rPr>
        <w:t>s</w:t>
      </w:r>
      <w:r w:rsidR="004744C5" w:rsidRPr="00A038E2">
        <w:rPr>
          <w:rFonts w:ascii="Times New Roman" w:hAnsi="Times New Roman" w:cs="Times New Roman"/>
          <w:color w:val="000000"/>
          <w:sz w:val="24"/>
          <w:szCs w:val="24"/>
        </w:rPr>
        <w:t xml:space="preserve">. </w:t>
      </w:r>
      <w:proofErr w:type="spellStart"/>
      <w:r w:rsidRPr="00A038E2">
        <w:rPr>
          <w:rStyle w:val="Emphasis"/>
          <w:rFonts w:ascii="Times New Roman" w:hAnsi="Times New Roman" w:cs="Times New Roman"/>
          <w:bCs/>
          <w:color w:val="000000"/>
          <w:sz w:val="24"/>
          <w:szCs w:val="24"/>
        </w:rPr>
        <w:t>Doing</w:t>
      </w:r>
      <w:proofErr w:type="spellEnd"/>
      <w:r w:rsidRPr="00A038E2">
        <w:rPr>
          <w:rStyle w:val="Emphasis"/>
          <w:rFonts w:ascii="Times New Roman" w:hAnsi="Times New Roman" w:cs="Times New Roman"/>
          <w:bCs/>
          <w:color w:val="000000"/>
          <w:sz w:val="24"/>
          <w:szCs w:val="24"/>
        </w:rPr>
        <w:t xml:space="preserve"> </w:t>
      </w:r>
      <w:proofErr w:type="spellStart"/>
      <w:r w:rsidRPr="00A038E2">
        <w:rPr>
          <w:rStyle w:val="Emphasis"/>
          <w:rFonts w:ascii="Times New Roman" w:hAnsi="Times New Roman" w:cs="Times New Roman"/>
          <w:bCs/>
          <w:color w:val="000000"/>
          <w:sz w:val="24"/>
          <w:szCs w:val="24"/>
        </w:rPr>
        <w:t>Business</w:t>
      </w:r>
      <w:proofErr w:type="spellEnd"/>
      <w:r w:rsidRPr="00A038E2">
        <w:rPr>
          <w:rStyle w:val="Emphasis"/>
          <w:rFonts w:ascii="Times New Roman" w:hAnsi="Times New Roman" w:cs="Times New Roman"/>
          <w:bCs/>
          <w:color w:val="000000"/>
          <w:sz w:val="24"/>
          <w:szCs w:val="24"/>
        </w:rPr>
        <w:t xml:space="preserve"> 2017</w:t>
      </w:r>
      <w:r w:rsidRPr="005A1615">
        <w:rPr>
          <w:rStyle w:val="Strong"/>
          <w:rFonts w:ascii="Times New Roman" w:hAnsi="Times New Roman" w:cs="Times New Roman"/>
          <w:color w:val="000000"/>
          <w:sz w:val="24"/>
          <w:szCs w:val="24"/>
        </w:rPr>
        <w:t xml:space="preserve"> </w:t>
      </w:r>
      <w:r w:rsidRPr="00A672D3">
        <w:rPr>
          <w:rStyle w:val="Strong"/>
          <w:rFonts w:ascii="Times New Roman" w:hAnsi="Times New Roman" w:cs="Times New Roman"/>
          <w:b w:val="0"/>
          <w:color w:val="000000"/>
          <w:sz w:val="24"/>
          <w:szCs w:val="24"/>
        </w:rPr>
        <w:t>pētījumā 190</w:t>
      </w:r>
      <w:r w:rsidR="00707725">
        <w:rPr>
          <w:rStyle w:val="Strong"/>
          <w:rFonts w:ascii="Times New Roman" w:hAnsi="Times New Roman" w:cs="Times New Roman"/>
          <w:b w:val="0"/>
          <w:color w:val="000000"/>
          <w:sz w:val="24"/>
          <w:szCs w:val="24"/>
        </w:rPr>
        <w:t> </w:t>
      </w:r>
      <w:r w:rsidRPr="00A672D3">
        <w:rPr>
          <w:rStyle w:val="Strong"/>
          <w:rFonts w:ascii="Times New Roman" w:hAnsi="Times New Roman" w:cs="Times New Roman"/>
          <w:b w:val="0"/>
          <w:color w:val="000000"/>
          <w:sz w:val="24"/>
          <w:szCs w:val="24"/>
        </w:rPr>
        <w:t>valstu konkurencē Latvija ierindota 14.</w:t>
      </w:r>
      <w:r w:rsidR="00253369">
        <w:rPr>
          <w:rStyle w:val="Strong"/>
          <w:rFonts w:ascii="Times New Roman" w:hAnsi="Times New Roman" w:cs="Times New Roman"/>
          <w:b w:val="0"/>
          <w:color w:val="000000"/>
          <w:sz w:val="24"/>
          <w:szCs w:val="24"/>
        </w:rPr>
        <w:t> </w:t>
      </w:r>
      <w:r w:rsidRPr="00A672D3">
        <w:rPr>
          <w:rStyle w:val="Strong"/>
          <w:rFonts w:ascii="Times New Roman" w:hAnsi="Times New Roman" w:cs="Times New Roman"/>
          <w:b w:val="0"/>
          <w:color w:val="000000"/>
          <w:sz w:val="24"/>
          <w:szCs w:val="24"/>
        </w:rPr>
        <w:t>vietā, kas ir vēsturiski augstākais sniegums</w:t>
      </w:r>
      <w:r w:rsidRPr="005A1615">
        <w:rPr>
          <w:rStyle w:val="Strong"/>
          <w:rFonts w:ascii="Times New Roman" w:hAnsi="Times New Roman" w:cs="Times New Roman"/>
          <w:color w:val="000000"/>
          <w:sz w:val="24"/>
          <w:szCs w:val="24"/>
        </w:rPr>
        <w:t xml:space="preserve"> </w:t>
      </w:r>
      <w:r w:rsidRPr="005A1615">
        <w:rPr>
          <w:rFonts w:ascii="Times New Roman" w:hAnsi="Times New Roman" w:cs="Times New Roman"/>
          <w:color w:val="000000"/>
          <w:sz w:val="24"/>
          <w:szCs w:val="24"/>
        </w:rPr>
        <w:t>(par tr</w:t>
      </w:r>
      <w:r w:rsidR="00A038E2">
        <w:rPr>
          <w:rFonts w:ascii="Times New Roman" w:hAnsi="Times New Roman" w:cs="Times New Roman"/>
          <w:color w:val="000000"/>
          <w:sz w:val="24"/>
          <w:szCs w:val="24"/>
        </w:rPr>
        <w:t>ijām</w:t>
      </w:r>
      <w:r w:rsidRPr="005A1615">
        <w:rPr>
          <w:rFonts w:ascii="Times New Roman" w:hAnsi="Times New Roman" w:cs="Times New Roman"/>
          <w:color w:val="000000"/>
          <w:sz w:val="24"/>
          <w:szCs w:val="24"/>
        </w:rPr>
        <w:t xml:space="preserve"> vietām augstāk nekā iepriekšējā gadā</w:t>
      </w:r>
      <w:r w:rsidRPr="005A1615">
        <w:rPr>
          <w:rStyle w:val="FootnoteReference"/>
          <w:rFonts w:ascii="Times New Roman" w:hAnsi="Times New Roman" w:cs="Times New Roman"/>
          <w:color w:val="000000"/>
          <w:sz w:val="24"/>
          <w:szCs w:val="24"/>
        </w:rPr>
        <w:footnoteReference w:id="2"/>
      </w:r>
      <w:r w:rsidRPr="005A1615">
        <w:rPr>
          <w:rFonts w:ascii="Times New Roman" w:hAnsi="Times New Roman" w:cs="Times New Roman"/>
          <w:color w:val="000000"/>
          <w:sz w:val="24"/>
          <w:szCs w:val="24"/>
        </w:rPr>
        <w:t>).</w:t>
      </w:r>
      <w:r w:rsidR="000A2C1E">
        <w:rPr>
          <w:rFonts w:ascii="Times New Roman" w:hAnsi="Times New Roman" w:cs="Times New Roman"/>
          <w:color w:val="000000"/>
          <w:sz w:val="24"/>
          <w:szCs w:val="24"/>
        </w:rPr>
        <w:t xml:space="preserve"> </w:t>
      </w:r>
    </w:p>
    <w:p w14:paraId="45CDB8F4" w14:textId="77777777" w:rsidR="004744C5" w:rsidRDefault="004744C5" w:rsidP="005A1615">
      <w:pPr>
        <w:spacing w:after="0"/>
        <w:jc w:val="both"/>
        <w:rPr>
          <w:rFonts w:ascii="Times New Roman" w:hAnsi="Times New Roman" w:cs="Times New Roman"/>
          <w:sz w:val="24"/>
          <w:szCs w:val="24"/>
        </w:rPr>
      </w:pPr>
    </w:p>
    <w:p w14:paraId="2620BD91" w14:textId="1CC86949" w:rsidR="0039687D" w:rsidRDefault="00650DC1" w:rsidP="005A1615">
      <w:pPr>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Salīdzinājumā ar ES28 vidējo rādītāju, Latvija piekāpjas tikai </w:t>
      </w:r>
      <w:r w:rsidR="00FE3644">
        <w:rPr>
          <w:rFonts w:ascii="Times New Roman" w:hAnsi="Times New Roman" w:cs="Times New Roman"/>
          <w:sz w:val="24"/>
          <w:szCs w:val="24"/>
        </w:rPr>
        <w:t>uzņēmējdarbības izbeigšanas rādītājā</w:t>
      </w:r>
      <w:r w:rsidR="0006293C">
        <w:rPr>
          <w:rFonts w:ascii="Times New Roman" w:hAnsi="Times New Roman" w:cs="Times New Roman"/>
          <w:sz w:val="24"/>
          <w:szCs w:val="24"/>
        </w:rPr>
        <w:t>, kas saistīts</w:t>
      </w:r>
      <w:r w:rsidR="00FE3644">
        <w:rPr>
          <w:rFonts w:ascii="Times New Roman" w:hAnsi="Times New Roman" w:cs="Times New Roman"/>
          <w:sz w:val="24"/>
          <w:szCs w:val="24"/>
        </w:rPr>
        <w:t xml:space="preserve"> ar maksātnespējas </w:t>
      </w:r>
      <w:r w:rsidR="0006293C">
        <w:rPr>
          <w:rFonts w:ascii="Times New Roman" w:hAnsi="Times New Roman" w:cs="Times New Roman"/>
          <w:sz w:val="24"/>
          <w:szCs w:val="24"/>
        </w:rPr>
        <w:t>procesu</w:t>
      </w:r>
      <w:r w:rsidR="00EF60BE">
        <w:rPr>
          <w:rFonts w:ascii="Times New Roman" w:hAnsi="Times New Roman" w:cs="Times New Roman"/>
          <w:sz w:val="24"/>
          <w:szCs w:val="24"/>
        </w:rPr>
        <w:t xml:space="preserve"> </w:t>
      </w:r>
      <w:r w:rsidR="00EF60BE" w:rsidRPr="006F6CED">
        <w:rPr>
          <w:rFonts w:ascii="Times New Roman" w:hAnsi="Times New Roman" w:cs="Times New Roman"/>
          <w:sz w:val="24"/>
          <w:szCs w:val="24"/>
        </w:rPr>
        <w:t>(skat.</w:t>
      </w:r>
      <w:r w:rsidR="006F6CED" w:rsidRPr="006F6CED">
        <w:rPr>
          <w:rFonts w:ascii="Times New Roman" w:hAnsi="Times New Roman" w:cs="Times New Roman"/>
          <w:sz w:val="24"/>
          <w:szCs w:val="24"/>
        </w:rPr>
        <w:t xml:space="preserve"> 2.</w:t>
      </w:r>
      <w:r w:rsidR="00707725">
        <w:rPr>
          <w:rFonts w:ascii="Times New Roman" w:hAnsi="Times New Roman" w:cs="Times New Roman"/>
          <w:sz w:val="24"/>
          <w:szCs w:val="24"/>
        </w:rPr>
        <w:t> </w:t>
      </w:r>
      <w:r w:rsidR="00EF60BE" w:rsidRPr="006F6CED">
        <w:rPr>
          <w:rFonts w:ascii="Times New Roman" w:hAnsi="Times New Roman" w:cs="Times New Roman"/>
          <w:sz w:val="24"/>
          <w:szCs w:val="24"/>
        </w:rPr>
        <w:t>attēlu)</w:t>
      </w:r>
      <w:r w:rsidR="00EF60BE" w:rsidRPr="006B0706">
        <w:rPr>
          <w:rFonts w:ascii="Times New Roman" w:hAnsi="Times New Roman" w:cs="Times New Roman"/>
          <w:sz w:val="24"/>
          <w:szCs w:val="24"/>
        </w:rPr>
        <w:t>.</w:t>
      </w:r>
      <w:r w:rsidR="0039687D" w:rsidRPr="0039687D">
        <w:rPr>
          <w:rFonts w:ascii="Times New Roman" w:hAnsi="Times New Roman" w:cs="Times New Roman"/>
          <w:sz w:val="24"/>
          <w:szCs w:val="24"/>
        </w:rPr>
        <w:t xml:space="preserve"> </w:t>
      </w:r>
      <w:r w:rsidR="0039687D" w:rsidRPr="00A92462">
        <w:rPr>
          <w:rFonts w:ascii="Times New Roman" w:hAnsi="Times New Roman" w:cs="Times New Roman"/>
          <w:sz w:val="24"/>
          <w:szCs w:val="24"/>
        </w:rPr>
        <w:t xml:space="preserve">Latvija ir uzlabojusi savu vērtējumu </w:t>
      </w:r>
      <w:r w:rsidR="0039687D" w:rsidRPr="00A672D3">
        <w:rPr>
          <w:rStyle w:val="Strong"/>
          <w:rFonts w:ascii="Times New Roman" w:hAnsi="Times New Roman" w:cs="Times New Roman"/>
          <w:b w:val="0"/>
          <w:color w:val="000000"/>
          <w:sz w:val="24"/>
          <w:szCs w:val="24"/>
          <w:bdr w:val="none" w:sz="0" w:space="0" w:color="auto" w:frame="1"/>
          <w:shd w:val="clear" w:color="auto" w:fill="FFFFFF"/>
        </w:rPr>
        <w:t>elektr</w:t>
      </w:r>
      <w:r w:rsidR="0039687D">
        <w:rPr>
          <w:rStyle w:val="Strong"/>
          <w:rFonts w:ascii="Times New Roman" w:hAnsi="Times New Roman" w:cs="Times New Roman"/>
          <w:b w:val="0"/>
          <w:color w:val="000000"/>
          <w:sz w:val="24"/>
          <w:szCs w:val="24"/>
          <w:bdr w:val="none" w:sz="0" w:space="0" w:color="auto" w:frame="1"/>
          <w:shd w:val="clear" w:color="auto" w:fill="FFFFFF"/>
        </w:rPr>
        <w:t xml:space="preserve">oenerģijas </w:t>
      </w:r>
      <w:r w:rsidR="0039687D" w:rsidRPr="00A672D3">
        <w:rPr>
          <w:rStyle w:val="Strong"/>
          <w:rFonts w:ascii="Times New Roman" w:hAnsi="Times New Roman" w:cs="Times New Roman"/>
          <w:b w:val="0"/>
          <w:color w:val="000000"/>
          <w:sz w:val="24"/>
          <w:szCs w:val="24"/>
          <w:bdr w:val="none" w:sz="0" w:space="0" w:color="auto" w:frame="1"/>
          <w:shd w:val="clear" w:color="auto" w:fill="FFFFFF"/>
        </w:rPr>
        <w:t>pieslēgum</w:t>
      </w:r>
      <w:r w:rsidR="0039687D">
        <w:rPr>
          <w:rStyle w:val="Strong"/>
          <w:rFonts w:ascii="Times New Roman" w:hAnsi="Times New Roman" w:cs="Times New Roman"/>
          <w:b w:val="0"/>
          <w:color w:val="000000"/>
          <w:sz w:val="24"/>
          <w:szCs w:val="24"/>
          <w:bdr w:val="none" w:sz="0" w:space="0" w:color="auto" w:frame="1"/>
          <w:shd w:val="clear" w:color="auto" w:fill="FFFFFF"/>
        </w:rPr>
        <w:t>u</w:t>
      </w:r>
      <w:r w:rsidR="0039687D" w:rsidRPr="00C42EB0">
        <w:rPr>
          <w:rStyle w:val="apple-converted-space"/>
          <w:rFonts w:ascii="Times New Roman" w:hAnsi="Times New Roman" w:cs="Times New Roman"/>
          <w:color w:val="000000"/>
          <w:sz w:val="24"/>
          <w:szCs w:val="24"/>
          <w:shd w:val="clear" w:color="auto" w:fill="FFFFFF"/>
        </w:rPr>
        <w:t>,</w:t>
      </w:r>
      <w:r w:rsidR="0039687D" w:rsidRPr="00A672D3">
        <w:rPr>
          <w:rStyle w:val="apple-converted-space"/>
          <w:rFonts w:ascii="Times New Roman" w:hAnsi="Times New Roman" w:cs="Times New Roman"/>
          <w:b/>
          <w:color w:val="000000"/>
          <w:sz w:val="24"/>
          <w:szCs w:val="24"/>
          <w:shd w:val="clear" w:color="auto" w:fill="FFFFFF"/>
        </w:rPr>
        <w:t xml:space="preserve"> </w:t>
      </w:r>
      <w:r w:rsidR="0039687D" w:rsidRPr="00A672D3">
        <w:rPr>
          <w:rStyle w:val="Strong"/>
          <w:rFonts w:ascii="Times New Roman" w:hAnsi="Times New Roman" w:cs="Times New Roman"/>
          <w:b w:val="0"/>
          <w:color w:val="000000"/>
          <w:sz w:val="24"/>
          <w:szCs w:val="24"/>
          <w:bdr w:val="none" w:sz="0" w:space="0" w:color="auto" w:frame="1"/>
          <w:shd w:val="clear" w:color="auto" w:fill="FFFFFF"/>
        </w:rPr>
        <w:t>būvniecības</w:t>
      </w:r>
      <w:r w:rsidR="0039687D">
        <w:rPr>
          <w:rStyle w:val="Strong"/>
          <w:rFonts w:ascii="Times New Roman" w:hAnsi="Times New Roman" w:cs="Times New Roman"/>
          <w:b w:val="0"/>
          <w:color w:val="000000"/>
          <w:sz w:val="24"/>
          <w:szCs w:val="24"/>
          <w:bdr w:val="none" w:sz="0" w:space="0" w:color="auto" w:frame="1"/>
          <w:shd w:val="clear" w:color="auto" w:fill="FFFFFF"/>
        </w:rPr>
        <w:t xml:space="preserve"> atļauju</w:t>
      </w:r>
      <w:r w:rsidR="0039687D" w:rsidRPr="00C42EB0">
        <w:rPr>
          <w:rStyle w:val="apple-converted-space"/>
          <w:rFonts w:ascii="Times New Roman" w:hAnsi="Times New Roman" w:cs="Times New Roman"/>
          <w:color w:val="000000"/>
          <w:sz w:val="24"/>
          <w:szCs w:val="24"/>
          <w:shd w:val="clear" w:color="auto" w:fill="FFFFFF"/>
        </w:rPr>
        <w:t>,</w:t>
      </w:r>
      <w:r w:rsidR="0039687D" w:rsidRPr="00CC4D69">
        <w:rPr>
          <w:rStyle w:val="apple-converted-space"/>
          <w:rFonts w:ascii="Times New Roman" w:hAnsi="Times New Roman" w:cs="Times New Roman"/>
          <w:color w:val="000000"/>
          <w:sz w:val="24"/>
          <w:szCs w:val="24"/>
          <w:shd w:val="clear" w:color="auto" w:fill="FFFFFF"/>
        </w:rPr>
        <w:t xml:space="preserve"> </w:t>
      </w:r>
      <w:r w:rsidR="0039687D" w:rsidRPr="00CC4D69">
        <w:rPr>
          <w:rFonts w:ascii="Times New Roman" w:hAnsi="Times New Roman" w:cs="Times New Roman"/>
          <w:color w:val="000000"/>
          <w:sz w:val="24"/>
          <w:szCs w:val="24"/>
        </w:rPr>
        <w:t>kredīt</w:t>
      </w:r>
      <w:r w:rsidR="0039687D">
        <w:rPr>
          <w:rFonts w:ascii="Times New Roman" w:hAnsi="Times New Roman" w:cs="Times New Roman"/>
          <w:color w:val="000000"/>
          <w:sz w:val="24"/>
          <w:szCs w:val="24"/>
        </w:rPr>
        <w:t xml:space="preserve">u </w:t>
      </w:r>
      <w:r w:rsidR="0039687D" w:rsidRPr="00CC4D69">
        <w:rPr>
          <w:rFonts w:ascii="Times New Roman" w:hAnsi="Times New Roman" w:cs="Times New Roman"/>
          <w:color w:val="000000"/>
          <w:sz w:val="24"/>
          <w:szCs w:val="24"/>
        </w:rPr>
        <w:t>reģistra un nodokļu samaksas rādītājos</w:t>
      </w:r>
      <w:r w:rsidR="0039687D">
        <w:rPr>
          <w:rFonts w:ascii="Times New Roman" w:hAnsi="Times New Roman" w:cs="Times New Roman"/>
          <w:color w:val="000000"/>
          <w:sz w:val="24"/>
          <w:szCs w:val="24"/>
        </w:rPr>
        <w:t xml:space="preserve">. </w:t>
      </w:r>
      <w:r w:rsidR="0039687D" w:rsidRPr="005A1615">
        <w:rPr>
          <w:rFonts w:ascii="Times New Roman" w:hAnsi="Times New Roman" w:cs="Times New Roman"/>
          <w:color w:val="000000"/>
          <w:sz w:val="24"/>
          <w:szCs w:val="24"/>
        </w:rPr>
        <w:t xml:space="preserve">Uzņēmējiem labvēlīgas vides novērtējumā </w:t>
      </w:r>
      <w:r w:rsidR="0039687D" w:rsidRPr="00A672D3">
        <w:rPr>
          <w:rStyle w:val="Strong"/>
          <w:rFonts w:ascii="Times New Roman" w:hAnsi="Times New Roman" w:cs="Times New Roman"/>
          <w:b w:val="0"/>
          <w:color w:val="000000"/>
          <w:sz w:val="24"/>
          <w:szCs w:val="24"/>
        </w:rPr>
        <w:t>Latvija ieņem 6.</w:t>
      </w:r>
      <w:r w:rsidR="00253369">
        <w:rPr>
          <w:rStyle w:val="Strong"/>
          <w:rFonts w:ascii="Times New Roman" w:hAnsi="Times New Roman" w:cs="Times New Roman"/>
          <w:b w:val="0"/>
          <w:color w:val="000000"/>
          <w:sz w:val="24"/>
          <w:szCs w:val="24"/>
        </w:rPr>
        <w:t> </w:t>
      </w:r>
      <w:r w:rsidR="0039687D" w:rsidRPr="00A672D3">
        <w:rPr>
          <w:rStyle w:val="Strong"/>
          <w:rFonts w:ascii="Times New Roman" w:hAnsi="Times New Roman" w:cs="Times New Roman"/>
          <w:b w:val="0"/>
          <w:color w:val="000000"/>
          <w:sz w:val="24"/>
          <w:szCs w:val="24"/>
        </w:rPr>
        <w:t>vietu ES dalībvalstu vidū</w:t>
      </w:r>
      <w:r w:rsidR="0039687D" w:rsidRPr="005A1615">
        <w:rPr>
          <w:rFonts w:ascii="Times New Roman" w:hAnsi="Times New Roman" w:cs="Times New Roman"/>
          <w:color w:val="000000"/>
          <w:sz w:val="24"/>
          <w:szCs w:val="24"/>
        </w:rPr>
        <w:t xml:space="preserve">, piekāpjoties Dānijai, Apvienotajai Karalistei, Zviedrijai, Igaunijai un Somijai. </w:t>
      </w:r>
    </w:p>
    <w:p w14:paraId="32F2CB1D" w14:textId="77777777" w:rsidR="006C0F73" w:rsidRPr="004744C5" w:rsidRDefault="006C0F73" w:rsidP="005A1615">
      <w:pPr>
        <w:spacing w:after="0"/>
        <w:jc w:val="both"/>
        <w:rPr>
          <w:rFonts w:ascii="Times New Roman" w:hAnsi="Times New Roman" w:cs="Times New Roman"/>
          <w:color w:val="000000"/>
          <w:sz w:val="24"/>
          <w:szCs w:val="24"/>
        </w:rPr>
      </w:pPr>
    </w:p>
    <w:p w14:paraId="309EEDC1" w14:textId="77777777" w:rsidR="003C4E97" w:rsidRPr="002207A7" w:rsidRDefault="00A038E2" w:rsidP="00BB7C5B">
      <w:pPr>
        <w:spacing w:line="240" w:lineRule="auto"/>
        <w:jc w:val="right"/>
        <w:rPr>
          <w:rFonts w:ascii="Times New Roman" w:hAnsi="Times New Roman" w:cs="Times New Roman"/>
          <w:color w:val="262626" w:themeColor="text1" w:themeTint="D9"/>
          <w:sz w:val="24"/>
          <w:szCs w:val="24"/>
        </w:rPr>
      </w:pPr>
      <w:r>
        <w:rPr>
          <w:rFonts w:ascii="Times New Roman" w:hAnsi="Times New Roman" w:cs="Times New Roman"/>
          <w:color w:val="000000"/>
          <w:sz w:val="24"/>
          <w:szCs w:val="24"/>
        </w:rPr>
        <w:br w:type="page"/>
      </w:r>
      <w:r w:rsidR="003C4E97" w:rsidRPr="002207A7">
        <w:rPr>
          <w:rFonts w:ascii="Times New Roman" w:hAnsi="Times New Roman" w:cs="Times New Roman"/>
          <w:color w:val="262626" w:themeColor="text1" w:themeTint="D9"/>
          <w:sz w:val="24"/>
          <w:szCs w:val="24"/>
        </w:rPr>
        <w:lastRenderedPageBreak/>
        <w:t>2.attēls</w:t>
      </w:r>
      <w:proofErr w:type="gramStart"/>
      <w:r w:rsidR="003C4E97" w:rsidRPr="002207A7">
        <w:rPr>
          <w:rFonts w:ascii="Times New Roman" w:hAnsi="Times New Roman" w:cs="Times New Roman"/>
          <w:color w:val="262626" w:themeColor="text1" w:themeTint="D9"/>
          <w:sz w:val="24"/>
          <w:szCs w:val="24"/>
        </w:rPr>
        <w:t xml:space="preserve">                                                                </w:t>
      </w:r>
      <w:proofErr w:type="gramEnd"/>
    </w:p>
    <w:p w14:paraId="5C13D4D6" w14:textId="77777777" w:rsidR="003C4E97" w:rsidRPr="002207A7" w:rsidRDefault="003C4E97" w:rsidP="00365044">
      <w:pPr>
        <w:spacing w:after="0" w:line="240" w:lineRule="auto"/>
        <w:jc w:val="both"/>
        <w:rPr>
          <w:rFonts w:ascii="Times New Roman" w:hAnsi="Times New Roman" w:cs="Times New Roman"/>
          <w:color w:val="262626" w:themeColor="text1" w:themeTint="D9"/>
          <w:sz w:val="6"/>
          <w:szCs w:val="6"/>
        </w:rPr>
      </w:pPr>
    </w:p>
    <w:tbl>
      <w:tblPr>
        <w:tblStyle w:val="TableGrid"/>
        <w:tblW w:w="5000" w:type="pct"/>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2"/>
      </w:tblGrid>
      <w:tr w:rsidR="003C4E97" w:rsidRPr="002207A7" w14:paraId="1E9CEAFF" w14:textId="77777777" w:rsidTr="002C6881">
        <w:trPr>
          <w:trHeight w:val="138"/>
        </w:trPr>
        <w:tc>
          <w:tcPr>
            <w:tcW w:w="5000" w:type="pct"/>
          </w:tcPr>
          <w:p w14:paraId="41F2E736" w14:textId="77777777" w:rsidR="003C4E97" w:rsidRPr="002207A7" w:rsidRDefault="003C4E97" w:rsidP="00365044">
            <w:pPr>
              <w:jc w:val="center"/>
              <w:rPr>
                <w:rFonts w:ascii="Times New Roman" w:hAnsi="Times New Roman" w:cs="Times New Roman"/>
                <w:b/>
                <w:color w:val="262626" w:themeColor="text1" w:themeTint="D9"/>
                <w:szCs w:val="24"/>
              </w:rPr>
            </w:pPr>
            <w:r w:rsidRPr="002207A7">
              <w:rPr>
                <w:rFonts w:ascii="Times New Roman" w:hAnsi="Times New Roman" w:cs="Times New Roman"/>
                <w:b/>
                <w:color w:val="262626" w:themeColor="text1" w:themeTint="D9"/>
                <w:szCs w:val="24"/>
              </w:rPr>
              <w:t xml:space="preserve">Pasaules Bankas </w:t>
            </w:r>
            <w:proofErr w:type="spellStart"/>
            <w:r w:rsidRPr="002207A7">
              <w:rPr>
                <w:rFonts w:ascii="Times New Roman" w:hAnsi="Times New Roman" w:cs="Times New Roman"/>
                <w:b/>
                <w:i/>
                <w:color w:val="262626" w:themeColor="text1" w:themeTint="D9"/>
                <w:szCs w:val="24"/>
              </w:rPr>
              <w:t>Doing</w:t>
            </w:r>
            <w:proofErr w:type="spellEnd"/>
            <w:r w:rsidRPr="002207A7">
              <w:rPr>
                <w:rFonts w:ascii="Times New Roman" w:hAnsi="Times New Roman" w:cs="Times New Roman"/>
                <w:b/>
                <w:i/>
                <w:color w:val="262626" w:themeColor="text1" w:themeTint="D9"/>
                <w:szCs w:val="24"/>
              </w:rPr>
              <w:t xml:space="preserve"> </w:t>
            </w:r>
            <w:proofErr w:type="spellStart"/>
            <w:r w:rsidRPr="002207A7">
              <w:rPr>
                <w:rFonts w:ascii="Times New Roman" w:hAnsi="Times New Roman" w:cs="Times New Roman"/>
                <w:b/>
                <w:i/>
                <w:color w:val="262626" w:themeColor="text1" w:themeTint="D9"/>
                <w:szCs w:val="24"/>
              </w:rPr>
              <w:t>Business</w:t>
            </w:r>
            <w:proofErr w:type="spellEnd"/>
            <w:r w:rsidRPr="002207A7">
              <w:rPr>
                <w:rFonts w:ascii="Times New Roman" w:hAnsi="Times New Roman" w:cs="Times New Roman"/>
                <w:b/>
                <w:i/>
                <w:color w:val="262626" w:themeColor="text1" w:themeTint="D9"/>
                <w:szCs w:val="24"/>
              </w:rPr>
              <w:t xml:space="preserve"> 2017</w:t>
            </w:r>
            <w:r w:rsidRPr="002207A7">
              <w:rPr>
                <w:rFonts w:ascii="Times New Roman" w:hAnsi="Times New Roman" w:cs="Times New Roman"/>
                <w:b/>
                <w:color w:val="262626" w:themeColor="text1" w:themeTint="D9"/>
                <w:szCs w:val="24"/>
              </w:rPr>
              <w:t xml:space="preserve"> pētījums</w:t>
            </w:r>
          </w:p>
        </w:tc>
      </w:tr>
      <w:tr w:rsidR="003C4E97" w14:paraId="021A92CE" w14:textId="77777777" w:rsidTr="002C6881">
        <w:tc>
          <w:tcPr>
            <w:tcW w:w="5000" w:type="pct"/>
          </w:tcPr>
          <w:p w14:paraId="2BBCB939" w14:textId="77777777" w:rsidR="003C4E97" w:rsidRDefault="003C4E97" w:rsidP="002C6881">
            <w:pPr>
              <w:ind w:left="-392"/>
              <w:jc w:val="center"/>
              <w:rPr>
                <w:rFonts w:ascii="Times New Roman" w:hAnsi="Times New Roman" w:cs="Times New Roman"/>
                <w:sz w:val="24"/>
                <w:szCs w:val="24"/>
              </w:rPr>
            </w:pPr>
            <w:r w:rsidRPr="00107513">
              <w:rPr>
                <w:noProof/>
                <w:sz w:val="20"/>
                <w:lang w:eastAsia="lv-LV"/>
              </w:rPr>
              <w:drawing>
                <wp:inline distT="0" distB="0" distL="0" distR="0" wp14:anchorId="0C646279" wp14:editId="02226745">
                  <wp:extent cx="5727939" cy="3752491"/>
                  <wp:effectExtent l="0" t="0" r="6350" b="63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58DFF85B" w14:textId="71B426F6" w:rsidR="00DA5A20" w:rsidRDefault="00885B82" w:rsidP="00365044">
      <w:pPr>
        <w:spacing w:after="0" w:line="240" w:lineRule="auto"/>
        <w:rPr>
          <w:rFonts w:ascii="Times New Roman" w:hAnsi="Times New Roman" w:cs="Times New Roman"/>
          <w:color w:val="262626" w:themeColor="text1" w:themeTint="D9"/>
          <w:sz w:val="20"/>
          <w:szCs w:val="20"/>
        </w:rPr>
      </w:pPr>
      <w:r w:rsidRPr="00885B82">
        <w:rPr>
          <w:rFonts w:ascii="Times New Roman" w:hAnsi="Times New Roman" w:cs="Times New Roman"/>
          <w:color w:val="262626" w:themeColor="text1" w:themeTint="D9"/>
          <w:sz w:val="20"/>
          <w:szCs w:val="20"/>
        </w:rPr>
        <w:t xml:space="preserve">Avots: </w:t>
      </w:r>
      <w:proofErr w:type="spellStart"/>
      <w:r w:rsidRPr="00885B82">
        <w:rPr>
          <w:rFonts w:ascii="Times New Roman" w:hAnsi="Times New Roman" w:cs="Times New Roman"/>
          <w:color w:val="262626" w:themeColor="text1" w:themeTint="D9"/>
          <w:sz w:val="20"/>
          <w:szCs w:val="20"/>
        </w:rPr>
        <w:t>Doing</w:t>
      </w:r>
      <w:proofErr w:type="spellEnd"/>
      <w:r w:rsidRPr="00885B82">
        <w:rPr>
          <w:rFonts w:ascii="Times New Roman" w:hAnsi="Times New Roman" w:cs="Times New Roman"/>
          <w:color w:val="262626" w:themeColor="text1" w:themeTint="D9"/>
          <w:sz w:val="20"/>
          <w:szCs w:val="20"/>
        </w:rPr>
        <w:t xml:space="preserve"> </w:t>
      </w:r>
      <w:proofErr w:type="spellStart"/>
      <w:r w:rsidRPr="00885B82">
        <w:rPr>
          <w:rFonts w:ascii="Times New Roman" w:hAnsi="Times New Roman" w:cs="Times New Roman"/>
          <w:color w:val="262626" w:themeColor="text1" w:themeTint="D9"/>
          <w:sz w:val="20"/>
          <w:szCs w:val="20"/>
        </w:rPr>
        <w:t>Business</w:t>
      </w:r>
      <w:proofErr w:type="spellEnd"/>
      <w:r w:rsidRPr="00885B82">
        <w:rPr>
          <w:rFonts w:ascii="Times New Roman" w:hAnsi="Times New Roman" w:cs="Times New Roman"/>
          <w:color w:val="262626" w:themeColor="text1" w:themeTint="D9"/>
          <w:sz w:val="20"/>
          <w:szCs w:val="20"/>
        </w:rPr>
        <w:t xml:space="preserve"> 2017 </w:t>
      </w:r>
      <w:proofErr w:type="spellStart"/>
      <w:r w:rsidRPr="00885B82">
        <w:rPr>
          <w:rFonts w:ascii="Times New Roman" w:hAnsi="Times New Roman" w:cs="Times New Roman"/>
          <w:color w:val="262626" w:themeColor="text1" w:themeTint="D9"/>
          <w:sz w:val="20"/>
          <w:szCs w:val="20"/>
        </w:rPr>
        <w:t>report</w:t>
      </w:r>
      <w:proofErr w:type="spellEnd"/>
    </w:p>
    <w:p w14:paraId="56C7F370" w14:textId="77777777" w:rsidR="00885B82" w:rsidRPr="00885B82" w:rsidRDefault="00885B82" w:rsidP="00365044">
      <w:pPr>
        <w:spacing w:after="0" w:line="240" w:lineRule="auto"/>
        <w:rPr>
          <w:rFonts w:ascii="Times New Roman" w:hAnsi="Times New Roman" w:cs="Times New Roman"/>
          <w:color w:val="262626" w:themeColor="text1" w:themeTint="D9"/>
          <w:sz w:val="20"/>
          <w:szCs w:val="20"/>
        </w:rPr>
      </w:pPr>
    </w:p>
    <w:p w14:paraId="26C63DA4" w14:textId="77777777" w:rsidR="003C4E97" w:rsidRDefault="003C4E97" w:rsidP="00BB7C5B">
      <w:pPr>
        <w:spacing w:line="240" w:lineRule="auto"/>
        <w:jc w:val="right"/>
        <w:rPr>
          <w:rFonts w:ascii="Times New Roman" w:hAnsi="Times New Roman" w:cs="Times New Roman"/>
          <w:b/>
          <w:color w:val="262626" w:themeColor="text1" w:themeTint="D9"/>
          <w:szCs w:val="24"/>
        </w:rPr>
      </w:pPr>
      <w:r w:rsidRPr="002207A7">
        <w:rPr>
          <w:rFonts w:ascii="Times New Roman" w:hAnsi="Times New Roman" w:cs="Times New Roman"/>
          <w:color w:val="262626" w:themeColor="text1" w:themeTint="D9"/>
          <w:sz w:val="24"/>
          <w:szCs w:val="24"/>
        </w:rPr>
        <w:t>3.attēls</w:t>
      </w:r>
    </w:p>
    <w:p w14:paraId="1E378017" w14:textId="2F37D346" w:rsidR="003C4E97" w:rsidRPr="00365044" w:rsidRDefault="003C4E97" w:rsidP="00365044">
      <w:pPr>
        <w:spacing w:after="0" w:line="240" w:lineRule="auto"/>
        <w:jc w:val="center"/>
        <w:rPr>
          <w:rFonts w:ascii="Times New Roman" w:hAnsi="Times New Roman" w:cs="Times New Roman"/>
          <w:sz w:val="24"/>
          <w:szCs w:val="24"/>
        </w:rPr>
      </w:pPr>
      <w:r w:rsidRPr="00365044">
        <w:rPr>
          <w:rFonts w:ascii="Times New Roman" w:hAnsi="Times New Roman" w:cs="Times New Roman"/>
          <w:b/>
          <w:color w:val="262626" w:themeColor="text1" w:themeTint="D9"/>
          <w:sz w:val="24"/>
          <w:szCs w:val="24"/>
        </w:rPr>
        <w:t>Globālās konkurētspējas indekss</w:t>
      </w:r>
      <w:r w:rsidR="00365044" w:rsidRPr="00365044">
        <w:rPr>
          <w:rFonts w:ascii="Times New Roman" w:hAnsi="Times New Roman" w:cs="Times New Roman"/>
          <w:b/>
          <w:color w:val="262626" w:themeColor="text1" w:themeTint="D9"/>
          <w:sz w:val="24"/>
          <w:szCs w:val="24"/>
        </w:rPr>
        <w:t xml:space="preserve"> </w:t>
      </w:r>
      <w:r w:rsidR="00365044" w:rsidRPr="00DA5A20">
        <w:rPr>
          <w:rFonts w:ascii="Times New Roman" w:hAnsi="Times New Roman" w:cs="Times New Roman"/>
          <w:b/>
          <w:sz w:val="24"/>
          <w:szCs w:val="24"/>
        </w:rPr>
        <w:t>2016.–2017.</w:t>
      </w:r>
    </w:p>
    <w:p w14:paraId="5239BF15" w14:textId="77777777" w:rsidR="003C4E97" w:rsidRDefault="003C4E97" w:rsidP="003C4E97">
      <w:pPr>
        <w:jc w:val="both"/>
        <w:rPr>
          <w:rFonts w:ascii="Times New Roman" w:hAnsi="Times New Roman" w:cs="Times New Roman"/>
          <w:sz w:val="24"/>
          <w:szCs w:val="24"/>
        </w:rPr>
      </w:pPr>
      <w:r>
        <w:rPr>
          <w:noProof/>
          <w:lang w:eastAsia="lv-LV"/>
        </w:rPr>
        <w:drawing>
          <wp:inline distT="0" distB="0" distL="0" distR="0" wp14:anchorId="7CE07517" wp14:editId="49F8E7F2">
            <wp:extent cx="4994695" cy="3295291"/>
            <wp:effectExtent l="0" t="0" r="0" b="6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A780D8C" w14:textId="6C89A796" w:rsidR="00FD1974" w:rsidRPr="00BB7C5B" w:rsidRDefault="00885B82" w:rsidP="00BB7C5B">
      <w:pPr>
        <w:rPr>
          <w:rFonts w:ascii="Times New Roman" w:hAnsi="Times New Roman" w:cs="Times New Roman"/>
          <w:color w:val="000000"/>
          <w:sz w:val="20"/>
          <w:szCs w:val="20"/>
        </w:rPr>
      </w:pPr>
      <w:r w:rsidRPr="00885B82">
        <w:rPr>
          <w:rFonts w:ascii="Times New Roman" w:hAnsi="Times New Roman" w:cs="Times New Roman"/>
          <w:color w:val="000000"/>
          <w:sz w:val="20"/>
          <w:szCs w:val="20"/>
        </w:rPr>
        <w:t xml:space="preserve">Avots: </w:t>
      </w:r>
      <w:proofErr w:type="spellStart"/>
      <w:r w:rsidRPr="00885B82">
        <w:rPr>
          <w:rFonts w:ascii="Times New Roman" w:hAnsi="Times New Roman" w:cs="Times New Roman"/>
          <w:bCs/>
          <w:color w:val="000000"/>
          <w:sz w:val="20"/>
          <w:szCs w:val="20"/>
        </w:rPr>
        <w:t>The</w:t>
      </w:r>
      <w:proofErr w:type="spellEnd"/>
      <w:r w:rsidRPr="00885B82">
        <w:rPr>
          <w:rFonts w:ascii="Times New Roman" w:hAnsi="Times New Roman" w:cs="Times New Roman"/>
          <w:bCs/>
          <w:color w:val="000000"/>
          <w:sz w:val="20"/>
          <w:szCs w:val="20"/>
        </w:rPr>
        <w:t xml:space="preserve"> </w:t>
      </w:r>
      <w:proofErr w:type="spellStart"/>
      <w:r w:rsidRPr="00885B82">
        <w:rPr>
          <w:rFonts w:ascii="Times New Roman" w:hAnsi="Times New Roman" w:cs="Times New Roman"/>
          <w:bCs/>
          <w:color w:val="000000"/>
          <w:sz w:val="20"/>
          <w:szCs w:val="20"/>
        </w:rPr>
        <w:t>Global</w:t>
      </w:r>
      <w:proofErr w:type="spellEnd"/>
      <w:r w:rsidRPr="00885B82">
        <w:rPr>
          <w:rFonts w:ascii="Times New Roman" w:hAnsi="Times New Roman" w:cs="Times New Roman"/>
          <w:bCs/>
          <w:color w:val="000000"/>
          <w:sz w:val="20"/>
          <w:szCs w:val="20"/>
        </w:rPr>
        <w:t xml:space="preserve"> </w:t>
      </w:r>
      <w:proofErr w:type="spellStart"/>
      <w:r w:rsidRPr="00885B82">
        <w:rPr>
          <w:rFonts w:ascii="Times New Roman" w:hAnsi="Times New Roman" w:cs="Times New Roman"/>
          <w:bCs/>
          <w:color w:val="000000"/>
          <w:sz w:val="20"/>
          <w:szCs w:val="20"/>
        </w:rPr>
        <w:t>Competitiveness</w:t>
      </w:r>
      <w:proofErr w:type="spellEnd"/>
      <w:r w:rsidRPr="00885B82">
        <w:rPr>
          <w:rFonts w:ascii="Times New Roman" w:hAnsi="Times New Roman" w:cs="Times New Roman"/>
          <w:bCs/>
          <w:color w:val="000000"/>
          <w:sz w:val="20"/>
          <w:szCs w:val="20"/>
        </w:rPr>
        <w:t xml:space="preserve"> </w:t>
      </w:r>
      <w:proofErr w:type="spellStart"/>
      <w:r w:rsidRPr="00885B82">
        <w:rPr>
          <w:rFonts w:ascii="Times New Roman" w:hAnsi="Times New Roman" w:cs="Times New Roman"/>
          <w:bCs/>
          <w:color w:val="000000"/>
          <w:sz w:val="20"/>
          <w:szCs w:val="20"/>
        </w:rPr>
        <w:t>Report</w:t>
      </w:r>
      <w:proofErr w:type="spellEnd"/>
      <w:r w:rsidRPr="00885B82">
        <w:rPr>
          <w:rFonts w:ascii="Times New Roman" w:hAnsi="Times New Roman" w:cs="Times New Roman"/>
          <w:bCs/>
          <w:color w:val="000000"/>
          <w:sz w:val="20"/>
          <w:szCs w:val="20"/>
        </w:rPr>
        <w:t xml:space="preserve"> 2016–2017</w:t>
      </w:r>
    </w:p>
    <w:p w14:paraId="76C52B55" w14:textId="12559E24" w:rsidR="00A672D3" w:rsidRDefault="004D2F5C" w:rsidP="0058635C">
      <w:pPr>
        <w:jc w:val="both"/>
        <w:rPr>
          <w:rFonts w:ascii="Times New Roman" w:hAnsi="Times New Roman" w:cs="Times New Roman"/>
          <w:sz w:val="24"/>
          <w:szCs w:val="24"/>
        </w:rPr>
      </w:pPr>
      <w:r w:rsidRPr="005A1615">
        <w:rPr>
          <w:rFonts w:ascii="Times New Roman" w:hAnsi="Times New Roman" w:cs="Times New Roman"/>
          <w:sz w:val="24"/>
          <w:szCs w:val="24"/>
        </w:rPr>
        <w:lastRenderedPageBreak/>
        <w:t>Lai panāktu, ka L</w:t>
      </w:r>
      <w:r w:rsidR="00BD3D29">
        <w:rPr>
          <w:rFonts w:ascii="Times New Roman" w:hAnsi="Times New Roman" w:cs="Times New Roman"/>
          <w:sz w:val="24"/>
          <w:szCs w:val="24"/>
        </w:rPr>
        <w:t>atvijas uzņēmējdarbības vide kļūst konkurētspējīgāka</w:t>
      </w:r>
      <w:r w:rsidRPr="005A1615">
        <w:rPr>
          <w:rFonts w:ascii="Times New Roman" w:hAnsi="Times New Roman" w:cs="Times New Roman"/>
          <w:sz w:val="24"/>
          <w:szCs w:val="24"/>
        </w:rPr>
        <w:t xml:space="preserve">, </w:t>
      </w:r>
      <w:r w:rsidR="00BD3D29">
        <w:rPr>
          <w:rFonts w:ascii="Times New Roman" w:hAnsi="Times New Roman" w:cs="Times New Roman"/>
          <w:sz w:val="24"/>
          <w:szCs w:val="24"/>
        </w:rPr>
        <w:t xml:space="preserve">tās </w:t>
      </w:r>
      <w:r w:rsidR="005A1615">
        <w:rPr>
          <w:rFonts w:ascii="Times New Roman" w:hAnsi="Times New Roman" w:cs="Times New Roman"/>
          <w:sz w:val="24"/>
          <w:szCs w:val="24"/>
        </w:rPr>
        <w:t xml:space="preserve">uzlabošanā </w:t>
      </w:r>
      <w:r w:rsidRPr="005A1615">
        <w:rPr>
          <w:rFonts w:ascii="Times New Roman" w:hAnsi="Times New Roman" w:cs="Times New Roman"/>
          <w:sz w:val="24"/>
          <w:szCs w:val="24"/>
        </w:rPr>
        <w:t xml:space="preserve">prioritāri </w:t>
      </w:r>
      <w:r w:rsidR="005A1615">
        <w:rPr>
          <w:rFonts w:ascii="Times New Roman" w:hAnsi="Times New Roman" w:cs="Times New Roman"/>
          <w:sz w:val="24"/>
          <w:szCs w:val="24"/>
        </w:rPr>
        <w:t xml:space="preserve">veicamās </w:t>
      </w:r>
      <w:r w:rsidRPr="005A1615">
        <w:rPr>
          <w:rFonts w:ascii="Times New Roman" w:hAnsi="Times New Roman" w:cs="Times New Roman"/>
          <w:sz w:val="24"/>
          <w:szCs w:val="24"/>
        </w:rPr>
        <w:t>reformas</w:t>
      </w:r>
      <w:r w:rsidR="005A1615">
        <w:rPr>
          <w:rFonts w:ascii="Times New Roman" w:hAnsi="Times New Roman" w:cs="Times New Roman"/>
          <w:sz w:val="24"/>
          <w:szCs w:val="24"/>
        </w:rPr>
        <w:t xml:space="preserve"> ir </w:t>
      </w:r>
      <w:r w:rsidR="00707725">
        <w:rPr>
          <w:rFonts w:ascii="Times New Roman" w:hAnsi="Times New Roman" w:cs="Times New Roman"/>
          <w:sz w:val="24"/>
          <w:szCs w:val="24"/>
        </w:rPr>
        <w:t>"</w:t>
      </w:r>
      <w:r w:rsidR="005A1615" w:rsidRPr="005A1615">
        <w:rPr>
          <w:rFonts w:ascii="Times New Roman" w:hAnsi="Times New Roman" w:cs="Times New Roman"/>
          <w:sz w:val="24"/>
          <w:szCs w:val="24"/>
        </w:rPr>
        <w:t>konsultē vispirms</w:t>
      </w:r>
      <w:r w:rsidR="00707725">
        <w:rPr>
          <w:rFonts w:ascii="Times New Roman" w:hAnsi="Times New Roman" w:cs="Times New Roman"/>
          <w:sz w:val="24"/>
          <w:szCs w:val="24"/>
        </w:rPr>
        <w:t>"</w:t>
      </w:r>
      <w:r w:rsidR="005A1615" w:rsidRPr="005A1615">
        <w:rPr>
          <w:rFonts w:ascii="Times New Roman" w:hAnsi="Times New Roman" w:cs="Times New Roman"/>
          <w:sz w:val="24"/>
          <w:szCs w:val="24"/>
        </w:rPr>
        <w:t xml:space="preserve"> princip</w:t>
      </w:r>
      <w:r w:rsidR="005A1615">
        <w:rPr>
          <w:rFonts w:ascii="Times New Roman" w:hAnsi="Times New Roman" w:cs="Times New Roman"/>
          <w:sz w:val="24"/>
          <w:szCs w:val="24"/>
        </w:rPr>
        <w:t xml:space="preserve">a ieviešana </w:t>
      </w:r>
      <w:r w:rsidR="005A1615" w:rsidRPr="005A1615">
        <w:rPr>
          <w:rFonts w:ascii="Times New Roman" w:hAnsi="Times New Roman" w:cs="Times New Roman"/>
          <w:sz w:val="24"/>
          <w:szCs w:val="24"/>
        </w:rPr>
        <w:t>visās valsts institūcijās</w:t>
      </w:r>
      <w:r w:rsidR="005A1615">
        <w:rPr>
          <w:rFonts w:ascii="Times New Roman" w:hAnsi="Times New Roman" w:cs="Times New Roman"/>
          <w:sz w:val="24"/>
          <w:szCs w:val="24"/>
        </w:rPr>
        <w:t>, pāreja</w:t>
      </w:r>
      <w:r w:rsidR="005A1615" w:rsidRPr="005465CD">
        <w:rPr>
          <w:rFonts w:ascii="Times New Roman" w:hAnsi="Times New Roman" w:cs="Times New Roman"/>
          <w:sz w:val="24"/>
          <w:szCs w:val="24"/>
        </w:rPr>
        <w:t xml:space="preserve"> uz uzņēmuma reģistrēšanu tikai tiešsaistes režīmā</w:t>
      </w:r>
      <w:r w:rsidR="005A1615">
        <w:rPr>
          <w:rFonts w:ascii="Times New Roman" w:hAnsi="Times New Roman" w:cs="Times New Roman"/>
          <w:sz w:val="24"/>
          <w:szCs w:val="24"/>
        </w:rPr>
        <w:t xml:space="preserve">, </w:t>
      </w:r>
      <w:r w:rsidR="005A1615" w:rsidRPr="005465CD">
        <w:rPr>
          <w:rFonts w:ascii="Times New Roman" w:hAnsi="Times New Roman" w:cs="Times New Roman"/>
          <w:sz w:val="24"/>
          <w:szCs w:val="24"/>
        </w:rPr>
        <w:t>inves</w:t>
      </w:r>
      <w:r w:rsidR="005A1615">
        <w:rPr>
          <w:rFonts w:ascii="Times New Roman" w:hAnsi="Times New Roman" w:cs="Times New Roman"/>
          <w:sz w:val="24"/>
          <w:szCs w:val="24"/>
        </w:rPr>
        <w:t>toru tiesību aizsardzīb</w:t>
      </w:r>
      <w:r w:rsidR="00707725">
        <w:rPr>
          <w:rFonts w:ascii="Times New Roman" w:hAnsi="Times New Roman" w:cs="Times New Roman"/>
          <w:sz w:val="24"/>
          <w:szCs w:val="24"/>
        </w:rPr>
        <w:t>as</w:t>
      </w:r>
      <w:r w:rsidR="005A1615">
        <w:rPr>
          <w:rFonts w:ascii="Times New Roman" w:hAnsi="Times New Roman" w:cs="Times New Roman"/>
          <w:sz w:val="24"/>
          <w:szCs w:val="24"/>
        </w:rPr>
        <w:t xml:space="preserve"> regulējuma</w:t>
      </w:r>
      <w:r w:rsidR="005A1615" w:rsidRPr="005465CD">
        <w:rPr>
          <w:rFonts w:ascii="Times New Roman" w:hAnsi="Times New Roman" w:cs="Times New Roman"/>
          <w:sz w:val="24"/>
          <w:szCs w:val="24"/>
        </w:rPr>
        <w:t xml:space="preserve"> sakārtošana</w:t>
      </w:r>
      <w:r w:rsidR="005A1615">
        <w:rPr>
          <w:rFonts w:ascii="Times New Roman" w:hAnsi="Times New Roman" w:cs="Times New Roman"/>
          <w:sz w:val="24"/>
          <w:szCs w:val="24"/>
        </w:rPr>
        <w:t>, būvniecības saskaņošanas procesa digitalizācija</w:t>
      </w:r>
      <w:r w:rsidR="00E73794">
        <w:rPr>
          <w:rFonts w:ascii="Times New Roman" w:hAnsi="Times New Roman" w:cs="Times New Roman"/>
          <w:sz w:val="24"/>
          <w:szCs w:val="24"/>
        </w:rPr>
        <w:t xml:space="preserve">, </w:t>
      </w:r>
      <w:r w:rsidR="00D52F39">
        <w:rPr>
          <w:rFonts w:ascii="Times New Roman" w:hAnsi="Times New Roman" w:cs="Times New Roman"/>
          <w:sz w:val="24"/>
          <w:szCs w:val="24"/>
        </w:rPr>
        <w:t xml:space="preserve">kā arī </w:t>
      </w:r>
      <w:r w:rsidR="00E73794">
        <w:rPr>
          <w:rFonts w:ascii="Times New Roman" w:hAnsi="Times New Roman" w:cs="Times New Roman"/>
          <w:sz w:val="24"/>
          <w:szCs w:val="24"/>
        </w:rPr>
        <w:t xml:space="preserve">vienlaikus jāturpina aktīvs darbs būvniecības procesa no </w:t>
      </w:r>
      <w:r w:rsidR="00707725">
        <w:rPr>
          <w:rFonts w:ascii="Times New Roman" w:hAnsi="Times New Roman" w:cs="Times New Roman"/>
          <w:sz w:val="24"/>
          <w:szCs w:val="24"/>
        </w:rPr>
        <w:t>"</w:t>
      </w:r>
      <w:r w:rsidR="00E73794">
        <w:rPr>
          <w:rFonts w:ascii="Times New Roman" w:hAnsi="Times New Roman" w:cs="Times New Roman"/>
          <w:sz w:val="24"/>
          <w:szCs w:val="24"/>
        </w:rPr>
        <w:t>ieceres līdz atslēgai</w:t>
      </w:r>
      <w:r w:rsidR="00707725">
        <w:rPr>
          <w:rFonts w:ascii="Times New Roman" w:hAnsi="Times New Roman" w:cs="Times New Roman"/>
          <w:sz w:val="24"/>
          <w:szCs w:val="24"/>
        </w:rPr>
        <w:t>"</w:t>
      </w:r>
      <w:r w:rsidR="00E73794">
        <w:rPr>
          <w:rFonts w:ascii="Times New Roman" w:hAnsi="Times New Roman" w:cs="Times New Roman"/>
          <w:sz w:val="24"/>
          <w:szCs w:val="24"/>
        </w:rPr>
        <w:t xml:space="preserve"> saīsinā</w:t>
      </w:r>
      <w:r w:rsidR="005B490E">
        <w:rPr>
          <w:rFonts w:ascii="Times New Roman" w:hAnsi="Times New Roman" w:cs="Times New Roman"/>
          <w:sz w:val="24"/>
          <w:szCs w:val="24"/>
        </w:rPr>
        <w:t>šan</w:t>
      </w:r>
      <w:r w:rsidR="00707725">
        <w:rPr>
          <w:rFonts w:ascii="Times New Roman" w:hAnsi="Times New Roman" w:cs="Times New Roman"/>
          <w:sz w:val="24"/>
          <w:szCs w:val="24"/>
        </w:rPr>
        <w:t>ā</w:t>
      </w:r>
      <w:r w:rsidR="005A1615">
        <w:rPr>
          <w:rFonts w:ascii="Times New Roman" w:hAnsi="Times New Roman" w:cs="Times New Roman"/>
          <w:sz w:val="24"/>
          <w:szCs w:val="24"/>
        </w:rPr>
        <w:t xml:space="preserve">, </w:t>
      </w:r>
      <w:r w:rsidR="00707725">
        <w:rPr>
          <w:rFonts w:ascii="Times New Roman" w:hAnsi="Times New Roman" w:cs="Times New Roman"/>
          <w:sz w:val="24"/>
          <w:szCs w:val="24"/>
        </w:rPr>
        <w:t xml:space="preserve">jāmeklē </w:t>
      </w:r>
      <w:r w:rsidR="00004E80">
        <w:rPr>
          <w:rFonts w:ascii="Times New Roman" w:hAnsi="Times New Roman" w:cs="Times New Roman"/>
          <w:sz w:val="24"/>
          <w:szCs w:val="24"/>
        </w:rPr>
        <w:t xml:space="preserve">risinājumi </w:t>
      </w:r>
      <w:r w:rsidR="00004E80" w:rsidRPr="005465CD">
        <w:rPr>
          <w:rFonts w:ascii="Times New Roman" w:hAnsi="Times New Roman" w:cs="Times New Roman"/>
          <w:sz w:val="24"/>
          <w:szCs w:val="24"/>
        </w:rPr>
        <w:t>turpmākai nekustamā īpašuma reģistrēšanas sistēmas attīstībai</w:t>
      </w:r>
      <w:r w:rsidR="00004E80">
        <w:rPr>
          <w:rFonts w:ascii="Times New Roman" w:hAnsi="Times New Roman" w:cs="Times New Roman"/>
          <w:sz w:val="24"/>
          <w:szCs w:val="24"/>
        </w:rPr>
        <w:t>, kā arī vienota konta ieviešana</w:t>
      </w:r>
      <w:r w:rsidR="00707725">
        <w:rPr>
          <w:rFonts w:ascii="Times New Roman" w:hAnsi="Times New Roman" w:cs="Times New Roman"/>
          <w:sz w:val="24"/>
          <w:szCs w:val="24"/>
        </w:rPr>
        <w:t>i</w:t>
      </w:r>
      <w:r w:rsidR="00004E80">
        <w:rPr>
          <w:rFonts w:ascii="Times New Roman" w:hAnsi="Times New Roman" w:cs="Times New Roman"/>
          <w:sz w:val="24"/>
          <w:szCs w:val="24"/>
        </w:rPr>
        <w:t xml:space="preserve"> </w:t>
      </w:r>
      <w:r w:rsidR="00004E80" w:rsidRPr="005465CD">
        <w:rPr>
          <w:rFonts w:ascii="Times New Roman" w:hAnsi="Times New Roman" w:cs="Times New Roman"/>
          <w:sz w:val="24"/>
          <w:szCs w:val="24"/>
        </w:rPr>
        <w:t>visiem nodokļu maksājumiem</w:t>
      </w:r>
      <w:r w:rsidR="00004E80">
        <w:rPr>
          <w:rFonts w:ascii="Times New Roman" w:hAnsi="Times New Roman" w:cs="Times New Roman"/>
          <w:sz w:val="24"/>
          <w:szCs w:val="24"/>
        </w:rPr>
        <w:t>.</w:t>
      </w:r>
    </w:p>
    <w:p w14:paraId="192F9908" w14:textId="06EEBC6C" w:rsidR="005B490E" w:rsidRPr="00EF6333" w:rsidRDefault="003A1220" w:rsidP="005B490E">
      <w:pPr>
        <w:jc w:val="both"/>
        <w:rPr>
          <w:rFonts w:ascii="Times New Roman" w:hAnsi="Times New Roman" w:cs="Times New Roman"/>
          <w:sz w:val="24"/>
          <w:szCs w:val="24"/>
        </w:rPr>
      </w:pPr>
      <w:r>
        <w:rPr>
          <w:rFonts w:ascii="Times New Roman" w:hAnsi="Times New Roman" w:cs="Times New Roman"/>
          <w:sz w:val="24"/>
          <w:szCs w:val="24"/>
        </w:rPr>
        <w:t>Globālās konkurētspējas indeks</w:t>
      </w:r>
      <w:r w:rsidR="001552BA">
        <w:rPr>
          <w:rFonts w:ascii="Times New Roman" w:hAnsi="Times New Roman" w:cs="Times New Roman"/>
          <w:sz w:val="24"/>
          <w:szCs w:val="24"/>
        </w:rPr>
        <w:t>ā</w:t>
      </w:r>
      <w:r w:rsidR="005B490E" w:rsidRPr="00EF6333">
        <w:rPr>
          <w:rFonts w:ascii="Times New Roman" w:hAnsi="Times New Roman" w:cs="Times New Roman"/>
          <w:sz w:val="24"/>
          <w:szCs w:val="24"/>
        </w:rPr>
        <w:t xml:space="preserve"> 2016</w:t>
      </w:r>
      <w:r w:rsidR="00707725">
        <w:rPr>
          <w:rFonts w:ascii="Times New Roman" w:hAnsi="Times New Roman" w:cs="Times New Roman"/>
          <w:sz w:val="24"/>
          <w:szCs w:val="24"/>
        </w:rPr>
        <w:t>.–</w:t>
      </w:r>
      <w:r w:rsidR="005B490E" w:rsidRPr="00EF6333">
        <w:rPr>
          <w:rFonts w:ascii="Times New Roman" w:hAnsi="Times New Roman" w:cs="Times New Roman"/>
          <w:sz w:val="24"/>
          <w:szCs w:val="24"/>
        </w:rPr>
        <w:t>2017</w:t>
      </w:r>
      <w:r w:rsidR="00707725">
        <w:rPr>
          <w:rFonts w:ascii="Times New Roman" w:hAnsi="Times New Roman" w:cs="Times New Roman"/>
          <w:sz w:val="24"/>
          <w:szCs w:val="24"/>
        </w:rPr>
        <w:t>.</w:t>
      </w:r>
      <w:r w:rsidR="009D5F05">
        <w:rPr>
          <w:rFonts w:ascii="Times New Roman" w:hAnsi="Times New Roman" w:cs="Times New Roman"/>
          <w:sz w:val="24"/>
          <w:szCs w:val="24"/>
        </w:rPr>
        <w:t xml:space="preserve">, kas lielākoties sastāv no </w:t>
      </w:r>
      <w:r w:rsidR="00707725">
        <w:rPr>
          <w:rFonts w:ascii="Times New Roman" w:hAnsi="Times New Roman" w:cs="Times New Roman"/>
          <w:sz w:val="24"/>
          <w:szCs w:val="24"/>
        </w:rPr>
        <w:t xml:space="preserve">aptaujāto </w:t>
      </w:r>
      <w:r w:rsidR="009D5F05">
        <w:rPr>
          <w:rFonts w:ascii="Times New Roman" w:hAnsi="Times New Roman" w:cs="Times New Roman"/>
          <w:sz w:val="24"/>
          <w:szCs w:val="24"/>
        </w:rPr>
        <w:t>uzņēmēju viedokļa plašā tautsaimniecības spekt</w:t>
      </w:r>
      <w:r w:rsidR="00D52F39">
        <w:rPr>
          <w:rFonts w:ascii="Times New Roman" w:hAnsi="Times New Roman" w:cs="Times New Roman"/>
          <w:sz w:val="24"/>
          <w:szCs w:val="24"/>
        </w:rPr>
        <w:t>r</w:t>
      </w:r>
      <w:r w:rsidR="009D5F05">
        <w:rPr>
          <w:rFonts w:ascii="Times New Roman" w:hAnsi="Times New Roman" w:cs="Times New Roman"/>
          <w:sz w:val="24"/>
          <w:szCs w:val="24"/>
        </w:rPr>
        <w:t>ā</w:t>
      </w:r>
      <w:r w:rsidR="00C907F7">
        <w:rPr>
          <w:rFonts w:ascii="Times New Roman" w:hAnsi="Times New Roman" w:cs="Times New Roman"/>
          <w:sz w:val="24"/>
          <w:szCs w:val="24"/>
        </w:rPr>
        <w:t xml:space="preserve"> (</w:t>
      </w:r>
      <w:r w:rsidR="00C907F7" w:rsidRPr="006F6CED">
        <w:rPr>
          <w:rFonts w:ascii="Times New Roman" w:hAnsi="Times New Roman" w:cs="Times New Roman"/>
          <w:sz w:val="24"/>
          <w:szCs w:val="24"/>
        </w:rPr>
        <w:t>skat. 3.</w:t>
      </w:r>
      <w:r w:rsidR="00C907F7">
        <w:rPr>
          <w:rFonts w:ascii="Times New Roman" w:hAnsi="Times New Roman" w:cs="Times New Roman"/>
          <w:sz w:val="24"/>
          <w:szCs w:val="24"/>
        </w:rPr>
        <w:t> </w:t>
      </w:r>
      <w:r w:rsidR="00C907F7" w:rsidRPr="006F6CED">
        <w:rPr>
          <w:rFonts w:ascii="Times New Roman" w:hAnsi="Times New Roman" w:cs="Times New Roman"/>
          <w:sz w:val="24"/>
          <w:szCs w:val="24"/>
        </w:rPr>
        <w:t>attēlu</w:t>
      </w:r>
      <w:r w:rsidR="00C907F7">
        <w:rPr>
          <w:rFonts w:ascii="Times New Roman" w:hAnsi="Times New Roman" w:cs="Times New Roman"/>
          <w:sz w:val="24"/>
          <w:szCs w:val="24"/>
        </w:rPr>
        <w:t>)</w:t>
      </w:r>
      <w:r w:rsidR="009D5F05">
        <w:rPr>
          <w:rFonts w:ascii="Times New Roman" w:hAnsi="Times New Roman" w:cs="Times New Roman"/>
          <w:sz w:val="24"/>
          <w:szCs w:val="24"/>
        </w:rPr>
        <w:t>,</w:t>
      </w:r>
      <w:r w:rsidR="005B490E" w:rsidRPr="00EF6333">
        <w:rPr>
          <w:rFonts w:ascii="Times New Roman" w:hAnsi="Times New Roman" w:cs="Times New Roman"/>
          <w:sz w:val="24"/>
          <w:szCs w:val="24"/>
        </w:rPr>
        <w:t xml:space="preserve"> Latvija </w:t>
      </w:r>
      <w:r w:rsidR="00FB7655">
        <w:rPr>
          <w:rFonts w:ascii="Times New Roman" w:hAnsi="Times New Roman" w:cs="Times New Roman"/>
          <w:sz w:val="24"/>
          <w:szCs w:val="24"/>
        </w:rPr>
        <w:t>138</w:t>
      </w:r>
      <w:r w:rsidR="00707725">
        <w:rPr>
          <w:rFonts w:ascii="Times New Roman" w:hAnsi="Times New Roman" w:cs="Times New Roman"/>
          <w:sz w:val="24"/>
          <w:szCs w:val="24"/>
        </w:rPr>
        <w:t> </w:t>
      </w:r>
      <w:r w:rsidR="001552BA">
        <w:rPr>
          <w:rFonts w:ascii="Times New Roman" w:hAnsi="Times New Roman" w:cs="Times New Roman"/>
          <w:sz w:val="24"/>
          <w:szCs w:val="24"/>
        </w:rPr>
        <w:t xml:space="preserve">valstu konkurencē </w:t>
      </w:r>
      <w:r w:rsidR="006F6CED">
        <w:rPr>
          <w:rFonts w:ascii="Times New Roman" w:hAnsi="Times New Roman" w:cs="Times New Roman"/>
          <w:sz w:val="24"/>
          <w:szCs w:val="24"/>
        </w:rPr>
        <w:t>ierindota 49.</w:t>
      </w:r>
      <w:r w:rsidR="00707725">
        <w:rPr>
          <w:rFonts w:ascii="Times New Roman" w:hAnsi="Times New Roman" w:cs="Times New Roman"/>
          <w:sz w:val="24"/>
          <w:szCs w:val="24"/>
        </w:rPr>
        <w:t> </w:t>
      </w:r>
      <w:r w:rsidR="006F6CED">
        <w:rPr>
          <w:rFonts w:ascii="Times New Roman" w:hAnsi="Times New Roman" w:cs="Times New Roman"/>
          <w:sz w:val="24"/>
          <w:szCs w:val="24"/>
        </w:rPr>
        <w:t>vietā</w:t>
      </w:r>
      <w:r w:rsidR="002937E6">
        <w:rPr>
          <w:rFonts w:ascii="Times New Roman" w:hAnsi="Times New Roman" w:cs="Times New Roman"/>
          <w:sz w:val="24"/>
          <w:szCs w:val="24"/>
        </w:rPr>
        <w:t xml:space="preserve"> </w:t>
      </w:r>
      <w:r w:rsidR="005B490E" w:rsidRPr="00EF6333">
        <w:rPr>
          <w:rFonts w:ascii="Times New Roman" w:hAnsi="Times New Roman" w:cs="Times New Roman"/>
          <w:sz w:val="24"/>
          <w:szCs w:val="24"/>
        </w:rPr>
        <w:t xml:space="preserve">(iepriekš </w:t>
      </w:r>
      <w:r w:rsidR="00707725">
        <w:rPr>
          <w:rFonts w:ascii="Times New Roman" w:hAnsi="Times New Roman" w:cs="Times New Roman"/>
          <w:sz w:val="24"/>
          <w:szCs w:val="24"/>
        </w:rPr>
        <w:t xml:space="preserve">– </w:t>
      </w:r>
      <w:r>
        <w:rPr>
          <w:rFonts w:ascii="Times New Roman" w:hAnsi="Times New Roman" w:cs="Times New Roman"/>
          <w:sz w:val="24"/>
          <w:szCs w:val="24"/>
        </w:rPr>
        <w:t>44.</w:t>
      </w:r>
      <w:r w:rsidR="00707725">
        <w:rPr>
          <w:rFonts w:ascii="Times New Roman" w:hAnsi="Times New Roman" w:cs="Times New Roman"/>
          <w:sz w:val="24"/>
          <w:szCs w:val="24"/>
        </w:rPr>
        <w:t> </w:t>
      </w:r>
      <w:r>
        <w:rPr>
          <w:rFonts w:ascii="Times New Roman" w:hAnsi="Times New Roman" w:cs="Times New Roman"/>
          <w:sz w:val="24"/>
          <w:szCs w:val="24"/>
        </w:rPr>
        <w:t>vietā</w:t>
      </w:r>
      <w:r w:rsidR="005B490E" w:rsidRPr="00EF6333">
        <w:rPr>
          <w:rFonts w:ascii="Times New Roman" w:hAnsi="Times New Roman" w:cs="Times New Roman"/>
          <w:sz w:val="24"/>
          <w:szCs w:val="24"/>
        </w:rPr>
        <w:t>)</w:t>
      </w:r>
      <w:r w:rsidR="005B490E">
        <w:rPr>
          <w:rFonts w:ascii="Times New Roman" w:hAnsi="Times New Roman" w:cs="Times New Roman"/>
          <w:sz w:val="24"/>
          <w:szCs w:val="24"/>
        </w:rPr>
        <w:t xml:space="preserve">. </w:t>
      </w:r>
      <w:r w:rsidR="005B490E" w:rsidRPr="00C936A4">
        <w:rPr>
          <w:rFonts w:ascii="Times New Roman" w:hAnsi="Times New Roman" w:cs="Times New Roman"/>
          <w:sz w:val="24"/>
          <w:szCs w:val="24"/>
        </w:rPr>
        <w:t>Pamatprasību izpildē (institucionālās vides, sabiedriskās infrastruktūras kvalitāte, makroekonomiskā vide, veselība un pamatizglītība) Latvija no 37.</w:t>
      </w:r>
      <w:r w:rsidR="00707725">
        <w:rPr>
          <w:rFonts w:ascii="Times New Roman" w:hAnsi="Times New Roman" w:cs="Times New Roman"/>
          <w:sz w:val="24"/>
          <w:szCs w:val="24"/>
        </w:rPr>
        <w:t> </w:t>
      </w:r>
      <w:r w:rsidR="005B490E" w:rsidRPr="00C936A4">
        <w:rPr>
          <w:rFonts w:ascii="Times New Roman" w:hAnsi="Times New Roman" w:cs="Times New Roman"/>
          <w:sz w:val="24"/>
          <w:szCs w:val="24"/>
        </w:rPr>
        <w:t>vietas ir nokritusies uz 41.</w:t>
      </w:r>
      <w:r w:rsidR="00707725">
        <w:rPr>
          <w:rFonts w:ascii="Times New Roman" w:hAnsi="Times New Roman" w:cs="Times New Roman"/>
          <w:sz w:val="24"/>
          <w:szCs w:val="24"/>
        </w:rPr>
        <w:t> </w:t>
      </w:r>
      <w:r w:rsidR="005B490E" w:rsidRPr="00C936A4">
        <w:rPr>
          <w:rFonts w:ascii="Times New Roman" w:hAnsi="Times New Roman" w:cs="Times New Roman"/>
          <w:sz w:val="24"/>
          <w:szCs w:val="24"/>
        </w:rPr>
        <w:t>vietu. Efektivitāti pastiprinošajos rādītājos (augstākā izglītība, produktu tirgus un darbaspēka tirgus efektivitāte, finanšu tirgus attīstība, tehnoloģiju gatavība un tirgus lielums) Latvija no 39.</w:t>
      </w:r>
      <w:r w:rsidR="00707725">
        <w:rPr>
          <w:rFonts w:ascii="Times New Roman" w:hAnsi="Times New Roman" w:cs="Times New Roman"/>
          <w:sz w:val="24"/>
          <w:szCs w:val="24"/>
        </w:rPr>
        <w:t> </w:t>
      </w:r>
      <w:r w:rsidR="005B490E" w:rsidRPr="00C936A4">
        <w:rPr>
          <w:rFonts w:ascii="Times New Roman" w:hAnsi="Times New Roman" w:cs="Times New Roman"/>
          <w:sz w:val="24"/>
          <w:szCs w:val="24"/>
        </w:rPr>
        <w:t>vietas ir nokritusies uz 42.</w:t>
      </w:r>
      <w:r w:rsidR="00707725">
        <w:rPr>
          <w:rFonts w:ascii="Times New Roman" w:hAnsi="Times New Roman" w:cs="Times New Roman"/>
          <w:sz w:val="24"/>
          <w:szCs w:val="24"/>
        </w:rPr>
        <w:t> </w:t>
      </w:r>
      <w:r w:rsidR="005B490E" w:rsidRPr="00C936A4">
        <w:rPr>
          <w:rFonts w:ascii="Times New Roman" w:hAnsi="Times New Roman" w:cs="Times New Roman"/>
          <w:sz w:val="24"/>
          <w:szCs w:val="24"/>
        </w:rPr>
        <w:t xml:space="preserve">vietu. Savukārt </w:t>
      </w:r>
      <w:r w:rsidR="00FB7655">
        <w:rPr>
          <w:rFonts w:ascii="Times New Roman" w:hAnsi="Times New Roman" w:cs="Times New Roman"/>
          <w:sz w:val="24"/>
          <w:szCs w:val="24"/>
        </w:rPr>
        <w:t xml:space="preserve">inovācijas un </w:t>
      </w:r>
      <w:r w:rsidR="00365044">
        <w:rPr>
          <w:rFonts w:ascii="Times New Roman" w:hAnsi="Times New Roman" w:cs="Times New Roman"/>
          <w:sz w:val="24"/>
          <w:szCs w:val="24"/>
        </w:rPr>
        <w:t>biznesa</w:t>
      </w:r>
      <w:r w:rsidR="005B490E" w:rsidRPr="00C936A4">
        <w:rPr>
          <w:rFonts w:ascii="Times New Roman" w:hAnsi="Times New Roman" w:cs="Times New Roman"/>
          <w:sz w:val="24"/>
          <w:szCs w:val="24"/>
        </w:rPr>
        <w:t xml:space="preserve"> </w:t>
      </w:r>
      <w:r w:rsidR="00FB7655">
        <w:rPr>
          <w:rFonts w:ascii="Times New Roman" w:hAnsi="Times New Roman" w:cs="Times New Roman"/>
          <w:sz w:val="24"/>
          <w:szCs w:val="24"/>
        </w:rPr>
        <w:t xml:space="preserve">izsmalcinātības </w:t>
      </w:r>
      <w:r w:rsidR="005B490E" w:rsidRPr="00C936A4">
        <w:rPr>
          <w:rFonts w:ascii="Times New Roman" w:hAnsi="Times New Roman" w:cs="Times New Roman"/>
          <w:sz w:val="24"/>
          <w:szCs w:val="24"/>
        </w:rPr>
        <w:t>rādītājs ir palicis nemainīgs – 58</w:t>
      </w:r>
      <w:r w:rsidR="00707725">
        <w:rPr>
          <w:rFonts w:ascii="Times New Roman" w:hAnsi="Times New Roman" w:cs="Times New Roman"/>
          <w:sz w:val="24"/>
          <w:szCs w:val="24"/>
        </w:rPr>
        <w:t>. </w:t>
      </w:r>
      <w:r w:rsidR="005B490E" w:rsidRPr="00C936A4">
        <w:rPr>
          <w:rFonts w:ascii="Times New Roman" w:hAnsi="Times New Roman" w:cs="Times New Roman"/>
          <w:sz w:val="24"/>
          <w:szCs w:val="24"/>
        </w:rPr>
        <w:t>vieta.</w:t>
      </w:r>
    </w:p>
    <w:p w14:paraId="520E7AC8" w14:textId="15B84480" w:rsidR="005B490E" w:rsidRPr="00A92462" w:rsidRDefault="003A1220" w:rsidP="005B490E">
      <w:pPr>
        <w:jc w:val="both"/>
        <w:rPr>
          <w:rFonts w:ascii="Times New Roman" w:hAnsi="Times New Roman" w:cs="Times New Roman"/>
          <w:sz w:val="24"/>
          <w:szCs w:val="24"/>
        </w:rPr>
      </w:pPr>
      <w:r>
        <w:rPr>
          <w:rFonts w:ascii="Times New Roman" w:hAnsi="Times New Roman" w:cs="Times New Roman"/>
          <w:sz w:val="24"/>
          <w:szCs w:val="24"/>
        </w:rPr>
        <w:t>A</w:t>
      </w:r>
      <w:r w:rsidR="005B490E">
        <w:rPr>
          <w:rFonts w:ascii="Times New Roman" w:hAnsi="Times New Roman" w:cs="Times New Roman"/>
          <w:sz w:val="24"/>
          <w:szCs w:val="24"/>
        </w:rPr>
        <w:t xml:space="preserve">bas pārējās Baltijas valstis </w:t>
      </w:r>
      <w:r>
        <w:rPr>
          <w:rFonts w:ascii="Times New Roman" w:hAnsi="Times New Roman" w:cs="Times New Roman"/>
          <w:sz w:val="24"/>
          <w:szCs w:val="24"/>
        </w:rPr>
        <w:t xml:space="preserve">novērtējumā </w:t>
      </w:r>
      <w:r w:rsidR="005B490E">
        <w:rPr>
          <w:rFonts w:ascii="Times New Roman" w:hAnsi="Times New Roman" w:cs="Times New Roman"/>
          <w:sz w:val="24"/>
          <w:szCs w:val="24"/>
        </w:rPr>
        <w:t>atrodas augstāk nekā Latvija –</w:t>
      </w:r>
      <w:r w:rsidR="001C042E">
        <w:rPr>
          <w:rFonts w:ascii="Times New Roman" w:hAnsi="Times New Roman" w:cs="Times New Roman"/>
          <w:sz w:val="24"/>
          <w:szCs w:val="24"/>
        </w:rPr>
        <w:t xml:space="preserve"> </w:t>
      </w:r>
      <w:r w:rsidR="005B490E">
        <w:rPr>
          <w:rFonts w:ascii="Times New Roman" w:hAnsi="Times New Roman" w:cs="Times New Roman"/>
          <w:sz w:val="24"/>
          <w:szCs w:val="24"/>
        </w:rPr>
        <w:t xml:space="preserve">Lietuva </w:t>
      </w:r>
      <w:r w:rsidR="00D52F39">
        <w:rPr>
          <w:rFonts w:ascii="Times New Roman" w:hAnsi="Times New Roman" w:cs="Times New Roman"/>
          <w:sz w:val="24"/>
          <w:szCs w:val="24"/>
        </w:rPr>
        <w:t xml:space="preserve">kopējā reitingā </w:t>
      </w:r>
      <w:r w:rsidR="005B490E">
        <w:rPr>
          <w:rFonts w:ascii="Times New Roman" w:hAnsi="Times New Roman" w:cs="Times New Roman"/>
          <w:sz w:val="24"/>
          <w:szCs w:val="24"/>
        </w:rPr>
        <w:t>ieņem 35.</w:t>
      </w:r>
      <w:r w:rsidR="00707725">
        <w:rPr>
          <w:rFonts w:ascii="Times New Roman" w:hAnsi="Times New Roman" w:cs="Times New Roman"/>
          <w:sz w:val="24"/>
          <w:szCs w:val="24"/>
        </w:rPr>
        <w:t> </w:t>
      </w:r>
      <w:r w:rsidR="005B490E">
        <w:rPr>
          <w:rFonts w:ascii="Times New Roman" w:hAnsi="Times New Roman" w:cs="Times New Roman"/>
          <w:sz w:val="24"/>
          <w:szCs w:val="24"/>
        </w:rPr>
        <w:t>vietu, savukārt Igaunija –</w:t>
      </w:r>
      <w:r w:rsidR="001C042E">
        <w:rPr>
          <w:rFonts w:ascii="Times New Roman" w:hAnsi="Times New Roman" w:cs="Times New Roman"/>
          <w:sz w:val="24"/>
          <w:szCs w:val="24"/>
        </w:rPr>
        <w:t xml:space="preserve"> </w:t>
      </w:r>
      <w:r w:rsidR="005B490E">
        <w:rPr>
          <w:rFonts w:ascii="Times New Roman" w:hAnsi="Times New Roman" w:cs="Times New Roman"/>
          <w:sz w:val="24"/>
          <w:szCs w:val="24"/>
        </w:rPr>
        <w:t>30.</w:t>
      </w:r>
      <w:r w:rsidR="00707725">
        <w:rPr>
          <w:rFonts w:ascii="Times New Roman" w:hAnsi="Times New Roman" w:cs="Times New Roman"/>
          <w:sz w:val="24"/>
          <w:szCs w:val="24"/>
        </w:rPr>
        <w:t> </w:t>
      </w:r>
      <w:r w:rsidR="005B490E">
        <w:rPr>
          <w:rFonts w:ascii="Times New Roman" w:hAnsi="Times New Roman" w:cs="Times New Roman"/>
          <w:sz w:val="24"/>
          <w:szCs w:val="24"/>
        </w:rPr>
        <w:t xml:space="preserve">vietu. </w:t>
      </w:r>
      <w:r w:rsidR="005B490E" w:rsidRPr="00EF6333">
        <w:rPr>
          <w:rFonts w:ascii="Times New Roman" w:hAnsi="Times New Roman" w:cs="Times New Roman"/>
          <w:sz w:val="24"/>
          <w:szCs w:val="24"/>
        </w:rPr>
        <w:t xml:space="preserve">Latvijas vājākās vietas salīdzinājumā ar </w:t>
      </w:r>
      <w:r w:rsidR="001552BA">
        <w:rPr>
          <w:rFonts w:ascii="Times New Roman" w:hAnsi="Times New Roman" w:cs="Times New Roman"/>
          <w:sz w:val="24"/>
          <w:szCs w:val="24"/>
        </w:rPr>
        <w:t xml:space="preserve">pārējām </w:t>
      </w:r>
      <w:r w:rsidR="005B490E" w:rsidRPr="00EF6333">
        <w:rPr>
          <w:rFonts w:ascii="Times New Roman" w:hAnsi="Times New Roman" w:cs="Times New Roman"/>
          <w:sz w:val="24"/>
          <w:szCs w:val="24"/>
        </w:rPr>
        <w:t>Baltijas valstīm ir infrastruktūra, makroekonomiskā stabilitāte, veselības aprūpe, augstākā izglītība, finanšu tirgus attīstība, biznesa attīstība, inovāciju un tehnoloģiju līmenis.</w:t>
      </w:r>
      <w:r w:rsidR="005B490E" w:rsidRPr="009F07BB">
        <w:rPr>
          <w:rFonts w:ascii="Times New Roman" w:hAnsi="Times New Roman" w:cs="Times New Roman"/>
          <w:sz w:val="24"/>
          <w:szCs w:val="24"/>
        </w:rPr>
        <w:t xml:space="preserve"> </w:t>
      </w:r>
      <w:r w:rsidR="005B490E" w:rsidRPr="00EF6333">
        <w:rPr>
          <w:rFonts w:ascii="Times New Roman" w:hAnsi="Times New Roman" w:cs="Times New Roman"/>
          <w:sz w:val="24"/>
          <w:szCs w:val="24"/>
        </w:rPr>
        <w:t>Problemātiskākās jomas</w:t>
      </w:r>
      <w:r w:rsidR="005B490E">
        <w:rPr>
          <w:rFonts w:ascii="Times New Roman" w:hAnsi="Times New Roman" w:cs="Times New Roman"/>
          <w:sz w:val="24"/>
          <w:szCs w:val="24"/>
        </w:rPr>
        <w:t>,</w:t>
      </w:r>
      <w:r w:rsidR="005B490E" w:rsidRPr="00EF6333">
        <w:rPr>
          <w:rFonts w:ascii="Times New Roman" w:hAnsi="Times New Roman" w:cs="Times New Roman"/>
          <w:sz w:val="24"/>
          <w:szCs w:val="24"/>
        </w:rPr>
        <w:t xml:space="preserve"> ar kurām uzņēmēji</w:t>
      </w:r>
      <w:r w:rsidR="005B490E">
        <w:rPr>
          <w:rFonts w:ascii="Times New Roman" w:hAnsi="Times New Roman" w:cs="Times New Roman"/>
          <w:sz w:val="24"/>
          <w:szCs w:val="24"/>
        </w:rPr>
        <w:t xml:space="preserve"> joprojām</w:t>
      </w:r>
      <w:r w:rsidR="005B490E" w:rsidRPr="00EF6333">
        <w:rPr>
          <w:rFonts w:ascii="Times New Roman" w:hAnsi="Times New Roman" w:cs="Times New Roman"/>
          <w:sz w:val="24"/>
          <w:szCs w:val="24"/>
        </w:rPr>
        <w:t xml:space="preserve"> saskaras</w:t>
      </w:r>
      <w:r w:rsidR="005B490E">
        <w:rPr>
          <w:rFonts w:ascii="Times New Roman" w:hAnsi="Times New Roman" w:cs="Times New Roman"/>
          <w:sz w:val="24"/>
          <w:szCs w:val="24"/>
        </w:rPr>
        <w:t>, ir nodokļu likmes</w:t>
      </w:r>
      <w:r w:rsidR="005B490E" w:rsidRPr="00EF6333">
        <w:rPr>
          <w:rFonts w:ascii="Times New Roman" w:hAnsi="Times New Roman" w:cs="Times New Roman"/>
          <w:sz w:val="24"/>
          <w:szCs w:val="24"/>
        </w:rPr>
        <w:t xml:space="preserve"> </w:t>
      </w:r>
      <w:r w:rsidR="005B490E">
        <w:rPr>
          <w:rFonts w:ascii="Times New Roman" w:hAnsi="Times New Roman" w:cs="Times New Roman"/>
          <w:sz w:val="24"/>
          <w:szCs w:val="24"/>
        </w:rPr>
        <w:t>(</w:t>
      </w:r>
      <w:r w:rsidR="005B490E" w:rsidRPr="00C062B9">
        <w:rPr>
          <w:rFonts w:ascii="Times New Roman" w:hAnsi="Times New Roman" w:cs="Times New Roman"/>
          <w:sz w:val="24"/>
          <w:szCs w:val="24"/>
        </w:rPr>
        <w:t>17,6</w:t>
      </w:r>
      <w:r w:rsidR="00707725">
        <w:rPr>
          <w:rFonts w:ascii="Times New Roman" w:hAnsi="Times New Roman" w:cs="Times New Roman"/>
          <w:sz w:val="24"/>
          <w:szCs w:val="24"/>
        </w:rPr>
        <w:t> </w:t>
      </w:r>
      <w:r w:rsidR="005B490E" w:rsidRPr="00C062B9">
        <w:rPr>
          <w:rFonts w:ascii="Times New Roman" w:hAnsi="Times New Roman" w:cs="Times New Roman"/>
          <w:sz w:val="24"/>
          <w:szCs w:val="24"/>
        </w:rPr>
        <w:t>%</w:t>
      </w:r>
      <w:r w:rsidR="005B490E">
        <w:rPr>
          <w:rFonts w:ascii="Times New Roman" w:hAnsi="Times New Roman" w:cs="Times New Roman"/>
          <w:sz w:val="24"/>
          <w:szCs w:val="24"/>
        </w:rPr>
        <w:t>) un to regulējuma</w:t>
      </w:r>
      <w:r w:rsidR="005B490E" w:rsidRPr="00EF6333">
        <w:rPr>
          <w:rFonts w:ascii="Times New Roman" w:hAnsi="Times New Roman" w:cs="Times New Roman"/>
          <w:sz w:val="24"/>
          <w:szCs w:val="24"/>
        </w:rPr>
        <w:t xml:space="preserve"> politika</w:t>
      </w:r>
      <w:r w:rsidR="005B490E" w:rsidRPr="00E3323C">
        <w:rPr>
          <w:rFonts w:ascii="Times New Roman" w:hAnsi="Times New Roman" w:cs="Times New Roman"/>
          <w:sz w:val="24"/>
          <w:szCs w:val="24"/>
        </w:rPr>
        <w:t xml:space="preserve"> </w:t>
      </w:r>
      <w:r w:rsidR="005B490E">
        <w:rPr>
          <w:rFonts w:ascii="Times New Roman" w:hAnsi="Times New Roman" w:cs="Times New Roman"/>
          <w:sz w:val="24"/>
          <w:szCs w:val="24"/>
        </w:rPr>
        <w:t>(</w:t>
      </w:r>
      <w:r w:rsidR="005B490E" w:rsidRPr="00807244">
        <w:rPr>
          <w:rFonts w:ascii="Times New Roman" w:hAnsi="Times New Roman" w:cs="Times New Roman"/>
          <w:sz w:val="24"/>
          <w:szCs w:val="24"/>
        </w:rPr>
        <w:t>12,9</w:t>
      </w:r>
      <w:r w:rsidR="00707725">
        <w:rPr>
          <w:rFonts w:ascii="Times New Roman" w:hAnsi="Times New Roman" w:cs="Times New Roman"/>
          <w:sz w:val="24"/>
          <w:szCs w:val="24"/>
        </w:rPr>
        <w:t> </w:t>
      </w:r>
      <w:r w:rsidR="005B490E" w:rsidRPr="00807244">
        <w:rPr>
          <w:rFonts w:ascii="Times New Roman" w:hAnsi="Times New Roman" w:cs="Times New Roman"/>
          <w:sz w:val="24"/>
          <w:szCs w:val="24"/>
        </w:rPr>
        <w:t>%</w:t>
      </w:r>
      <w:r w:rsidR="005B490E">
        <w:rPr>
          <w:rFonts w:ascii="Times New Roman" w:hAnsi="Times New Roman" w:cs="Times New Roman"/>
          <w:sz w:val="24"/>
          <w:szCs w:val="24"/>
        </w:rPr>
        <w:t>)</w:t>
      </w:r>
      <w:r w:rsidR="005B490E" w:rsidRPr="00EF6333">
        <w:rPr>
          <w:rFonts w:ascii="Times New Roman" w:hAnsi="Times New Roman" w:cs="Times New Roman"/>
          <w:sz w:val="24"/>
          <w:szCs w:val="24"/>
        </w:rPr>
        <w:t xml:space="preserve">, kā arī </w:t>
      </w:r>
      <w:r w:rsidR="00FB7655" w:rsidRPr="00CB6F90">
        <w:rPr>
          <w:rFonts w:ascii="Times New Roman" w:hAnsi="Times New Roman" w:cs="Times New Roman"/>
          <w:sz w:val="24"/>
          <w:szCs w:val="24"/>
        </w:rPr>
        <w:t xml:space="preserve">neefektīva valdības </w:t>
      </w:r>
      <w:r w:rsidR="005B490E" w:rsidRPr="00CB6F90">
        <w:rPr>
          <w:rFonts w:ascii="Times New Roman" w:hAnsi="Times New Roman" w:cs="Times New Roman"/>
          <w:sz w:val="24"/>
          <w:szCs w:val="24"/>
        </w:rPr>
        <w:t>birokrātija</w:t>
      </w:r>
      <w:r w:rsidR="005B490E" w:rsidRPr="00E3323C">
        <w:rPr>
          <w:rFonts w:ascii="Times New Roman" w:hAnsi="Times New Roman" w:cs="Times New Roman"/>
          <w:sz w:val="24"/>
          <w:szCs w:val="24"/>
        </w:rPr>
        <w:t xml:space="preserve"> </w:t>
      </w:r>
      <w:r w:rsidR="005B490E">
        <w:rPr>
          <w:rFonts w:ascii="Times New Roman" w:hAnsi="Times New Roman" w:cs="Times New Roman"/>
          <w:sz w:val="24"/>
          <w:szCs w:val="24"/>
        </w:rPr>
        <w:t>(</w:t>
      </w:r>
      <w:r w:rsidR="005B490E" w:rsidRPr="00517B4A">
        <w:rPr>
          <w:rFonts w:ascii="Times New Roman" w:hAnsi="Times New Roman" w:cs="Times New Roman"/>
          <w:sz w:val="24"/>
          <w:szCs w:val="24"/>
        </w:rPr>
        <w:t>15,3</w:t>
      </w:r>
      <w:r w:rsidR="00707725">
        <w:rPr>
          <w:rFonts w:ascii="Times New Roman" w:hAnsi="Times New Roman" w:cs="Times New Roman"/>
          <w:sz w:val="24"/>
          <w:szCs w:val="24"/>
        </w:rPr>
        <w:t> </w:t>
      </w:r>
      <w:r w:rsidR="005B490E" w:rsidRPr="00517B4A">
        <w:rPr>
          <w:rFonts w:ascii="Times New Roman" w:hAnsi="Times New Roman" w:cs="Times New Roman"/>
          <w:sz w:val="24"/>
          <w:szCs w:val="24"/>
        </w:rPr>
        <w:t>%</w:t>
      </w:r>
      <w:r w:rsidR="005B490E">
        <w:rPr>
          <w:rFonts w:ascii="Times New Roman" w:hAnsi="Times New Roman" w:cs="Times New Roman"/>
          <w:sz w:val="24"/>
          <w:szCs w:val="24"/>
        </w:rPr>
        <w:t>)</w:t>
      </w:r>
      <w:r w:rsidR="005B490E" w:rsidRPr="00EF6333">
        <w:rPr>
          <w:rFonts w:ascii="Times New Roman" w:hAnsi="Times New Roman" w:cs="Times New Roman"/>
          <w:sz w:val="24"/>
          <w:szCs w:val="24"/>
        </w:rPr>
        <w:t>.</w:t>
      </w:r>
    </w:p>
    <w:p w14:paraId="15172560" w14:textId="52F58ED6" w:rsidR="006D7C0E" w:rsidRDefault="00A92462" w:rsidP="00E97E07">
      <w:pPr>
        <w:jc w:val="both"/>
        <w:rPr>
          <w:rFonts w:ascii="Times New Roman" w:hAnsi="Times New Roman" w:cs="Times New Roman"/>
          <w:sz w:val="24"/>
          <w:szCs w:val="24"/>
        </w:rPr>
      </w:pPr>
      <w:r w:rsidRPr="00A92462">
        <w:rPr>
          <w:rFonts w:ascii="Times New Roman" w:hAnsi="Times New Roman" w:cs="Times New Roman"/>
          <w:sz w:val="24"/>
          <w:szCs w:val="24"/>
        </w:rPr>
        <w:t xml:space="preserve">Latvijas snieguma uzlabošanu starptautiskajos konkurētspējas reitingos lielā mērā noteiks mērķtiecīgs valdības darbs </w:t>
      </w:r>
      <w:r w:rsidR="005C33CE">
        <w:rPr>
          <w:rFonts w:ascii="Times New Roman" w:hAnsi="Times New Roman" w:cs="Times New Roman"/>
          <w:sz w:val="24"/>
          <w:szCs w:val="24"/>
        </w:rPr>
        <w:t>konstatēt</w:t>
      </w:r>
      <w:r w:rsidR="007B08E4">
        <w:rPr>
          <w:rFonts w:ascii="Times New Roman" w:hAnsi="Times New Roman" w:cs="Times New Roman"/>
          <w:sz w:val="24"/>
          <w:szCs w:val="24"/>
        </w:rPr>
        <w:t>o</w:t>
      </w:r>
      <w:r w:rsidRPr="00A92462">
        <w:rPr>
          <w:rFonts w:ascii="Times New Roman" w:hAnsi="Times New Roman" w:cs="Times New Roman"/>
          <w:sz w:val="24"/>
          <w:szCs w:val="24"/>
        </w:rPr>
        <w:t xml:space="preserve"> trūkumu novēršanā, identificējot un piemērojot atbilstošākos politikas instrumentus, kā arī veidojot efektīvāku komunikāciju</w:t>
      </w:r>
      <w:r>
        <w:rPr>
          <w:rFonts w:ascii="Times New Roman" w:hAnsi="Times New Roman" w:cs="Times New Roman"/>
          <w:sz w:val="24"/>
          <w:szCs w:val="24"/>
        </w:rPr>
        <w:t xml:space="preserve"> ar sabiedrību.</w:t>
      </w:r>
    </w:p>
    <w:p w14:paraId="7E2073F9" w14:textId="77777777" w:rsidR="009E361A" w:rsidRDefault="009E361A" w:rsidP="00E97E07">
      <w:pPr>
        <w:jc w:val="both"/>
        <w:rPr>
          <w:rFonts w:ascii="Times New Roman" w:hAnsi="Times New Roman" w:cs="Times New Roman"/>
          <w:sz w:val="24"/>
          <w:szCs w:val="24"/>
        </w:rPr>
      </w:pPr>
    </w:p>
    <w:p w14:paraId="3401955D" w14:textId="762583E5" w:rsidR="001C1DFE" w:rsidRPr="0010495F" w:rsidRDefault="00E057ED" w:rsidP="00B02009">
      <w:pPr>
        <w:pStyle w:val="Heading2"/>
        <w:rPr>
          <w:u w:val="single"/>
        </w:rPr>
      </w:pPr>
      <w:bookmarkStart w:id="10" w:name="_Toc465349529"/>
      <w:bookmarkStart w:id="11" w:name="_Toc465089707"/>
      <w:r>
        <w:t> </w:t>
      </w:r>
      <w:bookmarkStart w:id="12" w:name="_Toc466466854"/>
      <w:r w:rsidR="001C1DFE" w:rsidRPr="0010495F">
        <w:t>Uzņēmējdarbība</w:t>
      </w:r>
      <w:r w:rsidR="00E97E07">
        <w:t>s vide</w:t>
      </w:r>
      <w:r w:rsidR="006A4965">
        <w:t xml:space="preserve"> un investīcijas</w:t>
      </w:r>
      <w:bookmarkEnd w:id="10"/>
      <w:bookmarkEnd w:id="11"/>
      <w:bookmarkEnd w:id="12"/>
    </w:p>
    <w:p w14:paraId="3BCBE12F" w14:textId="77777777" w:rsidR="00441F33" w:rsidRPr="00441F33" w:rsidRDefault="00441F33" w:rsidP="00441F33">
      <w:pPr>
        <w:jc w:val="both"/>
        <w:rPr>
          <w:rFonts w:ascii="Times New Roman" w:hAnsi="Times New Roman" w:cs="Times New Roman"/>
          <w:sz w:val="24"/>
          <w:szCs w:val="24"/>
        </w:rPr>
      </w:pPr>
      <w:r w:rsidRPr="00441F33">
        <w:rPr>
          <w:rFonts w:ascii="Times New Roman" w:hAnsi="Times New Roman" w:cs="Times New Roman"/>
          <w:sz w:val="24"/>
          <w:szCs w:val="24"/>
        </w:rPr>
        <w:t>Konkurētspējīga uzņēmējdarbības vide ir stūrakmens investīciju piesaistei un pārejai uz produktīvāku ekonomiku ar augstas pievienotās vērtības radīšanu.</w:t>
      </w:r>
    </w:p>
    <w:p w14:paraId="178A9E18" w14:textId="5F404815" w:rsidR="00441F33" w:rsidRPr="00441F33" w:rsidRDefault="00441F33" w:rsidP="00441F33">
      <w:pPr>
        <w:jc w:val="both"/>
        <w:rPr>
          <w:rFonts w:ascii="Times New Roman" w:hAnsi="Times New Roman" w:cs="Times New Roman"/>
          <w:sz w:val="24"/>
          <w:szCs w:val="24"/>
        </w:rPr>
      </w:pPr>
      <w:r w:rsidRPr="00441F33">
        <w:rPr>
          <w:rFonts w:ascii="Times New Roman" w:hAnsi="Times New Roman" w:cs="Times New Roman"/>
          <w:sz w:val="24"/>
          <w:szCs w:val="24"/>
        </w:rPr>
        <w:t>2016.</w:t>
      </w:r>
      <w:r w:rsidR="00253369">
        <w:rPr>
          <w:rFonts w:ascii="Times New Roman" w:hAnsi="Times New Roman" w:cs="Times New Roman"/>
          <w:sz w:val="24"/>
          <w:szCs w:val="24"/>
        </w:rPr>
        <w:t> </w:t>
      </w:r>
      <w:r w:rsidRPr="00441F33">
        <w:rPr>
          <w:rFonts w:ascii="Times New Roman" w:hAnsi="Times New Roman" w:cs="Times New Roman"/>
          <w:sz w:val="24"/>
          <w:szCs w:val="24"/>
        </w:rPr>
        <w:t>gadā notika aktīvs darbs pie uzņēmējdarbības vides pilnveidošanas. Valdība kopīgi ar LDDK, LTRK un FICIL ir vienojusies par konkrētu rīcību jomā</w:t>
      </w:r>
      <w:r w:rsidR="00FD1974">
        <w:rPr>
          <w:rFonts w:ascii="Times New Roman" w:hAnsi="Times New Roman" w:cs="Times New Roman"/>
          <w:sz w:val="24"/>
          <w:szCs w:val="24"/>
        </w:rPr>
        <w:t>s</w:t>
      </w:r>
      <w:r w:rsidRPr="00441F33">
        <w:rPr>
          <w:rFonts w:ascii="Times New Roman" w:hAnsi="Times New Roman" w:cs="Times New Roman"/>
          <w:sz w:val="24"/>
          <w:szCs w:val="24"/>
        </w:rPr>
        <w:t xml:space="preserve">, kurās ir nepieciešami uzlabojumi, veidojot Latvijas uzņēmējiem un ārvalstu investoriem pievilcīgu un starptautiski konkurētspējīgu uzņēmējdarbības vidi. </w:t>
      </w:r>
      <w:r w:rsidR="0093015E">
        <w:rPr>
          <w:rFonts w:ascii="Times New Roman" w:hAnsi="Times New Roman" w:cs="Times New Roman"/>
          <w:sz w:val="24"/>
          <w:szCs w:val="24"/>
        </w:rPr>
        <w:t>EM ir</w:t>
      </w:r>
      <w:r w:rsidR="0093015E" w:rsidRPr="00441F33">
        <w:rPr>
          <w:rFonts w:ascii="Times New Roman" w:hAnsi="Times New Roman" w:cs="Times New Roman"/>
          <w:sz w:val="24"/>
          <w:szCs w:val="24"/>
        </w:rPr>
        <w:t xml:space="preserve"> sagatavo</w:t>
      </w:r>
      <w:r w:rsidR="0093015E">
        <w:rPr>
          <w:rFonts w:ascii="Times New Roman" w:hAnsi="Times New Roman" w:cs="Times New Roman"/>
          <w:sz w:val="24"/>
          <w:szCs w:val="24"/>
        </w:rPr>
        <w:t>jusi</w:t>
      </w:r>
      <w:r w:rsidR="0093015E" w:rsidRPr="00441F33">
        <w:rPr>
          <w:rFonts w:ascii="Times New Roman" w:hAnsi="Times New Roman" w:cs="Times New Roman"/>
          <w:sz w:val="24"/>
          <w:szCs w:val="24"/>
        </w:rPr>
        <w:t xml:space="preserve"> </w:t>
      </w:r>
      <w:r w:rsidRPr="00441F33">
        <w:rPr>
          <w:rFonts w:ascii="Times New Roman" w:hAnsi="Times New Roman" w:cs="Times New Roman"/>
          <w:sz w:val="24"/>
          <w:szCs w:val="24"/>
        </w:rPr>
        <w:t xml:space="preserve">Uzņēmējdarbības vides pilnveidošanas pasākumu plāna </w:t>
      </w:r>
      <w:r w:rsidR="0093015E" w:rsidRPr="00441F33">
        <w:rPr>
          <w:rFonts w:ascii="Times New Roman" w:hAnsi="Times New Roman" w:cs="Times New Roman"/>
          <w:sz w:val="24"/>
          <w:szCs w:val="24"/>
        </w:rPr>
        <w:t>projekt</w:t>
      </w:r>
      <w:r w:rsidR="0093015E">
        <w:rPr>
          <w:rFonts w:ascii="Times New Roman" w:hAnsi="Times New Roman" w:cs="Times New Roman"/>
          <w:sz w:val="24"/>
          <w:szCs w:val="24"/>
        </w:rPr>
        <w:t>u</w:t>
      </w:r>
      <w:r w:rsidR="00253369">
        <w:rPr>
          <w:rFonts w:ascii="Times New Roman" w:hAnsi="Times New Roman" w:cs="Times New Roman"/>
          <w:sz w:val="24"/>
          <w:szCs w:val="24"/>
        </w:rPr>
        <w:t xml:space="preserve"> </w:t>
      </w:r>
      <w:r w:rsidR="005B490E">
        <w:rPr>
          <w:rFonts w:ascii="Times New Roman" w:hAnsi="Times New Roman" w:cs="Times New Roman"/>
          <w:sz w:val="24"/>
          <w:szCs w:val="24"/>
        </w:rPr>
        <w:t>līdz 2021.</w:t>
      </w:r>
      <w:r w:rsidR="00707725">
        <w:rPr>
          <w:rFonts w:ascii="Times New Roman" w:hAnsi="Times New Roman" w:cs="Times New Roman"/>
          <w:sz w:val="24"/>
          <w:szCs w:val="24"/>
        </w:rPr>
        <w:t> </w:t>
      </w:r>
      <w:r w:rsidRPr="00441F33">
        <w:rPr>
          <w:rFonts w:ascii="Times New Roman" w:hAnsi="Times New Roman" w:cs="Times New Roman"/>
          <w:sz w:val="24"/>
          <w:szCs w:val="24"/>
        </w:rPr>
        <w:t xml:space="preserve">gadam, kurā ietverti uzdevumi straujākai e-risinājumu ieviešanai, vienkāršu un kvalitatīvu publisko pakalpojumu nodrošināšanai, biznesa videi draudzīgu infrastruktūras </w:t>
      </w:r>
      <w:r w:rsidRPr="00441F33">
        <w:rPr>
          <w:rFonts w:ascii="Times New Roman" w:hAnsi="Times New Roman" w:cs="Times New Roman"/>
          <w:sz w:val="24"/>
          <w:szCs w:val="24"/>
        </w:rPr>
        <w:lastRenderedPageBreak/>
        <w:t xml:space="preserve">attīstības pakalpojumu ieviešanai, </w:t>
      </w:r>
      <w:r w:rsidR="002360C8" w:rsidRPr="00441F33">
        <w:rPr>
          <w:rFonts w:ascii="Times New Roman" w:hAnsi="Times New Roman" w:cs="Times New Roman"/>
          <w:sz w:val="24"/>
          <w:szCs w:val="24"/>
        </w:rPr>
        <w:t>administratīv</w:t>
      </w:r>
      <w:r w:rsidR="002360C8">
        <w:rPr>
          <w:rFonts w:ascii="Times New Roman" w:hAnsi="Times New Roman" w:cs="Times New Roman"/>
          <w:sz w:val="24"/>
          <w:szCs w:val="24"/>
        </w:rPr>
        <w:t>o</w:t>
      </w:r>
      <w:r w:rsidR="002360C8" w:rsidRPr="00441F33">
        <w:rPr>
          <w:rFonts w:ascii="Times New Roman" w:hAnsi="Times New Roman" w:cs="Times New Roman"/>
          <w:sz w:val="24"/>
          <w:szCs w:val="24"/>
        </w:rPr>
        <w:t xml:space="preserve"> </w:t>
      </w:r>
      <w:r w:rsidRPr="00441F33">
        <w:rPr>
          <w:rFonts w:ascii="Times New Roman" w:hAnsi="Times New Roman" w:cs="Times New Roman"/>
          <w:sz w:val="24"/>
          <w:szCs w:val="24"/>
        </w:rPr>
        <w:t>prasību vienkāršošanai un birokrātiskā sloga mazināšanai, īpaši nodokļu un grāmatvedības jomā, kā arī tiesiskās paļāvības stiprināšanai investoru aizsardzības un maksātnespējas j</w:t>
      </w:r>
      <w:r w:rsidR="00D52F39">
        <w:rPr>
          <w:rFonts w:ascii="Times New Roman" w:hAnsi="Times New Roman" w:cs="Times New Roman"/>
          <w:sz w:val="24"/>
          <w:szCs w:val="24"/>
        </w:rPr>
        <w:t>omā</w:t>
      </w:r>
      <w:r w:rsidRPr="00441F33">
        <w:rPr>
          <w:rFonts w:ascii="Times New Roman" w:hAnsi="Times New Roman" w:cs="Times New Roman"/>
          <w:sz w:val="24"/>
          <w:szCs w:val="24"/>
        </w:rPr>
        <w:t xml:space="preserve">. </w:t>
      </w:r>
    </w:p>
    <w:p w14:paraId="3BDFC647" w14:textId="497C94D4" w:rsidR="00441F33" w:rsidRPr="00441F33" w:rsidRDefault="00441F33" w:rsidP="00441F33">
      <w:pPr>
        <w:jc w:val="both"/>
        <w:rPr>
          <w:rFonts w:ascii="Times New Roman" w:hAnsi="Times New Roman" w:cs="Times New Roman"/>
          <w:sz w:val="24"/>
          <w:szCs w:val="24"/>
        </w:rPr>
      </w:pPr>
      <w:r w:rsidRPr="00441F33">
        <w:rPr>
          <w:rFonts w:ascii="Times New Roman" w:hAnsi="Times New Roman" w:cs="Times New Roman"/>
          <w:sz w:val="24"/>
          <w:szCs w:val="24"/>
        </w:rPr>
        <w:t>Ņemot vērā globālo investīciju plūsmu mazināšanos, Latvijai ir īpaši svarīgi veidot labvēlīgu investīciju vidi, t.</w:t>
      </w:r>
      <w:r w:rsidR="00707725">
        <w:rPr>
          <w:rFonts w:ascii="Times New Roman" w:hAnsi="Times New Roman" w:cs="Times New Roman"/>
          <w:sz w:val="24"/>
          <w:szCs w:val="24"/>
        </w:rPr>
        <w:t> </w:t>
      </w:r>
      <w:r w:rsidRPr="00441F33">
        <w:rPr>
          <w:rFonts w:ascii="Times New Roman" w:hAnsi="Times New Roman" w:cs="Times New Roman"/>
          <w:sz w:val="24"/>
          <w:szCs w:val="24"/>
        </w:rPr>
        <w:t>sk. vietējo investīciju stimulēšanai. Lai aktivizētu un labāk koordinētu publiskās pārvaldes sadarbību investīciju piesaistē, notiek darbs pie stratēģiski nozīmīgu investīciju projektu identificēšanas un virzīšanas kārtības izstrādes</w:t>
      </w:r>
      <w:r w:rsidR="00253369">
        <w:rPr>
          <w:rFonts w:ascii="Times New Roman" w:hAnsi="Times New Roman" w:cs="Times New Roman"/>
          <w:sz w:val="24"/>
          <w:szCs w:val="24"/>
        </w:rPr>
        <w:t>, kuru plānots apstiprināt š.</w:t>
      </w:r>
      <w:r w:rsidR="00C76A83">
        <w:rPr>
          <w:rFonts w:ascii="Times New Roman" w:hAnsi="Times New Roman" w:cs="Times New Roman"/>
          <w:sz w:val="24"/>
          <w:szCs w:val="24"/>
        </w:rPr>
        <w:t> </w:t>
      </w:r>
      <w:r w:rsidR="00253369">
        <w:rPr>
          <w:rFonts w:ascii="Times New Roman" w:hAnsi="Times New Roman" w:cs="Times New Roman"/>
          <w:sz w:val="24"/>
          <w:szCs w:val="24"/>
        </w:rPr>
        <w:t>g. </w:t>
      </w:r>
      <w:r w:rsidRPr="00441F33">
        <w:rPr>
          <w:rFonts w:ascii="Times New Roman" w:hAnsi="Times New Roman" w:cs="Times New Roman"/>
          <w:sz w:val="24"/>
          <w:szCs w:val="24"/>
        </w:rPr>
        <w:t xml:space="preserve">novembrī. Lai nodrošinātu vienotu piedāvājumu potenciālajiem investoriem, ir uzsākta konkurētspējīgu investīciju projektu portfeļa izveide. Šobrīd identificēti </w:t>
      </w:r>
      <w:r w:rsidR="00253369">
        <w:rPr>
          <w:rFonts w:ascii="Times New Roman" w:hAnsi="Times New Roman" w:cs="Times New Roman"/>
          <w:sz w:val="24"/>
          <w:szCs w:val="24"/>
        </w:rPr>
        <w:t>deviņi</w:t>
      </w:r>
      <w:r w:rsidRPr="00441F33">
        <w:rPr>
          <w:rFonts w:ascii="Times New Roman" w:hAnsi="Times New Roman" w:cs="Times New Roman"/>
          <w:sz w:val="24"/>
          <w:szCs w:val="24"/>
        </w:rPr>
        <w:t xml:space="preserve"> stratēģiski </w:t>
      </w:r>
      <w:r w:rsidR="00C76A83">
        <w:rPr>
          <w:rFonts w:ascii="Times New Roman" w:hAnsi="Times New Roman" w:cs="Times New Roman"/>
          <w:sz w:val="24"/>
          <w:szCs w:val="24"/>
        </w:rPr>
        <w:t xml:space="preserve">svarīgi </w:t>
      </w:r>
      <w:r w:rsidRPr="00441F33">
        <w:rPr>
          <w:rFonts w:ascii="Times New Roman" w:hAnsi="Times New Roman" w:cs="Times New Roman"/>
          <w:sz w:val="24"/>
          <w:szCs w:val="24"/>
        </w:rPr>
        <w:t>investīciju projekti transporta un loģistikas, informācijas un komunikācij</w:t>
      </w:r>
      <w:r w:rsidR="00D52F39">
        <w:rPr>
          <w:rFonts w:ascii="Times New Roman" w:hAnsi="Times New Roman" w:cs="Times New Roman"/>
          <w:sz w:val="24"/>
          <w:szCs w:val="24"/>
        </w:rPr>
        <w:t>as</w:t>
      </w:r>
      <w:r w:rsidRPr="00441F33">
        <w:rPr>
          <w:rFonts w:ascii="Times New Roman" w:hAnsi="Times New Roman" w:cs="Times New Roman"/>
          <w:sz w:val="24"/>
          <w:szCs w:val="24"/>
        </w:rPr>
        <w:t xml:space="preserve"> tehnoloģiju (t.</w:t>
      </w:r>
      <w:r w:rsidR="00C76A83">
        <w:rPr>
          <w:rFonts w:ascii="Times New Roman" w:hAnsi="Times New Roman" w:cs="Times New Roman"/>
          <w:sz w:val="24"/>
          <w:szCs w:val="24"/>
        </w:rPr>
        <w:t> </w:t>
      </w:r>
      <w:r w:rsidRPr="00441F33">
        <w:rPr>
          <w:rFonts w:ascii="Times New Roman" w:hAnsi="Times New Roman" w:cs="Times New Roman"/>
          <w:sz w:val="24"/>
          <w:szCs w:val="24"/>
        </w:rPr>
        <w:t xml:space="preserve">sk. datu centru), kokrūpniecības, naftas produktu pārstrādes, kā arī finanšu pakalpojumu jomā. Tāpat, lai veicinātu investīciju piesaisti un stimulēšanu, </w:t>
      </w:r>
      <w:r w:rsidR="004D2F5C">
        <w:rPr>
          <w:rFonts w:ascii="Times New Roman" w:hAnsi="Times New Roman" w:cs="Times New Roman"/>
          <w:sz w:val="24"/>
          <w:szCs w:val="24"/>
        </w:rPr>
        <w:t>EM</w:t>
      </w:r>
      <w:r w:rsidR="004D2F5C" w:rsidRPr="00441F33">
        <w:rPr>
          <w:rFonts w:ascii="Times New Roman" w:hAnsi="Times New Roman" w:cs="Times New Roman"/>
          <w:sz w:val="24"/>
          <w:szCs w:val="24"/>
        </w:rPr>
        <w:t xml:space="preserve"> </w:t>
      </w:r>
      <w:r w:rsidRPr="00441F33">
        <w:rPr>
          <w:rFonts w:ascii="Times New Roman" w:hAnsi="Times New Roman" w:cs="Times New Roman"/>
          <w:sz w:val="24"/>
          <w:szCs w:val="24"/>
        </w:rPr>
        <w:t xml:space="preserve">izstrādā </w:t>
      </w:r>
      <w:r w:rsidR="004D2F5C" w:rsidRPr="00441F33">
        <w:rPr>
          <w:rFonts w:ascii="Times New Roman" w:hAnsi="Times New Roman" w:cs="Times New Roman"/>
          <w:sz w:val="24"/>
          <w:szCs w:val="24"/>
        </w:rPr>
        <w:t>stratēģij</w:t>
      </w:r>
      <w:r w:rsidR="004D2F5C">
        <w:rPr>
          <w:rFonts w:ascii="Times New Roman" w:hAnsi="Times New Roman" w:cs="Times New Roman"/>
          <w:sz w:val="24"/>
          <w:szCs w:val="24"/>
        </w:rPr>
        <w:t>u</w:t>
      </w:r>
      <w:r w:rsidRPr="00441F33">
        <w:rPr>
          <w:rFonts w:ascii="Times New Roman" w:hAnsi="Times New Roman" w:cs="Times New Roman"/>
          <w:sz w:val="24"/>
          <w:szCs w:val="24"/>
        </w:rPr>
        <w:t xml:space="preserve"> jaunu investīciju projektu ģenerēšanai un identificēšanai Tehnoloģiju pārneses programmas ietvaros, kā rezultātā 2017.</w:t>
      </w:r>
      <w:r w:rsidR="00253369">
        <w:rPr>
          <w:rFonts w:ascii="Times New Roman" w:hAnsi="Times New Roman" w:cs="Times New Roman"/>
          <w:sz w:val="24"/>
          <w:szCs w:val="24"/>
        </w:rPr>
        <w:t> </w:t>
      </w:r>
      <w:r w:rsidRPr="00441F33">
        <w:rPr>
          <w:rFonts w:ascii="Times New Roman" w:hAnsi="Times New Roman" w:cs="Times New Roman"/>
          <w:sz w:val="24"/>
          <w:szCs w:val="24"/>
        </w:rPr>
        <w:t xml:space="preserve">gadā plānots </w:t>
      </w:r>
      <w:r w:rsidR="004D2F5C">
        <w:rPr>
          <w:rFonts w:ascii="Times New Roman" w:hAnsi="Times New Roman" w:cs="Times New Roman"/>
          <w:sz w:val="24"/>
          <w:szCs w:val="24"/>
        </w:rPr>
        <w:t>sagatavot</w:t>
      </w:r>
      <w:r w:rsidR="004D2F5C" w:rsidRPr="00441F33">
        <w:rPr>
          <w:rFonts w:ascii="Times New Roman" w:hAnsi="Times New Roman" w:cs="Times New Roman"/>
          <w:sz w:val="24"/>
          <w:szCs w:val="24"/>
        </w:rPr>
        <w:t xml:space="preserve"> </w:t>
      </w:r>
      <w:r w:rsidRPr="00441F33">
        <w:rPr>
          <w:rFonts w:ascii="Times New Roman" w:hAnsi="Times New Roman" w:cs="Times New Roman"/>
          <w:sz w:val="24"/>
          <w:szCs w:val="24"/>
        </w:rPr>
        <w:t xml:space="preserve">stratēģiskos projektus </w:t>
      </w:r>
      <w:r w:rsidR="00253369">
        <w:rPr>
          <w:rFonts w:ascii="Times New Roman" w:hAnsi="Times New Roman" w:cs="Times New Roman"/>
          <w:sz w:val="24"/>
          <w:szCs w:val="24"/>
        </w:rPr>
        <w:t>sešās līdz septiņās nozīmīgākajās tautsaimniecības nozarēs</w:t>
      </w:r>
      <w:r w:rsidRPr="00441F33">
        <w:rPr>
          <w:rFonts w:ascii="Times New Roman" w:hAnsi="Times New Roman" w:cs="Times New Roman"/>
          <w:sz w:val="24"/>
          <w:szCs w:val="24"/>
        </w:rPr>
        <w:t>. Mērķtiecīga investīciju piesaiste un kompleksa piedāvājuma sagatavošana potenciālajiem investoriem ir izaicinājums arī pašvaldību prasmei nodrošināt attīstību un straujāku izaugsmi savā teritorijā. Līdz 2017.</w:t>
      </w:r>
      <w:r w:rsidR="00253369">
        <w:rPr>
          <w:rFonts w:ascii="Times New Roman" w:hAnsi="Times New Roman" w:cs="Times New Roman"/>
          <w:sz w:val="24"/>
          <w:szCs w:val="24"/>
        </w:rPr>
        <w:t> </w:t>
      </w:r>
      <w:r w:rsidRPr="00441F33">
        <w:rPr>
          <w:rFonts w:ascii="Times New Roman" w:hAnsi="Times New Roman" w:cs="Times New Roman"/>
          <w:sz w:val="24"/>
          <w:szCs w:val="24"/>
        </w:rPr>
        <w:t>gada vidum paredzēts pabeigt darbu pie mehānisma izstrādes, kas ļaus palielināt pašvaldību lomu investīciju piesaistes procesā.</w:t>
      </w:r>
      <w:r w:rsidR="001C042E">
        <w:rPr>
          <w:rFonts w:ascii="Times New Roman" w:hAnsi="Times New Roman" w:cs="Times New Roman"/>
          <w:sz w:val="24"/>
          <w:szCs w:val="24"/>
        </w:rPr>
        <w:t xml:space="preserve"> </w:t>
      </w:r>
      <w:r w:rsidR="00265D3D">
        <w:rPr>
          <w:rFonts w:ascii="Times New Roman" w:hAnsi="Times New Roman" w:cs="Times New Roman"/>
          <w:sz w:val="24"/>
          <w:szCs w:val="24"/>
        </w:rPr>
        <w:t>Šie un citi jautājumi investīciju piesaistes jomā, kur veicamas stratēģiskās izvēles, 2017.</w:t>
      </w:r>
      <w:r w:rsidR="00C76A83">
        <w:rPr>
          <w:rFonts w:ascii="Times New Roman" w:hAnsi="Times New Roman" w:cs="Times New Roman"/>
          <w:sz w:val="24"/>
          <w:szCs w:val="24"/>
        </w:rPr>
        <w:t> </w:t>
      </w:r>
      <w:r w:rsidR="00265D3D">
        <w:rPr>
          <w:rFonts w:ascii="Times New Roman" w:hAnsi="Times New Roman" w:cs="Times New Roman"/>
          <w:sz w:val="24"/>
          <w:szCs w:val="24"/>
        </w:rPr>
        <w:t xml:space="preserve">gadā </w:t>
      </w:r>
      <w:r w:rsidR="001C042E">
        <w:rPr>
          <w:rFonts w:ascii="Times New Roman" w:hAnsi="Times New Roman" w:cs="Times New Roman"/>
          <w:sz w:val="24"/>
          <w:szCs w:val="24"/>
        </w:rPr>
        <w:t xml:space="preserve">tiks izskatīti Ministru prezidenta vadītajā Lielo un </w:t>
      </w:r>
      <w:r w:rsidR="001C042E" w:rsidRPr="00265D3D">
        <w:rPr>
          <w:rFonts w:ascii="Times New Roman" w:hAnsi="Times New Roman" w:cs="Times New Roman"/>
          <w:sz w:val="24"/>
          <w:szCs w:val="24"/>
        </w:rPr>
        <w:t>stratēģiski nozīmīgo investīciju projektu koordinācijas padom</w:t>
      </w:r>
      <w:r w:rsidR="001C042E">
        <w:rPr>
          <w:rFonts w:ascii="Times New Roman" w:hAnsi="Times New Roman" w:cs="Times New Roman"/>
          <w:sz w:val="24"/>
          <w:szCs w:val="24"/>
        </w:rPr>
        <w:t>ē.</w:t>
      </w:r>
    </w:p>
    <w:p w14:paraId="7E7055DC" w14:textId="110F8921" w:rsidR="005F51CD" w:rsidRPr="00441F33" w:rsidRDefault="00441F33" w:rsidP="00441F33">
      <w:pPr>
        <w:jc w:val="both"/>
        <w:rPr>
          <w:rFonts w:ascii="Times New Roman" w:hAnsi="Times New Roman" w:cs="Times New Roman"/>
          <w:sz w:val="24"/>
          <w:szCs w:val="24"/>
        </w:rPr>
      </w:pPr>
      <w:r w:rsidRPr="00441F33">
        <w:rPr>
          <w:rFonts w:ascii="Times New Roman" w:hAnsi="Times New Roman" w:cs="Times New Roman"/>
          <w:sz w:val="24"/>
          <w:szCs w:val="24"/>
        </w:rPr>
        <w:t>Lai uzlabotu uzņēmējdarbības un tiesisko vidi būvniecības jomā, kā rezultātā tiktu sasniegts būvniecības apjoma pieaugums un būtisks ēnu ekonomikas īpatsvara samazinājums nozarē, š.</w:t>
      </w:r>
      <w:r w:rsidR="00C76A83">
        <w:rPr>
          <w:rFonts w:ascii="Times New Roman" w:hAnsi="Times New Roman" w:cs="Times New Roman"/>
          <w:sz w:val="24"/>
          <w:szCs w:val="24"/>
        </w:rPr>
        <w:t> </w:t>
      </w:r>
      <w:r w:rsidRPr="00441F33">
        <w:rPr>
          <w:rFonts w:ascii="Times New Roman" w:hAnsi="Times New Roman" w:cs="Times New Roman"/>
          <w:sz w:val="24"/>
          <w:szCs w:val="24"/>
        </w:rPr>
        <w:t>g. 31.</w:t>
      </w:r>
      <w:r w:rsidR="00253369">
        <w:rPr>
          <w:rFonts w:ascii="Times New Roman" w:hAnsi="Times New Roman" w:cs="Times New Roman"/>
          <w:sz w:val="24"/>
          <w:szCs w:val="24"/>
        </w:rPr>
        <w:t> </w:t>
      </w:r>
      <w:r w:rsidRPr="00441F33">
        <w:rPr>
          <w:rFonts w:ascii="Times New Roman" w:hAnsi="Times New Roman" w:cs="Times New Roman"/>
          <w:sz w:val="24"/>
          <w:szCs w:val="24"/>
        </w:rPr>
        <w:t xml:space="preserve">maijā tika parakstīts valdības un būvniecības nozares nevalstisko organizāciju sadarbības memorands, apņemoties kopīgi īstenot virkni konkrētu, uz izmērāmu rezultātu vērstu pasākumu investīciju vides uzlabošanai, ēnu ekonomikas ierobežošanai un nozares konkurētspējas paaugstināšanai. </w:t>
      </w:r>
      <w:r w:rsidR="000066AE">
        <w:rPr>
          <w:rFonts w:ascii="Times New Roman" w:hAnsi="Times New Roman" w:cs="Times New Roman"/>
          <w:sz w:val="24"/>
          <w:szCs w:val="24"/>
        </w:rPr>
        <w:t>S</w:t>
      </w:r>
      <w:r w:rsidRPr="00441F33">
        <w:rPr>
          <w:rFonts w:ascii="Times New Roman" w:hAnsi="Times New Roman" w:cs="Times New Roman"/>
          <w:sz w:val="24"/>
          <w:szCs w:val="24"/>
        </w:rPr>
        <w:t xml:space="preserve">adarbībā ar nevalstiskajām organizācijām </w:t>
      </w:r>
      <w:r w:rsidR="00380BED">
        <w:rPr>
          <w:rFonts w:ascii="Times New Roman" w:hAnsi="Times New Roman" w:cs="Times New Roman"/>
          <w:sz w:val="24"/>
          <w:szCs w:val="24"/>
        </w:rPr>
        <w:t xml:space="preserve">EM </w:t>
      </w:r>
      <w:r w:rsidR="00380BED" w:rsidRPr="001E420B">
        <w:rPr>
          <w:rFonts w:ascii="Times New Roman" w:hAnsi="Times New Roman" w:cs="Times New Roman"/>
          <w:sz w:val="24"/>
          <w:szCs w:val="24"/>
        </w:rPr>
        <w:t>izstrādā</w:t>
      </w:r>
      <w:r w:rsidRPr="00441F33">
        <w:rPr>
          <w:rFonts w:ascii="Times New Roman" w:hAnsi="Times New Roman" w:cs="Times New Roman"/>
          <w:sz w:val="24"/>
          <w:szCs w:val="24"/>
        </w:rPr>
        <w:t xml:space="preserve"> Būvniecības politikas </w:t>
      </w:r>
      <w:r w:rsidR="00253369">
        <w:rPr>
          <w:rFonts w:ascii="Times New Roman" w:hAnsi="Times New Roman" w:cs="Times New Roman"/>
          <w:sz w:val="24"/>
          <w:szCs w:val="24"/>
        </w:rPr>
        <w:t>plānošanas dokumentu 2017.–</w:t>
      </w:r>
      <w:r w:rsidR="007F5BEC">
        <w:rPr>
          <w:rFonts w:ascii="Times New Roman" w:hAnsi="Times New Roman" w:cs="Times New Roman"/>
          <w:sz w:val="24"/>
          <w:szCs w:val="24"/>
        </w:rPr>
        <w:t>2023.</w:t>
      </w:r>
      <w:r w:rsidR="00253369">
        <w:rPr>
          <w:rFonts w:ascii="Times New Roman" w:hAnsi="Times New Roman" w:cs="Times New Roman"/>
          <w:sz w:val="24"/>
          <w:szCs w:val="24"/>
        </w:rPr>
        <w:t> </w:t>
      </w:r>
      <w:r w:rsidR="007F5BEC">
        <w:rPr>
          <w:rFonts w:ascii="Times New Roman" w:hAnsi="Times New Roman" w:cs="Times New Roman"/>
          <w:sz w:val="24"/>
          <w:szCs w:val="24"/>
        </w:rPr>
        <w:t>gadam</w:t>
      </w:r>
      <w:r w:rsidRPr="00441F33">
        <w:rPr>
          <w:rFonts w:ascii="Times New Roman" w:hAnsi="Times New Roman" w:cs="Times New Roman"/>
          <w:sz w:val="24"/>
          <w:szCs w:val="24"/>
        </w:rPr>
        <w:t xml:space="preserve">, tai skaitā </w:t>
      </w:r>
      <w:r w:rsidR="00380BED" w:rsidRPr="00441F33">
        <w:rPr>
          <w:rFonts w:ascii="Times New Roman" w:hAnsi="Times New Roman" w:cs="Times New Roman"/>
          <w:sz w:val="24"/>
          <w:szCs w:val="24"/>
        </w:rPr>
        <w:t>pārskat</w:t>
      </w:r>
      <w:r w:rsidR="00380BED">
        <w:rPr>
          <w:rFonts w:ascii="Times New Roman" w:hAnsi="Times New Roman" w:cs="Times New Roman"/>
          <w:sz w:val="24"/>
          <w:szCs w:val="24"/>
        </w:rPr>
        <w:t>o</w:t>
      </w:r>
      <w:r w:rsidR="00380BED" w:rsidRPr="00441F33">
        <w:rPr>
          <w:rFonts w:ascii="Times New Roman" w:hAnsi="Times New Roman" w:cs="Times New Roman"/>
          <w:sz w:val="24"/>
          <w:szCs w:val="24"/>
        </w:rPr>
        <w:t xml:space="preserve">t </w:t>
      </w:r>
      <w:r w:rsidRPr="00441F33">
        <w:rPr>
          <w:rFonts w:ascii="Times New Roman" w:hAnsi="Times New Roman" w:cs="Times New Roman"/>
          <w:sz w:val="24"/>
          <w:szCs w:val="24"/>
        </w:rPr>
        <w:t xml:space="preserve">būvniecības procesa dalībnieku pienākumus būvniecības procesā, ieviešot būvniecības </w:t>
      </w:r>
      <w:r w:rsidR="001E420B">
        <w:rPr>
          <w:rFonts w:ascii="Times New Roman" w:hAnsi="Times New Roman" w:cs="Times New Roman"/>
          <w:sz w:val="24"/>
          <w:szCs w:val="24"/>
        </w:rPr>
        <w:t>tipveida</w:t>
      </w:r>
      <w:r w:rsidR="001E420B" w:rsidRPr="00441F33">
        <w:rPr>
          <w:rFonts w:ascii="Times New Roman" w:hAnsi="Times New Roman" w:cs="Times New Roman"/>
          <w:sz w:val="24"/>
          <w:szCs w:val="24"/>
        </w:rPr>
        <w:t xml:space="preserve"> </w:t>
      </w:r>
      <w:r w:rsidRPr="00441F33">
        <w:rPr>
          <w:rFonts w:ascii="Times New Roman" w:hAnsi="Times New Roman" w:cs="Times New Roman"/>
          <w:sz w:val="24"/>
          <w:szCs w:val="24"/>
        </w:rPr>
        <w:t>līgumus valsts un pašvaldību pasūtījumos</w:t>
      </w:r>
      <w:r w:rsidR="001E420B">
        <w:rPr>
          <w:rFonts w:ascii="Times New Roman" w:hAnsi="Times New Roman" w:cs="Times New Roman"/>
          <w:sz w:val="24"/>
          <w:szCs w:val="24"/>
        </w:rPr>
        <w:t xml:space="preserve">, ieviešot būvniecībā nodarbināto personu elektronisku reģistrēšanu, kā arī pārskatot un atbilstoši Eiropas kvalitātes normām </w:t>
      </w:r>
      <w:r w:rsidR="00D52F39">
        <w:rPr>
          <w:rFonts w:ascii="Times New Roman" w:hAnsi="Times New Roman" w:cs="Times New Roman"/>
          <w:sz w:val="24"/>
          <w:szCs w:val="24"/>
        </w:rPr>
        <w:t xml:space="preserve">standartizējot </w:t>
      </w:r>
      <w:r w:rsidR="001E420B">
        <w:rPr>
          <w:rFonts w:ascii="Times New Roman" w:hAnsi="Times New Roman" w:cs="Times New Roman"/>
          <w:sz w:val="24"/>
          <w:szCs w:val="24"/>
        </w:rPr>
        <w:t>būvnormatīvu sistēmu Latvijā</w:t>
      </w:r>
      <w:r w:rsidRPr="00441F33">
        <w:rPr>
          <w:rFonts w:ascii="Times New Roman" w:hAnsi="Times New Roman" w:cs="Times New Roman"/>
          <w:sz w:val="24"/>
          <w:szCs w:val="24"/>
        </w:rPr>
        <w:t>.</w:t>
      </w:r>
    </w:p>
    <w:p w14:paraId="5E0B3AD4" w14:textId="77777777" w:rsidR="00441F33" w:rsidRPr="00441F33" w:rsidRDefault="00441F33" w:rsidP="00441F33">
      <w:pPr>
        <w:jc w:val="both"/>
        <w:rPr>
          <w:rFonts w:ascii="Times New Roman" w:hAnsi="Times New Roman" w:cs="Times New Roman"/>
          <w:b/>
          <w:color w:val="548DD4" w:themeColor="text2" w:themeTint="99"/>
          <w:sz w:val="24"/>
          <w:szCs w:val="24"/>
        </w:rPr>
      </w:pPr>
      <w:r w:rsidRPr="00441F33">
        <w:rPr>
          <w:rFonts w:ascii="Times New Roman" w:hAnsi="Times New Roman" w:cs="Times New Roman"/>
          <w:b/>
          <w:color w:val="548DD4" w:themeColor="text2" w:themeTint="99"/>
          <w:sz w:val="24"/>
          <w:szCs w:val="24"/>
        </w:rPr>
        <w:t>Eksports</w:t>
      </w:r>
    </w:p>
    <w:p w14:paraId="6FDCBCEA" w14:textId="24736F27" w:rsidR="00441F33" w:rsidRPr="00441F33" w:rsidRDefault="00C96B32" w:rsidP="00441F33">
      <w:pPr>
        <w:jc w:val="both"/>
        <w:rPr>
          <w:rFonts w:ascii="Times New Roman" w:hAnsi="Times New Roman" w:cs="Times New Roman"/>
          <w:sz w:val="24"/>
          <w:szCs w:val="24"/>
        </w:rPr>
      </w:pPr>
      <w:r w:rsidRPr="00441F33">
        <w:rPr>
          <w:rFonts w:ascii="Times New Roman" w:hAnsi="Times New Roman" w:cs="Times New Roman"/>
          <w:sz w:val="24"/>
          <w:szCs w:val="24"/>
        </w:rPr>
        <w:t>Laikpo</w:t>
      </w:r>
      <w:r w:rsidR="00D52F39">
        <w:rPr>
          <w:rFonts w:ascii="Times New Roman" w:hAnsi="Times New Roman" w:cs="Times New Roman"/>
          <w:sz w:val="24"/>
          <w:szCs w:val="24"/>
        </w:rPr>
        <w:t>sm</w:t>
      </w:r>
      <w:r w:rsidRPr="00441F33">
        <w:rPr>
          <w:rFonts w:ascii="Times New Roman" w:hAnsi="Times New Roman" w:cs="Times New Roman"/>
          <w:sz w:val="24"/>
          <w:szCs w:val="24"/>
        </w:rPr>
        <w:t>ā no 2013. līdz 2015.</w:t>
      </w:r>
      <w:r w:rsidR="008E331A">
        <w:rPr>
          <w:rFonts w:ascii="Times New Roman" w:hAnsi="Times New Roman" w:cs="Times New Roman"/>
          <w:sz w:val="24"/>
          <w:szCs w:val="24"/>
        </w:rPr>
        <w:t> </w:t>
      </w:r>
      <w:r w:rsidRPr="00441F33">
        <w:rPr>
          <w:rFonts w:ascii="Times New Roman" w:hAnsi="Times New Roman" w:cs="Times New Roman"/>
          <w:sz w:val="24"/>
          <w:szCs w:val="24"/>
        </w:rPr>
        <w:t>gadam Latvijas eksporta apjomi vidēji gadā pieauga tikai par 1,9</w:t>
      </w:r>
      <w:r w:rsidR="00C76A83">
        <w:rPr>
          <w:rFonts w:ascii="Times New Roman" w:hAnsi="Times New Roman" w:cs="Times New Roman"/>
          <w:sz w:val="24"/>
          <w:szCs w:val="24"/>
        </w:rPr>
        <w:t> </w:t>
      </w:r>
      <w:r w:rsidRPr="00441F33">
        <w:rPr>
          <w:rFonts w:ascii="Times New Roman" w:hAnsi="Times New Roman" w:cs="Times New Roman"/>
          <w:sz w:val="24"/>
          <w:szCs w:val="24"/>
        </w:rPr>
        <w:t>%. Eksporta pieauguma samazināšanos galvenokārt ietekmēja ārējā pieprasījuma samazināšanās saistībā ar lēno ekonomisko izaugsmi lielākajās ES tirdzniecības partnervalstīs,</w:t>
      </w:r>
      <w:r w:rsidR="00FD1974">
        <w:rPr>
          <w:rFonts w:ascii="Times New Roman" w:hAnsi="Times New Roman" w:cs="Times New Roman"/>
          <w:sz w:val="24"/>
          <w:szCs w:val="24"/>
        </w:rPr>
        <w:t xml:space="preserve"> Krievijas ekonomikas lejupslīde</w:t>
      </w:r>
      <w:r w:rsidRPr="00441F33">
        <w:rPr>
          <w:rFonts w:ascii="Times New Roman" w:hAnsi="Times New Roman" w:cs="Times New Roman"/>
          <w:sz w:val="24"/>
          <w:szCs w:val="24"/>
        </w:rPr>
        <w:t>, kā arī Krievijas noteikt</w:t>
      </w:r>
      <w:r w:rsidR="00FD1974">
        <w:rPr>
          <w:rFonts w:ascii="Times New Roman" w:hAnsi="Times New Roman" w:cs="Times New Roman"/>
          <w:sz w:val="24"/>
          <w:szCs w:val="24"/>
        </w:rPr>
        <w:t>ais</w:t>
      </w:r>
      <w:r w:rsidRPr="00441F33">
        <w:rPr>
          <w:rFonts w:ascii="Times New Roman" w:hAnsi="Times New Roman" w:cs="Times New Roman"/>
          <w:sz w:val="24"/>
          <w:szCs w:val="24"/>
        </w:rPr>
        <w:t xml:space="preserve"> embargo pārtikas produktu i</w:t>
      </w:r>
      <w:r>
        <w:rPr>
          <w:rFonts w:ascii="Times New Roman" w:hAnsi="Times New Roman" w:cs="Times New Roman"/>
          <w:sz w:val="24"/>
          <w:szCs w:val="24"/>
        </w:rPr>
        <w:t>mportam. Eksporta lēn</w:t>
      </w:r>
      <w:r w:rsidR="00FD1974">
        <w:rPr>
          <w:rFonts w:ascii="Times New Roman" w:hAnsi="Times New Roman" w:cs="Times New Roman"/>
          <w:sz w:val="24"/>
          <w:szCs w:val="24"/>
        </w:rPr>
        <w:t>ā</w:t>
      </w:r>
      <w:r>
        <w:rPr>
          <w:rFonts w:ascii="Times New Roman" w:hAnsi="Times New Roman" w:cs="Times New Roman"/>
          <w:sz w:val="24"/>
          <w:szCs w:val="24"/>
        </w:rPr>
        <w:t xml:space="preserve"> izaugsme</w:t>
      </w:r>
      <w:r w:rsidRPr="00441F33">
        <w:rPr>
          <w:rFonts w:ascii="Times New Roman" w:hAnsi="Times New Roman" w:cs="Times New Roman"/>
          <w:sz w:val="24"/>
          <w:szCs w:val="24"/>
        </w:rPr>
        <w:t xml:space="preserve"> ir </w:t>
      </w:r>
      <w:r w:rsidRPr="00441F33">
        <w:rPr>
          <w:rFonts w:ascii="Times New Roman" w:hAnsi="Times New Roman" w:cs="Times New Roman"/>
          <w:sz w:val="24"/>
          <w:szCs w:val="24"/>
        </w:rPr>
        <w:lastRenderedPageBreak/>
        <w:t xml:space="preserve">skaidrojama arī ar konkurētspējas vājināšanos, ko lielā mērā noteica darbaspēka izmaksu straujāks kāpums </w:t>
      </w:r>
      <w:r w:rsidR="001324E0">
        <w:rPr>
          <w:rFonts w:ascii="Times New Roman" w:hAnsi="Times New Roman" w:cs="Times New Roman"/>
          <w:sz w:val="24"/>
          <w:szCs w:val="24"/>
        </w:rPr>
        <w:t>par produktivitātes pieaugumu</w:t>
      </w:r>
      <w:r w:rsidRPr="00441F33">
        <w:rPr>
          <w:rFonts w:ascii="Times New Roman" w:hAnsi="Times New Roman" w:cs="Times New Roman"/>
          <w:sz w:val="24"/>
          <w:szCs w:val="24"/>
        </w:rPr>
        <w:t>.</w:t>
      </w:r>
      <w:r>
        <w:rPr>
          <w:rFonts w:ascii="Times New Roman" w:hAnsi="Times New Roman" w:cs="Times New Roman"/>
          <w:sz w:val="24"/>
          <w:szCs w:val="24"/>
        </w:rPr>
        <w:t xml:space="preserve"> Vienlaikus jāatzīmē, ka kopējais eksporta īpatsvars iekšzemes kopproduktā</w:t>
      </w:r>
      <w:r w:rsidR="00F93E54">
        <w:rPr>
          <w:rFonts w:ascii="Times New Roman" w:hAnsi="Times New Roman" w:cs="Times New Roman"/>
          <w:sz w:val="24"/>
          <w:szCs w:val="24"/>
        </w:rPr>
        <w:t xml:space="preserve"> Latvijā (</w:t>
      </w:r>
      <w:r w:rsidR="00E94729">
        <w:rPr>
          <w:rFonts w:ascii="Times New Roman" w:hAnsi="Times New Roman" w:cs="Times New Roman"/>
          <w:sz w:val="24"/>
          <w:szCs w:val="24"/>
        </w:rPr>
        <w:t>58,8</w:t>
      </w:r>
      <w:r w:rsidR="00C76A83">
        <w:rPr>
          <w:rFonts w:ascii="Times New Roman" w:hAnsi="Times New Roman" w:cs="Times New Roman"/>
          <w:sz w:val="24"/>
          <w:szCs w:val="24"/>
        </w:rPr>
        <w:t> </w:t>
      </w:r>
      <w:r w:rsidRPr="00DB7A8F">
        <w:rPr>
          <w:rFonts w:ascii="Times New Roman" w:hAnsi="Times New Roman" w:cs="Times New Roman"/>
          <w:sz w:val="24"/>
          <w:szCs w:val="24"/>
        </w:rPr>
        <w:t>%</w:t>
      </w:r>
      <w:r w:rsidR="00F93E54">
        <w:rPr>
          <w:rFonts w:ascii="Times New Roman" w:hAnsi="Times New Roman" w:cs="Times New Roman"/>
          <w:sz w:val="24"/>
          <w:szCs w:val="24"/>
        </w:rPr>
        <w:t>)</w:t>
      </w:r>
      <w:r>
        <w:rPr>
          <w:rFonts w:ascii="Times New Roman" w:hAnsi="Times New Roman" w:cs="Times New Roman"/>
          <w:sz w:val="24"/>
          <w:szCs w:val="24"/>
        </w:rPr>
        <w:t xml:space="preserve"> ir saglabājies salīdzinoši augstāks nekā ES vidējais rādītājs (43,5</w:t>
      </w:r>
      <w:r w:rsidR="00C76A83">
        <w:rPr>
          <w:rFonts w:ascii="Times New Roman" w:hAnsi="Times New Roman" w:cs="Times New Roman"/>
          <w:sz w:val="24"/>
          <w:szCs w:val="24"/>
        </w:rPr>
        <w:t> </w:t>
      </w:r>
      <w:r>
        <w:rPr>
          <w:rFonts w:ascii="Times New Roman" w:hAnsi="Times New Roman" w:cs="Times New Roman"/>
          <w:sz w:val="24"/>
          <w:szCs w:val="24"/>
        </w:rPr>
        <w:t xml:space="preserve">%) un </w:t>
      </w:r>
      <w:r w:rsidR="00F93E54">
        <w:rPr>
          <w:rFonts w:ascii="Times New Roman" w:hAnsi="Times New Roman" w:cs="Times New Roman"/>
          <w:sz w:val="24"/>
          <w:szCs w:val="24"/>
        </w:rPr>
        <w:t>uzrāda pieauguma tendenci</w:t>
      </w:r>
      <w:r>
        <w:rPr>
          <w:rFonts w:ascii="Times New Roman" w:hAnsi="Times New Roman" w:cs="Times New Roman"/>
          <w:sz w:val="24"/>
          <w:szCs w:val="24"/>
        </w:rPr>
        <w:t>.</w:t>
      </w:r>
    </w:p>
    <w:p w14:paraId="02485E6A" w14:textId="6C9921AA" w:rsidR="00441F33" w:rsidRPr="00441F33" w:rsidRDefault="00441F33" w:rsidP="00441F33">
      <w:pPr>
        <w:jc w:val="both"/>
        <w:rPr>
          <w:rFonts w:ascii="Times New Roman" w:hAnsi="Times New Roman" w:cs="Times New Roman"/>
          <w:sz w:val="24"/>
          <w:szCs w:val="24"/>
        </w:rPr>
      </w:pPr>
      <w:r>
        <w:rPr>
          <w:rFonts w:ascii="Times New Roman" w:hAnsi="Times New Roman" w:cs="Times New Roman"/>
          <w:sz w:val="24"/>
          <w:szCs w:val="24"/>
        </w:rPr>
        <w:t>Saglabājoties paš</w:t>
      </w:r>
      <w:r w:rsidRPr="00441F33">
        <w:rPr>
          <w:rFonts w:ascii="Times New Roman" w:hAnsi="Times New Roman" w:cs="Times New Roman"/>
          <w:sz w:val="24"/>
          <w:szCs w:val="24"/>
        </w:rPr>
        <w:t>reizējām pasaules ekonomikas attīstības tendencēm</w:t>
      </w:r>
      <w:r w:rsidR="003F0C27">
        <w:rPr>
          <w:rFonts w:ascii="Times New Roman" w:hAnsi="Times New Roman" w:cs="Times New Roman"/>
          <w:sz w:val="24"/>
          <w:szCs w:val="24"/>
        </w:rPr>
        <w:t xml:space="preserve"> un</w:t>
      </w:r>
      <w:r w:rsidRPr="00441F33">
        <w:rPr>
          <w:rFonts w:ascii="Times New Roman" w:hAnsi="Times New Roman" w:cs="Times New Roman"/>
          <w:sz w:val="24"/>
          <w:szCs w:val="24"/>
        </w:rPr>
        <w:t xml:space="preserve"> ārējās vides nenoteiktībai, kā arī ņemot vērā ekonomiskās izaugsmes jaunākās prognozes, tuvākajos gados Latvijas eksporta pieaugums visdrīzāk saglabāsies mērens. Tāpēc svarīgi ir visi pasākumi, kas veicina Latvijas eksportētāju konkurētspēju un palīdz atrast jaunus noieta tirgus.</w:t>
      </w:r>
      <w:r w:rsidR="00B2288E">
        <w:rPr>
          <w:rFonts w:ascii="Times New Roman" w:hAnsi="Times New Roman" w:cs="Times New Roman"/>
          <w:sz w:val="24"/>
          <w:szCs w:val="24"/>
        </w:rPr>
        <w:t xml:space="preserve"> </w:t>
      </w:r>
      <w:r w:rsidR="001E0A05">
        <w:rPr>
          <w:rFonts w:ascii="Times New Roman" w:hAnsi="Times New Roman" w:cs="Times New Roman"/>
          <w:sz w:val="24"/>
          <w:szCs w:val="24"/>
        </w:rPr>
        <w:t>Atbildīgajām nozaru ministrijām (EM, SM, ZM, KM, ĀM</w:t>
      </w:r>
      <w:r w:rsidR="00840F0D">
        <w:rPr>
          <w:rFonts w:ascii="Times New Roman" w:hAnsi="Times New Roman" w:cs="Times New Roman"/>
          <w:sz w:val="24"/>
          <w:szCs w:val="24"/>
        </w:rPr>
        <w:t xml:space="preserve"> u.</w:t>
      </w:r>
      <w:r w:rsidR="00F54621">
        <w:rPr>
          <w:rFonts w:ascii="Times New Roman" w:hAnsi="Times New Roman" w:cs="Times New Roman"/>
          <w:sz w:val="24"/>
          <w:szCs w:val="24"/>
        </w:rPr>
        <w:t> </w:t>
      </w:r>
      <w:r w:rsidR="00840F0D">
        <w:rPr>
          <w:rFonts w:ascii="Times New Roman" w:hAnsi="Times New Roman" w:cs="Times New Roman"/>
          <w:sz w:val="24"/>
          <w:szCs w:val="24"/>
        </w:rPr>
        <w:t>c.</w:t>
      </w:r>
      <w:r w:rsidR="001E0A05">
        <w:rPr>
          <w:rFonts w:ascii="Times New Roman" w:hAnsi="Times New Roman" w:cs="Times New Roman"/>
          <w:sz w:val="24"/>
          <w:szCs w:val="24"/>
        </w:rPr>
        <w:t xml:space="preserve">) ir jādarbojas </w:t>
      </w:r>
      <w:r w:rsidR="00924B1E">
        <w:rPr>
          <w:rFonts w:ascii="Times New Roman" w:hAnsi="Times New Roman" w:cs="Times New Roman"/>
          <w:sz w:val="24"/>
          <w:szCs w:val="24"/>
        </w:rPr>
        <w:t xml:space="preserve">savstarpēji </w:t>
      </w:r>
      <w:r w:rsidR="001E0A05">
        <w:rPr>
          <w:rFonts w:ascii="Times New Roman" w:hAnsi="Times New Roman" w:cs="Times New Roman"/>
          <w:sz w:val="24"/>
          <w:szCs w:val="24"/>
        </w:rPr>
        <w:t>saskaņoti un mērķtiecīgi</w:t>
      </w:r>
      <w:r w:rsidR="00924B1E">
        <w:rPr>
          <w:rFonts w:ascii="Times New Roman" w:hAnsi="Times New Roman" w:cs="Times New Roman"/>
          <w:sz w:val="24"/>
          <w:szCs w:val="24"/>
        </w:rPr>
        <w:t xml:space="preserve">, nodrošinot </w:t>
      </w:r>
      <w:r w:rsidR="001E0A05">
        <w:rPr>
          <w:rFonts w:ascii="Times New Roman" w:hAnsi="Times New Roman" w:cs="Times New Roman"/>
          <w:sz w:val="24"/>
          <w:szCs w:val="24"/>
        </w:rPr>
        <w:t xml:space="preserve">nepieciešamo atbalsta instrumentu klāstu visās uzņēmuma </w:t>
      </w:r>
      <w:r w:rsidR="00924B1E">
        <w:rPr>
          <w:rFonts w:ascii="Times New Roman" w:hAnsi="Times New Roman" w:cs="Times New Roman"/>
          <w:sz w:val="24"/>
          <w:szCs w:val="24"/>
        </w:rPr>
        <w:t xml:space="preserve">un eksporta </w:t>
      </w:r>
      <w:r w:rsidR="001E0A05">
        <w:rPr>
          <w:rFonts w:ascii="Times New Roman" w:hAnsi="Times New Roman" w:cs="Times New Roman"/>
          <w:sz w:val="24"/>
          <w:szCs w:val="24"/>
        </w:rPr>
        <w:t>attīstības stadijās</w:t>
      </w:r>
      <w:r w:rsidR="00924B1E">
        <w:rPr>
          <w:rFonts w:ascii="Times New Roman" w:hAnsi="Times New Roman" w:cs="Times New Roman"/>
          <w:sz w:val="24"/>
          <w:szCs w:val="24"/>
        </w:rPr>
        <w:t xml:space="preserve">. </w:t>
      </w:r>
    </w:p>
    <w:p w14:paraId="2D5AB04C" w14:textId="0D6913F8" w:rsidR="00441F33" w:rsidRPr="00441F33" w:rsidRDefault="00441F33" w:rsidP="00441F33">
      <w:pPr>
        <w:jc w:val="both"/>
        <w:rPr>
          <w:rFonts w:ascii="Times New Roman" w:hAnsi="Times New Roman" w:cs="Times New Roman"/>
          <w:sz w:val="24"/>
          <w:szCs w:val="24"/>
        </w:rPr>
      </w:pPr>
      <w:r w:rsidRPr="00441F33">
        <w:rPr>
          <w:rFonts w:ascii="Times New Roman" w:hAnsi="Times New Roman" w:cs="Times New Roman"/>
          <w:sz w:val="24"/>
          <w:szCs w:val="24"/>
        </w:rPr>
        <w:t>Lai panāktu preču un pakalpojuma eksporta pieaugumu par vismaz 5</w:t>
      </w:r>
      <w:r w:rsidR="00C76A83">
        <w:rPr>
          <w:rFonts w:ascii="Times New Roman" w:hAnsi="Times New Roman" w:cs="Times New Roman"/>
          <w:sz w:val="24"/>
          <w:szCs w:val="24"/>
        </w:rPr>
        <w:t> </w:t>
      </w:r>
      <w:r w:rsidRPr="00441F33">
        <w:rPr>
          <w:rFonts w:ascii="Times New Roman" w:hAnsi="Times New Roman" w:cs="Times New Roman"/>
          <w:sz w:val="24"/>
          <w:szCs w:val="24"/>
        </w:rPr>
        <w:t xml:space="preserve">% </w:t>
      </w:r>
      <w:r>
        <w:rPr>
          <w:rFonts w:ascii="Times New Roman" w:hAnsi="Times New Roman" w:cs="Times New Roman"/>
          <w:sz w:val="24"/>
          <w:szCs w:val="24"/>
        </w:rPr>
        <w:t>gadā</w:t>
      </w:r>
      <w:r w:rsidRPr="00441F33">
        <w:rPr>
          <w:rFonts w:ascii="Times New Roman" w:hAnsi="Times New Roman" w:cs="Times New Roman"/>
          <w:sz w:val="24"/>
          <w:szCs w:val="24"/>
        </w:rPr>
        <w:t xml:space="preserve">, līdztekus uzņēmējdarbības un investīciju vides uzlabošanai ir radīti priekšnosacījumi ES fondu investīcijām inovācijas un komersantu konkurētspējas veicināšanai, kā arī finanšu instrumentu pieejamībai. Tas palīdzēs </w:t>
      </w:r>
      <w:r w:rsidR="00FD1974">
        <w:rPr>
          <w:rFonts w:ascii="Times New Roman" w:hAnsi="Times New Roman" w:cs="Times New Roman"/>
          <w:sz w:val="24"/>
          <w:szCs w:val="24"/>
        </w:rPr>
        <w:t>veidot jaunus uzņēmumus</w:t>
      </w:r>
      <w:r w:rsidRPr="00441F33">
        <w:rPr>
          <w:rFonts w:ascii="Times New Roman" w:hAnsi="Times New Roman" w:cs="Times New Roman"/>
          <w:sz w:val="24"/>
          <w:szCs w:val="24"/>
        </w:rPr>
        <w:t xml:space="preserve"> un augt tiem, kuri jau sekm</w:t>
      </w:r>
      <w:r w:rsidRPr="003D7467">
        <w:rPr>
          <w:rFonts w:ascii="Times New Roman" w:hAnsi="Times New Roman" w:cs="Times New Roman"/>
          <w:sz w:val="24"/>
          <w:szCs w:val="24"/>
        </w:rPr>
        <w:t>īgi darbojas vietējos un eksporta tirgos. 2016.</w:t>
      </w:r>
      <w:r w:rsidR="008E331A">
        <w:rPr>
          <w:rFonts w:ascii="Times New Roman" w:hAnsi="Times New Roman" w:cs="Times New Roman"/>
          <w:sz w:val="24"/>
          <w:szCs w:val="24"/>
        </w:rPr>
        <w:t> </w:t>
      </w:r>
      <w:r w:rsidRPr="003D7467">
        <w:rPr>
          <w:rFonts w:ascii="Times New Roman" w:hAnsi="Times New Roman" w:cs="Times New Roman"/>
          <w:sz w:val="24"/>
          <w:szCs w:val="24"/>
        </w:rPr>
        <w:t>gadā ir uzsākts atbalsts klasteriem, 15</w:t>
      </w:r>
      <w:r w:rsidR="00F54621">
        <w:rPr>
          <w:rFonts w:ascii="Times New Roman" w:hAnsi="Times New Roman" w:cs="Times New Roman"/>
          <w:sz w:val="24"/>
          <w:szCs w:val="24"/>
        </w:rPr>
        <w:t> </w:t>
      </w:r>
      <w:r w:rsidRPr="00441F33">
        <w:rPr>
          <w:rFonts w:ascii="Times New Roman" w:hAnsi="Times New Roman" w:cs="Times New Roman"/>
          <w:sz w:val="24"/>
          <w:szCs w:val="24"/>
        </w:rPr>
        <w:t xml:space="preserve">biznesa inkubatoriem, ieguldījumiem ražošanas telpu un infrastruktūras izveidē, atbalsts jaunu produktu un tehnoloģiju izstrādei </w:t>
      </w:r>
      <w:r w:rsidR="008E331A">
        <w:rPr>
          <w:rFonts w:ascii="Times New Roman" w:hAnsi="Times New Roman" w:cs="Times New Roman"/>
          <w:sz w:val="24"/>
          <w:szCs w:val="24"/>
        </w:rPr>
        <w:t>astoņu</w:t>
      </w:r>
      <w:r w:rsidRPr="00441F33">
        <w:rPr>
          <w:rFonts w:ascii="Times New Roman" w:hAnsi="Times New Roman" w:cs="Times New Roman"/>
          <w:sz w:val="24"/>
          <w:szCs w:val="24"/>
        </w:rPr>
        <w:t xml:space="preserve"> kompetences centru ietvaros, kā arī jaunu produktu ieviešanai ražošanā, tādējādi sekmējot ieguldījumus inovācijā un komersantu konkurētspējā. Vienlaikus 2016.</w:t>
      </w:r>
      <w:r w:rsidR="008E331A">
        <w:rPr>
          <w:rFonts w:ascii="Times New Roman" w:hAnsi="Times New Roman" w:cs="Times New Roman"/>
          <w:sz w:val="24"/>
          <w:szCs w:val="24"/>
        </w:rPr>
        <w:t> </w:t>
      </w:r>
      <w:r w:rsidRPr="00441F33">
        <w:rPr>
          <w:rFonts w:ascii="Times New Roman" w:hAnsi="Times New Roman" w:cs="Times New Roman"/>
          <w:sz w:val="24"/>
          <w:szCs w:val="24"/>
        </w:rPr>
        <w:t>gadā ir uzsākta atbalsta piešķiršana starta/</w:t>
      </w:r>
      <w:proofErr w:type="spellStart"/>
      <w:r w:rsidRPr="00441F33">
        <w:rPr>
          <w:rFonts w:ascii="Times New Roman" w:hAnsi="Times New Roman" w:cs="Times New Roman"/>
          <w:sz w:val="24"/>
          <w:szCs w:val="24"/>
        </w:rPr>
        <w:t>mikroaizdevumiem</w:t>
      </w:r>
      <w:proofErr w:type="spellEnd"/>
      <w:r w:rsidRPr="00441F33">
        <w:rPr>
          <w:rFonts w:ascii="Times New Roman" w:hAnsi="Times New Roman" w:cs="Times New Roman"/>
          <w:sz w:val="24"/>
          <w:szCs w:val="24"/>
        </w:rPr>
        <w:t xml:space="preserve">, </w:t>
      </w:r>
      <w:proofErr w:type="spellStart"/>
      <w:r w:rsidR="008E5E4E">
        <w:rPr>
          <w:rFonts w:ascii="Times New Roman" w:hAnsi="Times New Roman" w:cs="Times New Roman"/>
          <w:sz w:val="24"/>
          <w:szCs w:val="24"/>
        </w:rPr>
        <w:t>meza</w:t>
      </w:r>
      <w:r w:rsidR="008E5E4E" w:rsidRPr="00441F33">
        <w:rPr>
          <w:rFonts w:ascii="Times New Roman" w:hAnsi="Times New Roman" w:cs="Times New Roman"/>
          <w:sz w:val="24"/>
          <w:szCs w:val="24"/>
        </w:rPr>
        <w:t>nīna</w:t>
      </w:r>
      <w:proofErr w:type="spellEnd"/>
      <w:r w:rsidRPr="00441F33">
        <w:rPr>
          <w:rFonts w:ascii="Times New Roman" w:hAnsi="Times New Roman" w:cs="Times New Roman"/>
          <w:sz w:val="24"/>
          <w:szCs w:val="24"/>
        </w:rPr>
        <w:t xml:space="preserve"> aizdevumiem un aizdevumu garantijām. 2017.</w:t>
      </w:r>
      <w:r w:rsidR="00C76A83">
        <w:rPr>
          <w:rFonts w:ascii="Times New Roman" w:hAnsi="Times New Roman" w:cs="Times New Roman"/>
          <w:sz w:val="24"/>
          <w:szCs w:val="24"/>
        </w:rPr>
        <w:t> </w:t>
      </w:r>
      <w:r w:rsidRPr="00441F33">
        <w:rPr>
          <w:rFonts w:ascii="Times New Roman" w:hAnsi="Times New Roman" w:cs="Times New Roman"/>
          <w:sz w:val="24"/>
          <w:szCs w:val="24"/>
        </w:rPr>
        <w:t>gadā Latv</w:t>
      </w:r>
      <w:r w:rsidR="008E331A">
        <w:rPr>
          <w:rFonts w:ascii="Times New Roman" w:hAnsi="Times New Roman" w:cs="Times New Roman"/>
          <w:sz w:val="24"/>
          <w:szCs w:val="24"/>
        </w:rPr>
        <w:t>ijas uzņēmumiem būs pieejami ak</w:t>
      </w:r>
      <w:r w:rsidR="0011790B">
        <w:rPr>
          <w:rFonts w:ascii="Times New Roman" w:hAnsi="Times New Roman" w:cs="Times New Roman"/>
          <w:sz w:val="24"/>
          <w:szCs w:val="24"/>
        </w:rPr>
        <w:t>c</w:t>
      </w:r>
      <w:r w:rsidR="008E331A" w:rsidRPr="00441F33">
        <w:rPr>
          <w:rFonts w:ascii="Times New Roman" w:hAnsi="Times New Roman" w:cs="Times New Roman"/>
          <w:sz w:val="24"/>
          <w:szCs w:val="24"/>
        </w:rPr>
        <w:t>elerācijas</w:t>
      </w:r>
      <w:r w:rsidRPr="00441F33">
        <w:rPr>
          <w:rFonts w:ascii="Times New Roman" w:hAnsi="Times New Roman" w:cs="Times New Roman"/>
          <w:sz w:val="24"/>
          <w:szCs w:val="24"/>
        </w:rPr>
        <w:t xml:space="preserve"> fondi, sēklas, sākuma un izaugsmes kapitāla fondi, kā arī biznesa eņģeļu </w:t>
      </w:r>
      <w:proofErr w:type="spellStart"/>
      <w:r w:rsidRPr="00441F33">
        <w:rPr>
          <w:rFonts w:ascii="Times New Roman" w:hAnsi="Times New Roman" w:cs="Times New Roman"/>
          <w:sz w:val="24"/>
          <w:szCs w:val="24"/>
        </w:rPr>
        <w:t>koinvestīciju</w:t>
      </w:r>
      <w:proofErr w:type="spellEnd"/>
      <w:r w:rsidRPr="00441F33">
        <w:rPr>
          <w:rFonts w:ascii="Times New Roman" w:hAnsi="Times New Roman" w:cs="Times New Roman"/>
          <w:sz w:val="24"/>
          <w:szCs w:val="24"/>
        </w:rPr>
        <w:t xml:space="preserve"> instruments.</w:t>
      </w:r>
    </w:p>
    <w:p w14:paraId="0B2A1866" w14:textId="27097C32" w:rsidR="00441F33" w:rsidRPr="00441F33" w:rsidRDefault="00441F33" w:rsidP="00441F33">
      <w:pPr>
        <w:jc w:val="both"/>
        <w:rPr>
          <w:rFonts w:ascii="Times New Roman" w:hAnsi="Times New Roman" w:cs="Times New Roman"/>
          <w:sz w:val="24"/>
          <w:szCs w:val="24"/>
        </w:rPr>
      </w:pPr>
      <w:r w:rsidRPr="00441F33">
        <w:rPr>
          <w:rFonts w:ascii="Times New Roman" w:hAnsi="Times New Roman" w:cs="Times New Roman"/>
          <w:sz w:val="24"/>
          <w:szCs w:val="24"/>
        </w:rPr>
        <w:t>Ir sniegts atbalsts Latvijas uzņēmumiem, kuri vēlas uzsākt vai paplašināt eksportu ārējos tirgos un iekļa</w:t>
      </w:r>
      <w:r w:rsidR="00FD1974">
        <w:rPr>
          <w:rFonts w:ascii="Times New Roman" w:hAnsi="Times New Roman" w:cs="Times New Roman"/>
          <w:sz w:val="24"/>
          <w:szCs w:val="24"/>
        </w:rPr>
        <w:t xml:space="preserve">uties globālajās vērtību ķēdēs </w:t>
      </w:r>
      <w:r w:rsidR="00C76A83">
        <w:rPr>
          <w:rFonts w:ascii="Times New Roman" w:hAnsi="Times New Roman" w:cs="Times New Roman"/>
          <w:sz w:val="24"/>
          <w:szCs w:val="24"/>
        </w:rPr>
        <w:t>–</w:t>
      </w:r>
      <w:r w:rsidR="00FD1974">
        <w:rPr>
          <w:rFonts w:ascii="Times New Roman" w:hAnsi="Times New Roman" w:cs="Times New Roman"/>
          <w:sz w:val="24"/>
          <w:szCs w:val="24"/>
        </w:rPr>
        <w:t xml:space="preserve"> </w:t>
      </w:r>
      <w:r w:rsidR="00FA64FE">
        <w:rPr>
          <w:rFonts w:ascii="Times New Roman" w:hAnsi="Times New Roman" w:cs="Times New Roman"/>
          <w:sz w:val="24"/>
          <w:szCs w:val="24"/>
        </w:rPr>
        <w:t xml:space="preserve">nodrošināts </w:t>
      </w:r>
      <w:r w:rsidR="005E3A46">
        <w:rPr>
          <w:rFonts w:ascii="Times New Roman" w:hAnsi="Times New Roman" w:cs="Times New Roman"/>
          <w:sz w:val="24"/>
          <w:szCs w:val="24"/>
        </w:rPr>
        <w:t xml:space="preserve">21 </w:t>
      </w:r>
      <w:r w:rsidR="00FA64FE" w:rsidRPr="00F54621">
        <w:rPr>
          <w:rFonts w:ascii="Times New Roman" w:hAnsi="Times New Roman" w:cs="Times New Roman"/>
          <w:sz w:val="24"/>
          <w:szCs w:val="24"/>
        </w:rPr>
        <w:t>LIAA</w:t>
      </w:r>
      <w:r w:rsidRPr="00441F33">
        <w:rPr>
          <w:rFonts w:ascii="Times New Roman" w:hAnsi="Times New Roman" w:cs="Times New Roman"/>
          <w:sz w:val="24"/>
          <w:szCs w:val="24"/>
        </w:rPr>
        <w:t xml:space="preserve"> pārstāvniecības atbalsts </w:t>
      </w:r>
      <w:r w:rsidR="00A038E2" w:rsidRPr="00441F33">
        <w:rPr>
          <w:rFonts w:ascii="Times New Roman" w:hAnsi="Times New Roman" w:cs="Times New Roman"/>
          <w:sz w:val="24"/>
          <w:szCs w:val="24"/>
        </w:rPr>
        <w:t>partneru atrašanā</w:t>
      </w:r>
      <w:r w:rsidR="00F54621">
        <w:rPr>
          <w:rFonts w:ascii="Times New Roman" w:hAnsi="Times New Roman" w:cs="Times New Roman"/>
          <w:sz w:val="24"/>
          <w:szCs w:val="24"/>
        </w:rPr>
        <w:t> </w:t>
      </w:r>
      <w:r w:rsidRPr="00441F33">
        <w:rPr>
          <w:rFonts w:ascii="Times New Roman" w:hAnsi="Times New Roman" w:cs="Times New Roman"/>
          <w:sz w:val="24"/>
          <w:szCs w:val="24"/>
        </w:rPr>
        <w:t>eksportētāj</w:t>
      </w:r>
      <w:r w:rsidR="005E3A46">
        <w:rPr>
          <w:rFonts w:ascii="Times New Roman" w:hAnsi="Times New Roman" w:cs="Times New Roman"/>
          <w:sz w:val="24"/>
          <w:szCs w:val="24"/>
        </w:rPr>
        <w:t>iem</w:t>
      </w:r>
      <w:r w:rsidRPr="00441F33">
        <w:rPr>
          <w:rFonts w:ascii="Times New Roman" w:hAnsi="Times New Roman" w:cs="Times New Roman"/>
          <w:sz w:val="24"/>
          <w:szCs w:val="24"/>
        </w:rPr>
        <w:t xml:space="preserve">, </w:t>
      </w:r>
      <w:r w:rsidR="00F93E54">
        <w:rPr>
          <w:rFonts w:ascii="Times New Roman" w:hAnsi="Times New Roman" w:cs="Times New Roman"/>
          <w:sz w:val="24"/>
          <w:szCs w:val="24"/>
        </w:rPr>
        <w:t xml:space="preserve">tai skaitā </w:t>
      </w:r>
      <w:r w:rsidR="00E91788">
        <w:rPr>
          <w:rFonts w:ascii="Times New Roman" w:hAnsi="Times New Roman" w:cs="Times New Roman"/>
          <w:sz w:val="24"/>
          <w:szCs w:val="24"/>
        </w:rPr>
        <w:t>ar Latvijas diplomā</w:t>
      </w:r>
      <w:r w:rsidR="00F93E54">
        <w:rPr>
          <w:rFonts w:ascii="Times New Roman" w:hAnsi="Times New Roman" w:cs="Times New Roman"/>
          <w:sz w:val="24"/>
          <w:szCs w:val="24"/>
        </w:rPr>
        <w:t xml:space="preserve">tisko pārstāvniecību atbalstu </w:t>
      </w:r>
      <w:r w:rsidR="00DA18D0">
        <w:rPr>
          <w:rFonts w:ascii="Times New Roman" w:hAnsi="Times New Roman" w:cs="Times New Roman"/>
          <w:sz w:val="24"/>
          <w:szCs w:val="24"/>
        </w:rPr>
        <w:t xml:space="preserve">nodrošinātas iespējas komersantu </w:t>
      </w:r>
      <w:r w:rsidRPr="00441F33">
        <w:rPr>
          <w:rFonts w:ascii="Times New Roman" w:hAnsi="Times New Roman" w:cs="Times New Roman"/>
          <w:sz w:val="24"/>
          <w:szCs w:val="24"/>
        </w:rPr>
        <w:t>dalība</w:t>
      </w:r>
      <w:r w:rsidR="00DA18D0">
        <w:rPr>
          <w:rFonts w:ascii="Times New Roman" w:hAnsi="Times New Roman" w:cs="Times New Roman"/>
          <w:sz w:val="24"/>
          <w:szCs w:val="24"/>
        </w:rPr>
        <w:t>i</w:t>
      </w:r>
      <w:r w:rsidRPr="00441F33">
        <w:rPr>
          <w:rFonts w:ascii="Times New Roman" w:hAnsi="Times New Roman" w:cs="Times New Roman"/>
          <w:sz w:val="24"/>
          <w:szCs w:val="24"/>
        </w:rPr>
        <w:t xml:space="preserve"> nacionālajos stendos starptautiskajās izstādēs ārvalstīs un tirdzniecības misijās</w:t>
      </w:r>
      <w:r w:rsidR="00F93E54">
        <w:rPr>
          <w:rFonts w:ascii="Times New Roman" w:hAnsi="Times New Roman" w:cs="Times New Roman"/>
          <w:sz w:val="24"/>
          <w:szCs w:val="24"/>
        </w:rPr>
        <w:t xml:space="preserve"> </w:t>
      </w:r>
      <w:r w:rsidRPr="00441F33">
        <w:rPr>
          <w:rFonts w:ascii="Times New Roman" w:hAnsi="Times New Roman" w:cs="Times New Roman"/>
          <w:sz w:val="24"/>
          <w:szCs w:val="24"/>
        </w:rPr>
        <w:t>Latvijas valsts augstāko amatpersonu vizīš</w:t>
      </w:r>
      <w:r w:rsidR="00FD1974">
        <w:rPr>
          <w:rFonts w:ascii="Times New Roman" w:hAnsi="Times New Roman" w:cs="Times New Roman"/>
          <w:sz w:val="24"/>
          <w:szCs w:val="24"/>
        </w:rPr>
        <w:t>u ietvaros u.</w:t>
      </w:r>
      <w:r w:rsidR="00C76A83">
        <w:rPr>
          <w:rFonts w:ascii="Times New Roman" w:hAnsi="Times New Roman" w:cs="Times New Roman"/>
          <w:sz w:val="24"/>
          <w:szCs w:val="24"/>
        </w:rPr>
        <w:t> </w:t>
      </w:r>
      <w:r w:rsidR="00FD1974">
        <w:rPr>
          <w:rFonts w:ascii="Times New Roman" w:hAnsi="Times New Roman" w:cs="Times New Roman"/>
          <w:sz w:val="24"/>
          <w:szCs w:val="24"/>
        </w:rPr>
        <w:t>c. aktivitātes</w:t>
      </w:r>
      <w:r w:rsidRPr="00441F33">
        <w:rPr>
          <w:rFonts w:ascii="Times New Roman" w:hAnsi="Times New Roman" w:cs="Times New Roman"/>
          <w:sz w:val="24"/>
          <w:szCs w:val="24"/>
        </w:rPr>
        <w:t xml:space="preserve">. </w:t>
      </w:r>
    </w:p>
    <w:p w14:paraId="68F6C1CA" w14:textId="7DB7084F" w:rsidR="00441F33" w:rsidRPr="00441F33" w:rsidRDefault="00441F33" w:rsidP="00441F33">
      <w:pPr>
        <w:jc w:val="both"/>
        <w:rPr>
          <w:rFonts w:ascii="Times New Roman" w:hAnsi="Times New Roman" w:cs="Times New Roman"/>
          <w:sz w:val="24"/>
          <w:szCs w:val="24"/>
        </w:rPr>
      </w:pPr>
      <w:r w:rsidRPr="00441F33">
        <w:rPr>
          <w:rFonts w:ascii="Times New Roman" w:hAnsi="Times New Roman" w:cs="Times New Roman"/>
          <w:sz w:val="24"/>
          <w:szCs w:val="24"/>
        </w:rPr>
        <w:t>Svarīga ir sadarbība ar Latvijai prioritāriem un potenciāliem eksporta tirgiem. 2016.</w:t>
      </w:r>
      <w:r w:rsidR="00C76A83">
        <w:rPr>
          <w:rFonts w:ascii="Times New Roman" w:hAnsi="Times New Roman" w:cs="Times New Roman"/>
          <w:sz w:val="24"/>
          <w:szCs w:val="24"/>
        </w:rPr>
        <w:t> </w:t>
      </w:r>
      <w:r w:rsidRPr="00441F33">
        <w:rPr>
          <w:rFonts w:ascii="Times New Roman" w:hAnsi="Times New Roman" w:cs="Times New Roman"/>
          <w:sz w:val="24"/>
          <w:szCs w:val="24"/>
        </w:rPr>
        <w:t xml:space="preserve">gadā Latvijai uzticēts organizēt svarīgākos Centrāleiropas un Austrumeiropas valstu un Ķīnas sadarbības </w:t>
      </w:r>
      <w:r w:rsidR="00F54621" w:rsidRPr="00441F33">
        <w:rPr>
          <w:rFonts w:ascii="Times New Roman" w:hAnsi="Times New Roman" w:cs="Times New Roman"/>
          <w:sz w:val="24"/>
          <w:szCs w:val="24"/>
        </w:rPr>
        <w:t>formāt</w:t>
      </w:r>
      <w:r w:rsidR="00C544EF">
        <w:rPr>
          <w:rFonts w:ascii="Times New Roman" w:hAnsi="Times New Roman" w:cs="Times New Roman"/>
          <w:sz w:val="24"/>
          <w:szCs w:val="24"/>
        </w:rPr>
        <w:t>a</w:t>
      </w:r>
      <w:r w:rsidR="00F54621" w:rsidRPr="00441F33">
        <w:rPr>
          <w:rFonts w:ascii="Times New Roman" w:hAnsi="Times New Roman" w:cs="Times New Roman"/>
          <w:sz w:val="24"/>
          <w:szCs w:val="24"/>
        </w:rPr>
        <w:t xml:space="preserve"> </w:t>
      </w:r>
      <w:r w:rsidRPr="00441F33">
        <w:rPr>
          <w:rFonts w:ascii="Times New Roman" w:hAnsi="Times New Roman" w:cs="Times New Roman"/>
          <w:sz w:val="24"/>
          <w:szCs w:val="24"/>
        </w:rPr>
        <w:t>16</w:t>
      </w:r>
      <w:r w:rsidR="00C76A83">
        <w:rPr>
          <w:rFonts w:ascii="Times New Roman" w:hAnsi="Times New Roman" w:cs="Times New Roman"/>
          <w:sz w:val="24"/>
          <w:szCs w:val="24"/>
        </w:rPr>
        <w:t> </w:t>
      </w:r>
      <w:r w:rsidRPr="00441F33">
        <w:rPr>
          <w:rFonts w:ascii="Times New Roman" w:hAnsi="Times New Roman" w:cs="Times New Roman"/>
          <w:sz w:val="24"/>
          <w:szCs w:val="24"/>
        </w:rPr>
        <w:t>+</w:t>
      </w:r>
      <w:r w:rsidR="00C76A83">
        <w:rPr>
          <w:rFonts w:ascii="Times New Roman" w:hAnsi="Times New Roman" w:cs="Times New Roman"/>
          <w:sz w:val="24"/>
          <w:szCs w:val="24"/>
        </w:rPr>
        <w:t> </w:t>
      </w:r>
      <w:r w:rsidR="00C544EF">
        <w:rPr>
          <w:rFonts w:ascii="Times New Roman" w:hAnsi="Times New Roman" w:cs="Times New Roman"/>
          <w:sz w:val="24"/>
          <w:szCs w:val="24"/>
        </w:rPr>
        <w:t>1 pasākumus</w:t>
      </w:r>
      <w:r w:rsidRPr="00441F33">
        <w:rPr>
          <w:rFonts w:ascii="Times New Roman" w:hAnsi="Times New Roman" w:cs="Times New Roman"/>
          <w:sz w:val="24"/>
          <w:szCs w:val="24"/>
        </w:rPr>
        <w:t>, kas ļauj popularizēt Latvijas tēlu starptautiskajā vidē, veicināt sadarbību ar Ķīnu transporta un loģistikas, tūrisma, kultūras, izglītības un zinātnes jomā, kā arī paplašināt starpvalstu līgumtiesisko bāzi. Tāpat jāmin, ka š.</w:t>
      </w:r>
      <w:r w:rsidR="00C76A83">
        <w:rPr>
          <w:rFonts w:ascii="Times New Roman" w:hAnsi="Times New Roman" w:cs="Times New Roman"/>
          <w:sz w:val="24"/>
          <w:szCs w:val="24"/>
        </w:rPr>
        <w:t> </w:t>
      </w:r>
      <w:r w:rsidRPr="00441F33">
        <w:rPr>
          <w:rFonts w:ascii="Times New Roman" w:hAnsi="Times New Roman" w:cs="Times New Roman"/>
          <w:sz w:val="24"/>
          <w:szCs w:val="24"/>
        </w:rPr>
        <w:t xml:space="preserve">g. maijā ir noslēgts arī Latvijas un Apvienoto Arābu Emirātu starpvaldību līgums, paplašinot ekonomisko sadarbību un Latvijas uzņēmēju iespējas šajā tirgū. </w:t>
      </w:r>
    </w:p>
    <w:p w14:paraId="5D756030" w14:textId="6D31CCD3" w:rsidR="00441F33" w:rsidRDefault="00441F33" w:rsidP="00441F33">
      <w:pPr>
        <w:jc w:val="both"/>
        <w:rPr>
          <w:rFonts w:ascii="Times New Roman" w:hAnsi="Times New Roman" w:cs="Times New Roman"/>
          <w:sz w:val="24"/>
          <w:szCs w:val="24"/>
        </w:rPr>
      </w:pPr>
      <w:r w:rsidRPr="00441F33">
        <w:rPr>
          <w:rFonts w:ascii="Times New Roman" w:hAnsi="Times New Roman" w:cs="Times New Roman"/>
          <w:sz w:val="24"/>
          <w:szCs w:val="24"/>
        </w:rPr>
        <w:t xml:space="preserve">Vienlaikus notiek darbs pie </w:t>
      </w:r>
      <w:r w:rsidR="00266CAE">
        <w:rPr>
          <w:rFonts w:ascii="Times New Roman" w:hAnsi="Times New Roman" w:cs="Times New Roman"/>
          <w:sz w:val="24"/>
          <w:szCs w:val="24"/>
        </w:rPr>
        <w:t>ī</w:t>
      </w:r>
      <w:r w:rsidR="00266CAE" w:rsidRPr="008D63E9">
        <w:rPr>
          <w:rFonts w:ascii="Times New Roman" w:hAnsi="Times New Roman" w:cs="Times New Roman"/>
          <w:sz w:val="24"/>
          <w:szCs w:val="24"/>
        </w:rPr>
        <w:t>stermiņa eksporta kredīta garantiju izsniegšanas no</w:t>
      </w:r>
      <w:r w:rsidR="002807F7">
        <w:rPr>
          <w:rFonts w:ascii="Times New Roman" w:hAnsi="Times New Roman" w:cs="Times New Roman"/>
          <w:sz w:val="24"/>
          <w:szCs w:val="24"/>
        </w:rPr>
        <w:t>sacījumu izstrādes</w:t>
      </w:r>
      <w:r w:rsidR="00266CAE">
        <w:rPr>
          <w:rFonts w:ascii="Times New Roman" w:hAnsi="Times New Roman" w:cs="Times New Roman"/>
          <w:sz w:val="24"/>
          <w:szCs w:val="24"/>
        </w:rPr>
        <w:t xml:space="preserve"> un </w:t>
      </w:r>
      <w:r w:rsidRPr="00441F33">
        <w:rPr>
          <w:rFonts w:ascii="Times New Roman" w:hAnsi="Times New Roman" w:cs="Times New Roman"/>
          <w:sz w:val="24"/>
          <w:szCs w:val="24"/>
        </w:rPr>
        <w:t xml:space="preserve">jauna likumprojekta par vidēja un ilgtermiņa eksporta kredītu </w:t>
      </w:r>
      <w:r w:rsidRPr="00441F33">
        <w:rPr>
          <w:rFonts w:ascii="Times New Roman" w:hAnsi="Times New Roman" w:cs="Times New Roman"/>
          <w:sz w:val="24"/>
          <w:szCs w:val="24"/>
        </w:rPr>
        <w:lastRenderedPageBreak/>
        <w:t>garantijām, lai nodrošinātu pilna spektra eksporta kredītu garantiju pieejamību un drošības mehānismu Latvijas</w:t>
      </w:r>
      <w:r w:rsidR="00C64094">
        <w:rPr>
          <w:rFonts w:ascii="Times New Roman" w:hAnsi="Times New Roman" w:cs="Times New Roman"/>
          <w:sz w:val="24"/>
          <w:szCs w:val="24"/>
        </w:rPr>
        <w:t xml:space="preserve"> </w:t>
      </w:r>
      <w:r w:rsidRPr="00441F33">
        <w:rPr>
          <w:rFonts w:ascii="Times New Roman" w:hAnsi="Times New Roman" w:cs="Times New Roman"/>
          <w:sz w:val="24"/>
          <w:szCs w:val="24"/>
        </w:rPr>
        <w:t>uzņēmējiem riskant</w:t>
      </w:r>
      <w:r w:rsidR="00C76A83">
        <w:rPr>
          <w:rFonts w:ascii="Times New Roman" w:hAnsi="Times New Roman" w:cs="Times New Roman"/>
          <w:sz w:val="24"/>
          <w:szCs w:val="24"/>
        </w:rPr>
        <w:t>aj</w:t>
      </w:r>
      <w:r w:rsidRPr="00441F33">
        <w:rPr>
          <w:rFonts w:ascii="Times New Roman" w:hAnsi="Times New Roman" w:cs="Times New Roman"/>
          <w:sz w:val="24"/>
          <w:szCs w:val="24"/>
        </w:rPr>
        <w:t xml:space="preserve">os ārējos tirgos. </w:t>
      </w:r>
    </w:p>
    <w:p w14:paraId="7AF7EA4D" w14:textId="77777777" w:rsidR="00904244" w:rsidRPr="006B0706" w:rsidRDefault="00904244" w:rsidP="00441F33">
      <w:pPr>
        <w:rPr>
          <w:rFonts w:ascii="Times New Roman" w:hAnsi="Times New Roman" w:cs="Times New Roman"/>
          <w:b/>
          <w:color w:val="548DD4" w:themeColor="text2" w:themeTint="99"/>
          <w:sz w:val="24"/>
          <w:szCs w:val="24"/>
        </w:rPr>
      </w:pPr>
      <w:r w:rsidRPr="006B0706">
        <w:rPr>
          <w:rFonts w:ascii="Times New Roman" w:hAnsi="Times New Roman" w:cs="Times New Roman"/>
          <w:b/>
          <w:color w:val="548DD4" w:themeColor="text2" w:themeTint="99"/>
          <w:sz w:val="24"/>
          <w:szCs w:val="24"/>
        </w:rPr>
        <w:t>Darba tirgus</w:t>
      </w:r>
    </w:p>
    <w:p w14:paraId="13E47626" w14:textId="5A644493" w:rsidR="003F2B9C" w:rsidRPr="003F2B9C" w:rsidRDefault="003F2B9C" w:rsidP="003F2B9C">
      <w:pPr>
        <w:jc w:val="both"/>
        <w:rPr>
          <w:rFonts w:ascii="Times New Roman" w:hAnsi="Times New Roman" w:cs="Times New Roman"/>
          <w:sz w:val="24"/>
          <w:szCs w:val="24"/>
        </w:rPr>
      </w:pPr>
      <w:r w:rsidRPr="003F2B9C">
        <w:rPr>
          <w:rFonts w:ascii="Times New Roman" w:hAnsi="Times New Roman" w:cs="Times New Roman"/>
          <w:sz w:val="24"/>
          <w:szCs w:val="24"/>
        </w:rPr>
        <w:t>Cilvēkkapitāla stiprināšana un attīstība, lai nodrošinātu nākotnes darba tirgum atbilstoša darbaspēka pieejamību, ir viens no nozīmīgākajiem jautājumiem</w:t>
      </w:r>
      <w:r w:rsidR="00FD1974">
        <w:rPr>
          <w:rFonts w:ascii="Times New Roman" w:hAnsi="Times New Roman" w:cs="Times New Roman"/>
          <w:sz w:val="24"/>
          <w:szCs w:val="24"/>
        </w:rPr>
        <w:t>,</w:t>
      </w:r>
      <w:r w:rsidRPr="003F2B9C">
        <w:rPr>
          <w:rFonts w:ascii="Times New Roman" w:hAnsi="Times New Roman" w:cs="Times New Roman"/>
          <w:sz w:val="24"/>
          <w:szCs w:val="24"/>
        </w:rPr>
        <w:t xml:space="preserve"> pie kura strādā valdība. Ņemot vērā tos izaicinājumus, kuri ietekmēs tautsaimniecības izaugsmi turpmākajos gados, ir nepieciešams kāpināt darbaspēka produktivitāti, tuvinot to </w:t>
      </w:r>
      <w:r w:rsidR="003F0C27" w:rsidRPr="003F2B9C">
        <w:rPr>
          <w:rFonts w:ascii="Times New Roman" w:hAnsi="Times New Roman" w:cs="Times New Roman"/>
          <w:sz w:val="24"/>
          <w:szCs w:val="24"/>
        </w:rPr>
        <w:t>vidējam</w:t>
      </w:r>
      <w:r w:rsidR="003F0C27">
        <w:rPr>
          <w:rFonts w:ascii="Times New Roman" w:hAnsi="Times New Roman" w:cs="Times New Roman"/>
          <w:sz w:val="24"/>
          <w:szCs w:val="24"/>
        </w:rPr>
        <w:t xml:space="preserve"> </w:t>
      </w:r>
      <w:r w:rsidR="005908C3">
        <w:rPr>
          <w:rFonts w:ascii="Times New Roman" w:hAnsi="Times New Roman" w:cs="Times New Roman"/>
          <w:sz w:val="24"/>
          <w:szCs w:val="24"/>
        </w:rPr>
        <w:t xml:space="preserve">ES </w:t>
      </w:r>
      <w:r w:rsidRPr="003F2B9C">
        <w:rPr>
          <w:rFonts w:ascii="Times New Roman" w:hAnsi="Times New Roman" w:cs="Times New Roman"/>
          <w:sz w:val="24"/>
          <w:szCs w:val="24"/>
        </w:rPr>
        <w:t xml:space="preserve">līmenim. </w:t>
      </w:r>
    </w:p>
    <w:p w14:paraId="3E95521E" w14:textId="452CB4A9" w:rsidR="003F2B9C" w:rsidRDefault="003F2B9C" w:rsidP="003F2B9C">
      <w:pPr>
        <w:jc w:val="both"/>
        <w:rPr>
          <w:rFonts w:ascii="Times New Roman" w:hAnsi="Times New Roman" w:cs="Times New Roman"/>
          <w:sz w:val="24"/>
          <w:szCs w:val="24"/>
        </w:rPr>
      </w:pPr>
      <w:r w:rsidRPr="003F2B9C">
        <w:rPr>
          <w:rFonts w:ascii="Times New Roman" w:hAnsi="Times New Roman" w:cs="Times New Roman"/>
          <w:sz w:val="24"/>
          <w:szCs w:val="24"/>
        </w:rPr>
        <w:t>Latvijas ekonomiskās priekšrocības pēckrīzes periodā galvenokārt balstījās uz zemām darbaspēka izmaksām un zemo tehnoloģiju nozarēm</w:t>
      </w:r>
      <w:r w:rsidR="003F0C27">
        <w:rPr>
          <w:rFonts w:ascii="Times New Roman" w:hAnsi="Times New Roman" w:cs="Times New Roman"/>
          <w:sz w:val="24"/>
          <w:szCs w:val="24"/>
        </w:rPr>
        <w:t>.</w:t>
      </w:r>
      <w:r w:rsidRPr="003F2B9C">
        <w:rPr>
          <w:rFonts w:ascii="Times New Roman" w:hAnsi="Times New Roman" w:cs="Times New Roman"/>
          <w:sz w:val="24"/>
          <w:szCs w:val="24"/>
        </w:rPr>
        <w:t xml:space="preserve"> </w:t>
      </w:r>
      <w:r w:rsidR="003F0C27">
        <w:rPr>
          <w:rFonts w:ascii="Times New Roman" w:hAnsi="Times New Roman" w:cs="Times New Roman"/>
          <w:sz w:val="24"/>
          <w:szCs w:val="24"/>
        </w:rPr>
        <w:t>Taču</w:t>
      </w:r>
      <w:r w:rsidRPr="003F2B9C">
        <w:rPr>
          <w:rFonts w:ascii="Times New Roman" w:hAnsi="Times New Roman" w:cs="Times New Roman"/>
          <w:sz w:val="24"/>
          <w:szCs w:val="24"/>
        </w:rPr>
        <w:t xml:space="preserve"> jāņem vērā, ka turpmākajos gados darbaspēka izmaksu pieaugums ir neizbēgams izaugsmes un atvērtā darba tirgus dēļ. Tas nozīmē, ka Latvija var zaudēt konkurētspēju zem</w:t>
      </w:r>
      <w:r w:rsidR="003F0C27">
        <w:rPr>
          <w:rFonts w:ascii="Times New Roman" w:hAnsi="Times New Roman" w:cs="Times New Roman"/>
          <w:sz w:val="24"/>
          <w:szCs w:val="24"/>
        </w:rPr>
        <w:t>o</w:t>
      </w:r>
      <w:r w:rsidRPr="003F2B9C">
        <w:rPr>
          <w:rFonts w:ascii="Times New Roman" w:hAnsi="Times New Roman" w:cs="Times New Roman"/>
          <w:sz w:val="24"/>
          <w:szCs w:val="24"/>
        </w:rPr>
        <w:t xml:space="preserve"> izmaksu segmentos ātrāk nekā iegūt priekšrocības augstākas pievienotās vērtības produktu ražošanā. Līdz ar to ir nepieciešams veicināt ekonomikas strukturālās izmaiņas</w:t>
      </w:r>
      <w:r w:rsidR="00FD1974">
        <w:rPr>
          <w:rFonts w:ascii="Times New Roman" w:hAnsi="Times New Roman" w:cs="Times New Roman"/>
          <w:sz w:val="24"/>
          <w:szCs w:val="24"/>
        </w:rPr>
        <w:t>, lai sekmētu augstākas pievienotās vērtības preču un pakalpojumu ražošanu</w:t>
      </w:r>
      <w:r w:rsidRPr="003F2B9C">
        <w:rPr>
          <w:rFonts w:ascii="Times New Roman" w:hAnsi="Times New Roman" w:cs="Times New Roman"/>
          <w:sz w:val="24"/>
          <w:szCs w:val="24"/>
        </w:rPr>
        <w:t>, t.</w:t>
      </w:r>
      <w:r w:rsidR="007D10AE">
        <w:rPr>
          <w:rFonts w:ascii="Times New Roman" w:hAnsi="Times New Roman" w:cs="Times New Roman"/>
          <w:sz w:val="24"/>
          <w:szCs w:val="24"/>
        </w:rPr>
        <w:t> </w:t>
      </w:r>
      <w:r w:rsidRPr="003F2B9C">
        <w:rPr>
          <w:rFonts w:ascii="Times New Roman" w:hAnsi="Times New Roman" w:cs="Times New Roman"/>
          <w:sz w:val="24"/>
          <w:szCs w:val="24"/>
        </w:rPr>
        <w:t xml:space="preserve">sk. </w:t>
      </w:r>
      <w:r w:rsidR="00FD1974">
        <w:rPr>
          <w:rFonts w:ascii="Times New Roman" w:hAnsi="Times New Roman" w:cs="Times New Roman"/>
          <w:sz w:val="24"/>
          <w:szCs w:val="24"/>
        </w:rPr>
        <w:t>rūpniecības lomas palielināšanu</w:t>
      </w:r>
      <w:r w:rsidRPr="003F2B9C">
        <w:rPr>
          <w:rFonts w:ascii="Times New Roman" w:hAnsi="Times New Roman" w:cs="Times New Roman"/>
          <w:sz w:val="24"/>
          <w:szCs w:val="24"/>
        </w:rPr>
        <w:t>, rūpniecības un pakalpojumu modernizācij</w:t>
      </w:r>
      <w:r w:rsidR="00FD1974">
        <w:rPr>
          <w:rFonts w:ascii="Times New Roman" w:hAnsi="Times New Roman" w:cs="Times New Roman"/>
          <w:sz w:val="24"/>
          <w:szCs w:val="24"/>
        </w:rPr>
        <w:t>u</w:t>
      </w:r>
      <w:r w:rsidRPr="003F2B9C">
        <w:rPr>
          <w:rFonts w:ascii="Times New Roman" w:hAnsi="Times New Roman" w:cs="Times New Roman"/>
          <w:sz w:val="24"/>
          <w:szCs w:val="24"/>
        </w:rPr>
        <w:t xml:space="preserve"> un eksporta sarežģītības attīstīb</w:t>
      </w:r>
      <w:r w:rsidR="00FD1974">
        <w:rPr>
          <w:rFonts w:ascii="Times New Roman" w:hAnsi="Times New Roman" w:cs="Times New Roman"/>
          <w:sz w:val="24"/>
          <w:szCs w:val="24"/>
        </w:rPr>
        <w:t>u</w:t>
      </w:r>
      <w:r w:rsidRPr="003F2B9C">
        <w:rPr>
          <w:rFonts w:ascii="Times New Roman" w:hAnsi="Times New Roman" w:cs="Times New Roman"/>
          <w:sz w:val="24"/>
          <w:szCs w:val="24"/>
        </w:rPr>
        <w:t>. Tas ir būtisks priekšnosacījums Latvijas tautsaimniecības konverģencei ar attīstītajām ES valstīm un iedzīvotāju labklājības pieaugumam, ko var panākt, palielinot Latvijas ekonomikas konkurētspēju, kas balstīta uz inovāciju. Jāatzīmē, ka šāda ekonomikas transformācija prasa ne tikai inovācijas sistēmas stiprināšanu, bet arī būtiskas kvalitatīvas izmaiņas izglītības sistēmā – kā formālā</w:t>
      </w:r>
      <w:r w:rsidR="002360C8">
        <w:rPr>
          <w:rFonts w:ascii="Times New Roman" w:hAnsi="Times New Roman" w:cs="Times New Roman"/>
          <w:sz w:val="24"/>
          <w:szCs w:val="24"/>
        </w:rPr>
        <w:t>,</w:t>
      </w:r>
      <w:r w:rsidRPr="003F2B9C">
        <w:rPr>
          <w:rFonts w:ascii="Times New Roman" w:hAnsi="Times New Roman" w:cs="Times New Roman"/>
          <w:sz w:val="24"/>
          <w:szCs w:val="24"/>
        </w:rPr>
        <w:t xml:space="preserve"> tā arī pieaugušo tālākizglītībā (mūžizglītības sistēmā), lai radītu nepieciešamos priekšnosacījumus strukturālajām pārmaiņām. Svarīgākie īstenojamie pasākumi izglītības sistēmā ir orientācija uz starptautiski </w:t>
      </w:r>
      <w:r w:rsidR="00FD1974">
        <w:rPr>
          <w:rFonts w:ascii="Times New Roman" w:hAnsi="Times New Roman" w:cs="Times New Roman"/>
          <w:sz w:val="24"/>
          <w:szCs w:val="24"/>
        </w:rPr>
        <w:t>konkurētspējīgu</w:t>
      </w:r>
      <w:r w:rsidRPr="003F2B9C">
        <w:rPr>
          <w:rFonts w:ascii="Times New Roman" w:hAnsi="Times New Roman" w:cs="Times New Roman"/>
          <w:sz w:val="24"/>
          <w:szCs w:val="24"/>
        </w:rPr>
        <w:t xml:space="preserve"> izglītību globālā, mainīgā darba tirgū. </w:t>
      </w:r>
    </w:p>
    <w:p w14:paraId="70D936BC" w14:textId="3C4E07D0" w:rsidR="005908C3" w:rsidRDefault="005908C3" w:rsidP="003F2B9C">
      <w:pPr>
        <w:jc w:val="both"/>
        <w:rPr>
          <w:rFonts w:ascii="Times New Roman" w:hAnsi="Times New Roman" w:cs="Times New Roman"/>
          <w:sz w:val="24"/>
          <w:szCs w:val="24"/>
        </w:rPr>
      </w:pPr>
      <w:r w:rsidRPr="00642C32">
        <w:rPr>
          <w:rStyle w:val="Strong"/>
          <w:rFonts w:ascii="Times New Roman" w:hAnsi="Times New Roman" w:cs="Times New Roman"/>
          <w:b w:val="0"/>
          <w:color w:val="000000"/>
          <w:sz w:val="24"/>
          <w:szCs w:val="24"/>
          <w:bdr w:val="none" w:sz="0" w:space="0" w:color="auto" w:frame="1"/>
          <w:shd w:val="clear" w:color="auto" w:fill="FFFFFF"/>
        </w:rPr>
        <w:t>Tautsaimniecības attīstību arvien būtiskāk ietekmē neatbilstība starp darbaspēka pieprasījumu un piedāvājumu</w:t>
      </w:r>
      <w:r w:rsidRPr="004B4D27">
        <w:rPr>
          <w:rFonts w:ascii="Times New Roman" w:hAnsi="Times New Roman" w:cs="Times New Roman"/>
          <w:color w:val="000000"/>
          <w:sz w:val="24"/>
          <w:szCs w:val="24"/>
          <w:shd w:val="clear" w:color="auto" w:fill="FFFFFF"/>
        </w:rPr>
        <w:t> </w:t>
      </w:r>
      <w:r w:rsidR="007D10AE">
        <w:rPr>
          <w:rFonts w:ascii="Times New Roman" w:hAnsi="Times New Roman" w:cs="Times New Roman"/>
          <w:color w:val="000000"/>
          <w:sz w:val="24"/>
          <w:szCs w:val="24"/>
          <w:shd w:val="clear" w:color="auto" w:fill="FFFFFF"/>
        </w:rPr>
        <w:t>–</w:t>
      </w:r>
      <w:r w:rsidRPr="00642C32">
        <w:rPr>
          <w:rFonts w:ascii="Times New Roman" w:hAnsi="Times New Roman" w:cs="Times New Roman"/>
          <w:color w:val="000000"/>
          <w:sz w:val="24"/>
          <w:szCs w:val="24"/>
          <w:shd w:val="clear" w:color="auto" w:fill="FFFFFF"/>
        </w:rPr>
        <w:t xml:space="preserve"> veidojas speciālistu pārpalikums humanitāro un sociālo zinātņu jomā, </w:t>
      </w:r>
      <w:r w:rsidR="007D10AE">
        <w:rPr>
          <w:rFonts w:ascii="Times New Roman" w:hAnsi="Times New Roman" w:cs="Times New Roman"/>
          <w:color w:val="000000"/>
          <w:sz w:val="24"/>
          <w:szCs w:val="24"/>
          <w:shd w:val="clear" w:color="auto" w:fill="FFFFFF"/>
        </w:rPr>
        <w:t xml:space="preserve">savukārt </w:t>
      </w:r>
      <w:r w:rsidRPr="00642C32">
        <w:rPr>
          <w:rFonts w:ascii="Times New Roman" w:hAnsi="Times New Roman" w:cs="Times New Roman"/>
          <w:color w:val="000000"/>
          <w:sz w:val="24"/>
          <w:szCs w:val="24"/>
          <w:shd w:val="clear" w:color="auto" w:fill="FFFFFF"/>
        </w:rPr>
        <w:t xml:space="preserve">izteikti trūkst augstas kvalifikācijas </w:t>
      </w:r>
      <w:r w:rsidR="003F0C27" w:rsidRPr="00642C32">
        <w:rPr>
          <w:rFonts w:ascii="Times New Roman" w:hAnsi="Times New Roman" w:cs="Times New Roman"/>
          <w:color w:val="000000"/>
          <w:sz w:val="24"/>
          <w:szCs w:val="24"/>
          <w:shd w:val="clear" w:color="auto" w:fill="FFFFFF"/>
        </w:rPr>
        <w:t xml:space="preserve">speciālistu </w:t>
      </w:r>
      <w:r w:rsidRPr="00642C32">
        <w:rPr>
          <w:rFonts w:ascii="Times New Roman" w:hAnsi="Times New Roman" w:cs="Times New Roman"/>
          <w:color w:val="000000"/>
          <w:sz w:val="24"/>
          <w:szCs w:val="24"/>
          <w:shd w:val="clear" w:color="auto" w:fill="FFFFFF"/>
        </w:rPr>
        <w:t xml:space="preserve">dabaszinātņu, IKT un inženierzinātņu </w:t>
      </w:r>
      <w:r w:rsidR="003F0C27">
        <w:rPr>
          <w:rFonts w:ascii="Times New Roman" w:hAnsi="Times New Roman" w:cs="Times New Roman"/>
          <w:color w:val="000000"/>
          <w:sz w:val="24"/>
          <w:szCs w:val="24"/>
          <w:shd w:val="clear" w:color="auto" w:fill="FFFFFF"/>
        </w:rPr>
        <w:t>jomā, kā arī</w:t>
      </w:r>
      <w:r w:rsidRPr="00642C32">
        <w:rPr>
          <w:rFonts w:ascii="Times New Roman" w:hAnsi="Times New Roman" w:cs="Times New Roman"/>
          <w:color w:val="000000"/>
          <w:sz w:val="24"/>
          <w:szCs w:val="24"/>
          <w:shd w:val="clear" w:color="auto" w:fill="FFFFFF"/>
        </w:rPr>
        <w:t xml:space="preserve"> darb</w:t>
      </w:r>
      <w:r w:rsidR="007D10AE">
        <w:rPr>
          <w:rFonts w:ascii="Times New Roman" w:hAnsi="Times New Roman" w:cs="Times New Roman"/>
          <w:color w:val="000000"/>
          <w:sz w:val="24"/>
          <w:szCs w:val="24"/>
          <w:shd w:val="clear" w:color="auto" w:fill="FFFFFF"/>
        </w:rPr>
        <w:t>inieku</w:t>
      </w:r>
      <w:r w:rsidRPr="00642C32">
        <w:rPr>
          <w:rFonts w:ascii="Times New Roman" w:hAnsi="Times New Roman" w:cs="Times New Roman"/>
          <w:color w:val="000000"/>
          <w:sz w:val="24"/>
          <w:szCs w:val="24"/>
          <w:shd w:val="clear" w:color="auto" w:fill="FFFFFF"/>
        </w:rPr>
        <w:t xml:space="preserve"> ar profesionālo izglītību</w:t>
      </w:r>
      <w:r w:rsidR="007D10AE">
        <w:rPr>
          <w:rFonts w:ascii="Times New Roman" w:hAnsi="Times New Roman" w:cs="Times New Roman"/>
          <w:color w:val="000000"/>
          <w:sz w:val="24"/>
          <w:szCs w:val="24"/>
          <w:shd w:val="clear" w:color="auto" w:fill="FFFFFF"/>
        </w:rPr>
        <w:t>.</w:t>
      </w:r>
      <w:r w:rsidRPr="00642C32">
        <w:rPr>
          <w:rFonts w:ascii="Times New Roman" w:hAnsi="Times New Roman" w:cs="Times New Roman"/>
          <w:color w:val="000000"/>
          <w:sz w:val="24"/>
          <w:szCs w:val="24"/>
          <w:shd w:val="clear" w:color="auto" w:fill="FFFFFF"/>
        </w:rPr>
        <w:t xml:space="preserve"> </w:t>
      </w:r>
      <w:r w:rsidR="007D10AE">
        <w:rPr>
          <w:rFonts w:ascii="Times New Roman" w:hAnsi="Times New Roman" w:cs="Times New Roman"/>
          <w:color w:val="000000"/>
          <w:sz w:val="24"/>
          <w:szCs w:val="24"/>
          <w:shd w:val="clear" w:color="auto" w:fill="FFFFFF"/>
        </w:rPr>
        <w:t>D</w:t>
      </w:r>
      <w:r w:rsidR="007D10AE" w:rsidRPr="00642C32">
        <w:rPr>
          <w:rFonts w:ascii="Times New Roman" w:hAnsi="Times New Roman" w:cs="Times New Roman"/>
          <w:color w:val="000000"/>
          <w:sz w:val="24"/>
          <w:szCs w:val="24"/>
          <w:shd w:val="clear" w:color="auto" w:fill="FFFFFF"/>
        </w:rPr>
        <w:t xml:space="preserve">arba tirgū </w:t>
      </w:r>
      <w:r w:rsidRPr="00642C32">
        <w:rPr>
          <w:rFonts w:ascii="Times New Roman" w:hAnsi="Times New Roman" w:cs="Times New Roman"/>
          <w:color w:val="000000"/>
          <w:sz w:val="24"/>
          <w:szCs w:val="24"/>
          <w:shd w:val="clear" w:color="auto" w:fill="FFFFFF"/>
        </w:rPr>
        <w:t>ievērojams skaits jauniešu nonāk bez profesijas un ir liels mazkvalificētā darbaspēka īpatsvars</w:t>
      </w:r>
      <w:r w:rsidR="00F41699">
        <w:rPr>
          <w:rFonts w:ascii="Times New Roman" w:hAnsi="Times New Roman" w:cs="Times New Roman"/>
          <w:color w:val="000000"/>
          <w:sz w:val="24"/>
          <w:szCs w:val="24"/>
          <w:shd w:val="clear" w:color="auto" w:fill="FFFFFF"/>
        </w:rPr>
        <w:t xml:space="preserve"> </w:t>
      </w:r>
      <w:r w:rsidRPr="006F6CED">
        <w:rPr>
          <w:rFonts w:ascii="Times New Roman" w:hAnsi="Times New Roman" w:cs="Times New Roman"/>
          <w:sz w:val="24"/>
          <w:szCs w:val="24"/>
        </w:rPr>
        <w:t>(skat.</w:t>
      </w:r>
      <w:r w:rsidR="006F6CED" w:rsidRPr="006F6CED">
        <w:rPr>
          <w:rFonts w:ascii="Times New Roman" w:hAnsi="Times New Roman" w:cs="Times New Roman"/>
          <w:sz w:val="24"/>
          <w:szCs w:val="24"/>
        </w:rPr>
        <w:t xml:space="preserve"> 4.</w:t>
      </w:r>
      <w:r w:rsidR="007D10AE">
        <w:rPr>
          <w:rFonts w:ascii="Times New Roman" w:hAnsi="Times New Roman" w:cs="Times New Roman"/>
          <w:sz w:val="24"/>
          <w:szCs w:val="24"/>
        </w:rPr>
        <w:t> </w:t>
      </w:r>
      <w:r w:rsidRPr="006F6CED">
        <w:rPr>
          <w:rFonts w:ascii="Times New Roman" w:hAnsi="Times New Roman" w:cs="Times New Roman"/>
          <w:sz w:val="24"/>
          <w:szCs w:val="24"/>
        </w:rPr>
        <w:t>attēlu).</w:t>
      </w:r>
    </w:p>
    <w:p w14:paraId="350F2EF0" w14:textId="77777777" w:rsidR="00CB6F90" w:rsidRDefault="00CB6F90" w:rsidP="005908C3">
      <w:pPr>
        <w:jc w:val="right"/>
        <w:rPr>
          <w:rFonts w:ascii="Times New Roman" w:hAnsi="Times New Roman" w:cs="Times New Roman"/>
          <w:sz w:val="24"/>
          <w:szCs w:val="24"/>
        </w:rPr>
      </w:pPr>
    </w:p>
    <w:p w14:paraId="2288744C" w14:textId="77777777" w:rsidR="00CB6F90" w:rsidRDefault="00CB6F90" w:rsidP="005908C3">
      <w:pPr>
        <w:jc w:val="right"/>
        <w:rPr>
          <w:rFonts w:ascii="Times New Roman" w:hAnsi="Times New Roman" w:cs="Times New Roman"/>
          <w:sz w:val="24"/>
          <w:szCs w:val="24"/>
        </w:rPr>
      </w:pPr>
    </w:p>
    <w:p w14:paraId="67E2498B" w14:textId="77777777" w:rsidR="00CB6F90" w:rsidRDefault="00CB6F90" w:rsidP="005908C3">
      <w:pPr>
        <w:jc w:val="right"/>
        <w:rPr>
          <w:rFonts w:ascii="Times New Roman" w:hAnsi="Times New Roman" w:cs="Times New Roman"/>
          <w:sz w:val="24"/>
          <w:szCs w:val="24"/>
        </w:rPr>
      </w:pPr>
    </w:p>
    <w:p w14:paraId="6F2C53B4" w14:textId="77777777" w:rsidR="00CB6F90" w:rsidRDefault="00CB6F90" w:rsidP="005908C3">
      <w:pPr>
        <w:jc w:val="right"/>
        <w:rPr>
          <w:rFonts w:ascii="Times New Roman" w:hAnsi="Times New Roman" w:cs="Times New Roman"/>
          <w:sz w:val="24"/>
          <w:szCs w:val="24"/>
        </w:rPr>
      </w:pPr>
    </w:p>
    <w:p w14:paraId="1294040C" w14:textId="77777777" w:rsidR="00CB6F90" w:rsidRDefault="00CB6F90" w:rsidP="005908C3">
      <w:pPr>
        <w:jc w:val="right"/>
        <w:rPr>
          <w:rFonts w:ascii="Times New Roman" w:hAnsi="Times New Roman" w:cs="Times New Roman"/>
          <w:sz w:val="24"/>
          <w:szCs w:val="24"/>
        </w:rPr>
      </w:pPr>
    </w:p>
    <w:p w14:paraId="536C0A2A" w14:textId="77777777" w:rsidR="00CB6F90" w:rsidRDefault="00CB6F90" w:rsidP="005908C3">
      <w:pPr>
        <w:jc w:val="right"/>
        <w:rPr>
          <w:rFonts w:ascii="Times New Roman" w:hAnsi="Times New Roman" w:cs="Times New Roman"/>
          <w:sz w:val="24"/>
          <w:szCs w:val="24"/>
        </w:rPr>
      </w:pPr>
    </w:p>
    <w:p w14:paraId="00AEFD58" w14:textId="25FFBE2A" w:rsidR="005908C3" w:rsidRDefault="006F6CED" w:rsidP="00BB7C5B">
      <w:pPr>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4</w:t>
      </w:r>
      <w:r w:rsidR="00F41699">
        <w:rPr>
          <w:rFonts w:ascii="Times New Roman" w:hAnsi="Times New Roman" w:cs="Times New Roman"/>
          <w:sz w:val="24"/>
          <w:szCs w:val="24"/>
        </w:rPr>
        <w:t>.</w:t>
      </w:r>
      <w:r w:rsidR="007D10AE">
        <w:rPr>
          <w:rFonts w:ascii="Times New Roman" w:hAnsi="Times New Roman" w:cs="Times New Roman"/>
          <w:sz w:val="24"/>
          <w:szCs w:val="24"/>
        </w:rPr>
        <w:t> </w:t>
      </w:r>
      <w:r w:rsidR="00F41699">
        <w:rPr>
          <w:rFonts w:ascii="Times New Roman" w:hAnsi="Times New Roman" w:cs="Times New Roman"/>
          <w:sz w:val="24"/>
          <w:szCs w:val="24"/>
        </w:rPr>
        <w:t>attēls</w:t>
      </w:r>
    </w:p>
    <w:p w14:paraId="75B1334A" w14:textId="1E394103" w:rsidR="00A24207" w:rsidRDefault="00A24207" w:rsidP="00A24207">
      <w:pPr>
        <w:spacing w:after="0" w:line="240" w:lineRule="auto"/>
        <w:jc w:val="center"/>
        <w:rPr>
          <w:rFonts w:ascii="Times New Roman" w:hAnsi="Times New Roman" w:cs="Times New Roman"/>
          <w:b/>
          <w:sz w:val="24"/>
          <w:szCs w:val="24"/>
        </w:rPr>
      </w:pPr>
      <w:r w:rsidRPr="00A24207">
        <w:rPr>
          <w:rFonts w:ascii="Times New Roman" w:hAnsi="Times New Roman" w:cs="Times New Roman"/>
          <w:b/>
          <w:sz w:val="24"/>
          <w:szCs w:val="24"/>
        </w:rPr>
        <w:t>Izglītības sistēma</w:t>
      </w:r>
      <w:r w:rsidR="00CB6F90">
        <w:rPr>
          <w:rFonts w:ascii="Times New Roman" w:hAnsi="Times New Roman" w:cs="Times New Roman"/>
          <w:b/>
          <w:sz w:val="24"/>
          <w:szCs w:val="24"/>
        </w:rPr>
        <w:t>s</w:t>
      </w:r>
      <w:r w:rsidRPr="00A24207">
        <w:rPr>
          <w:rFonts w:ascii="Times New Roman" w:hAnsi="Times New Roman" w:cs="Times New Roman"/>
          <w:b/>
          <w:sz w:val="24"/>
          <w:szCs w:val="24"/>
        </w:rPr>
        <w:t xml:space="preserve"> un darba tirgus disproporcijas</w:t>
      </w:r>
      <w:r w:rsidR="00B919D2">
        <w:rPr>
          <w:rFonts w:ascii="Times New Roman" w:hAnsi="Times New Roman" w:cs="Times New Roman"/>
          <w:b/>
          <w:sz w:val="24"/>
          <w:szCs w:val="24"/>
        </w:rPr>
        <w:t xml:space="preserve"> (prognoze 2022.g)</w:t>
      </w:r>
    </w:p>
    <w:p w14:paraId="5D54B812" w14:textId="77777777" w:rsidR="00A24207" w:rsidRPr="00A24207" w:rsidRDefault="00A24207" w:rsidP="00A24207">
      <w:pPr>
        <w:spacing w:after="0" w:line="240" w:lineRule="auto"/>
        <w:jc w:val="center"/>
        <w:rPr>
          <w:rFonts w:ascii="Times New Roman" w:hAnsi="Times New Roman" w:cs="Times New Roman"/>
          <w:b/>
          <w:sz w:val="24"/>
          <w:szCs w:val="24"/>
        </w:rPr>
      </w:pPr>
    </w:p>
    <w:p w14:paraId="5439C015" w14:textId="77777777" w:rsidR="005908C3" w:rsidRPr="003F2B9C" w:rsidRDefault="005908C3" w:rsidP="006F6CED">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52D207E3" wp14:editId="7C1929D9">
            <wp:extent cx="5322300" cy="3212327"/>
            <wp:effectExtent l="0" t="0" r="0" b="7620"/>
            <wp:docPr id="12" name="Picture 12" descr="C:\Users\PKCEP\AppData\Local\Microsoft\Windows\Temporary Internet Files\Content.Outlook\JTALO2K4\Darba tirgus disproporcij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KCEP\AppData\Local\Microsoft\Windows\Temporary Internet Files\Content.Outlook\JTALO2K4\Darba tirgus disproporcija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2015" cy="3212155"/>
                    </a:xfrm>
                    <a:prstGeom prst="rect">
                      <a:avLst/>
                    </a:prstGeom>
                    <a:noFill/>
                    <a:ln>
                      <a:noFill/>
                    </a:ln>
                  </pic:spPr>
                </pic:pic>
              </a:graphicData>
            </a:graphic>
          </wp:inline>
        </w:drawing>
      </w:r>
    </w:p>
    <w:p w14:paraId="468AB86D" w14:textId="77777777" w:rsidR="005908C3" w:rsidRPr="00CB6F90" w:rsidRDefault="005908C3" w:rsidP="005908C3">
      <w:pPr>
        <w:jc w:val="both"/>
        <w:rPr>
          <w:rFonts w:ascii="Times New Roman" w:hAnsi="Times New Roman" w:cs="Times New Roman"/>
          <w:sz w:val="20"/>
          <w:szCs w:val="20"/>
        </w:rPr>
      </w:pPr>
      <w:r w:rsidRPr="00CB6F90">
        <w:rPr>
          <w:rFonts w:ascii="Times New Roman" w:hAnsi="Times New Roman" w:cs="Times New Roman"/>
          <w:sz w:val="20"/>
          <w:szCs w:val="20"/>
        </w:rPr>
        <w:t>Avots: EM</w:t>
      </w:r>
    </w:p>
    <w:p w14:paraId="66D11506" w14:textId="72CEC3DF" w:rsidR="009E361A" w:rsidRDefault="003F2B9C" w:rsidP="002C767D">
      <w:pPr>
        <w:jc w:val="both"/>
        <w:rPr>
          <w:rFonts w:ascii="Times New Roman" w:hAnsi="Times New Roman" w:cs="Times New Roman"/>
          <w:sz w:val="24"/>
          <w:szCs w:val="24"/>
        </w:rPr>
      </w:pPr>
      <w:r w:rsidRPr="003F2B9C">
        <w:rPr>
          <w:rFonts w:ascii="Times New Roman" w:hAnsi="Times New Roman" w:cs="Times New Roman"/>
          <w:sz w:val="24"/>
          <w:szCs w:val="24"/>
        </w:rPr>
        <w:t>Līdz ar to, reaģējot uz darba tirgus vidēja termiņa izaicinājumiem, izšķiroša ir saskaņota valsts institūciju un NVO sadarbība darba tirgus pārmaiņu paredzēšanā un nepieciešamo pārkārtojumu ieviešanā. Ņemot vērā, ka līdz šim darbojošās sadarbības padomes ir specifiskas un kompleksi neaptver visus jautājumus, kas skar darba tirgu</w:t>
      </w:r>
      <w:r w:rsidR="007B3D71">
        <w:rPr>
          <w:rFonts w:ascii="Times New Roman" w:hAnsi="Times New Roman" w:cs="Times New Roman"/>
          <w:sz w:val="24"/>
          <w:szCs w:val="24"/>
        </w:rPr>
        <w:t>, š.</w:t>
      </w:r>
      <w:r w:rsidR="007D10AE">
        <w:rPr>
          <w:rFonts w:ascii="Times New Roman" w:hAnsi="Times New Roman" w:cs="Times New Roman"/>
          <w:sz w:val="24"/>
          <w:szCs w:val="24"/>
        </w:rPr>
        <w:t> </w:t>
      </w:r>
      <w:r w:rsidR="007B3D71">
        <w:rPr>
          <w:rFonts w:ascii="Times New Roman" w:hAnsi="Times New Roman" w:cs="Times New Roman"/>
          <w:sz w:val="24"/>
          <w:szCs w:val="24"/>
        </w:rPr>
        <w:t>g. </w:t>
      </w:r>
      <w:r w:rsidRPr="003F2B9C">
        <w:rPr>
          <w:rFonts w:ascii="Times New Roman" w:hAnsi="Times New Roman" w:cs="Times New Roman"/>
          <w:sz w:val="24"/>
          <w:szCs w:val="24"/>
        </w:rPr>
        <w:t>jūlijā ir izveidota Nodarbinātības padome, lai ekonomikas, izglītības un zinātnes un labklājības ministru līmenī lemtu par saskaņotu rīcību</w:t>
      </w:r>
      <w:r w:rsidR="003F0C27">
        <w:rPr>
          <w:rFonts w:ascii="Times New Roman" w:hAnsi="Times New Roman" w:cs="Times New Roman"/>
          <w:sz w:val="24"/>
          <w:szCs w:val="24"/>
        </w:rPr>
        <w:t>,</w:t>
      </w:r>
      <w:r w:rsidRPr="003F2B9C">
        <w:rPr>
          <w:rFonts w:ascii="Times New Roman" w:hAnsi="Times New Roman" w:cs="Times New Roman"/>
          <w:sz w:val="24"/>
          <w:szCs w:val="24"/>
        </w:rPr>
        <w:t xml:space="preserve"> </w:t>
      </w:r>
      <w:r w:rsidR="003F0C27" w:rsidRPr="003F2B9C">
        <w:rPr>
          <w:rFonts w:ascii="Times New Roman" w:hAnsi="Times New Roman" w:cs="Times New Roman"/>
          <w:sz w:val="24"/>
          <w:szCs w:val="24"/>
        </w:rPr>
        <w:t>izstrād</w:t>
      </w:r>
      <w:r w:rsidR="003F0C27">
        <w:rPr>
          <w:rFonts w:ascii="Times New Roman" w:hAnsi="Times New Roman" w:cs="Times New Roman"/>
          <w:sz w:val="24"/>
          <w:szCs w:val="24"/>
        </w:rPr>
        <w:t>ājot</w:t>
      </w:r>
      <w:r w:rsidR="003F0C27" w:rsidRPr="003F2B9C">
        <w:rPr>
          <w:rFonts w:ascii="Times New Roman" w:hAnsi="Times New Roman" w:cs="Times New Roman"/>
          <w:sz w:val="24"/>
          <w:szCs w:val="24"/>
        </w:rPr>
        <w:t xml:space="preserve"> un īsteno</w:t>
      </w:r>
      <w:r w:rsidR="003F0C27">
        <w:rPr>
          <w:rFonts w:ascii="Times New Roman" w:hAnsi="Times New Roman" w:cs="Times New Roman"/>
          <w:sz w:val="24"/>
          <w:szCs w:val="24"/>
        </w:rPr>
        <w:t>jot</w:t>
      </w:r>
      <w:r w:rsidR="003F0C27" w:rsidRPr="003F2B9C">
        <w:rPr>
          <w:rFonts w:ascii="Times New Roman" w:hAnsi="Times New Roman" w:cs="Times New Roman"/>
          <w:sz w:val="24"/>
          <w:szCs w:val="24"/>
        </w:rPr>
        <w:t xml:space="preserve"> </w:t>
      </w:r>
      <w:r w:rsidRPr="003F2B9C">
        <w:rPr>
          <w:rFonts w:ascii="Times New Roman" w:hAnsi="Times New Roman" w:cs="Times New Roman"/>
          <w:sz w:val="24"/>
          <w:szCs w:val="24"/>
        </w:rPr>
        <w:t>efektīv</w:t>
      </w:r>
      <w:r w:rsidR="003F0C27">
        <w:rPr>
          <w:rFonts w:ascii="Times New Roman" w:hAnsi="Times New Roman" w:cs="Times New Roman"/>
          <w:sz w:val="24"/>
          <w:szCs w:val="24"/>
        </w:rPr>
        <w:t>u</w:t>
      </w:r>
      <w:r w:rsidRPr="003F2B9C">
        <w:rPr>
          <w:rFonts w:ascii="Times New Roman" w:hAnsi="Times New Roman" w:cs="Times New Roman"/>
          <w:sz w:val="24"/>
          <w:szCs w:val="24"/>
        </w:rPr>
        <w:t xml:space="preserve"> rīcībpolitik</w:t>
      </w:r>
      <w:r w:rsidR="003F0C27">
        <w:rPr>
          <w:rFonts w:ascii="Times New Roman" w:hAnsi="Times New Roman" w:cs="Times New Roman"/>
          <w:sz w:val="24"/>
          <w:szCs w:val="24"/>
        </w:rPr>
        <w:t>u</w:t>
      </w:r>
      <w:r w:rsidRPr="003F2B9C">
        <w:rPr>
          <w:rFonts w:ascii="Times New Roman" w:hAnsi="Times New Roman" w:cs="Times New Roman"/>
          <w:sz w:val="24"/>
          <w:szCs w:val="24"/>
        </w:rPr>
        <w:t xml:space="preserve"> darba tirgus dispropo</w:t>
      </w:r>
      <w:r w:rsidR="00441F33">
        <w:rPr>
          <w:rFonts w:ascii="Times New Roman" w:hAnsi="Times New Roman" w:cs="Times New Roman"/>
          <w:sz w:val="24"/>
          <w:szCs w:val="24"/>
        </w:rPr>
        <w:t xml:space="preserve">rciju mazināšanai. </w:t>
      </w:r>
      <w:r w:rsidR="00B014EA" w:rsidRPr="00B014EA">
        <w:rPr>
          <w:rFonts w:ascii="Times New Roman" w:hAnsi="Times New Roman" w:cs="Times New Roman"/>
          <w:sz w:val="24"/>
          <w:szCs w:val="24"/>
        </w:rPr>
        <w:t>Līdz šim ir notikušas trīs ministru sanāksmes, risinot jautājumus, kas saistīti ar mazkvalificēta darbaspēka prasmju attīstību</w:t>
      </w:r>
      <w:r w:rsidR="00363DC1">
        <w:rPr>
          <w:rFonts w:ascii="Times New Roman" w:hAnsi="Times New Roman" w:cs="Times New Roman"/>
          <w:sz w:val="24"/>
          <w:szCs w:val="24"/>
        </w:rPr>
        <w:t xml:space="preserve"> un pieaugušo izglītības piedāvājumu. </w:t>
      </w:r>
      <w:r w:rsidR="00B014EA" w:rsidRPr="00B014EA">
        <w:rPr>
          <w:rFonts w:ascii="Times New Roman" w:hAnsi="Times New Roman" w:cs="Times New Roman"/>
          <w:sz w:val="24"/>
          <w:szCs w:val="24"/>
        </w:rPr>
        <w:t>Ir panākta vienošanās, ka</w:t>
      </w:r>
      <w:r w:rsidR="007D10AE">
        <w:rPr>
          <w:rFonts w:ascii="Times New Roman" w:hAnsi="Times New Roman" w:cs="Times New Roman"/>
          <w:sz w:val="24"/>
          <w:szCs w:val="24"/>
        </w:rPr>
        <w:t>,</w:t>
      </w:r>
      <w:r w:rsidR="00B014EA" w:rsidRPr="00B014EA">
        <w:rPr>
          <w:rFonts w:ascii="Times New Roman" w:hAnsi="Times New Roman" w:cs="Times New Roman"/>
          <w:sz w:val="24"/>
          <w:szCs w:val="24"/>
        </w:rPr>
        <w:t xml:space="preserve"> veidojot pieaugušo izglītības piedāvājumu, procedūrās aktīvi tiek iesaistīti EM speciālisti un darba devēji, nodrošinot pēc iespējas precīzāku piedāvājuma saskaņošanu ar darba tirgus vajadzībām un </w:t>
      </w:r>
      <w:r w:rsidR="0097535B" w:rsidRPr="0097535B">
        <w:rPr>
          <w:rFonts w:ascii="Times New Roman" w:hAnsi="Times New Roman" w:cs="Times New Roman"/>
          <w:sz w:val="24"/>
          <w:szCs w:val="24"/>
        </w:rPr>
        <w:t>iz</w:t>
      </w:r>
      <w:r w:rsidR="00B014EA" w:rsidRPr="0097535B">
        <w:rPr>
          <w:rFonts w:ascii="Times New Roman" w:hAnsi="Times New Roman" w:cs="Times New Roman"/>
          <w:sz w:val="24"/>
          <w:szCs w:val="24"/>
        </w:rPr>
        <w:t>strādājot</w:t>
      </w:r>
      <w:r w:rsidR="00B014EA" w:rsidRPr="00B014EA">
        <w:rPr>
          <w:rFonts w:ascii="Times New Roman" w:hAnsi="Times New Roman" w:cs="Times New Roman"/>
          <w:sz w:val="24"/>
          <w:szCs w:val="24"/>
        </w:rPr>
        <w:t xml:space="preserve"> efektīvākās darbaspēka uzlabošanas stratēģijas. Ir akcentēta nepieciešamība veidot ilgtspējīgu, elastīgu un vispusīgu pieaugušo izglītības sistēmu, tostarp ieviešot tādus privātā sektora un izglītības iestāžu motivācijas mehānismus, kas veicinātu privātā sektora </w:t>
      </w:r>
      <w:r w:rsidR="001671B5">
        <w:rPr>
          <w:rFonts w:ascii="Times New Roman" w:hAnsi="Times New Roman" w:cs="Times New Roman"/>
          <w:sz w:val="24"/>
          <w:szCs w:val="24"/>
        </w:rPr>
        <w:t>ieguldījuma</w:t>
      </w:r>
      <w:r w:rsidR="00B014EA" w:rsidRPr="00B014EA">
        <w:rPr>
          <w:rFonts w:ascii="Times New Roman" w:hAnsi="Times New Roman" w:cs="Times New Roman"/>
          <w:sz w:val="24"/>
          <w:szCs w:val="24"/>
        </w:rPr>
        <w:t xml:space="preserve"> palielināšanu. Uzsākta diskusija par mehānismiem un atbalsta pasākumiem profesionālās izglītības iestāžu (PIKC) motivēšanai ie</w:t>
      </w:r>
      <w:r w:rsidR="00363DC1">
        <w:rPr>
          <w:rFonts w:ascii="Times New Roman" w:hAnsi="Times New Roman" w:cs="Times New Roman"/>
          <w:sz w:val="24"/>
          <w:szCs w:val="24"/>
        </w:rPr>
        <w:t xml:space="preserve">saistīties pieaugušo izglītībā. </w:t>
      </w:r>
      <w:r w:rsidR="00B014EA" w:rsidRPr="00B014EA">
        <w:rPr>
          <w:rFonts w:ascii="Times New Roman" w:hAnsi="Times New Roman" w:cs="Times New Roman"/>
          <w:sz w:val="24"/>
          <w:szCs w:val="24"/>
        </w:rPr>
        <w:t xml:space="preserve">Lai mazinātu </w:t>
      </w:r>
      <w:r w:rsidR="007D10AE">
        <w:rPr>
          <w:rFonts w:ascii="Times New Roman" w:hAnsi="Times New Roman" w:cs="Times New Roman"/>
          <w:sz w:val="24"/>
          <w:szCs w:val="24"/>
        </w:rPr>
        <w:t xml:space="preserve">to </w:t>
      </w:r>
      <w:r w:rsidR="00B014EA" w:rsidRPr="00B014EA">
        <w:rPr>
          <w:rFonts w:ascii="Times New Roman" w:hAnsi="Times New Roman" w:cs="Times New Roman"/>
          <w:sz w:val="24"/>
          <w:szCs w:val="24"/>
        </w:rPr>
        <w:t>jauniešu skaitu, kas nonāk darba tirgū bez prasmēm, pārrunātas iespējamās reformas vidusskolas posma pielāgošanai nākotnes darba tirgus vajadzībām, tostarp arī jautājums par skolu tīkla sakārtošanu. Vēl šajā gadā paredzēts vienoties par iespējamiem risinājumiem</w:t>
      </w:r>
      <w:r w:rsidR="007D10AE">
        <w:rPr>
          <w:rFonts w:ascii="Times New Roman" w:hAnsi="Times New Roman" w:cs="Times New Roman"/>
          <w:sz w:val="24"/>
          <w:szCs w:val="24"/>
        </w:rPr>
        <w:t>, lai</w:t>
      </w:r>
      <w:r w:rsidR="00B014EA" w:rsidRPr="00B014EA">
        <w:rPr>
          <w:rFonts w:ascii="Times New Roman" w:hAnsi="Times New Roman" w:cs="Times New Roman"/>
          <w:sz w:val="24"/>
          <w:szCs w:val="24"/>
        </w:rPr>
        <w:t xml:space="preserve"> </w:t>
      </w:r>
      <w:r w:rsidR="007D10AE" w:rsidRPr="00B014EA">
        <w:rPr>
          <w:rFonts w:ascii="Times New Roman" w:hAnsi="Times New Roman" w:cs="Times New Roman"/>
          <w:sz w:val="24"/>
          <w:szCs w:val="24"/>
        </w:rPr>
        <w:t>nodrošinā</w:t>
      </w:r>
      <w:r w:rsidR="007D10AE">
        <w:rPr>
          <w:rFonts w:ascii="Times New Roman" w:hAnsi="Times New Roman" w:cs="Times New Roman"/>
          <w:sz w:val="24"/>
          <w:szCs w:val="24"/>
        </w:rPr>
        <w:t>tu</w:t>
      </w:r>
      <w:r w:rsidR="007D10AE" w:rsidRPr="00B014EA">
        <w:rPr>
          <w:rFonts w:ascii="Times New Roman" w:hAnsi="Times New Roman" w:cs="Times New Roman"/>
          <w:sz w:val="24"/>
          <w:szCs w:val="24"/>
        </w:rPr>
        <w:t xml:space="preserve"> </w:t>
      </w:r>
      <w:r w:rsidR="00B014EA" w:rsidRPr="00B014EA">
        <w:rPr>
          <w:rFonts w:ascii="Times New Roman" w:hAnsi="Times New Roman" w:cs="Times New Roman"/>
          <w:sz w:val="24"/>
          <w:szCs w:val="24"/>
        </w:rPr>
        <w:t>būvniecības nozar</w:t>
      </w:r>
      <w:r w:rsidR="007D10AE">
        <w:rPr>
          <w:rFonts w:ascii="Times New Roman" w:hAnsi="Times New Roman" w:cs="Times New Roman"/>
          <w:sz w:val="24"/>
          <w:szCs w:val="24"/>
        </w:rPr>
        <w:t>ei</w:t>
      </w:r>
      <w:r w:rsidR="00B014EA" w:rsidRPr="00B014EA">
        <w:rPr>
          <w:rFonts w:ascii="Times New Roman" w:hAnsi="Times New Roman" w:cs="Times New Roman"/>
          <w:sz w:val="24"/>
          <w:szCs w:val="24"/>
        </w:rPr>
        <w:t xml:space="preserve"> nepieciešam</w:t>
      </w:r>
      <w:r w:rsidR="007D10AE">
        <w:rPr>
          <w:rFonts w:ascii="Times New Roman" w:hAnsi="Times New Roman" w:cs="Times New Roman"/>
          <w:sz w:val="24"/>
          <w:szCs w:val="24"/>
        </w:rPr>
        <w:t>o</w:t>
      </w:r>
      <w:r w:rsidR="00B014EA" w:rsidRPr="00B014EA">
        <w:rPr>
          <w:rFonts w:ascii="Times New Roman" w:hAnsi="Times New Roman" w:cs="Times New Roman"/>
          <w:sz w:val="24"/>
          <w:szCs w:val="24"/>
        </w:rPr>
        <w:t xml:space="preserve"> darbaspēk</w:t>
      </w:r>
      <w:r w:rsidR="007D10AE">
        <w:rPr>
          <w:rFonts w:ascii="Times New Roman" w:hAnsi="Times New Roman" w:cs="Times New Roman"/>
          <w:sz w:val="24"/>
          <w:szCs w:val="24"/>
        </w:rPr>
        <w:t>u</w:t>
      </w:r>
      <w:r w:rsidR="00B014EA" w:rsidRPr="00B014EA">
        <w:rPr>
          <w:rFonts w:ascii="Times New Roman" w:hAnsi="Times New Roman" w:cs="Times New Roman"/>
          <w:sz w:val="24"/>
          <w:szCs w:val="24"/>
        </w:rPr>
        <w:t xml:space="preserve"> (t.</w:t>
      </w:r>
      <w:r w:rsidR="007D10AE">
        <w:rPr>
          <w:rFonts w:ascii="Times New Roman" w:hAnsi="Times New Roman" w:cs="Times New Roman"/>
          <w:sz w:val="24"/>
          <w:szCs w:val="24"/>
        </w:rPr>
        <w:t> </w:t>
      </w:r>
      <w:r w:rsidR="00B014EA" w:rsidRPr="00B014EA">
        <w:rPr>
          <w:rFonts w:ascii="Times New Roman" w:hAnsi="Times New Roman" w:cs="Times New Roman"/>
          <w:sz w:val="24"/>
          <w:szCs w:val="24"/>
        </w:rPr>
        <w:t>sk. atbilstoša mācību piedāvājuma veidošana izglītības iestādēs) saistībā ar ES fondu proje</w:t>
      </w:r>
      <w:r w:rsidR="009E361A">
        <w:rPr>
          <w:rFonts w:ascii="Times New Roman" w:hAnsi="Times New Roman" w:cs="Times New Roman"/>
          <w:sz w:val="24"/>
          <w:szCs w:val="24"/>
        </w:rPr>
        <w:t>ktu īstenošanu tuvākajos gados.</w:t>
      </w:r>
    </w:p>
    <w:p w14:paraId="10E06EC2" w14:textId="1841D7EA" w:rsidR="006B0706" w:rsidRDefault="00E057ED" w:rsidP="00B02009">
      <w:pPr>
        <w:pStyle w:val="Heading2"/>
      </w:pPr>
      <w:bookmarkStart w:id="13" w:name="_Toc465349530"/>
      <w:bookmarkStart w:id="14" w:name="_Toc465089708"/>
      <w:r>
        <w:lastRenderedPageBreak/>
        <w:t> </w:t>
      </w:r>
      <w:bookmarkStart w:id="15" w:name="_Toc466466855"/>
      <w:r w:rsidR="006B0706" w:rsidRPr="00547A06">
        <w:t>Tiesu sistēma</w:t>
      </w:r>
      <w:bookmarkEnd w:id="13"/>
      <w:bookmarkEnd w:id="14"/>
      <w:bookmarkEnd w:id="15"/>
    </w:p>
    <w:p w14:paraId="0D05D429" w14:textId="56540983" w:rsidR="006B0706" w:rsidRDefault="006B0706" w:rsidP="006B0706">
      <w:pPr>
        <w:jc w:val="both"/>
        <w:rPr>
          <w:rFonts w:ascii="Times New Roman" w:hAnsi="Times New Roman" w:cs="Times New Roman"/>
          <w:sz w:val="24"/>
          <w:szCs w:val="24"/>
        </w:rPr>
      </w:pPr>
      <w:r w:rsidRPr="00B1163A">
        <w:rPr>
          <w:rFonts w:ascii="Times New Roman" w:hAnsi="Times New Roman" w:cs="Times New Roman"/>
          <w:sz w:val="24"/>
          <w:szCs w:val="24"/>
        </w:rPr>
        <w:t>Efektīva un caurskatāma tiesu darbība ir neatņemam</w:t>
      </w:r>
      <w:r>
        <w:rPr>
          <w:rFonts w:ascii="Times New Roman" w:hAnsi="Times New Roman" w:cs="Times New Roman"/>
          <w:sz w:val="24"/>
          <w:szCs w:val="24"/>
        </w:rPr>
        <w:t>a</w:t>
      </w:r>
      <w:r w:rsidRPr="00B1163A">
        <w:rPr>
          <w:rFonts w:ascii="Times New Roman" w:hAnsi="Times New Roman" w:cs="Times New Roman"/>
          <w:sz w:val="24"/>
          <w:szCs w:val="24"/>
        </w:rPr>
        <w:t xml:space="preserve"> </w:t>
      </w:r>
      <w:r>
        <w:rPr>
          <w:rFonts w:ascii="Times New Roman" w:hAnsi="Times New Roman" w:cs="Times New Roman"/>
          <w:sz w:val="24"/>
          <w:szCs w:val="24"/>
        </w:rPr>
        <w:t>tautsaimniecības izaugsmes sastāvdaļa, jo tā ir</w:t>
      </w:r>
      <w:r w:rsidR="00F213F3">
        <w:rPr>
          <w:rFonts w:ascii="Times New Roman" w:hAnsi="Times New Roman" w:cs="Times New Roman"/>
          <w:sz w:val="24"/>
          <w:szCs w:val="24"/>
        </w:rPr>
        <w:t xml:space="preserve"> </w:t>
      </w:r>
      <w:r w:rsidRPr="00B1163A">
        <w:rPr>
          <w:rFonts w:ascii="Times New Roman" w:hAnsi="Times New Roman" w:cs="Times New Roman"/>
          <w:sz w:val="24"/>
          <w:szCs w:val="24"/>
        </w:rPr>
        <w:t>viens no galvenajiem kritērijiem investīciju lēmum</w:t>
      </w:r>
      <w:r>
        <w:rPr>
          <w:rFonts w:ascii="Times New Roman" w:hAnsi="Times New Roman" w:cs="Times New Roman"/>
          <w:sz w:val="24"/>
          <w:szCs w:val="24"/>
        </w:rPr>
        <w:t>u</w:t>
      </w:r>
      <w:r w:rsidRPr="00B1163A">
        <w:rPr>
          <w:rFonts w:ascii="Times New Roman" w:hAnsi="Times New Roman" w:cs="Times New Roman"/>
          <w:sz w:val="24"/>
          <w:szCs w:val="24"/>
        </w:rPr>
        <w:t xml:space="preserve"> pieņemšanā, kā arī svarīgs nosacījums valsts konkurētspējas celšanai. Ilgtermiņā Latviju sagaida izaicinājumi, kuru savlaicīga nerisināšana, kā arī iesākto reformu novilcināšana var kavēt </w:t>
      </w:r>
      <w:r>
        <w:rPr>
          <w:rFonts w:ascii="Times New Roman" w:hAnsi="Times New Roman" w:cs="Times New Roman"/>
          <w:sz w:val="24"/>
          <w:szCs w:val="24"/>
        </w:rPr>
        <w:t>tautsaimniecības izaugsmi</w:t>
      </w:r>
      <w:r w:rsidRPr="00B1163A">
        <w:rPr>
          <w:rFonts w:ascii="Times New Roman" w:hAnsi="Times New Roman" w:cs="Times New Roman"/>
          <w:sz w:val="24"/>
          <w:szCs w:val="24"/>
        </w:rPr>
        <w:t xml:space="preserve">. </w:t>
      </w:r>
      <w:r w:rsidR="00FD1974">
        <w:rPr>
          <w:rFonts w:ascii="Times New Roman" w:hAnsi="Times New Roman" w:cs="Times New Roman"/>
          <w:sz w:val="24"/>
          <w:szCs w:val="24"/>
        </w:rPr>
        <w:t>Tāpēc</w:t>
      </w:r>
      <w:r w:rsidRPr="00B1163A">
        <w:rPr>
          <w:rFonts w:ascii="Times New Roman" w:hAnsi="Times New Roman" w:cs="Times New Roman"/>
          <w:sz w:val="24"/>
          <w:szCs w:val="24"/>
        </w:rPr>
        <w:t xml:space="preserve"> Latvijai aktīvi jāveido tāds valsts tēls, kurā centrālo lomu ieņem uzņēmējdarbībai labvēlīga tiesiska vide. </w:t>
      </w:r>
    </w:p>
    <w:p w14:paraId="33A8D30B" w14:textId="15E5FEBE" w:rsidR="006B0706" w:rsidRPr="00B1163A" w:rsidRDefault="006B0706" w:rsidP="006B0706">
      <w:pPr>
        <w:jc w:val="both"/>
        <w:rPr>
          <w:rFonts w:ascii="Times New Roman" w:hAnsi="Times New Roman" w:cs="Times New Roman"/>
          <w:sz w:val="24"/>
          <w:szCs w:val="24"/>
        </w:rPr>
      </w:pPr>
      <w:r w:rsidRPr="00B1163A">
        <w:rPr>
          <w:rFonts w:ascii="Times New Roman" w:hAnsi="Times New Roman" w:cs="Times New Roman"/>
          <w:sz w:val="24"/>
          <w:szCs w:val="24"/>
        </w:rPr>
        <w:t>Tādēļ mērķtiecīgs darbs kritisko jautājumu risināšan</w:t>
      </w:r>
      <w:r w:rsidR="006C0131">
        <w:rPr>
          <w:rFonts w:ascii="Times New Roman" w:hAnsi="Times New Roman" w:cs="Times New Roman"/>
          <w:sz w:val="24"/>
          <w:szCs w:val="24"/>
        </w:rPr>
        <w:t>ā</w:t>
      </w:r>
      <w:r>
        <w:rPr>
          <w:rFonts w:ascii="Times New Roman" w:hAnsi="Times New Roman" w:cs="Times New Roman"/>
          <w:sz w:val="24"/>
          <w:szCs w:val="24"/>
        </w:rPr>
        <w:t xml:space="preserve"> ir valdības prioritāšu sarakstā</w:t>
      </w:r>
      <w:r w:rsidR="004B4D27">
        <w:rPr>
          <w:rFonts w:ascii="Times New Roman" w:hAnsi="Times New Roman" w:cs="Times New Roman"/>
          <w:sz w:val="24"/>
          <w:szCs w:val="24"/>
        </w:rPr>
        <w:t> </w:t>
      </w:r>
      <w:r w:rsidR="00FD1974">
        <w:rPr>
          <w:rFonts w:ascii="Times New Roman" w:hAnsi="Times New Roman" w:cs="Times New Roman"/>
          <w:sz w:val="24"/>
          <w:szCs w:val="24"/>
        </w:rPr>
        <w:t xml:space="preserve">– </w:t>
      </w:r>
      <w:r w:rsidRPr="00B1163A">
        <w:rPr>
          <w:rFonts w:ascii="Times New Roman" w:hAnsi="Times New Roman" w:cs="Times New Roman"/>
          <w:sz w:val="24"/>
          <w:szCs w:val="24"/>
        </w:rPr>
        <w:t>tiek īstenoti pasākumi, lai nodrošinātu lietu savlaicīgāku izskatīšanu un samazinātu lietu izskatīšanas laiku</w:t>
      </w:r>
      <w:r w:rsidR="007D10AE">
        <w:rPr>
          <w:rFonts w:ascii="Times New Roman" w:hAnsi="Times New Roman" w:cs="Times New Roman"/>
          <w:sz w:val="24"/>
          <w:szCs w:val="24"/>
        </w:rPr>
        <w:t>.</w:t>
      </w:r>
      <w:r w:rsidRPr="00B1163A">
        <w:rPr>
          <w:rFonts w:ascii="Times New Roman" w:hAnsi="Times New Roman" w:cs="Times New Roman"/>
          <w:sz w:val="24"/>
          <w:szCs w:val="24"/>
        </w:rPr>
        <w:t xml:space="preserve"> </w:t>
      </w:r>
      <w:r w:rsidR="007D10AE">
        <w:rPr>
          <w:rFonts w:ascii="Times New Roman" w:hAnsi="Times New Roman" w:cs="Times New Roman"/>
          <w:sz w:val="24"/>
          <w:szCs w:val="24"/>
        </w:rPr>
        <w:t>S</w:t>
      </w:r>
      <w:r w:rsidRPr="00B1163A">
        <w:rPr>
          <w:rFonts w:ascii="Times New Roman" w:hAnsi="Times New Roman" w:cs="Times New Roman"/>
          <w:sz w:val="24"/>
          <w:szCs w:val="24"/>
        </w:rPr>
        <w:t>avukārt</w:t>
      </w:r>
      <w:r w:rsidR="007D10AE">
        <w:rPr>
          <w:rFonts w:ascii="Times New Roman" w:hAnsi="Times New Roman" w:cs="Times New Roman"/>
          <w:sz w:val="24"/>
          <w:szCs w:val="24"/>
        </w:rPr>
        <w:t>,</w:t>
      </w:r>
      <w:r w:rsidRPr="00B1163A">
        <w:rPr>
          <w:rFonts w:ascii="Times New Roman" w:hAnsi="Times New Roman" w:cs="Times New Roman"/>
          <w:sz w:val="24"/>
          <w:szCs w:val="24"/>
        </w:rPr>
        <w:t xml:space="preserve"> lai uzlabotu uzņēmējdarbības vidi un investoru tiesisko aizsardzību, ir uzsāktas maksātnespējas procesa reformas. </w:t>
      </w:r>
    </w:p>
    <w:p w14:paraId="6516DF17" w14:textId="77777777" w:rsidR="000512F9" w:rsidRPr="006B0706" w:rsidRDefault="000512F9" w:rsidP="000512F9">
      <w:pPr>
        <w:rPr>
          <w:rFonts w:ascii="Times New Roman" w:hAnsi="Times New Roman" w:cs="Times New Roman"/>
          <w:b/>
          <w:color w:val="548DD4" w:themeColor="text2" w:themeTint="99"/>
          <w:sz w:val="24"/>
          <w:szCs w:val="24"/>
        </w:rPr>
      </w:pPr>
      <w:r w:rsidRPr="006B0706">
        <w:rPr>
          <w:rFonts w:ascii="Times New Roman" w:hAnsi="Times New Roman" w:cs="Times New Roman"/>
          <w:b/>
          <w:color w:val="548DD4" w:themeColor="text2" w:themeTint="99"/>
          <w:sz w:val="24"/>
          <w:szCs w:val="24"/>
        </w:rPr>
        <w:t>Tiesu sistēmas caurskatāma un efektīva darbība</w:t>
      </w:r>
    </w:p>
    <w:p w14:paraId="397968AC" w14:textId="4120D9E5" w:rsidR="000512F9" w:rsidRDefault="000512F9" w:rsidP="000512F9">
      <w:pPr>
        <w:jc w:val="both"/>
        <w:rPr>
          <w:rFonts w:ascii="Times New Roman" w:hAnsi="Times New Roman" w:cs="Times New Roman"/>
          <w:sz w:val="24"/>
          <w:szCs w:val="24"/>
        </w:rPr>
      </w:pPr>
      <w:r w:rsidRPr="00C216EF">
        <w:rPr>
          <w:rFonts w:ascii="Times New Roman" w:hAnsi="Times New Roman" w:cs="Times New Roman"/>
          <w:sz w:val="24"/>
          <w:szCs w:val="24"/>
        </w:rPr>
        <w:t>Tiesiskās vides stiprināšanā vērojams progress</w:t>
      </w:r>
      <w:r w:rsidR="00FD1974">
        <w:rPr>
          <w:rFonts w:ascii="Times New Roman" w:hAnsi="Times New Roman" w:cs="Times New Roman"/>
          <w:sz w:val="24"/>
          <w:szCs w:val="24"/>
        </w:rPr>
        <w:t>,</w:t>
      </w:r>
      <w:r w:rsidRPr="00C216EF">
        <w:rPr>
          <w:rFonts w:ascii="Times New Roman" w:hAnsi="Times New Roman" w:cs="Times New Roman"/>
          <w:sz w:val="24"/>
          <w:szCs w:val="24"/>
        </w:rPr>
        <w:t xml:space="preserve"> un ir tu</w:t>
      </w:r>
      <w:r w:rsidR="007D10AE">
        <w:rPr>
          <w:rFonts w:ascii="Times New Roman" w:hAnsi="Times New Roman" w:cs="Times New Roman"/>
          <w:sz w:val="24"/>
          <w:szCs w:val="24"/>
        </w:rPr>
        <w:t>r</w:t>
      </w:r>
      <w:r w:rsidRPr="00C216EF">
        <w:rPr>
          <w:rFonts w:ascii="Times New Roman" w:hAnsi="Times New Roman" w:cs="Times New Roman"/>
          <w:sz w:val="24"/>
          <w:szCs w:val="24"/>
        </w:rPr>
        <w:t xml:space="preserve">pināms darbs pie tiesu darba </w:t>
      </w:r>
      <w:proofErr w:type="spellStart"/>
      <w:r w:rsidRPr="00C216EF">
        <w:rPr>
          <w:rFonts w:ascii="Times New Roman" w:hAnsi="Times New Roman" w:cs="Times New Roman"/>
          <w:sz w:val="24"/>
          <w:szCs w:val="24"/>
        </w:rPr>
        <w:t>efektivizēšanas</w:t>
      </w:r>
      <w:proofErr w:type="spellEnd"/>
      <w:r w:rsidRPr="00C216EF">
        <w:rPr>
          <w:rFonts w:ascii="Times New Roman" w:hAnsi="Times New Roman" w:cs="Times New Roman"/>
          <w:sz w:val="24"/>
          <w:szCs w:val="24"/>
        </w:rPr>
        <w:t>, izlīdzinot tiesvedības termiņus un panākot lielāku uzticamību tiesu sistēmai</w:t>
      </w:r>
      <w:r w:rsidR="006C0131">
        <w:rPr>
          <w:rFonts w:ascii="Times New Roman" w:hAnsi="Times New Roman" w:cs="Times New Roman"/>
          <w:sz w:val="24"/>
          <w:szCs w:val="24"/>
        </w:rPr>
        <w:t>,</w:t>
      </w:r>
      <w:r w:rsidRPr="00C216EF">
        <w:rPr>
          <w:rFonts w:ascii="Times New Roman" w:hAnsi="Times New Roman" w:cs="Times New Roman"/>
          <w:sz w:val="24"/>
          <w:szCs w:val="24"/>
        </w:rPr>
        <w:t xml:space="preserve"> </w:t>
      </w:r>
      <w:r w:rsidR="006C0131">
        <w:rPr>
          <w:rFonts w:ascii="Times New Roman" w:hAnsi="Times New Roman" w:cs="Times New Roman"/>
          <w:sz w:val="24"/>
          <w:szCs w:val="24"/>
        </w:rPr>
        <w:t>kā arī</w:t>
      </w:r>
      <w:r w:rsidRPr="00C216EF">
        <w:rPr>
          <w:rFonts w:ascii="Times New Roman" w:hAnsi="Times New Roman" w:cs="Times New Roman"/>
          <w:sz w:val="24"/>
          <w:szCs w:val="24"/>
        </w:rPr>
        <w:t xml:space="preserve"> pieņemto lēmumu caurskatāmīb</w:t>
      </w:r>
      <w:r w:rsidR="006C0131">
        <w:rPr>
          <w:rFonts w:ascii="Times New Roman" w:hAnsi="Times New Roman" w:cs="Times New Roman"/>
          <w:sz w:val="24"/>
          <w:szCs w:val="24"/>
        </w:rPr>
        <w:t>u</w:t>
      </w:r>
      <w:r w:rsidRPr="00C216EF">
        <w:rPr>
          <w:rFonts w:ascii="Times New Roman" w:hAnsi="Times New Roman" w:cs="Times New Roman"/>
          <w:sz w:val="24"/>
          <w:szCs w:val="24"/>
        </w:rPr>
        <w:t xml:space="preserve">. </w:t>
      </w:r>
    </w:p>
    <w:p w14:paraId="01B156DF" w14:textId="5777AFEB" w:rsidR="000512F9" w:rsidRPr="000A1583" w:rsidRDefault="000512F9" w:rsidP="000512F9">
      <w:pPr>
        <w:jc w:val="both"/>
        <w:rPr>
          <w:rFonts w:ascii="Times New Roman" w:hAnsi="Times New Roman" w:cs="Times New Roman"/>
          <w:sz w:val="24"/>
          <w:szCs w:val="24"/>
        </w:rPr>
      </w:pPr>
      <w:r>
        <w:rPr>
          <w:rFonts w:ascii="Times New Roman" w:hAnsi="Times New Roman" w:cs="Times New Roman"/>
          <w:sz w:val="24"/>
          <w:szCs w:val="24"/>
        </w:rPr>
        <w:t>2016.</w:t>
      </w:r>
      <w:r w:rsidR="007B3D71">
        <w:rPr>
          <w:rFonts w:ascii="Times New Roman" w:hAnsi="Times New Roman" w:cs="Times New Roman"/>
          <w:sz w:val="24"/>
          <w:szCs w:val="24"/>
        </w:rPr>
        <w:t> </w:t>
      </w:r>
      <w:r>
        <w:rPr>
          <w:rFonts w:ascii="Times New Roman" w:hAnsi="Times New Roman" w:cs="Times New Roman"/>
          <w:sz w:val="24"/>
          <w:szCs w:val="24"/>
        </w:rPr>
        <w:t xml:space="preserve">gadā tika turpināta </w:t>
      </w:r>
      <w:r>
        <w:rPr>
          <w:rFonts w:ascii="Times New Roman" w:eastAsia="Calibri" w:hAnsi="Times New Roman" w:cs="Times New Roman"/>
          <w:bCs/>
          <w:sz w:val="24"/>
          <w:szCs w:val="24"/>
        </w:rPr>
        <w:t>iesāktā tiesu teritoriju reforma</w:t>
      </w:r>
      <w:r w:rsidRPr="0011085B">
        <w:rPr>
          <w:rFonts w:ascii="Times New Roman" w:eastAsia="Calibri" w:hAnsi="Times New Roman" w:cs="Times New Roman"/>
          <w:bCs/>
          <w:sz w:val="24"/>
          <w:szCs w:val="24"/>
        </w:rPr>
        <w:t xml:space="preserve">, </w:t>
      </w:r>
      <w:r w:rsidRPr="000A1583">
        <w:rPr>
          <w:rFonts w:ascii="Times New Roman" w:hAnsi="Times New Roman" w:cs="Times New Roman"/>
          <w:sz w:val="24"/>
          <w:szCs w:val="24"/>
        </w:rPr>
        <w:t xml:space="preserve">pakāpeniski apvienojot apgabaltiesu darbības teritorijā esošo rajonu (pilsētu) tiesas. </w:t>
      </w:r>
      <w:r>
        <w:rPr>
          <w:rFonts w:ascii="Times New Roman" w:hAnsi="Times New Roman" w:cs="Times New Roman"/>
          <w:noProof/>
          <w:sz w:val="24"/>
          <w:szCs w:val="24"/>
        </w:rPr>
        <w:t>N</w:t>
      </w:r>
      <w:r w:rsidRPr="00DE6FD1">
        <w:rPr>
          <w:rFonts w:ascii="Times New Roman" w:hAnsi="Times New Roman" w:cs="Times New Roman"/>
          <w:noProof/>
          <w:sz w:val="24"/>
          <w:szCs w:val="24"/>
        </w:rPr>
        <w:t>o 2016.</w:t>
      </w:r>
      <w:r w:rsidR="007B3D71">
        <w:rPr>
          <w:rFonts w:ascii="Times New Roman" w:hAnsi="Times New Roman" w:cs="Times New Roman"/>
          <w:noProof/>
          <w:sz w:val="24"/>
          <w:szCs w:val="24"/>
        </w:rPr>
        <w:t> </w:t>
      </w:r>
      <w:r w:rsidRPr="00DE6FD1">
        <w:rPr>
          <w:rFonts w:ascii="Times New Roman" w:hAnsi="Times New Roman" w:cs="Times New Roman"/>
          <w:noProof/>
          <w:sz w:val="24"/>
          <w:szCs w:val="24"/>
        </w:rPr>
        <w:t>gada 1.</w:t>
      </w:r>
      <w:r w:rsidR="007B3D71">
        <w:rPr>
          <w:rFonts w:ascii="Times New Roman" w:hAnsi="Times New Roman" w:cs="Times New Roman"/>
          <w:noProof/>
          <w:sz w:val="24"/>
          <w:szCs w:val="24"/>
        </w:rPr>
        <w:t> </w:t>
      </w:r>
      <w:r w:rsidRPr="00DE6FD1">
        <w:rPr>
          <w:rFonts w:ascii="Times New Roman" w:hAnsi="Times New Roman" w:cs="Times New Roman"/>
          <w:noProof/>
          <w:sz w:val="24"/>
          <w:szCs w:val="24"/>
        </w:rPr>
        <w:t xml:space="preserve">februāra </w:t>
      </w:r>
      <w:r>
        <w:rPr>
          <w:rFonts w:ascii="Times New Roman" w:hAnsi="Times New Roman" w:cs="Times New Roman"/>
          <w:noProof/>
          <w:sz w:val="24"/>
          <w:szCs w:val="24"/>
        </w:rPr>
        <w:t xml:space="preserve">tika reorganizētas </w:t>
      </w:r>
      <w:r w:rsidRPr="00DE6FD1">
        <w:rPr>
          <w:rFonts w:ascii="Times New Roman" w:hAnsi="Times New Roman" w:cs="Times New Roman"/>
          <w:noProof/>
          <w:sz w:val="24"/>
          <w:szCs w:val="24"/>
        </w:rPr>
        <w:t xml:space="preserve">Balvu </w:t>
      </w:r>
      <w:r>
        <w:rPr>
          <w:rFonts w:ascii="Times New Roman" w:hAnsi="Times New Roman" w:cs="Times New Roman"/>
          <w:noProof/>
          <w:sz w:val="24"/>
          <w:szCs w:val="24"/>
        </w:rPr>
        <w:t>un</w:t>
      </w:r>
      <w:r w:rsidRPr="00DE6FD1">
        <w:rPr>
          <w:rFonts w:ascii="Times New Roman" w:hAnsi="Times New Roman" w:cs="Times New Roman"/>
          <w:noProof/>
          <w:sz w:val="24"/>
          <w:szCs w:val="24"/>
        </w:rPr>
        <w:t xml:space="preserve"> Ludzas rajona tiesas, to darbības teritorijas pievienojot Rēzeknes tiesai, </w:t>
      </w:r>
      <w:r>
        <w:rPr>
          <w:rFonts w:ascii="Times New Roman" w:hAnsi="Times New Roman" w:cs="Times New Roman"/>
          <w:noProof/>
          <w:sz w:val="24"/>
          <w:szCs w:val="24"/>
        </w:rPr>
        <w:t>bet</w:t>
      </w:r>
      <w:r w:rsidRPr="00DE6FD1">
        <w:rPr>
          <w:rFonts w:ascii="Times New Roman" w:hAnsi="Times New Roman" w:cs="Times New Roman"/>
          <w:noProof/>
          <w:sz w:val="24"/>
          <w:szCs w:val="24"/>
        </w:rPr>
        <w:t xml:space="preserve"> Preiļu un Krāslavas rajona ties</w:t>
      </w:r>
      <w:r>
        <w:rPr>
          <w:rFonts w:ascii="Times New Roman" w:hAnsi="Times New Roman" w:cs="Times New Roman"/>
          <w:noProof/>
          <w:sz w:val="24"/>
          <w:szCs w:val="24"/>
        </w:rPr>
        <w:t>u</w:t>
      </w:r>
      <w:r w:rsidRPr="00DE6FD1">
        <w:rPr>
          <w:rFonts w:ascii="Times New Roman" w:hAnsi="Times New Roman" w:cs="Times New Roman"/>
          <w:noProof/>
          <w:sz w:val="24"/>
          <w:szCs w:val="24"/>
        </w:rPr>
        <w:t xml:space="preserve"> darbības teritorij</w:t>
      </w:r>
      <w:r>
        <w:rPr>
          <w:rFonts w:ascii="Times New Roman" w:hAnsi="Times New Roman" w:cs="Times New Roman"/>
          <w:noProof/>
          <w:sz w:val="24"/>
          <w:szCs w:val="24"/>
        </w:rPr>
        <w:t>as tika</w:t>
      </w:r>
      <w:r w:rsidRPr="00DE6FD1">
        <w:rPr>
          <w:rFonts w:ascii="Times New Roman" w:hAnsi="Times New Roman" w:cs="Times New Roman"/>
          <w:noProof/>
          <w:sz w:val="24"/>
          <w:szCs w:val="24"/>
        </w:rPr>
        <w:t xml:space="preserve"> pievieno</w:t>
      </w:r>
      <w:r>
        <w:rPr>
          <w:rFonts w:ascii="Times New Roman" w:hAnsi="Times New Roman" w:cs="Times New Roman"/>
          <w:noProof/>
          <w:sz w:val="24"/>
          <w:szCs w:val="24"/>
        </w:rPr>
        <w:t>tas</w:t>
      </w:r>
      <w:r w:rsidRPr="00DE6FD1">
        <w:rPr>
          <w:rFonts w:ascii="Times New Roman" w:hAnsi="Times New Roman" w:cs="Times New Roman"/>
          <w:noProof/>
          <w:sz w:val="24"/>
          <w:szCs w:val="24"/>
        </w:rPr>
        <w:t xml:space="preserve"> Daugavpils tiesai.</w:t>
      </w:r>
      <w:r>
        <w:rPr>
          <w:rFonts w:ascii="Times New Roman" w:hAnsi="Times New Roman" w:cs="Times New Roman"/>
          <w:noProof/>
          <w:sz w:val="24"/>
          <w:szCs w:val="24"/>
        </w:rPr>
        <w:t xml:space="preserve"> </w:t>
      </w:r>
      <w:r w:rsidR="00967FB1">
        <w:rPr>
          <w:rFonts w:ascii="Times New Roman" w:hAnsi="Times New Roman" w:cs="Times New Roman"/>
          <w:sz w:val="24"/>
          <w:szCs w:val="24"/>
        </w:rPr>
        <w:t>Rezultātā</w:t>
      </w:r>
      <w:r w:rsidRPr="000A1583">
        <w:rPr>
          <w:rFonts w:ascii="Times New Roman" w:hAnsi="Times New Roman" w:cs="Times New Roman"/>
          <w:sz w:val="24"/>
          <w:szCs w:val="24"/>
        </w:rPr>
        <w:t xml:space="preserve"> būtiski ir paaugstinājušies </w:t>
      </w:r>
      <w:r>
        <w:rPr>
          <w:rFonts w:ascii="Times New Roman" w:hAnsi="Times New Roman" w:cs="Times New Roman"/>
          <w:sz w:val="24"/>
          <w:szCs w:val="24"/>
        </w:rPr>
        <w:t xml:space="preserve">minēto </w:t>
      </w:r>
      <w:r w:rsidRPr="000A1583">
        <w:rPr>
          <w:rFonts w:ascii="Times New Roman" w:hAnsi="Times New Roman" w:cs="Times New Roman"/>
          <w:sz w:val="24"/>
          <w:szCs w:val="24"/>
        </w:rPr>
        <w:t xml:space="preserve">tiesu efektivitātes rādītāji </w:t>
      </w:r>
      <w:r>
        <w:rPr>
          <w:rFonts w:ascii="Times New Roman" w:hAnsi="Times New Roman" w:cs="Times New Roman"/>
          <w:sz w:val="24"/>
          <w:szCs w:val="24"/>
        </w:rPr>
        <w:t>–</w:t>
      </w:r>
      <w:r w:rsidRPr="000A1583">
        <w:rPr>
          <w:rFonts w:ascii="Times New Roman" w:hAnsi="Times New Roman" w:cs="Times New Roman"/>
          <w:sz w:val="24"/>
          <w:szCs w:val="24"/>
        </w:rPr>
        <w:t xml:space="preserve"> lietu</w:t>
      </w:r>
      <w:r>
        <w:rPr>
          <w:rFonts w:ascii="Times New Roman" w:hAnsi="Times New Roman" w:cs="Times New Roman"/>
          <w:sz w:val="24"/>
          <w:szCs w:val="24"/>
        </w:rPr>
        <w:t xml:space="preserve"> </w:t>
      </w:r>
      <w:r w:rsidRPr="000A1583">
        <w:rPr>
          <w:rFonts w:ascii="Times New Roman" w:hAnsi="Times New Roman" w:cs="Times New Roman"/>
          <w:sz w:val="24"/>
          <w:szCs w:val="24"/>
        </w:rPr>
        <w:t xml:space="preserve">izskatīšanas termiņi ir samazinājušies attiecībā uz visām lietu kategorijām, mazinātas tiesnešu noslodzes atšķirības, būtiski samazinājies tiesām piekritīgo civillietu un krimināllietu uzkrājums. </w:t>
      </w:r>
    </w:p>
    <w:p w14:paraId="0B5E47F6" w14:textId="2453ED4D" w:rsidR="000512F9" w:rsidRPr="00FD1974" w:rsidRDefault="000512F9" w:rsidP="000512F9">
      <w:pPr>
        <w:jc w:val="both"/>
        <w:rPr>
          <w:rFonts w:ascii="Times New Roman" w:hAnsi="Times New Roman" w:cs="Times New Roman"/>
          <w:sz w:val="24"/>
          <w:szCs w:val="24"/>
        </w:rPr>
      </w:pPr>
      <w:proofErr w:type="gramStart"/>
      <w:r w:rsidRPr="000A1583">
        <w:rPr>
          <w:rFonts w:ascii="Times New Roman" w:hAnsi="Times New Roman" w:cs="Times New Roman"/>
          <w:sz w:val="24"/>
          <w:szCs w:val="24"/>
        </w:rPr>
        <w:t>Līdz 2018.</w:t>
      </w:r>
      <w:r w:rsidR="007B3D71">
        <w:rPr>
          <w:rFonts w:ascii="Times New Roman" w:hAnsi="Times New Roman" w:cs="Times New Roman"/>
          <w:sz w:val="24"/>
          <w:szCs w:val="24"/>
        </w:rPr>
        <w:t> </w:t>
      </w:r>
      <w:r w:rsidRPr="000A1583">
        <w:rPr>
          <w:rFonts w:ascii="Times New Roman" w:hAnsi="Times New Roman" w:cs="Times New Roman"/>
          <w:sz w:val="24"/>
          <w:szCs w:val="24"/>
        </w:rPr>
        <w:t>gada nogalei plānots pilnībā pabeigt tiesu darbības teritoriju</w:t>
      </w:r>
      <w:proofErr w:type="gramEnd"/>
      <w:r w:rsidRPr="000A1583">
        <w:rPr>
          <w:rFonts w:ascii="Times New Roman" w:hAnsi="Times New Roman" w:cs="Times New Roman"/>
          <w:sz w:val="24"/>
          <w:szCs w:val="24"/>
        </w:rPr>
        <w:t xml:space="preserve"> reformu, jo iegūtie rezultāti apliecina reformas nozīmību </w:t>
      </w:r>
      <w:r>
        <w:rPr>
          <w:rFonts w:ascii="Times New Roman" w:hAnsi="Times New Roman" w:cs="Times New Roman"/>
          <w:sz w:val="24"/>
          <w:szCs w:val="24"/>
        </w:rPr>
        <w:t xml:space="preserve">un </w:t>
      </w:r>
      <w:r w:rsidRPr="000A1583">
        <w:rPr>
          <w:rFonts w:ascii="Times New Roman" w:hAnsi="Times New Roman" w:cs="Times New Roman"/>
          <w:sz w:val="24"/>
          <w:szCs w:val="24"/>
        </w:rPr>
        <w:t>izvirzīto mērķu sasniegšanu, risinot ar tiesu efektivitātes paaugstināšanu saistītos problēmjautājumu</w:t>
      </w:r>
      <w:r w:rsidR="00FD1974">
        <w:rPr>
          <w:rFonts w:ascii="Times New Roman" w:hAnsi="Times New Roman" w:cs="Times New Roman"/>
          <w:sz w:val="24"/>
          <w:szCs w:val="24"/>
        </w:rPr>
        <w:t>s –</w:t>
      </w:r>
      <w:r w:rsidR="00974C34">
        <w:rPr>
          <w:rFonts w:ascii="Times New Roman" w:hAnsi="Times New Roman" w:cs="Times New Roman"/>
          <w:sz w:val="24"/>
          <w:szCs w:val="24"/>
        </w:rPr>
        <w:t xml:space="preserve"> </w:t>
      </w:r>
      <w:r>
        <w:rPr>
          <w:rFonts w:ascii="Times New Roman" w:hAnsi="Times New Roman" w:cs="Times New Roman"/>
          <w:sz w:val="24"/>
          <w:szCs w:val="24"/>
        </w:rPr>
        <w:t>mazin</w:t>
      </w:r>
      <w:r w:rsidR="00974C34">
        <w:rPr>
          <w:rFonts w:ascii="Times New Roman" w:hAnsi="Times New Roman" w:cs="Times New Roman"/>
          <w:sz w:val="24"/>
          <w:szCs w:val="24"/>
        </w:rPr>
        <w:t>āt</w:t>
      </w:r>
      <w:r>
        <w:rPr>
          <w:rFonts w:ascii="Times New Roman" w:hAnsi="Times New Roman" w:cs="Times New Roman"/>
          <w:sz w:val="24"/>
          <w:szCs w:val="24"/>
        </w:rPr>
        <w:t xml:space="preserve"> </w:t>
      </w:r>
      <w:r w:rsidR="00974C34">
        <w:rPr>
          <w:rFonts w:ascii="Times New Roman" w:hAnsi="Times New Roman" w:cs="Times New Roman"/>
          <w:sz w:val="24"/>
          <w:szCs w:val="24"/>
        </w:rPr>
        <w:t>nevienmē</w:t>
      </w:r>
      <w:r w:rsidR="006C0131">
        <w:rPr>
          <w:rFonts w:ascii="Times New Roman" w:hAnsi="Times New Roman" w:cs="Times New Roman"/>
          <w:sz w:val="24"/>
          <w:szCs w:val="24"/>
        </w:rPr>
        <w:softHyphen/>
      </w:r>
      <w:r w:rsidR="00974C34">
        <w:rPr>
          <w:rFonts w:ascii="Times New Roman" w:hAnsi="Times New Roman" w:cs="Times New Roman"/>
          <w:sz w:val="24"/>
          <w:szCs w:val="24"/>
        </w:rPr>
        <w:t>rīgu tiesu noslodzi un atšķirīgu tiesvedības ilgumu</w:t>
      </w:r>
      <w:r w:rsidRPr="00DE6FD1">
        <w:rPr>
          <w:rFonts w:ascii="Times New Roman" w:hAnsi="Times New Roman" w:cs="Times New Roman"/>
          <w:sz w:val="24"/>
          <w:szCs w:val="24"/>
        </w:rPr>
        <w:t xml:space="preserve"> viena veida lietās, </w:t>
      </w:r>
      <w:r w:rsidR="00974C34">
        <w:rPr>
          <w:rFonts w:ascii="Times New Roman" w:hAnsi="Times New Roman" w:cs="Times New Roman"/>
          <w:sz w:val="24"/>
          <w:szCs w:val="24"/>
        </w:rPr>
        <w:t>mazināt pārāk garos tiesvedības termiņus</w:t>
      </w:r>
      <w:r w:rsidRPr="00DE6FD1">
        <w:rPr>
          <w:rFonts w:ascii="Times New Roman" w:hAnsi="Times New Roman" w:cs="Times New Roman"/>
          <w:sz w:val="24"/>
          <w:szCs w:val="24"/>
        </w:rPr>
        <w:t xml:space="preserve">, </w:t>
      </w:r>
      <w:r w:rsidR="00974C34">
        <w:rPr>
          <w:rFonts w:ascii="Times New Roman" w:hAnsi="Times New Roman" w:cs="Times New Roman"/>
          <w:sz w:val="24"/>
          <w:szCs w:val="24"/>
        </w:rPr>
        <w:t>mazināt riskus</w:t>
      </w:r>
      <w:r>
        <w:rPr>
          <w:rFonts w:ascii="Times New Roman" w:hAnsi="Times New Roman" w:cs="Times New Roman"/>
          <w:sz w:val="24"/>
          <w:szCs w:val="24"/>
        </w:rPr>
        <w:t xml:space="preserve">, ka </w:t>
      </w:r>
      <w:r w:rsidRPr="006A7552">
        <w:rPr>
          <w:rFonts w:ascii="Times New Roman" w:hAnsi="Times New Roman" w:cs="Times New Roman"/>
          <w:sz w:val="24"/>
          <w:szCs w:val="24"/>
        </w:rPr>
        <w:t xml:space="preserve">mazā tiesnešu skaita </w:t>
      </w:r>
      <w:r>
        <w:rPr>
          <w:rFonts w:ascii="Times New Roman" w:hAnsi="Times New Roman" w:cs="Times New Roman"/>
          <w:sz w:val="24"/>
          <w:szCs w:val="24"/>
        </w:rPr>
        <w:t>dēļ ir</w:t>
      </w:r>
      <w:r w:rsidRPr="00DE6FD1">
        <w:rPr>
          <w:rFonts w:ascii="Times New Roman" w:hAnsi="Times New Roman" w:cs="Times New Roman"/>
          <w:sz w:val="24"/>
          <w:szCs w:val="24"/>
        </w:rPr>
        <w:t xml:space="preserve"> apgrūtināta vai neiespējama </w:t>
      </w:r>
      <w:r>
        <w:rPr>
          <w:rFonts w:ascii="Times New Roman" w:hAnsi="Times New Roman" w:cs="Times New Roman"/>
          <w:sz w:val="24"/>
          <w:szCs w:val="24"/>
        </w:rPr>
        <w:t xml:space="preserve">tiesnešu </w:t>
      </w:r>
      <w:r w:rsidRPr="00DE6FD1">
        <w:rPr>
          <w:rFonts w:ascii="Times New Roman" w:hAnsi="Times New Roman" w:cs="Times New Roman"/>
          <w:sz w:val="24"/>
          <w:szCs w:val="24"/>
        </w:rPr>
        <w:t>specializācij</w:t>
      </w:r>
      <w:r w:rsidR="00974C34">
        <w:rPr>
          <w:rFonts w:ascii="Times New Roman" w:hAnsi="Times New Roman" w:cs="Times New Roman"/>
          <w:sz w:val="24"/>
          <w:szCs w:val="24"/>
        </w:rPr>
        <w:t>a, un nodrošināt lietu sadales nejaušības principu</w:t>
      </w:r>
      <w:r w:rsidRPr="00DE6FD1">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p>
    <w:p w14:paraId="3AFB5C85" w14:textId="43987A60" w:rsidR="000512F9" w:rsidRDefault="000512F9" w:rsidP="000512F9">
      <w:pPr>
        <w:jc w:val="both"/>
        <w:rPr>
          <w:rFonts w:ascii="Times New Roman" w:hAnsi="Times New Roman" w:cs="Times New Roman"/>
          <w:sz w:val="24"/>
          <w:szCs w:val="24"/>
        </w:rPr>
      </w:pPr>
      <w:r>
        <w:rPr>
          <w:rFonts w:ascii="Times New Roman" w:hAnsi="Times New Roman" w:cs="Times New Roman"/>
          <w:sz w:val="24"/>
          <w:szCs w:val="24"/>
        </w:rPr>
        <w:t>Pēdējos gados Latvija</w:t>
      </w:r>
      <w:r w:rsidR="00C42EB0">
        <w:rPr>
          <w:rFonts w:ascii="Times New Roman" w:hAnsi="Times New Roman" w:cs="Times New Roman"/>
          <w:sz w:val="24"/>
          <w:szCs w:val="24"/>
        </w:rPr>
        <w:t>s</w:t>
      </w:r>
      <w:r>
        <w:rPr>
          <w:rFonts w:ascii="Times New Roman" w:hAnsi="Times New Roman" w:cs="Times New Roman"/>
          <w:sz w:val="24"/>
          <w:szCs w:val="24"/>
        </w:rPr>
        <w:t xml:space="preserve"> tiesu sistēma ir būtiski uzlabojusi savu darbību. </w:t>
      </w:r>
      <w:r w:rsidRPr="000A1583">
        <w:rPr>
          <w:rFonts w:ascii="Times New Roman" w:hAnsi="Times New Roman" w:cs="Times New Roman"/>
          <w:sz w:val="24"/>
          <w:szCs w:val="24"/>
        </w:rPr>
        <w:t>Jaunākie statistikas dati par 2016.</w:t>
      </w:r>
      <w:r w:rsidR="007D10AE">
        <w:rPr>
          <w:rFonts w:ascii="Times New Roman" w:hAnsi="Times New Roman" w:cs="Times New Roman"/>
          <w:sz w:val="24"/>
          <w:szCs w:val="24"/>
        </w:rPr>
        <w:t> </w:t>
      </w:r>
      <w:r w:rsidRPr="000A1583">
        <w:rPr>
          <w:rFonts w:ascii="Times New Roman" w:hAnsi="Times New Roman" w:cs="Times New Roman"/>
          <w:sz w:val="24"/>
          <w:szCs w:val="24"/>
        </w:rPr>
        <w:t xml:space="preserve">gada </w:t>
      </w:r>
      <w:r w:rsidR="007D10AE">
        <w:rPr>
          <w:rFonts w:ascii="Times New Roman" w:hAnsi="Times New Roman" w:cs="Times New Roman"/>
          <w:sz w:val="24"/>
          <w:szCs w:val="24"/>
        </w:rPr>
        <w:t xml:space="preserve">pirmo </w:t>
      </w:r>
      <w:r w:rsidRPr="000A1583">
        <w:rPr>
          <w:rFonts w:ascii="Times New Roman" w:hAnsi="Times New Roman" w:cs="Times New Roman"/>
          <w:sz w:val="24"/>
          <w:szCs w:val="24"/>
        </w:rPr>
        <w:t>pusgadu apliecina tenden</w:t>
      </w:r>
      <w:r w:rsidR="004D4F2D">
        <w:rPr>
          <w:rFonts w:ascii="Times New Roman" w:hAnsi="Times New Roman" w:cs="Times New Roman"/>
          <w:sz w:val="24"/>
          <w:szCs w:val="24"/>
        </w:rPr>
        <w:t>ci samazināties civillietu (tai</w:t>
      </w:r>
      <w:r w:rsidRPr="000A1583">
        <w:rPr>
          <w:rFonts w:ascii="Times New Roman" w:hAnsi="Times New Roman" w:cs="Times New Roman"/>
          <w:sz w:val="24"/>
          <w:szCs w:val="24"/>
        </w:rPr>
        <w:t xml:space="preserve"> skaitā komerclietu) izskatīšanas termiņiem pirmās instances un apelācijas instances tiesās. Vairāk nekā 50</w:t>
      </w:r>
      <w:r w:rsidR="007D10AE">
        <w:rPr>
          <w:rFonts w:ascii="Times New Roman" w:hAnsi="Times New Roman" w:cs="Times New Roman"/>
          <w:sz w:val="24"/>
          <w:szCs w:val="24"/>
        </w:rPr>
        <w:t> </w:t>
      </w:r>
      <w:r w:rsidRPr="000A1583">
        <w:rPr>
          <w:rFonts w:ascii="Times New Roman" w:hAnsi="Times New Roman" w:cs="Times New Roman"/>
          <w:sz w:val="24"/>
          <w:szCs w:val="24"/>
        </w:rPr>
        <w:t xml:space="preserve">% civillietu izskatīšana pirmajā instancē tiek pabeigta </w:t>
      </w:r>
      <w:r w:rsidR="007D10AE">
        <w:rPr>
          <w:rFonts w:ascii="Times New Roman" w:hAnsi="Times New Roman" w:cs="Times New Roman"/>
          <w:sz w:val="24"/>
          <w:szCs w:val="24"/>
        </w:rPr>
        <w:t>sešu</w:t>
      </w:r>
      <w:r w:rsidRPr="000A1583">
        <w:rPr>
          <w:rFonts w:ascii="Times New Roman" w:hAnsi="Times New Roman" w:cs="Times New Roman"/>
          <w:sz w:val="24"/>
          <w:szCs w:val="24"/>
        </w:rPr>
        <w:t xml:space="preserve"> mēnešu laikā, bet apelācijas instancē vairāk nekā 60</w:t>
      </w:r>
      <w:r w:rsidR="007D10AE">
        <w:rPr>
          <w:rFonts w:ascii="Times New Roman" w:hAnsi="Times New Roman" w:cs="Times New Roman"/>
          <w:sz w:val="24"/>
          <w:szCs w:val="24"/>
        </w:rPr>
        <w:t> </w:t>
      </w:r>
      <w:r w:rsidRPr="000A1583">
        <w:rPr>
          <w:rFonts w:ascii="Times New Roman" w:hAnsi="Times New Roman" w:cs="Times New Roman"/>
          <w:sz w:val="24"/>
          <w:szCs w:val="24"/>
        </w:rPr>
        <w:t>% civillietu izskatīša</w:t>
      </w:r>
      <w:r>
        <w:rPr>
          <w:rFonts w:ascii="Times New Roman" w:hAnsi="Times New Roman" w:cs="Times New Roman"/>
          <w:sz w:val="24"/>
          <w:szCs w:val="24"/>
        </w:rPr>
        <w:t xml:space="preserve">na tiek pabeigta </w:t>
      </w:r>
      <w:r w:rsidR="007D10AE">
        <w:rPr>
          <w:rFonts w:ascii="Times New Roman" w:hAnsi="Times New Roman" w:cs="Times New Roman"/>
          <w:sz w:val="24"/>
          <w:szCs w:val="24"/>
        </w:rPr>
        <w:t>triju</w:t>
      </w:r>
      <w:r>
        <w:rPr>
          <w:rFonts w:ascii="Times New Roman" w:hAnsi="Times New Roman" w:cs="Times New Roman"/>
          <w:sz w:val="24"/>
          <w:szCs w:val="24"/>
        </w:rPr>
        <w:t xml:space="preserve"> mēnešu laikā</w:t>
      </w:r>
      <w:r w:rsidRPr="000A1583">
        <w:rPr>
          <w:rFonts w:ascii="Times New Roman" w:hAnsi="Times New Roman" w:cs="Times New Roman"/>
          <w:sz w:val="24"/>
          <w:szCs w:val="24"/>
        </w:rPr>
        <w:t>.</w:t>
      </w:r>
    </w:p>
    <w:p w14:paraId="581934F8" w14:textId="5F1E4699" w:rsidR="000512F9" w:rsidRDefault="000512F9" w:rsidP="000512F9">
      <w:pPr>
        <w:jc w:val="both"/>
        <w:rPr>
          <w:rFonts w:ascii="Times New Roman" w:hAnsi="Times New Roman" w:cs="Times New Roman"/>
          <w:sz w:val="24"/>
          <w:szCs w:val="24"/>
        </w:rPr>
      </w:pPr>
      <w:r w:rsidRPr="000A1583">
        <w:rPr>
          <w:rFonts w:ascii="Times New Roman" w:hAnsi="Times New Roman" w:cs="Times New Roman"/>
          <w:sz w:val="24"/>
          <w:szCs w:val="24"/>
        </w:rPr>
        <w:t xml:space="preserve">Latvijas tiesu sistēmu reformas un panāktais progress ir ticis atzinīgi novērtēts arī no </w:t>
      </w:r>
      <w:r>
        <w:rPr>
          <w:rFonts w:ascii="Times New Roman" w:hAnsi="Times New Roman" w:cs="Times New Roman"/>
          <w:sz w:val="24"/>
          <w:szCs w:val="24"/>
        </w:rPr>
        <w:t>EP</w:t>
      </w:r>
      <w:r w:rsidRPr="000A1583">
        <w:rPr>
          <w:rFonts w:ascii="Times New Roman" w:hAnsi="Times New Roman" w:cs="Times New Roman"/>
          <w:sz w:val="24"/>
          <w:szCs w:val="24"/>
        </w:rPr>
        <w:t xml:space="preserve"> un </w:t>
      </w:r>
      <w:r>
        <w:rPr>
          <w:rFonts w:ascii="Times New Roman" w:hAnsi="Times New Roman" w:cs="Times New Roman"/>
          <w:sz w:val="24"/>
          <w:szCs w:val="24"/>
        </w:rPr>
        <w:t>EK</w:t>
      </w:r>
      <w:r w:rsidRPr="000A1583">
        <w:rPr>
          <w:rFonts w:ascii="Times New Roman" w:hAnsi="Times New Roman" w:cs="Times New Roman"/>
          <w:sz w:val="24"/>
          <w:szCs w:val="24"/>
        </w:rPr>
        <w:t xml:space="preserve"> puses. Tieslietu tablo 2016 (</w:t>
      </w:r>
      <w:proofErr w:type="spellStart"/>
      <w:r w:rsidRPr="00FD1974">
        <w:rPr>
          <w:rFonts w:ascii="Times New Roman" w:hAnsi="Times New Roman" w:cs="Times New Roman"/>
          <w:i/>
          <w:sz w:val="24"/>
          <w:szCs w:val="24"/>
        </w:rPr>
        <w:t>Justice</w:t>
      </w:r>
      <w:proofErr w:type="spellEnd"/>
      <w:r w:rsidRPr="00FD1974">
        <w:rPr>
          <w:rFonts w:ascii="Times New Roman" w:hAnsi="Times New Roman" w:cs="Times New Roman"/>
          <w:i/>
          <w:sz w:val="24"/>
          <w:szCs w:val="24"/>
        </w:rPr>
        <w:t xml:space="preserve"> </w:t>
      </w:r>
      <w:proofErr w:type="spellStart"/>
      <w:r w:rsidRPr="00FD1974">
        <w:rPr>
          <w:rFonts w:ascii="Times New Roman" w:hAnsi="Times New Roman" w:cs="Times New Roman"/>
          <w:i/>
          <w:sz w:val="24"/>
          <w:szCs w:val="24"/>
        </w:rPr>
        <w:t>Scoreboard</w:t>
      </w:r>
      <w:proofErr w:type="spellEnd"/>
      <w:r w:rsidRPr="00FD1974">
        <w:rPr>
          <w:rFonts w:ascii="Times New Roman" w:hAnsi="Times New Roman" w:cs="Times New Roman"/>
          <w:i/>
          <w:sz w:val="24"/>
          <w:szCs w:val="24"/>
        </w:rPr>
        <w:t xml:space="preserve"> 2016</w:t>
      </w:r>
      <w:r w:rsidRPr="000A1583">
        <w:rPr>
          <w:rFonts w:ascii="Times New Roman" w:hAnsi="Times New Roman" w:cs="Times New Roman"/>
          <w:sz w:val="24"/>
          <w:szCs w:val="24"/>
        </w:rPr>
        <w:t>) liecina, ka Latvijā samazi</w:t>
      </w:r>
      <w:r>
        <w:rPr>
          <w:rFonts w:ascii="Times New Roman" w:hAnsi="Times New Roman" w:cs="Times New Roman"/>
          <w:sz w:val="24"/>
          <w:szCs w:val="24"/>
        </w:rPr>
        <w:t xml:space="preserve">nās lietu izskatīšanas termiņi. </w:t>
      </w:r>
      <w:r w:rsidRPr="000A1583">
        <w:rPr>
          <w:rFonts w:ascii="Times New Roman" w:hAnsi="Times New Roman" w:cs="Times New Roman"/>
          <w:sz w:val="24"/>
          <w:szCs w:val="24"/>
        </w:rPr>
        <w:t xml:space="preserve">Papildus minētajam Latvija </w:t>
      </w:r>
      <w:r>
        <w:rPr>
          <w:rFonts w:ascii="Times New Roman" w:hAnsi="Times New Roman" w:cs="Times New Roman"/>
          <w:sz w:val="24"/>
          <w:szCs w:val="24"/>
        </w:rPr>
        <w:t xml:space="preserve">ir </w:t>
      </w:r>
      <w:r w:rsidRPr="000A1583">
        <w:rPr>
          <w:rFonts w:ascii="Times New Roman" w:hAnsi="Times New Roman" w:cs="Times New Roman"/>
          <w:sz w:val="24"/>
          <w:szCs w:val="24"/>
        </w:rPr>
        <w:t xml:space="preserve">saņēmusi </w:t>
      </w:r>
      <w:r w:rsidRPr="000A1583">
        <w:rPr>
          <w:rFonts w:ascii="Times New Roman" w:hAnsi="Times New Roman" w:cs="Times New Roman"/>
          <w:sz w:val="24"/>
          <w:szCs w:val="24"/>
        </w:rPr>
        <w:lastRenderedPageBreak/>
        <w:t>maksimālo punktu skaitu attiecībā uz kritēriju, kurā tiek vērtēta tiesu informācijas</w:t>
      </w:r>
      <w:r>
        <w:rPr>
          <w:rFonts w:ascii="Times New Roman" w:hAnsi="Times New Roman" w:cs="Times New Roman"/>
          <w:sz w:val="24"/>
          <w:szCs w:val="24"/>
        </w:rPr>
        <w:t xml:space="preserve"> un tiesu nolēmumu pieejamība. </w:t>
      </w:r>
    </w:p>
    <w:p w14:paraId="5A11F6C4" w14:textId="750598C6" w:rsidR="000512F9" w:rsidRDefault="000512F9" w:rsidP="000512F9">
      <w:pPr>
        <w:jc w:val="both"/>
        <w:rPr>
          <w:rFonts w:ascii="Times New Roman" w:hAnsi="Times New Roman" w:cs="Times New Roman"/>
          <w:sz w:val="24"/>
          <w:szCs w:val="24"/>
        </w:rPr>
      </w:pPr>
      <w:r w:rsidRPr="000A1583">
        <w:rPr>
          <w:rFonts w:ascii="Times New Roman" w:hAnsi="Times New Roman" w:cs="Times New Roman"/>
          <w:sz w:val="24"/>
          <w:szCs w:val="24"/>
        </w:rPr>
        <w:t xml:space="preserve">Uzlabojot uzņēmējdarbības vidi, turpinās darbs pie reģistru </w:t>
      </w:r>
      <w:r>
        <w:rPr>
          <w:rFonts w:ascii="Times New Roman" w:hAnsi="Times New Roman" w:cs="Times New Roman"/>
          <w:sz w:val="24"/>
          <w:szCs w:val="24"/>
        </w:rPr>
        <w:t>un</w:t>
      </w:r>
      <w:r w:rsidRPr="000A1583">
        <w:rPr>
          <w:rFonts w:ascii="Times New Roman" w:hAnsi="Times New Roman" w:cs="Times New Roman"/>
          <w:sz w:val="24"/>
          <w:szCs w:val="24"/>
        </w:rPr>
        <w:t xml:space="preserve"> e-pakalpojumu </w:t>
      </w:r>
      <w:r>
        <w:rPr>
          <w:rFonts w:ascii="Times New Roman" w:hAnsi="Times New Roman" w:cs="Times New Roman"/>
          <w:sz w:val="24"/>
          <w:szCs w:val="24"/>
        </w:rPr>
        <w:t xml:space="preserve">attīstības </w:t>
      </w:r>
      <w:r w:rsidRPr="000A1583">
        <w:rPr>
          <w:rFonts w:ascii="Times New Roman" w:hAnsi="Times New Roman" w:cs="Times New Roman"/>
          <w:sz w:val="24"/>
          <w:szCs w:val="24"/>
        </w:rPr>
        <w:t>(Uzņēmumu reģistra informācijas sniegšanas pakalpojumu attīstī</w:t>
      </w:r>
      <w:r w:rsidR="00B55898">
        <w:rPr>
          <w:rFonts w:ascii="Times New Roman" w:hAnsi="Times New Roman" w:cs="Times New Roman"/>
          <w:sz w:val="24"/>
          <w:szCs w:val="24"/>
        </w:rPr>
        <w:t>b</w:t>
      </w:r>
      <w:r w:rsidRPr="000A1583">
        <w:rPr>
          <w:rFonts w:ascii="Times New Roman" w:hAnsi="Times New Roman" w:cs="Times New Roman"/>
          <w:sz w:val="24"/>
          <w:szCs w:val="24"/>
        </w:rPr>
        <w:t xml:space="preserve">a, Patentu valdes informācijas sistēmu attīstība, Tiesu </w:t>
      </w:r>
      <w:r w:rsidR="006C0131">
        <w:rPr>
          <w:rFonts w:ascii="Times New Roman" w:hAnsi="Times New Roman" w:cs="Times New Roman"/>
          <w:sz w:val="24"/>
          <w:szCs w:val="24"/>
        </w:rPr>
        <w:t>i</w:t>
      </w:r>
      <w:r w:rsidRPr="000A1583">
        <w:rPr>
          <w:rFonts w:ascii="Times New Roman" w:hAnsi="Times New Roman" w:cs="Times New Roman"/>
          <w:sz w:val="24"/>
          <w:szCs w:val="24"/>
        </w:rPr>
        <w:t>nformatīvās sistēmas attīstība u.</w:t>
      </w:r>
      <w:r w:rsidR="00B55898">
        <w:rPr>
          <w:rFonts w:ascii="Times New Roman" w:hAnsi="Times New Roman" w:cs="Times New Roman"/>
          <w:sz w:val="24"/>
          <w:szCs w:val="24"/>
        </w:rPr>
        <w:t> </w:t>
      </w:r>
      <w:r w:rsidRPr="000A1583">
        <w:rPr>
          <w:rFonts w:ascii="Times New Roman" w:hAnsi="Times New Roman" w:cs="Times New Roman"/>
          <w:sz w:val="24"/>
          <w:szCs w:val="24"/>
        </w:rPr>
        <w:t>c.). Ir noteik</w:t>
      </w:r>
      <w:r>
        <w:rPr>
          <w:rFonts w:ascii="Times New Roman" w:hAnsi="Times New Roman" w:cs="Times New Roman"/>
          <w:sz w:val="24"/>
          <w:szCs w:val="24"/>
        </w:rPr>
        <w:t>t</w:t>
      </w:r>
      <w:r w:rsidRPr="000A1583">
        <w:rPr>
          <w:rFonts w:ascii="Times New Roman" w:hAnsi="Times New Roman" w:cs="Times New Roman"/>
          <w:sz w:val="24"/>
          <w:szCs w:val="24"/>
        </w:rPr>
        <w:t>a vienota kārtība piedziņas</w:t>
      </w:r>
      <w:r>
        <w:rPr>
          <w:rFonts w:ascii="Times New Roman" w:hAnsi="Times New Roman" w:cs="Times New Roman"/>
          <w:sz w:val="24"/>
          <w:szCs w:val="24"/>
        </w:rPr>
        <w:t xml:space="preserve"> nodrošināšanai nepieciešamo dat</w:t>
      </w:r>
      <w:r w:rsidRPr="000A1583">
        <w:rPr>
          <w:rFonts w:ascii="Times New Roman" w:hAnsi="Times New Roman" w:cs="Times New Roman"/>
          <w:sz w:val="24"/>
          <w:szCs w:val="24"/>
        </w:rPr>
        <w:t xml:space="preserve">u </w:t>
      </w:r>
      <w:r w:rsidR="006C0131" w:rsidRPr="000A1583">
        <w:rPr>
          <w:rFonts w:ascii="Times New Roman" w:hAnsi="Times New Roman" w:cs="Times New Roman"/>
          <w:sz w:val="24"/>
          <w:szCs w:val="24"/>
        </w:rPr>
        <w:t>elektronisk</w:t>
      </w:r>
      <w:r w:rsidR="006C0131">
        <w:rPr>
          <w:rFonts w:ascii="Times New Roman" w:hAnsi="Times New Roman" w:cs="Times New Roman"/>
          <w:sz w:val="24"/>
          <w:szCs w:val="24"/>
        </w:rPr>
        <w:t>a</w:t>
      </w:r>
      <w:r w:rsidR="006C0131" w:rsidRPr="000A1583">
        <w:rPr>
          <w:rFonts w:ascii="Times New Roman" w:hAnsi="Times New Roman" w:cs="Times New Roman"/>
          <w:sz w:val="24"/>
          <w:szCs w:val="24"/>
        </w:rPr>
        <w:t>i</w:t>
      </w:r>
      <w:r w:rsidR="006C0131">
        <w:rPr>
          <w:rFonts w:ascii="Times New Roman" w:hAnsi="Times New Roman" w:cs="Times New Roman"/>
          <w:sz w:val="24"/>
          <w:szCs w:val="24"/>
        </w:rPr>
        <w:t xml:space="preserve"> </w:t>
      </w:r>
      <w:r>
        <w:rPr>
          <w:rFonts w:ascii="Times New Roman" w:hAnsi="Times New Roman" w:cs="Times New Roman"/>
          <w:sz w:val="24"/>
          <w:szCs w:val="24"/>
        </w:rPr>
        <w:t>apmaiņai</w:t>
      </w:r>
      <w:r w:rsidRPr="000A1583">
        <w:rPr>
          <w:rFonts w:ascii="Times New Roman" w:hAnsi="Times New Roman" w:cs="Times New Roman"/>
          <w:sz w:val="24"/>
          <w:szCs w:val="24"/>
        </w:rPr>
        <w:t xml:space="preserve"> starp izpildinstitūcijām un kredītiestādēm. Atbilstoši ES standartiem tiek veidota jaun</w:t>
      </w:r>
      <w:r w:rsidR="00B55898">
        <w:rPr>
          <w:rFonts w:ascii="Times New Roman" w:hAnsi="Times New Roman" w:cs="Times New Roman"/>
          <w:sz w:val="24"/>
          <w:szCs w:val="24"/>
        </w:rPr>
        <w:t>a</w:t>
      </w:r>
      <w:r w:rsidRPr="000A1583">
        <w:rPr>
          <w:rFonts w:ascii="Times New Roman" w:hAnsi="Times New Roman" w:cs="Times New Roman"/>
          <w:sz w:val="24"/>
          <w:szCs w:val="24"/>
        </w:rPr>
        <w:t xml:space="preserve"> personas datu aizsardzības sistēma un normatīvais regulējums.</w:t>
      </w:r>
    </w:p>
    <w:p w14:paraId="7E34B3E3" w14:textId="2D5A0522" w:rsidR="000512F9" w:rsidRPr="006B0706" w:rsidRDefault="000512F9" w:rsidP="000512F9">
      <w:pPr>
        <w:spacing w:before="240" w:after="240" w:line="240" w:lineRule="auto"/>
        <w:jc w:val="both"/>
        <w:rPr>
          <w:rFonts w:ascii="Times New Roman" w:hAnsi="Times New Roman"/>
          <w:sz w:val="24"/>
          <w:szCs w:val="24"/>
        </w:rPr>
      </w:pPr>
      <w:r w:rsidRPr="00333D5E">
        <w:rPr>
          <w:rFonts w:ascii="Times New Roman" w:hAnsi="Times New Roman"/>
          <w:sz w:val="24"/>
          <w:szCs w:val="24"/>
        </w:rPr>
        <w:t>Papildus 201</w:t>
      </w:r>
      <w:r>
        <w:rPr>
          <w:rFonts w:ascii="Times New Roman" w:hAnsi="Times New Roman"/>
          <w:sz w:val="24"/>
          <w:szCs w:val="24"/>
        </w:rPr>
        <w:t>6</w:t>
      </w:r>
      <w:r w:rsidRPr="00333D5E">
        <w:rPr>
          <w:rFonts w:ascii="Times New Roman" w:hAnsi="Times New Roman"/>
          <w:sz w:val="24"/>
          <w:szCs w:val="24"/>
        </w:rPr>
        <w:t>.</w:t>
      </w:r>
      <w:r w:rsidR="007B3D71">
        <w:rPr>
          <w:rFonts w:ascii="Times New Roman" w:hAnsi="Times New Roman"/>
          <w:sz w:val="24"/>
          <w:szCs w:val="24"/>
        </w:rPr>
        <w:t> </w:t>
      </w:r>
      <w:r w:rsidRPr="00333D5E">
        <w:rPr>
          <w:rFonts w:ascii="Times New Roman" w:hAnsi="Times New Roman"/>
          <w:sz w:val="24"/>
          <w:szCs w:val="24"/>
        </w:rPr>
        <w:t>gadā uzsākti kompleksi pasākumi</w:t>
      </w:r>
      <w:r>
        <w:rPr>
          <w:rFonts w:ascii="Times New Roman" w:hAnsi="Times New Roman"/>
          <w:sz w:val="24"/>
          <w:szCs w:val="24"/>
        </w:rPr>
        <w:t xml:space="preserve"> </w:t>
      </w:r>
      <w:r w:rsidRPr="00933BE9">
        <w:rPr>
          <w:rFonts w:ascii="Times New Roman" w:hAnsi="Times New Roman"/>
          <w:sz w:val="24"/>
          <w:szCs w:val="24"/>
        </w:rPr>
        <w:t>tiesu sistēmas efektivitātes uzlabošanai un resocializācijas sistēmas pilnveidošanai</w:t>
      </w:r>
      <w:r w:rsidRPr="00333D5E">
        <w:rPr>
          <w:rFonts w:ascii="Times New Roman" w:hAnsi="Times New Roman"/>
          <w:sz w:val="24"/>
          <w:szCs w:val="24"/>
        </w:rPr>
        <w:t xml:space="preserve">, izmantojot pieejamās </w:t>
      </w:r>
      <w:r>
        <w:rPr>
          <w:rFonts w:ascii="Times New Roman" w:hAnsi="Times New Roman"/>
          <w:sz w:val="24"/>
          <w:szCs w:val="24"/>
        </w:rPr>
        <w:t>ES</w:t>
      </w:r>
      <w:r w:rsidRPr="00333D5E">
        <w:rPr>
          <w:rFonts w:ascii="Times New Roman" w:hAnsi="Times New Roman"/>
          <w:sz w:val="24"/>
          <w:szCs w:val="24"/>
        </w:rPr>
        <w:t xml:space="preserve"> fondu investīcijas.</w:t>
      </w:r>
      <w:r w:rsidRPr="006B0706">
        <w:rPr>
          <w:rFonts w:ascii="Times New Roman" w:hAnsi="Times New Roman"/>
          <w:sz w:val="24"/>
          <w:szCs w:val="24"/>
        </w:rPr>
        <w:t xml:space="preserve"> </w:t>
      </w:r>
    </w:p>
    <w:p w14:paraId="46E600E1" w14:textId="72C2C915" w:rsidR="000512F9" w:rsidRPr="00D9702F" w:rsidRDefault="000512F9" w:rsidP="000512F9">
      <w:pPr>
        <w:jc w:val="both"/>
        <w:rPr>
          <w:rFonts w:ascii="Times New Roman" w:hAnsi="Times New Roman" w:cs="Times New Roman"/>
          <w:sz w:val="24"/>
          <w:szCs w:val="24"/>
        </w:rPr>
      </w:pPr>
      <w:r w:rsidRPr="00D9702F">
        <w:rPr>
          <w:rFonts w:ascii="Times New Roman" w:hAnsi="Times New Roman" w:cs="Times New Roman"/>
          <w:sz w:val="24"/>
          <w:szCs w:val="24"/>
        </w:rPr>
        <w:t>2016.</w:t>
      </w:r>
      <w:r w:rsidR="007B3D71">
        <w:rPr>
          <w:rFonts w:ascii="Times New Roman" w:hAnsi="Times New Roman" w:cs="Times New Roman"/>
          <w:sz w:val="24"/>
          <w:szCs w:val="24"/>
        </w:rPr>
        <w:t> </w:t>
      </w:r>
      <w:r w:rsidRPr="00D9702F">
        <w:rPr>
          <w:rFonts w:ascii="Times New Roman" w:hAnsi="Times New Roman" w:cs="Times New Roman"/>
          <w:sz w:val="24"/>
          <w:szCs w:val="24"/>
        </w:rPr>
        <w:t>gada 6.</w:t>
      </w:r>
      <w:r w:rsidR="007B3D71">
        <w:rPr>
          <w:rFonts w:ascii="Times New Roman" w:hAnsi="Times New Roman" w:cs="Times New Roman"/>
          <w:sz w:val="24"/>
          <w:szCs w:val="24"/>
        </w:rPr>
        <w:t> </w:t>
      </w:r>
      <w:r w:rsidRPr="00D9702F">
        <w:rPr>
          <w:rFonts w:ascii="Times New Roman" w:hAnsi="Times New Roman" w:cs="Times New Roman"/>
          <w:sz w:val="24"/>
          <w:szCs w:val="24"/>
        </w:rPr>
        <w:t xml:space="preserve">jūnijā </w:t>
      </w:r>
      <w:r>
        <w:rPr>
          <w:rFonts w:ascii="Times New Roman" w:hAnsi="Times New Roman" w:cs="Times New Roman"/>
          <w:sz w:val="24"/>
          <w:szCs w:val="24"/>
        </w:rPr>
        <w:t xml:space="preserve">uzsākta </w:t>
      </w:r>
      <w:r w:rsidRPr="00D9702F">
        <w:rPr>
          <w:rFonts w:ascii="Times New Roman" w:hAnsi="Times New Roman" w:cs="Times New Roman"/>
          <w:sz w:val="24"/>
          <w:szCs w:val="24"/>
        </w:rPr>
        <w:t xml:space="preserve">projekta </w:t>
      </w:r>
      <w:r w:rsidR="00B55898">
        <w:rPr>
          <w:rFonts w:ascii="Times New Roman" w:hAnsi="Times New Roman" w:cs="Times New Roman"/>
          <w:sz w:val="24"/>
          <w:szCs w:val="24"/>
        </w:rPr>
        <w:t>"</w:t>
      </w:r>
      <w:r w:rsidRPr="00D9702F">
        <w:rPr>
          <w:rFonts w:ascii="Times New Roman" w:hAnsi="Times New Roman" w:cs="Times New Roman"/>
          <w:sz w:val="24"/>
          <w:szCs w:val="24"/>
        </w:rPr>
        <w:t>Justīcija attīstībai</w:t>
      </w:r>
      <w:r w:rsidR="00B55898">
        <w:rPr>
          <w:rFonts w:ascii="Times New Roman" w:hAnsi="Times New Roman" w:cs="Times New Roman"/>
          <w:sz w:val="24"/>
          <w:szCs w:val="24"/>
        </w:rPr>
        <w:t>"</w:t>
      </w:r>
      <w:r w:rsidRPr="00D9702F">
        <w:rPr>
          <w:rFonts w:ascii="Times New Roman" w:hAnsi="Times New Roman" w:cs="Times New Roman"/>
          <w:sz w:val="24"/>
          <w:szCs w:val="24"/>
        </w:rPr>
        <w:t xml:space="preserve"> īstenošan</w:t>
      </w:r>
      <w:r>
        <w:rPr>
          <w:rFonts w:ascii="Times New Roman" w:hAnsi="Times New Roman" w:cs="Times New Roman"/>
          <w:sz w:val="24"/>
          <w:szCs w:val="24"/>
        </w:rPr>
        <w:t xml:space="preserve">a, kas paredz </w:t>
      </w:r>
      <w:r w:rsidRPr="00D9702F">
        <w:rPr>
          <w:rFonts w:ascii="Times New Roman" w:hAnsi="Times New Roman" w:cs="Times New Roman"/>
          <w:sz w:val="24"/>
          <w:szCs w:val="24"/>
        </w:rPr>
        <w:t>apmācīt vairāk nekā 12</w:t>
      </w:r>
      <w:r w:rsidR="00B55898">
        <w:rPr>
          <w:rFonts w:ascii="Times New Roman" w:hAnsi="Times New Roman" w:cs="Times New Roman"/>
          <w:sz w:val="24"/>
          <w:szCs w:val="24"/>
        </w:rPr>
        <w:t> </w:t>
      </w:r>
      <w:r w:rsidRPr="00D9702F">
        <w:rPr>
          <w:rFonts w:ascii="Times New Roman" w:hAnsi="Times New Roman" w:cs="Times New Roman"/>
          <w:sz w:val="24"/>
          <w:szCs w:val="24"/>
        </w:rPr>
        <w:t>tūks</w:t>
      </w:r>
      <w:r w:rsidR="008F0ECB">
        <w:rPr>
          <w:rFonts w:ascii="Times New Roman" w:hAnsi="Times New Roman" w:cs="Times New Roman"/>
          <w:sz w:val="24"/>
          <w:szCs w:val="24"/>
        </w:rPr>
        <w:t>tošus tiesu sistēmas darbinieku</w:t>
      </w:r>
      <w:r w:rsidRPr="00D9702F">
        <w:rPr>
          <w:rFonts w:ascii="Times New Roman" w:hAnsi="Times New Roman" w:cs="Times New Roman"/>
          <w:sz w:val="24"/>
          <w:szCs w:val="24"/>
        </w:rPr>
        <w:t xml:space="preserve"> un tiesu sistēmai piederīg</w:t>
      </w:r>
      <w:r w:rsidR="00B55898">
        <w:rPr>
          <w:rFonts w:ascii="Times New Roman" w:hAnsi="Times New Roman" w:cs="Times New Roman"/>
          <w:sz w:val="24"/>
          <w:szCs w:val="24"/>
        </w:rPr>
        <w:t>u</w:t>
      </w:r>
      <w:r w:rsidRPr="00D9702F">
        <w:rPr>
          <w:rFonts w:ascii="Times New Roman" w:hAnsi="Times New Roman" w:cs="Times New Roman"/>
          <w:sz w:val="24"/>
          <w:szCs w:val="24"/>
        </w:rPr>
        <w:t xml:space="preserve"> person</w:t>
      </w:r>
      <w:r w:rsidR="00B55898">
        <w:rPr>
          <w:rFonts w:ascii="Times New Roman" w:hAnsi="Times New Roman" w:cs="Times New Roman"/>
          <w:sz w:val="24"/>
          <w:szCs w:val="24"/>
        </w:rPr>
        <w:t>u</w:t>
      </w:r>
      <w:r w:rsidRPr="00D9702F">
        <w:rPr>
          <w:rFonts w:ascii="Times New Roman" w:hAnsi="Times New Roman" w:cs="Times New Roman"/>
          <w:sz w:val="24"/>
          <w:szCs w:val="24"/>
        </w:rPr>
        <w:t>. Projekts ir vērsts uz Latvijas komercdarbības vides uzlabošanu, nodrošinot vērienīgus kvalifikācijas pilnveides pasākumus ne tikai tiesu sistēmā strādājošajiem, bet arī tiesīb</w:t>
      </w:r>
      <w:r w:rsidR="00B55898">
        <w:rPr>
          <w:rFonts w:ascii="Times New Roman" w:hAnsi="Times New Roman" w:cs="Times New Roman"/>
          <w:sz w:val="24"/>
          <w:szCs w:val="24"/>
        </w:rPr>
        <w:t>aizsardzības</w:t>
      </w:r>
      <w:r w:rsidRPr="00D9702F">
        <w:rPr>
          <w:rFonts w:ascii="Times New Roman" w:hAnsi="Times New Roman" w:cs="Times New Roman"/>
          <w:sz w:val="24"/>
          <w:szCs w:val="24"/>
        </w:rPr>
        <w:t xml:space="preserve"> un izmeklēšanas iestāžu darbiniekiem (projektā </w:t>
      </w:r>
      <w:r w:rsidR="00B55898">
        <w:rPr>
          <w:rFonts w:ascii="Times New Roman" w:hAnsi="Times New Roman" w:cs="Times New Roman"/>
          <w:sz w:val="24"/>
          <w:szCs w:val="24"/>
        </w:rPr>
        <w:t xml:space="preserve">ir </w:t>
      </w:r>
      <w:r w:rsidRPr="00D9702F">
        <w:rPr>
          <w:rFonts w:ascii="Times New Roman" w:hAnsi="Times New Roman" w:cs="Times New Roman"/>
          <w:sz w:val="24"/>
          <w:szCs w:val="24"/>
        </w:rPr>
        <w:t>iesaistīta</w:t>
      </w:r>
      <w:r>
        <w:rPr>
          <w:rFonts w:ascii="Times New Roman" w:hAnsi="Times New Roman" w:cs="Times New Roman"/>
          <w:sz w:val="24"/>
          <w:szCs w:val="24"/>
        </w:rPr>
        <w:t xml:space="preserve"> </w:t>
      </w:r>
      <w:r w:rsidRPr="00D9702F">
        <w:rPr>
          <w:rFonts w:ascii="Times New Roman" w:hAnsi="Times New Roman" w:cs="Times New Roman"/>
          <w:sz w:val="24"/>
          <w:szCs w:val="24"/>
        </w:rPr>
        <w:t>Augstākā tiesa, Ģenerālprokuratūra, Iekšlietu ministrija, Valsts tiesu ekspertīžu birojs), kā arī mediatoriem, šķīrējtiesnešiem un maksātnespējas procesa administratoriem. Projekta finansējums ir 11</w:t>
      </w:r>
      <w:r w:rsidR="00716B0D">
        <w:rPr>
          <w:rFonts w:ascii="Times New Roman" w:hAnsi="Times New Roman" w:cs="Times New Roman"/>
          <w:sz w:val="24"/>
          <w:szCs w:val="24"/>
        </w:rPr>
        <w:t> milj.</w:t>
      </w:r>
      <w:r w:rsidRPr="00D9702F">
        <w:rPr>
          <w:rFonts w:ascii="Times New Roman" w:hAnsi="Times New Roman" w:cs="Times New Roman"/>
          <w:sz w:val="24"/>
          <w:szCs w:val="24"/>
        </w:rPr>
        <w:t> </w:t>
      </w:r>
      <w:proofErr w:type="spellStart"/>
      <w:r w:rsidRPr="00D9702F">
        <w:rPr>
          <w:rFonts w:ascii="Times New Roman" w:hAnsi="Times New Roman" w:cs="Times New Roman"/>
          <w:i/>
          <w:sz w:val="24"/>
          <w:szCs w:val="24"/>
        </w:rPr>
        <w:t>euro</w:t>
      </w:r>
      <w:proofErr w:type="spellEnd"/>
      <w:r w:rsidRPr="00D9702F">
        <w:rPr>
          <w:rFonts w:ascii="Times New Roman" w:hAnsi="Times New Roman" w:cs="Times New Roman"/>
          <w:sz w:val="24"/>
          <w:szCs w:val="24"/>
        </w:rPr>
        <w:t xml:space="preserve">, tostarp Eiropas Sociālā fonda finansējums </w:t>
      </w:r>
      <w:r w:rsidR="006C0131">
        <w:rPr>
          <w:rFonts w:ascii="Times New Roman" w:hAnsi="Times New Roman" w:cs="Times New Roman"/>
          <w:sz w:val="24"/>
          <w:szCs w:val="24"/>
        </w:rPr>
        <w:t xml:space="preserve">– </w:t>
      </w:r>
      <w:r w:rsidRPr="00D9702F">
        <w:rPr>
          <w:rFonts w:ascii="Times New Roman" w:hAnsi="Times New Roman" w:cs="Times New Roman"/>
          <w:sz w:val="24"/>
          <w:szCs w:val="24"/>
        </w:rPr>
        <w:t>9,3</w:t>
      </w:r>
      <w:r w:rsidR="00716B0D">
        <w:rPr>
          <w:rFonts w:ascii="Times New Roman" w:hAnsi="Times New Roman" w:cs="Times New Roman"/>
          <w:sz w:val="24"/>
          <w:szCs w:val="24"/>
        </w:rPr>
        <w:t> milj.</w:t>
      </w:r>
      <w:r w:rsidRPr="00D9702F">
        <w:rPr>
          <w:rFonts w:ascii="Times New Roman" w:hAnsi="Times New Roman" w:cs="Times New Roman"/>
          <w:sz w:val="24"/>
          <w:szCs w:val="24"/>
        </w:rPr>
        <w:t xml:space="preserve"> </w:t>
      </w:r>
      <w:proofErr w:type="spellStart"/>
      <w:r w:rsidRPr="00D9702F">
        <w:rPr>
          <w:rFonts w:ascii="Times New Roman" w:hAnsi="Times New Roman" w:cs="Times New Roman"/>
          <w:i/>
          <w:sz w:val="24"/>
          <w:szCs w:val="24"/>
        </w:rPr>
        <w:t>euro</w:t>
      </w:r>
      <w:proofErr w:type="spellEnd"/>
      <w:r w:rsidRPr="00D9702F">
        <w:rPr>
          <w:rFonts w:ascii="Times New Roman" w:hAnsi="Times New Roman" w:cs="Times New Roman"/>
          <w:sz w:val="24"/>
          <w:szCs w:val="24"/>
        </w:rPr>
        <w:t xml:space="preserve">. </w:t>
      </w:r>
    </w:p>
    <w:p w14:paraId="236CBEE5" w14:textId="6292EE68" w:rsidR="00FD1974" w:rsidRPr="00FD1974" w:rsidRDefault="000512F9" w:rsidP="00FD1974">
      <w:pPr>
        <w:jc w:val="both"/>
        <w:rPr>
          <w:rFonts w:ascii="Times New Roman" w:hAnsi="Times New Roman" w:cs="Times New Roman"/>
          <w:sz w:val="24"/>
          <w:szCs w:val="24"/>
        </w:rPr>
      </w:pPr>
      <w:r w:rsidRPr="00D9702F">
        <w:rPr>
          <w:rFonts w:ascii="Times New Roman" w:hAnsi="Times New Roman" w:cs="Times New Roman"/>
          <w:sz w:val="24"/>
          <w:szCs w:val="24"/>
        </w:rPr>
        <w:t>2016.</w:t>
      </w:r>
      <w:r w:rsidR="007B3D71">
        <w:rPr>
          <w:rFonts w:ascii="Times New Roman" w:hAnsi="Times New Roman" w:cs="Times New Roman"/>
          <w:sz w:val="24"/>
          <w:szCs w:val="24"/>
        </w:rPr>
        <w:t> </w:t>
      </w:r>
      <w:r w:rsidRPr="00D9702F">
        <w:rPr>
          <w:rFonts w:ascii="Times New Roman" w:hAnsi="Times New Roman" w:cs="Times New Roman"/>
          <w:sz w:val="24"/>
          <w:szCs w:val="24"/>
        </w:rPr>
        <w:t>gadā tika turpināts darbs pie resocializācijas sistēmas piln</w:t>
      </w:r>
      <w:r w:rsidR="00B55898">
        <w:rPr>
          <w:rFonts w:ascii="Times New Roman" w:hAnsi="Times New Roman" w:cs="Times New Roman"/>
          <w:sz w:val="24"/>
          <w:szCs w:val="24"/>
        </w:rPr>
        <w:t>veidošanas, uzsākot</w:t>
      </w:r>
      <w:r w:rsidRPr="00D9702F">
        <w:rPr>
          <w:rFonts w:ascii="Times New Roman" w:hAnsi="Times New Roman" w:cs="Times New Roman"/>
          <w:sz w:val="24"/>
          <w:szCs w:val="24"/>
        </w:rPr>
        <w:t xml:space="preserve"> divus jaunus resocializācijas sistēmai nozīmīgus projektus </w:t>
      </w:r>
      <w:r w:rsidR="00B55898">
        <w:rPr>
          <w:rFonts w:ascii="Times New Roman" w:hAnsi="Times New Roman" w:cs="Times New Roman"/>
          <w:sz w:val="24"/>
          <w:szCs w:val="24"/>
        </w:rPr>
        <w:t>–</w:t>
      </w:r>
      <w:r w:rsidR="006C0131">
        <w:rPr>
          <w:rFonts w:ascii="Times New Roman" w:hAnsi="Times New Roman" w:cs="Times New Roman"/>
          <w:sz w:val="24"/>
          <w:szCs w:val="24"/>
        </w:rPr>
        <w:t xml:space="preserve"> </w:t>
      </w:r>
      <w:r w:rsidR="00B55898">
        <w:rPr>
          <w:rFonts w:ascii="Times New Roman" w:hAnsi="Times New Roman" w:cs="Times New Roman"/>
          <w:sz w:val="24"/>
          <w:szCs w:val="24"/>
        </w:rPr>
        <w:t>"</w:t>
      </w:r>
      <w:r w:rsidRPr="00D9702F">
        <w:rPr>
          <w:rFonts w:ascii="Times New Roman" w:hAnsi="Times New Roman" w:cs="Times New Roman"/>
          <w:sz w:val="24"/>
          <w:szCs w:val="24"/>
        </w:rPr>
        <w:t>Bijušo ieslodzīto integrācija sabiedrībā un darba tirgū</w:t>
      </w:r>
      <w:r w:rsidR="00B55898">
        <w:rPr>
          <w:rFonts w:ascii="Times New Roman" w:hAnsi="Times New Roman" w:cs="Times New Roman"/>
          <w:sz w:val="24"/>
          <w:szCs w:val="24"/>
        </w:rPr>
        <w:t>"</w:t>
      </w:r>
      <w:r w:rsidRPr="00D9702F">
        <w:rPr>
          <w:rFonts w:ascii="Times New Roman" w:hAnsi="Times New Roman" w:cs="Times New Roman"/>
          <w:sz w:val="24"/>
          <w:szCs w:val="24"/>
        </w:rPr>
        <w:t xml:space="preserve"> un </w:t>
      </w:r>
      <w:r w:rsidR="00B55898">
        <w:rPr>
          <w:rFonts w:ascii="Times New Roman" w:hAnsi="Times New Roman" w:cs="Times New Roman"/>
          <w:sz w:val="24"/>
          <w:szCs w:val="24"/>
        </w:rPr>
        <w:t>"</w:t>
      </w:r>
      <w:r w:rsidRPr="00D9702F">
        <w:rPr>
          <w:rFonts w:ascii="Times New Roman" w:hAnsi="Times New Roman" w:cs="Times New Roman"/>
          <w:sz w:val="24"/>
          <w:szCs w:val="24"/>
        </w:rPr>
        <w:t>Resocializācijas sistēmas efektivitātes paaugstināšana</w:t>
      </w:r>
      <w:r w:rsidR="00B55898">
        <w:rPr>
          <w:rFonts w:ascii="Times New Roman" w:hAnsi="Times New Roman" w:cs="Times New Roman"/>
          <w:sz w:val="24"/>
          <w:szCs w:val="24"/>
        </w:rPr>
        <w:t>"</w:t>
      </w:r>
      <w:r w:rsidRPr="00D9702F">
        <w:rPr>
          <w:rFonts w:ascii="Times New Roman" w:hAnsi="Times New Roman" w:cs="Times New Roman"/>
          <w:sz w:val="24"/>
          <w:szCs w:val="24"/>
        </w:rPr>
        <w:t>. Projektos paredzēts paaugstināt ieslodzījuma vietu un probācijas darbinieku kvalifikāciju</w:t>
      </w:r>
      <w:r>
        <w:rPr>
          <w:rFonts w:ascii="Times New Roman" w:hAnsi="Times New Roman" w:cs="Times New Roman"/>
          <w:sz w:val="24"/>
          <w:szCs w:val="24"/>
        </w:rPr>
        <w:t xml:space="preserve"> un </w:t>
      </w:r>
      <w:r w:rsidRPr="00D9702F">
        <w:rPr>
          <w:rFonts w:ascii="Times New Roman" w:hAnsi="Times New Roman" w:cs="Times New Roman"/>
          <w:sz w:val="24"/>
          <w:szCs w:val="24"/>
        </w:rPr>
        <w:t>veicināt ieslodzīto iekļaušanu darba tirgū. Turpmāko sešu gadu laikā šajos projektos dažādos pasākumos plānots iesaistīt vismaz 16</w:t>
      </w:r>
      <w:r w:rsidR="00B55898">
        <w:rPr>
          <w:rFonts w:ascii="Times New Roman" w:hAnsi="Times New Roman" w:cs="Times New Roman"/>
          <w:sz w:val="24"/>
          <w:szCs w:val="24"/>
        </w:rPr>
        <w:t> </w:t>
      </w:r>
      <w:r w:rsidRPr="00D9702F">
        <w:rPr>
          <w:rFonts w:ascii="Times New Roman" w:hAnsi="Times New Roman" w:cs="Times New Roman"/>
          <w:sz w:val="24"/>
          <w:szCs w:val="24"/>
        </w:rPr>
        <w:t>000</w:t>
      </w:r>
      <w:r w:rsidR="00B55898">
        <w:rPr>
          <w:rFonts w:ascii="Times New Roman" w:hAnsi="Times New Roman" w:cs="Times New Roman"/>
          <w:sz w:val="24"/>
          <w:szCs w:val="24"/>
        </w:rPr>
        <w:t> </w:t>
      </w:r>
      <w:r w:rsidRPr="00D9702F">
        <w:rPr>
          <w:rFonts w:ascii="Times New Roman" w:hAnsi="Times New Roman" w:cs="Times New Roman"/>
          <w:sz w:val="24"/>
          <w:szCs w:val="24"/>
        </w:rPr>
        <w:t xml:space="preserve">ieslodzīto un bijušo ieslodzīto. Abiem projektiem plānotais </w:t>
      </w:r>
      <w:r w:rsidR="004B4D27" w:rsidRPr="00D9702F">
        <w:rPr>
          <w:rFonts w:ascii="Times New Roman" w:hAnsi="Times New Roman" w:cs="Times New Roman"/>
          <w:sz w:val="24"/>
          <w:szCs w:val="24"/>
        </w:rPr>
        <w:t>kop</w:t>
      </w:r>
      <w:r w:rsidR="004B4D27">
        <w:rPr>
          <w:rFonts w:ascii="Times New Roman" w:hAnsi="Times New Roman" w:cs="Times New Roman"/>
          <w:sz w:val="24"/>
          <w:szCs w:val="24"/>
        </w:rPr>
        <w:t>ējais</w:t>
      </w:r>
      <w:r w:rsidR="004B4D27" w:rsidRPr="00D9702F">
        <w:rPr>
          <w:rFonts w:ascii="Times New Roman" w:hAnsi="Times New Roman" w:cs="Times New Roman"/>
          <w:sz w:val="24"/>
          <w:szCs w:val="24"/>
        </w:rPr>
        <w:t xml:space="preserve"> </w:t>
      </w:r>
      <w:r w:rsidRPr="00D9702F">
        <w:rPr>
          <w:rFonts w:ascii="Times New Roman" w:hAnsi="Times New Roman" w:cs="Times New Roman"/>
          <w:sz w:val="24"/>
          <w:szCs w:val="24"/>
        </w:rPr>
        <w:t>finansējums ir 8,8</w:t>
      </w:r>
      <w:r w:rsidR="00716B0D">
        <w:rPr>
          <w:rFonts w:ascii="Times New Roman" w:hAnsi="Times New Roman" w:cs="Times New Roman"/>
          <w:sz w:val="24"/>
          <w:szCs w:val="24"/>
        </w:rPr>
        <w:t> milj.</w:t>
      </w:r>
      <w:r w:rsidR="004B4D27">
        <w:rPr>
          <w:rFonts w:ascii="Times New Roman" w:hAnsi="Times New Roman" w:cs="Times New Roman"/>
          <w:sz w:val="24"/>
          <w:szCs w:val="24"/>
        </w:rPr>
        <w:t> </w:t>
      </w:r>
      <w:proofErr w:type="spellStart"/>
      <w:r w:rsidRPr="00D9702F">
        <w:rPr>
          <w:rFonts w:ascii="Times New Roman" w:hAnsi="Times New Roman" w:cs="Times New Roman"/>
          <w:i/>
          <w:sz w:val="24"/>
          <w:szCs w:val="24"/>
        </w:rPr>
        <w:t>euro</w:t>
      </w:r>
      <w:proofErr w:type="spellEnd"/>
      <w:r w:rsidRPr="00D9702F">
        <w:rPr>
          <w:rFonts w:ascii="Times New Roman" w:hAnsi="Times New Roman" w:cs="Times New Roman"/>
          <w:sz w:val="24"/>
          <w:szCs w:val="24"/>
        </w:rPr>
        <w:t>, tai skaitā 7,5</w:t>
      </w:r>
      <w:r w:rsidR="00716B0D">
        <w:rPr>
          <w:rFonts w:ascii="Times New Roman" w:hAnsi="Times New Roman" w:cs="Times New Roman"/>
          <w:sz w:val="24"/>
          <w:szCs w:val="24"/>
        </w:rPr>
        <w:t> milj.</w:t>
      </w:r>
      <w:r w:rsidR="004B4D27">
        <w:rPr>
          <w:rFonts w:ascii="Times New Roman" w:hAnsi="Times New Roman" w:cs="Times New Roman"/>
          <w:sz w:val="24"/>
          <w:szCs w:val="24"/>
        </w:rPr>
        <w:t> </w:t>
      </w:r>
      <w:proofErr w:type="spellStart"/>
      <w:r w:rsidRPr="00D9702F">
        <w:rPr>
          <w:rFonts w:ascii="Times New Roman" w:hAnsi="Times New Roman" w:cs="Times New Roman"/>
          <w:i/>
          <w:sz w:val="24"/>
          <w:szCs w:val="24"/>
        </w:rPr>
        <w:t>euro</w:t>
      </w:r>
      <w:proofErr w:type="spellEnd"/>
      <w:r w:rsidRPr="00D9702F">
        <w:rPr>
          <w:rFonts w:ascii="Times New Roman" w:hAnsi="Times New Roman" w:cs="Times New Roman"/>
          <w:sz w:val="24"/>
          <w:szCs w:val="24"/>
        </w:rPr>
        <w:t xml:space="preserve"> </w:t>
      </w:r>
      <w:r w:rsidR="00B55898">
        <w:rPr>
          <w:rFonts w:ascii="Times New Roman" w:hAnsi="Times New Roman" w:cs="Times New Roman"/>
          <w:sz w:val="24"/>
          <w:szCs w:val="24"/>
        </w:rPr>
        <w:t xml:space="preserve">– </w:t>
      </w:r>
      <w:r w:rsidRPr="00D9702F">
        <w:rPr>
          <w:rFonts w:ascii="Times New Roman" w:hAnsi="Times New Roman" w:cs="Times New Roman"/>
          <w:sz w:val="24"/>
          <w:szCs w:val="24"/>
        </w:rPr>
        <w:t>Eir</w:t>
      </w:r>
      <w:r w:rsidR="00FD1974">
        <w:rPr>
          <w:rFonts w:ascii="Times New Roman" w:hAnsi="Times New Roman" w:cs="Times New Roman"/>
          <w:sz w:val="24"/>
          <w:szCs w:val="24"/>
        </w:rPr>
        <w:t>opas Sociālā fonda finansējums.</w:t>
      </w:r>
    </w:p>
    <w:p w14:paraId="27135AA3" w14:textId="77777777" w:rsidR="000512F9" w:rsidRPr="006B0706" w:rsidRDefault="000512F9" w:rsidP="000512F9">
      <w:pPr>
        <w:rPr>
          <w:rFonts w:ascii="Times New Roman" w:hAnsi="Times New Roman" w:cs="Times New Roman"/>
          <w:b/>
          <w:color w:val="548DD4" w:themeColor="text2" w:themeTint="99"/>
          <w:sz w:val="24"/>
          <w:szCs w:val="24"/>
        </w:rPr>
      </w:pPr>
      <w:r w:rsidRPr="006B0706">
        <w:rPr>
          <w:rFonts w:ascii="Times New Roman" w:hAnsi="Times New Roman" w:cs="Times New Roman"/>
          <w:b/>
          <w:color w:val="548DD4" w:themeColor="text2" w:themeTint="99"/>
          <w:sz w:val="24"/>
          <w:szCs w:val="24"/>
        </w:rPr>
        <w:t>Efektīvs maksātnespējas process, nodrošinot līdzsvaru starp maksātnespējīgo personu un kreditoru interesēm</w:t>
      </w:r>
    </w:p>
    <w:p w14:paraId="2C88D8D6" w14:textId="7A0C7140" w:rsidR="000512F9" w:rsidRPr="007873E2" w:rsidRDefault="000512F9" w:rsidP="000512F9">
      <w:pPr>
        <w:jc w:val="both"/>
        <w:rPr>
          <w:rFonts w:ascii="Times New Roman" w:hAnsi="Times New Roman" w:cs="Times New Roman"/>
          <w:sz w:val="24"/>
          <w:szCs w:val="24"/>
        </w:rPr>
      </w:pPr>
      <w:r w:rsidRPr="009601AA">
        <w:rPr>
          <w:rFonts w:ascii="Times New Roman" w:hAnsi="Times New Roman" w:cs="Times New Roman"/>
          <w:sz w:val="24"/>
          <w:szCs w:val="24"/>
        </w:rPr>
        <w:t xml:space="preserve">Maksātnespējas process ir ļoti svarīgs uzņēmējdarbības un investīciju vides faktors, taču Latvijā tas nestrādā </w:t>
      </w:r>
      <w:r>
        <w:rPr>
          <w:rFonts w:ascii="Times New Roman" w:hAnsi="Times New Roman" w:cs="Times New Roman"/>
          <w:sz w:val="24"/>
          <w:szCs w:val="24"/>
        </w:rPr>
        <w:t>pietiek</w:t>
      </w:r>
      <w:r w:rsidR="00B55898">
        <w:rPr>
          <w:rFonts w:ascii="Times New Roman" w:hAnsi="Times New Roman" w:cs="Times New Roman"/>
          <w:sz w:val="24"/>
          <w:szCs w:val="24"/>
        </w:rPr>
        <w:t>am</w:t>
      </w:r>
      <w:r>
        <w:rPr>
          <w:rFonts w:ascii="Times New Roman" w:hAnsi="Times New Roman" w:cs="Times New Roman"/>
          <w:sz w:val="24"/>
          <w:szCs w:val="24"/>
        </w:rPr>
        <w:t xml:space="preserve">i </w:t>
      </w:r>
      <w:r w:rsidRPr="009601AA">
        <w:rPr>
          <w:rFonts w:ascii="Times New Roman" w:hAnsi="Times New Roman" w:cs="Times New Roman"/>
          <w:sz w:val="24"/>
          <w:szCs w:val="24"/>
        </w:rPr>
        <w:t>efektīvi.</w:t>
      </w:r>
      <w:r w:rsidRPr="007873E2">
        <w:rPr>
          <w:rFonts w:ascii="Times New Roman" w:hAnsi="Times New Roman" w:cs="Times New Roman"/>
          <w:sz w:val="24"/>
          <w:szCs w:val="24"/>
        </w:rPr>
        <w:t xml:space="preserve"> </w:t>
      </w:r>
      <w:r w:rsidRPr="00B17A8E">
        <w:rPr>
          <w:rFonts w:ascii="Times New Roman" w:hAnsi="Times New Roman" w:cs="Times New Roman"/>
          <w:sz w:val="24"/>
          <w:szCs w:val="24"/>
        </w:rPr>
        <w:t xml:space="preserve">Veselīgai </w:t>
      </w:r>
      <w:r>
        <w:rPr>
          <w:rFonts w:ascii="Times New Roman" w:hAnsi="Times New Roman" w:cs="Times New Roman"/>
          <w:sz w:val="24"/>
          <w:szCs w:val="24"/>
        </w:rPr>
        <w:t>uzņēmējdarbības videi</w:t>
      </w:r>
      <w:r w:rsidRPr="00B17A8E">
        <w:rPr>
          <w:rFonts w:ascii="Times New Roman" w:hAnsi="Times New Roman" w:cs="Times New Roman"/>
          <w:sz w:val="24"/>
          <w:szCs w:val="24"/>
        </w:rPr>
        <w:t xml:space="preserve"> ir nepieciešams darboties spējīgs maksātnespējas režīms.</w:t>
      </w:r>
      <w:r>
        <w:t xml:space="preserve"> </w:t>
      </w:r>
      <w:r w:rsidRPr="00191310">
        <w:rPr>
          <w:rFonts w:ascii="Times New Roman" w:hAnsi="Times New Roman" w:cs="Times New Roman"/>
          <w:sz w:val="24"/>
          <w:szCs w:val="24"/>
        </w:rPr>
        <w:t>Latvijā ir labs maksātnespējas procesa regulējums</w:t>
      </w:r>
      <w:r w:rsidR="00C770C7">
        <w:rPr>
          <w:rFonts w:ascii="Times New Roman" w:hAnsi="Times New Roman" w:cs="Times New Roman"/>
          <w:sz w:val="24"/>
          <w:szCs w:val="24"/>
        </w:rPr>
        <w:t>,</w:t>
      </w:r>
      <w:r w:rsidRPr="00191310">
        <w:rPr>
          <w:rFonts w:ascii="Times New Roman" w:hAnsi="Times New Roman" w:cs="Times New Roman"/>
          <w:sz w:val="24"/>
          <w:szCs w:val="24"/>
        </w:rPr>
        <w:t xml:space="preserve"> un to ir atz</w:t>
      </w:r>
      <w:r w:rsidR="004708C9">
        <w:rPr>
          <w:rFonts w:ascii="Times New Roman" w:hAnsi="Times New Roman" w:cs="Times New Roman"/>
          <w:sz w:val="24"/>
          <w:szCs w:val="24"/>
        </w:rPr>
        <w:t>inuši un novērtējuši arī</w:t>
      </w:r>
      <w:r w:rsidRPr="00191310">
        <w:rPr>
          <w:rFonts w:ascii="Times New Roman" w:hAnsi="Times New Roman" w:cs="Times New Roman"/>
          <w:sz w:val="24"/>
          <w:szCs w:val="24"/>
        </w:rPr>
        <w:t xml:space="preserve"> ārvalstu eksperti. Tomēr </w:t>
      </w:r>
      <w:proofErr w:type="gramStart"/>
      <w:r w:rsidRPr="00191310">
        <w:rPr>
          <w:rFonts w:ascii="Times New Roman" w:hAnsi="Times New Roman" w:cs="Times New Roman"/>
          <w:sz w:val="24"/>
          <w:szCs w:val="24"/>
        </w:rPr>
        <w:t>likum</w:t>
      </w:r>
      <w:r w:rsidR="004B4D27">
        <w:rPr>
          <w:rFonts w:ascii="Times New Roman" w:hAnsi="Times New Roman" w:cs="Times New Roman"/>
          <w:sz w:val="24"/>
          <w:szCs w:val="24"/>
        </w:rPr>
        <w:t>u</w:t>
      </w:r>
      <w:proofErr w:type="gramEnd"/>
      <w:r w:rsidRPr="00191310">
        <w:rPr>
          <w:rFonts w:ascii="Times New Roman" w:hAnsi="Times New Roman" w:cs="Times New Roman"/>
          <w:sz w:val="24"/>
          <w:szCs w:val="24"/>
        </w:rPr>
        <w:t xml:space="preserve"> jā</w:t>
      </w:r>
      <w:r w:rsidR="00C770C7">
        <w:rPr>
          <w:rFonts w:ascii="Times New Roman" w:hAnsi="Times New Roman" w:cs="Times New Roman"/>
          <w:sz w:val="24"/>
          <w:szCs w:val="24"/>
        </w:rPr>
        <w:t>spēj</w:t>
      </w:r>
      <w:r w:rsidRPr="00191310">
        <w:rPr>
          <w:rFonts w:ascii="Times New Roman" w:hAnsi="Times New Roman" w:cs="Times New Roman"/>
          <w:sz w:val="24"/>
          <w:szCs w:val="24"/>
        </w:rPr>
        <w:t xml:space="preserve"> pareizi piemērot arī praksē</w:t>
      </w:r>
      <w:r>
        <w:rPr>
          <w:rFonts w:ascii="Times New Roman" w:hAnsi="Times New Roman" w:cs="Times New Roman"/>
          <w:sz w:val="24"/>
          <w:szCs w:val="24"/>
        </w:rPr>
        <w:t>,</w:t>
      </w:r>
      <w:r w:rsidRPr="00191310">
        <w:rPr>
          <w:rFonts w:ascii="Times New Roman" w:hAnsi="Times New Roman" w:cs="Times New Roman"/>
          <w:sz w:val="24"/>
          <w:szCs w:val="24"/>
        </w:rPr>
        <w:t xml:space="preserve"> lai</w:t>
      </w:r>
      <w:r>
        <w:rPr>
          <w:rFonts w:ascii="Times New Roman" w:hAnsi="Times New Roman" w:cs="Times New Roman"/>
          <w:sz w:val="24"/>
          <w:szCs w:val="24"/>
        </w:rPr>
        <w:t xml:space="preserve"> </w:t>
      </w:r>
      <w:r w:rsidRPr="00191310">
        <w:rPr>
          <w:rFonts w:ascii="Times New Roman" w:hAnsi="Times New Roman" w:cs="Times New Roman"/>
          <w:sz w:val="24"/>
          <w:szCs w:val="24"/>
        </w:rPr>
        <w:t>pārtrauktu turpmāku zaudējumu nodarīšanu uzņēmējiem, valstij un nodokļu maksātājiem.</w:t>
      </w:r>
      <w:r>
        <w:rPr>
          <w:rFonts w:ascii="Times New Roman" w:hAnsi="Times New Roman" w:cs="Times New Roman"/>
          <w:sz w:val="24"/>
          <w:szCs w:val="24"/>
        </w:rPr>
        <w:t xml:space="preserve"> </w:t>
      </w:r>
      <w:r w:rsidRPr="007873E2">
        <w:rPr>
          <w:rFonts w:ascii="Times New Roman" w:hAnsi="Times New Roman" w:cs="Times New Roman"/>
          <w:sz w:val="24"/>
          <w:szCs w:val="24"/>
        </w:rPr>
        <w:t>Zaudējumus galvenokārt rada kvalitatīvas maksātnespējas procesa uzraudzības un kontroles sistēmas trūkums, kā arī maksātnespējas procesu ļaunprātīga izmantošana.</w:t>
      </w:r>
      <w:r>
        <w:rPr>
          <w:rFonts w:ascii="Times New Roman" w:hAnsi="Times New Roman" w:cs="Times New Roman"/>
          <w:sz w:val="24"/>
          <w:szCs w:val="24"/>
        </w:rPr>
        <w:t xml:space="preserve"> </w:t>
      </w:r>
      <w:r w:rsidRPr="005828B1">
        <w:rPr>
          <w:rFonts w:ascii="Times New Roman" w:hAnsi="Times New Roman" w:cs="Times New Roman"/>
          <w:sz w:val="24"/>
          <w:szCs w:val="24"/>
        </w:rPr>
        <w:t xml:space="preserve">Ja </w:t>
      </w:r>
      <w:r>
        <w:rPr>
          <w:rFonts w:ascii="Times New Roman" w:hAnsi="Times New Roman" w:cs="Times New Roman"/>
          <w:sz w:val="24"/>
          <w:szCs w:val="24"/>
        </w:rPr>
        <w:t xml:space="preserve">tiesiskās aizsardzības vai </w:t>
      </w:r>
      <w:r w:rsidRPr="005828B1">
        <w:rPr>
          <w:rFonts w:ascii="Times New Roman" w:hAnsi="Times New Roman" w:cs="Times New Roman"/>
          <w:sz w:val="24"/>
          <w:szCs w:val="24"/>
        </w:rPr>
        <w:t>maksātnespējas proces</w:t>
      </w:r>
      <w:r w:rsidR="00C770C7">
        <w:rPr>
          <w:rFonts w:ascii="Times New Roman" w:hAnsi="Times New Roman" w:cs="Times New Roman"/>
          <w:sz w:val="24"/>
          <w:szCs w:val="24"/>
        </w:rPr>
        <w:t>s</w:t>
      </w:r>
      <w:r w:rsidRPr="005828B1">
        <w:rPr>
          <w:rFonts w:ascii="Times New Roman" w:hAnsi="Times New Roman" w:cs="Times New Roman"/>
          <w:sz w:val="24"/>
          <w:szCs w:val="24"/>
        </w:rPr>
        <w:t xml:space="preserve"> tiek izmantot</w:t>
      </w:r>
      <w:r w:rsidR="00C770C7">
        <w:rPr>
          <w:rFonts w:ascii="Times New Roman" w:hAnsi="Times New Roman" w:cs="Times New Roman"/>
          <w:sz w:val="24"/>
          <w:szCs w:val="24"/>
        </w:rPr>
        <w:t>s</w:t>
      </w:r>
      <w:r w:rsidRPr="005828B1">
        <w:rPr>
          <w:rFonts w:ascii="Times New Roman" w:hAnsi="Times New Roman" w:cs="Times New Roman"/>
          <w:sz w:val="24"/>
          <w:szCs w:val="24"/>
        </w:rPr>
        <w:t xml:space="preserve"> ļaunprātīgi, uzņēmum</w:t>
      </w:r>
      <w:r w:rsidR="00C770C7">
        <w:rPr>
          <w:rFonts w:ascii="Times New Roman" w:hAnsi="Times New Roman" w:cs="Times New Roman"/>
          <w:sz w:val="24"/>
          <w:szCs w:val="24"/>
        </w:rPr>
        <w:t>a</w:t>
      </w:r>
      <w:r w:rsidRPr="005828B1">
        <w:rPr>
          <w:rFonts w:ascii="Times New Roman" w:hAnsi="Times New Roman" w:cs="Times New Roman"/>
          <w:sz w:val="24"/>
          <w:szCs w:val="24"/>
        </w:rPr>
        <w:t xml:space="preserve"> vadība un akcionāri var </w:t>
      </w:r>
      <w:r w:rsidRPr="005828B1">
        <w:rPr>
          <w:rFonts w:ascii="Times New Roman" w:hAnsi="Times New Roman" w:cs="Times New Roman"/>
          <w:sz w:val="24"/>
          <w:szCs w:val="24"/>
        </w:rPr>
        <w:lastRenderedPageBreak/>
        <w:t>uzskatīt, ka vieglāk ir uzņēmumu likvidēt</w:t>
      </w:r>
      <w:r w:rsidR="000E0477">
        <w:rPr>
          <w:rFonts w:ascii="Times New Roman" w:hAnsi="Times New Roman" w:cs="Times New Roman"/>
          <w:sz w:val="24"/>
          <w:szCs w:val="24"/>
        </w:rPr>
        <w:t>,</w:t>
      </w:r>
      <w:r w:rsidRPr="005828B1">
        <w:rPr>
          <w:rFonts w:ascii="Times New Roman" w:hAnsi="Times New Roman" w:cs="Times New Roman"/>
          <w:sz w:val="24"/>
          <w:szCs w:val="24"/>
        </w:rPr>
        <w:t xml:space="preserve"> nekā vest sarunas ar kreditoriem par uzņēmuma glābšanu. Šajā ziņā Latvija ļoti atšķiras no daudzām </w:t>
      </w:r>
      <w:r>
        <w:rPr>
          <w:rFonts w:ascii="Times New Roman" w:hAnsi="Times New Roman" w:cs="Times New Roman"/>
          <w:sz w:val="24"/>
          <w:szCs w:val="24"/>
        </w:rPr>
        <w:t>ES</w:t>
      </w:r>
      <w:r w:rsidRPr="005828B1">
        <w:rPr>
          <w:rFonts w:ascii="Times New Roman" w:hAnsi="Times New Roman" w:cs="Times New Roman"/>
          <w:sz w:val="24"/>
          <w:szCs w:val="24"/>
        </w:rPr>
        <w:t xml:space="preserve"> dalībvalstīm, kurās maksātnespējas procesa dalībnieki</w:t>
      </w:r>
      <w:r w:rsidR="004B4D27">
        <w:rPr>
          <w:rFonts w:ascii="Times New Roman" w:hAnsi="Times New Roman" w:cs="Times New Roman"/>
          <w:sz w:val="24"/>
          <w:szCs w:val="24"/>
        </w:rPr>
        <w:t> </w:t>
      </w:r>
      <w:r w:rsidR="00B55898">
        <w:rPr>
          <w:rFonts w:ascii="Times New Roman" w:hAnsi="Times New Roman" w:cs="Times New Roman"/>
          <w:sz w:val="24"/>
          <w:szCs w:val="24"/>
        </w:rPr>
        <w:t>–</w:t>
      </w:r>
      <w:r>
        <w:rPr>
          <w:rFonts w:ascii="Times New Roman" w:hAnsi="Times New Roman" w:cs="Times New Roman"/>
          <w:sz w:val="24"/>
          <w:szCs w:val="24"/>
        </w:rPr>
        <w:t xml:space="preserve"> </w:t>
      </w:r>
      <w:r w:rsidRPr="005828B1">
        <w:rPr>
          <w:rFonts w:ascii="Times New Roman" w:hAnsi="Times New Roman" w:cs="Times New Roman"/>
          <w:sz w:val="24"/>
          <w:szCs w:val="24"/>
        </w:rPr>
        <w:t xml:space="preserve">kreditori, akcionāri, maksātnespējas administratori </w:t>
      </w:r>
      <w:r w:rsidR="00B55898">
        <w:rPr>
          <w:rFonts w:ascii="Times New Roman" w:hAnsi="Times New Roman" w:cs="Times New Roman"/>
          <w:sz w:val="24"/>
          <w:szCs w:val="24"/>
        </w:rPr>
        <w:t>–</w:t>
      </w:r>
      <w:r w:rsidRPr="005828B1">
        <w:rPr>
          <w:rFonts w:ascii="Times New Roman" w:hAnsi="Times New Roman" w:cs="Times New Roman"/>
          <w:sz w:val="24"/>
          <w:szCs w:val="24"/>
        </w:rPr>
        <w:t xml:space="preserve"> labprātāk izvēlas restrukturizēt un glābt</w:t>
      </w:r>
      <w:r w:rsidR="004B4D27" w:rsidRPr="004B4D27">
        <w:rPr>
          <w:rFonts w:ascii="Times New Roman" w:hAnsi="Times New Roman" w:cs="Times New Roman"/>
          <w:sz w:val="24"/>
          <w:szCs w:val="24"/>
        </w:rPr>
        <w:t xml:space="preserve"> </w:t>
      </w:r>
      <w:r w:rsidR="004B4D27">
        <w:rPr>
          <w:rFonts w:ascii="Times New Roman" w:hAnsi="Times New Roman" w:cs="Times New Roman"/>
          <w:sz w:val="24"/>
          <w:szCs w:val="24"/>
        </w:rPr>
        <w:t>uzņēmumus</w:t>
      </w:r>
      <w:r w:rsidRPr="005828B1">
        <w:rPr>
          <w:rFonts w:ascii="Times New Roman" w:hAnsi="Times New Roman" w:cs="Times New Roman"/>
          <w:sz w:val="24"/>
          <w:szCs w:val="24"/>
        </w:rPr>
        <w:t xml:space="preserve">. Pašreizējo situāciju var mainīt, nodrošinot stingru maksātnespējas procesa pārraudzību, kā rezultātā </w:t>
      </w:r>
      <w:r w:rsidR="004B4D27" w:rsidRPr="005828B1">
        <w:rPr>
          <w:rFonts w:ascii="Times New Roman" w:hAnsi="Times New Roman" w:cs="Times New Roman"/>
          <w:sz w:val="24"/>
          <w:szCs w:val="24"/>
        </w:rPr>
        <w:t>finanšu grūtībās nonākuši</w:t>
      </w:r>
      <w:r w:rsidR="004B4D27">
        <w:rPr>
          <w:rFonts w:ascii="Times New Roman" w:hAnsi="Times New Roman" w:cs="Times New Roman"/>
          <w:sz w:val="24"/>
          <w:szCs w:val="24"/>
        </w:rPr>
        <w:t>e</w:t>
      </w:r>
      <w:r w:rsidR="004B4D27" w:rsidRPr="005828B1">
        <w:rPr>
          <w:rFonts w:ascii="Times New Roman" w:hAnsi="Times New Roman" w:cs="Times New Roman"/>
          <w:sz w:val="24"/>
          <w:szCs w:val="24"/>
        </w:rPr>
        <w:t xml:space="preserve"> </w:t>
      </w:r>
      <w:r w:rsidRPr="005828B1">
        <w:rPr>
          <w:rFonts w:ascii="Times New Roman" w:hAnsi="Times New Roman" w:cs="Times New Roman"/>
          <w:sz w:val="24"/>
          <w:szCs w:val="24"/>
        </w:rPr>
        <w:t>uzņēmumi par labāko risinājumu uzskatīs uzņēmuma atveseļošanu.</w:t>
      </w:r>
    </w:p>
    <w:p w14:paraId="18F3575F" w14:textId="5F7F4464" w:rsidR="000512F9" w:rsidRPr="009601AA" w:rsidRDefault="000512F9" w:rsidP="000512F9">
      <w:pPr>
        <w:jc w:val="both"/>
        <w:rPr>
          <w:rFonts w:ascii="Times New Roman" w:hAnsi="Times New Roman" w:cs="Times New Roman"/>
          <w:sz w:val="24"/>
          <w:szCs w:val="24"/>
        </w:rPr>
      </w:pPr>
      <w:r w:rsidRPr="00191310">
        <w:rPr>
          <w:rFonts w:ascii="Times New Roman" w:hAnsi="Times New Roman" w:cs="Times New Roman"/>
          <w:sz w:val="24"/>
          <w:szCs w:val="24"/>
        </w:rPr>
        <w:t>Maksātnespējas likuma nepārtrauktā pilnveidošana joprojām nav devusi vēlamo rezultātu, bet maksātnespējas proces</w:t>
      </w:r>
      <w:r w:rsidR="00B55898">
        <w:rPr>
          <w:rFonts w:ascii="Times New Roman" w:hAnsi="Times New Roman" w:cs="Times New Roman"/>
          <w:sz w:val="24"/>
          <w:szCs w:val="24"/>
        </w:rPr>
        <w:t>a</w:t>
      </w:r>
      <w:r w:rsidRPr="00191310">
        <w:rPr>
          <w:rFonts w:ascii="Times New Roman" w:hAnsi="Times New Roman" w:cs="Times New Roman"/>
          <w:sz w:val="24"/>
          <w:szCs w:val="24"/>
        </w:rPr>
        <w:t xml:space="preserve"> uzraudzība joprojām nenodrošina investoru </w:t>
      </w:r>
      <w:r w:rsidR="00072614" w:rsidRPr="00191310">
        <w:rPr>
          <w:rFonts w:ascii="Times New Roman" w:hAnsi="Times New Roman" w:cs="Times New Roman"/>
          <w:sz w:val="24"/>
          <w:szCs w:val="24"/>
        </w:rPr>
        <w:t xml:space="preserve">nepieciešamo </w:t>
      </w:r>
      <w:r w:rsidRPr="00191310">
        <w:rPr>
          <w:rFonts w:ascii="Times New Roman" w:hAnsi="Times New Roman" w:cs="Times New Roman"/>
          <w:sz w:val="24"/>
          <w:szCs w:val="24"/>
        </w:rPr>
        <w:t xml:space="preserve">aizsardzību. Tādēļ, lai lauztu iesīkstējušo virzību, maksātnespējas procesa sakārtošana ir </w:t>
      </w:r>
      <w:r>
        <w:rPr>
          <w:rFonts w:ascii="Times New Roman" w:hAnsi="Times New Roman" w:cs="Times New Roman"/>
          <w:sz w:val="24"/>
          <w:szCs w:val="24"/>
        </w:rPr>
        <w:t xml:space="preserve">izvirzīta </w:t>
      </w:r>
      <w:r w:rsidRPr="00191310">
        <w:rPr>
          <w:rFonts w:ascii="Times New Roman" w:hAnsi="Times New Roman" w:cs="Times New Roman"/>
          <w:sz w:val="24"/>
          <w:szCs w:val="24"/>
        </w:rPr>
        <w:t>par vienu no valdības prioritātēm.</w:t>
      </w:r>
    </w:p>
    <w:p w14:paraId="4A6B91E1" w14:textId="58DD5EB6" w:rsidR="000512F9" w:rsidRDefault="000512F9" w:rsidP="000512F9">
      <w:pPr>
        <w:jc w:val="both"/>
        <w:rPr>
          <w:rFonts w:ascii="Times New Roman" w:hAnsi="Times New Roman" w:cs="Times New Roman"/>
          <w:sz w:val="24"/>
          <w:szCs w:val="24"/>
        </w:rPr>
      </w:pPr>
      <w:r>
        <w:rPr>
          <w:rFonts w:ascii="Times New Roman" w:hAnsi="Times New Roman" w:cs="Times New Roman"/>
          <w:sz w:val="24"/>
          <w:szCs w:val="24"/>
        </w:rPr>
        <w:t>Šogad valdībā tika apstiprināti</w:t>
      </w:r>
      <w:r w:rsidRPr="000A1583">
        <w:rPr>
          <w:rFonts w:ascii="Times New Roman" w:hAnsi="Times New Roman" w:cs="Times New Roman"/>
          <w:sz w:val="24"/>
          <w:szCs w:val="24"/>
        </w:rPr>
        <w:t xml:space="preserve"> maksātnespējas politikas vidējā termiņa attīstības virzien</w:t>
      </w:r>
      <w:r>
        <w:rPr>
          <w:rFonts w:ascii="Times New Roman" w:hAnsi="Times New Roman" w:cs="Times New Roman"/>
          <w:sz w:val="24"/>
          <w:szCs w:val="24"/>
        </w:rPr>
        <w:t>i</w:t>
      </w:r>
      <w:r w:rsidRPr="000A1583">
        <w:rPr>
          <w:rFonts w:ascii="Times New Roman" w:hAnsi="Times New Roman" w:cs="Times New Roman"/>
          <w:sz w:val="24"/>
          <w:szCs w:val="24"/>
        </w:rPr>
        <w:t>, sniedzot sistēmisku maksātnespējas jomā pastāvošo problēmu izvērtējumu un nosakot prioritātes un sasniedzamos rezultātus. Maksātnespējas procesa reforma paredz valsts uzraudzības pastiprināšanu, efektīv</w:t>
      </w:r>
      <w:r>
        <w:rPr>
          <w:rFonts w:ascii="Times New Roman" w:hAnsi="Times New Roman" w:cs="Times New Roman"/>
          <w:sz w:val="24"/>
          <w:szCs w:val="24"/>
        </w:rPr>
        <w:t>ākas</w:t>
      </w:r>
      <w:r w:rsidRPr="000A1583">
        <w:rPr>
          <w:rFonts w:ascii="Times New Roman" w:hAnsi="Times New Roman" w:cs="Times New Roman"/>
          <w:sz w:val="24"/>
          <w:szCs w:val="24"/>
        </w:rPr>
        <w:t xml:space="preserve"> kontroles sistēmas ieviešanu, </w:t>
      </w:r>
      <w:r>
        <w:rPr>
          <w:rFonts w:ascii="Times New Roman" w:hAnsi="Times New Roman" w:cs="Times New Roman"/>
          <w:sz w:val="24"/>
          <w:szCs w:val="24"/>
        </w:rPr>
        <w:t xml:space="preserve">kā arī </w:t>
      </w:r>
      <w:r w:rsidRPr="000A1583">
        <w:rPr>
          <w:rFonts w:ascii="Times New Roman" w:hAnsi="Times New Roman" w:cs="Times New Roman"/>
          <w:sz w:val="24"/>
          <w:szCs w:val="24"/>
        </w:rPr>
        <w:t>tiesas lomas palielināšanu, apvienojot visus ar maksātnespēju saistītos jautājumus un palielinot tiesas kont</w:t>
      </w:r>
      <w:r>
        <w:rPr>
          <w:rFonts w:ascii="Times New Roman" w:hAnsi="Times New Roman" w:cs="Times New Roman"/>
          <w:sz w:val="24"/>
          <w:szCs w:val="24"/>
        </w:rPr>
        <w:t>roli pār maksātnespējas procesu. Tiks stiprinātas</w:t>
      </w:r>
      <w:r w:rsidRPr="000A1583">
        <w:rPr>
          <w:rFonts w:ascii="Times New Roman" w:hAnsi="Times New Roman" w:cs="Times New Roman"/>
          <w:sz w:val="24"/>
          <w:szCs w:val="24"/>
        </w:rPr>
        <w:t xml:space="preserve"> kreditoru tiesīb</w:t>
      </w:r>
      <w:r>
        <w:rPr>
          <w:rFonts w:ascii="Times New Roman" w:hAnsi="Times New Roman" w:cs="Times New Roman"/>
          <w:sz w:val="24"/>
          <w:szCs w:val="24"/>
        </w:rPr>
        <w:t>as</w:t>
      </w:r>
      <w:r w:rsidRPr="000A1583">
        <w:rPr>
          <w:rFonts w:ascii="Times New Roman" w:hAnsi="Times New Roman" w:cs="Times New Roman"/>
          <w:sz w:val="24"/>
          <w:szCs w:val="24"/>
        </w:rPr>
        <w:t xml:space="preserve"> maksātnespējas procesā, dodot tiem iespējas lemt par atbilstošāko maksātnespējas administratoru, </w:t>
      </w:r>
      <w:r>
        <w:rPr>
          <w:rFonts w:ascii="Times New Roman" w:hAnsi="Times New Roman" w:cs="Times New Roman"/>
          <w:sz w:val="24"/>
          <w:szCs w:val="24"/>
        </w:rPr>
        <w:t xml:space="preserve">maksātnespējas </w:t>
      </w:r>
      <w:r w:rsidRPr="000A1583">
        <w:rPr>
          <w:rFonts w:ascii="Times New Roman" w:hAnsi="Times New Roman" w:cs="Times New Roman"/>
          <w:sz w:val="24"/>
          <w:szCs w:val="24"/>
        </w:rPr>
        <w:t xml:space="preserve">procesa finansēšanu un citām procesa ietvaros veicamajām darbībām, kā arī </w:t>
      </w:r>
      <w:r w:rsidR="00072614">
        <w:rPr>
          <w:rFonts w:ascii="Times New Roman" w:hAnsi="Times New Roman" w:cs="Times New Roman"/>
          <w:sz w:val="24"/>
          <w:szCs w:val="24"/>
        </w:rPr>
        <w:t>iespējamo</w:t>
      </w:r>
      <w:r w:rsidR="00072614" w:rsidRPr="000A1583">
        <w:rPr>
          <w:rFonts w:ascii="Times New Roman" w:hAnsi="Times New Roman" w:cs="Times New Roman"/>
          <w:sz w:val="24"/>
          <w:szCs w:val="24"/>
        </w:rPr>
        <w:t xml:space="preserve"> </w:t>
      </w:r>
      <w:r w:rsidRPr="000A1583">
        <w:rPr>
          <w:rFonts w:ascii="Times New Roman" w:hAnsi="Times New Roman" w:cs="Times New Roman"/>
          <w:sz w:val="24"/>
          <w:szCs w:val="24"/>
        </w:rPr>
        <w:t>parādnieka maksātspējas atjaunošan</w:t>
      </w:r>
      <w:r>
        <w:rPr>
          <w:rFonts w:ascii="Times New Roman" w:hAnsi="Times New Roman" w:cs="Times New Roman"/>
          <w:sz w:val="24"/>
          <w:szCs w:val="24"/>
        </w:rPr>
        <w:t>u</w:t>
      </w:r>
      <w:r w:rsidRPr="000A1583">
        <w:rPr>
          <w:rFonts w:ascii="Times New Roman" w:hAnsi="Times New Roman" w:cs="Times New Roman"/>
          <w:sz w:val="24"/>
          <w:szCs w:val="24"/>
        </w:rPr>
        <w:t xml:space="preserve">. Nepieciešamais normatīvais regulējums </w:t>
      </w:r>
      <w:r>
        <w:rPr>
          <w:rFonts w:ascii="Times New Roman" w:hAnsi="Times New Roman" w:cs="Times New Roman"/>
          <w:sz w:val="24"/>
          <w:szCs w:val="24"/>
        </w:rPr>
        <w:t>tiks izstrādāts</w:t>
      </w:r>
      <w:r w:rsidRPr="000A1583">
        <w:rPr>
          <w:rFonts w:ascii="Times New Roman" w:hAnsi="Times New Roman" w:cs="Times New Roman"/>
          <w:sz w:val="24"/>
          <w:szCs w:val="24"/>
        </w:rPr>
        <w:t xml:space="preserve"> 2017.</w:t>
      </w:r>
      <w:r w:rsidR="00B55898">
        <w:rPr>
          <w:rFonts w:ascii="Times New Roman" w:hAnsi="Times New Roman" w:cs="Times New Roman"/>
          <w:sz w:val="24"/>
          <w:szCs w:val="24"/>
        </w:rPr>
        <w:t> </w:t>
      </w:r>
      <w:r w:rsidRPr="000A1583">
        <w:rPr>
          <w:rFonts w:ascii="Times New Roman" w:hAnsi="Times New Roman" w:cs="Times New Roman"/>
          <w:sz w:val="24"/>
          <w:szCs w:val="24"/>
        </w:rPr>
        <w:t xml:space="preserve">gadā, lai </w:t>
      </w:r>
      <w:r w:rsidR="00C770C7" w:rsidRPr="000A1583">
        <w:rPr>
          <w:rFonts w:ascii="Times New Roman" w:hAnsi="Times New Roman" w:cs="Times New Roman"/>
          <w:sz w:val="24"/>
          <w:szCs w:val="24"/>
        </w:rPr>
        <w:t>2018.</w:t>
      </w:r>
      <w:r w:rsidR="00C770C7">
        <w:rPr>
          <w:rFonts w:ascii="Times New Roman" w:hAnsi="Times New Roman" w:cs="Times New Roman"/>
          <w:sz w:val="24"/>
          <w:szCs w:val="24"/>
        </w:rPr>
        <w:t> </w:t>
      </w:r>
      <w:r w:rsidR="00C770C7" w:rsidRPr="000A1583">
        <w:rPr>
          <w:rFonts w:ascii="Times New Roman" w:hAnsi="Times New Roman" w:cs="Times New Roman"/>
          <w:sz w:val="24"/>
          <w:szCs w:val="24"/>
        </w:rPr>
        <w:t xml:space="preserve">gada sākumā </w:t>
      </w:r>
      <w:r w:rsidR="00C770C7">
        <w:rPr>
          <w:rFonts w:ascii="Times New Roman" w:hAnsi="Times New Roman" w:cs="Times New Roman"/>
          <w:sz w:val="24"/>
          <w:szCs w:val="24"/>
        </w:rPr>
        <w:t xml:space="preserve">tas varētu </w:t>
      </w:r>
      <w:r w:rsidRPr="000A1583">
        <w:rPr>
          <w:rFonts w:ascii="Times New Roman" w:hAnsi="Times New Roman" w:cs="Times New Roman"/>
          <w:sz w:val="24"/>
          <w:szCs w:val="24"/>
        </w:rPr>
        <w:t>stāt</w:t>
      </w:r>
      <w:r w:rsidR="00C770C7">
        <w:rPr>
          <w:rFonts w:ascii="Times New Roman" w:hAnsi="Times New Roman" w:cs="Times New Roman"/>
          <w:sz w:val="24"/>
          <w:szCs w:val="24"/>
        </w:rPr>
        <w:t>ie</w:t>
      </w:r>
      <w:r w:rsidRPr="000A1583">
        <w:rPr>
          <w:rFonts w:ascii="Times New Roman" w:hAnsi="Times New Roman" w:cs="Times New Roman"/>
          <w:sz w:val="24"/>
          <w:szCs w:val="24"/>
        </w:rPr>
        <w:t>s spēkā.</w:t>
      </w:r>
    </w:p>
    <w:p w14:paraId="6FCE6B2E" w14:textId="2945C7BF" w:rsidR="000512F9" w:rsidRDefault="000512F9" w:rsidP="000512F9">
      <w:pPr>
        <w:jc w:val="both"/>
        <w:rPr>
          <w:rFonts w:ascii="Times New Roman" w:hAnsi="Times New Roman" w:cs="Times New Roman"/>
          <w:sz w:val="24"/>
          <w:szCs w:val="24"/>
        </w:rPr>
      </w:pPr>
      <w:r>
        <w:rPr>
          <w:rFonts w:ascii="Times New Roman" w:hAnsi="Times New Roman" w:cs="Times New Roman"/>
          <w:sz w:val="24"/>
          <w:szCs w:val="24"/>
        </w:rPr>
        <w:t>Papildus iepriekš minētajam</w:t>
      </w:r>
      <w:r w:rsidR="00B55898">
        <w:rPr>
          <w:rFonts w:ascii="Times New Roman" w:hAnsi="Times New Roman" w:cs="Times New Roman"/>
          <w:sz w:val="24"/>
          <w:szCs w:val="24"/>
        </w:rPr>
        <w:t xml:space="preserve"> jānorāda</w:t>
      </w:r>
      <w:r>
        <w:rPr>
          <w:rFonts w:ascii="Times New Roman" w:hAnsi="Times New Roman" w:cs="Times New Roman"/>
          <w:sz w:val="24"/>
          <w:szCs w:val="24"/>
        </w:rPr>
        <w:t xml:space="preserve">, </w:t>
      </w:r>
      <w:r w:rsidR="00B55898">
        <w:rPr>
          <w:rFonts w:ascii="Times New Roman" w:hAnsi="Times New Roman" w:cs="Times New Roman"/>
          <w:sz w:val="24"/>
          <w:szCs w:val="24"/>
        </w:rPr>
        <w:t xml:space="preserve">ka </w:t>
      </w:r>
      <w:r>
        <w:rPr>
          <w:rFonts w:ascii="Times New Roman" w:hAnsi="Times New Roman" w:cs="Times New Roman"/>
          <w:sz w:val="24"/>
          <w:szCs w:val="24"/>
        </w:rPr>
        <w:t>šogad valdība pieņēma jaunu regulējumu</w:t>
      </w:r>
      <w:r w:rsidRPr="0093750D">
        <w:rPr>
          <w:rFonts w:ascii="Times New Roman" w:hAnsi="Times New Roman" w:cs="Times New Roman"/>
          <w:sz w:val="24"/>
          <w:szCs w:val="24"/>
        </w:rPr>
        <w:t xml:space="preserve"> </w:t>
      </w:r>
      <w:r w:rsidR="008F0ECB">
        <w:rPr>
          <w:rFonts w:ascii="Times New Roman" w:hAnsi="Times New Roman" w:cs="Times New Roman"/>
          <w:sz w:val="24"/>
          <w:szCs w:val="24"/>
        </w:rPr>
        <w:t xml:space="preserve">attiecībā uz </w:t>
      </w:r>
      <w:r w:rsidRPr="0093750D">
        <w:rPr>
          <w:rFonts w:ascii="Times New Roman" w:hAnsi="Times New Roman" w:cs="Times New Roman"/>
          <w:sz w:val="24"/>
          <w:szCs w:val="24"/>
        </w:rPr>
        <w:t>maksātnespējas procesa administratoru darbības pārskatiem un to aizpildīšanas kārtību</w:t>
      </w:r>
      <w:r>
        <w:rPr>
          <w:rFonts w:ascii="Times New Roman" w:hAnsi="Times New Roman" w:cs="Times New Roman"/>
          <w:sz w:val="24"/>
          <w:szCs w:val="24"/>
        </w:rPr>
        <w:t xml:space="preserve">, kas </w:t>
      </w:r>
      <w:r w:rsidRPr="0093750D">
        <w:rPr>
          <w:rFonts w:ascii="Times New Roman" w:hAnsi="Times New Roman" w:cs="Times New Roman"/>
          <w:sz w:val="24"/>
          <w:szCs w:val="24"/>
        </w:rPr>
        <w:t>paredz, ka turpmāk maksātnespējas administratori pārskatus Maksātnespējas administrācijai iesniedz elektroniski. Jaunie tehniskie risinājumi nodrošinā</w:t>
      </w:r>
      <w:r>
        <w:rPr>
          <w:rFonts w:ascii="Times New Roman" w:hAnsi="Times New Roman" w:cs="Times New Roman"/>
          <w:sz w:val="24"/>
          <w:szCs w:val="24"/>
        </w:rPr>
        <w:t>s</w:t>
      </w:r>
      <w:r w:rsidRPr="0093750D">
        <w:rPr>
          <w:rFonts w:ascii="Times New Roman" w:hAnsi="Times New Roman" w:cs="Times New Roman"/>
          <w:sz w:val="24"/>
          <w:szCs w:val="24"/>
        </w:rPr>
        <w:t xml:space="preserve"> pārskatu ie</w:t>
      </w:r>
      <w:r>
        <w:rPr>
          <w:rFonts w:ascii="Times New Roman" w:hAnsi="Times New Roman" w:cs="Times New Roman"/>
          <w:sz w:val="24"/>
          <w:szCs w:val="24"/>
        </w:rPr>
        <w:t>sniegšanas automātisku kontroli un v</w:t>
      </w:r>
      <w:r w:rsidRPr="0093750D">
        <w:rPr>
          <w:rFonts w:ascii="Times New Roman" w:hAnsi="Times New Roman" w:cs="Times New Roman"/>
          <w:sz w:val="24"/>
          <w:szCs w:val="24"/>
        </w:rPr>
        <w:t>ienlaikus ļaus iegūt maksātnespējas jomas efektivitāti raksturojoš</w:t>
      </w:r>
      <w:r w:rsidR="00B55898">
        <w:rPr>
          <w:rFonts w:ascii="Times New Roman" w:hAnsi="Times New Roman" w:cs="Times New Roman"/>
          <w:sz w:val="24"/>
          <w:szCs w:val="24"/>
        </w:rPr>
        <w:t>u</w:t>
      </w:r>
      <w:r w:rsidRPr="0093750D">
        <w:rPr>
          <w:rFonts w:ascii="Times New Roman" w:hAnsi="Times New Roman" w:cs="Times New Roman"/>
          <w:sz w:val="24"/>
          <w:szCs w:val="24"/>
        </w:rPr>
        <w:t>s statistikas datus (procesa izmaksas, kreditoru prasījumu atgūstamība u.</w:t>
      </w:r>
      <w:r w:rsidR="00B55898">
        <w:rPr>
          <w:rFonts w:ascii="Times New Roman" w:hAnsi="Times New Roman" w:cs="Times New Roman"/>
          <w:sz w:val="24"/>
          <w:szCs w:val="24"/>
        </w:rPr>
        <w:t> </w:t>
      </w:r>
      <w:r w:rsidRPr="0093750D">
        <w:rPr>
          <w:rFonts w:ascii="Times New Roman" w:hAnsi="Times New Roman" w:cs="Times New Roman"/>
          <w:sz w:val="24"/>
          <w:szCs w:val="24"/>
        </w:rPr>
        <w:t xml:space="preserve">tml.), kas nepieciešami valsts politikas plānošanai, kā arī </w:t>
      </w:r>
      <w:r>
        <w:rPr>
          <w:rFonts w:ascii="Times New Roman" w:hAnsi="Times New Roman" w:cs="Times New Roman"/>
          <w:sz w:val="24"/>
          <w:szCs w:val="24"/>
        </w:rPr>
        <w:t xml:space="preserve">ļaus </w:t>
      </w:r>
      <w:r w:rsidRPr="0093750D">
        <w:rPr>
          <w:rFonts w:ascii="Times New Roman" w:hAnsi="Times New Roman" w:cs="Times New Roman"/>
          <w:sz w:val="24"/>
          <w:szCs w:val="24"/>
        </w:rPr>
        <w:t xml:space="preserve">novērtēt administratora darbības </w:t>
      </w:r>
      <w:r w:rsidR="000E0477">
        <w:rPr>
          <w:rFonts w:ascii="Times New Roman" w:hAnsi="Times New Roman" w:cs="Times New Roman"/>
          <w:sz w:val="24"/>
          <w:szCs w:val="24"/>
        </w:rPr>
        <w:t>efektivitāti</w:t>
      </w:r>
      <w:r w:rsidRPr="0093750D">
        <w:rPr>
          <w:rFonts w:ascii="Times New Roman" w:hAnsi="Times New Roman" w:cs="Times New Roman"/>
          <w:sz w:val="24"/>
          <w:szCs w:val="24"/>
        </w:rPr>
        <w:t xml:space="preserve"> viņa administrētajos</w:t>
      </w:r>
      <w:r w:rsidR="009E361A">
        <w:rPr>
          <w:rFonts w:ascii="Times New Roman" w:hAnsi="Times New Roman" w:cs="Times New Roman"/>
          <w:sz w:val="24"/>
          <w:szCs w:val="24"/>
        </w:rPr>
        <w:t xml:space="preserve"> maksātnespējas procesos kopumā.</w:t>
      </w:r>
    </w:p>
    <w:p w14:paraId="448AEE75" w14:textId="77777777" w:rsidR="009E361A" w:rsidRPr="0093750D" w:rsidRDefault="009E361A" w:rsidP="000512F9">
      <w:pPr>
        <w:jc w:val="both"/>
        <w:rPr>
          <w:rFonts w:ascii="Times New Roman" w:hAnsi="Times New Roman" w:cs="Times New Roman"/>
          <w:sz w:val="24"/>
          <w:szCs w:val="24"/>
        </w:rPr>
      </w:pPr>
    </w:p>
    <w:p w14:paraId="2730636C" w14:textId="3104D8E4" w:rsidR="00272151" w:rsidRDefault="00E057ED" w:rsidP="00B02009">
      <w:pPr>
        <w:pStyle w:val="Heading2"/>
      </w:pPr>
      <w:bookmarkStart w:id="16" w:name="_Toc465349531"/>
      <w:bookmarkStart w:id="17" w:name="_Toc465089709"/>
      <w:r>
        <w:t> </w:t>
      </w:r>
      <w:bookmarkStart w:id="18" w:name="_Toc466466856"/>
      <w:r w:rsidR="00272151">
        <w:t>Inovācija</w:t>
      </w:r>
      <w:bookmarkEnd w:id="16"/>
      <w:bookmarkEnd w:id="17"/>
      <w:bookmarkEnd w:id="18"/>
    </w:p>
    <w:p w14:paraId="1626B453" w14:textId="05A8788E" w:rsidR="0083593F" w:rsidRDefault="0083593F" w:rsidP="0083593F">
      <w:pPr>
        <w:jc w:val="both"/>
        <w:rPr>
          <w:rFonts w:ascii="Times New Roman" w:hAnsi="Times New Roman" w:cs="Times New Roman"/>
          <w:sz w:val="24"/>
          <w:szCs w:val="24"/>
        </w:rPr>
      </w:pPr>
      <w:r>
        <w:rPr>
          <w:rFonts w:ascii="Times New Roman" w:hAnsi="Times New Roman" w:cs="Times New Roman"/>
          <w:sz w:val="24"/>
          <w:szCs w:val="24"/>
        </w:rPr>
        <w:t xml:space="preserve">Valsts ekonomikas augšupejai un konkurētspējas palielināšanai </w:t>
      </w:r>
      <w:r w:rsidR="00583470">
        <w:rPr>
          <w:rFonts w:ascii="Times New Roman" w:hAnsi="Times New Roman" w:cs="Times New Roman"/>
          <w:sz w:val="24"/>
          <w:szCs w:val="24"/>
        </w:rPr>
        <w:t xml:space="preserve">valdība atbilstoši </w:t>
      </w:r>
      <w:r>
        <w:rPr>
          <w:rFonts w:ascii="Times New Roman" w:hAnsi="Times New Roman" w:cs="Times New Roman"/>
          <w:sz w:val="24"/>
          <w:szCs w:val="24"/>
        </w:rPr>
        <w:t xml:space="preserve">NAP2020 </w:t>
      </w:r>
      <w:r w:rsidR="00583470">
        <w:rPr>
          <w:rFonts w:ascii="Times New Roman" w:hAnsi="Times New Roman" w:cs="Times New Roman"/>
          <w:sz w:val="24"/>
          <w:szCs w:val="24"/>
        </w:rPr>
        <w:t xml:space="preserve">mērķiem un prioritātēm </w:t>
      </w:r>
      <w:r>
        <w:rPr>
          <w:rFonts w:ascii="Times New Roman" w:hAnsi="Times New Roman" w:cs="Times New Roman"/>
          <w:sz w:val="24"/>
          <w:szCs w:val="24"/>
        </w:rPr>
        <w:t>paredz d</w:t>
      </w:r>
      <w:r w:rsidRPr="00454EBE">
        <w:rPr>
          <w:rFonts w:ascii="Times New Roman" w:hAnsi="Times New Roman" w:cs="Times New Roman"/>
          <w:sz w:val="24"/>
          <w:szCs w:val="24"/>
        </w:rPr>
        <w:t>arbaspēka produktivitāte</w:t>
      </w:r>
      <w:r>
        <w:rPr>
          <w:rFonts w:ascii="Times New Roman" w:hAnsi="Times New Roman" w:cs="Times New Roman"/>
          <w:sz w:val="24"/>
          <w:szCs w:val="24"/>
        </w:rPr>
        <w:t xml:space="preserve">s paaugstināšanu, radot inovatīvus produktus (preces un pakalpojumus) un </w:t>
      </w:r>
      <w:r w:rsidR="000E0477">
        <w:rPr>
          <w:rFonts w:ascii="Times New Roman" w:hAnsi="Times New Roman" w:cs="Times New Roman"/>
          <w:sz w:val="24"/>
          <w:szCs w:val="24"/>
        </w:rPr>
        <w:t xml:space="preserve">pilnveidojot </w:t>
      </w:r>
      <w:r>
        <w:rPr>
          <w:rFonts w:ascii="Times New Roman" w:hAnsi="Times New Roman" w:cs="Times New Roman"/>
          <w:sz w:val="24"/>
          <w:szCs w:val="24"/>
        </w:rPr>
        <w:t xml:space="preserve">procesus, nodrošinot </w:t>
      </w:r>
      <w:r w:rsidR="00AD5CE6">
        <w:rPr>
          <w:rFonts w:ascii="Times New Roman" w:hAnsi="Times New Roman" w:cs="Times New Roman"/>
          <w:sz w:val="24"/>
          <w:szCs w:val="24"/>
        </w:rPr>
        <w:t xml:space="preserve">produktu </w:t>
      </w:r>
      <w:r>
        <w:rPr>
          <w:rFonts w:ascii="Times New Roman" w:hAnsi="Times New Roman" w:cs="Times New Roman"/>
          <w:sz w:val="24"/>
          <w:szCs w:val="24"/>
        </w:rPr>
        <w:t>lielāku pievienoto vērtību. Minētais attiecas kā uz tradicionālajām nozarēm (kokrūpniecība, pārtikas rūpniecība, metālapstrāde u.</w:t>
      </w:r>
      <w:r w:rsidR="00B55898">
        <w:rPr>
          <w:rFonts w:ascii="Times New Roman" w:hAnsi="Times New Roman" w:cs="Times New Roman"/>
          <w:sz w:val="24"/>
          <w:szCs w:val="24"/>
        </w:rPr>
        <w:t> </w:t>
      </w:r>
      <w:r>
        <w:rPr>
          <w:rFonts w:ascii="Times New Roman" w:hAnsi="Times New Roman" w:cs="Times New Roman"/>
          <w:sz w:val="24"/>
          <w:szCs w:val="24"/>
        </w:rPr>
        <w:t>c.), kas joprojām veido lielāko daļu no valsts IKP, tā arī uz augsto un vidējo tehnoloģiju nozarēm.</w:t>
      </w:r>
    </w:p>
    <w:p w14:paraId="65E0A2D3" w14:textId="5F827A41" w:rsidR="0083593F" w:rsidRDefault="0083593F" w:rsidP="0083593F">
      <w:pPr>
        <w:jc w:val="both"/>
        <w:rPr>
          <w:rFonts w:ascii="Times New Roman" w:hAnsi="Times New Roman" w:cs="Times New Roman"/>
          <w:sz w:val="24"/>
          <w:szCs w:val="24"/>
        </w:rPr>
      </w:pPr>
      <w:r>
        <w:rPr>
          <w:rFonts w:ascii="Times New Roman" w:hAnsi="Times New Roman" w:cs="Times New Roman"/>
          <w:sz w:val="24"/>
          <w:szCs w:val="24"/>
        </w:rPr>
        <w:lastRenderedPageBreak/>
        <w:t>Pašreiz ir izstrādāta un LPISP atbalstīta NIS pilnveidošanas programma</w:t>
      </w:r>
      <w:r w:rsidR="005750D5">
        <w:rPr>
          <w:rFonts w:ascii="Times New Roman" w:hAnsi="Times New Roman" w:cs="Times New Roman"/>
          <w:sz w:val="24"/>
          <w:szCs w:val="24"/>
        </w:rPr>
        <w:t xml:space="preserve">, </w:t>
      </w:r>
      <w:r>
        <w:rPr>
          <w:rFonts w:ascii="Times New Roman" w:hAnsi="Times New Roman" w:cs="Times New Roman"/>
          <w:sz w:val="24"/>
          <w:szCs w:val="24"/>
        </w:rPr>
        <w:t>MK noteikt</w:t>
      </w:r>
      <w:r w:rsidR="00F95A09">
        <w:rPr>
          <w:rFonts w:ascii="Times New Roman" w:hAnsi="Times New Roman" w:cs="Times New Roman"/>
          <w:sz w:val="24"/>
          <w:szCs w:val="24"/>
        </w:rPr>
        <w:t>ā</w:t>
      </w:r>
      <w:r>
        <w:rPr>
          <w:rFonts w:ascii="Times New Roman" w:hAnsi="Times New Roman" w:cs="Times New Roman"/>
          <w:sz w:val="24"/>
          <w:szCs w:val="24"/>
        </w:rPr>
        <w:t xml:space="preserve"> 3.</w:t>
      </w:r>
      <w:r w:rsidR="006B7D70">
        <w:rPr>
          <w:rFonts w:ascii="Times New Roman" w:hAnsi="Times New Roman" w:cs="Times New Roman"/>
          <w:sz w:val="24"/>
          <w:szCs w:val="24"/>
        </w:rPr>
        <w:t> </w:t>
      </w:r>
      <w:r>
        <w:rPr>
          <w:rFonts w:ascii="Times New Roman" w:hAnsi="Times New Roman" w:cs="Times New Roman"/>
          <w:sz w:val="24"/>
          <w:szCs w:val="24"/>
        </w:rPr>
        <w:t>prioritār</w:t>
      </w:r>
      <w:r w:rsidR="00F95A09">
        <w:rPr>
          <w:rFonts w:ascii="Times New Roman" w:hAnsi="Times New Roman" w:cs="Times New Roman"/>
          <w:sz w:val="24"/>
          <w:szCs w:val="24"/>
        </w:rPr>
        <w:t>ā</w:t>
      </w:r>
      <w:r>
        <w:rPr>
          <w:rFonts w:ascii="Times New Roman" w:hAnsi="Times New Roman" w:cs="Times New Roman"/>
          <w:sz w:val="24"/>
          <w:szCs w:val="24"/>
        </w:rPr>
        <w:t xml:space="preserve"> rīcības virzien</w:t>
      </w:r>
      <w:r w:rsidR="00F95A09">
        <w:rPr>
          <w:rFonts w:ascii="Times New Roman" w:hAnsi="Times New Roman" w:cs="Times New Roman"/>
          <w:sz w:val="24"/>
          <w:szCs w:val="24"/>
        </w:rPr>
        <w:t>a</w:t>
      </w:r>
      <w:r>
        <w:rPr>
          <w:rFonts w:ascii="Times New Roman" w:hAnsi="Times New Roman" w:cs="Times New Roman"/>
          <w:sz w:val="24"/>
          <w:szCs w:val="24"/>
          <w:vertAlign w:val="superscript"/>
        </w:rPr>
        <w:footnoteReference w:id="3"/>
      </w:r>
      <w:r>
        <w:rPr>
          <w:rFonts w:ascii="Times New Roman" w:hAnsi="Times New Roman" w:cs="Times New Roman"/>
          <w:sz w:val="24"/>
          <w:szCs w:val="24"/>
        </w:rPr>
        <w:t xml:space="preserve"> tautsaimniecības attīstībai</w:t>
      </w:r>
      <w:r w:rsidR="00F95A09">
        <w:rPr>
          <w:rFonts w:ascii="Times New Roman" w:hAnsi="Times New Roman" w:cs="Times New Roman"/>
          <w:sz w:val="24"/>
          <w:szCs w:val="24"/>
        </w:rPr>
        <w:t xml:space="preserve"> īstenošanai</w:t>
      </w:r>
      <w:r>
        <w:rPr>
          <w:rFonts w:ascii="Times New Roman" w:hAnsi="Times New Roman" w:cs="Times New Roman"/>
          <w:sz w:val="24"/>
          <w:szCs w:val="24"/>
        </w:rPr>
        <w:t>. NIS pilnveides būtība ir optimizēt normatīvo un uzņēmējdarbības vidi, motivēt pētniecību un biznesu inovatīvām darbībām, panākt resursu efektīvu izmantošanu, kā arī stiprināt visu iesaistīto pušu aktīvu sadarbību visos procesa posmos.</w:t>
      </w:r>
    </w:p>
    <w:p w14:paraId="75D36E36" w14:textId="6B413E59" w:rsidR="0083593F" w:rsidRPr="004C2A80" w:rsidRDefault="0083593F" w:rsidP="0083593F">
      <w:pPr>
        <w:jc w:val="both"/>
        <w:rPr>
          <w:rFonts w:ascii="Times New Roman" w:hAnsi="Times New Roman" w:cs="Times New Roman"/>
          <w:sz w:val="24"/>
          <w:szCs w:val="24"/>
        </w:rPr>
      </w:pPr>
      <w:r w:rsidRPr="004C2A80">
        <w:rPr>
          <w:rFonts w:ascii="Times New Roman" w:hAnsi="Times New Roman" w:cs="Times New Roman"/>
          <w:sz w:val="24"/>
          <w:szCs w:val="24"/>
        </w:rPr>
        <w:t>Programmas pasākumi</w:t>
      </w:r>
      <w:r>
        <w:rPr>
          <w:rFonts w:ascii="Times New Roman" w:hAnsi="Times New Roman" w:cs="Times New Roman"/>
          <w:sz w:val="24"/>
          <w:szCs w:val="24"/>
        </w:rPr>
        <w:t xml:space="preserve"> </w:t>
      </w:r>
      <w:r w:rsidRPr="006F6CED">
        <w:rPr>
          <w:rFonts w:ascii="Times New Roman" w:hAnsi="Times New Roman" w:cs="Times New Roman"/>
          <w:sz w:val="24"/>
          <w:szCs w:val="24"/>
        </w:rPr>
        <w:t>(skat.</w:t>
      </w:r>
      <w:r w:rsidR="006F6CED" w:rsidRPr="006F6CED">
        <w:rPr>
          <w:rFonts w:ascii="Times New Roman" w:hAnsi="Times New Roman" w:cs="Times New Roman"/>
          <w:sz w:val="24"/>
          <w:szCs w:val="24"/>
        </w:rPr>
        <w:t xml:space="preserve"> 5.</w:t>
      </w:r>
      <w:r w:rsidR="00B55898">
        <w:rPr>
          <w:rFonts w:ascii="Times New Roman" w:hAnsi="Times New Roman" w:cs="Times New Roman"/>
          <w:sz w:val="24"/>
          <w:szCs w:val="24"/>
        </w:rPr>
        <w:t> </w:t>
      </w:r>
      <w:r w:rsidRPr="006F6CED">
        <w:rPr>
          <w:rFonts w:ascii="Times New Roman" w:hAnsi="Times New Roman" w:cs="Times New Roman"/>
          <w:sz w:val="24"/>
          <w:szCs w:val="24"/>
        </w:rPr>
        <w:t>attēlu)</w:t>
      </w:r>
      <w:r w:rsidRPr="004C2A80">
        <w:rPr>
          <w:rFonts w:ascii="Times New Roman" w:hAnsi="Times New Roman" w:cs="Times New Roman"/>
          <w:sz w:val="24"/>
          <w:szCs w:val="24"/>
        </w:rPr>
        <w:t xml:space="preserve"> ir vērsti uz atbalstu inovatīvo procesu pilnvērtīgai un efektīvai norisei, </w:t>
      </w:r>
      <w:r w:rsidRPr="00895A83">
        <w:rPr>
          <w:rFonts w:ascii="Times New Roman" w:hAnsi="Times New Roman" w:cs="Times New Roman"/>
          <w:sz w:val="24"/>
          <w:szCs w:val="24"/>
        </w:rPr>
        <w:t xml:space="preserve">balstoties uz augstākās izglītības, </w:t>
      </w:r>
      <w:r w:rsidR="006B7D70" w:rsidRPr="00895A83">
        <w:rPr>
          <w:rFonts w:ascii="Times New Roman" w:hAnsi="Times New Roman" w:cs="Times New Roman"/>
          <w:sz w:val="24"/>
          <w:szCs w:val="24"/>
        </w:rPr>
        <w:t>pētniecības un attīstības,</w:t>
      </w:r>
      <w:r w:rsidRPr="00895A83">
        <w:rPr>
          <w:rFonts w:ascii="Times New Roman" w:hAnsi="Times New Roman" w:cs="Times New Roman"/>
          <w:sz w:val="24"/>
          <w:szCs w:val="24"/>
        </w:rPr>
        <w:t xml:space="preserve"> </w:t>
      </w:r>
      <w:r w:rsidR="005750D5">
        <w:rPr>
          <w:rFonts w:ascii="Times New Roman" w:hAnsi="Times New Roman" w:cs="Times New Roman"/>
          <w:sz w:val="24"/>
          <w:szCs w:val="24"/>
        </w:rPr>
        <w:t>kā arī</w:t>
      </w:r>
      <w:r w:rsidRPr="00895A83">
        <w:rPr>
          <w:rFonts w:ascii="Times New Roman" w:hAnsi="Times New Roman" w:cs="Times New Roman"/>
          <w:sz w:val="24"/>
          <w:szCs w:val="24"/>
        </w:rPr>
        <w:t xml:space="preserve"> inovatīvās uzņēmējdarbības</w:t>
      </w:r>
      <w:r w:rsidRPr="004C2A80">
        <w:rPr>
          <w:rFonts w:ascii="Times New Roman" w:hAnsi="Times New Roman" w:cs="Times New Roman"/>
          <w:sz w:val="24"/>
          <w:szCs w:val="24"/>
        </w:rPr>
        <w:t xml:space="preserve"> sinhronizētas veiktspējas palielināšanu konkrētu projektu izpildē</w:t>
      </w:r>
      <w:r w:rsidRPr="004C2A80">
        <w:rPr>
          <w:rFonts w:ascii="Times New Roman" w:hAnsi="Times New Roman" w:cs="Times New Roman"/>
          <w:color w:val="000000" w:themeColor="text1"/>
          <w:sz w:val="24"/>
          <w:szCs w:val="24"/>
        </w:rPr>
        <w:t>.</w:t>
      </w:r>
      <w:r w:rsidRPr="004C2A80">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NIS pilnveidošanas programma </w:t>
      </w:r>
      <w:r w:rsidRPr="004C2A80">
        <w:rPr>
          <w:rFonts w:ascii="Times New Roman" w:hAnsi="Times New Roman" w:cs="Times New Roman"/>
          <w:color w:val="000000" w:themeColor="text1"/>
          <w:sz w:val="24"/>
          <w:szCs w:val="24"/>
        </w:rPr>
        <w:t xml:space="preserve">paredz </w:t>
      </w:r>
      <w:r w:rsidRPr="004C2A80">
        <w:rPr>
          <w:rFonts w:ascii="Times New Roman" w:hAnsi="Times New Roman" w:cs="Times New Roman"/>
          <w:sz w:val="24"/>
          <w:szCs w:val="24"/>
        </w:rPr>
        <w:t>optimizēt normatīvo un nodokļu vidi izglītībai, pētnieciskai darbībai, inovācijai un rezultātu valorizācijai,</w:t>
      </w:r>
      <w:r w:rsidRPr="004C2A80">
        <w:rPr>
          <w:rFonts w:ascii="Times New Roman" w:hAnsi="Times New Roman" w:cs="Times New Roman"/>
          <w:color w:val="000000" w:themeColor="text1"/>
          <w:sz w:val="24"/>
          <w:szCs w:val="24"/>
        </w:rPr>
        <w:t xml:space="preserve"> motivēt pētniekus un uzņēmējus, koordinēt visu iesaistīto institūciju darbību, koncentrēt finansiā</w:t>
      </w:r>
      <w:r w:rsidRPr="004C2A80">
        <w:rPr>
          <w:rFonts w:ascii="Times New Roman" w:hAnsi="Times New Roman" w:cs="Times New Roman"/>
          <w:sz w:val="24"/>
          <w:szCs w:val="24"/>
        </w:rPr>
        <w:t>los, fiziskos un cilvēkresursus, uzlabot finansēšanas modeli un resursu pārvaldību, kopumā nodrošinot sinerģiju un ieguvumus, kas ir lielāki par izmantotajiem resursiem.</w:t>
      </w:r>
    </w:p>
    <w:p w14:paraId="4B380D98" w14:textId="25FF8B48" w:rsidR="0083593F" w:rsidRDefault="006F6CED" w:rsidP="00BB7C5B">
      <w:pPr>
        <w:spacing w:line="240" w:lineRule="auto"/>
        <w:jc w:val="right"/>
        <w:rPr>
          <w:rFonts w:ascii="Times New Roman" w:hAnsi="Times New Roman" w:cs="Times New Roman"/>
          <w:sz w:val="24"/>
          <w:szCs w:val="24"/>
        </w:rPr>
      </w:pPr>
      <w:r w:rsidRPr="006F6CED">
        <w:rPr>
          <w:rFonts w:ascii="Times New Roman" w:hAnsi="Times New Roman" w:cs="Times New Roman"/>
          <w:sz w:val="24"/>
          <w:szCs w:val="24"/>
        </w:rPr>
        <w:t>5</w:t>
      </w:r>
      <w:r w:rsidR="0083593F" w:rsidRPr="006F6CED">
        <w:rPr>
          <w:rFonts w:ascii="Times New Roman" w:hAnsi="Times New Roman" w:cs="Times New Roman"/>
          <w:sz w:val="24"/>
          <w:szCs w:val="24"/>
        </w:rPr>
        <w:t>.</w:t>
      </w:r>
      <w:r w:rsidR="00B55898">
        <w:rPr>
          <w:rFonts w:ascii="Times New Roman" w:hAnsi="Times New Roman" w:cs="Times New Roman"/>
          <w:sz w:val="24"/>
          <w:szCs w:val="24"/>
        </w:rPr>
        <w:t> </w:t>
      </w:r>
      <w:r w:rsidR="0083593F" w:rsidRPr="006F6CED">
        <w:rPr>
          <w:rFonts w:ascii="Times New Roman" w:hAnsi="Times New Roman" w:cs="Times New Roman"/>
          <w:sz w:val="24"/>
          <w:szCs w:val="24"/>
        </w:rPr>
        <w:t>attēls</w:t>
      </w:r>
    </w:p>
    <w:p w14:paraId="406E6359" w14:textId="77777777" w:rsidR="0083593F" w:rsidRPr="00CB6F90" w:rsidRDefault="0083593F" w:rsidP="00CB6F90">
      <w:pPr>
        <w:spacing w:after="0" w:line="240" w:lineRule="auto"/>
        <w:jc w:val="center"/>
        <w:rPr>
          <w:rFonts w:ascii="Times New Roman" w:hAnsi="Times New Roman" w:cs="Times New Roman"/>
          <w:b/>
          <w:sz w:val="24"/>
          <w:szCs w:val="24"/>
        </w:rPr>
      </w:pPr>
      <w:r w:rsidRPr="00CB6F90">
        <w:rPr>
          <w:rFonts w:ascii="Times New Roman" w:hAnsi="Times New Roman" w:cs="Times New Roman"/>
          <w:b/>
          <w:sz w:val="24"/>
          <w:szCs w:val="24"/>
        </w:rPr>
        <w:t>Nacionālā inovācijas sistēma: pasākumi un etapi</w:t>
      </w:r>
    </w:p>
    <w:p w14:paraId="65E63315" w14:textId="77777777" w:rsidR="0083593F" w:rsidRDefault="0083593F" w:rsidP="00CB6F90">
      <w:pPr>
        <w:spacing w:after="0" w:line="240" w:lineRule="auto"/>
        <w:jc w:val="center"/>
        <w:rPr>
          <w:rFonts w:ascii="Times New Roman" w:hAnsi="Times New Roman" w:cs="Times New Roman"/>
          <w:sz w:val="24"/>
          <w:szCs w:val="24"/>
        </w:rPr>
      </w:pPr>
      <w:r>
        <w:object w:dxaOrig="7155" w:dyaOrig="4950" w14:anchorId="5DC97F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75pt;height:247.3pt" o:ole="">
            <v:imagedata r:id="rId13" o:title=""/>
          </v:shape>
          <o:OLEObject Type="Embed" ProgID="Visio.Drawing.11" ShapeID="_x0000_i1025" DrawAspect="Content" ObjectID="_1540208910" r:id="rId14"/>
        </w:object>
      </w:r>
    </w:p>
    <w:p w14:paraId="4B42A018" w14:textId="70409B4B" w:rsidR="0083593F" w:rsidRPr="00E94729" w:rsidRDefault="0083593F" w:rsidP="0083593F">
      <w:pPr>
        <w:jc w:val="both"/>
        <w:rPr>
          <w:rFonts w:ascii="Times New Roman" w:hAnsi="Times New Roman" w:cs="Times New Roman"/>
          <w:sz w:val="20"/>
          <w:szCs w:val="24"/>
        </w:rPr>
      </w:pPr>
      <w:r w:rsidRPr="00E94729">
        <w:rPr>
          <w:rFonts w:ascii="Times New Roman" w:hAnsi="Times New Roman" w:cs="Times New Roman"/>
          <w:sz w:val="20"/>
          <w:szCs w:val="24"/>
        </w:rPr>
        <w:t>Avots: MK noteiktā 3.</w:t>
      </w:r>
      <w:r w:rsidR="00895A83">
        <w:rPr>
          <w:rFonts w:ascii="Times New Roman" w:hAnsi="Times New Roman" w:cs="Times New Roman"/>
          <w:sz w:val="20"/>
          <w:szCs w:val="24"/>
        </w:rPr>
        <w:t> </w:t>
      </w:r>
      <w:r w:rsidRPr="00E94729">
        <w:rPr>
          <w:rFonts w:ascii="Times New Roman" w:hAnsi="Times New Roman" w:cs="Times New Roman"/>
          <w:sz w:val="20"/>
          <w:szCs w:val="24"/>
        </w:rPr>
        <w:t>prioritārā rīcības virziena tautsaimniecības attīstībai īstenošanas programma</w:t>
      </w:r>
    </w:p>
    <w:p w14:paraId="56048F09" w14:textId="02D00FCF" w:rsidR="0083593F" w:rsidRDefault="0083593F" w:rsidP="0083593F">
      <w:pPr>
        <w:jc w:val="both"/>
        <w:rPr>
          <w:rFonts w:ascii="Times New Roman" w:hAnsi="Times New Roman" w:cs="Times New Roman"/>
          <w:sz w:val="24"/>
          <w:szCs w:val="24"/>
        </w:rPr>
      </w:pPr>
      <w:r>
        <w:rPr>
          <w:rFonts w:ascii="Times New Roman" w:hAnsi="Times New Roman" w:cs="Times New Roman"/>
          <w:sz w:val="24"/>
          <w:szCs w:val="24"/>
        </w:rPr>
        <w:t xml:space="preserve">NIS pilnveidošanas programmas aktivitātes ir orientētas uz projektiem tematiskajos segmentos, pamatā balstoties uz Viedās specializācijas stratēģijas (RIS3) definētajām prioritārajām zināšanu jomām un sinhronizējot ar </w:t>
      </w:r>
      <w:r w:rsidR="00895A83">
        <w:rPr>
          <w:rFonts w:ascii="Times New Roman" w:hAnsi="Times New Roman" w:cs="Times New Roman"/>
          <w:sz w:val="24"/>
          <w:szCs w:val="24"/>
        </w:rPr>
        <w:t>v</w:t>
      </w:r>
      <w:r>
        <w:rPr>
          <w:rFonts w:ascii="Times New Roman" w:hAnsi="Times New Roman" w:cs="Times New Roman"/>
          <w:sz w:val="24"/>
          <w:szCs w:val="24"/>
        </w:rPr>
        <w:t xml:space="preserve">alsts nozīmes pētniecības centru, klasteru un kompetences centru izveides principiem. EM sadarbībā ar citām </w:t>
      </w:r>
      <w:r w:rsidRPr="006B7D70">
        <w:rPr>
          <w:rFonts w:ascii="Times New Roman" w:hAnsi="Times New Roman" w:cs="Times New Roman"/>
          <w:sz w:val="24"/>
          <w:szCs w:val="24"/>
        </w:rPr>
        <w:t>ministrijām, zinātniskajām institūcijām un nozaru asociācijām līdz 2016.</w:t>
      </w:r>
      <w:r w:rsidR="00592139">
        <w:rPr>
          <w:rFonts w:ascii="Times New Roman" w:hAnsi="Times New Roman" w:cs="Times New Roman"/>
          <w:sz w:val="24"/>
          <w:szCs w:val="24"/>
        </w:rPr>
        <w:t> </w:t>
      </w:r>
      <w:r w:rsidRPr="006B7D70">
        <w:rPr>
          <w:rFonts w:ascii="Times New Roman" w:hAnsi="Times New Roman" w:cs="Times New Roman"/>
          <w:sz w:val="24"/>
          <w:szCs w:val="24"/>
        </w:rPr>
        <w:t xml:space="preserve">gada nogalei </w:t>
      </w:r>
      <w:r w:rsidRPr="006B7D70">
        <w:rPr>
          <w:rFonts w:ascii="Times New Roman" w:hAnsi="Times New Roman" w:cs="Times New Roman"/>
          <w:sz w:val="24"/>
          <w:szCs w:val="24"/>
        </w:rPr>
        <w:lastRenderedPageBreak/>
        <w:t>LPISP jāiesniedz informatīvais</w:t>
      </w:r>
      <w:r>
        <w:rPr>
          <w:rFonts w:ascii="Times New Roman" w:hAnsi="Times New Roman" w:cs="Times New Roman"/>
          <w:sz w:val="24"/>
          <w:szCs w:val="24"/>
        </w:rPr>
        <w:t xml:space="preserve"> ziņojums par konkrētām darbībām un pasākumiem NIS pilnveidošanai.</w:t>
      </w:r>
    </w:p>
    <w:p w14:paraId="07F02FB4" w14:textId="27F596FA" w:rsidR="0083593F" w:rsidRDefault="0083593F" w:rsidP="0083593F">
      <w:pPr>
        <w:jc w:val="both"/>
        <w:rPr>
          <w:rFonts w:ascii="Times New Roman" w:hAnsi="Times New Roman" w:cs="Times New Roman"/>
          <w:sz w:val="24"/>
          <w:szCs w:val="24"/>
        </w:rPr>
      </w:pPr>
      <w:r>
        <w:rPr>
          <w:rFonts w:ascii="Times New Roman" w:hAnsi="Times New Roman" w:cs="Times New Roman"/>
          <w:sz w:val="24"/>
          <w:szCs w:val="24"/>
        </w:rPr>
        <w:t>NIS pilnveidošanas programmas ietvaros izveidotas Tematisko nozaru segmentu padomes (TNS padomes), kuru mērķis ir apvienot konkrētu nozaru segmentu ekspertus (uzņēmēj</w:t>
      </w:r>
      <w:r w:rsidR="005750D5">
        <w:rPr>
          <w:rFonts w:ascii="Times New Roman" w:hAnsi="Times New Roman" w:cs="Times New Roman"/>
          <w:sz w:val="24"/>
          <w:szCs w:val="24"/>
        </w:rPr>
        <w:t>us</w:t>
      </w:r>
      <w:r>
        <w:rPr>
          <w:rFonts w:ascii="Times New Roman" w:hAnsi="Times New Roman" w:cs="Times New Roman"/>
          <w:sz w:val="24"/>
          <w:szCs w:val="24"/>
        </w:rPr>
        <w:t>, pētniecības sektor</w:t>
      </w:r>
      <w:r w:rsidR="005750D5">
        <w:rPr>
          <w:rFonts w:ascii="Times New Roman" w:hAnsi="Times New Roman" w:cs="Times New Roman"/>
          <w:sz w:val="24"/>
          <w:szCs w:val="24"/>
        </w:rPr>
        <w:t>u</w:t>
      </w:r>
      <w:r>
        <w:rPr>
          <w:rFonts w:ascii="Times New Roman" w:hAnsi="Times New Roman" w:cs="Times New Roman"/>
          <w:sz w:val="24"/>
          <w:szCs w:val="24"/>
        </w:rPr>
        <w:t>), lai veicinātu to savstarpēj</w:t>
      </w:r>
      <w:r w:rsidR="005750D5">
        <w:rPr>
          <w:rFonts w:ascii="Times New Roman" w:hAnsi="Times New Roman" w:cs="Times New Roman"/>
          <w:sz w:val="24"/>
          <w:szCs w:val="24"/>
        </w:rPr>
        <w:t>o</w:t>
      </w:r>
      <w:r>
        <w:rPr>
          <w:rFonts w:ascii="Times New Roman" w:hAnsi="Times New Roman" w:cs="Times New Roman"/>
          <w:sz w:val="24"/>
          <w:szCs w:val="24"/>
        </w:rPr>
        <w:t xml:space="preserve"> dialogu nozares attīstības vajadzību identificēšanai, t.</w:t>
      </w:r>
      <w:r w:rsidR="00895A83">
        <w:rPr>
          <w:rFonts w:ascii="Times New Roman" w:hAnsi="Times New Roman" w:cs="Times New Roman"/>
          <w:sz w:val="24"/>
          <w:szCs w:val="24"/>
        </w:rPr>
        <w:t> </w:t>
      </w:r>
      <w:r>
        <w:rPr>
          <w:rFonts w:ascii="Times New Roman" w:hAnsi="Times New Roman" w:cs="Times New Roman"/>
          <w:sz w:val="24"/>
          <w:szCs w:val="24"/>
        </w:rPr>
        <w:t>sk. P&amp;A&amp;I</w:t>
      </w:r>
      <w:r>
        <w:rPr>
          <w:rFonts w:ascii="Times New Roman" w:hAnsi="Times New Roman" w:cs="Times New Roman"/>
          <w:sz w:val="24"/>
          <w:szCs w:val="24"/>
          <w:vertAlign w:val="superscript"/>
        </w:rPr>
        <w:footnoteReference w:id="4"/>
      </w:r>
      <w:r>
        <w:rPr>
          <w:rFonts w:ascii="Times New Roman" w:hAnsi="Times New Roman" w:cs="Times New Roman"/>
          <w:sz w:val="24"/>
          <w:szCs w:val="24"/>
        </w:rPr>
        <w:t xml:space="preserve"> jomā. TNS padomes palīdzēs politikas veidotājiem apvienot nozari un izstrādāt atbilstošus risinājumus nozaru attīstībai, kā arī sniegs redzējumu un priekšlikumus risinājumiem pievienotās vērtības palielināšanai nozarē, t.</w:t>
      </w:r>
      <w:r w:rsidR="00895A83">
        <w:rPr>
          <w:rFonts w:ascii="Times New Roman" w:hAnsi="Times New Roman" w:cs="Times New Roman"/>
          <w:sz w:val="24"/>
          <w:szCs w:val="24"/>
        </w:rPr>
        <w:t> </w:t>
      </w:r>
      <w:r>
        <w:rPr>
          <w:rFonts w:ascii="Times New Roman" w:hAnsi="Times New Roman" w:cs="Times New Roman"/>
          <w:sz w:val="24"/>
          <w:szCs w:val="24"/>
        </w:rPr>
        <w:t xml:space="preserve">sk. sniegs rekomendācijas </w:t>
      </w:r>
      <w:r w:rsidR="005750D5">
        <w:rPr>
          <w:rFonts w:ascii="Times New Roman" w:hAnsi="Times New Roman" w:cs="Times New Roman"/>
          <w:sz w:val="24"/>
          <w:szCs w:val="24"/>
        </w:rPr>
        <w:t xml:space="preserve">saistībā </w:t>
      </w:r>
      <w:r>
        <w:rPr>
          <w:rFonts w:ascii="Times New Roman" w:hAnsi="Times New Roman" w:cs="Times New Roman"/>
          <w:sz w:val="24"/>
          <w:szCs w:val="24"/>
        </w:rPr>
        <w:t>ar zinātnes, pētniecības, tehnoloģiju attīstības un inovācijas projektiem.</w:t>
      </w:r>
    </w:p>
    <w:p w14:paraId="2462C14B" w14:textId="231017E8" w:rsidR="0083593F" w:rsidRDefault="0083593F" w:rsidP="0083593F">
      <w:pPr>
        <w:jc w:val="both"/>
        <w:rPr>
          <w:rFonts w:ascii="Times New Roman" w:hAnsi="Times New Roman" w:cs="Times New Roman"/>
          <w:sz w:val="24"/>
          <w:szCs w:val="24"/>
        </w:rPr>
      </w:pPr>
      <w:r>
        <w:rPr>
          <w:rFonts w:ascii="Times New Roman" w:hAnsi="Times New Roman" w:cs="Times New Roman"/>
          <w:sz w:val="24"/>
          <w:szCs w:val="24"/>
        </w:rPr>
        <w:t xml:space="preserve">Lai nodrošinātu nepieciešamos priekšnosacījumus un labvēlīgu vidi </w:t>
      </w:r>
      <w:r w:rsidR="00C42EB0">
        <w:rPr>
          <w:rFonts w:ascii="Times New Roman" w:hAnsi="Times New Roman" w:cs="Times New Roman"/>
          <w:sz w:val="24"/>
          <w:szCs w:val="24"/>
        </w:rPr>
        <w:t xml:space="preserve">jaunu </w:t>
      </w:r>
      <w:r>
        <w:rPr>
          <w:rFonts w:ascii="Times New Roman" w:hAnsi="Times New Roman" w:cs="Times New Roman"/>
          <w:sz w:val="24"/>
          <w:szCs w:val="24"/>
        </w:rPr>
        <w:t xml:space="preserve">uzņēmumu radīšanai un </w:t>
      </w:r>
      <w:r w:rsidR="00C42EB0">
        <w:rPr>
          <w:rFonts w:ascii="Times New Roman" w:hAnsi="Times New Roman" w:cs="Times New Roman"/>
          <w:sz w:val="24"/>
          <w:szCs w:val="24"/>
        </w:rPr>
        <w:t xml:space="preserve">to </w:t>
      </w:r>
      <w:r>
        <w:rPr>
          <w:rFonts w:ascii="Times New Roman" w:hAnsi="Times New Roman" w:cs="Times New Roman"/>
          <w:sz w:val="24"/>
          <w:szCs w:val="24"/>
        </w:rPr>
        <w:t>t</w:t>
      </w:r>
      <w:r w:rsidR="005750D5">
        <w:rPr>
          <w:rFonts w:ascii="Times New Roman" w:hAnsi="Times New Roman" w:cs="Times New Roman"/>
          <w:sz w:val="24"/>
          <w:szCs w:val="24"/>
        </w:rPr>
        <w:t>urpm</w:t>
      </w:r>
      <w:r>
        <w:rPr>
          <w:rFonts w:ascii="Times New Roman" w:hAnsi="Times New Roman" w:cs="Times New Roman"/>
          <w:sz w:val="24"/>
          <w:szCs w:val="24"/>
        </w:rPr>
        <w:t xml:space="preserve">ākai izaugsmei, kā arī finansējuma pieejamību visos uzņēmuma attīstības posmos, valdība ir konceptuāli vienojusies </w:t>
      </w:r>
      <w:r w:rsidRPr="00C42EB0">
        <w:rPr>
          <w:rFonts w:ascii="Times New Roman" w:hAnsi="Times New Roman" w:cs="Times New Roman"/>
          <w:sz w:val="24"/>
          <w:szCs w:val="24"/>
        </w:rPr>
        <w:t xml:space="preserve">par turpmāk nepieciešamajiem </w:t>
      </w:r>
      <w:r w:rsidR="00C42EB0" w:rsidRPr="00C42EB0">
        <w:rPr>
          <w:rFonts w:ascii="Times New Roman" w:hAnsi="Times New Roman" w:cs="Times New Roman"/>
          <w:sz w:val="24"/>
          <w:szCs w:val="24"/>
        </w:rPr>
        <w:t xml:space="preserve">atbalsta </w:t>
      </w:r>
      <w:r w:rsidRPr="00C42EB0">
        <w:rPr>
          <w:rFonts w:ascii="Times New Roman" w:hAnsi="Times New Roman" w:cs="Times New Roman"/>
          <w:sz w:val="24"/>
          <w:szCs w:val="24"/>
        </w:rPr>
        <w:t>stimuliem.</w:t>
      </w:r>
      <w:r>
        <w:rPr>
          <w:rFonts w:ascii="Times New Roman" w:hAnsi="Times New Roman" w:cs="Times New Roman"/>
          <w:sz w:val="24"/>
          <w:szCs w:val="24"/>
        </w:rPr>
        <w:t xml:space="preserve"> Valdība ir apstiprinājusi EM izstrādāto </w:t>
      </w:r>
      <w:proofErr w:type="spellStart"/>
      <w:r>
        <w:rPr>
          <w:rFonts w:ascii="Times New Roman" w:hAnsi="Times New Roman" w:cs="Times New Roman"/>
          <w:sz w:val="24"/>
          <w:szCs w:val="24"/>
        </w:rPr>
        <w:t>Jaunuzņēmumu</w:t>
      </w:r>
      <w:proofErr w:type="spellEnd"/>
      <w:r>
        <w:rPr>
          <w:rFonts w:ascii="Times New Roman" w:hAnsi="Times New Roman" w:cs="Times New Roman"/>
          <w:sz w:val="24"/>
          <w:szCs w:val="24"/>
        </w:rPr>
        <w:t xml:space="preserve"> darbības atbalsta likumprojektu, kura mērķis ir veicināt strauji augošu tehnoloģiju uzņēmumu (</w:t>
      </w:r>
      <w:proofErr w:type="spellStart"/>
      <w:r>
        <w:rPr>
          <w:rFonts w:ascii="Times New Roman" w:hAnsi="Times New Roman" w:cs="Times New Roman"/>
          <w:sz w:val="24"/>
          <w:szCs w:val="24"/>
        </w:rPr>
        <w:t>jaunuzņēmumu</w:t>
      </w:r>
      <w:proofErr w:type="spellEnd"/>
      <w:r>
        <w:rPr>
          <w:rFonts w:ascii="Times New Roman" w:hAnsi="Times New Roman" w:cs="Times New Roman"/>
          <w:sz w:val="24"/>
          <w:szCs w:val="24"/>
        </w:rPr>
        <w:t xml:space="preserve">) veidošanos Latvijā, tādējādi sekmējot inovatīvas komercdarbības attīstību un pētniecību privātajā sektorā, kā arī pētniecības komercializāciju. Paredzēts, ka </w:t>
      </w:r>
      <w:proofErr w:type="spellStart"/>
      <w:r>
        <w:rPr>
          <w:rFonts w:ascii="Times New Roman" w:hAnsi="Times New Roman" w:cs="Times New Roman"/>
          <w:sz w:val="24"/>
          <w:szCs w:val="24"/>
        </w:rPr>
        <w:t>jaunuzņēmumiem</w:t>
      </w:r>
      <w:proofErr w:type="spellEnd"/>
      <w:r>
        <w:rPr>
          <w:rFonts w:ascii="Times New Roman" w:hAnsi="Times New Roman" w:cs="Times New Roman"/>
          <w:sz w:val="24"/>
          <w:szCs w:val="24"/>
        </w:rPr>
        <w:t xml:space="preserve"> būs pieejamas vairākas atbalsta programmas </w:t>
      </w:r>
      <w:r w:rsidR="007C4A73">
        <w:rPr>
          <w:rFonts w:ascii="Times New Roman" w:hAnsi="Times New Roman" w:cs="Times New Roman"/>
          <w:sz w:val="24"/>
          <w:szCs w:val="24"/>
        </w:rPr>
        <w:t>un pēc sākotnējām aplēsēm tās varētu izmantot vidēji 20</w:t>
      </w:r>
      <w:r w:rsidR="00895A83">
        <w:rPr>
          <w:rFonts w:ascii="Times New Roman" w:hAnsi="Times New Roman" w:cs="Times New Roman"/>
          <w:sz w:val="24"/>
          <w:szCs w:val="24"/>
        </w:rPr>
        <w:t> </w:t>
      </w:r>
      <w:proofErr w:type="spellStart"/>
      <w:r w:rsidR="007C4A73">
        <w:rPr>
          <w:rFonts w:ascii="Times New Roman" w:hAnsi="Times New Roman" w:cs="Times New Roman"/>
          <w:sz w:val="24"/>
          <w:szCs w:val="24"/>
        </w:rPr>
        <w:t>jaunuzņēmumi</w:t>
      </w:r>
      <w:proofErr w:type="spellEnd"/>
      <w:r w:rsidR="007C4A73">
        <w:rPr>
          <w:rFonts w:ascii="Times New Roman" w:hAnsi="Times New Roman" w:cs="Times New Roman"/>
          <w:sz w:val="24"/>
          <w:szCs w:val="24"/>
        </w:rPr>
        <w:t>,</w:t>
      </w:r>
      <w:r w:rsidR="007C4A73" w:rsidDel="007C4A73">
        <w:rPr>
          <w:rFonts w:ascii="Times New Roman" w:hAnsi="Times New Roman" w:cs="Times New Roman"/>
          <w:sz w:val="24"/>
          <w:szCs w:val="24"/>
        </w:rPr>
        <w:t xml:space="preserve"> </w:t>
      </w:r>
      <w:r>
        <w:rPr>
          <w:rFonts w:ascii="Times New Roman" w:hAnsi="Times New Roman" w:cs="Times New Roman"/>
          <w:sz w:val="24"/>
          <w:szCs w:val="24"/>
        </w:rPr>
        <w:t>kas būs piesaistījuši aptuveni 160</w:t>
      </w:r>
      <w:r w:rsidR="00895A83">
        <w:rPr>
          <w:rFonts w:ascii="Times New Roman" w:hAnsi="Times New Roman" w:cs="Times New Roman"/>
          <w:sz w:val="24"/>
          <w:szCs w:val="24"/>
        </w:rPr>
        <w:t> </w:t>
      </w:r>
      <w:r>
        <w:rPr>
          <w:rFonts w:ascii="Times New Roman" w:hAnsi="Times New Roman" w:cs="Times New Roman"/>
          <w:sz w:val="24"/>
          <w:szCs w:val="24"/>
        </w:rPr>
        <w:t>augsti kvalificētus darbiniekus. Plānots, ka</w:t>
      </w:r>
      <w:r w:rsidR="00895A83">
        <w:rPr>
          <w:rFonts w:ascii="Times New Roman" w:hAnsi="Times New Roman" w:cs="Times New Roman"/>
          <w:sz w:val="24"/>
          <w:szCs w:val="24"/>
        </w:rPr>
        <w:t>,</w:t>
      </w:r>
      <w:r>
        <w:rPr>
          <w:rFonts w:ascii="Times New Roman" w:hAnsi="Times New Roman" w:cs="Times New Roman"/>
          <w:sz w:val="24"/>
          <w:szCs w:val="24"/>
        </w:rPr>
        <w:t xml:space="preserve"> likumam stājoties spēkā, atbalsts </w:t>
      </w:r>
      <w:proofErr w:type="spellStart"/>
      <w:r>
        <w:rPr>
          <w:rFonts w:ascii="Times New Roman" w:hAnsi="Times New Roman" w:cs="Times New Roman"/>
          <w:sz w:val="24"/>
          <w:szCs w:val="24"/>
        </w:rPr>
        <w:t>jaunuzņēmumiem</w:t>
      </w:r>
      <w:proofErr w:type="spellEnd"/>
      <w:r>
        <w:rPr>
          <w:rFonts w:ascii="Times New Roman" w:hAnsi="Times New Roman" w:cs="Times New Roman"/>
          <w:sz w:val="24"/>
          <w:szCs w:val="24"/>
        </w:rPr>
        <w:t xml:space="preserve"> būs pieejams jau no 2017.</w:t>
      </w:r>
      <w:r w:rsidR="00592139">
        <w:rPr>
          <w:rFonts w:ascii="Times New Roman" w:hAnsi="Times New Roman" w:cs="Times New Roman"/>
          <w:sz w:val="24"/>
          <w:szCs w:val="24"/>
        </w:rPr>
        <w:t> </w:t>
      </w:r>
      <w:r>
        <w:rPr>
          <w:rFonts w:ascii="Times New Roman" w:hAnsi="Times New Roman" w:cs="Times New Roman"/>
          <w:sz w:val="24"/>
          <w:szCs w:val="24"/>
        </w:rPr>
        <w:t>gada 1.</w:t>
      </w:r>
      <w:r w:rsidR="00592139">
        <w:rPr>
          <w:rFonts w:ascii="Times New Roman" w:hAnsi="Times New Roman" w:cs="Times New Roman"/>
          <w:sz w:val="24"/>
          <w:szCs w:val="24"/>
        </w:rPr>
        <w:t> </w:t>
      </w:r>
      <w:r>
        <w:rPr>
          <w:rFonts w:ascii="Times New Roman" w:hAnsi="Times New Roman" w:cs="Times New Roman"/>
          <w:sz w:val="24"/>
          <w:szCs w:val="24"/>
        </w:rPr>
        <w:t>janvāra.</w:t>
      </w:r>
    </w:p>
    <w:p w14:paraId="7B9E16DC" w14:textId="3522B241" w:rsidR="0083593F" w:rsidRDefault="0083593F" w:rsidP="0083593F">
      <w:pPr>
        <w:jc w:val="both"/>
        <w:rPr>
          <w:rFonts w:ascii="Times New Roman" w:hAnsi="Times New Roman" w:cs="Times New Roman"/>
          <w:sz w:val="24"/>
          <w:szCs w:val="24"/>
        </w:rPr>
      </w:pPr>
      <w:r>
        <w:rPr>
          <w:rFonts w:ascii="Times New Roman" w:hAnsi="Times New Roman" w:cs="Times New Roman"/>
          <w:sz w:val="24"/>
          <w:szCs w:val="24"/>
        </w:rPr>
        <w:t>Resursu un esošo tehnoloģiju efektīvai izmantošanai pētniecībā un tehnoloģiju pārnesē ir uzsākta nacionālas atvērtās piekļuves (</w:t>
      </w:r>
      <w:proofErr w:type="spellStart"/>
      <w:r>
        <w:rPr>
          <w:rFonts w:ascii="Times New Roman" w:hAnsi="Times New Roman" w:cs="Times New Roman"/>
          <w:i/>
          <w:sz w:val="24"/>
          <w:szCs w:val="24"/>
        </w:rPr>
        <w:t>open</w:t>
      </w:r>
      <w:proofErr w:type="spellEnd"/>
      <w:r>
        <w:rPr>
          <w:rFonts w:ascii="Times New Roman" w:hAnsi="Times New Roman" w:cs="Times New Roman"/>
          <w:i/>
          <w:sz w:val="24"/>
          <w:szCs w:val="24"/>
        </w:rPr>
        <w:t>–</w:t>
      </w:r>
      <w:proofErr w:type="spellStart"/>
      <w:r>
        <w:rPr>
          <w:rFonts w:ascii="Times New Roman" w:hAnsi="Times New Roman" w:cs="Times New Roman"/>
          <w:i/>
          <w:sz w:val="24"/>
          <w:szCs w:val="24"/>
        </w:rPr>
        <w:t>access</w:t>
      </w:r>
      <w:proofErr w:type="spellEnd"/>
      <w:r>
        <w:rPr>
          <w:rFonts w:ascii="Times New Roman" w:hAnsi="Times New Roman" w:cs="Times New Roman"/>
          <w:sz w:val="24"/>
          <w:szCs w:val="24"/>
        </w:rPr>
        <w:t xml:space="preserve">) sistēmas izveide. Notiek darbs pie priekšlikumu izstrādes </w:t>
      </w:r>
      <w:proofErr w:type="spellStart"/>
      <w:r>
        <w:rPr>
          <w:rFonts w:ascii="Times New Roman" w:hAnsi="Times New Roman" w:cs="Times New Roman"/>
          <w:i/>
          <w:sz w:val="24"/>
          <w:szCs w:val="24"/>
        </w:rPr>
        <w:t>open</w:t>
      </w:r>
      <w:proofErr w:type="spellEnd"/>
      <w:r>
        <w:rPr>
          <w:rFonts w:ascii="Times New Roman" w:hAnsi="Times New Roman" w:cs="Times New Roman"/>
          <w:i/>
          <w:sz w:val="24"/>
          <w:szCs w:val="24"/>
        </w:rPr>
        <w:t>–</w:t>
      </w:r>
      <w:proofErr w:type="spellStart"/>
      <w:r>
        <w:rPr>
          <w:rFonts w:ascii="Times New Roman" w:hAnsi="Times New Roman" w:cs="Times New Roman"/>
          <w:i/>
          <w:sz w:val="24"/>
          <w:szCs w:val="24"/>
        </w:rPr>
        <w:t>access</w:t>
      </w:r>
      <w:proofErr w:type="spellEnd"/>
      <w:r>
        <w:rPr>
          <w:rFonts w:ascii="Times New Roman" w:hAnsi="Times New Roman" w:cs="Times New Roman"/>
          <w:sz w:val="24"/>
          <w:szCs w:val="24"/>
        </w:rPr>
        <w:t xml:space="preserve"> darbības nodrošināšanai, tostarp par vispārēj</w:t>
      </w:r>
      <w:r w:rsidR="00895A83">
        <w:rPr>
          <w:rFonts w:ascii="Times New Roman" w:hAnsi="Times New Roman" w:cs="Times New Roman"/>
          <w:sz w:val="24"/>
          <w:szCs w:val="24"/>
        </w:rPr>
        <w:t>ā</w:t>
      </w:r>
      <w:r>
        <w:rPr>
          <w:rFonts w:ascii="Times New Roman" w:hAnsi="Times New Roman" w:cs="Times New Roman"/>
          <w:sz w:val="24"/>
          <w:szCs w:val="24"/>
        </w:rPr>
        <w:t>s izmantošanas iespēju, iekļaujot informāciju par visām zinātnisko iestāžu, augstskolu un PIKC rīcībā esoš</w:t>
      </w:r>
      <w:r w:rsidR="00895A83">
        <w:rPr>
          <w:rFonts w:ascii="Times New Roman" w:hAnsi="Times New Roman" w:cs="Times New Roman"/>
          <w:sz w:val="24"/>
          <w:szCs w:val="24"/>
        </w:rPr>
        <w:t>aj</w:t>
      </w:r>
      <w:r>
        <w:rPr>
          <w:rFonts w:ascii="Times New Roman" w:hAnsi="Times New Roman" w:cs="Times New Roman"/>
          <w:sz w:val="24"/>
          <w:szCs w:val="24"/>
        </w:rPr>
        <w:t>ām iekārtām, kā arī par pētnieku piedāvājumu un uzņēmumu pieprasījumu sadarbībai kop</w:t>
      </w:r>
      <w:r w:rsidR="00895A83">
        <w:rPr>
          <w:rFonts w:ascii="Times New Roman" w:hAnsi="Times New Roman" w:cs="Times New Roman"/>
          <w:sz w:val="24"/>
          <w:szCs w:val="24"/>
        </w:rPr>
        <w:t>īg</w:t>
      </w:r>
      <w:r>
        <w:rPr>
          <w:rFonts w:ascii="Times New Roman" w:hAnsi="Times New Roman" w:cs="Times New Roman"/>
          <w:sz w:val="24"/>
          <w:szCs w:val="24"/>
        </w:rPr>
        <w:t>u projektu izstrādē.</w:t>
      </w:r>
    </w:p>
    <w:p w14:paraId="27539893" w14:textId="77777777" w:rsidR="00910883" w:rsidRPr="007660B7" w:rsidRDefault="00910883" w:rsidP="0083593F">
      <w:pPr>
        <w:jc w:val="both"/>
        <w:rPr>
          <w:rFonts w:ascii="Times New Roman" w:hAnsi="Times New Roman" w:cs="Times New Roman"/>
          <w:sz w:val="24"/>
          <w:szCs w:val="24"/>
        </w:rPr>
      </w:pPr>
    </w:p>
    <w:p w14:paraId="765C35BA" w14:textId="2201751A" w:rsidR="00B12A30" w:rsidRPr="00B12A30" w:rsidRDefault="00E057ED" w:rsidP="00B02009">
      <w:pPr>
        <w:pStyle w:val="Heading2"/>
      </w:pPr>
      <w:bookmarkStart w:id="19" w:name="_Toc465349532"/>
      <w:bookmarkStart w:id="20" w:name="_Toc465089710"/>
      <w:r>
        <w:t> </w:t>
      </w:r>
      <w:bookmarkStart w:id="21" w:name="_Toc466466857"/>
      <w:r w:rsidR="00B12A30" w:rsidRPr="00B12A30">
        <w:t>Finanšu sektora attīstība</w:t>
      </w:r>
      <w:bookmarkEnd w:id="19"/>
      <w:bookmarkEnd w:id="20"/>
      <w:bookmarkEnd w:id="21"/>
    </w:p>
    <w:p w14:paraId="4A8626B1" w14:textId="19AEA613" w:rsidR="00B12A30" w:rsidRPr="00B12A30" w:rsidRDefault="00B12A30" w:rsidP="00B12A30">
      <w:pPr>
        <w:tabs>
          <w:tab w:val="left" w:pos="1701"/>
        </w:tabs>
        <w:jc w:val="both"/>
        <w:rPr>
          <w:rFonts w:ascii="Times New Roman" w:hAnsi="Times New Roman" w:cs="Times New Roman"/>
          <w:sz w:val="24"/>
          <w:szCs w:val="24"/>
        </w:rPr>
      </w:pPr>
      <w:r w:rsidRPr="00B12A30">
        <w:rPr>
          <w:rFonts w:ascii="Times New Roman" w:hAnsi="Times New Roman" w:cs="Times New Roman"/>
          <w:sz w:val="24"/>
          <w:szCs w:val="24"/>
        </w:rPr>
        <w:t>2015.</w:t>
      </w:r>
      <w:r w:rsidR="00592139">
        <w:rPr>
          <w:rFonts w:ascii="Times New Roman" w:hAnsi="Times New Roman" w:cs="Times New Roman"/>
          <w:sz w:val="24"/>
          <w:szCs w:val="24"/>
        </w:rPr>
        <w:t> </w:t>
      </w:r>
      <w:r w:rsidRPr="00B12A30">
        <w:rPr>
          <w:rFonts w:ascii="Times New Roman" w:hAnsi="Times New Roman" w:cs="Times New Roman"/>
          <w:sz w:val="24"/>
          <w:szCs w:val="24"/>
        </w:rPr>
        <w:t>gadā pieauga jaunās kreditēšanas apmērs – kredītiestādes finansēja gan mājokļa iegādi rezidentu mājsaimniecībām, gan rezidentu nefinanšu uzņēmumus. Labvēlīga ietekme uz hipotekārās kreditēšanas tirgu mājsaimniecību segmentā bijusi valsts atbalsta programmai ģimenēm ar bērniem, kuras ietvaros 2015.</w:t>
      </w:r>
      <w:r w:rsidR="00592139">
        <w:rPr>
          <w:rFonts w:ascii="Times New Roman" w:hAnsi="Times New Roman" w:cs="Times New Roman"/>
          <w:sz w:val="24"/>
          <w:szCs w:val="24"/>
        </w:rPr>
        <w:t> </w:t>
      </w:r>
      <w:r w:rsidRPr="00B12A30">
        <w:rPr>
          <w:rFonts w:ascii="Times New Roman" w:hAnsi="Times New Roman" w:cs="Times New Roman"/>
          <w:sz w:val="24"/>
          <w:szCs w:val="24"/>
        </w:rPr>
        <w:t>gada laikā bankas izsniedza mājokļu kredītus 68</w:t>
      </w:r>
      <w:r w:rsidR="00716B0D">
        <w:rPr>
          <w:rFonts w:ascii="Times New Roman" w:hAnsi="Times New Roman" w:cs="Times New Roman"/>
          <w:sz w:val="24"/>
          <w:szCs w:val="24"/>
        </w:rPr>
        <w:t> milj.</w:t>
      </w:r>
      <w:r w:rsidRPr="00B12A30">
        <w:rPr>
          <w:rFonts w:ascii="Times New Roman" w:hAnsi="Times New Roman" w:cs="Times New Roman"/>
          <w:sz w:val="24"/>
          <w:szCs w:val="24"/>
        </w:rPr>
        <w:t xml:space="preserve"> </w:t>
      </w:r>
      <w:proofErr w:type="spellStart"/>
      <w:r w:rsidRPr="00B12A30">
        <w:rPr>
          <w:rFonts w:ascii="Times New Roman" w:hAnsi="Times New Roman" w:cs="Times New Roman"/>
          <w:i/>
          <w:sz w:val="24"/>
          <w:szCs w:val="24"/>
        </w:rPr>
        <w:t>euro</w:t>
      </w:r>
      <w:proofErr w:type="spellEnd"/>
      <w:r w:rsidRPr="00B12A30">
        <w:rPr>
          <w:rFonts w:ascii="Times New Roman" w:hAnsi="Times New Roman" w:cs="Times New Roman"/>
          <w:sz w:val="24"/>
          <w:szCs w:val="24"/>
        </w:rPr>
        <w:t xml:space="preserve"> apmērā. Jauno kredītu apmērs rezidentu nefinanšu uzņēmumiem sasniedza </w:t>
      </w:r>
      <w:r w:rsidRPr="00B80338">
        <w:rPr>
          <w:rFonts w:ascii="Times New Roman" w:hAnsi="Times New Roman"/>
          <w:sz w:val="24"/>
        </w:rPr>
        <w:t>1</w:t>
      </w:r>
      <w:r w:rsidR="00D3304E" w:rsidRPr="00B80338">
        <w:rPr>
          <w:rFonts w:ascii="Times New Roman" w:hAnsi="Times New Roman" w:cs="Times New Roman"/>
          <w:sz w:val="24"/>
          <w:szCs w:val="24"/>
        </w:rPr>
        <w:t>,</w:t>
      </w:r>
      <w:r w:rsidRPr="00B80338">
        <w:rPr>
          <w:rFonts w:ascii="Times New Roman" w:hAnsi="Times New Roman"/>
          <w:sz w:val="24"/>
        </w:rPr>
        <w:t>3</w:t>
      </w:r>
      <w:r w:rsidR="005750D5">
        <w:rPr>
          <w:rFonts w:ascii="Times New Roman" w:hAnsi="Times New Roman"/>
          <w:sz w:val="24"/>
        </w:rPr>
        <w:t> </w:t>
      </w:r>
      <w:r w:rsidRPr="00B80338">
        <w:rPr>
          <w:rFonts w:ascii="Times New Roman" w:hAnsi="Times New Roman"/>
          <w:sz w:val="24"/>
        </w:rPr>
        <w:t>mljrd.</w:t>
      </w:r>
      <w:r w:rsidRPr="00B12A30">
        <w:rPr>
          <w:rFonts w:ascii="Times New Roman" w:hAnsi="Times New Roman" w:cs="Times New Roman"/>
          <w:sz w:val="24"/>
          <w:szCs w:val="24"/>
        </w:rPr>
        <w:t xml:space="preserve"> </w:t>
      </w:r>
      <w:proofErr w:type="spellStart"/>
      <w:r w:rsidRPr="00B12A30">
        <w:rPr>
          <w:rFonts w:ascii="Times New Roman" w:hAnsi="Times New Roman" w:cs="Times New Roman"/>
          <w:i/>
          <w:sz w:val="24"/>
          <w:szCs w:val="24"/>
        </w:rPr>
        <w:t>euro</w:t>
      </w:r>
      <w:proofErr w:type="spellEnd"/>
      <w:r w:rsidRPr="00B12A30">
        <w:rPr>
          <w:rFonts w:ascii="Times New Roman" w:hAnsi="Times New Roman" w:cs="Times New Roman"/>
          <w:sz w:val="24"/>
          <w:szCs w:val="24"/>
        </w:rPr>
        <w:t xml:space="preserve">, </w:t>
      </w:r>
      <w:r w:rsidR="00394606">
        <w:rPr>
          <w:rFonts w:ascii="Times New Roman" w:hAnsi="Times New Roman" w:cs="Times New Roman"/>
          <w:sz w:val="24"/>
          <w:szCs w:val="24"/>
        </w:rPr>
        <w:t xml:space="preserve">kur </w:t>
      </w:r>
      <w:r w:rsidRPr="00B12A30">
        <w:rPr>
          <w:rFonts w:ascii="Times New Roman" w:hAnsi="Times New Roman" w:cs="Times New Roman"/>
          <w:sz w:val="24"/>
          <w:szCs w:val="24"/>
        </w:rPr>
        <w:t>pieaugumu nodrošināja tirdzniecības, transporta, lauksaimniecības, būvniecības, nekustamā īpašuma,</w:t>
      </w:r>
      <w:r w:rsidR="00730F78">
        <w:rPr>
          <w:rFonts w:ascii="Times New Roman" w:hAnsi="Times New Roman" w:cs="Times New Roman"/>
          <w:sz w:val="24"/>
          <w:szCs w:val="24"/>
        </w:rPr>
        <w:t xml:space="preserve"> kā arī pakalpojumu nozare</w:t>
      </w:r>
      <w:r w:rsidRPr="00B12A30">
        <w:rPr>
          <w:rFonts w:ascii="Times New Roman" w:hAnsi="Times New Roman" w:cs="Times New Roman"/>
          <w:sz w:val="24"/>
          <w:szCs w:val="24"/>
        </w:rPr>
        <w:t xml:space="preserve">. Pieauguma tendences rezidentu nefinanšu uzņēmumu </w:t>
      </w:r>
      <w:r w:rsidR="007E78C3">
        <w:rPr>
          <w:rFonts w:ascii="Times New Roman" w:hAnsi="Times New Roman" w:cs="Times New Roman"/>
          <w:sz w:val="24"/>
          <w:szCs w:val="24"/>
        </w:rPr>
        <w:lastRenderedPageBreak/>
        <w:t>kredītportfelī</w:t>
      </w:r>
      <w:r w:rsidR="007E78C3" w:rsidRPr="00B12A30">
        <w:rPr>
          <w:rFonts w:ascii="Times New Roman" w:hAnsi="Times New Roman" w:cs="Times New Roman"/>
          <w:sz w:val="24"/>
          <w:szCs w:val="24"/>
        </w:rPr>
        <w:t xml:space="preserve"> </w:t>
      </w:r>
      <w:r w:rsidRPr="00B12A30">
        <w:rPr>
          <w:rFonts w:ascii="Times New Roman" w:hAnsi="Times New Roman" w:cs="Times New Roman"/>
          <w:sz w:val="24"/>
          <w:szCs w:val="24"/>
        </w:rPr>
        <w:t xml:space="preserve">saglabājas arī </w:t>
      </w:r>
      <w:r w:rsidR="007E78C3" w:rsidRPr="007E78C3">
        <w:rPr>
          <w:rFonts w:ascii="Times New Roman" w:hAnsi="Times New Roman" w:cs="Times New Roman"/>
          <w:sz w:val="24"/>
          <w:szCs w:val="24"/>
        </w:rPr>
        <w:t>2016.</w:t>
      </w:r>
      <w:r w:rsidR="00592139">
        <w:rPr>
          <w:rFonts w:ascii="Times New Roman" w:hAnsi="Times New Roman" w:cs="Times New Roman"/>
          <w:sz w:val="24"/>
          <w:szCs w:val="24"/>
        </w:rPr>
        <w:t> </w:t>
      </w:r>
      <w:r w:rsidR="007E78C3" w:rsidRPr="007E78C3">
        <w:rPr>
          <w:rFonts w:ascii="Times New Roman" w:hAnsi="Times New Roman" w:cs="Times New Roman"/>
          <w:sz w:val="24"/>
          <w:szCs w:val="24"/>
        </w:rPr>
        <w:t xml:space="preserve">gada </w:t>
      </w:r>
      <w:r w:rsidR="007D5177">
        <w:rPr>
          <w:rFonts w:ascii="Times New Roman" w:hAnsi="Times New Roman" w:cs="Times New Roman"/>
          <w:sz w:val="24"/>
          <w:szCs w:val="24"/>
        </w:rPr>
        <w:t>II</w:t>
      </w:r>
      <w:r w:rsidR="00592139">
        <w:rPr>
          <w:rFonts w:ascii="Times New Roman" w:hAnsi="Times New Roman" w:cs="Times New Roman"/>
          <w:sz w:val="24"/>
          <w:szCs w:val="24"/>
        </w:rPr>
        <w:t> </w:t>
      </w:r>
      <w:r w:rsidR="007E78C3">
        <w:rPr>
          <w:rFonts w:ascii="Times New Roman" w:hAnsi="Times New Roman" w:cs="Times New Roman"/>
          <w:sz w:val="24"/>
          <w:szCs w:val="24"/>
        </w:rPr>
        <w:t>c</w:t>
      </w:r>
      <w:r w:rsidR="007E78C3" w:rsidRPr="007E78C3">
        <w:rPr>
          <w:rFonts w:ascii="Times New Roman" w:hAnsi="Times New Roman" w:cs="Times New Roman"/>
          <w:sz w:val="24"/>
          <w:szCs w:val="24"/>
        </w:rPr>
        <w:t>eturksnī</w:t>
      </w:r>
      <w:r w:rsidR="007E78C3">
        <w:rPr>
          <w:rFonts w:ascii="Times New Roman" w:hAnsi="Times New Roman" w:cs="Times New Roman"/>
          <w:sz w:val="24"/>
          <w:szCs w:val="24"/>
        </w:rPr>
        <w:t xml:space="preserve">, kad </w:t>
      </w:r>
      <w:r w:rsidR="007E78C3" w:rsidRPr="007E78C3">
        <w:rPr>
          <w:rFonts w:ascii="Times New Roman" w:hAnsi="Times New Roman" w:cs="Times New Roman"/>
          <w:sz w:val="24"/>
          <w:szCs w:val="24"/>
        </w:rPr>
        <w:t>rezidentu uzņēmu</w:t>
      </w:r>
      <w:r w:rsidR="007E78C3">
        <w:rPr>
          <w:rFonts w:ascii="Times New Roman" w:hAnsi="Times New Roman" w:cs="Times New Roman"/>
          <w:sz w:val="24"/>
          <w:szCs w:val="24"/>
        </w:rPr>
        <w:t>mu portfelis palielinājās par 3,</w:t>
      </w:r>
      <w:r w:rsidR="007E78C3" w:rsidRPr="007E78C3">
        <w:rPr>
          <w:rFonts w:ascii="Times New Roman" w:hAnsi="Times New Roman" w:cs="Times New Roman"/>
          <w:sz w:val="24"/>
          <w:szCs w:val="24"/>
        </w:rPr>
        <w:t>3</w:t>
      </w:r>
      <w:r w:rsidR="007D5177">
        <w:rPr>
          <w:rFonts w:ascii="Times New Roman" w:hAnsi="Times New Roman" w:cs="Times New Roman"/>
          <w:sz w:val="24"/>
          <w:szCs w:val="24"/>
        </w:rPr>
        <w:t> </w:t>
      </w:r>
      <w:r w:rsidR="007E78C3" w:rsidRPr="007E78C3">
        <w:rPr>
          <w:rFonts w:ascii="Times New Roman" w:hAnsi="Times New Roman" w:cs="Times New Roman"/>
          <w:sz w:val="24"/>
          <w:szCs w:val="24"/>
        </w:rPr>
        <w:t>%, ko galvenokārt ietekmēja operācijas ar nekustamo īpašumu, kamēr mājsaimniecību kredītportfelis turpināja lēnām samazināties</w:t>
      </w:r>
      <w:r w:rsidRPr="00B12A30">
        <w:rPr>
          <w:rFonts w:ascii="Times New Roman" w:hAnsi="Times New Roman" w:cs="Times New Roman"/>
          <w:sz w:val="24"/>
          <w:szCs w:val="24"/>
        </w:rPr>
        <w:t xml:space="preserve">. </w:t>
      </w:r>
    </w:p>
    <w:p w14:paraId="258BB491" w14:textId="5857F9E9" w:rsidR="000E0477" w:rsidRDefault="00B12A30" w:rsidP="009E361A">
      <w:pPr>
        <w:tabs>
          <w:tab w:val="left" w:pos="1701"/>
        </w:tabs>
        <w:jc w:val="both"/>
        <w:rPr>
          <w:rFonts w:ascii="Times New Roman" w:hAnsi="Times New Roman" w:cs="Times New Roman"/>
          <w:sz w:val="24"/>
          <w:szCs w:val="24"/>
        </w:rPr>
      </w:pPr>
      <w:r w:rsidRPr="00B12A30">
        <w:rPr>
          <w:rFonts w:ascii="Times New Roman" w:hAnsi="Times New Roman" w:cs="Times New Roman"/>
          <w:sz w:val="24"/>
          <w:szCs w:val="24"/>
        </w:rPr>
        <w:t>Lai sekmētu finanšu pakalpojumu pieejamību rezidentu mājsaimniecībām un uzņēmumiem, tādējādi atbalstot Latvijas IKP izaugsmi</w:t>
      </w:r>
      <w:r w:rsidR="00F639BF">
        <w:rPr>
          <w:rFonts w:ascii="Times New Roman" w:hAnsi="Times New Roman" w:cs="Times New Roman"/>
          <w:sz w:val="24"/>
          <w:szCs w:val="24"/>
        </w:rPr>
        <w:t>,</w:t>
      </w:r>
      <w:r w:rsidRPr="00B12A30">
        <w:rPr>
          <w:rFonts w:ascii="Times New Roman" w:hAnsi="Times New Roman" w:cs="Times New Roman"/>
          <w:sz w:val="24"/>
          <w:szCs w:val="24"/>
        </w:rPr>
        <w:t xml:space="preserve"> valdība ir apņēmusies sekmēt banku kredītportfeļa pieaugumu par 10</w:t>
      </w:r>
      <w:r w:rsidR="007D5177">
        <w:rPr>
          <w:rFonts w:ascii="Times New Roman" w:hAnsi="Times New Roman" w:cs="Times New Roman"/>
          <w:sz w:val="24"/>
          <w:szCs w:val="24"/>
        </w:rPr>
        <w:t> </w:t>
      </w:r>
      <w:r w:rsidRPr="00B12A30">
        <w:rPr>
          <w:rFonts w:ascii="Times New Roman" w:hAnsi="Times New Roman" w:cs="Times New Roman"/>
          <w:sz w:val="24"/>
          <w:szCs w:val="24"/>
        </w:rPr>
        <w:t>% tr</w:t>
      </w:r>
      <w:r w:rsidR="007D5177">
        <w:rPr>
          <w:rFonts w:ascii="Times New Roman" w:hAnsi="Times New Roman" w:cs="Times New Roman"/>
          <w:sz w:val="24"/>
          <w:szCs w:val="24"/>
        </w:rPr>
        <w:t>iju</w:t>
      </w:r>
      <w:r w:rsidRPr="00B12A30">
        <w:rPr>
          <w:rFonts w:ascii="Times New Roman" w:hAnsi="Times New Roman" w:cs="Times New Roman"/>
          <w:sz w:val="24"/>
          <w:szCs w:val="24"/>
        </w:rPr>
        <w:t xml:space="preserve"> gadu </w:t>
      </w:r>
      <w:r w:rsidR="007D5177">
        <w:rPr>
          <w:rFonts w:ascii="Times New Roman" w:hAnsi="Times New Roman" w:cs="Times New Roman"/>
          <w:sz w:val="24"/>
          <w:szCs w:val="24"/>
        </w:rPr>
        <w:t>laik</w:t>
      </w:r>
      <w:r w:rsidRPr="00B12A30">
        <w:rPr>
          <w:rFonts w:ascii="Times New Roman" w:hAnsi="Times New Roman" w:cs="Times New Roman"/>
          <w:sz w:val="24"/>
          <w:szCs w:val="24"/>
        </w:rPr>
        <w:t>ā. Tāpat ir mērķi</w:t>
      </w:r>
      <w:r w:rsidR="007D5177">
        <w:rPr>
          <w:rFonts w:ascii="Times New Roman" w:hAnsi="Times New Roman" w:cs="Times New Roman"/>
          <w:sz w:val="24"/>
          <w:szCs w:val="24"/>
        </w:rPr>
        <w:t>s</w:t>
      </w:r>
      <w:r w:rsidRPr="00B12A30">
        <w:rPr>
          <w:rFonts w:ascii="Times New Roman" w:hAnsi="Times New Roman" w:cs="Times New Roman"/>
          <w:sz w:val="24"/>
          <w:szCs w:val="24"/>
        </w:rPr>
        <w:t xml:space="preserve"> ieviest inovatīvus finanšu pakalpojumus un pozicionēt Latviju kā bāzi starptautisko finanšu pakalpojumu sniegšanai. Minēto mērķu sasniegšanai ir uzsākts darbs pie </w:t>
      </w:r>
      <w:r w:rsidR="00394606">
        <w:rPr>
          <w:rFonts w:ascii="Times New Roman" w:hAnsi="Times New Roman" w:cs="Times New Roman"/>
          <w:sz w:val="24"/>
          <w:szCs w:val="24"/>
        </w:rPr>
        <w:t>f</w:t>
      </w:r>
      <w:r w:rsidRPr="00B12A30">
        <w:rPr>
          <w:rFonts w:ascii="Times New Roman" w:hAnsi="Times New Roman" w:cs="Times New Roman"/>
          <w:sz w:val="24"/>
          <w:szCs w:val="24"/>
        </w:rPr>
        <w:t>inanšu sektora attīstība</w:t>
      </w:r>
      <w:r w:rsidR="007D5177">
        <w:rPr>
          <w:rFonts w:ascii="Times New Roman" w:hAnsi="Times New Roman" w:cs="Times New Roman"/>
          <w:sz w:val="24"/>
          <w:szCs w:val="24"/>
        </w:rPr>
        <w:t>s</w:t>
      </w:r>
      <w:r w:rsidR="007D5177" w:rsidRPr="007D5177">
        <w:rPr>
          <w:rFonts w:ascii="Times New Roman" w:hAnsi="Times New Roman" w:cs="Times New Roman"/>
          <w:sz w:val="24"/>
          <w:szCs w:val="24"/>
        </w:rPr>
        <w:t xml:space="preserve"> </w:t>
      </w:r>
      <w:r w:rsidR="007D5177">
        <w:rPr>
          <w:rFonts w:ascii="Times New Roman" w:hAnsi="Times New Roman" w:cs="Times New Roman"/>
          <w:sz w:val="24"/>
          <w:szCs w:val="24"/>
        </w:rPr>
        <w:t>pasākumu izstrādes</w:t>
      </w:r>
      <w:r w:rsidR="00394606">
        <w:rPr>
          <w:rFonts w:ascii="Times New Roman" w:hAnsi="Times New Roman" w:cs="Times New Roman"/>
          <w:sz w:val="24"/>
          <w:szCs w:val="24"/>
        </w:rPr>
        <w:t xml:space="preserve">. </w:t>
      </w:r>
      <w:r w:rsidRPr="00B12A30">
        <w:rPr>
          <w:rFonts w:ascii="Times New Roman" w:hAnsi="Times New Roman" w:cs="Times New Roman"/>
          <w:sz w:val="24"/>
          <w:szCs w:val="24"/>
        </w:rPr>
        <w:t xml:space="preserve">Vienlaikus ir panākts būtisks progress ārvalstu finanšu palīdzības </w:t>
      </w:r>
      <w:r w:rsidR="00B80338">
        <w:rPr>
          <w:rFonts w:ascii="Times New Roman" w:hAnsi="Times New Roman" w:cs="Times New Roman"/>
          <w:sz w:val="24"/>
          <w:szCs w:val="24"/>
        </w:rPr>
        <w:t>izmantošanā</w:t>
      </w:r>
      <w:r w:rsidRPr="00B12A30">
        <w:rPr>
          <w:rFonts w:ascii="Times New Roman" w:hAnsi="Times New Roman" w:cs="Times New Roman"/>
          <w:sz w:val="24"/>
          <w:szCs w:val="24"/>
        </w:rPr>
        <w:t>, kas veicinās kapitāla ieplūdi tautsaimniecībā. Eiropas Padomes Attīstības banka ir piešķīrusi ALTUM 50</w:t>
      </w:r>
      <w:r w:rsidR="00716B0D">
        <w:rPr>
          <w:rFonts w:ascii="Times New Roman" w:hAnsi="Times New Roman" w:cs="Times New Roman"/>
          <w:sz w:val="24"/>
          <w:szCs w:val="24"/>
        </w:rPr>
        <w:t> milj.</w:t>
      </w:r>
      <w:r w:rsidR="00F639BF" w:rsidRPr="00B12A30">
        <w:rPr>
          <w:rFonts w:ascii="Times New Roman" w:hAnsi="Times New Roman" w:cs="Times New Roman"/>
          <w:sz w:val="24"/>
          <w:szCs w:val="24"/>
        </w:rPr>
        <w:t xml:space="preserve"> </w:t>
      </w:r>
      <w:proofErr w:type="spellStart"/>
      <w:r w:rsidRPr="00B12A30">
        <w:rPr>
          <w:rFonts w:ascii="Times New Roman" w:hAnsi="Times New Roman" w:cs="Times New Roman"/>
          <w:i/>
          <w:sz w:val="24"/>
          <w:szCs w:val="24"/>
        </w:rPr>
        <w:t>euro</w:t>
      </w:r>
      <w:proofErr w:type="spellEnd"/>
      <w:r w:rsidRPr="00B12A30">
        <w:rPr>
          <w:rFonts w:ascii="Times New Roman" w:hAnsi="Times New Roman" w:cs="Times New Roman"/>
          <w:sz w:val="24"/>
          <w:szCs w:val="24"/>
        </w:rPr>
        <w:t xml:space="preserve"> aizdevumu daudzdzīvokļu māju energoefektivitātes projektu finansēšanai. </w:t>
      </w:r>
      <w:r w:rsidR="00B80338">
        <w:rPr>
          <w:rFonts w:ascii="Times New Roman" w:hAnsi="Times New Roman" w:cs="Times New Roman"/>
          <w:sz w:val="24"/>
          <w:szCs w:val="24"/>
        </w:rPr>
        <w:t>EIF</w:t>
      </w:r>
      <w:r w:rsidRPr="00B12A30">
        <w:rPr>
          <w:rFonts w:ascii="Times New Roman" w:hAnsi="Times New Roman" w:cs="Times New Roman"/>
          <w:sz w:val="24"/>
          <w:szCs w:val="24"/>
        </w:rPr>
        <w:t xml:space="preserve"> </w:t>
      </w:r>
      <w:proofErr w:type="spellStart"/>
      <w:r w:rsidRPr="00B12A30">
        <w:rPr>
          <w:rFonts w:ascii="Times New Roman" w:hAnsi="Times New Roman" w:cs="Times New Roman"/>
          <w:sz w:val="24"/>
          <w:szCs w:val="24"/>
        </w:rPr>
        <w:t>Junkera</w:t>
      </w:r>
      <w:proofErr w:type="spellEnd"/>
      <w:r w:rsidRPr="00B12A30">
        <w:rPr>
          <w:rFonts w:ascii="Times New Roman" w:hAnsi="Times New Roman" w:cs="Times New Roman"/>
          <w:sz w:val="24"/>
          <w:szCs w:val="24"/>
        </w:rPr>
        <w:t xml:space="preserve"> plāna ietvaros ir piešķīris 30</w:t>
      </w:r>
      <w:r w:rsidR="00716B0D">
        <w:rPr>
          <w:rFonts w:ascii="Times New Roman" w:hAnsi="Times New Roman" w:cs="Times New Roman"/>
          <w:sz w:val="24"/>
          <w:szCs w:val="24"/>
        </w:rPr>
        <w:t> milj.</w:t>
      </w:r>
      <w:r w:rsidR="00F639BF">
        <w:rPr>
          <w:rFonts w:ascii="Times New Roman" w:hAnsi="Times New Roman" w:cs="Times New Roman"/>
          <w:sz w:val="24"/>
          <w:szCs w:val="24"/>
        </w:rPr>
        <w:t xml:space="preserve"> </w:t>
      </w:r>
      <w:proofErr w:type="spellStart"/>
      <w:r w:rsidR="00F639BF" w:rsidRPr="00F639BF">
        <w:rPr>
          <w:rFonts w:ascii="Times New Roman" w:hAnsi="Times New Roman" w:cs="Times New Roman"/>
          <w:i/>
          <w:sz w:val="24"/>
          <w:szCs w:val="24"/>
        </w:rPr>
        <w:t>euro</w:t>
      </w:r>
      <w:proofErr w:type="spellEnd"/>
      <w:r w:rsidRPr="00B12A30">
        <w:rPr>
          <w:rFonts w:ascii="Times New Roman" w:hAnsi="Times New Roman" w:cs="Times New Roman"/>
          <w:sz w:val="24"/>
          <w:szCs w:val="24"/>
        </w:rPr>
        <w:t xml:space="preserve"> </w:t>
      </w:r>
      <w:proofErr w:type="spellStart"/>
      <w:r w:rsidRPr="00B80338">
        <w:rPr>
          <w:rFonts w:ascii="Times New Roman" w:hAnsi="Times New Roman"/>
          <w:i/>
          <w:sz w:val="24"/>
        </w:rPr>
        <w:t>InnovFIN</w:t>
      </w:r>
      <w:proofErr w:type="spellEnd"/>
      <w:r w:rsidRPr="00B12A30">
        <w:rPr>
          <w:rFonts w:ascii="Times New Roman" w:hAnsi="Times New Roman" w:cs="Times New Roman"/>
          <w:sz w:val="24"/>
          <w:szCs w:val="24"/>
        </w:rPr>
        <w:t xml:space="preserve"> programmas </w:t>
      </w:r>
      <w:proofErr w:type="spellStart"/>
      <w:r w:rsidRPr="00B12A30">
        <w:rPr>
          <w:rFonts w:ascii="Times New Roman" w:hAnsi="Times New Roman" w:cs="Times New Roman"/>
          <w:sz w:val="24"/>
          <w:szCs w:val="24"/>
        </w:rPr>
        <w:t>pretgarantijas</w:t>
      </w:r>
      <w:proofErr w:type="spellEnd"/>
      <w:r w:rsidRPr="00B12A30">
        <w:rPr>
          <w:rFonts w:ascii="Times New Roman" w:hAnsi="Times New Roman" w:cs="Times New Roman"/>
          <w:sz w:val="24"/>
          <w:szCs w:val="24"/>
        </w:rPr>
        <w:t xml:space="preserve"> ALTUM garantiju programmu īstenošanai</w:t>
      </w:r>
      <w:r w:rsidR="007D5177">
        <w:rPr>
          <w:rFonts w:ascii="Times New Roman" w:hAnsi="Times New Roman" w:cs="Times New Roman"/>
          <w:sz w:val="24"/>
          <w:szCs w:val="24"/>
        </w:rPr>
        <w:t>.</w:t>
      </w:r>
      <w:r w:rsidRPr="00B12A30">
        <w:rPr>
          <w:rFonts w:ascii="Times New Roman" w:hAnsi="Times New Roman" w:cs="Times New Roman"/>
          <w:sz w:val="24"/>
          <w:szCs w:val="24"/>
        </w:rPr>
        <w:t xml:space="preserve"> ALTUM plāno noslēgt garantiju līgumu ar EIF un uzsākt </w:t>
      </w:r>
      <w:proofErr w:type="spellStart"/>
      <w:r w:rsidRPr="00B12A30">
        <w:rPr>
          <w:rFonts w:ascii="Times New Roman" w:hAnsi="Times New Roman" w:cs="Times New Roman"/>
          <w:sz w:val="24"/>
          <w:szCs w:val="24"/>
        </w:rPr>
        <w:t>pretgarantiju</w:t>
      </w:r>
      <w:proofErr w:type="spellEnd"/>
      <w:r w:rsidRPr="00B12A30">
        <w:rPr>
          <w:rFonts w:ascii="Times New Roman" w:hAnsi="Times New Roman" w:cs="Times New Roman"/>
          <w:sz w:val="24"/>
          <w:szCs w:val="24"/>
        </w:rPr>
        <w:t xml:space="preserve"> izmantošanu inovatīvu projektu finansēšanai. Veicinot alternatīva finansējuma pieejamību</w:t>
      </w:r>
      <w:r w:rsidR="007D5177" w:rsidRPr="007D5177">
        <w:rPr>
          <w:rFonts w:ascii="Times New Roman" w:hAnsi="Times New Roman" w:cs="Times New Roman"/>
          <w:sz w:val="24"/>
          <w:szCs w:val="24"/>
        </w:rPr>
        <w:t xml:space="preserve"> </w:t>
      </w:r>
      <w:r w:rsidR="007D5177" w:rsidRPr="00B12A30">
        <w:rPr>
          <w:rFonts w:ascii="Times New Roman" w:hAnsi="Times New Roman" w:cs="Times New Roman"/>
          <w:sz w:val="24"/>
          <w:szCs w:val="24"/>
        </w:rPr>
        <w:t>kredītiestādēm</w:t>
      </w:r>
      <w:r w:rsidRPr="00B12A30">
        <w:rPr>
          <w:rFonts w:ascii="Times New Roman" w:hAnsi="Times New Roman" w:cs="Times New Roman"/>
          <w:sz w:val="24"/>
          <w:szCs w:val="24"/>
        </w:rPr>
        <w:t xml:space="preserve">, ALTUM noslēdza līgumu ar </w:t>
      </w:r>
      <w:r w:rsidR="000B258D">
        <w:rPr>
          <w:rFonts w:ascii="Times New Roman" w:hAnsi="Times New Roman" w:cs="Times New Roman"/>
          <w:sz w:val="24"/>
          <w:szCs w:val="24"/>
        </w:rPr>
        <w:t xml:space="preserve">biedrību </w:t>
      </w:r>
      <w:r w:rsidR="007D5177">
        <w:rPr>
          <w:rFonts w:ascii="Times New Roman" w:hAnsi="Times New Roman" w:cs="Times New Roman"/>
          <w:sz w:val="24"/>
          <w:szCs w:val="24"/>
        </w:rPr>
        <w:t>"</w:t>
      </w:r>
      <w:r w:rsidRPr="00B12A30">
        <w:rPr>
          <w:rFonts w:ascii="Times New Roman" w:hAnsi="Times New Roman" w:cs="Times New Roman"/>
          <w:sz w:val="24"/>
          <w:szCs w:val="24"/>
        </w:rPr>
        <w:t xml:space="preserve">Latvijas Biznesa </w:t>
      </w:r>
      <w:r w:rsidR="000B258D">
        <w:rPr>
          <w:rFonts w:ascii="Times New Roman" w:hAnsi="Times New Roman" w:cs="Times New Roman"/>
          <w:sz w:val="24"/>
          <w:szCs w:val="24"/>
        </w:rPr>
        <w:t>E</w:t>
      </w:r>
      <w:r w:rsidR="000B258D" w:rsidRPr="00B12A30">
        <w:rPr>
          <w:rFonts w:ascii="Times New Roman" w:hAnsi="Times New Roman" w:cs="Times New Roman"/>
          <w:sz w:val="24"/>
          <w:szCs w:val="24"/>
        </w:rPr>
        <w:t xml:space="preserve">ņģeļu </w:t>
      </w:r>
      <w:r w:rsidR="000B258D">
        <w:rPr>
          <w:rFonts w:ascii="Times New Roman" w:hAnsi="Times New Roman" w:cs="Times New Roman"/>
          <w:sz w:val="24"/>
          <w:szCs w:val="24"/>
        </w:rPr>
        <w:t>T</w:t>
      </w:r>
      <w:r w:rsidR="000B258D" w:rsidRPr="00B12A30">
        <w:rPr>
          <w:rFonts w:ascii="Times New Roman" w:hAnsi="Times New Roman" w:cs="Times New Roman"/>
          <w:sz w:val="24"/>
          <w:szCs w:val="24"/>
        </w:rPr>
        <w:t>īkl</w:t>
      </w:r>
      <w:r w:rsidR="000B258D">
        <w:rPr>
          <w:rFonts w:ascii="Times New Roman" w:hAnsi="Times New Roman" w:cs="Times New Roman"/>
          <w:sz w:val="24"/>
          <w:szCs w:val="24"/>
        </w:rPr>
        <w:t>s</w:t>
      </w:r>
      <w:r w:rsidR="007D5177">
        <w:rPr>
          <w:rFonts w:ascii="Times New Roman" w:hAnsi="Times New Roman" w:cs="Times New Roman"/>
          <w:sz w:val="24"/>
          <w:szCs w:val="24"/>
        </w:rPr>
        <w:t>"</w:t>
      </w:r>
      <w:r w:rsidR="000B258D" w:rsidRPr="00B12A30">
        <w:rPr>
          <w:rFonts w:ascii="Times New Roman" w:hAnsi="Times New Roman" w:cs="Times New Roman"/>
          <w:sz w:val="24"/>
          <w:szCs w:val="24"/>
        </w:rPr>
        <w:t xml:space="preserve"> </w:t>
      </w:r>
      <w:r w:rsidRPr="00B12A30">
        <w:rPr>
          <w:rFonts w:ascii="Times New Roman" w:hAnsi="Times New Roman" w:cs="Times New Roman"/>
          <w:sz w:val="24"/>
          <w:szCs w:val="24"/>
        </w:rPr>
        <w:t>(</w:t>
      </w:r>
      <w:proofErr w:type="spellStart"/>
      <w:r w:rsidRPr="00B12A30">
        <w:rPr>
          <w:rFonts w:ascii="Times New Roman" w:hAnsi="Times New Roman" w:cs="Times New Roman"/>
          <w:sz w:val="24"/>
          <w:szCs w:val="24"/>
        </w:rPr>
        <w:t>LatBAN</w:t>
      </w:r>
      <w:proofErr w:type="spellEnd"/>
      <w:r w:rsidRPr="00B12A30">
        <w:rPr>
          <w:rFonts w:ascii="Times New Roman" w:hAnsi="Times New Roman" w:cs="Times New Roman"/>
          <w:sz w:val="24"/>
          <w:szCs w:val="24"/>
        </w:rPr>
        <w:t xml:space="preserve">) par </w:t>
      </w:r>
      <w:r w:rsidR="000B258D" w:rsidRPr="000B258D">
        <w:rPr>
          <w:rFonts w:ascii="Times New Roman" w:hAnsi="Times New Roman" w:cs="Times New Roman"/>
          <w:sz w:val="24"/>
          <w:szCs w:val="24"/>
        </w:rPr>
        <w:t>pieredzes bagātu uzņēmēju</w:t>
      </w:r>
      <w:r w:rsidR="00D3304E">
        <w:rPr>
          <w:rFonts w:ascii="Times New Roman" w:hAnsi="Times New Roman" w:cs="Times New Roman"/>
          <w:sz w:val="24"/>
          <w:szCs w:val="24"/>
        </w:rPr>
        <w:t>/privāto investoru</w:t>
      </w:r>
      <w:r w:rsidR="000B258D">
        <w:rPr>
          <w:rStyle w:val="st1"/>
          <w:rFonts w:ascii="Arial" w:hAnsi="Arial" w:cs="Arial"/>
          <w:color w:val="545454"/>
        </w:rPr>
        <w:t xml:space="preserve"> (</w:t>
      </w:r>
      <w:r w:rsidRPr="00B12A30">
        <w:rPr>
          <w:rFonts w:ascii="Times New Roman" w:hAnsi="Times New Roman" w:cs="Times New Roman"/>
          <w:sz w:val="24"/>
          <w:szCs w:val="24"/>
        </w:rPr>
        <w:t>biznesa eņģeļu</w:t>
      </w:r>
      <w:r w:rsidR="000B258D">
        <w:rPr>
          <w:rFonts w:ascii="Times New Roman" w:hAnsi="Times New Roman" w:cs="Times New Roman"/>
          <w:sz w:val="24"/>
          <w:szCs w:val="24"/>
        </w:rPr>
        <w:t>)</w:t>
      </w:r>
      <w:r w:rsidRPr="00B12A30">
        <w:rPr>
          <w:rFonts w:ascii="Times New Roman" w:hAnsi="Times New Roman" w:cs="Times New Roman"/>
          <w:sz w:val="24"/>
          <w:szCs w:val="24"/>
        </w:rPr>
        <w:t xml:space="preserve"> finansēto projektu līdzfin</w:t>
      </w:r>
      <w:bookmarkStart w:id="22" w:name="_Toc465349533"/>
      <w:bookmarkStart w:id="23" w:name="_Toc465089711"/>
      <w:r w:rsidR="009E361A">
        <w:rPr>
          <w:rFonts w:ascii="Times New Roman" w:hAnsi="Times New Roman" w:cs="Times New Roman"/>
          <w:sz w:val="24"/>
          <w:szCs w:val="24"/>
        </w:rPr>
        <w:t>ansēšanu ALTUM aizdevuma formā.</w:t>
      </w:r>
    </w:p>
    <w:p w14:paraId="66971E8C" w14:textId="77777777" w:rsidR="009E361A" w:rsidRPr="009E361A" w:rsidRDefault="009E361A" w:rsidP="009E361A">
      <w:pPr>
        <w:tabs>
          <w:tab w:val="left" w:pos="1701"/>
        </w:tabs>
        <w:jc w:val="both"/>
        <w:rPr>
          <w:rFonts w:ascii="Times New Roman" w:hAnsi="Times New Roman" w:cs="Times New Roman"/>
          <w:sz w:val="24"/>
          <w:szCs w:val="24"/>
        </w:rPr>
      </w:pPr>
    </w:p>
    <w:p w14:paraId="38CB23B3" w14:textId="689E8453" w:rsidR="00F353B7" w:rsidRPr="00A74786" w:rsidRDefault="00E057ED" w:rsidP="00B02009">
      <w:pPr>
        <w:pStyle w:val="Heading2"/>
      </w:pPr>
      <w:r>
        <w:t> </w:t>
      </w:r>
      <w:bookmarkStart w:id="24" w:name="_Toc466466858"/>
      <w:r w:rsidR="00D47BA9">
        <w:t>Transporta</w:t>
      </w:r>
      <w:r w:rsidR="00D47BA9" w:rsidRPr="002F3CB9">
        <w:t xml:space="preserve"> </w:t>
      </w:r>
      <w:r w:rsidR="00F353B7" w:rsidRPr="00A74786">
        <w:t>nozares projekti un reformas nozares ilgtspējai</w:t>
      </w:r>
      <w:bookmarkEnd w:id="22"/>
      <w:bookmarkEnd w:id="23"/>
      <w:bookmarkEnd w:id="24"/>
    </w:p>
    <w:p w14:paraId="3A557866" w14:textId="30780FA9" w:rsidR="008C3728" w:rsidRDefault="00F353B7" w:rsidP="00F353B7">
      <w:pPr>
        <w:jc w:val="both"/>
        <w:rPr>
          <w:rFonts w:ascii="Times New Roman" w:hAnsi="Times New Roman" w:cs="Times New Roman"/>
          <w:sz w:val="24"/>
          <w:szCs w:val="24"/>
        </w:rPr>
      </w:pPr>
      <w:r w:rsidRPr="00FD12C2">
        <w:rPr>
          <w:rFonts w:ascii="Times New Roman" w:hAnsi="Times New Roman" w:cs="Times New Roman"/>
          <w:sz w:val="24"/>
          <w:szCs w:val="24"/>
        </w:rPr>
        <w:t xml:space="preserve">Sakārtota </w:t>
      </w:r>
      <w:r w:rsidR="00D47BA9">
        <w:rPr>
          <w:rFonts w:ascii="Times New Roman" w:hAnsi="Times New Roman" w:cs="Times New Roman"/>
          <w:sz w:val="24"/>
          <w:szCs w:val="24"/>
        </w:rPr>
        <w:t>transporta</w:t>
      </w:r>
      <w:r w:rsidRPr="00FD12C2">
        <w:rPr>
          <w:rFonts w:ascii="Times New Roman" w:hAnsi="Times New Roman" w:cs="Times New Roman"/>
          <w:sz w:val="24"/>
          <w:szCs w:val="24"/>
        </w:rPr>
        <w:t xml:space="preserve"> nozares infrastruktūra ir būtisks priekšnosacījums katras valsts konkurētspējai. Tā nodrošina pasažieru mobilitāti </w:t>
      </w:r>
      <w:r w:rsidR="00D47BA9">
        <w:rPr>
          <w:rFonts w:ascii="Times New Roman" w:hAnsi="Times New Roman" w:cs="Times New Roman"/>
          <w:sz w:val="24"/>
          <w:szCs w:val="24"/>
        </w:rPr>
        <w:t xml:space="preserve">iekšējā </w:t>
      </w:r>
      <w:r w:rsidRPr="00FD12C2">
        <w:rPr>
          <w:rFonts w:ascii="Times New Roman" w:hAnsi="Times New Roman" w:cs="Times New Roman"/>
          <w:sz w:val="24"/>
          <w:szCs w:val="24"/>
        </w:rPr>
        <w:t xml:space="preserve">un starptautiskajā telpā, veido starptautiskās tirdzniecības un preču piegādes loģistikas ķēdes. </w:t>
      </w:r>
    </w:p>
    <w:p w14:paraId="0E8E873B" w14:textId="664BFA10" w:rsidR="00D27F4B" w:rsidRDefault="0086540D" w:rsidP="00F353B7">
      <w:pPr>
        <w:jc w:val="both"/>
        <w:rPr>
          <w:rFonts w:ascii="Times New Roman" w:hAnsi="Times New Roman" w:cs="Times New Roman"/>
          <w:sz w:val="24"/>
          <w:szCs w:val="24"/>
        </w:rPr>
      </w:pPr>
      <w:r>
        <w:rPr>
          <w:rFonts w:ascii="Times New Roman" w:hAnsi="Times New Roman" w:cs="Times New Roman"/>
          <w:sz w:val="24"/>
          <w:szCs w:val="24"/>
        </w:rPr>
        <w:t>Nozīmīgs transporta</w:t>
      </w:r>
      <w:r w:rsidR="00F353B7" w:rsidRPr="002F3CB9">
        <w:rPr>
          <w:rFonts w:ascii="Times New Roman" w:hAnsi="Times New Roman" w:cs="Times New Roman"/>
          <w:sz w:val="24"/>
          <w:szCs w:val="24"/>
        </w:rPr>
        <w:t xml:space="preserve"> nozares izaicinājum</w:t>
      </w:r>
      <w:r>
        <w:rPr>
          <w:rFonts w:ascii="Times New Roman" w:hAnsi="Times New Roman" w:cs="Times New Roman"/>
          <w:sz w:val="24"/>
          <w:szCs w:val="24"/>
        </w:rPr>
        <w:t>s</w:t>
      </w:r>
      <w:r w:rsidR="00F353B7" w:rsidRPr="002F3CB9">
        <w:rPr>
          <w:rFonts w:ascii="Times New Roman" w:hAnsi="Times New Roman" w:cs="Times New Roman"/>
          <w:sz w:val="24"/>
          <w:szCs w:val="24"/>
        </w:rPr>
        <w:t xml:space="preserve"> ir nodrošināt pilnvērtīgu valsts autoceļu tīkla uzturēšanu</w:t>
      </w:r>
      <w:r w:rsidR="00760E68">
        <w:rPr>
          <w:rFonts w:ascii="Times New Roman" w:hAnsi="Times New Roman" w:cs="Times New Roman"/>
          <w:sz w:val="24"/>
          <w:szCs w:val="24"/>
        </w:rPr>
        <w:t xml:space="preserve"> un </w:t>
      </w:r>
      <w:r w:rsidR="007E6EC3">
        <w:rPr>
          <w:rFonts w:ascii="Times New Roman" w:hAnsi="Times New Roman" w:cs="Times New Roman"/>
          <w:sz w:val="24"/>
          <w:szCs w:val="24"/>
        </w:rPr>
        <w:t>sakārtošanu</w:t>
      </w:r>
      <w:r w:rsidR="00D27F4B">
        <w:rPr>
          <w:rFonts w:ascii="Times New Roman" w:hAnsi="Times New Roman" w:cs="Times New Roman"/>
          <w:sz w:val="24"/>
          <w:szCs w:val="24"/>
        </w:rPr>
        <w:t xml:space="preserve">. </w:t>
      </w:r>
      <w:r w:rsidR="00D27F4B" w:rsidRPr="00D27F4B">
        <w:rPr>
          <w:rFonts w:ascii="Times New Roman" w:hAnsi="Times New Roman" w:cs="Times New Roman"/>
          <w:sz w:val="24"/>
          <w:szCs w:val="24"/>
        </w:rPr>
        <w:t xml:space="preserve">Ņemot vērā nepietiekamos līdzšinējos ieguldījumus, </w:t>
      </w:r>
      <w:r w:rsidR="00E207E2">
        <w:rPr>
          <w:rFonts w:ascii="Times New Roman" w:hAnsi="Times New Roman" w:cs="Times New Roman"/>
          <w:sz w:val="24"/>
          <w:szCs w:val="24"/>
        </w:rPr>
        <w:t xml:space="preserve">valsts </w:t>
      </w:r>
      <w:r w:rsidR="00D27F4B" w:rsidRPr="00D27F4B">
        <w:rPr>
          <w:rFonts w:ascii="Times New Roman" w:hAnsi="Times New Roman" w:cs="Times New Roman"/>
          <w:sz w:val="24"/>
          <w:szCs w:val="24"/>
        </w:rPr>
        <w:t xml:space="preserve">autoceļu stāvoklis kopumā </w:t>
      </w:r>
      <w:r w:rsidR="00CC2544">
        <w:rPr>
          <w:rFonts w:ascii="Times New Roman" w:hAnsi="Times New Roman" w:cs="Times New Roman"/>
          <w:sz w:val="24"/>
          <w:szCs w:val="24"/>
        </w:rPr>
        <w:t>nav vērtējams kā apmierinošs</w:t>
      </w:r>
      <w:r w:rsidR="00D27F4B" w:rsidRPr="00D27F4B">
        <w:rPr>
          <w:rFonts w:ascii="Times New Roman" w:hAnsi="Times New Roman" w:cs="Times New Roman"/>
          <w:sz w:val="24"/>
          <w:szCs w:val="24"/>
        </w:rPr>
        <w:t>, jo 46</w:t>
      </w:r>
      <w:r w:rsidR="005E48BF">
        <w:rPr>
          <w:rFonts w:ascii="Times New Roman" w:hAnsi="Times New Roman" w:cs="Times New Roman"/>
          <w:sz w:val="24"/>
          <w:szCs w:val="24"/>
        </w:rPr>
        <w:t> </w:t>
      </w:r>
      <w:r w:rsidR="00D27F4B" w:rsidRPr="00D27F4B">
        <w:rPr>
          <w:rFonts w:ascii="Times New Roman" w:hAnsi="Times New Roman" w:cs="Times New Roman"/>
          <w:sz w:val="24"/>
          <w:szCs w:val="24"/>
        </w:rPr>
        <w:t xml:space="preserve">% no visiem ceļiem ir sliktā vai ļoti sliktā stāvoklī, turklāt ceļu rekonstrukcijas un sakārtošanas pašreizējie apjomi </w:t>
      </w:r>
      <w:r w:rsidR="00D27F4B">
        <w:rPr>
          <w:rFonts w:ascii="Times New Roman" w:hAnsi="Times New Roman" w:cs="Times New Roman"/>
          <w:sz w:val="24"/>
          <w:szCs w:val="24"/>
        </w:rPr>
        <w:t xml:space="preserve">tikai </w:t>
      </w:r>
      <w:r w:rsidR="00066A12">
        <w:rPr>
          <w:rFonts w:ascii="Times New Roman" w:hAnsi="Times New Roman" w:cs="Times New Roman"/>
          <w:sz w:val="24"/>
          <w:szCs w:val="24"/>
        </w:rPr>
        <w:t xml:space="preserve">valsts </w:t>
      </w:r>
      <w:r w:rsidR="00D27F4B">
        <w:rPr>
          <w:rFonts w:ascii="Times New Roman" w:hAnsi="Times New Roman" w:cs="Times New Roman"/>
          <w:sz w:val="24"/>
          <w:szCs w:val="24"/>
        </w:rPr>
        <w:t xml:space="preserve">galvenajos autoceļos ir tuvu plānotajam, bet reģionālajos un vietējos </w:t>
      </w:r>
      <w:r w:rsidR="00D27F4B" w:rsidRPr="00D27F4B">
        <w:rPr>
          <w:rFonts w:ascii="Times New Roman" w:hAnsi="Times New Roman" w:cs="Times New Roman"/>
          <w:sz w:val="24"/>
          <w:szCs w:val="24"/>
        </w:rPr>
        <w:t xml:space="preserve">atpaliek no Valsts autoceļu sakārtošanas programmā noteiktajiem mērķiem. Tādēļ </w:t>
      </w:r>
      <w:r w:rsidR="00E207E2" w:rsidRPr="00E207E2">
        <w:rPr>
          <w:rFonts w:ascii="Times New Roman" w:hAnsi="Times New Roman" w:cs="Times New Roman"/>
          <w:sz w:val="24"/>
          <w:szCs w:val="24"/>
        </w:rPr>
        <w:t xml:space="preserve">šobrīd </w:t>
      </w:r>
      <w:r w:rsidR="00592139">
        <w:rPr>
          <w:rFonts w:ascii="Times New Roman" w:hAnsi="Times New Roman" w:cs="Times New Roman"/>
          <w:sz w:val="24"/>
          <w:szCs w:val="24"/>
        </w:rPr>
        <w:t>notie</w:t>
      </w:r>
      <w:r w:rsidR="000E0477">
        <w:rPr>
          <w:rFonts w:ascii="Times New Roman" w:hAnsi="Times New Roman" w:cs="Times New Roman"/>
          <w:sz w:val="24"/>
          <w:szCs w:val="24"/>
        </w:rPr>
        <w:t>k</w:t>
      </w:r>
      <w:r w:rsidR="00E207E2" w:rsidRPr="00E207E2">
        <w:rPr>
          <w:rFonts w:ascii="Times New Roman" w:hAnsi="Times New Roman" w:cs="Times New Roman"/>
          <w:sz w:val="24"/>
          <w:szCs w:val="24"/>
        </w:rPr>
        <w:t xml:space="preserve"> darbs pie </w:t>
      </w:r>
      <w:r w:rsidR="00D27F4B" w:rsidRPr="00D27F4B">
        <w:rPr>
          <w:rFonts w:ascii="Times New Roman" w:hAnsi="Times New Roman" w:cs="Times New Roman"/>
          <w:sz w:val="24"/>
          <w:szCs w:val="24"/>
        </w:rPr>
        <w:t>tād</w:t>
      </w:r>
      <w:r w:rsidR="00E207E2">
        <w:rPr>
          <w:rFonts w:ascii="Times New Roman" w:hAnsi="Times New Roman" w:cs="Times New Roman"/>
          <w:sz w:val="24"/>
          <w:szCs w:val="24"/>
        </w:rPr>
        <w:t>a</w:t>
      </w:r>
      <w:r w:rsidR="00D27F4B" w:rsidRPr="00D27F4B">
        <w:rPr>
          <w:rFonts w:ascii="Times New Roman" w:hAnsi="Times New Roman" w:cs="Times New Roman"/>
          <w:sz w:val="24"/>
          <w:szCs w:val="24"/>
        </w:rPr>
        <w:t xml:space="preserve"> autoceļu finansēšanas modeļa izveid</w:t>
      </w:r>
      <w:r w:rsidR="00E207E2">
        <w:rPr>
          <w:rFonts w:ascii="Times New Roman" w:hAnsi="Times New Roman" w:cs="Times New Roman"/>
          <w:sz w:val="24"/>
          <w:szCs w:val="24"/>
        </w:rPr>
        <w:t>es</w:t>
      </w:r>
      <w:r w:rsidR="00D27F4B" w:rsidRPr="00D27F4B">
        <w:rPr>
          <w:rFonts w:ascii="Times New Roman" w:hAnsi="Times New Roman" w:cs="Times New Roman"/>
          <w:sz w:val="24"/>
          <w:szCs w:val="24"/>
        </w:rPr>
        <w:t>, kas spētu nodrošināt autoceļu uzturēšanu</w:t>
      </w:r>
      <w:r w:rsidR="00D27F4B">
        <w:rPr>
          <w:rFonts w:ascii="Times New Roman" w:hAnsi="Times New Roman" w:cs="Times New Roman"/>
          <w:sz w:val="24"/>
          <w:szCs w:val="24"/>
        </w:rPr>
        <w:t xml:space="preserve"> un </w:t>
      </w:r>
      <w:r w:rsidR="00986643">
        <w:rPr>
          <w:rFonts w:ascii="Times New Roman" w:hAnsi="Times New Roman" w:cs="Times New Roman"/>
          <w:sz w:val="24"/>
          <w:szCs w:val="24"/>
        </w:rPr>
        <w:t>sakārtošanu</w:t>
      </w:r>
      <w:r w:rsidR="00D27F4B" w:rsidRPr="00D27F4B">
        <w:rPr>
          <w:rFonts w:ascii="Times New Roman" w:hAnsi="Times New Roman" w:cs="Times New Roman"/>
          <w:sz w:val="24"/>
          <w:szCs w:val="24"/>
        </w:rPr>
        <w:t xml:space="preserve"> </w:t>
      </w:r>
      <w:r w:rsidR="00E207E2" w:rsidRPr="00E207E2">
        <w:rPr>
          <w:rFonts w:ascii="Times New Roman" w:hAnsi="Times New Roman" w:cs="Times New Roman"/>
          <w:sz w:val="24"/>
          <w:szCs w:val="24"/>
        </w:rPr>
        <w:t>vismaz tādā līmenī, lai autoceļu stāvoklis nākamajos gados nepasliktinātos, bet vidējā term</w:t>
      </w:r>
      <w:r w:rsidR="008E3963">
        <w:rPr>
          <w:rFonts w:ascii="Times New Roman" w:hAnsi="Times New Roman" w:cs="Times New Roman"/>
          <w:sz w:val="24"/>
          <w:szCs w:val="24"/>
        </w:rPr>
        <w:t xml:space="preserve">iņā </w:t>
      </w:r>
      <w:r w:rsidR="00730F78">
        <w:rPr>
          <w:rFonts w:ascii="Times New Roman" w:hAnsi="Times New Roman" w:cs="Times New Roman"/>
          <w:sz w:val="24"/>
          <w:szCs w:val="24"/>
        </w:rPr>
        <w:t xml:space="preserve">tiktu </w:t>
      </w:r>
      <w:r w:rsidR="008E3963">
        <w:rPr>
          <w:rFonts w:ascii="Times New Roman" w:hAnsi="Times New Roman" w:cs="Times New Roman"/>
          <w:sz w:val="24"/>
          <w:szCs w:val="24"/>
        </w:rPr>
        <w:t>rast</w:t>
      </w:r>
      <w:r w:rsidR="00730F78">
        <w:rPr>
          <w:rFonts w:ascii="Times New Roman" w:hAnsi="Times New Roman" w:cs="Times New Roman"/>
          <w:sz w:val="24"/>
          <w:szCs w:val="24"/>
        </w:rPr>
        <w:t>as</w:t>
      </w:r>
      <w:r w:rsidR="00E207E2">
        <w:rPr>
          <w:rFonts w:ascii="Times New Roman" w:hAnsi="Times New Roman" w:cs="Times New Roman"/>
          <w:sz w:val="24"/>
          <w:szCs w:val="24"/>
        </w:rPr>
        <w:t xml:space="preserve"> iespējas to uzlabot.</w:t>
      </w:r>
    </w:p>
    <w:p w14:paraId="06673080" w14:textId="325D1EE0" w:rsidR="00F353B7" w:rsidRPr="006B0706" w:rsidRDefault="00F353B7" w:rsidP="00F353B7">
      <w:pPr>
        <w:jc w:val="both"/>
        <w:rPr>
          <w:rFonts w:ascii="Times New Roman" w:hAnsi="Times New Roman" w:cs="Times New Roman"/>
          <w:color w:val="FF0000"/>
          <w:sz w:val="24"/>
          <w:szCs w:val="24"/>
        </w:rPr>
      </w:pPr>
      <w:r>
        <w:rPr>
          <w:rFonts w:ascii="Times New Roman" w:hAnsi="Times New Roman" w:cs="Times New Roman"/>
          <w:sz w:val="24"/>
          <w:szCs w:val="24"/>
        </w:rPr>
        <w:t>Šogad ir panākts b</w:t>
      </w:r>
      <w:r w:rsidRPr="00127408">
        <w:rPr>
          <w:rFonts w:ascii="Times New Roman" w:hAnsi="Times New Roman" w:cs="Times New Roman"/>
          <w:sz w:val="24"/>
          <w:szCs w:val="24"/>
        </w:rPr>
        <w:t xml:space="preserve">ūtisks progress </w:t>
      </w:r>
      <w:proofErr w:type="spellStart"/>
      <w:r w:rsidRPr="008E3963">
        <w:rPr>
          <w:rFonts w:ascii="Times New Roman" w:hAnsi="Times New Roman" w:cs="Times New Roman"/>
          <w:i/>
          <w:sz w:val="24"/>
          <w:szCs w:val="24"/>
        </w:rPr>
        <w:t>Rail</w:t>
      </w:r>
      <w:proofErr w:type="spellEnd"/>
      <w:r w:rsidRPr="008E3963">
        <w:rPr>
          <w:rFonts w:ascii="Times New Roman" w:hAnsi="Times New Roman" w:cs="Times New Roman"/>
          <w:i/>
          <w:sz w:val="24"/>
          <w:szCs w:val="24"/>
        </w:rPr>
        <w:t xml:space="preserve"> Bal</w:t>
      </w:r>
      <w:r w:rsidR="005C33CE" w:rsidRPr="008E3963">
        <w:rPr>
          <w:rFonts w:ascii="Times New Roman" w:hAnsi="Times New Roman" w:cs="Times New Roman"/>
          <w:i/>
          <w:sz w:val="24"/>
          <w:szCs w:val="24"/>
        </w:rPr>
        <w:t>tica</w:t>
      </w:r>
      <w:r w:rsidR="008E3963">
        <w:rPr>
          <w:rFonts w:ascii="Times New Roman" w:hAnsi="Times New Roman" w:cs="Times New Roman"/>
          <w:sz w:val="24"/>
          <w:szCs w:val="24"/>
        </w:rPr>
        <w:t xml:space="preserve"> projekta īstenošanā – </w:t>
      </w:r>
      <w:r w:rsidR="005C33CE">
        <w:rPr>
          <w:rFonts w:ascii="Times New Roman" w:hAnsi="Times New Roman" w:cs="Times New Roman"/>
          <w:sz w:val="24"/>
          <w:szCs w:val="24"/>
        </w:rPr>
        <w:t>i</w:t>
      </w:r>
      <w:r>
        <w:rPr>
          <w:rFonts w:ascii="Times New Roman" w:hAnsi="Times New Roman" w:cs="Times New Roman"/>
          <w:sz w:val="24"/>
          <w:szCs w:val="24"/>
        </w:rPr>
        <w:t xml:space="preserve">r </w:t>
      </w:r>
      <w:r w:rsidR="00CE2CFD">
        <w:rPr>
          <w:rFonts w:ascii="Times New Roman" w:hAnsi="Times New Roman" w:cs="Times New Roman"/>
          <w:sz w:val="24"/>
          <w:szCs w:val="24"/>
        </w:rPr>
        <w:t xml:space="preserve">noteikts </w:t>
      </w:r>
      <w:proofErr w:type="spellStart"/>
      <w:r w:rsidRPr="008E3963">
        <w:rPr>
          <w:rFonts w:ascii="Times New Roman" w:hAnsi="Times New Roman" w:cs="Times New Roman"/>
          <w:i/>
          <w:sz w:val="24"/>
          <w:szCs w:val="24"/>
        </w:rPr>
        <w:t>Rail</w:t>
      </w:r>
      <w:proofErr w:type="spellEnd"/>
      <w:r w:rsidRPr="008E3963">
        <w:rPr>
          <w:rFonts w:ascii="Times New Roman" w:hAnsi="Times New Roman" w:cs="Times New Roman"/>
          <w:i/>
          <w:sz w:val="24"/>
          <w:szCs w:val="24"/>
        </w:rPr>
        <w:t xml:space="preserve"> Baltica</w:t>
      </w:r>
      <w:r w:rsidRPr="00127408">
        <w:rPr>
          <w:rFonts w:ascii="Times New Roman" w:hAnsi="Times New Roman" w:cs="Times New Roman"/>
          <w:sz w:val="24"/>
          <w:szCs w:val="24"/>
        </w:rPr>
        <w:t xml:space="preserve"> trases </w:t>
      </w:r>
      <w:r w:rsidRPr="002F3CB9">
        <w:rPr>
          <w:rFonts w:ascii="Times New Roman" w:hAnsi="Times New Roman" w:cs="Times New Roman"/>
          <w:sz w:val="24"/>
          <w:szCs w:val="24"/>
        </w:rPr>
        <w:t>novietojum</w:t>
      </w:r>
      <w:r w:rsidR="00CE2CFD">
        <w:rPr>
          <w:rFonts w:ascii="Times New Roman" w:hAnsi="Times New Roman" w:cs="Times New Roman"/>
          <w:sz w:val="24"/>
          <w:szCs w:val="24"/>
        </w:rPr>
        <w:t>s</w:t>
      </w:r>
      <w:r w:rsidRPr="00127408">
        <w:rPr>
          <w:rFonts w:ascii="Times New Roman" w:hAnsi="Times New Roman" w:cs="Times New Roman"/>
          <w:sz w:val="24"/>
          <w:szCs w:val="24"/>
        </w:rPr>
        <w:t xml:space="preserve"> Latvijas teritorijā</w:t>
      </w:r>
      <w:r w:rsidR="007D2889">
        <w:rPr>
          <w:rFonts w:ascii="Times New Roman" w:hAnsi="Times New Roman" w:cs="Times New Roman"/>
          <w:sz w:val="24"/>
          <w:szCs w:val="24"/>
        </w:rPr>
        <w:t>,</w:t>
      </w:r>
      <w:r w:rsidRPr="00127408">
        <w:rPr>
          <w:rFonts w:ascii="Times New Roman" w:hAnsi="Times New Roman" w:cs="Times New Roman"/>
          <w:sz w:val="24"/>
          <w:szCs w:val="24"/>
        </w:rPr>
        <w:t xml:space="preserve"> </w:t>
      </w:r>
      <w:r>
        <w:rPr>
          <w:rFonts w:ascii="Times New Roman" w:hAnsi="Times New Roman" w:cs="Times New Roman"/>
          <w:sz w:val="24"/>
          <w:szCs w:val="24"/>
        </w:rPr>
        <w:t>tika</w:t>
      </w:r>
      <w:r w:rsidRPr="00127408">
        <w:rPr>
          <w:rFonts w:ascii="Times New Roman" w:hAnsi="Times New Roman" w:cs="Times New Roman"/>
          <w:sz w:val="24"/>
          <w:szCs w:val="24"/>
        </w:rPr>
        <w:t xml:space="preserve"> parakstīts līgums starp tr</w:t>
      </w:r>
      <w:r w:rsidR="005E48BF">
        <w:rPr>
          <w:rFonts w:ascii="Times New Roman" w:hAnsi="Times New Roman" w:cs="Times New Roman"/>
          <w:sz w:val="24"/>
          <w:szCs w:val="24"/>
        </w:rPr>
        <w:t>ijām</w:t>
      </w:r>
      <w:r w:rsidRPr="00127408">
        <w:rPr>
          <w:rFonts w:ascii="Times New Roman" w:hAnsi="Times New Roman" w:cs="Times New Roman"/>
          <w:sz w:val="24"/>
          <w:szCs w:val="24"/>
        </w:rPr>
        <w:t xml:space="preserve"> Baltijas valstu </w:t>
      </w:r>
      <w:r w:rsidR="00E207E2">
        <w:rPr>
          <w:rFonts w:ascii="Times New Roman" w:hAnsi="Times New Roman" w:cs="Times New Roman"/>
          <w:sz w:val="24"/>
          <w:szCs w:val="24"/>
        </w:rPr>
        <w:t xml:space="preserve">par transportu atbildīgajām </w:t>
      </w:r>
      <w:r w:rsidRPr="00127408">
        <w:rPr>
          <w:rFonts w:ascii="Times New Roman" w:hAnsi="Times New Roman" w:cs="Times New Roman"/>
          <w:sz w:val="24"/>
          <w:szCs w:val="24"/>
        </w:rPr>
        <w:t xml:space="preserve">ministrijām un kopuzņēmumu </w:t>
      </w:r>
      <w:r w:rsidR="005E48BF">
        <w:rPr>
          <w:rFonts w:ascii="Times New Roman" w:hAnsi="Times New Roman" w:cs="Times New Roman"/>
          <w:sz w:val="24"/>
          <w:szCs w:val="24"/>
        </w:rPr>
        <w:t>"</w:t>
      </w:r>
      <w:r w:rsidRPr="00127408">
        <w:rPr>
          <w:rFonts w:ascii="Times New Roman" w:hAnsi="Times New Roman" w:cs="Times New Roman"/>
          <w:sz w:val="24"/>
          <w:szCs w:val="24"/>
        </w:rPr>
        <w:t xml:space="preserve">RB </w:t>
      </w:r>
      <w:proofErr w:type="spellStart"/>
      <w:r w:rsidRPr="00127408">
        <w:rPr>
          <w:rFonts w:ascii="Times New Roman" w:hAnsi="Times New Roman" w:cs="Times New Roman"/>
          <w:sz w:val="24"/>
          <w:szCs w:val="24"/>
        </w:rPr>
        <w:t>Rail</w:t>
      </w:r>
      <w:proofErr w:type="spellEnd"/>
      <w:r w:rsidR="005E48BF">
        <w:rPr>
          <w:rFonts w:ascii="Times New Roman" w:hAnsi="Times New Roman" w:cs="Times New Roman"/>
          <w:sz w:val="24"/>
          <w:szCs w:val="24"/>
        </w:rPr>
        <w:t>"</w:t>
      </w:r>
      <w:r w:rsidRPr="00127408">
        <w:rPr>
          <w:rFonts w:ascii="Times New Roman" w:hAnsi="Times New Roman" w:cs="Times New Roman"/>
          <w:sz w:val="24"/>
          <w:szCs w:val="24"/>
        </w:rPr>
        <w:t xml:space="preserve">, paredzot kārtību, kādā tiek organizēta </w:t>
      </w:r>
      <w:proofErr w:type="spellStart"/>
      <w:r w:rsidRPr="00477B00">
        <w:rPr>
          <w:rFonts w:ascii="Times New Roman" w:hAnsi="Times New Roman" w:cs="Times New Roman"/>
          <w:i/>
          <w:sz w:val="24"/>
          <w:szCs w:val="24"/>
        </w:rPr>
        <w:t>Rail</w:t>
      </w:r>
      <w:proofErr w:type="spellEnd"/>
      <w:r w:rsidRPr="00477B00">
        <w:rPr>
          <w:rFonts w:ascii="Times New Roman" w:hAnsi="Times New Roman" w:cs="Times New Roman"/>
          <w:i/>
          <w:sz w:val="24"/>
          <w:szCs w:val="24"/>
        </w:rPr>
        <w:t xml:space="preserve"> Baltica</w:t>
      </w:r>
      <w:r w:rsidRPr="00127408">
        <w:rPr>
          <w:rFonts w:ascii="Times New Roman" w:hAnsi="Times New Roman" w:cs="Times New Roman"/>
          <w:sz w:val="24"/>
          <w:szCs w:val="24"/>
        </w:rPr>
        <w:t xml:space="preserve"> pirmās kārtas finansējuma un </w:t>
      </w:r>
      <w:r w:rsidR="005E48BF">
        <w:rPr>
          <w:rFonts w:ascii="Times New Roman" w:hAnsi="Times New Roman" w:cs="Times New Roman"/>
          <w:sz w:val="24"/>
          <w:szCs w:val="24"/>
        </w:rPr>
        <w:t>pārskat</w:t>
      </w:r>
      <w:r w:rsidRPr="00127408">
        <w:rPr>
          <w:rFonts w:ascii="Times New Roman" w:hAnsi="Times New Roman" w:cs="Times New Roman"/>
          <w:sz w:val="24"/>
          <w:szCs w:val="24"/>
        </w:rPr>
        <w:t xml:space="preserve">u plūsma. </w:t>
      </w:r>
      <w:r>
        <w:rPr>
          <w:rFonts w:ascii="Times New Roman" w:hAnsi="Times New Roman" w:cs="Times New Roman"/>
          <w:sz w:val="24"/>
          <w:szCs w:val="24"/>
        </w:rPr>
        <w:t>Papildus minētajam</w:t>
      </w:r>
      <w:r w:rsidRPr="00127408">
        <w:rPr>
          <w:rFonts w:ascii="Times New Roman" w:hAnsi="Times New Roman" w:cs="Times New Roman"/>
          <w:sz w:val="24"/>
          <w:szCs w:val="24"/>
        </w:rPr>
        <w:t xml:space="preserve"> tika parakstīta daudzpusēja vienošanās starp triju Baltijas valstu atbildīgajām ministrijām, iestādēm un uzņēmumiem par projekta </w:t>
      </w:r>
      <w:r w:rsidRPr="00127408">
        <w:rPr>
          <w:rFonts w:ascii="Times New Roman" w:hAnsi="Times New Roman" w:cs="Times New Roman"/>
          <w:sz w:val="24"/>
          <w:szCs w:val="24"/>
        </w:rPr>
        <w:lastRenderedPageBreak/>
        <w:t xml:space="preserve">finansēšanas un īstenošanas modeli, kas ir priekšnoteikums, lai projekts varētu </w:t>
      </w:r>
      <w:r w:rsidR="00CE2CFD">
        <w:rPr>
          <w:rFonts w:ascii="Times New Roman" w:hAnsi="Times New Roman" w:cs="Times New Roman"/>
          <w:sz w:val="24"/>
          <w:szCs w:val="24"/>
        </w:rPr>
        <w:t>saņemt</w:t>
      </w:r>
      <w:r w:rsidRPr="00127408">
        <w:rPr>
          <w:rFonts w:ascii="Times New Roman" w:hAnsi="Times New Roman" w:cs="Times New Roman"/>
          <w:sz w:val="24"/>
          <w:szCs w:val="24"/>
        </w:rPr>
        <w:t xml:space="preserve"> otro Eiropas infrastruktūras savienošanas instrumenta (</w:t>
      </w:r>
      <w:proofErr w:type="spellStart"/>
      <w:r w:rsidRPr="00477B00">
        <w:rPr>
          <w:rFonts w:ascii="Times New Roman" w:hAnsi="Times New Roman" w:cs="Times New Roman"/>
          <w:i/>
          <w:sz w:val="24"/>
          <w:szCs w:val="24"/>
        </w:rPr>
        <w:t>Connecting</w:t>
      </w:r>
      <w:proofErr w:type="spellEnd"/>
      <w:r w:rsidRPr="00477B00">
        <w:rPr>
          <w:rFonts w:ascii="Times New Roman" w:hAnsi="Times New Roman" w:cs="Times New Roman"/>
          <w:i/>
          <w:sz w:val="24"/>
          <w:szCs w:val="24"/>
        </w:rPr>
        <w:t xml:space="preserve"> </w:t>
      </w:r>
      <w:proofErr w:type="spellStart"/>
      <w:r w:rsidRPr="00477B00">
        <w:rPr>
          <w:rFonts w:ascii="Times New Roman" w:hAnsi="Times New Roman" w:cs="Times New Roman"/>
          <w:i/>
          <w:sz w:val="24"/>
          <w:szCs w:val="24"/>
        </w:rPr>
        <w:t>Europe</w:t>
      </w:r>
      <w:proofErr w:type="spellEnd"/>
      <w:r w:rsidRPr="00477B00">
        <w:rPr>
          <w:rFonts w:ascii="Times New Roman" w:hAnsi="Times New Roman" w:cs="Times New Roman"/>
          <w:i/>
          <w:sz w:val="24"/>
          <w:szCs w:val="24"/>
        </w:rPr>
        <w:t xml:space="preserve"> </w:t>
      </w:r>
      <w:proofErr w:type="spellStart"/>
      <w:r w:rsidRPr="00477B00">
        <w:rPr>
          <w:rFonts w:ascii="Times New Roman" w:hAnsi="Times New Roman" w:cs="Times New Roman"/>
          <w:i/>
          <w:sz w:val="24"/>
          <w:szCs w:val="24"/>
        </w:rPr>
        <w:t>Facility</w:t>
      </w:r>
      <w:proofErr w:type="spellEnd"/>
      <w:r w:rsidRPr="00127408">
        <w:rPr>
          <w:rFonts w:ascii="Times New Roman" w:hAnsi="Times New Roman" w:cs="Times New Roman"/>
          <w:sz w:val="24"/>
          <w:szCs w:val="24"/>
        </w:rPr>
        <w:t xml:space="preserve"> jeb CEF) lī</w:t>
      </w:r>
      <w:r>
        <w:rPr>
          <w:rFonts w:ascii="Times New Roman" w:hAnsi="Times New Roman" w:cs="Times New Roman"/>
          <w:sz w:val="24"/>
          <w:szCs w:val="24"/>
        </w:rPr>
        <w:t xml:space="preserve">dzfinansējuma </w:t>
      </w:r>
      <w:r w:rsidR="00CE2CFD">
        <w:rPr>
          <w:rFonts w:ascii="Times New Roman" w:hAnsi="Times New Roman" w:cs="Times New Roman"/>
          <w:sz w:val="24"/>
          <w:szCs w:val="24"/>
        </w:rPr>
        <w:t>daļu</w:t>
      </w:r>
      <w:r>
        <w:rPr>
          <w:rFonts w:ascii="Times New Roman" w:hAnsi="Times New Roman" w:cs="Times New Roman"/>
          <w:sz w:val="24"/>
          <w:szCs w:val="24"/>
        </w:rPr>
        <w:t xml:space="preserve">. </w:t>
      </w:r>
      <w:r w:rsidRPr="00F353B7">
        <w:rPr>
          <w:rFonts w:ascii="Times New Roman" w:hAnsi="Times New Roman" w:cs="Times New Roman"/>
          <w:sz w:val="24"/>
          <w:szCs w:val="24"/>
        </w:rPr>
        <w:t xml:space="preserve">Turpmākie projekta īstenošanas soļi ietvers starptautisko iepirkumu organizēšanu Baltijas valstu kopuzņēmuma </w:t>
      </w:r>
      <w:r w:rsidR="005E48BF">
        <w:rPr>
          <w:rFonts w:ascii="Times New Roman" w:hAnsi="Times New Roman" w:cs="Times New Roman"/>
          <w:sz w:val="24"/>
          <w:szCs w:val="24"/>
        </w:rPr>
        <w:t>"</w:t>
      </w:r>
      <w:r w:rsidRPr="00F353B7">
        <w:rPr>
          <w:rFonts w:ascii="Times New Roman" w:hAnsi="Times New Roman" w:cs="Times New Roman"/>
          <w:sz w:val="24"/>
          <w:szCs w:val="24"/>
        </w:rPr>
        <w:t xml:space="preserve">RB </w:t>
      </w:r>
      <w:proofErr w:type="spellStart"/>
      <w:r w:rsidRPr="00F353B7">
        <w:rPr>
          <w:rFonts w:ascii="Times New Roman" w:hAnsi="Times New Roman" w:cs="Times New Roman"/>
          <w:sz w:val="24"/>
          <w:szCs w:val="24"/>
        </w:rPr>
        <w:t>Rail</w:t>
      </w:r>
      <w:proofErr w:type="spellEnd"/>
      <w:r w:rsidR="005E48BF">
        <w:rPr>
          <w:rFonts w:ascii="Times New Roman" w:hAnsi="Times New Roman" w:cs="Times New Roman"/>
          <w:sz w:val="24"/>
          <w:szCs w:val="24"/>
        </w:rPr>
        <w:t>"</w:t>
      </w:r>
      <w:r w:rsidRPr="00F353B7">
        <w:rPr>
          <w:rFonts w:ascii="Times New Roman" w:hAnsi="Times New Roman" w:cs="Times New Roman"/>
          <w:sz w:val="24"/>
          <w:szCs w:val="24"/>
        </w:rPr>
        <w:t xml:space="preserve"> </w:t>
      </w:r>
      <w:r w:rsidR="00CE2CFD">
        <w:rPr>
          <w:rFonts w:ascii="Times New Roman" w:hAnsi="Times New Roman" w:cs="Times New Roman"/>
          <w:sz w:val="24"/>
          <w:szCs w:val="24"/>
        </w:rPr>
        <w:t>uzraudzībā</w:t>
      </w:r>
      <w:r w:rsidRPr="00F353B7">
        <w:rPr>
          <w:rFonts w:ascii="Times New Roman" w:hAnsi="Times New Roman" w:cs="Times New Roman"/>
          <w:sz w:val="24"/>
          <w:szCs w:val="24"/>
        </w:rPr>
        <w:t xml:space="preserve">, dzelzceļa </w:t>
      </w:r>
      <w:r w:rsidR="00E207E2">
        <w:rPr>
          <w:rFonts w:ascii="Times New Roman" w:hAnsi="Times New Roman" w:cs="Times New Roman"/>
          <w:sz w:val="24"/>
          <w:szCs w:val="24"/>
        </w:rPr>
        <w:t>līnijas</w:t>
      </w:r>
      <w:r w:rsidR="00E207E2" w:rsidRPr="002F3CB9">
        <w:rPr>
          <w:rFonts w:ascii="Times New Roman" w:hAnsi="Times New Roman" w:cs="Times New Roman"/>
          <w:sz w:val="24"/>
          <w:szCs w:val="24"/>
        </w:rPr>
        <w:t xml:space="preserve"> </w:t>
      </w:r>
      <w:r w:rsidRPr="00F353B7">
        <w:rPr>
          <w:rFonts w:ascii="Times New Roman" w:hAnsi="Times New Roman" w:cs="Times New Roman"/>
          <w:sz w:val="24"/>
          <w:szCs w:val="24"/>
        </w:rPr>
        <w:t xml:space="preserve">uz starptautisko lidostu </w:t>
      </w:r>
      <w:r w:rsidR="005E48BF">
        <w:rPr>
          <w:rFonts w:ascii="Times New Roman" w:hAnsi="Times New Roman" w:cs="Times New Roman"/>
          <w:sz w:val="24"/>
          <w:szCs w:val="24"/>
        </w:rPr>
        <w:t>"</w:t>
      </w:r>
      <w:r w:rsidRPr="00F353B7">
        <w:rPr>
          <w:rFonts w:ascii="Times New Roman" w:hAnsi="Times New Roman" w:cs="Times New Roman"/>
          <w:sz w:val="24"/>
          <w:szCs w:val="24"/>
        </w:rPr>
        <w:t>Rīga</w:t>
      </w:r>
      <w:r w:rsidR="005E48BF">
        <w:rPr>
          <w:rFonts w:ascii="Times New Roman" w:hAnsi="Times New Roman" w:cs="Times New Roman"/>
          <w:sz w:val="24"/>
          <w:szCs w:val="24"/>
        </w:rPr>
        <w:t>"</w:t>
      </w:r>
      <w:r w:rsidRPr="00F353B7">
        <w:rPr>
          <w:rFonts w:ascii="Times New Roman" w:hAnsi="Times New Roman" w:cs="Times New Roman"/>
          <w:sz w:val="24"/>
          <w:szCs w:val="24"/>
        </w:rPr>
        <w:t xml:space="preserve"> tehnisko projektēšanu un </w:t>
      </w:r>
      <w:proofErr w:type="spellStart"/>
      <w:r w:rsidR="00CE2CFD" w:rsidRPr="00477B00">
        <w:rPr>
          <w:rFonts w:ascii="Times New Roman" w:hAnsi="Times New Roman" w:cs="Times New Roman"/>
          <w:i/>
          <w:sz w:val="24"/>
          <w:szCs w:val="24"/>
        </w:rPr>
        <w:t>Rail</w:t>
      </w:r>
      <w:proofErr w:type="spellEnd"/>
      <w:r w:rsidR="00CE2CFD" w:rsidRPr="00477B00">
        <w:rPr>
          <w:rFonts w:ascii="Times New Roman" w:hAnsi="Times New Roman" w:cs="Times New Roman"/>
          <w:i/>
          <w:sz w:val="24"/>
          <w:szCs w:val="24"/>
        </w:rPr>
        <w:t xml:space="preserve"> Baltica</w:t>
      </w:r>
      <w:r w:rsidR="00CE2CFD" w:rsidRPr="00CE2CFD">
        <w:rPr>
          <w:rFonts w:ascii="Times New Roman" w:hAnsi="Times New Roman" w:cs="Times New Roman"/>
          <w:sz w:val="24"/>
          <w:szCs w:val="24"/>
        </w:rPr>
        <w:t xml:space="preserve"> stacijas starptautiskajā lidostā </w:t>
      </w:r>
      <w:r w:rsidR="005E48BF">
        <w:rPr>
          <w:rFonts w:ascii="Times New Roman" w:hAnsi="Times New Roman" w:cs="Times New Roman"/>
          <w:sz w:val="24"/>
          <w:szCs w:val="24"/>
        </w:rPr>
        <w:t>"</w:t>
      </w:r>
      <w:r w:rsidR="00CE2CFD" w:rsidRPr="00CE2CFD">
        <w:rPr>
          <w:rFonts w:ascii="Times New Roman" w:hAnsi="Times New Roman" w:cs="Times New Roman"/>
          <w:sz w:val="24"/>
          <w:szCs w:val="24"/>
        </w:rPr>
        <w:t>Rīga</w:t>
      </w:r>
      <w:r w:rsidR="005E48BF">
        <w:rPr>
          <w:rFonts w:ascii="Times New Roman" w:hAnsi="Times New Roman" w:cs="Times New Roman"/>
          <w:sz w:val="24"/>
          <w:szCs w:val="24"/>
        </w:rPr>
        <w:t>"</w:t>
      </w:r>
      <w:r w:rsidR="00CE2CFD" w:rsidRPr="00CE2CFD">
        <w:rPr>
          <w:rFonts w:ascii="Times New Roman" w:hAnsi="Times New Roman" w:cs="Times New Roman"/>
          <w:sz w:val="24"/>
          <w:szCs w:val="24"/>
        </w:rPr>
        <w:t xml:space="preserve"> projektēšanu un </w:t>
      </w:r>
      <w:r w:rsidRPr="00F353B7">
        <w:rPr>
          <w:rFonts w:ascii="Times New Roman" w:hAnsi="Times New Roman" w:cs="Times New Roman"/>
          <w:sz w:val="24"/>
          <w:szCs w:val="24"/>
        </w:rPr>
        <w:t xml:space="preserve">izbūvi, kā arī </w:t>
      </w:r>
      <w:r w:rsidR="00CE2CFD" w:rsidRPr="00CE2CFD">
        <w:rPr>
          <w:rFonts w:ascii="Times New Roman" w:hAnsi="Times New Roman" w:cs="Times New Roman"/>
          <w:sz w:val="24"/>
          <w:szCs w:val="24"/>
        </w:rPr>
        <w:t xml:space="preserve">Rīgas centrālās stacijas, uzbēruma un tilta pāri Daugavai projektēšanu un būvniecību un </w:t>
      </w:r>
      <w:r w:rsidR="00E207E2">
        <w:rPr>
          <w:rFonts w:ascii="Times New Roman" w:hAnsi="Times New Roman" w:cs="Times New Roman"/>
          <w:sz w:val="24"/>
          <w:szCs w:val="24"/>
        </w:rPr>
        <w:t xml:space="preserve">līnijas </w:t>
      </w:r>
      <w:r w:rsidR="00CE2CFD" w:rsidRPr="00CE2CFD">
        <w:rPr>
          <w:rFonts w:ascii="Times New Roman" w:hAnsi="Times New Roman" w:cs="Times New Roman"/>
          <w:sz w:val="24"/>
          <w:szCs w:val="24"/>
        </w:rPr>
        <w:t>projektēšanu Latvijas centrālajai daļai.</w:t>
      </w:r>
    </w:p>
    <w:p w14:paraId="37D267C9" w14:textId="06E20BAB" w:rsidR="00F353B7" w:rsidRPr="00F95B07" w:rsidRDefault="00760E68" w:rsidP="00F353B7">
      <w:pPr>
        <w:jc w:val="both"/>
      </w:pPr>
      <w:r>
        <w:rPr>
          <w:rFonts w:ascii="Times New Roman" w:hAnsi="Times New Roman" w:cs="Times New Roman"/>
          <w:sz w:val="24"/>
          <w:szCs w:val="24"/>
        </w:rPr>
        <w:t>I</w:t>
      </w:r>
      <w:r w:rsidR="00F353B7" w:rsidRPr="002F3CB9">
        <w:rPr>
          <w:rFonts w:ascii="Times New Roman" w:hAnsi="Times New Roman" w:cs="Times New Roman"/>
          <w:sz w:val="24"/>
          <w:szCs w:val="24"/>
        </w:rPr>
        <w:t>r</w:t>
      </w:r>
      <w:r w:rsidR="00F353B7">
        <w:rPr>
          <w:rFonts w:ascii="Times New Roman" w:hAnsi="Times New Roman" w:cs="Times New Roman"/>
          <w:sz w:val="24"/>
          <w:szCs w:val="24"/>
        </w:rPr>
        <w:t xml:space="preserve"> u</w:t>
      </w:r>
      <w:r w:rsidR="00F353B7" w:rsidRPr="00127408">
        <w:rPr>
          <w:rFonts w:ascii="Times New Roman" w:hAnsi="Times New Roman" w:cs="Times New Roman"/>
          <w:sz w:val="24"/>
          <w:szCs w:val="24"/>
        </w:rPr>
        <w:t xml:space="preserve">zsākts darbs pie </w:t>
      </w:r>
      <w:r w:rsidR="00F353B7">
        <w:rPr>
          <w:rFonts w:ascii="Times New Roman" w:hAnsi="Times New Roman" w:cs="Times New Roman"/>
          <w:sz w:val="24"/>
          <w:szCs w:val="24"/>
        </w:rPr>
        <w:t xml:space="preserve">pasākumiem </w:t>
      </w:r>
      <w:r w:rsidR="00F353B7" w:rsidRPr="00127408">
        <w:rPr>
          <w:rFonts w:ascii="Times New Roman" w:hAnsi="Times New Roman" w:cs="Times New Roman"/>
          <w:sz w:val="24"/>
          <w:szCs w:val="24"/>
        </w:rPr>
        <w:t>dzelzceļa infrastruktūras attīstība</w:t>
      </w:r>
      <w:r w:rsidR="00F353B7">
        <w:rPr>
          <w:rFonts w:ascii="Times New Roman" w:hAnsi="Times New Roman" w:cs="Times New Roman"/>
          <w:sz w:val="24"/>
          <w:szCs w:val="24"/>
        </w:rPr>
        <w:t>i</w:t>
      </w:r>
      <w:r w:rsidR="00F353B7" w:rsidRPr="00127408">
        <w:rPr>
          <w:rFonts w:ascii="Times New Roman" w:hAnsi="Times New Roman" w:cs="Times New Roman"/>
          <w:sz w:val="24"/>
          <w:szCs w:val="24"/>
        </w:rPr>
        <w:t>, ņemot vērā starptautiskās tirdzniecības un</w:t>
      </w:r>
      <w:r w:rsidR="000E0477">
        <w:rPr>
          <w:rFonts w:ascii="Times New Roman" w:hAnsi="Times New Roman" w:cs="Times New Roman"/>
          <w:sz w:val="24"/>
          <w:szCs w:val="24"/>
        </w:rPr>
        <w:t xml:space="preserve"> kravu plūsmu izmaiņu tendences</w:t>
      </w:r>
      <w:r w:rsidR="00F353B7" w:rsidRPr="00F353B7">
        <w:rPr>
          <w:rFonts w:ascii="Times New Roman" w:hAnsi="Times New Roman" w:cs="Times New Roman"/>
          <w:sz w:val="24"/>
          <w:szCs w:val="24"/>
        </w:rPr>
        <w:t>. Viens no būtiskiem izšķiršanās jautājumiem dzelzceļa infrastruktūras attīstības kontekstā būs dzelzceļa elektrifikācijas projekts, kas prasīs lielus ieguldījumus</w:t>
      </w:r>
      <w:r w:rsidR="005E48BF">
        <w:rPr>
          <w:rFonts w:ascii="Times New Roman" w:hAnsi="Times New Roman" w:cs="Times New Roman"/>
          <w:sz w:val="24"/>
          <w:szCs w:val="24"/>
        </w:rPr>
        <w:t>.</w:t>
      </w:r>
      <w:r w:rsidR="00F353B7" w:rsidRPr="00F353B7">
        <w:rPr>
          <w:rFonts w:ascii="Times New Roman" w:hAnsi="Times New Roman" w:cs="Times New Roman"/>
          <w:sz w:val="24"/>
          <w:szCs w:val="24"/>
        </w:rPr>
        <w:t xml:space="preserve"> </w:t>
      </w:r>
      <w:r w:rsidR="005E48BF">
        <w:rPr>
          <w:rFonts w:ascii="Times New Roman" w:hAnsi="Times New Roman" w:cs="Times New Roman"/>
          <w:sz w:val="24"/>
          <w:szCs w:val="24"/>
        </w:rPr>
        <w:t>V</w:t>
      </w:r>
      <w:r w:rsidR="00F353B7" w:rsidRPr="00F353B7">
        <w:rPr>
          <w:rFonts w:ascii="Times New Roman" w:hAnsi="Times New Roman" w:cs="Times New Roman"/>
          <w:sz w:val="24"/>
          <w:szCs w:val="24"/>
        </w:rPr>
        <w:t>ienlaikus tas varētu nākotnē sniegt ievērojamas konkurētspējas priekšroc</w:t>
      </w:r>
      <w:r w:rsidR="00477B00">
        <w:rPr>
          <w:rFonts w:ascii="Times New Roman" w:hAnsi="Times New Roman" w:cs="Times New Roman"/>
          <w:sz w:val="24"/>
          <w:szCs w:val="24"/>
        </w:rPr>
        <w:t>ības dzelzceļa kravu piesaistē</w:t>
      </w:r>
      <w:r w:rsidR="00256906">
        <w:rPr>
          <w:rFonts w:ascii="Times New Roman" w:hAnsi="Times New Roman" w:cs="Times New Roman"/>
          <w:sz w:val="24"/>
          <w:szCs w:val="24"/>
        </w:rPr>
        <w:t xml:space="preserve">, bet </w:t>
      </w:r>
      <w:r w:rsidR="005E48BF">
        <w:rPr>
          <w:rFonts w:ascii="Times New Roman" w:hAnsi="Times New Roman" w:cs="Times New Roman"/>
          <w:sz w:val="24"/>
          <w:szCs w:val="24"/>
        </w:rPr>
        <w:t>tas</w:t>
      </w:r>
      <w:r w:rsidR="00256906">
        <w:rPr>
          <w:rFonts w:ascii="Times New Roman" w:hAnsi="Times New Roman" w:cs="Times New Roman"/>
          <w:sz w:val="24"/>
          <w:szCs w:val="24"/>
        </w:rPr>
        <w:t xml:space="preserve"> ir skatāms kontekstā ar pasažieru pārvadājumu plūsmām</w:t>
      </w:r>
      <w:r w:rsidR="00477B00">
        <w:rPr>
          <w:rFonts w:ascii="Times New Roman" w:hAnsi="Times New Roman" w:cs="Times New Roman"/>
          <w:sz w:val="24"/>
          <w:szCs w:val="24"/>
        </w:rPr>
        <w:t xml:space="preserve">. </w:t>
      </w:r>
      <w:r w:rsidR="00986643" w:rsidRPr="00986643">
        <w:rPr>
          <w:rFonts w:ascii="Times New Roman" w:hAnsi="Times New Roman" w:cs="Times New Roman"/>
          <w:sz w:val="24"/>
          <w:szCs w:val="24"/>
        </w:rPr>
        <w:t xml:space="preserve">Dzelzceļa infrastruktūras </w:t>
      </w:r>
      <w:r w:rsidR="00986643" w:rsidRPr="0052767D">
        <w:rPr>
          <w:rFonts w:ascii="Times New Roman" w:hAnsi="Times New Roman" w:cs="Times New Roman"/>
          <w:sz w:val="24"/>
          <w:szCs w:val="24"/>
        </w:rPr>
        <w:t>attīstības plāna</w:t>
      </w:r>
      <w:r w:rsidR="00986643" w:rsidRPr="00986643">
        <w:rPr>
          <w:rFonts w:ascii="Times New Roman" w:hAnsi="Times New Roman" w:cs="Times New Roman"/>
          <w:sz w:val="24"/>
          <w:szCs w:val="24"/>
        </w:rPr>
        <w:t xml:space="preserve"> apstiprināšana </w:t>
      </w:r>
      <w:r w:rsidR="0052767D" w:rsidRPr="00986643">
        <w:rPr>
          <w:rFonts w:ascii="Times New Roman" w:hAnsi="Times New Roman" w:cs="Times New Roman"/>
          <w:sz w:val="24"/>
          <w:szCs w:val="24"/>
        </w:rPr>
        <w:t>vismaz piecu gadu period</w:t>
      </w:r>
      <w:r w:rsidR="0052767D">
        <w:rPr>
          <w:rFonts w:ascii="Times New Roman" w:hAnsi="Times New Roman" w:cs="Times New Roman"/>
          <w:sz w:val="24"/>
          <w:szCs w:val="24"/>
        </w:rPr>
        <w:t>am</w:t>
      </w:r>
      <w:r w:rsidR="0052767D" w:rsidRPr="00986643">
        <w:rPr>
          <w:rFonts w:ascii="Times New Roman" w:hAnsi="Times New Roman" w:cs="Times New Roman"/>
          <w:sz w:val="24"/>
          <w:szCs w:val="24"/>
        </w:rPr>
        <w:t xml:space="preserve"> </w:t>
      </w:r>
      <w:r w:rsidR="00986643" w:rsidRPr="00986643">
        <w:rPr>
          <w:rFonts w:ascii="Times New Roman" w:hAnsi="Times New Roman" w:cs="Times New Roman"/>
          <w:sz w:val="24"/>
          <w:szCs w:val="24"/>
        </w:rPr>
        <w:t xml:space="preserve">būs priekšnosacījums, lai </w:t>
      </w:r>
      <w:r w:rsidR="00986643">
        <w:rPr>
          <w:rFonts w:ascii="Times New Roman" w:hAnsi="Times New Roman" w:cs="Times New Roman"/>
          <w:sz w:val="24"/>
          <w:szCs w:val="24"/>
        </w:rPr>
        <w:t xml:space="preserve">atbilstoši </w:t>
      </w:r>
      <w:r w:rsidR="005E48BF">
        <w:rPr>
          <w:rFonts w:ascii="Times New Roman" w:hAnsi="Times New Roman" w:cs="Times New Roman"/>
          <w:sz w:val="24"/>
          <w:szCs w:val="24"/>
        </w:rPr>
        <w:t>tam</w:t>
      </w:r>
      <w:r w:rsidR="005E48BF" w:rsidRPr="00986643">
        <w:rPr>
          <w:rFonts w:ascii="Times New Roman" w:hAnsi="Times New Roman" w:cs="Times New Roman"/>
          <w:sz w:val="24"/>
          <w:szCs w:val="24"/>
        </w:rPr>
        <w:t xml:space="preserve"> </w:t>
      </w:r>
      <w:r w:rsidR="00986643" w:rsidRPr="00986643">
        <w:rPr>
          <w:rFonts w:ascii="Times New Roman" w:hAnsi="Times New Roman" w:cs="Times New Roman"/>
          <w:sz w:val="24"/>
          <w:szCs w:val="24"/>
        </w:rPr>
        <w:t>sagatavotu daudzgadu līguma projektu par dzelzceļa infrastruktūras uzturēšanu un attīstību, k</w:t>
      </w:r>
      <w:r w:rsidR="0052767D">
        <w:rPr>
          <w:rFonts w:ascii="Times New Roman" w:hAnsi="Times New Roman" w:cs="Times New Roman"/>
          <w:sz w:val="24"/>
          <w:szCs w:val="24"/>
        </w:rPr>
        <w:t>o</w:t>
      </w:r>
      <w:r w:rsidR="00986643" w:rsidRPr="00986643">
        <w:rPr>
          <w:rFonts w:ascii="Times New Roman" w:hAnsi="Times New Roman" w:cs="Times New Roman"/>
          <w:sz w:val="24"/>
          <w:szCs w:val="24"/>
        </w:rPr>
        <w:t xml:space="preserve"> noslē</w:t>
      </w:r>
      <w:r w:rsidR="0052767D">
        <w:rPr>
          <w:rFonts w:ascii="Times New Roman" w:hAnsi="Times New Roman" w:cs="Times New Roman"/>
          <w:sz w:val="24"/>
          <w:szCs w:val="24"/>
        </w:rPr>
        <w:t>gs</w:t>
      </w:r>
      <w:r w:rsidR="00986643" w:rsidRPr="00986643">
        <w:rPr>
          <w:rFonts w:ascii="Times New Roman" w:hAnsi="Times New Roman" w:cs="Times New Roman"/>
          <w:sz w:val="24"/>
          <w:szCs w:val="24"/>
        </w:rPr>
        <w:t xml:space="preserve"> valsts un dzelzceļa infrastruktūras pārvaldītājs VAS </w:t>
      </w:r>
      <w:r w:rsidR="005E48BF">
        <w:rPr>
          <w:rFonts w:ascii="Times New Roman" w:hAnsi="Times New Roman" w:cs="Times New Roman"/>
          <w:sz w:val="24"/>
          <w:szCs w:val="24"/>
        </w:rPr>
        <w:t>"</w:t>
      </w:r>
      <w:r w:rsidR="00986643" w:rsidRPr="00986643">
        <w:rPr>
          <w:rFonts w:ascii="Times New Roman" w:hAnsi="Times New Roman" w:cs="Times New Roman"/>
          <w:sz w:val="24"/>
          <w:szCs w:val="24"/>
        </w:rPr>
        <w:t>Latvijas dzelzceļš</w:t>
      </w:r>
      <w:r w:rsidR="005E48BF">
        <w:rPr>
          <w:rFonts w:ascii="Times New Roman" w:hAnsi="Times New Roman" w:cs="Times New Roman"/>
          <w:sz w:val="24"/>
          <w:szCs w:val="24"/>
        </w:rPr>
        <w:t>"</w:t>
      </w:r>
      <w:r w:rsidR="00986643" w:rsidRPr="00986643">
        <w:rPr>
          <w:rFonts w:ascii="Times New Roman" w:hAnsi="Times New Roman" w:cs="Times New Roman"/>
          <w:sz w:val="24"/>
          <w:szCs w:val="24"/>
        </w:rPr>
        <w:t>.</w:t>
      </w:r>
    </w:p>
    <w:p w14:paraId="544D4CF1" w14:textId="34B05069" w:rsidR="000713A4" w:rsidRDefault="000713A4" w:rsidP="00F353B7">
      <w:pPr>
        <w:jc w:val="both"/>
        <w:rPr>
          <w:rFonts w:ascii="Times New Roman" w:hAnsi="Times New Roman"/>
          <w:sz w:val="24"/>
        </w:rPr>
      </w:pPr>
      <w:r w:rsidRPr="000713A4">
        <w:rPr>
          <w:rFonts w:ascii="Times New Roman" w:hAnsi="Times New Roman"/>
          <w:sz w:val="24"/>
        </w:rPr>
        <w:t>Pašreizējos ģeopolitiskajos apstākļos būtiska ir tranzīta kravu diversifikācija sadarbībā ar tranzīta kravu apstrādes uzņēmumiem Latvijas ostās, veidojot vienotu tranzīta koridora piedāvājumu. Lai to sasniegtu,</w:t>
      </w:r>
      <w:r w:rsidR="002549B3">
        <w:rPr>
          <w:rFonts w:ascii="Times New Roman" w:hAnsi="Times New Roman"/>
          <w:sz w:val="24"/>
        </w:rPr>
        <w:t xml:space="preserve"> </w:t>
      </w:r>
      <w:r w:rsidR="002549B3" w:rsidRPr="002549B3">
        <w:rPr>
          <w:rFonts w:ascii="Times New Roman" w:hAnsi="Times New Roman"/>
          <w:sz w:val="24"/>
        </w:rPr>
        <w:t xml:space="preserve">veikta reorganizācija VAS </w:t>
      </w:r>
      <w:r w:rsidR="0083435A">
        <w:rPr>
          <w:rFonts w:ascii="Times New Roman" w:hAnsi="Times New Roman"/>
          <w:sz w:val="24"/>
        </w:rPr>
        <w:t>"</w:t>
      </w:r>
      <w:r w:rsidR="002549B3" w:rsidRPr="002549B3">
        <w:rPr>
          <w:rFonts w:ascii="Times New Roman" w:hAnsi="Times New Roman"/>
          <w:sz w:val="24"/>
        </w:rPr>
        <w:t>Latvijas dzelzceļš</w:t>
      </w:r>
      <w:r w:rsidR="0083435A">
        <w:rPr>
          <w:rFonts w:ascii="Times New Roman" w:hAnsi="Times New Roman"/>
          <w:sz w:val="24"/>
        </w:rPr>
        <w:t>"</w:t>
      </w:r>
      <w:r w:rsidR="002549B3" w:rsidRPr="002549B3">
        <w:rPr>
          <w:rFonts w:ascii="Times New Roman" w:hAnsi="Times New Roman"/>
          <w:sz w:val="24"/>
        </w:rPr>
        <w:t xml:space="preserve"> koncerna ietvaros, kā rezultātā SIA </w:t>
      </w:r>
      <w:r w:rsidR="0083435A">
        <w:rPr>
          <w:rFonts w:ascii="Times New Roman" w:hAnsi="Times New Roman"/>
          <w:sz w:val="24"/>
        </w:rPr>
        <w:t>"</w:t>
      </w:r>
      <w:proofErr w:type="spellStart"/>
      <w:r w:rsidR="002549B3" w:rsidRPr="002549B3">
        <w:rPr>
          <w:rFonts w:ascii="Times New Roman" w:hAnsi="Times New Roman"/>
          <w:sz w:val="24"/>
        </w:rPr>
        <w:t>LDz</w:t>
      </w:r>
      <w:proofErr w:type="spellEnd"/>
      <w:r w:rsidR="002549B3" w:rsidRPr="002549B3">
        <w:rPr>
          <w:rFonts w:ascii="Times New Roman" w:hAnsi="Times New Roman"/>
          <w:sz w:val="24"/>
        </w:rPr>
        <w:t xml:space="preserve"> Loģistika</w:t>
      </w:r>
      <w:r w:rsidR="0083435A">
        <w:rPr>
          <w:rFonts w:ascii="Times New Roman" w:hAnsi="Times New Roman"/>
          <w:sz w:val="24"/>
        </w:rPr>
        <w:t>"</w:t>
      </w:r>
      <w:r w:rsidR="002549B3" w:rsidRPr="002549B3">
        <w:rPr>
          <w:rFonts w:ascii="Times New Roman" w:hAnsi="Times New Roman"/>
          <w:sz w:val="24"/>
        </w:rPr>
        <w:t xml:space="preserve"> kalpo kā loģistikas kompānija, kas no valsts puses veido integrētus piedāvājumus atbilstoši klientu vajadzībām, ietverot pilnu loģistikas procesu. Jau šobrīd panākta vienošanās ar vairākām loģistikas kompānijām Ķīnā, Krievijā, Kazahstānā, Baltkrievijā un Vācijā par sadarbību un </w:t>
      </w:r>
      <w:proofErr w:type="gramStart"/>
      <w:r w:rsidR="002549B3" w:rsidRPr="002549B3">
        <w:rPr>
          <w:rFonts w:ascii="Times New Roman" w:hAnsi="Times New Roman"/>
          <w:sz w:val="24"/>
        </w:rPr>
        <w:t xml:space="preserve">noorganizēts </w:t>
      </w:r>
      <w:proofErr w:type="spellStart"/>
      <w:r w:rsidR="002549B3" w:rsidRPr="0083435A">
        <w:rPr>
          <w:rFonts w:ascii="Times New Roman" w:hAnsi="Times New Roman"/>
          <w:i/>
          <w:sz w:val="24"/>
        </w:rPr>
        <w:t>pil</w:t>
      </w:r>
      <w:r w:rsidR="00C27EC3" w:rsidRPr="0083435A">
        <w:rPr>
          <w:rFonts w:ascii="Times New Roman" w:hAnsi="Times New Roman"/>
          <w:i/>
          <w:sz w:val="24"/>
        </w:rPr>
        <w:t>o</w:t>
      </w:r>
      <w:r w:rsidR="002549B3" w:rsidRPr="0083435A">
        <w:rPr>
          <w:rFonts w:ascii="Times New Roman" w:hAnsi="Times New Roman"/>
          <w:i/>
          <w:sz w:val="24"/>
        </w:rPr>
        <w:t>tvilciens</w:t>
      </w:r>
      <w:proofErr w:type="spellEnd"/>
      <w:r w:rsidR="002549B3" w:rsidRPr="002549B3">
        <w:rPr>
          <w:rFonts w:ascii="Times New Roman" w:hAnsi="Times New Roman"/>
          <w:sz w:val="24"/>
        </w:rPr>
        <w:t xml:space="preserve"> no Ķīnas pilsētas </w:t>
      </w:r>
      <w:proofErr w:type="spellStart"/>
      <w:r w:rsidR="006619DF">
        <w:rPr>
          <w:rFonts w:ascii="Times New Roman" w:hAnsi="Times New Roman"/>
          <w:sz w:val="24"/>
        </w:rPr>
        <w:t>Jivu</w:t>
      </w:r>
      <w:proofErr w:type="spellEnd"/>
      <w:r w:rsidR="006619DF">
        <w:rPr>
          <w:rFonts w:ascii="Times New Roman" w:hAnsi="Times New Roman"/>
          <w:sz w:val="24"/>
        </w:rPr>
        <w:t xml:space="preserve"> (</w:t>
      </w:r>
      <w:proofErr w:type="spellStart"/>
      <w:r w:rsidR="002549B3" w:rsidRPr="0083435A">
        <w:rPr>
          <w:rFonts w:ascii="Times New Roman" w:hAnsi="Times New Roman"/>
          <w:i/>
          <w:sz w:val="24"/>
        </w:rPr>
        <w:t>Yiwu</w:t>
      </w:r>
      <w:proofErr w:type="spellEnd"/>
      <w:r w:rsidR="006619DF">
        <w:rPr>
          <w:rFonts w:ascii="Times New Roman" w:hAnsi="Times New Roman"/>
          <w:sz w:val="24"/>
        </w:rPr>
        <w:t>)</w:t>
      </w:r>
      <w:r w:rsidR="002549B3" w:rsidRPr="002549B3">
        <w:rPr>
          <w:rFonts w:ascii="Times New Roman" w:hAnsi="Times New Roman"/>
          <w:sz w:val="24"/>
        </w:rPr>
        <w:t xml:space="preserve"> uz Rīgu</w:t>
      </w:r>
      <w:proofErr w:type="gramEnd"/>
      <w:r w:rsidR="002549B3" w:rsidRPr="002549B3">
        <w:rPr>
          <w:rFonts w:ascii="Times New Roman" w:hAnsi="Times New Roman"/>
          <w:sz w:val="24"/>
        </w:rPr>
        <w:t xml:space="preserve">. Tādējādi </w:t>
      </w:r>
      <w:r w:rsidR="00461F2F">
        <w:rPr>
          <w:rFonts w:ascii="Times New Roman" w:hAnsi="Times New Roman"/>
          <w:sz w:val="24"/>
        </w:rPr>
        <w:t xml:space="preserve">tiek </w:t>
      </w:r>
      <w:r w:rsidR="00A23DCF" w:rsidRPr="00A23DCF">
        <w:rPr>
          <w:rFonts w:ascii="Times New Roman" w:hAnsi="Times New Roman"/>
          <w:sz w:val="24"/>
        </w:rPr>
        <w:t>noteik</w:t>
      </w:r>
      <w:r w:rsidR="00256906" w:rsidRPr="00A23DCF">
        <w:rPr>
          <w:rFonts w:ascii="Times New Roman" w:hAnsi="Times New Roman"/>
          <w:sz w:val="24"/>
        </w:rPr>
        <w:t>ts virziens</w:t>
      </w:r>
      <w:r w:rsidR="002937E6" w:rsidRPr="00A23DCF">
        <w:rPr>
          <w:rFonts w:ascii="Times New Roman" w:hAnsi="Times New Roman"/>
          <w:sz w:val="24"/>
        </w:rPr>
        <w:t xml:space="preserve"> </w:t>
      </w:r>
      <w:r w:rsidR="00A23DCF" w:rsidRPr="00A23DCF">
        <w:rPr>
          <w:rFonts w:ascii="Times New Roman" w:hAnsi="Times New Roman"/>
          <w:sz w:val="24"/>
        </w:rPr>
        <w:t>veicināt</w:t>
      </w:r>
      <w:r w:rsidR="00256906" w:rsidRPr="00A23DCF">
        <w:rPr>
          <w:rFonts w:ascii="Times New Roman" w:hAnsi="Times New Roman"/>
          <w:sz w:val="24"/>
        </w:rPr>
        <w:t xml:space="preserve"> </w:t>
      </w:r>
      <w:r w:rsidRPr="00A23DCF">
        <w:rPr>
          <w:rFonts w:ascii="Times New Roman" w:hAnsi="Times New Roman"/>
          <w:sz w:val="24"/>
        </w:rPr>
        <w:t xml:space="preserve">stratēģisko publisko aktīvu </w:t>
      </w:r>
      <w:r w:rsidR="00256906" w:rsidRPr="00A23DCF">
        <w:rPr>
          <w:rFonts w:ascii="Times New Roman" w:hAnsi="Times New Roman"/>
          <w:sz w:val="24"/>
        </w:rPr>
        <w:t xml:space="preserve">iesaisti </w:t>
      </w:r>
      <w:r w:rsidR="001F31F1" w:rsidRPr="00A23DCF">
        <w:rPr>
          <w:rFonts w:ascii="Times New Roman" w:hAnsi="Times New Roman"/>
          <w:sz w:val="24"/>
        </w:rPr>
        <w:t>un integrāciju</w:t>
      </w:r>
      <w:r w:rsidR="00A23DCF" w:rsidRPr="00A23DCF">
        <w:rPr>
          <w:rFonts w:ascii="Times New Roman" w:hAnsi="Times New Roman"/>
          <w:sz w:val="24"/>
        </w:rPr>
        <w:t>,</w:t>
      </w:r>
      <w:r w:rsidR="001F31F1" w:rsidRPr="00A23DCF">
        <w:rPr>
          <w:rFonts w:ascii="Times New Roman" w:hAnsi="Times New Roman"/>
          <w:sz w:val="24"/>
        </w:rPr>
        <w:t xml:space="preserve"> </w:t>
      </w:r>
      <w:r w:rsidR="00A23DCF" w:rsidRPr="00A23DCF">
        <w:rPr>
          <w:rFonts w:ascii="Times New Roman" w:hAnsi="Times New Roman"/>
          <w:sz w:val="24"/>
        </w:rPr>
        <w:t xml:space="preserve">piedāvājot komersantiem </w:t>
      </w:r>
      <w:r w:rsidR="001F31F1" w:rsidRPr="00A23DCF">
        <w:rPr>
          <w:rFonts w:ascii="Times New Roman" w:hAnsi="Times New Roman"/>
          <w:sz w:val="24"/>
        </w:rPr>
        <w:t>mu</w:t>
      </w:r>
      <w:r w:rsidRPr="00A23DCF">
        <w:rPr>
          <w:rFonts w:ascii="Times New Roman" w:hAnsi="Times New Roman"/>
          <w:sz w:val="24"/>
        </w:rPr>
        <w:t>ltimodāl</w:t>
      </w:r>
      <w:r w:rsidR="001F31F1" w:rsidRPr="00A23DCF">
        <w:rPr>
          <w:rFonts w:ascii="Times New Roman" w:hAnsi="Times New Roman"/>
          <w:sz w:val="24"/>
        </w:rPr>
        <w:t>u</w:t>
      </w:r>
      <w:r w:rsidR="00A23DCF" w:rsidRPr="00A23DCF">
        <w:rPr>
          <w:rFonts w:ascii="Times New Roman" w:hAnsi="Times New Roman"/>
          <w:sz w:val="24"/>
        </w:rPr>
        <w:t>s</w:t>
      </w:r>
      <w:r w:rsidR="002549B3" w:rsidRPr="00A23DCF">
        <w:rPr>
          <w:rFonts w:ascii="Times New Roman" w:hAnsi="Times New Roman"/>
          <w:sz w:val="24"/>
        </w:rPr>
        <w:t xml:space="preserve"> transporta risinājum</w:t>
      </w:r>
      <w:r w:rsidR="001F31F1" w:rsidRPr="00A23DCF">
        <w:rPr>
          <w:rFonts w:ascii="Times New Roman" w:hAnsi="Times New Roman"/>
          <w:sz w:val="24"/>
        </w:rPr>
        <w:t>u</w:t>
      </w:r>
      <w:r w:rsidR="00A23DCF" w:rsidRPr="00A23DCF">
        <w:rPr>
          <w:rFonts w:ascii="Times New Roman" w:hAnsi="Times New Roman"/>
          <w:sz w:val="24"/>
        </w:rPr>
        <w:t>s</w:t>
      </w:r>
      <w:r w:rsidR="001F31F1">
        <w:rPr>
          <w:rFonts w:ascii="Times New Roman" w:hAnsi="Times New Roman"/>
          <w:sz w:val="24"/>
        </w:rPr>
        <w:t>.</w:t>
      </w:r>
      <w:r w:rsidRPr="000713A4">
        <w:rPr>
          <w:rFonts w:ascii="Times New Roman" w:hAnsi="Times New Roman"/>
          <w:sz w:val="24"/>
        </w:rPr>
        <w:t xml:space="preserve"> Tāpat būtiska ir </w:t>
      </w:r>
      <w:r w:rsidR="002549B3" w:rsidRPr="002549B3">
        <w:rPr>
          <w:rFonts w:ascii="Times New Roman" w:hAnsi="Times New Roman"/>
          <w:sz w:val="24"/>
        </w:rPr>
        <w:t xml:space="preserve">esošo tranzītkravu, īpaši </w:t>
      </w:r>
      <w:r w:rsidRPr="000713A4">
        <w:rPr>
          <w:rFonts w:ascii="Times New Roman" w:hAnsi="Times New Roman"/>
          <w:sz w:val="24"/>
        </w:rPr>
        <w:t>dzelzceļ</w:t>
      </w:r>
      <w:r w:rsidR="00C94B20">
        <w:rPr>
          <w:rFonts w:ascii="Times New Roman" w:hAnsi="Times New Roman"/>
          <w:sz w:val="24"/>
        </w:rPr>
        <w:t>a kravu</w:t>
      </w:r>
      <w:r w:rsidR="0083435A">
        <w:rPr>
          <w:rFonts w:ascii="Times New Roman" w:hAnsi="Times New Roman"/>
          <w:sz w:val="24"/>
        </w:rPr>
        <w:t>,</w:t>
      </w:r>
      <w:r w:rsidR="00C94B20">
        <w:rPr>
          <w:rFonts w:ascii="Times New Roman" w:hAnsi="Times New Roman"/>
          <w:sz w:val="24"/>
        </w:rPr>
        <w:t xml:space="preserve"> apjomu saglabāšana, kas</w:t>
      </w:r>
      <w:r w:rsidRPr="000713A4">
        <w:rPr>
          <w:rFonts w:ascii="Times New Roman" w:hAnsi="Times New Roman"/>
          <w:sz w:val="24"/>
        </w:rPr>
        <w:t xml:space="preserve"> 2016.</w:t>
      </w:r>
      <w:r w:rsidR="00C94B20">
        <w:rPr>
          <w:rFonts w:ascii="Times New Roman" w:hAnsi="Times New Roman"/>
          <w:sz w:val="24"/>
        </w:rPr>
        <w:t> </w:t>
      </w:r>
      <w:r w:rsidRPr="000713A4">
        <w:rPr>
          <w:rFonts w:ascii="Times New Roman" w:hAnsi="Times New Roman"/>
          <w:sz w:val="24"/>
        </w:rPr>
        <w:t>gada deviņos mēnešos samazinājušies par piektdaļu, salīdzinot ar 2015.</w:t>
      </w:r>
      <w:r w:rsidR="00C94B20">
        <w:rPr>
          <w:rFonts w:ascii="Times New Roman" w:hAnsi="Times New Roman"/>
          <w:sz w:val="24"/>
        </w:rPr>
        <w:t> </w:t>
      </w:r>
      <w:r w:rsidRPr="000713A4">
        <w:rPr>
          <w:rFonts w:ascii="Times New Roman" w:hAnsi="Times New Roman"/>
          <w:sz w:val="24"/>
        </w:rPr>
        <w:t>gada attiecīgo periodu. Vienlaikus jāatzīmē, ka 2016.</w:t>
      </w:r>
      <w:r w:rsidR="00C94B20">
        <w:rPr>
          <w:rFonts w:ascii="Times New Roman" w:hAnsi="Times New Roman"/>
          <w:sz w:val="24"/>
        </w:rPr>
        <w:t> </w:t>
      </w:r>
      <w:r w:rsidRPr="000713A4">
        <w:rPr>
          <w:rFonts w:ascii="Times New Roman" w:hAnsi="Times New Roman"/>
          <w:sz w:val="24"/>
        </w:rPr>
        <w:t>gada septembrī kravu plūsma ir stabilizējusies.</w:t>
      </w:r>
    </w:p>
    <w:p w14:paraId="348DA440" w14:textId="4C7769D3" w:rsidR="000713A4" w:rsidRDefault="000713A4" w:rsidP="00716C26">
      <w:pPr>
        <w:jc w:val="both"/>
        <w:rPr>
          <w:rFonts w:ascii="Times New Roman" w:hAnsi="Times New Roman"/>
          <w:sz w:val="24"/>
        </w:rPr>
      </w:pPr>
      <w:r w:rsidRPr="000713A4">
        <w:rPr>
          <w:rFonts w:ascii="Times New Roman" w:hAnsi="Times New Roman"/>
          <w:sz w:val="24"/>
        </w:rPr>
        <w:t xml:space="preserve">Latvijā sekmīgi attīstās aviācijas nozare, kas ir būtisks priekšnosacījums starptautisko biznesa sakaru un tūrisma attīstībai. Ir nodrošināta visu gaisa transporta sistēmas elementu – optimālas pārvaldības sistēmas, gaisa pārvadātāja AS </w:t>
      </w:r>
      <w:r w:rsidR="0083435A">
        <w:rPr>
          <w:rFonts w:ascii="Times New Roman" w:hAnsi="Times New Roman"/>
          <w:sz w:val="24"/>
        </w:rPr>
        <w:t>"</w:t>
      </w:r>
      <w:proofErr w:type="spellStart"/>
      <w:r w:rsidRPr="000713A4">
        <w:rPr>
          <w:rFonts w:ascii="Times New Roman" w:hAnsi="Times New Roman"/>
          <w:sz w:val="24"/>
        </w:rPr>
        <w:t>Air</w:t>
      </w:r>
      <w:proofErr w:type="spellEnd"/>
      <w:r w:rsidRPr="000713A4">
        <w:rPr>
          <w:rFonts w:ascii="Times New Roman" w:hAnsi="Times New Roman"/>
          <w:sz w:val="24"/>
        </w:rPr>
        <w:t xml:space="preserve"> </w:t>
      </w:r>
      <w:proofErr w:type="spellStart"/>
      <w:r w:rsidRPr="000713A4">
        <w:rPr>
          <w:rFonts w:ascii="Times New Roman" w:hAnsi="Times New Roman"/>
          <w:sz w:val="24"/>
        </w:rPr>
        <w:t>Baltic</w:t>
      </w:r>
      <w:proofErr w:type="spellEnd"/>
      <w:r w:rsidRPr="000713A4">
        <w:rPr>
          <w:rFonts w:ascii="Times New Roman" w:hAnsi="Times New Roman"/>
          <w:sz w:val="24"/>
        </w:rPr>
        <w:t xml:space="preserve"> </w:t>
      </w:r>
      <w:proofErr w:type="spellStart"/>
      <w:r w:rsidRPr="000713A4">
        <w:rPr>
          <w:rFonts w:ascii="Times New Roman" w:hAnsi="Times New Roman"/>
          <w:sz w:val="24"/>
        </w:rPr>
        <w:t>Corporation</w:t>
      </w:r>
      <w:proofErr w:type="spellEnd"/>
      <w:r w:rsidR="0083435A">
        <w:rPr>
          <w:rFonts w:ascii="Times New Roman" w:hAnsi="Times New Roman"/>
          <w:sz w:val="24"/>
        </w:rPr>
        <w:t>"</w:t>
      </w:r>
      <w:r w:rsidRPr="000713A4">
        <w:rPr>
          <w:rFonts w:ascii="Times New Roman" w:hAnsi="Times New Roman"/>
          <w:sz w:val="24"/>
        </w:rPr>
        <w:t xml:space="preserve"> un infrastruktūras uzņēmumu lidostas </w:t>
      </w:r>
      <w:r w:rsidR="0083435A">
        <w:rPr>
          <w:rFonts w:ascii="Times New Roman" w:hAnsi="Times New Roman"/>
          <w:sz w:val="24"/>
        </w:rPr>
        <w:t>"</w:t>
      </w:r>
      <w:r w:rsidRPr="000713A4">
        <w:rPr>
          <w:rFonts w:ascii="Times New Roman" w:hAnsi="Times New Roman"/>
          <w:sz w:val="24"/>
        </w:rPr>
        <w:t>Rīga</w:t>
      </w:r>
      <w:r w:rsidR="0083435A">
        <w:rPr>
          <w:rFonts w:ascii="Times New Roman" w:hAnsi="Times New Roman"/>
          <w:sz w:val="24"/>
        </w:rPr>
        <w:t>"</w:t>
      </w:r>
      <w:r w:rsidRPr="000713A4">
        <w:rPr>
          <w:rFonts w:ascii="Times New Roman" w:hAnsi="Times New Roman"/>
          <w:sz w:val="24"/>
        </w:rPr>
        <w:t xml:space="preserve"> un VAS </w:t>
      </w:r>
      <w:r w:rsidR="0083435A">
        <w:rPr>
          <w:rFonts w:ascii="Times New Roman" w:hAnsi="Times New Roman"/>
          <w:sz w:val="24"/>
        </w:rPr>
        <w:t>"</w:t>
      </w:r>
      <w:r w:rsidRPr="000713A4">
        <w:rPr>
          <w:rFonts w:ascii="Times New Roman" w:hAnsi="Times New Roman"/>
          <w:sz w:val="24"/>
        </w:rPr>
        <w:t>Latvijas gaisa satiksme</w:t>
      </w:r>
      <w:r w:rsidR="0083435A">
        <w:rPr>
          <w:rFonts w:ascii="Times New Roman" w:hAnsi="Times New Roman"/>
          <w:sz w:val="24"/>
        </w:rPr>
        <w:t>"</w:t>
      </w:r>
      <w:r w:rsidRPr="000713A4">
        <w:rPr>
          <w:rFonts w:ascii="Times New Roman" w:hAnsi="Times New Roman"/>
          <w:sz w:val="24"/>
        </w:rPr>
        <w:t xml:space="preserve"> saskaņota attīstība. Ir nostabilizējusies AS </w:t>
      </w:r>
      <w:r w:rsidR="0083435A">
        <w:rPr>
          <w:rFonts w:ascii="Times New Roman" w:hAnsi="Times New Roman"/>
          <w:sz w:val="24"/>
        </w:rPr>
        <w:t>"</w:t>
      </w:r>
      <w:proofErr w:type="spellStart"/>
      <w:r w:rsidRPr="000713A4">
        <w:rPr>
          <w:rFonts w:ascii="Times New Roman" w:hAnsi="Times New Roman"/>
          <w:sz w:val="24"/>
        </w:rPr>
        <w:t>Air</w:t>
      </w:r>
      <w:proofErr w:type="spellEnd"/>
      <w:r w:rsidRPr="000713A4">
        <w:rPr>
          <w:rFonts w:ascii="Times New Roman" w:hAnsi="Times New Roman"/>
          <w:sz w:val="24"/>
        </w:rPr>
        <w:t xml:space="preserve"> </w:t>
      </w:r>
      <w:proofErr w:type="spellStart"/>
      <w:r w:rsidRPr="000713A4">
        <w:rPr>
          <w:rFonts w:ascii="Times New Roman" w:hAnsi="Times New Roman"/>
          <w:sz w:val="24"/>
        </w:rPr>
        <w:t>Baltic</w:t>
      </w:r>
      <w:proofErr w:type="spellEnd"/>
      <w:r w:rsidRPr="000713A4">
        <w:rPr>
          <w:rFonts w:ascii="Times New Roman" w:hAnsi="Times New Roman"/>
          <w:sz w:val="24"/>
        </w:rPr>
        <w:t xml:space="preserve"> </w:t>
      </w:r>
      <w:proofErr w:type="spellStart"/>
      <w:r w:rsidRPr="000713A4">
        <w:rPr>
          <w:rFonts w:ascii="Times New Roman" w:hAnsi="Times New Roman"/>
          <w:sz w:val="24"/>
        </w:rPr>
        <w:t>Corporation</w:t>
      </w:r>
      <w:proofErr w:type="spellEnd"/>
      <w:r w:rsidR="0083435A">
        <w:rPr>
          <w:rFonts w:ascii="Times New Roman" w:hAnsi="Times New Roman"/>
          <w:sz w:val="24"/>
        </w:rPr>
        <w:t>"</w:t>
      </w:r>
      <w:r w:rsidRPr="000713A4">
        <w:rPr>
          <w:rFonts w:ascii="Times New Roman" w:hAnsi="Times New Roman"/>
          <w:sz w:val="24"/>
        </w:rPr>
        <w:t xml:space="preserve"> finanšu situācija, ir piesaistīts finanšu investors un palielināts kompānijas pamatkapitāls. Pieaug tās apkalpoto maršrutu un pasažieru skaits. Kompānija jau trešo gadu strādā ar peļņu. Ir arī uzsākts darbs pie stratēģiskā investora piesaistes, izmantojot starptautiska konsultanta pakalpojumus, vienlaikus saglabājot lidostu </w:t>
      </w:r>
      <w:r w:rsidR="0083435A">
        <w:rPr>
          <w:rFonts w:ascii="Times New Roman" w:hAnsi="Times New Roman"/>
          <w:sz w:val="24"/>
        </w:rPr>
        <w:t>"</w:t>
      </w:r>
      <w:r w:rsidRPr="000713A4">
        <w:rPr>
          <w:rFonts w:ascii="Times New Roman" w:hAnsi="Times New Roman"/>
          <w:sz w:val="24"/>
        </w:rPr>
        <w:t>Rīga</w:t>
      </w:r>
      <w:r w:rsidR="0083435A">
        <w:rPr>
          <w:rFonts w:ascii="Times New Roman" w:hAnsi="Times New Roman"/>
          <w:sz w:val="24"/>
        </w:rPr>
        <w:t>"</w:t>
      </w:r>
      <w:r w:rsidRPr="000713A4">
        <w:rPr>
          <w:rFonts w:ascii="Times New Roman" w:hAnsi="Times New Roman"/>
          <w:sz w:val="24"/>
        </w:rPr>
        <w:t xml:space="preserve"> kā galveno </w:t>
      </w:r>
      <w:r w:rsidRPr="0083435A">
        <w:rPr>
          <w:rFonts w:ascii="Times New Roman" w:hAnsi="Times New Roman"/>
          <w:i/>
          <w:sz w:val="24"/>
        </w:rPr>
        <w:t>airBaltic</w:t>
      </w:r>
      <w:r w:rsidRPr="000713A4">
        <w:rPr>
          <w:rFonts w:ascii="Times New Roman" w:hAnsi="Times New Roman"/>
          <w:sz w:val="24"/>
        </w:rPr>
        <w:t xml:space="preserve"> bāzi, kā arī paredzot, ka galamērķu un pasažieru skaitam jāsaglabājas 2016.</w:t>
      </w:r>
      <w:r w:rsidR="00C94B20">
        <w:rPr>
          <w:rFonts w:ascii="Times New Roman" w:hAnsi="Times New Roman"/>
          <w:sz w:val="24"/>
        </w:rPr>
        <w:t> </w:t>
      </w:r>
      <w:r w:rsidRPr="000713A4">
        <w:rPr>
          <w:rFonts w:ascii="Times New Roman" w:hAnsi="Times New Roman"/>
          <w:sz w:val="24"/>
        </w:rPr>
        <w:t xml:space="preserve">gada </w:t>
      </w:r>
      <w:r w:rsidRPr="000713A4">
        <w:rPr>
          <w:rFonts w:ascii="Times New Roman" w:hAnsi="Times New Roman"/>
          <w:sz w:val="24"/>
        </w:rPr>
        <w:lastRenderedPageBreak/>
        <w:t>līmenī. Vienlaikus arī pastāv nosacījums, ka Latvijas valsts saglabā ietekmi uzņēmumam būtiskāko stratēģisko lēmumu pieņ</w:t>
      </w:r>
      <w:r w:rsidR="00C94B20">
        <w:rPr>
          <w:rFonts w:ascii="Times New Roman" w:hAnsi="Times New Roman"/>
          <w:sz w:val="24"/>
        </w:rPr>
        <w:t xml:space="preserve">emšanā. Lidosta </w:t>
      </w:r>
      <w:r w:rsidR="0083435A">
        <w:rPr>
          <w:rFonts w:ascii="Times New Roman" w:hAnsi="Times New Roman"/>
          <w:sz w:val="24"/>
        </w:rPr>
        <w:t>"</w:t>
      </w:r>
      <w:r w:rsidR="00C94B20">
        <w:rPr>
          <w:rFonts w:ascii="Times New Roman" w:hAnsi="Times New Roman"/>
          <w:sz w:val="24"/>
        </w:rPr>
        <w:t>Rīga</w:t>
      </w:r>
      <w:r w:rsidR="0083435A">
        <w:rPr>
          <w:rFonts w:ascii="Times New Roman" w:hAnsi="Times New Roman"/>
          <w:sz w:val="24"/>
        </w:rPr>
        <w:t>"</w:t>
      </w:r>
      <w:r w:rsidR="00C94B20">
        <w:rPr>
          <w:rFonts w:ascii="Times New Roman" w:hAnsi="Times New Roman"/>
          <w:sz w:val="24"/>
        </w:rPr>
        <w:t xml:space="preserve"> šā gada deviņos mēnešos ir apkalpojusi par 4,</w:t>
      </w:r>
      <w:r w:rsidRPr="000713A4">
        <w:rPr>
          <w:rFonts w:ascii="Times New Roman" w:hAnsi="Times New Roman"/>
          <w:sz w:val="24"/>
        </w:rPr>
        <w:t>7</w:t>
      </w:r>
      <w:r w:rsidR="0083435A">
        <w:rPr>
          <w:rFonts w:ascii="Times New Roman" w:hAnsi="Times New Roman"/>
          <w:sz w:val="24"/>
        </w:rPr>
        <w:t> </w:t>
      </w:r>
      <w:r w:rsidRPr="000713A4">
        <w:rPr>
          <w:rFonts w:ascii="Times New Roman" w:hAnsi="Times New Roman"/>
          <w:sz w:val="24"/>
        </w:rPr>
        <w:t>% vairāk pasažieru nekā 2015.</w:t>
      </w:r>
      <w:r w:rsidR="00C94B20">
        <w:rPr>
          <w:rFonts w:ascii="Times New Roman" w:hAnsi="Times New Roman"/>
          <w:sz w:val="24"/>
        </w:rPr>
        <w:t> </w:t>
      </w:r>
      <w:r w:rsidRPr="000713A4">
        <w:rPr>
          <w:rFonts w:ascii="Times New Roman" w:hAnsi="Times New Roman"/>
          <w:sz w:val="24"/>
        </w:rPr>
        <w:t>gada attiecīgajā periodā.</w:t>
      </w:r>
      <w:r w:rsidR="00716C26">
        <w:rPr>
          <w:rFonts w:ascii="Times New Roman" w:hAnsi="Times New Roman"/>
          <w:sz w:val="24"/>
        </w:rPr>
        <w:t xml:space="preserve"> </w:t>
      </w:r>
      <w:r w:rsidR="00716C26" w:rsidRPr="00716C26">
        <w:rPr>
          <w:rFonts w:ascii="Times New Roman" w:hAnsi="Times New Roman"/>
          <w:sz w:val="24"/>
        </w:rPr>
        <w:t>Nozīmīgs solis reģionālo lidostu attīstībā ir Liepājas lidostas sertifikācija regulāru lidojumu nod</w:t>
      </w:r>
      <w:r w:rsidR="00716C26">
        <w:rPr>
          <w:rFonts w:ascii="Times New Roman" w:hAnsi="Times New Roman"/>
          <w:sz w:val="24"/>
        </w:rPr>
        <w:t xml:space="preserve">rošināšanai, kas tika pabeigta </w:t>
      </w:r>
      <w:r w:rsidR="00716C26" w:rsidRPr="00716C26">
        <w:rPr>
          <w:rFonts w:ascii="Times New Roman" w:hAnsi="Times New Roman"/>
          <w:sz w:val="24"/>
        </w:rPr>
        <w:t>2016.</w:t>
      </w:r>
      <w:r w:rsidR="00C94B20">
        <w:rPr>
          <w:rFonts w:ascii="Times New Roman" w:hAnsi="Times New Roman"/>
          <w:sz w:val="24"/>
        </w:rPr>
        <w:t> </w:t>
      </w:r>
      <w:r w:rsidR="00066A12">
        <w:rPr>
          <w:rFonts w:ascii="Times New Roman" w:hAnsi="Times New Roman"/>
          <w:sz w:val="24"/>
        </w:rPr>
        <w:t>gada 19.</w:t>
      </w:r>
      <w:r w:rsidR="00C94B20">
        <w:rPr>
          <w:rFonts w:ascii="Times New Roman" w:hAnsi="Times New Roman"/>
          <w:sz w:val="24"/>
        </w:rPr>
        <w:t> </w:t>
      </w:r>
      <w:r w:rsidR="00066A12">
        <w:rPr>
          <w:rFonts w:ascii="Times New Roman" w:hAnsi="Times New Roman"/>
          <w:sz w:val="24"/>
        </w:rPr>
        <w:t>septembrī.</w:t>
      </w:r>
      <w:r w:rsidR="00716C26">
        <w:rPr>
          <w:rFonts w:ascii="Times New Roman" w:hAnsi="Times New Roman"/>
          <w:sz w:val="24"/>
        </w:rPr>
        <w:t xml:space="preserve"> </w:t>
      </w:r>
      <w:r w:rsidRPr="000713A4">
        <w:rPr>
          <w:rFonts w:ascii="Times New Roman" w:hAnsi="Times New Roman"/>
          <w:sz w:val="24"/>
        </w:rPr>
        <w:t>Aeronavigācijas jomā Eiropas Kopējo debesu projekta ietvaros kopīgi ar Ziemeļvalstu funkcionālā gaisa telpas bloka (NEFAB) valstīm 2015.</w:t>
      </w:r>
      <w:r w:rsidR="00C94B20">
        <w:rPr>
          <w:rFonts w:ascii="Times New Roman" w:hAnsi="Times New Roman"/>
          <w:sz w:val="24"/>
        </w:rPr>
        <w:t> </w:t>
      </w:r>
      <w:r w:rsidRPr="000713A4">
        <w:rPr>
          <w:rFonts w:ascii="Times New Roman" w:hAnsi="Times New Roman"/>
          <w:sz w:val="24"/>
        </w:rPr>
        <w:t xml:space="preserve">gada beigās ir ieviesta NEFAB valstu brīvo maršrutu gaisa telpa, tādējādi panākot aeronavigācijas izmaksu optimizāciju. </w:t>
      </w:r>
    </w:p>
    <w:p w14:paraId="38E2F7E7" w14:textId="77777777" w:rsidR="00C860B0" w:rsidRPr="002F3CB9" w:rsidRDefault="00C860B0" w:rsidP="00F353B7">
      <w:pPr>
        <w:jc w:val="both"/>
        <w:rPr>
          <w:rFonts w:cstheme="majorBidi"/>
          <w:szCs w:val="26"/>
        </w:rPr>
      </w:pPr>
    </w:p>
    <w:p w14:paraId="1DE45493" w14:textId="24475F90" w:rsidR="00E977BD" w:rsidRDefault="00E057ED" w:rsidP="00B02009">
      <w:pPr>
        <w:pStyle w:val="Heading2"/>
      </w:pPr>
      <w:bookmarkStart w:id="25" w:name="_Toc465349534"/>
      <w:bookmarkStart w:id="26" w:name="_Toc465089712"/>
      <w:r>
        <w:t> </w:t>
      </w:r>
      <w:bookmarkStart w:id="27" w:name="_Toc466466859"/>
      <w:r w:rsidR="005F0ADE">
        <w:t>Enerģētikas politika</w:t>
      </w:r>
      <w:bookmarkEnd w:id="25"/>
      <w:bookmarkEnd w:id="26"/>
      <w:bookmarkEnd w:id="27"/>
    </w:p>
    <w:p w14:paraId="5B8D5AFA" w14:textId="5309F298" w:rsidR="00C01DD0" w:rsidRPr="00C01DD0" w:rsidRDefault="00A746C9" w:rsidP="00C01DD0">
      <w:pPr>
        <w:jc w:val="both"/>
        <w:rPr>
          <w:rFonts w:ascii="Times New Roman" w:hAnsi="Times New Roman" w:cs="Times New Roman"/>
          <w:sz w:val="24"/>
          <w:szCs w:val="24"/>
        </w:rPr>
      </w:pPr>
      <w:r w:rsidRPr="00A746C9">
        <w:rPr>
          <w:rFonts w:ascii="Times New Roman" w:hAnsi="Times New Roman" w:cs="Times New Roman"/>
          <w:sz w:val="24"/>
          <w:szCs w:val="24"/>
        </w:rPr>
        <w:t>Valdības īstenotā enerģētikas politika ir vērsta uz tautsaimniecības k</w:t>
      </w:r>
      <w:r w:rsidR="004D60EC">
        <w:rPr>
          <w:rFonts w:ascii="Times New Roman" w:hAnsi="Times New Roman" w:cs="Times New Roman"/>
          <w:sz w:val="24"/>
          <w:szCs w:val="24"/>
        </w:rPr>
        <w:t>onkurētspējas stiprināšanu, tai</w:t>
      </w:r>
      <w:r w:rsidRPr="00A746C9">
        <w:rPr>
          <w:rFonts w:ascii="Times New Roman" w:hAnsi="Times New Roman" w:cs="Times New Roman"/>
          <w:sz w:val="24"/>
          <w:szCs w:val="24"/>
        </w:rPr>
        <w:t xml:space="preserve"> skaitā mazinot elektroenerģijas obligātā iepirkuma komponentes (OIK) negatīvo ietekmi uz Latvijas uzņēmumu konkurētspēju un iedzīvotāju dzīves līmeni. Valdības pieņemtie lēmumi nodrošina OIK saglabāšanu esošajā līmenī</w:t>
      </w:r>
      <w:r w:rsidR="0083435A">
        <w:rPr>
          <w:rFonts w:ascii="Times New Roman" w:hAnsi="Times New Roman" w:cs="Times New Roman"/>
          <w:sz w:val="24"/>
          <w:szCs w:val="24"/>
        </w:rPr>
        <w:t> </w:t>
      </w:r>
      <w:r w:rsidRPr="00A746C9">
        <w:rPr>
          <w:rFonts w:ascii="Times New Roman" w:hAnsi="Times New Roman" w:cs="Times New Roman"/>
          <w:sz w:val="24"/>
          <w:szCs w:val="24"/>
        </w:rPr>
        <w:t>– 26,79</w:t>
      </w:r>
      <w:r w:rsidR="00945A2F">
        <w:rPr>
          <w:rFonts w:ascii="Times New Roman" w:hAnsi="Times New Roman" w:cs="Times New Roman"/>
          <w:sz w:val="24"/>
          <w:szCs w:val="24"/>
        </w:rPr>
        <w:t> </w:t>
      </w:r>
      <w:proofErr w:type="spellStart"/>
      <w:r w:rsidRPr="0083435A">
        <w:rPr>
          <w:rFonts w:ascii="Times New Roman" w:hAnsi="Times New Roman" w:cs="Times New Roman"/>
          <w:i/>
          <w:sz w:val="24"/>
          <w:szCs w:val="24"/>
        </w:rPr>
        <w:t>euro</w:t>
      </w:r>
      <w:proofErr w:type="spellEnd"/>
      <w:r w:rsidRPr="00A746C9">
        <w:rPr>
          <w:rFonts w:ascii="Times New Roman" w:hAnsi="Times New Roman" w:cs="Times New Roman"/>
          <w:sz w:val="24"/>
          <w:szCs w:val="24"/>
        </w:rPr>
        <w:t>/</w:t>
      </w:r>
      <w:proofErr w:type="spellStart"/>
      <w:r w:rsidRPr="00A746C9">
        <w:rPr>
          <w:rFonts w:ascii="Times New Roman" w:hAnsi="Times New Roman" w:cs="Times New Roman"/>
          <w:sz w:val="24"/>
          <w:szCs w:val="24"/>
        </w:rPr>
        <w:t>MWh</w:t>
      </w:r>
      <w:proofErr w:type="spellEnd"/>
      <w:r w:rsidRPr="00A746C9">
        <w:rPr>
          <w:rFonts w:ascii="Times New Roman" w:hAnsi="Times New Roman" w:cs="Times New Roman"/>
          <w:sz w:val="24"/>
          <w:szCs w:val="24"/>
        </w:rPr>
        <w:t>. Bez valsts iejaukšanās 2017.</w:t>
      </w:r>
      <w:r w:rsidR="004D60EC">
        <w:rPr>
          <w:rFonts w:ascii="Times New Roman" w:hAnsi="Times New Roman" w:cs="Times New Roman"/>
          <w:sz w:val="24"/>
          <w:szCs w:val="24"/>
        </w:rPr>
        <w:t> </w:t>
      </w:r>
      <w:r w:rsidRPr="00A746C9">
        <w:rPr>
          <w:rFonts w:ascii="Times New Roman" w:hAnsi="Times New Roman" w:cs="Times New Roman"/>
          <w:sz w:val="24"/>
          <w:szCs w:val="24"/>
        </w:rPr>
        <w:t xml:space="preserve">gadā OIK </w:t>
      </w:r>
      <w:r w:rsidR="00DB6C34">
        <w:rPr>
          <w:rFonts w:ascii="Times New Roman" w:hAnsi="Times New Roman" w:cs="Times New Roman"/>
          <w:sz w:val="24"/>
          <w:szCs w:val="24"/>
        </w:rPr>
        <w:t>sasniegtu</w:t>
      </w:r>
      <w:r w:rsidR="00DB6C34" w:rsidRPr="00A746C9">
        <w:rPr>
          <w:rFonts w:ascii="Times New Roman" w:hAnsi="Times New Roman" w:cs="Times New Roman"/>
          <w:sz w:val="24"/>
          <w:szCs w:val="24"/>
        </w:rPr>
        <w:t xml:space="preserve"> </w:t>
      </w:r>
      <w:r w:rsidRPr="00A746C9">
        <w:rPr>
          <w:rFonts w:ascii="Times New Roman" w:hAnsi="Times New Roman" w:cs="Times New Roman"/>
          <w:sz w:val="24"/>
          <w:szCs w:val="24"/>
        </w:rPr>
        <w:t>36,93</w:t>
      </w:r>
      <w:r w:rsidR="00945A2F">
        <w:rPr>
          <w:rFonts w:ascii="Times New Roman" w:hAnsi="Times New Roman" w:cs="Times New Roman"/>
          <w:sz w:val="24"/>
          <w:szCs w:val="24"/>
        </w:rPr>
        <w:t> </w:t>
      </w:r>
      <w:proofErr w:type="spellStart"/>
      <w:r w:rsidRPr="0083435A">
        <w:rPr>
          <w:rFonts w:ascii="Times New Roman" w:hAnsi="Times New Roman" w:cs="Times New Roman"/>
          <w:i/>
          <w:sz w:val="24"/>
          <w:szCs w:val="24"/>
        </w:rPr>
        <w:t>euro</w:t>
      </w:r>
      <w:proofErr w:type="spellEnd"/>
      <w:r w:rsidRPr="00A746C9">
        <w:rPr>
          <w:rFonts w:ascii="Times New Roman" w:hAnsi="Times New Roman" w:cs="Times New Roman"/>
          <w:sz w:val="24"/>
          <w:szCs w:val="24"/>
        </w:rPr>
        <w:t>/</w:t>
      </w:r>
      <w:proofErr w:type="spellStart"/>
      <w:r w:rsidRPr="00A746C9">
        <w:rPr>
          <w:rFonts w:ascii="Times New Roman" w:hAnsi="Times New Roman" w:cs="Times New Roman"/>
          <w:sz w:val="24"/>
          <w:szCs w:val="24"/>
        </w:rPr>
        <w:t>MWh</w:t>
      </w:r>
      <w:proofErr w:type="spellEnd"/>
      <w:r w:rsidRPr="00A746C9">
        <w:rPr>
          <w:rFonts w:ascii="Times New Roman" w:hAnsi="Times New Roman" w:cs="Times New Roman"/>
          <w:sz w:val="24"/>
          <w:szCs w:val="24"/>
        </w:rPr>
        <w:t>, uzrādot konstantu pieauguma tendenci arī turpmākajos gados.</w:t>
      </w:r>
      <w:r w:rsidR="001B7419">
        <w:rPr>
          <w:rFonts w:ascii="Times New Roman" w:hAnsi="Times New Roman" w:cs="Times New Roman"/>
          <w:sz w:val="24"/>
          <w:szCs w:val="24"/>
        </w:rPr>
        <w:t xml:space="preserve"> </w:t>
      </w:r>
      <w:r w:rsidR="00A74786">
        <w:rPr>
          <w:rFonts w:ascii="Times New Roman" w:hAnsi="Times New Roman" w:cs="Times New Roman"/>
          <w:sz w:val="24"/>
          <w:szCs w:val="24"/>
        </w:rPr>
        <w:t>Šogad</w:t>
      </w:r>
      <w:r w:rsidR="00C01DD0" w:rsidRPr="00C01DD0">
        <w:rPr>
          <w:rFonts w:ascii="Times New Roman" w:hAnsi="Times New Roman" w:cs="Times New Roman"/>
          <w:sz w:val="24"/>
          <w:szCs w:val="24"/>
        </w:rPr>
        <w:t xml:space="preserve"> valdība </w:t>
      </w:r>
      <w:r w:rsidR="00560E6F">
        <w:rPr>
          <w:rFonts w:ascii="Times New Roman" w:hAnsi="Times New Roman" w:cs="Times New Roman"/>
          <w:sz w:val="24"/>
          <w:szCs w:val="24"/>
        </w:rPr>
        <w:t>pieņēma lēmumu par</w:t>
      </w:r>
      <w:r w:rsidR="00560E6F" w:rsidRPr="00C01DD0">
        <w:rPr>
          <w:rFonts w:ascii="Times New Roman" w:hAnsi="Times New Roman" w:cs="Times New Roman"/>
          <w:sz w:val="24"/>
          <w:szCs w:val="24"/>
        </w:rPr>
        <w:t xml:space="preserve"> nepieciešamā</w:t>
      </w:r>
      <w:r w:rsidR="00560E6F">
        <w:rPr>
          <w:rFonts w:ascii="Times New Roman" w:hAnsi="Times New Roman" w:cs="Times New Roman"/>
          <w:sz w:val="24"/>
          <w:szCs w:val="24"/>
        </w:rPr>
        <w:t>m</w:t>
      </w:r>
      <w:r w:rsidR="00560E6F" w:rsidRPr="00C01DD0">
        <w:rPr>
          <w:rFonts w:ascii="Times New Roman" w:hAnsi="Times New Roman" w:cs="Times New Roman"/>
          <w:sz w:val="24"/>
          <w:szCs w:val="24"/>
        </w:rPr>
        <w:t xml:space="preserve"> izmaiņ</w:t>
      </w:r>
      <w:r w:rsidR="00560E6F">
        <w:rPr>
          <w:rFonts w:ascii="Times New Roman" w:hAnsi="Times New Roman" w:cs="Times New Roman"/>
          <w:sz w:val="24"/>
          <w:szCs w:val="24"/>
        </w:rPr>
        <w:t>ām</w:t>
      </w:r>
      <w:r w:rsidR="00C01DD0" w:rsidRPr="00C01DD0">
        <w:rPr>
          <w:rFonts w:ascii="Times New Roman" w:hAnsi="Times New Roman" w:cs="Times New Roman"/>
          <w:sz w:val="24"/>
          <w:szCs w:val="24"/>
        </w:rPr>
        <w:t xml:space="preserve"> pašreizējā valsts atbalsta regulējumā, kas ļaus novērst </w:t>
      </w:r>
      <w:proofErr w:type="spellStart"/>
      <w:r w:rsidR="00C01DD0" w:rsidRPr="00C01DD0">
        <w:rPr>
          <w:rFonts w:ascii="Times New Roman" w:hAnsi="Times New Roman" w:cs="Times New Roman"/>
          <w:sz w:val="24"/>
          <w:szCs w:val="24"/>
        </w:rPr>
        <w:t>pārkompensāciju</w:t>
      </w:r>
      <w:proofErr w:type="spellEnd"/>
      <w:r w:rsidR="00C01DD0" w:rsidRPr="00C01DD0">
        <w:rPr>
          <w:rFonts w:ascii="Times New Roman" w:hAnsi="Times New Roman" w:cs="Times New Roman"/>
          <w:sz w:val="24"/>
          <w:szCs w:val="24"/>
        </w:rPr>
        <w:t xml:space="preserve"> elektroenerģijas ražošanai no atjaunojamiem energoresursiem un augstas efektivitātes koģenerācijā, </w:t>
      </w:r>
      <w:r w:rsidR="00F639BF">
        <w:rPr>
          <w:rFonts w:ascii="Times New Roman" w:hAnsi="Times New Roman" w:cs="Times New Roman"/>
          <w:sz w:val="24"/>
          <w:szCs w:val="24"/>
        </w:rPr>
        <w:t>kā arī</w:t>
      </w:r>
      <w:r w:rsidR="00F639BF" w:rsidRPr="00C01DD0">
        <w:rPr>
          <w:rFonts w:ascii="Times New Roman" w:hAnsi="Times New Roman" w:cs="Times New Roman"/>
          <w:sz w:val="24"/>
          <w:szCs w:val="24"/>
        </w:rPr>
        <w:t xml:space="preserve"> </w:t>
      </w:r>
      <w:r w:rsidR="00C01DD0" w:rsidRPr="00C01DD0">
        <w:rPr>
          <w:rFonts w:ascii="Times New Roman" w:hAnsi="Times New Roman" w:cs="Times New Roman"/>
          <w:sz w:val="24"/>
          <w:szCs w:val="24"/>
        </w:rPr>
        <w:t xml:space="preserve">ierobežos turpmākus </w:t>
      </w:r>
      <w:r w:rsidR="006D727B" w:rsidRPr="00C01DD0">
        <w:rPr>
          <w:rFonts w:ascii="Times New Roman" w:hAnsi="Times New Roman" w:cs="Times New Roman"/>
          <w:sz w:val="24"/>
          <w:szCs w:val="24"/>
        </w:rPr>
        <w:t xml:space="preserve">elektroenerģijas </w:t>
      </w:r>
      <w:r w:rsidR="00C01DD0" w:rsidRPr="00C01DD0">
        <w:rPr>
          <w:rFonts w:ascii="Times New Roman" w:hAnsi="Times New Roman" w:cs="Times New Roman"/>
          <w:sz w:val="24"/>
          <w:szCs w:val="24"/>
        </w:rPr>
        <w:t>cenu pieauguma riskus. Tāpat valdībā ir atbalstīts jauns OIK finansēšanas modelis, ar 2017.</w:t>
      </w:r>
      <w:r w:rsidR="004D60EC">
        <w:rPr>
          <w:rFonts w:ascii="Times New Roman" w:hAnsi="Times New Roman" w:cs="Times New Roman"/>
          <w:sz w:val="24"/>
          <w:szCs w:val="24"/>
        </w:rPr>
        <w:t> </w:t>
      </w:r>
      <w:r w:rsidR="00C01DD0" w:rsidRPr="00C01DD0">
        <w:rPr>
          <w:rFonts w:ascii="Times New Roman" w:hAnsi="Times New Roman" w:cs="Times New Roman"/>
          <w:sz w:val="24"/>
          <w:szCs w:val="24"/>
        </w:rPr>
        <w:t>gada 1.</w:t>
      </w:r>
      <w:r w:rsidR="004D60EC">
        <w:rPr>
          <w:rFonts w:ascii="Times New Roman" w:hAnsi="Times New Roman" w:cs="Times New Roman"/>
          <w:sz w:val="24"/>
          <w:szCs w:val="24"/>
        </w:rPr>
        <w:t> </w:t>
      </w:r>
      <w:r w:rsidR="00C01DD0" w:rsidRPr="00C01DD0">
        <w:rPr>
          <w:rFonts w:ascii="Times New Roman" w:hAnsi="Times New Roman" w:cs="Times New Roman"/>
          <w:sz w:val="24"/>
          <w:szCs w:val="24"/>
        </w:rPr>
        <w:t xml:space="preserve">aprīli paredzot OIK maksājumu diferencēšanu pēc elektroenerģijas patēriņa un pieprasītās pieslēguma jaudas. Patērētājiem, kas efektīvi izmanto elektroenerģijas pieslēguma jaudas, OIK maksājumi samazināsies. Šī modeļa ieviešana nodrošinās konkurētspējīgu elektroenerģijas cenu </w:t>
      </w:r>
      <w:proofErr w:type="spellStart"/>
      <w:r w:rsidR="00C01DD0" w:rsidRPr="00C01DD0">
        <w:rPr>
          <w:rFonts w:ascii="Times New Roman" w:hAnsi="Times New Roman" w:cs="Times New Roman"/>
          <w:sz w:val="24"/>
          <w:szCs w:val="24"/>
        </w:rPr>
        <w:t>energointensīviem</w:t>
      </w:r>
      <w:proofErr w:type="spellEnd"/>
      <w:r w:rsidR="00C01DD0" w:rsidRPr="00C01DD0">
        <w:rPr>
          <w:rFonts w:ascii="Times New Roman" w:hAnsi="Times New Roman" w:cs="Times New Roman"/>
          <w:sz w:val="24"/>
          <w:szCs w:val="24"/>
        </w:rPr>
        <w:t xml:space="preserve"> uzņēmumiem, elektroenerģijas rēķinu samazināšanos vairumam mājsaimniecību, kā arī </w:t>
      </w:r>
      <w:r w:rsidR="00560E6F">
        <w:rPr>
          <w:rFonts w:ascii="Times New Roman" w:hAnsi="Times New Roman" w:cs="Times New Roman"/>
          <w:sz w:val="24"/>
          <w:szCs w:val="24"/>
        </w:rPr>
        <w:t xml:space="preserve">uzlabos elektroenerģijas pieslēgumu efektivitāti un </w:t>
      </w:r>
      <w:r w:rsidR="00C01DD0" w:rsidRPr="00C01DD0">
        <w:rPr>
          <w:rFonts w:ascii="Times New Roman" w:hAnsi="Times New Roman" w:cs="Times New Roman"/>
          <w:sz w:val="24"/>
          <w:szCs w:val="24"/>
        </w:rPr>
        <w:t xml:space="preserve">kopējās elektroenerģijas apgādes sistēmas sakārtošanu. </w:t>
      </w:r>
      <w:r w:rsidR="00560E6F">
        <w:rPr>
          <w:rFonts w:ascii="Times New Roman" w:hAnsi="Times New Roman" w:cs="Times New Roman"/>
          <w:sz w:val="24"/>
          <w:szCs w:val="24"/>
        </w:rPr>
        <w:t>U</w:t>
      </w:r>
      <w:r w:rsidR="00560E6F" w:rsidRPr="00C01DD0">
        <w:rPr>
          <w:rFonts w:ascii="Times New Roman" w:hAnsi="Times New Roman" w:cs="Times New Roman"/>
          <w:sz w:val="24"/>
          <w:szCs w:val="24"/>
        </w:rPr>
        <w:t xml:space="preserve">zsāktas </w:t>
      </w:r>
      <w:r w:rsidR="00C01DD0" w:rsidRPr="00C01DD0">
        <w:rPr>
          <w:rFonts w:ascii="Times New Roman" w:hAnsi="Times New Roman" w:cs="Times New Roman"/>
          <w:sz w:val="24"/>
          <w:szCs w:val="24"/>
        </w:rPr>
        <w:t xml:space="preserve">diskusijas ar valdības sociālajiem un sadarbības partneriem par </w:t>
      </w:r>
      <w:r w:rsidR="00560E6F" w:rsidRPr="00C01DD0">
        <w:rPr>
          <w:rFonts w:ascii="Times New Roman" w:hAnsi="Times New Roman" w:cs="Times New Roman"/>
          <w:sz w:val="24"/>
          <w:szCs w:val="24"/>
        </w:rPr>
        <w:t>jaun</w:t>
      </w:r>
      <w:r w:rsidR="00560E6F">
        <w:rPr>
          <w:rFonts w:ascii="Times New Roman" w:hAnsi="Times New Roman" w:cs="Times New Roman"/>
          <w:sz w:val="24"/>
          <w:szCs w:val="24"/>
        </w:rPr>
        <w:t>a</w:t>
      </w:r>
      <w:r w:rsidR="00C01DD0" w:rsidRPr="00C01DD0">
        <w:rPr>
          <w:rFonts w:ascii="Times New Roman" w:hAnsi="Times New Roman" w:cs="Times New Roman"/>
          <w:sz w:val="24"/>
          <w:szCs w:val="24"/>
        </w:rPr>
        <w:t xml:space="preserve">, </w:t>
      </w:r>
      <w:r w:rsidR="00560E6F" w:rsidRPr="00C01DD0">
        <w:rPr>
          <w:rFonts w:ascii="Times New Roman" w:hAnsi="Times New Roman" w:cs="Times New Roman"/>
          <w:sz w:val="24"/>
          <w:szCs w:val="24"/>
        </w:rPr>
        <w:t>ilgtspējīg</w:t>
      </w:r>
      <w:r w:rsidR="00560E6F">
        <w:rPr>
          <w:rFonts w:ascii="Times New Roman" w:hAnsi="Times New Roman" w:cs="Times New Roman"/>
          <w:sz w:val="24"/>
          <w:szCs w:val="24"/>
        </w:rPr>
        <w:t>a</w:t>
      </w:r>
      <w:r w:rsidR="00560E6F" w:rsidRPr="00C01DD0">
        <w:rPr>
          <w:rFonts w:ascii="Times New Roman" w:hAnsi="Times New Roman" w:cs="Times New Roman"/>
          <w:sz w:val="24"/>
          <w:szCs w:val="24"/>
        </w:rPr>
        <w:t xml:space="preserve"> </w:t>
      </w:r>
      <w:r w:rsidR="00C01DD0" w:rsidRPr="00C01DD0">
        <w:rPr>
          <w:rFonts w:ascii="Times New Roman" w:hAnsi="Times New Roman" w:cs="Times New Roman"/>
          <w:sz w:val="24"/>
          <w:szCs w:val="24"/>
        </w:rPr>
        <w:t xml:space="preserve">atjaunojamo energoresursu atbalsta </w:t>
      </w:r>
      <w:r w:rsidR="00560E6F" w:rsidRPr="00C01DD0">
        <w:rPr>
          <w:rFonts w:ascii="Times New Roman" w:hAnsi="Times New Roman" w:cs="Times New Roman"/>
          <w:sz w:val="24"/>
          <w:szCs w:val="24"/>
        </w:rPr>
        <w:t>mehānism</w:t>
      </w:r>
      <w:r w:rsidR="00560E6F">
        <w:rPr>
          <w:rFonts w:ascii="Times New Roman" w:hAnsi="Times New Roman" w:cs="Times New Roman"/>
          <w:sz w:val="24"/>
          <w:szCs w:val="24"/>
        </w:rPr>
        <w:t>a nepieciešamību</w:t>
      </w:r>
      <w:r w:rsidR="00C01DD0" w:rsidRPr="00C01DD0">
        <w:rPr>
          <w:rFonts w:ascii="Times New Roman" w:hAnsi="Times New Roman" w:cs="Times New Roman"/>
          <w:sz w:val="24"/>
          <w:szCs w:val="24"/>
        </w:rPr>
        <w:t xml:space="preserve">, kura izstrāde </w:t>
      </w:r>
      <w:r w:rsidR="00560E6F">
        <w:rPr>
          <w:rFonts w:ascii="Times New Roman" w:hAnsi="Times New Roman" w:cs="Times New Roman"/>
          <w:sz w:val="24"/>
          <w:szCs w:val="24"/>
        </w:rPr>
        <w:t>ir</w:t>
      </w:r>
      <w:r w:rsidR="00C01DD0" w:rsidRPr="00C01DD0">
        <w:rPr>
          <w:rFonts w:ascii="Times New Roman" w:hAnsi="Times New Roman" w:cs="Times New Roman"/>
          <w:sz w:val="24"/>
          <w:szCs w:val="24"/>
        </w:rPr>
        <w:t xml:space="preserve"> plānota 2017.</w:t>
      </w:r>
      <w:r w:rsidR="004D60EC">
        <w:rPr>
          <w:rFonts w:ascii="Times New Roman" w:hAnsi="Times New Roman" w:cs="Times New Roman"/>
          <w:sz w:val="24"/>
          <w:szCs w:val="24"/>
        </w:rPr>
        <w:t> </w:t>
      </w:r>
      <w:r w:rsidR="00C01DD0" w:rsidRPr="00C01DD0">
        <w:rPr>
          <w:rFonts w:ascii="Times New Roman" w:hAnsi="Times New Roman" w:cs="Times New Roman"/>
          <w:sz w:val="24"/>
          <w:szCs w:val="24"/>
        </w:rPr>
        <w:t xml:space="preserve">gadā. </w:t>
      </w:r>
    </w:p>
    <w:p w14:paraId="58E7FEE9" w14:textId="3A6F3525" w:rsidR="00C01DD0" w:rsidRPr="00C01DD0" w:rsidRDefault="00C01DD0" w:rsidP="00C01DD0">
      <w:pPr>
        <w:jc w:val="both"/>
        <w:rPr>
          <w:rFonts w:ascii="Times New Roman" w:hAnsi="Times New Roman" w:cs="Times New Roman"/>
          <w:sz w:val="24"/>
          <w:szCs w:val="24"/>
        </w:rPr>
      </w:pPr>
      <w:r w:rsidRPr="00C01DD0">
        <w:rPr>
          <w:rFonts w:ascii="Times New Roman" w:hAnsi="Times New Roman" w:cs="Times New Roman"/>
          <w:sz w:val="24"/>
          <w:szCs w:val="24"/>
        </w:rPr>
        <w:t>Notiek</w:t>
      </w:r>
      <w:r w:rsidR="00194304">
        <w:rPr>
          <w:rFonts w:ascii="Times New Roman" w:hAnsi="Times New Roman" w:cs="Times New Roman"/>
          <w:sz w:val="24"/>
          <w:szCs w:val="24"/>
        </w:rPr>
        <w:t xml:space="preserve"> </w:t>
      </w:r>
      <w:r w:rsidRPr="00C01DD0">
        <w:rPr>
          <w:rFonts w:ascii="Times New Roman" w:hAnsi="Times New Roman" w:cs="Times New Roman"/>
          <w:sz w:val="24"/>
          <w:szCs w:val="24"/>
        </w:rPr>
        <w:t>aktīvs darbs pie dabasgāzes tirgus atvēršanas un normatīvā regulējuma izstrādes dabasgāzes tirgus darbībai brīvā tirgus apstākļos. Dabasgāzes tirgus Latvijā tiks atvērts no 2017.</w:t>
      </w:r>
      <w:r w:rsidR="004D60EC">
        <w:rPr>
          <w:rFonts w:ascii="Times New Roman" w:hAnsi="Times New Roman" w:cs="Times New Roman"/>
          <w:sz w:val="24"/>
          <w:szCs w:val="24"/>
        </w:rPr>
        <w:t> </w:t>
      </w:r>
      <w:r w:rsidRPr="00C01DD0">
        <w:rPr>
          <w:rFonts w:ascii="Times New Roman" w:hAnsi="Times New Roman" w:cs="Times New Roman"/>
          <w:sz w:val="24"/>
          <w:szCs w:val="24"/>
        </w:rPr>
        <w:t>gada 3.</w:t>
      </w:r>
      <w:r w:rsidR="004D60EC">
        <w:rPr>
          <w:rFonts w:ascii="Times New Roman" w:hAnsi="Times New Roman" w:cs="Times New Roman"/>
          <w:sz w:val="24"/>
          <w:szCs w:val="24"/>
        </w:rPr>
        <w:t> </w:t>
      </w:r>
      <w:r w:rsidRPr="00C01DD0">
        <w:rPr>
          <w:rFonts w:ascii="Times New Roman" w:hAnsi="Times New Roman" w:cs="Times New Roman"/>
          <w:sz w:val="24"/>
          <w:szCs w:val="24"/>
        </w:rPr>
        <w:t>aprīļa, palielinot piegāžu drošību, stiprinot valsts enerģētisko neatkarību un ES vienoto dabasgāzes tirgu</w:t>
      </w:r>
      <w:r w:rsidR="001C71F2">
        <w:rPr>
          <w:rFonts w:ascii="Times New Roman" w:hAnsi="Times New Roman" w:cs="Times New Roman"/>
          <w:sz w:val="24"/>
          <w:szCs w:val="24"/>
        </w:rPr>
        <w:t xml:space="preserve">, kā arī </w:t>
      </w:r>
      <w:r w:rsidR="001C71F2">
        <w:rPr>
          <w:rFonts w:ascii="Times New Roman" w:hAnsi="Times New Roman" w:cs="Times New Roman"/>
          <w:sz w:val="24"/>
        </w:rPr>
        <w:t>veicinot Latvijas gāzes tirgus konkurētspēju un radot likvīda gāzes tirgus apstākļus</w:t>
      </w:r>
      <w:r w:rsidRPr="00C01DD0">
        <w:rPr>
          <w:rFonts w:ascii="Times New Roman" w:hAnsi="Times New Roman" w:cs="Times New Roman"/>
          <w:sz w:val="24"/>
          <w:szCs w:val="24"/>
        </w:rPr>
        <w:t xml:space="preserve">. Lai noteiktu labākos valsts līdzdalības risinājumus energoapgādes drošuma paaugstināšanai dabasgāzes jomā, šobrīd tiek veikta esošās energoapgādes sistēmas analīze, vērtētas reģionālā gāzes tirgus attīstības tendences un valstij stratēģiski svarīgas dabasgāzes infrastruktūras īpašumtiesību aspekti. </w:t>
      </w:r>
      <w:r w:rsidR="00A74786">
        <w:rPr>
          <w:rFonts w:ascii="Times New Roman" w:hAnsi="Times New Roman" w:cs="Times New Roman"/>
          <w:sz w:val="24"/>
          <w:szCs w:val="24"/>
        </w:rPr>
        <w:t>2016.</w:t>
      </w:r>
      <w:r w:rsidR="004D60EC">
        <w:rPr>
          <w:rFonts w:ascii="Times New Roman" w:hAnsi="Times New Roman" w:cs="Times New Roman"/>
          <w:sz w:val="24"/>
          <w:szCs w:val="24"/>
        </w:rPr>
        <w:t> </w:t>
      </w:r>
      <w:r w:rsidR="00A74786">
        <w:rPr>
          <w:rFonts w:ascii="Times New Roman" w:hAnsi="Times New Roman" w:cs="Times New Roman"/>
          <w:sz w:val="24"/>
          <w:szCs w:val="24"/>
        </w:rPr>
        <w:t>gada</w:t>
      </w:r>
      <w:r w:rsidRPr="00C01DD0">
        <w:rPr>
          <w:rFonts w:ascii="Times New Roman" w:hAnsi="Times New Roman" w:cs="Times New Roman"/>
          <w:sz w:val="24"/>
          <w:szCs w:val="24"/>
        </w:rPr>
        <w:t xml:space="preserve"> nogalē valdībā paredzēts lemt par turpmākajiem risinājumiem attiecībā uz vienotā dabasgāzes pārvades un uzglabāšanas operatora akciju iegādi. </w:t>
      </w:r>
    </w:p>
    <w:p w14:paraId="518DE611" w14:textId="6021CBC5" w:rsidR="001C71F2" w:rsidRDefault="00FA0DD3" w:rsidP="001C71F2">
      <w:pPr>
        <w:jc w:val="both"/>
        <w:rPr>
          <w:rFonts w:ascii="Times New Roman" w:hAnsi="Times New Roman" w:cs="Times New Roman"/>
          <w:sz w:val="24"/>
          <w:szCs w:val="24"/>
        </w:rPr>
      </w:pPr>
      <w:r>
        <w:rPr>
          <w:rFonts w:ascii="Times New Roman" w:hAnsi="Times New Roman" w:cs="Times New Roman"/>
          <w:sz w:val="24"/>
          <w:szCs w:val="24"/>
        </w:rPr>
        <w:lastRenderedPageBreak/>
        <w:t>L</w:t>
      </w:r>
      <w:r w:rsidRPr="00AA4B1B">
        <w:rPr>
          <w:rFonts w:ascii="Times New Roman" w:hAnsi="Times New Roman" w:cs="Times New Roman"/>
          <w:sz w:val="24"/>
          <w:szCs w:val="24"/>
        </w:rPr>
        <w:t xml:space="preserve">ai mazinātu Baltijas reģiona atkarību no </w:t>
      </w:r>
      <w:r>
        <w:rPr>
          <w:rFonts w:ascii="Times New Roman" w:hAnsi="Times New Roman" w:cs="Times New Roman"/>
          <w:sz w:val="24"/>
          <w:szCs w:val="24"/>
        </w:rPr>
        <w:t xml:space="preserve">viena </w:t>
      </w:r>
      <w:r w:rsidRPr="00AA4B1B">
        <w:rPr>
          <w:rFonts w:ascii="Times New Roman" w:hAnsi="Times New Roman" w:cs="Times New Roman"/>
          <w:sz w:val="24"/>
          <w:szCs w:val="24"/>
        </w:rPr>
        <w:t xml:space="preserve">dominējošā gāzes piegādātāja un dažādotu gāzes </w:t>
      </w:r>
      <w:r>
        <w:rPr>
          <w:rFonts w:ascii="Times New Roman" w:hAnsi="Times New Roman" w:cs="Times New Roman"/>
          <w:sz w:val="24"/>
          <w:szCs w:val="24"/>
        </w:rPr>
        <w:t xml:space="preserve">un elektroenerģijas </w:t>
      </w:r>
      <w:r w:rsidRPr="00AA4B1B">
        <w:rPr>
          <w:rFonts w:ascii="Times New Roman" w:hAnsi="Times New Roman" w:cs="Times New Roman"/>
          <w:sz w:val="24"/>
          <w:szCs w:val="24"/>
        </w:rPr>
        <w:t>piegādes ceļus un avotus, tādējādi nod</w:t>
      </w:r>
      <w:r>
        <w:rPr>
          <w:rFonts w:ascii="Times New Roman" w:hAnsi="Times New Roman" w:cs="Times New Roman"/>
          <w:sz w:val="24"/>
          <w:szCs w:val="24"/>
        </w:rPr>
        <w:t xml:space="preserve">rošinot gāzes un elektroenerģijas piegādes drošību un stiprinot </w:t>
      </w:r>
      <w:r w:rsidRPr="00AA4B1B">
        <w:rPr>
          <w:rFonts w:ascii="Times New Roman" w:hAnsi="Times New Roman" w:cs="Times New Roman"/>
          <w:sz w:val="24"/>
          <w:szCs w:val="24"/>
        </w:rPr>
        <w:t>gāzes</w:t>
      </w:r>
      <w:r>
        <w:rPr>
          <w:rFonts w:ascii="Times New Roman" w:hAnsi="Times New Roman" w:cs="Times New Roman"/>
          <w:sz w:val="24"/>
          <w:szCs w:val="24"/>
        </w:rPr>
        <w:t xml:space="preserve"> un elektroenerģijas</w:t>
      </w:r>
      <w:r w:rsidRPr="00AA4B1B">
        <w:rPr>
          <w:rFonts w:ascii="Times New Roman" w:hAnsi="Times New Roman" w:cs="Times New Roman"/>
          <w:sz w:val="24"/>
          <w:szCs w:val="24"/>
        </w:rPr>
        <w:t xml:space="preserve"> tirgu</w:t>
      </w:r>
      <w:r>
        <w:rPr>
          <w:rFonts w:ascii="Times New Roman" w:hAnsi="Times New Roman" w:cs="Times New Roman"/>
          <w:sz w:val="24"/>
          <w:szCs w:val="24"/>
        </w:rPr>
        <w:t>s</w:t>
      </w:r>
      <w:r w:rsidRPr="006F7C88">
        <w:rPr>
          <w:rFonts w:ascii="Times New Roman" w:hAnsi="Times New Roman" w:cs="Times New Roman"/>
          <w:sz w:val="24"/>
          <w:szCs w:val="24"/>
        </w:rPr>
        <w:t xml:space="preserve"> </w:t>
      </w:r>
      <w:r>
        <w:rPr>
          <w:rFonts w:ascii="Times New Roman" w:hAnsi="Times New Roman" w:cs="Times New Roman"/>
          <w:sz w:val="24"/>
          <w:szCs w:val="24"/>
        </w:rPr>
        <w:t>likviditāti, t</w:t>
      </w:r>
      <w:r w:rsidR="001C71F2">
        <w:rPr>
          <w:rFonts w:ascii="Times New Roman" w:hAnsi="Times New Roman" w:cs="Times New Roman"/>
          <w:sz w:val="24"/>
          <w:szCs w:val="24"/>
        </w:rPr>
        <w:t xml:space="preserve">iek </w:t>
      </w:r>
      <w:r>
        <w:rPr>
          <w:rFonts w:ascii="Times New Roman" w:hAnsi="Times New Roman" w:cs="Times New Roman"/>
          <w:sz w:val="24"/>
          <w:szCs w:val="24"/>
        </w:rPr>
        <w:t xml:space="preserve">sekmēta </w:t>
      </w:r>
      <w:proofErr w:type="gramStart"/>
      <w:r w:rsidR="001C71F2" w:rsidRPr="00AA4B1B">
        <w:rPr>
          <w:rFonts w:ascii="Times New Roman" w:hAnsi="Times New Roman" w:cs="Times New Roman"/>
          <w:sz w:val="24"/>
          <w:szCs w:val="24"/>
        </w:rPr>
        <w:t xml:space="preserve">enerģētikas infrastruktūras ES kopīgu </w:t>
      </w:r>
      <w:r w:rsidR="004D60EC">
        <w:rPr>
          <w:rFonts w:ascii="Times New Roman" w:hAnsi="Times New Roman" w:cs="Times New Roman"/>
          <w:sz w:val="24"/>
          <w:szCs w:val="24"/>
        </w:rPr>
        <w:t>interešu projektu</w:t>
      </w:r>
      <w:proofErr w:type="gramEnd"/>
      <w:r w:rsidR="0083435A">
        <w:rPr>
          <w:rFonts w:ascii="Times New Roman" w:hAnsi="Times New Roman" w:cs="Times New Roman"/>
          <w:sz w:val="24"/>
          <w:szCs w:val="24"/>
        </w:rPr>
        <w:t> </w:t>
      </w:r>
      <w:r w:rsidR="004D60EC">
        <w:rPr>
          <w:rFonts w:ascii="Times New Roman" w:hAnsi="Times New Roman" w:cs="Times New Roman"/>
          <w:sz w:val="24"/>
          <w:szCs w:val="24"/>
        </w:rPr>
        <w:t xml:space="preserve">– </w:t>
      </w:r>
      <w:r w:rsidR="001C71F2">
        <w:rPr>
          <w:rFonts w:ascii="Times New Roman" w:hAnsi="Times New Roman" w:cs="Times New Roman"/>
          <w:sz w:val="24"/>
          <w:szCs w:val="24"/>
        </w:rPr>
        <w:t>Kurzemes loka 3.</w:t>
      </w:r>
      <w:r w:rsidR="004D60EC">
        <w:rPr>
          <w:rFonts w:ascii="Times New Roman" w:hAnsi="Times New Roman" w:cs="Times New Roman"/>
          <w:sz w:val="24"/>
          <w:szCs w:val="24"/>
        </w:rPr>
        <w:t> </w:t>
      </w:r>
      <w:r w:rsidR="001C71F2">
        <w:rPr>
          <w:rFonts w:ascii="Times New Roman" w:hAnsi="Times New Roman" w:cs="Times New Roman"/>
          <w:sz w:val="24"/>
          <w:szCs w:val="24"/>
        </w:rPr>
        <w:t>kārtas, Igaunijas</w:t>
      </w:r>
      <w:r w:rsidR="0083435A">
        <w:rPr>
          <w:rFonts w:ascii="Times New Roman" w:hAnsi="Times New Roman" w:cs="Times New Roman"/>
          <w:sz w:val="24"/>
          <w:szCs w:val="24"/>
        </w:rPr>
        <w:t>–</w:t>
      </w:r>
      <w:r w:rsidR="001C71F2">
        <w:rPr>
          <w:rFonts w:ascii="Times New Roman" w:hAnsi="Times New Roman" w:cs="Times New Roman"/>
          <w:sz w:val="24"/>
          <w:szCs w:val="24"/>
        </w:rPr>
        <w:t>Latvijas 3.</w:t>
      </w:r>
      <w:r w:rsidR="004D60EC">
        <w:rPr>
          <w:rFonts w:ascii="Times New Roman" w:hAnsi="Times New Roman" w:cs="Times New Roman"/>
          <w:sz w:val="24"/>
          <w:szCs w:val="24"/>
        </w:rPr>
        <w:t> </w:t>
      </w:r>
      <w:r w:rsidR="001C71F2">
        <w:rPr>
          <w:rFonts w:ascii="Times New Roman" w:hAnsi="Times New Roman" w:cs="Times New Roman"/>
          <w:sz w:val="24"/>
          <w:szCs w:val="24"/>
        </w:rPr>
        <w:t>starpsavienoju</w:t>
      </w:r>
      <w:r w:rsidR="00062404">
        <w:rPr>
          <w:rFonts w:ascii="Times New Roman" w:hAnsi="Times New Roman" w:cs="Times New Roman"/>
          <w:sz w:val="24"/>
          <w:szCs w:val="24"/>
        </w:rPr>
        <w:t>ma, Baltijas koridora, Lietuvas</w:t>
      </w:r>
      <w:r w:rsidR="0083435A">
        <w:rPr>
          <w:rFonts w:ascii="Times New Roman" w:hAnsi="Times New Roman" w:cs="Times New Roman"/>
          <w:sz w:val="24"/>
          <w:szCs w:val="24"/>
        </w:rPr>
        <w:t>–</w:t>
      </w:r>
      <w:r w:rsidR="001C71F2">
        <w:rPr>
          <w:rFonts w:ascii="Times New Roman" w:hAnsi="Times New Roman" w:cs="Times New Roman"/>
          <w:sz w:val="24"/>
          <w:szCs w:val="24"/>
        </w:rPr>
        <w:t>Polijas gāzes starpsavienojuma, Inčukalna pazemes gāzes krātuves modernizācijas, Latvijas</w:t>
      </w:r>
      <w:r w:rsidR="0083435A">
        <w:rPr>
          <w:rFonts w:ascii="Times New Roman" w:hAnsi="Times New Roman" w:cs="Times New Roman"/>
          <w:sz w:val="24"/>
          <w:szCs w:val="24"/>
        </w:rPr>
        <w:t>–</w:t>
      </w:r>
      <w:r w:rsidR="001C71F2">
        <w:rPr>
          <w:rFonts w:ascii="Times New Roman" w:hAnsi="Times New Roman" w:cs="Times New Roman"/>
          <w:sz w:val="24"/>
          <w:szCs w:val="24"/>
        </w:rPr>
        <w:t xml:space="preserve">Lietuvas gāzes starpsavienojuma pilnveidošanas un </w:t>
      </w:r>
      <w:r w:rsidR="001C71F2" w:rsidRPr="00AA4B1B">
        <w:rPr>
          <w:rFonts w:ascii="Times New Roman" w:hAnsi="Times New Roman" w:cs="Times New Roman"/>
          <w:sz w:val="24"/>
          <w:szCs w:val="24"/>
        </w:rPr>
        <w:t>Somijas</w:t>
      </w:r>
      <w:r w:rsidR="0083435A">
        <w:rPr>
          <w:rFonts w:ascii="Times New Roman" w:hAnsi="Times New Roman" w:cs="Times New Roman"/>
          <w:sz w:val="24"/>
          <w:szCs w:val="24"/>
        </w:rPr>
        <w:t>–</w:t>
      </w:r>
      <w:r w:rsidR="001C71F2">
        <w:rPr>
          <w:rFonts w:ascii="Times New Roman" w:hAnsi="Times New Roman" w:cs="Times New Roman"/>
          <w:sz w:val="24"/>
          <w:szCs w:val="24"/>
        </w:rPr>
        <w:t>Igaunijas gāzes starpsavienojuma</w:t>
      </w:r>
      <w:r w:rsidR="001C71F2" w:rsidRPr="00AA4B1B">
        <w:rPr>
          <w:rFonts w:ascii="Times New Roman" w:hAnsi="Times New Roman" w:cs="Times New Roman"/>
          <w:sz w:val="24"/>
          <w:szCs w:val="24"/>
        </w:rPr>
        <w:t xml:space="preserve"> </w:t>
      </w:r>
      <w:proofErr w:type="spellStart"/>
      <w:r w:rsidR="001C71F2" w:rsidRPr="00AA4B1B">
        <w:rPr>
          <w:rFonts w:ascii="Times New Roman" w:hAnsi="Times New Roman" w:cs="Times New Roman"/>
          <w:i/>
          <w:sz w:val="24"/>
          <w:szCs w:val="24"/>
        </w:rPr>
        <w:t>Balticconnector</w:t>
      </w:r>
      <w:proofErr w:type="spellEnd"/>
      <w:r w:rsidR="00062404">
        <w:rPr>
          <w:rFonts w:ascii="Times New Roman" w:hAnsi="Times New Roman" w:cs="Times New Roman"/>
          <w:sz w:val="24"/>
          <w:szCs w:val="24"/>
        </w:rPr>
        <w:t xml:space="preserve"> – </w:t>
      </w:r>
      <w:r w:rsidR="001C71F2">
        <w:rPr>
          <w:rFonts w:ascii="Times New Roman" w:hAnsi="Times New Roman" w:cs="Times New Roman"/>
          <w:sz w:val="24"/>
          <w:szCs w:val="24"/>
        </w:rPr>
        <w:t>turpmāka attīstība</w:t>
      </w:r>
      <w:r w:rsidR="001C71F2" w:rsidRPr="00AA4B1B">
        <w:rPr>
          <w:rFonts w:ascii="Times New Roman" w:hAnsi="Times New Roman" w:cs="Times New Roman"/>
          <w:sz w:val="24"/>
          <w:szCs w:val="24"/>
        </w:rPr>
        <w:t xml:space="preserve"> reģionā un nodrošināt</w:t>
      </w:r>
      <w:r w:rsidR="001C71F2">
        <w:rPr>
          <w:rFonts w:ascii="Times New Roman" w:hAnsi="Times New Roman" w:cs="Times New Roman"/>
          <w:sz w:val="24"/>
          <w:szCs w:val="24"/>
        </w:rPr>
        <w:t>a to ieviešanas uzraudzība</w:t>
      </w:r>
      <w:r w:rsidR="001C71F2" w:rsidRPr="00AA4B1B">
        <w:rPr>
          <w:rFonts w:ascii="Times New Roman" w:hAnsi="Times New Roman" w:cs="Times New Roman"/>
          <w:sz w:val="24"/>
          <w:szCs w:val="24"/>
        </w:rPr>
        <w:t xml:space="preserve"> Latvijā</w:t>
      </w:r>
      <w:r>
        <w:rPr>
          <w:rFonts w:ascii="Times New Roman" w:hAnsi="Times New Roman" w:cs="Times New Roman"/>
          <w:sz w:val="24"/>
          <w:szCs w:val="24"/>
        </w:rPr>
        <w:t xml:space="preserve">. </w:t>
      </w:r>
    </w:p>
    <w:p w14:paraId="1E180E18" w14:textId="46AD0BD1" w:rsidR="00F4517C" w:rsidRPr="00C01DD0" w:rsidRDefault="003427B0" w:rsidP="001C71F2">
      <w:pPr>
        <w:jc w:val="both"/>
        <w:rPr>
          <w:rFonts w:ascii="Times New Roman" w:hAnsi="Times New Roman" w:cs="Times New Roman"/>
          <w:sz w:val="24"/>
          <w:szCs w:val="24"/>
        </w:rPr>
      </w:pPr>
      <w:r>
        <w:rPr>
          <w:rFonts w:ascii="Times New Roman" w:hAnsi="Times New Roman" w:cs="Times New Roman"/>
          <w:sz w:val="24"/>
          <w:szCs w:val="24"/>
        </w:rPr>
        <w:t xml:space="preserve">Veicinot </w:t>
      </w:r>
      <w:r w:rsidR="00F4517C" w:rsidRPr="00FB2874">
        <w:rPr>
          <w:rFonts w:ascii="Times New Roman" w:hAnsi="Times New Roman" w:cs="Times New Roman"/>
          <w:sz w:val="24"/>
          <w:szCs w:val="24"/>
        </w:rPr>
        <w:t>racionālu energoresursu izmantošanu un pārvaldību, pēc Energ</w:t>
      </w:r>
      <w:r w:rsidR="00F4517C">
        <w:rPr>
          <w:rFonts w:ascii="Times New Roman" w:hAnsi="Times New Roman" w:cs="Times New Roman"/>
          <w:sz w:val="24"/>
          <w:szCs w:val="24"/>
        </w:rPr>
        <w:t xml:space="preserve">oefektivitātes likuma stāšanās </w:t>
      </w:r>
      <w:r w:rsidR="00945A2F">
        <w:rPr>
          <w:rFonts w:ascii="Times New Roman" w:hAnsi="Times New Roman" w:cs="Times New Roman"/>
          <w:sz w:val="24"/>
          <w:szCs w:val="24"/>
        </w:rPr>
        <w:t>spēkā 2016.</w:t>
      </w:r>
      <w:r w:rsidR="004D60EC">
        <w:rPr>
          <w:rFonts w:ascii="Times New Roman" w:hAnsi="Times New Roman" w:cs="Times New Roman"/>
          <w:sz w:val="24"/>
          <w:szCs w:val="24"/>
        </w:rPr>
        <w:t> </w:t>
      </w:r>
      <w:r w:rsidR="00945A2F">
        <w:rPr>
          <w:rFonts w:ascii="Times New Roman" w:hAnsi="Times New Roman" w:cs="Times New Roman"/>
          <w:sz w:val="24"/>
          <w:szCs w:val="24"/>
        </w:rPr>
        <w:t>gada martā</w:t>
      </w:r>
      <w:r w:rsidR="00F4517C">
        <w:rPr>
          <w:rFonts w:ascii="Times New Roman" w:hAnsi="Times New Roman" w:cs="Times New Roman"/>
          <w:sz w:val="24"/>
          <w:szCs w:val="24"/>
        </w:rPr>
        <w:t xml:space="preserve"> valdība ir </w:t>
      </w:r>
      <w:r w:rsidR="00FA0DD3">
        <w:rPr>
          <w:rFonts w:ascii="Times New Roman" w:hAnsi="Times New Roman" w:cs="Times New Roman"/>
          <w:sz w:val="24"/>
          <w:szCs w:val="24"/>
        </w:rPr>
        <w:t xml:space="preserve">pieņēmusi normatīvo regulējumu </w:t>
      </w:r>
      <w:r w:rsidR="00F4517C">
        <w:rPr>
          <w:rFonts w:ascii="Times New Roman" w:hAnsi="Times New Roman" w:cs="Times New Roman"/>
          <w:sz w:val="24"/>
          <w:szCs w:val="24"/>
        </w:rPr>
        <w:t>energoefektivitātes jomā, t.</w:t>
      </w:r>
      <w:r w:rsidR="0083435A">
        <w:rPr>
          <w:rFonts w:ascii="Times New Roman" w:hAnsi="Times New Roman" w:cs="Times New Roman"/>
          <w:sz w:val="24"/>
          <w:szCs w:val="24"/>
        </w:rPr>
        <w:t> </w:t>
      </w:r>
      <w:r w:rsidR="00F4517C">
        <w:rPr>
          <w:rFonts w:ascii="Times New Roman" w:hAnsi="Times New Roman" w:cs="Times New Roman"/>
          <w:sz w:val="24"/>
          <w:szCs w:val="24"/>
        </w:rPr>
        <w:t xml:space="preserve">sk. attiecībā uz uzņēmumu </w:t>
      </w:r>
      <w:proofErr w:type="spellStart"/>
      <w:r w:rsidR="00F4517C">
        <w:rPr>
          <w:rFonts w:ascii="Times New Roman" w:hAnsi="Times New Roman" w:cs="Times New Roman"/>
          <w:sz w:val="24"/>
          <w:szCs w:val="24"/>
        </w:rPr>
        <w:t>energoauditiem</w:t>
      </w:r>
      <w:proofErr w:type="spellEnd"/>
      <w:r w:rsidR="00F4517C">
        <w:rPr>
          <w:rFonts w:ascii="Times New Roman" w:hAnsi="Times New Roman" w:cs="Times New Roman"/>
          <w:sz w:val="24"/>
          <w:szCs w:val="24"/>
        </w:rPr>
        <w:t>, brīvprātīgo vienošanos energoefektivitātes uzlabošanai u.</w:t>
      </w:r>
      <w:r w:rsidR="0083435A">
        <w:rPr>
          <w:rFonts w:ascii="Times New Roman" w:hAnsi="Times New Roman" w:cs="Times New Roman"/>
          <w:sz w:val="24"/>
          <w:szCs w:val="24"/>
        </w:rPr>
        <w:t> </w:t>
      </w:r>
      <w:r w:rsidR="00F4517C">
        <w:rPr>
          <w:rFonts w:ascii="Times New Roman" w:hAnsi="Times New Roman" w:cs="Times New Roman"/>
          <w:sz w:val="24"/>
          <w:szCs w:val="24"/>
        </w:rPr>
        <w:t>c. Vienlaikus t</w:t>
      </w:r>
      <w:r w:rsidR="00F4517C" w:rsidRPr="00C01DD0">
        <w:rPr>
          <w:rFonts w:ascii="Times New Roman" w:hAnsi="Times New Roman" w:cs="Times New Roman"/>
          <w:sz w:val="24"/>
          <w:szCs w:val="24"/>
        </w:rPr>
        <w:t xml:space="preserve">urpinās darbs pie energoefektivitātes pienākumu shēmas izveidošanas, lai nodrošinātu </w:t>
      </w:r>
      <w:r w:rsidR="00F4517C">
        <w:rPr>
          <w:rFonts w:ascii="Times New Roman" w:hAnsi="Times New Roman" w:cs="Times New Roman"/>
          <w:sz w:val="24"/>
          <w:szCs w:val="24"/>
        </w:rPr>
        <w:t xml:space="preserve">ES </w:t>
      </w:r>
      <w:r w:rsidR="00F4517C" w:rsidRPr="00C01DD0">
        <w:rPr>
          <w:rFonts w:ascii="Times New Roman" w:hAnsi="Times New Roman" w:cs="Times New Roman"/>
          <w:sz w:val="24"/>
          <w:szCs w:val="24"/>
        </w:rPr>
        <w:t>Energo</w:t>
      </w:r>
      <w:r w:rsidR="0083435A">
        <w:rPr>
          <w:rFonts w:ascii="Times New Roman" w:hAnsi="Times New Roman" w:cs="Times New Roman"/>
          <w:sz w:val="24"/>
          <w:szCs w:val="24"/>
        </w:rPr>
        <w:softHyphen/>
      </w:r>
      <w:r w:rsidR="00F4517C" w:rsidRPr="00C01DD0">
        <w:rPr>
          <w:rFonts w:ascii="Times New Roman" w:hAnsi="Times New Roman" w:cs="Times New Roman"/>
          <w:sz w:val="24"/>
          <w:szCs w:val="24"/>
        </w:rPr>
        <w:t xml:space="preserve">efektivitātes Direktīvas prasību pārņemšanu un virzību uz valsts energoefektivitātes mērķu </w:t>
      </w:r>
      <w:r w:rsidR="0083435A" w:rsidRPr="00C01DD0">
        <w:rPr>
          <w:rFonts w:ascii="Times New Roman" w:hAnsi="Times New Roman" w:cs="Times New Roman"/>
          <w:sz w:val="24"/>
          <w:szCs w:val="24"/>
        </w:rPr>
        <w:t xml:space="preserve">sasniegšanu </w:t>
      </w:r>
      <w:r w:rsidR="00F4517C" w:rsidRPr="00C01DD0">
        <w:rPr>
          <w:rFonts w:ascii="Times New Roman" w:hAnsi="Times New Roman" w:cs="Times New Roman"/>
          <w:sz w:val="24"/>
          <w:szCs w:val="24"/>
        </w:rPr>
        <w:t>2020.</w:t>
      </w:r>
      <w:r w:rsidR="004D60EC">
        <w:rPr>
          <w:rFonts w:ascii="Times New Roman" w:hAnsi="Times New Roman" w:cs="Times New Roman"/>
          <w:sz w:val="24"/>
          <w:szCs w:val="24"/>
        </w:rPr>
        <w:t> </w:t>
      </w:r>
      <w:r w:rsidR="00F4517C" w:rsidRPr="00C01DD0">
        <w:rPr>
          <w:rFonts w:ascii="Times New Roman" w:hAnsi="Times New Roman" w:cs="Times New Roman"/>
          <w:sz w:val="24"/>
          <w:szCs w:val="24"/>
        </w:rPr>
        <w:t>gad</w:t>
      </w:r>
      <w:r w:rsidR="0083435A">
        <w:rPr>
          <w:rFonts w:ascii="Times New Roman" w:hAnsi="Times New Roman" w:cs="Times New Roman"/>
          <w:sz w:val="24"/>
          <w:szCs w:val="24"/>
        </w:rPr>
        <w:t>ā</w:t>
      </w:r>
      <w:r w:rsidR="00F4517C" w:rsidRPr="00C01DD0">
        <w:rPr>
          <w:rFonts w:ascii="Times New Roman" w:hAnsi="Times New Roman" w:cs="Times New Roman"/>
          <w:sz w:val="24"/>
          <w:szCs w:val="24"/>
        </w:rPr>
        <w:t>.</w:t>
      </w:r>
    </w:p>
    <w:p w14:paraId="607DC9A7" w14:textId="09C7922B" w:rsidR="003427B0" w:rsidRDefault="00C01DD0" w:rsidP="003427B0">
      <w:pPr>
        <w:jc w:val="both"/>
        <w:rPr>
          <w:color w:val="000000"/>
        </w:rPr>
      </w:pPr>
      <w:r w:rsidRPr="00C01DD0">
        <w:rPr>
          <w:rFonts w:ascii="Times New Roman" w:hAnsi="Times New Roman" w:cs="Times New Roman"/>
          <w:sz w:val="24"/>
          <w:szCs w:val="24"/>
        </w:rPr>
        <w:t xml:space="preserve">Lai paaugstinātu energoefektivitāti publiskajā un privātajā sektorā, ir apstiprinātas vairākas </w:t>
      </w:r>
      <w:r w:rsidR="004D2F5C">
        <w:rPr>
          <w:rFonts w:ascii="Times New Roman" w:hAnsi="Times New Roman" w:cs="Times New Roman"/>
          <w:sz w:val="24"/>
          <w:szCs w:val="24"/>
        </w:rPr>
        <w:t xml:space="preserve">EM izstrādātās </w:t>
      </w:r>
      <w:r w:rsidRPr="00C01DD0">
        <w:rPr>
          <w:rFonts w:ascii="Times New Roman" w:hAnsi="Times New Roman" w:cs="Times New Roman"/>
          <w:sz w:val="24"/>
          <w:szCs w:val="24"/>
        </w:rPr>
        <w:t xml:space="preserve">ES fondu atbalsta programmas, kas vienlaikus stimulēs arī būvniecības nozares attīstību. Atbalstam </w:t>
      </w:r>
      <w:r w:rsidR="0095390D">
        <w:rPr>
          <w:rFonts w:ascii="Times New Roman" w:hAnsi="Times New Roman" w:cs="Times New Roman"/>
          <w:sz w:val="24"/>
          <w:szCs w:val="24"/>
        </w:rPr>
        <w:t>energoefektivitātes paaugstināšanai</w:t>
      </w:r>
      <w:r w:rsidR="0095390D" w:rsidRPr="00C01DD0">
        <w:rPr>
          <w:rFonts w:ascii="Times New Roman" w:hAnsi="Times New Roman" w:cs="Times New Roman"/>
          <w:sz w:val="24"/>
          <w:szCs w:val="24"/>
        </w:rPr>
        <w:t xml:space="preserve"> la</w:t>
      </w:r>
      <w:r w:rsidR="0095390D">
        <w:rPr>
          <w:rFonts w:ascii="Times New Roman" w:hAnsi="Times New Roman" w:cs="Times New Roman"/>
          <w:sz w:val="24"/>
          <w:szCs w:val="24"/>
        </w:rPr>
        <w:t>ikpo</w:t>
      </w:r>
      <w:r w:rsidR="00E822D0">
        <w:rPr>
          <w:rFonts w:ascii="Times New Roman" w:hAnsi="Times New Roman" w:cs="Times New Roman"/>
          <w:sz w:val="24"/>
          <w:szCs w:val="24"/>
        </w:rPr>
        <w:t>sm</w:t>
      </w:r>
      <w:r w:rsidR="0095390D">
        <w:rPr>
          <w:rFonts w:ascii="Times New Roman" w:hAnsi="Times New Roman" w:cs="Times New Roman"/>
          <w:sz w:val="24"/>
          <w:szCs w:val="24"/>
        </w:rPr>
        <w:t>ā no 2016.</w:t>
      </w:r>
      <w:r w:rsidR="00E822D0">
        <w:rPr>
          <w:rFonts w:ascii="Times New Roman" w:hAnsi="Times New Roman" w:cs="Times New Roman"/>
          <w:sz w:val="24"/>
          <w:szCs w:val="24"/>
        </w:rPr>
        <w:t xml:space="preserve"> gada </w:t>
      </w:r>
      <w:r w:rsidR="0095390D">
        <w:rPr>
          <w:rFonts w:ascii="Times New Roman" w:hAnsi="Times New Roman" w:cs="Times New Roman"/>
          <w:sz w:val="24"/>
          <w:szCs w:val="24"/>
        </w:rPr>
        <w:t>līdz 2023.</w:t>
      </w:r>
      <w:r w:rsidR="004D60EC">
        <w:rPr>
          <w:rFonts w:ascii="Times New Roman" w:hAnsi="Times New Roman" w:cs="Times New Roman"/>
          <w:sz w:val="24"/>
          <w:szCs w:val="24"/>
        </w:rPr>
        <w:t> </w:t>
      </w:r>
      <w:r w:rsidR="0095390D" w:rsidRPr="00C01DD0">
        <w:rPr>
          <w:rFonts w:ascii="Times New Roman" w:hAnsi="Times New Roman" w:cs="Times New Roman"/>
          <w:sz w:val="24"/>
          <w:szCs w:val="24"/>
        </w:rPr>
        <w:t xml:space="preserve">gadam </w:t>
      </w:r>
      <w:r w:rsidR="0095390D">
        <w:rPr>
          <w:rFonts w:ascii="Times New Roman" w:hAnsi="Times New Roman" w:cs="Times New Roman"/>
          <w:sz w:val="24"/>
          <w:szCs w:val="24"/>
        </w:rPr>
        <w:t>dažādos ēku sekt</w:t>
      </w:r>
      <w:r w:rsidR="00062404">
        <w:rPr>
          <w:rFonts w:ascii="Times New Roman" w:hAnsi="Times New Roman" w:cs="Times New Roman"/>
          <w:sz w:val="24"/>
          <w:szCs w:val="24"/>
        </w:rPr>
        <w:t>oros būs pieejam</w:t>
      </w:r>
      <w:r w:rsidR="0083435A">
        <w:rPr>
          <w:rFonts w:ascii="Times New Roman" w:hAnsi="Times New Roman" w:cs="Times New Roman"/>
          <w:sz w:val="24"/>
          <w:szCs w:val="24"/>
        </w:rPr>
        <w:t>s</w:t>
      </w:r>
      <w:r w:rsidR="00062404">
        <w:rPr>
          <w:rFonts w:ascii="Times New Roman" w:hAnsi="Times New Roman" w:cs="Times New Roman"/>
          <w:sz w:val="24"/>
          <w:szCs w:val="24"/>
        </w:rPr>
        <w:t xml:space="preserve"> </w:t>
      </w:r>
      <w:r w:rsidR="0083435A">
        <w:rPr>
          <w:rFonts w:ascii="Times New Roman" w:hAnsi="Times New Roman" w:cs="Times New Roman"/>
          <w:sz w:val="24"/>
          <w:szCs w:val="24"/>
        </w:rPr>
        <w:t xml:space="preserve">publiskais finansējums </w:t>
      </w:r>
      <w:r w:rsidR="00062404">
        <w:rPr>
          <w:rFonts w:ascii="Times New Roman" w:hAnsi="Times New Roman" w:cs="Times New Roman"/>
          <w:sz w:val="24"/>
          <w:szCs w:val="24"/>
        </w:rPr>
        <w:t xml:space="preserve">vairāk </w:t>
      </w:r>
      <w:r w:rsidR="0083435A">
        <w:rPr>
          <w:rFonts w:ascii="Times New Roman" w:hAnsi="Times New Roman" w:cs="Times New Roman"/>
          <w:sz w:val="24"/>
          <w:szCs w:val="24"/>
        </w:rPr>
        <w:t>ne</w:t>
      </w:r>
      <w:r w:rsidR="00062404">
        <w:rPr>
          <w:rFonts w:ascii="Times New Roman" w:hAnsi="Times New Roman" w:cs="Times New Roman"/>
          <w:sz w:val="24"/>
          <w:szCs w:val="24"/>
        </w:rPr>
        <w:t>kā 300</w:t>
      </w:r>
      <w:r w:rsidR="00716B0D">
        <w:rPr>
          <w:rFonts w:ascii="Times New Roman" w:hAnsi="Times New Roman" w:cs="Times New Roman"/>
          <w:sz w:val="24"/>
          <w:szCs w:val="24"/>
        </w:rPr>
        <w:t> milj.</w:t>
      </w:r>
      <w:r w:rsidR="0095390D">
        <w:rPr>
          <w:rFonts w:ascii="Times New Roman" w:hAnsi="Times New Roman" w:cs="Times New Roman"/>
          <w:sz w:val="24"/>
          <w:szCs w:val="24"/>
        </w:rPr>
        <w:t xml:space="preserve"> </w:t>
      </w:r>
      <w:proofErr w:type="spellStart"/>
      <w:r w:rsidR="0095390D" w:rsidRPr="00AF24F4">
        <w:rPr>
          <w:rFonts w:ascii="Times New Roman" w:hAnsi="Times New Roman" w:cs="Times New Roman"/>
          <w:i/>
          <w:sz w:val="24"/>
          <w:szCs w:val="24"/>
        </w:rPr>
        <w:t>euro</w:t>
      </w:r>
      <w:proofErr w:type="spellEnd"/>
      <w:r w:rsidR="0083435A">
        <w:rPr>
          <w:rFonts w:ascii="Times New Roman" w:hAnsi="Times New Roman" w:cs="Times New Roman"/>
          <w:i/>
          <w:sz w:val="24"/>
          <w:szCs w:val="24"/>
        </w:rPr>
        <w:t xml:space="preserve"> </w:t>
      </w:r>
      <w:r w:rsidR="0083435A">
        <w:rPr>
          <w:rFonts w:ascii="Times New Roman" w:hAnsi="Times New Roman" w:cs="Times New Roman"/>
          <w:sz w:val="24"/>
          <w:szCs w:val="24"/>
        </w:rPr>
        <w:t>apmērā</w:t>
      </w:r>
      <w:r w:rsidR="004629E6">
        <w:rPr>
          <w:rFonts w:ascii="Times New Roman" w:hAnsi="Times New Roman" w:cs="Times New Roman"/>
          <w:sz w:val="24"/>
          <w:szCs w:val="24"/>
        </w:rPr>
        <w:t>:</w:t>
      </w:r>
      <w:r w:rsidR="0083435A">
        <w:rPr>
          <w:rFonts w:ascii="Times New Roman" w:hAnsi="Times New Roman" w:cs="Times New Roman"/>
          <w:sz w:val="24"/>
          <w:szCs w:val="24"/>
        </w:rPr>
        <w:t xml:space="preserve"> </w:t>
      </w:r>
      <w:r w:rsidRPr="00C01DD0">
        <w:rPr>
          <w:rFonts w:ascii="Times New Roman" w:hAnsi="Times New Roman" w:cs="Times New Roman"/>
          <w:sz w:val="24"/>
          <w:szCs w:val="24"/>
        </w:rPr>
        <w:t xml:space="preserve">daudzdzīvokļu </w:t>
      </w:r>
      <w:r w:rsidR="0095390D">
        <w:rPr>
          <w:rFonts w:ascii="Times New Roman" w:hAnsi="Times New Roman" w:cs="Times New Roman"/>
          <w:sz w:val="24"/>
          <w:szCs w:val="24"/>
        </w:rPr>
        <w:t>dzīvojamo</w:t>
      </w:r>
      <w:r w:rsidR="00062404">
        <w:rPr>
          <w:rFonts w:ascii="Times New Roman" w:hAnsi="Times New Roman" w:cs="Times New Roman"/>
          <w:sz w:val="24"/>
          <w:szCs w:val="24"/>
        </w:rPr>
        <w:t xml:space="preserve"> ēku renovācijai </w:t>
      </w:r>
      <w:r w:rsidR="004629E6">
        <w:rPr>
          <w:rFonts w:ascii="Times New Roman" w:hAnsi="Times New Roman" w:cs="Times New Roman"/>
          <w:sz w:val="24"/>
          <w:szCs w:val="24"/>
        </w:rPr>
        <w:t xml:space="preserve">– </w:t>
      </w:r>
      <w:r w:rsidR="00062404">
        <w:rPr>
          <w:rFonts w:ascii="Times New Roman" w:hAnsi="Times New Roman" w:cs="Times New Roman"/>
          <w:sz w:val="24"/>
          <w:szCs w:val="24"/>
        </w:rPr>
        <w:t>166</w:t>
      </w:r>
      <w:r w:rsidR="00716B0D">
        <w:rPr>
          <w:rFonts w:ascii="Times New Roman" w:hAnsi="Times New Roman" w:cs="Times New Roman"/>
          <w:sz w:val="24"/>
          <w:szCs w:val="24"/>
        </w:rPr>
        <w:t> milj.</w:t>
      </w:r>
      <w:r w:rsidR="00062404">
        <w:rPr>
          <w:rFonts w:ascii="Times New Roman" w:hAnsi="Times New Roman" w:cs="Times New Roman"/>
          <w:sz w:val="24"/>
          <w:szCs w:val="24"/>
        </w:rPr>
        <w:t> </w:t>
      </w:r>
      <w:proofErr w:type="spellStart"/>
      <w:r w:rsidRPr="00A74786">
        <w:rPr>
          <w:rFonts w:ascii="Times New Roman" w:hAnsi="Times New Roman" w:cs="Times New Roman"/>
          <w:i/>
          <w:sz w:val="24"/>
          <w:szCs w:val="24"/>
        </w:rPr>
        <w:t>euro</w:t>
      </w:r>
      <w:proofErr w:type="spellEnd"/>
      <w:r w:rsidR="0095390D">
        <w:rPr>
          <w:rFonts w:ascii="Times New Roman" w:hAnsi="Times New Roman" w:cs="Times New Roman"/>
          <w:i/>
          <w:sz w:val="24"/>
          <w:szCs w:val="24"/>
        </w:rPr>
        <w:t xml:space="preserve">, </w:t>
      </w:r>
      <w:r w:rsidR="0095390D">
        <w:rPr>
          <w:rFonts w:ascii="Times New Roman" w:hAnsi="Times New Roman" w:cs="Times New Roman"/>
          <w:sz w:val="24"/>
          <w:szCs w:val="24"/>
        </w:rPr>
        <w:t xml:space="preserve">valsts ēkām </w:t>
      </w:r>
      <w:r w:rsidR="004629E6">
        <w:rPr>
          <w:rFonts w:ascii="Times New Roman" w:hAnsi="Times New Roman" w:cs="Times New Roman"/>
          <w:sz w:val="24"/>
          <w:szCs w:val="24"/>
        </w:rPr>
        <w:t xml:space="preserve">– </w:t>
      </w:r>
      <w:r w:rsidR="0095390D">
        <w:rPr>
          <w:rFonts w:ascii="Times New Roman" w:hAnsi="Times New Roman" w:cs="Times New Roman"/>
          <w:sz w:val="24"/>
          <w:szCs w:val="24"/>
        </w:rPr>
        <w:t>97,8</w:t>
      </w:r>
      <w:r w:rsidR="00716B0D">
        <w:rPr>
          <w:rFonts w:ascii="Times New Roman" w:hAnsi="Times New Roman" w:cs="Times New Roman"/>
          <w:sz w:val="24"/>
          <w:szCs w:val="24"/>
        </w:rPr>
        <w:t> milj.</w:t>
      </w:r>
      <w:r w:rsidR="004629E6">
        <w:rPr>
          <w:rFonts w:ascii="Times New Roman" w:hAnsi="Times New Roman" w:cs="Times New Roman"/>
          <w:sz w:val="24"/>
          <w:szCs w:val="24"/>
        </w:rPr>
        <w:t> </w:t>
      </w:r>
      <w:proofErr w:type="spellStart"/>
      <w:r w:rsidR="0095390D" w:rsidRPr="00AB6DFC">
        <w:rPr>
          <w:rFonts w:ascii="Times New Roman" w:hAnsi="Times New Roman" w:cs="Times New Roman"/>
          <w:i/>
          <w:sz w:val="24"/>
          <w:szCs w:val="24"/>
        </w:rPr>
        <w:t>euro</w:t>
      </w:r>
      <w:proofErr w:type="spellEnd"/>
      <w:r w:rsidR="00945A2F">
        <w:rPr>
          <w:rFonts w:ascii="Times New Roman" w:hAnsi="Times New Roman" w:cs="Times New Roman"/>
          <w:i/>
          <w:sz w:val="24"/>
          <w:szCs w:val="24"/>
        </w:rPr>
        <w:t>,</w:t>
      </w:r>
      <w:r w:rsidR="0095390D">
        <w:rPr>
          <w:rFonts w:ascii="Times New Roman" w:hAnsi="Times New Roman" w:cs="Times New Roman"/>
          <w:i/>
          <w:sz w:val="24"/>
          <w:szCs w:val="24"/>
        </w:rPr>
        <w:t xml:space="preserve"> </w:t>
      </w:r>
      <w:r w:rsidR="0095390D" w:rsidRPr="00AB6DFC">
        <w:rPr>
          <w:rFonts w:ascii="Times New Roman" w:hAnsi="Times New Roman" w:cs="Times New Roman"/>
          <w:sz w:val="24"/>
          <w:szCs w:val="24"/>
        </w:rPr>
        <w:t>pašvaldību ēkām</w:t>
      </w:r>
      <w:r w:rsidR="004629E6">
        <w:rPr>
          <w:rFonts w:ascii="Times New Roman" w:hAnsi="Times New Roman" w:cs="Times New Roman"/>
          <w:sz w:val="24"/>
          <w:szCs w:val="24"/>
        </w:rPr>
        <w:t xml:space="preserve"> – </w:t>
      </w:r>
      <w:r w:rsidR="0095390D">
        <w:rPr>
          <w:rFonts w:ascii="Times New Roman" w:hAnsi="Times New Roman" w:cs="Times New Roman"/>
          <w:sz w:val="24"/>
          <w:szCs w:val="24"/>
        </w:rPr>
        <w:t>46,9</w:t>
      </w:r>
      <w:r w:rsidR="00716B0D">
        <w:rPr>
          <w:rFonts w:ascii="Times New Roman" w:hAnsi="Times New Roman" w:cs="Times New Roman"/>
          <w:sz w:val="24"/>
          <w:szCs w:val="24"/>
        </w:rPr>
        <w:t> milj.</w:t>
      </w:r>
      <w:r w:rsidR="004629E6">
        <w:rPr>
          <w:rFonts w:ascii="Times New Roman" w:hAnsi="Times New Roman" w:cs="Times New Roman"/>
          <w:sz w:val="24"/>
          <w:szCs w:val="24"/>
        </w:rPr>
        <w:t> </w:t>
      </w:r>
      <w:proofErr w:type="spellStart"/>
      <w:r w:rsidR="0095390D" w:rsidRPr="00AB6DFC">
        <w:rPr>
          <w:rFonts w:ascii="Times New Roman" w:hAnsi="Times New Roman" w:cs="Times New Roman"/>
          <w:i/>
          <w:sz w:val="24"/>
          <w:szCs w:val="24"/>
        </w:rPr>
        <w:t>euro</w:t>
      </w:r>
      <w:proofErr w:type="spellEnd"/>
      <w:r w:rsidR="0095390D">
        <w:rPr>
          <w:rFonts w:ascii="Times New Roman" w:hAnsi="Times New Roman" w:cs="Times New Roman"/>
          <w:sz w:val="24"/>
          <w:szCs w:val="24"/>
        </w:rPr>
        <w:t xml:space="preserve"> un </w:t>
      </w:r>
      <w:r w:rsidR="0095390D" w:rsidRPr="00C01DD0">
        <w:rPr>
          <w:rFonts w:ascii="Times New Roman" w:hAnsi="Times New Roman" w:cs="Times New Roman"/>
          <w:sz w:val="24"/>
          <w:szCs w:val="24"/>
        </w:rPr>
        <w:t>apstrādes rūpniecības komersant</w:t>
      </w:r>
      <w:r w:rsidR="0095390D">
        <w:rPr>
          <w:rFonts w:ascii="Times New Roman" w:hAnsi="Times New Roman" w:cs="Times New Roman"/>
          <w:sz w:val="24"/>
          <w:szCs w:val="24"/>
        </w:rPr>
        <w:t>iem</w:t>
      </w:r>
      <w:r w:rsidR="00062404">
        <w:rPr>
          <w:rFonts w:ascii="Times New Roman" w:hAnsi="Times New Roman" w:cs="Times New Roman"/>
          <w:sz w:val="24"/>
          <w:szCs w:val="24"/>
        </w:rPr>
        <w:t xml:space="preserve"> </w:t>
      </w:r>
      <w:r w:rsidR="004629E6">
        <w:rPr>
          <w:rFonts w:ascii="Times New Roman" w:hAnsi="Times New Roman" w:cs="Times New Roman"/>
          <w:sz w:val="24"/>
          <w:szCs w:val="24"/>
        </w:rPr>
        <w:t xml:space="preserve">– </w:t>
      </w:r>
      <w:r w:rsidR="00062404">
        <w:rPr>
          <w:rFonts w:ascii="Times New Roman" w:hAnsi="Times New Roman" w:cs="Times New Roman"/>
          <w:sz w:val="24"/>
          <w:szCs w:val="24"/>
        </w:rPr>
        <w:t>32,6</w:t>
      </w:r>
      <w:r w:rsidR="00716B0D">
        <w:rPr>
          <w:rFonts w:ascii="Times New Roman" w:hAnsi="Times New Roman" w:cs="Times New Roman"/>
          <w:sz w:val="24"/>
          <w:szCs w:val="24"/>
        </w:rPr>
        <w:t> milj.</w:t>
      </w:r>
      <w:r w:rsidR="00062404">
        <w:rPr>
          <w:rFonts w:ascii="Times New Roman" w:hAnsi="Times New Roman" w:cs="Times New Roman"/>
          <w:sz w:val="24"/>
          <w:szCs w:val="24"/>
        </w:rPr>
        <w:t> </w:t>
      </w:r>
      <w:proofErr w:type="spellStart"/>
      <w:r w:rsidR="0095390D" w:rsidRPr="00A74786">
        <w:rPr>
          <w:rFonts w:ascii="Times New Roman" w:hAnsi="Times New Roman" w:cs="Times New Roman"/>
          <w:i/>
          <w:sz w:val="24"/>
          <w:szCs w:val="24"/>
        </w:rPr>
        <w:t>euro</w:t>
      </w:r>
      <w:proofErr w:type="spellEnd"/>
      <w:r w:rsidR="0095390D">
        <w:rPr>
          <w:rFonts w:ascii="Times New Roman" w:hAnsi="Times New Roman" w:cs="Times New Roman"/>
          <w:i/>
          <w:sz w:val="24"/>
          <w:szCs w:val="24"/>
        </w:rPr>
        <w:t xml:space="preserve"> </w:t>
      </w:r>
      <w:r w:rsidR="0095390D" w:rsidRPr="004629E6">
        <w:rPr>
          <w:rFonts w:ascii="Times New Roman" w:hAnsi="Times New Roman" w:cs="Times New Roman"/>
          <w:sz w:val="24"/>
          <w:szCs w:val="24"/>
        </w:rPr>
        <w:t>(</w:t>
      </w:r>
      <w:r w:rsidR="0095390D">
        <w:rPr>
          <w:rFonts w:ascii="Times New Roman" w:hAnsi="Times New Roman" w:cs="Times New Roman"/>
          <w:sz w:val="24"/>
          <w:szCs w:val="24"/>
        </w:rPr>
        <w:t>e</w:t>
      </w:r>
      <w:r w:rsidR="0095390D" w:rsidRPr="00C01DD0">
        <w:rPr>
          <w:rFonts w:ascii="Times New Roman" w:hAnsi="Times New Roman" w:cs="Times New Roman"/>
          <w:sz w:val="24"/>
          <w:szCs w:val="24"/>
        </w:rPr>
        <w:t>nergoefek</w:t>
      </w:r>
      <w:r w:rsidR="004629E6">
        <w:rPr>
          <w:rFonts w:ascii="Times New Roman" w:hAnsi="Times New Roman" w:cs="Times New Roman"/>
          <w:sz w:val="24"/>
          <w:szCs w:val="24"/>
        </w:rPr>
        <w:softHyphen/>
      </w:r>
      <w:r w:rsidR="0095390D" w:rsidRPr="00C01DD0">
        <w:rPr>
          <w:rFonts w:ascii="Times New Roman" w:hAnsi="Times New Roman" w:cs="Times New Roman"/>
          <w:sz w:val="24"/>
          <w:szCs w:val="24"/>
        </w:rPr>
        <w:t>tivitātes paaugstināšanai ražošanas ēkās</w:t>
      </w:r>
      <w:r w:rsidR="0095390D" w:rsidRPr="004629E6">
        <w:rPr>
          <w:rFonts w:ascii="Times New Roman" w:hAnsi="Times New Roman" w:cs="Times New Roman"/>
          <w:sz w:val="24"/>
          <w:szCs w:val="24"/>
        </w:rPr>
        <w:t>)</w:t>
      </w:r>
      <w:r w:rsidRPr="00C01DD0">
        <w:rPr>
          <w:rFonts w:ascii="Times New Roman" w:hAnsi="Times New Roman" w:cs="Times New Roman"/>
          <w:sz w:val="24"/>
          <w:szCs w:val="24"/>
        </w:rPr>
        <w:t>.</w:t>
      </w:r>
      <w:r w:rsidR="003427B0" w:rsidRPr="003427B0">
        <w:rPr>
          <w:color w:val="000000"/>
        </w:rPr>
        <w:t xml:space="preserve"> </w:t>
      </w:r>
    </w:p>
    <w:p w14:paraId="5BC9AE77" w14:textId="77777777" w:rsidR="00560E6F" w:rsidRPr="007660B7" w:rsidRDefault="00560E6F" w:rsidP="00C01DD0">
      <w:pPr>
        <w:jc w:val="both"/>
        <w:rPr>
          <w:rFonts w:ascii="Times New Roman" w:hAnsi="Times New Roman" w:cs="Times New Roman"/>
          <w:sz w:val="24"/>
          <w:szCs w:val="24"/>
        </w:rPr>
      </w:pPr>
    </w:p>
    <w:p w14:paraId="60641306" w14:textId="6129D101" w:rsidR="003F2B9C" w:rsidRDefault="00E057ED" w:rsidP="00D87C71">
      <w:pPr>
        <w:pStyle w:val="Heading2"/>
      </w:pPr>
      <w:bookmarkStart w:id="28" w:name="_Toc465349535"/>
      <w:bookmarkStart w:id="29" w:name="_Toc465089713"/>
      <w:r>
        <w:t> </w:t>
      </w:r>
      <w:bookmarkStart w:id="30" w:name="_Toc466466860"/>
      <w:r w:rsidR="001B62E9" w:rsidRPr="009019C6">
        <w:t>Klimata pārmaiņu ekonomikas iniciatīvas</w:t>
      </w:r>
      <w:bookmarkEnd w:id="28"/>
      <w:bookmarkEnd w:id="29"/>
      <w:bookmarkEnd w:id="30"/>
      <w:r w:rsidR="001B62E9" w:rsidRPr="009019C6">
        <w:t xml:space="preserve"> </w:t>
      </w:r>
    </w:p>
    <w:p w14:paraId="50FD7728" w14:textId="6D56265D" w:rsidR="00D87C71" w:rsidRPr="00745480" w:rsidRDefault="00D87C71" w:rsidP="00D87C71">
      <w:pPr>
        <w:jc w:val="both"/>
        <w:rPr>
          <w:rFonts w:ascii="Times New Roman" w:hAnsi="Times New Roman" w:cs="Times New Roman"/>
          <w:sz w:val="24"/>
          <w:szCs w:val="24"/>
        </w:rPr>
      </w:pPr>
      <w:r w:rsidRPr="00745480">
        <w:rPr>
          <w:rFonts w:ascii="Times New Roman" w:hAnsi="Times New Roman" w:cs="Times New Roman"/>
          <w:sz w:val="24"/>
          <w:szCs w:val="24"/>
        </w:rPr>
        <w:t xml:space="preserve">Latvijai </w:t>
      </w:r>
      <w:r>
        <w:rPr>
          <w:rFonts w:ascii="Times New Roman" w:hAnsi="Times New Roman" w:cs="Times New Roman"/>
          <w:sz w:val="24"/>
          <w:szCs w:val="24"/>
        </w:rPr>
        <w:t>s</w:t>
      </w:r>
      <w:r w:rsidRPr="00745480">
        <w:rPr>
          <w:rFonts w:ascii="Times New Roman" w:hAnsi="Times New Roman" w:cs="Times New Roman"/>
          <w:sz w:val="24"/>
          <w:szCs w:val="24"/>
        </w:rPr>
        <w:t>tarptautiski noteiktie klimat</w:t>
      </w:r>
      <w:r w:rsidR="00F8387D">
        <w:rPr>
          <w:rFonts w:ascii="Times New Roman" w:hAnsi="Times New Roman" w:cs="Times New Roman"/>
          <w:sz w:val="24"/>
          <w:szCs w:val="24"/>
        </w:rPr>
        <w:t>a politikas mērķi izvirza uzdevumu</w:t>
      </w:r>
      <w:r w:rsidRPr="00745480">
        <w:rPr>
          <w:rFonts w:ascii="Times New Roman" w:hAnsi="Times New Roman" w:cs="Times New Roman"/>
          <w:sz w:val="24"/>
          <w:szCs w:val="24"/>
        </w:rPr>
        <w:t xml:space="preserve"> straujāk transformēt ražošanu uz labāku tehnoloģiju izmantošanu un sniedz potenciālu zinātnisko inst</w:t>
      </w:r>
      <w:r>
        <w:rPr>
          <w:rFonts w:ascii="Times New Roman" w:hAnsi="Times New Roman" w:cs="Times New Roman"/>
          <w:sz w:val="24"/>
          <w:szCs w:val="24"/>
        </w:rPr>
        <w:t>itūciju un uzņēmēju partnerībām</w:t>
      </w:r>
      <w:r w:rsidRPr="00745480">
        <w:rPr>
          <w:rFonts w:ascii="Times New Roman" w:hAnsi="Times New Roman" w:cs="Times New Roman"/>
          <w:sz w:val="24"/>
          <w:szCs w:val="24"/>
        </w:rPr>
        <w:t xml:space="preserve"> radīt produktus ar augstāku pievienoto vērtību. Tikai integrēta nozaru sadarbība un zināšanu kāpināšana jauno tehnoloģiju izmantošanā nodrošinās sekmīgu pamatu klimata pārmaiņu mazināšanā, kā arī pielāgošanās uzlabošanā</w:t>
      </w:r>
      <w:r w:rsidR="00E81883" w:rsidRPr="00E81883">
        <w:rPr>
          <w:rFonts w:ascii="Times New Roman" w:hAnsi="Times New Roman" w:cs="Times New Roman"/>
          <w:sz w:val="24"/>
          <w:szCs w:val="24"/>
        </w:rPr>
        <w:t xml:space="preserve"> </w:t>
      </w:r>
      <w:r w:rsidR="00E81883" w:rsidRPr="00745480">
        <w:rPr>
          <w:rFonts w:ascii="Times New Roman" w:hAnsi="Times New Roman" w:cs="Times New Roman"/>
          <w:sz w:val="24"/>
          <w:szCs w:val="24"/>
        </w:rPr>
        <w:t>klimata pārmaiņām</w:t>
      </w:r>
      <w:r w:rsidRPr="00745480">
        <w:rPr>
          <w:rFonts w:ascii="Times New Roman" w:hAnsi="Times New Roman" w:cs="Times New Roman"/>
          <w:sz w:val="24"/>
          <w:szCs w:val="24"/>
        </w:rPr>
        <w:t xml:space="preserve">. </w:t>
      </w:r>
    </w:p>
    <w:p w14:paraId="26D12654" w14:textId="3979BF7C" w:rsidR="00D87C71" w:rsidRPr="00745480" w:rsidRDefault="00D87C71" w:rsidP="00D87C71">
      <w:pPr>
        <w:jc w:val="both"/>
        <w:rPr>
          <w:rFonts w:ascii="Times New Roman" w:hAnsi="Times New Roman" w:cs="Times New Roman"/>
          <w:sz w:val="24"/>
          <w:szCs w:val="24"/>
        </w:rPr>
      </w:pPr>
      <w:r w:rsidRPr="00745480">
        <w:rPr>
          <w:rFonts w:ascii="Times New Roman" w:hAnsi="Times New Roman" w:cs="Times New Roman"/>
          <w:sz w:val="24"/>
          <w:szCs w:val="24"/>
        </w:rPr>
        <w:t>Lai Latvija varētu nodrošināt savu saistību izpildi attiecībā uz kopējo ES dalībvalstu SEG emisiju apjoma samazināšanu vismaz par 40</w:t>
      </w:r>
      <w:r w:rsidR="002828C3">
        <w:rPr>
          <w:rFonts w:ascii="Times New Roman" w:hAnsi="Times New Roman" w:cs="Times New Roman"/>
          <w:sz w:val="24"/>
          <w:szCs w:val="24"/>
        </w:rPr>
        <w:t> </w:t>
      </w:r>
      <w:r w:rsidRPr="00745480">
        <w:rPr>
          <w:rFonts w:ascii="Times New Roman" w:hAnsi="Times New Roman" w:cs="Times New Roman"/>
          <w:sz w:val="24"/>
          <w:szCs w:val="24"/>
        </w:rPr>
        <w:t>% salīdzinājumā ar 1990.</w:t>
      </w:r>
      <w:r w:rsidR="004D60EC">
        <w:rPr>
          <w:rFonts w:ascii="Times New Roman" w:hAnsi="Times New Roman" w:cs="Times New Roman"/>
          <w:sz w:val="24"/>
          <w:szCs w:val="24"/>
        </w:rPr>
        <w:t> </w:t>
      </w:r>
      <w:r w:rsidRPr="00745480">
        <w:rPr>
          <w:rFonts w:ascii="Times New Roman" w:hAnsi="Times New Roman" w:cs="Times New Roman"/>
          <w:sz w:val="24"/>
          <w:szCs w:val="24"/>
        </w:rPr>
        <w:t xml:space="preserve">gadu, EK ir izstrādājusi saistību pārdales regulas projektu, kas nosaka katrai dalībvalstij </w:t>
      </w:r>
      <w:r w:rsidR="002828C3" w:rsidRPr="00745480">
        <w:rPr>
          <w:rFonts w:ascii="Times New Roman" w:hAnsi="Times New Roman" w:cs="Times New Roman"/>
          <w:sz w:val="24"/>
          <w:szCs w:val="24"/>
        </w:rPr>
        <w:t>līdz 2030.</w:t>
      </w:r>
      <w:r w:rsidR="002828C3">
        <w:rPr>
          <w:rFonts w:ascii="Times New Roman" w:hAnsi="Times New Roman" w:cs="Times New Roman"/>
          <w:sz w:val="24"/>
          <w:szCs w:val="24"/>
        </w:rPr>
        <w:t> </w:t>
      </w:r>
      <w:r w:rsidR="002828C3" w:rsidRPr="00745480">
        <w:rPr>
          <w:rFonts w:ascii="Times New Roman" w:hAnsi="Times New Roman" w:cs="Times New Roman"/>
          <w:sz w:val="24"/>
          <w:szCs w:val="24"/>
        </w:rPr>
        <w:t>gadam sasniedzam</w:t>
      </w:r>
      <w:r w:rsidR="002828C3">
        <w:rPr>
          <w:rFonts w:ascii="Times New Roman" w:hAnsi="Times New Roman" w:cs="Times New Roman"/>
          <w:sz w:val="24"/>
          <w:szCs w:val="24"/>
        </w:rPr>
        <w:t>u</w:t>
      </w:r>
      <w:r w:rsidR="002828C3" w:rsidRPr="00745480">
        <w:rPr>
          <w:rFonts w:ascii="Times New Roman" w:hAnsi="Times New Roman" w:cs="Times New Roman"/>
          <w:sz w:val="24"/>
          <w:szCs w:val="24"/>
        </w:rPr>
        <w:t xml:space="preserve"> </w:t>
      </w:r>
      <w:r w:rsidRPr="00745480">
        <w:rPr>
          <w:rFonts w:ascii="Times New Roman" w:hAnsi="Times New Roman" w:cs="Times New Roman"/>
          <w:sz w:val="24"/>
          <w:szCs w:val="24"/>
        </w:rPr>
        <w:t>mērķi</w:t>
      </w:r>
      <w:r w:rsidR="002828C3" w:rsidRPr="002828C3">
        <w:rPr>
          <w:rFonts w:ascii="Times New Roman" w:hAnsi="Times New Roman" w:cs="Times New Roman"/>
          <w:sz w:val="24"/>
          <w:szCs w:val="24"/>
        </w:rPr>
        <w:t xml:space="preserve"> </w:t>
      </w:r>
      <w:r w:rsidR="00E22282" w:rsidRPr="00745480">
        <w:rPr>
          <w:rFonts w:ascii="Times New Roman" w:hAnsi="Times New Roman" w:cs="Times New Roman"/>
          <w:sz w:val="24"/>
          <w:szCs w:val="24"/>
        </w:rPr>
        <w:t xml:space="preserve">SEG </w:t>
      </w:r>
      <w:r w:rsidR="002828C3" w:rsidRPr="00745480">
        <w:rPr>
          <w:rFonts w:ascii="Times New Roman" w:hAnsi="Times New Roman" w:cs="Times New Roman"/>
          <w:sz w:val="24"/>
          <w:szCs w:val="24"/>
        </w:rPr>
        <w:t>emisiju samazināšanā</w:t>
      </w:r>
      <w:r w:rsidRPr="00745480">
        <w:rPr>
          <w:rFonts w:ascii="Times New Roman" w:hAnsi="Times New Roman" w:cs="Times New Roman"/>
          <w:sz w:val="24"/>
          <w:szCs w:val="24"/>
        </w:rPr>
        <w:t>. Latvijai provizoriski ir noteikts emisiju samazinājums 6</w:t>
      </w:r>
      <w:r w:rsidR="002828C3">
        <w:rPr>
          <w:rFonts w:ascii="Times New Roman" w:hAnsi="Times New Roman" w:cs="Times New Roman"/>
          <w:sz w:val="24"/>
          <w:szCs w:val="24"/>
        </w:rPr>
        <w:t> </w:t>
      </w:r>
      <w:r w:rsidRPr="00745480">
        <w:rPr>
          <w:rFonts w:ascii="Times New Roman" w:hAnsi="Times New Roman" w:cs="Times New Roman"/>
          <w:sz w:val="24"/>
          <w:szCs w:val="24"/>
        </w:rPr>
        <w:t>% apmērā ne-ETS sektorā no ne-ETS darbību SEG emisiju apjoma 2005.</w:t>
      </w:r>
      <w:r w:rsidR="004D60EC">
        <w:rPr>
          <w:rFonts w:ascii="Times New Roman" w:hAnsi="Times New Roman" w:cs="Times New Roman"/>
          <w:sz w:val="24"/>
          <w:szCs w:val="24"/>
        </w:rPr>
        <w:t> </w:t>
      </w:r>
      <w:r w:rsidR="00931D7B">
        <w:rPr>
          <w:rFonts w:ascii="Times New Roman" w:hAnsi="Times New Roman" w:cs="Times New Roman"/>
          <w:sz w:val="24"/>
          <w:szCs w:val="24"/>
        </w:rPr>
        <w:t>gadā. Ne-</w:t>
      </w:r>
      <w:r w:rsidRPr="00745480">
        <w:rPr>
          <w:rFonts w:ascii="Times New Roman" w:hAnsi="Times New Roman" w:cs="Times New Roman"/>
          <w:sz w:val="24"/>
          <w:szCs w:val="24"/>
        </w:rPr>
        <w:t xml:space="preserve">ETS darbību SEG emisiju avoti ir transports, lauksaimniecība, mazās jaudas enerģētikas iekārtas un atkritumu apsaimniekošana. </w:t>
      </w:r>
    </w:p>
    <w:p w14:paraId="40B83477" w14:textId="7E0184FC" w:rsidR="00D87C71" w:rsidRPr="00745480" w:rsidRDefault="00D87C71" w:rsidP="00D87C71">
      <w:pPr>
        <w:jc w:val="both"/>
        <w:rPr>
          <w:rFonts w:ascii="Times New Roman" w:hAnsi="Times New Roman" w:cs="Times New Roman"/>
          <w:sz w:val="24"/>
          <w:szCs w:val="24"/>
        </w:rPr>
      </w:pPr>
      <w:r w:rsidRPr="00745480">
        <w:rPr>
          <w:rFonts w:ascii="Times New Roman" w:hAnsi="Times New Roman" w:cs="Times New Roman"/>
          <w:sz w:val="24"/>
          <w:szCs w:val="24"/>
        </w:rPr>
        <w:lastRenderedPageBreak/>
        <w:t>Katrā ETS neaptvertajā nozarē jau šodien ir spēkā esoša politika, kas tieši vai pastarpināti paredz SEG emisiju samazināšanu. Tāpat noteikts progress ir panākts starp nozaru ministrijām politikas izstrādē, kas identificēs to pasākumu kopu, k</w:t>
      </w:r>
      <w:r w:rsidR="00E822D0">
        <w:rPr>
          <w:rFonts w:ascii="Times New Roman" w:hAnsi="Times New Roman" w:cs="Times New Roman"/>
          <w:sz w:val="24"/>
          <w:szCs w:val="24"/>
        </w:rPr>
        <w:t>uri</w:t>
      </w:r>
      <w:r w:rsidRPr="00745480">
        <w:rPr>
          <w:rFonts w:ascii="Times New Roman" w:hAnsi="Times New Roman" w:cs="Times New Roman"/>
          <w:sz w:val="24"/>
          <w:szCs w:val="24"/>
        </w:rPr>
        <w:t xml:space="preserve"> būs izmaksu efektīv</w:t>
      </w:r>
      <w:r w:rsidR="00E822D0">
        <w:rPr>
          <w:rFonts w:ascii="Times New Roman" w:hAnsi="Times New Roman" w:cs="Times New Roman"/>
          <w:sz w:val="24"/>
          <w:szCs w:val="24"/>
        </w:rPr>
        <w:t>i</w:t>
      </w:r>
      <w:r w:rsidRPr="00745480">
        <w:rPr>
          <w:rFonts w:ascii="Times New Roman" w:hAnsi="Times New Roman" w:cs="Times New Roman"/>
          <w:sz w:val="24"/>
          <w:szCs w:val="24"/>
        </w:rPr>
        <w:t xml:space="preserve"> un sniegs ieguldījumu emisiju samazināšanā. </w:t>
      </w:r>
    </w:p>
    <w:p w14:paraId="0D4AA583" w14:textId="13172ABB" w:rsidR="00D87C71" w:rsidRDefault="00E22282" w:rsidP="00D87C71">
      <w:pPr>
        <w:jc w:val="both"/>
        <w:rPr>
          <w:rFonts w:ascii="Times New Roman" w:hAnsi="Times New Roman" w:cs="Times New Roman"/>
          <w:sz w:val="24"/>
          <w:szCs w:val="24"/>
        </w:rPr>
      </w:pPr>
      <w:r>
        <w:rPr>
          <w:rFonts w:ascii="Times New Roman" w:hAnsi="Times New Roman" w:cs="Times New Roman"/>
          <w:sz w:val="24"/>
          <w:szCs w:val="24"/>
        </w:rPr>
        <w:t>L</w:t>
      </w:r>
      <w:r w:rsidRPr="00745480">
        <w:rPr>
          <w:rFonts w:ascii="Times New Roman" w:hAnsi="Times New Roman" w:cs="Times New Roman"/>
          <w:sz w:val="24"/>
          <w:szCs w:val="24"/>
        </w:rPr>
        <w:t xml:space="preserve">ai nodrošinātu Latvijas pāreju uz oglekļa mazietilpīgu un pret klimata pārmaiņām noturīgu attīstību, </w:t>
      </w:r>
      <w:r w:rsidR="00D87C71" w:rsidRPr="00745480">
        <w:rPr>
          <w:rFonts w:ascii="Times New Roman" w:hAnsi="Times New Roman" w:cs="Times New Roman"/>
          <w:sz w:val="24"/>
          <w:szCs w:val="24"/>
        </w:rPr>
        <w:t xml:space="preserve">VARAM sadarbībā ar </w:t>
      </w:r>
      <w:r>
        <w:rPr>
          <w:rFonts w:ascii="Times New Roman" w:hAnsi="Times New Roman" w:cs="Times New Roman"/>
          <w:sz w:val="24"/>
          <w:szCs w:val="24"/>
        </w:rPr>
        <w:t>cit</w:t>
      </w:r>
      <w:r w:rsidR="00D87C71" w:rsidRPr="00745480">
        <w:rPr>
          <w:rFonts w:ascii="Times New Roman" w:hAnsi="Times New Roman" w:cs="Times New Roman"/>
          <w:sz w:val="24"/>
          <w:szCs w:val="24"/>
        </w:rPr>
        <w:t xml:space="preserve">ām nozaru ministrijām izstrādā Latvijas oglekļa mazietilpīgas attīstības stratēģiju </w:t>
      </w:r>
      <w:r>
        <w:rPr>
          <w:rFonts w:ascii="Times New Roman" w:hAnsi="Times New Roman" w:cs="Times New Roman"/>
          <w:sz w:val="24"/>
          <w:szCs w:val="24"/>
        </w:rPr>
        <w:t>laikposm</w:t>
      </w:r>
      <w:r w:rsidR="00D87C71" w:rsidRPr="00745480">
        <w:rPr>
          <w:rFonts w:ascii="Times New Roman" w:hAnsi="Times New Roman" w:cs="Times New Roman"/>
          <w:sz w:val="24"/>
          <w:szCs w:val="24"/>
        </w:rPr>
        <w:t>am līdz 2050.</w:t>
      </w:r>
      <w:r w:rsidR="004D60EC">
        <w:rPr>
          <w:rFonts w:ascii="Times New Roman" w:hAnsi="Times New Roman" w:cs="Times New Roman"/>
          <w:sz w:val="24"/>
          <w:szCs w:val="24"/>
        </w:rPr>
        <w:t> </w:t>
      </w:r>
      <w:r w:rsidR="00D87C71" w:rsidRPr="00745480">
        <w:rPr>
          <w:rFonts w:ascii="Times New Roman" w:hAnsi="Times New Roman" w:cs="Times New Roman"/>
          <w:sz w:val="24"/>
          <w:szCs w:val="24"/>
        </w:rPr>
        <w:t>gadam un Latvijas pielāgošanās klimata pārmaiņām stratēģiju</w:t>
      </w:r>
      <w:r>
        <w:rPr>
          <w:rFonts w:ascii="Times New Roman" w:hAnsi="Times New Roman" w:cs="Times New Roman"/>
          <w:sz w:val="24"/>
          <w:szCs w:val="24"/>
        </w:rPr>
        <w:t>,</w:t>
      </w:r>
      <w:r w:rsidR="00D87C71" w:rsidRPr="00745480">
        <w:rPr>
          <w:rFonts w:ascii="Times New Roman" w:hAnsi="Times New Roman" w:cs="Times New Roman"/>
          <w:sz w:val="24"/>
          <w:szCs w:val="24"/>
        </w:rPr>
        <w:t xml:space="preserve"> </w:t>
      </w:r>
      <w:r>
        <w:rPr>
          <w:rFonts w:ascii="Times New Roman" w:hAnsi="Times New Roman" w:cs="Times New Roman"/>
          <w:sz w:val="24"/>
          <w:szCs w:val="24"/>
        </w:rPr>
        <w:t>k</w:t>
      </w:r>
      <w:r w:rsidR="00D87C71" w:rsidRPr="00745480">
        <w:rPr>
          <w:rFonts w:ascii="Times New Roman" w:hAnsi="Times New Roman" w:cs="Times New Roman"/>
          <w:sz w:val="24"/>
          <w:szCs w:val="24"/>
        </w:rPr>
        <w:t xml:space="preserve">ā arī norit darbs pie jaunākajām SEG prognozēm, uz kuru pamata tiks noteikti nepieciešamie SEG emisiju samazināšanas pasākumi SEG mērķu </w:t>
      </w:r>
      <w:r w:rsidRPr="00745480">
        <w:rPr>
          <w:rFonts w:ascii="Times New Roman" w:hAnsi="Times New Roman" w:cs="Times New Roman"/>
          <w:sz w:val="24"/>
          <w:szCs w:val="24"/>
        </w:rPr>
        <w:t xml:space="preserve">sasniegšanai </w:t>
      </w:r>
      <w:r w:rsidR="00D87C71" w:rsidRPr="00745480">
        <w:rPr>
          <w:rFonts w:ascii="Times New Roman" w:hAnsi="Times New Roman" w:cs="Times New Roman"/>
          <w:sz w:val="24"/>
          <w:szCs w:val="24"/>
        </w:rPr>
        <w:t>pēc 2020.</w:t>
      </w:r>
      <w:r w:rsidR="004D60EC">
        <w:rPr>
          <w:rFonts w:ascii="Times New Roman" w:hAnsi="Times New Roman" w:cs="Times New Roman"/>
          <w:sz w:val="24"/>
          <w:szCs w:val="24"/>
        </w:rPr>
        <w:t> </w:t>
      </w:r>
      <w:r w:rsidR="00D87C71" w:rsidRPr="00745480">
        <w:rPr>
          <w:rFonts w:ascii="Times New Roman" w:hAnsi="Times New Roman" w:cs="Times New Roman"/>
          <w:sz w:val="24"/>
          <w:szCs w:val="24"/>
        </w:rPr>
        <w:t>gada. Izmaksu efektīvi pasākumi tiks iekļauti Latvijas Ene</w:t>
      </w:r>
      <w:r w:rsidR="004D60EC">
        <w:rPr>
          <w:rFonts w:ascii="Times New Roman" w:hAnsi="Times New Roman" w:cs="Times New Roman"/>
          <w:sz w:val="24"/>
          <w:szCs w:val="24"/>
        </w:rPr>
        <w:t>rģētikas un klimata plānā 2021.–</w:t>
      </w:r>
      <w:r w:rsidR="00D87C71" w:rsidRPr="00745480">
        <w:rPr>
          <w:rFonts w:ascii="Times New Roman" w:hAnsi="Times New Roman" w:cs="Times New Roman"/>
          <w:sz w:val="24"/>
          <w:szCs w:val="24"/>
        </w:rPr>
        <w:t>2030.</w:t>
      </w:r>
      <w:r w:rsidR="004D60EC">
        <w:rPr>
          <w:rFonts w:ascii="Times New Roman" w:hAnsi="Times New Roman" w:cs="Times New Roman"/>
          <w:sz w:val="24"/>
          <w:szCs w:val="24"/>
        </w:rPr>
        <w:t> </w:t>
      </w:r>
      <w:r w:rsidR="00D87C71" w:rsidRPr="00745480">
        <w:rPr>
          <w:rFonts w:ascii="Times New Roman" w:hAnsi="Times New Roman" w:cs="Times New Roman"/>
          <w:sz w:val="24"/>
          <w:szCs w:val="24"/>
        </w:rPr>
        <w:t>gadam.</w:t>
      </w:r>
    </w:p>
    <w:p w14:paraId="3C331136" w14:textId="77777777" w:rsidR="009E361A" w:rsidRPr="00D87C71" w:rsidRDefault="009E361A" w:rsidP="00D87C71">
      <w:pPr>
        <w:jc w:val="both"/>
        <w:rPr>
          <w:rFonts w:ascii="Times New Roman" w:hAnsi="Times New Roman" w:cs="Times New Roman"/>
          <w:sz w:val="24"/>
          <w:szCs w:val="24"/>
        </w:rPr>
      </w:pPr>
    </w:p>
    <w:p w14:paraId="7A3AC61C" w14:textId="1C440E53" w:rsidR="008B2789" w:rsidRDefault="00E057ED" w:rsidP="00B02009">
      <w:pPr>
        <w:pStyle w:val="Heading2"/>
        <w:rPr>
          <w:rFonts w:eastAsiaTheme="minorHAnsi"/>
        </w:rPr>
      </w:pPr>
      <w:bookmarkStart w:id="31" w:name="_Toc465349536"/>
      <w:bookmarkStart w:id="32" w:name="_Toc465089714"/>
      <w:r>
        <w:rPr>
          <w:rFonts w:eastAsiaTheme="minorHAnsi"/>
        </w:rPr>
        <w:t> </w:t>
      </w:r>
      <w:bookmarkStart w:id="33" w:name="_Toc466466861"/>
      <w:r w:rsidR="008B2789" w:rsidRPr="006B0706">
        <w:rPr>
          <w:rFonts w:eastAsiaTheme="minorHAnsi"/>
        </w:rPr>
        <w:t>Vietējo resursu efektīva izmantošana</w:t>
      </w:r>
      <w:r w:rsidR="004F0E73">
        <w:rPr>
          <w:rFonts w:eastAsiaTheme="minorHAnsi"/>
        </w:rPr>
        <w:t xml:space="preserve"> un teritoriālā attīstība</w:t>
      </w:r>
      <w:bookmarkEnd w:id="31"/>
      <w:bookmarkEnd w:id="32"/>
      <w:bookmarkEnd w:id="33"/>
    </w:p>
    <w:p w14:paraId="01091753" w14:textId="23716CF6" w:rsidR="00D87C71" w:rsidRPr="00745480" w:rsidRDefault="00D87C71" w:rsidP="00D87C71">
      <w:pPr>
        <w:jc w:val="both"/>
        <w:rPr>
          <w:rFonts w:ascii="Times New Roman" w:hAnsi="Times New Roman" w:cs="Times New Roman"/>
          <w:sz w:val="24"/>
          <w:szCs w:val="24"/>
        </w:rPr>
      </w:pPr>
      <w:r w:rsidRPr="00745480">
        <w:rPr>
          <w:rFonts w:ascii="Times New Roman" w:hAnsi="Times New Roman" w:cs="Times New Roman"/>
          <w:sz w:val="24"/>
          <w:szCs w:val="24"/>
        </w:rPr>
        <w:t>Latvija ir atpazīstama kā zaļa valsts tās dabas resursu dēļ, taču mūsu atpazīstamība ir jāstiprina arī prasmē ražot un piedāvāt inovatīvus</w:t>
      </w:r>
      <w:r>
        <w:rPr>
          <w:rFonts w:ascii="Times New Roman" w:hAnsi="Times New Roman" w:cs="Times New Roman"/>
          <w:sz w:val="24"/>
          <w:szCs w:val="24"/>
        </w:rPr>
        <w:t xml:space="preserve"> produktus globālajam patērētāja</w:t>
      </w:r>
      <w:r w:rsidR="00D81AC5">
        <w:rPr>
          <w:rFonts w:ascii="Times New Roman" w:hAnsi="Times New Roman" w:cs="Times New Roman"/>
          <w:sz w:val="24"/>
          <w:szCs w:val="24"/>
        </w:rPr>
        <w:t xml:space="preserve">m. </w:t>
      </w:r>
      <w:r w:rsidRPr="00745480">
        <w:rPr>
          <w:rFonts w:ascii="Times New Roman" w:hAnsi="Times New Roman" w:cs="Times New Roman"/>
          <w:sz w:val="24"/>
          <w:szCs w:val="24"/>
        </w:rPr>
        <w:t>Dabas aizsardzībai un produktīvai ražošanai ir jārod leģitīms kompromiss, lai resursi, kas izmantojami ražošanā, sniegtu ieguldījumu gan iedzīvotāju labklājības nodrošināšan</w:t>
      </w:r>
      <w:r w:rsidR="00D81AC5">
        <w:rPr>
          <w:rFonts w:ascii="Times New Roman" w:hAnsi="Times New Roman" w:cs="Times New Roman"/>
          <w:sz w:val="24"/>
          <w:szCs w:val="24"/>
        </w:rPr>
        <w:t>ā</w:t>
      </w:r>
      <w:r w:rsidRPr="00745480">
        <w:rPr>
          <w:rFonts w:ascii="Times New Roman" w:hAnsi="Times New Roman" w:cs="Times New Roman"/>
          <w:sz w:val="24"/>
          <w:szCs w:val="24"/>
        </w:rPr>
        <w:t xml:space="preserve">, gan neapdraudētu dabas resursu pieejamību un kvalitāti nākamajām paaudzēm. </w:t>
      </w:r>
    </w:p>
    <w:p w14:paraId="54D07FAD" w14:textId="312BFD84" w:rsidR="00D87C71" w:rsidRPr="00745480" w:rsidRDefault="00D87C71" w:rsidP="00D87C71">
      <w:pPr>
        <w:jc w:val="both"/>
        <w:rPr>
          <w:rFonts w:ascii="Times New Roman" w:hAnsi="Times New Roman" w:cs="Times New Roman"/>
          <w:sz w:val="24"/>
          <w:szCs w:val="24"/>
        </w:rPr>
      </w:pPr>
      <w:r>
        <w:rPr>
          <w:rFonts w:ascii="Times New Roman" w:hAnsi="Times New Roman" w:cs="Times New Roman"/>
          <w:sz w:val="24"/>
          <w:szCs w:val="24"/>
        </w:rPr>
        <w:t>L</w:t>
      </w:r>
      <w:r w:rsidRPr="00745480">
        <w:rPr>
          <w:rFonts w:ascii="Times New Roman" w:hAnsi="Times New Roman" w:cs="Times New Roman"/>
          <w:sz w:val="24"/>
          <w:szCs w:val="24"/>
        </w:rPr>
        <w:t>ai veicinātu ražošanas pāreju vismaz uz vidēj</w:t>
      </w:r>
      <w:r w:rsidR="00732C2B">
        <w:rPr>
          <w:rFonts w:ascii="Times New Roman" w:hAnsi="Times New Roman" w:cs="Times New Roman"/>
          <w:sz w:val="24"/>
          <w:szCs w:val="24"/>
        </w:rPr>
        <w:t>i augsto</w:t>
      </w:r>
      <w:r w:rsidRPr="00745480">
        <w:rPr>
          <w:rFonts w:ascii="Times New Roman" w:hAnsi="Times New Roman" w:cs="Times New Roman"/>
          <w:sz w:val="24"/>
          <w:szCs w:val="24"/>
        </w:rPr>
        <w:t xml:space="preserve"> tehnoloģiju sektoru </w:t>
      </w:r>
      <w:r w:rsidR="00732C2B" w:rsidRPr="00745480">
        <w:rPr>
          <w:rFonts w:ascii="Times New Roman" w:hAnsi="Times New Roman" w:cs="Times New Roman"/>
          <w:sz w:val="24"/>
          <w:szCs w:val="24"/>
        </w:rPr>
        <w:t>un</w:t>
      </w:r>
      <w:r w:rsidR="00732C2B">
        <w:rPr>
          <w:rFonts w:ascii="Times New Roman" w:hAnsi="Times New Roman" w:cs="Times New Roman"/>
          <w:sz w:val="24"/>
          <w:szCs w:val="24"/>
        </w:rPr>
        <w:t xml:space="preserve"> </w:t>
      </w:r>
      <w:r w:rsidRPr="00745480">
        <w:rPr>
          <w:rFonts w:ascii="Times New Roman" w:hAnsi="Times New Roman" w:cs="Times New Roman"/>
          <w:sz w:val="24"/>
          <w:szCs w:val="24"/>
        </w:rPr>
        <w:t xml:space="preserve">attīstītu lauksaimniecības, mežsaimniecības un zivsaimniecības </w:t>
      </w:r>
      <w:r w:rsidR="00D2527C" w:rsidRPr="00745480">
        <w:rPr>
          <w:rFonts w:ascii="Times New Roman" w:hAnsi="Times New Roman" w:cs="Times New Roman"/>
          <w:sz w:val="24"/>
          <w:szCs w:val="24"/>
        </w:rPr>
        <w:t>nozar</w:t>
      </w:r>
      <w:r w:rsidR="00D2527C">
        <w:rPr>
          <w:rFonts w:ascii="Times New Roman" w:hAnsi="Times New Roman" w:cs="Times New Roman"/>
          <w:sz w:val="24"/>
          <w:szCs w:val="24"/>
        </w:rPr>
        <w:t>es</w:t>
      </w:r>
      <w:r w:rsidR="00D2527C" w:rsidRPr="00745480">
        <w:rPr>
          <w:rFonts w:ascii="Times New Roman" w:hAnsi="Times New Roman" w:cs="Times New Roman"/>
          <w:sz w:val="24"/>
          <w:szCs w:val="24"/>
        </w:rPr>
        <w:t xml:space="preserve"> konkurētspējīgāku produktu ražošan</w:t>
      </w:r>
      <w:r w:rsidR="00D2527C">
        <w:rPr>
          <w:rFonts w:ascii="Times New Roman" w:hAnsi="Times New Roman" w:cs="Times New Roman"/>
          <w:sz w:val="24"/>
          <w:szCs w:val="24"/>
        </w:rPr>
        <w:t>u</w:t>
      </w:r>
      <w:r>
        <w:rPr>
          <w:rFonts w:ascii="Times New Roman" w:hAnsi="Times New Roman" w:cs="Times New Roman"/>
          <w:sz w:val="24"/>
          <w:szCs w:val="24"/>
        </w:rPr>
        <w:t xml:space="preserve">, </w:t>
      </w:r>
      <w:r w:rsidR="00931D7B">
        <w:rPr>
          <w:rFonts w:ascii="Times New Roman" w:hAnsi="Times New Roman" w:cs="Times New Roman"/>
          <w:sz w:val="24"/>
          <w:szCs w:val="24"/>
        </w:rPr>
        <w:t>ZM</w:t>
      </w:r>
      <w:r w:rsidRPr="00745480">
        <w:rPr>
          <w:rFonts w:ascii="Times New Roman" w:hAnsi="Times New Roman" w:cs="Times New Roman"/>
          <w:sz w:val="24"/>
          <w:szCs w:val="24"/>
        </w:rPr>
        <w:t xml:space="preserve"> sadarbībā ar Latvijas </w:t>
      </w:r>
      <w:proofErr w:type="gramStart"/>
      <w:r w:rsidRPr="00745480">
        <w:rPr>
          <w:rFonts w:ascii="Times New Roman" w:hAnsi="Times New Roman" w:cs="Times New Roman"/>
          <w:sz w:val="24"/>
          <w:szCs w:val="24"/>
        </w:rPr>
        <w:t>Lauksaimniecības universitāti</w:t>
      </w:r>
      <w:proofErr w:type="gramEnd"/>
      <w:r w:rsidRPr="00745480">
        <w:rPr>
          <w:rFonts w:ascii="Times New Roman" w:hAnsi="Times New Roman" w:cs="Times New Roman"/>
          <w:sz w:val="24"/>
          <w:szCs w:val="24"/>
        </w:rPr>
        <w:t xml:space="preserve"> ir uzsākusi </w:t>
      </w:r>
      <w:proofErr w:type="spellStart"/>
      <w:r w:rsidR="00E822D0">
        <w:rPr>
          <w:rFonts w:ascii="Times New Roman" w:hAnsi="Times New Roman" w:cs="Times New Roman"/>
          <w:sz w:val="24"/>
          <w:szCs w:val="24"/>
        </w:rPr>
        <w:t>b</w:t>
      </w:r>
      <w:r w:rsidRPr="00745480">
        <w:rPr>
          <w:rFonts w:ascii="Times New Roman" w:hAnsi="Times New Roman" w:cs="Times New Roman"/>
          <w:sz w:val="24"/>
          <w:szCs w:val="24"/>
        </w:rPr>
        <w:t>ioekonomikas</w:t>
      </w:r>
      <w:proofErr w:type="spellEnd"/>
      <w:r w:rsidRPr="00745480">
        <w:rPr>
          <w:rFonts w:ascii="Times New Roman" w:hAnsi="Times New Roman" w:cs="Times New Roman"/>
          <w:sz w:val="24"/>
          <w:szCs w:val="24"/>
        </w:rPr>
        <w:t xml:space="preserve"> stratēģija</w:t>
      </w:r>
      <w:r w:rsidR="00732C2B">
        <w:rPr>
          <w:rFonts w:ascii="Times New Roman" w:hAnsi="Times New Roman" w:cs="Times New Roman"/>
          <w:sz w:val="24"/>
          <w:szCs w:val="24"/>
        </w:rPr>
        <w:t>s izstrādi, kuras mērķis ir</w:t>
      </w:r>
      <w:r w:rsidRPr="00745480">
        <w:rPr>
          <w:rFonts w:ascii="Times New Roman" w:hAnsi="Times New Roman" w:cs="Times New Roman"/>
          <w:sz w:val="24"/>
          <w:szCs w:val="24"/>
        </w:rPr>
        <w:t xml:space="preserve"> konsolidē</w:t>
      </w:r>
      <w:r w:rsidR="00732C2B">
        <w:rPr>
          <w:rFonts w:ascii="Times New Roman" w:hAnsi="Times New Roman" w:cs="Times New Roman"/>
          <w:sz w:val="24"/>
          <w:szCs w:val="24"/>
        </w:rPr>
        <w:t>t</w:t>
      </w:r>
      <w:r w:rsidRPr="00745480">
        <w:rPr>
          <w:rFonts w:ascii="Times New Roman" w:hAnsi="Times New Roman" w:cs="Times New Roman"/>
          <w:sz w:val="24"/>
          <w:szCs w:val="24"/>
        </w:rPr>
        <w:t xml:space="preserve"> dažādu </w:t>
      </w:r>
      <w:r w:rsidR="00732C2B">
        <w:rPr>
          <w:rFonts w:ascii="Times New Roman" w:hAnsi="Times New Roman" w:cs="Times New Roman"/>
          <w:sz w:val="24"/>
          <w:szCs w:val="24"/>
        </w:rPr>
        <w:t>starp</w:t>
      </w:r>
      <w:r w:rsidRPr="00745480">
        <w:rPr>
          <w:rFonts w:ascii="Times New Roman" w:hAnsi="Times New Roman" w:cs="Times New Roman"/>
          <w:sz w:val="24"/>
          <w:szCs w:val="24"/>
        </w:rPr>
        <w:t>nozaru politiku ietvaru</w:t>
      </w:r>
      <w:r w:rsidR="00732C2B">
        <w:rPr>
          <w:rFonts w:ascii="Times New Roman" w:hAnsi="Times New Roman" w:cs="Times New Roman"/>
          <w:sz w:val="24"/>
          <w:szCs w:val="24"/>
        </w:rPr>
        <w:t>s</w:t>
      </w:r>
      <w:r w:rsidRPr="00745480">
        <w:rPr>
          <w:rFonts w:ascii="Times New Roman" w:hAnsi="Times New Roman" w:cs="Times New Roman"/>
          <w:sz w:val="24"/>
          <w:szCs w:val="24"/>
        </w:rPr>
        <w:t xml:space="preserve"> uzņēmējdarbības attīstībai. Savukārt VARAM ir uzsākusi darbu pie zemes politikas izstrādes, </w:t>
      </w:r>
      <w:r w:rsidR="00103270">
        <w:rPr>
          <w:rFonts w:ascii="Times New Roman" w:hAnsi="Times New Roman" w:cs="Times New Roman"/>
          <w:sz w:val="24"/>
          <w:szCs w:val="24"/>
        </w:rPr>
        <w:t>lai</w:t>
      </w:r>
      <w:r w:rsidRPr="00745480">
        <w:rPr>
          <w:rFonts w:ascii="Times New Roman" w:hAnsi="Times New Roman" w:cs="Times New Roman"/>
          <w:sz w:val="24"/>
          <w:szCs w:val="24"/>
        </w:rPr>
        <w:t xml:space="preserve"> identificēt</w:t>
      </w:r>
      <w:r w:rsidR="00103270">
        <w:rPr>
          <w:rFonts w:ascii="Times New Roman" w:hAnsi="Times New Roman" w:cs="Times New Roman"/>
          <w:sz w:val="24"/>
          <w:szCs w:val="24"/>
        </w:rPr>
        <w:t>u</w:t>
      </w:r>
      <w:r w:rsidRPr="00745480">
        <w:rPr>
          <w:rFonts w:ascii="Times New Roman" w:hAnsi="Times New Roman" w:cs="Times New Roman"/>
          <w:sz w:val="24"/>
          <w:szCs w:val="24"/>
        </w:rPr>
        <w:t xml:space="preserve"> šķēršļus, kas kavē dabas resursu efektīvu iesaisti ražošanā</w:t>
      </w:r>
      <w:r w:rsidR="00103270">
        <w:rPr>
          <w:rFonts w:ascii="Times New Roman" w:hAnsi="Times New Roman" w:cs="Times New Roman"/>
          <w:sz w:val="24"/>
          <w:szCs w:val="24"/>
        </w:rPr>
        <w:t>,</w:t>
      </w:r>
      <w:r w:rsidRPr="00745480">
        <w:rPr>
          <w:rFonts w:ascii="Times New Roman" w:hAnsi="Times New Roman" w:cs="Times New Roman"/>
          <w:sz w:val="24"/>
          <w:szCs w:val="24"/>
        </w:rPr>
        <w:t xml:space="preserve"> un plāno </w:t>
      </w:r>
      <w:proofErr w:type="spellStart"/>
      <w:r w:rsidR="00D8162A">
        <w:rPr>
          <w:rFonts w:ascii="Times New Roman" w:hAnsi="Times New Roman" w:cs="Times New Roman"/>
          <w:sz w:val="24"/>
          <w:szCs w:val="24"/>
        </w:rPr>
        <w:t>pārresorisku</w:t>
      </w:r>
      <w:proofErr w:type="spellEnd"/>
      <w:r w:rsidRPr="00745480">
        <w:rPr>
          <w:rFonts w:ascii="Times New Roman" w:hAnsi="Times New Roman" w:cs="Times New Roman"/>
          <w:sz w:val="24"/>
          <w:szCs w:val="24"/>
        </w:rPr>
        <w:t xml:space="preserve"> nozaru rīcību un pasākumus konstatēto problēmu risināšanai. </w:t>
      </w:r>
    </w:p>
    <w:p w14:paraId="0B8D38CF" w14:textId="02E6450B" w:rsidR="00F353B7" w:rsidRDefault="00103270" w:rsidP="004F0E73">
      <w:pPr>
        <w:jc w:val="both"/>
        <w:rPr>
          <w:rFonts w:ascii="Times New Roman" w:hAnsi="Times New Roman" w:cs="Times New Roman"/>
          <w:sz w:val="24"/>
          <w:szCs w:val="24"/>
        </w:rPr>
      </w:pPr>
      <w:r>
        <w:rPr>
          <w:rFonts w:ascii="Times New Roman" w:hAnsi="Times New Roman" w:cs="Times New Roman"/>
          <w:sz w:val="24"/>
          <w:szCs w:val="24"/>
        </w:rPr>
        <w:t>L</w:t>
      </w:r>
      <w:r w:rsidR="00D87C71" w:rsidRPr="00745480">
        <w:rPr>
          <w:rFonts w:ascii="Times New Roman" w:hAnsi="Times New Roman" w:cs="Times New Roman"/>
          <w:sz w:val="24"/>
          <w:szCs w:val="24"/>
        </w:rPr>
        <w:t xml:space="preserve">ai novērstu šķēršļus, kas kavē zemes dzīļu resursu izpēti un apgūšanu, kā arī nerada investīcijām draudzīgu vidi attiecīgajās jomās, </w:t>
      </w:r>
      <w:r>
        <w:rPr>
          <w:rFonts w:ascii="Times New Roman" w:hAnsi="Times New Roman" w:cs="Times New Roman"/>
          <w:sz w:val="24"/>
          <w:szCs w:val="24"/>
        </w:rPr>
        <w:t>v</w:t>
      </w:r>
      <w:r w:rsidRPr="00745480">
        <w:rPr>
          <w:rFonts w:ascii="Times New Roman" w:hAnsi="Times New Roman" w:cs="Times New Roman"/>
          <w:sz w:val="24"/>
          <w:szCs w:val="24"/>
        </w:rPr>
        <w:t xml:space="preserve">aldība </w:t>
      </w:r>
      <w:r w:rsidR="00D87C71" w:rsidRPr="00745480">
        <w:rPr>
          <w:rFonts w:ascii="Times New Roman" w:hAnsi="Times New Roman" w:cs="Times New Roman"/>
          <w:sz w:val="24"/>
          <w:szCs w:val="24"/>
        </w:rPr>
        <w:t xml:space="preserve">turpmāko divu gadu laikā, komunicējot ar uzņēmējiem un sabiedrību, ir apņēmusies izstrādāt zemes dzīļu resursu ilgtspējīgas izmantošanas nosacījumus, kas būs par pamatu jaunas tautsaimniecības </w:t>
      </w:r>
      <w:r w:rsidR="00732C2B">
        <w:rPr>
          <w:rFonts w:ascii="Times New Roman" w:hAnsi="Times New Roman" w:cs="Times New Roman"/>
          <w:sz w:val="24"/>
          <w:szCs w:val="24"/>
        </w:rPr>
        <w:t xml:space="preserve">industrijas </w:t>
      </w:r>
      <w:r w:rsidR="00D87C71" w:rsidRPr="00745480">
        <w:rPr>
          <w:rFonts w:ascii="Times New Roman" w:hAnsi="Times New Roman" w:cs="Times New Roman"/>
          <w:sz w:val="24"/>
          <w:szCs w:val="24"/>
        </w:rPr>
        <w:t>izveidei un attīstībai Latvijā.</w:t>
      </w:r>
    </w:p>
    <w:p w14:paraId="43C90702" w14:textId="77777777" w:rsidR="004F0E73" w:rsidRDefault="004F0E73" w:rsidP="004F0E73">
      <w:pPr>
        <w:jc w:val="both"/>
        <w:rPr>
          <w:rFonts w:ascii="Times New Roman" w:hAnsi="Times New Roman" w:cs="Times New Roman"/>
          <w:b/>
          <w:color w:val="548DD4" w:themeColor="text2" w:themeTint="99"/>
          <w:sz w:val="24"/>
          <w:szCs w:val="24"/>
        </w:rPr>
      </w:pPr>
      <w:r w:rsidRPr="006B0706">
        <w:rPr>
          <w:rFonts w:ascii="Times New Roman" w:hAnsi="Times New Roman" w:cs="Times New Roman"/>
          <w:b/>
          <w:color w:val="548DD4" w:themeColor="text2" w:themeTint="99"/>
          <w:sz w:val="24"/>
          <w:szCs w:val="24"/>
        </w:rPr>
        <w:t>Teritoriālā attīstība</w:t>
      </w:r>
    </w:p>
    <w:p w14:paraId="6C8FC1AB" w14:textId="5F0F6535" w:rsidR="00D87C71" w:rsidRPr="00745480" w:rsidRDefault="00D87C71" w:rsidP="00D87C71">
      <w:pPr>
        <w:jc w:val="both"/>
        <w:rPr>
          <w:rFonts w:ascii="Times New Roman" w:hAnsi="Times New Roman" w:cs="Times New Roman"/>
          <w:sz w:val="24"/>
          <w:szCs w:val="24"/>
        </w:rPr>
      </w:pPr>
      <w:r w:rsidRPr="00745480">
        <w:rPr>
          <w:rFonts w:ascii="Times New Roman" w:hAnsi="Times New Roman" w:cs="Times New Roman"/>
          <w:sz w:val="24"/>
          <w:szCs w:val="24"/>
        </w:rPr>
        <w:t>Laikpo</w:t>
      </w:r>
      <w:r w:rsidR="00103270">
        <w:rPr>
          <w:rFonts w:ascii="Times New Roman" w:hAnsi="Times New Roman" w:cs="Times New Roman"/>
          <w:sz w:val="24"/>
          <w:szCs w:val="24"/>
        </w:rPr>
        <w:t>sm</w:t>
      </w:r>
      <w:r w:rsidRPr="00745480">
        <w:rPr>
          <w:rFonts w:ascii="Times New Roman" w:hAnsi="Times New Roman" w:cs="Times New Roman"/>
          <w:sz w:val="24"/>
          <w:szCs w:val="24"/>
        </w:rPr>
        <w:t>ā no 2009.</w:t>
      </w:r>
      <w:r w:rsidR="004D60EC">
        <w:rPr>
          <w:rFonts w:ascii="Times New Roman" w:hAnsi="Times New Roman" w:cs="Times New Roman"/>
          <w:sz w:val="24"/>
          <w:szCs w:val="24"/>
        </w:rPr>
        <w:t> gada</w:t>
      </w:r>
      <w:r w:rsidRPr="00745480">
        <w:rPr>
          <w:rFonts w:ascii="Times New Roman" w:hAnsi="Times New Roman" w:cs="Times New Roman"/>
          <w:sz w:val="24"/>
          <w:szCs w:val="24"/>
        </w:rPr>
        <w:t xml:space="preserve"> līdz 2015.</w:t>
      </w:r>
      <w:r w:rsidR="004D60EC">
        <w:rPr>
          <w:rFonts w:ascii="Times New Roman" w:hAnsi="Times New Roman" w:cs="Times New Roman"/>
          <w:sz w:val="24"/>
          <w:szCs w:val="24"/>
        </w:rPr>
        <w:t> </w:t>
      </w:r>
      <w:r w:rsidRPr="00745480">
        <w:rPr>
          <w:rFonts w:ascii="Times New Roman" w:hAnsi="Times New Roman" w:cs="Times New Roman"/>
          <w:sz w:val="24"/>
          <w:szCs w:val="24"/>
        </w:rPr>
        <w:t>gadam Latvijā uzņēmumu skaits ir palielinājies par 22</w:t>
      </w:r>
      <w:r w:rsidR="00103270">
        <w:rPr>
          <w:rFonts w:ascii="Times New Roman" w:hAnsi="Times New Roman" w:cs="Times New Roman"/>
          <w:sz w:val="24"/>
          <w:szCs w:val="24"/>
        </w:rPr>
        <w:t> </w:t>
      </w:r>
      <w:r w:rsidRPr="00745480">
        <w:rPr>
          <w:rFonts w:ascii="Times New Roman" w:hAnsi="Times New Roman" w:cs="Times New Roman"/>
          <w:sz w:val="24"/>
          <w:szCs w:val="24"/>
        </w:rPr>
        <w:t>%, kas ir pozitīva tendence tautsaimniecības attīstībai, t.</w:t>
      </w:r>
      <w:r w:rsidR="00103270">
        <w:rPr>
          <w:rFonts w:ascii="Times New Roman" w:hAnsi="Times New Roman" w:cs="Times New Roman"/>
          <w:sz w:val="24"/>
          <w:szCs w:val="24"/>
        </w:rPr>
        <w:t> </w:t>
      </w:r>
      <w:r w:rsidRPr="00745480">
        <w:rPr>
          <w:rFonts w:ascii="Times New Roman" w:hAnsi="Times New Roman" w:cs="Times New Roman"/>
          <w:sz w:val="24"/>
          <w:szCs w:val="24"/>
        </w:rPr>
        <w:t xml:space="preserve">sk. uzņēmējdarbības aktivitātei reģionos. Uzņēmēju iespējas un vēlme veikt ilgtspējīgus ieguldījumus ir katras pašvaldības mērķis, tā vairojot </w:t>
      </w:r>
      <w:r w:rsidR="00103270">
        <w:rPr>
          <w:rFonts w:ascii="Times New Roman" w:hAnsi="Times New Roman" w:cs="Times New Roman"/>
          <w:sz w:val="24"/>
          <w:szCs w:val="24"/>
        </w:rPr>
        <w:t>attiecīg</w:t>
      </w:r>
      <w:r w:rsidRPr="00745480">
        <w:rPr>
          <w:rFonts w:ascii="Times New Roman" w:hAnsi="Times New Roman" w:cs="Times New Roman"/>
          <w:sz w:val="24"/>
          <w:szCs w:val="24"/>
        </w:rPr>
        <w:t xml:space="preserve">ās teritorijas konkurētspēju, nodarbinātību un izaugsmi. </w:t>
      </w:r>
    </w:p>
    <w:p w14:paraId="6205A891" w14:textId="6CAA792B" w:rsidR="00D87C71" w:rsidRDefault="00D87C71" w:rsidP="00D87C71">
      <w:pPr>
        <w:jc w:val="both"/>
        <w:rPr>
          <w:rFonts w:ascii="Times New Roman" w:hAnsi="Times New Roman" w:cs="Times New Roman"/>
          <w:sz w:val="24"/>
          <w:szCs w:val="24"/>
        </w:rPr>
      </w:pPr>
      <w:r w:rsidRPr="00745480">
        <w:rPr>
          <w:rFonts w:ascii="Times New Roman" w:hAnsi="Times New Roman" w:cs="Times New Roman"/>
          <w:sz w:val="24"/>
          <w:szCs w:val="24"/>
        </w:rPr>
        <w:lastRenderedPageBreak/>
        <w:t>Lai uzlabotu uzņēmējdarbības vidi reģionos un radītu jaunas darba vietas</w:t>
      </w:r>
      <w:r w:rsidR="004D60EC">
        <w:rPr>
          <w:rFonts w:ascii="Times New Roman" w:hAnsi="Times New Roman" w:cs="Times New Roman"/>
          <w:sz w:val="24"/>
          <w:szCs w:val="24"/>
        </w:rPr>
        <w:t xml:space="preserve"> privātajā sektorā, 2014.–2020. </w:t>
      </w:r>
      <w:r w:rsidRPr="00745480">
        <w:rPr>
          <w:rFonts w:ascii="Times New Roman" w:hAnsi="Times New Roman" w:cs="Times New Roman"/>
          <w:sz w:val="24"/>
          <w:szCs w:val="24"/>
        </w:rPr>
        <w:t>gada ES fondu plānošanas periodā pašvaldībām ir iespēja iesniegt projektus Eiropas Reģionālās attīstības fonda (turpmāk – ERAF) finansējumam 64</w:t>
      </w:r>
      <w:r w:rsidR="00716B0D">
        <w:rPr>
          <w:rFonts w:ascii="Times New Roman" w:hAnsi="Times New Roman" w:cs="Times New Roman"/>
          <w:sz w:val="24"/>
          <w:szCs w:val="24"/>
        </w:rPr>
        <w:t> milj.</w:t>
      </w:r>
      <w:r w:rsidRPr="00745480">
        <w:rPr>
          <w:rFonts w:ascii="Times New Roman" w:hAnsi="Times New Roman" w:cs="Times New Roman"/>
          <w:sz w:val="24"/>
          <w:szCs w:val="24"/>
        </w:rPr>
        <w:t xml:space="preserve"> </w:t>
      </w:r>
      <w:proofErr w:type="spellStart"/>
      <w:r w:rsidRPr="00801C56">
        <w:rPr>
          <w:rFonts w:ascii="Times New Roman" w:hAnsi="Times New Roman" w:cs="Times New Roman"/>
          <w:i/>
          <w:sz w:val="24"/>
          <w:szCs w:val="24"/>
        </w:rPr>
        <w:t>euro</w:t>
      </w:r>
      <w:proofErr w:type="spellEnd"/>
      <w:r w:rsidRPr="00745480">
        <w:rPr>
          <w:rFonts w:ascii="Times New Roman" w:hAnsi="Times New Roman" w:cs="Times New Roman"/>
          <w:sz w:val="24"/>
          <w:szCs w:val="24"/>
        </w:rPr>
        <w:t xml:space="preserve"> apmērā, ieguldot to mazo un vid</w:t>
      </w:r>
      <w:r w:rsidR="000E0477">
        <w:rPr>
          <w:rFonts w:ascii="Times New Roman" w:hAnsi="Times New Roman" w:cs="Times New Roman"/>
          <w:sz w:val="24"/>
          <w:szCs w:val="24"/>
        </w:rPr>
        <w:t>ējo uzņēmumu atbalstam paredzētā</w:t>
      </w:r>
      <w:r w:rsidRPr="00745480">
        <w:rPr>
          <w:rFonts w:ascii="Times New Roman" w:hAnsi="Times New Roman" w:cs="Times New Roman"/>
          <w:sz w:val="24"/>
          <w:szCs w:val="24"/>
        </w:rPr>
        <w:t>s publiskās infrastruktūras un inženierkomunikāciju attīstībā reģionos, t.</w:t>
      </w:r>
      <w:r w:rsidR="00103270">
        <w:rPr>
          <w:rFonts w:ascii="Times New Roman" w:hAnsi="Times New Roman" w:cs="Times New Roman"/>
          <w:sz w:val="24"/>
          <w:szCs w:val="24"/>
        </w:rPr>
        <w:t> </w:t>
      </w:r>
      <w:r w:rsidRPr="00745480">
        <w:rPr>
          <w:rFonts w:ascii="Times New Roman" w:hAnsi="Times New Roman" w:cs="Times New Roman"/>
          <w:sz w:val="24"/>
          <w:szCs w:val="24"/>
        </w:rPr>
        <w:t xml:space="preserve">i., uzņēmējdarbībai nepieciešamo teritoriju, ēku un to infrastruktūras, pievedceļu, inženierkomunikāciju atzaru ierīkošanai un to jaudas palielināšanai. </w:t>
      </w:r>
    </w:p>
    <w:p w14:paraId="0E20AEA7" w14:textId="3825FB68" w:rsidR="00D87C71" w:rsidRPr="00745480" w:rsidRDefault="00D87C71" w:rsidP="00D87C71">
      <w:pPr>
        <w:jc w:val="both"/>
        <w:rPr>
          <w:rFonts w:ascii="Times New Roman" w:hAnsi="Times New Roman" w:cs="Times New Roman"/>
          <w:sz w:val="24"/>
          <w:szCs w:val="24"/>
        </w:rPr>
      </w:pPr>
      <w:r w:rsidRPr="00FC1B8B">
        <w:rPr>
          <w:rFonts w:ascii="Times New Roman" w:hAnsi="Times New Roman" w:cs="Times New Roman"/>
          <w:sz w:val="24"/>
          <w:szCs w:val="24"/>
        </w:rPr>
        <w:t xml:space="preserve">Ieguldījumu rezultātā </w:t>
      </w:r>
      <w:r w:rsidR="00E822D0" w:rsidRPr="00FC1B8B">
        <w:rPr>
          <w:rFonts w:ascii="Times New Roman" w:hAnsi="Times New Roman" w:cs="Times New Roman"/>
          <w:sz w:val="24"/>
          <w:szCs w:val="24"/>
        </w:rPr>
        <w:t xml:space="preserve">reģionos </w:t>
      </w:r>
      <w:r w:rsidRPr="00FC1B8B">
        <w:rPr>
          <w:rFonts w:ascii="Times New Roman" w:hAnsi="Times New Roman" w:cs="Times New Roman"/>
          <w:sz w:val="24"/>
          <w:szCs w:val="24"/>
        </w:rPr>
        <w:t>plānots radīt vismaz 1053</w:t>
      </w:r>
      <w:r w:rsidR="00103270">
        <w:rPr>
          <w:rFonts w:ascii="Times New Roman" w:hAnsi="Times New Roman" w:cs="Times New Roman"/>
          <w:sz w:val="24"/>
          <w:szCs w:val="24"/>
        </w:rPr>
        <w:t> </w:t>
      </w:r>
      <w:r w:rsidRPr="00FC1B8B">
        <w:rPr>
          <w:rFonts w:ascii="Times New Roman" w:hAnsi="Times New Roman" w:cs="Times New Roman"/>
          <w:sz w:val="24"/>
          <w:szCs w:val="24"/>
        </w:rPr>
        <w:t>jaunas darba</w:t>
      </w:r>
      <w:r w:rsidR="007A71A8">
        <w:rPr>
          <w:rFonts w:ascii="Times New Roman" w:hAnsi="Times New Roman" w:cs="Times New Roman"/>
          <w:sz w:val="24"/>
          <w:szCs w:val="24"/>
        </w:rPr>
        <w:t xml:space="preserve"> </w:t>
      </w:r>
      <w:r w:rsidRPr="00FC1B8B">
        <w:rPr>
          <w:rFonts w:ascii="Times New Roman" w:hAnsi="Times New Roman" w:cs="Times New Roman"/>
          <w:sz w:val="24"/>
          <w:szCs w:val="24"/>
        </w:rPr>
        <w:t>vietas privātajā sektorā, sniedzot atbalstu vismaz 202</w:t>
      </w:r>
      <w:r w:rsidR="00103270">
        <w:rPr>
          <w:rFonts w:ascii="Times New Roman" w:hAnsi="Times New Roman" w:cs="Times New Roman"/>
          <w:sz w:val="24"/>
          <w:szCs w:val="24"/>
        </w:rPr>
        <w:t> </w:t>
      </w:r>
      <w:r w:rsidRPr="00FC1B8B">
        <w:rPr>
          <w:rFonts w:ascii="Times New Roman" w:hAnsi="Times New Roman" w:cs="Times New Roman"/>
          <w:sz w:val="24"/>
          <w:szCs w:val="24"/>
        </w:rPr>
        <w:t>komersantiem</w:t>
      </w:r>
      <w:r>
        <w:rPr>
          <w:rFonts w:ascii="Times New Roman" w:hAnsi="Times New Roman" w:cs="Times New Roman"/>
          <w:sz w:val="24"/>
          <w:szCs w:val="24"/>
        </w:rPr>
        <w:t xml:space="preserve"> un </w:t>
      </w:r>
      <w:r w:rsidR="00F8387D">
        <w:rPr>
          <w:rFonts w:ascii="Times New Roman" w:hAnsi="Times New Roman" w:cs="Times New Roman"/>
          <w:sz w:val="24"/>
          <w:szCs w:val="24"/>
        </w:rPr>
        <w:t>veicinot šo komersantu</w:t>
      </w:r>
      <w:r>
        <w:rPr>
          <w:rFonts w:ascii="Times New Roman" w:hAnsi="Times New Roman" w:cs="Times New Roman"/>
          <w:sz w:val="24"/>
          <w:szCs w:val="24"/>
        </w:rPr>
        <w:t xml:space="preserve"> investīcijas vismaz 64</w:t>
      </w:r>
      <w:r w:rsidR="00716B0D">
        <w:rPr>
          <w:rFonts w:ascii="Times New Roman" w:hAnsi="Times New Roman" w:cs="Times New Roman"/>
          <w:sz w:val="24"/>
          <w:szCs w:val="24"/>
        </w:rPr>
        <w:t> milj.</w:t>
      </w:r>
      <w:r w:rsidR="00A23DCF">
        <w:rPr>
          <w:rFonts w:ascii="Times New Roman" w:hAnsi="Times New Roman" w:cs="Times New Roman"/>
          <w:sz w:val="24"/>
          <w:szCs w:val="24"/>
        </w:rPr>
        <w:t> </w:t>
      </w:r>
      <w:proofErr w:type="spellStart"/>
      <w:r w:rsidRPr="000478D6">
        <w:rPr>
          <w:rFonts w:ascii="Times New Roman" w:hAnsi="Times New Roman" w:cs="Times New Roman"/>
          <w:i/>
          <w:sz w:val="24"/>
          <w:szCs w:val="24"/>
        </w:rPr>
        <w:t>euro</w:t>
      </w:r>
      <w:proofErr w:type="spellEnd"/>
      <w:r>
        <w:rPr>
          <w:rFonts w:ascii="Times New Roman" w:hAnsi="Times New Roman" w:cs="Times New Roman"/>
          <w:sz w:val="24"/>
          <w:szCs w:val="24"/>
        </w:rPr>
        <w:t xml:space="preserve"> apmērā</w:t>
      </w:r>
      <w:r w:rsidRPr="00FC1B8B">
        <w:rPr>
          <w:rFonts w:ascii="Times New Roman" w:hAnsi="Times New Roman" w:cs="Times New Roman"/>
          <w:sz w:val="24"/>
          <w:szCs w:val="24"/>
        </w:rPr>
        <w:t>.</w:t>
      </w:r>
    </w:p>
    <w:p w14:paraId="1A08FE0F" w14:textId="5EA0F9A8" w:rsidR="00D87C71" w:rsidRDefault="00D87C71" w:rsidP="00D87C71">
      <w:pPr>
        <w:jc w:val="both"/>
        <w:rPr>
          <w:rFonts w:ascii="Times New Roman" w:hAnsi="Times New Roman" w:cs="Times New Roman"/>
          <w:sz w:val="24"/>
          <w:szCs w:val="24"/>
        </w:rPr>
      </w:pPr>
      <w:r w:rsidRPr="00745480">
        <w:rPr>
          <w:rFonts w:ascii="Times New Roman" w:hAnsi="Times New Roman" w:cs="Times New Roman"/>
          <w:sz w:val="24"/>
          <w:szCs w:val="24"/>
        </w:rPr>
        <w:t xml:space="preserve">Valdībā apstiprināts arī VARAM sagatavotais normatīvais regulējums par pilsētvides </w:t>
      </w:r>
      <w:proofErr w:type="spellStart"/>
      <w:r w:rsidRPr="00745480">
        <w:rPr>
          <w:rFonts w:ascii="Times New Roman" w:hAnsi="Times New Roman" w:cs="Times New Roman"/>
          <w:sz w:val="24"/>
          <w:szCs w:val="24"/>
        </w:rPr>
        <w:t>revitalizācijas</w:t>
      </w:r>
      <w:proofErr w:type="spellEnd"/>
      <w:r w:rsidRPr="00745480">
        <w:rPr>
          <w:rFonts w:ascii="Times New Roman" w:hAnsi="Times New Roman" w:cs="Times New Roman"/>
          <w:sz w:val="24"/>
          <w:szCs w:val="24"/>
        </w:rPr>
        <w:t xml:space="preserve"> aktivitātēm, kas pašvaldībām atbilstoši to </w:t>
      </w:r>
      <w:r w:rsidR="00103270" w:rsidRPr="00745480">
        <w:rPr>
          <w:rFonts w:ascii="Times New Roman" w:hAnsi="Times New Roman" w:cs="Times New Roman"/>
          <w:sz w:val="24"/>
          <w:szCs w:val="24"/>
        </w:rPr>
        <w:t xml:space="preserve">attīstības programmās </w:t>
      </w:r>
      <w:r w:rsidRPr="00745480">
        <w:rPr>
          <w:rFonts w:ascii="Times New Roman" w:hAnsi="Times New Roman" w:cs="Times New Roman"/>
          <w:sz w:val="24"/>
          <w:szCs w:val="24"/>
        </w:rPr>
        <w:t>noteiktajām prioritātēm ļaus īstenot infrastruktūras investīciju projektus un labiekārtošanas darbus bijušajās rūpnieciskajās teritorijās</w:t>
      </w:r>
      <w:r w:rsidR="00E822D0">
        <w:rPr>
          <w:rFonts w:ascii="Times New Roman" w:hAnsi="Times New Roman" w:cs="Times New Roman"/>
          <w:sz w:val="24"/>
          <w:szCs w:val="24"/>
        </w:rPr>
        <w:t>.</w:t>
      </w:r>
      <w:r w:rsidRPr="00745480">
        <w:rPr>
          <w:rFonts w:ascii="Times New Roman" w:hAnsi="Times New Roman" w:cs="Times New Roman"/>
          <w:sz w:val="24"/>
          <w:szCs w:val="24"/>
        </w:rPr>
        <w:t xml:space="preserve"> </w:t>
      </w:r>
      <w:r w:rsidR="00E822D0">
        <w:rPr>
          <w:rFonts w:ascii="Times New Roman" w:hAnsi="Times New Roman" w:cs="Times New Roman"/>
          <w:sz w:val="24"/>
          <w:szCs w:val="24"/>
        </w:rPr>
        <w:t>T</w:t>
      </w:r>
      <w:r w:rsidRPr="00745480">
        <w:rPr>
          <w:rFonts w:ascii="Times New Roman" w:hAnsi="Times New Roman" w:cs="Times New Roman"/>
          <w:sz w:val="24"/>
          <w:szCs w:val="24"/>
        </w:rPr>
        <w:t xml:space="preserve">ādējādi pilsētvides </w:t>
      </w:r>
      <w:proofErr w:type="spellStart"/>
      <w:r w:rsidRPr="00745480">
        <w:rPr>
          <w:rFonts w:ascii="Times New Roman" w:hAnsi="Times New Roman" w:cs="Times New Roman"/>
          <w:sz w:val="24"/>
          <w:szCs w:val="24"/>
        </w:rPr>
        <w:t>revitalizācijas</w:t>
      </w:r>
      <w:proofErr w:type="spellEnd"/>
      <w:r w:rsidRPr="00745480">
        <w:rPr>
          <w:rFonts w:ascii="Times New Roman" w:hAnsi="Times New Roman" w:cs="Times New Roman"/>
          <w:sz w:val="24"/>
          <w:szCs w:val="24"/>
        </w:rPr>
        <w:t xml:space="preserve"> projekti sniegs ieguldījumu gan jaunu darba</w:t>
      </w:r>
      <w:r w:rsidR="007A71A8">
        <w:rPr>
          <w:rFonts w:ascii="Times New Roman" w:hAnsi="Times New Roman" w:cs="Times New Roman"/>
          <w:sz w:val="24"/>
          <w:szCs w:val="24"/>
        </w:rPr>
        <w:t xml:space="preserve"> </w:t>
      </w:r>
      <w:r w:rsidRPr="00745480">
        <w:rPr>
          <w:rFonts w:ascii="Times New Roman" w:hAnsi="Times New Roman" w:cs="Times New Roman"/>
          <w:sz w:val="24"/>
          <w:szCs w:val="24"/>
        </w:rPr>
        <w:t>vietu izveidē, gan degradēto teritoriju atjaunošanā. Kopējais finansējums līdz 2022.</w:t>
      </w:r>
      <w:r w:rsidR="00103270">
        <w:rPr>
          <w:rFonts w:ascii="Times New Roman" w:hAnsi="Times New Roman" w:cs="Times New Roman"/>
          <w:sz w:val="24"/>
          <w:szCs w:val="24"/>
        </w:rPr>
        <w:t> </w:t>
      </w:r>
      <w:r w:rsidRPr="00745480">
        <w:rPr>
          <w:rFonts w:ascii="Times New Roman" w:hAnsi="Times New Roman" w:cs="Times New Roman"/>
          <w:sz w:val="24"/>
          <w:szCs w:val="24"/>
        </w:rPr>
        <w:t xml:space="preserve">gadam plānots ne </w:t>
      </w:r>
      <w:proofErr w:type="gramStart"/>
      <w:r w:rsidRPr="00745480">
        <w:rPr>
          <w:rFonts w:ascii="Times New Roman" w:hAnsi="Times New Roman" w:cs="Times New Roman"/>
          <w:sz w:val="24"/>
          <w:szCs w:val="24"/>
        </w:rPr>
        <w:t>mazāks kā</w:t>
      </w:r>
      <w:proofErr w:type="gramEnd"/>
      <w:r w:rsidRPr="00745480">
        <w:rPr>
          <w:rFonts w:ascii="Times New Roman" w:hAnsi="Times New Roman" w:cs="Times New Roman"/>
          <w:sz w:val="24"/>
          <w:szCs w:val="24"/>
        </w:rPr>
        <w:t xml:space="preserve"> 311</w:t>
      </w:r>
      <w:r w:rsidR="00716B0D">
        <w:rPr>
          <w:rFonts w:ascii="Times New Roman" w:hAnsi="Times New Roman" w:cs="Times New Roman"/>
          <w:sz w:val="24"/>
          <w:szCs w:val="24"/>
        </w:rPr>
        <w:t> milj.</w:t>
      </w:r>
      <w:r w:rsidRPr="00745480">
        <w:rPr>
          <w:rFonts w:ascii="Times New Roman" w:hAnsi="Times New Roman" w:cs="Times New Roman"/>
          <w:sz w:val="24"/>
          <w:szCs w:val="24"/>
        </w:rPr>
        <w:t xml:space="preserve"> </w:t>
      </w:r>
      <w:proofErr w:type="spellStart"/>
      <w:r w:rsidRPr="00801C56">
        <w:rPr>
          <w:rFonts w:ascii="Times New Roman" w:hAnsi="Times New Roman" w:cs="Times New Roman"/>
          <w:i/>
          <w:sz w:val="24"/>
          <w:szCs w:val="24"/>
        </w:rPr>
        <w:t>euro</w:t>
      </w:r>
      <w:proofErr w:type="spellEnd"/>
      <w:r w:rsidRPr="00745480">
        <w:rPr>
          <w:rFonts w:ascii="Times New Roman" w:hAnsi="Times New Roman" w:cs="Times New Roman"/>
          <w:sz w:val="24"/>
          <w:szCs w:val="24"/>
        </w:rPr>
        <w:t xml:space="preserve">. </w:t>
      </w:r>
      <w:r>
        <w:rPr>
          <w:rFonts w:ascii="Times New Roman" w:hAnsi="Times New Roman" w:cs="Times New Roman"/>
          <w:sz w:val="24"/>
          <w:szCs w:val="24"/>
        </w:rPr>
        <w:t>Šo atbalsta pasākumu ietvaros radītās darba vietas vei</w:t>
      </w:r>
      <w:r w:rsidR="00103270">
        <w:rPr>
          <w:rFonts w:ascii="Times New Roman" w:hAnsi="Times New Roman" w:cs="Times New Roman"/>
          <w:sz w:val="24"/>
          <w:szCs w:val="24"/>
        </w:rPr>
        <w:t>cinā</w:t>
      </w:r>
      <w:r>
        <w:rPr>
          <w:rFonts w:ascii="Times New Roman" w:hAnsi="Times New Roman" w:cs="Times New Roman"/>
          <w:sz w:val="24"/>
          <w:szCs w:val="24"/>
        </w:rPr>
        <w:t xml:space="preserve">s nodarbinātības stabilitāti un sekmēs bezdarba samazināšanu reģionos. </w:t>
      </w:r>
    </w:p>
    <w:p w14:paraId="66073B3F" w14:textId="64801B65" w:rsidR="00D87C71" w:rsidRPr="00745480" w:rsidRDefault="00D87C71" w:rsidP="00D87C71">
      <w:pPr>
        <w:jc w:val="both"/>
        <w:rPr>
          <w:rFonts w:ascii="Times New Roman" w:hAnsi="Times New Roman" w:cs="Times New Roman"/>
          <w:sz w:val="24"/>
          <w:szCs w:val="24"/>
        </w:rPr>
      </w:pPr>
      <w:r>
        <w:rPr>
          <w:rFonts w:ascii="Times New Roman" w:hAnsi="Times New Roman" w:cs="Times New Roman"/>
          <w:sz w:val="24"/>
          <w:szCs w:val="24"/>
        </w:rPr>
        <w:t>Lai pilnveidotu plānošanas reģionu funkcionālo darbību, ES fondu plānošanas periodā 2014.–2020.</w:t>
      </w:r>
      <w:r w:rsidR="004D60EC">
        <w:rPr>
          <w:rFonts w:ascii="Times New Roman" w:hAnsi="Times New Roman" w:cs="Times New Roman"/>
          <w:sz w:val="24"/>
          <w:szCs w:val="24"/>
        </w:rPr>
        <w:t> </w:t>
      </w:r>
      <w:r>
        <w:rPr>
          <w:rFonts w:ascii="Times New Roman" w:hAnsi="Times New Roman" w:cs="Times New Roman"/>
          <w:sz w:val="24"/>
          <w:szCs w:val="24"/>
        </w:rPr>
        <w:t xml:space="preserve">gadam </w:t>
      </w:r>
      <w:r w:rsidRPr="00FC1B8B">
        <w:rPr>
          <w:rFonts w:ascii="Times New Roman" w:hAnsi="Times New Roman" w:cs="Times New Roman"/>
          <w:sz w:val="24"/>
          <w:szCs w:val="24"/>
        </w:rPr>
        <w:t xml:space="preserve">saskaņā ar darbības programmu </w:t>
      </w:r>
      <w:r w:rsidR="00103270">
        <w:rPr>
          <w:rFonts w:ascii="Times New Roman" w:hAnsi="Times New Roman" w:cs="Times New Roman"/>
          <w:sz w:val="24"/>
          <w:szCs w:val="24"/>
        </w:rPr>
        <w:t>"</w:t>
      </w:r>
      <w:r w:rsidRPr="00FC1B8B">
        <w:rPr>
          <w:rFonts w:ascii="Times New Roman" w:hAnsi="Times New Roman" w:cs="Times New Roman"/>
          <w:sz w:val="24"/>
          <w:szCs w:val="24"/>
        </w:rPr>
        <w:t>Izaugsme un nodarbinātība</w:t>
      </w:r>
      <w:r w:rsidR="00103270">
        <w:rPr>
          <w:rFonts w:ascii="Times New Roman" w:hAnsi="Times New Roman" w:cs="Times New Roman"/>
          <w:sz w:val="24"/>
          <w:szCs w:val="24"/>
        </w:rPr>
        <w:t>"</w:t>
      </w:r>
      <w:r w:rsidRPr="00FC1B8B">
        <w:rPr>
          <w:rFonts w:ascii="Times New Roman" w:hAnsi="Times New Roman" w:cs="Times New Roman"/>
          <w:sz w:val="24"/>
          <w:szCs w:val="24"/>
        </w:rPr>
        <w:t xml:space="preserve"> </w:t>
      </w:r>
      <w:r>
        <w:rPr>
          <w:rFonts w:ascii="Times New Roman" w:hAnsi="Times New Roman" w:cs="Times New Roman"/>
          <w:sz w:val="24"/>
          <w:szCs w:val="24"/>
        </w:rPr>
        <w:t>paredzēt</w:t>
      </w:r>
      <w:r w:rsidR="00FD66D7">
        <w:rPr>
          <w:rFonts w:ascii="Times New Roman" w:hAnsi="Times New Roman" w:cs="Times New Roman"/>
          <w:sz w:val="24"/>
          <w:szCs w:val="24"/>
        </w:rPr>
        <w:t>s</w:t>
      </w:r>
      <w:r>
        <w:rPr>
          <w:rFonts w:ascii="Times New Roman" w:hAnsi="Times New Roman" w:cs="Times New Roman"/>
          <w:sz w:val="24"/>
          <w:szCs w:val="24"/>
        </w:rPr>
        <w:t xml:space="preserve"> </w:t>
      </w:r>
      <w:r w:rsidR="00FD66D7">
        <w:rPr>
          <w:rFonts w:ascii="Times New Roman" w:hAnsi="Times New Roman" w:cs="Times New Roman"/>
          <w:sz w:val="24"/>
          <w:szCs w:val="24"/>
        </w:rPr>
        <w:t xml:space="preserve">stiprināt </w:t>
      </w:r>
      <w:r>
        <w:rPr>
          <w:rFonts w:ascii="Times New Roman" w:hAnsi="Times New Roman" w:cs="Times New Roman"/>
          <w:sz w:val="24"/>
          <w:szCs w:val="24"/>
        </w:rPr>
        <w:t>plānošanas reģionu lom</w:t>
      </w:r>
      <w:r w:rsidR="00FD66D7">
        <w:rPr>
          <w:rFonts w:ascii="Times New Roman" w:hAnsi="Times New Roman" w:cs="Times New Roman"/>
          <w:sz w:val="24"/>
          <w:szCs w:val="24"/>
        </w:rPr>
        <w:t>u</w:t>
      </w:r>
      <w:r>
        <w:rPr>
          <w:rFonts w:ascii="Times New Roman" w:hAnsi="Times New Roman" w:cs="Times New Roman"/>
          <w:sz w:val="24"/>
          <w:szCs w:val="24"/>
        </w:rPr>
        <w:t xml:space="preserve"> </w:t>
      </w:r>
      <w:proofErr w:type="spellStart"/>
      <w:r>
        <w:rPr>
          <w:rFonts w:ascii="Times New Roman" w:hAnsi="Times New Roman" w:cs="Times New Roman"/>
          <w:sz w:val="24"/>
          <w:szCs w:val="24"/>
        </w:rPr>
        <w:t>deinstitucionalizācijas</w:t>
      </w:r>
      <w:proofErr w:type="spellEnd"/>
      <w:r>
        <w:rPr>
          <w:rFonts w:ascii="Times New Roman" w:hAnsi="Times New Roman" w:cs="Times New Roman"/>
          <w:sz w:val="24"/>
          <w:szCs w:val="24"/>
        </w:rPr>
        <w:t xml:space="preserve"> pasākumu </w:t>
      </w:r>
      <w:r w:rsidR="00FD66D7">
        <w:rPr>
          <w:rFonts w:ascii="Times New Roman" w:hAnsi="Times New Roman" w:cs="Times New Roman"/>
          <w:sz w:val="24"/>
          <w:szCs w:val="24"/>
        </w:rPr>
        <w:t xml:space="preserve">veikšanā, kā </w:t>
      </w:r>
      <w:r w:rsidR="00FD66D7" w:rsidRPr="00FD66D7">
        <w:rPr>
          <w:rFonts w:ascii="Times New Roman" w:hAnsi="Times New Roman" w:cs="Times New Roman"/>
          <w:sz w:val="24"/>
          <w:szCs w:val="24"/>
        </w:rPr>
        <w:t>arī</w:t>
      </w:r>
      <w:r w:rsidRPr="00FD66D7">
        <w:rPr>
          <w:rFonts w:ascii="Times New Roman" w:hAnsi="Times New Roman" w:cs="Times New Roman"/>
          <w:sz w:val="24"/>
          <w:szCs w:val="24"/>
        </w:rPr>
        <w:t xml:space="preserve"> </w:t>
      </w:r>
      <w:r w:rsidR="00FD66D7" w:rsidRPr="00FD66D7">
        <w:rPr>
          <w:rFonts w:ascii="Times New Roman" w:hAnsi="Times New Roman" w:cs="Times New Roman"/>
          <w:sz w:val="24"/>
          <w:szCs w:val="24"/>
        </w:rPr>
        <w:t xml:space="preserve">darba devējiem paredzētu </w:t>
      </w:r>
      <w:r w:rsidRPr="00FD66D7">
        <w:rPr>
          <w:rFonts w:ascii="Times New Roman" w:hAnsi="Times New Roman" w:cs="Times New Roman"/>
          <w:sz w:val="24"/>
          <w:szCs w:val="24"/>
        </w:rPr>
        <w:t xml:space="preserve">atbalsta pasākumu </w:t>
      </w:r>
      <w:r w:rsidR="00FD66D7" w:rsidRPr="00FD66D7">
        <w:rPr>
          <w:rFonts w:ascii="Times New Roman" w:hAnsi="Times New Roman" w:cs="Times New Roman"/>
          <w:sz w:val="24"/>
          <w:szCs w:val="24"/>
        </w:rPr>
        <w:t xml:space="preserve">veikšanā, kas saistīti ar </w:t>
      </w:r>
      <w:r w:rsidRPr="00FD66D7">
        <w:rPr>
          <w:rFonts w:ascii="Times New Roman" w:hAnsi="Times New Roman" w:cs="Times New Roman"/>
          <w:sz w:val="24"/>
          <w:szCs w:val="24"/>
        </w:rPr>
        <w:t>darbinieku izglītošan</w:t>
      </w:r>
      <w:r w:rsidR="00FD66D7" w:rsidRPr="00FD66D7">
        <w:rPr>
          <w:rFonts w:ascii="Times New Roman" w:hAnsi="Times New Roman" w:cs="Times New Roman"/>
          <w:sz w:val="24"/>
          <w:szCs w:val="24"/>
        </w:rPr>
        <w:t>u</w:t>
      </w:r>
      <w:r>
        <w:rPr>
          <w:rFonts w:ascii="Times New Roman" w:hAnsi="Times New Roman" w:cs="Times New Roman"/>
          <w:sz w:val="24"/>
          <w:szCs w:val="24"/>
        </w:rPr>
        <w:t>. P</w:t>
      </w:r>
      <w:r w:rsidRPr="00FC1B8B">
        <w:rPr>
          <w:rFonts w:ascii="Times New Roman" w:hAnsi="Times New Roman" w:cs="Times New Roman"/>
          <w:sz w:val="24"/>
          <w:szCs w:val="24"/>
        </w:rPr>
        <w:t>lānošanas reģionu galvenās funkcijas ietvers attīstības pl</w:t>
      </w:r>
      <w:r w:rsidR="00B157FC">
        <w:rPr>
          <w:rFonts w:ascii="Times New Roman" w:hAnsi="Times New Roman" w:cs="Times New Roman"/>
          <w:sz w:val="24"/>
          <w:szCs w:val="24"/>
        </w:rPr>
        <w:t>ānošanu un uzraudzību, reģionāla</w:t>
      </w:r>
      <w:r w:rsidRPr="00FC1B8B">
        <w:rPr>
          <w:rFonts w:ascii="Times New Roman" w:hAnsi="Times New Roman" w:cs="Times New Roman"/>
          <w:sz w:val="24"/>
          <w:szCs w:val="24"/>
        </w:rPr>
        <w:t xml:space="preserve"> mēroga projektu izstrādi</w:t>
      </w:r>
      <w:proofErr w:type="gramStart"/>
      <w:r w:rsidRPr="00FC1B8B">
        <w:rPr>
          <w:rFonts w:ascii="Times New Roman" w:hAnsi="Times New Roman" w:cs="Times New Roman"/>
          <w:sz w:val="24"/>
          <w:szCs w:val="24"/>
        </w:rPr>
        <w:t xml:space="preserve"> un</w:t>
      </w:r>
      <w:proofErr w:type="gramEnd"/>
      <w:r w:rsidRPr="00FC1B8B">
        <w:rPr>
          <w:rFonts w:ascii="Times New Roman" w:hAnsi="Times New Roman" w:cs="Times New Roman"/>
          <w:sz w:val="24"/>
          <w:szCs w:val="24"/>
        </w:rPr>
        <w:t xml:space="preserve"> īstenošanu, sabiedriskā transporta organizēšanu, uzņēmējdarbību veicinošo pasākumu īstenošanu un pakalpojumu teritoriālā izvietojuma koordināciju. Š</w:t>
      </w:r>
      <w:r>
        <w:rPr>
          <w:rFonts w:ascii="Times New Roman" w:hAnsi="Times New Roman" w:cs="Times New Roman"/>
          <w:sz w:val="24"/>
          <w:szCs w:val="24"/>
        </w:rPr>
        <w:t>āds</w:t>
      </w:r>
      <w:r w:rsidRPr="00FC1B8B">
        <w:rPr>
          <w:rFonts w:ascii="Times New Roman" w:hAnsi="Times New Roman" w:cs="Times New Roman"/>
          <w:sz w:val="24"/>
          <w:szCs w:val="24"/>
        </w:rPr>
        <w:t xml:space="preserve"> funkciju kopums rada priekšnoteikumus plānošanas reģionu aktīvai un nozīmīgai lomai reģionālās attīstības veicināšanā.</w:t>
      </w:r>
    </w:p>
    <w:p w14:paraId="3E78C9C3" w14:textId="73CC4B8A" w:rsidR="00D87C71" w:rsidRPr="00745480" w:rsidRDefault="00D87C71" w:rsidP="00D87C71">
      <w:pPr>
        <w:jc w:val="both"/>
        <w:rPr>
          <w:rFonts w:ascii="Times New Roman" w:hAnsi="Times New Roman" w:cs="Times New Roman"/>
          <w:sz w:val="24"/>
          <w:szCs w:val="24"/>
        </w:rPr>
      </w:pPr>
      <w:r w:rsidRPr="00745480">
        <w:rPr>
          <w:rFonts w:ascii="Times New Roman" w:hAnsi="Times New Roman" w:cs="Times New Roman"/>
          <w:sz w:val="24"/>
          <w:szCs w:val="24"/>
        </w:rPr>
        <w:t>Vienlaikus aktuāls ir teritoriālās attīstības reformu jautājums, kas pār</w:t>
      </w:r>
      <w:r>
        <w:rPr>
          <w:rFonts w:ascii="Times New Roman" w:hAnsi="Times New Roman" w:cs="Times New Roman"/>
          <w:sz w:val="24"/>
          <w:szCs w:val="24"/>
        </w:rPr>
        <w:t>domāti īstenojams</w:t>
      </w:r>
      <w:r w:rsidR="00103270">
        <w:rPr>
          <w:rFonts w:ascii="Times New Roman" w:hAnsi="Times New Roman" w:cs="Times New Roman"/>
          <w:sz w:val="24"/>
          <w:szCs w:val="24"/>
        </w:rPr>
        <w:t>, lai</w:t>
      </w:r>
      <w:r>
        <w:rPr>
          <w:rFonts w:ascii="Times New Roman" w:hAnsi="Times New Roman" w:cs="Times New Roman"/>
          <w:sz w:val="24"/>
          <w:szCs w:val="24"/>
        </w:rPr>
        <w:t xml:space="preserve"> </w:t>
      </w:r>
      <w:r w:rsidR="00103270" w:rsidRPr="00745480">
        <w:rPr>
          <w:rFonts w:ascii="Times New Roman" w:hAnsi="Times New Roman" w:cs="Times New Roman"/>
          <w:sz w:val="24"/>
          <w:szCs w:val="24"/>
        </w:rPr>
        <w:t>kāpinā</w:t>
      </w:r>
      <w:r w:rsidR="00103270">
        <w:rPr>
          <w:rFonts w:ascii="Times New Roman" w:hAnsi="Times New Roman" w:cs="Times New Roman"/>
          <w:sz w:val="24"/>
          <w:szCs w:val="24"/>
        </w:rPr>
        <w:t xml:space="preserve">tu </w:t>
      </w:r>
      <w:r>
        <w:rPr>
          <w:rFonts w:ascii="Times New Roman" w:hAnsi="Times New Roman" w:cs="Times New Roman"/>
          <w:sz w:val="24"/>
          <w:szCs w:val="24"/>
        </w:rPr>
        <w:t>reģionu kopēj</w:t>
      </w:r>
      <w:r w:rsidR="00103270">
        <w:rPr>
          <w:rFonts w:ascii="Times New Roman" w:hAnsi="Times New Roman" w:cs="Times New Roman"/>
          <w:sz w:val="24"/>
          <w:szCs w:val="24"/>
        </w:rPr>
        <w:t>o</w:t>
      </w:r>
      <w:r w:rsidRPr="00745480">
        <w:rPr>
          <w:rFonts w:ascii="Times New Roman" w:hAnsi="Times New Roman" w:cs="Times New Roman"/>
          <w:sz w:val="24"/>
          <w:szCs w:val="24"/>
        </w:rPr>
        <w:t xml:space="preserve"> konkurētspēj</w:t>
      </w:r>
      <w:r w:rsidR="00103270">
        <w:rPr>
          <w:rFonts w:ascii="Times New Roman" w:hAnsi="Times New Roman" w:cs="Times New Roman"/>
          <w:sz w:val="24"/>
          <w:szCs w:val="24"/>
        </w:rPr>
        <w:t>u</w:t>
      </w:r>
      <w:r w:rsidRPr="00745480">
        <w:rPr>
          <w:rFonts w:ascii="Times New Roman" w:hAnsi="Times New Roman" w:cs="Times New Roman"/>
          <w:sz w:val="24"/>
          <w:szCs w:val="24"/>
        </w:rPr>
        <w:t xml:space="preserve">. Valsts attīstība nav iespējama bez vienotas un koordinētas </w:t>
      </w:r>
      <w:r w:rsidR="00103270" w:rsidRPr="00745480">
        <w:rPr>
          <w:rFonts w:ascii="Times New Roman" w:hAnsi="Times New Roman" w:cs="Times New Roman"/>
          <w:sz w:val="24"/>
          <w:szCs w:val="24"/>
        </w:rPr>
        <w:t xml:space="preserve">reģionu </w:t>
      </w:r>
      <w:r w:rsidRPr="00745480">
        <w:rPr>
          <w:rFonts w:ascii="Times New Roman" w:hAnsi="Times New Roman" w:cs="Times New Roman"/>
          <w:sz w:val="24"/>
          <w:szCs w:val="24"/>
        </w:rPr>
        <w:t>attīstības, tādēļ tieši tautsaimniecības izaugsme i</w:t>
      </w:r>
      <w:r w:rsidR="00B157FC">
        <w:rPr>
          <w:rFonts w:ascii="Times New Roman" w:hAnsi="Times New Roman" w:cs="Times New Roman"/>
          <w:sz w:val="24"/>
          <w:szCs w:val="24"/>
        </w:rPr>
        <w:t>r prerogatīva reģionu sadarbībai</w:t>
      </w:r>
      <w:r w:rsidRPr="00745480">
        <w:rPr>
          <w:rFonts w:ascii="Times New Roman" w:hAnsi="Times New Roman" w:cs="Times New Roman"/>
          <w:sz w:val="24"/>
          <w:szCs w:val="24"/>
        </w:rPr>
        <w:t xml:space="preserve"> teritoriju plānošanā un noteikšanā. Lai racionāli izmantotu valsts un pašvaldību budžeta līdzekļus un mērķtiecīgi veiktu ES fondu investīcijas reģionos, VARAM apzina tās pašvaldību sadarbības teritorijas</w:t>
      </w:r>
      <w:r w:rsidR="00103270" w:rsidRPr="00745480">
        <w:rPr>
          <w:rFonts w:ascii="Times New Roman" w:hAnsi="Times New Roman" w:cs="Times New Roman"/>
          <w:sz w:val="24"/>
          <w:szCs w:val="24"/>
        </w:rPr>
        <w:t>, kurās ir novērtēts konkurētspējī</w:t>
      </w:r>
      <w:r w:rsidR="00103270">
        <w:rPr>
          <w:rFonts w:ascii="Times New Roman" w:hAnsi="Times New Roman" w:cs="Times New Roman"/>
          <w:sz w:val="24"/>
          <w:szCs w:val="24"/>
        </w:rPr>
        <w:t>gas uzņēmējdarbības potenciāls, kā arī apzina</w:t>
      </w:r>
      <w:r w:rsidRPr="00745480">
        <w:rPr>
          <w:rFonts w:ascii="Times New Roman" w:hAnsi="Times New Roman" w:cs="Times New Roman"/>
          <w:sz w:val="24"/>
          <w:szCs w:val="24"/>
        </w:rPr>
        <w:t xml:space="preserve"> </w:t>
      </w:r>
      <w:r w:rsidR="00103270" w:rsidRPr="00745480">
        <w:rPr>
          <w:rFonts w:ascii="Times New Roman" w:hAnsi="Times New Roman" w:cs="Times New Roman"/>
          <w:sz w:val="24"/>
          <w:szCs w:val="24"/>
        </w:rPr>
        <w:t>priekšnosacījumus</w:t>
      </w:r>
      <w:r w:rsidRPr="00745480">
        <w:rPr>
          <w:rFonts w:ascii="Times New Roman" w:hAnsi="Times New Roman" w:cs="Times New Roman"/>
          <w:sz w:val="24"/>
          <w:szCs w:val="24"/>
        </w:rPr>
        <w:t xml:space="preserve"> to izveide</w:t>
      </w:r>
      <w:r w:rsidR="00103270">
        <w:rPr>
          <w:rFonts w:ascii="Times New Roman" w:hAnsi="Times New Roman" w:cs="Times New Roman"/>
          <w:sz w:val="24"/>
          <w:szCs w:val="24"/>
        </w:rPr>
        <w:t>i.</w:t>
      </w:r>
    </w:p>
    <w:p w14:paraId="0AAE8688" w14:textId="6E15B383" w:rsidR="00D87C71" w:rsidRPr="00716B0D" w:rsidRDefault="00D87C71" w:rsidP="004F0E73">
      <w:pPr>
        <w:jc w:val="both"/>
        <w:rPr>
          <w:rFonts w:ascii="Times New Roman" w:hAnsi="Times New Roman" w:cs="Times New Roman"/>
          <w:color w:val="0070C0"/>
          <w:sz w:val="24"/>
          <w:szCs w:val="24"/>
        </w:rPr>
      </w:pPr>
    </w:p>
    <w:p w14:paraId="2A440056" w14:textId="79E63C66" w:rsidR="00B14620" w:rsidRPr="00716B0D" w:rsidRDefault="00E057ED" w:rsidP="00B02009">
      <w:pPr>
        <w:pStyle w:val="Heading2"/>
        <w:rPr>
          <w:color w:val="0070C0"/>
        </w:rPr>
      </w:pPr>
      <w:bookmarkStart w:id="34" w:name="_Toc465349537"/>
      <w:bookmarkStart w:id="35" w:name="_Toc465089715"/>
      <w:r>
        <w:rPr>
          <w:color w:val="0070C0"/>
        </w:rPr>
        <w:lastRenderedPageBreak/>
        <w:t> </w:t>
      </w:r>
      <w:bookmarkStart w:id="36" w:name="_Toc466466862"/>
      <w:r w:rsidR="00257A95" w:rsidRPr="00716B0D">
        <w:rPr>
          <w:color w:val="0070C0"/>
        </w:rPr>
        <w:t>Valsts e-</w:t>
      </w:r>
      <w:r w:rsidR="001B62E9" w:rsidRPr="00716B0D">
        <w:rPr>
          <w:color w:val="0070C0"/>
        </w:rPr>
        <w:t>pakalpojum</w:t>
      </w:r>
      <w:r w:rsidR="00257A95" w:rsidRPr="00716B0D">
        <w:rPr>
          <w:color w:val="0070C0"/>
        </w:rPr>
        <w:t xml:space="preserve">u </w:t>
      </w:r>
      <w:r w:rsidR="00537AF3" w:rsidRPr="00716B0D">
        <w:rPr>
          <w:color w:val="0070C0"/>
        </w:rPr>
        <w:t xml:space="preserve">un IT </w:t>
      </w:r>
      <w:r w:rsidR="008B2789" w:rsidRPr="00716B0D">
        <w:rPr>
          <w:color w:val="0070C0"/>
        </w:rPr>
        <w:t xml:space="preserve">sektora </w:t>
      </w:r>
      <w:r w:rsidR="00257A95" w:rsidRPr="00716B0D">
        <w:rPr>
          <w:color w:val="0070C0"/>
        </w:rPr>
        <w:t>attīstība</w:t>
      </w:r>
      <w:bookmarkEnd w:id="34"/>
      <w:bookmarkEnd w:id="35"/>
      <w:bookmarkEnd w:id="36"/>
    </w:p>
    <w:p w14:paraId="46807745" w14:textId="283F562F" w:rsidR="00D87C71" w:rsidRPr="006F793C" w:rsidRDefault="00B157FC" w:rsidP="00D87C71">
      <w:pPr>
        <w:jc w:val="both"/>
        <w:rPr>
          <w:rFonts w:ascii="Times New Roman" w:hAnsi="Times New Roman" w:cs="Times New Roman"/>
          <w:sz w:val="24"/>
          <w:szCs w:val="24"/>
        </w:rPr>
      </w:pPr>
      <w:r w:rsidRPr="006F793C">
        <w:rPr>
          <w:rFonts w:ascii="Times New Roman" w:hAnsi="Times New Roman" w:cs="Times New Roman"/>
          <w:sz w:val="24"/>
          <w:szCs w:val="24"/>
        </w:rPr>
        <w:t>Ilgtspējīgas arhitektūras</w:t>
      </w:r>
      <w:r w:rsidR="00D87C71" w:rsidRPr="006F793C">
        <w:rPr>
          <w:rFonts w:ascii="Times New Roman" w:hAnsi="Times New Roman" w:cs="Times New Roman"/>
          <w:sz w:val="24"/>
          <w:szCs w:val="24"/>
        </w:rPr>
        <w:t xml:space="preserve"> izveide operatīvai datu apmaiņai, produktu komercializācijai, pakalpojumu un informācijas saņemšanai ir liels solis pretim efektīvākai, ātrākai komunikācijai un pilnvērtīgākai informācijas apmaiņai gan starp valsts pārvaldes iestādēm, gan starp publiskajām un privātajām personām. </w:t>
      </w:r>
    </w:p>
    <w:p w14:paraId="496C6922" w14:textId="224AD258" w:rsidR="00D87C71" w:rsidRPr="006F793C" w:rsidRDefault="00D87C71" w:rsidP="00D87C71">
      <w:pPr>
        <w:jc w:val="both"/>
        <w:rPr>
          <w:rFonts w:ascii="Times New Roman" w:hAnsi="Times New Roman" w:cs="Times New Roman"/>
          <w:sz w:val="24"/>
          <w:szCs w:val="24"/>
        </w:rPr>
      </w:pPr>
      <w:r w:rsidRPr="006F793C">
        <w:rPr>
          <w:rFonts w:ascii="Times New Roman" w:hAnsi="Times New Roman" w:cs="Times New Roman"/>
          <w:sz w:val="24"/>
          <w:szCs w:val="24"/>
        </w:rPr>
        <w:t>Konstanti pieaug to unikālo lietotā</w:t>
      </w:r>
      <w:r w:rsidR="000E0477" w:rsidRPr="006F793C">
        <w:rPr>
          <w:rFonts w:ascii="Times New Roman" w:hAnsi="Times New Roman" w:cs="Times New Roman"/>
          <w:sz w:val="24"/>
          <w:szCs w:val="24"/>
        </w:rPr>
        <w:t xml:space="preserve">ju skaits, kas izmanto portāla </w:t>
      </w:r>
      <w:proofErr w:type="spellStart"/>
      <w:r w:rsidR="000E0477" w:rsidRPr="006F793C">
        <w:rPr>
          <w:rFonts w:ascii="Times New Roman" w:hAnsi="Times New Roman" w:cs="Times New Roman"/>
          <w:sz w:val="24"/>
          <w:szCs w:val="24"/>
        </w:rPr>
        <w:t>l</w:t>
      </w:r>
      <w:r w:rsidRPr="006F793C">
        <w:rPr>
          <w:rFonts w:ascii="Times New Roman" w:hAnsi="Times New Roman" w:cs="Times New Roman"/>
          <w:sz w:val="24"/>
          <w:szCs w:val="24"/>
        </w:rPr>
        <w:t>atvija.lv</w:t>
      </w:r>
      <w:proofErr w:type="spellEnd"/>
      <w:r w:rsidRPr="006F793C">
        <w:rPr>
          <w:rFonts w:ascii="Times New Roman" w:hAnsi="Times New Roman" w:cs="Times New Roman"/>
          <w:sz w:val="24"/>
          <w:szCs w:val="24"/>
        </w:rPr>
        <w:t xml:space="preserve"> sniegto </w:t>
      </w:r>
      <w:r w:rsidR="00E67125">
        <w:rPr>
          <w:rFonts w:ascii="Times New Roman" w:hAnsi="Times New Roman" w:cs="Times New Roman"/>
          <w:sz w:val="24"/>
          <w:szCs w:val="24"/>
        </w:rPr>
        <w:br/>
      </w:r>
      <w:r w:rsidRPr="006F793C">
        <w:rPr>
          <w:rFonts w:ascii="Times New Roman" w:hAnsi="Times New Roman" w:cs="Times New Roman"/>
          <w:sz w:val="24"/>
          <w:szCs w:val="24"/>
        </w:rPr>
        <w:t>e-pakalpojumu klāstu. Kopš portāla darbības uzsākšanas līdz 2016.</w:t>
      </w:r>
      <w:r w:rsidR="004D60EC" w:rsidRPr="006F793C">
        <w:rPr>
          <w:rFonts w:ascii="Times New Roman" w:hAnsi="Times New Roman" w:cs="Times New Roman"/>
          <w:sz w:val="24"/>
          <w:szCs w:val="24"/>
        </w:rPr>
        <w:t> </w:t>
      </w:r>
      <w:r w:rsidRPr="006F793C">
        <w:rPr>
          <w:rFonts w:ascii="Times New Roman" w:hAnsi="Times New Roman" w:cs="Times New Roman"/>
          <w:sz w:val="24"/>
          <w:szCs w:val="24"/>
        </w:rPr>
        <w:t>gada 30.</w:t>
      </w:r>
      <w:r w:rsidR="004D60EC" w:rsidRPr="006F793C">
        <w:rPr>
          <w:rFonts w:ascii="Times New Roman" w:hAnsi="Times New Roman" w:cs="Times New Roman"/>
          <w:sz w:val="24"/>
          <w:szCs w:val="24"/>
        </w:rPr>
        <w:t> </w:t>
      </w:r>
      <w:r w:rsidRPr="006F793C">
        <w:rPr>
          <w:rFonts w:ascii="Times New Roman" w:hAnsi="Times New Roman" w:cs="Times New Roman"/>
          <w:sz w:val="24"/>
          <w:szCs w:val="24"/>
        </w:rPr>
        <w:t xml:space="preserve">septembrim </w:t>
      </w:r>
      <w:r w:rsidR="00E67125" w:rsidRPr="006F793C">
        <w:rPr>
          <w:rFonts w:ascii="Times New Roman" w:hAnsi="Times New Roman" w:cs="Times New Roman"/>
          <w:sz w:val="24"/>
          <w:szCs w:val="24"/>
        </w:rPr>
        <w:t xml:space="preserve">unikālo lietotāju skaits </w:t>
      </w:r>
      <w:r w:rsidRPr="006F793C">
        <w:rPr>
          <w:rFonts w:ascii="Times New Roman" w:hAnsi="Times New Roman" w:cs="Times New Roman"/>
          <w:sz w:val="24"/>
          <w:szCs w:val="24"/>
        </w:rPr>
        <w:t>sasnie</w:t>
      </w:r>
      <w:r w:rsidR="00E67125">
        <w:rPr>
          <w:rFonts w:ascii="Times New Roman" w:hAnsi="Times New Roman" w:cs="Times New Roman"/>
          <w:sz w:val="24"/>
          <w:szCs w:val="24"/>
        </w:rPr>
        <w:t>dzi</w:t>
      </w:r>
      <w:r w:rsidRPr="006F793C">
        <w:rPr>
          <w:rFonts w:ascii="Times New Roman" w:hAnsi="Times New Roman" w:cs="Times New Roman"/>
          <w:sz w:val="24"/>
          <w:szCs w:val="24"/>
        </w:rPr>
        <w:t>s 672</w:t>
      </w:r>
      <w:r w:rsidR="00E67125">
        <w:rPr>
          <w:rFonts w:ascii="Times New Roman" w:hAnsi="Times New Roman" w:cs="Times New Roman"/>
          <w:sz w:val="24"/>
          <w:szCs w:val="24"/>
        </w:rPr>
        <w:t> </w:t>
      </w:r>
      <w:r w:rsidRPr="006F793C">
        <w:rPr>
          <w:rFonts w:ascii="Times New Roman" w:hAnsi="Times New Roman" w:cs="Times New Roman"/>
          <w:sz w:val="24"/>
          <w:szCs w:val="24"/>
        </w:rPr>
        <w:t xml:space="preserve">000. Portāla mērķis ir nodrošināt </w:t>
      </w:r>
      <w:r w:rsidR="00E822D0" w:rsidRPr="006F793C">
        <w:rPr>
          <w:rFonts w:ascii="Times New Roman" w:hAnsi="Times New Roman" w:cs="Times New Roman"/>
          <w:sz w:val="24"/>
          <w:szCs w:val="24"/>
        </w:rPr>
        <w:t xml:space="preserve">sabiedrībai </w:t>
      </w:r>
      <w:r w:rsidRPr="006F793C">
        <w:rPr>
          <w:rFonts w:ascii="Times New Roman" w:hAnsi="Times New Roman" w:cs="Times New Roman"/>
          <w:sz w:val="24"/>
          <w:szCs w:val="24"/>
        </w:rPr>
        <w:t>vien</w:t>
      </w:r>
      <w:r w:rsidR="00B157FC" w:rsidRPr="006F793C">
        <w:rPr>
          <w:rFonts w:ascii="Times New Roman" w:hAnsi="Times New Roman" w:cs="Times New Roman"/>
          <w:sz w:val="24"/>
          <w:szCs w:val="24"/>
        </w:rPr>
        <w:t>ot</w:t>
      </w:r>
      <w:r w:rsidRPr="006F793C">
        <w:rPr>
          <w:rFonts w:ascii="Times New Roman" w:hAnsi="Times New Roman" w:cs="Times New Roman"/>
          <w:sz w:val="24"/>
          <w:szCs w:val="24"/>
        </w:rPr>
        <w:t>u informācijas saņemšanas platformu par noteiktiem valsts pārvaldes pakalpojumiem – portālā ir pieejami 124</w:t>
      </w:r>
      <w:r w:rsidR="00E67125">
        <w:rPr>
          <w:rFonts w:ascii="Times New Roman" w:hAnsi="Times New Roman" w:cs="Times New Roman"/>
          <w:sz w:val="24"/>
          <w:szCs w:val="24"/>
        </w:rPr>
        <w:t> </w:t>
      </w:r>
      <w:r w:rsidRPr="006F793C">
        <w:rPr>
          <w:rFonts w:ascii="Times New Roman" w:hAnsi="Times New Roman" w:cs="Times New Roman"/>
          <w:sz w:val="24"/>
          <w:szCs w:val="24"/>
        </w:rPr>
        <w:t>e-pakalp</w:t>
      </w:r>
      <w:r w:rsidR="000E0477" w:rsidRPr="006F793C">
        <w:rPr>
          <w:rFonts w:ascii="Times New Roman" w:hAnsi="Times New Roman" w:cs="Times New Roman"/>
          <w:sz w:val="24"/>
          <w:szCs w:val="24"/>
        </w:rPr>
        <w:t xml:space="preserve">ojumi, kurus nodrošina portāls </w:t>
      </w:r>
      <w:proofErr w:type="spellStart"/>
      <w:r w:rsidR="000E0477" w:rsidRPr="006F793C">
        <w:rPr>
          <w:rFonts w:ascii="Times New Roman" w:hAnsi="Times New Roman" w:cs="Times New Roman"/>
          <w:sz w:val="24"/>
          <w:szCs w:val="24"/>
        </w:rPr>
        <w:t>l</w:t>
      </w:r>
      <w:r w:rsidRPr="006F793C">
        <w:rPr>
          <w:rFonts w:ascii="Times New Roman" w:hAnsi="Times New Roman" w:cs="Times New Roman"/>
          <w:sz w:val="24"/>
          <w:szCs w:val="24"/>
        </w:rPr>
        <w:t>atvija.lv</w:t>
      </w:r>
      <w:proofErr w:type="spellEnd"/>
      <w:r w:rsidRPr="006F793C">
        <w:rPr>
          <w:rFonts w:ascii="Times New Roman" w:hAnsi="Times New Roman" w:cs="Times New Roman"/>
          <w:sz w:val="24"/>
          <w:szCs w:val="24"/>
        </w:rPr>
        <w:t>, un papildus 360</w:t>
      </w:r>
      <w:r w:rsidR="00E67125">
        <w:rPr>
          <w:rFonts w:ascii="Times New Roman" w:hAnsi="Times New Roman" w:cs="Times New Roman"/>
          <w:sz w:val="24"/>
          <w:szCs w:val="24"/>
        </w:rPr>
        <w:t> </w:t>
      </w:r>
      <w:r w:rsidRPr="006F793C">
        <w:rPr>
          <w:rFonts w:ascii="Times New Roman" w:hAnsi="Times New Roman" w:cs="Times New Roman"/>
          <w:sz w:val="24"/>
          <w:szCs w:val="24"/>
        </w:rPr>
        <w:t xml:space="preserve">e-pakalpojumi, kurus nodrošina valsts vai pašvaldību iestādes. Portāla lietotāju skaita pieaugums apliecina, ka šāda </w:t>
      </w:r>
      <w:r w:rsidR="00E67125">
        <w:rPr>
          <w:rFonts w:ascii="Times New Roman" w:hAnsi="Times New Roman" w:cs="Times New Roman"/>
          <w:sz w:val="24"/>
          <w:szCs w:val="24"/>
        </w:rPr>
        <w:t>"</w:t>
      </w:r>
      <w:r w:rsidRPr="006F793C">
        <w:rPr>
          <w:rFonts w:ascii="Times New Roman" w:hAnsi="Times New Roman" w:cs="Times New Roman"/>
          <w:sz w:val="24"/>
          <w:szCs w:val="24"/>
        </w:rPr>
        <w:t>vienas pieturas aģentūra</w:t>
      </w:r>
      <w:r w:rsidR="00E67125">
        <w:rPr>
          <w:rFonts w:ascii="Times New Roman" w:hAnsi="Times New Roman" w:cs="Times New Roman"/>
          <w:sz w:val="24"/>
          <w:szCs w:val="24"/>
        </w:rPr>
        <w:t>"</w:t>
      </w:r>
      <w:r w:rsidRPr="006F793C">
        <w:rPr>
          <w:rFonts w:ascii="Times New Roman" w:hAnsi="Times New Roman" w:cs="Times New Roman"/>
          <w:sz w:val="24"/>
          <w:szCs w:val="24"/>
        </w:rPr>
        <w:t xml:space="preserve"> elektroniskajā vidē ir optimāls rīks sabiedrībai publisko pakalpojumu saņemšanā. Ieviešot</w:t>
      </w:r>
      <w:r w:rsidR="000E0477" w:rsidRPr="006F793C">
        <w:rPr>
          <w:rFonts w:ascii="Times New Roman" w:hAnsi="Times New Roman" w:cs="Times New Roman"/>
          <w:sz w:val="24"/>
          <w:szCs w:val="24"/>
        </w:rPr>
        <w:t xml:space="preserve"> oficiālo elektronisko adresi, </w:t>
      </w:r>
      <w:proofErr w:type="spellStart"/>
      <w:r w:rsidR="000E0477" w:rsidRPr="006F793C">
        <w:rPr>
          <w:rFonts w:ascii="Times New Roman" w:hAnsi="Times New Roman" w:cs="Times New Roman"/>
          <w:sz w:val="24"/>
          <w:szCs w:val="24"/>
        </w:rPr>
        <w:t>l</w:t>
      </w:r>
      <w:r w:rsidRPr="006F793C">
        <w:rPr>
          <w:rFonts w:ascii="Times New Roman" w:hAnsi="Times New Roman" w:cs="Times New Roman"/>
          <w:sz w:val="24"/>
          <w:szCs w:val="24"/>
        </w:rPr>
        <w:t>atvija.lv</w:t>
      </w:r>
      <w:proofErr w:type="spellEnd"/>
      <w:r w:rsidRPr="006F793C">
        <w:rPr>
          <w:rFonts w:ascii="Times New Roman" w:hAnsi="Times New Roman" w:cs="Times New Roman"/>
          <w:sz w:val="24"/>
          <w:szCs w:val="24"/>
        </w:rPr>
        <w:t xml:space="preserve"> kalpos arī drošai, ērtai un garantētai saziņai starp iestādēm, iedzīvotājiem un uzņēmumiem. </w:t>
      </w:r>
    </w:p>
    <w:p w14:paraId="5F0A19BD" w14:textId="127E652C" w:rsidR="00D87C71" w:rsidRPr="006F793C" w:rsidRDefault="00D87C71" w:rsidP="00D87C71">
      <w:pPr>
        <w:jc w:val="both"/>
        <w:rPr>
          <w:rFonts w:ascii="Times New Roman" w:hAnsi="Times New Roman" w:cs="Times New Roman"/>
          <w:sz w:val="24"/>
          <w:szCs w:val="24"/>
        </w:rPr>
      </w:pPr>
      <w:r w:rsidRPr="006F793C">
        <w:rPr>
          <w:rFonts w:ascii="Times New Roman" w:hAnsi="Times New Roman" w:cs="Times New Roman"/>
          <w:sz w:val="24"/>
          <w:szCs w:val="24"/>
        </w:rPr>
        <w:t xml:space="preserve">VARAM, izmantojot ES fondu investīcijas, šogad ir uzsācis projekta </w:t>
      </w:r>
      <w:r w:rsidR="00E67125">
        <w:rPr>
          <w:rFonts w:ascii="Times New Roman" w:hAnsi="Times New Roman" w:cs="Times New Roman"/>
          <w:sz w:val="24"/>
          <w:szCs w:val="24"/>
        </w:rPr>
        <w:t>"</w:t>
      </w:r>
      <w:r w:rsidRPr="006F793C">
        <w:rPr>
          <w:rFonts w:ascii="Times New Roman" w:hAnsi="Times New Roman" w:cs="Times New Roman"/>
          <w:sz w:val="24"/>
          <w:szCs w:val="24"/>
        </w:rPr>
        <w:t>Publiskās pārvaldes informācijas un komunikāciju tehnoloģiju arhitektūras pārvaldības sistēmas</w:t>
      </w:r>
      <w:r w:rsidR="00E67125">
        <w:rPr>
          <w:rFonts w:ascii="Times New Roman" w:hAnsi="Times New Roman" w:cs="Times New Roman"/>
          <w:sz w:val="24"/>
          <w:szCs w:val="24"/>
        </w:rPr>
        <w:t>"</w:t>
      </w:r>
      <w:r w:rsidRPr="006F793C">
        <w:rPr>
          <w:rFonts w:ascii="Times New Roman" w:hAnsi="Times New Roman" w:cs="Times New Roman"/>
          <w:sz w:val="24"/>
          <w:szCs w:val="24"/>
        </w:rPr>
        <w:t xml:space="preserve"> īstenošanu publiskās pārvaldes informācijas un komunikāciju tehnoloģiju arhitektūras pārvaldības jomā, lai nodrošinātu datu publicēšanas un datu izplatīšanas koplietošanas platformas attīstīšanu, kā rezultātā tiks uzlabota datu pieejamība publiskās pārvaldes institūcijām un nodrošināta to </w:t>
      </w:r>
      <w:proofErr w:type="spellStart"/>
      <w:r w:rsidRPr="006F793C">
        <w:rPr>
          <w:rFonts w:ascii="Times New Roman" w:hAnsi="Times New Roman" w:cs="Times New Roman"/>
          <w:sz w:val="24"/>
          <w:szCs w:val="24"/>
        </w:rPr>
        <w:t>atkalizmantojamība</w:t>
      </w:r>
      <w:proofErr w:type="spellEnd"/>
      <w:r w:rsidRPr="006F793C">
        <w:rPr>
          <w:rFonts w:ascii="Times New Roman" w:hAnsi="Times New Roman" w:cs="Times New Roman"/>
          <w:sz w:val="24"/>
          <w:szCs w:val="24"/>
        </w:rPr>
        <w:t xml:space="preserve"> privātu uzņēmumu pakalp</w:t>
      </w:r>
      <w:r w:rsidR="00B157FC" w:rsidRPr="006F793C">
        <w:rPr>
          <w:rFonts w:ascii="Times New Roman" w:hAnsi="Times New Roman" w:cs="Times New Roman"/>
          <w:sz w:val="24"/>
          <w:szCs w:val="24"/>
        </w:rPr>
        <w:t>ojumos. Vienlai</w:t>
      </w:r>
      <w:r w:rsidR="00E67125">
        <w:rPr>
          <w:rFonts w:ascii="Times New Roman" w:hAnsi="Times New Roman" w:cs="Times New Roman"/>
          <w:sz w:val="24"/>
          <w:szCs w:val="24"/>
        </w:rPr>
        <w:t>kus</w:t>
      </w:r>
      <w:r w:rsidR="00B157FC" w:rsidRPr="006F793C">
        <w:rPr>
          <w:rFonts w:ascii="Times New Roman" w:hAnsi="Times New Roman" w:cs="Times New Roman"/>
          <w:sz w:val="24"/>
          <w:szCs w:val="24"/>
        </w:rPr>
        <w:t xml:space="preserve"> centralizēta</w:t>
      </w:r>
      <w:r w:rsidRPr="006F793C">
        <w:rPr>
          <w:rFonts w:ascii="Times New Roman" w:hAnsi="Times New Roman" w:cs="Times New Roman"/>
          <w:sz w:val="24"/>
          <w:szCs w:val="24"/>
        </w:rPr>
        <w:t xml:space="preserve"> publicēto datu pieejamība vienuviet sekmēs sabiedrības visaptverošu</w:t>
      </w:r>
      <w:r w:rsidR="00B157FC" w:rsidRPr="006F793C">
        <w:rPr>
          <w:rFonts w:ascii="Times New Roman" w:hAnsi="Times New Roman" w:cs="Times New Roman"/>
          <w:sz w:val="24"/>
          <w:szCs w:val="24"/>
        </w:rPr>
        <w:t xml:space="preserve"> informētību un, </w:t>
      </w:r>
      <w:r w:rsidR="00E67125">
        <w:rPr>
          <w:rFonts w:ascii="Times New Roman" w:hAnsi="Times New Roman" w:cs="Times New Roman"/>
          <w:sz w:val="24"/>
          <w:szCs w:val="24"/>
        </w:rPr>
        <w:t>ja nepieciešam</w:t>
      </w:r>
      <w:r w:rsidR="00B157FC" w:rsidRPr="006F793C">
        <w:rPr>
          <w:rFonts w:ascii="Times New Roman" w:hAnsi="Times New Roman" w:cs="Times New Roman"/>
          <w:sz w:val="24"/>
          <w:szCs w:val="24"/>
        </w:rPr>
        <w:t>s</w:t>
      </w:r>
      <w:r w:rsidRPr="006F793C">
        <w:rPr>
          <w:rFonts w:ascii="Times New Roman" w:hAnsi="Times New Roman" w:cs="Times New Roman"/>
          <w:sz w:val="24"/>
          <w:szCs w:val="24"/>
        </w:rPr>
        <w:t xml:space="preserve">, </w:t>
      </w:r>
      <w:r w:rsidR="00E67125">
        <w:rPr>
          <w:rFonts w:ascii="Times New Roman" w:hAnsi="Times New Roman" w:cs="Times New Roman"/>
          <w:sz w:val="24"/>
          <w:szCs w:val="24"/>
        </w:rPr>
        <w:t xml:space="preserve">arī </w:t>
      </w:r>
      <w:r w:rsidRPr="006F793C">
        <w:rPr>
          <w:rFonts w:ascii="Times New Roman" w:hAnsi="Times New Roman" w:cs="Times New Roman"/>
          <w:sz w:val="24"/>
          <w:szCs w:val="24"/>
        </w:rPr>
        <w:t xml:space="preserve">to </w:t>
      </w:r>
      <w:proofErr w:type="spellStart"/>
      <w:r w:rsidRPr="006F793C">
        <w:rPr>
          <w:rFonts w:ascii="Times New Roman" w:hAnsi="Times New Roman" w:cs="Times New Roman"/>
          <w:sz w:val="24"/>
          <w:szCs w:val="24"/>
        </w:rPr>
        <w:t>atkalizmantošanu</w:t>
      </w:r>
      <w:proofErr w:type="spellEnd"/>
      <w:r w:rsidRPr="006F793C">
        <w:rPr>
          <w:rFonts w:ascii="Times New Roman" w:hAnsi="Times New Roman" w:cs="Times New Roman"/>
          <w:sz w:val="24"/>
          <w:szCs w:val="24"/>
        </w:rPr>
        <w:t xml:space="preserve">.  </w:t>
      </w:r>
    </w:p>
    <w:p w14:paraId="218A4014" w14:textId="1DE66E1B" w:rsidR="00D87C71" w:rsidRPr="006F793C" w:rsidRDefault="00D87C71" w:rsidP="00D87C71">
      <w:pPr>
        <w:jc w:val="both"/>
        <w:rPr>
          <w:rFonts w:ascii="Times New Roman" w:hAnsi="Times New Roman" w:cs="Times New Roman"/>
          <w:sz w:val="24"/>
          <w:szCs w:val="24"/>
        </w:rPr>
      </w:pPr>
      <w:r w:rsidRPr="006F793C">
        <w:rPr>
          <w:rFonts w:ascii="Times New Roman" w:hAnsi="Times New Roman" w:cs="Times New Roman"/>
          <w:sz w:val="24"/>
          <w:szCs w:val="24"/>
        </w:rPr>
        <w:t>Lai uzlabotu digitālās pārvaldes pakalpojumu pieejamību un kvalitāti, VARAM ir izstrādāj</w:t>
      </w:r>
      <w:r w:rsidR="00A05C4D">
        <w:rPr>
          <w:rFonts w:ascii="Times New Roman" w:hAnsi="Times New Roman" w:cs="Times New Roman"/>
          <w:sz w:val="24"/>
          <w:szCs w:val="24"/>
        </w:rPr>
        <w:t>u</w:t>
      </w:r>
      <w:r w:rsidRPr="006F793C">
        <w:rPr>
          <w:rFonts w:ascii="Times New Roman" w:hAnsi="Times New Roman" w:cs="Times New Roman"/>
          <w:sz w:val="24"/>
          <w:szCs w:val="24"/>
        </w:rPr>
        <w:t>s</w:t>
      </w:r>
      <w:r w:rsidR="00A05C4D">
        <w:rPr>
          <w:rFonts w:ascii="Times New Roman" w:hAnsi="Times New Roman" w:cs="Times New Roman"/>
          <w:sz w:val="24"/>
          <w:szCs w:val="24"/>
        </w:rPr>
        <w:t>i</w:t>
      </w:r>
      <w:r w:rsidRPr="006F793C">
        <w:rPr>
          <w:rFonts w:ascii="Times New Roman" w:hAnsi="Times New Roman" w:cs="Times New Roman"/>
          <w:sz w:val="24"/>
          <w:szCs w:val="24"/>
        </w:rPr>
        <w:t xml:space="preserve"> valsts iestāžu digitālās pārvaldes attīstības monitoringa sist</w:t>
      </w:r>
      <w:r w:rsidR="000E0477" w:rsidRPr="006F793C">
        <w:rPr>
          <w:rFonts w:ascii="Times New Roman" w:hAnsi="Times New Roman" w:cs="Times New Roman"/>
          <w:sz w:val="24"/>
          <w:szCs w:val="24"/>
        </w:rPr>
        <w:t>ēmu – Latvijas valsts iestāžu e-i</w:t>
      </w:r>
      <w:r w:rsidRPr="006F793C">
        <w:rPr>
          <w:rFonts w:ascii="Times New Roman" w:hAnsi="Times New Roman" w:cs="Times New Roman"/>
          <w:sz w:val="24"/>
          <w:szCs w:val="24"/>
        </w:rPr>
        <w:t xml:space="preserve">ndekss. Valsts iestāžu e-indekss ir rīks, kas analizē un sniedz pārskatu par to, cik lielā mērā un cik atbilstoši iestādes izmanto </w:t>
      </w:r>
      <w:r w:rsidR="000E0477" w:rsidRPr="006F793C">
        <w:rPr>
          <w:rFonts w:ascii="Times New Roman" w:hAnsi="Times New Roman" w:cs="Times New Roman"/>
          <w:sz w:val="24"/>
          <w:szCs w:val="24"/>
        </w:rPr>
        <w:t xml:space="preserve">IKT tehnoloģijas, lai </w:t>
      </w:r>
      <w:r w:rsidRPr="006F793C">
        <w:rPr>
          <w:rFonts w:ascii="Times New Roman" w:hAnsi="Times New Roman" w:cs="Times New Roman"/>
          <w:sz w:val="24"/>
          <w:szCs w:val="24"/>
        </w:rPr>
        <w:t>iespējami efektīvāk or</w:t>
      </w:r>
      <w:r w:rsidR="000E0477" w:rsidRPr="006F793C">
        <w:rPr>
          <w:rFonts w:ascii="Times New Roman" w:hAnsi="Times New Roman" w:cs="Times New Roman"/>
          <w:sz w:val="24"/>
          <w:szCs w:val="24"/>
        </w:rPr>
        <w:t xml:space="preserve">ganizētu savu iekšējo darbu, </w:t>
      </w:r>
      <w:r w:rsidRPr="006F793C">
        <w:rPr>
          <w:rFonts w:ascii="Times New Roman" w:hAnsi="Times New Roman" w:cs="Times New Roman"/>
          <w:sz w:val="24"/>
          <w:szCs w:val="24"/>
        </w:rPr>
        <w:t>sad</w:t>
      </w:r>
      <w:r w:rsidR="000E0477" w:rsidRPr="006F793C">
        <w:rPr>
          <w:rFonts w:ascii="Times New Roman" w:hAnsi="Times New Roman" w:cs="Times New Roman"/>
          <w:sz w:val="24"/>
          <w:szCs w:val="24"/>
        </w:rPr>
        <w:t xml:space="preserve">arbotos ar citām iestādēm un </w:t>
      </w:r>
      <w:r w:rsidRPr="006F793C">
        <w:rPr>
          <w:rFonts w:ascii="Times New Roman" w:hAnsi="Times New Roman" w:cs="Times New Roman"/>
          <w:sz w:val="24"/>
          <w:szCs w:val="24"/>
        </w:rPr>
        <w:t xml:space="preserve">sniegtu pakalpojumus iedzīvotājiem un uzņēmējiem. Pozitīvi vērtējams, ka vairāk </w:t>
      </w:r>
      <w:r w:rsidR="000E4EB0" w:rsidRPr="006F793C">
        <w:rPr>
          <w:rFonts w:ascii="Times New Roman" w:hAnsi="Times New Roman" w:cs="Times New Roman"/>
          <w:sz w:val="24"/>
          <w:szCs w:val="24"/>
        </w:rPr>
        <w:t>ne</w:t>
      </w:r>
      <w:r w:rsidRPr="006F793C">
        <w:rPr>
          <w:rFonts w:ascii="Times New Roman" w:hAnsi="Times New Roman" w:cs="Times New Roman"/>
          <w:sz w:val="24"/>
          <w:szCs w:val="24"/>
        </w:rPr>
        <w:t>kā puse valsts sniegto pakalpojumu jau šodien ir pieejami elektroniski.</w:t>
      </w:r>
    </w:p>
    <w:p w14:paraId="4FC8FFA1" w14:textId="254FCA27" w:rsidR="00D87C71" w:rsidRPr="006F793C" w:rsidRDefault="00D87C71" w:rsidP="00D87C71">
      <w:pPr>
        <w:jc w:val="both"/>
        <w:rPr>
          <w:rFonts w:ascii="Times New Roman" w:hAnsi="Times New Roman" w:cs="Times New Roman"/>
          <w:sz w:val="24"/>
          <w:szCs w:val="24"/>
        </w:rPr>
      </w:pPr>
      <w:r w:rsidRPr="006F793C">
        <w:rPr>
          <w:rFonts w:ascii="Times New Roman" w:hAnsi="Times New Roman" w:cs="Times New Roman"/>
          <w:sz w:val="24"/>
          <w:szCs w:val="24"/>
        </w:rPr>
        <w:t xml:space="preserve">Savukārt valsts pārvaldes pakalpojumu pieejamības uzlabošanai norit darbs pie vienotas klientu klātienes apkalpošanas risinājuma attīstīšanas, kas ietver </w:t>
      </w:r>
      <w:r w:rsidR="00E67125">
        <w:rPr>
          <w:rFonts w:ascii="Times New Roman" w:hAnsi="Times New Roman" w:cs="Times New Roman"/>
          <w:sz w:val="24"/>
          <w:szCs w:val="24"/>
        </w:rPr>
        <w:t>"</w:t>
      </w:r>
      <w:r w:rsidRPr="006F793C">
        <w:rPr>
          <w:rFonts w:ascii="Times New Roman" w:hAnsi="Times New Roman" w:cs="Times New Roman"/>
          <w:sz w:val="24"/>
          <w:szCs w:val="24"/>
        </w:rPr>
        <w:t>vienas pieturas aģentūras</w:t>
      </w:r>
      <w:r w:rsidR="00E67125">
        <w:rPr>
          <w:rFonts w:ascii="Times New Roman" w:hAnsi="Times New Roman" w:cs="Times New Roman"/>
          <w:sz w:val="24"/>
          <w:szCs w:val="24"/>
        </w:rPr>
        <w:t>"</w:t>
      </w:r>
      <w:r w:rsidRPr="006F793C">
        <w:rPr>
          <w:rFonts w:ascii="Times New Roman" w:hAnsi="Times New Roman" w:cs="Times New Roman"/>
          <w:sz w:val="24"/>
          <w:szCs w:val="24"/>
        </w:rPr>
        <w:t xml:space="preserve"> principa īstenošanu klātienē. 2015.</w:t>
      </w:r>
      <w:r w:rsidR="004D60EC" w:rsidRPr="006F793C">
        <w:rPr>
          <w:rFonts w:ascii="Times New Roman" w:hAnsi="Times New Roman" w:cs="Times New Roman"/>
          <w:sz w:val="24"/>
          <w:szCs w:val="24"/>
        </w:rPr>
        <w:t> </w:t>
      </w:r>
      <w:r w:rsidRPr="006F793C">
        <w:rPr>
          <w:rFonts w:ascii="Times New Roman" w:hAnsi="Times New Roman" w:cs="Times New Roman"/>
          <w:sz w:val="24"/>
          <w:szCs w:val="24"/>
        </w:rPr>
        <w:t xml:space="preserve">gadā </w:t>
      </w:r>
      <w:r w:rsidR="00A05C4D" w:rsidRPr="006F793C">
        <w:rPr>
          <w:rFonts w:ascii="Times New Roman" w:hAnsi="Times New Roman" w:cs="Times New Roman"/>
          <w:sz w:val="24"/>
          <w:szCs w:val="24"/>
        </w:rPr>
        <w:t>59</w:t>
      </w:r>
      <w:r w:rsidR="00A05C4D">
        <w:rPr>
          <w:rFonts w:ascii="Times New Roman" w:hAnsi="Times New Roman" w:cs="Times New Roman"/>
          <w:sz w:val="24"/>
          <w:szCs w:val="24"/>
        </w:rPr>
        <w:t> </w:t>
      </w:r>
      <w:r w:rsidR="00A05C4D" w:rsidRPr="006F793C">
        <w:rPr>
          <w:rFonts w:ascii="Times New Roman" w:hAnsi="Times New Roman" w:cs="Times New Roman"/>
          <w:sz w:val="24"/>
          <w:szCs w:val="24"/>
        </w:rPr>
        <w:t xml:space="preserve">pašvaldībās ir izveidots </w:t>
      </w:r>
      <w:r w:rsidR="00E67125" w:rsidRPr="006F793C">
        <w:rPr>
          <w:rFonts w:ascii="Times New Roman" w:hAnsi="Times New Roman" w:cs="Times New Roman"/>
          <w:sz w:val="24"/>
          <w:szCs w:val="24"/>
        </w:rPr>
        <w:t>vienot</w:t>
      </w:r>
      <w:r w:rsidR="00E67125">
        <w:rPr>
          <w:rFonts w:ascii="Times New Roman" w:hAnsi="Times New Roman" w:cs="Times New Roman"/>
          <w:sz w:val="24"/>
          <w:szCs w:val="24"/>
        </w:rPr>
        <w:t>ais</w:t>
      </w:r>
      <w:r w:rsidR="00E67125" w:rsidRPr="006F793C">
        <w:rPr>
          <w:rFonts w:ascii="Times New Roman" w:hAnsi="Times New Roman" w:cs="Times New Roman"/>
          <w:sz w:val="24"/>
          <w:szCs w:val="24"/>
        </w:rPr>
        <w:t xml:space="preserve"> </w:t>
      </w:r>
      <w:r w:rsidRPr="006F793C">
        <w:rPr>
          <w:rFonts w:ascii="Times New Roman" w:hAnsi="Times New Roman" w:cs="Times New Roman"/>
          <w:sz w:val="24"/>
          <w:szCs w:val="24"/>
        </w:rPr>
        <w:t>valsts un pašvaldību klientu apkalpošanas centr</w:t>
      </w:r>
      <w:r w:rsidR="00D8162A">
        <w:rPr>
          <w:rFonts w:ascii="Times New Roman" w:hAnsi="Times New Roman" w:cs="Times New Roman"/>
          <w:sz w:val="24"/>
          <w:szCs w:val="24"/>
        </w:rPr>
        <w:t>u tīkls</w:t>
      </w:r>
      <w:r w:rsidRPr="006F793C">
        <w:rPr>
          <w:rFonts w:ascii="Times New Roman" w:hAnsi="Times New Roman" w:cs="Times New Roman"/>
          <w:sz w:val="24"/>
          <w:szCs w:val="24"/>
        </w:rPr>
        <w:t xml:space="preserve">. Pieprasītākos valsts pakalpojumus iedzīvotāji var pieteikt šajās pašvaldībās klātienē, saņemot arī atbalstu e-pakalpojumu lietošanā. </w:t>
      </w:r>
      <w:r w:rsidR="00E67125">
        <w:rPr>
          <w:rFonts w:ascii="Times New Roman" w:hAnsi="Times New Roman" w:cs="Times New Roman"/>
          <w:sz w:val="24"/>
          <w:szCs w:val="24"/>
        </w:rPr>
        <w:t>V</w:t>
      </w:r>
      <w:r w:rsidR="00E67125" w:rsidRPr="006F793C">
        <w:rPr>
          <w:rFonts w:ascii="Times New Roman" w:hAnsi="Times New Roman" w:cs="Times New Roman"/>
          <w:sz w:val="24"/>
          <w:szCs w:val="24"/>
        </w:rPr>
        <w:t xml:space="preserve">ienoto </w:t>
      </w:r>
      <w:r w:rsidR="00E67125">
        <w:rPr>
          <w:rFonts w:ascii="Times New Roman" w:hAnsi="Times New Roman" w:cs="Times New Roman"/>
          <w:sz w:val="24"/>
          <w:szCs w:val="24"/>
        </w:rPr>
        <w:t>v</w:t>
      </w:r>
      <w:r w:rsidRPr="006F793C">
        <w:rPr>
          <w:rFonts w:ascii="Times New Roman" w:hAnsi="Times New Roman" w:cs="Times New Roman"/>
          <w:sz w:val="24"/>
          <w:szCs w:val="24"/>
        </w:rPr>
        <w:t>alsts un pašvaldību klientu apkalpošanas centru izveide plānota līdz 2020.</w:t>
      </w:r>
      <w:r w:rsidR="004D60EC" w:rsidRPr="006F793C">
        <w:rPr>
          <w:rFonts w:ascii="Times New Roman" w:hAnsi="Times New Roman" w:cs="Times New Roman"/>
          <w:sz w:val="24"/>
          <w:szCs w:val="24"/>
        </w:rPr>
        <w:t> </w:t>
      </w:r>
      <w:r w:rsidRPr="006F793C">
        <w:rPr>
          <w:rFonts w:ascii="Times New Roman" w:hAnsi="Times New Roman" w:cs="Times New Roman"/>
          <w:sz w:val="24"/>
          <w:szCs w:val="24"/>
        </w:rPr>
        <w:t xml:space="preserve">gadam. </w:t>
      </w:r>
    </w:p>
    <w:p w14:paraId="6D039E73" w14:textId="5733B829" w:rsidR="00D87C71" w:rsidRPr="006F793C" w:rsidRDefault="00D87C71" w:rsidP="00D87C71">
      <w:pPr>
        <w:jc w:val="both"/>
        <w:rPr>
          <w:rFonts w:ascii="Times New Roman" w:hAnsi="Times New Roman" w:cs="Times New Roman"/>
          <w:sz w:val="24"/>
          <w:szCs w:val="24"/>
        </w:rPr>
      </w:pPr>
      <w:r w:rsidRPr="006F793C">
        <w:rPr>
          <w:rFonts w:ascii="Times New Roman" w:hAnsi="Times New Roman" w:cs="Times New Roman"/>
          <w:sz w:val="24"/>
          <w:szCs w:val="24"/>
        </w:rPr>
        <w:t xml:space="preserve">VARAM nodrošina atbildīgu IKT procesu koordināciju un pārvaldību, kā arī </w:t>
      </w:r>
      <w:r w:rsidR="000E0477" w:rsidRPr="006F793C">
        <w:rPr>
          <w:rFonts w:ascii="Times New Roman" w:hAnsi="Times New Roman" w:cs="Times New Roman"/>
          <w:sz w:val="24"/>
          <w:szCs w:val="24"/>
        </w:rPr>
        <w:t>ES</w:t>
      </w:r>
      <w:r w:rsidR="004D60EC" w:rsidRPr="006F793C">
        <w:rPr>
          <w:rFonts w:ascii="Times New Roman" w:hAnsi="Times New Roman" w:cs="Times New Roman"/>
          <w:sz w:val="24"/>
          <w:szCs w:val="24"/>
        </w:rPr>
        <w:t xml:space="preserve"> fondu 2014.–2020. </w:t>
      </w:r>
      <w:r w:rsidRPr="006F793C">
        <w:rPr>
          <w:rFonts w:ascii="Times New Roman" w:hAnsi="Times New Roman" w:cs="Times New Roman"/>
          <w:sz w:val="24"/>
          <w:szCs w:val="24"/>
        </w:rPr>
        <w:t>gada plānošanas perioda līdzekļu (151</w:t>
      </w:r>
      <w:r w:rsidR="00716B0D" w:rsidRPr="006F793C">
        <w:rPr>
          <w:rFonts w:ascii="Times New Roman" w:hAnsi="Times New Roman" w:cs="Times New Roman"/>
          <w:sz w:val="24"/>
          <w:szCs w:val="24"/>
        </w:rPr>
        <w:t> milj.</w:t>
      </w:r>
      <w:r w:rsidRPr="006F793C">
        <w:rPr>
          <w:rFonts w:ascii="Times New Roman" w:hAnsi="Times New Roman" w:cs="Times New Roman"/>
          <w:sz w:val="24"/>
          <w:szCs w:val="24"/>
        </w:rPr>
        <w:t xml:space="preserve"> </w:t>
      </w:r>
      <w:proofErr w:type="spellStart"/>
      <w:r w:rsidRPr="00545247">
        <w:rPr>
          <w:rFonts w:ascii="Times New Roman" w:hAnsi="Times New Roman" w:cs="Times New Roman"/>
          <w:i/>
          <w:sz w:val="24"/>
          <w:szCs w:val="24"/>
        </w:rPr>
        <w:t>euro</w:t>
      </w:r>
      <w:proofErr w:type="spellEnd"/>
      <w:r w:rsidRPr="006F793C">
        <w:rPr>
          <w:rFonts w:ascii="Times New Roman" w:hAnsi="Times New Roman" w:cs="Times New Roman"/>
          <w:sz w:val="24"/>
          <w:szCs w:val="24"/>
        </w:rPr>
        <w:t xml:space="preserve">) </w:t>
      </w:r>
      <w:r w:rsidR="0072592E">
        <w:rPr>
          <w:rFonts w:ascii="Times New Roman" w:hAnsi="Times New Roman" w:cs="Times New Roman"/>
          <w:sz w:val="24"/>
          <w:szCs w:val="24"/>
        </w:rPr>
        <w:t xml:space="preserve">investīciju </w:t>
      </w:r>
      <w:r w:rsidRPr="006F793C">
        <w:rPr>
          <w:rFonts w:ascii="Times New Roman" w:hAnsi="Times New Roman" w:cs="Times New Roman"/>
          <w:sz w:val="24"/>
          <w:szCs w:val="24"/>
        </w:rPr>
        <w:lastRenderedPageBreak/>
        <w:t xml:space="preserve">pieejamību publiskās pārvaldes IKT projektu īstenošanai. </w:t>
      </w:r>
      <w:r w:rsidR="00E67125">
        <w:rPr>
          <w:rFonts w:ascii="Times New Roman" w:hAnsi="Times New Roman" w:cs="Times New Roman"/>
          <w:sz w:val="24"/>
          <w:szCs w:val="24"/>
        </w:rPr>
        <w:t>L</w:t>
      </w:r>
      <w:r w:rsidRPr="006F793C">
        <w:rPr>
          <w:rFonts w:ascii="Times New Roman" w:hAnsi="Times New Roman" w:cs="Times New Roman"/>
          <w:sz w:val="24"/>
          <w:szCs w:val="24"/>
        </w:rPr>
        <w:t xml:space="preserve">ai uzlabotu projektu ieviešanas gaitu, VARAM plāno izstrādāt vadlīnijas un metodiskos materiālus, kas palīdzēs projektu īstenotājiem realizēt plānotos koplietošanas risinājumus.  </w:t>
      </w:r>
    </w:p>
    <w:p w14:paraId="4251CE84" w14:textId="025FD4ED" w:rsidR="00D87C71" w:rsidRPr="006F793C" w:rsidRDefault="00D87C71" w:rsidP="00D87C71">
      <w:pPr>
        <w:jc w:val="both"/>
        <w:rPr>
          <w:rFonts w:ascii="Times New Roman" w:hAnsi="Times New Roman" w:cs="Times New Roman"/>
          <w:sz w:val="24"/>
          <w:szCs w:val="24"/>
        </w:rPr>
      </w:pPr>
      <w:r w:rsidRPr="006F793C">
        <w:rPr>
          <w:rFonts w:ascii="Times New Roman" w:hAnsi="Times New Roman" w:cs="Times New Roman"/>
          <w:sz w:val="24"/>
          <w:szCs w:val="24"/>
        </w:rPr>
        <w:t>MK kā visā valsts pārvaldē horizontāli auditējamu prioritāti šim gadam ir noteicis IKT projektu vadības iekšējā audita veikš</w:t>
      </w:r>
      <w:r w:rsidR="004D60EC" w:rsidRPr="006F793C">
        <w:rPr>
          <w:rFonts w:ascii="Times New Roman" w:hAnsi="Times New Roman" w:cs="Times New Roman"/>
          <w:sz w:val="24"/>
          <w:szCs w:val="24"/>
        </w:rPr>
        <w:t xml:space="preserve">anu, savukārt nākamajam gadam – </w:t>
      </w:r>
      <w:r w:rsidRPr="006F793C">
        <w:rPr>
          <w:rFonts w:ascii="Times New Roman" w:hAnsi="Times New Roman" w:cs="Times New Roman"/>
          <w:sz w:val="24"/>
          <w:szCs w:val="24"/>
        </w:rPr>
        <w:t xml:space="preserve">valsts pārvaldes pakalpojumu iekšējā audita veikšanu, kuru ietvaros tiks novērtēta arī </w:t>
      </w:r>
      <w:r w:rsidR="00545247">
        <w:rPr>
          <w:rFonts w:ascii="Times New Roman" w:hAnsi="Times New Roman" w:cs="Times New Roman"/>
          <w:sz w:val="24"/>
          <w:szCs w:val="24"/>
        </w:rPr>
        <w:br/>
      </w:r>
      <w:r w:rsidRPr="006F793C">
        <w:rPr>
          <w:rFonts w:ascii="Times New Roman" w:hAnsi="Times New Roman" w:cs="Times New Roman"/>
          <w:sz w:val="24"/>
          <w:szCs w:val="24"/>
        </w:rPr>
        <w:t>e-pa</w:t>
      </w:r>
      <w:r w:rsidR="0072592E">
        <w:rPr>
          <w:rFonts w:ascii="Times New Roman" w:hAnsi="Times New Roman" w:cs="Times New Roman"/>
          <w:sz w:val="24"/>
          <w:szCs w:val="24"/>
        </w:rPr>
        <w:t>kalpojumu attīstība un sekmēta</w:t>
      </w:r>
      <w:r w:rsidRPr="006F793C">
        <w:rPr>
          <w:rFonts w:ascii="Times New Roman" w:hAnsi="Times New Roman" w:cs="Times New Roman"/>
          <w:sz w:val="24"/>
          <w:szCs w:val="24"/>
        </w:rPr>
        <w:t xml:space="preserve"> e-pakalpojumu izmantošana.  </w:t>
      </w:r>
    </w:p>
    <w:p w14:paraId="0E282BDF" w14:textId="77777777" w:rsidR="009E361A" w:rsidRPr="006F793C" w:rsidRDefault="009E361A" w:rsidP="00D87C71">
      <w:pPr>
        <w:jc w:val="both"/>
      </w:pPr>
    </w:p>
    <w:p w14:paraId="55C77F00" w14:textId="49117D09" w:rsidR="008760EB" w:rsidRPr="00716B0D" w:rsidRDefault="0076647D" w:rsidP="00BB7C5B">
      <w:pPr>
        <w:pStyle w:val="Heading2"/>
        <w:rPr>
          <w:rFonts w:cs="Times New Roman"/>
          <w:szCs w:val="24"/>
        </w:rPr>
      </w:pPr>
      <w:bookmarkStart w:id="37" w:name="_Toc465349538"/>
      <w:bookmarkStart w:id="38" w:name="_Toc465089716"/>
      <w:bookmarkStart w:id="39" w:name="_Toc466466863"/>
      <w:r w:rsidRPr="00716B0D">
        <w:t xml:space="preserve">ES </w:t>
      </w:r>
      <w:r w:rsidR="00B17B2D" w:rsidRPr="00716B0D">
        <w:t>fondu 2014.</w:t>
      </w:r>
      <w:r w:rsidR="00BC6029">
        <w:t>–</w:t>
      </w:r>
      <w:r w:rsidR="00B17B2D" w:rsidRPr="00716B0D">
        <w:t>2020.</w:t>
      </w:r>
      <w:r w:rsidR="00D1440A">
        <w:t xml:space="preserve"> gada </w:t>
      </w:r>
      <w:r w:rsidR="00B17B2D" w:rsidRPr="00716B0D">
        <w:t>plānošanas perioda progress</w:t>
      </w:r>
      <w:bookmarkEnd w:id="37"/>
      <w:bookmarkEnd w:id="38"/>
      <w:bookmarkEnd w:id="39"/>
    </w:p>
    <w:p w14:paraId="698619FC" w14:textId="77777777" w:rsidR="00BC6029" w:rsidRPr="000C6481" w:rsidRDefault="00BC6029" w:rsidP="00BC6029">
      <w:pPr>
        <w:jc w:val="both"/>
        <w:rPr>
          <w:rFonts w:ascii="Times New Roman" w:hAnsi="Times New Roman"/>
          <w:sz w:val="24"/>
          <w:szCs w:val="24"/>
        </w:rPr>
      </w:pPr>
      <w:r w:rsidRPr="000C6481">
        <w:rPr>
          <w:rFonts w:ascii="Times New Roman" w:hAnsi="Times New Roman"/>
          <w:sz w:val="24"/>
          <w:szCs w:val="24"/>
        </w:rPr>
        <w:t>Par Latvijas salīdzinoši lab</w:t>
      </w:r>
      <w:r>
        <w:rPr>
          <w:rFonts w:ascii="Times New Roman" w:hAnsi="Times New Roman"/>
          <w:sz w:val="24"/>
          <w:szCs w:val="24"/>
        </w:rPr>
        <w:t>aj</w:t>
      </w:r>
      <w:r w:rsidRPr="000C6481">
        <w:rPr>
          <w:rFonts w:ascii="Times New Roman" w:hAnsi="Times New Roman"/>
          <w:sz w:val="24"/>
          <w:szCs w:val="24"/>
        </w:rPr>
        <w:t xml:space="preserve">ām sekmēm investīciju </w:t>
      </w:r>
      <w:r>
        <w:rPr>
          <w:rFonts w:ascii="Times New Roman" w:hAnsi="Times New Roman"/>
          <w:sz w:val="24"/>
          <w:szCs w:val="24"/>
        </w:rPr>
        <w:t>jomā</w:t>
      </w:r>
      <w:r w:rsidRPr="000C6481">
        <w:rPr>
          <w:rFonts w:ascii="Times New Roman" w:hAnsi="Times New Roman"/>
          <w:sz w:val="24"/>
          <w:szCs w:val="24"/>
        </w:rPr>
        <w:t xml:space="preserve"> liecina ES dalībvalstu dati – Latvija ieņem 5. vietu (dati uz 2016. gada 12. oktobri) saņemtajos EK starpposma maksājumos par jau veikt</w:t>
      </w:r>
      <w:r>
        <w:rPr>
          <w:rFonts w:ascii="Times New Roman" w:hAnsi="Times New Roman"/>
          <w:sz w:val="24"/>
          <w:szCs w:val="24"/>
        </w:rPr>
        <w:t>aj</w:t>
      </w:r>
      <w:r w:rsidRPr="000C6481">
        <w:rPr>
          <w:rFonts w:ascii="Times New Roman" w:hAnsi="Times New Roman"/>
          <w:sz w:val="24"/>
          <w:szCs w:val="24"/>
        </w:rPr>
        <w:t>ām investīcijām un pārbaudīt</w:t>
      </w:r>
      <w:r>
        <w:rPr>
          <w:rFonts w:ascii="Times New Roman" w:hAnsi="Times New Roman"/>
          <w:sz w:val="24"/>
          <w:szCs w:val="24"/>
        </w:rPr>
        <w:t>aj</w:t>
      </w:r>
      <w:r w:rsidRPr="000C6481">
        <w:rPr>
          <w:rFonts w:ascii="Times New Roman" w:hAnsi="Times New Roman"/>
          <w:sz w:val="24"/>
          <w:szCs w:val="24"/>
        </w:rPr>
        <w:t xml:space="preserve">iem izdevumu dokumentiem projektu ietvaros, </w:t>
      </w:r>
      <w:r>
        <w:rPr>
          <w:rFonts w:ascii="Times New Roman" w:hAnsi="Times New Roman"/>
          <w:sz w:val="24"/>
          <w:szCs w:val="24"/>
        </w:rPr>
        <w:t xml:space="preserve">turklāt </w:t>
      </w:r>
      <w:r w:rsidRPr="000C6481">
        <w:rPr>
          <w:rFonts w:ascii="Times New Roman" w:hAnsi="Times New Roman"/>
          <w:sz w:val="24"/>
          <w:szCs w:val="24"/>
        </w:rPr>
        <w:t xml:space="preserve">ar pieaugošu un stabilu progresu. Līdz šim ir uzsākta projektu īstenošana transporta, veselības, nodarbinātības, sociālās iekļaušanas, izglītības, pētniecības un attīstības, uzņēmējdarbības atbalsta un plūdu risku mazināšanas jomās. </w:t>
      </w:r>
    </w:p>
    <w:p w14:paraId="589FBD53" w14:textId="77777777" w:rsidR="00BC6029" w:rsidRPr="000C6481" w:rsidRDefault="00BC6029" w:rsidP="00BC6029">
      <w:pPr>
        <w:jc w:val="both"/>
        <w:rPr>
          <w:rFonts w:ascii="Times New Roman" w:hAnsi="Times New Roman"/>
          <w:sz w:val="24"/>
          <w:szCs w:val="24"/>
        </w:rPr>
      </w:pPr>
      <w:r w:rsidRPr="000C6481">
        <w:rPr>
          <w:rFonts w:ascii="Times New Roman" w:hAnsi="Times New Roman"/>
          <w:sz w:val="24"/>
          <w:szCs w:val="24"/>
        </w:rPr>
        <w:t>Jaunajā plānošanas periodā pieejamais ES fondu finansējums ir 4 471,2</w:t>
      </w:r>
      <w:r>
        <w:rPr>
          <w:rFonts w:ascii="Times New Roman" w:hAnsi="Times New Roman"/>
          <w:sz w:val="24"/>
          <w:szCs w:val="24"/>
        </w:rPr>
        <w:t> milj.</w:t>
      </w:r>
      <w:r w:rsidRPr="000C6481">
        <w:rPr>
          <w:rFonts w:ascii="Times New Roman" w:hAnsi="Times New Roman"/>
          <w:sz w:val="24"/>
          <w:szCs w:val="24"/>
        </w:rPr>
        <w:t xml:space="preserve"> </w:t>
      </w:r>
      <w:proofErr w:type="spellStart"/>
      <w:r w:rsidRPr="000C6481">
        <w:rPr>
          <w:rFonts w:ascii="Times New Roman" w:hAnsi="Times New Roman"/>
          <w:i/>
          <w:sz w:val="24"/>
          <w:szCs w:val="24"/>
        </w:rPr>
        <w:t>euro</w:t>
      </w:r>
      <w:proofErr w:type="spellEnd"/>
      <w:r w:rsidRPr="000C6481">
        <w:rPr>
          <w:rFonts w:ascii="Times New Roman" w:hAnsi="Times New Roman"/>
          <w:sz w:val="24"/>
          <w:szCs w:val="24"/>
        </w:rPr>
        <w:t>. Pašreiz ir apstiprināti 92 MK noteikumi ES fondu finansēt</w:t>
      </w:r>
      <w:r>
        <w:rPr>
          <w:rFonts w:ascii="Times New Roman" w:hAnsi="Times New Roman"/>
          <w:sz w:val="24"/>
          <w:szCs w:val="24"/>
        </w:rPr>
        <w:t>o</w:t>
      </w:r>
      <w:r w:rsidRPr="000C6481">
        <w:rPr>
          <w:rFonts w:ascii="Times New Roman" w:hAnsi="Times New Roman"/>
          <w:sz w:val="24"/>
          <w:szCs w:val="24"/>
        </w:rPr>
        <w:t xml:space="preserve"> pasākumu ieviešanai ar kopējo vērtību 3 512</w:t>
      </w:r>
      <w:r>
        <w:rPr>
          <w:rFonts w:ascii="Times New Roman" w:hAnsi="Times New Roman"/>
          <w:sz w:val="24"/>
          <w:szCs w:val="24"/>
        </w:rPr>
        <w:t> milj.</w:t>
      </w:r>
      <w:r w:rsidRPr="000C6481">
        <w:rPr>
          <w:rFonts w:ascii="Times New Roman" w:hAnsi="Times New Roman"/>
          <w:sz w:val="24"/>
          <w:szCs w:val="24"/>
        </w:rPr>
        <w:t xml:space="preserve"> </w:t>
      </w:r>
      <w:proofErr w:type="spellStart"/>
      <w:r w:rsidRPr="000C6481">
        <w:rPr>
          <w:rFonts w:ascii="Times New Roman" w:hAnsi="Times New Roman"/>
          <w:i/>
          <w:sz w:val="24"/>
          <w:szCs w:val="24"/>
        </w:rPr>
        <w:t>euro</w:t>
      </w:r>
      <w:proofErr w:type="spellEnd"/>
      <w:r w:rsidRPr="000C6481">
        <w:rPr>
          <w:rFonts w:ascii="Times New Roman" w:hAnsi="Times New Roman"/>
          <w:sz w:val="24"/>
          <w:szCs w:val="24"/>
        </w:rPr>
        <w:t xml:space="preserve"> jeb 79,5</w:t>
      </w:r>
      <w:r>
        <w:rPr>
          <w:rFonts w:ascii="Times New Roman" w:hAnsi="Times New Roman"/>
          <w:sz w:val="24"/>
          <w:szCs w:val="24"/>
        </w:rPr>
        <w:t> %</w:t>
      </w:r>
      <w:r w:rsidRPr="000C6481">
        <w:rPr>
          <w:rFonts w:ascii="Times New Roman" w:hAnsi="Times New Roman"/>
          <w:sz w:val="24"/>
          <w:szCs w:val="24"/>
        </w:rPr>
        <w:t xml:space="preserve"> no pieejamā finansējuma. </w:t>
      </w:r>
      <w:r>
        <w:rPr>
          <w:rFonts w:ascii="Times New Roman" w:hAnsi="Times New Roman"/>
          <w:sz w:val="24"/>
          <w:szCs w:val="24"/>
        </w:rPr>
        <w:t>Jau</w:t>
      </w:r>
      <w:r w:rsidRPr="000C6481">
        <w:rPr>
          <w:rFonts w:ascii="Times New Roman" w:hAnsi="Times New Roman"/>
          <w:sz w:val="24"/>
          <w:szCs w:val="24"/>
        </w:rPr>
        <w:t xml:space="preserve"> ir iesniegti 685 projekti ar kopējo vērtību 1 545,6 </w:t>
      </w:r>
      <w:r>
        <w:rPr>
          <w:rFonts w:ascii="Times New Roman" w:hAnsi="Times New Roman"/>
          <w:sz w:val="24"/>
          <w:szCs w:val="24"/>
        </w:rPr>
        <w:t> milj.</w:t>
      </w:r>
      <w:r w:rsidRPr="000C6481">
        <w:rPr>
          <w:rFonts w:ascii="Times New Roman" w:hAnsi="Times New Roman"/>
          <w:sz w:val="24"/>
          <w:szCs w:val="24"/>
        </w:rPr>
        <w:t xml:space="preserve"> </w:t>
      </w:r>
      <w:proofErr w:type="spellStart"/>
      <w:r w:rsidRPr="000C6481">
        <w:rPr>
          <w:rFonts w:ascii="Times New Roman" w:hAnsi="Times New Roman"/>
          <w:i/>
          <w:sz w:val="24"/>
          <w:szCs w:val="24"/>
        </w:rPr>
        <w:t>euro</w:t>
      </w:r>
      <w:proofErr w:type="spellEnd"/>
      <w:r w:rsidRPr="000C6481">
        <w:rPr>
          <w:rFonts w:ascii="Times New Roman" w:hAnsi="Times New Roman"/>
          <w:sz w:val="24"/>
          <w:szCs w:val="24"/>
        </w:rPr>
        <w:t xml:space="preserve"> jeb 35</w:t>
      </w:r>
      <w:r>
        <w:rPr>
          <w:rFonts w:ascii="Times New Roman" w:hAnsi="Times New Roman"/>
          <w:sz w:val="24"/>
          <w:szCs w:val="24"/>
        </w:rPr>
        <w:t> %</w:t>
      </w:r>
      <w:r w:rsidRPr="000C6481">
        <w:rPr>
          <w:rFonts w:ascii="Times New Roman" w:hAnsi="Times New Roman"/>
          <w:sz w:val="24"/>
          <w:szCs w:val="24"/>
        </w:rPr>
        <w:t xml:space="preserve"> no</w:t>
      </w:r>
      <w:r>
        <w:rPr>
          <w:rFonts w:ascii="Times New Roman" w:hAnsi="Times New Roman"/>
          <w:sz w:val="24"/>
          <w:szCs w:val="24"/>
        </w:rPr>
        <w:t xml:space="preserve"> pieejamā finansējuma. Savukārt</w:t>
      </w:r>
      <w:r w:rsidRPr="000C6481">
        <w:rPr>
          <w:rFonts w:ascii="Times New Roman" w:hAnsi="Times New Roman"/>
          <w:sz w:val="24"/>
          <w:szCs w:val="24"/>
        </w:rPr>
        <w:t xml:space="preserve"> no iesniegtajiem projektiem ir apstiprināti 134 projekti ar kopējo vērtību 1</w:t>
      </w:r>
      <w:r>
        <w:rPr>
          <w:rFonts w:ascii="Times New Roman" w:hAnsi="Times New Roman"/>
          <w:sz w:val="24"/>
          <w:szCs w:val="24"/>
        </w:rPr>
        <w:t> </w:t>
      </w:r>
      <w:r w:rsidRPr="000C6481">
        <w:rPr>
          <w:rFonts w:ascii="Times New Roman" w:hAnsi="Times New Roman"/>
          <w:sz w:val="24"/>
          <w:szCs w:val="24"/>
        </w:rPr>
        <w:t>150,2</w:t>
      </w:r>
      <w:r>
        <w:rPr>
          <w:rFonts w:ascii="Times New Roman" w:hAnsi="Times New Roman"/>
          <w:sz w:val="24"/>
          <w:szCs w:val="24"/>
        </w:rPr>
        <w:t> milj.</w:t>
      </w:r>
      <w:r w:rsidRPr="000C6481">
        <w:rPr>
          <w:rFonts w:ascii="Times New Roman" w:hAnsi="Times New Roman"/>
          <w:sz w:val="24"/>
          <w:szCs w:val="24"/>
        </w:rPr>
        <w:t xml:space="preserve"> </w:t>
      </w:r>
      <w:proofErr w:type="spellStart"/>
      <w:r w:rsidRPr="000C6481">
        <w:rPr>
          <w:rFonts w:ascii="Times New Roman" w:hAnsi="Times New Roman"/>
          <w:i/>
          <w:sz w:val="24"/>
          <w:szCs w:val="24"/>
        </w:rPr>
        <w:t>euro</w:t>
      </w:r>
      <w:proofErr w:type="spellEnd"/>
      <w:r w:rsidRPr="000C6481">
        <w:rPr>
          <w:rFonts w:ascii="Times New Roman" w:hAnsi="Times New Roman"/>
          <w:sz w:val="24"/>
          <w:szCs w:val="24"/>
        </w:rPr>
        <w:t xml:space="preserve"> jeb 26</w:t>
      </w:r>
      <w:r>
        <w:rPr>
          <w:rFonts w:ascii="Times New Roman" w:hAnsi="Times New Roman"/>
          <w:sz w:val="24"/>
          <w:szCs w:val="24"/>
        </w:rPr>
        <w:t> %</w:t>
      </w:r>
      <w:r w:rsidRPr="000C6481">
        <w:rPr>
          <w:rFonts w:ascii="Times New Roman" w:hAnsi="Times New Roman"/>
          <w:sz w:val="24"/>
          <w:szCs w:val="24"/>
        </w:rPr>
        <w:t xml:space="preserve"> no pieejamā finansējuma. Līdz šim ES fondu projektos ir veikti maksājumi 177,7</w:t>
      </w:r>
      <w:r>
        <w:rPr>
          <w:rFonts w:ascii="Times New Roman" w:hAnsi="Times New Roman"/>
          <w:sz w:val="24"/>
          <w:szCs w:val="24"/>
        </w:rPr>
        <w:t> milj.</w:t>
      </w:r>
      <w:r w:rsidRPr="000C6481">
        <w:rPr>
          <w:rFonts w:ascii="Times New Roman" w:hAnsi="Times New Roman"/>
          <w:sz w:val="24"/>
          <w:szCs w:val="24"/>
        </w:rPr>
        <w:t xml:space="preserve"> </w:t>
      </w:r>
      <w:proofErr w:type="spellStart"/>
      <w:r w:rsidRPr="000C6481">
        <w:rPr>
          <w:rFonts w:ascii="Times New Roman" w:hAnsi="Times New Roman"/>
          <w:i/>
          <w:sz w:val="24"/>
          <w:szCs w:val="24"/>
        </w:rPr>
        <w:t>euro</w:t>
      </w:r>
      <w:proofErr w:type="spellEnd"/>
      <w:r w:rsidRPr="000C6481">
        <w:rPr>
          <w:rFonts w:ascii="Times New Roman" w:hAnsi="Times New Roman"/>
          <w:sz w:val="24"/>
          <w:szCs w:val="24"/>
        </w:rPr>
        <w:t xml:space="preserve"> apmērā jeb 4</w:t>
      </w:r>
      <w:r>
        <w:rPr>
          <w:rFonts w:ascii="Times New Roman" w:hAnsi="Times New Roman"/>
          <w:sz w:val="24"/>
          <w:szCs w:val="24"/>
        </w:rPr>
        <w:t> %</w:t>
      </w:r>
      <w:r w:rsidRPr="000C6481">
        <w:rPr>
          <w:rFonts w:ascii="Times New Roman" w:hAnsi="Times New Roman"/>
          <w:sz w:val="24"/>
          <w:szCs w:val="24"/>
        </w:rPr>
        <w:t xml:space="preserve"> no pieejamā finansējuma (skat. 6.</w:t>
      </w:r>
      <w:r>
        <w:rPr>
          <w:rFonts w:ascii="Times New Roman" w:hAnsi="Times New Roman"/>
          <w:sz w:val="24"/>
          <w:szCs w:val="24"/>
        </w:rPr>
        <w:t> </w:t>
      </w:r>
      <w:r w:rsidRPr="000C6481">
        <w:rPr>
          <w:rFonts w:ascii="Times New Roman" w:hAnsi="Times New Roman"/>
          <w:sz w:val="24"/>
          <w:szCs w:val="24"/>
        </w:rPr>
        <w:t xml:space="preserve">attēlu). </w:t>
      </w:r>
    </w:p>
    <w:p w14:paraId="7A0C4F75" w14:textId="77777777" w:rsidR="00BB7C5B" w:rsidRDefault="00BB7C5B" w:rsidP="00BB7C5B">
      <w:pPr>
        <w:spacing w:line="240" w:lineRule="auto"/>
        <w:jc w:val="right"/>
        <w:rPr>
          <w:rFonts w:ascii="Times New Roman" w:hAnsi="Times New Roman"/>
          <w:sz w:val="24"/>
          <w:szCs w:val="24"/>
        </w:rPr>
      </w:pPr>
    </w:p>
    <w:p w14:paraId="45513B2F" w14:textId="77777777" w:rsidR="00BB7C5B" w:rsidRDefault="00BB7C5B" w:rsidP="00BB7C5B">
      <w:pPr>
        <w:spacing w:line="240" w:lineRule="auto"/>
        <w:jc w:val="right"/>
        <w:rPr>
          <w:rFonts w:ascii="Times New Roman" w:hAnsi="Times New Roman"/>
          <w:sz w:val="24"/>
          <w:szCs w:val="24"/>
        </w:rPr>
      </w:pPr>
    </w:p>
    <w:p w14:paraId="58584154" w14:textId="77777777" w:rsidR="00BB7C5B" w:rsidRDefault="00BB7C5B" w:rsidP="00BB7C5B">
      <w:pPr>
        <w:spacing w:line="240" w:lineRule="auto"/>
        <w:jc w:val="right"/>
        <w:rPr>
          <w:rFonts w:ascii="Times New Roman" w:hAnsi="Times New Roman"/>
          <w:sz w:val="24"/>
          <w:szCs w:val="24"/>
        </w:rPr>
      </w:pPr>
    </w:p>
    <w:p w14:paraId="4CCF29C1" w14:textId="77777777" w:rsidR="00BB7C5B" w:rsidRDefault="00BB7C5B" w:rsidP="00BB7C5B">
      <w:pPr>
        <w:spacing w:line="240" w:lineRule="auto"/>
        <w:jc w:val="right"/>
        <w:rPr>
          <w:rFonts w:ascii="Times New Roman" w:hAnsi="Times New Roman"/>
          <w:sz w:val="24"/>
          <w:szCs w:val="24"/>
        </w:rPr>
      </w:pPr>
    </w:p>
    <w:p w14:paraId="42819CB7" w14:textId="77777777" w:rsidR="00BB7C5B" w:rsidRDefault="00BB7C5B" w:rsidP="00BB7C5B">
      <w:pPr>
        <w:spacing w:line="240" w:lineRule="auto"/>
        <w:jc w:val="right"/>
        <w:rPr>
          <w:rFonts w:ascii="Times New Roman" w:hAnsi="Times New Roman"/>
          <w:sz w:val="24"/>
          <w:szCs w:val="24"/>
        </w:rPr>
      </w:pPr>
    </w:p>
    <w:p w14:paraId="0165FCE3" w14:textId="77777777" w:rsidR="00BB7C5B" w:rsidRDefault="00BB7C5B" w:rsidP="00BB7C5B">
      <w:pPr>
        <w:spacing w:line="240" w:lineRule="auto"/>
        <w:jc w:val="right"/>
        <w:rPr>
          <w:rFonts w:ascii="Times New Roman" w:hAnsi="Times New Roman"/>
          <w:sz w:val="24"/>
          <w:szCs w:val="24"/>
        </w:rPr>
      </w:pPr>
    </w:p>
    <w:p w14:paraId="40A3533A" w14:textId="77777777" w:rsidR="00BB7C5B" w:rsidRDefault="00BB7C5B" w:rsidP="00BB7C5B">
      <w:pPr>
        <w:spacing w:line="240" w:lineRule="auto"/>
        <w:jc w:val="right"/>
        <w:rPr>
          <w:rFonts w:ascii="Times New Roman" w:hAnsi="Times New Roman"/>
          <w:sz w:val="24"/>
          <w:szCs w:val="24"/>
        </w:rPr>
      </w:pPr>
    </w:p>
    <w:p w14:paraId="54BCABD7" w14:textId="77777777" w:rsidR="00BB7C5B" w:rsidRDefault="00BB7C5B" w:rsidP="00BB7C5B">
      <w:pPr>
        <w:spacing w:line="240" w:lineRule="auto"/>
        <w:jc w:val="right"/>
        <w:rPr>
          <w:rFonts w:ascii="Times New Roman" w:hAnsi="Times New Roman"/>
          <w:sz w:val="24"/>
          <w:szCs w:val="24"/>
        </w:rPr>
      </w:pPr>
    </w:p>
    <w:p w14:paraId="65193F41" w14:textId="77777777" w:rsidR="00BB7C5B" w:rsidRDefault="00BB7C5B" w:rsidP="00BB7C5B">
      <w:pPr>
        <w:spacing w:line="240" w:lineRule="auto"/>
        <w:jc w:val="right"/>
        <w:rPr>
          <w:rFonts w:ascii="Times New Roman" w:hAnsi="Times New Roman"/>
          <w:sz w:val="24"/>
          <w:szCs w:val="24"/>
        </w:rPr>
      </w:pPr>
    </w:p>
    <w:p w14:paraId="149C8CE3" w14:textId="77777777" w:rsidR="00BB7C5B" w:rsidRDefault="00BB7C5B" w:rsidP="00BB7C5B">
      <w:pPr>
        <w:spacing w:line="240" w:lineRule="auto"/>
        <w:jc w:val="right"/>
        <w:rPr>
          <w:rFonts w:ascii="Times New Roman" w:hAnsi="Times New Roman"/>
          <w:sz w:val="24"/>
          <w:szCs w:val="24"/>
        </w:rPr>
      </w:pPr>
    </w:p>
    <w:p w14:paraId="54D5A5FF" w14:textId="77777777" w:rsidR="00BB7C5B" w:rsidRDefault="00BB7C5B" w:rsidP="00BB7C5B">
      <w:pPr>
        <w:spacing w:line="240" w:lineRule="auto"/>
        <w:jc w:val="right"/>
        <w:rPr>
          <w:rFonts w:ascii="Times New Roman" w:hAnsi="Times New Roman"/>
          <w:sz w:val="24"/>
          <w:szCs w:val="24"/>
        </w:rPr>
      </w:pPr>
    </w:p>
    <w:p w14:paraId="032EFEC2" w14:textId="77777777" w:rsidR="00BC6029" w:rsidRPr="000C6481" w:rsidRDefault="00BC6029" w:rsidP="00BB7C5B">
      <w:pPr>
        <w:spacing w:line="240" w:lineRule="auto"/>
        <w:jc w:val="right"/>
        <w:rPr>
          <w:rFonts w:ascii="Times New Roman" w:hAnsi="Times New Roman"/>
          <w:sz w:val="24"/>
          <w:szCs w:val="24"/>
        </w:rPr>
      </w:pPr>
      <w:r w:rsidRPr="000C6481">
        <w:rPr>
          <w:rFonts w:ascii="Times New Roman" w:hAnsi="Times New Roman"/>
          <w:sz w:val="24"/>
          <w:szCs w:val="24"/>
        </w:rPr>
        <w:lastRenderedPageBreak/>
        <w:t>6.</w:t>
      </w:r>
      <w:r>
        <w:rPr>
          <w:rFonts w:ascii="Times New Roman" w:hAnsi="Times New Roman"/>
          <w:sz w:val="24"/>
          <w:szCs w:val="24"/>
        </w:rPr>
        <w:t> </w:t>
      </w:r>
      <w:r w:rsidRPr="000C6481">
        <w:rPr>
          <w:rFonts w:ascii="Times New Roman" w:hAnsi="Times New Roman"/>
          <w:sz w:val="24"/>
          <w:szCs w:val="24"/>
        </w:rPr>
        <w:t>attēls</w:t>
      </w:r>
    </w:p>
    <w:p w14:paraId="3CF017A4" w14:textId="77777777" w:rsidR="00BC6029" w:rsidRPr="000C6481" w:rsidRDefault="00BC6029" w:rsidP="00BB7C5B">
      <w:pPr>
        <w:spacing w:after="0" w:line="240" w:lineRule="auto"/>
        <w:jc w:val="center"/>
        <w:rPr>
          <w:rFonts w:ascii="Times New Roman" w:hAnsi="Times New Roman"/>
          <w:b/>
          <w:sz w:val="24"/>
          <w:szCs w:val="24"/>
        </w:rPr>
      </w:pPr>
      <w:r w:rsidRPr="000C6481">
        <w:rPr>
          <w:rFonts w:ascii="Times New Roman" w:hAnsi="Times New Roman"/>
          <w:b/>
          <w:sz w:val="24"/>
          <w:szCs w:val="24"/>
        </w:rPr>
        <w:t>ES fondu investīciju uzsākšanas un ieviešanas statuss līdz 2016.</w:t>
      </w:r>
      <w:r>
        <w:rPr>
          <w:rFonts w:ascii="Times New Roman" w:hAnsi="Times New Roman"/>
          <w:b/>
          <w:sz w:val="24"/>
          <w:szCs w:val="24"/>
        </w:rPr>
        <w:t> </w:t>
      </w:r>
      <w:r w:rsidRPr="000C6481">
        <w:rPr>
          <w:rFonts w:ascii="Times New Roman" w:hAnsi="Times New Roman"/>
          <w:b/>
          <w:sz w:val="24"/>
          <w:szCs w:val="24"/>
        </w:rPr>
        <w:t>gada 1.</w:t>
      </w:r>
      <w:r>
        <w:rPr>
          <w:rFonts w:ascii="Times New Roman" w:hAnsi="Times New Roman"/>
          <w:b/>
          <w:sz w:val="24"/>
          <w:szCs w:val="24"/>
        </w:rPr>
        <w:t> </w:t>
      </w:r>
      <w:r w:rsidRPr="000C6481">
        <w:rPr>
          <w:rFonts w:ascii="Times New Roman" w:hAnsi="Times New Roman"/>
          <w:b/>
          <w:sz w:val="24"/>
          <w:szCs w:val="24"/>
        </w:rPr>
        <w:t>oktobrim</w:t>
      </w:r>
    </w:p>
    <w:p w14:paraId="61C7CD23" w14:textId="77777777" w:rsidR="00BC6029" w:rsidRPr="000C6481" w:rsidRDefault="00BC6029" w:rsidP="00BB7C5B">
      <w:pPr>
        <w:spacing w:after="0" w:line="240" w:lineRule="auto"/>
        <w:jc w:val="center"/>
        <w:rPr>
          <w:rFonts w:ascii="Times New Roman" w:hAnsi="Times New Roman"/>
          <w:sz w:val="24"/>
          <w:szCs w:val="24"/>
        </w:rPr>
      </w:pPr>
      <w:r>
        <w:rPr>
          <w:rFonts w:ascii="Times New Roman" w:hAnsi="Times New Roman"/>
          <w:b/>
          <w:sz w:val="24"/>
          <w:szCs w:val="24"/>
        </w:rPr>
        <w:t>milj.</w:t>
      </w:r>
      <w:r>
        <w:rPr>
          <w:rFonts w:ascii="Times New Roman" w:hAnsi="Times New Roman"/>
          <w:sz w:val="24"/>
          <w:szCs w:val="24"/>
        </w:rPr>
        <w:t xml:space="preserve"> </w:t>
      </w:r>
      <w:proofErr w:type="spellStart"/>
      <w:r w:rsidRPr="001E4800">
        <w:rPr>
          <w:rFonts w:ascii="Times New Roman" w:hAnsi="Times New Roman"/>
          <w:i/>
          <w:sz w:val="24"/>
          <w:szCs w:val="24"/>
        </w:rPr>
        <w:t>euro</w:t>
      </w:r>
      <w:proofErr w:type="spellEnd"/>
      <w:r>
        <w:rPr>
          <w:rFonts w:ascii="Times New Roman" w:hAnsi="Times New Roman"/>
          <w:sz w:val="24"/>
          <w:szCs w:val="24"/>
        </w:rPr>
        <w:t>, %</w:t>
      </w:r>
      <w:r w:rsidRPr="000C6481">
        <w:rPr>
          <w:rFonts w:ascii="Times New Roman" w:hAnsi="Times New Roman"/>
          <w:sz w:val="24"/>
          <w:szCs w:val="24"/>
        </w:rPr>
        <w:t xml:space="preserve"> no ES fondu finansējuma</w:t>
      </w:r>
    </w:p>
    <w:p w14:paraId="4915B166" w14:textId="77777777" w:rsidR="00BC6029" w:rsidRPr="000C6481" w:rsidRDefault="00BC6029" w:rsidP="00BC6029">
      <w:pPr>
        <w:spacing w:after="0" w:line="240" w:lineRule="auto"/>
        <w:jc w:val="center"/>
        <w:rPr>
          <w:rFonts w:ascii="Times New Roman" w:hAnsi="Times New Roman"/>
          <w:sz w:val="24"/>
          <w:szCs w:val="24"/>
        </w:rPr>
      </w:pPr>
      <w:r>
        <w:rPr>
          <w:noProof/>
          <w:sz w:val="24"/>
          <w:szCs w:val="24"/>
          <w:lang w:eastAsia="lv-LV"/>
        </w:rPr>
        <w:drawing>
          <wp:inline distT="0" distB="0" distL="0" distR="0" wp14:anchorId="370B298D" wp14:editId="1B3CF3B4">
            <wp:extent cx="4882101" cy="2750958"/>
            <wp:effectExtent l="0" t="0" r="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81021" cy="2750349"/>
                    </a:xfrm>
                    <a:prstGeom prst="rect">
                      <a:avLst/>
                    </a:prstGeom>
                    <a:noFill/>
                    <a:ln>
                      <a:noFill/>
                    </a:ln>
                  </pic:spPr>
                </pic:pic>
              </a:graphicData>
            </a:graphic>
          </wp:inline>
        </w:drawing>
      </w:r>
    </w:p>
    <w:p w14:paraId="60436F4B" w14:textId="77777777" w:rsidR="00BC6029" w:rsidRPr="00BB7C5B" w:rsidRDefault="00BC6029" w:rsidP="00BC6029">
      <w:pPr>
        <w:jc w:val="both"/>
        <w:rPr>
          <w:rFonts w:ascii="Times New Roman" w:hAnsi="Times New Roman"/>
          <w:sz w:val="20"/>
          <w:szCs w:val="20"/>
        </w:rPr>
      </w:pPr>
      <w:r w:rsidRPr="00BB7C5B">
        <w:rPr>
          <w:rFonts w:ascii="Times New Roman" w:hAnsi="Times New Roman"/>
          <w:sz w:val="20"/>
          <w:szCs w:val="20"/>
        </w:rPr>
        <w:t>Avots: FM Informatīvais ziņojums par Eiropas Savienības struktūrfondu un Kohēzijas fonda investīciju ieviešanas statusu; http://www.esfondi.lv/zinojumi-Ministru-kabinetam</w:t>
      </w:r>
    </w:p>
    <w:p w14:paraId="161176E7" w14:textId="0F1190CF" w:rsidR="00BC6029" w:rsidRPr="000C6481" w:rsidRDefault="00BC6029" w:rsidP="00BC6029">
      <w:pPr>
        <w:jc w:val="both"/>
        <w:rPr>
          <w:rFonts w:ascii="Times New Roman" w:hAnsi="Times New Roman"/>
          <w:sz w:val="24"/>
          <w:szCs w:val="24"/>
        </w:rPr>
      </w:pPr>
      <w:r w:rsidRPr="000C6481">
        <w:rPr>
          <w:rFonts w:ascii="Times New Roman" w:hAnsi="Times New Roman"/>
          <w:sz w:val="24"/>
          <w:szCs w:val="24"/>
        </w:rPr>
        <w:t>Neskatoties uz sasniegto ES fondu ieviešanas jomā, pašreiz kavējas 11</w:t>
      </w:r>
      <w:r>
        <w:rPr>
          <w:rFonts w:ascii="Times New Roman" w:hAnsi="Times New Roman"/>
          <w:sz w:val="24"/>
          <w:szCs w:val="24"/>
        </w:rPr>
        <w:t> </w:t>
      </w:r>
      <w:r w:rsidRPr="000C6481">
        <w:rPr>
          <w:rFonts w:ascii="Times New Roman" w:hAnsi="Times New Roman"/>
          <w:sz w:val="24"/>
          <w:szCs w:val="24"/>
        </w:rPr>
        <w:t>MK noteikumu apstiprināšana 366,9</w:t>
      </w:r>
      <w:r>
        <w:rPr>
          <w:rFonts w:ascii="Times New Roman" w:hAnsi="Times New Roman"/>
          <w:sz w:val="24"/>
          <w:szCs w:val="24"/>
        </w:rPr>
        <w:t> milj.</w:t>
      </w:r>
      <w:r w:rsidRPr="000C6481">
        <w:rPr>
          <w:rFonts w:ascii="Times New Roman" w:hAnsi="Times New Roman"/>
          <w:sz w:val="24"/>
          <w:szCs w:val="24"/>
        </w:rPr>
        <w:t xml:space="preserve"> </w:t>
      </w:r>
      <w:proofErr w:type="spellStart"/>
      <w:r w:rsidRPr="000C6481">
        <w:rPr>
          <w:rFonts w:ascii="Times New Roman" w:hAnsi="Times New Roman"/>
          <w:i/>
          <w:sz w:val="24"/>
          <w:szCs w:val="24"/>
        </w:rPr>
        <w:t>euro</w:t>
      </w:r>
      <w:proofErr w:type="spellEnd"/>
      <w:r w:rsidRPr="000C6481">
        <w:rPr>
          <w:rFonts w:ascii="Times New Roman" w:hAnsi="Times New Roman"/>
          <w:sz w:val="24"/>
          <w:szCs w:val="24"/>
        </w:rPr>
        <w:t xml:space="preserve"> apmērā specifisko atbalsta mērķu un pasākumu īstenošanai. Jāatzīmē, ka gandrīz puse no 366,9</w:t>
      </w:r>
      <w:r>
        <w:rPr>
          <w:rFonts w:ascii="Times New Roman" w:hAnsi="Times New Roman"/>
          <w:sz w:val="24"/>
          <w:szCs w:val="24"/>
        </w:rPr>
        <w:t> milj.</w:t>
      </w:r>
      <w:r w:rsidRPr="000C6481">
        <w:rPr>
          <w:rFonts w:ascii="Times New Roman" w:hAnsi="Times New Roman"/>
          <w:sz w:val="24"/>
          <w:szCs w:val="24"/>
        </w:rPr>
        <w:t xml:space="preserve"> </w:t>
      </w:r>
      <w:proofErr w:type="spellStart"/>
      <w:r w:rsidRPr="000C6481">
        <w:rPr>
          <w:rFonts w:ascii="Times New Roman" w:hAnsi="Times New Roman"/>
          <w:i/>
          <w:sz w:val="24"/>
          <w:szCs w:val="24"/>
        </w:rPr>
        <w:t>euro</w:t>
      </w:r>
      <w:proofErr w:type="spellEnd"/>
      <w:r w:rsidRPr="000C6481">
        <w:rPr>
          <w:rFonts w:ascii="Times New Roman" w:hAnsi="Times New Roman"/>
          <w:sz w:val="24"/>
          <w:szCs w:val="24"/>
        </w:rPr>
        <w:t xml:space="preserve"> kavēto MK noteikumu finanšu apmēra ir veselības infrastruktūras jomā. </w:t>
      </w:r>
    </w:p>
    <w:p w14:paraId="2D22831F" w14:textId="77777777" w:rsidR="00B80338" w:rsidRPr="00716B0D" w:rsidRDefault="00B80338" w:rsidP="00B80338">
      <w:pPr>
        <w:jc w:val="both"/>
        <w:rPr>
          <w:rFonts w:ascii="Times New Roman" w:hAnsi="Times New Roman" w:cs="Times New Roman"/>
          <w:color w:val="0070C0"/>
          <w:sz w:val="24"/>
          <w:szCs w:val="24"/>
        </w:rPr>
      </w:pPr>
    </w:p>
    <w:p w14:paraId="7524D454" w14:textId="159DCF46" w:rsidR="002A2864" w:rsidRPr="00716B0D" w:rsidRDefault="00A04B95" w:rsidP="002A2864">
      <w:pPr>
        <w:pStyle w:val="Heading1"/>
        <w:ind w:left="567" w:hanging="567"/>
        <w:rPr>
          <w:color w:val="0070C0"/>
        </w:rPr>
      </w:pPr>
      <w:bookmarkStart w:id="40" w:name="_Toc465349539"/>
      <w:bookmarkStart w:id="41" w:name="_Toc465089717"/>
      <w:bookmarkStart w:id="42" w:name="_Toc466466864"/>
      <w:r w:rsidRPr="00716B0D">
        <w:rPr>
          <w:color w:val="0070C0"/>
        </w:rPr>
        <w:t xml:space="preserve">Nodokļu </w:t>
      </w:r>
      <w:r w:rsidR="000F05D0" w:rsidRPr="00716B0D">
        <w:rPr>
          <w:color w:val="0070C0"/>
        </w:rPr>
        <w:t>sistēma</w:t>
      </w:r>
      <w:r w:rsidRPr="00716B0D">
        <w:rPr>
          <w:color w:val="0070C0"/>
        </w:rPr>
        <w:t xml:space="preserve"> un </w:t>
      </w:r>
      <w:r w:rsidR="00B236CB">
        <w:rPr>
          <w:color w:val="0070C0"/>
        </w:rPr>
        <w:t>ē</w:t>
      </w:r>
      <w:r w:rsidR="00042CAE" w:rsidRPr="00716B0D">
        <w:rPr>
          <w:color w:val="0070C0"/>
        </w:rPr>
        <w:t>nu ekonomika</w:t>
      </w:r>
      <w:bookmarkEnd w:id="40"/>
      <w:bookmarkEnd w:id="41"/>
      <w:r w:rsidR="00B552FA">
        <w:rPr>
          <w:color w:val="0070C0"/>
        </w:rPr>
        <w:t>s apkarošana</w:t>
      </w:r>
      <w:bookmarkEnd w:id="42"/>
    </w:p>
    <w:p w14:paraId="345C6CF0" w14:textId="77777777" w:rsidR="002C4F3F" w:rsidRPr="00716B0D" w:rsidRDefault="002C4F3F" w:rsidP="002C4F3F">
      <w:pPr>
        <w:rPr>
          <w:color w:val="0070C0"/>
        </w:rPr>
      </w:pPr>
    </w:p>
    <w:p w14:paraId="22A60460" w14:textId="77777777" w:rsidR="00BC6029" w:rsidRPr="000C6481" w:rsidRDefault="00BC6029" w:rsidP="00BC6029">
      <w:pPr>
        <w:jc w:val="both"/>
        <w:rPr>
          <w:rFonts w:ascii="Times New Roman" w:hAnsi="Times New Roman"/>
          <w:sz w:val="24"/>
          <w:szCs w:val="24"/>
        </w:rPr>
      </w:pPr>
      <w:bookmarkStart w:id="43" w:name="_Toc465349540"/>
      <w:bookmarkStart w:id="44" w:name="_Toc465089718"/>
      <w:r w:rsidRPr="000C6481">
        <w:rPr>
          <w:rFonts w:ascii="Times New Roman" w:hAnsi="Times New Roman"/>
          <w:sz w:val="24"/>
          <w:szCs w:val="24"/>
        </w:rPr>
        <w:t>Nodokļu sistēmas pilnveidošana un efektivitātes palielināšana ir svarīgs nosacījums ekonomikas transformācijai. Šobrīd notiek nodokļu sistēmas izvērtēšana, tās ietvaros tiek veikts Pasaules Bankas audits par Latvijas nodokļu sistēmu. Lai komersanti investētu jaunu, ienesīgāku produktu un pakalpojumu izstrādē, ir nepieciešama līdzsvarota un paredzama nodokļu politika</w:t>
      </w:r>
      <w:r>
        <w:rPr>
          <w:rFonts w:ascii="Times New Roman" w:hAnsi="Times New Roman"/>
          <w:sz w:val="24"/>
          <w:szCs w:val="24"/>
        </w:rPr>
        <w:t>.</w:t>
      </w:r>
      <w:r w:rsidRPr="000C6481">
        <w:rPr>
          <w:rFonts w:ascii="Times New Roman" w:hAnsi="Times New Roman"/>
          <w:sz w:val="24"/>
          <w:szCs w:val="24"/>
        </w:rPr>
        <w:t xml:space="preserve"> FM vadībā, pieaicinot iesaistītās puses, veikto pētījumu autorus un sociālos partnerus</w:t>
      </w:r>
      <w:r>
        <w:rPr>
          <w:rFonts w:ascii="Times New Roman" w:hAnsi="Times New Roman"/>
          <w:sz w:val="24"/>
          <w:szCs w:val="24"/>
        </w:rPr>
        <w:t>,</w:t>
      </w:r>
      <w:r w:rsidRPr="000C6481">
        <w:rPr>
          <w:rFonts w:ascii="Times New Roman" w:hAnsi="Times New Roman"/>
          <w:sz w:val="24"/>
          <w:szCs w:val="24"/>
        </w:rPr>
        <w:t xml:space="preserve"> ir uzsākt</w:t>
      </w:r>
      <w:r>
        <w:rPr>
          <w:rFonts w:ascii="Times New Roman" w:hAnsi="Times New Roman"/>
          <w:sz w:val="24"/>
          <w:szCs w:val="24"/>
        </w:rPr>
        <w:t>a</w:t>
      </w:r>
      <w:r w:rsidRPr="000C6481">
        <w:rPr>
          <w:rFonts w:ascii="Times New Roman" w:hAnsi="Times New Roman"/>
          <w:sz w:val="24"/>
          <w:szCs w:val="24"/>
        </w:rPr>
        <w:t xml:space="preserve"> vidēja termiņa nodokļu politikas veidošana. Ekonomikas konkurētspējas paaugstināšanai un sociālās nevienlīdzības mazināšanai nodokļu slogu no darbaspēka paredzēts pārnest uz ienākumu no kapitāla un kapitāla pieauguma, kā arī uz patēriņu, nekustamo īpašumu un dabas resursu izmantošanu.</w:t>
      </w:r>
    </w:p>
    <w:p w14:paraId="56029EE1" w14:textId="77777777" w:rsidR="00BC6029" w:rsidRPr="000C6481" w:rsidRDefault="00BC6029" w:rsidP="00BC6029">
      <w:pPr>
        <w:jc w:val="both"/>
        <w:rPr>
          <w:rFonts w:ascii="Times New Roman" w:hAnsi="Times New Roman"/>
          <w:sz w:val="24"/>
          <w:szCs w:val="24"/>
        </w:rPr>
      </w:pPr>
    </w:p>
    <w:p w14:paraId="129FBF34" w14:textId="505386CC" w:rsidR="00A04B95" w:rsidRPr="00716B0D" w:rsidRDefault="00E057ED" w:rsidP="00B02009">
      <w:pPr>
        <w:pStyle w:val="Heading2"/>
        <w:rPr>
          <w:color w:val="0070C0"/>
        </w:rPr>
      </w:pPr>
      <w:r>
        <w:rPr>
          <w:color w:val="0070C0"/>
        </w:rPr>
        <w:lastRenderedPageBreak/>
        <w:t> </w:t>
      </w:r>
      <w:bookmarkStart w:id="45" w:name="_Toc466466865"/>
      <w:r w:rsidR="00A04B95" w:rsidRPr="00716B0D">
        <w:rPr>
          <w:color w:val="0070C0"/>
        </w:rPr>
        <w:t>Ilgtspējīgas nodokļu sistēmas izveide</w:t>
      </w:r>
      <w:r w:rsidR="00B17B2D" w:rsidRPr="00716B0D">
        <w:rPr>
          <w:color w:val="0070C0"/>
        </w:rPr>
        <w:t xml:space="preserve"> un budžeta izdevumu optimizācija</w:t>
      </w:r>
      <w:bookmarkEnd w:id="43"/>
      <w:bookmarkEnd w:id="44"/>
      <w:bookmarkEnd w:id="45"/>
    </w:p>
    <w:p w14:paraId="6931694A" w14:textId="315EB03D" w:rsidR="00BC6029" w:rsidRPr="000C6481" w:rsidRDefault="00BC6029" w:rsidP="00BC6029">
      <w:pPr>
        <w:tabs>
          <w:tab w:val="left" w:pos="1701"/>
        </w:tabs>
        <w:jc w:val="both"/>
        <w:rPr>
          <w:rFonts w:ascii="Times New Roman" w:hAnsi="Times New Roman"/>
          <w:sz w:val="24"/>
          <w:szCs w:val="24"/>
        </w:rPr>
      </w:pPr>
      <w:bookmarkStart w:id="46" w:name="_Toc465349541"/>
      <w:bookmarkStart w:id="47" w:name="_Toc465089719"/>
      <w:r w:rsidRPr="000C6481">
        <w:rPr>
          <w:rFonts w:ascii="Times New Roman" w:hAnsi="Times New Roman"/>
          <w:sz w:val="24"/>
          <w:szCs w:val="24"/>
        </w:rPr>
        <w:t>2015. gadā nodokļu ieņēmumi sastādīja 28,8</w:t>
      </w:r>
      <w:r>
        <w:rPr>
          <w:rFonts w:ascii="Times New Roman" w:hAnsi="Times New Roman"/>
          <w:sz w:val="24"/>
          <w:szCs w:val="24"/>
        </w:rPr>
        <w:t> %</w:t>
      </w:r>
      <w:r w:rsidRPr="000C6481">
        <w:rPr>
          <w:rFonts w:ascii="Times New Roman" w:hAnsi="Times New Roman"/>
          <w:sz w:val="24"/>
          <w:szCs w:val="24"/>
        </w:rPr>
        <w:t xml:space="preserve"> no IKP, VID kopumā iekasēj</w:t>
      </w:r>
      <w:r>
        <w:rPr>
          <w:rFonts w:ascii="Times New Roman" w:hAnsi="Times New Roman"/>
          <w:sz w:val="24"/>
          <w:szCs w:val="24"/>
        </w:rPr>
        <w:t>a</w:t>
      </w:r>
      <w:r w:rsidRPr="000C6481">
        <w:rPr>
          <w:rFonts w:ascii="Times New Roman" w:hAnsi="Times New Roman"/>
          <w:sz w:val="24"/>
          <w:szCs w:val="24"/>
        </w:rPr>
        <w:t xml:space="preserve"> par 384,47</w:t>
      </w:r>
      <w:r>
        <w:rPr>
          <w:rFonts w:ascii="Times New Roman" w:hAnsi="Times New Roman"/>
          <w:sz w:val="24"/>
          <w:szCs w:val="24"/>
        </w:rPr>
        <w:t> milj.</w:t>
      </w:r>
      <w:r w:rsidRPr="000C6481">
        <w:rPr>
          <w:rFonts w:ascii="Times New Roman" w:hAnsi="Times New Roman"/>
          <w:sz w:val="24"/>
          <w:szCs w:val="24"/>
        </w:rPr>
        <w:t xml:space="preserve"> </w:t>
      </w:r>
      <w:proofErr w:type="spellStart"/>
      <w:r w:rsidRPr="000C6481">
        <w:rPr>
          <w:rFonts w:ascii="Times New Roman" w:hAnsi="Times New Roman"/>
          <w:i/>
          <w:sz w:val="24"/>
          <w:szCs w:val="24"/>
        </w:rPr>
        <w:t>euro</w:t>
      </w:r>
      <w:proofErr w:type="spellEnd"/>
      <w:r w:rsidRPr="000C6481">
        <w:rPr>
          <w:rFonts w:ascii="Times New Roman" w:hAnsi="Times New Roman"/>
          <w:sz w:val="24"/>
          <w:szCs w:val="24"/>
        </w:rPr>
        <w:t xml:space="preserve"> jeb 5,4</w:t>
      </w:r>
      <w:r>
        <w:rPr>
          <w:rFonts w:ascii="Times New Roman" w:hAnsi="Times New Roman"/>
          <w:sz w:val="24"/>
          <w:szCs w:val="24"/>
        </w:rPr>
        <w:t> %</w:t>
      </w:r>
      <w:r w:rsidRPr="000C6481">
        <w:rPr>
          <w:rFonts w:ascii="Times New Roman" w:hAnsi="Times New Roman"/>
          <w:sz w:val="24"/>
          <w:szCs w:val="24"/>
        </w:rPr>
        <w:t xml:space="preserve"> vairāk nekā 2014. gadā. </w:t>
      </w:r>
      <w:r>
        <w:rPr>
          <w:rFonts w:ascii="Times New Roman" w:hAnsi="Times New Roman"/>
          <w:sz w:val="24"/>
          <w:szCs w:val="24"/>
        </w:rPr>
        <w:t>Kaut arī</w:t>
      </w:r>
      <w:r w:rsidRPr="000C6481">
        <w:rPr>
          <w:rFonts w:ascii="Times New Roman" w:hAnsi="Times New Roman"/>
          <w:sz w:val="24"/>
          <w:szCs w:val="24"/>
        </w:rPr>
        <w:t xml:space="preserve"> tautsaimniecības izaugsme palēninās, VID administrēto kopbudžeta ieņēmumu plāns 2016. gada deviņiem </w:t>
      </w:r>
      <w:r>
        <w:rPr>
          <w:rFonts w:ascii="Times New Roman" w:hAnsi="Times New Roman"/>
          <w:sz w:val="24"/>
          <w:szCs w:val="24"/>
        </w:rPr>
        <w:t>mēnešiem ir izpildīts par 100,8 %</w:t>
      </w:r>
      <w:r w:rsidRPr="000C6481">
        <w:rPr>
          <w:rFonts w:ascii="Times New Roman" w:hAnsi="Times New Roman"/>
          <w:sz w:val="24"/>
          <w:szCs w:val="24"/>
        </w:rPr>
        <w:t xml:space="preserve"> jeb par 48,52</w:t>
      </w:r>
      <w:r>
        <w:rPr>
          <w:rFonts w:ascii="Times New Roman" w:hAnsi="Times New Roman"/>
          <w:sz w:val="24"/>
          <w:szCs w:val="24"/>
        </w:rPr>
        <w:t> milj.</w:t>
      </w:r>
      <w:r w:rsidRPr="000C6481">
        <w:rPr>
          <w:rFonts w:ascii="Times New Roman" w:hAnsi="Times New Roman"/>
          <w:sz w:val="24"/>
          <w:szCs w:val="24"/>
        </w:rPr>
        <w:t xml:space="preserve"> </w:t>
      </w:r>
      <w:proofErr w:type="spellStart"/>
      <w:r w:rsidRPr="000C6481">
        <w:rPr>
          <w:rFonts w:ascii="Times New Roman" w:hAnsi="Times New Roman"/>
          <w:i/>
          <w:sz w:val="24"/>
          <w:szCs w:val="24"/>
        </w:rPr>
        <w:t>euro</w:t>
      </w:r>
      <w:proofErr w:type="spellEnd"/>
      <w:r w:rsidRPr="000C6481">
        <w:rPr>
          <w:rFonts w:ascii="Times New Roman" w:hAnsi="Times New Roman"/>
          <w:sz w:val="24"/>
          <w:szCs w:val="24"/>
        </w:rPr>
        <w:t xml:space="preserve"> vairāk</w:t>
      </w:r>
      <w:r>
        <w:rPr>
          <w:rFonts w:ascii="Times New Roman" w:hAnsi="Times New Roman"/>
          <w:sz w:val="24"/>
          <w:szCs w:val="24"/>
        </w:rPr>
        <w:t>,</w:t>
      </w:r>
      <w:r w:rsidRPr="000C6481">
        <w:rPr>
          <w:rFonts w:ascii="Times New Roman" w:hAnsi="Times New Roman"/>
          <w:sz w:val="24"/>
          <w:szCs w:val="24"/>
        </w:rPr>
        <w:t xml:space="preserve"> nekā plānots. Salīdzinot ar 2015. gada deviņiem mēnešiem, i</w:t>
      </w:r>
      <w:r>
        <w:rPr>
          <w:rFonts w:ascii="Times New Roman" w:hAnsi="Times New Roman"/>
          <w:sz w:val="24"/>
          <w:szCs w:val="24"/>
        </w:rPr>
        <w:t>eņēmumi palielinājušies par 7,4 %</w:t>
      </w:r>
      <w:r w:rsidRPr="000C6481">
        <w:rPr>
          <w:rFonts w:ascii="Times New Roman" w:hAnsi="Times New Roman"/>
          <w:sz w:val="24"/>
          <w:szCs w:val="24"/>
        </w:rPr>
        <w:t xml:space="preserve">. </w:t>
      </w:r>
      <w:r>
        <w:rPr>
          <w:rFonts w:ascii="Times New Roman" w:hAnsi="Times New Roman"/>
          <w:sz w:val="24"/>
          <w:szCs w:val="24"/>
        </w:rPr>
        <w:t>Tomēr</w:t>
      </w:r>
      <w:r w:rsidRPr="000C6481">
        <w:rPr>
          <w:rFonts w:ascii="Times New Roman" w:hAnsi="Times New Roman"/>
          <w:sz w:val="24"/>
          <w:szCs w:val="24"/>
        </w:rPr>
        <w:t xml:space="preserve"> Latvija vēl joprojām būtiski atpaliek no ES vidējiem budžeta izdevumu rādītājiem gan kopējos valdības izdevumos pret IKP </w:t>
      </w:r>
      <w:r>
        <w:rPr>
          <w:rFonts w:ascii="Times New Roman" w:hAnsi="Times New Roman"/>
          <w:sz w:val="24"/>
          <w:szCs w:val="24"/>
        </w:rPr>
        <w:t>(</w:t>
      </w:r>
      <w:r w:rsidRPr="000C6481">
        <w:rPr>
          <w:rFonts w:ascii="Times New Roman" w:hAnsi="Times New Roman"/>
          <w:sz w:val="24"/>
          <w:szCs w:val="24"/>
        </w:rPr>
        <w:t>par 10,2 procentpunktiem</w:t>
      </w:r>
      <w:r>
        <w:rPr>
          <w:rFonts w:ascii="Times New Roman" w:hAnsi="Times New Roman"/>
          <w:sz w:val="24"/>
          <w:szCs w:val="24"/>
        </w:rPr>
        <w:t>)</w:t>
      </w:r>
      <w:r w:rsidRPr="000C6481">
        <w:rPr>
          <w:rFonts w:ascii="Times New Roman" w:hAnsi="Times New Roman"/>
          <w:sz w:val="24"/>
          <w:szCs w:val="24"/>
        </w:rPr>
        <w:t xml:space="preserve">, gan tādās būtiskās jomās kā veselības aprūpe </w:t>
      </w:r>
      <w:r>
        <w:rPr>
          <w:rFonts w:ascii="Times New Roman" w:hAnsi="Times New Roman"/>
          <w:sz w:val="24"/>
          <w:szCs w:val="24"/>
        </w:rPr>
        <w:t>(</w:t>
      </w:r>
      <w:r w:rsidRPr="000C6481">
        <w:rPr>
          <w:rFonts w:ascii="Times New Roman" w:hAnsi="Times New Roman"/>
          <w:sz w:val="24"/>
          <w:szCs w:val="24"/>
        </w:rPr>
        <w:t>par 3,4 procentpunktiem</w:t>
      </w:r>
      <w:r>
        <w:rPr>
          <w:rFonts w:ascii="Times New Roman" w:hAnsi="Times New Roman"/>
          <w:sz w:val="24"/>
          <w:szCs w:val="24"/>
        </w:rPr>
        <w:t>)</w:t>
      </w:r>
      <w:r w:rsidRPr="000C6481">
        <w:rPr>
          <w:rFonts w:ascii="Times New Roman" w:hAnsi="Times New Roman"/>
          <w:sz w:val="24"/>
          <w:szCs w:val="24"/>
        </w:rPr>
        <w:t xml:space="preserve"> un aizsardzība </w:t>
      </w:r>
      <w:r>
        <w:rPr>
          <w:rFonts w:ascii="Times New Roman" w:hAnsi="Times New Roman"/>
          <w:sz w:val="24"/>
          <w:szCs w:val="24"/>
        </w:rPr>
        <w:t>(</w:t>
      </w:r>
      <w:r w:rsidRPr="000C6481">
        <w:rPr>
          <w:rFonts w:ascii="Times New Roman" w:hAnsi="Times New Roman"/>
          <w:sz w:val="24"/>
          <w:szCs w:val="24"/>
        </w:rPr>
        <w:t>par 0,4</w:t>
      </w:r>
      <w:r>
        <w:rPr>
          <w:rFonts w:ascii="Times New Roman" w:hAnsi="Times New Roman"/>
          <w:sz w:val="24"/>
          <w:szCs w:val="24"/>
        </w:rPr>
        <w:t> </w:t>
      </w:r>
      <w:r w:rsidRPr="000C6481">
        <w:rPr>
          <w:rFonts w:ascii="Times New Roman" w:hAnsi="Times New Roman"/>
          <w:sz w:val="24"/>
          <w:szCs w:val="24"/>
        </w:rPr>
        <w:t>procentpunktiem</w:t>
      </w:r>
      <w:r>
        <w:rPr>
          <w:rFonts w:ascii="Times New Roman" w:hAnsi="Times New Roman"/>
          <w:sz w:val="24"/>
          <w:szCs w:val="24"/>
        </w:rPr>
        <w:t>)</w:t>
      </w:r>
      <w:r w:rsidRPr="000C6481">
        <w:rPr>
          <w:rFonts w:ascii="Times New Roman" w:hAnsi="Times New Roman"/>
          <w:sz w:val="24"/>
          <w:szCs w:val="24"/>
        </w:rPr>
        <w:t xml:space="preserve">. Lai nodrošinātu optimālu sabiedrisko pakalpojumu apjomu un kvalitāti, valdība definējusi mērķi </w:t>
      </w:r>
      <w:r>
        <w:rPr>
          <w:rFonts w:ascii="Times New Roman" w:hAnsi="Times New Roman"/>
          <w:sz w:val="24"/>
          <w:szCs w:val="24"/>
        </w:rPr>
        <w:t>ar</w:t>
      </w:r>
      <w:r w:rsidRPr="000C6481">
        <w:rPr>
          <w:rFonts w:ascii="Times New Roman" w:hAnsi="Times New Roman"/>
          <w:sz w:val="24"/>
          <w:szCs w:val="24"/>
        </w:rPr>
        <w:t xml:space="preserve"> līdzsvarotu un prognozējamu nodokļu politiku 2020. gadā sasniegt iekasēto nodokļu apjomu 33</w:t>
      </w:r>
      <w:r>
        <w:rPr>
          <w:rFonts w:ascii="Times New Roman" w:hAnsi="Times New Roman"/>
          <w:sz w:val="24"/>
          <w:szCs w:val="24"/>
        </w:rPr>
        <w:t> %</w:t>
      </w:r>
      <w:r w:rsidRPr="000C6481">
        <w:rPr>
          <w:rFonts w:ascii="Times New Roman" w:hAnsi="Times New Roman"/>
          <w:sz w:val="24"/>
          <w:szCs w:val="24"/>
        </w:rPr>
        <w:t xml:space="preserve"> apmērā no IKP. Nākamais gads būs izšķirošs nodokļu politikas jomā. Noslēgsies Valsts nodokļu politikas pamatnostādņu 2017.–2021. gadam un to ieviešanas plāna izstrāde un tiks uzsākts darbs pie nodokļu reformām. Minētais nozīmē </w:t>
      </w:r>
      <w:r w:rsidR="00D8162A">
        <w:rPr>
          <w:rFonts w:ascii="Times New Roman" w:hAnsi="Times New Roman"/>
          <w:sz w:val="24"/>
          <w:szCs w:val="24"/>
        </w:rPr>
        <w:t xml:space="preserve">smagnējas izšķiršanās </w:t>
      </w:r>
      <w:r w:rsidRPr="000C6481">
        <w:rPr>
          <w:rFonts w:ascii="Times New Roman" w:hAnsi="Times New Roman"/>
          <w:sz w:val="24"/>
          <w:szCs w:val="24"/>
        </w:rPr>
        <w:t>ceļ</w:t>
      </w:r>
      <w:r w:rsidR="00D8162A">
        <w:rPr>
          <w:rFonts w:ascii="Times New Roman" w:hAnsi="Times New Roman"/>
          <w:sz w:val="24"/>
          <w:szCs w:val="24"/>
        </w:rPr>
        <w:t>ā</w:t>
      </w:r>
      <w:r w:rsidRPr="000C6481">
        <w:rPr>
          <w:rFonts w:ascii="Times New Roman" w:hAnsi="Times New Roman"/>
          <w:sz w:val="24"/>
          <w:szCs w:val="24"/>
        </w:rPr>
        <w:t xml:space="preserve"> uz stabilu un prognozējamu nodokļu politiku, kas vērsta uz tautsaimniecības izaugsmi un iedzīvotāju labklājības celšanu, vienlaikus nodrošinot pietiekamus nodokļu ieņēmum</w:t>
      </w:r>
      <w:r w:rsidR="00B552FA">
        <w:rPr>
          <w:rFonts w:ascii="Times New Roman" w:hAnsi="Times New Roman"/>
          <w:sz w:val="24"/>
          <w:szCs w:val="24"/>
        </w:rPr>
        <w:t>us publisko pakalpojumu</w:t>
      </w:r>
      <w:r w:rsidRPr="000C6481">
        <w:rPr>
          <w:rFonts w:ascii="Times New Roman" w:hAnsi="Times New Roman"/>
          <w:sz w:val="24"/>
          <w:szCs w:val="24"/>
        </w:rPr>
        <w:t xml:space="preserve"> finansēšanai.</w:t>
      </w:r>
    </w:p>
    <w:p w14:paraId="27A11F2A" w14:textId="77777777" w:rsidR="00BC6029" w:rsidRPr="000C6481" w:rsidRDefault="00BC6029" w:rsidP="00BC6029">
      <w:pPr>
        <w:tabs>
          <w:tab w:val="left" w:pos="1701"/>
        </w:tabs>
        <w:jc w:val="both"/>
        <w:rPr>
          <w:rFonts w:ascii="Times New Roman" w:hAnsi="Times New Roman"/>
          <w:sz w:val="24"/>
          <w:szCs w:val="24"/>
        </w:rPr>
      </w:pPr>
      <w:r>
        <w:rPr>
          <w:rFonts w:ascii="Times New Roman" w:hAnsi="Times New Roman"/>
          <w:sz w:val="24"/>
          <w:szCs w:val="24"/>
        </w:rPr>
        <w:t>L</w:t>
      </w:r>
      <w:r w:rsidRPr="000C6481">
        <w:rPr>
          <w:rFonts w:ascii="Times New Roman" w:hAnsi="Times New Roman"/>
          <w:sz w:val="24"/>
          <w:szCs w:val="24"/>
        </w:rPr>
        <w:t>ai iespējami efektīvā</w:t>
      </w:r>
      <w:r>
        <w:rPr>
          <w:rFonts w:ascii="Times New Roman" w:hAnsi="Times New Roman"/>
          <w:sz w:val="24"/>
          <w:szCs w:val="24"/>
        </w:rPr>
        <w:t>k</w:t>
      </w:r>
      <w:r w:rsidRPr="000C6481">
        <w:rPr>
          <w:rFonts w:ascii="Times New Roman" w:hAnsi="Times New Roman"/>
          <w:sz w:val="24"/>
          <w:szCs w:val="24"/>
        </w:rPr>
        <w:t xml:space="preserve"> </w:t>
      </w:r>
      <w:r>
        <w:rPr>
          <w:rFonts w:ascii="Times New Roman" w:hAnsi="Times New Roman"/>
          <w:sz w:val="24"/>
          <w:szCs w:val="24"/>
        </w:rPr>
        <w:t>nodrošinātu</w:t>
      </w:r>
      <w:r w:rsidRPr="000C6481">
        <w:rPr>
          <w:rFonts w:ascii="Times New Roman" w:hAnsi="Times New Roman"/>
          <w:sz w:val="24"/>
          <w:szCs w:val="24"/>
        </w:rPr>
        <w:t xml:space="preserve"> arvien pieaugošās vajadzības pēc valsts budžeta finansējuma tādās nozarēs kā veselība, izglītība</w:t>
      </w:r>
      <w:r>
        <w:rPr>
          <w:rFonts w:ascii="Times New Roman" w:hAnsi="Times New Roman"/>
          <w:sz w:val="24"/>
          <w:szCs w:val="24"/>
        </w:rPr>
        <w:t>,</w:t>
      </w:r>
      <w:r w:rsidRPr="000C6481">
        <w:rPr>
          <w:rFonts w:ascii="Times New Roman" w:hAnsi="Times New Roman"/>
          <w:sz w:val="24"/>
          <w:szCs w:val="24"/>
        </w:rPr>
        <w:t xml:space="preserve"> iekšējā un ārējā drošība, viena no valdības prioritātēm ir budžeta programmu bāzes izdevumu pārskatīšana un sasaiste ar sabiedrībai sniegto pakalpojumu efektivitāti. </w:t>
      </w:r>
    </w:p>
    <w:p w14:paraId="6B355B95" w14:textId="77777777" w:rsidR="00BC6029" w:rsidRPr="000C6481" w:rsidRDefault="00BC6029" w:rsidP="00BC6029">
      <w:pPr>
        <w:tabs>
          <w:tab w:val="left" w:pos="1701"/>
        </w:tabs>
        <w:jc w:val="both"/>
        <w:rPr>
          <w:rFonts w:ascii="Times New Roman" w:hAnsi="Times New Roman"/>
          <w:sz w:val="24"/>
          <w:szCs w:val="24"/>
        </w:rPr>
      </w:pPr>
      <w:r w:rsidRPr="000C6481">
        <w:rPr>
          <w:rFonts w:ascii="Times New Roman" w:hAnsi="Times New Roman"/>
          <w:sz w:val="24"/>
          <w:szCs w:val="24"/>
        </w:rPr>
        <w:t>Jau šogad FM vadībā notika budžeta izdevumu pārskatīšana, kā rezultātā nozaru ministriju budžetos tika identificēts finansējums 2017. un 2018. gadā 61,3</w:t>
      </w:r>
      <w:r>
        <w:rPr>
          <w:rFonts w:ascii="Times New Roman" w:hAnsi="Times New Roman"/>
          <w:sz w:val="24"/>
          <w:szCs w:val="24"/>
        </w:rPr>
        <w:t> milj.</w:t>
      </w:r>
      <w:r w:rsidRPr="000C6481">
        <w:rPr>
          <w:rFonts w:ascii="Times New Roman" w:hAnsi="Times New Roman"/>
          <w:sz w:val="24"/>
          <w:szCs w:val="24"/>
        </w:rPr>
        <w:t xml:space="preserve"> </w:t>
      </w:r>
      <w:proofErr w:type="spellStart"/>
      <w:r w:rsidRPr="000C6481">
        <w:rPr>
          <w:rFonts w:ascii="Times New Roman" w:hAnsi="Times New Roman"/>
          <w:i/>
          <w:sz w:val="24"/>
          <w:szCs w:val="24"/>
        </w:rPr>
        <w:t>euro</w:t>
      </w:r>
      <w:proofErr w:type="spellEnd"/>
      <w:r w:rsidRPr="000C6481">
        <w:rPr>
          <w:rFonts w:ascii="Times New Roman" w:hAnsi="Times New Roman"/>
          <w:sz w:val="24"/>
          <w:szCs w:val="24"/>
        </w:rPr>
        <w:t xml:space="preserve"> apmērā ik gadu. Tāpat FM ieviesa </w:t>
      </w:r>
      <w:r>
        <w:rPr>
          <w:rFonts w:ascii="Times New Roman" w:hAnsi="Times New Roman"/>
          <w:sz w:val="24"/>
          <w:szCs w:val="24"/>
        </w:rPr>
        <w:t>p</w:t>
      </w:r>
      <w:r w:rsidRPr="000C6481">
        <w:rPr>
          <w:rFonts w:ascii="Times New Roman" w:hAnsi="Times New Roman"/>
          <w:sz w:val="24"/>
          <w:szCs w:val="24"/>
        </w:rPr>
        <w:t xml:space="preserve">olitikas un resursu vadības kartes valsts budžeta paskaidrojumu sagatavošanai par ministriju valsts pamatbudžeta līdzekļu pieprasījumu vidējam termiņam, </w:t>
      </w:r>
      <w:r>
        <w:rPr>
          <w:rFonts w:ascii="Times New Roman" w:hAnsi="Times New Roman"/>
          <w:sz w:val="24"/>
          <w:szCs w:val="24"/>
        </w:rPr>
        <w:t>lai</w:t>
      </w:r>
      <w:r w:rsidRPr="000C6481">
        <w:rPr>
          <w:rFonts w:ascii="Times New Roman" w:hAnsi="Times New Roman"/>
          <w:sz w:val="24"/>
          <w:szCs w:val="24"/>
        </w:rPr>
        <w:t xml:space="preserve"> </w:t>
      </w:r>
      <w:r>
        <w:rPr>
          <w:rFonts w:ascii="Times New Roman" w:hAnsi="Times New Roman"/>
          <w:sz w:val="24"/>
          <w:szCs w:val="24"/>
        </w:rPr>
        <w:t>iegūtu</w:t>
      </w:r>
      <w:r w:rsidRPr="000C6481">
        <w:rPr>
          <w:rFonts w:ascii="Times New Roman" w:hAnsi="Times New Roman"/>
          <w:sz w:val="24"/>
          <w:szCs w:val="24"/>
        </w:rPr>
        <w:t xml:space="preserve"> priekšstat</w:t>
      </w:r>
      <w:r>
        <w:rPr>
          <w:rFonts w:ascii="Times New Roman" w:hAnsi="Times New Roman"/>
          <w:sz w:val="24"/>
          <w:szCs w:val="24"/>
        </w:rPr>
        <w:t>u</w:t>
      </w:r>
      <w:r w:rsidRPr="000C6481">
        <w:rPr>
          <w:rFonts w:ascii="Times New Roman" w:hAnsi="Times New Roman"/>
          <w:sz w:val="24"/>
          <w:szCs w:val="24"/>
        </w:rPr>
        <w:t xml:space="preserve"> par nozaru politiku rezultātu sasniegšanā ieguldītajiem resursiem un nozar</w:t>
      </w:r>
      <w:r>
        <w:rPr>
          <w:rFonts w:ascii="Times New Roman" w:hAnsi="Times New Roman"/>
          <w:sz w:val="24"/>
          <w:szCs w:val="24"/>
        </w:rPr>
        <w:t>u</w:t>
      </w:r>
      <w:r w:rsidRPr="000C6481">
        <w:rPr>
          <w:rFonts w:ascii="Times New Roman" w:hAnsi="Times New Roman"/>
          <w:sz w:val="24"/>
          <w:szCs w:val="24"/>
        </w:rPr>
        <w:t xml:space="preserve"> darbības rezultātā sniegto labumu sabiedrībai. Stiprinot budžeta disciplīnu un atbildību par piešķirto līdzekļu izlietošanu, budžeta paskaidrojumos tiks </w:t>
      </w:r>
      <w:r>
        <w:rPr>
          <w:rFonts w:ascii="Times New Roman" w:hAnsi="Times New Roman"/>
          <w:sz w:val="24"/>
          <w:szCs w:val="24"/>
        </w:rPr>
        <w:t>stiprināta</w:t>
      </w:r>
      <w:r w:rsidRPr="000C6481">
        <w:rPr>
          <w:rFonts w:ascii="Times New Roman" w:hAnsi="Times New Roman"/>
          <w:sz w:val="24"/>
          <w:szCs w:val="24"/>
        </w:rPr>
        <w:t xml:space="preserve"> saikne starp papildu finansējuma piešķīrumiem un sagaidāmajiem darbības rezultātiem, turpmāk paredzot </w:t>
      </w:r>
      <w:r>
        <w:rPr>
          <w:rFonts w:ascii="Times New Roman" w:hAnsi="Times New Roman"/>
          <w:sz w:val="24"/>
          <w:szCs w:val="24"/>
        </w:rPr>
        <w:t>analizēt</w:t>
      </w:r>
      <w:r w:rsidRPr="000C6481">
        <w:rPr>
          <w:rFonts w:ascii="Times New Roman" w:hAnsi="Times New Roman"/>
          <w:sz w:val="24"/>
          <w:szCs w:val="24"/>
        </w:rPr>
        <w:t xml:space="preserve"> arī šo rādītāju izpild</w:t>
      </w:r>
      <w:r>
        <w:rPr>
          <w:rFonts w:ascii="Times New Roman" w:hAnsi="Times New Roman"/>
          <w:sz w:val="24"/>
          <w:szCs w:val="24"/>
        </w:rPr>
        <w:t>i</w:t>
      </w:r>
      <w:r w:rsidRPr="000C6481">
        <w:rPr>
          <w:rFonts w:ascii="Times New Roman" w:hAnsi="Times New Roman"/>
          <w:sz w:val="24"/>
          <w:szCs w:val="24"/>
        </w:rPr>
        <w:t xml:space="preserve">. </w:t>
      </w:r>
    </w:p>
    <w:p w14:paraId="79074E59" w14:textId="77777777" w:rsidR="00BC6029" w:rsidRPr="000C6481" w:rsidRDefault="00BC6029" w:rsidP="00BC6029">
      <w:pPr>
        <w:tabs>
          <w:tab w:val="left" w:pos="1701"/>
        </w:tabs>
        <w:jc w:val="both"/>
        <w:rPr>
          <w:rFonts w:ascii="Times New Roman" w:hAnsi="Times New Roman"/>
          <w:sz w:val="24"/>
          <w:szCs w:val="24"/>
        </w:rPr>
      </w:pPr>
      <w:r w:rsidRPr="000C6481">
        <w:rPr>
          <w:rFonts w:ascii="Times New Roman" w:hAnsi="Times New Roman"/>
          <w:sz w:val="24"/>
          <w:szCs w:val="24"/>
        </w:rPr>
        <w:t>2017. gadā turpināsies darbs</w:t>
      </w:r>
      <w:r>
        <w:rPr>
          <w:rFonts w:ascii="Times New Roman" w:hAnsi="Times New Roman"/>
          <w:sz w:val="24"/>
          <w:szCs w:val="24"/>
        </w:rPr>
        <w:t>, lai</w:t>
      </w:r>
      <w:r w:rsidRPr="000C6481">
        <w:rPr>
          <w:rFonts w:ascii="Times New Roman" w:hAnsi="Times New Roman"/>
          <w:sz w:val="24"/>
          <w:szCs w:val="24"/>
        </w:rPr>
        <w:t xml:space="preserve"> budžeta bāzes izdevumu</w:t>
      </w:r>
      <w:r>
        <w:rPr>
          <w:rFonts w:ascii="Times New Roman" w:hAnsi="Times New Roman"/>
          <w:sz w:val="24"/>
          <w:szCs w:val="24"/>
        </w:rPr>
        <w:t>s</w:t>
      </w:r>
      <w:r w:rsidRPr="000C6481">
        <w:rPr>
          <w:rFonts w:ascii="Times New Roman" w:hAnsi="Times New Roman"/>
          <w:sz w:val="24"/>
          <w:szCs w:val="24"/>
        </w:rPr>
        <w:t xml:space="preserve"> ciešāk sasaist</w:t>
      </w:r>
      <w:r>
        <w:rPr>
          <w:rFonts w:ascii="Times New Roman" w:hAnsi="Times New Roman"/>
          <w:sz w:val="24"/>
          <w:szCs w:val="24"/>
        </w:rPr>
        <w:t>ītu</w:t>
      </w:r>
      <w:r w:rsidRPr="000C6481">
        <w:rPr>
          <w:rFonts w:ascii="Times New Roman" w:hAnsi="Times New Roman"/>
          <w:sz w:val="24"/>
          <w:szCs w:val="24"/>
        </w:rPr>
        <w:t xml:space="preserve"> ar politikas plānošanas dokumentiem un </w:t>
      </w:r>
      <w:r>
        <w:rPr>
          <w:rFonts w:ascii="Times New Roman" w:hAnsi="Times New Roman"/>
          <w:sz w:val="24"/>
          <w:szCs w:val="24"/>
        </w:rPr>
        <w:t>piedāvātu</w:t>
      </w:r>
      <w:r w:rsidRPr="000C6481">
        <w:rPr>
          <w:rFonts w:ascii="Times New Roman" w:hAnsi="Times New Roman"/>
          <w:sz w:val="24"/>
          <w:szCs w:val="24"/>
        </w:rPr>
        <w:t xml:space="preserve"> risinājum</w:t>
      </w:r>
      <w:r>
        <w:rPr>
          <w:rFonts w:ascii="Times New Roman" w:hAnsi="Times New Roman"/>
          <w:sz w:val="24"/>
          <w:szCs w:val="24"/>
        </w:rPr>
        <w:t>us</w:t>
      </w:r>
      <w:r w:rsidRPr="000C6481">
        <w:rPr>
          <w:rFonts w:ascii="Times New Roman" w:hAnsi="Times New Roman"/>
          <w:sz w:val="24"/>
          <w:szCs w:val="24"/>
        </w:rPr>
        <w:t xml:space="preserve"> budžeta izdevumu efektivitātes un ekonomiskuma analīzei. </w:t>
      </w:r>
    </w:p>
    <w:p w14:paraId="2855A9D7" w14:textId="77777777" w:rsidR="00BC6029" w:rsidRPr="000C6481" w:rsidRDefault="00BC6029" w:rsidP="00BC6029">
      <w:pPr>
        <w:tabs>
          <w:tab w:val="left" w:pos="1701"/>
        </w:tabs>
        <w:jc w:val="both"/>
        <w:rPr>
          <w:rFonts w:ascii="Times New Roman" w:hAnsi="Times New Roman"/>
          <w:sz w:val="24"/>
          <w:szCs w:val="24"/>
        </w:rPr>
      </w:pPr>
    </w:p>
    <w:p w14:paraId="53C436B2" w14:textId="2F67160E" w:rsidR="00A04B95" w:rsidRPr="00716B0D" w:rsidRDefault="00E057ED" w:rsidP="00B02009">
      <w:pPr>
        <w:pStyle w:val="Heading2"/>
        <w:rPr>
          <w:color w:val="0070C0"/>
        </w:rPr>
      </w:pPr>
      <w:r>
        <w:rPr>
          <w:color w:val="0070C0"/>
        </w:rPr>
        <w:t> </w:t>
      </w:r>
      <w:bookmarkStart w:id="48" w:name="_Toc466466866"/>
      <w:r w:rsidR="00A04B95" w:rsidRPr="00716B0D">
        <w:rPr>
          <w:color w:val="0070C0"/>
        </w:rPr>
        <w:t xml:space="preserve">Ēnu ekonomikas un </w:t>
      </w:r>
      <w:r w:rsidR="00B17B2D" w:rsidRPr="00716B0D">
        <w:rPr>
          <w:color w:val="0070C0"/>
        </w:rPr>
        <w:t>ekonomisko noziegumu apkarošana</w:t>
      </w:r>
      <w:bookmarkEnd w:id="46"/>
      <w:bookmarkEnd w:id="47"/>
      <w:bookmarkEnd w:id="48"/>
    </w:p>
    <w:p w14:paraId="0A8B1D58" w14:textId="77777777" w:rsidR="00BC6029" w:rsidRPr="000C6481" w:rsidRDefault="00BC6029" w:rsidP="00BC6029">
      <w:pPr>
        <w:tabs>
          <w:tab w:val="left" w:pos="1701"/>
        </w:tabs>
        <w:jc w:val="both"/>
        <w:rPr>
          <w:rFonts w:ascii="Times New Roman" w:hAnsi="Times New Roman"/>
          <w:sz w:val="24"/>
          <w:szCs w:val="24"/>
        </w:rPr>
      </w:pPr>
      <w:bookmarkStart w:id="49" w:name="_Toc465349548"/>
      <w:bookmarkStart w:id="50" w:name="_Toc465089726"/>
      <w:bookmarkStart w:id="51" w:name="_Toc465349542"/>
      <w:bookmarkStart w:id="52" w:name="_Toc465089720"/>
      <w:r w:rsidRPr="000C6481">
        <w:rPr>
          <w:rFonts w:ascii="Times New Roman" w:hAnsi="Times New Roman"/>
          <w:sz w:val="24"/>
          <w:szCs w:val="24"/>
        </w:rPr>
        <w:t xml:space="preserve">Ēnu ekonomika vēl joprojām </w:t>
      </w:r>
      <w:r>
        <w:rPr>
          <w:rFonts w:ascii="Times New Roman" w:hAnsi="Times New Roman"/>
          <w:sz w:val="24"/>
          <w:szCs w:val="24"/>
        </w:rPr>
        <w:t>ir</w:t>
      </w:r>
      <w:r w:rsidRPr="000C6481">
        <w:rPr>
          <w:rFonts w:ascii="Times New Roman" w:hAnsi="Times New Roman"/>
          <w:sz w:val="24"/>
          <w:szCs w:val="24"/>
        </w:rPr>
        <w:t xml:space="preserve"> būtiska Latvijas tautsaimniecības problēma, un tās mazināšana ir viena no valdības prioritātēm, kas nodrošinās papildu budžeta </w:t>
      </w:r>
      <w:r w:rsidRPr="000C6481">
        <w:rPr>
          <w:rFonts w:ascii="Times New Roman" w:hAnsi="Times New Roman"/>
          <w:sz w:val="24"/>
          <w:szCs w:val="24"/>
        </w:rPr>
        <w:lastRenderedPageBreak/>
        <w:t xml:space="preserve">ieņēmumus viena procentpunkta apmērā ik gadu, ļaujot novirzīt papildu ieņēmumus izglītības, veselības un aizsardzības nozarēm. </w:t>
      </w:r>
    </w:p>
    <w:p w14:paraId="375CB996" w14:textId="30EC9D87" w:rsidR="00BB7C5B" w:rsidRPr="000C6481" w:rsidRDefault="00BC6029" w:rsidP="00BC6029">
      <w:pPr>
        <w:tabs>
          <w:tab w:val="left" w:pos="1701"/>
        </w:tabs>
        <w:jc w:val="both"/>
        <w:rPr>
          <w:rFonts w:ascii="Times New Roman" w:hAnsi="Times New Roman"/>
          <w:sz w:val="24"/>
          <w:szCs w:val="24"/>
        </w:rPr>
      </w:pPr>
      <w:r w:rsidRPr="000C6481">
        <w:rPr>
          <w:rFonts w:ascii="Times New Roman" w:hAnsi="Times New Roman"/>
          <w:sz w:val="24"/>
          <w:szCs w:val="24"/>
        </w:rPr>
        <w:t>2015. gadā ēnu ekonomika sastādīja 23,6</w:t>
      </w:r>
      <w:r>
        <w:rPr>
          <w:rFonts w:ascii="Times New Roman" w:hAnsi="Times New Roman"/>
          <w:sz w:val="24"/>
          <w:szCs w:val="24"/>
        </w:rPr>
        <w:t> %</w:t>
      </w:r>
      <w:r w:rsidRPr="000C6481">
        <w:rPr>
          <w:rFonts w:ascii="Times New Roman" w:hAnsi="Times New Roman"/>
          <w:sz w:val="24"/>
          <w:szCs w:val="24"/>
        </w:rPr>
        <w:t xml:space="preserve"> no IKP, kas iezīmēja kritumu ēnu ekonomikas indeksā par 0,9 procentpunktiem salīdzinājumā ar 2014. gadu. Kopumā ēnu ekonomikas apjoms Latvijā ir mērķtiecīgi samazinājies kopš 2011. gada (skat. 7.</w:t>
      </w:r>
      <w:r>
        <w:rPr>
          <w:rFonts w:ascii="Times New Roman" w:hAnsi="Times New Roman"/>
          <w:sz w:val="24"/>
          <w:szCs w:val="24"/>
        </w:rPr>
        <w:t> </w:t>
      </w:r>
      <w:r w:rsidRPr="000C6481">
        <w:rPr>
          <w:rFonts w:ascii="Times New Roman" w:hAnsi="Times New Roman"/>
          <w:sz w:val="24"/>
          <w:szCs w:val="24"/>
        </w:rPr>
        <w:t>attēlu).</w:t>
      </w:r>
    </w:p>
    <w:p w14:paraId="6AC2F89C" w14:textId="77777777" w:rsidR="00BC6029" w:rsidRPr="000C6481" w:rsidRDefault="00BC6029" w:rsidP="009E2AF1">
      <w:pPr>
        <w:tabs>
          <w:tab w:val="left" w:pos="1701"/>
        </w:tabs>
        <w:spacing w:line="240" w:lineRule="auto"/>
        <w:jc w:val="right"/>
        <w:rPr>
          <w:rFonts w:ascii="Times New Roman" w:hAnsi="Times New Roman"/>
          <w:sz w:val="24"/>
          <w:szCs w:val="24"/>
        </w:rPr>
      </w:pPr>
      <w:r w:rsidRPr="000C6481">
        <w:rPr>
          <w:rFonts w:ascii="Times New Roman" w:hAnsi="Times New Roman"/>
          <w:sz w:val="24"/>
          <w:szCs w:val="24"/>
        </w:rPr>
        <w:t>7.</w:t>
      </w:r>
      <w:r>
        <w:rPr>
          <w:rFonts w:ascii="Times New Roman" w:hAnsi="Times New Roman"/>
          <w:sz w:val="24"/>
          <w:szCs w:val="24"/>
        </w:rPr>
        <w:t> </w:t>
      </w:r>
      <w:r w:rsidRPr="000C6481">
        <w:rPr>
          <w:rFonts w:ascii="Times New Roman" w:hAnsi="Times New Roman"/>
          <w:sz w:val="24"/>
          <w:szCs w:val="24"/>
        </w:rPr>
        <w:t>attēls</w:t>
      </w:r>
    </w:p>
    <w:p w14:paraId="54C85D86" w14:textId="77777777" w:rsidR="00BC6029" w:rsidRPr="000C6481" w:rsidRDefault="00BC6029" w:rsidP="00BC6029">
      <w:pPr>
        <w:tabs>
          <w:tab w:val="left" w:pos="1701"/>
        </w:tabs>
        <w:spacing w:after="0" w:line="240" w:lineRule="auto"/>
        <w:jc w:val="center"/>
        <w:rPr>
          <w:rFonts w:ascii="Times New Roman" w:hAnsi="Times New Roman"/>
          <w:b/>
          <w:sz w:val="24"/>
          <w:szCs w:val="24"/>
        </w:rPr>
      </w:pPr>
      <w:r w:rsidRPr="000C6481">
        <w:rPr>
          <w:rFonts w:ascii="Times New Roman" w:hAnsi="Times New Roman"/>
          <w:b/>
          <w:sz w:val="24"/>
          <w:szCs w:val="24"/>
        </w:rPr>
        <w:t>Ēnu ekonomikas apjoms Latvijā</w:t>
      </w:r>
    </w:p>
    <w:p w14:paraId="25B8CA41" w14:textId="77777777" w:rsidR="00BC6029" w:rsidRPr="009E2AF1" w:rsidRDefault="00BC6029" w:rsidP="00BC6029">
      <w:pPr>
        <w:tabs>
          <w:tab w:val="left" w:pos="1701"/>
        </w:tabs>
        <w:spacing w:after="0" w:line="240" w:lineRule="auto"/>
        <w:jc w:val="center"/>
        <w:rPr>
          <w:rFonts w:ascii="Times New Roman" w:hAnsi="Times New Roman"/>
          <w:sz w:val="20"/>
          <w:szCs w:val="20"/>
        </w:rPr>
      </w:pPr>
      <w:r w:rsidRPr="009E2AF1">
        <w:rPr>
          <w:rFonts w:ascii="Times New Roman" w:hAnsi="Times New Roman"/>
          <w:sz w:val="20"/>
          <w:szCs w:val="20"/>
        </w:rPr>
        <w:t>% no IKP</w:t>
      </w:r>
    </w:p>
    <w:p w14:paraId="3D33DAA8" w14:textId="77777777" w:rsidR="00BC6029" w:rsidRDefault="00BC6029" w:rsidP="009E2AF1">
      <w:pPr>
        <w:tabs>
          <w:tab w:val="left" w:pos="1701"/>
        </w:tabs>
        <w:spacing w:after="0" w:line="240" w:lineRule="auto"/>
        <w:jc w:val="center"/>
        <w:rPr>
          <w:rFonts w:ascii="Times New Roman" w:hAnsi="Times New Roman"/>
          <w:sz w:val="24"/>
          <w:szCs w:val="24"/>
        </w:rPr>
      </w:pPr>
      <w:r>
        <w:rPr>
          <w:noProof/>
          <w:sz w:val="24"/>
          <w:szCs w:val="24"/>
          <w:lang w:eastAsia="lv-LV"/>
        </w:rPr>
        <w:drawing>
          <wp:inline distT="0" distB="0" distL="0" distR="0" wp14:anchorId="7DB6BAEB" wp14:editId="662DD1F7">
            <wp:extent cx="5181600" cy="2990850"/>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147EF6C" w14:textId="094344D4" w:rsidR="009E2AF1" w:rsidRPr="009E2AF1" w:rsidRDefault="009E2AF1" w:rsidP="009E2AF1">
      <w:pPr>
        <w:tabs>
          <w:tab w:val="left" w:pos="1701"/>
        </w:tabs>
        <w:jc w:val="both"/>
        <w:rPr>
          <w:rFonts w:ascii="Times New Roman" w:hAnsi="Times New Roman"/>
          <w:sz w:val="20"/>
          <w:szCs w:val="20"/>
        </w:rPr>
      </w:pPr>
      <w:r w:rsidRPr="009E2AF1">
        <w:rPr>
          <w:rFonts w:ascii="Times New Roman" w:hAnsi="Times New Roman"/>
          <w:sz w:val="20"/>
          <w:szCs w:val="20"/>
        </w:rPr>
        <w:t xml:space="preserve">Avots: </w:t>
      </w:r>
      <w:proofErr w:type="spellStart"/>
      <w:r w:rsidRPr="009E2AF1">
        <w:rPr>
          <w:rFonts w:ascii="Times New Roman" w:hAnsi="Times New Roman"/>
          <w:sz w:val="20"/>
          <w:szCs w:val="20"/>
        </w:rPr>
        <w:t>Dr.h.c.mult</w:t>
      </w:r>
      <w:proofErr w:type="spellEnd"/>
      <w:r w:rsidRPr="009E2AF1">
        <w:rPr>
          <w:rFonts w:ascii="Times New Roman" w:hAnsi="Times New Roman"/>
          <w:sz w:val="20"/>
          <w:szCs w:val="20"/>
        </w:rPr>
        <w:t xml:space="preserve">. </w:t>
      </w:r>
      <w:proofErr w:type="spellStart"/>
      <w:r w:rsidRPr="009E2AF1">
        <w:rPr>
          <w:rFonts w:ascii="Times New Roman" w:hAnsi="Times New Roman"/>
          <w:sz w:val="20"/>
          <w:szCs w:val="20"/>
        </w:rPr>
        <w:t>F.Schneider</w:t>
      </w:r>
      <w:proofErr w:type="spellEnd"/>
      <w:r w:rsidRPr="009E2AF1">
        <w:rPr>
          <w:rFonts w:ascii="Times New Roman" w:hAnsi="Times New Roman"/>
          <w:sz w:val="20"/>
          <w:szCs w:val="20"/>
        </w:rPr>
        <w:t xml:space="preserve"> "</w:t>
      </w:r>
      <w:proofErr w:type="spellStart"/>
      <w:r w:rsidRPr="009E2AF1">
        <w:rPr>
          <w:rFonts w:ascii="Times New Roman" w:hAnsi="Times New Roman"/>
          <w:sz w:val="20"/>
          <w:szCs w:val="20"/>
        </w:rPr>
        <w:t>Size</w:t>
      </w:r>
      <w:proofErr w:type="spellEnd"/>
      <w:r w:rsidRPr="009E2AF1">
        <w:rPr>
          <w:rFonts w:ascii="Times New Roman" w:hAnsi="Times New Roman"/>
          <w:sz w:val="20"/>
          <w:szCs w:val="20"/>
        </w:rPr>
        <w:t xml:space="preserve"> </w:t>
      </w:r>
      <w:proofErr w:type="spellStart"/>
      <w:r w:rsidRPr="009E2AF1">
        <w:rPr>
          <w:rFonts w:ascii="Times New Roman" w:hAnsi="Times New Roman"/>
          <w:sz w:val="20"/>
          <w:szCs w:val="20"/>
        </w:rPr>
        <w:t>and</w:t>
      </w:r>
      <w:proofErr w:type="spellEnd"/>
      <w:r w:rsidRPr="009E2AF1">
        <w:rPr>
          <w:rFonts w:ascii="Times New Roman" w:hAnsi="Times New Roman"/>
          <w:sz w:val="20"/>
          <w:szCs w:val="20"/>
        </w:rPr>
        <w:t xml:space="preserve"> </w:t>
      </w:r>
      <w:proofErr w:type="spellStart"/>
      <w:r w:rsidRPr="009E2AF1">
        <w:rPr>
          <w:rFonts w:ascii="Times New Roman" w:hAnsi="Times New Roman"/>
          <w:sz w:val="20"/>
          <w:szCs w:val="20"/>
        </w:rPr>
        <w:t>Development</w:t>
      </w:r>
      <w:proofErr w:type="spellEnd"/>
      <w:r w:rsidRPr="009E2AF1">
        <w:rPr>
          <w:rFonts w:ascii="Times New Roman" w:hAnsi="Times New Roman"/>
          <w:sz w:val="20"/>
          <w:szCs w:val="20"/>
        </w:rPr>
        <w:t xml:space="preserve"> </w:t>
      </w:r>
      <w:proofErr w:type="spellStart"/>
      <w:r w:rsidRPr="009E2AF1">
        <w:rPr>
          <w:rFonts w:ascii="Times New Roman" w:hAnsi="Times New Roman"/>
          <w:sz w:val="20"/>
          <w:szCs w:val="20"/>
        </w:rPr>
        <w:t>of</w:t>
      </w:r>
      <w:proofErr w:type="spellEnd"/>
      <w:r w:rsidRPr="009E2AF1">
        <w:rPr>
          <w:rFonts w:ascii="Times New Roman" w:hAnsi="Times New Roman"/>
          <w:sz w:val="20"/>
          <w:szCs w:val="20"/>
        </w:rPr>
        <w:t xml:space="preserve"> </w:t>
      </w:r>
      <w:proofErr w:type="spellStart"/>
      <w:r w:rsidRPr="009E2AF1">
        <w:rPr>
          <w:rFonts w:ascii="Times New Roman" w:hAnsi="Times New Roman"/>
          <w:sz w:val="20"/>
          <w:szCs w:val="20"/>
        </w:rPr>
        <w:t>the</w:t>
      </w:r>
      <w:proofErr w:type="spellEnd"/>
      <w:r w:rsidRPr="009E2AF1">
        <w:rPr>
          <w:rFonts w:ascii="Times New Roman" w:hAnsi="Times New Roman"/>
          <w:sz w:val="20"/>
          <w:szCs w:val="20"/>
        </w:rPr>
        <w:t xml:space="preserve"> </w:t>
      </w:r>
      <w:proofErr w:type="spellStart"/>
      <w:r w:rsidRPr="009E2AF1">
        <w:rPr>
          <w:rFonts w:ascii="Times New Roman" w:hAnsi="Times New Roman"/>
          <w:sz w:val="20"/>
          <w:szCs w:val="20"/>
        </w:rPr>
        <w:t>Shadow</w:t>
      </w:r>
      <w:proofErr w:type="spellEnd"/>
      <w:r w:rsidRPr="009E2AF1">
        <w:rPr>
          <w:rFonts w:ascii="Times New Roman" w:hAnsi="Times New Roman"/>
          <w:sz w:val="20"/>
          <w:szCs w:val="20"/>
        </w:rPr>
        <w:t xml:space="preserve"> </w:t>
      </w:r>
      <w:proofErr w:type="spellStart"/>
      <w:r w:rsidRPr="009E2AF1">
        <w:rPr>
          <w:rFonts w:ascii="Times New Roman" w:hAnsi="Times New Roman"/>
          <w:sz w:val="20"/>
          <w:szCs w:val="20"/>
        </w:rPr>
        <w:t>Economy</w:t>
      </w:r>
      <w:proofErr w:type="spellEnd"/>
      <w:r w:rsidRPr="009E2AF1">
        <w:rPr>
          <w:rFonts w:ascii="Times New Roman" w:hAnsi="Times New Roman"/>
          <w:sz w:val="20"/>
          <w:szCs w:val="20"/>
        </w:rPr>
        <w:t xml:space="preserve"> </w:t>
      </w:r>
      <w:proofErr w:type="spellStart"/>
      <w:r w:rsidRPr="009E2AF1">
        <w:rPr>
          <w:rFonts w:ascii="Times New Roman" w:hAnsi="Times New Roman"/>
          <w:sz w:val="20"/>
          <w:szCs w:val="20"/>
        </w:rPr>
        <w:t>of</w:t>
      </w:r>
      <w:proofErr w:type="spellEnd"/>
      <w:r w:rsidRPr="009E2AF1">
        <w:rPr>
          <w:rFonts w:ascii="Times New Roman" w:hAnsi="Times New Roman"/>
          <w:sz w:val="20"/>
          <w:szCs w:val="20"/>
        </w:rPr>
        <w:t xml:space="preserve"> 31 </w:t>
      </w:r>
      <w:proofErr w:type="spellStart"/>
      <w:r w:rsidRPr="009E2AF1">
        <w:rPr>
          <w:rFonts w:ascii="Times New Roman" w:hAnsi="Times New Roman"/>
          <w:sz w:val="20"/>
          <w:szCs w:val="20"/>
        </w:rPr>
        <w:t>European</w:t>
      </w:r>
      <w:proofErr w:type="spellEnd"/>
      <w:r w:rsidRPr="009E2AF1">
        <w:rPr>
          <w:rFonts w:ascii="Times New Roman" w:hAnsi="Times New Roman"/>
          <w:sz w:val="20"/>
          <w:szCs w:val="20"/>
        </w:rPr>
        <w:t xml:space="preserve"> </w:t>
      </w:r>
      <w:proofErr w:type="spellStart"/>
      <w:r w:rsidRPr="009E2AF1">
        <w:rPr>
          <w:rFonts w:ascii="Times New Roman" w:hAnsi="Times New Roman"/>
          <w:sz w:val="20"/>
          <w:szCs w:val="20"/>
        </w:rPr>
        <w:t>and</w:t>
      </w:r>
      <w:proofErr w:type="spellEnd"/>
      <w:r w:rsidRPr="009E2AF1">
        <w:rPr>
          <w:rFonts w:ascii="Times New Roman" w:hAnsi="Times New Roman"/>
          <w:sz w:val="20"/>
          <w:szCs w:val="20"/>
        </w:rPr>
        <w:t xml:space="preserve"> 5 </w:t>
      </w:r>
      <w:proofErr w:type="spellStart"/>
      <w:r w:rsidRPr="009E2AF1">
        <w:rPr>
          <w:rFonts w:ascii="Times New Roman" w:hAnsi="Times New Roman"/>
          <w:sz w:val="20"/>
          <w:szCs w:val="20"/>
        </w:rPr>
        <w:t>other</w:t>
      </w:r>
      <w:proofErr w:type="spellEnd"/>
      <w:r w:rsidRPr="009E2AF1">
        <w:rPr>
          <w:rFonts w:ascii="Times New Roman" w:hAnsi="Times New Roman"/>
          <w:sz w:val="20"/>
          <w:szCs w:val="20"/>
        </w:rPr>
        <w:t xml:space="preserve"> OECD </w:t>
      </w:r>
      <w:proofErr w:type="spellStart"/>
      <w:r w:rsidRPr="009E2AF1">
        <w:rPr>
          <w:rFonts w:ascii="Times New Roman" w:hAnsi="Times New Roman"/>
          <w:sz w:val="20"/>
          <w:szCs w:val="20"/>
        </w:rPr>
        <w:t>Countries</w:t>
      </w:r>
      <w:proofErr w:type="spellEnd"/>
      <w:r w:rsidRPr="009E2AF1">
        <w:rPr>
          <w:rFonts w:ascii="Times New Roman" w:hAnsi="Times New Roman"/>
          <w:sz w:val="20"/>
          <w:szCs w:val="20"/>
        </w:rPr>
        <w:t xml:space="preserve"> </w:t>
      </w:r>
      <w:proofErr w:type="spellStart"/>
      <w:r w:rsidRPr="009E2AF1">
        <w:rPr>
          <w:rFonts w:ascii="Times New Roman" w:hAnsi="Times New Roman"/>
          <w:sz w:val="20"/>
          <w:szCs w:val="20"/>
        </w:rPr>
        <w:t>from</w:t>
      </w:r>
      <w:proofErr w:type="spellEnd"/>
      <w:r w:rsidRPr="009E2AF1">
        <w:rPr>
          <w:rFonts w:ascii="Times New Roman" w:hAnsi="Times New Roman"/>
          <w:sz w:val="20"/>
          <w:szCs w:val="20"/>
        </w:rPr>
        <w:t xml:space="preserve"> 2003 to 2015: </w:t>
      </w:r>
      <w:proofErr w:type="spellStart"/>
      <w:r w:rsidRPr="009E2AF1">
        <w:rPr>
          <w:rFonts w:ascii="Times New Roman" w:hAnsi="Times New Roman"/>
          <w:sz w:val="20"/>
          <w:szCs w:val="20"/>
        </w:rPr>
        <w:t>Different</w:t>
      </w:r>
      <w:proofErr w:type="spellEnd"/>
      <w:r w:rsidRPr="009E2AF1">
        <w:rPr>
          <w:rFonts w:ascii="Times New Roman" w:hAnsi="Times New Roman"/>
          <w:sz w:val="20"/>
          <w:szCs w:val="20"/>
        </w:rPr>
        <w:t xml:space="preserve"> </w:t>
      </w:r>
      <w:proofErr w:type="spellStart"/>
      <w:r w:rsidRPr="009E2AF1">
        <w:rPr>
          <w:rFonts w:ascii="Times New Roman" w:hAnsi="Times New Roman"/>
          <w:sz w:val="20"/>
          <w:szCs w:val="20"/>
        </w:rPr>
        <w:t>Developments</w:t>
      </w:r>
      <w:proofErr w:type="spellEnd"/>
      <w:r w:rsidRPr="009E2AF1">
        <w:rPr>
          <w:rFonts w:ascii="Times New Roman" w:hAnsi="Times New Roman"/>
          <w:sz w:val="20"/>
          <w:szCs w:val="20"/>
        </w:rPr>
        <w:t>"</w:t>
      </w:r>
    </w:p>
    <w:p w14:paraId="09583DF8" w14:textId="77777777" w:rsidR="00BC6029" w:rsidRPr="000C6481" w:rsidRDefault="00BC6029" w:rsidP="00BC6029">
      <w:pPr>
        <w:tabs>
          <w:tab w:val="left" w:pos="1701"/>
        </w:tabs>
        <w:jc w:val="both"/>
        <w:rPr>
          <w:rFonts w:ascii="Times New Roman" w:hAnsi="Times New Roman"/>
          <w:sz w:val="24"/>
          <w:szCs w:val="24"/>
        </w:rPr>
      </w:pPr>
      <w:r w:rsidRPr="000C6481">
        <w:rPr>
          <w:rFonts w:ascii="Times New Roman" w:hAnsi="Times New Roman"/>
          <w:sz w:val="24"/>
          <w:szCs w:val="24"/>
        </w:rPr>
        <w:t xml:space="preserve">Ņemot vērā minēto, jau 2016. gadā ir veikti būtiski soļi ēnu ekonomikas mazināšanai. Šogad tika apstiprināts Valsts iestāžu darba plāns ēnu ekonomikas ierobežošanai 2016.–2020. gadam un ir uzsākta tā īstenošana. </w:t>
      </w:r>
    </w:p>
    <w:p w14:paraId="194E0BE4" w14:textId="77777777" w:rsidR="00BC6029" w:rsidRPr="000C6481" w:rsidRDefault="00BC6029" w:rsidP="00BC6029">
      <w:pPr>
        <w:tabs>
          <w:tab w:val="left" w:pos="1701"/>
        </w:tabs>
        <w:jc w:val="both"/>
        <w:rPr>
          <w:rFonts w:ascii="Times New Roman" w:hAnsi="Times New Roman"/>
          <w:sz w:val="24"/>
          <w:szCs w:val="24"/>
        </w:rPr>
      </w:pPr>
      <w:r w:rsidRPr="000C6481">
        <w:rPr>
          <w:rFonts w:ascii="Times New Roman" w:hAnsi="Times New Roman"/>
          <w:sz w:val="24"/>
          <w:szCs w:val="24"/>
        </w:rPr>
        <w:t>Attiecībā uz ēnu ekonomika</w:t>
      </w:r>
      <w:r>
        <w:rPr>
          <w:rFonts w:ascii="Times New Roman" w:hAnsi="Times New Roman"/>
          <w:sz w:val="24"/>
          <w:szCs w:val="24"/>
        </w:rPr>
        <w:t>s rādītājiem būvniecības nozarē</w:t>
      </w:r>
      <w:r w:rsidRPr="000C6481">
        <w:rPr>
          <w:rFonts w:ascii="Times New Roman" w:hAnsi="Times New Roman"/>
          <w:sz w:val="24"/>
          <w:szCs w:val="24"/>
        </w:rPr>
        <w:t xml:space="preserve"> ir izstrādāts risinājums, kas paredz noteikt pienākumu galvenajam būvdarbu veicējam aprēķināt un maksāt atbildības nodrošinājumu par katru apakšuzņēmēja darba ņēmēju, kas pakļauts sociālajai apdrošināšanai Latvijā un kas nodarbināts galvenā būvdarbu veicēja būvobjektā būvdarbu līguma izpildē. Papildus arī notiek darbs pie iespējas noslēgt ģenerālvienošanos būvniecības jomā. </w:t>
      </w:r>
    </w:p>
    <w:p w14:paraId="622AF787" w14:textId="2F10EDF5" w:rsidR="00BC6029" w:rsidRPr="000C6481" w:rsidRDefault="00BC6029" w:rsidP="00BC6029">
      <w:pPr>
        <w:tabs>
          <w:tab w:val="left" w:pos="1701"/>
        </w:tabs>
        <w:jc w:val="both"/>
        <w:rPr>
          <w:rFonts w:ascii="Times New Roman" w:hAnsi="Times New Roman"/>
          <w:sz w:val="24"/>
          <w:szCs w:val="24"/>
        </w:rPr>
      </w:pPr>
      <w:r w:rsidRPr="005D53E5">
        <w:rPr>
          <w:rFonts w:ascii="Times New Roman" w:hAnsi="Times New Roman"/>
          <w:sz w:val="24"/>
          <w:szCs w:val="24"/>
        </w:rPr>
        <w:t>Lai mazinātu krāpšanas riskus nodokļu jomā, tiek izstrādāti tehnoloģisko risinājumu varianti</w:t>
      </w:r>
      <w:r w:rsidR="005D53E5" w:rsidRPr="005D53E5">
        <w:rPr>
          <w:rFonts w:ascii="Times New Roman" w:hAnsi="Times New Roman"/>
          <w:sz w:val="24"/>
          <w:szCs w:val="24"/>
        </w:rPr>
        <w:t xml:space="preserve"> </w:t>
      </w:r>
      <w:r w:rsidRPr="005D53E5">
        <w:rPr>
          <w:rFonts w:ascii="Times New Roman" w:hAnsi="Times New Roman"/>
          <w:sz w:val="24"/>
          <w:szCs w:val="24"/>
        </w:rPr>
        <w:t>krāpšan</w:t>
      </w:r>
      <w:r w:rsidR="005D53E5" w:rsidRPr="005D53E5">
        <w:rPr>
          <w:rFonts w:ascii="Times New Roman" w:hAnsi="Times New Roman"/>
          <w:sz w:val="24"/>
          <w:szCs w:val="24"/>
        </w:rPr>
        <w:t>ā</w:t>
      </w:r>
      <w:r w:rsidRPr="005D53E5">
        <w:rPr>
          <w:rFonts w:ascii="Times New Roman" w:hAnsi="Times New Roman"/>
          <w:sz w:val="24"/>
          <w:szCs w:val="24"/>
        </w:rPr>
        <w:t>s ar elektroniskajiem kases aparātiem</w:t>
      </w:r>
      <w:r w:rsidR="005D53E5" w:rsidRPr="005D53E5">
        <w:rPr>
          <w:rFonts w:ascii="Times New Roman" w:hAnsi="Times New Roman"/>
          <w:sz w:val="24"/>
          <w:szCs w:val="24"/>
        </w:rPr>
        <w:t xml:space="preserve"> apkarošanai</w:t>
      </w:r>
      <w:r w:rsidRPr="005D53E5">
        <w:rPr>
          <w:rFonts w:ascii="Times New Roman" w:hAnsi="Times New Roman"/>
          <w:sz w:val="24"/>
          <w:szCs w:val="24"/>
        </w:rPr>
        <w:t xml:space="preserve">, ieviešot elektronisko parakstu un elektronisko kases aparātu un elektronisko kases sistēmu elektronisko </w:t>
      </w:r>
      <w:proofErr w:type="spellStart"/>
      <w:r w:rsidRPr="005D53E5">
        <w:rPr>
          <w:rFonts w:ascii="Times New Roman" w:hAnsi="Times New Roman"/>
          <w:sz w:val="24"/>
          <w:szCs w:val="24"/>
        </w:rPr>
        <w:t>kontrollenšu</w:t>
      </w:r>
      <w:proofErr w:type="spellEnd"/>
      <w:r w:rsidRPr="005D53E5">
        <w:rPr>
          <w:rFonts w:ascii="Times New Roman" w:hAnsi="Times New Roman"/>
          <w:sz w:val="24"/>
          <w:szCs w:val="24"/>
        </w:rPr>
        <w:t xml:space="preserve"> datu periodisku nosūtīšanu uz Valsts ieņēmumu dienesta serveriem.</w:t>
      </w:r>
    </w:p>
    <w:p w14:paraId="2566DDBF" w14:textId="77777777" w:rsidR="00BC6029" w:rsidRPr="000C6481" w:rsidRDefault="00BC6029" w:rsidP="00BC6029">
      <w:pPr>
        <w:tabs>
          <w:tab w:val="left" w:pos="1701"/>
        </w:tabs>
        <w:jc w:val="both"/>
        <w:rPr>
          <w:rFonts w:ascii="Times New Roman" w:hAnsi="Times New Roman"/>
          <w:sz w:val="24"/>
          <w:szCs w:val="24"/>
        </w:rPr>
      </w:pPr>
      <w:r>
        <w:rPr>
          <w:rFonts w:ascii="Times New Roman" w:hAnsi="Times New Roman"/>
          <w:sz w:val="24"/>
          <w:szCs w:val="24"/>
        </w:rPr>
        <w:lastRenderedPageBreak/>
        <w:t>L</w:t>
      </w:r>
      <w:r w:rsidRPr="000C6481">
        <w:rPr>
          <w:rFonts w:ascii="Times New Roman" w:hAnsi="Times New Roman"/>
          <w:sz w:val="24"/>
          <w:szCs w:val="24"/>
        </w:rPr>
        <w:t>ai samazinātu krāpšanas risku</w:t>
      </w:r>
      <w:r>
        <w:rPr>
          <w:rFonts w:ascii="Times New Roman" w:hAnsi="Times New Roman"/>
          <w:sz w:val="24"/>
          <w:szCs w:val="24"/>
        </w:rPr>
        <w:t xml:space="preserve"> ar</w:t>
      </w:r>
      <w:r w:rsidRPr="00820B36">
        <w:rPr>
          <w:rFonts w:ascii="Times New Roman" w:hAnsi="Times New Roman"/>
          <w:sz w:val="24"/>
          <w:szCs w:val="24"/>
        </w:rPr>
        <w:t xml:space="preserve"> </w:t>
      </w:r>
      <w:r w:rsidRPr="000C6481">
        <w:rPr>
          <w:rFonts w:ascii="Times New Roman" w:hAnsi="Times New Roman"/>
          <w:sz w:val="24"/>
          <w:szCs w:val="24"/>
        </w:rPr>
        <w:t xml:space="preserve">PVN, ir pieņemts regulējums, kas paredz, ka graudaugu un tehnisko kultūru piegādei piemēro PVN apgriezto maksāšanas kārtību. </w:t>
      </w:r>
    </w:p>
    <w:p w14:paraId="7655AAD8" w14:textId="77777777" w:rsidR="00BC6029" w:rsidRPr="000C6481" w:rsidRDefault="00BC6029" w:rsidP="00BC6029">
      <w:pPr>
        <w:tabs>
          <w:tab w:val="left" w:pos="1701"/>
        </w:tabs>
        <w:jc w:val="both"/>
        <w:rPr>
          <w:rFonts w:ascii="Times New Roman" w:hAnsi="Times New Roman"/>
          <w:sz w:val="24"/>
          <w:szCs w:val="24"/>
        </w:rPr>
      </w:pPr>
      <w:r w:rsidRPr="000C6481">
        <w:rPr>
          <w:rFonts w:ascii="Times New Roman" w:hAnsi="Times New Roman"/>
          <w:sz w:val="24"/>
          <w:szCs w:val="24"/>
        </w:rPr>
        <w:t xml:space="preserve">Vienlaikus ir veikti pasākumi labprātīgas nodokļu </w:t>
      </w:r>
      <w:r>
        <w:rPr>
          <w:rFonts w:ascii="Times New Roman" w:hAnsi="Times New Roman"/>
          <w:sz w:val="24"/>
          <w:szCs w:val="24"/>
        </w:rPr>
        <w:t>sa</w:t>
      </w:r>
      <w:r w:rsidRPr="000C6481">
        <w:rPr>
          <w:rFonts w:ascii="Times New Roman" w:hAnsi="Times New Roman"/>
          <w:sz w:val="24"/>
          <w:szCs w:val="24"/>
        </w:rPr>
        <w:t>maksas veicināšanas jomā, piemēram, izstrādāts regulējums, kas paredz pārtraukt nokavējuma naudas aprēķināšanu, ja nokavējuma naudas summa sasniedz divas piektdaļas (40</w:t>
      </w:r>
      <w:r>
        <w:rPr>
          <w:rFonts w:ascii="Times New Roman" w:hAnsi="Times New Roman"/>
          <w:sz w:val="24"/>
          <w:szCs w:val="24"/>
        </w:rPr>
        <w:t> %</w:t>
      </w:r>
      <w:r w:rsidRPr="000C6481">
        <w:rPr>
          <w:rFonts w:ascii="Times New Roman" w:hAnsi="Times New Roman"/>
          <w:sz w:val="24"/>
          <w:szCs w:val="24"/>
        </w:rPr>
        <w:t xml:space="preserve">) no pamatparāda apmēra. </w:t>
      </w:r>
    </w:p>
    <w:p w14:paraId="4F882517" w14:textId="77777777" w:rsidR="00BC6029" w:rsidRPr="000C6481" w:rsidRDefault="00BC6029" w:rsidP="00BC6029">
      <w:pPr>
        <w:tabs>
          <w:tab w:val="left" w:pos="1701"/>
        </w:tabs>
        <w:jc w:val="both"/>
        <w:rPr>
          <w:rFonts w:ascii="Times New Roman" w:hAnsi="Times New Roman"/>
          <w:sz w:val="24"/>
          <w:szCs w:val="24"/>
        </w:rPr>
      </w:pPr>
      <w:r>
        <w:rPr>
          <w:rFonts w:ascii="Times New Roman" w:hAnsi="Times New Roman"/>
          <w:sz w:val="24"/>
          <w:szCs w:val="24"/>
        </w:rPr>
        <w:t>B</w:t>
      </w:r>
      <w:r w:rsidRPr="000C6481">
        <w:rPr>
          <w:rFonts w:ascii="Times New Roman" w:hAnsi="Times New Roman"/>
          <w:sz w:val="24"/>
          <w:szCs w:val="24"/>
        </w:rPr>
        <w:t xml:space="preserve">ūtiska problēma </w:t>
      </w:r>
      <w:r>
        <w:rPr>
          <w:rFonts w:ascii="Times New Roman" w:hAnsi="Times New Roman"/>
          <w:sz w:val="24"/>
          <w:szCs w:val="24"/>
        </w:rPr>
        <w:t>ir</w:t>
      </w:r>
      <w:r w:rsidRPr="000C6481">
        <w:rPr>
          <w:rFonts w:ascii="Times New Roman" w:hAnsi="Times New Roman"/>
          <w:sz w:val="24"/>
          <w:szCs w:val="24"/>
        </w:rPr>
        <w:t xml:space="preserve"> nodokļu plaisa akcīzes precēm, kas atkarībā no preces veida 2014. gadā svārstījās no 8,5</w:t>
      </w:r>
      <w:r>
        <w:rPr>
          <w:rFonts w:ascii="Times New Roman" w:hAnsi="Times New Roman"/>
          <w:sz w:val="24"/>
          <w:szCs w:val="24"/>
        </w:rPr>
        <w:t> %</w:t>
      </w:r>
      <w:r w:rsidRPr="000C6481">
        <w:rPr>
          <w:rFonts w:ascii="Times New Roman" w:hAnsi="Times New Roman"/>
          <w:sz w:val="24"/>
          <w:szCs w:val="24"/>
        </w:rPr>
        <w:t xml:space="preserve"> līdz 29,1</w:t>
      </w:r>
      <w:r>
        <w:rPr>
          <w:rFonts w:ascii="Times New Roman" w:hAnsi="Times New Roman"/>
          <w:sz w:val="24"/>
          <w:szCs w:val="24"/>
        </w:rPr>
        <w:t> %</w:t>
      </w:r>
      <w:r w:rsidRPr="000C6481">
        <w:rPr>
          <w:rFonts w:ascii="Times New Roman" w:hAnsi="Times New Roman"/>
          <w:sz w:val="24"/>
          <w:szCs w:val="24"/>
        </w:rPr>
        <w:t>. Lai nodrošinātu koordinētu tiesībaizsardzības iestāžu rīcību cīņā pret akcīzes preču nelikumīgu apriti Latvijā, ir apstiprināts Tiesībaizsardzības iestāžu rīcības plāns 2016.–2018.</w:t>
      </w:r>
      <w:r>
        <w:rPr>
          <w:rFonts w:ascii="Times New Roman" w:hAnsi="Times New Roman"/>
          <w:sz w:val="24"/>
          <w:szCs w:val="24"/>
        </w:rPr>
        <w:t> </w:t>
      </w:r>
      <w:r w:rsidRPr="000C6481">
        <w:rPr>
          <w:rFonts w:ascii="Times New Roman" w:hAnsi="Times New Roman"/>
          <w:sz w:val="24"/>
          <w:szCs w:val="24"/>
        </w:rPr>
        <w:t>gadam.</w:t>
      </w:r>
    </w:p>
    <w:p w14:paraId="3503D087" w14:textId="49D1109B" w:rsidR="00BC6029" w:rsidRPr="000C6481" w:rsidRDefault="00BC6029" w:rsidP="00BC6029">
      <w:pPr>
        <w:tabs>
          <w:tab w:val="left" w:pos="1701"/>
        </w:tabs>
        <w:jc w:val="both"/>
        <w:rPr>
          <w:rFonts w:ascii="Times New Roman" w:hAnsi="Times New Roman"/>
          <w:sz w:val="24"/>
          <w:szCs w:val="24"/>
        </w:rPr>
      </w:pPr>
      <w:r>
        <w:rPr>
          <w:rFonts w:ascii="Times New Roman" w:hAnsi="Times New Roman"/>
          <w:sz w:val="24"/>
          <w:szCs w:val="24"/>
        </w:rPr>
        <w:t>Ē</w:t>
      </w:r>
      <w:r w:rsidRPr="000C6481">
        <w:rPr>
          <w:rFonts w:ascii="Times New Roman" w:hAnsi="Times New Roman"/>
          <w:sz w:val="24"/>
          <w:szCs w:val="24"/>
        </w:rPr>
        <w:t>nu ekonomikas ierobežošanas pasākumi tiks veikti visā valdības darbības laikā. Būtiskākie nākamajos periodos veicamie darbi ietver VID Padziļinātās sadarbības programmas pilnveidošanu, PVN apgrieztās maksāšanas kārtības piemēroš</w:t>
      </w:r>
      <w:r w:rsidR="002C6881">
        <w:rPr>
          <w:rFonts w:ascii="Times New Roman" w:hAnsi="Times New Roman"/>
          <w:sz w:val="24"/>
          <w:szCs w:val="24"/>
        </w:rPr>
        <w:t>anas paplašināšanas izvērtēšanu.</w:t>
      </w:r>
      <w:r w:rsidRPr="000C6481">
        <w:rPr>
          <w:rFonts w:ascii="Times New Roman" w:hAnsi="Times New Roman"/>
          <w:sz w:val="24"/>
          <w:szCs w:val="24"/>
        </w:rPr>
        <w:t xml:space="preserve"> </w:t>
      </w:r>
      <w:r>
        <w:rPr>
          <w:rFonts w:ascii="Times New Roman" w:hAnsi="Times New Roman"/>
          <w:sz w:val="24"/>
          <w:szCs w:val="24"/>
        </w:rPr>
        <w:t>Paredzēta arī</w:t>
      </w:r>
      <w:r w:rsidRPr="000C6481">
        <w:rPr>
          <w:rFonts w:ascii="Times New Roman" w:hAnsi="Times New Roman"/>
          <w:sz w:val="24"/>
          <w:szCs w:val="24"/>
        </w:rPr>
        <w:t xml:space="preserve"> elektronisko preču pārvietošanas pavadzīmju un rēķinu </w:t>
      </w:r>
      <w:r w:rsidRPr="009E2AF1">
        <w:rPr>
          <w:rFonts w:ascii="Times New Roman" w:hAnsi="Times New Roman"/>
          <w:sz w:val="24"/>
          <w:szCs w:val="24"/>
        </w:rPr>
        <w:t>tiešsai</w:t>
      </w:r>
      <w:r w:rsidR="009E2AF1" w:rsidRPr="009E2AF1">
        <w:rPr>
          <w:rFonts w:ascii="Times New Roman" w:hAnsi="Times New Roman"/>
          <w:sz w:val="24"/>
          <w:szCs w:val="24"/>
        </w:rPr>
        <w:t>s</w:t>
      </w:r>
      <w:r w:rsidRPr="009E2AF1">
        <w:rPr>
          <w:rFonts w:ascii="Times New Roman" w:hAnsi="Times New Roman"/>
          <w:sz w:val="24"/>
          <w:szCs w:val="24"/>
        </w:rPr>
        <w:t>tes</w:t>
      </w:r>
      <w:r w:rsidRPr="000C6481">
        <w:rPr>
          <w:rFonts w:ascii="Times New Roman" w:hAnsi="Times New Roman"/>
          <w:sz w:val="24"/>
          <w:szCs w:val="24"/>
        </w:rPr>
        <w:t xml:space="preserve"> sistēmas izstrād</w:t>
      </w:r>
      <w:r>
        <w:rPr>
          <w:rFonts w:ascii="Times New Roman" w:hAnsi="Times New Roman"/>
          <w:sz w:val="24"/>
          <w:szCs w:val="24"/>
        </w:rPr>
        <w:t>e</w:t>
      </w:r>
      <w:r w:rsidRPr="000C6481">
        <w:rPr>
          <w:rFonts w:ascii="Times New Roman" w:hAnsi="Times New Roman"/>
          <w:sz w:val="24"/>
          <w:szCs w:val="24"/>
        </w:rPr>
        <w:t>, būvniecības nozarē uzsākto pasākumu noslēgšan</w:t>
      </w:r>
      <w:r>
        <w:rPr>
          <w:rFonts w:ascii="Times New Roman" w:hAnsi="Times New Roman"/>
          <w:sz w:val="24"/>
          <w:szCs w:val="24"/>
        </w:rPr>
        <w:t>a</w:t>
      </w:r>
      <w:r w:rsidRPr="000C6481">
        <w:rPr>
          <w:rFonts w:ascii="Times New Roman" w:hAnsi="Times New Roman"/>
          <w:sz w:val="24"/>
          <w:szCs w:val="24"/>
        </w:rPr>
        <w:t xml:space="preserve"> un ģenerālvienošan</w:t>
      </w:r>
      <w:r>
        <w:rPr>
          <w:rFonts w:ascii="Times New Roman" w:hAnsi="Times New Roman"/>
          <w:sz w:val="24"/>
          <w:szCs w:val="24"/>
        </w:rPr>
        <w:t>o</w:t>
      </w:r>
      <w:r w:rsidRPr="000C6481">
        <w:rPr>
          <w:rFonts w:ascii="Times New Roman" w:hAnsi="Times New Roman"/>
          <w:sz w:val="24"/>
          <w:szCs w:val="24"/>
        </w:rPr>
        <w:t>s un koplīgumu attīstīšan</w:t>
      </w:r>
      <w:r>
        <w:rPr>
          <w:rFonts w:ascii="Times New Roman" w:hAnsi="Times New Roman"/>
          <w:sz w:val="24"/>
          <w:szCs w:val="24"/>
        </w:rPr>
        <w:t>a</w:t>
      </w:r>
      <w:r w:rsidRPr="000C6481">
        <w:rPr>
          <w:rFonts w:ascii="Times New Roman" w:hAnsi="Times New Roman"/>
          <w:sz w:val="24"/>
          <w:szCs w:val="24"/>
        </w:rPr>
        <w:t xml:space="preserve"> plašākā nozaru </w:t>
      </w:r>
      <w:r>
        <w:rPr>
          <w:rFonts w:ascii="Times New Roman" w:hAnsi="Times New Roman"/>
          <w:sz w:val="24"/>
          <w:szCs w:val="24"/>
        </w:rPr>
        <w:t>kontekstā</w:t>
      </w:r>
      <w:r w:rsidRPr="000C6481">
        <w:rPr>
          <w:rFonts w:ascii="Times New Roman" w:hAnsi="Times New Roman"/>
          <w:sz w:val="24"/>
          <w:szCs w:val="24"/>
        </w:rPr>
        <w:t xml:space="preserve">. </w:t>
      </w:r>
    </w:p>
    <w:p w14:paraId="6E639778" w14:textId="77777777" w:rsidR="00BC6029" w:rsidRPr="000C6481" w:rsidRDefault="00BC6029" w:rsidP="00BC6029">
      <w:pPr>
        <w:tabs>
          <w:tab w:val="left" w:pos="1701"/>
        </w:tabs>
        <w:jc w:val="both"/>
        <w:rPr>
          <w:rFonts w:ascii="Times New Roman" w:hAnsi="Times New Roman"/>
          <w:sz w:val="24"/>
          <w:szCs w:val="24"/>
        </w:rPr>
      </w:pPr>
    </w:p>
    <w:p w14:paraId="778B8F85" w14:textId="517867C6" w:rsidR="00885CB6" w:rsidRPr="00716B0D" w:rsidRDefault="00885CB6" w:rsidP="00885CB6">
      <w:pPr>
        <w:pStyle w:val="Heading1"/>
        <w:rPr>
          <w:color w:val="0070C0"/>
        </w:rPr>
      </w:pPr>
      <w:bookmarkStart w:id="53" w:name="_Toc466466867"/>
      <w:r w:rsidRPr="00716B0D">
        <w:rPr>
          <w:color w:val="0070C0"/>
        </w:rPr>
        <w:t xml:space="preserve">Demogrāfija un sociālais </w:t>
      </w:r>
      <w:bookmarkEnd w:id="49"/>
      <w:bookmarkEnd w:id="50"/>
      <w:r w:rsidRPr="00716B0D">
        <w:rPr>
          <w:color w:val="0070C0"/>
        </w:rPr>
        <w:t>nodrošinājums</w:t>
      </w:r>
      <w:bookmarkEnd w:id="53"/>
    </w:p>
    <w:p w14:paraId="5F950BE0" w14:textId="77777777" w:rsidR="00BC6029" w:rsidRPr="000C6481" w:rsidRDefault="00BC6029" w:rsidP="00BC6029">
      <w:pPr>
        <w:rPr>
          <w:sz w:val="24"/>
          <w:szCs w:val="24"/>
        </w:rPr>
      </w:pPr>
    </w:p>
    <w:p w14:paraId="73F57A9F" w14:textId="0E3BA294" w:rsidR="00BC6029" w:rsidRPr="000C6481" w:rsidRDefault="00BC6029" w:rsidP="00BC6029">
      <w:pPr>
        <w:jc w:val="both"/>
        <w:rPr>
          <w:rFonts w:ascii="Times New Roman" w:hAnsi="Times New Roman"/>
          <w:sz w:val="24"/>
          <w:szCs w:val="24"/>
        </w:rPr>
      </w:pPr>
      <w:r w:rsidRPr="000C6481">
        <w:rPr>
          <w:rFonts w:ascii="Times New Roman" w:hAnsi="Times New Roman"/>
          <w:sz w:val="24"/>
          <w:szCs w:val="24"/>
        </w:rPr>
        <w:t>Va</w:t>
      </w:r>
      <w:r w:rsidR="002C6881">
        <w:rPr>
          <w:rFonts w:ascii="Times New Roman" w:hAnsi="Times New Roman"/>
          <w:sz w:val="24"/>
          <w:szCs w:val="24"/>
        </w:rPr>
        <w:t>lsts ekonomiskā augšupeja</w:t>
      </w:r>
      <w:r w:rsidRPr="000C6481">
        <w:rPr>
          <w:rFonts w:ascii="Times New Roman" w:hAnsi="Times New Roman"/>
          <w:sz w:val="24"/>
          <w:szCs w:val="24"/>
        </w:rPr>
        <w:t xml:space="preserve">, </w:t>
      </w:r>
      <w:proofErr w:type="gramStart"/>
      <w:r w:rsidRPr="000C6481">
        <w:rPr>
          <w:rFonts w:ascii="Times New Roman" w:hAnsi="Times New Roman"/>
          <w:sz w:val="24"/>
          <w:szCs w:val="24"/>
        </w:rPr>
        <w:t>īstenotās iniciatīvas demogrāfijas jomā un dzimstības rādītāju pieaugumam labvēlīga iedzīvotāju</w:t>
      </w:r>
      <w:proofErr w:type="gramEnd"/>
      <w:r w:rsidRPr="000C6481">
        <w:rPr>
          <w:rFonts w:ascii="Times New Roman" w:hAnsi="Times New Roman"/>
          <w:sz w:val="24"/>
          <w:szCs w:val="24"/>
        </w:rPr>
        <w:t xml:space="preserve"> vecumstruktūra</w:t>
      </w:r>
      <w:r w:rsidRPr="000C6481">
        <w:rPr>
          <w:rStyle w:val="FootnoteReference"/>
          <w:rFonts w:ascii="Times New Roman" w:hAnsi="Times New Roman"/>
          <w:sz w:val="24"/>
          <w:szCs w:val="24"/>
        </w:rPr>
        <w:footnoteReference w:id="5"/>
      </w:r>
      <w:r w:rsidRPr="000C6481">
        <w:rPr>
          <w:rFonts w:ascii="Times New Roman" w:hAnsi="Times New Roman"/>
          <w:sz w:val="24"/>
          <w:szCs w:val="24"/>
        </w:rPr>
        <w:t xml:space="preserve"> </w:t>
      </w:r>
      <w:r>
        <w:rPr>
          <w:rFonts w:ascii="Times New Roman" w:hAnsi="Times New Roman"/>
          <w:sz w:val="24"/>
          <w:szCs w:val="24"/>
        </w:rPr>
        <w:t>ir tie</w:t>
      </w:r>
      <w:r w:rsidRPr="000C6481">
        <w:rPr>
          <w:rFonts w:ascii="Times New Roman" w:hAnsi="Times New Roman"/>
          <w:sz w:val="24"/>
          <w:szCs w:val="24"/>
        </w:rPr>
        <w:t xml:space="preserve"> aspekti, kas veicinājuši pozitīvas izmaiņas vairākos tautas ataudzes rādītajos. Pēdējos gados Latvijā vērojams dzimstības pieaugums, samazinās abortu, tai skaitā arī mākslīgo abortu</w:t>
      </w:r>
      <w:r>
        <w:rPr>
          <w:rFonts w:ascii="Times New Roman" w:hAnsi="Times New Roman"/>
          <w:sz w:val="24"/>
          <w:szCs w:val="24"/>
        </w:rPr>
        <w:t>,</w:t>
      </w:r>
      <w:r w:rsidRPr="000C6481">
        <w:rPr>
          <w:rFonts w:ascii="Times New Roman" w:hAnsi="Times New Roman"/>
          <w:sz w:val="24"/>
          <w:szCs w:val="24"/>
        </w:rPr>
        <w:t xml:space="preserve"> skaits, ik gadu pieaug summārā dzimstības koeficienta rādītāji (vidējais </w:t>
      </w:r>
      <w:r>
        <w:rPr>
          <w:rFonts w:ascii="Times New Roman" w:hAnsi="Times New Roman"/>
          <w:sz w:val="24"/>
          <w:szCs w:val="24"/>
        </w:rPr>
        <w:t xml:space="preserve">bērnu skaits sievietei) – </w:t>
      </w:r>
      <w:r w:rsidRPr="000C6481">
        <w:rPr>
          <w:rFonts w:ascii="Times New Roman" w:hAnsi="Times New Roman"/>
          <w:sz w:val="24"/>
          <w:szCs w:val="24"/>
        </w:rPr>
        <w:t>no 2001. gada līdz 2015. gadam Latvija šī rādītāja pieauguma tendenču kontekstā bijusi līdere Eiropā (2015. gadā – 1,71) (skat. 8.</w:t>
      </w:r>
      <w:r>
        <w:rPr>
          <w:rFonts w:ascii="Times New Roman" w:hAnsi="Times New Roman"/>
          <w:sz w:val="24"/>
          <w:szCs w:val="24"/>
        </w:rPr>
        <w:t> </w:t>
      </w:r>
      <w:r w:rsidRPr="000C6481">
        <w:rPr>
          <w:rFonts w:ascii="Times New Roman" w:hAnsi="Times New Roman"/>
          <w:sz w:val="24"/>
          <w:szCs w:val="24"/>
        </w:rPr>
        <w:t>attēlu).</w:t>
      </w:r>
    </w:p>
    <w:p w14:paraId="4C6CE947" w14:textId="77777777" w:rsidR="00F53A61" w:rsidRPr="00716B0D" w:rsidRDefault="00F53A61">
      <w:pPr>
        <w:rPr>
          <w:rFonts w:ascii="Times New Roman" w:hAnsi="Times New Roman" w:cs="Times New Roman"/>
          <w:color w:val="0070C0"/>
          <w:sz w:val="24"/>
          <w:szCs w:val="24"/>
          <w:highlight w:val="yellow"/>
        </w:rPr>
      </w:pPr>
      <w:r w:rsidRPr="00716B0D">
        <w:rPr>
          <w:rFonts w:ascii="Times New Roman" w:hAnsi="Times New Roman" w:cs="Times New Roman"/>
          <w:color w:val="0070C0"/>
          <w:sz w:val="24"/>
          <w:szCs w:val="24"/>
          <w:highlight w:val="yellow"/>
        </w:rPr>
        <w:br w:type="page"/>
      </w:r>
    </w:p>
    <w:p w14:paraId="21D87CED" w14:textId="77777777" w:rsidR="00BC6029" w:rsidRPr="000C6481" w:rsidRDefault="00BC6029" w:rsidP="009E2AF1">
      <w:pPr>
        <w:spacing w:line="240" w:lineRule="auto"/>
        <w:jc w:val="right"/>
        <w:rPr>
          <w:rFonts w:ascii="Times New Roman" w:hAnsi="Times New Roman"/>
          <w:sz w:val="24"/>
          <w:szCs w:val="24"/>
        </w:rPr>
      </w:pPr>
      <w:r w:rsidRPr="000C6481">
        <w:rPr>
          <w:rFonts w:ascii="Times New Roman" w:hAnsi="Times New Roman"/>
          <w:sz w:val="24"/>
          <w:szCs w:val="24"/>
        </w:rPr>
        <w:lastRenderedPageBreak/>
        <w:t>8.</w:t>
      </w:r>
      <w:r>
        <w:rPr>
          <w:rFonts w:ascii="Times New Roman" w:hAnsi="Times New Roman"/>
          <w:sz w:val="24"/>
          <w:szCs w:val="24"/>
        </w:rPr>
        <w:t> </w:t>
      </w:r>
      <w:r w:rsidRPr="000C6481">
        <w:rPr>
          <w:rFonts w:ascii="Times New Roman" w:hAnsi="Times New Roman"/>
          <w:sz w:val="24"/>
          <w:szCs w:val="24"/>
        </w:rPr>
        <w:t xml:space="preserve">attēls </w:t>
      </w:r>
    </w:p>
    <w:p w14:paraId="093D50FE" w14:textId="77777777" w:rsidR="00BC6029" w:rsidRPr="000C6481" w:rsidRDefault="00BC6029" w:rsidP="00BC6029">
      <w:pPr>
        <w:spacing w:after="0" w:line="240" w:lineRule="auto"/>
        <w:jc w:val="center"/>
        <w:rPr>
          <w:rFonts w:ascii="Times New Roman" w:hAnsi="Times New Roman"/>
          <w:b/>
          <w:sz w:val="24"/>
          <w:szCs w:val="24"/>
        </w:rPr>
      </w:pPr>
      <w:r w:rsidRPr="000C6481">
        <w:rPr>
          <w:rFonts w:ascii="Times New Roman" w:hAnsi="Times New Roman"/>
          <w:b/>
          <w:sz w:val="24"/>
          <w:szCs w:val="24"/>
        </w:rPr>
        <w:t>Jaundzimušo bērnu skaita izmaiņas</w:t>
      </w:r>
    </w:p>
    <w:p w14:paraId="1058C750" w14:textId="77777777" w:rsidR="00BC6029" w:rsidRPr="009E2AF1" w:rsidRDefault="00BC6029" w:rsidP="009E2AF1">
      <w:pPr>
        <w:spacing w:after="0" w:line="240" w:lineRule="auto"/>
        <w:jc w:val="center"/>
        <w:rPr>
          <w:rFonts w:ascii="Times New Roman" w:hAnsi="Times New Roman"/>
          <w:sz w:val="20"/>
          <w:szCs w:val="20"/>
        </w:rPr>
      </w:pPr>
      <w:r w:rsidRPr="009E2AF1">
        <w:rPr>
          <w:rFonts w:ascii="Times New Roman" w:hAnsi="Times New Roman"/>
          <w:sz w:val="20"/>
          <w:szCs w:val="20"/>
        </w:rPr>
        <w:t>Jaundzimušo bērnu skaits</w:t>
      </w:r>
    </w:p>
    <w:p w14:paraId="38E313E4" w14:textId="77777777" w:rsidR="00BC6029" w:rsidRPr="000C6481" w:rsidRDefault="00BC6029" w:rsidP="00BC6029">
      <w:pPr>
        <w:spacing w:after="0"/>
        <w:jc w:val="both"/>
        <w:rPr>
          <w:rFonts w:ascii="Times New Roman" w:hAnsi="Times New Roman"/>
          <w:sz w:val="24"/>
          <w:szCs w:val="24"/>
        </w:rPr>
      </w:pPr>
      <w:r>
        <w:rPr>
          <w:noProof/>
          <w:sz w:val="24"/>
          <w:szCs w:val="24"/>
          <w:lang w:eastAsia="lv-LV"/>
        </w:rPr>
        <w:drawing>
          <wp:inline distT="0" distB="0" distL="0" distR="0" wp14:anchorId="314FD083" wp14:editId="5DFF0D9A">
            <wp:extent cx="5271135" cy="2647315"/>
            <wp:effectExtent l="0" t="0" r="24765" b="19685"/>
            <wp:docPr id="10"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A7EE4C5" w14:textId="77777777" w:rsidR="00BC6029" w:rsidRPr="009E2AF1" w:rsidRDefault="00BC6029" w:rsidP="009E2AF1">
      <w:pPr>
        <w:jc w:val="both"/>
        <w:rPr>
          <w:rFonts w:ascii="Times New Roman" w:hAnsi="Times New Roman"/>
          <w:sz w:val="20"/>
          <w:szCs w:val="20"/>
        </w:rPr>
      </w:pPr>
      <w:r w:rsidRPr="009E2AF1">
        <w:rPr>
          <w:rFonts w:ascii="Times New Roman" w:hAnsi="Times New Roman"/>
          <w:sz w:val="20"/>
          <w:szCs w:val="20"/>
        </w:rPr>
        <w:t>Avots: CSP (2015) Centrālās statistikas pārvaldes datubāze: Iedzīvotāji un sociālie procesi. http://data.csb.gov.lv/pxweb/lv/Sociala/?rxid=cdcb978c-22b0-416a-aacc-aa650d3e2ce0 (sk. 01.06.2016.)</w:t>
      </w:r>
    </w:p>
    <w:p w14:paraId="711B5CB0" w14:textId="77777777" w:rsidR="00BC6029" w:rsidRPr="000C6481" w:rsidRDefault="00BC6029" w:rsidP="00BC6029">
      <w:pPr>
        <w:jc w:val="both"/>
        <w:rPr>
          <w:rFonts w:ascii="Times New Roman" w:hAnsi="Times New Roman"/>
          <w:sz w:val="24"/>
          <w:szCs w:val="24"/>
        </w:rPr>
      </w:pPr>
      <w:r w:rsidRPr="000C6481">
        <w:rPr>
          <w:rFonts w:ascii="Times New Roman" w:hAnsi="Times New Roman"/>
          <w:sz w:val="24"/>
          <w:szCs w:val="24"/>
        </w:rPr>
        <w:t>Salīdzinājumā ar 2010. gadu ir samazinājies no valsts emigrējošu iedzīvotāju skaits un, lai arī dabiskais pieaugums Latvijā joprojām saglabājas negatīvs, tomēr pēdējo četru gadu laikā ir vērojamas pozitīvas izmaiņas arī dabiskā pieauguma rādītājos (skat. 9.</w:t>
      </w:r>
      <w:r>
        <w:rPr>
          <w:rFonts w:ascii="Times New Roman" w:hAnsi="Times New Roman"/>
          <w:sz w:val="24"/>
          <w:szCs w:val="24"/>
        </w:rPr>
        <w:t> </w:t>
      </w:r>
      <w:r w:rsidRPr="000C6481">
        <w:rPr>
          <w:rFonts w:ascii="Times New Roman" w:hAnsi="Times New Roman"/>
          <w:sz w:val="24"/>
          <w:szCs w:val="24"/>
        </w:rPr>
        <w:t>attēlu).</w:t>
      </w:r>
    </w:p>
    <w:p w14:paraId="41BFC732" w14:textId="77777777" w:rsidR="00BC6029" w:rsidRPr="000C6481" w:rsidRDefault="00BC6029" w:rsidP="009E2AF1">
      <w:pPr>
        <w:spacing w:line="240" w:lineRule="auto"/>
        <w:jc w:val="right"/>
        <w:rPr>
          <w:rFonts w:ascii="Times New Roman" w:hAnsi="Times New Roman"/>
          <w:sz w:val="24"/>
          <w:szCs w:val="24"/>
        </w:rPr>
      </w:pPr>
      <w:r w:rsidRPr="000C6481">
        <w:rPr>
          <w:rFonts w:ascii="Times New Roman" w:hAnsi="Times New Roman"/>
          <w:sz w:val="24"/>
          <w:szCs w:val="24"/>
        </w:rPr>
        <w:t xml:space="preserve">9. attēls </w:t>
      </w:r>
    </w:p>
    <w:p w14:paraId="75499B5C" w14:textId="77777777" w:rsidR="00BC6029" w:rsidRPr="000C6481" w:rsidRDefault="00BC6029" w:rsidP="00BC6029">
      <w:pPr>
        <w:spacing w:after="0" w:line="240" w:lineRule="auto"/>
        <w:jc w:val="center"/>
        <w:rPr>
          <w:rFonts w:ascii="Times New Roman" w:hAnsi="Times New Roman"/>
          <w:b/>
          <w:sz w:val="24"/>
          <w:szCs w:val="24"/>
        </w:rPr>
      </w:pPr>
      <w:r w:rsidRPr="000C6481">
        <w:rPr>
          <w:rFonts w:ascii="Times New Roman" w:hAnsi="Times New Roman"/>
          <w:b/>
          <w:sz w:val="24"/>
          <w:szCs w:val="24"/>
        </w:rPr>
        <w:t>Iedzīvotāju skaita dabiskais pieaugums</w:t>
      </w:r>
    </w:p>
    <w:p w14:paraId="23D9FC3A" w14:textId="731E83EB" w:rsidR="00BC6029" w:rsidRPr="009E2AF1" w:rsidRDefault="009E2AF1" w:rsidP="00BC6029">
      <w:pPr>
        <w:spacing w:after="0" w:line="240" w:lineRule="auto"/>
        <w:jc w:val="center"/>
        <w:rPr>
          <w:rFonts w:ascii="Times New Roman" w:hAnsi="Times New Roman"/>
          <w:sz w:val="20"/>
          <w:szCs w:val="20"/>
        </w:rPr>
      </w:pPr>
      <w:r w:rsidRPr="009E2AF1">
        <w:rPr>
          <w:rFonts w:ascii="Times New Roman" w:hAnsi="Times New Roman"/>
          <w:sz w:val="20"/>
          <w:szCs w:val="20"/>
        </w:rPr>
        <w:t>Iedzīvotāju</w:t>
      </w:r>
      <w:r w:rsidR="00BC6029" w:rsidRPr="009E2AF1">
        <w:rPr>
          <w:rFonts w:ascii="Times New Roman" w:hAnsi="Times New Roman"/>
          <w:sz w:val="20"/>
          <w:szCs w:val="20"/>
        </w:rPr>
        <w:t xml:space="preserve"> skaits</w:t>
      </w:r>
    </w:p>
    <w:p w14:paraId="7CAE14CF" w14:textId="77777777" w:rsidR="00BC6029" w:rsidRPr="000C6481" w:rsidRDefault="00BC6029" w:rsidP="00BC6029">
      <w:pPr>
        <w:spacing w:before="120" w:after="120" w:line="240" w:lineRule="auto"/>
        <w:jc w:val="center"/>
        <w:rPr>
          <w:rFonts w:ascii="Times New Roman" w:hAnsi="Times New Roman"/>
          <w:b/>
          <w:sz w:val="24"/>
          <w:szCs w:val="24"/>
        </w:rPr>
      </w:pPr>
      <w:r>
        <w:rPr>
          <w:noProof/>
          <w:sz w:val="24"/>
          <w:szCs w:val="24"/>
          <w:lang w:eastAsia="lv-LV"/>
        </w:rPr>
        <w:drawing>
          <wp:inline distT="0" distB="0" distL="0" distR="0" wp14:anchorId="1CB9A8E3" wp14:editId="1990BB13">
            <wp:extent cx="5271135" cy="2608580"/>
            <wp:effectExtent l="0" t="0" r="24765" b="20320"/>
            <wp:docPr id="7"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noProof/>
          <w:sz w:val="24"/>
          <w:szCs w:val="24"/>
          <w:lang w:eastAsia="lv-LV"/>
        </w:rPr>
        <mc:AlternateContent>
          <mc:Choice Requires="wps">
            <w:drawing>
              <wp:anchor distT="0" distB="0" distL="114300" distR="114300" simplePos="0" relativeHeight="251659264" behindDoc="0" locked="0" layoutInCell="1" allowOverlap="1" wp14:anchorId="60657AA1" wp14:editId="301E4B34">
                <wp:simplePos x="0" y="0"/>
                <wp:positionH relativeFrom="column">
                  <wp:posOffset>41910</wp:posOffset>
                </wp:positionH>
                <wp:positionV relativeFrom="paragraph">
                  <wp:posOffset>8255</wp:posOffset>
                </wp:positionV>
                <wp:extent cx="5178425" cy="5467985"/>
                <wp:effectExtent l="0" t="0" r="0" b="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78425" cy="5467985"/>
                        </a:xfrm>
                        <a:prstGeom prst="rect">
                          <a:avLst/>
                        </a:prstGeom>
                        <a:noFill/>
                        <a:ln w="317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3.3pt;margin-top:.65pt;width:407.75pt;height:4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" filled="f" stroked="f" strokeweight=".25pt">
                <v:path arrowok="t"/>
              </v:rect>
            </w:pict>
          </mc:Fallback>
        </mc:AlternateContent>
      </w:r>
      <w:r>
        <w:rPr>
          <w:noProof/>
          <w:sz w:val="24"/>
          <w:szCs w:val="24"/>
          <w:lang w:eastAsia="lv-LV"/>
        </w:rPr>
        <mc:AlternateContent>
          <mc:Choice Requires="wps">
            <w:drawing>
              <wp:anchor distT="4294967295" distB="4294967295" distL="114300" distR="114300" simplePos="0" relativeHeight="251660288" behindDoc="0" locked="0" layoutInCell="1" allowOverlap="1" wp14:anchorId="1537E621" wp14:editId="1C844A78">
                <wp:simplePos x="0" y="0"/>
                <wp:positionH relativeFrom="column">
                  <wp:posOffset>508000</wp:posOffset>
                </wp:positionH>
                <wp:positionV relativeFrom="paragraph">
                  <wp:posOffset>2686049</wp:posOffset>
                </wp:positionV>
                <wp:extent cx="4422140" cy="0"/>
                <wp:effectExtent l="0" t="0" r="16510" b="19050"/>
                <wp:wrapNone/>
                <wp:docPr id="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22140"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pt,211.5pt" to="388.2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" strokecolor="#a6a6a6">
                <o:lock v:ext="edit" shapetype="f"/>
              </v:line>
            </w:pict>
          </mc:Fallback>
        </mc:AlternateContent>
      </w:r>
    </w:p>
    <w:p w14:paraId="3D613DF0" w14:textId="77777777" w:rsidR="00BC6029" w:rsidRPr="009E2AF1" w:rsidRDefault="00BC6029" w:rsidP="009E2AF1">
      <w:pPr>
        <w:spacing w:line="240" w:lineRule="auto"/>
        <w:jc w:val="both"/>
        <w:rPr>
          <w:rFonts w:ascii="Times New Roman" w:eastAsia="Times New Roman" w:hAnsi="Times New Roman"/>
          <w:bCs/>
          <w:kern w:val="24"/>
          <w:sz w:val="20"/>
          <w:szCs w:val="20"/>
        </w:rPr>
      </w:pPr>
      <w:r w:rsidRPr="009E2AF1">
        <w:rPr>
          <w:rFonts w:ascii="Times New Roman" w:eastAsia="Times New Roman" w:hAnsi="Times New Roman"/>
          <w:bCs/>
          <w:kern w:val="24"/>
          <w:sz w:val="20"/>
          <w:szCs w:val="20"/>
        </w:rPr>
        <w:t>Avots: CSP (2015) Centrālās statistikas pārvaldes datubāze: Iedzīvotāji un sociālie procesi. http://data.csb.gov.lv/pxweb/lv/Sociala/?rxid=cdcb978c-22b0-416a-aacc-aa650d3e2ce0 (sk. 01.06.2016.)</w:t>
      </w:r>
    </w:p>
    <w:p w14:paraId="5691F9E0" w14:textId="77777777" w:rsidR="00BC6029" w:rsidRPr="000C6481" w:rsidRDefault="00BC6029" w:rsidP="00BC6029">
      <w:pPr>
        <w:jc w:val="both"/>
        <w:rPr>
          <w:rFonts w:ascii="Times New Roman" w:hAnsi="Times New Roman"/>
          <w:sz w:val="24"/>
          <w:szCs w:val="24"/>
        </w:rPr>
      </w:pPr>
      <w:r w:rsidRPr="000C6481">
        <w:rPr>
          <w:rFonts w:ascii="Times New Roman" w:hAnsi="Times New Roman"/>
          <w:sz w:val="24"/>
          <w:szCs w:val="24"/>
        </w:rPr>
        <w:lastRenderedPageBreak/>
        <w:t>Neskatoties uz to, ka vērojamas noteiktas pozitīvas tendences tautas ataudzes rādītājos, tomēr Latvija līdzīgi kā daudzas citas Eiropas valstis saskaras ar nozīmīgiem izaicinājumiem šajā jomā. Tuvākajā desmitgadē sagaidāmas būtiskas demogrāfisk</w:t>
      </w:r>
      <w:r>
        <w:rPr>
          <w:rFonts w:ascii="Times New Roman" w:hAnsi="Times New Roman"/>
          <w:sz w:val="24"/>
          <w:szCs w:val="24"/>
        </w:rPr>
        <w:t>ā</w:t>
      </w:r>
      <w:r w:rsidRPr="000C6481">
        <w:rPr>
          <w:rFonts w:ascii="Times New Roman" w:hAnsi="Times New Roman"/>
          <w:sz w:val="24"/>
          <w:szCs w:val="24"/>
        </w:rPr>
        <w:t xml:space="preserve">s izmaiņas – nozīmīgi pieaugs demogrāfiskās slodzes līmenis jeb </w:t>
      </w:r>
      <w:proofErr w:type="spellStart"/>
      <w:r w:rsidRPr="000C6481">
        <w:rPr>
          <w:rFonts w:ascii="Times New Roman" w:hAnsi="Times New Roman"/>
          <w:sz w:val="24"/>
          <w:szCs w:val="24"/>
        </w:rPr>
        <w:t>pēcdarbspējas</w:t>
      </w:r>
      <w:proofErr w:type="spellEnd"/>
      <w:r w:rsidRPr="000C6481">
        <w:rPr>
          <w:rFonts w:ascii="Times New Roman" w:hAnsi="Times New Roman"/>
          <w:sz w:val="24"/>
          <w:szCs w:val="24"/>
        </w:rPr>
        <w:t xml:space="preserve"> vecuma (65+ g.</w:t>
      </w:r>
      <w:r>
        <w:rPr>
          <w:rFonts w:ascii="Times New Roman" w:hAnsi="Times New Roman"/>
          <w:sz w:val="24"/>
          <w:szCs w:val="24"/>
        </w:rPr>
        <w:t> </w:t>
      </w:r>
      <w:r w:rsidRPr="000C6481">
        <w:rPr>
          <w:rFonts w:ascii="Times New Roman" w:hAnsi="Times New Roman"/>
          <w:sz w:val="24"/>
          <w:szCs w:val="24"/>
        </w:rPr>
        <w:t>v.) iedzīvotāju īpatsvars pret darbspējas vecuma (15–64 g.</w:t>
      </w:r>
      <w:r>
        <w:rPr>
          <w:rFonts w:ascii="Times New Roman" w:hAnsi="Times New Roman"/>
          <w:sz w:val="24"/>
          <w:szCs w:val="24"/>
        </w:rPr>
        <w:t> </w:t>
      </w:r>
      <w:r w:rsidRPr="000C6481">
        <w:rPr>
          <w:rFonts w:ascii="Times New Roman" w:hAnsi="Times New Roman"/>
          <w:sz w:val="24"/>
          <w:szCs w:val="24"/>
        </w:rPr>
        <w:t xml:space="preserve">v.) iedzīvotāju īpatsvaru. Savukārt, samazinoties sieviešu fertilajā vecumā īpatsvaram, </w:t>
      </w:r>
      <w:proofErr w:type="gramStart"/>
      <w:r w:rsidRPr="000C6481">
        <w:rPr>
          <w:rFonts w:ascii="Times New Roman" w:hAnsi="Times New Roman"/>
          <w:sz w:val="24"/>
          <w:szCs w:val="24"/>
        </w:rPr>
        <w:t>sagaidāma dzimstības rādītāju</w:t>
      </w:r>
      <w:proofErr w:type="gramEnd"/>
      <w:r w:rsidRPr="000C6481">
        <w:rPr>
          <w:rFonts w:ascii="Times New Roman" w:hAnsi="Times New Roman"/>
          <w:sz w:val="24"/>
          <w:szCs w:val="24"/>
        </w:rPr>
        <w:t xml:space="preserve"> pazemināšanās</w:t>
      </w:r>
      <w:r w:rsidRPr="000C6481">
        <w:rPr>
          <w:rStyle w:val="FootnoteReference"/>
          <w:rFonts w:ascii="Times New Roman" w:hAnsi="Times New Roman"/>
          <w:sz w:val="24"/>
          <w:szCs w:val="24"/>
        </w:rPr>
        <w:footnoteReference w:id="6"/>
      </w:r>
      <w:r w:rsidRPr="000C6481">
        <w:rPr>
          <w:rFonts w:ascii="Times New Roman" w:hAnsi="Times New Roman"/>
          <w:sz w:val="24"/>
          <w:szCs w:val="24"/>
        </w:rPr>
        <w:t xml:space="preserve"> (skat. 10. attēlu).</w:t>
      </w:r>
    </w:p>
    <w:p w14:paraId="392BF079" w14:textId="77777777" w:rsidR="00BC6029" w:rsidRPr="000C6481" w:rsidRDefault="00BC6029" w:rsidP="009E2AF1">
      <w:pPr>
        <w:spacing w:line="240" w:lineRule="auto"/>
        <w:jc w:val="right"/>
        <w:rPr>
          <w:rFonts w:ascii="Times New Roman" w:hAnsi="Times New Roman"/>
          <w:sz w:val="24"/>
          <w:szCs w:val="24"/>
        </w:rPr>
      </w:pPr>
      <w:r w:rsidRPr="000C6481">
        <w:rPr>
          <w:rFonts w:ascii="Times New Roman" w:hAnsi="Times New Roman"/>
          <w:sz w:val="24"/>
          <w:szCs w:val="24"/>
        </w:rPr>
        <w:t>10.</w:t>
      </w:r>
      <w:r>
        <w:rPr>
          <w:rFonts w:ascii="Times New Roman" w:hAnsi="Times New Roman"/>
          <w:sz w:val="24"/>
          <w:szCs w:val="24"/>
        </w:rPr>
        <w:t> </w:t>
      </w:r>
      <w:r w:rsidRPr="000C6481">
        <w:rPr>
          <w:rFonts w:ascii="Times New Roman" w:hAnsi="Times New Roman"/>
          <w:sz w:val="24"/>
          <w:szCs w:val="24"/>
        </w:rPr>
        <w:t>attēls</w:t>
      </w:r>
    </w:p>
    <w:p w14:paraId="65B53396" w14:textId="77777777" w:rsidR="00BC6029" w:rsidRPr="000C6481" w:rsidRDefault="00BC6029" w:rsidP="00BC6029">
      <w:pPr>
        <w:spacing w:after="0" w:line="240" w:lineRule="auto"/>
        <w:jc w:val="center"/>
        <w:rPr>
          <w:rFonts w:ascii="Times New Roman" w:hAnsi="Times New Roman"/>
          <w:sz w:val="24"/>
          <w:szCs w:val="24"/>
        </w:rPr>
      </w:pPr>
      <w:r w:rsidRPr="000C6481">
        <w:rPr>
          <w:rFonts w:ascii="Times New Roman" w:hAnsi="Times New Roman"/>
          <w:b/>
          <w:sz w:val="24"/>
          <w:szCs w:val="24"/>
        </w:rPr>
        <w:t>Pastāvīgo iedzīvotāju vecuma piramīda</w:t>
      </w:r>
    </w:p>
    <w:p w14:paraId="7388F554" w14:textId="77777777" w:rsidR="00BC6029" w:rsidRPr="009E2AF1" w:rsidRDefault="00BC6029" w:rsidP="00BC6029">
      <w:pPr>
        <w:spacing w:after="0" w:line="240" w:lineRule="auto"/>
        <w:jc w:val="center"/>
        <w:rPr>
          <w:rFonts w:ascii="Times New Roman" w:hAnsi="Times New Roman"/>
          <w:sz w:val="20"/>
          <w:szCs w:val="20"/>
        </w:rPr>
      </w:pPr>
      <w:r w:rsidRPr="009E2AF1">
        <w:rPr>
          <w:rFonts w:ascii="Times New Roman" w:hAnsi="Times New Roman"/>
          <w:sz w:val="20"/>
          <w:szCs w:val="20"/>
        </w:rPr>
        <w:t>Vecums (gados), 2000, 2015, sadalījumā pa dzimumiem</w:t>
      </w:r>
    </w:p>
    <w:p w14:paraId="683890AC" w14:textId="77777777" w:rsidR="00BC6029" w:rsidRPr="000C6481" w:rsidRDefault="00BC6029" w:rsidP="006902D8">
      <w:pPr>
        <w:spacing w:after="0" w:line="240" w:lineRule="auto"/>
        <w:jc w:val="center"/>
        <w:rPr>
          <w:rFonts w:ascii="Times New Roman" w:hAnsi="Times New Roman"/>
          <w:sz w:val="24"/>
          <w:szCs w:val="24"/>
        </w:rPr>
      </w:pPr>
      <w:r>
        <w:rPr>
          <w:rFonts w:ascii="Times New Roman" w:hAnsi="Times New Roman"/>
          <w:noProof/>
          <w:sz w:val="24"/>
          <w:szCs w:val="24"/>
          <w:lang w:eastAsia="lv-LV"/>
        </w:rPr>
        <w:drawing>
          <wp:inline distT="0" distB="0" distL="0" distR="0" wp14:anchorId="1A29A634" wp14:editId="4AD9CCBE">
            <wp:extent cx="4752975" cy="4257675"/>
            <wp:effectExtent l="19050" t="19050" r="28575" b="28575"/>
            <wp:docPr id="2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52975" cy="4257675"/>
                    </a:xfrm>
                    <a:prstGeom prst="rect">
                      <a:avLst/>
                    </a:prstGeom>
                    <a:noFill/>
                    <a:ln w="9525" cmpd="sng">
                      <a:solidFill>
                        <a:srgbClr val="7F7F7F"/>
                      </a:solidFill>
                      <a:miter lim="800000"/>
                      <a:headEnd/>
                      <a:tailEnd/>
                    </a:ln>
                    <a:effectLst/>
                  </pic:spPr>
                </pic:pic>
              </a:graphicData>
            </a:graphic>
          </wp:inline>
        </w:drawing>
      </w:r>
    </w:p>
    <w:p w14:paraId="5D130BBF" w14:textId="77777777" w:rsidR="00BC6029" w:rsidRPr="009E2AF1" w:rsidRDefault="00BC6029" w:rsidP="009E2AF1">
      <w:pPr>
        <w:rPr>
          <w:rFonts w:ascii="Times New Roman" w:hAnsi="Times New Roman"/>
          <w:sz w:val="20"/>
          <w:szCs w:val="20"/>
        </w:rPr>
      </w:pPr>
      <w:r w:rsidRPr="009E2AF1">
        <w:rPr>
          <w:rFonts w:ascii="Times New Roman" w:hAnsi="Times New Roman"/>
          <w:sz w:val="20"/>
          <w:szCs w:val="20"/>
        </w:rPr>
        <w:t>Avots: CSB (2015). Statistikas gadagrāmata 2015. http://www.csb.gov.lv/sites/default/files/nr_01_latvijas_statistikas_gadagramata_2015_statistical_yearbook_of_latvia_15_00_lv_en.pdf</w:t>
      </w:r>
    </w:p>
    <w:p w14:paraId="3EB6827E" w14:textId="183D7B70" w:rsidR="00BC6029" w:rsidRPr="000C6481" w:rsidRDefault="00BC6029" w:rsidP="00BC6029">
      <w:pPr>
        <w:jc w:val="both"/>
        <w:rPr>
          <w:rFonts w:ascii="Times New Roman" w:hAnsi="Times New Roman"/>
          <w:sz w:val="24"/>
          <w:szCs w:val="24"/>
        </w:rPr>
      </w:pPr>
      <w:r w:rsidRPr="000C6481">
        <w:rPr>
          <w:rFonts w:ascii="Times New Roman" w:hAnsi="Times New Roman"/>
          <w:sz w:val="24"/>
          <w:szCs w:val="24"/>
        </w:rPr>
        <w:t xml:space="preserve">Lai mazinātu iepriekšminēto demogrāfisko izmaiņu negatīvo ietekmi uz tautsaimniecību un </w:t>
      </w:r>
      <w:r>
        <w:rPr>
          <w:rFonts w:ascii="Times New Roman" w:hAnsi="Times New Roman"/>
          <w:sz w:val="24"/>
          <w:szCs w:val="24"/>
        </w:rPr>
        <w:t>uzlabotu</w:t>
      </w:r>
      <w:r w:rsidRPr="000C6481">
        <w:rPr>
          <w:rFonts w:ascii="Times New Roman" w:hAnsi="Times New Roman"/>
          <w:sz w:val="24"/>
          <w:szCs w:val="24"/>
        </w:rPr>
        <w:t xml:space="preserve"> iedzīvotāju dzīves kvalitāti, </w:t>
      </w:r>
      <w:r w:rsidR="00AF229C">
        <w:rPr>
          <w:rFonts w:ascii="Times New Roman" w:hAnsi="Times New Roman"/>
          <w:sz w:val="24"/>
          <w:szCs w:val="24"/>
        </w:rPr>
        <w:t>jāīsteno</w:t>
      </w:r>
      <w:r w:rsidR="005D53E5" w:rsidRPr="005D53E5">
        <w:rPr>
          <w:rFonts w:ascii="Times New Roman" w:hAnsi="Times New Roman"/>
          <w:sz w:val="24"/>
          <w:szCs w:val="24"/>
        </w:rPr>
        <w:t xml:space="preserve"> </w:t>
      </w:r>
      <w:r w:rsidR="005D53E5" w:rsidRPr="006902D8">
        <w:rPr>
          <w:rFonts w:ascii="Times New Roman" w:hAnsi="Times New Roman"/>
          <w:sz w:val="24"/>
          <w:szCs w:val="24"/>
        </w:rPr>
        <w:t>mērķtiecīgas</w:t>
      </w:r>
      <w:r w:rsidRPr="006902D8">
        <w:rPr>
          <w:rFonts w:ascii="Times New Roman" w:hAnsi="Times New Roman"/>
          <w:sz w:val="24"/>
          <w:szCs w:val="24"/>
        </w:rPr>
        <w:t xml:space="preserve"> </w:t>
      </w:r>
      <w:r w:rsidRPr="005D53E5">
        <w:rPr>
          <w:rFonts w:ascii="Times New Roman" w:hAnsi="Times New Roman"/>
          <w:sz w:val="24"/>
          <w:szCs w:val="24"/>
        </w:rPr>
        <w:t>politikas iniciatīvas, kas vērstas uz dzimstības rādītāju uzlabošanu, mirstības radītāju</w:t>
      </w:r>
      <w:r w:rsidRPr="000C6481">
        <w:rPr>
          <w:rFonts w:ascii="Times New Roman" w:hAnsi="Times New Roman"/>
          <w:sz w:val="24"/>
          <w:szCs w:val="24"/>
        </w:rPr>
        <w:t xml:space="preserve"> mazināšanu, emigrācijas sarukšanu un </w:t>
      </w:r>
      <w:proofErr w:type="spellStart"/>
      <w:r w:rsidRPr="000C6481">
        <w:rPr>
          <w:rFonts w:ascii="Times New Roman" w:hAnsi="Times New Roman"/>
          <w:sz w:val="24"/>
          <w:szCs w:val="24"/>
        </w:rPr>
        <w:t>remigrācijas</w:t>
      </w:r>
      <w:proofErr w:type="spellEnd"/>
      <w:r w:rsidRPr="000C6481">
        <w:rPr>
          <w:rFonts w:ascii="Times New Roman" w:hAnsi="Times New Roman"/>
          <w:sz w:val="24"/>
          <w:szCs w:val="24"/>
        </w:rPr>
        <w:t xml:space="preserve"> veicināšanu.</w:t>
      </w:r>
    </w:p>
    <w:p w14:paraId="7AB8E905" w14:textId="09B5380E" w:rsidR="00BC6029" w:rsidRPr="000C6481" w:rsidRDefault="00BC6029" w:rsidP="00BC6029">
      <w:pPr>
        <w:jc w:val="both"/>
        <w:rPr>
          <w:rFonts w:ascii="Times New Roman" w:hAnsi="Times New Roman"/>
          <w:sz w:val="24"/>
          <w:szCs w:val="24"/>
        </w:rPr>
      </w:pPr>
      <w:r w:rsidRPr="000C6481">
        <w:rPr>
          <w:rFonts w:ascii="Times New Roman" w:hAnsi="Times New Roman"/>
          <w:sz w:val="24"/>
          <w:szCs w:val="24"/>
        </w:rPr>
        <w:lastRenderedPageBreak/>
        <w:t>Ņemot vērā minēto, demogrāfiskās situācijas uzlabošana, ģimenes dzīves kvalitāte un sociāl</w:t>
      </w:r>
      <w:r w:rsidR="00091C79">
        <w:rPr>
          <w:rFonts w:ascii="Times New Roman" w:hAnsi="Times New Roman"/>
          <w:sz w:val="24"/>
          <w:szCs w:val="24"/>
        </w:rPr>
        <w:t>ais</w:t>
      </w:r>
      <w:r w:rsidRPr="000C6481">
        <w:rPr>
          <w:rFonts w:ascii="Times New Roman" w:hAnsi="Times New Roman"/>
          <w:sz w:val="24"/>
          <w:szCs w:val="24"/>
        </w:rPr>
        <w:t xml:space="preserve"> nodrošinā</w:t>
      </w:r>
      <w:r w:rsidR="00091C79">
        <w:rPr>
          <w:rFonts w:ascii="Times New Roman" w:hAnsi="Times New Roman"/>
          <w:sz w:val="24"/>
          <w:szCs w:val="24"/>
        </w:rPr>
        <w:t>jums</w:t>
      </w:r>
      <w:r w:rsidRPr="000C6481">
        <w:rPr>
          <w:rFonts w:ascii="Times New Roman" w:hAnsi="Times New Roman"/>
          <w:sz w:val="24"/>
          <w:szCs w:val="24"/>
        </w:rPr>
        <w:t xml:space="preserve"> </w:t>
      </w:r>
      <w:r w:rsidR="0046357C" w:rsidRPr="00000EBA">
        <w:rPr>
          <w:rFonts w:ascii="Times New Roman" w:hAnsi="Times New Roman" w:cs="Times New Roman"/>
          <w:sz w:val="24"/>
          <w:szCs w:val="24"/>
        </w:rPr>
        <w:t>tika izvirzīta kā viena</w:t>
      </w:r>
      <w:r w:rsidR="0046357C">
        <w:rPr>
          <w:rFonts w:ascii="Times New Roman" w:hAnsi="Times New Roman"/>
          <w:sz w:val="24"/>
          <w:szCs w:val="24"/>
        </w:rPr>
        <w:t xml:space="preserve"> </w:t>
      </w:r>
      <w:r w:rsidR="00277B03">
        <w:rPr>
          <w:rFonts w:ascii="Times New Roman" w:hAnsi="Times New Roman"/>
          <w:sz w:val="24"/>
          <w:szCs w:val="24"/>
        </w:rPr>
        <w:t xml:space="preserve">no </w:t>
      </w:r>
      <w:r w:rsidRPr="000C6481">
        <w:rPr>
          <w:rFonts w:ascii="Times New Roman" w:hAnsi="Times New Roman"/>
          <w:sz w:val="24"/>
          <w:szCs w:val="24"/>
        </w:rPr>
        <w:t>Māra Kučinska vadītās valdības prioritātēm.</w:t>
      </w:r>
    </w:p>
    <w:p w14:paraId="22D06F70" w14:textId="77777777" w:rsidR="00BC6029" w:rsidRPr="000C6481" w:rsidRDefault="00BC6029" w:rsidP="00BC6029">
      <w:pPr>
        <w:spacing w:after="0" w:line="240" w:lineRule="auto"/>
        <w:jc w:val="both"/>
        <w:rPr>
          <w:rFonts w:ascii="Times New Roman" w:hAnsi="Times New Roman"/>
          <w:sz w:val="24"/>
          <w:szCs w:val="24"/>
        </w:rPr>
      </w:pPr>
    </w:p>
    <w:p w14:paraId="420156A9" w14:textId="20C5D7AD" w:rsidR="00885CB6" w:rsidRPr="00716B0D" w:rsidRDefault="00E057ED" w:rsidP="00885CB6">
      <w:pPr>
        <w:pStyle w:val="Heading2"/>
        <w:rPr>
          <w:rFonts w:cs="Times New Roman"/>
          <w:b w:val="0"/>
          <w:color w:val="0070C0"/>
          <w:szCs w:val="24"/>
        </w:rPr>
      </w:pPr>
      <w:r>
        <w:rPr>
          <w:rStyle w:val="Heading2Char"/>
          <w:b/>
          <w:color w:val="0070C0"/>
        </w:rPr>
        <w:t> </w:t>
      </w:r>
      <w:bookmarkStart w:id="54" w:name="_Toc466466868"/>
      <w:r w:rsidR="00885CB6" w:rsidRPr="00716B0D">
        <w:rPr>
          <w:rStyle w:val="Heading2Char"/>
          <w:b/>
          <w:color w:val="0070C0"/>
        </w:rPr>
        <w:t>Demogrāfiskās situācijas uzlabošanas pasākumi</w:t>
      </w:r>
      <w:bookmarkEnd w:id="54"/>
      <w:r w:rsidR="00885CB6" w:rsidRPr="00716B0D">
        <w:rPr>
          <w:rFonts w:cs="Times New Roman"/>
          <w:b w:val="0"/>
          <w:color w:val="0070C0"/>
          <w:szCs w:val="24"/>
        </w:rPr>
        <w:t xml:space="preserve"> </w:t>
      </w:r>
    </w:p>
    <w:p w14:paraId="323A4F49" w14:textId="77777777" w:rsidR="00BC6029" w:rsidRPr="000C6481" w:rsidRDefault="00BC6029" w:rsidP="00BC6029">
      <w:pPr>
        <w:jc w:val="both"/>
        <w:rPr>
          <w:rFonts w:ascii="Times New Roman" w:hAnsi="Times New Roman"/>
          <w:sz w:val="24"/>
          <w:szCs w:val="24"/>
        </w:rPr>
      </w:pPr>
      <w:r w:rsidRPr="000C6481">
        <w:rPr>
          <w:rFonts w:ascii="Times New Roman" w:hAnsi="Times New Roman"/>
          <w:sz w:val="24"/>
          <w:szCs w:val="24"/>
        </w:rPr>
        <w:t xml:space="preserve">Lai izstrādātu un sniegtu priekšlikumus tautas ataudzes atbalsta pasākumu pilnveidošanai, pārskata periodā tika izveidota starpinstitucionāla sadarbības platforma – DLC, kuras sastāvā ir Saeimas pārstāvis, eksperti no Ministru prezidenta biroja, VM, LM un FM, kā arī PKC pārstāvji, sociālo lietu eksperts un demogrāfs. </w:t>
      </w:r>
    </w:p>
    <w:p w14:paraId="02006F0D" w14:textId="77777777" w:rsidR="00BC6029" w:rsidRPr="000C6481" w:rsidRDefault="00BC6029" w:rsidP="00BC6029">
      <w:pPr>
        <w:jc w:val="both"/>
        <w:rPr>
          <w:rFonts w:ascii="Times New Roman" w:hAnsi="Times New Roman"/>
          <w:sz w:val="24"/>
          <w:szCs w:val="24"/>
        </w:rPr>
      </w:pPr>
      <w:r w:rsidRPr="000C6481">
        <w:rPr>
          <w:rFonts w:ascii="Times New Roman" w:hAnsi="Times New Roman"/>
          <w:sz w:val="24"/>
          <w:szCs w:val="24"/>
        </w:rPr>
        <w:t xml:space="preserve">DLC pārstāvji, analizējot sociālās un ģimenes atbalsta politikas instrumentus, identificēja jomas, kur nepieciešama operatīva rīcība ģimeņu dzīves kvalitātes uzlabošanai vai normatīvā regulējuma sistēmiskai sakārtošanai. DLC piedāvātie priekšlikumi primāri vērsti uz </w:t>
      </w:r>
      <w:r w:rsidRPr="000C6481">
        <w:rPr>
          <w:rFonts w:ascii="Times New Roman" w:hAnsi="Times New Roman"/>
          <w:color w:val="000000"/>
          <w:sz w:val="24"/>
          <w:szCs w:val="24"/>
        </w:rPr>
        <w:t>stratēģiskā mērķa sasniegšanu tautas ataudzes jomā – dzimstības veicināšan</w:t>
      </w:r>
      <w:r>
        <w:rPr>
          <w:rFonts w:ascii="Times New Roman" w:hAnsi="Times New Roman"/>
          <w:color w:val="000000"/>
          <w:sz w:val="24"/>
          <w:szCs w:val="24"/>
        </w:rPr>
        <w:t>u</w:t>
      </w:r>
      <w:r w:rsidRPr="000C6481">
        <w:rPr>
          <w:rFonts w:ascii="Times New Roman" w:hAnsi="Times New Roman"/>
          <w:sz w:val="24"/>
          <w:szCs w:val="24"/>
        </w:rPr>
        <w:t>, kā arī nabadzības mazināšanu īpaši augstam nabadzības riskam pakļautajām grupām – daudzbērnu ģimenēm un ģimenēm, kur bērnus audzina viens pieaugušais</w:t>
      </w:r>
      <w:r w:rsidRPr="000C6481">
        <w:rPr>
          <w:rFonts w:ascii="Times New Roman" w:hAnsi="Times New Roman"/>
          <w:sz w:val="24"/>
          <w:szCs w:val="24"/>
          <w:vertAlign w:val="superscript"/>
        </w:rPr>
        <w:footnoteReference w:id="7"/>
      </w:r>
      <w:r w:rsidRPr="000C6481">
        <w:rPr>
          <w:rFonts w:ascii="Times New Roman" w:hAnsi="Times New Roman"/>
          <w:sz w:val="24"/>
          <w:szCs w:val="24"/>
        </w:rPr>
        <w:t>.</w:t>
      </w:r>
    </w:p>
    <w:p w14:paraId="65B0FCCB" w14:textId="77777777" w:rsidR="00BC6029" w:rsidRPr="000C6481" w:rsidRDefault="00BC6029" w:rsidP="00BC6029">
      <w:pPr>
        <w:jc w:val="both"/>
        <w:rPr>
          <w:rFonts w:ascii="Times New Roman" w:hAnsi="Times New Roman"/>
          <w:sz w:val="24"/>
          <w:szCs w:val="24"/>
        </w:rPr>
      </w:pPr>
      <w:r w:rsidRPr="000C6481">
        <w:rPr>
          <w:rFonts w:ascii="Times New Roman" w:hAnsi="Times New Roman"/>
          <w:sz w:val="24"/>
          <w:szCs w:val="24"/>
        </w:rPr>
        <w:t>Valdība atbalstīja vairākus DLC priekšlikumus ar kopējo finansējuma piešķīrumu 19,09</w:t>
      </w:r>
      <w:r>
        <w:rPr>
          <w:rFonts w:ascii="Times New Roman" w:hAnsi="Times New Roman"/>
          <w:sz w:val="24"/>
          <w:szCs w:val="24"/>
        </w:rPr>
        <w:t> milj.</w:t>
      </w:r>
      <w:r w:rsidRPr="000C6481">
        <w:rPr>
          <w:rFonts w:ascii="Times New Roman" w:hAnsi="Times New Roman"/>
          <w:sz w:val="24"/>
          <w:szCs w:val="24"/>
        </w:rPr>
        <w:t xml:space="preserve"> </w:t>
      </w:r>
      <w:proofErr w:type="spellStart"/>
      <w:r w:rsidRPr="000C6481">
        <w:rPr>
          <w:rFonts w:ascii="Times New Roman" w:hAnsi="Times New Roman"/>
          <w:i/>
          <w:sz w:val="24"/>
          <w:szCs w:val="24"/>
        </w:rPr>
        <w:t>euro</w:t>
      </w:r>
      <w:proofErr w:type="spellEnd"/>
      <w:r w:rsidRPr="000C6481">
        <w:rPr>
          <w:rFonts w:ascii="Times New Roman" w:hAnsi="Times New Roman"/>
          <w:sz w:val="24"/>
          <w:szCs w:val="24"/>
        </w:rPr>
        <w:t xml:space="preserve"> apmērā 2017. gadā, tā nodrošinot operatīvi risināmo tautas ataudzes atbalsta pasākumu ieviešanu, kas noteikti valdības rīcības plānā.</w:t>
      </w:r>
    </w:p>
    <w:p w14:paraId="51DEE4FE" w14:textId="77777777" w:rsidR="00BC6029" w:rsidRPr="000C6481" w:rsidRDefault="00BC6029" w:rsidP="00BC6029">
      <w:pPr>
        <w:jc w:val="both"/>
        <w:rPr>
          <w:rFonts w:ascii="Times New Roman" w:hAnsi="Times New Roman"/>
          <w:sz w:val="24"/>
          <w:szCs w:val="24"/>
        </w:rPr>
      </w:pPr>
      <w:r w:rsidRPr="000C6481">
        <w:rPr>
          <w:rFonts w:ascii="Times New Roman" w:hAnsi="Times New Roman"/>
          <w:sz w:val="24"/>
          <w:szCs w:val="24"/>
        </w:rPr>
        <w:t xml:space="preserve">Lai mazinātu nepilno ģimeņu nabadzību un visiem bērniem piedāvātu līdzvērtīgu sociālo nodrošinājumu, no 2017. gada 1. aprīļa paredzēts palielināt valsts minimālā atbalsta apmēru apgādnieku zaudējušiem bērniem, tuvinot to minimālo uzturlīdzekļu apmēram, kādu valsts garantē gadījumos, kad kāds no bērna vecākiem nepilda savus pienākumus un nenodrošina bērnam nepieciešamo uzturēšanu. Savukārt, lai radītu ekonomiski labvēlīgākus apstākļus daudzbērnu ģimenēm, kas ir otrs augstam nabadzības riskam pakļauto ģimeņu veids, tiks palielināts ģimenes valsts pabalsts – ģimenēs ar četriem un vairāk bērniem no 2017. gada 1. janvāra paredzēts par ceturto un nākamajiem bērniem noteikt 4,4 reizes lielāku </w:t>
      </w:r>
      <w:r>
        <w:rPr>
          <w:rFonts w:ascii="Times New Roman" w:hAnsi="Times New Roman"/>
          <w:sz w:val="24"/>
          <w:szCs w:val="24"/>
        </w:rPr>
        <w:t xml:space="preserve">pabalstu </w:t>
      </w:r>
      <w:r w:rsidRPr="000C6481">
        <w:rPr>
          <w:rFonts w:ascii="Times New Roman" w:hAnsi="Times New Roman"/>
          <w:sz w:val="24"/>
          <w:szCs w:val="24"/>
        </w:rPr>
        <w:t xml:space="preserve">nekā par pirmo bērnu (pašreiz 34,14 </w:t>
      </w:r>
      <w:proofErr w:type="spellStart"/>
      <w:r w:rsidRPr="000C6481">
        <w:rPr>
          <w:rFonts w:ascii="Times New Roman" w:hAnsi="Times New Roman"/>
          <w:i/>
          <w:sz w:val="24"/>
          <w:szCs w:val="24"/>
        </w:rPr>
        <w:t>euro</w:t>
      </w:r>
      <w:proofErr w:type="spellEnd"/>
      <w:r w:rsidRPr="000C6481">
        <w:rPr>
          <w:rFonts w:ascii="Times New Roman" w:hAnsi="Times New Roman"/>
          <w:sz w:val="24"/>
          <w:szCs w:val="24"/>
        </w:rPr>
        <w:t>, turpmāk 50,07 </w:t>
      </w:r>
      <w:proofErr w:type="spellStart"/>
      <w:r w:rsidRPr="000C6481">
        <w:rPr>
          <w:rFonts w:ascii="Times New Roman" w:hAnsi="Times New Roman"/>
          <w:i/>
          <w:sz w:val="24"/>
          <w:szCs w:val="24"/>
        </w:rPr>
        <w:t>euro</w:t>
      </w:r>
      <w:proofErr w:type="spellEnd"/>
      <w:r w:rsidRPr="000C6481">
        <w:rPr>
          <w:rFonts w:ascii="Times New Roman" w:hAnsi="Times New Roman"/>
          <w:sz w:val="24"/>
          <w:szCs w:val="24"/>
        </w:rPr>
        <w:t xml:space="preserve">). </w:t>
      </w:r>
    </w:p>
    <w:p w14:paraId="6F03CEAB" w14:textId="72CA598B" w:rsidR="00BC6029" w:rsidRPr="000C6481" w:rsidRDefault="00BC6029" w:rsidP="00BC6029">
      <w:pPr>
        <w:jc w:val="both"/>
        <w:rPr>
          <w:rFonts w:ascii="Times New Roman" w:hAnsi="Times New Roman"/>
          <w:sz w:val="24"/>
          <w:szCs w:val="24"/>
        </w:rPr>
      </w:pPr>
      <w:r w:rsidRPr="000C6481">
        <w:rPr>
          <w:rFonts w:ascii="Times New Roman" w:hAnsi="Times New Roman"/>
          <w:sz w:val="24"/>
          <w:szCs w:val="24"/>
        </w:rPr>
        <w:t xml:space="preserve">Līdz ar tieša monetāra atbalsta palielināšanu ģimenes valsts pabalsta veidā valdība ir apņēmusies daudzbērnu ģimeņu pārstāvjiem paaugstināt arī reģionālās mobilitātes iespējas. Apkopojot citu valstu pieredzi un Latvijā īstenoto pētījumu rezultātus par daudzbērnu ģimeņu lielākajām vajadzībām, kā viena no tām identificēta sabiedriskā transporta dārdzība, tāpēc </w:t>
      </w:r>
      <w:r w:rsidR="002C6881">
        <w:rPr>
          <w:rFonts w:ascii="Times New Roman" w:hAnsi="Times New Roman"/>
          <w:sz w:val="24"/>
          <w:szCs w:val="24"/>
        </w:rPr>
        <w:t xml:space="preserve">plānots, ka </w:t>
      </w:r>
      <w:r w:rsidRPr="000C6481">
        <w:rPr>
          <w:rFonts w:ascii="Times New Roman" w:hAnsi="Times New Roman"/>
          <w:sz w:val="24"/>
          <w:szCs w:val="24"/>
        </w:rPr>
        <w:t xml:space="preserve">no 2017. gada starppilsētu sabiedriskajā transportā daudzbērnu ģimenes varēs </w:t>
      </w:r>
      <w:r>
        <w:rPr>
          <w:rFonts w:ascii="Times New Roman" w:hAnsi="Times New Roman"/>
          <w:sz w:val="24"/>
          <w:szCs w:val="24"/>
        </w:rPr>
        <w:t>braukt</w:t>
      </w:r>
      <w:r w:rsidRPr="000C6481">
        <w:rPr>
          <w:rFonts w:ascii="Times New Roman" w:hAnsi="Times New Roman"/>
          <w:sz w:val="24"/>
          <w:szCs w:val="24"/>
        </w:rPr>
        <w:t xml:space="preserve"> ar 25</w:t>
      </w:r>
      <w:r>
        <w:rPr>
          <w:rFonts w:ascii="Times New Roman" w:hAnsi="Times New Roman"/>
          <w:sz w:val="24"/>
          <w:szCs w:val="24"/>
        </w:rPr>
        <w:t> %</w:t>
      </w:r>
      <w:r w:rsidRPr="000C6481">
        <w:rPr>
          <w:rFonts w:ascii="Times New Roman" w:hAnsi="Times New Roman"/>
          <w:sz w:val="24"/>
          <w:szCs w:val="24"/>
        </w:rPr>
        <w:t xml:space="preserve"> atlaidi. Tiek sagaidīts, ka šī iniciatīva pozitīvi ietekmēs gan daudzbērnu ģimeņu vecāku reģionālās mobilitātes iespējas nodarbi</w:t>
      </w:r>
      <w:r>
        <w:rPr>
          <w:rFonts w:ascii="Times New Roman" w:hAnsi="Times New Roman"/>
          <w:sz w:val="24"/>
          <w:szCs w:val="24"/>
        </w:rPr>
        <w:t>nātības jomā, gan arī šo ģimeņu</w:t>
      </w:r>
      <w:r w:rsidRPr="000C6481">
        <w:rPr>
          <w:rFonts w:ascii="Times New Roman" w:hAnsi="Times New Roman"/>
          <w:sz w:val="24"/>
          <w:szCs w:val="24"/>
        </w:rPr>
        <w:t xml:space="preserve"> iespējas apmeklēt mākslas un kultūras pasākumus, tā visaptveroši uzla</w:t>
      </w:r>
      <w:r>
        <w:rPr>
          <w:rFonts w:ascii="Times New Roman" w:hAnsi="Times New Roman"/>
          <w:sz w:val="24"/>
          <w:szCs w:val="24"/>
        </w:rPr>
        <w:t>bojot ģimeņu dzīves kvalitāti.</w:t>
      </w:r>
    </w:p>
    <w:p w14:paraId="001C73A1" w14:textId="77777777" w:rsidR="00BC6029" w:rsidRPr="000C6481" w:rsidRDefault="00BC6029" w:rsidP="00BC6029">
      <w:pPr>
        <w:jc w:val="both"/>
        <w:rPr>
          <w:rFonts w:ascii="Times New Roman" w:hAnsi="Times New Roman"/>
          <w:sz w:val="24"/>
          <w:szCs w:val="24"/>
        </w:rPr>
      </w:pPr>
      <w:proofErr w:type="gramStart"/>
      <w:r>
        <w:rPr>
          <w:rFonts w:ascii="Times New Roman" w:hAnsi="Times New Roman"/>
          <w:sz w:val="24"/>
          <w:szCs w:val="24"/>
        </w:rPr>
        <w:lastRenderedPageBreak/>
        <w:t>N</w:t>
      </w:r>
      <w:r w:rsidRPr="000C6481">
        <w:rPr>
          <w:rFonts w:ascii="Times New Roman" w:hAnsi="Times New Roman"/>
          <w:sz w:val="24"/>
          <w:szCs w:val="24"/>
        </w:rPr>
        <w:t>o 2017. gada 1. janvāra plānots</w:t>
      </w:r>
      <w:proofErr w:type="gramEnd"/>
      <w:r w:rsidRPr="000C6481">
        <w:rPr>
          <w:rFonts w:ascii="Times New Roman" w:hAnsi="Times New Roman"/>
          <w:sz w:val="24"/>
          <w:szCs w:val="24"/>
        </w:rPr>
        <w:t xml:space="preserve"> palielināt sociālās apdrošināšanas iemaksas par personām, kuras kopj bērnu līdz pusotra gada vecumam, t.</w:t>
      </w:r>
      <w:r>
        <w:rPr>
          <w:rFonts w:ascii="Times New Roman" w:hAnsi="Times New Roman"/>
          <w:sz w:val="24"/>
          <w:szCs w:val="24"/>
        </w:rPr>
        <w:t> </w:t>
      </w:r>
      <w:r w:rsidRPr="000C6481">
        <w:rPr>
          <w:rFonts w:ascii="Times New Roman" w:hAnsi="Times New Roman"/>
          <w:sz w:val="24"/>
          <w:szCs w:val="24"/>
        </w:rPr>
        <w:t xml:space="preserve">i., iemaksas pensiju, invaliditātes un bezdarba apdrošināšanai veikt no 171 </w:t>
      </w:r>
      <w:proofErr w:type="spellStart"/>
      <w:r w:rsidRPr="000C6481">
        <w:rPr>
          <w:rFonts w:ascii="Times New Roman" w:hAnsi="Times New Roman"/>
          <w:i/>
          <w:sz w:val="24"/>
          <w:szCs w:val="24"/>
        </w:rPr>
        <w:t>euro</w:t>
      </w:r>
      <w:proofErr w:type="spellEnd"/>
      <w:r w:rsidRPr="000C6481">
        <w:rPr>
          <w:rFonts w:ascii="Times New Roman" w:hAnsi="Times New Roman"/>
          <w:sz w:val="24"/>
          <w:szCs w:val="24"/>
        </w:rPr>
        <w:t xml:space="preserve"> (šobrīd – no 142,29 </w:t>
      </w:r>
      <w:proofErr w:type="spellStart"/>
      <w:r w:rsidRPr="000C6481">
        <w:rPr>
          <w:rFonts w:ascii="Times New Roman" w:hAnsi="Times New Roman"/>
          <w:i/>
          <w:sz w:val="24"/>
          <w:szCs w:val="24"/>
        </w:rPr>
        <w:t>euro</w:t>
      </w:r>
      <w:proofErr w:type="spellEnd"/>
      <w:r w:rsidRPr="000C6481">
        <w:rPr>
          <w:rFonts w:ascii="Times New Roman" w:hAnsi="Times New Roman"/>
          <w:sz w:val="24"/>
          <w:szCs w:val="24"/>
        </w:rPr>
        <w:t xml:space="preserve">). Lai panāktu turpmāku NAP2020 rādītāju progresu, tuvinoties mērķim </w:t>
      </w:r>
      <w:r>
        <w:rPr>
          <w:rFonts w:ascii="Times New Roman" w:hAnsi="Times New Roman"/>
          <w:sz w:val="24"/>
          <w:szCs w:val="24"/>
        </w:rPr>
        <w:t xml:space="preserve">– </w:t>
      </w:r>
      <w:r w:rsidRPr="000C6481">
        <w:rPr>
          <w:rFonts w:ascii="Times New Roman" w:hAnsi="Times New Roman"/>
          <w:sz w:val="24"/>
          <w:szCs w:val="24"/>
        </w:rPr>
        <w:t>panākt, ka bērni dzīvo labvēlīgā ģimenis</w:t>
      </w:r>
      <w:r>
        <w:rPr>
          <w:rFonts w:ascii="Times New Roman" w:hAnsi="Times New Roman"/>
          <w:sz w:val="24"/>
          <w:szCs w:val="24"/>
        </w:rPr>
        <w:t>kā vai ģimenei pietuvinātā vidē</w:t>
      </w:r>
      <w:r w:rsidRPr="000C6481">
        <w:rPr>
          <w:rFonts w:ascii="Times New Roman" w:hAnsi="Times New Roman"/>
          <w:sz w:val="24"/>
          <w:szCs w:val="24"/>
        </w:rPr>
        <w:t xml:space="preserve"> un vardarbība ģimenē samazinās,</w:t>
      </w:r>
      <w:r>
        <w:rPr>
          <w:rFonts w:ascii="Times New Roman" w:hAnsi="Times New Roman"/>
          <w:sz w:val="24"/>
          <w:szCs w:val="24"/>
        </w:rPr>
        <w:t xml:space="preserve"> –</w:t>
      </w:r>
      <w:r w:rsidRPr="000C6481">
        <w:rPr>
          <w:rFonts w:ascii="Times New Roman" w:hAnsi="Times New Roman"/>
          <w:sz w:val="24"/>
          <w:szCs w:val="24"/>
        </w:rPr>
        <w:t xml:space="preserve"> 2017. gada budžetā paredzēti arī pasākumi bez vecāku gādības palikušo bērnu aprūpe</w:t>
      </w:r>
      <w:r>
        <w:rPr>
          <w:rFonts w:ascii="Times New Roman" w:hAnsi="Times New Roman"/>
          <w:sz w:val="24"/>
          <w:szCs w:val="24"/>
        </w:rPr>
        <w:t>i</w:t>
      </w:r>
      <w:r w:rsidRPr="000C6481">
        <w:rPr>
          <w:rFonts w:ascii="Times New Roman" w:hAnsi="Times New Roman"/>
          <w:sz w:val="24"/>
          <w:szCs w:val="24"/>
        </w:rPr>
        <w:t xml:space="preserve"> ģimeniskā vidē, uzlabojot adoptētājiem sniegtā atbalsta sistēmu un ārpusģimenes aprūpes sistēmu, </w:t>
      </w:r>
      <w:r>
        <w:rPr>
          <w:rFonts w:ascii="Times New Roman" w:hAnsi="Times New Roman"/>
          <w:sz w:val="24"/>
          <w:szCs w:val="24"/>
        </w:rPr>
        <w:t xml:space="preserve">kā arī </w:t>
      </w:r>
      <w:r w:rsidRPr="000C6481">
        <w:rPr>
          <w:rFonts w:ascii="Times New Roman" w:hAnsi="Times New Roman"/>
          <w:sz w:val="24"/>
          <w:szCs w:val="24"/>
        </w:rPr>
        <w:t>sniedzot atbalstu aizbildņiem un audžuģimenēm. Līdz ar citiem tautas ataudzi veicinošiem pasākumiem plānots turpināt arī Mājokļu programmas darbību, k</w:t>
      </w:r>
      <w:r>
        <w:rPr>
          <w:rFonts w:ascii="Times New Roman" w:hAnsi="Times New Roman"/>
          <w:sz w:val="24"/>
          <w:szCs w:val="24"/>
        </w:rPr>
        <w:t>uras</w:t>
      </w:r>
      <w:r w:rsidRPr="000C6481">
        <w:rPr>
          <w:rFonts w:ascii="Times New Roman" w:hAnsi="Times New Roman"/>
          <w:sz w:val="24"/>
          <w:szCs w:val="24"/>
        </w:rPr>
        <w:t xml:space="preserve"> ietvaros </w:t>
      </w:r>
      <w:r>
        <w:rPr>
          <w:rFonts w:ascii="Times New Roman" w:hAnsi="Times New Roman"/>
          <w:sz w:val="24"/>
          <w:szCs w:val="24"/>
        </w:rPr>
        <w:t>tiek sniegts</w:t>
      </w:r>
      <w:r w:rsidRPr="000C6481">
        <w:rPr>
          <w:rFonts w:ascii="Times New Roman" w:hAnsi="Times New Roman"/>
          <w:sz w:val="24"/>
          <w:szCs w:val="24"/>
        </w:rPr>
        <w:t xml:space="preserve"> valsts galvojum</w:t>
      </w:r>
      <w:r>
        <w:rPr>
          <w:rFonts w:ascii="Times New Roman" w:hAnsi="Times New Roman"/>
          <w:sz w:val="24"/>
          <w:szCs w:val="24"/>
        </w:rPr>
        <w:t>s</w:t>
      </w:r>
      <w:r w:rsidRPr="000C6481">
        <w:rPr>
          <w:rFonts w:ascii="Times New Roman" w:hAnsi="Times New Roman"/>
          <w:sz w:val="24"/>
          <w:szCs w:val="24"/>
        </w:rPr>
        <w:t xml:space="preserve"> hipotekārajiem kredītiem dzīvojamās telpas iegādei vai būvniecībai ģimenēm ar bērniem.</w:t>
      </w:r>
    </w:p>
    <w:p w14:paraId="5E8CA48E" w14:textId="369BADAA" w:rsidR="00BC6029" w:rsidRPr="000C6481" w:rsidRDefault="00BC6029" w:rsidP="00BC6029">
      <w:pPr>
        <w:jc w:val="both"/>
        <w:rPr>
          <w:rFonts w:ascii="Times New Roman" w:hAnsi="Times New Roman"/>
          <w:sz w:val="24"/>
          <w:szCs w:val="24"/>
        </w:rPr>
      </w:pPr>
      <w:r>
        <w:rPr>
          <w:rFonts w:ascii="Times New Roman" w:hAnsi="Times New Roman"/>
          <w:sz w:val="24"/>
          <w:szCs w:val="24"/>
        </w:rPr>
        <w:t>Vienlaikus</w:t>
      </w:r>
      <w:r w:rsidRPr="000C6481">
        <w:rPr>
          <w:rFonts w:ascii="Times New Roman" w:hAnsi="Times New Roman"/>
          <w:sz w:val="24"/>
          <w:szCs w:val="24"/>
        </w:rPr>
        <w:t xml:space="preserve"> LM turpina īstenot pilotprojektu uzņēmumos ar nestandarta darba laika grafiku (darbs vakara stundās, brīvdienās vai maiņās), kurā 150 vecākiem ar bērniem līdz 7 gadu vecumam 10 mēnešus tiek nodrošināts elastīgs bērnu uzraudzības pakalpojums. Projekta ietvaros būs izpētīta jaunās bērnu aprūpes formas ieviešanas lietderība un ietekme uz privāto uzņēmumu pašregulāciju. </w:t>
      </w:r>
      <w:r w:rsidR="006B13D3" w:rsidRPr="006B13D3">
        <w:rPr>
          <w:rFonts w:ascii="Times New Roman" w:hAnsi="Times New Roman"/>
          <w:sz w:val="24"/>
          <w:szCs w:val="24"/>
        </w:rPr>
        <w:t>Bērnu aprūpes un uzraudzības pakalpojumu pieejamība situācijā, kad aptuveni 1/3 darba ņēmēju nodarbināti t. s. nestandarta darba laiku, ir viens no stūrakmeņiem efektīvai, nodarbinātību atbalstošai demogrāfijas politikai Latvijā, jo sniedz iespēju veiksmīgāk saskaņot ģimenes un darba dzīvi. Tādējādi ir jāplāno šī pilotprojekta rezultātu ilgtspēja, sekmējot darba devēju un pašvaldību savstarpēju sadarbību un abpusēju ieinteresētību meklēt elastīgus risinājumus darbinieku bērnu aprūpes pakalpojumu piedāvājumam.</w:t>
      </w:r>
    </w:p>
    <w:p w14:paraId="5491B6D9" w14:textId="77777777" w:rsidR="00BC6029" w:rsidRPr="000C6481" w:rsidRDefault="00BC6029" w:rsidP="00BC6029">
      <w:pPr>
        <w:jc w:val="both"/>
        <w:rPr>
          <w:rFonts w:ascii="Times New Roman" w:hAnsi="Times New Roman"/>
          <w:sz w:val="24"/>
          <w:szCs w:val="24"/>
        </w:rPr>
      </w:pPr>
      <w:r>
        <w:rPr>
          <w:rFonts w:ascii="Times New Roman" w:hAnsi="Times New Roman"/>
          <w:sz w:val="24"/>
          <w:szCs w:val="24"/>
        </w:rPr>
        <w:t>Papildus iepriekš minētajam</w:t>
      </w:r>
      <w:r w:rsidRPr="000C6481">
        <w:rPr>
          <w:rFonts w:ascii="Times New Roman" w:hAnsi="Times New Roman"/>
          <w:sz w:val="24"/>
          <w:szCs w:val="24"/>
        </w:rPr>
        <w:t xml:space="preserve"> valdība ir apņēmusies mazināt vardarbību pret sievietēm un vardarbību ģimenēs, kas nenoliedzami uzlabos arī ģimenes dzīves kvalitāti un netieši veicinās tautas ataudzi. Labklājības ministrs š</w:t>
      </w:r>
      <w:r>
        <w:rPr>
          <w:rFonts w:ascii="Times New Roman" w:hAnsi="Times New Roman"/>
          <w:sz w:val="24"/>
          <w:szCs w:val="24"/>
        </w:rPr>
        <w:t>ā</w:t>
      </w:r>
      <w:r w:rsidRPr="000C6481">
        <w:rPr>
          <w:rFonts w:ascii="Times New Roman" w:hAnsi="Times New Roman"/>
          <w:sz w:val="24"/>
          <w:szCs w:val="24"/>
        </w:rPr>
        <w:t xml:space="preserve"> gada 18. maijā Sofijā Latvijas vārdā parakstīja Stambulas konvenciju</w:t>
      </w:r>
      <w:r w:rsidRPr="000C6481">
        <w:rPr>
          <w:rStyle w:val="FootnoteReference"/>
          <w:rFonts w:ascii="Times New Roman" w:eastAsia="+mn-ea" w:hAnsi="Times New Roman"/>
          <w:color w:val="000000"/>
          <w:sz w:val="24"/>
          <w:szCs w:val="24"/>
          <w:lang w:eastAsia="lv-LV"/>
        </w:rPr>
        <w:footnoteReference w:id="8"/>
      </w:r>
      <w:r w:rsidRPr="000C6481">
        <w:rPr>
          <w:rFonts w:ascii="Times New Roman" w:hAnsi="Times New Roman"/>
          <w:sz w:val="24"/>
          <w:szCs w:val="24"/>
        </w:rPr>
        <w:t xml:space="preserve">. Nākamajā gadā likumprojekts par Stambulas konvencijas ieviešanu jāiesniedz Saeimā. </w:t>
      </w:r>
    </w:p>
    <w:p w14:paraId="75209432" w14:textId="77777777" w:rsidR="00BC6029" w:rsidRPr="000C6481" w:rsidRDefault="00BC6029" w:rsidP="00BC6029">
      <w:pPr>
        <w:jc w:val="both"/>
        <w:rPr>
          <w:rFonts w:ascii="Times New Roman" w:hAnsi="Times New Roman"/>
          <w:sz w:val="24"/>
          <w:szCs w:val="24"/>
        </w:rPr>
      </w:pPr>
    </w:p>
    <w:p w14:paraId="2CA8DF6C" w14:textId="60EFD15A" w:rsidR="00885CB6" w:rsidRPr="00716B0D" w:rsidRDefault="00E057ED" w:rsidP="00885CB6">
      <w:pPr>
        <w:pStyle w:val="Heading2"/>
        <w:rPr>
          <w:rFonts w:cs="Times New Roman"/>
          <w:b w:val="0"/>
          <w:color w:val="0070C0"/>
          <w:szCs w:val="24"/>
        </w:rPr>
      </w:pPr>
      <w:r>
        <w:rPr>
          <w:rStyle w:val="Heading2Char"/>
          <w:b/>
          <w:color w:val="0070C0"/>
        </w:rPr>
        <w:t> </w:t>
      </w:r>
      <w:bookmarkStart w:id="55" w:name="_Toc466466869"/>
      <w:r w:rsidR="00885CB6" w:rsidRPr="00716B0D">
        <w:rPr>
          <w:rStyle w:val="Heading2Char"/>
          <w:b/>
          <w:color w:val="0070C0"/>
        </w:rPr>
        <w:t>Sociālo garantiju un palīdzības sistēmas izvērtēšana</w:t>
      </w:r>
      <w:bookmarkEnd w:id="55"/>
      <w:r w:rsidR="00885CB6" w:rsidRPr="00716B0D">
        <w:rPr>
          <w:rFonts w:cs="Times New Roman"/>
          <w:b w:val="0"/>
          <w:color w:val="0070C0"/>
          <w:szCs w:val="24"/>
        </w:rPr>
        <w:t xml:space="preserve"> </w:t>
      </w:r>
    </w:p>
    <w:p w14:paraId="652B281C" w14:textId="77777777" w:rsidR="00BC6029" w:rsidRPr="000C6481" w:rsidRDefault="00BC6029" w:rsidP="00BC6029">
      <w:pPr>
        <w:jc w:val="both"/>
        <w:rPr>
          <w:rFonts w:ascii="Times New Roman" w:hAnsi="Times New Roman"/>
          <w:sz w:val="24"/>
          <w:szCs w:val="24"/>
        </w:rPr>
      </w:pPr>
      <w:r w:rsidRPr="000C6481">
        <w:rPr>
          <w:rFonts w:ascii="Times New Roman" w:hAnsi="Times New Roman"/>
          <w:sz w:val="24"/>
          <w:szCs w:val="24"/>
        </w:rPr>
        <w:t>Valsts sociālās apdrošināšanas dati par 2016. gadu atklāj pozitīvas tendences ar bērnu piedzimšanu un kopšanu saistīt</w:t>
      </w:r>
      <w:r>
        <w:rPr>
          <w:rFonts w:ascii="Times New Roman" w:hAnsi="Times New Roman"/>
          <w:sz w:val="24"/>
          <w:szCs w:val="24"/>
        </w:rPr>
        <w:t>o</w:t>
      </w:r>
      <w:r w:rsidRPr="000C6481">
        <w:rPr>
          <w:rFonts w:ascii="Times New Roman" w:hAnsi="Times New Roman"/>
          <w:sz w:val="24"/>
          <w:szCs w:val="24"/>
        </w:rPr>
        <w:t xml:space="preserve"> sociālās apdrošināšanas pabalstu saņēmēju skaitā un izmaksu apjomā. Proti, ir palielinājies gan maternitātes un paternitātes pabalstu, gan bērna kopšanas pabalstu saņēmēju skaits un </w:t>
      </w:r>
      <w:r>
        <w:rPr>
          <w:rFonts w:ascii="Times New Roman" w:hAnsi="Times New Roman"/>
          <w:sz w:val="24"/>
          <w:szCs w:val="24"/>
        </w:rPr>
        <w:t xml:space="preserve">šiem </w:t>
      </w:r>
      <w:r w:rsidRPr="000C6481">
        <w:rPr>
          <w:rFonts w:ascii="Times New Roman" w:hAnsi="Times New Roman"/>
          <w:sz w:val="24"/>
          <w:szCs w:val="24"/>
        </w:rPr>
        <w:t>pabalstiem</w:t>
      </w:r>
      <w:r>
        <w:rPr>
          <w:rFonts w:ascii="Times New Roman" w:hAnsi="Times New Roman"/>
          <w:sz w:val="24"/>
          <w:szCs w:val="24"/>
        </w:rPr>
        <w:t xml:space="preserve"> atvēlētās</w:t>
      </w:r>
      <w:r w:rsidRPr="000C6481">
        <w:rPr>
          <w:rFonts w:ascii="Times New Roman" w:hAnsi="Times New Roman"/>
          <w:sz w:val="24"/>
          <w:szCs w:val="24"/>
        </w:rPr>
        <w:t xml:space="preserve"> izmaksas, kas tiek veiktas no valsts sociālās apdrošināšanas speciālā budžeta. </w:t>
      </w:r>
    </w:p>
    <w:p w14:paraId="43AE9D01" w14:textId="0F723839" w:rsidR="00BC6029" w:rsidRPr="000C6481" w:rsidRDefault="00BC6029" w:rsidP="00BC6029">
      <w:pPr>
        <w:jc w:val="both"/>
        <w:rPr>
          <w:rFonts w:ascii="Times New Roman" w:hAnsi="Times New Roman"/>
          <w:sz w:val="24"/>
          <w:szCs w:val="24"/>
        </w:rPr>
      </w:pPr>
      <w:r>
        <w:rPr>
          <w:rFonts w:ascii="Times New Roman" w:hAnsi="Times New Roman"/>
          <w:sz w:val="24"/>
          <w:szCs w:val="24"/>
        </w:rPr>
        <w:lastRenderedPageBreak/>
        <w:t>V</w:t>
      </w:r>
      <w:r w:rsidRPr="000C6481">
        <w:rPr>
          <w:rFonts w:ascii="Times New Roman" w:hAnsi="Times New Roman"/>
          <w:sz w:val="24"/>
          <w:szCs w:val="24"/>
        </w:rPr>
        <w:t>ienlaikus valsts sociālās apdrošināšanas dati identificējuši būtisku citu sociālās apdrošināšanas pakalpojumu – slimības pabalstu un bezdarbnieka pabalstu saņēmēju</w:t>
      </w:r>
      <w:r>
        <w:rPr>
          <w:rFonts w:ascii="Times New Roman" w:hAnsi="Times New Roman"/>
          <w:sz w:val="24"/>
          <w:szCs w:val="24"/>
        </w:rPr>
        <w:t> –</w:t>
      </w:r>
      <w:r w:rsidRPr="000C6481">
        <w:rPr>
          <w:rFonts w:ascii="Times New Roman" w:hAnsi="Times New Roman"/>
          <w:sz w:val="24"/>
          <w:szCs w:val="24"/>
        </w:rPr>
        <w:t xml:space="preserve"> pieauguma tendenci, kas neliecina par pozitīvām izmaiņām iedzīvotāju veselībā un nodarbinātības rādītājos (slimības pabalsta izmaksai prognozētais nepieciešamo izdevumu apjoms </w:t>
      </w:r>
      <w:r>
        <w:rPr>
          <w:rFonts w:ascii="Times New Roman" w:hAnsi="Times New Roman"/>
          <w:sz w:val="24"/>
          <w:szCs w:val="24"/>
        </w:rPr>
        <w:t>pieaudzis</w:t>
      </w:r>
      <w:r w:rsidRPr="000C6481">
        <w:rPr>
          <w:rFonts w:ascii="Times New Roman" w:hAnsi="Times New Roman"/>
          <w:sz w:val="24"/>
          <w:szCs w:val="24"/>
        </w:rPr>
        <w:t xml:space="preserve"> par 28,2</w:t>
      </w:r>
      <w:r>
        <w:rPr>
          <w:rFonts w:ascii="Times New Roman" w:hAnsi="Times New Roman"/>
          <w:sz w:val="24"/>
          <w:szCs w:val="24"/>
        </w:rPr>
        <w:t> %</w:t>
      </w:r>
      <w:r w:rsidRPr="000C6481">
        <w:rPr>
          <w:rFonts w:ascii="Times New Roman" w:hAnsi="Times New Roman"/>
          <w:sz w:val="24"/>
          <w:szCs w:val="24"/>
        </w:rPr>
        <w:t>, bezdarbnieka pabalstam – par 13,0</w:t>
      </w:r>
      <w:r>
        <w:rPr>
          <w:rFonts w:ascii="Times New Roman" w:hAnsi="Times New Roman"/>
          <w:sz w:val="24"/>
          <w:szCs w:val="24"/>
        </w:rPr>
        <w:t> %</w:t>
      </w:r>
      <w:r w:rsidRPr="000C6481">
        <w:rPr>
          <w:rFonts w:ascii="Times New Roman" w:hAnsi="Times New Roman"/>
          <w:sz w:val="24"/>
          <w:szCs w:val="24"/>
        </w:rPr>
        <w:t>). Salīdzinājumam – tautsaimniecībā nodarbināto vidēj</w:t>
      </w:r>
      <w:r w:rsidR="00263F98">
        <w:rPr>
          <w:rFonts w:ascii="Times New Roman" w:hAnsi="Times New Roman"/>
          <w:sz w:val="24"/>
          <w:szCs w:val="24"/>
        </w:rPr>
        <w:t>ais</w:t>
      </w:r>
      <w:r w:rsidRPr="000C6481">
        <w:rPr>
          <w:rFonts w:ascii="Times New Roman" w:hAnsi="Times New Roman"/>
          <w:sz w:val="24"/>
          <w:szCs w:val="24"/>
        </w:rPr>
        <w:t xml:space="preserve"> bruto darba samaksas pieaugums </w:t>
      </w:r>
      <w:r w:rsidR="00263F98" w:rsidRPr="000C6481">
        <w:rPr>
          <w:rFonts w:ascii="Times New Roman" w:hAnsi="Times New Roman"/>
          <w:sz w:val="24"/>
          <w:szCs w:val="24"/>
        </w:rPr>
        <w:t xml:space="preserve">mēnesī </w:t>
      </w:r>
      <w:r w:rsidRPr="000C6481">
        <w:rPr>
          <w:rFonts w:ascii="Times New Roman" w:hAnsi="Times New Roman"/>
          <w:sz w:val="24"/>
          <w:szCs w:val="24"/>
        </w:rPr>
        <w:t xml:space="preserve">tiek prognozēts </w:t>
      </w:r>
      <w:r w:rsidR="00263F98">
        <w:rPr>
          <w:rFonts w:ascii="Times New Roman" w:hAnsi="Times New Roman"/>
          <w:sz w:val="24"/>
          <w:szCs w:val="24"/>
        </w:rPr>
        <w:t>tikai</w:t>
      </w:r>
      <w:r w:rsidRPr="000C6481">
        <w:rPr>
          <w:rFonts w:ascii="Times New Roman" w:hAnsi="Times New Roman"/>
          <w:sz w:val="24"/>
          <w:szCs w:val="24"/>
        </w:rPr>
        <w:t xml:space="preserve"> par 62,90 </w:t>
      </w:r>
      <w:proofErr w:type="spellStart"/>
      <w:r w:rsidRPr="000C6481">
        <w:rPr>
          <w:rFonts w:ascii="Times New Roman" w:hAnsi="Times New Roman"/>
          <w:i/>
          <w:sz w:val="24"/>
          <w:szCs w:val="24"/>
        </w:rPr>
        <w:t>euro</w:t>
      </w:r>
      <w:proofErr w:type="spellEnd"/>
      <w:r w:rsidRPr="000C6481">
        <w:rPr>
          <w:rFonts w:ascii="Times New Roman" w:hAnsi="Times New Roman"/>
          <w:sz w:val="24"/>
          <w:szCs w:val="24"/>
        </w:rPr>
        <w:t xml:space="preserve"> jeb 7,4</w:t>
      </w:r>
      <w:r>
        <w:rPr>
          <w:rFonts w:ascii="Times New Roman" w:hAnsi="Times New Roman"/>
          <w:sz w:val="24"/>
          <w:szCs w:val="24"/>
        </w:rPr>
        <w:t> %</w:t>
      </w:r>
      <w:r w:rsidRPr="000C6481">
        <w:rPr>
          <w:rFonts w:ascii="Times New Roman" w:hAnsi="Times New Roman"/>
          <w:sz w:val="24"/>
          <w:szCs w:val="24"/>
        </w:rPr>
        <w:t xml:space="preserve"> (no 847,60</w:t>
      </w:r>
      <w:r w:rsidR="00263F98">
        <w:rPr>
          <w:rFonts w:ascii="Times New Roman" w:hAnsi="Times New Roman"/>
          <w:sz w:val="24"/>
          <w:szCs w:val="24"/>
        </w:rPr>
        <w:t> </w:t>
      </w:r>
      <w:proofErr w:type="spellStart"/>
      <w:r w:rsidRPr="000C6481">
        <w:rPr>
          <w:rFonts w:ascii="Times New Roman" w:hAnsi="Times New Roman"/>
          <w:i/>
          <w:sz w:val="24"/>
          <w:szCs w:val="24"/>
        </w:rPr>
        <w:t>euro</w:t>
      </w:r>
      <w:proofErr w:type="spellEnd"/>
      <w:r w:rsidRPr="000C6481">
        <w:rPr>
          <w:rFonts w:ascii="Times New Roman" w:hAnsi="Times New Roman"/>
          <w:sz w:val="24"/>
          <w:szCs w:val="24"/>
        </w:rPr>
        <w:t xml:space="preserve"> līdz 910,50</w:t>
      </w:r>
      <w:r>
        <w:rPr>
          <w:rFonts w:ascii="Times New Roman" w:hAnsi="Times New Roman"/>
          <w:sz w:val="24"/>
          <w:szCs w:val="24"/>
        </w:rPr>
        <w:t> </w:t>
      </w:r>
      <w:proofErr w:type="spellStart"/>
      <w:r w:rsidRPr="000C6481">
        <w:rPr>
          <w:rFonts w:ascii="Times New Roman" w:hAnsi="Times New Roman"/>
          <w:i/>
          <w:sz w:val="24"/>
          <w:szCs w:val="24"/>
        </w:rPr>
        <w:t>euro</w:t>
      </w:r>
      <w:proofErr w:type="spellEnd"/>
      <w:r w:rsidRPr="000C6481">
        <w:rPr>
          <w:rStyle w:val="FootnoteReference"/>
          <w:rFonts w:ascii="Times New Roman" w:hAnsi="Times New Roman"/>
          <w:i/>
          <w:sz w:val="24"/>
          <w:szCs w:val="24"/>
        </w:rPr>
        <w:footnoteReference w:id="9"/>
      </w:r>
      <w:r w:rsidRPr="000C6481">
        <w:rPr>
          <w:rFonts w:ascii="Times New Roman" w:hAnsi="Times New Roman"/>
          <w:sz w:val="24"/>
          <w:szCs w:val="24"/>
        </w:rPr>
        <w:t xml:space="preserve">). Lai pilnveidotu nozares pakalpojumus, </w:t>
      </w:r>
      <w:proofErr w:type="gramStart"/>
      <w:r w:rsidRPr="000C6481">
        <w:rPr>
          <w:rFonts w:ascii="Times New Roman" w:hAnsi="Times New Roman"/>
          <w:sz w:val="24"/>
          <w:szCs w:val="24"/>
        </w:rPr>
        <w:t>2017. gadā plānots</w:t>
      </w:r>
      <w:proofErr w:type="gramEnd"/>
      <w:r w:rsidRPr="000C6481">
        <w:rPr>
          <w:rFonts w:ascii="Times New Roman" w:hAnsi="Times New Roman"/>
          <w:sz w:val="24"/>
          <w:szCs w:val="24"/>
        </w:rPr>
        <w:t xml:space="preserve"> pagarināt bezdarbnieka pabalsta piešķiršanai nepieciešamo kvalifikācijas periodu, kā arī, lai pilnveidotu pakalpojumu godīgu saņemšanu, pastiprināt bezdarbnieka atbildību par iesaistīšanos nereģistrētajā nodarbinātībā (paredzot, ka</w:t>
      </w:r>
      <w:r>
        <w:rPr>
          <w:rFonts w:ascii="Times New Roman" w:hAnsi="Times New Roman"/>
          <w:sz w:val="24"/>
          <w:szCs w:val="24"/>
        </w:rPr>
        <w:t>,</w:t>
      </w:r>
      <w:r w:rsidRPr="000C6481">
        <w:rPr>
          <w:rFonts w:ascii="Times New Roman" w:hAnsi="Times New Roman"/>
          <w:sz w:val="24"/>
          <w:szCs w:val="24"/>
        </w:rPr>
        <w:t xml:space="preserve"> iesaist</w:t>
      </w:r>
      <w:r>
        <w:rPr>
          <w:rFonts w:ascii="Times New Roman" w:hAnsi="Times New Roman"/>
          <w:sz w:val="24"/>
          <w:szCs w:val="24"/>
        </w:rPr>
        <w:t>oties</w:t>
      </w:r>
      <w:r w:rsidRPr="000C6481">
        <w:rPr>
          <w:rFonts w:ascii="Times New Roman" w:hAnsi="Times New Roman"/>
          <w:sz w:val="24"/>
          <w:szCs w:val="24"/>
        </w:rPr>
        <w:t xml:space="preserve"> nereģistrētā nodarbinātībā, persona zaudē bezdarbnieka statusu, tai skaitā tiesības uz bezdarbnieka pabalstu). </w:t>
      </w:r>
      <w:proofErr w:type="gramStart"/>
      <w:r w:rsidRPr="000C6481">
        <w:rPr>
          <w:rFonts w:ascii="Times New Roman" w:hAnsi="Times New Roman"/>
          <w:sz w:val="24"/>
          <w:szCs w:val="24"/>
        </w:rPr>
        <w:t>Tāpat plānots turpmāk slimības</w:t>
      </w:r>
      <w:proofErr w:type="gramEnd"/>
      <w:r w:rsidRPr="000C6481">
        <w:rPr>
          <w:rFonts w:ascii="Times New Roman" w:hAnsi="Times New Roman"/>
          <w:sz w:val="24"/>
          <w:szCs w:val="24"/>
        </w:rPr>
        <w:t xml:space="preserve"> pabalstu nepiešķirt, </w:t>
      </w:r>
      <w:r>
        <w:rPr>
          <w:rFonts w:ascii="Times New Roman" w:hAnsi="Times New Roman"/>
          <w:sz w:val="24"/>
          <w:szCs w:val="24"/>
        </w:rPr>
        <w:t>ja</w:t>
      </w:r>
      <w:r w:rsidRPr="000C6481">
        <w:rPr>
          <w:rFonts w:ascii="Times New Roman" w:hAnsi="Times New Roman"/>
          <w:sz w:val="24"/>
          <w:szCs w:val="24"/>
        </w:rPr>
        <w:t xml:space="preserve"> darbnespēja iestājusies mēneša laikā pēc valsts sociālās apdrošināšanas iemaksu perioda beigām. Detalizētākai slimības pabalstu datu analīzei kritiski nozīmīga ir efektīva e-veselības sistēmas darbība, kas ļautu identificēt iespējamos krāpniecības riskus.</w:t>
      </w:r>
    </w:p>
    <w:p w14:paraId="1CC9F93F" w14:textId="54E2DC4C" w:rsidR="00BC6029" w:rsidRPr="000C6481" w:rsidRDefault="00BC6029" w:rsidP="00BC6029">
      <w:pPr>
        <w:jc w:val="both"/>
        <w:rPr>
          <w:rFonts w:ascii="Times New Roman" w:hAnsi="Times New Roman"/>
          <w:sz w:val="24"/>
          <w:szCs w:val="24"/>
        </w:rPr>
      </w:pPr>
      <w:r w:rsidRPr="000C6481">
        <w:rPr>
          <w:rFonts w:ascii="Times New Roman" w:hAnsi="Times New Roman"/>
          <w:sz w:val="24"/>
          <w:szCs w:val="24"/>
        </w:rPr>
        <w:t>Pārskata periodā notikušas arī aktīvas diskusijas par jautājumiem, kas saistīti ar minimālā ienākum</w:t>
      </w:r>
      <w:r>
        <w:rPr>
          <w:rFonts w:ascii="Times New Roman" w:hAnsi="Times New Roman"/>
          <w:sz w:val="24"/>
          <w:szCs w:val="24"/>
        </w:rPr>
        <w:t>u</w:t>
      </w:r>
      <w:r w:rsidRPr="000C6481">
        <w:rPr>
          <w:rFonts w:ascii="Times New Roman" w:hAnsi="Times New Roman"/>
          <w:sz w:val="24"/>
          <w:szCs w:val="24"/>
        </w:rPr>
        <w:t xml:space="preserve"> līmeņa noteikšanu un piemērošanu. LM diskusijā ar LPS vienojās, ka garantētais minimālā ienākuma līmenis 2017. gadā netiek mainīts un paliek līdzšinējā apmērā – 49,80 </w:t>
      </w:r>
      <w:proofErr w:type="spellStart"/>
      <w:r w:rsidRPr="000C6481">
        <w:rPr>
          <w:rFonts w:ascii="Times New Roman" w:hAnsi="Times New Roman"/>
          <w:i/>
          <w:sz w:val="24"/>
          <w:szCs w:val="24"/>
        </w:rPr>
        <w:t>euro</w:t>
      </w:r>
      <w:proofErr w:type="spellEnd"/>
      <w:r w:rsidRPr="000C6481">
        <w:rPr>
          <w:rFonts w:ascii="Times New Roman" w:hAnsi="Times New Roman"/>
          <w:sz w:val="24"/>
          <w:szCs w:val="24"/>
        </w:rPr>
        <w:t xml:space="preserve"> mēnesī vienam mājsaimniecības loceklim, </w:t>
      </w:r>
      <w:r w:rsidR="00263F98">
        <w:rPr>
          <w:rFonts w:ascii="Times New Roman" w:hAnsi="Times New Roman"/>
          <w:sz w:val="24"/>
          <w:szCs w:val="24"/>
        </w:rPr>
        <w:t>un t</w:t>
      </w:r>
      <w:r w:rsidRPr="000C6481">
        <w:rPr>
          <w:rFonts w:ascii="Times New Roman" w:hAnsi="Times New Roman"/>
          <w:sz w:val="24"/>
          <w:szCs w:val="24"/>
        </w:rPr>
        <w:t>o akceptēja arī valdība.</w:t>
      </w:r>
    </w:p>
    <w:p w14:paraId="0B6B9D1D" w14:textId="77777777" w:rsidR="00BC6029" w:rsidRPr="000C6481" w:rsidRDefault="00BC6029" w:rsidP="00BC6029">
      <w:pPr>
        <w:jc w:val="both"/>
        <w:rPr>
          <w:rFonts w:ascii="Times New Roman" w:hAnsi="Times New Roman"/>
          <w:sz w:val="24"/>
          <w:szCs w:val="24"/>
        </w:rPr>
      </w:pPr>
      <w:r w:rsidRPr="000C6481">
        <w:rPr>
          <w:rFonts w:ascii="Times New Roman" w:hAnsi="Times New Roman"/>
          <w:sz w:val="24"/>
          <w:szCs w:val="24"/>
        </w:rPr>
        <w:t xml:space="preserve">Papildus LM turpina iesāktā </w:t>
      </w:r>
      <w:proofErr w:type="spellStart"/>
      <w:r w:rsidRPr="000C6481">
        <w:rPr>
          <w:rFonts w:ascii="Times New Roman" w:hAnsi="Times New Roman"/>
          <w:sz w:val="24"/>
          <w:szCs w:val="24"/>
        </w:rPr>
        <w:t>deinstitucionalizācijas</w:t>
      </w:r>
      <w:proofErr w:type="spellEnd"/>
      <w:r w:rsidRPr="000C6481">
        <w:rPr>
          <w:rFonts w:ascii="Times New Roman" w:hAnsi="Times New Roman"/>
          <w:sz w:val="24"/>
          <w:szCs w:val="24"/>
        </w:rPr>
        <w:t xml:space="preserve"> procesa izvērtēšan</w:t>
      </w:r>
      <w:r>
        <w:rPr>
          <w:rFonts w:ascii="Times New Roman" w:hAnsi="Times New Roman"/>
          <w:sz w:val="24"/>
          <w:szCs w:val="24"/>
        </w:rPr>
        <w:t>u</w:t>
      </w:r>
      <w:r w:rsidRPr="000C6481">
        <w:rPr>
          <w:rFonts w:ascii="Times New Roman" w:hAnsi="Times New Roman"/>
          <w:sz w:val="24"/>
          <w:szCs w:val="24"/>
        </w:rPr>
        <w:t>, lai apzinātu ilgtermiņa ieguvumus, zaudējumus un iespējamās izmaksas, saglabājot valsts finansējumu funkcijas īstenošanai.</w:t>
      </w:r>
    </w:p>
    <w:p w14:paraId="3A770FFE" w14:textId="77777777" w:rsidR="00BC6029" w:rsidRPr="000C6481" w:rsidRDefault="00BC6029" w:rsidP="00BC6029">
      <w:pPr>
        <w:jc w:val="both"/>
        <w:rPr>
          <w:rFonts w:ascii="Times New Roman" w:hAnsi="Times New Roman"/>
          <w:sz w:val="24"/>
          <w:szCs w:val="24"/>
        </w:rPr>
      </w:pPr>
    </w:p>
    <w:p w14:paraId="46442B74" w14:textId="6B3F4ACD" w:rsidR="00885CB6" w:rsidRPr="00716B0D" w:rsidRDefault="00E057ED" w:rsidP="00885CB6">
      <w:pPr>
        <w:pStyle w:val="Heading2"/>
        <w:rPr>
          <w:rFonts w:cs="Times New Roman"/>
          <w:b w:val="0"/>
          <w:color w:val="0070C0"/>
          <w:szCs w:val="24"/>
        </w:rPr>
      </w:pPr>
      <w:r>
        <w:rPr>
          <w:rStyle w:val="Heading2Char"/>
          <w:b/>
          <w:color w:val="0070C0"/>
        </w:rPr>
        <w:t> </w:t>
      </w:r>
      <w:bookmarkStart w:id="56" w:name="_Toc466466870"/>
      <w:r w:rsidR="00885CB6" w:rsidRPr="00716B0D">
        <w:rPr>
          <w:rStyle w:val="Heading2Char"/>
          <w:b/>
          <w:color w:val="0070C0"/>
        </w:rPr>
        <w:t>Ilgtspējīgas pensiju sistēmas attīstība</w:t>
      </w:r>
      <w:bookmarkEnd w:id="56"/>
    </w:p>
    <w:p w14:paraId="39173773" w14:textId="77777777" w:rsidR="00BC6029" w:rsidRPr="000C6481" w:rsidRDefault="00BC6029" w:rsidP="00BC6029">
      <w:pPr>
        <w:jc w:val="both"/>
        <w:rPr>
          <w:rFonts w:ascii="Times New Roman" w:hAnsi="Times New Roman"/>
          <w:sz w:val="24"/>
          <w:szCs w:val="24"/>
        </w:rPr>
      </w:pPr>
      <w:bookmarkStart w:id="57" w:name="_Toc465349543"/>
      <w:bookmarkStart w:id="58" w:name="_Toc465089721"/>
      <w:bookmarkEnd w:id="51"/>
      <w:bookmarkEnd w:id="52"/>
      <w:r w:rsidRPr="000C6481">
        <w:rPr>
          <w:rFonts w:ascii="Times New Roman" w:hAnsi="Times New Roman"/>
          <w:bCs/>
          <w:sz w:val="24"/>
          <w:szCs w:val="24"/>
        </w:rPr>
        <w:t>Lai mazinātu gados vecu cilvēku nabadzības risku, veicinātu pensiju saņēmēju dzīves kvalitātes uzlabošanos un vienlaikus to samērotu ar valsts sociālās apdrošināšanas sistēmas funkcionēšanu un stabilitāti ilgtermiņā, a</w:t>
      </w:r>
      <w:r w:rsidRPr="000C6481">
        <w:rPr>
          <w:rFonts w:ascii="Times New Roman" w:hAnsi="Times New Roman"/>
          <w:sz w:val="24"/>
          <w:szCs w:val="24"/>
        </w:rPr>
        <w:t>tbilstoši valdības rīcības plānā paredzētajam ar 2017. gadu pensiju indeksācijā paredzēts ņemt vērā lielāku daļu no vidējās apdrošināšanas iemaksu algas pieauguma (50</w:t>
      </w:r>
      <w:r>
        <w:rPr>
          <w:rFonts w:ascii="Times New Roman" w:hAnsi="Times New Roman"/>
          <w:sz w:val="24"/>
          <w:szCs w:val="24"/>
        </w:rPr>
        <w:t> %</w:t>
      </w:r>
      <w:r w:rsidRPr="000C6481">
        <w:rPr>
          <w:rFonts w:ascii="Times New Roman" w:hAnsi="Times New Roman"/>
          <w:sz w:val="24"/>
          <w:szCs w:val="24"/>
        </w:rPr>
        <w:t xml:space="preserve"> līdzšinējo 25</w:t>
      </w:r>
      <w:r>
        <w:rPr>
          <w:rFonts w:ascii="Times New Roman" w:hAnsi="Times New Roman"/>
          <w:sz w:val="24"/>
          <w:szCs w:val="24"/>
        </w:rPr>
        <w:t> %</w:t>
      </w:r>
      <w:r w:rsidRPr="000C6481">
        <w:rPr>
          <w:rFonts w:ascii="Times New Roman" w:hAnsi="Times New Roman"/>
          <w:sz w:val="24"/>
          <w:szCs w:val="24"/>
        </w:rPr>
        <w:t xml:space="preserve"> vietā)</w:t>
      </w:r>
      <w:r w:rsidRPr="000C6481">
        <w:rPr>
          <w:rFonts w:ascii="Times New Roman" w:hAnsi="Times New Roman"/>
          <w:sz w:val="24"/>
          <w:szCs w:val="24"/>
          <w:vertAlign w:val="superscript"/>
        </w:rPr>
        <w:footnoteReference w:id="10"/>
      </w:r>
      <w:r w:rsidRPr="000C6481">
        <w:rPr>
          <w:rFonts w:ascii="Times New Roman" w:hAnsi="Times New Roman"/>
          <w:sz w:val="24"/>
          <w:szCs w:val="24"/>
        </w:rPr>
        <w:t xml:space="preserve">. </w:t>
      </w:r>
    </w:p>
    <w:p w14:paraId="6D05238F" w14:textId="630A0D80" w:rsidR="00BC6029" w:rsidRPr="000C6481" w:rsidRDefault="00BC6029" w:rsidP="00BC6029">
      <w:pPr>
        <w:jc w:val="both"/>
        <w:rPr>
          <w:rFonts w:ascii="Times New Roman" w:hAnsi="Times New Roman"/>
          <w:sz w:val="24"/>
          <w:szCs w:val="24"/>
        </w:rPr>
      </w:pPr>
      <w:r w:rsidRPr="000C6481">
        <w:rPr>
          <w:rFonts w:ascii="Times New Roman" w:hAnsi="Times New Roman"/>
          <w:sz w:val="24"/>
          <w:szCs w:val="24"/>
        </w:rPr>
        <w:t xml:space="preserve">Tāpat saskaņā ar valdības rīcības plānā ietvertajiem uzdevumiem šobrīd tiek turpinātas diskusijas Saeimas Sociālo un darba lietu komisijā par optimālo pieeju, lai pensiju indeksācijas rezultātā </w:t>
      </w:r>
      <w:r w:rsidR="00263F98" w:rsidRPr="000C6481">
        <w:rPr>
          <w:rFonts w:ascii="Times New Roman" w:hAnsi="Times New Roman"/>
          <w:sz w:val="24"/>
          <w:szCs w:val="24"/>
        </w:rPr>
        <w:t xml:space="preserve">nodrošinātu </w:t>
      </w:r>
      <w:r w:rsidRPr="000C6481">
        <w:rPr>
          <w:rFonts w:ascii="Times New Roman" w:hAnsi="Times New Roman"/>
          <w:sz w:val="24"/>
          <w:szCs w:val="24"/>
        </w:rPr>
        <w:t>straujāku vecuma pensijas apmēra pieaugumu pensionāriem ar lielāku darba stāžu.</w:t>
      </w:r>
    </w:p>
    <w:p w14:paraId="220461F0" w14:textId="3056E40F" w:rsidR="002A2864" w:rsidRPr="00716B0D" w:rsidRDefault="00B12A30" w:rsidP="002A2864">
      <w:pPr>
        <w:pStyle w:val="Heading1"/>
        <w:ind w:left="567" w:hanging="567"/>
        <w:rPr>
          <w:color w:val="0070C0"/>
        </w:rPr>
      </w:pPr>
      <w:bookmarkStart w:id="59" w:name="_Toc466466871"/>
      <w:r w:rsidRPr="00716B0D">
        <w:rPr>
          <w:color w:val="0070C0"/>
        </w:rPr>
        <w:lastRenderedPageBreak/>
        <w:t xml:space="preserve">Izglītības </w:t>
      </w:r>
      <w:r w:rsidR="004846BA" w:rsidRPr="00716B0D">
        <w:rPr>
          <w:color w:val="0070C0"/>
        </w:rPr>
        <w:t>reformas</w:t>
      </w:r>
      <w:bookmarkEnd w:id="57"/>
      <w:bookmarkEnd w:id="58"/>
      <w:bookmarkEnd w:id="59"/>
    </w:p>
    <w:p w14:paraId="77C73F4F" w14:textId="77777777" w:rsidR="00BC6029" w:rsidRPr="000C6481" w:rsidRDefault="00BC6029" w:rsidP="00BC6029">
      <w:pPr>
        <w:rPr>
          <w:sz w:val="24"/>
          <w:szCs w:val="24"/>
        </w:rPr>
      </w:pPr>
      <w:bookmarkStart w:id="60" w:name="_Toc465349544"/>
      <w:bookmarkStart w:id="61" w:name="_Toc465089722"/>
    </w:p>
    <w:p w14:paraId="31D4BABA" w14:textId="77777777" w:rsidR="00BC6029" w:rsidRPr="000C6481" w:rsidRDefault="00BC6029" w:rsidP="00BC6029">
      <w:pPr>
        <w:jc w:val="both"/>
        <w:rPr>
          <w:rFonts w:ascii="Times New Roman" w:hAnsi="Times New Roman"/>
          <w:sz w:val="24"/>
          <w:szCs w:val="24"/>
        </w:rPr>
      </w:pPr>
      <w:r w:rsidRPr="000C6481">
        <w:rPr>
          <w:rFonts w:ascii="Times New Roman" w:hAnsi="Times New Roman"/>
          <w:sz w:val="24"/>
          <w:szCs w:val="24"/>
        </w:rPr>
        <w:t>Lai pieaugtu produktivitāte un palielinātos konkurētspēja, nepieciešams ieguldīt cilvēkkapitālā, īpaši tā izglītībā un prasmju pilnveidē, tādēļ reformas izglītības sistēmā ir viena no Latvijas valdības prioritātēm.</w:t>
      </w:r>
    </w:p>
    <w:p w14:paraId="490C432B" w14:textId="77777777" w:rsidR="00BC6029" w:rsidRPr="000C6481" w:rsidRDefault="00BC6029" w:rsidP="00BC6029">
      <w:pPr>
        <w:jc w:val="both"/>
        <w:rPr>
          <w:rFonts w:ascii="Times New Roman" w:hAnsi="Times New Roman"/>
          <w:b/>
          <w:bCs/>
          <w:sz w:val="24"/>
          <w:szCs w:val="24"/>
        </w:rPr>
      </w:pPr>
    </w:p>
    <w:p w14:paraId="08A0EDF4" w14:textId="5EDC4FBB" w:rsidR="004A2147" w:rsidRPr="00FF1B19" w:rsidRDefault="00FF1B19" w:rsidP="00FF1B19">
      <w:pPr>
        <w:pStyle w:val="Heading2"/>
      </w:pPr>
      <w:r>
        <w:t> </w:t>
      </w:r>
      <w:bookmarkStart w:id="62" w:name="_Toc466466872"/>
      <w:r w:rsidR="004A2147" w:rsidRPr="00FF1B19">
        <w:t>Pedagogu atalgojums</w:t>
      </w:r>
      <w:bookmarkEnd w:id="60"/>
      <w:bookmarkEnd w:id="61"/>
      <w:bookmarkEnd w:id="62"/>
    </w:p>
    <w:p w14:paraId="1F50B43A" w14:textId="77777777" w:rsidR="003D0715" w:rsidRPr="000C6481" w:rsidRDefault="003D0715" w:rsidP="003D0715">
      <w:pPr>
        <w:jc w:val="both"/>
        <w:rPr>
          <w:rFonts w:ascii="Times New Roman" w:hAnsi="Times New Roman"/>
          <w:sz w:val="24"/>
          <w:szCs w:val="24"/>
        </w:rPr>
      </w:pPr>
      <w:r w:rsidRPr="000C6481">
        <w:rPr>
          <w:rFonts w:ascii="Times New Roman" w:eastAsia="Times New Roman" w:hAnsi="Times New Roman"/>
          <w:sz w:val="24"/>
          <w:szCs w:val="24"/>
          <w:lang w:eastAsia="lv-LV"/>
        </w:rPr>
        <w:t>Pedagogu darba samaksas modeļa maiņa</w:t>
      </w:r>
      <w:r w:rsidRPr="000C6481">
        <w:rPr>
          <w:rStyle w:val="FootnoteReference"/>
          <w:rFonts w:ascii="Times New Roman" w:eastAsia="Times New Roman" w:hAnsi="Times New Roman"/>
          <w:sz w:val="24"/>
          <w:szCs w:val="24"/>
          <w:lang w:eastAsia="lv-LV"/>
        </w:rPr>
        <w:footnoteReference w:id="11"/>
      </w:r>
      <w:r w:rsidRPr="000C6481">
        <w:rPr>
          <w:rFonts w:ascii="Times New Roman" w:eastAsia="Times New Roman" w:hAnsi="Times New Roman"/>
          <w:sz w:val="24"/>
          <w:szCs w:val="24"/>
          <w:lang w:eastAsia="lv-LV"/>
        </w:rPr>
        <w:t xml:space="preserve"> ir viena no uzsāktajām reformām, kas radīs turpmāk</w:t>
      </w:r>
      <w:r>
        <w:rPr>
          <w:rFonts w:ascii="Times New Roman" w:eastAsia="Times New Roman" w:hAnsi="Times New Roman"/>
          <w:sz w:val="24"/>
          <w:szCs w:val="24"/>
          <w:lang w:eastAsia="lv-LV"/>
        </w:rPr>
        <w:t>u</w:t>
      </w:r>
      <w:r w:rsidRPr="000C6481">
        <w:rPr>
          <w:rFonts w:ascii="Times New Roman" w:eastAsia="Times New Roman" w:hAnsi="Times New Roman"/>
          <w:sz w:val="24"/>
          <w:szCs w:val="24"/>
          <w:lang w:eastAsia="lv-LV"/>
        </w:rPr>
        <w:t xml:space="preserve"> ietekmi uz pašvaldību izglītības iestāžu tīklu, galvenokārt vidusskolu un pamatizglītības 7.–9.</w:t>
      </w:r>
      <w:r>
        <w:rPr>
          <w:rFonts w:ascii="Times New Roman" w:eastAsia="Times New Roman" w:hAnsi="Times New Roman"/>
          <w:sz w:val="24"/>
          <w:szCs w:val="24"/>
          <w:lang w:eastAsia="lv-LV"/>
        </w:rPr>
        <w:t> </w:t>
      </w:r>
      <w:r w:rsidRPr="000C6481">
        <w:rPr>
          <w:rFonts w:ascii="Times New Roman" w:eastAsia="Times New Roman" w:hAnsi="Times New Roman"/>
          <w:sz w:val="24"/>
          <w:szCs w:val="24"/>
          <w:lang w:eastAsia="lv-LV"/>
        </w:rPr>
        <w:t xml:space="preserve">klases posmā. </w:t>
      </w:r>
    </w:p>
    <w:p w14:paraId="761EDDF9" w14:textId="77777777" w:rsidR="003D0715" w:rsidRPr="000C6481" w:rsidRDefault="003D0715" w:rsidP="003D0715">
      <w:pPr>
        <w:jc w:val="both"/>
        <w:rPr>
          <w:rFonts w:ascii="Times New Roman" w:hAnsi="Times New Roman"/>
          <w:sz w:val="24"/>
          <w:szCs w:val="24"/>
        </w:rPr>
      </w:pPr>
      <w:r w:rsidRPr="000C6481">
        <w:rPr>
          <w:rFonts w:ascii="Times New Roman" w:hAnsi="Times New Roman"/>
          <w:sz w:val="24"/>
          <w:szCs w:val="24"/>
        </w:rPr>
        <w:t xml:space="preserve">Izstrādājot jaunu pedagogu darba samaksas modeli, tika rīkotas diskusijas </w:t>
      </w:r>
      <w:r w:rsidRPr="000C6481">
        <w:rPr>
          <w:rFonts w:ascii="Times New Roman" w:eastAsia="Times New Roman" w:hAnsi="Times New Roman"/>
          <w:sz w:val="24"/>
          <w:szCs w:val="24"/>
          <w:lang w:eastAsia="lv-LV"/>
        </w:rPr>
        <w:t>ar pašvaldību izglītības pārvalžu vadītājiem un citiem izglītības speciāli</w:t>
      </w:r>
      <w:r>
        <w:rPr>
          <w:rFonts w:ascii="Times New Roman" w:eastAsia="Times New Roman" w:hAnsi="Times New Roman"/>
          <w:sz w:val="24"/>
          <w:szCs w:val="24"/>
          <w:lang w:eastAsia="lv-LV"/>
        </w:rPr>
        <w:t>stiem. Projekta izstrādes gaitā</w:t>
      </w:r>
      <w:r w:rsidRPr="000C6481">
        <w:rPr>
          <w:rFonts w:ascii="Times New Roman" w:eastAsia="Times New Roman" w:hAnsi="Times New Roman"/>
          <w:sz w:val="24"/>
          <w:szCs w:val="24"/>
          <w:lang w:eastAsia="lv-LV"/>
        </w:rPr>
        <w:t xml:space="preserve"> to konceptuāli atbalstīja LIZDA, LIVA un LPS.</w:t>
      </w:r>
    </w:p>
    <w:p w14:paraId="19368F8C" w14:textId="77777777" w:rsidR="003D0715" w:rsidRPr="000C6481" w:rsidRDefault="003D0715" w:rsidP="003D0715">
      <w:pPr>
        <w:jc w:val="both"/>
        <w:rPr>
          <w:rFonts w:ascii="Times New Roman" w:hAnsi="Times New Roman"/>
          <w:sz w:val="24"/>
          <w:szCs w:val="24"/>
        </w:rPr>
      </w:pPr>
      <w:r w:rsidRPr="000C6481">
        <w:rPr>
          <w:rFonts w:ascii="Times New Roman" w:hAnsi="Times New Roman"/>
          <w:sz w:val="24"/>
          <w:szCs w:val="24"/>
        </w:rPr>
        <w:t xml:space="preserve">Jaunā reforma attiecas </w:t>
      </w:r>
      <w:proofErr w:type="gramStart"/>
      <w:r w:rsidRPr="000C6481">
        <w:rPr>
          <w:rFonts w:ascii="Times New Roman" w:hAnsi="Times New Roman"/>
          <w:sz w:val="24"/>
          <w:szCs w:val="24"/>
        </w:rPr>
        <w:t>uz aptuveni</w:t>
      </w:r>
      <w:proofErr w:type="gramEnd"/>
      <w:r w:rsidRPr="000C6481">
        <w:rPr>
          <w:rFonts w:ascii="Times New Roman" w:hAnsi="Times New Roman"/>
          <w:sz w:val="24"/>
          <w:szCs w:val="24"/>
        </w:rPr>
        <w:t xml:space="preserve"> 26 800 pedagogiem un 1 200 izglītības iestādēm. </w:t>
      </w:r>
      <w:r w:rsidRPr="000C6481">
        <w:rPr>
          <w:rFonts w:ascii="Times New Roman" w:eastAsia="Times New Roman" w:hAnsi="Times New Roman"/>
          <w:sz w:val="24"/>
          <w:szCs w:val="24"/>
          <w:lang w:eastAsia="lv-LV"/>
        </w:rPr>
        <w:t>J</w:t>
      </w:r>
      <w:r w:rsidRPr="000C6481">
        <w:rPr>
          <w:rFonts w:ascii="Times New Roman" w:hAnsi="Times New Roman"/>
          <w:sz w:val="24"/>
          <w:szCs w:val="24"/>
        </w:rPr>
        <w:t>aunais pedagogu darba samaksas modelis nodrošinās pedagogiem taisnīgāku darba samaksu, tādējādi veicinot konkurētspēju un nodrošinot izglītības kvalitāti. IZM ir konstatējusi</w:t>
      </w:r>
      <w:r w:rsidRPr="000C6481">
        <w:rPr>
          <w:rStyle w:val="FootnoteReference"/>
          <w:rFonts w:ascii="Times New Roman" w:hAnsi="Times New Roman"/>
          <w:sz w:val="24"/>
          <w:szCs w:val="24"/>
        </w:rPr>
        <w:footnoteReference w:id="12"/>
      </w:r>
      <w:r w:rsidRPr="000C6481">
        <w:rPr>
          <w:rFonts w:ascii="Times New Roman" w:hAnsi="Times New Roman"/>
          <w:sz w:val="24"/>
          <w:szCs w:val="24"/>
        </w:rPr>
        <w:t>, ka šīs reformas rezultāt</w:t>
      </w:r>
      <w:r>
        <w:rPr>
          <w:rFonts w:ascii="Times New Roman" w:hAnsi="Times New Roman"/>
          <w:sz w:val="24"/>
          <w:szCs w:val="24"/>
        </w:rPr>
        <w:t>ā</w:t>
      </w:r>
      <w:r w:rsidRPr="000C6481">
        <w:rPr>
          <w:rFonts w:ascii="Times New Roman" w:hAnsi="Times New Roman"/>
          <w:sz w:val="24"/>
          <w:szCs w:val="24"/>
        </w:rPr>
        <w:t xml:space="preserve"> 106 pašvaldībās un 543 Latvijas skolās vidējā algas likme pedagogiem ir palieli</w:t>
      </w:r>
      <w:r>
        <w:rPr>
          <w:rFonts w:ascii="Times New Roman" w:hAnsi="Times New Roman"/>
          <w:sz w:val="24"/>
          <w:szCs w:val="24"/>
        </w:rPr>
        <w:t>nājusies, savukārt 13 pilsētās/</w:t>
      </w:r>
      <w:r w:rsidRPr="000C6481">
        <w:rPr>
          <w:rFonts w:ascii="Times New Roman" w:hAnsi="Times New Roman"/>
          <w:sz w:val="24"/>
          <w:szCs w:val="24"/>
        </w:rPr>
        <w:t>novados – samazinājusies. IZM dati arī liecina, ka lielākā daļa Latvijas pedagogu strādā nepilnu slodzi, kas ir viens no reālā atalgojuma ietekmes būtiskākajiem faktoriem</w:t>
      </w:r>
      <w:r>
        <w:rPr>
          <w:rFonts w:ascii="Times New Roman" w:hAnsi="Times New Roman"/>
          <w:sz w:val="24"/>
          <w:szCs w:val="24"/>
        </w:rPr>
        <w:t>.</w:t>
      </w:r>
    </w:p>
    <w:p w14:paraId="5D2DAB86" w14:textId="77777777" w:rsidR="003D0715" w:rsidRPr="000C6481" w:rsidRDefault="003D0715" w:rsidP="003D0715">
      <w:pPr>
        <w:jc w:val="both"/>
        <w:rPr>
          <w:rFonts w:ascii="Times New Roman" w:eastAsia="Times New Roman" w:hAnsi="Times New Roman"/>
          <w:sz w:val="24"/>
          <w:szCs w:val="24"/>
          <w:lang w:eastAsia="lv-LV"/>
        </w:rPr>
      </w:pPr>
      <w:r w:rsidRPr="000C6481">
        <w:rPr>
          <w:rFonts w:ascii="Times New Roman" w:hAnsi="Times New Roman"/>
          <w:sz w:val="24"/>
          <w:szCs w:val="24"/>
        </w:rPr>
        <w:t>Pedagogu darba samaksas reformas ieviešanai 2016.</w:t>
      </w:r>
      <w:r>
        <w:rPr>
          <w:rFonts w:ascii="Times New Roman" w:hAnsi="Times New Roman"/>
          <w:sz w:val="24"/>
          <w:szCs w:val="24"/>
        </w:rPr>
        <w:t> </w:t>
      </w:r>
      <w:r w:rsidRPr="000C6481">
        <w:rPr>
          <w:rFonts w:ascii="Times New Roman" w:hAnsi="Times New Roman"/>
          <w:sz w:val="24"/>
          <w:szCs w:val="24"/>
        </w:rPr>
        <w:t>gada četriem mēnešiem tika rezervēts finansējums līdz 9</w:t>
      </w:r>
      <w:r>
        <w:rPr>
          <w:rFonts w:ascii="Times New Roman" w:hAnsi="Times New Roman"/>
          <w:sz w:val="24"/>
          <w:szCs w:val="24"/>
        </w:rPr>
        <w:t> milj.</w:t>
      </w:r>
      <w:r w:rsidRPr="000C6481">
        <w:rPr>
          <w:rFonts w:ascii="Times New Roman" w:hAnsi="Times New Roman"/>
          <w:sz w:val="24"/>
          <w:szCs w:val="24"/>
        </w:rPr>
        <w:t xml:space="preserve"> </w:t>
      </w:r>
      <w:proofErr w:type="spellStart"/>
      <w:r w:rsidRPr="000C6481">
        <w:rPr>
          <w:rFonts w:ascii="Times New Roman" w:hAnsi="Times New Roman"/>
          <w:i/>
          <w:sz w:val="24"/>
          <w:szCs w:val="24"/>
        </w:rPr>
        <w:t>euro</w:t>
      </w:r>
      <w:proofErr w:type="spellEnd"/>
      <w:r w:rsidRPr="000C6481">
        <w:rPr>
          <w:rFonts w:ascii="Times New Roman" w:hAnsi="Times New Roman"/>
          <w:sz w:val="24"/>
          <w:szCs w:val="24"/>
        </w:rPr>
        <w:t xml:space="preserve">, paredzot, ka finansējuma apmērs tiek precizēts atbilstoši IZM veiktajiem aprēķiniem, </w:t>
      </w:r>
      <w:r>
        <w:rPr>
          <w:rFonts w:ascii="Times New Roman" w:hAnsi="Times New Roman"/>
          <w:sz w:val="24"/>
          <w:szCs w:val="24"/>
        </w:rPr>
        <w:t xml:space="preserve">bet </w:t>
      </w:r>
      <w:r w:rsidRPr="000C6481">
        <w:rPr>
          <w:rFonts w:ascii="Times New Roman" w:hAnsi="Times New Roman"/>
          <w:sz w:val="24"/>
          <w:szCs w:val="24"/>
        </w:rPr>
        <w:t xml:space="preserve">nepārsniedzot rezervēto summu. </w:t>
      </w:r>
      <w:r w:rsidRPr="000C6481">
        <w:rPr>
          <w:rFonts w:ascii="Times New Roman" w:eastAsia="Times New Roman" w:hAnsi="Times New Roman"/>
          <w:sz w:val="24"/>
          <w:szCs w:val="24"/>
          <w:lang w:eastAsia="lv-LV"/>
        </w:rPr>
        <w:t>Kopumā pedagogu atalgojumam papildus tiks novirzīti 45,4</w:t>
      </w:r>
      <w:r>
        <w:rPr>
          <w:rFonts w:ascii="Times New Roman" w:eastAsia="Times New Roman" w:hAnsi="Times New Roman"/>
          <w:sz w:val="24"/>
          <w:szCs w:val="24"/>
          <w:lang w:eastAsia="lv-LV"/>
        </w:rPr>
        <w:t> milj.</w:t>
      </w:r>
      <w:r w:rsidRPr="000C6481">
        <w:rPr>
          <w:rFonts w:ascii="Times New Roman" w:eastAsia="Times New Roman" w:hAnsi="Times New Roman"/>
          <w:sz w:val="24"/>
          <w:szCs w:val="24"/>
          <w:lang w:eastAsia="lv-LV"/>
        </w:rPr>
        <w:t xml:space="preserve"> </w:t>
      </w:r>
      <w:proofErr w:type="spellStart"/>
      <w:r w:rsidRPr="000C6481">
        <w:rPr>
          <w:rFonts w:ascii="Times New Roman" w:eastAsia="Times New Roman" w:hAnsi="Times New Roman"/>
          <w:i/>
          <w:sz w:val="24"/>
          <w:szCs w:val="24"/>
          <w:lang w:eastAsia="lv-LV"/>
        </w:rPr>
        <w:t>euro</w:t>
      </w:r>
      <w:proofErr w:type="spellEnd"/>
      <w:r w:rsidRPr="000C6481">
        <w:rPr>
          <w:rFonts w:ascii="Times New Roman" w:eastAsia="Times New Roman" w:hAnsi="Times New Roman"/>
          <w:sz w:val="24"/>
          <w:szCs w:val="24"/>
          <w:lang w:eastAsia="lv-LV"/>
        </w:rPr>
        <w:t xml:space="preserve"> 2017. gadā, 47,4</w:t>
      </w:r>
      <w:r>
        <w:rPr>
          <w:rFonts w:ascii="Times New Roman" w:eastAsia="Times New Roman" w:hAnsi="Times New Roman"/>
          <w:sz w:val="24"/>
          <w:szCs w:val="24"/>
          <w:lang w:eastAsia="lv-LV"/>
        </w:rPr>
        <w:t> milj.</w:t>
      </w:r>
      <w:r w:rsidRPr="000C6481">
        <w:rPr>
          <w:rFonts w:ascii="Times New Roman" w:eastAsia="Times New Roman" w:hAnsi="Times New Roman"/>
          <w:sz w:val="24"/>
          <w:szCs w:val="24"/>
          <w:lang w:eastAsia="lv-LV"/>
        </w:rPr>
        <w:t xml:space="preserve"> </w:t>
      </w:r>
      <w:proofErr w:type="spellStart"/>
      <w:r w:rsidRPr="000C6481">
        <w:rPr>
          <w:rFonts w:ascii="Times New Roman" w:eastAsia="Times New Roman" w:hAnsi="Times New Roman"/>
          <w:i/>
          <w:sz w:val="24"/>
          <w:szCs w:val="24"/>
          <w:lang w:eastAsia="lv-LV"/>
        </w:rPr>
        <w:t>euro</w:t>
      </w:r>
      <w:proofErr w:type="spellEnd"/>
      <w:r w:rsidRPr="000C6481">
        <w:rPr>
          <w:rFonts w:ascii="Times New Roman" w:eastAsia="Times New Roman" w:hAnsi="Times New Roman"/>
          <w:sz w:val="24"/>
          <w:szCs w:val="24"/>
          <w:lang w:eastAsia="lv-LV"/>
        </w:rPr>
        <w:t xml:space="preserve"> 2018. gadā</w:t>
      </w:r>
      <w:r>
        <w:rPr>
          <w:rFonts w:ascii="Times New Roman" w:eastAsia="Times New Roman" w:hAnsi="Times New Roman"/>
          <w:sz w:val="24"/>
          <w:szCs w:val="24"/>
          <w:lang w:eastAsia="lv-LV"/>
        </w:rPr>
        <w:t xml:space="preserve"> un</w:t>
      </w:r>
      <w:r w:rsidRPr="000C6481">
        <w:rPr>
          <w:rFonts w:ascii="Times New Roman" w:eastAsia="Times New Roman" w:hAnsi="Times New Roman"/>
          <w:sz w:val="24"/>
          <w:szCs w:val="24"/>
          <w:lang w:eastAsia="lv-LV"/>
        </w:rPr>
        <w:t xml:space="preserve"> 47,4</w:t>
      </w:r>
      <w:r>
        <w:rPr>
          <w:rFonts w:ascii="Times New Roman" w:eastAsia="Times New Roman" w:hAnsi="Times New Roman"/>
          <w:sz w:val="24"/>
          <w:szCs w:val="24"/>
          <w:lang w:eastAsia="lv-LV"/>
        </w:rPr>
        <w:t> milj.</w:t>
      </w:r>
      <w:r w:rsidRPr="000C6481">
        <w:rPr>
          <w:rFonts w:ascii="Times New Roman" w:eastAsia="Times New Roman" w:hAnsi="Times New Roman"/>
          <w:sz w:val="24"/>
          <w:szCs w:val="24"/>
          <w:lang w:eastAsia="lv-LV"/>
        </w:rPr>
        <w:t xml:space="preserve"> </w:t>
      </w:r>
      <w:proofErr w:type="spellStart"/>
      <w:r w:rsidRPr="000C6481">
        <w:rPr>
          <w:rFonts w:ascii="Times New Roman" w:eastAsia="Times New Roman" w:hAnsi="Times New Roman"/>
          <w:i/>
          <w:sz w:val="24"/>
          <w:szCs w:val="24"/>
          <w:lang w:eastAsia="lv-LV"/>
        </w:rPr>
        <w:t>euro</w:t>
      </w:r>
      <w:proofErr w:type="spellEnd"/>
      <w:r w:rsidRPr="000C6481">
        <w:rPr>
          <w:rFonts w:ascii="Times New Roman" w:eastAsia="Times New Roman" w:hAnsi="Times New Roman"/>
          <w:sz w:val="24"/>
          <w:szCs w:val="24"/>
          <w:lang w:eastAsia="lv-LV"/>
        </w:rPr>
        <w:t xml:space="preserve"> 2019. gadā. Kopējais valsts papildu finansējuma pieaugums pedagogu darba samaksai veidos 31,5</w:t>
      </w:r>
      <w:r>
        <w:rPr>
          <w:rFonts w:ascii="Times New Roman" w:eastAsia="Times New Roman" w:hAnsi="Times New Roman"/>
          <w:sz w:val="24"/>
          <w:szCs w:val="24"/>
          <w:lang w:eastAsia="lv-LV"/>
        </w:rPr>
        <w:t> milj.</w:t>
      </w:r>
      <w:r w:rsidRPr="000C6481">
        <w:rPr>
          <w:rFonts w:ascii="Times New Roman" w:eastAsia="Times New Roman" w:hAnsi="Times New Roman"/>
          <w:sz w:val="24"/>
          <w:szCs w:val="24"/>
          <w:lang w:eastAsia="lv-LV"/>
        </w:rPr>
        <w:t xml:space="preserve"> </w:t>
      </w:r>
      <w:proofErr w:type="spellStart"/>
      <w:r w:rsidRPr="000C6481">
        <w:rPr>
          <w:rFonts w:ascii="Times New Roman" w:eastAsia="Times New Roman" w:hAnsi="Times New Roman"/>
          <w:i/>
          <w:sz w:val="24"/>
          <w:szCs w:val="24"/>
          <w:lang w:eastAsia="lv-LV"/>
        </w:rPr>
        <w:t>euro</w:t>
      </w:r>
      <w:proofErr w:type="spellEnd"/>
      <w:r w:rsidRPr="000C6481">
        <w:rPr>
          <w:rFonts w:ascii="Times New Roman" w:eastAsia="Times New Roman" w:hAnsi="Times New Roman"/>
          <w:sz w:val="24"/>
          <w:szCs w:val="24"/>
          <w:lang w:eastAsia="lv-LV"/>
        </w:rPr>
        <w:t xml:space="preserve"> ik gadu, savukārt IZM budžetā 2017. gadā ir papildu</w:t>
      </w:r>
      <w:r>
        <w:rPr>
          <w:rFonts w:ascii="Times New Roman" w:eastAsia="Times New Roman" w:hAnsi="Times New Roman"/>
          <w:sz w:val="24"/>
          <w:szCs w:val="24"/>
          <w:lang w:eastAsia="lv-LV"/>
        </w:rPr>
        <w:t>s</w:t>
      </w:r>
      <w:r w:rsidRPr="000C6481">
        <w:rPr>
          <w:rFonts w:ascii="Times New Roman" w:eastAsia="Times New Roman" w:hAnsi="Times New Roman"/>
          <w:sz w:val="24"/>
          <w:szCs w:val="24"/>
          <w:lang w:eastAsia="lv-LV"/>
        </w:rPr>
        <w:t xml:space="preserve"> rasti 13,9</w:t>
      </w:r>
      <w:r>
        <w:rPr>
          <w:rFonts w:ascii="Times New Roman" w:eastAsia="Times New Roman" w:hAnsi="Times New Roman"/>
          <w:sz w:val="24"/>
          <w:szCs w:val="24"/>
          <w:lang w:eastAsia="lv-LV"/>
        </w:rPr>
        <w:t> milj.</w:t>
      </w:r>
      <w:r w:rsidRPr="000C6481">
        <w:rPr>
          <w:rFonts w:ascii="Times New Roman" w:eastAsia="Times New Roman" w:hAnsi="Times New Roman"/>
          <w:sz w:val="24"/>
          <w:szCs w:val="24"/>
          <w:lang w:eastAsia="lv-LV"/>
        </w:rPr>
        <w:t xml:space="preserve"> </w:t>
      </w:r>
      <w:proofErr w:type="spellStart"/>
      <w:r w:rsidRPr="000C6481">
        <w:rPr>
          <w:rFonts w:ascii="Times New Roman" w:eastAsia="Times New Roman" w:hAnsi="Times New Roman"/>
          <w:i/>
          <w:sz w:val="24"/>
          <w:szCs w:val="24"/>
          <w:lang w:eastAsia="lv-LV"/>
        </w:rPr>
        <w:t>euro</w:t>
      </w:r>
      <w:proofErr w:type="spellEnd"/>
      <w:r w:rsidRPr="00FB45E5">
        <w:rPr>
          <w:rFonts w:ascii="Times New Roman" w:eastAsia="Times New Roman" w:hAnsi="Times New Roman"/>
          <w:sz w:val="24"/>
          <w:szCs w:val="24"/>
          <w:lang w:eastAsia="lv-LV"/>
        </w:rPr>
        <w:t>, bet</w:t>
      </w:r>
      <w:r w:rsidRPr="000C6481">
        <w:rPr>
          <w:rFonts w:ascii="Times New Roman" w:eastAsia="Times New Roman" w:hAnsi="Times New Roman"/>
          <w:i/>
          <w:sz w:val="24"/>
          <w:szCs w:val="24"/>
          <w:lang w:eastAsia="lv-LV"/>
        </w:rPr>
        <w:t xml:space="preserve"> </w:t>
      </w:r>
      <w:r w:rsidRPr="000C6481">
        <w:rPr>
          <w:rFonts w:ascii="Times New Roman" w:eastAsia="Times New Roman" w:hAnsi="Times New Roman"/>
          <w:sz w:val="24"/>
          <w:szCs w:val="24"/>
          <w:lang w:eastAsia="lv-LV"/>
        </w:rPr>
        <w:t xml:space="preserve">2018. gadā un turpmāk </w:t>
      </w:r>
      <w:r>
        <w:rPr>
          <w:rFonts w:ascii="Times New Roman" w:eastAsia="Times New Roman" w:hAnsi="Times New Roman"/>
          <w:sz w:val="24"/>
          <w:szCs w:val="24"/>
          <w:lang w:eastAsia="lv-LV"/>
        </w:rPr>
        <w:t xml:space="preserve">– </w:t>
      </w:r>
      <w:r w:rsidRPr="000C6481">
        <w:rPr>
          <w:rFonts w:ascii="Times New Roman" w:eastAsia="Times New Roman" w:hAnsi="Times New Roman"/>
          <w:sz w:val="24"/>
          <w:szCs w:val="24"/>
          <w:lang w:eastAsia="lv-LV"/>
        </w:rPr>
        <w:t>15,9</w:t>
      </w:r>
      <w:r>
        <w:rPr>
          <w:rFonts w:ascii="Times New Roman" w:eastAsia="Times New Roman" w:hAnsi="Times New Roman"/>
          <w:sz w:val="24"/>
          <w:szCs w:val="24"/>
          <w:lang w:eastAsia="lv-LV"/>
        </w:rPr>
        <w:t> milj.</w:t>
      </w:r>
      <w:r w:rsidRPr="000C6481">
        <w:rPr>
          <w:rFonts w:ascii="Times New Roman" w:eastAsia="Times New Roman" w:hAnsi="Times New Roman"/>
          <w:sz w:val="24"/>
          <w:szCs w:val="24"/>
          <w:lang w:eastAsia="lv-LV"/>
        </w:rPr>
        <w:t xml:space="preserve"> </w:t>
      </w:r>
      <w:proofErr w:type="spellStart"/>
      <w:r w:rsidRPr="000C6481">
        <w:rPr>
          <w:rFonts w:ascii="Times New Roman" w:eastAsia="Times New Roman" w:hAnsi="Times New Roman"/>
          <w:i/>
          <w:sz w:val="24"/>
          <w:szCs w:val="24"/>
          <w:lang w:eastAsia="lv-LV"/>
        </w:rPr>
        <w:t>euro</w:t>
      </w:r>
      <w:proofErr w:type="spellEnd"/>
      <w:r w:rsidRPr="000C6481">
        <w:rPr>
          <w:rFonts w:ascii="Times New Roman" w:eastAsia="Times New Roman" w:hAnsi="Times New Roman"/>
          <w:sz w:val="24"/>
          <w:szCs w:val="24"/>
          <w:lang w:eastAsia="lv-LV"/>
        </w:rPr>
        <w:t>, kurus IZM, veicot finansējuma pārdali no izglītībai mazāk raksturīgām funkcijām, novirzīs pedagogu atalgojuma palielināšanai, tai skaitā arī sporta treneriem, profesionālās izglītības pedagogiem un augstskolu akadēmiskajam personālam.</w:t>
      </w:r>
    </w:p>
    <w:p w14:paraId="3C1A2054" w14:textId="77777777" w:rsidR="003D0715" w:rsidRPr="000C6481" w:rsidRDefault="003D0715" w:rsidP="003D0715">
      <w:pPr>
        <w:jc w:val="both"/>
        <w:rPr>
          <w:rFonts w:ascii="Times New Roman" w:eastAsia="Times New Roman" w:hAnsi="Times New Roman"/>
          <w:sz w:val="24"/>
          <w:szCs w:val="24"/>
          <w:lang w:eastAsia="lv-LV"/>
        </w:rPr>
      </w:pPr>
      <w:r w:rsidRPr="000C6481">
        <w:rPr>
          <w:rFonts w:ascii="Times New Roman" w:eastAsia="Times New Roman" w:hAnsi="Times New Roman"/>
          <w:sz w:val="24"/>
          <w:szCs w:val="24"/>
          <w:lang w:eastAsia="lv-LV"/>
        </w:rPr>
        <w:t>Savukārt jautājums par nepieciešamā finansējuma nodrošināšanu augstākās izglītības iestāžu jaunā pedagogu darba samaksas modeļa ietvaros paredzētajam pedagogu darba samaksas palielinājumam 2018. gadā un turpmāk (2018. gadā 3,7</w:t>
      </w:r>
      <w:r>
        <w:rPr>
          <w:rFonts w:ascii="Times New Roman" w:eastAsia="Times New Roman" w:hAnsi="Times New Roman"/>
          <w:sz w:val="24"/>
          <w:szCs w:val="24"/>
          <w:lang w:eastAsia="lv-LV"/>
        </w:rPr>
        <w:t> milj.</w:t>
      </w:r>
      <w:r w:rsidRPr="000C6481">
        <w:rPr>
          <w:rFonts w:ascii="Times New Roman" w:eastAsia="Times New Roman" w:hAnsi="Times New Roman"/>
          <w:sz w:val="24"/>
          <w:szCs w:val="24"/>
          <w:lang w:eastAsia="lv-LV"/>
        </w:rPr>
        <w:t xml:space="preserve"> </w:t>
      </w:r>
      <w:proofErr w:type="spellStart"/>
      <w:r w:rsidRPr="000C6481">
        <w:rPr>
          <w:rFonts w:ascii="Times New Roman" w:eastAsia="Times New Roman" w:hAnsi="Times New Roman"/>
          <w:i/>
          <w:sz w:val="24"/>
          <w:szCs w:val="24"/>
          <w:lang w:eastAsia="lv-LV"/>
        </w:rPr>
        <w:t>euro</w:t>
      </w:r>
      <w:proofErr w:type="spellEnd"/>
      <w:r w:rsidRPr="000C6481">
        <w:rPr>
          <w:rFonts w:ascii="Times New Roman" w:eastAsia="Times New Roman" w:hAnsi="Times New Roman"/>
          <w:i/>
          <w:sz w:val="24"/>
          <w:szCs w:val="24"/>
          <w:lang w:eastAsia="lv-LV"/>
        </w:rPr>
        <w:t xml:space="preserve"> </w:t>
      </w:r>
      <w:r w:rsidRPr="000C6481">
        <w:rPr>
          <w:rFonts w:ascii="Times New Roman" w:eastAsia="Times New Roman" w:hAnsi="Times New Roman"/>
          <w:sz w:val="24"/>
          <w:szCs w:val="24"/>
          <w:lang w:eastAsia="lv-LV"/>
        </w:rPr>
        <w:t>apmērā un 2019. gadā un turpmāk 7,4</w:t>
      </w:r>
      <w:r>
        <w:rPr>
          <w:rFonts w:ascii="Times New Roman" w:eastAsia="Times New Roman" w:hAnsi="Times New Roman"/>
          <w:sz w:val="24"/>
          <w:szCs w:val="24"/>
          <w:lang w:eastAsia="lv-LV"/>
        </w:rPr>
        <w:t> milj.</w:t>
      </w:r>
      <w:r w:rsidRPr="000C6481">
        <w:rPr>
          <w:rFonts w:ascii="Times New Roman" w:eastAsia="Times New Roman" w:hAnsi="Times New Roman"/>
          <w:sz w:val="24"/>
          <w:szCs w:val="24"/>
          <w:lang w:eastAsia="lv-LV"/>
        </w:rPr>
        <w:t xml:space="preserve"> </w:t>
      </w:r>
      <w:proofErr w:type="spellStart"/>
      <w:r w:rsidRPr="000C6481">
        <w:rPr>
          <w:rFonts w:ascii="Times New Roman" w:eastAsia="Times New Roman" w:hAnsi="Times New Roman"/>
          <w:i/>
          <w:sz w:val="24"/>
          <w:szCs w:val="24"/>
          <w:lang w:eastAsia="lv-LV"/>
        </w:rPr>
        <w:t>euro</w:t>
      </w:r>
      <w:proofErr w:type="spellEnd"/>
      <w:r w:rsidRPr="000C6481">
        <w:rPr>
          <w:rFonts w:ascii="Times New Roman" w:eastAsia="Times New Roman" w:hAnsi="Times New Roman"/>
          <w:i/>
          <w:sz w:val="24"/>
          <w:szCs w:val="24"/>
          <w:lang w:eastAsia="lv-LV"/>
        </w:rPr>
        <w:t xml:space="preserve"> </w:t>
      </w:r>
      <w:r w:rsidRPr="000C6481">
        <w:rPr>
          <w:rFonts w:ascii="Times New Roman" w:eastAsia="Times New Roman" w:hAnsi="Times New Roman"/>
          <w:sz w:val="24"/>
          <w:szCs w:val="24"/>
          <w:lang w:eastAsia="lv-LV"/>
        </w:rPr>
        <w:t xml:space="preserve">apmērā) tiks </w:t>
      </w:r>
      <w:r>
        <w:rPr>
          <w:rFonts w:ascii="Times New Roman" w:eastAsia="Times New Roman" w:hAnsi="Times New Roman"/>
          <w:sz w:val="24"/>
          <w:szCs w:val="24"/>
          <w:lang w:eastAsia="lv-LV"/>
        </w:rPr>
        <w:t>risināts</w:t>
      </w:r>
      <w:r w:rsidRPr="000C6481">
        <w:rPr>
          <w:rFonts w:ascii="Times New Roman" w:eastAsia="Times New Roman" w:hAnsi="Times New Roman"/>
          <w:sz w:val="24"/>
          <w:szCs w:val="24"/>
          <w:lang w:eastAsia="lv-LV"/>
        </w:rPr>
        <w:t xml:space="preserve"> budžeta bāzes </w:t>
      </w:r>
      <w:r w:rsidRPr="000C6481">
        <w:rPr>
          <w:rFonts w:ascii="Times New Roman" w:eastAsia="Times New Roman" w:hAnsi="Times New Roman"/>
          <w:sz w:val="24"/>
          <w:szCs w:val="24"/>
          <w:lang w:eastAsia="lv-LV"/>
        </w:rPr>
        <w:lastRenderedPageBreak/>
        <w:t>izdevumu 2018.–2020. gadam sagatavošanas procesā, nesamazinot no valsts budžeta līdzekļiem finansēto studiju vietu skaitu 2018. un 2019. gadā. Valsts budžeta finansējums, kas tiks ietaupīts izglītības iestāžu tīkla optimizācijas rezultātā, ļaus nodrošināt pedagogu darba samaksas paaugstināšanas grafika izveidi.</w:t>
      </w:r>
    </w:p>
    <w:p w14:paraId="5156F887" w14:textId="77777777" w:rsidR="003D0715" w:rsidRPr="000C6481" w:rsidRDefault="003D0715" w:rsidP="003D0715">
      <w:pPr>
        <w:jc w:val="both"/>
        <w:rPr>
          <w:rFonts w:ascii="Times New Roman" w:eastAsia="Times New Roman" w:hAnsi="Times New Roman"/>
          <w:sz w:val="24"/>
          <w:szCs w:val="24"/>
          <w:lang w:eastAsia="lv-LV"/>
        </w:rPr>
      </w:pPr>
    </w:p>
    <w:p w14:paraId="6D8F71F9" w14:textId="1F157BC6" w:rsidR="00AD0D30" w:rsidRPr="00FF1B19" w:rsidRDefault="00FF1B19" w:rsidP="00FF1B19">
      <w:pPr>
        <w:pStyle w:val="Heading2"/>
      </w:pPr>
      <w:r>
        <w:t> </w:t>
      </w:r>
      <w:bookmarkStart w:id="63" w:name="_Toc466466873"/>
      <w:r w:rsidR="00AD0D30" w:rsidRPr="00FF1B19">
        <w:t>Skolu tīkla sakārtošana</w:t>
      </w:r>
      <w:bookmarkEnd w:id="63"/>
    </w:p>
    <w:p w14:paraId="6B153344" w14:textId="3D430A84" w:rsidR="003D0715" w:rsidRPr="000C6481" w:rsidRDefault="003D0715" w:rsidP="003D0715">
      <w:pPr>
        <w:jc w:val="both"/>
        <w:rPr>
          <w:rFonts w:ascii="Times New Roman" w:hAnsi="Times New Roman"/>
          <w:sz w:val="24"/>
          <w:szCs w:val="24"/>
        </w:rPr>
      </w:pPr>
      <w:bookmarkStart w:id="64" w:name="_Toc465349546"/>
      <w:bookmarkStart w:id="65" w:name="_Toc465089724"/>
      <w:r>
        <w:rPr>
          <w:rFonts w:ascii="Times New Roman" w:hAnsi="Times New Roman"/>
          <w:sz w:val="24"/>
          <w:szCs w:val="24"/>
        </w:rPr>
        <w:t>Pašvaldības</w:t>
      </w:r>
      <w:r w:rsidRPr="000C6481">
        <w:rPr>
          <w:rFonts w:ascii="Times New Roman" w:hAnsi="Times New Roman"/>
          <w:sz w:val="24"/>
          <w:szCs w:val="24"/>
        </w:rPr>
        <w:t xml:space="preserve"> kā </w:t>
      </w:r>
      <w:r>
        <w:rPr>
          <w:rFonts w:ascii="Times New Roman" w:eastAsia="Times New Roman" w:hAnsi="Times New Roman"/>
          <w:sz w:val="24"/>
          <w:szCs w:val="24"/>
          <w:lang w:eastAsia="lv-LV"/>
        </w:rPr>
        <w:t>izglītības iestāžu dibinātājas</w:t>
      </w:r>
      <w:r w:rsidRPr="000C6481">
        <w:rPr>
          <w:rFonts w:ascii="Times New Roman" w:eastAsia="Times New Roman" w:hAnsi="Times New Roman"/>
          <w:sz w:val="24"/>
          <w:szCs w:val="24"/>
          <w:lang w:eastAsia="lv-LV"/>
        </w:rPr>
        <w:t xml:space="preserve"> veido Latvijas izglītības iestāžu tīklu. </w:t>
      </w:r>
      <w:r>
        <w:rPr>
          <w:rFonts w:ascii="Times New Roman" w:eastAsia="Times New Roman" w:hAnsi="Times New Roman"/>
          <w:sz w:val="24"/>
          <w:szCs w:val="24"/>
          <w:lang w:eastAsia="lv-LV"/>
        </w:rPr>
        <w:t>Tādējādi</w:t>
      </w:r>
      <w:r w:rsidRPr="000C6481">
        <w:rPr>
          <w:rFonts w:ascii="Times New Roman" w:eastAsia="Times New Roman" w:hAnsi="Times New Roman"/>
          <w:sz w:val="24"/>
          <w:szCs w:val="24"/>
          <w:lang w:eastAsia="lv-LV"/>
        </w:rPr>
        <w:t xml:space="preserve"> pašvaldību spēkos ir ietekmēt turpmāko Latvijas skolu tīkl</w:t>
      </w:r>
      <w:r>
        <w:rPr>
          <w:rFonts w:ascii="Times New Roman" w:eastAsia="Times New Roman" w:hAnsi="Times New Roman"/>
          <w:sz w:val="24"/>
          <w:szCs w:val="24"/>
          <w:lang w:eastAsia="lv-LV"/>
        </w:rPr>
        <w:t>a</w:t>
      </w:r>
      <w:r w:rsidRPr="000C6481">
        <w:rPr>
          <w:rFonts w:ascii="Times New Roman" w:eastAsia="Times New Roman" w:hAnsi="Times New Roman"/>
          <w:sz w:val="24"/>
          <w:szCs w:val="24"/>
          <w:lang w:eastAsia="lv-LV"/>
        </w:rPr>
        <w:t xml:space="preserve"> reformu</w:t>
      </w:r>
      <w:r w:rsidR="004C3936">
        <w:rPr>
          <w:rFonts w:ascii="Times New Roman" w:eastAsia="Times New Roman" w:hAnsi="Times New Roman"/>
          <w:sz w:val="24"/>
          <w:szCs w:val="24"/>
          <w:lang w:eastAsia="lv-LV"/>
        </w:rPr>
        <w:t>, lai</w:t>
      </w:r>
      <w:r w:rsidRPr="000C6481">
        <w:rPr>
          <w:rFonts w:ascii="Times New Roman" w:eastAsia="Times New Roman" w:hAnsi="Times New Roman"/>
          <w:sz w:val="24"/>
          <w:szCs w:val="24"/>
          <w:lang w:eastAsia="lv-LV"/>
        </w:rPr>
        <w:t xml:space="preserve"> izveido</w:t>
      </w:r>
      <w:r>
        <w:rPr>
          <w:rFonts w:ascii="Times New Roman" w:eastAsia="Times New Roman" w:hAnsi="Times New Roman"/>
          <w:sz w:val="24"/>
          <w:szCs w:val="24"/>
          <w:lang w:eastAsia="lv-LV"/>
        </w:rPr>
        <w:t>t</w:t>
      </w:r>
      <w:r w:rsidR="004C3936">
        <w:rPr>
          <w:rFonts w:ascii="Times New Roman" w:eastAsia="Times New Roman" w:hAnsi="Times New Roman"/>
          <w:sz w:val="24"/>
          <w:szCs w:val="24"/>
          <w:lang w:eastAsia="lv-LV"/>
        </w:rPr>
        <w:t>os tāds</w:t>
      </w:r>
      <w:r>
        <w:rPr>
          <w:rFonts w:ascii="Times New Roman" w:eastAsia="Times New Roman" w:hAnsi="Times New Roman"/>
          <w:sz w:val="24"/>
          <w:szCs w:val="24"/>
          <w:lang w:eastAsia="lv-LV"/>
        </w:rPr>
        <w:t xml:space="preserve"> skolu tīkl</w:t>
      </w:r>
      <w:r w:rsidR="004C3936">
        <w:rPr>
          <w:rFonts w:ascii="Times New Roman" w:eastAsia="Times New Roman" w:hAnsi="Times New Roman"/>
          <w:sz w:val="24"/>
          <w:szCs w:val="24"/>
          <w:lang w:eastAsia="lv-LV"/>
        </w:rPr>
        <w:t>s</w:t>
      </w:r>
      <w:r w:rsidRPr="000C6481">
        <w:rPr>
          <w:rFonts w:ascii="Times New Roman" w:eastAsia="Times New Roman" w:hAnsi="Times New Roman"/>
          <w:sz w:val="24"/>
          <w:szCs w:val="24"/>
          <w:lang w:eastAsia="lv-LV"/>
        </w:rPr>
        <w:t xml:space="preserve">, kas </w:t>
      </w:r>
      <w:r>
        <w:rPr>
          <w:rFonts w:ascii="Times New Roman" w:eastAsia="Times New Roman" w:hAnsi="Times New Roman"/>
          <w:sz w:val="24"/>
          <w:szCs w:val="24"/>
          <w:lang w:eastAsia="lv-LV"/>
        </w:rPr>
        <w:t xml:space="preserve">ļaus </w:t>
      </w:r>
      <w:r w:rsidRPr="000C6481">
        <w:rPr>
          <w:rFonts w:ascii="Times New Roman" w:eastAsia="Times New Roman" w:hAnsi="Times New Roman"/>
          <w:sz w:val="24"/>
          <w:szCs w:val="24"/>
          <w:lang w:eastAsia="lv-LV"/>
        </w:rPr>
        <w:t>risinā</w:t>
      </w:r>
      <w:r>
        <w:rPr>
          <w:rFonts w:ascii="Times New Roman" w:eastAsia="Times New Roman" w:hAnsi="Times New Roman"/>
          <w:sz w:val="24"/>
          <w:szCs w:val="24"/>
          <w:lang w:eastAsia="lv-LV"/>
        </w:rPr>
        <w:t>t</w:t>
      </w:r>
      <w:r w:rsidRPr="000C6481">
        <w:rPr>
          <w:rFonts w:ascii="Times New Roman" w:eastAsia="Times New Roman" w:hAnsi="Times New Roman"/>
          <w:sz w:val="24"/>
          <w:szCs w:val="24"/>
          <w:lang w:eastAsia="lv-LV"/>
        </w:rPr>
        <w:t xml:space="preserve"> jautājumu </w:t>
      </w:r>
      <w:r>
        <w:rPr>
          <w:rFonts w:ascii="Times New Roman" w:eastAsia="Times New Roman" w:hAnsi="Times New Roman"/>
          <w:sz w:val="24"/>
          <w:szCs w:val="24"/>
          <w:lang w:eastAsia="lv-LV"/>
        </w:rPr>
        <w:t xml:space="preserve">arī </w:t>
      </w:r>
      <w:r w:rsidRPr="000C6481">
        <w:rPr>
          <w:rFonts w:ascii="Times New Roman" w:eastAsia="Times New Roman" w:hAnsi="Times New Roman"/>
          <w:sz w:val="24"/>
          <w:szCs w:val="24"/>
          <w:lang w:eastAsia="lv-LV"/>
        </w:rPr>
        <w:t>par skolēnu</w:t>
      </w:r>
      <w:r>
        <w:rPr>
          <w:rFonts w:ascii="Times New Roman" w:eastAsia="Times New Roman" w:hAnsi="Times New Roman"/>
          <w:sz w:val="24"/>
          <w:szCs w:val="24"/>
          <w:lang w:eastAsia="lv-LV"/>
        </w:rPr>
        <w:t xml:space="preserve"> un </w:t>
      </w:r>
      <w:r w:rsidRPr="000C6481">
        <w:rPr>
          <w:rFonts w:ascii="Times New Roman" w:eastAsia="Times New Roman" w:hAnsi="Times New Roman"/>
          <w:sz w:val="24"/>
          <w:szCs w:val="24"/>
          <w:lang w:eastAsia="lv-LV"/>
        </w:rPr>
        <w:t xml:space="preserve">skolotāju proporcijas paaugstināšanu skolās, jo šobrīd vidējā </w:t>
      </w:r>
      <w:r w:rsidRPr="000C6481">
        <w:rPr>
          <w:rFonts w:ascii="Times New Roman" w:hAnsi="Times New Roman"/>
          <w:sz w:val="24"/>
          <w:szCs w:val="24"/>
        </w:rPr>
        <w:t>skolēnu (bērnu) skaita attiecība pret vienu pedagogu ir viena no zemākajām ES (skat. 11.</w:t>
      </w:r>
      <w:r>
        <w:rPr>
          <w:rFonts w:ascii="Times New Roman" w:hAnsi="Times New Roman"/>
          <w:sz w:val="24"/>
          <w:szCs w:val="24"/>
        </w:rPr>
        <w:t> </w:t>
      </w:r>
      <w:r w:rsidRPr="000C6481">
        <w:rPr>
          <w:rFonts w:ascii="Times New Roman" w:hAnsi="Times New Roman"/>
          <w:sz w:val="24"/>
          <w:szCs w:val="24"/>
        </w:rPr>
        <w:t>attēlu).</w:t>
      </w:r>
    </w:p>
    <w:p w14:paraId="275CA540" w14:textId="350F61BD" w:rsidR="003D0715" w:rsidRPr="000C6481" w:rsidRDefault="003D0715" w:rsidP="003D0715">
      <w:pPr>
        <w:jc w:val="both"/>
        <w:rPr>
          <w:rFonts w:ascii="Times New Roman" w:hAnsi="Times New Roman"/>
          <w:sz w:val="24"/>
          <w:szCs w:val="24"/>
        </w:rPr>
      </w:pPr>
      <w:r>
        <w:rPr>
          <w:rFonts w:ascii="Times New Roman" w:hAnsi="Times New Roman"/>
          <w:sz w:val="24"/>
          <w:szCs w:val="24"/>
        </w:rPr>
        <w:t>Neefektīvs skolu tīkls Latvijā</w:t>
      </w:r>
      <w:r w:rsidRPr="000C6481">
        <w:rPr>
          <w:rFonts w:ascii="Times New Roman" w:hAnsi="Times New Roman"/>
          <w:sz w:val="24"/>
          <w:szCs w:val="24"/>
        </w:rPr>
        <w:t xml:space="preserve"> </w:t>
      </w:r>
      <w:r>
        <w:rPr>
          <w:rFonts w:ascii="Times New Roman" w:hAnsi="Times New Roman"/>
          <w:sz w:val="24"/>
          <w:szCs w:val="24"/>
        </w:rPr>
        <w:t>rada</w:t>
      </w:r>
      <w:r w:rsidRPr="000C6481">
        <w:rPr>
          <w:rFonts w:ascii="Times New Roman" w:hAnsi="Times New Roman"/>
          <w:sz w:val="24"/>
          <w:szCs w:val="24"/>
        </w:rPr>
        <w:t xml:space="preserve"> situāciju, ka izglītībai no valsts budžeta tiek</w:t>
      </w:r>
      <w:proofErr w:type="gramStart"/>
      <w:r w:rsidRPr="000C6481">
        <w:rPr>
          <w:rFonts w:ascii="Times New Roman" w:hAnsi="Times New Roman"/>
          <w:sz w:val="24"/>
          <w:szCs w:val="24"/>
        </w:rPr>
        <w:t xml:space="preserve"> tērēti vairāk</w:t>
      </w:r>
      <w:proofErr w:type="gramEnd"/>
      <w:r w:rsidRPr="000C6481">
        <w:rPr>
          <w:rFonts w:ascii="Times New Roman" w:hAnsi="Times New Roman"/>
          <w:sz w:val="24"/>
          <w:szCs w:val="24"/>
        </w:rPr>
        <w:t xml:space="preserve"> līdzekļu nekā vidēji Eiropas Savienības valstīs. Skolu tīkls Latvijā ir blīvs un ar relatīvi zemu k</w:t>
      </w:r>
      <w:r>
        <w:rPr>
          <w:rFonts w:ascii="Times New Roman" w:hAnsi="Times New Roman"/>
          <w:sz w:val="24"/>
          <w:szCs w:val="24"/>
        </w:rPr>
        <w:t>lašu piepildījumu. Papildus tam</w:t>
      </w:r>
      <w:r w:rsidRPr="000C6481">
        <w:rPr>
          <w:rFonts w:ascii="Times New Roman" w:hAnsi="Times New Roman"/>
          <w:sz w:val="24"/>
          <w:szCs w:val="24"/>
        </w:rPr>
        <w:t xml:space="preserve"> izglītības infrastruktūra prasa lielus administratīvos izdevumus. Iepriekš minētais norāda, ka esošais skolu tīkls ir ne tikai ar novecojušu infrastruktūru, bet arī </w:t>
      </w:r>
      <w:r w:rsidR="00F95A09">
        <w:rPr>
          <w:rFonts w:ascii="Times New Roman" w:hAnsi="Times New Roman"/>
          <w:sz w:val="24"/>
          <w:szCs w:val="24"/>
        </w:rPr>
        <w:t>nav atbilstošs šobrīd esošajam</w:t>
      </w:r>
      <w:r w:rsidRPr="000C6481">
        <w:rPr>
          <w:rFonts w:ascii="Times New Roman" w:hAnsi="Times New Roman"/>
          <w:sz w:val="24"/>
          <w:szCs w:val="24"/>
        </w:rPr>
        <w:t xml:space="preserve"> iedzīvotāju blīvumam un izglītības kvalitātes prasībām.  </w:t>
      </w:r>
    </w:p>
    <w:p w14:paraId="283C5128" w14:textId="77777777" w:rsidR="003D0715" w:rsidRPr="000C6481" w:rsidRDefault="003D0715" w:rsidP="006902D8">
      <w:pPr>
        <w:spacing w:line="240" w:lineRule="auto"/>
        <w:jc w:val="right"/>
        <w:rPr>
          <w:rFonts w:ascii="Times New Roman" w:hAnsi="Times New Roman"/>
          <w:sz w:val="24"/>
          <w:szCs w:val="24"/>
        </w:rPr>
      </w:pPr>
      <w:r w:rsidRPr="000C6481">
        <w:rPr>
          <w:rFonts w:ascii="Times New Roman" w:hAnsi="Times New Roman"/>
          <w:sz w:val="24"/>
          <w:szCs w:val="24"/>
        </w:rPr>
        <w:t>11.</w:t>
      </w:r>
      <w:r>
        <w:rPr>
          <w:rFonts w:ascii="Times New Roman" w:hAnsi="Times New Roman"/>
          <w:sz w:val="24"/>
          <w:szCs w:val="24"/>
        </w:rPr>
        <w:t> </w:t>
      </w:r>
      <w:r w:rsidRPr="000C6481">
        <w:rPr>
          <w:rFonts w:ascii="Times New Roman" w:hAnsi="Times New Roman"/>
          <w:sz w:val="24"/>
          <w:szCs w:val="24"/>
        </w:rPr>
        <w:t>attēls</w:t>
      </w:r>
    </w:p>
    <w:p w14:paraId="2D023B42" w14:textId="77777777" w:rsidR="003D0715" w:rsidRPr="000C6481" w:rsidRDefault="003D0715" w:rsidP="003D0715">
      <w:pPr>
        <w:jc w:val="right"/>
        <w:rPr>
          <w:rFonts w:ascii="Times New Roman" w:hAnsi="Times New Roman"/>
          <w:sz w:val="24"/>
          <w:szCs w:val="24"/>
        </w:rPr>
      </w:pPr>
      <w:r w:rsidRPr="000C6481">
        <w:rPr>
          <w:rFonts w:ascii="Times New Roman" w:hAnsi="Times New Roman"/>
          <w:b/>
          <w:bCs/>
          <w:sz w:val="24"/>
          <w:szCs w:val="24"/>
        </w:rPr>
        <w:t>Skolēnu (bērnu) skaita attiecības pret vienu pedagogu teritoriālais kartējums</w:t>
      </w:r>
    </w:p>
    <w:p w14:paraId="49A810A4" w14:textId="77777777" w:rsidR="003D0715" w:rsidRPr="000C6481" w:rsidRDefault="003D0715" w:rsidP="006902D8">
      <w:pPr>
        <w:spacing w:after="0" w:line="240" w:lineRule="auto"/>
        <w:jc w:val="center"/>
        <w:rPr>
          <w:rFonts w:ascii="Times New Roman" w:hAnsi="Times New Roman"/>
          <w:sz w:val="24"/>
          <w:szCs w:val="24"/>
        </w:rPr>
      </w:pPr>
      <w:r>
        <w:rPr>
          <w:rFonts w:ascii="Times New Roman" w:hAnsi="Times New Roman"/>
          <w:noProof/>
          <w:sz w:val="24"/>
          <w:szCs w:val="24"/>
          <w:lang w:eastAsia="lv-LV"/>
        </w:rPr>
        <w:drawing>
          <wp:inline distT="0" distB="0" distL="0" distR="0" wp14:anchorId="0FC3FE95" wp14:editId="6DD87BC5">
            <wp:extent cx="5271714" cy="3163610"/>
            <wp:effectExtent l="0" t="0" r="5715" b="0"/>
            <wp:docPr id="22" name="Picture 4" descr="C:\Users\PKCEP\AppData\Local\Microsoft\Windows\Temporary Internet Files\Content.Outlook\JTALO2K4\22042016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KCEP\AppData\Local\Microsoft\Windows\Temporary Internet Files\Content.Outlook\JTALO2K4\22042016png.png"/>
                    <pic:cNvPicPr>
                      <a:picLocks noChangeAspect="1" noChangeArrowheads="1"/>
                    </pic:cNvPicPr>
                  </pic:nvPicPr>
                  <pic:blipFill>
                    <a:blip r:embed="rId20">
                      <a:extLst>
                        <a:ext uri="{28A0092B-C50C-407E-A947-70E740481C1C}">
                          <a14:useLocalDpi xmlns:a14="http://schemas.microsoft.com/office/drawing/2010/main" val="0"/>
                        </a:ext>
                      </a:extLst>
                    </a:blip>
                    <a:srcRect l="3014" t="4681" r="1657" b="6564"/>
                    <a:stretch>
                      <a:fillRect/>
                    </a:stretch>
                  </pic:blipFill>
                  <pic:spPr bwMode="auto">
                    <a:xfrm>
                      <a:off x="0" y="0"/>
                      <a:ext cx="5269532" cy="3162300"/>
                    </a:xfrm>
                    <a:prstGeom prst="rect">
                      <a:avLst/>
                    </a:prstGeom>
                    <a:noFill/>
                    <a:ln>
                      <a:noFill/>
                    </a:ln>
                  </pic:spPr>
                </pic:pic>
              </a:graphicData>
            </a:graphic>
          </wp:inline>
        </w:drawing>
      </w:r>
    </w:p>
    <w:p w14:paraId="4F935039" w14:textId="77777777" w:rsidR="003D0715" w:rsidRPr="006902D8" w:rsidRDefault="003D0715" w:rsidP="003D0715">
      <w:pPr>
        <w:rPr>
          <w:rFonts w:ascii="Times New Roman" w:hAnsi="Times New Roman"/>
          <w:sz w:val="20"/>
          <w:szCs w:val="20"/>
        </w:rPr>
      </w:pPr>
      <w:r w:rsidRPr="006902D8">
        <w:rPr>
          <w:rFonts w:ascii="Times New Roman" w:hAnsi="Times New Roman"/>
          <w:sz w:val="20"/>
          <w:szCs w:val="20"/>
        </w:rPr>
        <w:t>Avots: Izglītības un zinātnes ministrija (2016)</w:t>
      </w:r>
    </w:p>
    <w:p w14:paraId="61798315" w14:textId="662D23BF" w:rsidR="003D0715" w:rsidRPr="000C6481" w:rsidRDefault="003D0715" w:rsidP="003D0715">
      <w:pPr>
        <w:jc w:val="both"/>
        <w:rPr>
          <w:rFonts w:ascii="Times New Roman" w:eastAsia="Times New Roman" w:hAnsi="Times New Roman"/>
          <w:sz w:val="24"/>
          <w:szCs w:val="24"/>
          <w:lang w:eastAsia="lv-LV"/>
        </w:rPr>
      </w:pPr>
      <w:r w:rsidRPr="000C6481">
        <w:rPr>
          <w:rFonts w:ascii="Times New Roman" w:hAnsi="Times New Roman"/>
          <w:sz w:val="24"/>
          <w:szCs w:val="24"/>
        </w:rPr>
        <w:t xml:space="preserve">Viens no galvenajiem </w:t>
      </w:r>
      <w:r>
        <w:rPr>
          <w:rFonts w:ascii="Times New Roman" w:hAnsi="Times New Roman"/>
          <w:sz w:val="24"/>
          <w:szCs w:val="24"/>
        </w:rPr>
        <w:t>IZM uzdevumiem</w:t>
      </w:r>
      <w:r w:rsidRPr="000C6481">
        <w:rPr>
          <w:rFonts w:ascii="Times New Roman" w:hAnsi="Times New Roman"/>
          <w:sz w:val="24"/>
          <w:szCs w:val="24"/>
        </w:rPr>
        <w:t xml:space="preserve"> ir </w:t>
      </w:r>
      <w:r w:rsidRPr="000C6481">
        <w:rPr>
          <w:rFonts w:ascii="Times New Roman" w:eastAsia="Times New Roman" w:hAnsi="Times New Roman"/>
          <w:sz w:val="24"/>
          <w:szCs w:val="24"/>
          <w:lang w:eastAsia="lv-LV"/>
        </w:rPr>
        <w:t>izgl</w:t>
      </w:r>
      <w:r w:rsidR="002C6881">
        <w:rPr>
          <w:rFonts w:ascii="Times New Roman" w:eastAsia="Times New Roman" w:hAnsi="Times New Roman"/>
          <w:sz w:val="24"/>
          <w:szCs w:val="24"/>
          <w:lang w:eastAsia="lv-LV"/>
        </w:rPr>
        <w:t>ītības iestāžu tīkla optimizēšana</w:t>
      </w:r>
      <w:r w:rsidRPr="000C6481">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Tāpat jāizvērtē, kā iespējams modificēt</w:t>
      </w:r>
      <w:r w:rsidRPr="000C6481">
        <w:rPr>
          <w:rFonts w:ascii="Times New Roman" w:eastAsia="Times New Roman" w:hAnsi="Times New Roman"/>
          <w:sz w:val="24"/>
          <w:szCs w:val="24"/>
          <w:lang w:eastAsia="lv-LV"/>
        </w:rPr>
        <w:t xml:space="preserve"> pašvaldību savstarpējo norēķinu sistēm</w:t>
      </w:r>
      <w:r>
        <w:rPr>
          <w:rFonts w:ascii="Times New Roman" w:eastAsia="Times New Roman" w:hAnsi="Times New Roman"/>
          <w:sz w:val="24"/>
          <w:szCs w:val="24"/>
          <w:lang w:eastAsia="lv-LV"/>
        </w:rPr>
        <w:t>u</w:t>
      </w:r>
      <w:r w:rsidRPr="000C6481">
        <w:rPr>
          <w:rFonts w:ascii="Times New Roman" w:eastAsia="Times New Roman" w:hAnsi="Times New Roman"/>
          <w:sz w:val="24"/>
          <w:szCs w:val="24"/>
          <w:lang w:eastAsia="lv-LV"/>
        </w:rPr>
        <w:t xml:space="preserve"> par iestāžu sniegtajiem pakalpojumiem, nodrošinot, ka sākumskolas izglītību iegūst iespējami </w:t>
      </w:r>
      <w:r w:rsidRPr="000C6481">
        <w:rPr>
          <w:rFonts w:ascii="Times New Roman" w:eastAsia="Times New Roman" w:hAnsi="Times New Roman"/>
          <w:sz w:val="24"/>
          <w:szCs w:val="24"/>
          <w:lang w:eastAsia="lv-LV"/>
        </w:rPr>
        <w:lastRenderedPageBreak/>
        <w:t>tuvu dzīvesvietai, bet pamatizglītību un vidējo izglītību</w:t>
      </w:r>
      <w:r>
        <w:rPr>
          <w:rFonts w:ascii="Times New Roman" w:eastAsia="Times New Roman" w:hAnsi="Times New Roman"/>
          <w:sz w:val="24"/>
          <w:szCs w:val="24"/>
          <w:lang w:eastAsia="lv-LV"/>
        </w:rPr>
        <w:t xml:space="preserve"> –</w:t>
      </w:r>
      <w:r w:rsidRPr="000C6481">
        <w:rPr>
          <w:rFonts w:ascii="Times New Roman" w:eastAsia="Times New Roman" w:hAnsi="Times New Roman"/>
          <w:sz w:val="24"/>
          <w:szCs w:val="24"/>
          <w:lang w:eastAsia="lv-LV"/>
        </w:rPr>
        <w:t xml:space="preserve"> savstarpēji konkurējošās iz</w:t>
      </w:r>
      <w:r>
        <w:rPr>
          <w:rFonts w:ascii="Times New Roman" w:eastAsia="Times New Roman" w:hAnsi="Times New Roman"/>
          <w:sz w:val="24"/>
          <w:szCs w:val="24"/>
          <w:lang w:eastAsia="lv-LV"/>
        </w:rPr>
        <w:t>glītības iestādēs. Papildus tam</w:t>
      </w:r>
      <w:r w:rsidRPr="000C6481">
        <w:rPr>
          <w:rFonts w:ascii="Times New Roman" w:eastAsia="Times New Roman" w:hAnsi="Times New Roman"/>
          <w:sz w:val="24"/>
          <w:szCs w:val="24"/>
          <w:lang w:eastAsia="lv-LV"/>
        </w:rPr>
        <w:t xml:space="preserve"> ministrijai ir jāizvērtē finanšu resursu ieguldījuma lietderība un apjoms, izglītības iestāžu tīklu salāgojot ar sabiedriskā transporta maršrut</w:t>
      </w:r>
      <w:r>
        <w:rPr>
          <w:rFonts w:ascii="Times New Roman" w:eastAsia="Times New Roman" w:hAnsi="Times New Roman"/>
          <w:sz w:val="24"/>
          <w:szCs w:val="24"/>
          <w:lang w:eastAsia="lv-LV"/>
        </w:rPr>
        <w:t>u tīklu</w:t>
      </w:r>
      <w:r w:rsidRPr="000C6481">
        <w:rPr>
          <w:rFonts w:ascii="Times New Roman" w:eastAsia="Times New Roman" w:hAnsi="Times New Roman"/>
          <w:sz w:val="24"/>
          <w:szCs w:val="24"/>
          <w:lang w:eastAsia="lv-LV"/>
        </w:rPr>
        <w:t xml:space="preserve">. Paredzēts, ka 2017. gadā tiks sagatavoti priekšlikumi kompleksam risinājumam, izstrādājot iespējamo </w:t>
      </w:r>
      <w:r>
        <w:rPr>
          <w:rFonts w:ascii="Times New Roman" w:eastAsia="Times New Roman" w:hAnsi="Times New Roman"/>
          <w:sz w:val="24"/>
          <w:szCs w:val="24"/>
          <w:lang w:eastAsia="lv-LV"/>
        </w:rPr>
        <w:t>"</w:t>
      </w:r>
      <w:r w:rsidRPr="000C6481">
        <w:rPr>
          <w:rFonts w:ascii="Times New Roman" w:eastAsia="Times New Roman" w:hAnsi="Times New Roman"/>
          <w:sz w:val="24"/>
          <w:szCs w:val="24"/>
          <w:lang w:eastAsia="lv-LV"/>
        </w:rPr>
        <w:t>ideālā</w:t>
      </w:r>
      <w:r>
        <w:rPr>
          <w:rFonts w:ascii="Times New Roman" w:eastAsia="Times New Roman" w:hAnsi="Times New Roman"/>
          <w:sz w:val="24"/>
          <w:szCs w:val="24"/>
          <w:lang w:eastAsia="lv-LV"/>
        </w:rPr>
        <w:t>"</w:t>
      </w:r>
      <w:r w:rsidRPr="000C6481">
        <w:rPr>
          <w:rFonts w:ascii="Times New Roman" w:eastAsia="Times New Roman" w:hAnsi="Times New Roman"/>
          <w:sz w:val="24"/>
          <w:szCs w:val="24"/>
          <w:lang w:eastAsia="lv-LV"/>
        </w:rPr>
        <w:t xml:space="preserve"> izglītības iestāžu tīkla telpisku kartējumu, kura pamatā ir izglītības kvalitāte, vienoti izveides kritēriji un atbalsta pasākumi. </w:t>
      </w:r>
    </w:p>
    <w:p w14:paraId="0DA69772" w14:textId="0DCBB240" w:rsidR="003D0715" w:rsidRPr="000C6481" w:rsidRDefault="003D0715" w:rsidP="003D0715">
      <w:pPr>
        <w:jc w:val="both"/>
        <w:rPr>
          <w:rFonts w:ascii="Times New Roman" w:eastAsia="Times New Roman" w:hAnsi="Times New Roman"/>
          <w:sz w:val="24"/>
          <w:szCs w:val="24"/>
          <w:lang w:eastAsia="lv-LV"/>
        </w:rPr>
      </w:pPr>
      <w:r w:rsidRPr="000C6481">
        <w:rPr>
          <w:rFonts w:ascii="Times New Roman" w:eastAsia="Times New Roman" w:hAnsi="Times New Roman"/>
          <w:sz w:val="24"/>
          <w:szCs w:val="24"/>
          <w:lang w:eastAsia="lv-LV"/>
        </w:rPr>
        <w:t>Šogad stājās spēkā prasības</w:t>
      </w:r>
      <w:r w:rsidRPr="000C6481">
        <w:rPr>
          <w:rStyle w:val="FootnoteReference"/>
          <w:rFonts w:ascii="Times New Roman" w:eastAsia="Times New Roman" w:hAnsi="Times New Roman"/>
          <w:sz w:val="24"/>
          <w:szCs w:val="24"/>
          <w:lang w:eastAsia="lv-LV"/>
        </w:rPr>
        <w:footnoteReference w:id="13"/>
      </w:r>
      <w:r w:rsidRPr="000C6481">
        <w:rPr>
          <w:rFonts w:ascii="Times New Roman" w:eastAsia="Times New Roman" w:hAnsi="Times New Roman"/>
          <w:sz w:val="24"/>
          <w:szCs w:val="24"/>
          <w:lang w:eastAsia="lv-LV"/>
        </w:rPr>
        <w:t xml:space="preserve"> par 10. klases atvēršanu</w:t>
      </w:r>
      <w:r>
        <w:rPr>
          <w:rFonts w:ascii="Times New Roman" w:eastAsia="Times New Roman" w:hAnsi="Times New Roman"/>
          <w:sz w:val="24"/>
          <w:szCs w:val="24"/>
          <w:lang w:eastAsia="lv-LV"/>
        </w:rPr>
        <w:t xml:space="preserve"> </w:t>
      </w:r>
      <w:r w:rsidR="004C3936">
        <w:rPr>
          <w:rFonts w:ascii="Times New Roman" w:eastAsia="Times New Roman" w:hAnsi="Times New Roman"/>
          <w:sz w:val="24"/>
          <w:szCs w:val="24"/>
          <w:lang w:eastAsia="lv-LV"/>
        </w:rPr>
        <w:t>atbilstoši noteiktam</w:t>
      </w:r>
      <w:r w:rsidRPr="000C6481">
        <w:rPr>
          <w:rFonts w:ascii="Times New Roman" w:eastAsia="Times New Roman" w:hAnsi="Times New Roman"/>
          <w:sz w:val="24"/>
          <w:szCs w:val="24"/>
          <w:lang w:eastAsia="lv-LV"/>
        </w:rPr>
        <w:t xml:space="preserve"> skolēnu skait</w:t>
      </w:r>
      <w:r w:rsidR="004C3936">
        <w:rPr>
          <w:rFonts w:ascii="Times New Roman" w:eastAsia="Times New Roman" w:hAnsi="Times New Roman"/>
          <w:sz w:val="24"/>
          <w:szCs w:val="24"/>
          <w:lang w:eastAsia="lv-LV"/>
        </w:rPr>
        <w:t>am</w:t>
      </w:r>
      <w:r w:rsidRPr="000C6481">
        <w:rPr>
          <w:rFonts w:ascii="Times New Roman" w:eastAsia="Times New Roman" w:hAnsi="Times New Roman"/>
          <w:sz w:val="24"/>
          <w:szCs w:val="24"/>
          <w:lang w:eastAsia="lv-LV"/>
        </w:rPr>
        <w:t>. Ietvertais regulējums nosaka aprēķinos pamatotu 10. klases atvēršanai nepieciešamo minimālo skolēnu skaitu, uzņemot viņus vispārējās vidējās izglītības klātienes vai neklātienes programmās, lai ar pieejamajiem resursiem nodrošinātu kvalitatīvas izglītības ieguves iespējas. Tāpat valdība vienojās</w:t>
      </w:r>
      <w:r w:rsidRPr="000C6481">
        <w:rPr>
          <w:rStyle w:val="FootnoteReference"/>
          <w:rFonts w:ascii="Times New Roman" w:eastAsia="Times New Roman" w:hAnsi="Times New Roman"/>
          <w:sz w:val="24"/>
          <w:szCs w:val="24"/>
          <w:lang w:eastAsia="lv-LV"/>
        </w:rPr>
        <w:footnoteReference w:id="14"/>
      </w:r>
      <w:r w:rsidRPr="000C6481">
        <w:rPr>
          <w:rFonts w:ascii="Times New Roman" w:eastAsia="Times New Roman" w:hAnsi="Times New Roman"/>
          <w:sz w:val="24"/>
          <w:szCs w:val="24"/>
          <w:lang w:eastAsia="lv-LV"/>
        </w:rPr>
        <w:t xml:space="preserve"> par koeficientu piemērošanu 7.–9. klases un 10.–12. klases skolēnu skaitam novadu un republikas pilsētu pašvaldību izglītības iestādēs. </w:t>
      </w:r>
      <w:r w:rsidR="00614A0C">
        <w:rPr>
          <w:rFonts w:ascii="Times New Roman" w:eastAsia="Times New Roman" w:hAnsi="Times New Roman"/>
          <w:sz w:val="24"/>
          <w:szCs w:val="24"/>
          <w:lang w:eastAsia="lv-LV"/>
        </w:rPr>
        <w:t>Minētie</w:t>
      </w:r>
      <w:r w:rsidR="00F95EBF">
        <w:rPr>
          <w:rFonts w:ascii="Times New Roman" w:eastAsia="Times New Roman" w:hAnsi="Times New Roman"/>
          <w:sz w:val="24"/>
          <w:szCs w:val="24"/>
          <w:lang w:eastAsia="lv-LV"/>
        </w:rPr>
        <w:t xml:space="preserve"> regulējum</w:t>
      </w:r>
      <w:r w:rsidR="00614A0C">
        <w:rPr>
          <w:rFonts w:ascii="Times New Roman" w:eastAsia="Times New Roman" w:hAnsi="Times New Roman"/>
          <w:sz w:val="24"/>
          <w:szCs w:val="24"/>
          <w:lang w:eastAsia="lv-LV"/>
        </w:rPr>
        <w:t>i</w:t>
      </w:r>
      <w:r w:rsidRPr="000C6481">
        <w:rPr>
          <w:rFonts w:ascii="Times New Roman" w:eastAsia="Times New Roman" w:hAnsi="Times New Roman"/>
          <w:sz w:val="24"/>
          <w:szCs w:val="24"/>
          <w:lang w:eastAsia="lv-LV"/>
        </w:rPr>
        <w:t xml:space="preserve"> veicinās skolu tīkla sakārtošanu.</w:t>
      </w:r>
    </w:p>
    <w:p w14:paraId="4B0CA996" w14:textId="77777777" w:rsidR="003D0715" w:rsidRPr="000C6481" w:rsidRDefault="003D0715" w:rsidP="003D0715">
      <w:pPr>
        <w:jc w:val="both"/>
        <w:rPr>
          <w:rFonts w:ascii="Times New Roman" w:hAnsi="Times New Roman"/>
          <w:sz w:val="24"/>
          <w:szCs w:val="24"/>
        </w:rPr>
      </w:pPr>
      <w:r>
        <w:rPr>
          <w:rFonts w:ascii="Times New Roman" w:eastAsia="Times New Roman" w:hAnsi="Times New Roman"/>
          <w:sz w:val="24"/>
          <w:szCs w:val="24"/>
          <w:lang w:eastAsia="lv-LV"/>
        </w:rPr>
        <w:t>L</w:t>
      </w:r>
      <w:r w:rsidRPr="000C6481">
        <w:rPr>
          <w:rFonts w:ascii="Times New Roman" w:eastAsia="Times New Roman" w:hAnsi="Times New Roman"/>
          <w:sz w:val="24"/>
          <w:szCs w:val="24"/>
          <w:lang w:eastAsia="lv-LV"/>
        </w:rPr>
        <w:t xml:space="preserve">ai nodrošinātu </w:t>
      </w:r>
      <w:r w:rsidRPr="000C6481">
        <w:rPr>
          <w:rFonts w:ascii="Times New Roman" w:hAnsi="Times New Roman"/>
          <w:sz w:val="24"/>
          <w:szCs w:val="24"/>
        </w:rPr>
        <w:t xml:space="preserve">vispārējās izglītības mācību vides uzlabošanu, izmantojot ES fondu </w:t>
      </w:r>
      <w:r w:rsidRPr="000C6481">
        <w:rPr>
          <w:rFonts w:ascii="Times New Roman" w:eastAsia="Times New Roman" w:hAnsi="Times New Roman"/>
          <w:sz w:val="24"/>
          <w:szCs w:val="24"/>
        </w:rPr>
        <w:t xml:space="preserve">2014.–2020. gada </w:t>
      </w:r>
      <w:r w:rsidRPr="000C6481">
        <w:rPr>
          <w:rFonts w:ascii="Times New Roman" w:hAnsi="Times New Roman"/>
          <w:sz w:val="24"/>
          <w:szCs w:val="24"/>
        </w:rPr>
        <w:t>plānošanas periodā piešķirto finansējumu 167,6</w:t>
      </w:r>
      <w:r>
        <w:rPr>
          <w:rFonts w:ascii="Times New Roman" w:hAnsi="Times New Roman"/>
          <w:sz w:val="24"/>
          <w:szCs w:val="24"/>
        </w:rPr>
        <w:t> milj.</w:t>
      </w:r>
      <w:r w:rsidRPr="000C6481">
        <w:rPr>
          <w:rFonts w:ascii="Times New Roman" w:hAnsi="Times New Roman"/>
          <w:sz w:val="24"/>
          <w:szCs w:val="24"/>
        </w:rPr>
        <w:t xml:space="preserve"> </w:t>
      </w:r>
      <w:proofErr w:type="spellStart"/>
      <w:r w:rsidRPr="000C6481">
        <w:rPr>
          <w:rFonts w:ascii="Times New Roman" w:hAnsi="Times New Roman"/>
          <w:i/>
          <w:sz w:val="24"/>
          <w:szCs w:val="24"/>
        </w:rPr>
        <w:t>euro</w:t>
      </w:r>
      <w:proofErr w:type="spellEnd"/>
      <w:r w:rsidRPr="000C6481">
        <w:rPr>
          <w:rFonts w:ascii="Times New Roman" w:hAnsi="Times New Roman"/>
          <w:sz w:val="24"/>
          <w:szCs w:val="24"/>
        </w:rPr>
        <w:t xml:space="preserve"> apmērā</w:t>
      </w:r>
      <w:r w:rsidRPr="000C6481">
        <w:rPr>
          <w:rStyle w:val="FootnoteReference"/>
          <w:rFonts w:ascii="Times New Roman" w:hAnsi="Times New Roman"/>
          <w:sz w:val="24"/>
          <w:szCs w:val="24"/>
        </w:rPr>
        <w:footnoteReference w:id="15"/>
      </w:r>
      <w:r w:rsidRPr="000C6481">
        <w:rPr>
          <w:rFonts w:ascii="Times New Roman" w:hAnsi="Times New Roman"/>
          <w:sz w:val="24"/>
          <w:szCs w:val="24"/>
        </w:rPr>
        <w:t>, tiks izveidota ergonomiska un mūsdienu prasībām atbilstoša mācību vide.</w:t>
      </w:r>
    </w:p>
    <w:p w14:paraId="3FD2A9AC" w14:textId="77777777" w:rsidR="003D0715" w:rsidRPr="000C6481" w:rsidRDefault="003D0715" w:rsidP="003D0715">
      <w:pPr>
        <w:rPr>
          <w:sz w:val="24"/>
          <w:szCs w:val="24"/>
        </w:rPr>
      </w:pPr>
    </w:p>
    <w:p w14:paraId="017D06DB" w14:textId="163A2F9A" w:rsidR="004A2147" w:rsidRPr="00FF1B19" w:rsidRDefault="00FF1B19" w:rsidP="00FF1B19">
      <w:pPr>
        <w:pStyle w:val="Heading2"/>
      </w:pPr>
      <w:r>
        <w:t> </w:t>
      </w:r>
      <w:bookmarkStart w:id="66" w:name="_Toc466466874"/>
      <w:r w:rsidR="004A2147" w:rsidRPr="00FF1B19">
        <w:t>Izglītības kvalitātes paaugstināšana</w:t>
      </w:r>
      <w:bookmarkEnd w:id="64"/>
      <w:bookmarkEnd w:id="65"/>
      <w:bookmarkEnd w:id="66"/>
    </w:p>
    <w:p w14:paraId="5B689EB9" w14:textId="77777777" w:rsidR="003D0715" w:rsidRPr="000C6481" w:rsidRDefault="003D0715" w:rsidP="003D0715">
      <w:pPr>
        <w:jc w:val="both"/>
        <w:rPr>
          <w:rFonts w:ascii="Times New Roman" w:hAnsi="Times New Roman"/>
          <w:sz w:val="24"/>
          <w:szCs w:val="24"/>
        </w:rPr>
      </w:pPr>
      <w:bookmarkStart w:id="67" w:name="_Toc465349547"/>
      <w:bookmarkStart w:id="68" w:name="_Toc465089725"/>
      <w:r w:rsidRPr="000C6481">
        <w:rPr>
          <w:rFonts w:ascii="Times New Roman" w:hAnsi="Times New Roman"/>
          <w:sz w:val="24"/>
          <w:szCs w:val="24"/>
        </w:rPr>
        <w:t xml:space="preserve">NAP2020 ietvertais rīcības virziens </w:t>
      </w:r>
      <w:r>
        <w:rPr>
          <w:rFonts w:ascii="Times New Roman" w:hAnsi="Times New Roman"/>
          <w:sz w:val="24"/>
          <w:szCs w:val="24"/>
        </w:rPr>
        <w:t>"</w:t>
      </w:r>
      <w:r w:rsidRPr="000C6481">
        <w:rPr>
          <w:rFonts w:ascii="Times New Roman" w:hAnsi="Times New Roman"/>
          <w:sz w:val="24"/>
          <w:szCs w:val="24"/>
        </w:rPr>
        <w:t>Kompetenču attīstība</w:t>
      </w:r>
      <w:r>
        <w:rPr>
          <w:rFonts w:ascii="Times New Roman" w:hAnsi="Times New Roman"/>
          <w:sz w:val="24"/>
          <w:szCs w:val="24"/>
        </w:rPr>
        <w:t>"</w:t>
      </w:r>
      <w:r w:rsidRPr="000C6481">
        <w:rPr>
          <w:rFonts w:ascii="Times New Roman" w:hAnsi="Times New Roman"/>
          <w:sz w:val="24"/>
          <w:szCs w:val="24"/>
        </w:rPr>
        <w:t xml:space="preserve"> nosaka, ka cilvēkam ir nepieciešamas daudzveidīgas kompetences, lai viņam būtu iespēja iegūt un strādāt cienīgu darbu, gādāt par sevi, saviem tuviniekiem un sniegt ieguldījumu valsts attīstībā. Lai īstenotu NAP2020 plānoto, sasniedzot nozīmīgus izglītības mērķus, kas saistīti ar izglītības kvalitātes paaugstināšanu, valdība ir vienojusies par pasākumiem izglītības kvalitātes paaugstināšanas jomā. Piemēram, lai attīstītu izglītības kvalitātes monitoringa īstenošanu, plānots uzsākt skolu darba kvalitātes izvērtēšanas sistēmas izveidi. ES fondu 2014.–2020. gada plānošanas periodā atbalsts tiks nodrošināts nacionāla un starptautiska mēroga pasākumu īstenošanai izglītojamo talantu attīstībai un uzsākta jauna kompetenču pieejā balstīta vispārējās izglītības satura ieviešana </w:t>
      </w:r>
      <w:proofErr w:type="spellStart"/>
      <w:r w:rsidRPr="000C6481">
        <w:rPr>
          <w:rFonts w:ascii="Times New Roman" w:hAnsi="Times New Roman"/>
          <w:sz w:val="24"/>
          <w:szCs w:val="24"/>
        </w:rPr>
        <w:t>pirmsskolā</w:t>
      </w:r>
      <w:proofErr w:type="spellEnd"/>
      <w:r w:rsidRPr="000C6481">
        <w:rPr>
          <w:rFonts w:ascii="Times New Roman" w:hAnsi="Times New Roman"/>
          <w:sz w:val="24"/>
          <w:szCs w:val="24"/>
        </w:rPr>
        <w:t>, pamatizglītībā un vispārējā vidējā izglītībā.</w:t>
      </w:r>
    </w:p>
    <w:p w14:paraId="579E1392" w14:textId="77777777" w:rsidR="003D0715" w:rsidRPr="000C6481" w:rsidRDefault="003D0715" w:rsidP="003D0715">
      <w:pPr>
        <w:jc w:val="both"/>
        <w:rPr>
          <w:rFonts w:ascii="Times New Roman" w:hAnsi="Times New Roman"/>
          <w:sz w:val="24"/>
          <w:szCs w:val="24"/>
        </w:rPr>
      </w:pPr>
      <w:r w:rsidRPr="000C6481">
        <w:rPr>
          <w:rFonts w:ascii="Times New Roman" w:hAnsi="Times New Roman"/>
          <w:sz w:val="24"/>
          <w:szCs w:val="24"/>
        </w:rPr>
        <w:t xml:space="preserve">Veidojot ilglaicīgu izglītības kvalitātes sistēmu, ir jānodrošina profesionāls atbalsts esošajiem pedagogiem, kā arī jāpiesaista jauni pedagogi izglītības nozares kopējai </w:t>
      </w:r>
      <w:r w:rsidRPr="000C6481">
        <w:rPr>
          <w:rFonts w:ascii="Times New Roman" w:hAnsi="Times New Roman"/>
          <w:sz w:val="24"/>
          <w:szCs w:val="24"/>
        </w:rPr>
        <w:lastRenderedPageBreak/>
        <w:t>attīstībai. Valdība ir apņēmusies nodrošināt pedagogu profesionālo pilnveidi, stiprinot valsts ģimnāzijas un speciālās izglītības attīstības centrus kā reģionālos metodiskos centrus un pedagogu tālākizglītības centrus. Savukārt pedagogu darba samaksas reforma veicinās jaunu pedagogu iesaistīšanos izglītības sistēmā.</w:t>
      </w:r>
    </w:p>
    <w:p w14:paraId="6661A53F" w14:textId="77777777" w:rsidR="003D0715" w:rsidRPr="000C6481" w:rsidRDefault="003D0715" w:rsidP="003D0715">
      <w:pPr>
        <w:jc w:val="both"/>
        <w:rPr>
          <w:rFonts w:ascii="Times New Roman" w:eastAsia="Times New Roman" w:hAnsi="Times New Roman"/>
          <w:sz w:val="24"/>
          <w:szCs w:val="24"/>
          <w:lang w:eastAsia="lv-LV"/>
        </w:rPr>
      </w:pPr>
    </w:p>
    <w:p w14:paraId="2C49F588" w14:textId="5140E429" w:rsidR="004A2147" w:rsidRPr="00716B0D" w:rsidRDefault="00FF1B19" w:rsidP="00B02009">
      <w:pPr>
        <w:pStyle w:val="Heading2"/>
        <w:rPr>
          <w:color w:val="0070C0"/>
        </w:rPr>
      </w:pPr>
      <w:r>
        <w:rPr>
          <w:color w:val="0070C0"/>
        </w:rPr>
        <w:t> </w:t>
      </w:r>
      <w:bookmarkStart w:id="69" w:name="_Toc466466875"/>
      <w:r w:rsidR="004A2147" w:rsidRPr="00716B0D">
        <w:rPr>
          <w:color w:val="0070C0"/>
        </w:rPr>
        <w:t>Profesionālās izglītības attīstība</w:t>
      </w:r>
      <w:bookmarkEnd w:id="67"/>
      <w:bookmarkEnd w:id="68"/>
      <w:bookmarkEnd w:id="69"/>
    </w:p>
    <w:p w14:paraId="076D6E3F" w14:textId="77777777" w:rsidR="003D0715" w:rsidRPr="000C6481" w:rsidRDefault="003D0715" w:rsidP="003D0715">
      <w:pPr>
        <w:jc w:val="both"/>
        <w:rPr>
          <w:rFonts w:ascii="Times New Roman" w:hAnsi="Times New Roman"/>
          <w:sz w:val="24"/>
          <w:szCs w:val="24"/>
        </w:rPr>
      </w:pPr>
      <w:r w:rsidRPr="000C6481">
        <w:rPr>
          <w:rFonts w:ascii="Times New Roman" w:hAnsi="Times New Roman"/>
          <w:sz w:val="24"/>
          <w:szCs w:val="24"/>
        </w:rPr>
        <w:t>Šogad DVB mācības</w:t>
      </w:r>
      <w:r w:rsidRPr="000C6481">
        <w:rPr>
          <w:sz w:val="24"/>
          <w:szCs w:val="24"/>
        </w:rPr>
        <w:t xml:space="preserve"> </w:t>
      </w:r>
      <w:r w:rsidRPr="000C6481">
        <w:rPr>
          <w:rFonts w:ascii="Times New Roman" w:hAnsi="Times New Roman"/>
          <w:sz w:val="24"/>
          <w:szCs w:val="24"/>
        </w:rPr>
        <w:t>kā viens no profesionā</w:t>
      </w:r>
      <w:r>
        <w:rPr>
          <w:rFonts w:ascii="Times New Roman" w:hAnsi="Times New Roman"/>
          <w:sz w:val="24"/>
          <w:szCs w:val="24"/>
        </w:rPr>
        <w:t>lās izglītības ieguves veidiem</w:t>
      </w:r>
      <w:r w:rsidRPr="000C6481">
        <w:rPr>
          <w:rFonts w:ascii="Times New Roman" w:hAnsi="Times New Roman"/>
          <w:sz w:val="24"/>
          <w:szCs w:val="24"/>
        </w:rPr>
        <w:t xml:space="preserve"> ir nostiprinātas sistēmas līmenī, jo valdība </w:t>
      </w:r>
      <w:r>
        <w:rPr>
          <w:rFonts w:ascii="Times New Roman" w:hAnsi="Times New Roman"/>
          <w:sz w:val="24"/>
          <w:szCs w:val="24"/>
        </w:rPr>
        <w:t>ir noteikusi</w:t>
      </w:r>
      <w:r w:rsidRPr="000C6481">
        <w:rPr>
          <w:rFonts w:ascii="Times New Roman" w:hAnsi="Times New Roman"/>
          <w:sz w:val="24"/>
          <w:szCs w:val="24"/>
        </w:rPr>
        <w:t xml:space="preserve"> uzdevumus un prasības izglītības iestādei, izglītojamajam</w:t>
      </w:r>
      <w:r>
        <w:rPr>
          <w:rFonts w:ascii="Times New Roman" w:hAnsi="Times New Roman"/>
          <w:sz w:val="24"/>
          <w:szCs w:val="24"/>
        </w:rPr>
        <w:t xml:space="preserve"> un</w:t>
      </w:r>
      <w:r w:rsidRPr="000C6481">
        <w:rPr>
          <w:rFonts w:ascii="Times New Roman" w:hAnsi="Times New Roman"/>
          <w:sz w:val="24"/>
          <w:szCs w:val="24"/>
        </w:rPr>
        <w:t xml:space="preserve"> uzņēmumam, kas īsteno DVB mācības. Tika uzsāktas sarunas par sadarbības projektu ar Starptautiskās darba organizācijas pārstāvjiem par DVB mācību attīstības jautājumiem Latvijā. Tiek</w:t>
      </w:r>
      <w:r>
        <w:rPr>
          <w:rFonts w:ascii="Times New Roman" w:hAnsi="Times New Roman"/>
          <w:sz w:val="24"/>
          <w:szCs w:val="24"/>
        </w:rPr>
        <w:t xml:space="preserve"> turpināta sadarbība ar Vācijas</w:t>
      </w:r>
      <w:r w:rsidRPr="000C6481">
        <w:rPr>
          <w:rFonts w:ascii="Times New Roman" w:hAnsi="Times New Roman"/>
          <w:sz w:val="24"/>
          <w:szCs w:val="24"/>
        </w:rPr>
        <w:t xml:space="preserve">–Baltijas Tirdzniecības kameru, </w:t>
      </w:r>
      <w:r>
        <w:rPr>
          <w:rFonts w:ascii="Times New Roman" w:hAnsi="Times New Roman"/>
          <w:sz w:val="24"/>
          <w:szCs w:val="24"/>
        </w:rPr>
        <w:t xml:space="preserve">lai </w:t>
      </w:r>
      <w:r w:rsidRPr="000C6481">
        <w:rPr>
          <w:rFonts w:ascii="Times New Roman" w:hAnsi="Times New Roman"/>
          <w:sz w:val="24"/>
          <w:szCs w:val="24"/>
        </w:rPr>
        <w:t xml:space="preserve">kopīgi </w:t>
      </w:r>
      <w:r>
        <w:rPr>
          <w:rFonts w:ascii="Times New Roman" w:hAnsi="Times New Roman"/>
          <w:sz w:val="24"/>
          <w:szCs w:val="24"/>
        </w:rPr>
        <w:t>veicinātu</w:t>
      </w:r>
      <w:r w:rsidRPr="000C6481">
        <w:rPr>
          <w:rFonts w:ascii="Times New Roman" w:hAnsi="Times New Roman"/>
          <w:sz w:val="24"/>
          <w:szCs w:val="24"/>
        </w:rPr>
        <w:t xml:space="preserve"> profesionālās izglītības atpazīstamīb</w:t>
      </w:r>
      <w:r>
        <w:rPr>
          <w:rFonts w:ascii="Times New Roman" w:hAnsi="Times New Roman"/>
          <w:sz w:val="24"/>
          <w:szCs w:val="24"/>
        </w:rPr>
        <w:t>u</w:t>
      </w:r>
      <w:r w:rsidRPr="000C6481">
        <w:rPr>
          <w:rFonts w:ascii="Times New Roman" w:hAnsi="Times New Roman"/>
          <w:sz w:val="24"/>
          <w:szCs w:val="24"/>
        </w:rPr>
        <w:t xml:space="preserve"> un cel</w:t>
      </w:r>
      <w:r>
        <w:rPr>
          <w:rFonts w:ascii="Times New Roman" w:hAnsi="Times New Roman"/>
          <w:sz w:val="24"/>
          <w:szCs w:val="24"/>
        </w:rPr>
        <w:t>tu tās</w:t>
      </w:r>
      <w:r w:rsidRPr="000C6481">
        <w:rPr>
          <w:rFonts w:ascii="Times New Roman" w:hAnsi="Times New Roman"/>
          <w:sz w:val="24"/>
          <w:szCs w:val="24"/>
        </w:rPr>
        <w:t xml:space="preserve"> prestiž</w:t>
      </w:r>
      <w:r>
        <w:rPr>
          <w:rFonts w:ascii="Times New Roman" w:hAnsi="Times New Roman"/>
          <w:sz w:val="24"/>
          <w:szCs w:val="24"/>
        </w:rPr>
        <w:t>u</w:t>
      </w:r>
      <w:r w:rsidRPr="000C6481">
        <w:rPr>
          <w:rFonts w:ascii="Times New Roman" w:hAnsi="Times New Roman"/>
          <w:sz w:val="24"/>
          <w:szCs w:val="24"/>
        </w:rPr>
        <w:t xml:space="preserve">. </w:t>
      </w:r>
    </w:p>
    <w:p w14:paraId="0C2B2947" w14:textId="75ADF557" w:rsidR="003D0715" w:rsidRPr="000C6481" w:rsidRDefault="003D0715" w:rsidP="003D0715">
      <w:pPr>
        <w:jc w:val="both"/>
        <w:rPr>
          <w:rFonts w:ascii="Times New Roman" w:hAnsi="Times New Roman"/>
          <w:sz w:val="24"/>
          <w:szCs w:val="24"/>
        </w:rPr>
      </w:pPr>
      <w:r w:rsidRPr="000C6481">
        <w:rPr>
          <w:rFonts w:ascii="Times New Roman" w:hAnsi="Times New Roman"/>
          <w:sz w:val="24"/>
          <w:szCs w:val="24"/>
        </w:rPr>
        <w:t xml:space="preserve">Lai nodrošinātu </w:t>
      </w:r>
      <w:r w:rsidR="00263F98">
        <w:rPr>
          <w:rFonts w:ascii="Times New Roman" w:hAnsi="Times New Roman"/>
          <w:sz w:val="24"/>
          <w:szCs w:val="24"/>
        </w:rPr>
        <w:t xml:space="preserve">un </w:t>
      </w:r>
      <w:r w:rsidRPr="000C6481">
        <w:rPr>
          <w:rFonts w:ascii="Times New Roman" w:hAnsi="Times New Roman"/>
          <w:sz w:val="24"/>
          <w:szCs w:val="24"/>
        </w:rPr>
        <w:t xml:space="preserve">koordinētu nozaru ekspertu padomju darbu, kas ir profesionālās izglītības satura reformas sastāvdaļa, sistēmas līmenī tika noteikta nozaru ekspertu padomju izveidošanas, darbības un darbības koordinēšanas kārtība. </w:t>
      </w:r>
    </w:p>
    <w:p w14:paraId="6EDB39B8" w14:textId="77777777" w:rsidR="003D0715" w:rsidRPr="000C6481" w:rsidRDefault="003D0715" w:rsidP="003D0715">
      <w:pPr>
        <w:jc w:val="both"/>
        <w:rPr>
          <w:rFonts w:ascii="Times New Roman" w:hAnsi="Times New Roman"/>
          <w:sz w:val="24"/>
          <w:szCs w:val="24"/>
        </w:rPr>
      </w:pPr>
      <w:r>
        <w:rPr>
          <w:rFonts w:ascii="Times New Roman" w:hAnsi="Times New Roman"/>
          <w:sz w:val="24"/>
          <w:szCs w:val="24"/>
        </w:rPr>
        <w:t>Papildus iepriekš minētajam</w:t>
      </w:r>
      <w:r w:rsidRPr="000C6481">
        <w:rPr>
          <w:rFonts w:ascii="Times New Roman" w:hAnsi="Times New Roman"/>
          <w:sz w:val="24"/>
          <w:szCs w:val="24"/>
        </w:rPr>
        <w:t xml:space="preserve"> darbu ir uzsākuši profesionālās izglītības iestāžu konventi, kas ar visu iesaistīto pušu atbalstu risina aktuālus profesionālās izglītības</w:t>
      </w:r>
      <w:r w:rsidRPr="008F1524">
        <w:rPr>
          <w:rFonts w:ascii="Times New Roman" w:hAnsi="Times New Roman"/>
          <w:sz w:val="24"/>
          <w:szCs w:val="24"/>
        </w:rPr>
        <w:t xml:space="preserve"> </w:t>
      </w:r>
      <w:r w:rsidRPr="000C6481">
        <w:rPr>
          <w:rFonts w:ascii="Times New Roman" w:hAnsi="Times New Roman"/>
          <w:sz w:val="24"/>
          <w:szCs w:val="24"/>
        </w:rPr>
        <w:t>jautājumus, t.</w:t>
      </w:r>
      <w:r>
        <w:rPr>
          <w:rFonts w:ascii="Times New Roman" w:hAnsi="Times New Roman"/>
          <w:sz w:val="24"/>
          <w:szCs w:val="24"/>
        </w:rPr>
        <w:t> </w:t>
      </w:r>
      <w:r w:rsidRPr="000C6481">
        <w:rPr>
          <w:rFonts w:ascii="Times New Roman" w:hAnsi="Times New Roman"/>
          <w:sz w:val="24"/>
          <w:szCs w:val="24"/>
        </w:rPr>
        <w:t>sk. pedagogu un prakšu vadītāju kompetences pilnveides un kvalifikācijas ieguves kvalitātes jautājumus.</w:t>
      </w:r>
    </w:p>
    <w:p w14:paraId="6B423922" w14:textId="77777777" w:rsidR="003D0715" w:rsidRPr="000C6481" w:rsidRDefault="003D0715" w:rsidP="003D0715">
      <w:pPr>
        <w:jc w:val="both"/>
        <w:rPr>
          <w:rFonts w:ascii="Times New Roman" w:hAnsi="Times New Roman"/>
          <w:sz w:val="24"/>
          <w:szCs w:val="24"/>
        </w:rPr>
      </w:pPr>
      <w:r w:rsidRPr="000C6481">
        <w:rPr>
          <w:rFonts w:ascii="Times New Roman" w:hAnsi="Times New Roman"/>
          <w:sz w:val="24"/>
          <w:szCs w:val="24"/>
        </w:rPr>
        <w:t>ES fondu 2014.–2020.</w:t>
      </w:r>
      <w:r>
        <w:rPr>
          <w:rFonts w:ascii="Times New Roman" w:hAnsi="Times New Roman"/>
          <w:sz w:val="24"/>
          <w:szCs w:val="24"/>
        </w:rPr>
        <w:t> </w:t>
      </w:r>
      <w:r w:rsidRPr="000C6481">
        <w:rPr>
          <w:rFonts w:ascii="Times New Roman" w:hAnsi="Times New Roman"/>
          <w:sz w:val="24"/>
          <w:szCs w:val="24"/>
        </w:rPr>
        <w:t xml:space="preserve">gada plānošanas periodā tiks pabeigtas profesionālās izglītības reformas – sakārtots profesionālās izglītības iestāžu </w:t>
      </w:r>
      <w:r>
        <w:rPr>
          <w:rFonts w:ascii="Times New Roman" w:hAnsi="Times New Roman"/>
          <w:sz w:val="24"/>
          <w:szCs w:val="24"/>
        </w:rPr>
        <w:t>(</w:t>
      </w:r>
      <w:r w:rsidRPr="000C6481">
        <w:rPr>
          <w:rFonts w:ascii="Times New Roman" w:hAnsi="Times New Roman"/>
          <w:sz w:val="24"/>
          <w:szCs w:val="24"/>
        </w:rPr>
        <w:t>t.</w:t>
      </w:r>
      <w:r>
        <w:rPr>
          <w:rFonts w:ascii="Times New Roman" w:hAnsi="Times New Roman"/>
          <w:sz w:val="24"/>
          <w:szCs w:val="24"/>
        </w:rPr>
        <w:t> </w:t>
      </w:r>
      <w:r w:rsidRPr="000C6481">
        <w:rPr>
          <w:rFonts w:ascii="Times New Roman" w:hAnsi="Times New Roman"/>
          <w:sz w:val="24"/>
          <w:szCs w:val="24"/>
        </w:rPr>
        <w:t>sk. PIKC</w:t>
      </w:r>
      <w:r>
        <w:rPr>
          <w:rFonts w:ascii="Times New Roman" w:hAnsi="Times New Roman"/>
          <w:sz w:val="24"/>
          <w:szCs w:val="24"/>
        </w:rPr>
        <w:t>)</w:t>
      </w:r>
      <w:r w:rsidRPr="000C6481">
        <w:rPr>
          <w:rFonts w:ascii="Times New Roman" w:hAnsi="Times New Roman"/>
          <w:sz w:val="24"/>
          <w:szCs w:val="24"/>
        </w:rPr>
        <w:t xml:space="preserve"> tīkls, modernizēts profesionālās izglītības mācību process, veikta profesionālās izglītības satura reforma. Profesionālās izglītības kvalitātes celšana sekmēs aizvien lielāku jauniešu iesaisti un darba devēju interesi. </w:t>
      </w:r>
    </w:p>
    <w:p w14:paraId="6696BFC4" w14:textId="77777777" w:rsidR="003D0715" w:rsidRPr="000C6481" w:rsidRDefault="003D0715" w:rsidP="003D0715">
      <w:pPr>
        <w:rPr>
          <w:sz w:val="24"/>
          <w:szCs w:val="24"/>
        </w:rPr>
      </w:pPr>
    </w:p>
    <w:p w14:paraId="02C3A230" w14:textId="417DE218" w:rsidR="00AD0D30" w:rsidRPr="00716B0D" w:rsidRDefault="00FF1B19" w:rsidP="009E361A">
      <w:pPr>
        <w:pStyle w:val="Heading2"/>
        <w:rPr>
          <w:color w:val="0070C0"/>
        </w:rPr>
      </w:pPr>
      <w:r>
        <w:rPr>
          <w:color w:val="0070C0"/>
        </w:rPr>
        <w:t> </w:t>
      </w:r>
      <w:bookmarkStart w:id="70" w:name="_Toc466466876"/>
      <w:r w:rsidR="00253FE0" w:rsidRPr="00716B0D">
        <w:rPr>
          <w:color w:val="0070C0"/>
        </w:rPr>
        <w:t>Augstākā izglītība</w:t>
      </w:r>
      <w:bookmarkEnd w:id="70"/>
      <w:r w:rsidR="00253FE0" w:rsidRPr="00716B0D">
        <w:rPr>
          <w:color w:val="0070C0"/>
        </w:rPr>
        <w:t xml:space="preserve"> </w:t>
      </w:r>
    </w:p>
    <w:p w14:paraId="1697C5F0" w14:textId="23B647CA" w:rsidR="003D0715" w:rsidRPr="000C6481" w:rsidRDefault="003D0715" w:rsidP="003D0715">
      <w:pPr>
        <w:jc w:val="both"/>
        <w:rPr>
          <w:rFonts w:ascii="Times New Roman" w:hAnsi="Times New Roman"/>
          <w:sz w:val="24"/>
          <w:szCs w:val="24"/>
        </w:rPr>
      </w:pPr>
      <w:r w:rsidRPr="000C6481">
        <w:rPr>
          <w:rFonts w:ascii="Times New Roman" w:hAnsi="Times New Roman"/>
          <w:sz w:val="24"/>
          <w:szCs w:val="24"/>
        </w:rPr>
        <w:t>Lai paaugstinātu augstākās izglītības kvalitāti, konkurētspēju un pieejamību</w:t>
      </w:r>
      <w:r>
        <w:rPr>
          <w:rFonts w:ascii="Times New Roman" w:hAnsi="Times New Roman"/>
          <w:sz w:val="24"/>
          <w:szCs w:val="24"/>
        </w:rPr>
        <w:t>,</w:t>
      </w:r>
      <w:r w:rsidRPr="000C6481">
        <w:rPr>
          <w:rFonts w:ascii="Times New Roman" w:hAnsi="Times New Roman"/>
          <w:sz w:val="24"/>
          <w:szCs w:val="24"/>
        </w:rPr>
        <w:t xml:space="preserve"> tiek ieviests jauns augstākās izglītības </w:t>
      </w:r>
      <w:r>
        <w:rPr>
          <w:rFonts w:ascii="Times New Roman" w:hAnsi="Times New Roman"/>
          <w:sz w:val="24"/>
          <w:szCs w:val="24"/>
        </w:rPr>
        <w:t>"</w:t>
      </w:r>
      <w:r w:rsidRPr="000C6481">
        <w:rPr>
          <w:rFonts w:ascii="Times New Roman" w:hAnsi="Times New Roman"/>
          <w:sz w:val="24"/>
          <w:szCs w:val="24"/>
        </w:rPr>
        <w:t>trīs pīlāru</w:t>
      </w:r>
      <w:r>
        <w:rPr>
          <w:rFonts w:ascii="Times New Roman" w:hAnsi="Times New Roman"/>
          <w:sz w:val="24"/>
          <w:szCs w:val="24"/>
        </w:rPr>
        <w:t>"</w:t>
      </w:r>
      <w:r w:rsidRPr="000C6481">
        <w:rPr>
          <w:rFonts w:ascii="Times New Roman" w:hAnsi="Times New Roman"/>
          <w:sz w:val="24"/>
          <w:szCs w:val="24"/>
        </w:rPr>
        <w:t xml:space="preserve"> finansēšanas modelis, kas balstās uz studiju un pētniecības kvalitātes novērtējumu. Tā ietvaros sadarbībā ar Starptautisko </w:t>
      </w:r>
      <w:r>
        <w:rPr>
          <w:rFonts w:ascii="Times New Roman" w:hAnsi="Times New Roman"/>
          <w:sz w:val="24"/>
          <w:szCs w:val="24"/>
        </w:rPr>
        <w:t>R</w:t>
      </w:r>
      <w:r w:rsidRPr="000C6481">
        <w:rPr>
          <w:rFonts w:ascii="Times New Roman" w:hAnsi="Times New Roman"/>
          <w:sz w:val="24"/>
          <w:szCs w:val="24"/>
        </w:rPr>
        <w:t>ekonstrukcijas un attīstības banku tiek veikts pētījums</w:t>
      </w:r>
      <w:r w:rsidR="006902D8">
        <w:rPr>
          <w:rFonts w:ascii="Times New Roman" w:hAnsi="Times New Roman"/>
          <w:sz w:val="24"/>
          <w:szCs w:val="24"/>
        </w:rPr>
        <w:t xml:space="preserve"> par Eiropas valstīs izmantotu </w:t>
      </w:r>
      <w:r w:rsidRPr="000C6481">
        <w:rPr>
          <w:rFonts w:ascii="Times New Roman" w:hAnsi="Times New Roman"/>
          <w:sz w:val="24"/>
          <w:szCs w:val="24"/>
        </w:rPr>
        <w:t xml:space="preserve">uz rezultātiem balstītu, </w:t>
      </w:r>
      <w:proofErr w:type="gramStart"/>
      <w:r w:rsidRPr="000C6481">
        <w:rPr>
          <w:rFonts w:ascii="Times New Roman" w:hAnsi="Times New Roman"/>
          <w:sz w:val="24"/>
          <w:szCs w:val="24"/>
        </w:rPr>
        <w:t>efektīvu iekšējās pārvaldības</w:t>
      </w:r>
      <w:proofErr w:type="gramEnd"/>
      <w:r w:rsidRPr="000C6481">
        <w:rPr>
          <w:rFonts w:ascii="Times New Roman" w:hAnsi="Times New Roman"/>
          <w:sz w:val="24"/>
          <w:szCs w:val="24"/>
        </w:rPr>
        <w:t>, t.</w:t>
      </w:r>
      <w:r>
        <w:rPr>
          <w:rFonts w:ascii="Times New Roman" w:hAnsi="Times New Roman"/>
          <w:sz w:val="24"/>
          <w:szCs w:val="24"/>
        </w:rPr>
        <w:t> </w:t>
      </w:r>
      <w:r w:rsidRPr="000C6481">
        <w:rPr>
          <w:rFonts w:ascii="Times New Roman" w:hAnsi="Times New Roman"/>
          <w:sz w:val="24"/>
          <w:szCs w:val="24"/>
        </w:rPr>
        <w:t>sk. akadēmiskās integritātes, internacionalizācijas, resursu un akadēmiskā personāla vadības modeļu piemērotību Latvijas augstākās izglītības institūcijām. Pētījums plānots divos posmos, paredzot, ka pirmajā posmā līdz 2017. gada aprīlim tiks veikts augstskolu iekšējās pārvaldības un finanšu vadības izvērtējums, savukārt otrajā posmā – līdz 2018. gada jūnijam – tiks veikts promocijas procesa, t.</w:t>
      </w:r>
      <w:r>
        <w:rPr>
          <w:rFonts w:ascii="Times New Roman" w:hAnsi="Times New Roman"/>
          <w:sz w:val="24"/>
          <w:szCs w:val="24"/>
        </w:rPr>
        <w:t> sk. doktorantūras studiju,</w:t>
      </w:r>
      <w:r w:rsidRPr="000C6481">
        <w:rPr>
          <w:rFonts w:ascii="Times New Roman" w:hAnsi="Times New Roman"/>
          <w:sz w:val="24"/>
          <w:szCs w:val="24"/>
        </w:rPr>
        <w:t xml:space="preserve"> un augstākās izglītības institūciju cilvēkresursu politiku izvērtējums. Pētījuma ietvaros sniegtās </w:t>
      </w:r>
      <w:r w:rsidRPr="000C6481">
        <w:rPr>
          <w:rFonts w:ascii="Times New Roman" w:hAnsi="Times New Roman"/>
          <w:sz w:val="24"/>
          <w:szCs w:val="24"/>
        </w:rPr>
        <w:lastRenderedPageBreak/>
        <w:t>rekomendācijas tiks izmantotas, lai sagatavotu ieviešanas nosacījumus vairākām ES fondu programmām, kas paredz investīcijas augstākās izglītības institūciju pārvaldības un darbības efektivitātes stiprināšanā un cilvēkresursos. Pētījuma rezultāti ļaus ieviest augstākās izglītības institūcijās uz rezultātiem balstītu pārvaldību un finansēšanu.</w:t>
      </w:r>
    </w:p>
    <w:p w14:paraId="57914A0C" w14:textId="77777777" w:rsidR="003D0715" w:rsidRPr="000C6481" w:rsidRDefault="003D0715" w:rsidP="003D0715">
      <w:pPr>
        <w:jc w:val="both"/>
        <w:rPr>
          <w:rFonts w:ascii="Times New Roman" w:hAnsi="Times New Roman"/>
          <w:sz w:val="24"/>
          <w:szCs w:val="24"/>
        </w:rPr>
      </w:pPr>
      <w:r w:rsidRPr="000C6481">
        <w:rPr>
          <w:rFonts w:ascii="Times New Roman" w:eastAsia="Times New Roman" w:hAnsi="Times New Roman"/>
          <w:sz w:val="24"/>
          <w:szCs w:val="24"/>
          <w:lang w:eastAsia="lv-LV"/>
        </w:rPr>
        <w:t xml:space="preserve">Tiks nodrošināta </w:t>
      </w:r>
      <w:r w:rsidRPr="000C6481">
        <w:rPr>
          <w:rFonts w:ascii="Times New Roman" w:hAnsi="Times New Roman"/>
          <w:sz w:val="24"/>
          <w:szCs w:val="24"/>
        </w:rPr>
        <w:t>augstākās izglītības institūciju izglītības vides uzlabošana STEM, t.</w:t>
      </w:r>
      <w:r>
        <w:rPr>
          <w:rFonts w:ascii="Times New Roman" w:hAnsi="Times New Roman"/>
          <w:sz w:val="24"/>
          <w:szCs w:val="24"/>
        </w:rPr>
        <w:t> </w:t>
      </w:r>
      <w:r w:rsidRPr="000C6481">
        <w:rPr>
          <w:rFonts w:ascii="Times New Roman" w:hAnsi="Times New Roman"/>
          <w:sz w:val="24"/>
          <w:szCs w:val="24"/>
        </w:rPr>
        <w:t xml:space="preserve">sk. medicīnas un radošās industrijas jomās, izmantojot ES fondu </w:t>
      </w:r>
      <w:r w:rsidRPr="000C6481">
        <w:rPr>
          <w:rFonts w:ascii="Times New Roman" w:eastAsia="Times New Roman" w:hAnsi="Times New Roman"/>
          <w:sz w:val="24"/>
          <w:szCs w:val="24"/>
        </w:rPr>
        <w:t xml:space="preserve">2014.–2020. gada </w:t>
      </w:r>
      <w:r w:rsidRPr="000C6481">
        <w:rPr>
          <w:rFonts w:ascii="Times New Roman" w:hAnsi="Times New Roman"/>
          <w:sz w:val="24"/>
          <w:szCs w:val="24"/>
        </w:rPr>
        <w:t>plānošanas periodā piešķirto finansējumu 58,8</w:t>
      </w:r>
      <w:r>
        <w:rPr>
          <w:rFonts w:ascii="Times New Roman" w:hAnsi="Times New Roman"/>
          <w:sz w:val="24"/>
          <w:szCs w:val="24"/>
        </w:rPr>
        <w:t> milj.</w:t>
      </w:r>
      <w:r w:rsidRPr="000C6481">
        <w:rPr>
          <w:rFonts w:ascii="Times New Roman" w:hAnsi="Times New Roman"/>
          <w:sz w:val="24"/>
          <w:szCs w:val="24"/>
        </w:rPr>
        <w:t xml:space="preserve"> </w:t>
      </w:r>
      <w:proofErr w:type="spellStart"/>
      <w:r w:rsidRPr="000C6481">
        <w:rPr>
          <w:rFonts w:ascii="Times New Roman" w:hAnsi="Times New Roman"/>
          <w:i/>
          <w:sz w:val="24"/>
          <w:szCs w:val="24"/>
        </w:rPr>
        <w:t>euro</w:t>
      </w:r>
      <w:proofErr w:type="spellEnd"/>
      <w:r w:rsidRPr="000C6481">
        <w:rPr>
          <w:rFonts w:ascii="Times New Roman" w:hAnsi="Times New Roman"/>
          <w:sz w:val="24"/>
          <w:szCs w:val="24"/>
        </w:rPr>
        <w:t xml:space="preserve"> apmērā.</w:t>
      </w:r>
    </w:p>
    <w:p w14:paraId="7BD2A199" w14:textId="77777777" w:rsidR="003D0715" w:rsidRPr="000C6481" w:rsidRDefault="003D0715" w:rsidP="003D0715">
      <w:pPr>
        <w:jc w:val="both"/>
        <w:rPr>
          <w:rFonts w:ascii="Times New Roman" w:eastAsia="Times New Roman" w:hAnsi="Times New Roman"/>
          <w:sz w:val="24"/>
          <w:szCs w:val="24"/>
          <w:lang w:eastAsia="lv-LV"/>
        </w:rPr>
      </w:pPr>
    </w:p>
    <w:p w14:paraId="6A67C6B2" w14:textId="15578D76" w:rsidR="00253FE0" w:rsidRPr="00716B0D" w:rsidRDefault="00FF1B19" w:rsidP="00C46F41">
      <w:pPr>
        <w:pStyle w:val="Heading2"/>
        <w:numPr>
          <w:ilvl w:val="1"/>
          <w:numId w:val="29"/>
        </w:numPr>
        <w:rPr>
          <w:color w:val="0070C0"/>
        </w:rPr>
      </w:pPr>
      <w:r>
        <w:rPr>
          <w:color w:val="0070C0"/>
        </w:rPr>
        <w:t> </w:t>
      </w:r>
      <w:bookmarkStart w:id="71" w:name="_Toc466466877"/>
      <w:r w:rsidR="00253FE0" w:rsidRPr="00716B0D">
        <w:rPr>
          <w:color w:val="0070C0"/>
        </w:rPr>
        <w:t>Pieaugušo izglītība</w:t>
      </w:r>
      <w:bookmarkEnd w:id="71"/>
    </w:p>
    <w:p w14:paraId="3BA610F5" w14:textId="77777777" w:rsidR="003D0715" w:rsidRPr="000C6481" w:rsidRDefault="003D0715" w:rsidP="003D0715">
      <w:pPr>
        <w:jc w:val="both"/>
        <w:rPr>
          <w:rFonts w:ascii="Times New Roman" w:eastAsia="Times New Roman" w:hAnsi="Times New Roman"/>
          <w:sz w:val="24"/>
          <w:szCs w:val="24"/>
          <w:lang w:eastAsia="lv-LV"/>
        </w:rPr>
      </w:pPr>
      <w:bookmarkStart w:id="72" w:name="_Toc465349552"/>
      <w:bookmarkStart w:id="73" w:name="_Toc465089730"/>
      <w:r w:rsidRPr="000C6481">
        <w:rPr>
          <w:rFonts w:ascii="Times New Roman" w:eastAsia="Times New Roman" w:hAnsi="Times New Roman"/>
          <w:sz w:val="24"/>
          <w:szCs w:val="24"/>
          <w:lang w:eastAsia="lv-LV"/>
        </w:rPr>
        <w:t>Lai veicinātu NAP2020 mērķa sasniegšanas rādītāja – pieaugušo izglītībā ie</w:t>
      </w:r>
      <w:r>
        <w:rPr>
          <w:rFonts w:ascii="Times New Roman" w:eastAsia="Times New Roman" w:hAnsi="Times New Roman"/>
          <w:sz w:val="24"/>
          <w:szCs w:val="24"/>
          <w:lang w:eastAsia="lv-LV"/>
        </w:rPr>
        <w:t>saistīto personu īpatsvars 25–</w:t>
      </w:r>
      <w:r w:rsidRPr="000C6481">
        <w:rPr>
          <w:rFonts w:ascii="Times New Roman" w:eastAsia="Times New Roman" w:hAnsi="Times New Roman"/>
          <w:sz w:val="24"/>
          <w:szCs w:val="24"/>
          <w:lang w:eastAsia="lv-LV"/>
        </w:rPr>
        <w:t>64 gadu vecumā 2020. gadā sasniedz 15</w:t>
      </w:r>
      <w:r>
        <w:rPr>
          <w:rFonts w:ascii="Times New Roman" w:eastAsia="Times New Roman" w:hAnsi="Times New Roman"/>
          <w:sz w:val="24"/>
          <w:szCs w:val="24"/>
          <w:lang w:eastAsia="lv-LV"/>
        </w:rPr>
        <w:t> %</w:t>
      </w:r>
      <w:r w:rsidRPr="000C6481">
        <w:rPr>
          <w:rFonts w:ascii="Times New Roman" w:eastAsia="Times New Roman" w:hAnsi="Times New Roman"/>
          <w:sz w:val="24"/>
          <w:szCs w:val="24"/>
          <w:lang w:eastAsia="lv-LV"/>
        </w:rPr>
        <w:t xml:space="preserve"> – izpildi, kā arī lai tiktu izveidota un darbotos visaptveroša un elastīga pieaugušo izglītības sistēma, valdība ir apstiprinājusi Pieaugušo izglītības pārvaldības modeļa ieviešanas plānu 2016.–2020. gadam. Tā mērķis ir sekmēt pieaugušo iesaistīšanos pieaugušo izglītības programmās, lai Latvijas iedzīvotāji pielāgotos straujajām darba tirgus pārmaiņām, noturētos vai atgrieztos darba tirgū ar jaunām prasmēm un zināšanām. Ar </w:t>
      </w:r>
      <w:r w:rsidRPr="000C6481">
        <w:rPr>
          <w:rFonts w:ascii="Times New Roman" w:hAnsi="Times New Roman"/>
          <w:sz w:val="24"/>
          <w:szCs w:val="24"/>
        </w:rPr>
        <w:t>ES fondu atbalstu tiks nodrošināta nodarbināto personu profesionālās kompetences pilnveide, lai veicinātu strādājošo konkurētspēju un darba produktivitātes pieaugumu.</w:t>
      </w:r>
    </w:p>
    <w:p w14:paraId="6CE5566D" w14:textId="242B96C2" w:rsidR="003D0715" w:rsidRPr="000C6481" w:rsidRDefault="003D0715" w:rsidP="003D0715">
      <w:pPr>
        <w:jc w:val="both"/>
        <w:rPr>
          <w:rFonts w:ascii="Times New Roman" w:eastAsia="Times New Roman" w:hAnsi="Times New Roman"/>
          <w:sz w:val="24"/>
          <w:szCs w:val="24"/>
          <w:lang w:eastAsia="lv-LV"/>
        </w:rPr>
      </w:pPr>
      <w:r w:rsidRPr="000C6481">
        <w:rPr>
          <w:rFonts w:ascii="Times New Roman" w:eastAsia="Times New Roman" w:hAnsi="Times New Roman"/>
          <w:sz w:val="24"/>
          <w:szCs w:val="24"/>
          <w:lang w:eastAsia="lv-LV"/>
        </w:rPr>
        <w:t xml:space="preserve">Ņemot vērā to, ka darbaspēka resursi Latvijā kļūst ierobežotāki, sekojot citu Eiropas valstu pieredzei, arī Latvijā pēdējā laikā īpaša uzmanība ir pievērsta </w:t>
      </w:r>
      <w:r>
        <w:rPr>
          <w:rFonts w:ascii="Times New Roman" w:eastAsia="Times New Roman" w:hAnsi="Times New Roman"/>
          <w:sz w:val="24"/>
          <w:szCs w:val="24"/>
          <w:lang w:eastAsia="lv-LV"/>
        </w:rPr>
        <w:t xml:space="preserve">tiem </w:t>
      </w:r>
      <w:r w:rsidRPr="000C6481">
        <w:rPr>
          <w:rFonts w:ascii="Times New Roman" w:eastAsia="Times New Roman" w:hAnsi="Times New Roman"/>
          <w:sz w:val="24"/>
          <w:szCs w:val="24"/>
          <w:lang w:eastAsia="lv-LV"/>
        </w:rPr>
        <w:t>jaunieš</w:t>
      </w:r>
      <w:r>
        <w:rPr>
          <w:rFonts w:ascii="Times New Roman" w:eastAsia="Times New Roman" w:hAnsi="Times New Roman"/>
          <w:sz w:val="24"/>
          <w:szCs w:val="24"/>
          <w:lang w:eastAsia="lv-LV"/>
        </w:rPr>
        <w:t>iem</w:t>
      </w:r>
      <w:r w:rsidRPr="000C6481">
        <w:rPr>
          <w:rFonts w:ascii="Times New Roman" w:eastAsia="Times New Roman" w:hAnsi="Times New Roman"/>
          <w:sz w:val="24"/>
          <w:szCs w:val="24"/>
          <w:lang w:eastAsia="lv-LV"/>
        </w:rPr>
        <w:t xml:space="preserve">, kuri kādu iemeslu </w:t>
      </w:r>
      <w:r w:rsidR="002B6BAD">
        <w:rPr>
          <w:rFonts w:ascii="Times New Roman" w:eastAsia="Times New Roman" w:hAnsi="Times New Roman"/>
          <w:sz w:val="24"/>
          <w:szCs w:val="24"/>
          <w:lang w:eastAsia="lv-LV"/>
        </w:rPr>
        <w:t>dēļ izkrituši no izglītības sistēmas</w:t>
      </w:r>
      <w:r w:rsidRPr="000C6481">
        <w:rPr>
          <w:rFonts w:ascii="Times New Roman" w:eastAsia="Times New Roman" w:hAnsi="Times New Roman"/>
          <w:sz w:val="24"/>
          <w:szCs w:val="24"/>
          <w:lang w:eastAsia="lv-LV"/>
        </w:rPr>
        <w:t>, motivē</w:t>
      </w:r>
      <w:r>
        <w:rPr>
          <w:rFonts w:ascii="Times New Roman" w:eastAsia="Times New Roman" w:hAnsi="Times New Roman"/>
          <w:sz w:val="24"/>
          <w:szCs w:val="24"/>
          <w:lang w:eastAsia="lv-LV"/>
        </w:rPr>
        <w:t>jot viņus</w:t>
      </w:r>
      <w:r w:rsidRPr="000C6481">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turpināt izglītību </w:t>
      </w:r>
      <w:r w:rsidRPr="000C6481">
        <w:rPr>
          <w:rFonts w:ascii="Times New Roman" w:eastAsia="Times New Roman" w:hAnsi="Times New Roman"/>
          <w:sz w:val="24"/>
          <w:szCs w:val="24"/>
          <w:lang w:eastAsia="lv-LV"/>
        </w:rPr>
        <w:t xml:space="preserve">un/vai </w:t>
      </w:r>
      <w:r>
        <w:rPr>
          <w:rFonts w:ascii="Times New Roman" w:eastAsia="Times New Roman" w:hAnsi="Times New Roman"/>
          <w:sz w:val="24"/>
          <w:szCs w:val="24"/>
          <w:lang w:eastAsia="lv-LV"/>
        </w:rPr>
        <w:t xml:space="preserve">iegūt </w:t>
      </w:r>
      <w:r w:rsidRPr="000C6481">
        <w:rPr>
          <w:rFonts w:ascii="Times New Roman" w:eastAsia="Times New Roman" w:hAnsi="Times New Roman"/>
          <w:sz w:val="24"/>
          <w:szCs w:val="24"/>
          <w:lang w:eastAsia="lv-LV"/>
        </w:rPr>
        <w:t>nepieciešam</w:t>
      </w:r>
      <w:r>
        <w:rPr>
          <w:rFonts w:ascii="Times New Roman" w:eastAsia="Times New Roman" w:hAnsi="Times New Roman"/>
          <w:sz w:val="24"/>
          <w:szCs w:val="24"/>
          <w:lang w:eastAsia="lv-LV"/>
        </w:rPr>
        <w:t>o</w:t>
      </w:r>
      <w:r w:rsidRPr="000C6481">
        <w:rPr>
          <w:rFonts w:ascii="Times New Roman" w:eastAsia="Times New Roman" w:hAnsi="Times New Roman"/>
          <w:sz w:val="24"/>
          <w:szCs w:val="24"/>
          <w:lang w:eastAsia="lv-LV"/>
        </w:rPr>
        <w:t xml:space="preserve"> kvalifikācij</w:t>
      </w:r>
      <w:r>
        <w:rPr>
          <w:rFonts w:ascii="Times New Roman" w:eastAsia="Times New Roman" w:hAnsi="Times New Roman"/>
          <w:sz w:val="24"/>
          <w:szCs w:val="24"/>
          <w:lang w:eastAsia="lv-LV"/>
        </w:rPr>
        <w:t>u</w:t>
      </w:r>
      <w:r w:rsidRPr="000C6481">
        <w:rPr>
          <w:rFonts w:ascii="Times New Roman" w:eastAsia="Times New Roman" w:hAnsi="Times New Roman"/>
          <w:sz w:val="24"/>
          <w:szCs w:val="24"/>
          <w:lang w:eastAsia="lv-LV"/>
        </w:rPr>
        <w:t xml:space="preserve"> un darba pieredz</w:t>
      </w:r>
      <w:r>
        <w:rPr>
          <w:rFonts w:ascii="Times New Roman" w:eastAsia="Times New Roman" w:hAnsi="Times New Roman"/>
          <w:sz w:val="24"/>
          <w:szCs w:val="24"/>
          <w:lang w:eastAsia="lv-LV"/>
        </w:rPr>
        <w:t>i</w:t>
      </w:r>
      <w:r w:rsidRPr="000C6481">
        <w:rPr>
          <w:rFonts w:ascii="Times New Roman" w:eastAsia="Times New Roman" w:hAnsi="Times New Roman"/>
          <w:sz w:val="24"/>
          <w:szCs w:val="24"/>
          <w:lang w:eastAsia="lv-LV"/>
        </w:rPr>
        <w:t xml:space="preserve">, lai </w:t>
      </w:r>
      <w:r w:rsidR="002B6BAD">
        <w:rPr>
          <w:rFonts w:ascii="Times New Roman" w:eastAsia="Times New Roman" w:hAnsi="Times New Roman"/>
          <w:sz w:val="24"/>
          <w:szCs w:val="24"/>
          <w:lang w:eastAsia="lv-LV"/>
        </w:rPr>
        <w:t xml:space="preserve">atgrieztos izglītībā un/vai </w:t>
      </w:r>
      <w:r w:rsidRPr="000C6481">
        <w:rPr>
          <w:rFonts w:ascii="Times New Roman" w:eastAsia="Times New Roman" w:hAnsi="Times New Roman"/>
          <w:sz w:val="24"/>
          <w:szCs w:val="24"/>
          <w:lang w:eastAsia="lv-LV"/>
        </w:rPr>
        <w:t xml:space="preserve">veiksmīgi konkurētu darba tirgū (programmas </w:t>
      </w:r>
      <w:r>
        <w:rPr>
          <w:rFonts w:ascii="Times New Roman" w:eastAsia="Times New Roman" w:hAnsi="Times New Roman"/>
          <w:sz w:val="24"/>
          <w:szCs w:val="24"/>
          <w:lang w:eastAsia="lv-LV"/>
        </w:rPr>
        <w:t>"</w:t>
      </w:r>
      <w:r w:rsidRPr="000C6481">
        <w:rPr>
          <w:rFonts w:ascii="Times New Roman" w:eastAsia="Times New Roman" w:hAnsi="Times New Roman"/>
          <w:sz w:val="24"/>
          <w:szCs w:val="24"/>
          <w:lang w:eastAsia="lv-LV"/>
        </w:rPr>
        <w:t xml:space="preserve">Jauniešu </w:t>
      </w:r>
      <w:r>
        <w:rPr>
          <w:rFonts w:ascii="Times New Roman" w:eastAsia="Times New Roman" w:hAnsi="Times New Roman"/>
          <w:sz w:val="24"/>
          <w:szCs w:val="24"/>
          <w:lang w:eastAsia="lv-LV"/>
        </w:rPr>
        <w:t>g</w:t>
      </w:r>
      <w:r w:rsidRPr="000C6481">
        <w:rPr>
          <w:rFonts w:ascii="Times New Roman" w:eastAsia="Times New Roman" w:hAnsi="Times New Roman"/>
          <w:sz w:val="24"/>
          <w:szCs w:val="24"/>
          <w:lang w:eastAsia="lv-LV"/>
        </w:rPr>
        <w:t>arantijas</w:t>
      </w:r>
      <w:r>
        <w:rPr>
          <w:rFonts w:ascii="Times New Roman" w:eastAsia="Times New Roman" w:hAnsi="Times New Roman"/>
          <w:sz w:val="24"/>
          <w:szCs w:val="24"/>
          <w:lang w:eastAsia="lv-LV"/>
        </w:rPr>
        <w:t>"</w:t>
      </w:r>
      <w:r w:rsidRPr="000C6481">
        <w:rPr>
          <w:rFonts w:ascii="Times New Roman" w:eastAsia="Times New Roman" w:hAnsi="Times New Roman"/>
          <w:sz w:val="24"/>
          <w:szCs w:val="24"/>
          <w:lang w:eastAsia="lv-LV"/>
        </w:rPr>
        <w:t xml:space="preserve"> ietvaros). Atbalsts tiks sniegts arī tiem jauniešiem, kuri ir priekšlaicīgas mācību pamešanas riska grupā, tai skaitā nodrošinot pedagogu profesionālās kompetences pilnveidi darbam ar šiem jauniešiem (ES fondu ietvaros).</w:t>
      </w:r>
    </w:p>
    <w:p w14:paraId="3531821E" w14:textId="616512C8" w:rsidR="003D0715" w:rsidRPr="000C6481" w:rsidRDefault="003D0715" w:rsidP="003D0715">
      <w:pPr>
        <w:jc w:val="both"/>
        <w:rPr>
          <w:rFonts w:ascii="Times New Roman" w:eastAsia="Times New Roman" w:hAnsi="Times New Roman"/>
          <w:sz w:val="24"/>
          <w:szCs w:val="24"/>
          <w:lang w:eastAsia="lv-LV"/>
        </w:rPr>
      </w:pPr>
      <w:r w:rsidRPr="000C6481">
        <w:rPr>
          <w:rFonts w:ascii="Times New Roman" w:eastAsia="Times New Roman" w:hAnsi="Times New Roman"/>
          <w:sz w:val="24"/>
          <w:szCs w:val="24"/>
          <w:lang w:eastAsia="lv-LV"/>
        </w:rPr>
        <w:t xml:space="preserve">Tāpat valdība ir apņēmusies </w:t>
      </w:r>
      <w:r w:rsidR="00AA2344">
        <w:rPr>
          <w:rFonts w:ascii="Times New Roman" w:eastAsia="Times New Roman" w:hAnsi="Times New Roman"/>
          <w:sz w:val="24"/>
          <w:szCs w:val="24"/>
          <w:lang w:eastAsia="lv-LV"/>
        </w:rPr>
        <w:t>īstenot</w:t>
      </w:r>
      <w:r w:rsidRPr="000C6481">
        <w:rPr>
          <w:rFonts w:ascii="Times New Roman" w:eastAsia="Times New Roman" w:hAnsi="Times New Roman"/>
          <w:sz w:val="24"/>
          <w:szCs w:val="24"/>
          <w:lang w:eastAsia="lv-LV"/>
        </w:rPr>
        <w:t xml:space="preserve"> pasākumus izglītības un nodarbinātības jomā to iedzīvotāju mērķ</w:t>
      </w:r>
      <w:r>
        <w:rPr>
          <w:rFonts w:ascii="Times New Roman" w:eastAsia="Times New Roman" w:hAnsi="Times New Roman"/>
          <w:sz w:val="24"/>
          <w:szCs w:val="24"/>
          <w:lang w:eastAsia="lv-LV"/>
        </w:rPr>
        <w:t xml:space="preserve">a </w:t>
      </w:r>
      <w:r w:rsidRPr="000C6481">
        <w:rPr>
          <w:rFonts w:ascii="Times New Roman" w:eastAsia="Times New Roman" w:hAnsi="Times New Roman"/>
          <w:sz w:val="24"/>
          <w:szCs w:val="24"/>
          <w:lang w:eastAsia="lv-LV"/>
        </w:rPr>
        <w:t>grupā, kuri sasnieguši 50 un vairāk gadu vecumu. Ņemot vērā faktu, ka Latvijā kopumā 40</w:t>
      </w:r>
      <w:r>
        <w:rPr>
          <w:rFonts w:ascii="Times New Roman" w:eastAsia="Times New Roman" w:hAnsi="Times New Roman"/>
          <w:sz w:val="24"/>
          <w:szCs w:val="24"/>
          <w:lang w:eastAsia="lv-LV"/>
        </w:rPr>
        <w:t> %</w:t>
      </w:r>
      <w:r w:rsidRPr="000C6481">
        <w:rPr>
          <w:rFonts w:ascii="Times New Roman" w:eastAsia="Times New Roman" w:hAnsi="Times New Roman"/>
          <w:sz w:val="24"/>
          <w:szCs w:val="24"/>
          <w:lang w:eastAsia="lv-LV"/>
        </w:rPr>
        <w:t xml:space="preserve"> iedzīvotāju ir vecāki par 50 gadiem, prognozējamā un darbīgā mūža garuma palielināšanu veicinās pasākumi, kas ietverti valdībā apstiprinātajā </w:t>
      </w:r>
      <w:r>
        <w:rPr>
          <w:rFonts w:ascii="Times New Roman" w:eastAsia="Times New Roman" w:hAnsi="Times New Roman"/>
          <w:sz w:val="24"/>
          <w:szCs w:val="24"/>
          <w:lang w:eastAsia="lv-LV"/>
        </w:rPr>
        <w:t>"</w:t>
      </w:r>
      <w:r w:rsidRPr="000C6481">
        <w:rPr>
          <w:rFonts w:ascii="Times New Roman" w:eastAsia="Times New Roman" w:hAnsi="Times New Roman"/>
          <w:sz w:val="24"/>
          <w:szCs w:val="24"/>
          <w:lang w:eastAsia="lv-LV"/>
        </w:rPr>
        <w:t>Aktīvās novecošanās stratēģijā ilgākam un labākam darba mūžam Latvijā</w:t>
      </w:r>
      <w:r>
        <w:rPr>
          <w:rFonts w:ascii="Times New Roman" w:eastAsia="Times New Roman" w:hAnsi="Times New Roman"/>
          <w:sz w:val="24"/>
          <w:szCs w:val="24"/>
          <w:lang w:eastAsia="lv-LV"/>
        </w:rPr>
        <w:t>"</w:t>
      </w:r>
      <w:r w:rsidRPr="000C6481">
        <w:rPr>
          <w:rFonts w:ascii="Times New Roman" w:eastAsia="Times New Roman" w:hAnsi="Times New Roman"/>
          <w:sz w:val="24"/>
          <w:szCs w:val="24"/>
          <w:lang w:eastAsia="lv-LV"/>
        </w:rPr>
        <w:t>, kas tiks īstenota ar ES fondu atbalstu.</w:t>
      </w:r>
    </w:p>
    <w:p w14:paraId="51EC3381" w14:textId="77777777" w:rsidR="003D0715" w:rsidRDefault="003D0715" w:rsidP="003D0715">
      <w:pPr>
        <w:jc w:val="both"/>
        <w:rPr>
          <w:rFonts w:ascii="Times New Roman" w:hAnsi="Times New Roman"/>
          <w:sz w:val="24"/>
          <w:szCs w:val="24"/>
        </w:rPr>
      </w:pPr>
    </w:p>
    <w:p w14:paraId="649BB8C9" w14:textId="77777777" w:rsidR="001E4800" w:rsidRDefault="001E4800" w:rsidP="003D0715">
      <w:pPr>
        <w:jc w:val="both"/>
        <w:rPr>
          <w:rFonts w:ascii="Times New Roman" w:hAnsi="Times New Roman"/>
          <w:sz w:val="24"/>
          <w:szCs w:val="24"/>
        </w:rPr>
      </w:pPr>
    </w:p>
    <w:p w14:paraId="450CE0BE" w14:textId="77777777" w:rsidR="001E4800" w:rsidRPr="000C6481" w:rsidRDefault="001E4800" w:rsidP="003D0715">
      <w:pPr>
        <w:jc w:val="both"/>
        <w:rPr>
          <w:rFonts w:ascii="Times New Roman" w:hAnsi="Times New Roman"/>
          <w:sz w:val="24"/>
          <w:szCs w:val="24"/>
        </w:rPr>
      </w:pPr>
    </w:p>
    <w:p w14:paraId="28885234" w14:textId="77777777" w:rsidR="00885CB6" w:rsidRDefault="00885CB6" w:rsidP="00885CB6">
      <w:pPr>
        <w:pStyle w:val="Heading1"/>
        <w:rPr>
          <w:color w:val="0070C0"/>
        </w:rPr>
      </w:pPr>
      <w:bookmarkStart w:id="74" w:name="_Toc466466878"/>
      <w:r w:rsidRPr="00716B0D">
        <w:rPr>
          <w:color w:val="0070C0"/>
        </w:rPr>
        <w:lastRenderedPageBreak/>
        <w:t>Veselības aprūpes reformas</w:t>
      </w:r>
      <w:bookmarkEnd w:id="74"/>
    </w:p>
    <w:p w14:paraId="3C7B6342" w14:textId="77777777" w:rsidR="001E4800" w:rsidRPr="001E4800" w:rsidRDefault="001E4800" w:rsidP="001E4800"/>
    <w:p w14:paraId="3C0C779D" w14:textId="19726C62" w:rsidR="003D0715" w:rsidRPr="000C6481" w:rsidRDefault="003D0715" w:rsidP="006B13D3">
      <w:pPr>
        <w:jc w:val="both"/>
        <w:rPr>
          <w:rFonts w:ascii="Times New Roman" w:hAnsi="Times New Roman"/>
          <w:sz w:val="24"/>
          <w:szCs w:val="24"/>
        </w:rPr>
      </w:pPr>
      <w:r w:rsidRPr="000C6481">
        <w:rPr>
          <w:rFonts w:ascii="Times New Roman" w:hAnsi="Times New Roman"/>
          <w:sz w:val="24"/>
          <w:szCs w:val="24"/>
        </w:rPr>
        <w:t xml:space="preserve">Viens no šīs valdības prioritāriem uzdevumiem </w:t>
      </w:r>
      <w:r>
        <w:rPr>
          <w:rFonts w:ascii="Times New Roman" w:hAnsi="Times New Roman"/>
          <w:sz w:val="24"/>
          <w:szCs w:val="24"/>
        </w:rPr>
        <w:t>ir</w:t>
      </w:r>
      <w:r w:rsidRPr="000C6481">
        <w:rPr>
          <w:rFonts w:ascii="Times New Roman" w:hAnsi="Times New Roman"/>
          <w:sz w:val="24"/>
          <w:szCs w:val="24"/>
        </w:rPr>
        <w:t xml:space="preserve"> īstenot veselības aprūpes sistēmas reformu, lai visiem Latvijas iedzīvotājiem būtu vienlīdzīgi pieejami no valsts budžeta līdzekļiem apmaksāti kvalitatīvi veselības aprūpes pakalpojumi, tā virzoties uz NAP2020 mērķi</w:t>
      </w:r>
      <w:r>
        <w:rPr>
          <w:rFonts w:ascii="Times New Roman" w:hAnsi="Times New Roman"/>
          <w:sz w:val="24"/>
          <w:szCs w:val="24"/>
        </w:rPr>
        <w:t xml:space="preserve"> –</w:t>
      </w:r>
      <w:r w:rsidRPr="000C6481">
        <w:rPr>
          <w:rFonts w:ascii="Times New Roman" w:hAnsi="Times New Roman"/>
          <w:sz w:val="24"/>
          <w:szCs w:val="24"/>
        </w:rPr>
        <w:t xml:space="preserve"> palielināt iedzīvotāju vidējo vesel</w:t>
      </w:r>
      <w:r>
        <w:rPr>
          <w:rFonts w:ascii="Times New Roman" w:hAnsi="Times New Roman"/>
          <w:sz w:val="24"/>
          <w:szCs w:val="24"/>
        </w:rPr>
        <w:t xml:space="preserve">īgi nodzīvoto mūža gadu skaitu </w:t>
      </w:r>
      <w:r w:rsidRPr="000C6481">
        <w:rPr>
          <w:rFonts w:ascii="Times New Roman" w:hAnsi="Times New Roman"/>
          <w:sz w:val="24"/>
          <w:szCs w:val="24"/>
        </w:rPr>
        <w:t>2020. gadā – līdz 57 gadiem vīriešiem un 60 gadiem sievietēm (skat. 12.</w:t>
      </w:r>
      <w:r>
        <w:rPr>
          <w:rFonts w:ascii="Times New Roman" w:hAnsi="Times New Roman"/>
          <w:sz w:val="24"/>
          <w:szCs w:val="24"/>
        </w:rPr>
        <w:t> </w:t>
      </w:r>
      <w:r w:rsidR="006B13D3">
        <w:rPr>
          <w:rFonts w:ascii="Times New Roman" w:hAnsi="Times New Roman"/>
          <w:sz w:val="24"/>
          <w:szCs w:val="24"/>
        </w:rPr>
        <w:t>attēlu).</w:t>
      </w:r>
    </w:p>
    <w:p w14:paraId="7E724741" w14:textId="0BAC0F6D" w:rsidR="003D0715" w:rsidRPr="000C6481" w:rsidRDefault="003D0715" w:rsidP="006902D8">
      <w:pPr>
        <w:spacing w:line="240" w:lineRule="auto"/>
        <w:jc w:val="right"/>
        <w:rPr>
          <w:rFonts w:ascii="Times New Roman" w:hAnsi="Times New Roman"/>
          <w:sz w:val="24"/>
          <w:szCs w:val="24"/>
        </w:rPr>
      </w:pPr>
      <w:r w:rsidRPr="000C6481">
        <w:rPr>
          <w:rFonts w:ascii="Times New Roman" w:hAnsi="Times New Roman"/>
          <w:sz w:val="24"/>
          <w:szCs w:val="24"/>
        </w:rPr>
        <w:t>12. attēls</w:t>
      </w:r>
    </w:p>
    <w:p w14:paraId="59E897EE" w14:textId="1A4A1087" w:rsidR="003D0715" w:rsidRPr="006902D8" w:rsidRDefault="006902D8" w:rsidP="006902D8">
      <w:pPr>
        <w:spacing w:after="0" w:line="240" w:lineRule="auto"/>
        <w:jc w:val="center"/>
        <w:rPr>
          <w:rFonts w:ascii="Times New Roman" w:hAnsi="Times New Roman"/>
          <w:b/>
          <w:sz w:val="24"/>
          <w:szCs w:val="24"/>
        </w:rPr>
      </w:pPr>
      <w:r>
        <w:rPr>
          <w:rFonts w:ascii="Times New Roman" w:hAnsi="Times New Roman"/>
          <w:b/>
          <w:sz w:val="24"/>
          <w:szCs w:val="24"/>
        </w:rPr>
        <w:t>Veselīgi nodzīvoti mūža gadi</w:t>
      </w:r>
      <w:r w:rsidR="00391DF7">
        <w:rPr>
          <w:rFonts w:ascii="Times New Roman" w:hAnsi="Times New Roman"/>
          <w:b/>
          <w:sz w:val="24"/>
          <w:szCs w:val="24"/>
        </w:rPr>
        <w:t>*</w:t>
      </w:r>
    </w:p>
    <w:p w14:paraId="4B195C27" w14:textId="77777777" w:rsidR="003D0715" w:rsidRPr="000C6481" w:rsidRDefault="003D0715" w:rsidP="003D0715">
      <w:pPr>
        <w:spacing w:after="0" w:line="240" w:lineRule="auto"/>
        <w:rPr>
          <w:sz w:val="24"/>
          <w:szCs w:val="24"/>
        </w:rPr>
      </w:pPr>
      <w:r>
        <w:rPr>
          <w:noProof/>
          <w:sz w:val="24"/>
          <w:szCs w:val="24"/>
          <w:lang w:eastAsia="lv-LV"/>
        </w:rPr>
        <w:drawing>
          <wp:inline distT="0" distB="0" distL="0" distR="0" wp14:anchorId="65869CD8" wp14:editId="014204A3">
            <wp:extent cx="5526156" cy="2663687"/>
            <wp:effectExtent l="0" t="0" r="0" b="3810"/>
            <wp:docPr id="23"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6F12414" w14:textId="77777777" w:rsidR="003D0715" w:rsidRDefault="003D0715" w:rsidP="003D0715">
      <w:pPr>
        <w:spacing w:after="0" w:line="240" w:lineRule="auto"/>
        <w:rPr>
          <w:rFonts w:ascii="Times New Roman" w:hAnsi="Times New Roman"/>
          <w:sz w:val="20"/>
          <w:szCs w:val="20"/>
        </w:rPr>
      </w:pPr>
      <w:r w:rsidRPr="006902D8">
        <w:rPr>
          <w:rFonts w:ascii="Times New Roman" w:hAnsi="Times New Roman"/>
          <w:sz w:val="20"/>
          <w:szCs w:val="20"/>
        </w:rPr>
        <w:t xml:space="preserve">Avots: Eurostat, Datubāze: </w:t>
      </w:r>
      <w:proofErr w:type="spellStart"/>
      <w:r w:rsidRPr="006902D8">
        <w:rPr>
          <w:rFonts w:ascii="Times New Roman" w:hAnsi="Times New Roman"/>
          <w:sz w:val="20"/>
          <w:szCs w:val="20"/>
        </w:rPr>
        <w:t>hlth_hlye</w:t>
      </w:r>
      <w:proofErr w:type="spellEnd"/>
      <w:r w:rsidRPr="006902D8">
        <w:rPr>
          <w:rFonts w:ascii="Times New Roman" w:hAnsi="Times New Roman"/>
          <w:sz w:val="20"/>
          <w:szCs w:val="20"/>
        </w:rPr>
        <w:t>, INDIC_HE – F_0_DFLE; M_0_DFLE. http://appsso.eurostat.ec.europa.eu/nui/submitViewTableAction.do (sk. 01.10.2016.)</w:t>
      </w:r>
    </w:p>
    <w:p w14:paraId="4137491C" w14:textId="77777777" w:rsidR="00391DF7" w:rsidRPr="00391DF7" w:rsidRDefault="00391DF7" w:rsidP="00391DF7">
      <w:pPr>
        <w:rPr>
          <w:rFonts w:ascii="Times New Roman" w:hAnsi="Times New Roman" w:cs="Times New Roman"/>
          <w:sz w:val="20"/>
          <w:szCs w:val="20"/>
        </w:rPr>
      </w:pPr>
      <w:r w:rsidRPr="00391DF7">
        <w:rPr>
          <w:rFonts w:ascii="Times New Roman" w:hAnsi="Times New Roman" w:cs="Times New Roman"/>
          <w:sz w:val="20"/>
          <w:szCs w:val="20"/>
        </w:rPr>
        <w:t xml:space="preserve">* </w:t>
      </w:r>
      <w:proofErr w:type="gramStart"/>
      <w:r w:rsidRPr="00391DF7">
        <w:rPr>
          <w:rFonts w:ascii="Times New Roman" w:hAnsi="Times New Roman" w:cs="Times New Roman"/>
          <w:sz w:val="20"/>
          <w:szCs w:val="20"/>
        </w:rPr>
        <w:t>2013.gada</w:t>
      </w:r>
      <w:proofErr w:type="gramEnd"/>
      <w:r w:rsidRPr="00391DF7">
        <w:rPr>
          <w:rFonts w:ascii="Times New Roman" w:hAnsi="Times New Roman" w:cs="Times New Roman"/>
          <w:sz w:val="20"/>
          <w:szCs w:val="20"/>
        </w:rPr>
        <w:t xml:space="preserve"> mainīta metodoloģija rādītāja aprēķināšanā, kas ietekmējis rādītāja progresu un tādējādi netieši var ietekmēt arī NAP2020 mērķa vērtību sasniegšanu.</w:t>
      </w:r>
    </w:p>
    <w:p w14:paraId="5125389E" w14:textId="77777777" w:rsidR="00391DF7" w:rsidRPr="006902D8" w:rsidRDefault="00391DF7" w:rsidP="003D0715">
      <w:pPr>
        <w:spacing w:after="0" w:line="240" w:lineRule="auto"/>
        <w:rPr>
          <w:rFonts w:ascii="Times New Roman" w:hAnsi="Times New Roman"/>
          <w:sz w:val="20"/>
          <w:szCs w:val="20"/>
        </w:rPr>
      </w:pPr>
    </w:p>
    <w:p w14:paraId="0C01D9ED" w14:textId="77777777" w:rsidR="003D0715" w:rsidRPr="000C6481" w:rsidRDefault="003D0715" w:rsidP="003D0715">
      <w:pPr>
        <w:spacing w:after="0"/>
        <w:jc w:val="both"/>
        <w:rPr>
          <w:rFonts w:ascii="Times New Roman" w:hAnsi="Times New Roman"/>
          <w:sz w:val="24"/>
          <w:szCs w:val="24"/>
        </w:rPr>
      </w:pPr>
    </w:p>
    <w:p w14:paraId="3E121797" w14:textId="77777777" w:rsidR="003D0715" w:rsidRPr="000C6481" w:rsidRDefault="003D0715" w:rsidP="006902D8">
      <w:pPr>
        <w:jc w:val="both"/>
        <w:rPr>
          <w:rFonts w:ascii="Times New Roman" w:hAnsi="Times New Roman"/>
          <w:sz w:val="24"/>
          <w:szCs w:val="24"/>
        </w:rPr>
      </w:pPr>
      <w:r w:rsidRPr="000C6481">
        <w:rPr>
          <w:rFonts w:ascii="Times New Roman" w:hAnsi="Times New Roman"/>
          <w:sz w:val="24"/>
          <w:szCs w:val="24"/>
        </w:rPr>
        <w:t xml:space="preserve">Atbilstoši valdības rīcības plānam pārskata periodā </w:t>
      </w:r>
      <w:r>
        <w:rPr>
          <w:rFonts w:ascii="Times New Roman" w:hAnsi="Times New Roman"/>
          <w:sz w:val="24"/>
          <w:szCs w:val="24"/>
        </w:rPr>
        <w:t>VM</w:t>
      </w:r>
      <w:r w:rsidRPr="000C6481">
        <w:rPr>
          <w:rFonts w:ascii="Times New Roman" w:hAnsi="Times New Roman"/>
          <w:sz w:val="24"/>
          <w:szCs w:val="24"/>
        </w:rPr>
        <w:t xml:space="preserve"> izstrādāj</w:t>
      </w:r>
      <w:r>
        <w:rPr>
          <w:rFonts w:ascii="Times New Roman" w:hAnsi="Times New Roman"/>
          <w:sz w:val="24"/>
          <w:szCs w:val="24"/>
        </w:rPr>
        <w:t>usi</w:t>
      </w:r>
      <w:r w:rsidRPr="000C6481">
        <w:rPr>
          <w:rFonts w:ascii="Times New Roman" w:hAnsi="Times New Roman"/>
          <w:sz w:val="24"/>
          <w:szCs w:val="24"/>
        </w:rPr>
        <w:t xml:space="preserve"> konceptuālus priekšlikumus jaun</w:t>
      </w:r>
      <w:r>
        <w:rPr>
          <w:rFonts w:ascii="Times New Roman" w:hAnsi="Times New Roman"/>
          <w:sz w:val="24"/>
          <w:szCs w:val="24"/>
        </w:rPr>
        <w:t>am</w:t>
      </w:r>
      <w:r w:rsidRPr="000C6481">
        <w:rPr>
          <w:rFonts w:ascii="Times New Roman" w:hAnsi="Times New Roman"/>
          <w:sz w:val="24"/>
          <w:szCs w:val="24"/>
        </w:rPr>
        <w:t xml:space="preserve"> veselības finansēšanas modeli</w:t>
      </w:r>
      <w:r>
        <w:rPr>
          <w:rFonts w:ascii="Times New Roman" w:hAnsi="Times New Roman"/>
          <w:sz w:val="24"/>
          <w:szCs w:val="24"/>
        </w:rPr>
        <w:t>m</w:t>
      </w:r>
      <w:r w:rsidRPr="000C6481">
        <w:rPr>
          <w:rFonts w:ascii="Times New Roman" w:hAnsi="Times New Roman"/>
          <w:sz w:val="24"/>
          <w:szCs w:val="24"/>
        </w:rPr>
        <w:t>, analizējot vairākus iespējamos finansējuma avot</w:t>
      </w:r>
      <w:r>
        <w:rPr>
          <w:rFonts w:ascii="Times New Roman" w:hAnsi="Times New Roman"/>
          <w:sz w:val="24"/>
          <w:szCs w:val="24"/>
        </w:rPr>
        <w:t>us,</w:t>
      </w:r>
      <w:r w:rsidRPr="000C6481">
        <w:rPr>
          <w:rFonts w:ascii="Times New Roman" w:hAnsi="Times New Roman"/>
          <w:sz w:val="24"/>
          <w:szCs w:val="24"/>
        </w:rPr>
        <w:t xml:space="preserve"> ietverot </w:t>
      </w:r>
      <w:r>
        <w:rPr>
          <w:rFonts w:ascii="Times New Roman" w:hAnsi="Times New Roman"/>
          <w:sz w:val="24"/>
          <w:szCs w:val="24"/>
        </w:rPr>
        <w:t xml:space="preserve">arī </w:t>
      </w:r>
      <w:r w:rsidRPr="000C6481">
        <w:rPr>
          <w:rFonts w:ascii="Times New Roman" w:hAnsi="Times New Roman"/>
          <w:sz w:val="24"/>
          <w:szCs w:val="24"/>
        </w:rPr>
        <w:t xml:space="preserve">apdrošināšanas komponentu, </w:t>
      </w:r>
      <w:r>
        <w:rPr>
          <w:rFonts w:ascii="Times New Roman" w:hAnsi="Times New Roman"/>
          <w:sz w:val="24"/>
          <w:szCs w:val="24"/>
        </w:rPr>
        <w:t xml:space="preserve">kā arī </w:t>
      </w:r>
      <w:r w:rsidRPr="000C6481">
        <w:rPr>
          <w:rFonts w:ascii="Times New Roman" w:hAnsi="Times New Roman"/>
          <w:sz w:val="24"/>
          <w:szCs w:val="24"/>
        </w:rPr>
        <w:t>plāno</w:t>
      </w:r>
      <w:r>
        <w:rPr>
          <w:rFonts w:ascii="Times New Roman" w:hAnsi="Times New Roman"/>
          <w:sz w:val="24"/>
          <w:szCs w:val="24"/>
        </w:rPr>
        <w:t>jo</w:t>
      </w:r>
      <w:r w:rsidRPr="000C6481">
        <w:rPr>
          <w:rFonts w:ascii="Times New Roman" w:hAnsi="Times New Roman"/>
          <w:sz w:val="24"/>
          <w:szCs w:val="24"/>
        </w:rPr>
        <w:t xml:space="preserve">t ilgtspējīgu un stabilu finansējumu vispārpieejamiem </w:t>
      </w:r>
      <w:r>
        <w:rPr>
          <w:rFonts w:ascii="Times New Roman" w:hAnsi="Times New Roman"/>
          <w:sz w:val="24"/>
          <w:szCs w:val="24"/>
        </w:rPr>
        <w:t xml:space="preserve">un </w:t>
      </w:r>
      <w:r w:rsidRPr="000C6481">
        <w:rPr>
          <w:rFonts w:ascii="Times New Roman" w:hAnsi="Times New Roman"/>
          <w:sz w:val="24"/>
          <w:szCs w:val="24"/>
        </w:rPr>
        <w:t xml:space="preserve">kvalitatīviem veselības aprūpes pakalpojumiem. Valdība ir konceptuāli atbalstījusi vienu no </w:t>
      </w:r>
      <w:r>
        <w:rPr>
          <w:rFonts w:ascii="Times New Roman" w:hAnsi="Times New Roman"/>
          <w:sz w:val="24"/>
          <w:szCs w:val="24"/>
        </w:rPr>
        <w:t>VM</w:t>
      </w:r>
      <w:r w:rsidRPr="000C6481">
        <w:rPr>
          <w:rFonts w:ascii="Times New Roman" w:hAnsi="Times New Roman"/>
          <w:sz w:val="24"/>
          <w:szCs w:val="24"/>
        </w:rPr>
        <w:t xml:space="preserve"> virzītajiem veselības aprūpes finansēšanas modeļa variantiem, kas paredz finansējumu veselības aprūpei nodrošināt ar valsts obligāto universālo apdrošināšanu no valsts budžeta līdzekļiem. Š</w:t>
      </w:r>
      <w:r>
        <w:rPr>
          <w:rFonts w:ascii="Times New Roman" w:hAnsi="Times New Roman"/>
          <w:sz w:val="24"/>
          <w:szCs w:val="24"/>
        </w:rPr>
        <w:t>ā</w:t>
      </w:r>
      <w:r w:rsidRPr="000C6481">
        <w:rPr>
          <w:rFonts w:ascii="Times New Roman" w:hAnsi="Times New Roman"/>
          <w:sz w:val="24"/>
          <w:szCs w:val="24"/>
        </w:rPr>
        <w:t xml:space="preserve"> modeļa ietvaros tiek saglabāts līdzšinējais veselības aprūpes pakalpojumu grozs, tā pakalpojumu klāsts un reģionālā pieejamība visiem Latvijas rezidentiem neatkarīgi no veiktajām iemaksām. </w:t>
      </w:r>
    </w:p>
    <w:p w14:paraId="571FC210" w14:textId="77777777" w:rsidR="003D0715" w:rsidRPr="000C6481" w:rsidRDefault="003D0715" w:rsidP="003D0715">
      <w:pPr>
        <w:jc w:val="both"/>
        <w:rPr>
          <w:rFonts w:ascii="Times New Roman" w:hAnsi="Times New Roman"/>
          <w:sz w:val="24"/>
          <w:szCs w:val="24"/>
        </w:rPr>
      </w:pPr>
      <w:r w:rsidRPr="000C6481">
        <w:rPr>
          <w:rFonts w:ascii="Times New Roman" w:hAnsi="Times New Roman"/>
          <w:sz w:val="24"/>
          <w:szCs w:val="24"/>
        </w:rPr>
        <w:t xml:space="preserve">Lai gan pašreizējais valsts budžeta finansējums, kas ir ievērojami zemāks nekā citās Eiropas Savienības valstīs, šobrīd </w:t>
      </w:r>
      <w:r>
        <w:rPr>
          <w:rFonts w:ascii="Times New Roman" w:hAnsi="Times New Roman"/>
          <w:sz w:val="24"/>
          <w:szCs w:val="24"/>
        </w:rPr>
        <w:t>neļauj</w:t>
      </w:r>
      <w:r w:rsidRPr="000C6481">
        <w:rPr>
          <w:rFonts w:ascii="Times New Roman" w:hAnsi="Times New Roman"/>
          <w:sz w:val="24"/>
          <w:szCs w:val="24"/>
        </w:rPr>
        <w:t xml:space="preserve"> izvēlēto modeli pilnvērtīgi īstenot, tomēr </w:t>
      </w:r>
      <w:r>
        <w:rPr>
          <w:rFonts w:ascii="Times New Roman" w:hAnsi="Times New Roman"/>
          <w:sz w:val="24"/>
          <w:szCs w:val="24"/>
        </w:rPr>
        <w:t>šis</w:t>
      </w:r>
      <w:r w:rsidRPr="000C6481">
        <w:rPr>
          <w:rFonts w:ascii="Times New Roman" w:hAnsi="Times New Roman"/>
          <w:sz w:val="24"/>
          <w:szCs w:val="24"/>
        </w:rPr>
        <w:t xml:space="preserve"> solis uzskatāms par būtisku progresu veselības aprūpes nozares reformas uzsākšanā. </w:t>
      </w:r>
      <w:r w:rsidRPr="000C6481">
        <w:rPr>
          <w:rFonts w:ascii="Times New Roman" w:hAnsi="Times New Roman"/>
          <w:sz w:val="24"/>
          <w:szCs w:val="24"/>
        </w:rPr>
        <w:lastRenderedPageBreak/>
        <w:t>Uzsverot, ka Latvijā pastāv visaptvero</w:t>
      </w:r>
      <w:r>
        <w:rPr>
          <w:rFonts w:ascii="Times New Roman" w:hAnsi="Times New Roman"/>
          <w:sz w:val="24"/>
          <w:szCs w:val="24"/>
        </w:rPr>
        <w:t>ša iedzīvotāju veselības aprūpe</w:t>
      </w:r>
      <w:r w:rsidRPr="000C6481">
        <w:rPr>
          <w:rFonts w:ascii="Times New Roman" w:hAnsi="Times New Roman"/>
          <w:sz w:val="24"/>
          <w:szCs w:val="24"/>
        </w:rPr>
        <w:t xml:space="preserve"> un šis sasniegums </w:t>
      </w:r>
      <w:r>
        <w:rPr>
          <w:rFonts w:ascii="Times New Roman" w:hAnsi="Times New Roman"/>
          <w:sz w:val="24"/>
          <w:szCs w:val="24"/>
        </w:rPr>
        <w:t>ir</w:t>
      </w:r>
      <w:r w:rsidRPr="000C6481">
        <w:rPr>
          <w:rFonts w:ascii="Times New Roman" w:hAnsi="Times New Roman"/>
          <w:sz w:val="24"/>
          <w:szCs w:val="24"/>
        </w:rPr>
        <w:t xml:space="preserve"> aizsargājams un stiprināms ar uzlabotu finansiālu aizsardzību</w:t>
      </w:r>
      <w:proofErr w:type="gramStart"/>
      <w:r w:rsidRPr="000C6481">
        <w:rPr>
          <w:rFonts w:ascii="Times New Roman" w:hAnsi="Times New Roman"/>
          <w:sz w:val="24"/>
          <w:szCs w:val="24"/>
        </w:rPr>
        <w:t xml:space="preserve"> un</w:t>
      </w:r>
      <w:proofErr w:type="gramEnd"/>
      <w:r w:rsidRPr="000C6481">
        <w:rPr>
          <w:rFonts w:ascii="Times New Roman" w:hAnsi="Times New Roman"/>
          <w:sz w:val="24"/>
          <w:szCs w:val="24"/>
        </w:rPr>
        <w:t xml:space="preserve"> paplašinātu pakalpojumu klāstu, ko segtu publiski finansēta sistēma, valdība ir vienojusies, ka, sagatavojot valsts budžetu 2018. gadam, reformas veselības aprūp</w:t>
      </w:r>
      <w:r>
        <w:rPr>
          <w:rFonts w:ascii="Times New Roman" w:hAnsi="Times New Roman"/>
          <w:sz w:val="24"/>
          <w:szCs w:val="24"/>
        </w:rPr>
        <w:t>ē</w:t>
      </w:r>
      <w:r w:rsidRPr="000C6481">
        <w:rPr>
          <w:rFonts w:ascii="Times New Roman" w:hAnsi="Times New Roman"/>
          <w:sz w:val="24"/>
          <w:szCs w:val="24"/>
        </w:rPr>
        <w:t xml:space="preserve"> </w:t>
      </w:r>
      <w:r>
        <w:rPr>
          <w:rFonts w:ascii="Times New Roman" w:hAnsi="Times New Roman"/>
          <w:sz w:val="24"/>
          <w:szCs w:val="24"/>
        </w:rPr>
        <w:t>būs prioritāras</w:t>
      </w:r>
      <w:r w:rsidRPr="000C6481">
        <w:rPr>
          <w:rFonts w:ascii="Times New Roman" w:hAnsi="Times New Roman"/>
          <w:sz w:val="24"/>
          <w:szCs w:val="24"/>
        </w:rPr>
        <w:t>. Turpinot darbu nozares reformu īstenošanā, jāvirzās uz finansējuma palielinājumu līdz 12</w:t>
      </w:r>
      <w:r>
        <w:rPr>
          <w:rFonts w:ascii="Times New Roman" w:hAnsi="Times New Roman"/>
          <w:sz w:val="24"/>
          <w:szCs w:val="24"/>
        </w:rPr>
        <w:t> %</w:t>
      </w:r>
      <w:r w:rsidRPr="000C6481">
        <w:rPr>
          <w:rFonts w:ascii="Times New Roman" w:hAnsi="Times New Roman"/>
          <w:sz w:val="24"/>
          <w:szCs w:val="24"/>
        </w:rPr>
        <w:t xml:space="preserve"> no valsts budžeta kopizdevumiem, meklējot modeļa finanšu avotus vienlai</w:t>
      </w:r>
      <w:r>
        <w:rPr>
          <w:rFonts w:ascii="Times New Roman" w:hAnsi="Times New Roman"/>
          <w:sz w:val="24"/>
          <w:szCs w:val="24"/>
        </w:rPr>
        <w:t>kus</w:t>
      </w:r>
      <w:r w:rsidRPr="000C6481">
        <w:rPr>
          <w:rFonts w:ascii="Times New Roman" w:hAnsi="Times New Roman"/>
          <w:sz w:val="24"/>
          <w:szCs w:val="24"/>
        </w:rPr>
        <w:t xml:space="preserve"> ar valsts nodokļu politikas pārskatīšanu.</w:t>
      </w:r>
    </w:p>
    <w:p w14:paraId="7864C137" w14:textId="77777777" w:rsidR="003D0715" w:rsidRPr="000C6481" w:rsidRDefault="003D0715" w:rsidP="003D0715">
      <w:pPr>
        <w:jc w:val="both"/>
        <w:rPr>
          <w:rFonts w:ascii="Times New Roman" w:hAnsi="Times New Roman"/>
          <w:sz w:val="24"/>
          <w:szCs w:val="24"/>
        </w:rPr>
      </w:pPr>
      <w:r>
        <w:rPr>
          <w:rFonts w:ascii="Times New Roman" w:hAnsi="Times New Roman"/>
          <w:sz w:val="24"/>
          <w:szCs w:val="24"/>
        </w:rPr>
        <w:t>E</w:t>
      </w:r>
      <w:r w:rsidRPr="000C6481">
        <w:rPr>
          <w:rFonts w:ascii="Times New Roman" w:hAnsi="Times New Roman"/>
          <w:sz w:val="24"/>
          <w:szCs w:val="24"/>
        </w:rPr>
        <w:t xml:space="preserve">-veselības </w:t>
      </w:r>
      <w:r>
        <w:rPr>
          <w:rFonts w:ascii="Times New Roman" w:hAnsi="Times New Roman"/>
          <w:sz w:val="24"/>
          <w:szCs w:val="24"/>
        </w:rPr>
        <w:t>sistēma</w:t>
      </w:r>
      <w:r w:rsidRPr="000C6481">
        <w:rPr>
          <w:rFonts w:ascii="Times New Roman" w:hAnsi="Times New Roman"/>
          <w:sz w:val="24"/>
          <w:szCs w:val="24"/>
        </w:rPr>
        <w:t xml:space="preserve"> ir instruments, bez kura nav iedomājama efektīva veselības nozares reformas īstenošana. Šobrīd iedzīvotājiem ir pieejams e-veselības portāls </w:t>
      </w:r>
      <w:proofErr w:type="spellStart"/>
      <w:r w:rsidRPr="000C6481">
        <w:rPr>
          <w:rFonts w:ascii="Times New Roman" w:hAnsi="Times New Roman"/>
          <w:sz w:val="24"/>
          <w:szCs w:val="24"/>
        </w:rPr>
        <w:t>www.eveseliba.gov.lv</w:t>
      </w:r>
      <w:proofErr w:type="spellEnd"/>
      <w:r w:rsidRPr="000C6481">
        <w:rPr>
          <w:rFonts w:ascii="Times New Roman" w:hAnsi="Times New Roman"/>
          <w:sz w:val="24"/>
          <w:szCs w:val="24"/>
        </w:rPr>
        <w:t>, kur iedzīvotāji var piekļūt savai elektroniskajai veselības kartei, bet ārstniecības personas var uzsākt e-recep</w:t>
      </w:r>
      <w:r>
        <w:rPr>
          <w:rFonts w:ascii="Times New Roman" w:hAnsi="Times New Roman"/>
          <w:sz w:val="24"/>
          <w:szCs w:val="24"/>
        </w:rPr>
        <w:t>šu</w:t>
      </w:r>
      <w:r w:rsidRPr="000C6481">
        <w:rPr>
          <w:rFonts w:ascii="Times New Roman" w:hAnsi="Times New Roman"/>
          <w:sz w:val="24"/>
          <w:szCs w:val="24"/>
        </w:rPr>
        <w:t xml:space="preserve"> un e-darbnespējas lap</w:t>
      </w:r>
      <w:r>
        <w:rPr>
          <w:rFonts w:ascii="Times New Roman" w:hAnsi="Times New Roman"/>
          <w:sz w:val="24"/>
          <w:szCs w:val="24"/>
        </w:rPr>
        <w:t>u</w:t>
      </w:r>
      <w:r w:rsidRPr="000C6481">
        <w:rPr>
          <w:rFonts w:ascii="Times New Roman" w:hAnsi="Times New Roman"/>
          <w:sz w:val="24"/>
          <w:szCs w:val="24"/>
        </w:rPr>
        <w:t xml:space="preserve"> izrakstīšanu. Ir jāturpina e-veselības </w:t>
      </w:r>
      <w:r>
        <w:rPr>
          <w:rFonts w:ascii="Times New Roman" w:hAnsi="Times New Roman"/>
          <w:sz w:val="24"/>
          <w:szCs w:val="24"/>
        </w:rPr>
        <w:t xml:space="preserve">sistēmas </w:t>
      </w:r>
      <w:r w:rsidRPr="000C6481">
        <w:rPr>
          <w:rFonts w:ascii="Times New Roman" w:hAnsi="Times New Roman"/>
          <w:sz w:val="24"/>
          <w:szCs w:val="24"/>
        </w:rPr>
        <w:t>tālāk</w:t>
      </w:r>
      <w:r>
        <w:rPr>
          <w:rFonts w:ascii="Times New Roman" w:hAnsi="Times New Roman"/>
          <w:sz w:val="24"/>
          <w:szCs w:val="24"/>
        </w:rPr>
        <w:t>a</w:t>
      </w:r>
      <w:r w:rsidRPr="000C6481">
        <w:rPr>
          <w:rFonts w:ascii="Times New Roman" w:hAnsi="Times New Roman"/>
          <w:sz w:val="24"/>
          <w:szCs w:val="24"/>
        </w:rPr>
        <w:t xml:space="preserve"> attīstī</w:t>
      </w:r>
      <w:r>
        <w:rPr>
          <w:rFonts w:ascii="Times New Roman" w:hAnsi="Times New Roman"/>
          <w:sz w:val="24"/>
          <w:szCs w:val="24"/>
        </w:rPr>
        <w:t>šana</w:t>
      </w:r>
      <w:r w:rsidRPr="000C6481">
        <w:rPr>
          <w:rFonts w:ascii="Times New Roman" w:hAnsi="Times New Roman"/>
          <w:sz w:val="24"/>
          <w:szCs w:val="24"/>
        </w:rPr>
        <w:t xml:space="preserve"> un IKT nozares centralizācij</w:t>
      </w:r>
      <w:r>
        <w:rPr>
          <w:rFonts w:ascii="Times New Roman" w:hAnsi="Times New Roman"/>
          <w:sz w:val="24"/>
          <w:szCs w:val="24"/>
        </w:rPr>
        <w:t>a</w:t>
      </w:r>
      <w:r w:rsidRPr="000C6481">
        <w:rPr>
          <w:rFonts w:ascii="Times New Roman" w:hAnsi="Times New Roman"/>
          <w:sz w:val="24"/>
          <w:szCs w:val="24"/>
        </w:rPr>
        <w:t>.</w:t>
      </w:r>
    </w:p>
    <w:p w14:paraId="4C556047" w14:textId="77777777" w:rsidR="003D0715" w:rsidRPr="000C6481" w:rsidRDefault="003D0715" w:rsidP="003D0715">
      <w:pPr>
        <w:jc w:val="both"/>
        <w:rPr>
          <w:rFonts w:ascii="Times New Roman" w:hAnsi="Times New Roman"/>
          <w:sz w:val="24"/>
          <w:szCs w:val="24"/>
        </w:rPr>
      </w:pPr>
      <w:r w:rsidRPr="000C6481">
        <w:rPr>
          <w:rFonts w:ascii="Times New Roman" w:hAnsi="Times New Roman"/>
          <w:sz w:val="24"/>
          <w:szCs w:val="24"/>
        </w:rPr>
        <w:t xml:space="preserve">Pārskata periodā VM ir veikusi </w:t>
      </w:r>
      <w:r>
        <w:rPr>
          <w:rFonts w:ascii="Times New Roman" w:hAnsi="Times New Roman"/>
          <w:sz w:val="24"/>
          <w:szCs w:val="24"/>
        </w:rPr>
        <w:t>arī citus darbus</w:t>
      </w:r>
      <w:r w:rsidRPr="000C6481">
        <w:rPr>
          <w:rFonts w:ascii="Times New Roman" w:hAnsi="Times New Roman"/>
          <w:sz w:val="24"/>
          <w:szCs w:val="24"/>
        </w:rPr>
        <w:t>, kas līdz ar finansēšanas modeļa izvēli sniedz pamatu reformas uzsākšanai veselības nozar</w:t>
      </w:r>
      <w:r>
        <w:rPr>
          <w:rFonts w:ascii="Times New Roman" w:hAnsi="Times New Roman"/>
          <w:sz w:val="24"/>
          <w:szCs w:val="24"/>
        </w:rPr>
        <w:t xml:space="preserve">ē </w:t>
      </w:r>
      <w:r w:rsidRPr="000C6481">
        <w:rPr>
          <w:rFonts w:ascii="Times New Roman" w:hAnsi="Times New Roman"/>
          <w:sz w:val="24"/>
          <w:szCs w:val="24"/>
        </w:rPr>
        <w:t xml:space="preserve">– sadarbībā ar Starptautisko </w:t>
      </w:r>
      <w:r>
        <w:rPr>
          <w:rFonts w:ascii="Times New Roman" w:hAnsi="Times New Roman"/>
          <w:sz w:val="24"/>
          <w:szCs w:val="24"/>
        </w:rPr>
        <w:t>R</w:t>
      </w:r>
      <w:r w:rsidRPr="000C6481">
        <w:rPr>
          <w:rFonts w:ascii="Times New Roman" w:hAnsi="Times New Roman"/>
          <w:sz w:val="24"/>
          <w:szCs w:val="24"/>
        </w:rPr>
        <w:t xml:space="preserve">ekonstrukcijas un </w:t>
      </w:r>
      <w:r>
        <w:rPr>
          <w:rFonts w:ascii="Times New Roman" w:hAnsi="Times New Roman"/>
          <w:sz w:val="24"/>
          <w:szCs w:val="24"/>
        </w:rPr>
        <w:t>a</w:t>
      </w:r>
      <w:r w:rsidRPr="000C6481">
        <w:rPr>
          <w:rFonts w:ascii="Times New Roman" w:hAnsi="Times New Roman"/>
          <w:sz w:val="24"/>
          <w:szCs w:val="24"/>
        </w:rPr>
        <w:t>ttīstības banku tiek turpināt</w:t>
      </w:r>
      <w:r>
        <w:rPr>
          <w:rFonts w:ascii="Times New Roman" w:hAnsi="Times New Roman"/>
          <w:sz w:val="24"/>
          <w:szCs w:val="24"/>
        </w:rPr>
        <w:t>a</w:t>
      </w:r>
      <w:r w:rsidRPr="000C6481">
        <w:rPr>
          <w:rFonts w:ascii="Times New Roman" w:hAnsi="Times New Roman"/>
          <w:sz w:val="24"/>
          <w:szCs w:val="24"/>
        </w:rPr>
        <w:t xml:space="preserve"> veselības sistēmas un veselības aprūpes pakalpojumu sniedzēju struktūras izvērtēšana, kā arī prioritārā kārtā tiek pārskatīti veselības aprūpes pakalpojumu apmaksas tarifi</w:t>
      </w:r>
      <w:r w:rsidRPr="000C6481">
        <w:rPr>
          <w:rStyle w:val="FootnoteReference"/>
          <w:sz w:val="24"/>
          <w:szCs w:val="24"/>
        </w:rPr>
        <w:footnoteReference w:id="16"/>
      </w:r>
      <w:r w:rsidRPr="000C6481">
        <w:rPr>
          <w:rFonts w:ascii="Times New Roman" w:hAnsi="Times New Roman"/>
          <w:sz w:val="24"/>
          <w:szCs w:val="24"/>
        </w:rPr>
        <w:t xml:space="preserve">. </w:t>
      </w:r>
    </w:p>
    <w:p w14:paraId="025B6308" w14:textId="74CCEFBF" w:rsidR="003D0715" w:rsidRPr="000C6481" w:rsidRDefault="003D0715" w:rsidP="003D0715">
      <w:pPr>
        <w:jc w:val="both"/>
        <w:rPr>
          <w:rFonts w:ascii="Times New Roman" w:hAnsi="Times New Roman"/>
          <w:sz w:val="24"/>
          <w:szCs w:val="24"/>
        </w:rPr>
      </w:pPr>
      <w:r w:rsidRPr="000C6481">
        <w:rPr>
          <w:rFonts w:ascii="Times New Roman" w:hAnsi="Times New Roman"/>
          <w:sz w:val="24"/>
          <w:szCs w:val="24"/>
        </w:rPr>
        <w:t xml:space="preserve">Balstoties uz Starptautiskās </w:t>
      </w:r>
      <w:r>
        <w:rPr>
          <w:rFonts w:ascii="Times New Roman" w:hAnsi="Times New Roman"/>
          <w:sz w:val="24"/>
          <w:szCs w:val="24"/>
        </w:rPr>
        <w:t>R</w:t>
      </w:r>
      <w:r w:rsidRPr="000C6481">
        <w:rPr>
          <w:rFonts w:ascii="Times New Roman" w:hAnsi="Times New Roman"/>
          <w:sz w:val="24"/>
          <w:szCs w:val="24"/>
        </w:rPr>
        <w:t xml:space="preserve">ekonstrukcijas un </w:t>
      </w:r>
      <w:r>
        <w:rPr>
          <w:rFonts w:ascii="Times New Roman" w:hAnsi="Times New Roman"/>
          <w:sz w:val="24"/>
          <w:szCs w:val="24"/>
        </w:rPr>
        <w:t>a</w:t>
      </w:r>
      <w:r w:rsidRPr="000C6481">
        <w:rPr>
          <w:rFonts w:ascii="Times New Roman" w:hAnsi="Times New Roman"/>
          <w:sz w:val="24"/>
          <w:szCs w:val="24"/>
        </w:rPr>
        <w:t>ttīstības bankas veiktā pētījuma rezultātiem, kas identificē veselības sistēmas galvenos trūkum</w:t>
      </w:r>
      <w:r>
        <w:rPr>
          <w:rFonts w:ascii="Times New Roman" w:hAnsi="Times New Roman"/>
          <w:sz w:val="24"/>
          <w:szCs w:val="24"/>
        </w:rPr>
        <w:t>u</w:t>
      </w:r>
      <w:r w:rsidRPr="000C6481">
        <w:rPr>
          <w:rFonts w:ascii="Times New Roman" w:hAnsi="Times New Roman"/>
          <w:sz w:val="24"/>
          <w:szCs w:val="24"/>
        </w:rPr>
        <w:t>s un to cēloņus četrās prioritārajās veselības jomās (sirds un asinsvadu, onkoloģijas, bērnu un garīgās</w:t>
      </w:r>
      <w:r w:rsidRPr="000A79A7">
        <w:rPr>
          <w:rFonts w:ascii="Times New Roman" w:hAnsi="Times New Roman"/>
          <w:sz w:val="24"/>
          <w:szCs w:val="24"/>
        </w:rPr>
        <w:t xml:space="preserve"> </w:t>
      </w:r>
      <w:r w:rsidRPr="000C6481">
        <w:rPr>
          <w:rFonts w:ascii="Times New Roman" w:hAnsi="Times New Roman"/>
          <w:sz w:val="24"/>
          <w:szCs w:val="24"/>
        </w:rPr>
        <w:t xml:space="preserve">veselības jomā), </w:t>
      </w:r>
      <w:r>
        <w:rPr>
          <w:rFonts w:ascii="Times New Roman" w:hAnsi="Times New Roman"/>
          <w:sz w:val="24"/>
          <w:szCs w:val="24"/>
        </w:rPr>
        <w:t>kā arī uz</w:t>
      </w:r>
      <w:r w:rsidRPr="000C6481">
        <w:rPr>
          <w:rFonts w:ascii="Times New Roman" w:hAnsi="Times New Roman"/>
          <w:sz w:val="24"/>
          <w:szCs w:val="24"/>
        </w:rPr>
        <w:t xml:space="preserve"> ekspertu priekšlikumiem, VM izstrādās un iesniegs izskatīšanai valdībā informatīvu ziņojumu par veselības nozares reformu gaitu un politikas plānošanas dokumentu projektu paketi. Tādējādi tiks nodrošināts, ka veselības nozares reformas ietvaros </w:t>
      </w:r>
      <w:r w:rsidR="00140D30">
        <w:rPr>
          <w:rFonts w:ascii="Times New Roman" w:hAnsi="Times New Roman"/>
          <w:sz w:val="24"/>
          <w:szCs w:val="24"/>
        </w:rPr>
        <w:t>noteiktie</w:t>
      </w:r>
      <w:r w:rsidR="00140D30" w:rsidRPr="000C6481">
        <w:rPr>
          <w:rFonts w:ascii="Times New Roman" w:hAnsi="Times New Roman"/>
          <w:sz w:val="24"/>
          <w:szCs w:val="24"/>
        </w:rPr>
        <w:t xml:space="preserve"> </w:t>
      </w:r>
      <w:r w:rsidRPr="000C6481">
        <w:rPr>
          <w:rFonts w:ascii="Times New Roman" w:hAnsi="Times New Roman"/>
          <w:sz w:val="24"/>
          <w:szCs w:val="24"/>
        </w:rPr>
        <w:t>veselības veicināšana</w:t>
      </w:r>
      <w:r>
        <w:rPr>
          <w:rFonts w:ascii="Times New Roman" w:hAnsi="Times New Roman"/>
          <w:sz w:val="24"/>
          <w:szCs w:val="24"/>
        </w:rPr>
        <w:t>s</w:t>
      </w:r>
      <w:r w:rsidRPr="000C6481">
        <w:rPr>
          <w:rFonts w:ascii="Times New Roman" w:hAnsi="Times New Roman"/>
          <w:sz w:val="24"/>
          <w:szCs w:val="24"/>
        </w:rPr>
        <w:t xml:space="preserve"> un slimību profilakse</w:t>
      </w:r>
      <w:r>
        <w:rPr>
          <w:rFonts w:ascii="Times New Roman" w:hAnsi="Times New Roman"/>
          <w:sz w:val="24"/>
          <w:szCs w:val="24"/>
        </w:rPr>
        <w:t>s</w:t>
      </w:r>
      <w:r w:rsidRPr="004E35FA">
        <w:rPr>
          <w:rFonts w:ascii="Times New Roman" w:hAnsi="Times New Roman"/>
          <w:sz w:val="24"/>
          <w:szCs w:val="24"/>
        </w:rPr>
        <w:t xml:space="preserve"> </w:t>
      </w:r>
      <w:r w:rsidRPr="000C6481">
        <w:rPr>
          <w:rFonts w:ascii="Times New Roman" w:hAnsi="Times New Roman"/>
          <w:sz w:val="24"/>
          <w:szCs w:val="24"/>
        </w:rPr>
        <w:t xml:space="preserve">pasākumi, </w:t>
      </w:r>
      <w:r>
        <w:rPr>
          <w:rFonts w:ascii="Times New Roman" w:hAnsi="Times New Roman"/>
          <w:sz w:val="24"/>
          <w:szCs w:val="24"/>
        </w:rPr>
        <w:t xml:space="preserve">kas paredzēti </w:t>
      </w:r>
      <w:r w:rsidRPr="000C6481">
        <w:rPr>
          <w:rFonts w:ascii="Times New Roman" w:hAnsi="Times New Roman"/>
          <w:sz w:val="24"/>
          <w:szCs w:val="24"/>
        </w:rPr>
        <w:t>agrīnās diagnostikas, katra aprūpes līmeņa kompetences, cilvēkresursu attīstības, tehnoloģiskā un infrastruktūras nodrošinājuma, kā arī pakalpojumu sniegšanas un apmaksas sistēmas pilnveidei</w:t>
      </w:r>
      <w:r>
        <w:rPr>
          <w:rFonts w:ascii="Times New Roman" w:hAnsi="Times New Roman"/>
          <w:sz w:val="24"/>
          <w:szCs w:val="24"/>
        </w:rPr>
        <w:t xml:space="preserve">, </w:t>
      </w:r>
      <w:r w:rsidRPr="000C6481">
        <w:rPr>
          <w:rFonts w:ascii="Times New Roman" w:hAnsi="Times New Roman"/>
          <w:sz w:val="24"/>
          <w:szCs w:val="24"/>
        </w:rPr>
        <w:t>būs savstarpēji saskaņoti, plānveidīgi, finansiāli, sociāli un politiski izvērtēti, kā arī izdiskutēti ar ieinteresētajām pusēm un sabiedrību.</w:t>
      </w:r>
      <w:r w:rsidRPr="000A79A7">
        <w:rPr>
          <w:rFonts w:ascii="Times New Roman" w:hAnsi="Times New Roman"/>
          <w:sz w:val="24"/>
          <w:szCs w:val="24"/>
        </w:rPr>
        <w:t xml:space="preserve"> </w:t>
      </w:r>
    </w:p>
    <w:p w14:paraId="06F2D837" w14:textId="77777777" w:rsidR="003D0715" w:rsidRPr="000C6481" w:rsidRDefault="003D0715" w:rsidP="003D0715">
      <w:pPr>
        <w:jc w:val="both"/>
        <w:rPr>
          <w:rFonts w:ascii="Times New Roman" w:hAnsi="Times New Roman"/>
          <w:sz w:val="24"/>
          <w:szCs w:val="24"/>
        </w:rPr>
      </w:pPr>
      <w:r w:rsidRPr="000C6481">
        <w:rPr>
          <w:rFonts w:ascii="Times New Roman" w:hAnsi="Times New Roman"/>
          <w:sz w:val="24"/>
          <w:szCs w:val="24"/>
        </w:rPr>
        <w:t>Lai nodrošinātu efektīvu un savlaicīgu onkoloģisko pacientu izmeklēšanu un ārstēšanas uzsākšanu, no 2016.</w:t>
      </w:r>
      <w:r>
        <w:rPr>
          <w:rFonts w:ascii="Times New Roman" w:hAnsi="Times New Roman"/>
          <w:sz w:val="24"/>
          <w:szCs w:val="24"/>
        </w:rPr>
        <w:t> </w:t>
      </w:r>
      <w:r w:rsidRPr="000C6481">
        <w:rPr>
          <w:rFonts w:ascii="Times New Roman" w:hAnsi="Times New Roman"/>
          <w:sz w:val="24"/>
          <w:szCs w:val="24"/>
        </w:rPr>
        <w:t>gada 1.</w:t>
      </w:r>
      <w:r>
        <w:rPr>
          <w:rFonts w:ascii="Times New Roman" w:hAnsi="Times New Roman"/>
          <w:sz w:val="24"/>
          <w:szCs w:val="24"/>
        </w:rPr>
        <w:t> </w:t>
      </w:r>
      <w:r w:rsidRPr="000C6481">
        <w:rPr>
          <w:rFonts w:ascii="Times New Roman" w:hAnsi="Times New Roman"/>
          <w:sz w:val="24"/>
          <w:szCs w:val="24"/>
        </w:rPr>
        <w:t>oktobra ieviesti vairāki uzlabojumi</w:t>
      </w:r>
      <w:r w:rsidRPr="000C6481">
        <w:rPr>
          <w:rStyle w:val="FootnoteReference"/>
          <w:sz w:val="24"/>
          <w:szCs w:val="24"/>
        </w:rPr>
        <w:footnoteReference w:id="17"/>
      </w:r>
      <w:r w:rsidRPr="000C6481">
        <w:rPr>
          <w:rFonts w:ascii="Times New Roman" w:hAnsi="Times New Roman"/>
          <w:sz w:val="24"/>
          <w:szCs w:val="24"/>
        </w:rPr>
        <w:t xml:space="preserve">. Turpmāk pacientus, kuriem ir medicīniski pamatotas aizdomas par ļaundabīgu audzēju, ģimenes ārsti varēs nosūtīt nepieciešamo izmeklējumu veikšanai, </w:t>
      </w:r>
      <w:r>
        <w:rPr>
          <w:rFonts w:ascii="Times New Roman" w:hAnsi="Times New Roman"/>
          <w:sz w:val="24"/>
          <w:szCs w:val="24"/>
        </w:rPr>
        <w:t>kurus pacientam jāsaņem 10 darb</w:t>
      </w:r>
      <w:r w:rsidRPr="000C6481">
        <w:rPr>
          <w:rFonts w:ascii="Times New Roman" w:hAnsi="Times New Roman"/>
          <w:sz w:val="24"/>
          <w:szCs w:val="24"/>
        </w:rPr>
        <w:t xml:space="preserve">dienu laikā no vēršanās ārstniecības iestādē. Savukārt pēc </w:t>
      </w:r>
      <w:r w:rsidRPr="000C6481">
        <w:rPr>
          <w:rFonts w:ascii="Times New Roman" w:hAnsi="Times New Roman"/>
          <w:sz w:val="24"/>
          <w:szCs w:val="24"/>
        </w:rPr>
        <w:lastRenderedPageBreak/>
        <w:t>diagnostisko izmeklējumu rezultātu izvērtēšanas</w:t>
      </w:r>
      <w:r>
        <w:rPr>
          <w:rFonts w:ascii="Times New Roman" w:hAnsi="Times New Roman"/>
          <w:sz w:val="24"/>
          <w:szCs w:val="24"/>
        </w:rPr>
        <w:t>, ja apstiprināsies</w:t>
      </w:r>
      <w:r w:rsidRPr="000C6481">
        <w:rPr>
          <w:rFonts w:ascii="Times New Roman" w:hAnsi="Times New Roman"/>
          <w:sz w:val="24"/>
          <w:szCs w:val="24"/>
        </w:rPr>
        <w:t xml:space="preserve"> aizdom</w:t>
      </w:r>
      <w:r>
        <w:rPr>
          <w:rFonts w:ascii="Times New Roman" w:hAnsi="Times New Roman"/>
          <w:sz w:val="24"/>
          <w:szCs w:val="24"/>
        </w:rPr>
        <w:t>as</w:t>
      </w:r>
      <w:r w:rsidRPr="000C6481">
        <w:rPr>
          <w:rFonts w:ascii="Times New Roman" w:hAnsi="Times New Roman"/>
          <w:sz w:val="24"/>
          <w:szCs w:val="24"/>
        </w:rPr>
        <w:t xml:space="preserve"> par onkoloģisku saslimšanu</w:t>
      </w:r>
      <w:r>
        <w:rPr>
          <w:rFonts w:ascii="Times New Roman" w:hAnsi="Times New Roman"/>
          <w:sz w:val="24"/>
          <w:szCs w:val="24"/>
        </w:rPr>
        <w:t>,</w:t>
      </w:r>
      <w:r w:rsidRPr="000C6481">
        <w:rPr>
          <w:rFonts w:ascii="Times New Roman" w:hAnsi="Times New Roman"/>
          <w:sz w:val="24"/>
          <w:szCs w:val="24"/>
        </w:rPr>
        <w:t xml:space="preserve"> ģimenes ārsts, vienojoties ar pacientu, pieteiks pacienta apmeklējumu specializētā onkoloģiskajā ārstniecības iestādē speciālista konsultācijas saņemšanai. Šāda pacientu pieteikšana veicinās prioritāru pieteikšanu uz pakalpojuma saņemšanu, novirzot šos pacientus no kopējās pacientu plūsmas un ļaujot plānot agrīnai onkoloģisko pacientu diagnostikai nepieciešamos resursus. Ārstniecības iestādei pacienta konsu</w:t>
      </w:r>
      <w:r>
        <w:rPr>
          <w:rFonts w:ascii="Times New Roman" w:hAnsi="Times New Roman"/>
          <w:sz w:val="24"/>
          <w:szCs w:val="24"/>
        </w:rPr>
        <w:t>ltācija būs jānodrošina 10 darb</w:t>
      </w:r>
      <w:r w:rsidRPr="000C6481">
        <w:rPr>
          <w:rFonts w:ascii="Times New Roman" w:hAnsi="Times New Roman"/>
          <w:sz w:val="24"/>
          <w:szCs w:val="24"/>
        </w:rPr>
        <w:t>dienu laikā no pierakstīšanās dienas.</w:t>
      </w:r>
    </w:p>
    <w:p w14:paraId="2D5D7333" w14:textId="77777777" w:rsidR="003D0715" w:rsidRPr="000C6481" w:rsidRDefault="003D0715" w:rsidP="003D0715">
      <w:pPr>
        <w:jc w:val="both"/>
        <w:rPr>
          <w:rFonts w:ascii="Times New Roman" w:hAnsi="Times New Roman"/>
          <w:sz w:val="24"/>
          <w:szCs w:val="24"/>
        </w:rPr>
      </w:pPr>
      <w:r w:rsidRPr="000C6481">
        <w:rPr>
          <w:rFonts w:ascii="Times New Roman" w:hAnsi="Times New Roman"/>
          <w:sz w:val="24"/>
          <w:szCs w:val="24"/>
        </w:rPr>
        <w:t>Papildus 2017. gadā tiks uzsākti kompleksi veselības veicināšanas un slimību profilakses pasākumi, izmantojot pieejamās Eiropas Savienības fondu investīcijas.  Šie pasākumi tiek plānoti, ņemot vērā Sabiedrības veselības pamatnostādnēs 2014.</w:t>
      </w:r>
      <w:r>
        <w:rPr>
          <w:rFonts w:ascii="Times New Roman" w:hAnsi="Times New Roman"/>
          <w:sz w:val="24"/>
          <w:szCs w:val="24"/>
        </w:rPr>
        <w:t xml:space="preserve">–2020. gadam </w:t>
      </w:r>
      <w:r w:rsidRPr="000C6481">
        <w:rPr>
          <w:rFonts w:ascii="Times New Roman" w:hAnsi="Times New Roman"/>
          <w:sz w:val="24"/>
          <w:szCs w:val="24"/>
        </w:rPr>
        <w:t xml:space="preserve">noteikto virsmērķi </w:t>
      </w:r>
      <w:r>
        <w:rPr>
          <w:rFonts w:ascii="Times New Roman" w:hAnsi="Times New Roman"/>
          <w:sz w:val="24"/>
          <w:szCs w:val="24"/>
        </w:rPr>
        <w:t xml:space="preserve">– </w:t>
      </w:r>
      <w:r w:rsidRPr="000C6481">
        <w:rPr>
          <w:rFonts w:ascii="Times New Roman" w:hAnsi="Times New Roman"/>
          <w:sz w:val="24"/>
          <w:szCs w:val="24"/>
        </w:rPr>
        <w:t>palielināt Latvijas iedzīvotāju veselīgi nodzīvoto mūža gadu skaitu un novērst priekšlaicīgu nāvi, saglabājot, uzlabojot un atjaunojot veselību</w:t>
      </w:r>
      <w:r>
        <w:rPr>
          <w:rFonts w:ascii="Times New Roman" w:hAnsi="Times New Roman"/>
          <w:sz w:val="24"/>
          <w:szCs w:val="24"/>
        </w:rPr>
        <w:t xml:space="preserve"> –</w:t>
      </w:r>
      <w:r w:rsidRPr="000C6481">
        <w:rPr>
          <w:rFonts w:ascii="Times New Roman" w:hAnsi="Times New Roman"/>
          <w:sz w:val="24"/>
          <w:szCs w:val="24"/>
        </w:rPr>
        <w:t>, kā arī sekmējot nozares reformu īstenošanu attiecībā uz vienādu iespēju nodrošināšanu Latvijas iedzīvotājiem veselības veicināšanā un aprūpē.</w:t>
      </w:r>
    </w:p>
    <w:p w14:paraId="7519455B" w14:textId="77777777" w:rsidR="003D0715" w:rsidRPr="000C6481" w:rsidRDefault="003D0715" w:rsidP="003D0715">
      <w:pPr>
        <w:rPr>
          <w:sz w:val="24"/>
          <w:szCs w:val="24"/>
        </w:rPr>
      </w:pPr>
    </w:p>
    <w:p w14:paraId="6DB83477" w14:textId="757D14DF" w:rsidR="00705A05" w:rsidRPr="00716B0D" w:rsidRDefault="0010495F" w:rsidP="005B64A1">
      <w:pPr>
        <w:pStyle w:val="Heading1"/>
        <w:ind w:left="567" w:hanging="567"/>
        <w:rPr>
          <w:color w:val="0070C0"/>
        </w:rPr>
      </w:pPr>
      <w:bookmarkStart w:id="75" w:name="_Toc466466879"/>
      <w:r w:rsidRPr="00716B0D">
        <w:rPr>
          <w:color w:val="0070C0"/>
        </w:rPr>
        <w:t>Nacionālā identitāte</w:t>
      </w:r>
      <w:bookmarkEnd w:id="72"/>
      <w:bookmarkEnd w:id="73"/>
      <w:bookmarkEnd w:id="75"/>
    </w:p>
    <w:p w14:paraId="7BEF606D" w14:textId="77777777" w:rsidR="003D0715" w:rsidRPr="000C6481" w:rsidRDefault="003D0715" w:rsidP="003D0715">
      <w:pPr>
        <w:rPr>
          <w:sz w:val="24"/>
          <w:szCs w:val="24"/>
        </w:rPr>
      </w:pPr>
    </w:p>
    <w:p w14:paraId="295335A7" w14:textId="2B111297" w:rsidR="003D0715" w:rsidRPr="000C6481" w:rsidRDefault="003D0715" w:rsidP="003D0715">
      <w:pPr>
        <w:jc w:val="both"/>
        <w:rPr>
          <w:rFonts w:ascii="Times New Roman" w:eastAsia="Times New Roman" w:hAnsi="Times New Roman"/>
          <w:bCs/>
          <w:sz w:val="24"/>
          <w:szCs w:val="24"/>
        </w:rPr>
      </w:pPr>
      <w:r w:rsidRPr="000C6481">
        <w:rPr>
          <w:rFonts w:ascii="Times New Roman" w:eastAsia="Times New Roman" w:hAnsi="Times New Roman"/>
          <w:bCs/>
          <w:sz w:val="24"/>
          <w:szCs w:val="24"/>
        </w:rPr>
        <w:t>Saliedēta un uz kopīgām pamatvērtībām balstīta sabiedrība ir svarīgs pilsoniskās sabiedrības attīstības un iekšpolitiskās stabilitātes priekšnoteikums. Kopīgas kultūras vērtības un tradīcijas, valoda, kā arī izpratne par sabiedrības pamatvērtībām ir mūsu nacionālās identitātes pamats, kas veicina sabiedrības saliedētību un stiprina piederības sajūtu Latvijai. Tāpēc Latvijas iedzīvotāju kultūras un pilsoniskās līdzdalības veicināšana ir nozīmīgs valdības darba kārtības jautājums, īpaši ņemot vērā to, ka ir uzsākta aktīva gatavošanās Latvijas valsts simtgades svinībām 2018. gadā.</w:t>
      </w:r>
    </w:p>
    <w:p w14:paraId="71730732" w14:textId="77777777" w:rsidR="00A9349C" w:rsidRPr="00716B0D" w:rsidRDefault="00A9349C" w:rsidP="00A9349C">
      <w:pPr>
        <w:spacing w:after="0" w:line="240" w:lineRule="auto"/>
        <w:jc w:val="both"/>
        <w:rPr>
          <w:rFonts w:ascii="Times New Roman" w:eastAsiaTheme="majorEastAsia" w:hAnsi="Times New Roman" w:cs="Times New Roman"/>
          <w:b/>
          <w:color w:val="0070C0"/>
          <w:sz w:val="24"/>
          <w:szCs w:val="24"/>
        </w:rPr>
      </w:pPr>
    </w:p>
    <w:p w14:paraId="64E7F3A3" w14:textId="5ADA9A11" w:rsidR="00A9349C" w:rsidRPr="00716B0D" w:rsidRDefault="00FF1B19" w:rsidP="00FB52C0">
      <w:pPr>
        <w:pStyle w:val="Heading2"/>
        <w:rPr>
          <w:rFonts w:cs="Times New Roman"/>
          <w:color w:val="0070C0"/>
          <w:szCs w:val="24"/>
        </w:rPr>
      </w:pPr>
      <w:bookmarkStart w:id="76" w:name="_Toc465349553"/>
      <w:bookmarkStart w:id="77" w:name="_Toc465089731"/>
      <w:r>
        <w:rPr>
          <w:color w:val="0070C0"/>
        </w:rPr>
        <w:t> </w:t>
      </w:r>
      <w:bookmarkStart w:id="78" w:name="_Toc466466880"/>
      <w:r w:rsidR="00A9349C" w:rsidRPr="00716B0D">
        <w:rPr>
          <w:color w:val="0070C0"/>
        </w:rPr>
        <w:t>Kultūras izglītība un kultūras mantojums</w:t>
      </w:r>
      <w:bookmarkEnd w:id="76"/>
      <w:bookmarkEnd w:id="77"/>
      <w:bookmarkEnd w:id="78"/>
    </w:p>
    <w:p w14:paraId="0247C274" w14:textId="77777777" w:rsidR="003D0715" w:rsidRPr="000C6481" w:rsidRDefault="003D0715" w:rsidP="003D0715">
      <w:pPr>
        <w:jc w:val="both"/>
        <w:rPr>
          <w:rFonts w:ascii="Times New Roman" w:hAnsi="Times New Roman"/>
          <w:bCs/>
          <w:sz w:val="24"/>
          <w:szCs w:val="24"/>
        </w:rPr>
      </w:pPr>
      <w:bookmarkStart w:id="79" w:name="_Toc465349554"/>
      <w:bookmarkStart w:id="80" w:name="_Toc465089732"/>
      <w:r w:rsidRPr="000C6481">
        <w:rPr>
          <w:rFonts w:ascii="Times New Roman" w:hAnsi="Times New Roman"/>
          <w:sz w:val="24"/>
          <w:szCs w:val="24"/>
        </w:rPr>
        <w:t xml:space="preserve">Ir izstrādāts un </w:t>
      </w:r>
      <w:r w:rsidRPr="000C6481">
        <w:rPr>
          <w:rFonts w:ascii="Times New Roman" w:hAnsi="Times New Roman"/>
          <w:bCs/>
          <w:sz w:val="24"/>
          <w:szCs w:val="24"/>
        </w:rPr>
        <w:t>pieņemts Nemateriālā kultūras ma</w:t>
      </w:r>
      <w:r>
        <w:rPr>
          <w:rFonts w:ascii="Times New Roman" w:hAnsi="Times New Roman"/>
          <w:bCs/>
          <w:sz w:val="24"/>
          <w:szCs w:val="24"/>
        </w:rPr>
        <w:t>n</w:t>
      </w:r>
      <w:r w:rsidRPr="000C6481">
        <w:rPr>
          <w:rFonts w:ascii="Times New Roman" w:hAnsi="Times New Roman"/>
          <w:bCs/>
          <w:sz w:val="24"/>
          <w:szCs w:val="24"/>
        </w:rPr>
        <w:t xml:space="preserve">tojuma likums, kas nodrošinās nemateriālā kultūras mantojuma saglabāšanu un nodošanu nākamajām paaudzēm kā Latvijas kultūras savdabību un daudzveidību apliecinošu resursu, kas veicina vērtību izpratni, radošumu, attīstību un dzīves kvalitātes uzlabošanu. </w:t>
      </w:r>
    </w:p>
    <w:p w14:paraId="605FED5D" w14:textId="77777777" w:rsidR="00894426" w:rsidRDefault="003D0715" w:rsidP="00894426">
      <w:pPr>
        <w:jc w:val="both"/>
        <w:rPr>
          <w:rFonts w:ascii="Times New Roman" w:hAnsi="Times New Roman"/>
          <w:sz w:val="24"/>
          <w:szCs w:val="24"/>
        </w:rPr>
      </w:pPr>
      <w:r w:rsidRPr="000C6481">
        <w:rPr>
          <w:rFonts w:ascii="Times New Roman" w:hAnsi="Times New Roman"/>
          <w:sz w:val="24"/>
          <w:szCs w:val="24"/>
        </w:rPr>
        <w:t>Uzsākt</w:t>
      </w:r>
      <w:r>
        <w:rPr>
          <w:rFonts w:ascii="Times New Roman" w:hAnsi="Times New Roman"/>
          <w:sz w:val="24"/>
          <w:szCs w:val="24"/>
        </w:rPr>
        <w:t>a</w:t>
      </w:r>
      <w:r w:rsidRPr="000C6481">
        <w:rPr>
          <w:rFonts w:ascii="Times New Roman" w:hAnsi="Times New Roman"/>
          <w:sz w:val="24"/>
          <w:szCs w:val="24"/>
        </w:rPr>
        <w:t xml:space="preserve"> Sakrālā mantojuma aizsardzības likuma</w:t>
      </w:r>
      <w:r>
        <w:rPr>
          <w:rFonts w:ascii="Times New Roman" w:hAnsi="Times New Roman"/>
          <w:sz w:val="24"/>
          <w:szCs w:val="24"/>
        </w:rPr>
        <w:t xml:space="preserve"> izstrāde</w:t>
      </w:r>
      <w:r w:rsidRPr="000C6481">
        <w:rPr>
          <w:rFonts w:ascii="Times New Roman" w:hAnsi="Times New Roman"/>
          <w:sz w:val="24"/>
          <w:szCs w:val="24"/>
        </w:rPr>
        <w:t>, kas ļaus nodrošināt stabilu valsts atbalstu Latvijas dievnamu saglabāšanai un atjaunošanai.</w:t>
      </w:r>
      <w:r w:rsidR="00894426" w:rsidRPr="00894426">
        <w:rPr>
          <w:rFonts w:ascii="Times New Roman" w:hAnsi="Times New Roman"/>
          <w:sz w:val="24"/>
          <w:szCs w:val="24"/>
        </w:rPr>
        <w:t xml:space="preserve"> </w:t>
      </w:r>
    </w:p>
    <w:p w14:paraId="15FB9829" w14:textId="26369AE2" w:rsidR="003D0715" w:rsidRPr="000C6481" w:rsidRDefault="00894426" w:rsidP="003D0715">
      <w:pPr>
        <w:jc w:val="both"/>
        <w:rPr>
          <w:rFonts w:ascii="Times New Roman" w:hAnsi="Times New Roman"/>
          <w:sz w:val="24"/>
          <w:szCs w:val="24"/>
        </w:rPr>
      </w:pPr>
      <w:r w:rsidRPr="000C6481">
        <w:rPr>
          <w:rFonts w:ascii="Times New Roman" w:hAnsi="Times New Roman"/>
          <w:sz w:val="24"/>
          <w:szCs w:val="24"/>
        </w:rPr>
        <w:t>Valdības darba laikā, izmantojot ES fondu investīcijas</w:t>
      </w:r>
      <w:r>
        <w:rPr>
          <w:rFonts w:ascii="Times New Roman" w:hAnsi="Times New Roman"/>
          <w:sz w:val="24"/>
          <w:szCs w:val="24"/>
        </w:rPr>
        <w:t>,</w:t>
      </w:r>
      <w:r w:rsidRPr="000C6481">
        <w:rPr>
          <w:rFonts w:ascii="Times New Roman" w:hAnsi="Times New Roman"/>
          <w:sz w:val="24"/>
          <w:szCs w:val="24"/>
        </w:rPr>
        <w:t xml:space="preserve"> ir plānots attīstīt teritorijas, kurās dabas un kultūras mantojumam ir lielāk</w:t>
      </w:r>
      <w:r>
        <w:rPr>
          <w:rFonts w:ascii="Times New Roman" w:hAnsi="Times New Roman"/>
          <w:sz w:val="24"/>
          <w:szCs w:val="24"/>
        </w:rPr>
        <w:t>ā</w:t>
      </w:r>
      <w:r w:rsidRPr="000C6481">
        <w:rPr>
          <w:rFonts w:ascii="Times New Roman" w:hAnsi="Times New Roman"/>
          <w:sz w:val="24"/>
          <w:szCs w:val="24"/>
        </w:rPr>
        <w:t xml:space="preserve"> potenciālā ietekme uz reģionālās attīstības, vietējās izaugsmes, komercdarbības, nodarbinātības un izaugsmes veicināšanu, izmantojot ES fondu 2014.–2020. gada plānošanas perioda </w:t>
      </w:r>
      <w:r w:rsidRPr="000C6481">
        <w:rPr>
          <w:rFonts w:ascii="Times New Roman" w:hAnsi="Times New Roman"/>
          <w:sz w:val="24"/>
          <w:szCs w:val="24"/>
        </w:rPr>
        <w:lastRenderedPageBreak/>
        <w:t>finansējumu</w:t>
      </w:r>
      <w:r w:rsidRPr="000C6481">
        <w:rPr>
          <w:rFonts w:ascii="Times New Roman" w:hAnsi="Times New Roman"/>
          <w:sz w:val="24"/>
          <w:szCs w:val="24"/>
          <w:vertAlign w:val="superscript"/>
        </w:rPr>
        <w:footnoteReference w:id="18"/>
      </w:r>
      <w:r w:rsidRPr="000C6481">
        <w:rPr>
          <w:rFonts w:ascii="Times New Roman" w:hAnsi="Times New Roman"/>
          <w:color w:val="000000"/>
          <w:sz w:val="24"/>
          <w:szCs w:val="24"/>
        </w:rPr>
        <w:t xml:space="preserve">. Līdz ar to valdība ir apstiprinājusi Rīgas pilsētas Brasas apkaimes un Centra apkaimes perifērijas un Šķirotavas apkaimes teritorijas </w:t>
      </w:r>
      <w:proofErr w:type="spellStart"/>
      <w:r w:rsidRPr="000C6481">
        <w:rPr>
          <w:rFonts w:ascii="Times New Roman" w:hAnsi="Times New Roman"/>
          <w:color w:val="000000"/>
          <w:sz w:val="24"/>
          <w:szCs w:val="24"/>
        </w:rPr>
        <w:t>revitalizācijas</w:t>
      </w:r>
      <w:proofErr w:type="spellEnd"/>
      <w:r w:rsidRPr="000C6481">
        <w:rPr>
          <w:rFonts w:ascii="Times New Roman" w:hAnsi="Times New Roman"/>
          <w:color w:val="000000"/>
          <w:sz w:val="24"/>
          <w:szCs w:val="24"/>
        </w:rPr>
        <w:t xml:space="preserve"> stratēģijā ietvertos teritorijas attīstības risinājumus</w:t>
      </w:r>
      <w:r w:rsidRPr="000C6481">
        <w:rPr>
          <w:rFonts w:ascii="Times New Roman" w:eastAsia="Times New Roman" w:hAnsi="Times New Roman"/>
          <w:sz w:val="24"/>
          <w:szCs w:val="24"/>
          <w:vertAlign w:val="superscript"/>
        </w:rPr>
        <w:footnoteReference w:id="19"/>
      </w:r>
      <w:r w:rsidRPr="000C6481">
        <w:rPr>
          <w:rFonts w:ascii="Times New Roman" w:hAnsi="Times New Roman"/>
          <w:color w:val="000000"/>
          <w:sz w:val="24"/>
          <w:szCs w:val="24"/>
        </w:rPr>
        <w:t xml:space="preserve">, kas paredz </w:t>
      </w:r>
      <w:r w:rsidRPr="000C6481">
        <w:rPr>
          <w:rFonts w:ascii="Times New Roman" w:eastAsia="Times New Roman" w:hAnsi="Times New Roman"/>
          <w:sz w:val="24"/>
          <w:szCs w:val="24"/>
        </w:rPr>
        <w:t>pilsētas teritorijā izveidot vai atjaunot gan sabiedrisk</w:t>
      </w:r>
      <w:r>
        <w:rPr>
          <w:rFonts w:ascii="Times New Roman" w:eastAsia="Times New Roman" w:hAnsi="Times New Roman"/>
          <w:sz w:val="24"/>
          <w:szCs w:val="24"/>
        </w:rPr>
        <w:t>ās</w:t>
      </w:r>
      <w:r w:rsidRPr="000C6481">
        <w:rPr>
          <w:rFonts w:ascii="Times New Roman" w:eastAsia="Times New Roman" w:hAnsi="Times New Roman"/>
          <w:sz w:val="24"/>
          <w:szCs w:val="24"/>
        </w:rPr>
        <w:t xml:space="preserve"> telp</w:t>
      </w:r>
      <w:r>
        <w:rPr>
          <w:rFonts w:ascii="Times New Roman" w:eastAsia="Times New Roman" w:hAnsi="Times New Roman"/>
          <w:sz w:val="24"/>
          <w:szCs w:val="24"/>
        </w:rPr>
        <w:t>as</w:t>
      </w:r>
      <w:r w:rsidRPr="000C6481">
        <w:rPr>
          <w:rFonts w:ascii="Times New Roman" w:eastAsia="Times New Roman" w:hAnsi="Times New Roman"/>
          <w:sz w:val="24"/>
          <w:szCs w:val="24"/>
        </w:rPr>
        <w:t xml:space="preserve">, gan uzcelt vai atjaunot publiskās ēkas vai </w:t>
      </w:r>
      <w:proofErr w:type="spellStart"/>
      <w:r w:rsidRPr="000C6481">
        <w:rPr>
          <w:rFonts w:ascii="Times New Roman" w:eastAsia="Times New Roman" w:hAnsi="Times New Roman"/>
          <w:sz w:val="24"/>
          <w:szCs w:val="24"/>
        </w:rPr>
        <w:t>komercēkas</w:t>
      </w:r>
      <w:proofErr w:type="spellEnd"/>
      <w:r w:rsidRPr="000C6481">
        <w:rPr>
          <w:rFonts w:ascii="Times New Roman" w:eastAsia="Times New Roman" w:hAnsi="Times New Roman"/>
          <w:sz w:val="24"/>
          <w:szCs w:val="24"/>
        </w:rPr>
        <w:t>.</w:t>
      </w:r>
      <w:r w:rsidRPr="000C6481">
        <w:rPr>
          <w:rFonts w:ascii="Times New Roman" w:hAnsi="Times New Roman"/>
          <w:color w:val="000000"/>
          <w:sz w:val="24"/>
          <w:szCs w:val="24"/>
        </w:rPr>
        <w:t xml:space="preserve"> </w:t>
      </w:r>
      <w:r w:rsidRPr="000C6481">
        <w:rPr>
          <w:rFonts w:ascii="Times New Roman" w:hAnsi="Times New Roman"/>
          <w:sz w:val="24"/>
          <w:szCs w:val="24"/>
        </w:rPr>
        <w:t xml:space="preserve">Turpinās Tabakas fabrikas kvartāla izveide, kas kļūs par </w:t>
      </w:r>
      <w:proofErr w:type="spellStart"/>
      <w:r w:rsidRPr="000C6481">
        <w:rPr>
          <w:rFonts w:ascii="Times New Roman" w:hAnsi="Times New Roman"/>
          <w:sz w:val="24"/>
          <w:szCs w:val="24"/>
        </w:rPr>
        <w:t>multifunkcionālu</w:t>
      </w:r>
      <w:proofErr w:type="spellEnd"/>
      <w:r w:rsidRPr="000C6481">
        <w:rPr>
          <w:rFonts w:ascii="Times New Roman" w:hAnsi="Times New Roman"/>
          <w:sz w:val="24"/>
          <w:szCs w:val="24"/>
        </w:rPr>
        <w:t xml:space="preserve"> starpnozaru izglītības, kultūras un uzņēmējdarbības inovāciju centru Miera ielā, tostarp par pagaidu mājvietu </w:t>
      </w:r>
      <w:r w:rsidRPr="00AF229C">
        <w:rPr>
          <w:rFonts w:ascii="Times New Roman" w:hAnsi="Times New Roman"/>
          <w:sz w:val="24"/>
          <w:szCs w:val="24"/>
        </w:rPr>
        <w:t>Jaunajam Rīgas teātrim</w:t>
      </w:r>
      <w:r w:rsidRPr="000C6481">
        <w:rPr>
          <w:rFonts w:ascii="Times New Roman" w:hAnsi="Times New Roman"/>
          <w:sz w:val="24"/>
          <w:szCs w:val="24"/>
        </w:rPr>
        <w:t xml:space="preserve"> laikā, kad tiks </w:t>
      </w:r>
      <w:r>
        <w:rPr>
          <w:rFonts w:ascii="Times New Roman" w:hAnsi="Times New Roman"/>
          <w:sz w:val="24"/>
          <w:szCs w:val="24"/>
        </w:rPr>
        <w:t xml:space="preserve">renovēta tā ēka Lāčplēša ielā. </w:t>
      </w:r>
    </w:p>
    <w:p w14:paraId="70092354" w14:textId="77777777" w:rsidR="003D0715" w:rsidRPr="000C6481" w:rsidRDefault="003D0715" w:rsidP="003D0715">
      <w:pPr>
        <w:jc w:val="both"/>
        <w:rPr>
          <w:rFonts w:ascii="Times New Roman" w:hAnsi="Times New Roman"/>
          <w:sz w:val="24"/>
          <w:szCs w:val="24"/>
        </w:rPr>
      </w:pPr>
      <w:r w:rsidRPr="000C6481">
        <w:rPr>
          <w:rFonts w:ascii="Times New Roman" w:hAnsi="Times New Roman"/>
          <w:sz w:val="24"/>
          <w:szCs w:val="24"/>
        </w:rPr>
        <w:t>LNB ir uzsākusi digitālā kultūras mantojuma kompetences tīkla izveides plānošanu</w:t>
      </w:r>
      <w:r>
        <w:rPr>
          <w:rFonts w:ascii="Times New Roman" w:hAnsi="Times New Roman"/>
          <w:sz w:val="24"/>
          <w:szCs w:val="24"/>
        </w:rPr>
        <w:t>, lai</w:t>
      </w:r>
      <w:r w:rsidRPr="000C6481">
        <w:rPr>
          <w:rFonts w:ascii="Times New Roman" w:hAnsi="Times New Roman"/>
          <w:sz w:val="24"/>
          <w:szCs w:val="24"/>
        </w:rPr>
        <w:t xml:space="preserve"> nodrošināt</w:t>
      </w:r>
      <w:r>
        <w:rPr>
          <w:rFonts w:ascii="Times New Roman" w:hAnsi="Times New Roman"/>
          <w:sz w:val="24"/>
          <w:szCs w:val="24"/>
        </w:rPr>
        <w:t>u</w:t>
      </w:r>
      <w:r w:rsidRPr="000C6481">
        <w:rPr>
          <w:rFonts w:ascii="Times New Roman" w:hAnsi="Times New Roman"/>
          <w:sz w:val="24"/>
          <w:szCs w:val="24"/>
        </w:rPr>
        <w:t xml:space="preserve"> digitalizētā un digitāli </w:t>
      </w:r>
      <w:r>
        <w:rPr>
          <w:rFonts w:ascii="Times New Roman" w:hAnsi="Times New Roman"/>
          <w:sz w:val="24"/>
          <w:szCs w:val="24"/>
        </w:rPr>
        <w:t>radītā</w:t>
      </w:r>
      <w:r w:rsidRPr="000C6481">
        <w:rPr>
          <w:rFonts w:ascii="Times New Roman" w:hAnsi="Times New Roman"/>
          <w:sz w:val="24"/>
          <w:szCs w:val="24"/>
        </w:rPr>
        <w:t xml:space="preserve"> kultūras mantojuma ilglaicīgu saglabāšanu atmiņas institūcijās un tā plašu pieejamību sabiedrībai. Savukārt, lai nodrošinātu lielāko Latvijas kultūras institūciju koordinētu, sistemātisku un uz vienotiem standartiem balstītu satura digitalizāciju, LNB kā projekta iesniedzējs ir uzsākusi ES fondu projektu kultūras mantojuma satura digitalizācij</w:t>
      </w:r>
      <w:r>
        <w:rPr>
          <w:rFonts w:ascii="Times New Roman" w:hAnsi="Times New Roman"/>
          <w:sz w:val="24"/>
          <w:szCs w:val="24"/>
        </w:rPr>
        <w:t>u</w:t>
      </w:r>
      <w:r w:rsidRPr="000C6481">
        <w:rPr>
          <w:rStyle w:val="FootnoteReference"/>
          <w:rFonts w:ascii="Times New Roman" w:hAnsi="Times New Roman"/>
          <w:sz w:val="24"/>
          <w:szCs w:val="24"/>
        </w:rPr>
        <w:footnoteReference w:id="20"/>
      </w:r>
      <w:r w:rsidRPr="000C6481">
        <w:rPr>
          <w:rFonts w:ascii="Times New Roman" w:hAnsi="Times New Roman"/>
          <w:sz w:val="24"/>
          <w:szCs w:val="24"/>
        </w:rPr>
        <w:t>. Līdz ar iepriekš minēto aktivitāti paredzēts paplašināt arī digitālā satura pieejamību publiskajās bibliotēkās un kultūras centros. 2017. gadā plānots uzsākt prasību analīzi un tehnisko specifikāciju izstrādi Latvijas kultūras mantojuma integrētajai platformai un kultūras centros uzstādāmajām digitālā satura izplatīšanas sistēmām.</w:t>
      </w:r>
    </w:p>
    <w:p w14:paraId="299D3478" w14:textId="58395295" w:rsidR="003D0715" w:rsidRPr="000C6481" w:rsidRDefault="003D0715" w:rsidP="003D0715">
      <w:pPr>
        <w:jc w:val="both"/>
        <w:rPr>
          <w:rFonts w:ascii="Times New Roman" w:hAnsi="Times New Roman"/>
          <w:sz w:val="24"/>
          <w:szCs w:val="24"/>
        </w:rPr>
      </w:pPr>
      <w:r w:rsidRPr="000C6481">
        <w:rPr>
          <w:rFonts w:ascii="Times New Roman" w:hAnsi="Times New Roman"/>
          <w:sz w:val="24"/>
          <w:szCs w:val="24"/>
        </w:rPr>
        <w:t xml:space="preserve">Attīstot kultūrizglītības PIKC tīklu, 2017. gada pirmajā pusē tiek plānota tā statusa piešķiršana Nacionālajai </w:t>
      </w:r>
      <w:r w:rsidR="002E0770">
        <w:rPr>
          <w:rFonts w:ascii="Times New Roman" w:hAnsi="Times New Roman"/>
          <w:sz w:val="24"/>
          <w:szCs w:val="24"/>
        </w:rPr>
        <w:t>M</w:t>
      </w:r>
      <w:r w:rsidRPr="000C6481">
        <w:rPr>
          <w:rFonts w:ascii="Times New Roman" w:hAnsi="Times New Roman"/>
          <w:sz w:val="24"/>
          <w:szCs w:val="24"/>
        </w:rPr>
        <w:t>ākslu vidusskolai, Liepājas Mūzikas, mākslas un dizaina vidusskolai un Daugavpils Dizaina un mākslas vidusskolai. Šobrīd kultūrizglītības PIKC statuss ir piešķirts Rīgas Dizaina un mākslas vidusskolai un Ventspils Mūzikas vidusskolai. Kultūrizglītības PIKC plāno izmantot ES fondu 2014.–2020. gada plānošanas perioda finansējumu</w:t>
      </w:r>
      <w:r w:rsidRPr="000C6481">
        <w:rPr>
          <w:rStyle w:val="FootnoteReference"/>
          <w:rFonts w:ascii="Times New Roman" w:hAnsi="Times New Roman"/>
          <w:sz w:val="24"/>
          <w:szCs w:val="24"/>
        </w:rPr>
        <w:footnoteReference w:id="21"/>
      </w:r>
      <w:r w:rsidRPr="000C6481">
        <w:rPr>
          <w:rFonts w:ascii="Times New Roman" w:hAnsi="Times New Roman"/>
          <w:sz w:val="24"/>
          <w:szCs w:val="24"/>
        </w:rPr>
        <w:t xml:space="preserve"> infrastruktūras un aprīkojuma modernizēšanai. </w:t>
      </w:r>
    </w:p>
    <w:p w14:paraId="0EF2A91A" w14:textId="77777777" w:rsidR="003D0715" w:rsidRPr="000C6481" w:rsidRDefault="003D0715" w:rsidP="003D0715">
      <w:pPr>
        <w:jc w:val="both"/>
        <w:rPr>
          <w:rFonts w:ascii="Times New Roman" w:hAnsi="Times New Roman"/>
          <w:sz w:val="24"/>
          <w:szCs w:val="24"/>
        </w:rPr>
      </w:pPr>
      <w:r w:rsidRPr="000C6481">
        <w:rPr>
          <w:rFonts w:ascii="Times New Roman" w:hAnsi="Times New Roman"/>
          <w:sz w:val="24"/>
          <w:szCs w:val="24"/>
        </w:rPr>
        <w:t xml:space="preserve">Uzsākta gatavošanās Latvijas valsts dalības nodrošināšanai Londonas grāmatu tirgū 2017. un 2018. gadā. </w:t>
      </w:r>
    </w:p>
    <w:p w14:paraId="0E4E0531" w14:textId="7C42A59C" w:rsidR="003D0715" w:rsidRPr="000C6481" w:rsidRDefault="003D0715" w:rsidP="003D0715">
      <w:pPr>
        <w:jc w:val="both"/>
        <w:rPr>
          <w:rFonts w:ascii="Times New Roman" w:hAnsi="Times New Roman"/>
          <w:bCs/>
          <w:sz w:val="24"/>
          <w:szCs w:val="24"/>
        </w:rPr>
      </w:pPr>
      <w:r w:rsidRPr="000C6481">
        <w:rPr>
          <w:rFonts w:ascii="Times New Roman" w:hAnsi="Times New Roman"/>
          <w:bCs/>
          <w:sz w:val="24"/>
          <w:szCs w:val="24"/>
        </w:rPr>
        <w:t xml:space="preserve">Tika īstenota </w:t>
      </w:r>
      <w:r w:rsidR="00B81D97">
        <w:rPr>
          <w:rFonts w:ascii="Times New Roman" w:hAnsi="Times New Roman"/>
          <w:bCs/>
          <w:sz w:val="24"/>
          <w:szCs w:val="24"/>
        </w:rPr>
        <w:t>R</w:t>
      </w:r>
      <w:r w:rsidRPr="000C6481">
        <w:rPr>
          <w:rFonts w:ascii="Times New Roman" w:hAnsi="Times New Roman"/>
          <w:bCs/>
          <w:sz w:val="24"/>
          <w:szCs w:val="24"/>
        </w:rPr>
        <w:t xml:space="preserve">adošās darbības nedēļas </w:t>
      </w:r>
      <w:r>
        <w:rPr>
          <w:rFonts w:ascii="Times New Roman" w:hAnsi="Times New Roman"/>
          <w:bCs/>
          <w:sz w:val="24"/>
          <w:szCs w:val="24"/>
        </w:rPr>
        <w:t>"</w:t>
      </w:r>
      <w:r w:rsidRPr="000C6481">
        <w:rPr>
          <w:rFonts w:ascii="Times New Roman" w:hAnsi="Times New Roman"/>
          <w:bCs/>
          <w:sz w:val="24"/>
          <w:szCs w:val="24"/>
        </w:rPr>
        <w:t>radi!2016</w:t>
      </w:r>
      <w:r>
        <w:rPr>
          <w:rFonts w:ascii="Times New Roman" w:hAnsi="Times New Roman"/>
          <w:bCs/>
          <w:sz w:val="24"/>
          <w:szCs w:val="24"/>
        </w:rPr>
        <w:t>"</w:t>
      </w:r>
      <w:r w:rsidRPr="000C6481">
        <w:rPr>
          <w:rFonts w:ascii="Times New Roman" w:hAnsi="Times New Roman"/>
          <w:bCs/>
          <w:sz w:val="24"/>
          <w:szCs w:val="24"/>
        </w:rPr>
        <w:t xml:space="preserve"> (maijā) pasākumu programma, kas aktualizējusi radošās uzņēmējdarbības un starpdisciplināro sadarbību ieguvumus.</w:t>
      </w:r>
    </w:p>
    <w:p w14:paraId="6229EBDC" w14:textId="77777777" w:rsidR="003D0715" w:rsidRPr="000C6481" w:rsidRDefault="003D0715" w:rsidP="003D0715">
      <w:pPr>
        <w:jc w:val="both"/>
        <w:rPr>
          <w:rFonts w:ascii="Times New Roman" w:hAnsi="Times New Roman"/>
          <w:sz w:val="24"/>
          <w:szCs w:val="24"/>
        </w:rPr>
      </w:pPr>
      <w:r>
        <w:rPr>
          <w:rFonts w:ascii="Times New Roman" w:hAnsi="Times New Roman"/>
          <w:bCs/>
          <w:sz w:val="24"/>
          <w:szCs w:val="24"/>
        </w:rPr>
        <w:lastRenderedPageBreak/>
        <w:t>Turpinās</w:t>
      </w:r>
      <w:r w:rsidRPr="000C6481">
        <w:rPr>
          <w:rFonts w:ascii="Times New Roman" w:hAnsi="Times New Roman"/>
          <w:bCs/>
          <w:sz w:val="24"/>
          <w:szCs w:val="24"/>
        </w:rPr>
        <w:t xml:space="preserve"> darbs</w:t>
      </w:r>
      <w:r>
        <w:rPr>
          <w:rFonts w:ascii="Times New Roman" w:hAnsi="Times New Roman"/>
          <w:bCs/>
          <w:sz w:val="24"/>
          <w:szCs w:val="24"/>
        </w:rPr>
        <w:t>, lai</w:t>
      </w:r>
      <w:r w:rsidRPr="000C6481">
        <w:rPr>
          <w:rFonts w:ascii="Times New Roman" w:hAnsi="Times New Roman"/>
          <w:bCs/>
          <w:sz w:val="24"/>
          <w:szCs w:val="24"/>
        </w:rPr>
        <w:t xml:space="preserve"> veicinā</w:t>
      </w:r>
      <w:r>
        <w:rPr>
          <w:rFonts w:ascii="Times New Roman" w:hAnsi="Times New Roman"/>
          <w:bCs/>
          <w:sz w:val="24"/>
          <w:szCs w:val="24"/>
        </w:rPr>
        <w:t>tu</w:t>
      </w:r>
      <w:r w:rsidRPr="000C6481">
        <w:rPr>
          <w:rFonts w:ascii="Times New Roman" w:hAnsi="Times New Roman"/>
          <w:bCs/>
          <w:sz w:val="24"/>
          <w:szCs w:val="24"/>
        </w:rPr>
        <w:t xml:space="preserve"> kultūras un izglītības mantojuma saglabāšan</w:t>
      </w:r>
      <w:r>
        <w:rPr>
          <w:rFonts w:ascii="Times New Roman" w:hAnsi="Times New Roman"/>
          <w:bCs/>
          <w:sz w:val="24"/>
          <w:szCs w:val="24"/>
        </w:rPr>
        <w:t xml:space="preserve">u, bet </w:t>
      </w:r>
      <w:r w:rsidRPr="000C6481">
        <w:rPr>
          <w:rFonts w:ascii="Times New Roman" w:hAnsi="Times New Roman"/>
          <w:sz w:val="24"/>
          <w:szCs w:val="24"/>
        </w:rPr>
        <w:t>ap 4</w:t>
      </w:r>
      <w:r>
        <w:rPr>
          <w:rFonts w:ascii="Times New Roman" w:hAnsi="Times New Roman"/>
          <w:sz w:val="24"/>
          <w:szCs w:val="24"/>
        </w:rPr>
        <w:t> </w:t>
      </w:r>
      <w:r w:rsidRPr="000C6481">
        <w:rPr>
          <w:rFonts w:ascii="Times New Roman" w:hAnsi="Times New Roman"/>
          <w:sz w:val="24"/>
          <w:szCs w:val="24"/>
        </w:rPr>
        <w:t>000 Latvijas radošo profesionāļu tiesisk</w:t>
      </w:r>
      <w:r>
        <w:rPr>
          <w:rFonts w:ascii="Times New Roman" w:hAnsi="Times New Roman"/>
          <w:sz w:val="24"/>
          <w:szCs w:val="24"/>
        </w:rPr>
        <w:t>ās</w:t>
      </w:r>
      <w:r w:rsidRPr="000C6481">
        <w:rPr>
          <w:rFonts w:ascii="Times New Roman" w:hAnsi="Times New Roman"/>
          <w:sz w:val="24"/>
          <w:szCs w:val="24"/>
        </w:rPr>
        <w:t xml:space="preserve"> un sociāl</w:t>
      </w:r>
      <w:r>
        <w:rPr>
          <w:rFonts w:ascii="Times New Roman" w:hAnsi="Times New Roman"/>
          <w:sz w:val="24"/>
          <w:szCs w:val="24"/>
        </w:rPr>
        <w:t>ās</w:t>
      </w:r>
      <w:r w:rsidRPr="000C6481">
        <w:rPr>
          <w:rFonts w:ascii="Times New Roman" w:hAnsi="Times New Roman"/>
          <w:sz w:val="24"/>
          <w:szCs w:val="24"/>
        </w:rPr>
        <w:t xml:space="preserve"> aizsardzīb</w:t>
      </w:r>
      <w:r>
        <w:rPr>
          <w:rFonts w:ascii="Times New Roman" w:hAnsi="Times New Roman"/>
          <w:sz w:val="24"/>
          <w:szCs w:val="24"/>
        </w:rPr>
        <w:t>as</w:t>
      </w:r>
      <w:r w:rsidRPr="00B7620B">
        <w:rPr>
          <w:rFonts w:ascii="Times New Roman" w:hAnsi="Times New Roman"/>
          <w:sz w:val="24"/>
          <w:szCs w:val="24"/>
        </w:rPr>
        <w:t xml:space="preserve"> </w:t>
      </w:r>
      <w:r w:rsidRPr="000C6481">
        <w:rPr>
          <w:rFonts w:ascii="Times New Roman" w:hAnsi="Times New Roman"/>
          <w:sz w:val="24"/>
          <w:szCs w:val="24"/>
        </w:rPr>
        <w:t>pilnveid</w:t>
      </w:r>
      <w:r>
        <w:rPr>
          <w:rFonts w:ascii="Times New Roman" w:hAnsi="Times New Roman"/>
          <w:sz w:val="24"/>
          <w:szCs w:val="24"/>
        </w:rPr>
        <w:t>ei</w:t>
      </w:r>
      <w:r w:rsidRPr="000C6481">
        <w:rPr>
          <w:rFonts w:ascii="Times New Roman" w:hAnsi="Times New Roman"/>
          <w:sz w:val="24"/>
          <w:szCs w:val="24"/>
        </w:rPr>
        <w:t xml:space="preserve"> </w:t>
      </w:r>
      <w:r>
        <w:rPr>
          <w:rFonts w:ascii="Times New Roman" w:hAnsi="Times New Roman"/>
          <w:sz w:val="24"/>
          <w:szCs w:val="24"/>
        </w:rPr>
        <w:t>tiek izstrādāts</w:t>
      </w:r>
      <w:r w:rsidRPr="000C6481">
        <w:rPr>
          <w:rFonts w:ascii="Times New Roman" w:hAnsi="Times New Roman"/>
          <w:sz w:val="24"/>
          <w:szCs w:val="24"/>
        </w:rPr>
        <w:t xml:space="preserve"> Radošo personu statusa un profesionālo radošo organizāciju likum</w:t>
      </w:r>
      <w:r>
        <w:rPr>
          <w:rFonts w:ascii="Times New Roman" w:hAnsi="Times New Roman"/>
          <w:sz w:val="24"/>
          <w:szCs w:val="24"/>
        </w:rPr>
        <w:t>s</w:t>
      </w:r>
      <w:r w:rsidRPr="000C6481">
        <w:rPr>
          <w:rFonts w:ascii="Times New Roman" w:hAnsi="Times New Roman"/>
          <w:sz w:val="24"/>
          <w:szCs w:val="24"/>
        </w:rPr>
        <w:t>.</w:t>
      </w:r>
    </w:p>
    <w:p w14:paraId="7D4A4690" w14:textId="77777777" w:rsidR="003D0715" w:rsidRPr="000C6481" w:rsidRDefault="003D0715" w:rsidP="003D0715">
      <w:pPr>
        <w:jc w:val="both"/>
        <w:rPr>
          <w:rFonts w:ascii="Times New Roman" w:hAnsi="Times New Roman"/>
          <w:sz w:val="24"/>
          <w:szCs w:val="24"/>
        </w:rPr>
      </w:pPr>
    </w:p>
    <w:p w14:paraId="01615419" w14:textId="05A82124" w:rsidR="00A9349C" w:rsidRPr="00716B0D" w:rsidRDefault="00FF1B19" w:rsidP="00B02009">
      <w:pPr>
        <w:pStyle w:val="Heading2"/>
        <w:rPr>
          <w:color w:val="0070C0"/>
        </w:rPr>
      </w:pPr>
      <w:r>
        <w:rPr>
          <w:color w:val="0070C0"/>
        </w:rPr>
        <w:t> </w:t>
      </w:r>
      <w:bookmarkStart w:id="81" w:name="_Toc466466881"/>
      <w:r w:rsidR="00A9349C" w:rsidRPr="00716B0D">
        <w:rPr>
          <w:color w:val="0070C0"/>
        </w:rPr>
        <w:t xml:space="preserve">Latvijas </w:t>
      </w:r>
      <w:r w:rsidR="0009204C" w:rsidRPr="00716B0D">
        <w:rPr>
          <w:color w:val="0070C0"/>
        </w:rPr>
        <w:t>valsts</w:t>
      </w:r>
      <w:r w:rsidR="00B236CB">
        <w:rPr>
          <w:color w:val="0070C0"/>
        </w:rPr>
        <w:t xml:space="preserve"> simtgade un n</w:t>
      </w:r>
      <w:r w:rsidR="00A9349C" w:rsidRPr="00716B0D">
        <w:rPr>
          <w:color w:val="0070C0"/>
        </w:rPr>
        <w:t>acionālā kultūras infrastruktūra</w:t>
      </w:r>
      <w:bookmarkEnd w:id="79"/>
      <w:bookmarkEnd w:id="80"/>
      <w:bookmarkEnd w:id="81"/>
    </w:p>
    <w:p w14:paraId="0BD60729" w14:textId="217162BB" w:rsidR="003D0715" w:rsidRPr="000C6481" w:rsidRDefault="003D0715" w:rsidP="003D0715">
      <w:pPr>
        <w:jc w:val="both"/>
        <w:rPr>
          <w:rFonts w:ascii="Times New Roman" w:eastAsia="Times New Roman" w:hAnsi="Times New Roman"/>
          <w:color w:val="000000"/>
          <w:sz w:val="24"/>
          <w:szCs w:val="24"/>
        </w:rPr>
      </w:pPr>
      <w:bookmarkStart w:id="82" w:name="_Toc465349555"/>
      <w:bookmarkStart w:id="83" w:name="_Toc465089733"/>
      <w:r w:rsidRPr="000C6481">
        <w:rPr>
          <w:rFonts w:ascii="Times New Roman" w:eastAsia="Times New Roman" w:hAnsi="Times New Roman"/>
          <w:color w:val="000000"/>
          <w:sz w:val="24"/>
          <w:szCs w:val="24"/>
        </w:rPr>
        <w:t xml:space="preserve">Jau pašreiz tiek īstenota Latvijas valsts simtgades svinību komunikācija un publicitāte dažādām mērķauditorijām Latvijā un ārvalstīs, sniedzot plašai sabiedrībai informāciju par simtgades svinību sagatavošanas aktivitātēm un norisēm, kā arī nodrošinot līdzdarbības iespējas. Tomēr, lai Latvijas valsts simtgades svinības noritētu veiksmīgi un </w:t>
      </w:r>
      <w:r w:rsidR="00C35AB6">
        <w:rPr>
          <w:rFonts w:ascii="Times New Roman" w:eastAsia="Times New Roman" w:hAnsi="Times New Roman"/>
          <w:color w:val="000000"/>
          <w:sz w:val="24"/>
          <w:szCs w:val="24"/>
        </w:rPr>
        <w:t xml:space="preserve">lai </w:t>
      </w:r>
      <w:r w:rsidRPr="000C6481">
        <w:rPr>
          <w:rFonts w:ascii="Times New Roman" w:eastAsia="Times New Roman" w:hAnsi="Times New Roman"/>
          <w:color w:val="000000"/>
          <w:sz w:val="24"/>
          <w:szCs w:val="24"/>
        </w:rPr>
        <w:t xml:space="preserve">sagatavotos </w:t>
      </w:r>
      <w:r w:rsidRPr="000C6481">
        <w:rPr>
          <w:rFonts w:ascii="Times New Roman" w:hAnsi="Times New Roman"/>
          <w:color w:val="000000"/>
          <w:sz w:val="24"/>
          <w:szCs w:val="24"/>
        </w:rPr>
        <w:t>XXVI Vispārējo latviešu dziesmu un XVI Deju svētku norisei</w:t>
      </w:r>
      <w:r w:rsidRPr="000C6481">
        <w:rPr>
          <w:rFonts w:ascii="Times New Roman" w:eastAsia="Times New Roman" w:hAnsi="Times New Roman"/>
          <w:color w:val="000000"/>
          <w:sz w:val="24"/>
          <w:szCs w:val="24"/>
        </w:rPr>
        <w:t xml:space="preserve">, ir arī </w:t>
      </w:r>
      <w:r w:rsidR="00C35AB6">
        <w:rPr>
          <w:rFonts w:ascii="Times New Roman" w:eastAsia="Times New Roman" w:hAnsi="Times New Roman"/>
          <w:color w:val="000000"/>
          <w:sz w:val="24"/>
          <w:szCs w:val="24"/>
        </w:rPr>
        <w:t>laikus</w:t>
      </w:r>
      <w:r w:rsidRPr="000C6481">
        <w:rPr>
          <w:rFonts w:ascii="Times New Roman" w:eastAsia="Times New Roman" w:hAnsi="Times New Roman"/>
          <w:color w:val="000000"/>
          <w:sz w:val="24"/>
          <w:szCs w:val="24"/>
        </w:rPr>
        <w:t xml:space="preserve"> jāīsteno lielie infrastruktūras objektu projekti. Tiek veiktas visas nepieciešamās darbības, lai Mežaparka Lielās estrādes skatītāju zonā tiktu uzsākts pirmais būvniecības posms (paredzēts īstenot līdz 2018.</w:t>
      </w:r>
      <w:r>
        <w:rPr>
          <w:rFonts w:ascii="Times New Roman" w:eastAsia="Times New Roman" w:hAnsi="Times New Roman"/>
          <w:color w:val="000000"/>
          <w:sz w:val="24"/>
          <w:szCs w:val="24"/>
        </w:rPr>
        <w:t> </w:t>
      </w:r>
      <w:r w:rsidRPr="000C6481">
        <w:rPr>
          <w:rFonts w:ascii="Times New Roman" w:eastAsia="Times New Roman" w:hAnsi="Times New Roman"/>
          <w:color w:val="000000"/>
          <w:sz w:val="24"/>
          <w:szCs w:val="24"/>
        </w:rPr>
        <w:t xml:space="preserve">gada 7. jūlijam), </w:t>
      </w:r>
      <w:r>
        <w:rPr>
          <w:rFonts w:ascii="Times New Roman" w:eastAsia="Times New Roman" w:hAnsi="Times New Roman"/>
          <w:color w:val="000000"/>
          <w:sz w:val="24"/>
          <w:szCs w:val="24"/>
        </w:rPr>
        <w:t>kā arī</w:t>
      </w:r>
      <w:r w:rsidRPr="000C6481">
        <w:rPr>
          <w:rFonts w:ascii="Times New Roman" w:eastAsia="Times New Roman" w:hAnsi="Times New Roman"/>
          <w:color w:val="000000"/>
          <w:sz w:val="24"/>
          <w:szCs w:val="24"/>
        </w:rPr>
        <w:t xml:space="preserve"> ir noslēdzies iepirkums par tribīņu projektēšanu un būvniecību</w:t>
      </w:r>
      <w:r w:rsidRPr="00BA04CE">
        <w:rPr>
          <w:rFonts w:ascii="Times New Roman" w:eastAsia="Times New Roman" w:hAnsi="Times New Roman"/>
          <w:color w:val="000000"/>
          <w:sz w:val="24"/>
          <w:szCs w:val="24"/>
        </w:rPr>
        <w:t xml:space="preserve"> </w:t>
      </w:r>
      <w:r w:rsidRPr="000C6481">
        <w:rPr>
          <w:rFonts w:ascii="Times New Roman" w:eastAsia="Times New Roman" w:hAnsi="Times New Roman"/>
          <w:color w:val="000000"/>
          <w:sz w:val="24"/>
          <w:szCs w:val="24"/>
        </w:rPr>
        <w:t>Daugavas stadion</w:t>
      </w:r>
      <w:r>
        <w:rPr>
          <w:rFonts w:ascii="Times New Roman" w:eastAsia="Times New Roman" w:hAnsi="Times New Roman"/>
          <w:color w:val="000000"/>
          <w:sz w:val="24"/>
          <w:szCs w:val="24"/>
        </w:rPr>
        <w:t>ā</w:t>
      </w:r>
      <w:r w:rsidRPr="000C6481">
        <w:rPr>
          <w:rFonts w:ascii="Times New Roman" w:eastAsia="Times New Roman" w:hAnsi="Times New Roman"/>
          <w:color w:val="000000"/>
          <w:sz w:val="24"/>
          <w:szCs w:val="24"/>
        </w:rPr>
        <w:t>, un tiek gatavots nepieciešamais pieteikums iesniegšanai CFLA.</w:t>
      </w:r>
    </w:p>
    <w:p w14:paraId="2CDD7667" w14:textId="77777777" w:rsidR="003D0715" w:rsidRPr="000C6481" w:rsidRDefault="003D0715" w:rsidP="003D0715">
      <w:pPr>
        <w:jc w:val="both"/>
        <w:rPr>
          <w:rFonts w:ascii="Times New Roman" w:eastAsia="Times New Roman" w:hAnsi="Times New Roman"/>
          <w:color w:val="000000"/>
          <w:sz w:val="24"/>
          <w:szCs w:val="24"/>
        </w:rPr>
      </w:pPr>
      <w:r>
        <w:rPr>
          <w:rFonts w:ascii="Times New Roman" w:hAnsi="Times New Roman"/>
          <w:color w:val="000000"/>
          <w:sz w:val="24"/>
          <w:szCs w:val="24"/>
        </w:rPr>
        <w:t>Papildus minētajam</w:t>
      </w:r>
      <w:r w:rsidRPr="000C6481">
        <w:rPr>
          <w:rFonts w:ascii="Times New Roman" w:hAnsi="Times New Roman"/>
          <w:color w:val="000000"/>
          <w:sz w:val="24"/>
          <w:szCs w:val="24"/>
        </w:rPr>
        <w:t xml:space="preserve"> ir uzsākta Muzeju krātuvju kompleksa būvniecība, Miera ielas kvartāla pārbūve JRT vajadzībām, Lāčplēša ielas JRT pārbūve un restaurācija, Rīgas pils Konventa daļas pārbūve un restaurācija, Rakstniecības un mūzikas muzeja ēkas pārbūve un restaurācija, Okupācijas muzeja kompleksa pārbūve un restaurācija.</w:t>
      </w:r>
      <w:r w:rsidRPr="000C6481">
        <w:rPr>
          <w:rFonts w:ascii="Times New Roman" w:eastAsia="Times New Roman" w:hAnsi="Times New Roman"/>
          <w:color w:val="000000"/>
          <w:sz w:val="24"/>
          <w:szCs w:val="24"/>
        </w:rPr>
        <w:t xml:space="preserve"> </w:t>
      </w:r>
      <w:r w:rsidRPr="000C6481">
        <w:rPr>
          <w:rFonts w:ascii="Times New Roman" w:hAnsi="Times New Roman"/>
          <w:color w:val="000000"/>
          <w:sz w:val="24"/>
          <w:szCs w:val="24"/>
        </w:rPr>
        <w:t xml:space="preserve">Noslēdzies </w:t>
      </w:r>
      <w:r w:rsidRPr="000C6481">
        <w:rPr>
          <w:rFonts w:ascii="Times New Roman" w:hAnsi="Times New Roman"/>
          <w:sz w:val="24"/>
          <w:szCs w:val="24"/>
        </w:rPr>
        <w:t xml:space="preserve">Latvijas Laikmetīgās mākslas muzeja </w:t>
      </w:r>
      <w:r w:rsidRPr="000C6481">
        <w:rPr>
          <w:rFonts w:ascii="Times New Roman" w:hAnsi="Times New Roman"/>
          <w:color w:val="000000"/>
          <w:sz w:val="24"/>
          <w:szCs w:val="24"/>
        </w:rPr>
        <w:t xml:space="preserve">metu konkurss, notiek ēkas tehniskā projekta izstrāde. </w:t>
      </w:r>
    </w:p>
    <w:p w14:paraId="47142456" w14:textId="77777777" w:rsidR="003D0715" w:rsidRPr="000C6481" w:rsidRDefault="003D0715" w:rsidP="003D0715">
      <w:pPr>
        <w:jc w:val="both"/>
        <w:rPr>
          <w:rFonts w:ascii="Times New Roman" w:hAnsi="Times New Roman"/>
          <w:sz w:val="24"/>
          <w:szCs w:val="24"/>
        </w:rPr>
      </w:pPr>
      <w:r w:rsidRPr="000C6481">
        <w:rPr>
          <w:rFonts w:ascii="Times New Roman" w:hAnsi="Times New Roman"/>
          <w:sz w:val="24"/>
          <w:szCs w:val="24"/>
        </w:rPr>
        <w:t>Šogad pēc pārbūves un restaurācijas tika atklāta Latvijas Nacionālā mākslas muzeja ēka un uzsākta izstāžu darbība.</w:t>
      </w:r>
    </w:p>
    <w:p w14:paraId="6AC2C5B1" w14:textId="77777777" w:rsidR="003D0715" w:rsidRPr="000C6481" w:rsidRDefault="003D0715" w:rsidP="003D0715">
      <w:pPr>
        <w:jc w:val="both"/>
        <w:rPr>
          <w:rFonts w:ascii="Times New Roman" w:hAnsi="Times New Roman"/>
          <w:sz w:val="24"/>
          <w:szCs w:val="24"/>
        </w:rPr>
      </w:pPr>
    </w:p>
    <w:p w14:paraId="7B83ADE2" w14:textId="239E5818" w:rsidR="00A9349C" w:rsidRPr="00716B0D" w:rsidRDefault="00FF1B19" w:rsidP="00B02009">
      <w:pPr>
        <w:pStyle w:val="Heading2"/>
        <w:rPr>
          <w:color w:val="0070C0"/>
        </w:rPr>
      </w:pPr>
      <w:r>
        <w:rPr>
          <w:color w:val="0070C0"/>
        </w:rPr>
        <w:t> </w:t>
      </w:r>
      <w:bookmarkStart w:id="84" w:name="_Toc466466882"/>
      <w:r w:rsidR="00A9349C" w:rsidRPr="00716B0D">
        <w:rPr>
          <w:color w:val="0070C0"/>
        </w:rPr>
        <w:t>Sabiedrības saliedē</w:t>
      </w:r>
      <w:r w:rsidR="00C35AB6">
        <w:rPr>
          <w:color w:val="0070C0"/>
        </w:rPr>
        <w:t>šanas</w:t>
      </w:r>
      <w:r w:rsidR="00A9349C" w:rsidRPr="00716B0D">
        <w:rPr>
          <w:color w:val="0070C0"/>
        </w:rPr>
        <w:t xml:space="preserve"> pasākumi</w:t>
      </w:r>
      <w:bookmarkEnd w:id="82"/>
      <w:bookmarkEnd w:id="83"/>
      <w:bookmarkEnd w:id="84"/>
    </w:p>
    <w:p w14:paraId="3C63656C" w14:textId="77777777" w:rsidR="003D0715" w:rsidRPr="000C6481" w:rsidRDefault="003D0715" w:rsidP="003D0715">
      <w:pPr>
        <w:jc w:val="both"/>
        <w:rPr>
          <w:rFonts w:ascii="Times New Roman" w:hAnsi="Times New Roman"/>
          <w:sz w:val="24"/>
          <w:szCs w:val="24"/>
        </w:rPr>
      </w:pPr>
      <w:bookmarkStart w:id="85" w:name="_Toc465349556"/>
      <w:bookmarkStart w:id="86" w:name="_Toc465089734"/>
      <w:r w:rsidRPr="000C6481">
        <w:rPr>
          <w:rFonts w:ascii="Times New Roman" w:hAnsi="Times New Roman"/>
          <w:sz w:val="24"/>
          <w:szCs w:val="24"/>
        </w:rPr>
        <w:t xml:space="preserve">KM ir noslēgusi finansēšanas līgumu ar SIF par NVO atbalsta nodrošināšanu, kā ietvaros ir noslēgti līgumi ar 66 konkursa kārtībā atlasītām NVO. Papildus minētajam KM ir noslēgusi četrus līdzdarbības līgumus par valsts pārvaldes uzdevumu veikšanu pilsoniskās sabiedrības attīstības un starpkultūru dialoga jomā Latvijas reģionos un vienu līgumu starpkultūru dialoga un latviskās kultūrtelpas stiprināšanai Latgalē. </w:t>
      </w:r>
    </w:p>
    <w:p w14:paraId="4C36C251" w14:textId="77777777" w:rsidR="003D0715" w:rsidRPr="000C6481" w:rsidRDefault="003D0715" w:rsidP="003D0715">
      <w:pPr>
        <w:jc w:val="both"/>
        <w:rPr>
          <w:rFonts w:ascii="Times New Roman" w:hAnsi="Times New Roman"/>
          <w:sz w:val="24"/>
          <w:szCs w:val="24"/>
        </w:rPr>
      </w:pPr>
      <w:r w:rsidRPr="000C6481">
        <w:rPr>
          <w:rFonts w:ascii="Times New Roman" w:hAnsi="Times New Roman"/>
          <w:sz w:val="24"/>
          <w:szCs w:val="24"/>
        </w:rPr>
        <w:t xml:space="preserve">Tāpat ir sniegts regulārs atbalsts mazākumtautību pasākumiem. Piemēram: </w:t>
      </w:r>
    </w:p>
    <w:p w14:paraId="6BC96E59" w14:textId="77777777" w:rsidR="003D0715" w:rsidRPr="000C6481" w:rsidRDefault="003D0715" w:rsidP="003D0715">
      <w:pPr>
        <w:numPr>
          <w:ilvl w:val="0"/>
          <w:numId w:val="24"/>
        </w:numPr>
        <w:contextualSpacing/>
        <w:jc w:val="both"/>
        <w:rPr>
          <w:rFonts w:ascii="Times New Roman" w:hAnsi="Times New Roman"/>
          <w:sz w:val="24"/>
          <w:szCs w:val="24"/>
        </w:rPr>
      </w:pPr>
      <w:r w:rsidRPr="000C6481">
        <w:rPr>
          <w:rFonts w:ascii="Times New Roman" w:hAnsi="Times New Roman"/>
          <w:sz w:val="24"/>
          <w:szCs w:val="24"/>
        </w:rPr>
        <w:t xml:space="preserve">īstenots starpkultūru dialoga pasākums Latgales reģionā – </w:t>
      </w:r>
      <w:r>
        <w:rPr>
          <w:rFonts w:ascii="Times New Roman" w:hAnsi="Times New Roman"/>
          <w:sz w:val="24"/>
          <w:szCs w:val="24"/>
        </w:rPr>
        <w:t>m</w:t>
      </w:r>
      <w:r w:rsidRPr="000C6481">
        <w:rPr>
          <w:rFonts w:ascii="Times New Roman" w:hAnsi="Times New Roman"/>
          <w:sz w:val="24"/>
          <w:szCs w:val="24"/>
        </w:rPr>
        <w:t xml:space="preserve">azākumtautību kultūru festivāls </w:t>
      </w:r>
      <w:r>
        <w:rPr>
          <w:rFonts w:ascii="Times New Roman" w:hAnsi="Times New Roman"/>
          <w:sz w:val="24"/>
          <w:szCs w:val="24"/>
        </w:rPr>
        <w:t>"</w:t>
      </w:r>
      <w:r w:rsidRPr="000C6481">
        <w:rPr>
          <w:rFonts w:ascii="Times New Roman" w:hAnsi="Times New Roman"/>
          <w:sz w:val="24"/>
          <w:szCs w:val="24"/>
        </w:rPr>
        <w:t>Pinu, pinu sietu</w:t>
      </w:r>
      <w:r>
        <w:rPr>
          <w:rFonts w:ascii="Times New Roman" w:hAnsi="Times New Roman"/>
          <w:sz w:val="24"/>
          <w:szCs w:val="24"/>
        </w:rPr>
        <w:t>"</w:t>
      </w:r>
      <w:r w:rsidRPr="000C6481">
        <w:rPr>
          <w:rFonts w:ascii="Times New Roman" w:hAnsi="Times New Roman"/>
          <w:sz w:val="24"/>
          <w:szCs w:val="24"/>
        </w:rPr>
        <w:t>. Festivālā kopumā piedalījās 1331</w:t>
      </w:r>
      <w:r>
        <w:rPr>
          <w:rFonts w:ascii="Times New Roman" w:hAnsi="Times New Roman"/>
          <w:sz w:val="24"/>
          <w:szCs w:val="24"/>
        </w:rPr>
        <w:t> </w:t>
      </w:r>
      <w:r w:rsidRPr="000C6481">
        <w:rPr>
          <w:rFonts w:ascii="Times New Roman" w:hAnsi="Times New Roman"/>
          <w:sz w:val="24"/>
          <w:szCs w:val="24"/>
        </w:rPr>
        <w:t>dalībnieks no 99 kolektīviem, t.</w:t>
      </w:r>
      <w:r>
        <w:rPr>
          <w:rFonts w:ascii="Times New Roman" w:hAnsi="Times New Roman"/>
          <w:sz w:val="24"/>
          <w:szCs w:val="24"/>
        </w:rPr>
        <w:t> </w:t>
      </w:r>
      <w:r w:rsidRPr="000C6481">
        <w:rPr>
          <w:rFonts w:ascii="Times New Roman" w:hAnsi="Times New Roman"/>
          <w:sz w:val="24"/>
          <w:szCs w:val="24"/>
        </w:rPr>
        <w:t>sk. 971 dalībnieks no 70 mazākumtautību kolektīviem;</w:t>
      </w:r>
    </w:p>
    <w:p w14:paraId="299B2CC4" w14:textId="77777777" w:rsidR="003D0715" w:rsidRPr="000C6481" w:rsidRDefault="003D0715" w:rsidP="003D0715">
      <w:pPr>
        <w:numPr>
          <w:ilvl w:val="0"/>
          <w:numId w:val="24"/>
        </w:numPr>
        <w:contextualSpacing/>
        <w:jc w:val="both"/>
        <w:rPr>
          <w:rFonts w:ascii="Times New Roman" w:hAnsi="Times New Roman"/>
          <w:sz w:val="24"/>
          <w:szCs w:val="24"/>
        </w:rPr>
      </w:pPr>
      <w:r w:rsidRPr="000C6481">
        <w:rPr>
          <w:rFonts w:ascii="Times New Roman" w:hAnsi="Times New Roman"/>
          <w:sz w:val="24"/>
          <w:szCs w:val="24"/>
        </w:rPr>
        <w:lastRenderedPageBreak/>
        <w:t xml:space="preserve">organizēts apmācību cikls programmā </w:t>
      </w:r>
      <w:r>
        <w:rPr>
          <w:rFonts w:ascii="Times New Roman" w:hAnsi="Times New Roman"/>
          <w:sz w:val="24"/>
          <w:szCs w:val="24"/>
        </w:rPr>
        <w:t>"</w:t>
      </w:r>
      <w:r w:rsidRPr="000C6481">
        <w:rPr>
          <w:rFonts w:ascii="Times New Roman" w:hAnsi="Times New Roman"/>
          <w:sz w:val="24"/>
          <w:szCs w:val="24"/>
        </w:rPr>
        <w:t>Kultūras vēstnieki</w:t>
      </w:r>
      <w:r>
        <w:rPr>
          <w:rFonts w:ascii="Times New Roman" w:hAnsi="Times New Roman"/>
          <w:sz w:val="24"/>
          <w:szCs w:val="24"/>
        </w:rPr>
        <w:t>"</w:t>
      </w:r>
      <w:r w:rsidRPr="000C6481">
        <w:rPr>
          <w:rFonts w:ascii="Times New Roman" w:hAnsi="Times New Roman"/>
          <w:sz w:val="24"/>
          <w:szCs w:val="24"/>
        </w:rPr>
        <w:t xml:space="preserve">. </w:t>
      </w:r>
      <w:r>
        <w:rPr>
          <w:rFonts w:ascii="Times New Roman" w:hAnsi="Times New Roman"/>
          <w:sz w:val="24"/>
          <w:szCs w:val="24"/>
        </w:rPr>
        <w:t>Apmācību</w:t>
      </w:r>
      <w:r w:rsidRPr="000C6481">
        <w:rPr>
          <w:rFonts w:ascii="Times New Roman" w:hAnsi="Times New Roman"/>
          <w:sz w:val="24"/>
          <w:szCs w:val="24"/>
        </w:rPr>
        <w:t xml:space="preserve"> ciklā iesaistīti 30 kultūras vēstnieki, dažādu mazākumtautību kultūras un interešu aizstāvības organizāciju līderi;</w:t>
      </w:r>
    </w:p>
    <w:p w14:paraId="41112C5A" w14:textId="77777777" w:rsidR="003D0715" w:rsidRPr="000C6481" w:rsidRDefault="003D0715" w:rsidP="003D0715">
      <w:pPr>
        <w:numPr>
          <w:ilvl w:val="0"/>
          <w:numId w:val="24"/>
        </w:numPr>
        <w:contextualSpacing/>
        <w:jc w:val="both"/>
        <w:rPr>
          <w:rFonts w:ascii="Times New Roman" w:hAnsi="Times New Roman"/>
          <w:sz w:val="24"/>
          <w:szCs w:val="24"/>
        </w:rPr>
      </w:pPr>
      <w:r w:rsidRPr="000C6481">
        <w:rPr>
          <w:rFonts w:ascii="Times New Roman" w:hAnsi="Times New Roman"/>
          <w:sz w:val="24"/>
          <w:szCs w:val="24"/>
        </w:rPr>
        <w:t xml:space="preserve">izstrādāts un izdots informatīvs buklets </w:t>
      </w:r>
      <w:r>
        <w:rPr>
          <w:rFonts w:ascii="Times New Roman" w:hAnsi="Times New Roman"/>
          <w:sz w:val="24"/>
          <w:szCs w:val="24"/>
        </w:rPr>
        <w:t>"</w:t>
      </w:r>
      <w:r w:rsidRPr="000C6481">
        <w:rPr>
          <w:rFonts w:ascii="Times New Roman" w:hAnsi="Times New Roman"/>
          <w:sz w:val="24"/>
          <w:szCs w:val="24"/>
        </w:rPr>
        <w:t>Mazākumtautības Latvijā</w:t>
      </w:r>
      <w:r>
        <w:rPr>
          <w:rFonts w:ascii="Times New Roman" w:hAnsi="Times New Roman"/>
          <w:sz w:val="24"/>
          <w:szCs w:val="24"/>
        </w:rPr>
        <w:t>"</w:t>
      </w:r>
      <w:r w:rsidRPr="000C6481">
        <w:rPr>
          <w:rFonts w:ascii="Times New Roman" w:hAnsi="Times New Roman"/>
          <w:sz w:val="24"/>
          <w:szCs w:val="24"/>
        </w:rPr>
        <w:t>, materiāls pieejams latviešu, krievu un angļu valodā.</w:t>
      </w:r>
    </w:p>
    <w:p w14:paraId="4ADF47AB" w14:textId="77777777" w:rsidR="003D0715" w:rsidRPr="000C6481" w:rsidRDefault="003D0715" w:rsidP="003D0715">
      <w:pPr>
        <w:jc w:val="both"/>
        <w:rPr>
          <w:rFonts w:ascii="Times New Roman" w:hAnsi="Times New Roman"/>
          <w:sz w:val="24"/>
          <w:szCs w:val="24"/>
        </w:rPr>
      </w:pPr>
    </w:p>
    <w:p w14:paraId="72CD5631" w14:textId="2AB236DB" w:rsidR="003D0715" w:rsidRPr="000C6481" w:rsidRDefault="003D0715" w:rsidP="003D0715">
      <w:pPr>
        <w:jc w:val="both"/>
        <w:rPr>
          <w:rFonts w:ascii="Times New Roman" w:hAnsi="Times New Roman"/>
          <w:sz w:val="24"/>
          <w:szCs w:val="24"/>
        </w:rPr>
      </w:pPr>
      <w:r w:rsidRPr="000C6481">
        <w:rPr>
          <w:rFonts w:ascii="Times New Roman" w:hAnsi="Times New Roman"/>
          <w:sz w:val="24"/>
          <w:szCs w:val="24"/>
        </w:rPr>
        <w:t>Vienlaikus VKKF projektu konkursos kopā iesniegti 3</w:t>
      </w:r>
      <w:r>
        <w:rPr>
          <w:rFonts w:ascii="Times New Roman" w:hAnsi="Times New Roman"/>
          <w:sz w:val="24"/>
          <w:szCs w:val="24"/>
        </w:rPr>
        <w:t> </w:t>
      </w:r>
      <w:r w:rsidRPr="000C6481">
        <w:rPr>
          <w:rFonts w:ascii="Times New Roman" w:hAnsi="Times New Roman"/>
          <w:sz w:val="24"/>
          <w:szCs w:val="24"/>
        </w:rPr>
        <w:t>911 projekti, kopējais pieprasītais finansējums – 26</w:t>
      </w:r>
      <w:r w:rsidR="00C35AB6">
        <w:rPr>
          <w:rFonts w:ascii="Times New Roman" w:hAnsi="Times New Roman"/>
          <w:sz w:val="24"/>
          <w:szCs w:val="24"/>
        </w:rPr>
        <w:t> </w:t>
      </w:r>
      <w:r w:rsidRPr="000C6481">
        <w:rPr>
          <w:rFonts w:ascii="Times New Roman" w:hAnsi="Times New Roman"/>
          <w:sz w:val="24"/>
          <w:szCs w:val="24"/>
        </w:rPr>
        <w:t>713</w:t>
      </w:r>
      <w:r w:rsidR="00C35AB6">
        <w:rPr>
          <w:rFonts w:ascii="Times New Roman" w:hAnsi="Times New Roman"/>
          <w:sz w:val="24"/>
          <w:szCs w:val="24"/>
        </w:rPr>
        <w:t> 717,</w:t>
      </w:r>
      <w:r w:rsidRPr="000C6481">
        <w:rPr>
          <w:rFonts w:ascii="Times New Roman" w:hAnsi="Times New Roman"/>
          <w:sz w:val="24"/>
          <w:szCs w:val="24"/>
        </w:rPr>
        <w:t>96</w:t>
      </w:r>
      <w:r w:rsidR="00C35AB6">
        <w:rPr>
          <w:rFonts w:ascii="Times New Roman" w:hAnsi="Times New Roman"/>
          <w:sz w:val="24"/>
          <w:szCs w:val="24"/>
        </w:rPr>
        <w:t> </w:t>
      </w:r>
      <w:proofErr w:type="spellStart"/>
      <w:r w:rsidRPr="000C6481">
        <w:rPr>
          <w:rFonts w:ascii="Times New Roman" w:eastAsia="Times New Roman" w:hAnsi="Times New Roman"/>
          <w:i/>
          <w:sz w:val="24"/>
          <w:szCs w:val="24"/>
          <w:lang w:eastAsia="lv-LV"/>
        </w:rPr>
        <w:t>euro</w:t>
      </w:r>
      <w:proofErr w:type="spellEnd"/>
      <w:r w:rsidRPr="000C6481">
        <w:rPr>
          <w:rFonts w:ascii="Times New Roman" w:hAnsi="Times New Roman"/>
          <w:sz w:val="24"/>
          <w:szCs w:val="24"/>
        </w:rPr>
        <w:t>; atbalstīti 1</w:t>
      </w:r>
      <w:r>
        <w:rPr>
          <w:rFonts w:ascii="Times New Roman" w:hAnsi="Times New Roman"/>
          <w:sz w:val="24"/>
          <w:szCs w:val="24"/>
        </w:rPr>
        <w:t> </w:t>
      </w:r>
      <w:r w:rsidRPr="000C6481">
        <w:rPr>
          <w:rFonts w:ascii="Times New Roman" w:hAnsi="Times New Roman"/>
          <w:sz w:val="24"/>
          <w:szCs w:val="24"/>
        </w:rPr>
        <w:t>980 projekti par 7</w:t>
      </w:r>
      <w:r>
        <w:rPr>
          <w:rFonts w:ascii="Times New Roman" w:hAnsi="Times New Roman"/>
          <w:sz w:val="24"/>
          <w:szCs w:val="24"/>
        </w:rPr>
        <w:t> </w:t>
      </w:r>
      <w:r w:rsidRPr="000C6481">
        <w:rPr>
          <w:rFonts w:ascii="Times New Roman" w:hAnsi="Times New Roman"/>
          <w:sz w:val="24"/>
          <w:szCs w:val="24"/>
        </w:rPr>
        <w:t>954 195</w:t>
      </w:r>
      <w:r>
        <w:rPr>
          <w:rFonts w:ascii="Times New Roman" w:hAnsi="Times New Roman"/>
          <w:sz w:val="24"/>
          <w:szCs w:val="24"/>
        </w:rPr>
        <w:t> </w:t>
      </w:r>
      <w:proofErr w:type="spellStart"/>
      <w:r w:rsidRPr="000C6481">
        <w:rPr>
          <w:rFonts w:ascii="Times New Roman" w:eastAsia="Times New Roman" w:hAnsi="Times New Roman"/>
          <w:i/>
          <w:sz w:val="24"/>
          <w:szCs w:val="24"/>
          <w:lang w:eastAsia="lv-LV"/>
        </w:rPr>
        <w:t>euro</w:t>
      </w:r>
      <w:proofErr w:type="spellEnd"/>
      <w:r w:rsidRPr="000C6481">
        <w:rPr>
          <w:rFonts w:ascii="Times New Roman" w:hAnsi="Times New Roman"/>
          <w:sz w:val="24"/>
          <w:szCs w:val="24"/>
        </w:rPr>
        <w:t xml:space="preserve">. </w:t>
      </w:r>
      <w:r w:rsidRPr="000C6481">
        <w:rPr>
          <w:rFonts w:ascii="Times New Roman" w:eastAsia="Times New Roman" w:hAnsi="Times New Roman"/>
          <w:color w:val="000000"/>
          <w:sz w:val="24"/>
          <w:szCs w:val="24"/>
        </w:rPr>
        <w:t xml:space="preserve">VKKF mērķprogrammā </w:t>
      </w:r>
      <w:r>
        <w:rPr>
          <w:rFonts w:ascii="Times New Roman" w:eastAsia="Times New Roman" w:hAnsi="Times New Roman"/>
          <w:color w:val="000000"/>
          <w:sz w:val="24"/>
          <w:szCs w:val="24"/>
        </w:rPr>
        <w:t>"</w:t>
      </w:r>
      <w:r w:rsidRPr="000C6481">
        <w:rPr>
          <w:rFonts w:ascii="Times New Roman" w:eastAsia="Times New Roman" w:hAnsi="Times New Roman"/>
          <w:color w:val="000000"/>
          <w:sz w:val="24"/>
          <w:szCs w:val="24"/>
        </w:rPr>
        <w:t>Latvijai 100</w:t>
      </w:r>
      <w:r>
        <w:rPr>
          <w:rFonts w:ascii="Times New Roman" w:eastAsia="Times New Roman" w:hAnsi="Times New Roman"/>
          <w:color w:val="000000"/>
          <w:sz w:val="24"/>
          <w:szCs w:val="24"/>
        </w:rPr>
        <w:t>"</w:t>
      </w:r>
      <w:r w:rsidRPr="000C6481">
        <w:rPr>
          <w:rFonts w:ascii="Times New Roman" w:eastAsia="Times New Roman" w:hAnsi="Times New Roman"/>
          <w:color w:val="000000"/>
          <w:sz w:val="24"/>
          <w:szCs w:val="24"/>
        </w:rPr>
        <w:t xml:space="preserve"> apstiprinātas 58 sabiedriskas un nevalstiskas iniciatīvas, atbalstot Latvijas valsts simtgadei veltītus un simtgades svinību mērķiem atbilstošus projektus Latvijā, tās reģionos un ārvalstīs </w:t>
      </w:r>
      <w:r w:rsidRPr="000C6481">
        <w:rPr>
          <w:rFonts w:ascii="Times New Roman" w:hAnsi="Times New Roman"/>
          <w:sz w:val="24"/>
          <w:szCs w:val="24"/>
        </w:rPr>
        <w:t xml:space="preserve">(piešķirts 502 980 </w:t>
      </w:r>
      <w:proofErr w:type="spellStart"/>
      <w:r w:rsidRPr="000C6481">
        <w:rPr>
          <w:rFonts w:ascii="Times New Roman" w:eastAsia="Times New Roman" w:hAnsi="Times New Roman"/>
          <w:i/>
          <w:sz w:val="24"/>
          <w:szCs w:val="24"/>
          <w:lang w:eastAsia="lv-LV"/>
        </w:rPr>
        <w:t>euro</w:t>
      </w:r>
      <w:proofErr w:type="spellEnd"/>
      <w:r w:rsidRPr="000C6481">
        <w:rPr>
          <w:rFonts w:ascii="Times New Roman" w:hAnsi="Times New Roman"/>
          <w:sz w:val="24"/>
          <w:szCs w:val="24"/>
        </w:rPr>
        <w:t>)</w:t>
      </w:r>
      <w:r w:rsidRPr="000C6481">
        <w:rPr>
          <w:rFonts w:ascii="Times New Roman" w:eastAsia="Times New Roman" w:hAnsi="Times New Roman"/>
          <w:color w:val="000000"/>
          <w:sz w:val="24"/>
          <w:szCs w:val="24"/>
        </w:rPr>
        <w:t xml:space="preserve">. </w:t>
      </w:r>
    </w:p>
    <w:p w14:paraId="4A70854B" w14:textId="77777777" w:rsidR="003D0715" w:rsidRPr="000C6481" w:rsidRDefault="003D0715" w:rsidP="003D0715">
      <w:pPr>
        <w:jc w:val="both"/>
        <w:rPr>
          <w:rFonts w:ascii="Times New Roman" w:hAnsi="Times New Roman"/>
          <w:sz w:val="24"/>
          <w:szCs w:val="24"/>
        </w:rPr>
      </w:pPr>
      <w:r>
        <w:rPr>
          <w:rFonts w:ascii="Times New Roman" w:hAnsi="Times New Roman"/>
          <w:sz w:val="24"/>
          <w:szCs w:val="24"/>
        </w:rPr>
        <w:t>V</w:t>
      </w:r>
      <w:r w:rsidRPr="000C6481">
        <w:rPr>
          <w:rFonts w:ascii="Times New Roman" w:hAnsi="Times New Roman"/>
          <w:sz w:val="24"/>
          <w:szCs w:val="24"/>
        </w:rPr>
        <w:t>iens no 2017. gada prioritār</w:t>
      </w:r>
      <w:r>
        <w:rPr>
          <w:rFonts w:ascii="Times New Roman" w:hAnsi="Times New Roman"/>
          <w:sz w:val="24"/>
          <w:szCs w:val="24"/>
        </w:rPr>
        <w:t>i</w:t>
      </w:r>
      <w:r w:rsidRPr="000C6481">
        <w:rPr>
          <w:rFonts w:ascii="Times New Roman" w:hAnsi="Times New Roman"/>
          <w:sz w:val="24"/>
          <w:szCs w:val="24"/>
        </w:rPr>
        <w:t xml:space="preserve"> veicamajiem uzdevumiem ir izstrādāt jaunu VKKF finansēšanas modeli.</w:t>
      </w:r>
    </w:p>
    <w:p w14:paraId="59B672E0" w14:textId="77777777" w:rsidR="003D0715" w:rsidRPr="000C6481" w:rsidRDefault="003D0715" w:rsidP="003D0715">
      <w:pPr>
        <w:jc w:val="both"/>
        <w:rPr>
          <w:rFonts w:ascii="Times New Roman" w:hAnsi="Times New Roman"/>
          <w:sz w:val="24"/>
          <w:szCs w:val="24"/>
        </w:rPr>
      </w:pPr>
    </w:p>
    <w:p w14:paraId="3BFE21FB" w14:textId="5745B0DF" w:rsidR="00A9349C" w:rsidRPr="00716B0D" w:rsidRDefault="00FF1B19" w:rsidP="00B02009">
      <w:pPr>
        <w:pStyle w:val="Heading2"/>
        <w:rPr>
          <w:rFonts w:cs="Times New Roman"/>
          <w:color w:val="0070C0"/>
          <w:szCs w:val="24"/>
        </w:rPr>
      </w:pPr>
      <w:r>
        <w:rPr>
          <w:color w:val="0070C0"/>
        </w:rPr>
        <w:t> </w:t>
      </w:r>
      <w:bookmarkStart w:id="87" w:name="_Toc466466883"/>
      <w:r w:rsidR="00A9349C" w:rsidRPr="00716B0D">
        <w:rPr>
          <w:color w:val="0070C0"/>
        </w:rPr>
        <w:t>Nacionālās informācijas telpas attīstība un mediju politika</w:t>
      </w:r>
      <w:bookmarkEnd w:id="85"/>
      <w:bookmarkEnd w:id="86"/>
      <w:bookmarkEnd w:id="87"/>
    </w:p>
    <w:p w14:paraId="49D6C636" w14:textId="3BABF44C" w:rsidR="003D0715" w:rsidRPr="000C6481" w:rsidRDefault="003D0715" w:rsidP="003D0715">
      <w:pPr>
        <w:jc w:val="both"/>
        <w:rPr>
          <w:rFonts w:ascii="Times New Roman" w:hAnsi="Times New Roman"/>
          <w:sz w:val="24"/>
          <w:szCs w:val="24"/>
        </w:rPr>
      </w:pPr>
      <w:bookmarkStart w:id="88" w:name="_Toc465349557"/>
      <w:bookmarkStart w:id="89" w:name="_Toc465089735"/>
      <w:r w:rsidRPr="000C6481">
        <w:rPr>
          <w:rFonts w:ascii="Times New Roman" w:hAnsi="Times New Roman"/>
          <w:sz w:val="24"/>
          <w:szCs w:val="24"/>
        </w:rPr>
        <w:t>Šogad ir paveikts būtisks darbs</w:t>
      </w:r>
      <w:r w:rsidR="00E11CB5">
        <w:rPr>
          <w:rFonts w:ascii="Times New Roman" w:hAnsi="Times New Roman"/>
          <w:sz w:val="24"/>
          <w:szCs w:val="24"/>
        </w:rPr>
        <w:t xml:space="preserve"> virzienā uz vienošanos</w:t>
      </w:r>
      <w:r w:rsidRPr="000C6481">
        <w:rPr>
          <w:rFonts w:ascii="Times New Roman" w:hAnsi="Times New Roman"/>
          <w:sz w:val="24"/>
          <w:szCs w:val="24"/>
        </w:rPr>
        <w:t xml:space="preserve"> par pakāpenisku sabiedrisko mediju iziešanu no komerciālās reklāmas tirgus, Mediju atbalsta fond</w:t>
      </w:r>
      <w:r w:rsidR="00E11CB5">
        <w:rPr>
          <w:rFonts w:ascii="Times New Roman" w:hAnsi="Times New Roman"/>
          <w:sz w:val="24"/>
          <w:szCs w:val="24"/>
        </w:rPr>
        <w:t>a</w:t>
      </w:r>
      <w:r>
        <w:rPr>
          <w:rFonts w:ascii="Times New Roman" w:hAnsi="Times New Roman"/>
          <w:sz w:val="24"/>
          <w:szCs w:val="24"/>
        </w:rPr>
        <w:t xml:space="preserve"> </w:t>
      </w:r>
      <w:r w:rsidR="00E11CB5" w:rsidRPr="000C6481">
        <w:rPr>
          <w:rFonts w:ascii="Times New Roman" w:hAnsi="Times New Roman"/>
          <w:sz w:val="24"/>
          <w:szCs w:val="24"/>
        </w:rPr>
        <w:t>izveid</w:t>
      </w:r>
      <w:r w:rsidR="00E11CB5">
        <w:rPr>
          <w:rFonts w:ascii="Times New Roman" w:hAnsi="Times New Roman"/>
          <w:sz w:val="24"/>
          <w:szCs w:val="24"/>
        </w:rPr>
        <w:t xml:space="preserve">ošanu </w:t>
      </w:r>
      <w:r>
        <w:rPr>
          <w:rFonts w:ascii="Times New Roman" w:hAnsi="Times New Roman"/>
          <w:sz w:val="24"/>
          <w:szCs w:val="24"/>
        </w:rPr>
        <w:t>un</w:t>
      </w:r>
      <w:r w:rsidRPr="000C6481">
        <w:rPr>
          <w:rFonts w:ascii="Times New Roman" w:hAnsi="Times New Roman"/>
          <w:sz w:val="24"/>
          <w:szCs w:val="24"/>
        </w:rPr>
        <w:t xml:space="preserve"> valsts atbalsta veidu nodalīšanu sabiedriskajiem un privātajiem medijiem.</w:t>
      </w:r>
    </w:p>
    <w:p w14:paraId="4F7EED18" w14:textId="77777777" w:rsidR="003D0715" w:rsidRPr="000C6481" w:rsidRDefault="003D0715" w:rsidP="003D0715">
      <w:pPr>
        <w:jc w:val="both"/>
        <w:rPr>
          <w:rFonts w:ascii="Times New Roman" w:hAnsi="Times New Roman"/>
          <w:sz w:val="24"/>
          <w:szCs w:val="24"/>
        </w:rPr>
      </w:pPr>
      <w:r w:rsidRPr="000C6481">
        <w:rPr>
          <w:rFonts w:ascii="Times New Roman" w:hAnsi="Times New Roman"/>
          <w:sz w:val="24"/>
          <w:szCs w:val="24"/>
        </w:rPr>
        <w:t>Vienlaikus ir uzsākta priekšlikumu izstrāde jaunam sabiedrisko mediju pārvaldības modelim, lai izveidotu jaunu pārvaldības institūciju, kā arī nostiprināt</w:t>
      </w:r>
      <w:r>
        <w:rPr>
          <w:rFonts w:ascii="Times New Roman" w:hAnsi="Times New Roman"/>
          <w:sz w:val="24"/>
          <w:szCs w:val="24"/>
        </w:rPr>
        <w:t>u</w:t>
      </w:r>
      <w:r w:rsidRPr="000C6481">
        <w:rPr>
          <w:rFonts w:ascii="Times New Roman" w:hAnsi="Times New Roman"/>
          <w:sz w:val="24"/>
          <w:szCs w:val="24"/>
        </w:rPr>
        <w:t xml:space="preserve"> sabiedrisko mediju redakcionālo neatkarību un pašpārvaldi un pārdefinēt</w:t>
      </w:r>
      <w:r>
        <w:rPr>
          <w:rFonts w:ascii="Times New Roman" w:hAnsi="Times New Roman"/>
          <w:sz w:val="24"/>
          <w:szCs w:val="24"/>
        </w:rPr>
        <w:t>u</w:t>
      </w:r>
      <w:r w:rsidRPr="000C6481">
        <w:rPr>
          <w:rFonts w:ascii="Times New Roman" w:hAnsi="Times New Roman"/>
          <w:sz w:val="24"/>
          <w:szCs w:val="24"/>
        </w:rPr>
        <w:t xml:space="preserve"> sabiedriskā pasūtījuma un tā izstrādes procesu.</w:t>
      </w:r>
    </w:p>
    <w:p w14:paraId="535A85A3" w14:textId="34BAC226" w:rsidR="003D0715" w:rsidRPr="000C6481" w:rsidRDefault="00E11CB5" w:rsidP="003D0715">
      <w:pPr>
        <w:jc w:val="both"/>
        <w:rPr>
          <w:rFonts w:ascii="Times New Roman" w:hAnsi="Times New Roman"/>
          <w:sz w:val="24"/>
          <w:szCs w:val="24"/>
        </w:rPr>
      </w:pPr>
      <w:r>
        <w:rPr>
          <w:rFonts w:ascii="Times New Roman" w:hAnsi="Times New Roman"/>
          <w:color w:val="000000"/>
          <w:sz w:val="24"/>
          <w:szCs w:val="24"/>
        </w:rPr>
        <w:t>VKKF i</w:t>
      </w:r>
      <w:r w:rsidR="003D0715" w:rsidRPr="000C6481">
        <w:rPr>
          <w:rFonts w:ascii="Times New Roman" w:hAnsi="Times New Roman"/>
          <w:color w:val="000000"/>
          <w:sz w:val="24"/>
          <w:szCs w:val="24"/>
        </w:rPr>
        <w:t>r atbalstī</w:t>
      </w:r>
      <w:r w:rsidR="003D0715">
        <w:rPr>
          <w:rFonts w:ascii="Times New Roman" w:hAnsi="Times New Roman"/>
          <w:color w:val="000000"/>
          <w:sz w:val="24"/>
          <w:szCs w:val="24"/>
        </w:rPr>
        <w:t>ti</w:t>
      </w:r>
      <w:r w:rsidR="003D0715" w:rsidRPr="000C6481">
        <w:rPr>
          <w:rFonts w:ascii="Times New Roman" w:hAnsi="Times New Roman"/>
          <w:color w:val="000000"/>
          <w:sz w:val="24"/>
          <w:szCs w:val="24"/>
        </w:rPr>
        <w:t xml:space="preserve"> deviņi projekti informatīvās vides stiprināšanai</w:t>
      </w:r>
      <w:r w:rsidR="003D0715" w:rsidRPr="00A14601">
        <w:rPr>
          <w:rFonts w:ascii="Times New Roman" w:hAnsi="Times New Roman"/>
          <w:color w:val="000000"/>
          <w:sz w:val="24"/>
          <w:szCs w:val="24"/>
        </w:rPr>
        <w:t xml:space="preserve"> </w:t>
      </w:r>
      <w:r w:rsidR="003D0715">
        <w:rPr>
          <w:rFonts w:ascii="Times New Roman" w:hAnsi="Times New Roman"/>
          <w:color w:val="000000"/>
          <w:sz w:val="24"/>
          <w:szCs w:val="24"/>
        </w:rPr>
        <w:t>(</w:t>
      </w:r>
      <w:r w:rsidR="003D0715" w:rsidRPr="000C6481">
        <w:rPr>
          <w:rFonts w:ascii="Times New Roman" w:hAnsi="Times New Roman"/>
          <w:color w:val="000000"/>
          <w:sz w:val="24"/>
          <w:szCs w:val="24"/>
        </w:rPr>
        <w:t xml:space="preserve">kopumā </w:t>
      </w:r>
      <w:r w:rsidR="003D0715">
        <w:rPr>
          <w:rFonts w:ascii="Times New Roman" w:hAnsi="Times New Roman"/>
          <w:color w:val="000000"/>
          <w:sz w:val="24"/>
          <w:szCs w:val="24"/>
        </w:rPr>
        <w:t xml:space="preserve">piešķirot </w:t>
      </w:r>
      <w:r w:rsidR="003D0715" w:rsidRPr="000C6481">
        <w:rPr>
          <w:rFonts w:ascii="Times New Roman" w:hAnsi="Times New Roman"/>
          <w:color w:val="000000"/>
          <w:sz w:val="24"/>
          <w:szCs w:val="24"/>
        </w:rPr>
        <w:t>118 462</w:t>
      </w:r>
      <w:r w:rsidR="003D0715">
        <w:rPr>
          <w:rFonts w:ascii="Times New Roman" w:hAnsi="Times New Roman"/>
          <w:color w:val="000000"/>
          <w:sz w:val="24"/>
          <w:szCs w:val="24"/>
        </w:rPr>
        <w:t> </w:t>
      </w:r>
      <w:proofErr w:type="spellStart"/>
      <w:r w:rsidR="003D0715" w:rsidRPr="000C6481">
        <w:rPr>
          <w:rFonts w:ascii="Times New Roman" w:hAnsi="Times New Roman"/>
          <w:i/>
          <w:color w:val="000000"/>
          <w:sz w:val="24"/>
          <w:szCs w:val="24"/>
        </w:rPr>
        <w:t>euro</w:t>
      </w:r>
      <w:proofErr w:type="spellEnd"/>
      <w:r w:rsidR="003D0715" w:rsidRPr="00A14601">
        <w:rPr>
          <w:rFonts w:ascii="Times New Roman" w:hAnsi="Times New Roman"/>
          <w:color w:val="000000"/>
          <w:sz w:val="24"/>
          <w:szCs w:val="24"/>
        </w:rPr>
        <w:t>)</w:t>
      </w:r>
      <w:r w:rsidR="003D0715" w:rsidRPr="000C6481">
        <w:rPr>
          <w:rFonts w:ascii="Times New Roman" w:hAnsi="Times New Roman"/>
          <w:sz w:val="24"/>
          <w:szCs w:val="24"/>
        </w:rPr>
        <w:t>, pirmo reizi Latgales reģiona medijie</w:t>
      </w:r>
      <w:r w:rsidR="003D0715">
        <w:rPr>
          <w:rFonts w:ascii="Times New Roman" w:hAnsi="Times New Roman"/>
          <w:sz w:val="24"/>
          <w:szCs w:val="24"/>
        </w:rPr>
        <w:t>m (neatkarīgi no to platformas)</w:t>
      </w:r>
      <w:r w:rsidR="003D0715" w:rsidRPr="000C6481">
        <w:rPr>
          <w:rFonts w:ascii="Times New Roman" w:hAnsi="Times New Roman"/>
          <w:sz w:val="24"/>
          <w:szCs w:val="24"/>
        </w:rPr>
        <w:t xml:space="preserve"> nodrošinot valsts finansējumu konkursa kārtībā.</w:t>
      </w:r>
    </w:p>
    <w:p w14:paraId="52C5A8D6" w14:textId="5B03E678" w:rsidR="003D0715" w:rsidRPr="000C6481" w:rsidRDefault="003D0715" w:rsidP="003D0715">
      <w:pPr>
        <w:jc w:val="both"/>
        <w:rPr>
          <w:rFonts w:ascii="Times New Roman" w:hAnsi="Times New Roman"/>
          <w:sz w:val="24"/>
          <w:szCs w:val="24"/>
        </w:rPr>
      </w:pPr>
      <w:r w:rsidRPr="000C6481">
        <w:rPr>
          <w:rFonts w:ascii="Times New Roman" w:hAnsi="Times New Roman"/>
          <w:sz w:val="24"/>
          <w:szCs w:val="24"/>
        </w:rPr>
        <w:t xml:space="preserve">Regulāri tiek organizēti </w:t>
      </w:r>
      <w:proofErr w:type="spellStart"/>
      <w:r w:rsidRPr="000C6481">
        <w:rPr>
          <w:rFonts w:ascii="Times New Roman" w:hAnsi="Times New Roman"/>
          <w:sz w:val="24"/>
          <w:szCs w:val="24"/>
        </w:rPr>
        <w:t>medijpratību</w:t>
      </w:r>
      <w:proofErr w:type="spellEnd"/>
      <w:r w:rsidRPr="000C6481">
        <w:rPr>
          <w:rFonts w:ascii="Times New Roman" w:hAnsi="Times New Roman"/>
          <w:sz w:val="24"/>
          <w:szCs w:val="24"/>
        </w:rPr>
        <w:t xml:space="preserve"> popularizējoši un veicinoši pasākumi. Piemēram, š.</w:t>
      </w:r>
      <w:r>
        <w:rPr>
          <w:rFonts w:ascii="Times New Roman" w:hAnsi="Times New Roman"/>
          <w:sz w:val="24"/>
          <w:szCs w:val="24"/>
        </w:rPr>
        <w:t> </w:t>
      </w:r>
      <w:r w:rsidRPr="000C6481">
        <w:rPr>
          <w:rFonts w:ascii="Times New Roman" w:hAnsi="Times New Roman"/>
          <w:sz w:val="24"/>
          <w:szCs w:val="24"/>
        </w:rPr>
        <w:t xml:space="preserve">g. jūnijā sadarbībā ar UNESCO sekretariātu, EK un Globālo aliansi </w:t>
      </w:r>
      <w:r w:rsidR="00E11CB5">
        <w:rPr>
          <w:rFonts w:ascii="Times New Roman" w:hAnsi="Times New Roman"/>
          <w:sz w:val="24"/>
          <w:szCs w:val="24"/>
        </w:rPr>
        <w:t xml:space="preserve">sadarbībai </w:t>
      </w:r>
      <w:proofErr w:type="spellStart"/>
      <w:r w:rsidRPr="000C6481">
        <w:rPr>
          <w:rFonts w:ascii="Times New Roman" w:hAnsi="Times New Roman"/>
          <w:sz w:val="24"/>
          <w:szCs w:val="24"/>
        </w:rPr>
        <w:t>medijpratības</w:t>
      </w:r>
      <w:proofErr w:type="spellEnd"/>
      <w:r w:rsidRPr="000C6481">
        <w:rPr>
          <w:rFonts w:ascii="Times New Roman" w:hAnsi="Times New Roman"/>
          <w:sz w:val="24"/>
          <w:szCs w:val="24"/>
        </w:rPr>
        <w:t xml:space="preserve"> un </w:t>
      </w:r>
      <w:proofErr w:type="spellStart"/>
      <w:r w:rsidRPr="000C6481">
        <w:rPr>
          <w:rFonts w:ascii="Times New Roman" w:hAnsi="Times New Roman"/>
          <w:sz w:val="24"/>
          <w:szCs w:val="24"/>
        </w:rPr>
        <w:t>informācijpratības</w:t>
      </w:r>
      <w:proofErr w:type="spellEnd"/>
      <w:r w:rsidRPr="000C6481">
        <w:rPr>
          <w:rFonts w:ascii="Times New Roman" w:hAnsi="Times New Roman"/>
          <w:sz w:val="24"/>
          <w:szCs w:val="24"/>
        </w:rPr>
        <w:t xml:space="preserve"> jomā (</w:t>
      </w:r>
      <w:r w:rsidRPr="000C6481">
        <w:rPr>
          <w:rFonts w:ascii="Times New Roman" w:hAnsi="Times New Roman"/>
          <w:i/>
          <w:sz w:val="24"/>
          <w:szCs w:val="24"/>
        </w:rPr>
        <w:t>GAPMIL</w:t>
      </w:r>
      <w:r w:rsidRPr="000C6481">
        <w:rPr>
          <w:rFonts w:ascii="Times New Roman" w:hAnsi="Times New Roman"/>
          <w:sz w:val="24"/>
          <w:szCs w:val="24"/>
        </w:rPr>
        <w:t xml:space="preserve">) Rīgā tika organizēts 2. Eiropas </w:t>
      </w:r>
      <w:proofErr w:type="spellStart"/>
      <w:r w:rsidRPr="000C6481">
        <w:rPr>
          <w:rFonts w:ascii="Times New Roman" w:hAnsi="Times New Roman"/>
          <w:sz w:val="24"/>
          <w:szCs w:val="24"/>
        </w:rPr>
        <w:t>Medijpratības</w:t>
      </w:r>
      <w:proofErr w:type="spellEnd"/>
      <w:r w:rsidRPr="000C6481">
        <w:rPr>
          <w:rFonts w:ascii="Times New Roman" w:hAnsi="Times New Roman"/>
          <w:sz w:val="24"/>
          <w:szCs w:val="24"/>
        </w:rPr>
        <w:t xml:space="preserve"> un </w:t>
      </w:r>
      <w:proofErr w:type="spellStart"/>
      <w:r w:rsidRPr="000C6481">
        <w:rPr>
          <w:rFonts w:ascii="Times New Roman" w:hAnsi="Times New Roman"/>
          <w:sz w:val="24"/>
          <w:szCs w:val="24"/>
        </w:rPr>
        <w:t>informācijpratības</w:t>
      </w:r>
      <w:proofErr w:type="spellEnd"/>
      <w:r w:rsidRPr="000C6481">
        <w:rPr>
          <w:rFonts w:ascii="Times New Roman" w:hAnsi="Times New Roman"/>
          <w:sz w:val="24"/>
          <w:szCs w:val="24"/>
        </w:rPr>
        <w:t xml:space="preserve"> forums (</w:t>
      </w:r>
      <w:proofErr w:type="spellStart"/>
      <w:r w:rsidRPr="000C6481">
        <w:rPr>
          <w:rFonts w:ascii="Times New Roman" w:hAnsi="Times New Roman"/>
          <w:i/>
          <w:sz w:val="24"/>
          <w:szCs w:val="24"/>
        </w:rPr>
        <w:t>The</w:t>
      </w:r>
      <w:proofErr w:type="spellEnd"/>
      <w:r w:rsidRPr="000C6481">
        <w:rPr>
          <w:rFonts w:ascii="Times New Roman" w:hAnsi="Times New Roman"/>
          <w:i/>
          <w:sz w:val="24"/>
          <w:szCs w:val="24"/>
        </w:rPr>
        <w:t xml:space="preserve"> </w:t>
      </w:r>
      <w:proofErr w:type="spellStart"/>
      <w:r w:rsidRPr="000C6481">
        <w:rPr>
          <w:rFonts w:ascii="Times New Roman" w:hAnsi="Times New Roman"/>
          <w:i/>
          <w:sz w:val="24"/>
          <w:szCs w:val="24"/>
        </w:rPr>
        <w:t>Second</w:t>
      </w:r>
      <w:proofErr w:type="spellEnd"/>
      <w:r w:rsidRPr="000C6481">
        <w:rPr>
          <w:rFonts w:ascii="Times New Roman" w:hAnsi="Times New Roman"/>
          <w:i/>
          <w:sz w:val="24"/>
          <w:szCs w:val="24"/>
        </w:rPr>
        <w:t xml:space="preserve"> </w:t>
      </w:r>
      <w:proofErr w:type="spellStart"/>
      <w:r w:rsidRPr="000C6481">
        <w:rPr>
          <w:rFonts w:ascii="Times New Roman" w:hAnsi="Times New Roman"/>
          <w:i/>
          <w:sz w:val="24"/>
          <w:szCs w:val="24"/>
        </w:rPr>
        <w:t>European</w:t>
      </w:r>
      <w:proofErr w:type="spellEnd"/>
      <w:r w:rsidRPr="000C6481">
        <w:rPr>
          <w:rFonts w:ascii="Times New Roman" w:hAnsi="Times New Roman"/>
          <w:i/>
          <w:sz w:val="24"/>
          <w:szCs w:val="24"/>
        </w:rPr>
        <w:t xml:space="preserve"> </w:t>
      </w:r>
      <w:proofErr w:type="spellStart"/>
      <w:r w:rsidRPr="000C6481">
        <w:rPr>
          <w:rFonts w:ascii="Times New Roman" w:hAnsi="Times New Roman"/>
          <w:i/>
          <w:sz w:val="24"/>
          <w:szCs w:val="24"/>
        </w:rPr>
        <w:t>Media</w:t>
      </w:r>
      <w:proofErr w:type="spellEnd"/>
      <w:r w:rsidRPr="000C6481">
        <w:rPr>
          <w:rFonts w:ascii="Times New Roman" w:hAnsi="Times New Roman"/>
          <w:i/>
          <w:sz w:val="24"/>
          <w:szCs w:val="24"/>
        </w:rPr>
        <w:t xml:space="preserve"> </w:t>
      </w:r>
      <w:proofErr w:type="spellStart"/>
      <w:r w:rsidRPr="000C6481">
        <w:rPr>
          <w:rFonts w:ascii="Times New Roman" w:hAnsi="Times New Roman"/>
          <w:i/>
          <w:sz w:val="24"/>
          <w:szCs w:val="24"/>
        </w:rPr>
        <w:t>and</w:t>
      </w:r>
      <w:proofErr w:type="spellEnd"/>
      <w:r w:rsidRPr="000C6481">
        <w:rPr>
          <w:rFonts w:ascii="Times New Roman" w:hAnsi="Times New Roman"/>
          <w:i/>
          <w:sz w:val="24"/>
          <w:szCs w:val="24"/>
        </w:rPr>
        <w:t xml:space="preserve"> </w:t>
      </w:r>
      <w:proofErr w:type="spellStart"/>
      <w:r w:rsidRPr="000C6481">
        <w:rPr>
          <w:rFonts w:ascii="Times New Roman" w:hAnsi="Times New Roman"/>
          <w:i/>
          <w:sz w:val="24"/>
          <w:szCs w:val="24"/>
        </w:rPr>
        <w:t>Information</w:t>
      </w:r>
      <w:proofErr w:type="spellEnd"/>
      <w:r w:rsidRPr="000C6481">
        <w:rPr>
          <w:rFonts w:ascii="Times New Roman" w:hAnsi="Times New Roman"/>
          <w:i/>
          <w:sz w:val="24"/>
          <w:szCs w:val="24"/>
        </w:rPr>
        <w:t xml:space="preserve"> </w:t>
      </w:r>
      <w:proofErr w:type="spellStart"/>
      <w:r w:rsidRPr="000C6481">
        <w:rPr>
          <w:rFonts w:ascii="Times New Roman" w:hAnsi="Times New Roman"/>
          <w:i/>
          <w:sz w:val="24"/>
          <w:szCs w:val="24"/>
        </w:rPr>
        <w:t>Literacy</w:t>
      </w:r>
      <w:proofErr w:type="spellEnd"/>
      <w:r w:rsidRPr="000C6481">
        <w:rPr>
          <w:rFonts w:ascii="Times New Roman" w:hAnsi="Times New Roman"/>
          <w:i/>
          <w:sz w:val="24"/>
          <w:szCs w:val="24"/>
        </w:rPr>
        <w:t xml:space="preserve"> </w:t>
      </w:r>
      <w:proofErr w:type="spellStart"/>
      <w:r w:rsidRPr="000C6481">
        <w:rPr>
          <w:rFonts w:ascii="Times New Roman" w:hAnsi="Times New Roman"/>
          <w:i/>
          <w:sz w:val="24"/>
          <w:szCs w:val="24"/>
        </w:rPr>
        <w:t>Forum</w:t>
      </w:r>
      <w:proofErr w:type="spellEnd"/>
      <w:r w:rsidRPr="000C6481">
        <w:rPr>
          <w:rFonts w:ascii="Times New Roman" w:hAnsi="Times New Roman"/>
          <w:sz w:val="24"/>
          <w:szCs w:val="24"/>
        </w:rPr>
        <w:t>). Savukārt 10.</w:t>
      </w:r>
      <w:r>
        <w:rPr>
          <w:rFonts w:ascii="Times New Roman" w:hAnsi="Times New Roman"/>
          <w:sz w:val="24"/>
          <w:szCs w:val="24"/>
        </w:rPr>
        <w:t> </w:t>
      </w:r>
      <w:r w:rsidRPr="000C6481">
        <w:rPr>
          <w:rFonts w:ascii="Times New Roman" w:hAnsi="Times New Roman"/>
          <w:sz w:val="24"/>
          <w:szCs w:val="24"/>
        </w:rPr>
        <w:t xml:space="preserve">oktobrī norisinājās </w:t>
      </w:r>
      <w:proofErr w:type="spellStart"/>
      <w:r w:rsidRPr="000C6481">
        <w:rPr>
          <w:rFonts w:ascii="Times New Roman" w:hAnsi="Times New Roman"/>
          <w:sz w:val="24"/>
          <w:szCs w:val="24"/>
        </w:rPr>
        <w:t>medijpratības</w:t>
      </w:r>
      <w:proofErr w:type="spellEnd"/>
      <w:r w:rsidRPr="000C6481">
        <w:rPr>
          <w:rFonts w:ascii="Times New Roman" w:hAnsi="Times New Roman"/>
          <w:sz w:val="24"/>
          <w:szCs w:val="24"/>
        </w:rPr>
        <w:t xml:space="preserve"> veicināšanas partneru sanāksme, kuras mērķis bija apkopot pieredzi par iniciatīvām Latvijā, lai turpmāk sekmētu un koordinētu </w:t>
      </w:r>
      <w:proofErr w:type="spellStart"/>
      <w:r w:rsidRPr="000C6481">
        <w:rPr>
          <w:rFonts w:ascii="Times New Roman" w:hAnsi="Times New Roman"/>
          <w:sz w:val="24"/>
          <w:szCs w:val="24"/>
        </w:rPr>
        <w:t>medijpratības</w:t>
      </w:r>
      <w:proofErr w:type="spellEnd"/>
      <w:r w:rsidRPr="000C6481">
        <w:rPr>
          <w:rFonts w:ascii="Times New Roman" w:hAnsi="Times New Roman"/>
          <w:sz w:val="24"/>
          <w:szCs w:val="24"/>
        </w:rPr>
        <w:t xml:space="preserve"> pasākumu plānošanu.</w:t>
      </w:r>
    </w:p>
    <w:p w14:paraId="53900778" w14:textId="4251D165" w:rsidR="006B13D3" w:rsidRPr="000C6481" w:rsidRDefault="003D0715" w:rsidP="003D0715">
      <w:pPr>
        <w:jc w:val="both"/>
        <w:rPr>
          <w:rFonts w:ascii="Times New Roman" w:hAnsi="Times New Roman"/>
          <w:sz w:val="24"/>
          <w:szCs w:val="24"/>
        </w:rPr>
      </w:pPr>
      <w:r w:rsidRPr="000C6481">
        <w:rPr>
          <w:rFonts w:ascii="Times New Roman" w:hAnsi="Times New Roman"/>
          <w:sz w:val="24"/>
          <w:szCs w:val="24"/>
        </w:rPr>
        <w:t xml:space="preserve">Aktīvs darbs informācijas telpas attīstības un mediju politikas </w:t>
      </w:r>
      <w:r>
        <w:rPr>
          <w:rFonts w:ascii="Times New Roman" w:hAnsi="Times New Roman"/>
          <w:sz w:val="24"/>
          <w:szCs w:val="24"/>
        </w:rPr>
        <w:t xml:space="preserve">jomā </w:t>
      </w:r>
      <w:r w:rsidRPr="000C6481">
        <w:rPr>
          <w:rFonts w:ascii="Times New Roman" w:hAnsi="Times New Roman"/>
          <w:sz w:val="24"/>
          <w:szCs w:val="24"/>
        </w:rPr>
        <w:t>norisināsies arī 2017.</w:t>
      </w:r>
      <w:r>
        <w:rPr>
          <w:rFonts w:ascii="Times New Roman" w:hAnsi="Times New Roman"/>
          <w:sz w:val="24"/>
          <w:szCs w:val="24"/>
        </w:rPr>
        <w:t> </w:t>
      </w:r>
      <w:r w:rsidRPr="000C6481">
        <w:rPr>
          <w:rFonts w:ascii="Times New Roman" w:hAnsi="Times New Roman"/>
          <w:sz w:val="24"/>
          <w:szCs w:val="24"/>
        </w:rPr>
        <w:t>gadā</w:t>
      </w:r>
      <w:r>
        <w:rPr>
          <w:rFonts w:ascii="Times New Roman" w:hAnsi="Times New Roman"/>
          <w:sz w:val="24"/>
          <w:szCs w:val="24"/>
        </w:rPr>
        <w:t>.</w:t>
      </w:r>
      <w:r w:rsidRPr="000C6481">
        <w:rPr>
          <w:rFonts w:ascii="Times New Roman" w:hAnsi="Times New Roman"/>
          <w:sz w:val="24"/>
          <w:szCs w:val="24"/>
        </w:rPr>
        <w:t xml:space="preserve"> Starp prioritārajiem pasākumiem ir plānots atbalsts medijiem, </w:t>
      </w:r>
      <w:r>
        <w:rPr>
          <w:rFonts w:ascii="Times New Roman" w:hAnsi="Times New Roman"/>
          <w:sz w:val="24"/>
          <w:szCs w:val="24"/>
        </w:rPr>
        <w:t>m</w:t>
      </w:r>
      <w:r w:rsidRPr="000C6481">
        <w:rPr>
          <w:rFonts w:ascii="Times New Roman" w:hAnsi="Times New Roman"/>
          <w:sz w:val="24"/>
          <w:szCs w:val="24"/>
        </w:rPr>
        <w:t xml:space="preserve">ediju ombuda darbības ietvara izveide, </w:t>
      </w:r>
      <w:proofErr w:type="spellStart"/>
      <w:r w:rsidRPr="000C6481">
        <w:rPr>
          <w:rFonts w:ascii="Times New Roman" w:hAnsi="Times New Roman"/>
          <w:sz w:val="24"/>
          <w:szCs w:val="24"/>
        </w:rPr>
        <w:t>medijpratības</w:t>
      </w:r>
      <w:proofErr w:type="spellEnd"/>
      <w:r w:rsidRPr="000C6481">
        <w:rPr>
          <w:rFonts w:ascii="Times New Roman" w:hAnsi="Times New Roman"/>
          <w:sz w:val="24"/>
          <w:szCs w:val="24"/>
        </w:rPr>
        <w:t xml:space="preserve"> pasākumu īstenošana, tiesību normu izstrāde par darba devēja valsts sociālās obligātās apdrošināšanas iemaksu veikšanu projektos, kas saņem publisko finansējumu no mediju atbalsta programmām.</w:t>
      </w:r>
    </w:p>
    <w:p w14:paraId="7A28D9EB" w14:textId="77777777" w:rsidR="00CF049E" w:rsidRPr="00716B0D" w:rsidRDefault="00CF049E" w:rsidP="00ED7D41">
      <w:pPr>
        <w:pStyle w:val="Heading1"/>
        <w:ind w:left="567" w:hanging="567"/>
        <w:rPr>
          <w:color w:val="0070C0"/>
        </w:rPr>
      </w:pPr>
      <w:bookmarkStart w:id="90" w:name="_Toc466466884"/>
      <w:r w:rsidRPr="00716B0D">
        <w:rPr>
          <w:color w:val="0070C0"/>
        </w:rPr>
        <w:lastRenderedPageBreak/>
        <w:t>Valsts i</w:t>
      </w:r>
      <w:r w:rsidR="00470FD2" w:rsidRPr="00716B0D">
        <w:rPr>
          <w:color w:val="0070C0"/>
        </w:rPr>
        <w:t>ekšējā un ārējā drošība</w:t>
      </w:r>
      <w:bookmarkEnd w:id="88"/>
      <w:bookmarkEnd w:id="89"/>
      <w:bookmarkEnd w:id="90"/>
      <w:r w:rsidR="00952BE2" w:rsidRPr="00716B0D">
        <w:rPr>
          <w:color w:val="0070C0"/>
        </w:rPr>
        <w:t xml:space="preserve"> </w:t>
      </w:r>
    </w:p>
    <w:p w14:paraId="26186437" w14:textId="77777777" w:rsidR="003D0715" w:rsidRPr="000C6481" w:rsidRDefault="003D0715" w:rsidP="003D0715">
      <w:pPr>
        <w:rPr>
          <w:sz w:val="24"/>
          <w:szCs w:val="24"/>
        </w:rPr>
      </w:pPr>
      <w:bookmarkStart w:id="91" w:name="_Toc465349558"/>
      <w:bookmarkStart w:id="92" w:name="_Toc465089736"/>
    </w:p>
    <w:p w14:paraId="10C94755" w14:textId="77777777" w:rsidR="003D0715" w:rsidRPr="000C6481" w:rsidRDefault="003D0715" w:rsidP="003D0715">
      <w:pPr>
        <w:jc w:val="both"/>
        <w:rPr>
          <w:rFonts w:ascii="Times New Roman" w:hAnsi="Times New Roman"/>
          <w:sz w:val="24"/>
          <w:szCs w:val="24"/>
        </w:rPr>
      </w:pPr>
      <w:r w:rsidRPr="000C6481">
        <w:rPr>
          <w:rFonts w:ascii="Times New Roman" w:hAnsi="Times New Roman"/>
          <w:sz w:val="24"/>
          <w:szCs w:val="24"/>
        </w:rPr>
        <w:t xml:space="preserve">Valsts aizsardzība un iekšējā drošība joprojām ir viena no valdības īstenotās politikas prioritātēm un darba kārtības aktualitātēm, īpaši ņemot </w:t>
      </w:r>
      <w:r>
        <w:rPr>
          <w:rFonts w:ascii="Times New Roman" w:hAnsi="Times New Roman"/>
          <w:sz w:val="24"/>
          <w:szCs w:val="24"/>
        </w:rPr>
        <w:t xml:space="preserve">vērā </w:t>
      </w:r>
      <w:r w:rsidRPr="000C6481">
        <w:rPr>
          <w:rFonts w:ascii="Times New Roman" w:hAnsi="Times New Roman"/>
          <w:sz w:val="24"/>
          <w:szCs w:val="24"/>
        </w:rPr>
        <w:t xml:space="preserve">politiskos un militāros procesus Latvijas </w:t>
      </w:r>
      <w:proofErr w:type="spellStart"/>
      <w:r w:rsidRPr="000C6481">
        <w:rPr>
          <w:rFonts w:ascii="Times New Roman" w:hAnsi="Times New Roman"/>
          <w:sz w:val="24"/>
          <w:szCs w:val="24"/>
        </w:rPr>
        <w:t>kaimiņreģionos</w:t>
      </w:r>
      <w:proofErr w:type="spellEnd"/>
      <w:r w:rsidRPr="000C6481">
        <w:rPr>
          <w:rFonts w:ascii="Times New Roman" w:hAnsi="Times New Roman"/>
          <w:sz w:val="24"/>
          <w:szCs w:val="24"/>
        </w:rPr>
        <w:t xml:space="preserve">, kā arī citās pasaules valstīs, kuri rada jaunus riskus un liek mums pievērst arvien lielāku uzmanību nacionālās drošības stiprināšanai. 2016. gadā Latvija turpināja attīstīt nacionālās pašaizsardzības spējas, stiprināt </w:t>
      </w:r>
      <w:r w:rsidRPr="00DB7A11">
        <w:rPr>
          <w:rFonts w:ascii="Times New Roman" w:hAnsi="Times New Roman"/>
          <w:sz w:val="24"/>
          <w:szCs w:val="24"/>
        </w:rPr>
        <w:t>tiesībaizsardzības</w:t>
      </w:r>
      <w:r w:rsidRPr="000C6481">
        <w:rPr>
          <w:rFonts w:ascii="Times New Roman" w:hAnsi="Times New Roman"/>
          <w:sz w:val="24"/>
          <w:szCs w:val="24"/>
        </w:rPr>
        <w:t xml:space="preserve"> iestāžu kapacitāti, kā arī sadarboties ar ES un NATO drošības apdraudējuma mazināšanā. Papildus tam valsts iekšējās un ārējās drošības stiprināšana ir viens no pamatnosacījumiem ilgtspējīgai valsts attīstībai. To apstiprina arī valdības 2017. gada budžeta izstrādes procesā pieņemtie lēmumi par papildu finansējuma piešķiršanu valsts aizsardzībai un sabiedrības drošībai.</w:t>
      </w:r>
      <w:r>
        <w:rPr>
          <w:rFonts w:ascii="Times New Roman" w:hAnsi="Times New Roman"/>
          <w:sz w:val="24"/>
          <w:szCs w:val="24"/>
        </w:rPr>
        <w:t xml:space="preserve"> </w:t>
      </w:r>
    </w:p>
    <w:p w14:paraId="14C247F2" w14:textId="77777777" w:rsidR="003D0715" w:rsidRPr="000C6481" w:rsidRDefault="003D0715" w:rsidP="003D0715">
      <w:pPr>
        <w:jc w:val="both"/>
        <w:rPr>
          <w:rFonts w:ascii="Times New Roman" w:hAnsi="Times New Roman"/>
          <w:sz w:val="24"/>
          <w:szCs w:val="24"/>
        </w:rPr>
      </w:pPr>
    </w:p>
    <w:p w14:paraId="1E7CA51D" w14:textId="279F3C45" w:rsidR="008C387F" w:rsidRPr="00716B0D" w:rsidRDefault="00FF1B19" w:rsidP="00B02009">
      <w:pPr>
        <w:pStyle w:val="Heading2"/>
        <w:rPr>
          <w:color w:val="0070C0"/>
        </w:rPr>
      </w:pPr>
      <w:r>
        <w:rPr>
          <w:color w:val="0070C0"/>
        </w:rPr>
        <w:t> </w:t>
      </w:r>
      <w:bookmarkStart w:id="93" w:name="_Toc466466885"/>
      <w:r w:rsidR="008C387F" w:rsidRPr="00716B0D">
        <w:rPr>
          <w:color w:val="0070C0"/>
        </w:rPr>
        <w:t>Valsts aizsardzības spēju stiprināšana</w:t>
      </w:r>
      <w:bookmarkEnd w:id="91"/>
      <w:bookmarkEnd w:id="92"/>
      <w:bookmarkEnd w:id="93"/>
    </w:p>
    <w:p w14:paraId="1835E28A" w14:textId="77777777" w:rsidR="003D0715" w:rsidRPr="000C6481" w:rsidRDefault="003D0715" w:rsidP="003D0715">
      <w:pPr>
        <w:jc w:val="both"/>
        <w:rPr>
          <w:rFonts w:ascii="Times New Roman" w:hAnsi="Times New Roman"/>
          <w:sz w:val="24"/>
          <w:szCs w:val="24"/>
        </w:rPr>
      </w:pPr>
      <w:bookmarkStart w:id="94" w:name="_Toc465349559"/>
      <w:bookmarkStart w:id="95" w:name="_Toc465089737"/>
      <w:r w:rsidRPr="000C6481">
        <w:rPr>
          <w:rFonts w:ascii="Times New Roman" w:hAnsi="Times New Roman"/>
          <w:sz w:val="24"/>
          <w:szCs w:val="24"/>
        </w:rPr>
        <w:t xml:space="preserve">Ģeopolitiskā situācija, kas nosaka Latvijas ārējās drošības apstākļus, nav mainījusies. Krievijas radītie izaicinājumi, tostarp pieaugošā militārā klātbūtne NATO pierobežā (piemēram, </w:t>
      </w:r>
      <w:r w:rsidRPr="002F6DAC">
        <w:rPr>
          <w:rFonts w:ascii="Times New Roman" w:hAnsi="Times New Roman"/>
          <w:i/>
          <w:sz w:val="24"/>
          <w:szCs w:val="24"/>
        </w:rPr>
        <w:t>Iskander</w:t>
      </w:r>
      <w:r w:rsidRPr="000C6481">
        <w:rPr>
          <w:rFonts w:ascii="Times New Roman" w:hAnsi="Times New Roman"/>
          <w:sz w:val="24"/>
          <w:szCs w:val="24"/>
        </w:rPr>
        <w:t xml:space="preserve"> raķešu izvietošana Kaļiņingradā un pēkšņas </w:t>
      </w:r>
      <w:r>
        <w:rPr>
          <w:rFonts w:ascii="Times New Roman" w:hAnsi="Times New Roman"/>
          <w:sz w:val="24"/>
          <w:szCs w:val="24"/>
        </w:rPr>
        <w:t>plaša mēroga militārās mācības)</w:t>
      </w:r>
      <w:r w:rsidRPr="000C6481">
        <w:rPr>
          <w:rFonts w:ascii="Times New Roman" w:hAnsi="Times New Roman"/>
          <w:sz w:val="24"/>
          <w:szCs w:val="24"/>
        </w:rPr>
        <w:t xml:space="preserve"> prasa stiprināt valsts spējas atturēt iespējamo agresiju. </w:t>
      </w:r>
    </w:p>
    <w:p w14:paraId="66408A84" w14:textId="77777777" w:rsidR="003D0715" w:rsidRPr="000C6481" w:rsidRDefault="003D0715" w:rsidP="003D0715">
      <w:pPr>
        <w:jc w:val="both"/>
        <w:rPr>
          <w:rFonts w:ascii="Times New Roman" w:hAnsi="Times New Roman"/>
          <w:sz w:val="24"/>
          <w:szCs w:val="24"/>
        </w:rPr>
      </w:pPr>
      <w:r w:rsidRPr="000C6481">
        <w:rPr>
          <w:rFonts w:ascii="Times New Roman" w:hAnsi="Times New Roman"/>
          <w:sz w:val="24"/>
          <w:szCs w:val="24"/>
        </w:rPr>
        <w:t xml:space="preserve">Valsts aizsardzības nodrošināšanai būtiska ir nacionālo pašaizsardzības spēju attīstība un sabiedroto klātbūtnes nodrošināšana reģionā, palielinot arī aizsardzībai atvēlēto finansējumu. </w:t>
      </w:r>
      <w:r>
        <w:rPr>
          <w:rFonts w:ascii="Times New Roman" w:hAnsi="Times New Roman"/>
          <w:sz w:val="24"/>
          <w:szCs w:val="24"/>
        </w:rPr>
        <w:t>Kopš</w:t>
      </w:r>
      <w:r w:rsidRPr="000C6481">
        <w:rPr>
          <w:rFonts w:ascii="Times New Roman" w:hAnsi="Times New Roman"/>
          <w:sz w:val="24"/>
          <w:szCs w:val="24"/>
        </w:rPr>
        <w:t xml:space="preserve"> 2013.</w:t>
      </w:r>
      <w:r>
        <w:rPr>
          <w:rFonts w:ascii="Times New Roman" w:hAnsi="Times New Roman"/>
          <w:sz w:val="24"/>
          <w:szCs w:val="24"/>
        </w:rPr>
        <w:t> </w:t>
      </w:r>
      <w:r w:rsidRPr="000C6481">
        <w:rPr>
          <w:rFonts w:ascii="Times New Roman" w:hAnsi="Times New Roman"/>
          <w:sz w:val="24"/>
          <w:szCs w:val="24"/>
        </w:rPr>
        <w:t>gad</w:t>
      </w:r>
      <w:r>
        <w:rPr>
          <w:rFonts w:ascii="Times New Roman" w:hAnsi="Times New Roman"/>
          <w:sz w:val="24"/>
          <w:szCs w:val="24"/>
        </w:rPr>
        <w:t>a</w:t>
      </w:r>
      <w:r w:rsidRPr="000C6481">
        <w:rPr>
          <w:rFonts w:ascii="Times New Roman" w:hAnsi="Times New Roman"/>
          <w:sz w:val="24"/>
          <w:szCs w:val="24"/>
        </w:rPr>
        <w:t xml:space="preserve"> pakāpeniski tika palielināts aizsardzības nozares budžets, 2016.</w:t>
      </w:r>
      <w:r>
        <w:rPr>
          <w:rFonts w:ascii="Times New Roman" w:hAnsi="Times New Roman"/>
          <w:sz w:val="24"/>
          <w:szCs w:val="24"/>
        </w:rPr>
        <w:t> </w:t>
      </w:r>
      <w:r w:rsidRPr="000C6481">
        <w:rPr>
          <w:rFonts w:ascii="Times New Roman" w:hAnsi="Times New Roman"/>
          <w:sz w:val="24"/>
          <w:szCs w:val="24"/>
        </w:rPr>
        <w:t>gadā sasniedzot 1,4</w:t>
      </w:r>
      <w:r>
        <w:rPr>
          <w:rFonts w:ascii="Times New Roman" w:hAnsi="Times New Roman"/>
          <w:sz w:val="24"/>
          <w:szCs w:val="24"/>
        </w:rPr>
        <w:t> %</w:t>
      </w:r>
      <w:r w:rsidRPr="000C6481">
        <w:rPr>
          <w:rFonts w:ascii="Times New Roman" w:hAnsi="Times New Roman"/>
          <w:sz w:val="24"/>
          <w:szCs w:val="24"/>
        </w:rPr>
        <w:t xml:space="preserve"> no IKP (skat. 13.</w:t>
      </w:r>
      <w:r>
        <w:rPr>
          <w:rFonts w:ascii="Times New Roman" w:hAnsi="Times New Roman"/>
          <w:sz w:val="24"/>
          <w:szCs w:val="24"/>
        </w:rPr>
        <w:t> </w:t>
      </w:r>
      <w:r w:rsidRPr="000C6481">
        <w:rPr>
          <w:rFonts w:ascii="Times New Roman" w:hAnsi="Times New Roman"/>
          <w:sz w:val="24"/>
          <w:szCs w:val="24"/>
        </w:rPr>
        <w:t>attēlu)</w:t>
      </w:r>
      <w:r>
        <w:rPr>
          <w:rFonts w:ascii="Times New Roman" w:hAnsi="Times New Roman"/>
          <w:sz w:val="24"/>
          <w:szCs w:val="24"/>
        </w:rPr>
        <w:t xml:space="preserve"> un</w:t>
      </w:r>
      <w:proofErr w:type="gramStart"/>
      <w:r>
        <w:rPr>
          <w:rFonts w:ascii="Times New Roman" w:hAnsi="Times New Roman"/>
          <w:sz w:val="24"/>
          <w:szCs w:val="24"/>
        </w:rPr>
        <w:t xml:space="preserve"> apņemoties</w:t>
      </w:r>
      <w:r w:rsidRPr="000C6481">
        <w:rPr>
          <w:rFonts w:ascii="Times New Roman" w:hAnsi="Times New Roman"/>
          <w:sz w:val="24"/>
          <w:szCs w:val="24"/>
        </w:rPr>
        <w:t xml:space="preserve"> 2017.</w:t>
      </w:r>
      <w:r>
        <w:rPr>
          <w:rFonts w:ascii="Times New Roman" w:hAnsi="Times New Roman"/>
          <w:sz w:val="24"/>
          <w:szCs w:val="24"/>
        </w:rPr>
        <w:t> </w:t>
      </w:r>
      <w:r w:rsidRPr="000C6481">
        <w:rPr>
          <w:rFonts w:ascii="Times New Roman" w:hAnsi="Times New Roman"/>
          <w:sz w:val="24"/>
          <w:szCs w:val="24"/>
        </w:rPr>
        <w:t>gadā valsts aizsardzībai atvēlēt 1,7</w:t>
      </w:r>
      <w:r>
        <w:rPr>
          <w:rFonts w:ascii="Times New Roman" w:hAnsi="Times New Roman"/>
          <w:sz w:val="24"/>
          <w:szCs w:val="24"/>
        </w:rPr>
        <w:t> %</w:t>
      </w:r>
      <w:r w:rsidRPr="000C6481">
        <w:rPr>
          <w:rFonts w:ascii="Times New Roman" w:hAnsi="Times New Roman"/>
          <w:sz w:val="24"/>
          <w:szCs w:val="24"/>
        </w:rPr>
        <w:t xml:space="preserve"> no IKP</w:t>
      </w:r>
      <w:proofErr w:type="gramEnd"/>
      <w:r w:rsidRPr="000C6481">
        <w:rPr>
          <w:rFonts w:ascii="Times New Roman" w:hAnsi="Times New Roman"/>
          <w:sz w:val="24"/>
          <w:szCs w:val="24"/>
        </w:rPr>
        <w:t>, lai 2018.</w:t>
      </w:r>
      <w:r>
        <w:rPr>
          <w:rFonts w:ascii="Times New Roman" w:hAnsi="Times New Roman"/>
          <w:sz w:val="24"/>
          <w:szCs w:val="24"/>
        </w:rPr>
        <w:t> </w:t>
      </w:r>
      <w:r w:rsidRPr="000C6481">
        <w:rPr>
          <w:rFonts w:ascii="Times New Roman" w:hAnsi="Times New Roman"/>
          <w:sz w:val="24"/>
          <w:szCs w:val="24"/>
        </w:rPr>
        <w:t>gadā sasniegtu 2</w:t>
      </w:r>
      <w:r>
        <w:rPr>
          <w:rFonts w:ascii="Times New Roman" w:hAnsi="Times New Roman"/>
          <w:sz w:val="24"/>
          <w:szCs w:val="24"/>
        </w:rPr>
        <w:t> %</w:t>
      </w:r>
      <w:r w:rsidRPr="000C6481">
        <w:rPr>
          <w:rFonts w:ascii="Times New Roman" w:hAnsi="Times New Roman"/>
          <w:sz w:val="24"/>
          <w:szCs w:val="24"/>
        </w:rPr>
        <w:t xml:space="preserve"> no IKP. Šī apņemšanās tika īstenota, izstrādājot 2017.</w:t>
      </w:r>
      <w:r>
        <w:rPr>
          <w:rFonts w:ascii="Times New Roman" w:hAnsi="Times New Roman"/>
          <w:sz w:val="24"/>
          <w:szCs w:val="24"/>
        </w:rPr>
        <w:t> </w:t>
      </w:r>
      <w:r w:rsidRPr="000C6481">
        <w:rPr>
          <w:rFonts w:ascii="Times New Roman" w:hAnsi="Times New Roman"/>
          <w:sz w:val="24"/>
          <w:szCs w:val="24"/>
        </w:rPr>
        <w:t xml:space="preserve">gada budžetu un novirzot papildu finansējumu </w:t>
      </w:r>
      <w:proofErr w:type="spellStart"/>
      <w:r w:rsidRPr="000C6481">
        <w:rPr>
          <w:rFonts w:ascii="Times New Roman" w:hAnsi="Times New Roman"/>
          <w:sz w:val="24"/>
          <w:szCs w:val="24"/>
        </w:rPr>
        <w:t>AiM</w:t>
      </w:r>
      <w:proofErr w:type="spellEnd"/>
      <w:r w:rsidRPr="000C6481">
        <w:rPr>
          <w:rFonts w:ascii="Times New Roman" w:hAnsi="Times New Roman"/>
          <w:sz w:val="24"/>
          <w:szCs w:val="24"/>
        </w:rPr>
        <w:t xml:space="preserve"> prioritārajiem projektiem, kas vērsti uz Nacionālo bruņoto spēku un Zemessardzes kaujas gatavības spēju paaugstināšanu un ekipējuma modernizēšanu. </w:t>
      </w:r>
    </w:p>
    <w:p w14:paraId="08E83EB2" w14:textId="77777777" w:rsidR="001E4800" w:rsidRDefault="001E4800" w:rsidP="003D0715">
      <w:pPr>
        <w:jc w:val="right"/>
        <w:rPr>
          <w:rFonts w:ascii="Times New Roman" w:hAnsi="Times New Roman"/>
          <w:sz w:val="24"/>
          <w:szCs w:val="24"/>
        </w:rPr>
      </w:pPr>
    </w:p>
    <w:p w14:paraId="50B9E1F1" w14:textId="77777777" w:rsidR="001E4800" w:rsidRDefault="001E4800" w:rsidP="003D0715">
      <w:pPr>
        <w:jc w:val="right"/>
        <w:rPr>
          <w:rFonts w:ascii="Times New Roman" w:hAnsi="Times New Roman"/>
          <w:sz w:val="24"/>
          <w:szCs w:val="24"/>
        </w:rPr>
      </w:pPr>
    </w:p>
    <w:p w14:paraId="061DCBFF" w14:textId="77777777" w:rsidR="001E4800" w:rsidRDefault="001E4800" w:rsidP="003D0715">
      <w:pPr>
        <w:jc w:val="right"/>
        <w:rPr>
          <w:rFonts w:ascii="Times New Roman" w:hAnsi="Times New Roman"/>
          <w:sz w:val="24"/>
          <w:szCs w:val="24"/>
        </w:rPr>
      </w:pPr>
    </w:p>
    <w:p w14:paraId="4027A943" w14:textId="77777777" w:rsidR="001E4800" w:rsidRDefault="001E4800" w:rsidP="003D0715">
      <w:pPr>
        <w:jc w:val="right"/>
        <w:rPr>
          <w:rFonts w:ascii="Times New Roman" w:hAnsi="Times New Roman"/>
          <w:sz w:val="24"/>
          <w:szCs w:val="24"/>
        </w:rPr>
      </w:pPr>
    </w:p>
    <w:p w14:paraId="4C954EF3" w14:textId="77777777" w:rsidR="001E4800" w:rsidRDefault="001E4800" w:rsidP="003D0715">
      <w:pPr>
        <w:jc w:val="right"/>
        <w:rPr>
          <w:rFonts w:ascii="Times New Roman" w:hAnsi="Times New Roman"/>
          <w:sz w:val="24"/>
          <w:szCs w:val="24"/>
        </w:rPr>
      </w:pPr>
    </w:p>
    <w:p w14:paraId="1702916D" w14:textId="77777777" w:rsidR="001E4800" w:rsidRDefault="001E4800" w:rsidP="003D0715">
      <w:pPr>
        <w:jc w:val="right"/>
        <w:rPr>
          <w:rFonts w:ascii="Times New Roman" w:hAnsi="Times New Roman"/>
          <w:sz w:val="24"/>
          <w:szCs w:val="24"/>
        </w:rPr>
      </w:pPr>
    </w:p>
    <w:p w14:paraId="5891D192" w14:textId="77777777" w:rsidR="001E4800" w:rsidRDefault="001E4800" w:rsidP="003D0715">
      <w:pPr>
        <w:jc w:val="right"/>
        <w:rPr>
          <w:rFonts w:ascii="Times New Roman" w:hAnsi="Times New Roman"/>
          <w:sz w:val="24"/>
          <w:szCs w:val="24"/>
        </w:rPr>
      </w:pPr>
    </w:p>
    <w:p w14:paraId="6D21B91C" w14:textId="77777777" w:rsidR="001E4800" w:rsidRDefault="001E4800" w:rsidP="003D0715">
      <w:pPr>
        <w:jc w:val="right"/>
        <w:rPr>
          <w:rFonts w:ascii="Times New Roman" w:hAnsi="Times New Roman"/>
          <w:sz w:val="24"/>
          <w:szCs w:val="24"/>
        </w:rPr>
      </w:pPr>
    </w:p>
    <w:p w14:paraId="550EE79B" w14:textId="77777777" w:rsidR="003D0715" w:rsidRPr="000C6481" w:rsidRDefault="003D0715" w:rsidP="003D0715">
      <w:pPr>
        <w:jc w:val="right"/>
        <w:rPr>
          <w:rFonts w:ascii="Times New Roman" w:hAnsi="Times New Roman"/>
          <w:sz w:val="24"/>
          <w:szCs w:val="24"/>
        </w:rPr>
      </w:pPr>
      <w:r w:rsidRPr="000C6481">
        <w:rPr>
          <w:rFonts w:ascii="Times New Roman" w:hAnsi="Times New Roman"/>
          <w:sz w:val="24"/>
          <w:szCs w:val="24"/>
        </w:rPr>
        <w:lastRenderedPageBreak/>
        <w:t>13.</w:t>
      </w:r>
      <w:r>
        <w:rPr>
          <w:rFonts w:ascii="Times New Roman" w:hAnsi="Times New Roman"/>
          <w:sz w:val="24"/>
          <w:szCs w:val="24"/>
        </w:rPr>
        <w:t> </w:t>
      </w:r>
      <w:r w:rsidRPr="000C6481">
        <w:rPr>
          <w:rFonts w:ascii="Times New Roman" w:hAnsi="Times New Roman"/>
          <w:sz w:val="24"/>
          <w:szCs w:val="24"/>
        </w:rPr>
        <w:t>attēls</w:t>
      </w:r>
    </w:p>
    <w:p w14:paraId="37D8169A" w14:textId="77777777" w:rsidR="003D0715" w:rsidRPr="000C6481" w:rsidRDefault="003D0715" w:rsidP="003D0715">
      <w:pPr>
        <w:spacing w:after="0" w:line="240" w:lineRule="auto"/>
        <w:jc w:val="center"/>
        <w:rPr>
          <w:rFonts w:ascii="Times New Roman" w:hAnsi="Times New Roman"/>
          <w:sz w:val="24"/>
          <w:szCs w:val="24"/>
        </w:rPr>
      </w:pPr>
      <w:r w:rsidRPr="000C6481">
        <w:rPr>
          <w:rFonts w:ascii="Times New Roman" w:hAnsi="Times New Roman"/>
          <w:b/>
          <w:sz w:val="24"/>
          <w:szCs w:val="24"/>
        </w:rPr>
        <w:t>Aizsardzības budžets</w:t>
      </w:r>
    </w:p>
    <w:p w14:paraId="77E7DDFF" w14:textId="77777777" w:rsidR="003D0715" w:rsidRPr="000C6481" w:rsidRDefault="003D0715" w:rsidP="003D0715">
      <w:pPr>
        <w:spacing w:after="0" w:line="240" w:lineRule="auto"/>
        <w:jc w:val="center"/>
        <w:rPr>
          <w:rFonts w:ascii="Times New Roman" w:hAnsi="Times New Roman"/>
          <w:sz w:val="24"/>
          <w:szCs w:val="24"/>
        </w:rPr>
      </w:pPr>
      <w:r>
        <w:rPr>
          <w:rFonts w:ascii="Times New Roman" w:hAnsi="Times New Roman"/>
          <w:sz w:val="24"/>
          <w:szCs w:val="24"/>
        </w:rPr>
        <w:t>%</w:t>
      </w:r>
      <w:r w:rsidRPr="000C6481">
        <w:rPr>
          <w:rFonts w:ascii="Times New Roman" w:hAnsi="Times New Roman"/>
          <w:sz w:val="24"/>
          <w:szCs w:val="24"/>
        </w:rPr>
        <w:t xml:space="preserve"> no IKP</w:t>
      </w:r>
    </w:p>
    <w:p w14:paraId="153C677E" w14:textId="77777777" w:rsidR="003D0715" w:rsidRPr="000C6481" w:rsidRDefault="003D0715" w:rsidP="003D0715">
      <w:pPr>
        <w:spacing w:after="0" w:line="240" w:lineRule="auto"/>
        <w:jc w:val="center"/>
        <w:rPr>
          <w:rFonts w:ascii="Times New Roman" w:hAnsi="Times New Roman"/>
          <w:sz w:val="24"/>
          <w:szCs w:val="24"/>
        </w:rPr>
      </w:pPr>
      <w:r>
        <w:rPr>
          <w:noProof/>
          <w:sz w:val="24"/>
          <w:szCs w:val="24"/>
          <w:lang w:eastAsia="lv-LV"/>
        </w:rPr>
        <w:drawing>
          <wp:inline distT="0" distB="0" distL="0" distR="0" wp14:anchorId="37539938" wp14:editId="191FBD86">
            <wp:extent cx="5303520" cy="2409245"/>
            <wp:effectExtent l="0" t="0" r="11430" b="10160"/>
            <wp:docPr id="24"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95AF6CF" w14:textId="77777777" w:rsidR="003D0715" w:rsidRPr="001E4800" w:rsidRDefault="003D0715" w:rsidP="003D0715">
      <w:pPr>
        <w:jc w:val="both"/>
        <w:rPr>
          <w:rFonts w:ascii="Times New Roman" w:hAnsi="Times New Roman"/>
          <w:sz w:val="20"/>
          <w:szCs w:val="20"/>
        </w:rPr>
      </w:pPr>
      <w:r w:rsidRPr="001E4800">
        <w:rPr>
          <w:rFonts w:ascii="Times New Roman" w:hAnsi="Times New Roman"/>
          <w:sz w:val="20"/>
          <w:szCs w:val="20"/>
        </w:rPr>
        <w:t>Avots: Aizsardzības ministrija, Aizsardzības budžeta izlietojums http://www.mod.gov.lv/~/media/AM/Aktualitates/Aktuali_pielikumi_foto_video/2014/Infografika_aizsardzibas_budzets_2016 %205.ashx (sk. 04.11.2016)</w:t>
      </w:r>
    </w:p>
    <w:p w14:paraId="41BB3938" w14:textId="77777777" w:rsidR="003D0715" w:rsidRPr="000C6481" w:rsidRDefault="003D0715" w:rsidP="003D0715">
      <w:pPr>
        <w:jc w:val="both"/>
        <w:rPr>
          <w:rFonts w:ascii="Times New Roman" w:hAnsi="Times New Roman"/>
          <w:sz w:val="24"/>
          <w:szCs w:val="24"/>
        </w:rPr>
      </w:pPr>
      <w:r w:rsidRPr="000C6481">
        <w:rPr>
          <w:rFonts w:ascii="Times New Roman" w:hAnsi="Times New Roman"/>
          <w:sz w:val="24"/>
          <w:szCs w:val="24"/>
        </w:rPr>
        <w:t xml:space="preserve">Būtiska uzmanība tiek pievērsta Latvijas pašaizsardzības spējām, īstenojot Nacionālo bruņoto spēku Sauszemes kājnieku brigādes mehanizācijas projektu, apmācot atbildīgo personālu un iegādājoties Latvijas apstākļiem piemērotu ekipējumu. </w:t>
      </w:r>
      <w:proofErr w:type="gramStart"/>
      <w:r w:rsidRPr="000C6481">
        <w:rPr>
          <w:rFonts w:ascii="Times New Roman" w:hAnsi="Times New Roman"/>
          <w:sz w:val="24"/>
          <w:szCs w:val="24"/>
        </w:rPr>
        <w:t>Ir pabeigta</w:t>
      </w:r>
      <w:proofErr w:type="gramEnd"/>
      <w:r w:rsidRPr="000C6481">
        <w:rPr>
          <w:rFonts w:ascii="Times New Roman" w:hAnsi="Times New Roman"/>
          <w:sz w:val="24"/>
          <w:szCs w:val="24"/>
        </w:rPr>
        <w:t xml:space="preserve"> Speciālo uzdevumu vienības kaujas grupas izveide atbilstoši NATO standartiem, </w:t>
      </w:r>
      <w:r>
        <w:rPr>
          <w:rFonts w:ascii="Times New Roman" w:hAnsi="Times New Roman"/>
          <w:sz w:val="24"/>
          <w:szCs w:val="24"/>
        </w:rPr>
        <w:t>kā arī</w:t>
      </w:r>
      <w:r w:rsidRPr="000C6481">
        <w:rPr>
          <w:rFonts w:ascii="Times New Roman" w:hAnsi="Times New Roman"/>
          <w:sz w:val="24"/>
          <w:szCs w:val="24"/>
        </w:rPr>
        <w:t xml:space="preserve"> uzsākta NATO integrētas pretgaisa aizsardzības sistēmas izveide, paredzot pretgaisa aizsardzības raķešu un gaisa telpas novērošanas radaru iegādi. </w:t>
      </w:r>
      <w:r>
        <w:rPr>
          <w:rFonts w:ascii="Times New Roman" w:hAnsi="Times New Roman"/>
          <w:sz w:val="24"/>
          <w:szCs w:val="24"/>
        </w:rPr>
        <w:t>L</w:t>
      </w:r>
      <w:r w:rsidRPr="000C6481">
        <w:rPr>
          <w:rFonts w:ascii="Times New Roman" w:hAnsi="Times New Roman"/>
          <w:sz w:val="24"/>
          <w:szCs w:val="24"/>
        </w:rPr>
        <w:t xml:space="preserve">ai palielinātu Zemessardzes kapacitāti un lomu valsts aizsardzībā, notiek individuālo ieroču sistēmu nomaiņa paaugstinātas gatavības Zemessardzes vienībām, kā arī tiek veidots reģionālā līmeņa poligons zemessargu sagatavošanai. </w:t>
      </w:r>
      <w:proofErr w:type="spellStart"/>
      <w:r w:rsidRPr="000C6481">
        <w:rPr>
          <w:rFonts w:ascii="Times New Roman" w:hAnsi="Times New Roman"/>
          <w:sz w:val="24"/>
          <w:szCs w:val="24"/>
        </w:rPr>
        <w:t>AiM</w:t>
      </w:r>
      <w:proofErr w:type="spellEnd"/>
      <w:r w:rsidRPr="000C6481">
        <w:rPr>
          <w:rFonts w:ascii="Times New Roman" w:hAnsi="Times New Roman"/>
          <w:sz w:val="24"/>
          <w:szCs w:val="24"/>
        </w:rPr>
        <w:t xml:space="preserve"> pilnveido zemessargu apmācību procesu, turpinot meklēt piemērotākos risinājumus, lai stimulētu darba devējus atbalstīt to uzņēmumos strādājošos zemessarg</w:t>
      </w:r>
      <w:r>
        <w:rPr>
          <w:rFonts w:ascii="Times New Roman" w:hAnsi="Times New Roman"/>
          <w:sz w:val="24"/>
          <w:szCs w:val="24"/>
        </w:rPr>
        <w:t>us dalībai mācībās desmit darb</w:t>
      </w:r>
      <w:r w:rsidRPr="000C6481">
        <w:rPr>
          <w:rFonts w:ascii="Times New Roman" w:hAnsi="Times New Roman"/>
          <w:sz w:val="24"/>
          <w:szCs w:val="24"/>
        </w:rPr>
        <w:t xml:space="preserve">dienas gadā. </w:t>
      </w:r>
    </w:p>
    <w:p w14:paraId="468EE0E6" w14:textId="77777777" w:rsidR="003D0715" w:rsidRPr="000C6481" w:rsidRDefault="003D0715" w:rsidP="003D0715">
      <w:pPr>
        <w:jc w:val="both"/>
        <w:rPr>
          <w:rFonts w:ascii="Times New Roman" w:hAnsi="Times New Roman"/>
          <w:sz w:val="24"/>
          <w:szCs w:val="24"/>
        </w:rPr>
      </w:pPr>
      <w:r w:rsidRPr="000C6481">
        <w:rPr>
          <w:rFonts w:ascii="Times New Roman" w:hAnsi="Times New Roman"/>
          <w:sz w:val="24"/>
          <w:szCs w:val="24"/>
        </w:rPr>
        <w:t xml:space="preserve">Šogad tika nodrošināta iespēja 7200 jaunsargiem piedalīties vismaz vienā nometnē mācību gada laikā. Jaunsardzes kustībai ir īpaša loma jaunatnes izglītošanā par valsts aizsardzības jautājumiem un intereses radīšanā par dienestu Nacionālajos bruņotajos spēkos. Tāpēc </w:t>
      </w:r>
      <w:proofErr w:type="spellStart"/>
      <w:r w:rsidRPr="000C6481">
        <w:rPr>
          <w:rFonts w:ascii="Times New Roman" w:hAnsi="Times New Roman"/>
          <w:sz w:val="24"/>
          <w:szCs w:val="24"/>
        </w:rPr>
        <w:t>AiM</w:t>
      </w:r>
      <w:proofErr w:type="spellEnd"/>
      <w:r w:rsidRPr="000C6481">
        <w:rPr>
          <w:rFonts w:ascii="Times New Roman" w:hAnsi="Times New Roman"/>
          <w:sz w:val="24"/>
          <w:szCs w:val="24"/>
        </w:rPr>
        <w:t xml:space="preserve"> ir apņēmusies palielināt apmācāmo jaunsargu skaitu un nākamgad nodrošināt iespēju 9000 jaunieš</w:t>
      </w:r>
      <w:r>
        <w:rPr>
          <w:rFonts w:ascii="Times New Roman" w:hAnsi="Times New Roman"/>
          <w:sz w:val="24"/>
          <w:szCs w:val="24"/>
        </w:rPr>
        <w:t>iem</w:t>
      </w:r>
      <w:r w:rsidRPr="000C6481">
        <w:rPr>
          <w:rFonts w:ascii="Times New Roman" w:hAnsi="Times New Roman"/>
          <w:sz w:val="24"/>
          <w:szCs w:val="24"/>
        </w:rPr>
        <w:t xml:space="preserve"> iesaistīties Jaunsardzes kustībā.</w:t>
      </w:r>
    </w:p>
    <w:p w14:paraId="7256C34C" w14:textId="1CAA8321" w:rsidR="003D0715" w:rsidRPr="000C6481" w:rsidRDefault="003D0715" w:rsidP="003D0715">
      <w:pPr>
        <w:jc w:val="both"/>
        <w:rPr>
          <w:rFonts w:ascii="Times New Roman" w:hAnsi="Times New Roman"/>
          <w:sz w:val="24"/>
          <w:szCs w:val="24"/>
        </w:rPr>
      </w:pPr>
      <w:r w:rsidRPr="000C6481">
        <w:rPr>
          <w:rFonts w:ascii="Times New Roman" w:hAnsi="Times New Roman"/>
          <w:sz w:val="24"/>
          <w:szCs w:val="24"/>
        </w:rPr>
        <w:t>Š.</w:t>
      </w:r>
      <w:r>
        <w:rPr>
          <w:rFonts w:ascii="Times New Roman" w:hAnsi="Times New Roman"/>
          <w:sz w:val="24"/>
          <w:szCs w:val="24"/>
        </w:rPr>
        <w:t> </w:t>
      </w:r>
      <w:r w:rsidRPr="000C6481">
        <w:rPr>
          <w:rFonts w:ascii="Times New Roman" w:hAnsi="Times New Roman"/>
          <w:sz w:val="24"/>
          <w:szCs w:val="24"/>
        </w:rPr>
        <w:t>g. 8. jūlijā Varšavā notikušajā NATO samitā apstiprinātā sabiedroto gatavība piemērot kolektīvās aizsardzības garantijas hibrīdā apdraudējuma gadījumā, kā arī NATO un ES līderu kopēja deklarācija par sadarbības stiprināšanu dažādos drošības jautājumos (piemēram, kiberdrošībā, hibrīdā apdraudējuma novēršanā, jūrlietu drošībā, trešo valstu aizsardzības spēju stiprināšan</w:t>
      </w:r>
      <w:r>
        <w:rPr>
          <w:rFonts w:ascii="Times New Roman" w:hAnsi="Times New Roman"/>
          <w:sz w:val="24"/>
          <w:szCs w:val="24"/>
        </w:rPr>
        <w:t>ā un apmācību rīkošanā)</w:t>
      </w:r>
      <w:r w:rsidRPr="000C6481">
        <w:rPr>
          <w:rFonts w:ascii="Times New Roman" w:hAnsi="Times New Roman"/>
          <w:sz w:val="24"/>
          <w:szCs w:val="24"/>
        </w:rPr>
        <w:t xml:space="preserve"> ļaus NATO dalībvalstīm attīstīt spējas </w:t>
      </w:r>
      <w:r w:rsidR="00C35AB6">
        <w:rPr>
          <w:rFonts w:ascii="Times New Roman" w:hAnsi="Times New Roman"/>
          <w:sz w:val="24"/>
          <w:szCs w:val="24"/>
        </w:rPr>
        <w:t>laikus</w:t>
      </w:r>
      <w:r w:rsidRPr="000C6481">
        <w:rPr>
          <w:rFonts w:ascii="Times New Roman" w:hAnsi="Times New Roman"/>
          <w:sz w:val="24"/>
          <w:szCs w:val="24"/>
        </w:rPr>
        <w:t xml:space="preserve"> konstatēt un efektīvi reaģēt uz hibrīdā apdraudējuma radītiem izaicinājumiem. Šajā kontekstā Latvijai ir svarīgi turpināt </w:t>
      </w:r>
      <w:r w:rsidRPr="000C6481">
        <w:rPr>
          <w:rFonts w:ascii="Times New Roman" w:hAnsi="Times New Roman"/>
          <w:sz w:val="24"/>
          <w:szCs w:val="24"/>
        </w:rPr>
        <w:lastRenderedPageBreak/>
        <w:t xml:space="preserve">iesākto darbu nacionālo civilo un militāro spēju stiprināšanai kiberdrošības, efektīvas stratēģiskās komunikācijas, iekšējās stabilitātes un krīžu vadības jomās. </w:t>
      </w:r>
    </w:p>
    <w:p w14:paraId="058F4275" w14:textId="754BFD3C" w:rsidR="003D0715" w:rsidRPr="000C6481" w:rsidRDefault="003D0715" w:rsidP="003D0715">
      <w:pPr>
        <w:jc w:val="both"/>
        <w:rPr>
          <w:rFonts w:ascii="Times New Roman" w:hAnsi="Times New Roman"/>
          <w:sz w:val="24"/>
          <w:szCs w:val="24"/>
        </w:rPr>
      </w:pPr>
      <w:r w:rsidRPr="000C6481">
        <w:rPr>
          <w:rFonts w:ascii="Times New Roman" w:hAnsi="Times New Roman"/>
          <w:sz w:val="24"/>
          <w:szCs w:val="24"/>
        </w:rPr>
        <w:t>Papildus tam NATO samitā Varšavā tika apstiprināta vienošanās par NATO sabiedroto spēku klātbūtni Baltijas valstīs un Polijā rotācijas kārtībā, nosakot, ka Latvijā tiks izvietotas daudznacionālā bataljona kaujas grupas Kanādas vadībā.</w:t>
      </w:r>
      <w:r>
        <w:rPr>
          <w:rFonts w:ascii="Times New Roman" w:hAnsi="Times New Roman"/>
          <w:sz w:val="24"/>
          <w:szCs w:val="24"/>
        </w:rPr>
        <w:t xml:space="preserve"> </w:t>
      </w:r>
      <w:r w:rsidRPr="000C6481">
        <w:rPr>
          <w:rFonts w:ascii="Times New Roman" w:hAnsi="Times New Roman"/>
          <w:sz w:val="24"/>
          <w:szCs w:val="24"/>
        </w:rPr>
        <w:t xml:space="preserve">Tāpēc Latvija, lai nodrošinātu arvien lielāku sabiedroto spēku klātbūtni reģionā, </w:t>
      </w:r>
      <w:r w:rsidR="006B13D3" w:rsidRPr="006B13D3">
        <w:rPr>
          <w:rFonts w:ascii="Times New Roman" w:hAnsi="Times New Roman"/>
          <w:bCs/>
          <w:sz w:val="24"/>
          <w:szCs w:val="24"/>
        </w:rPr>
        <w:t>pilnveido uzņemošās valsts atbalstu un</w:t>
      </w:r>
      <w:r w:rsidRPr="000C6481">
        <w:rPr>
          <w:rFonts w:ascii="Times New Roman" w:hAnsi="Times New Roman"/>
          <w:sz w:val="24"/>
          <w:szCs w:val="24"/>
        </w:rPr>
        <w:t xml:space="preserve"> turpina darbu pie Nacionālo bruņoto spēku infrastruktūras attīstības, paplašinot Ādažu poligona teritoriju, uzlabojot Ādažu bāzes un </w:t>
      </w:r>
      <w:proofErr w:type="spellStart"/>
      <w:r w:rsidRPr="000C6481">
        <w:rPr>
          <w:rFonts w:ascii="Times New Roman" w:hAnsi="Times New Roman"/>
          <w:sz w:val="24"/>
          <w:szCs w:val="24"/>
        </w:rPr>
        <w:t>Lāčusila</w:t>
      </w:r>
      <w:proofErr w:type="spellEnd"/>
      <w:r w:rsidRPr="000C6481">
        <w:rPr>
          <w:rFonts w:ascii="Times New Roman" w:hAnsi="Times New Roman"/>
          <w:sz w:val="24"/>
          <w:szCs w:val="24"/>
        </w:rPr>
        <w:t xml:space="preserve"> poligona infrastruktūru. </w:t>
      </w:r>
    </w:p>
    <w:p w14:paraId="63F5421E" w14:textId="77777777" w:rsidR="003D0715" w:rsidRPr="000C6481" w:rsidRDefault="003D0715" w:rsidP="003D0715">
      <w:pPr>
        <w:jc w:val="both"/>
        <w:rPr>
          <w:rFonts w:ascii="Times New Roman" w:hAnsi="Times New Roman"/>
          <w:sz w:val="24"/>
          <w:szCs w:val="24"/>
        </w:rPr>
      </w:pPr>
      <w:r w:rsidRPr="000C6481">
        <w:rPr>
          <w:rFonts w:ascii="Times New Roman" w:hAnsi="Times New Roman"/>
          <w:sz w:val="24"/>
          <w:szCs w:val="24"/>
        </w:rPr>
        <w:t>Lai nodrošinātu mainīgajai starptautiskajai drošības videi nepieciešamās aizsardzības spējas, Latvijai ir svarīgi turpināt gan divpusējo, gan daudzpusējo sadarbību ar NATO un ES. Latvija nodrošināja dalību starptautiskajās misijās un operācij</w:t>
      </w:r>
      <w:r>
        <w:rPr>
          <w:rFonts w:ascii="Times New Roman" w:hAnsi="Times New Roman"/>
          <w:sz w:val="24"/>
          <w:szCs w:val="24"/>
        </w:rPr>
        <w:t>ā</w:t>
      </w:r>
      <w:r w:rsidRPr="000C6481">
        <w:rPr>
          <w:rFonts w:ascii="Times New Roman" w:hAnsi="Times New Roman"/>
          <w:sz w:val="24"/>
          <w:szCs w:val="24"/>
        </w:rPr>
        <w:t xml:space="preserve">s, lai stiprinātu NBS spējas un kaujas gatavību, kā arī sadarbību ar sabiedroto militārajiem spēkiem. </w:t>
      </w:r>
    </w:p>
    <w:p w14:paraId="52F65AE7" w14:textId="77777777" w:rsidR="003D0715" w:rsidRPr="000C6481" w:rsidRDefault="003D0715" w:rsidP="003D0715">
      <w:pPr>
        <w:jc w:val="both"/>
        <w:rPr>
          <w:rFonts w:ascii="Times New Roman" w:hAnsi="Times New Roman"/>
          <w:sz w:val="24"/>
          <w:szCs w:val="24"/>
        </w:rPr>
      </w:pPr>
      <w:r w:rsidRPr="000C6481">
        <w:rPr>
          <w:rFonts w:ascii="Times New Roman" w:hAnsi="Times New Roman"/>
          <w:sz w:val="24"/>
          <w:szCs w:val="24"/>
        </w:rPr>
        <w:t>Ņemot vērā, ka ne mazāk kā 20</w:t>
      </w:r>
      <w:r>
        <w:rPr>
          <w:rFonts w:ascii="Times New Roman" w:hAnsi="Times New Roman"/>
          <w:sz w:val="24"/>
          <w:szCs w:val="24"/>
        </w:rPr>
        <w:t> %</w:t>
      </w:r>
      <w:r w:rsidRPr="000C6481">
        <w:rPr>
          <w:rFonts w:ascii="Times New Roman" w:hAnsi="Times New Roman"/>
          <w:sz w:val="24"/>
          <w:szCs w:val="24"/>
        </w:rPr>
        <w:t xml:space="preserve"> no aizsardzības nozares izdevumiem jāatvēl jauna ekipējuma iegādei un investīcijām ar aizsardzības nozari saistītos pētniecības un attīstības projektos, tiek sekmēta sadarbība ar vietējiem uzņēmumiem, sevišķi atbalstot to ciešāku iesaisti NBS iepirkumos un ar nozari saistītos pētniecības projektos. Valdība ir atbalstījusi pasākumus lielākai vietējo ražotāju iesaistei </w:t>
      </w:r>
      <w:proofErr w:type="spellStart"/>
      <w:r w:rsidRPr="000C6481">
        <w:rPr>
          <w:rFonts w:ascii="Times New Roman" w:hAnsi="Times New Roman"/>
          <w:sz w:val="24"/>
          <w:szCs w:val="24"/>
        </w:rPr>
        <w:t>AiM</w:t>
      </w:r>
      <w:proofErr w:type="spellEnd"/>
      <w:r w:rsidRPr="000C6481">
        <w:rPr>
          <w:rFonts w:ascii="Times New Roman" w:hAnsi="Times New Roman"/>
          <w:sz w:val="24"/>
          <w:szCs w:val="24"/>
        </w:rPr>
        <w:t xml:space="preserve"> iepirkumos, piemēram, iesaistot vietējo industriju apakšuzņēmēju statusā iepirkumos virs 3</w:t>
      </w:r>
      <w:r>
        <w:rPr>
          <w:rFonts w:ascii="Times New Roman" w:hAnsi="Times New Roman"/>
          <w:sz w:val="24"/>
          <w:szCs w:val="24"/>
        </w:rPr>
        <w:t> milj.</w:t>
      </w:r>
      <w:r w:rsidRPr="000C6481">
        <w:rPr>
          <w:rFonts w:ascii="Times New Roman" w:hAnsi="Times New Roman"/>
          <w:sz w:val="24"/>
          <w:szCs w:val="24"/>
        </w:rPr>
        <w:t xml:space="preserve"> </w:t>
      </w:r>
      <w:proofErr w:type="spellStart"/>
      <w:r w:rsidRPr="000C6481">
        <w:rPr>
          <w:rFonts w:ascii="Times New Roman" w:hAnsi="Times New Roman"/>
          <w:i/>
          <w:sz w:val="24"/>
          <w:szCs w:val="24"/>
        </w:rPr>
        <w:t>euro</w:t>
      </w:r>
      <w:proofErr w:type="spellEnd"/>
      <w:r w:rsidRPr="000C6481">
        <w:rPr>
          <w:rFonts w:ascii="Times New Roman" w:hAnsi="Times New Roman"/>
          <w:sz w:val="24"/>
          <w:szCs w:val="24"/>
        </w:rPr>
        <w:t>. Tāpat Latvijas uzņēmējiem tiek nodrošināta informācija par iespēj</w:t>
      </w:r>
      <w:r>
        <w:rPr>
          <w:rFonts w:ascii="Times New Roman" w:hAnsi="Times New Roman"/>
          <w:sz w:val="24"/>
          <w:szCs w:val="24"/>
        </w:rPr>
        <w:t>ā</w:t>
      </w:r>
      <w:r w:rsidRPr="000C6481">
        <w:rPr>
          <w:rFonts w:ascii="Times New Roman" w:hAnsi="Times New Roman"/>
          <w:sz w:val="24"/>
          <w:szCs w:val="24"/>
        </w:rPr>
        <w:t>m iesaistīties NATO piegādes ķēdēs un ES līmeņa atbalsta programmās.</w:t>
      </w:r>
    </w:p>
    <w:p w14:paraId="500A403C" w14:textId="77777777" w:rsidR="003D0715" w:rsidRPr="000C6481" w:rsidRDefault="003D0715" w:rsidP="003D0715">
      <w:pPr>
        <w:jc w:val="both"/>
        <w:rPr>
          <w:rFonts w:ascii="Times New Roman" w:hAnsi="Times New Roman"/>
          <w:sz w:val="24"/>
          <w:szCs w:val="24"/>
        </w:rPr>
      </w:pPr>
      <w:r w:rsidRPr="000C6481">
        <w:rPr>
          <w:rFonts w:ascii="Times New Roman" w:hAnsi="Times New Roman"/>
          <w:sz w:val="24"/>
          <w:szCs w:val="24"/>
        </w:rPr>
        <w:t>Š.</w:t>
      </w:r>
      <w:r>
        <w:rPr>
          <w:rFonts w:ascii="Times New Roman" w:hAnsi="Times New Roman"/>
          <w:sz w:val="24"/>
          <w:szCs w:val="24"/>
        </w:rPr>
        <w:t> </w:t>
      </w:r>
      <w:r w:rsidRPr="000C6481">
        <w:rPr>
          <w:rFonts w:ascii="Times New Roman" w:hAnsi="Times New Roman"/>
          <w:sz w:val="24"/>
          <w:szCs w:val="24"/>
        </w:rPr>
        <w:t>g. 16. jūnijā Saeima apstiprināja jaunu Valsts aizsardzības koncepciju, kurā noteikti militārās aizsardzības stratēģiskie pamatprincipi, politiskās vadlīnijas, prioritātes un pasākumi valsts aizsardzības nodrošināšanai. Ņemot vēr</w:t>
      </w:r>
      <w:r>
        <w:rPr>
          <w:rFonts w:ascii="Times New Roman" w:hAnsi="Times New Roman"/>
          <w:sz w:val="24"/>
          <w:szCs w:val="24"/>
        </w:rPr>
        <w:t>ā</w:t>
      </w:r>
      <w:r w:rsidRPr="000C6481">
        <w:rPr>
          <w:rFonts w:ascii="Times New Roman" w:hAnsi="Times New Roman"/>
          <w:sz w:val="24"/>
          <w:szCs w:val="24"/>
        </w:rPr>
        <w:t xml:space="preserve"> Valsts aizsardzības koncepcijā noteikto, tiek plānoti konkrēti valsts aizsardzības pasākumi, to īstenošanai nepieciešamie resursi un Nacionālo bruņoto spēku attīstība. Šobrīd </w:t>
      </w:r>
      <w:r>
        <w:rPr>
          <w:rFonts w:ascii="Times New Roman" w:hAnsi="Times New Roman"/>
          <w:sz w:val="24"/>
          <w:szCs w:val="24"/>
        </w:rPr>
        <w:t>tiek izstrādāts</w:t>
      </w:r>
      <w:r w:rsidRPr="000C6481">
        <w:rPr>
          <w:rFonts w:ascii="Times New Roman" w:hAnsi="Times New Roman"/>
          <w:sz w:val="24"/>
          <w:szCs w:val="24"/>
        </w:rPr>
        <w:t xml:space="preserve"> jaun</w:t>
      </w:r>
      <w:r>
        <w:rPr>
          <w:rFonts w:ascii="Times New Roman" w:hAnsi="Times New Roman"/>
          <w:sz w:val="24"/>
          <w:szCs w:val="24"/>
        </w:rPr>
        <w:t>s</w:t>
      </w:r>
      <w:r w:rsidRPr="000C6481">
        <w:rPr>
          <w:rFonts w:ascii="Times New Roman" w:hAnsi="Times New Roman"/>
          <w:sz w:val="24"/>
          <w:szCs w:val="24"/>
        </w:rPr>
        <w:t xml:space="preserve"> Nacionālo bruņoto spēku attīstības plān</w:t>
      </w:r>
      <w:r>
        <w:rPr>
          <w:rFonts w:ascii="Times New Roman" w:hAnsi="Times New Roman"/>
          <w:sz w:val="24"/>
          <w:szCs w:val="24"/>
        </w:rPr>
        <w:t>s</w:t>
      </w:r>
      <w:r w:rsidRPr="000C6481">
        <w:rPr>
          <w:rFonts w:ascii="Times New Roman" w:hAnsi="Times New Roman"/>
          <w:sz w:val="24"/>
          <w:szCs w:val="24"/>
        </w:rPr>
        <w:t xml:space="preserve"> 2016.–2028. gadam, kurā tiks noteikti Nacionālo bruņoto spēku attīstības mērķi un prioritātes.</w:t>
      </w:r>
    </w:p>
    <w:p w14:paraId="344F225A" w14:textId="113CB464" w:rsidR="003D0715" w:rsidRPr="000C6481" w:rsidRDefault="003D0715" w:rsidP="003D0715">
      <w:pPr>
        <w:jc w:val="both"/>
        <w:rPr>
          <w:rFonts w:ascii="Times New Roman" w:hAnsi="Times New Roman"/>
          <w:sz w:val="24"/>
          <w:szCs w:val="24"/>
        </w:rPr>
      </w:pPr>
      <w:r w:rsidRPr="000C6481">
        <w:rPr>
          <w:rFonts w:ascii="Times New Roman" w:hAnsi="Times New Roman"/>
          <w:sz w:val="24"/>
          <w:szCs w:val="24"/>
        </w:rPr>
        <w:t>Š.</w:t>
      </w:r>
      <w:r>
        <w:rPr>
          <w:rFonts w:ascii="Times New Roman" w:hAnsi="Times New Roman"/>
          <w:sz w:val="24"/>
          <w:szCs w:val="24"/>
        </w:rPr>
        <w:t> </w:t>
      </w:r>
      <w:r w:rsidRPr="000C6481">
        <w:rPr>
          <w:rFonts w:ascii="Times New Roman" w:hAnsi="Times New Roman"/>
          <w:sz w:val="24"/>
          <w:szCs w:val="24"/>
        </w:rPr>
        <w:t xml:space="preserve">g. 18. oktobrī mācību </w:t>
      </w:r>
      <w:r>
        <w:rPr>
          <w:rFonts w:ascii="Times New Roman" w:hAnsi="Times New Roman"/>
          <w:sz w:val="24"/>
          <w:szCs w:val="24"/>
        </w:rPr>
        <w:t>"</w:t>
      </w:r>
      <w:r w:rsidRPr="000C6481">
        <w:rPr>
          <w:rFonts w:ascii="Times New Roman" w:hAnsi="Times New Roman"/>
          <w:sz w:val="24"/>
          <w:szCs w:val="24"/>
        </w:rPr>
        <w:t>Kristaps 2016</w:t>
      </w:r>
      <w:r>
        <w:rPr>
          <w:rFonts w:ascii="Times New Roman" w:hAnsi="Times New Roman"/>
          <w:sz w:val="24"/>
          <w:szCs w:val="24"/>
        </w:rPr>
        <w:t>"</w:t>
      </w:r>
      <w:r w:rsidRPr="000C6481">
        <w:rPr>
          <w:rFonts w:ascii="Times New Roman" w:hAnsi="Times New Roman"/>
          <w:sz w:val="24"/>
          <w:szCs w:val="24"/>
        </w:rPr>
        <w:t xml:space="preserve"> </w:t>
      </w:r>
      <w:r>
        <w:rPr>
          <w:rFonts w:ascii="Times New Roman" w:hAnsi="Times New Roman"/>
          <w:sz w:val="24"/>
          <w:szCs w:val="24"/>
        </w:rPr>
        <w:t xml:space="preserve">ietvaros </w:t>
      </w:r>
      <w:r w:rsidRPr="000C6481">
        <w:rPr>
          <w:rFonts w:ascii="Times New Roman" w:hAnsi="Times New Roman"/>
          <w:sz w:val="24"/>
          <w:szCs w:val="24"/>
        </w:rPr>
        <w:t xml:space="preserve">notika </w:t>
      </w:r>
      <w:r>
        <w:rPr>
          <w:rFonts w:ascii="Times New Roman" w:hAnsi="Times New Roman"/>
          <w:sz w:val="24"/>
          <w:szCs w:val="24"/>
        </w:rPr>
        <w:t>Ministru kabineta</w:t>
      </w:r>
      <w:r w:rsidRPr="000C6481">
        <w:rPr>
          <w:rFonts w:ascii="Times New Roman" w:hAnsi="Times New Roman"/>
          <w:sz w:val="24"/>
          <w:szCs w:val="24"/>
        </w:rPr>
        <w:t xml:space="preserve"> sēdes izspēle, pārbaudot MK rīcību hibrīda apdraudējuma gadījumā. Mācību sagatavošanā tika iesaistītas visas ministrijas, to padotības iestādes, valsts drošības iestādes, kā arī </w:t>
      </w:r>
      <w:r w:rsidR="00AF229C">
        <w:rPr>
          <w:rFonts w:ascii="Times New Roman" w:hAnsi="Times New Roman"/>
          <w:sz w:val="24"/>
          <w:szCs w:val="24"/>
        </w:rPr>
        <w:t>t</w:t>
      </w:r>
      <w:r w:rsidRPr="00AF229C">
        <w:rPr>
          <w:rFonts w:ascii="Times New Roman" w:hAnsi="Times New Roman"/>
          <w:sz w:val="24"/>
          <w:szCs w:val="24"/>
        </w:rPr>
        <w:t>iesībsargs.</w:t>
      </w:r>
      <w:r w:rsidRPr="000C6481">
        <w:rPr>
          <w:rFonts w:ascii="Times New Roman" w:hAnsi="Times New Roman"/>
          <w:sz w:val="24"/>
          <w:szCs w:val="24"/>
        </w:rPr>
        <w:t xml:space="preserve"> Turpmāk mācības </w:t>
      </w:r>
      <w:r>
        <w:rPr>
          <w:rFonts w:ascii="Times New Roman" w:hAnsi="Times New Roman"/>
          <w:sz w:val="24"/>
          <w:szCs w:val="24"/>
        </w:rPr>
        <w:t>"</w:t>
      </w:r>
      <w:r w:rsidRPr="000C6481">
        <w:rPr>
          <w:rFonts w:ascii="Times New Roman" w:hAnsi="Times New Roman"/>
          <w:sz w:val="24"/>
          <w:szCs w:val="24"/>
        </w:rPr>
        <w:t>Kristaps</w:t>
      </w:r>
      <w:r>
        <w:rPr>
          <w:rFonts w:ascii="Times New Roman" w:hAnsi="Times New Roman"/>
          <w:sz w:val="24"/>
          <w:szCs w:val="24"/>
        </w:rPr>
        <w:t>"</w:t>
      </w:r>
      <w:r w:rsidRPr="000C6481">
        <w:rPr>
          <w:rFonts w:ascii="Times New Roman" w:hAnsi="Times New Roman"/>
          <w:sz w:val="24"/>
          <w:szCs w:val="24"/>
        </w:rPr>
        <w:t xml:space="preserve"> plānots rīkot </w:t>
      </w:r>
      <w:r>
        <w:rPr>
          <w:rFonts w:ascii="Times New Roman" w:hAnsi="Times New Roman"/>
          <w:sz w:val="24"/>
          <w:szCs w:val="24"/>
        </w:rPr>
        <w:t>katru gadu</w:t>
      </w:r>
      <w:r w:rsidRPr="000C6481">
        <w:rPr>
          <w:rFonts w:ascii="Times New Roman" w:hAnsi="Times New Roman"/>
          <w:sz w:val="24"/>
          <w:szCs w:val="24"/>
        </w:rPr>
        <w:t>, attīstot MK lēmumu pieņemšanas spējas dažādās iespējamās valsts apdraudējuma situācijās.</w:t>
      </w:r>
    </w:p>
    <w:p w14:paraId="5AE5A764" w14:textId="77777777" w:rsidR="003D0715" w:rsidRPr="000C6481" w:rsidRDefault="003D0715" w:rsidP="003D0715">
      <w:pPr>
        <w:jc w:val="both"/>
        <w:rPr>
          <w:rFonts w:ascii="Times New Roman" w:hAnsi="Times New Roman"/>
          <w:sz w:val="24"/>
          <w:szCs w:val="24"/>
        </w:rPr>
      </w:pPr>
    </w:p>
    <w:p w14:paraId="11C9B134" w14:textId="22D7F411" w:rsidR="008C387F" w:rsidRPr="00716B0D" w:rsidRDefault="00FF1B19" w:rsidP="00B02009">
      <w:pPr>
        <w:pStyle w:val="Heading2"/>
        <w:rPr>
          <w:color w:val="0070C0"/>
        </w:rPr>
      </w:pPr>
      <w:r>
        <w:rPr>
          <w:color w:val="0070C0"/>
        </w:rPr>
        <w:t> </w:t>
      </w:r>
      <w:bookmarkStart w:id="96" w:name="_Toc466466886"/>
      <w:r w:rsidR="008C387F" w:rsidRPr="00716B0D">
        <w:rPr>
          <w:color w:val="0070C0"/>
        </w:rPr>
        <w:t>Iekšējā drošība</w:t>
      </w:r>
      <w:bookmarkEnd w:id="94"/>
      <w:bookmarkEnd w:id="95"/>
      <w:bookmarkEnd w:id="96"/>
    </w:p>
    <w:p w14:paraId="4096A37B" w14:textId="77777777" w:rsidR="003D0715" w:rsidRPr="000C6481" w:rsidRDefault="003D0715" w:rsidP="003D0715">
      <w:pPr>
        <w:jc w:val="both"/>
        <w:rPr>
          <w:rFonts w:ascii="Times New Roman" w:hAnsi="Times New Roman"/>
          <w:sz w:val="24"/>
          <w:szCs w:val="24"/>
        </w:rPr>
      </w:pPr>
      <w:r w:rsidRPr="000C6481">
        <w:rPr>
          <w:rFonts w:ascii="Times New Roman" w:hAnsi="Times New Roman"/>
          <w:sz w:val="24"/>
          <w:szCs w:val="24"/>
        </w:rPr>
        <w:t>Starptautisko un r</w:t>
      </w:r>
      <w:r>
        <w:rPr>
          <w:rFonts w:ascii="Times New Roman" w:hAnsi="Times New Roman"/>
          <w:sz w:val="24"/>
          <w:szCs w:val="24"/>
        </w:rPr>
        <w:t>eģionālo drošības risku ietekmē</w:t>
      </w:r>
      <w:r w:rsidRPr="000C6481">
        <w:rPr>
          <w:rFonts w:ascii="Times New Roman" w:hAnsi="Times New Roman"/>
          <w:sz w:val="24"/>
          <w:szCs w:val="24"/>
        </w:rPr>
        <w:t xml:space="preserve"> aktuāli kļūst tādi iekšējās drošības jautājumi kā terorisms, organizētā noziedzība, nelegālā migrācija, kontrabanda un cilvēku tirdzniecība. Visi šie jautājumi nezaudē savu nozīmi arī valdības darba kārtībā, jo tie ietekmē sabiedrības drošību un interešu aizsardzību. Terorisms ir kļuvis </w:t>
      </w:r>
      <w:r w:rsidRPr="000C6481">
        <w:rPr>
          <w:rFonts w:ascii="Times New Roman" w:hAnsi="Times New Roman"/>
          <w:sz w:val="24"/>
          <w:szCs w:val="24"/>
        </w:rPr>
        <w:lastRenderedPageBreak/>
        <w:t>par nozīmīgu drošības izaicinājumu visām pasaules valstīm, un, lai gan terorisma draudu līmenis Latvijā joprojām ir zems, drošības dienestiem ir jābūt gataviem reaģēt uz šo potenciālo drošības risku, tāpēc šogad tika apstiprināts jauns Pretterorisma plāns.</w:t>
      </w:r>
    </w:p>
    <w:p w14:paraId="6E0A88D0" w14:textId="54754FD5" w:rsidR="003D0715" w:rsidRPr="000C6481" w:rsidRDefault="003D0715" w:rsidP="003D0715">
      <w:pPr>
        <w:jc w:val="both"/>
        <w:rPr>
          <w:rFonts w:ascii="Times New Roman" w:hAnsi="Times New Roman"/>
          <w:sz w:val="24"/>
          <w:szCs w:val="24"/>
        </w:rPr>
      </w:pPr>
      <w:r w:rsidRPr="000C6481">
        <w:rPr>
          <w:rFonts w:ascii="Times New Roman" w:hAnsi="Times New Roman"/>
          <w:sz w:val="24"/>
          <w:szCs w:val="24"/>
        </w:rPr>
        <w:t>Valsts robežas drošība, kā arī Valsts robežsardzes kapacitāte un spēja reaģēt uz apdraudējumu ir nozīmīgs priekšnoteikums valsts iekšējās drošības garantēšanai, īpaši ņemot vērā migrācijas krīzes radītos riskus un izaicinājumus. Būtiskākie šobrīd īstenojamie Latvijas austrumu robežas sti</w:t>
      </w:r>
      <w:r>
        <w:rPr>
          <w:rFonts w:ascii="Times New Roman" w:hAnsi="Times New Roman"/>
          <w:sz w:val="24"/>
          <w:szCs w:val="24"/>
        </w:rPr>
        <w:t>prināšanas pasākumi ir Latvijas–Krievijas un Latvijas–</w:t>
      </w:r>
      <w:r w:rsidRPr="000C6481">
        <w:rPr>
          <w:rFonts w:ascii="Times New Roman" w:hAnsi="Times New Roman"/>
          <w:sz w:val="24"/>
          <w:szCs w:val="24"/>
        </w:rPr>
        <w:t>Baltkrievijas robežas iekārtošana, palielinot Valsts robežsardzes mobilitāti un padarot efektīvāku robežas kontroli un nelegālās migrācijas ierobežošanu. Ir pabeigta Latvijas un Krievijas robežas demarkācija, šobrīd tiek turpināt</w:t>
      </w:r>
      <w:r>
        <w:rPr>
          <w:rFonts w:ascii="Times New Roman" w:hAnsi="Times New Roman"/>
          <w:sz w:val="24"/>
          <w:szCs w:val="24"/>
        </w:rPr>
        <w:t>a</w:t>
      </w:r>
      <w:r w:rsidRPr="000C6481">
        <w:rPr>
          <w:rFonts w:ascii="Times New Roman" w:hAnsi="Times New Roman"/>
          <w:sz w:val="24"/>
          <w:szCs w:val="24"/>
        </w:rPr>
        <w:t xml:space="preserve"> robežjoslas izbūve un sakārtošana. 2017. gadā</w:t>
      </w:r>
      <w:r>
        <w:rPr>
          <w:rFonts w:ascii="Times New Roman" w:hAnsi="Times New Roman"/>
          <w:sz w:val="24"/>
          <w:szCs w:val="24"/>
        </w:rPr>
        <w:t xml:space="preserve"> ir plānots uzsākt Latvijas–</w:t>
      </w:r>
      <w:r w:rsidRPr="000C6481">
        <w:rPr>
          <w:rFonts w:ascii="Times New Roman" w:hAnsi="Times New Roman"/>
          <w:sz w:val="24"/>
          <w:szCs w:val="24"/>
        </w:rPr>
        <w:t xml:space="preserve">Baltkrievijas robežjoslas izbūvi. </w:t>
      </w:r>
    </w:p>
    <w:p w14:paraId="252F7951" w14:textId="77777777" w:rsidR="003D0715" w:rsidRPr="000C6481" w:rsidRDefault="003D0715" w:rsidP="003D0715">
      <w:pPr>
        <w:jc w:val="both"/>
        <w:rPr>
          <w:rFonts w:ascii="Times New Roman" w:hAnsi="Times New Roman"/>
          <w:sz w:val="24"/>
          <w:szCs w:val="24"/>
        </w:rPr>
      </w:pPr>
      <w:r w:rsidRPr="000C6481">
        <w:rPr>
          <w:rFonts w:ascii="Times New Roman" w:hAnsi="Times New Roman"/>
          <w:sz w:val="24"/>
          <w:szCs w:val="24"/>
        </w:rPr>
        <w:t>Lai uzlabotu robežkontroles efektivitāti, ir atbalstītas vairākas IeM jaunās politikas iniciatīvas, kas paredz Latvijas austrumu robežas turpmāko izbūvi,</w:t>
      </w:r>
      <w:r>
        <w:rPr>
          <w:rFonts w:ascii="Times New Roman" w:hAnsi="Times New Roman"/>
          <w:sz w:val="24"/>
          <w:szCs w:val="24"/>
        </w:rPr>
        <w:t xml:space="preserve"> </w:t>
      </w:r>
      <w:r w:rsidRPr="000C6481">
        <w:rPr>
          <w:rFonts w:ascii="Times New Roman" w:hAnsi="Times New Roman"/>
          <w:sz w:val="24"/>
          <w:szCs w:val="24"/>
        </w:rPr>
        <w:t xml:space="preserve">plānveida gaisa kuģu parka atjaunošanu, robežsargu skaita palielināšanu uz </w:t>
      </w:r>
      <w:r>
        <w:rPr>
          <w:rFonts w:ascii="Times New Roman" w:hAnsi="Times New Roman"/>
          <w:sz w:val="24"/>
          <w:szCs w:val="24"/>
        </w:rPr>
        <w:t>"</w:t>
      </w:r>
      <w:r w:rsidRPr="000C6481">
        <w:rPr>
          <w:rFonts w:ascii="Times New Roman" w:hAnsi="Times New Roman"/>
          <w:sz w:val="24"/>
          <w:szCs w:val="24"/>
        </w:rPr>
        <w:t>zaļās</w:t>
      </w:r>
      <w:r>
        <w:rPr>
          <w:rFonts w:ascii="Times New Roman" w:hAnsi="Times New Roman"/>
          <w:sz w:val="24"/>
          <w:szCs w:val="24"/>
        </w:rPr>
        <w:t>"</w:t>
      </w:r>
      <w:r w:rsidRPr="000C6481">
        <w:rPr>
          <w:rFonts w:ascii="Times New Roman" w:hAnsi="Times New Roman"/>
          <w:sz w:val="24"/>
          <w:szCs w:val="24"/>
        </w:rPr>
        <w:t xml:space="preserve"> robežas, kā arī Valsts robežsardzes amatpersonu nodrošināšanu ar speciālo ekipējumu un </w:t>
      </w:r>
      <w:proofErr w:type="spellStart"/>
      <w:r w:rsidRPr="000C6481">
        <w:rPr>
          <w:rFonts w:ascii="Times New Roman" w:hAnsi="Times New Roman"/>
          <w:sz w:val="24"/>
          <w:szCs w:val="24"/>
        </w:rPr>
        <w:t>robežuzraudzības</w:t>
      </w:r>
      <w:proofErr w:type="spellEnd"/>
      <w:r w:rsidRPr="000C6481">
        <w:rPr>
          <w:rFonts w:ascii="Times New Roman" w:hAnsi="Times New Roman"/>
          <w:sz w:val="24"/>
          <w:szCs w:val="24"/>
        </w:rPr>
        <w:t xml:space="preserve"> tehniskajiem līdzekļiem, lai pēc iespējas ātrāk identificētu un aizturētu nelikumīgos robežu šķērsotājus.</w:t>
      </w:r>
    </w:p>
    <w:p w14:paraId="294DE587" w14:textId="77777777" w:rsidR="003D0715" w:rsidRPr="000C6481" w:rsidRDefault="003D0715" w:rsidP="003D0715">
      <w:pPr>
        <w:jc w:val="both"/>
        <w:rPr>
          <w:rFonts w:ascii="Times New Roman" w:hAnsi="Times New Roman"/>
          <w:sz w:val="24"/>
          <w:szCs w:val="24"/>
        </w:rPr>
      </w:pPr>
      <w:r>
        <w:rPr>
          <w:rFonts w:ascii="Times New Roman" w:hAnsi="Times New Roman"/>
          <w:sz w:val="24"/>
          <w:szCs w:val="24"/>
        </w:rPr>
        <w:t>V</w:t>
      </w:r>
      <w:r w:rsidRPr="000C6481">
        <w:rPr>
          <w:rFonts w:ascii="Times New Roman" w:hAnsi="Times New Roman"/>
          <w:sz w:val="24"/>
          <w:szCs w:val="24"/>
        </w:rPr>
        <w:t>aldīb</w:t>
      </w:r>
      <w:r>
        <w:rPr>
          <w:rFonts w:ascii="Times New Roman" w:hAnsi="Times New Roman"/>
          <w:sz w:val="24"/>
          <w:szCs w:val="24"/>
        </w:rPr>
        <w:t>a</w:t>
      </w:r>
      <w:r w:rsidRPr="000C6481">
        <w:rPr>
          <w:rFonts w:ascii="Times New Roman" w:hAnsi="Times New Roman"/>
          <w:sz w:val="24"/>
          <w:szCs w:val="24"/>
        </w:rPr>
        <w:t xml:space="preserve"> ir atbalstījusi pasākumus, lai ilgtermiņ</w:t>
      </w:r>
      <w:r>
        <w:rPr>
          <w:rFonts w:ascii="Times New Roman" w:hAnsi="Times New Roman"/>
          <w:sz w:val="24"/>
          <w:szCs w:val="24"/>
        </w:rPr>
        <w:t>ā</w:t>
      </w:r>
      <w:r w:rsidRPr="000C6481">
        <w:rPr>
          <w:rFonts w:ascii="Times New Roman" w:hAnsi="Times New Roman"/>
          <w:sz w:val="24"/>
          <w:szCs w:val="24"/>
        </w:rPr>
        <w:t xml:space="preserve"> īstenotu Valsts policijas attīstību un paaugstinātu Valsts policijas darbības efektivitāti, kā arī uzlabotu sabiedrībai sniedzamos pakalpojumus, paredzot plašu pasākumu loku, kas saistīti gan ar izmeklēšanas darba organizācijas uzlabošanu, gan skaidri definētām Valsts policijas funkci</w:t>
      </w:r>
      <w:r>
        <w:rPr>
          <w:rFonts w:ascii="Times New Roman" w:hAnsi="Times New Roman"/>
          <w:sz w:val="24"/>
          <w:szCs w:val="24"/>
        </w:rPr>
        <w:t>jām un veicamajiem pienākumiem.</w:t>
      </w:r>
    </w:p>
    <w:p w14:paraId="2C6B425D" w14:textId="77777777" w:rsidR="003D0715" w:rsidRPr="000C6481" w:rsidRDefault="003D0715" w:rsidP="003D0715">
      <w:pPr>
        <w:jc w:val="both"/>
        <w:rPr>
          <w:rFonts w:ascii="Times New Roman" w:hAnsi="Times New Roman"/>
          <w:sz w:val="24"/>
          <w:szCs w:val="24"/>
        </w:rPr>
      </w:pPr>
      <w:r w:rsidRPr="000C6481">
        <w:rPr>
          <w:rFonts w:ascii="Times New Roman" w:hAnsi="Times New Roman"/>
          <w:sz w:val="24"/>
          <w:szCs w:val="24"/>
        </w:rPr>
        <w:t>Svarīgi atzīmēt, ka valdība šogad piešķīr</w:t>
      </w:r>
      <w:r>
        <w:rPr>
          <w:rFonts w:ascii="Times New Roman" w:hAnsi="Times New Roman"/>
          <w:sz w:val="24"/>
          <w:szCs w:val="24"/>
        </w:rPr>
        <w:t>usi</w:t>
      </w:r>
      <w:r w:rsidRPr="000C6481">
        <w:rPr>
          <w:rFonts w:ascii="Times New Roman" w:hAnsi="Times New Roman"/>
          <w:sz w:val="24"/>
          <w:szCs w:val="24"/>
        </w:rPr>
        <w:t xml:space="preserve"> papildu finansējumu uz jauniem principiem balstītas darba samaksas sistēmas ieviešan</w:t>
      </w:r>
      <w:r>
        <w:rPr>
          <w:rFonts w:ascii="Times New Roman" w:hAnsi="Times New Roman"/>
          <w:sz w:val="24"/>
          <w:szCs w:val="24"/>
        </w:rPr>
        <w:t>ai</w:t>
      </w:r>
      <w:r w:rsidRPr="000C6481">
        <w:rPr>
          <w:rFonts w:ascii="Times New Roman" w:hAnsi="Times New Roman"/>
          <w:sz w:val="24"/>
          <w:szCs w:val="24"/>
        </w:rPr>
        <w:t xml:space="preserve"> IeM sistēmas iestāžu un Ieslodzījuma vietu pārvaldes amatpersonām ar speciālajām dienesta pakāpēm, tād</w:t>
      </w:r>
      <w:r>
        <w:rPr>
          <w:rFonts w:ascii="Times New Roman" w:hAnsi="Times New Roman"/>
          <w:sz w:val="24"/>
          <w:szCs w:val="24"/>
        </w:rPr>
        <w:t>ē</w:t>
      </w:r>
      <w:r w:rsidRPr="000C6481">
        <w:rPr>
          <w:rFonts w:ascii="Times New Roman" w:hAnsi="Times New Roman"/>
          <w:sz w:val="24"/>
          <w:szCs w:val="24"/>
        </w:rPr>
        <w:t>jādi motiv</w:t>
      </w:r>
      <w:r>
        <w:rPr>
          <w:rFonts w:ascii="Times New Roman" w:hAnsi="Times New Roman"/>
          <w:sz w:val="24"/>
          <w:szCs w:val="24"/>
        </w:rPr>
        <w:t>ējot</w:t>
      </w:r>
      <w:r w:rsidRPr="000C6481">
        <w:rPr>
          <w:rFonts w:ascii="Times New Roman" w:hAnsi="Times New Roman"/>
          <w:sz w:val="24"/>
          <w:szCs w:val="24"/>
        </w:rPr>
        <w:t xml:space="preserve"> uzsākt un turpināt dienestu IeM sistēmas iestādēs, kā arī mazinot personāla mainību un aiziešanu no dienesta iekšlietu sistēmā. </w:t>
      </w:r>
    </w:p>
    <w:p w14:paraId="29DDA6DA" w14:textId="072411AA" w:rsidR="003D0715" w:rsidRPr="000C6481" w:rsidRDefault="003D0715" w:rsidP="003D0715">
      <w:pPr>
        <w:jc w:val="both"/>
        <w:rPr>
          <w:rFonts w:ascii="Times New Roman" w:hAnsi="Times New Roman"/>
          <w:sz w:val="24"/>
          <w:szCs w:val="24"/>
        </w:rPr>
      </w:pPr>
      <w:r w:rsidRPr="000C6481">
        <w:rPr>
          <w:rFonts w:ascii="Times New Roman" w:hAnsi="Times New Roman"/>
          <w:sz w:val="24"/>
          <w:szCs w:val="24"/>
        </w:rPr>
        <w:t xml:space="preserve">Bēgļu un personu, kurām piešķirts alternatīvais statuss, integrācija ir visas Eiropas izaicinājums, ar kuru saskaras arī Latvija. </w:t>
      </w:r>
      <w:r>
        <w:rPr>
          <w:rFonts w:ascii="Times New Roman" w:hAnsi="Times New Roman"/>
          <w:sz w:val="24"/>
          <w:szCs w:val="24"/>
        </w:rPr>
        <w:t>I</w:t>
      </w:r>
      <w:r w:rsidRPr="000C6481">
        <w:rPr>
          <w:rFonts w:ascii="Times New Roman" w:hAnsi="Times New Roman"/>
          <w:sz w:val="24"/>
          <w:szCs w:val="24"/>
        </w:rPr>
        <w:t xml:space="preserve">r svarīgi nodrošināt šo personu uzņemšanu un sociālekonomisko iekļaušanu. Lai </w:t>
      </w:r>
      <w:r w:rsidR="00C35AB6">
        <w:rPr>
          <w:rFonts w:ascii="Times New Roman" w:hAnsi="Times New Roman"/>
          <w:sz w:val="24"/>
          <w:szCs w:val="24"/>
        </w:rPr>
        <w:t>īstenotu</w:t>
      </w:r>
      <w:r w:rsidRPr="000C6481">
        <w:rPr>
          <w:rFonts w:ascii="Times New Roman" w:hAnsi="Times New Roman"/>
          <w:sz w:val="24"/>
          <w:szCs w:val="24"/>
        </w:rPr>
        <w:t xml:space="preserve"> šo apņemšanos, </w:t>
      </w:r>
      <w:r w:rsidR="00AF229C" w:rsidRPr="00AF229C">
        <w:rPr>
          <w:rFonts w:ascii="Times New Roman" w:hAnsi="Times New Roman"/>
          <w:sz w:val="24"/>
          <w:szCs w:val="24"/>
        </w:rPr>
        <w:t>ES</w:t>
      </w:r>
      <w:r w:rsidRPr="00AF229C">
        <w:rPr>
          <w:rFonts w:ascii="Times New Roman" w:hAnsi="Times New Roman"/>
          <w:sz w:val="24"/>
          <w:szCs w:val="24"/>
        </w:rPr>
        <w:t xml:space="preserve"> pārvietošanas programmas</w:t>
      </w:r>
      <w:r w:rsidRPr="000C6481">
        <w:rPr>
          <w:rFonts w:ascii="Times New Roman" w:hAnsi="Times New Roman"/>
          <w:sz w:val="24"/>
          <w:szCs w:val="24"/>
        </w:rPr>
        <w:t xml:space="preserve"> ietvaros Latvijā līdz š.</w:t>
      </w:r>
      <w:r>
        <w:rPr>
          <w:rFonts w:ascii="Times New Roman" w:hAnsi="Times New Roman"/>
          <w:sz w:val="24"/>
          <w:szCs w:val="24"/>
        </w:rPr>
        <w:t> </w:t>
      </w:r>
      <w:r w:rsidRPr="000C6481">
        <w:rPr>
          <w:rFonts w:ascii="Times New Roman" w:hAnsi="Times New Roman"/>
          <w:sz w:val="24"/>
          <w:szCs w:val="24"/>
        </w:rPr>
        <w:t xml:space="preserve">g. 25. oktobrim ir uzņemti 124 patvēruma meklētāji no Sīrijas, Irākas un Eritrejas. Patvēruma meklētāji sākotnēji tiek izmitināti patvēruma meklētāju centrā </w:t>
      </w:r>
      <w:r>
        <w:rPr>
          <w:rFonts w:ascii="Times New Roman" w:hAnsi="Times New Roman"/>
          <w:sz w:val="24"/>
          <w:szCs w:val="24"/>
        </w:rPr>
        <w:t>"</w:t>
      </w:r>
      <w:r w:rsidRPr="000C6481">
        <w:rPr>
          <w:rFonts w:ascii="Times New Roman" w:hAnsi="Times New Roman"/>
          <w:sz w:val="24"/>
          <w:szCs w:val="24"/>
        </w:rPr>
        <w:t>Mucenieki</w:t>
      </w:r>
      <w:r>
        <w:rPr>
          <w:rFonts w:ascii="Times New Roman" w:hAnsi="Times New Roman"/>
          <w:sz w:val="24"/>
          <w:szCs w:val="24"/>
        </w:rPr>
        <w:t>"</w:t>
      </w:r>
      <w:r w:rsidRPr="000C6481">
        <w:rPr>
          <w:rFonts w:ascii="Times New Roman" w:hAnsi="Times New Roman"/>
          <w:sz w:val="24"/>
          <w:szCs w:val="24"/>
        </w:rPr>
        <w:t xml:space="preserve">, kur šīm personām ir iespēja uzsākt latviešu valodas apguvi, saņemt mentora pakalpojumus, kā arī informāciju par nodarbinātības iespējām Latvijā. Vienlaikus jānorāda, ka </w:t>
      </w:r>
      <w:r>
        <w:rPr>
          <w:rFonts w:ascii="Times New Roman" w:hAnsi="Times New Roman"/>
          <w:sz w:val="24"/>
          <w:szCs w:val="24"/>
        </w:rPr>
        <w:t xml:space="preserve">līdz šim </w:t>
      </w:r>
      <w:r w:rsidRPr="000C6481">
        <w:rPr>
          <w:rFonts w:ascii="Times New Roman" w:hAnsi="Times New Roman"/>
          <w:sz w:val="24"/>
          <w:szCs w:val="24"/>
        </w:rPr>
        <w:t xml:space="preserve">Latvijas īstenotā patvēruma meklētāju politika </w:t>
      </w:r>
      <w:r w:rsidR="00D2074E" w:rsidRPr="00D2074E">
        <w:rPr>
          <w:rFonts w:ascii="Times New Roman" w:hAnsi="Times New Roman"/>
          <w:bCs/>
          <w:sz w:val="24"/>
          <w:szCs w:val="24"/>
        </w:rPr>
        <w:t>ir saskārusies ar grūtībām nodrošināt</w:t>
      </w:r>
      <w:r>
        <w:rPr>
          <w:rFonts w:ascii="Times New Roman" w:hAnsi="Times New Roman"/>
          <w:sz w:val="24"/>
          <w:szCs w:val="24"/>
        </w:rPr>
        <w:t xml:space="preserve"> </w:t>
      </w:r>
      <w:r w:rsidRPr="000C6481">
        <w:rPr>
          <w:rFonts w:ascii="Times New Roman" w:hAnsi="Times New Roman"/>
          <w:sz w:val="24"/>
          <w:szCs w:val="24"/>
        </w:rPr>
        <w:t>uzņemto personu iekļaušan</w:t>
      </w:r>
      <w:r>
        <w:rPr>
          <w:rFonts w:ascii="Times New Roman" w:hAnsi="Times New Roman"/>
          <w:sz w:val="24"/>
          <w:szCs w:val="24"/>
        </w:rPr>
        <w:t>u</w:t>
      </w:r>
      <w:r w:rsidRPr="000C6481">
        <w:rPr>
          <w:rFonts w:ascii="Times New Roman" w:hAnsi="Times New Roman"/>
          <w:sz w:val="24"/>
          <w:szCs w:val="24"/>
        </w:rPr>
        <w:t xml:space="preserve"> sabiedrībā</w:t>
      </w:r>
      <w:r>
        <w:rPr>
          <w:rFonts w:ascii="Times New Roman" w:hAnsi="Times New Roman"/>
          <w:sz w:val="24"/>
          <w:szCs w:val="24"/>
        </w:rPr>
        <w:t>, valsts</w:t>
      </w:r>
      <w:r w:rsidRPr="000C6481">
        <w:rPr>
          <w:rFonts w:ascii="Times New Roman" w:hAnsi="Times New Roman"/>
          <w:sz w:val="24"/>
          <w:szCs w:val="24"/>
        </w:rPr>
        <w:t xml:space="preserve"> piedāvātie pakalpojumi nespēj pilnībā </w:t>
      </w:r>
      <w:r>
        <w:rPr>
          <w:rFonts w:ascii="Times New Roman" w:hAnsi="Times New Roman"/>
          <w:sz w:val="24"/>
          <w:szCs w:val="24"/>
        </w:rPr>
        <w:t>apmierināt</w:t>
      </w:r>
      <w:r w:rsidRPr="000C6481">
        <w:rPr>
          <w:rFonts w:ascii="Times New Roman" w:hAnsi="Times New Roman"/>
          <w:sz w:val="24"/>
          <w:szCs w:val="24"/>
        </w:rPr>
        <w:t xml:space="preserve"> uzņemto personu </w:t>
      </w:r>
      <w:r w:rsidRPr="000C6481">
        <w:rPr>
          <w:rFonts w:ascii="Times New Roman" w:hAnsi="Times New Roman"/>
          <w:sz w:val="24"/>
          <w:szCs w:val="24"/>
        </w:rPr>
        <w:lastRenderedPageBreak/>
        <w:t xml:space="preserve">gaidas un vajadzības, </w:t>
      </w:r>
      <w:r>
        <w:rPr>
          <w:rFonts w:ascii="Times New Roman" w:hAnsi="Times New Roman"/>
          <w:sz w:val="24"/>
          <w:szCs w:val="24"/>
        </w:rPr>
        <w:t>turklāt</w:t>
      </w:r>
      <w:r w:rsidRPr="000C6481">
        <w:rPr>
          <w:rFonts w:ascii="Times New Roman" w:hAnsi="Times New Roman"/>
          <w:sz w:val="24"/>
          <w:szCs w:val="24"/>
        </w:rPr>
        <w:t xml:space="preserve"> šīs personas saskaras ar grūtībām atrast mājokli un darbu pēc PMC </w:t>
      </w:r>
      <w:r>
        <w:rPr>
          <w:rFonts w:ascii="Times New Roman" w:hAnsi="Times New Roman"/>
          <w:sz w:val="24"/>
          <w:szCs w:val="24"/>
        </w:rPr>
        <w:t>"</w:t>
      </w:r>
      <w:r w:rsidRPr="000C6481">
        <w:rPr>
          <w:rFonts w:ascii="Times New Roman" w:hAnsi="Times New Roman"/>
          <w:sz w:val="24"/>
          <w:szCs w:val="24"/>
        </w:rPr>
        <w:t>Mucenieki</w:t>
      </w:r>
      <w:r>
        <w:rPr>
          <w:rFonts w:ascii="Times New Roman" w:hAnsi="Times New Roman"/>
          <w:sz w:val="24"/>
          <w:szCs w:val="24"/>
        </w:rPr>
        <w:t>"</w:t>
      </w:r>
      <w:r w:rsidRPr="000C6481">
        <w:rPr>
          <w:rFonts w:ascii="Times New Roman" w:hAnsi="Times New Roman"/>
          <w:sz w:val="24"/>
          <w:szCs w:val="24"/>
        </w:rPr>
        <w:t xml:space="preserve"> pamešanas.</w:t>
      </w:r>
    </w:p>
    <w:p w14:paraId="3756D475" w14:textId="2D480094" w:rsidR="003D0715" w:rsidRPr="000C6481" w:rsidRDefault="003D0715" w:rsidP="003D0715">
      <w:pPr>
        <w:jc w:val="both"/>
        <w:rPr>
          <w:rFonts w:ascii="Times New Roman" w:hAnsi="Times New Roman"/>
          <w:sz w:val="24"/>
          <w:szCs w:val="24"/>
        </w:rPr>
      </w:pPr>
      <w:r w:rsidRPr="000C6481">
        <w:rPr>
          <w:rFonts w:ascii="Times New Roman" w:hAnsi="Times New Roman"/>
          <w:sz w:val="24"/>
          <w:szCs w:val="24"/>
        </w:rPr>
        <w:t>Lai mazinātu šķēršļus resocializācijas īstenošanai ieslodzījuma vietās, novērstu noziegumu izdarīšanas cēloņus un veicinātu sodu izcietušo personu integrāciju sabiedrībā, tika uzsākta būvdarbu organizēšana jauna cietuma izveidei Liepājā, izstrādājot tā būvprojektu. Š.</w:t>
      </w:r>
      <w:r>
        <w:rPr>
          <w:rFonts w:ascii="Times New Roman" w:hAnsi="Times New Roman"/>
          <w:sz w:val="24"/>
          <w:szCs w:val="24"/>
        </w:rPr>
        <w:t> </w:t>
      </w:r>
      <w:r w:rsidRPr="000C6481">
        <w:rPr>
          <w:rFonts w:ascii="Times New Roman" w:hAnsi="Times New Roman"/>
          <w:sz w:val="24"/>
          <w:szCs w:val="24"/>
        </w:rPr>
        <w:t xml:space="preserve">g. oktobrī tika atklāts Atkarīgo centrs Olaines cietumā, kurš ir gatavs uzsākt atkarību mazināšanas (resocializācijas) programmu īstenošanu. Notiesāto personu atkarību mazināšana jau soda izpildes laikā ir svarīgs priekšnoteikums tām pilnvērtīgi iesaistīties arī citos resocializācijas pasākumos brīvības atņemšanas iestādē. </w:t>
      </w:r>
    </w:p>
    <w:p w14:paraId="43CED142" w14:textId="77777777" w:rsidR="00470FD2" w:rsidRPr="00716B0D" w:rsidRDefault="00470FD2" w:rsidP="003D0715">
      <w:pPr>
        <w:jc w:val="both"/>
        <w:rPr>
          <w:color w:val="0070C0"/>
        </w:rPr>
      </w:pPr>
    </w:p>
    <w:sectPr w:rsidR="00470FD2" w:rsidRPr="00716B0D">
      <w:footerReference w:type="default" r:id="rId23"/>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BD15E1" w15:done="0"/>
  <w15:commentEx w15:paraId="1FA0A18B" w15:done="0"/>
  <w15:commentEx w15:paraId="3CE26A1C" w15:done="0"/>
  <w15:commentEx w15:paraId="0A0D9B89" w15:done="0"/>
  <w15:commentEx w15:paraId="03BABB27" w15:done="0"/>
  <w15:commentEx w15:paraId="50E697E2" w15:done="0"/>
  <w15:commentEx w15:paraId="5940E5A7" w15:done="0"/>
  <w15:commentEx w15:paraId="023A62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84F9C" w14:textId="77777777" w:rsidR="002C6881" w:rsidRDefault="002C6881" w:rsidP="00A55F43">
      <w:pPr>
        <w:spacing w:after="0" w:line="240" w:lineRule="auto"/>
      </w:pPr>
      <w:r>
        <w:separator/>
      </w:r>
    </w:p>
  </w:endnote>
  <w:endnote w:type="continuationSeparator" w:id="0">
    <w:p w14:paraId="43DE3B65" w14:textId="77777777" w:rsidR="002C6881" w:rsidRDefault="002C6881" w:rsidP="00A55F43">
      <w:pPr>
        <w:spacing w:after="0" w:line="240" w:lineRule="auto"/>
      </w:pPr>
      <w:r>
        <w:continuationSeparator/>
      </w:r>
    </w:p>
  </w:endnote>
  <w:endnote w:type="continuationNotice" w:id="1">
    <w:p w14:paraId="79328F6F" w14:textId="77777777" w:rsidR="002C6881" w:rsidRDefault="002C68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101659"/>
      <w:docPartObj>
        <w:docPartGallery w:val="Page Numbers (Bottom of Page)"/>
        <w:docPartUnique/>
      </w:docPartObj>
    </w:sdtPr>
    <w:sdtEndPr>
      <w:rPr>
        <w:noProof/>
      </w:rPr>
    </w:sdtEndPr>
    <w:sdtContent>
      <w:p w14:paraId="565B6174" w14:textId="77777777" w:rsidR="002C6881" w:rsidRDefault="002C6881">
        <w:pPr>
          <w:pStyle w:val="Footer"/>
          <w:jc w:val="right"/>
        </w:pPr>
        <w:r>
          <w:fldChar w:fldCharType="begin"/>
        </w:r>
        <w:r>
          <w:instrText xml:space="preserve"> PAGE   \* MERGEFORMAT </w:instrText>
        </w:r>
        <w:r>
          <w:fldChar w:fldCharType="separate"/>
        </w:r>
        <w:r w:rsidR="004C752B">
          <w:rPr>
            <w:noProof/>
          </w:rPr>
          <w:t>4</w:t>
        </w:r>
        <w:r>
          <w:rPr>
            <w:noProof/>
          </w:rPr>
          <w:fldChar w:fldCharType="end"/>
        </w:r>
      </w:p>
    </w:sdtContent>
  </w:sdt>
  <w:p w14:paraId="0AB6851F" w14:textId="77777777" w:rsidR="002C6881" w:rsidRDefault="002C6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3206B" w14:textId="77777777" w:rsidR="002C6881" w:rsidRDefault="002C6881" w:rsidP="00A55F43">
      <w:pPr>
        <w:spacing w:after="0" w:line="240" w:lineRule="auto"/>
      </w:pPr>
      <w:r>
        <w:separator/>
      </w:r>
    </w:p>
  </w:footnote>
  <w:footnote w:type="continuationSeparator" w:id="0">
    <w:p w14:paraId="7D616571" w14:textId="77777777" w:rsidR="002C6881" w:rsidRDefault="002C6881" w:rsidP="00A55F43">
      <w:pPr>
        <w:spacing w:after="0" w:line="240" w:lineRule="auto"/>
      </w:pPr>
      <w:r>
        <w:continuationSeparator/>
      </w:r>
    </w:p>
  </w:footnote>
  <w:footnote w:type="continuationNotice" w:id="1">
    <w:p w14:paraId="1C4B5A69" w14:textId="77777777" w:rsidR="002C6881" w:rsidRDefault="002C6881">
      <w:pPr>
        <w:spacing w:after="0" w:line="240" w:lineRule="auto"/>
      </w:pPr>
    </w:p>
  </w:footnote>
  <w:footnote w:id="2">
    <w:p w14:paraId="6E84AAA9" w14:textId="7F422898" w:rsidR="002C6881" w:rsidRPr="002D6EE2" w:rsidRDefault="002C6881" w:rsidP="002D6EE2">
      <w:pPr>
        <w:pStyle w:val="FootnoteText"/>
      </w:pPr>
      <w:r>
        <w:rPr>
          <w:rStyle w:val="FootnoteReference"/>
        </w:rPr>
        <w:footnoteRef/>
      </w:r>
      <w:r>
        <w:t xml:space="preserve"> </w:t>
      </w:r>
      <w:r w:rsidRPr="00D52F39">
        <w:rPr>
          <w:rStyle w:val="Emphasis"/>
          <w:rFonts w:ascii="Times New Roman" w:hAnsi="Times New Roman" w:cs="Times New Roman"/>
          <w:i w:val="0"/>
          <w:color w:val="000000"/>
        </w:rPr>
        <w:t>Pēc Pasaules Bankas jaunās metodoloģijas Latvija</w:t>
      </w:r>
      <w:r w:rsidRPr="005A1615">
        <w:rPr>
          <w:rStyle w:val="Emphasis"/>
          <w:rFonts w:ascii="Times New Roman" w:hAnsi="Times New Roman" w:cs="Times New Roman"/>
          <w:color w:val="000000"/>
        </w:rPr>
        <w:t xml:space="preserve"> </w:t>
      </w:r>
      <w:proofErr w:type="spellStart"/>
      <w:r w:rsidRPr="005A1615">
        <w:rPr>
          <w:rStyle w:val="Emphasis"/>
          <w:rFonts w:ascii="Times New Roman" w:hAnsi="Times New Roman" w:cs="Times New Roman"/>
          <w:color w:val="000000"/>
        </w:rPr>
        <w:t>Doing</w:t>
      </w:r>
      <w:proofErr w:type="spellEnd"/>
      <w:r w:rsidRPr="005A1615">
        <w:rPr>
          <w:rStyle w:val="Emphasis"/>
          <w:rFonts w:ascii="Times New Roman" w:hAnsi="Times New Roman" w:cs="Times New Roman"/>
          <w:color w:val="000000"/>
        </w:rPr>
        <w:t xml:space="preserve"> </w:t>
      </w:r>
      <w:proofErr w:type="spellStart"/>
      <w:r w:rsidRPr="005A1615">
        <w:rPr>
          <w:rStyle w:val="Emphasis"/>
          <w:rFonts w:ascii="Times New Roman" w:hAnsi="Times New Roman" w:cs="Times New Roman"/>
          <w:color w:val="000000"/>
        </w:rPr>
        <w:t>Business</w:t>
      </w:r>
      <w:proofErr w:type="spellEnd"/>
      <w:r w:rsidRPr="005A1615">
        <w:rPr>
          <w:rStyle w:val="Emphasis"/>
          <w:rFonts w:ascii="Times New Roman" w:hAnsi="Times New Roman" w:cs="Times New Roman"/>
          <w:color w:val="000000"/>
        </w:rPr>
        <w:t xml:space="preserve"> 2016 </w:t>
      </w:r>
      <w:r w:rsidRPr="00D52F39">
        <w:rPr>
          <w:rStyle w:val="Emphasis"/>
          <w:rFonts w:ascii="Times New Roman" w:hAnsi="Times New Roman" w:cs="Times New Roman"/>
          <w:i w:val="0"/>
          <w:color w:val="000000"/>
        </w:rPr>
        <w:t xml:space="preserve">tika </w:t>
      </w:r>
      <w:r>
        <w:rPr>
          <w:rStyle w:val="Emphasis"/>
          <w:rFonts w:ascii="Times New Roman" w:hAnsi="Times New Roman" w:cs="Times New Roman"/>
          <w:i w:val="0"/>
          <w:color w:val="000000"/>
        </w:rPr>
        <w:t>ierindo</w:t>
      </w:r>
      <w:r w:rsidRPr="00D52F39">
        <w:rPr>
          <w:rStyle w:val="Emphasis"/>
          <w:rFonts w:ascii="Times New Roman" w:hAnsi="Times New Roman" w:cs="Times New Roman"/>
          <w:i w:val="0"/>
          <w:color w:val="000000"/>
        </w:rPr>
        <w:t>ta 17. vietā</w:t>
      </w:r>
    </w:p>
  </w:footnote>
  <w:footnote w:id="3">
    <w:p w14:paraId="7ADFF419" w14:textId="7FBC2767" w:rsidR="002C6881" w:rsidRDefault="002C6881" w:rsidP="0083593F">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Inovācija kā ekonomikas transformācijai nepieciešams priekšnoteikums, privātā sektora motivācija ieguldījumiem pētniecībā un attīstībā 47 % apjomā no kopējiem ieguldījumiem 2018. gadā</w:t>
      </w:r>
    </w:p>
  </w:footnote>
  <w:footnote w:id="4">
    <w:p w14:paraId="7CA45EC9" w14:textId="77777777" w:rsidR="002C6881" w:rsidRDefault="002C6881" w:rsidP="0083593F">
      <w:pPr>
        <w:pStyle w:val="FootnoteText"/>
      </w:pPr>
      <w:r>
        <w:rPr>
          <w:rStyle w:val="FootnoteReference"/>
          <w:rFonts w:ascii="Times New Roman" w:hAnsi="Times New Roman" w:cs="Times New Roman"/>
        </w:rPr>
        <w:footnoteRef/>
      </w:r>
      <w:r>
        <w:rPr>
          <w:rFonts w:ascii="Times New Roman" w:hAnsi="Times New Roman" w:cs="Times New Roman"/>
        </w:rPr>
        <w:t xml:space="preserve"> pētniecības &amp; attīstības &amp; inovācijas joma</w:t>
      </w:r>
    </w:p>
  </w:footnote>
  <w:footnote w:id="5">
    <w:p w14:paraId="2B6E1555" w14:textId="77777777" w:rsidR="002C6881" w:rsidRDefault="002C6881" w:rsidP="00BC6029">
      <w:pPr>
        <w:pStyle w:val="FootnoteText"/>
      </w:pPr>
      <w:r>
        <w:rPr>
          <w:rStyle w:val="FootnoteReference"/>
        </w:rPr>
        <w:footnoteRef/>
      </w:r>
      <w:r>
        <w:t xml:space="preserve"> </w:t>
      </w:r>
      <w:r w:rsidRPr="00F53A61">
        <w:rPr>
          <w:rFonts w:ascii="Times New Roman" w:hAnsi="Times New Roman"/>
        </w:rPr>
        <w:t>Relatīvi augsti sieviešu fertilajā vecumā rādītāji.</w:t>
      </w:r>
    </w:p>
  </w:footnote>
  <w:footnote w:id="6">
    <w:p w14:paraId="2090632D" w14:textId="77777777" w:rsidR="002C6881" w:rsidRDefault="002C6881" w:rsidP="00BC6029">
      <w:pPr>
        <w:pStyle w:val="FootnoteText"/>
      </w:pPr>
      <w:r>
        <w:rPr>
          <w:rStyle w:val="FootnoteReference"/>
        </w:rPr>
        <w:footnoteRef/>
      </w:r>
      <w:r>
        <w:t xml:space="preserve"> </w:t>
      </w:r>
      <w:proofErr w:type="spellStart"/>
      <w:r w:rsidRPr="00C46F41">
        <w:rPr>
          <w:rFonts w:ascii="Times New Roman" w:hAnsi="Times New Roman"/>
        </w:rPr>
        <w:t>European</w:t>
      </w:r>
      <w:proofErr w:type="spellEnd"/>
      <w:r w:rsidRPr="00C46F41">
        <w:rPr>
          <w:rFonts w:ascii="Times New Roman" w:hAnsi="Times New Roman"/>
        </w:rPr>
        <w:t xml:space="preserve"> </w:t>
      </w:r>
      <w:proofErr w:type="spellStart"/>
      <w:r w:rsidRPr="00C46F41">
        <w:rPr>
          <w:rFonts w:ascii="Times New Roman" w:hAnsi="Times New Roman"/>
        </w:rPr>
        <w:t>Commision</w:t>
      </w:r>
      <w:proofErr w:type="spellEnd"/>
      <w:r w:rsidRPr="00C46F41">
        <w:rPr>
          <w:rFonts w:ascii="Times New Roman" w:hAnsi="Times New Roman"/>
        </w:rPr>
        <w:t xml:space="preserve"> (2015) </w:t>
      </w:r>
      <w:proofErr w:type="spellStart"/>
      <w:r w:rsidRPr="00C46F41">
        <w:rPr>
          <w:rFonts w:ascii="Times New Roman" w:hAnsi="Times New Roman"/>
        </w:rPr>
        <w:t>The</w:t>
      </w:r>
      <w:proofErr w:type="spellEnd"/>
      <w:r w:rsidRPr="00C46F41">
        <w:rPr>
          <w:rFonts w:ascii="Times New Roman" w:hAnsi="Times New Roman"/>
        </w:rPr>
        <w:t xml:space="preserve"> </w:t>
      </w:r>
      <w:proofErr w:type="spellStart"/>
      <w:r w:rsidRPr="00C46F41">
        <w:rPr>
          <w:rFonts w:ascii="Times New Roman" w:hAnsi="Times New Roman"/>
        </w:rPr>
        <w:t>Ageing</w:t>
      </w:r>
      <w:proofErr w:type="spellEnd"/>
      <w:r w:rsidRPr="00C46F41">
        <w:rPr>
          <w:rFonts w:ascii="Times New Roman" w:hAnsi="Times New Roman"/>
        </w:rPr>
        <w:t xml:space="preserve"> </w:t>
      </w:r>
      <w:proofErr w:type="spellStart"/>
      <w:r w:rsidRPr="00C46F41">
        <w:rPr>
          <w:rFonts w:ascii="Times New Roman" w:hAnsi="Times New Roman"/>
        </w:rPr>
        <w:t>Report</w:t>
      </w:r>
      <w:proofErr w:type="spellEnd"/>
      <w:r w:rsidRPr="00C46F41">
        <w:rPr>
          <w:rFonts w:ascii="Times New Roman" w:hAnsi="Times New Roman"/>
        </w:rPr>
        <w:t xml:space="preserve">. </w:t>
      </w:r>
      <w:proofErr w:type="spellStart"/>
      <w:r w:rsidRPr="00C46F41">
        <w:rPr>
          <w:rFonts w:ascii="Times New Roman" w:hAnsi="Times New Roman"/>
        </w:rPr>
        <w:t>Underlying</w:t>
      </w:r>
      <w:proofErr w:type="spellEnd"/>
      <w:r w:rsidRPr="00C46F41">
        <w:rPr>
          <w:rFonts w:ascii="Times New Roman" w:hAnsi="Times New Roman"/>
        </w:rPr>
        <w:t xml:space="preserve"> </w:t>
      </w:r>
      <w:proofErr w:type="spellStart"/>
      <w:r w:rsidRPr="00C46F41">
        <w:rPr>
          <w:rFonts w:ascii="Times New Roman" w:hAnsi="Times New Roman"/>
        </w:rPr>
        <w:t>Assumptions</w:t>
      </w:r>
      <w:proofErr w:type="spellEnd"/>
      <w:r w:rsidRPr="00C46F41">
        <w:rPr>
          <w:rFonts w:ascii="Times New Roman" w:hAnsi="Times New Roman"/>
        </w:rPr>
        <w:t xml:space="preserve"> </w:t>
      </w:r>
      <w:proofErr w:type="spellStart"/>
      <w:r w:rsidRPr="00C46F41">
        <w:rPr>
          <w:rFonts w:ascii="Times New Roman" w:hAnsi="Times New Roman"/>
        </w:rPr>
        <w:t>and</w:t>
      </w:r>
      <w:proofErr w:type="spellEnd"/>
      <w:r w:rsidRPr="00C46F41">
        <w:rPr>
          <w:rFonts w:ascii="Times New Roman" w:hAnsi="Times New Roman"/>
        </w:rPr>
        <w:t xml:space="preserve"> </w:t>
      </w:r>
      <w:proofErr w:type="spellStart"/>
      <w:r w:rsidRPr="00C46F41">
        <w:rPr>
          <w:rFonts w:ascii="Times New Roman" w:hAnsi="Times New Roman"/>
        </w:rPr>
        <w:t>Projection</w:t>
      </w:r>
      <w:proofErr w:type="spellEnd"/>
      <w:r w:rsidRPr="00C46F41">
        <w:rPr>
          <w:rFonts w:ascii="Times New Roman" w:hAnsi="Times New Roman"/>
        </w:rPr>
        <w:t xml:space="preserve"> </w:t>
      </w:r>
      <w:proofErr w:type="spellStart"/>
      <w:r w:rsidRPr="00C46F41">
        <w:rPr>
          <w:rFonts w:ascii="Times New Roman" w:hAnsi="Times New Roman"/>
        </w:rPr>
        <w:t>Methodologies</w:t>
      </w:r>
      <w:proofErr w:type="spellEnd"/>
      <w:r w:rsidRPr="00C46F41">
        <w:rPr>
          <w:rFonts w:ascii="Times New Roman" w:hAnsi="Times New Roman"/>
        </w:rPr>
        <w:t>. Pieejams: http://ec.europa.eu/economy_finance/publications/european_economy/2014/pdf/ee8_en.pdf (21.07.2015.)</w:t>
      </w:r>
    </w:p>
  </w:footnote>
  <w:footnote w:id="7">
    <w:p w14:paraId="7DE23B8B" w14:textId="77777777" w:rsidR="002C6881" w:rsidRPr="009C6BE1" w:rsidRDefault="002C6881" w:rsidP="00BC6029">
      <w:pPr>
        <w:pStyle w:val="FootnoteText"/>
        <w:rPr>
          <w:rFonts w:ascii="Times New Roman" w:hAnsi="Times New Roman"/>
        </w:rPr>
      </w:pPr>
      <w:r w:rsidRPr="009C6BE1">
        <w:rPr>
          <w:rStyle w:val="FootnoteReference"/>
          <w:rFonts w:ascii="Times New Roman" w:hAnsi="Times New Roman"/>
        </w:rPr>
        <w:footnoteRef/>
      </w:r>
      <w:r w:rsidRPr="009C6BE1">
        <w:rPr>
          <w:rFonts w:ascii="Times New Roman" w:hAnsi="Times New Roman"/>
        </w:rPr>
        <w:t xml:space="preserve"> Ziņojums konceptuāli tika atbalstīts 21.06.2016. Demogrāfisko lietu padomes sēdē.</w:t>
      </w:r>
    </w:p>
  </w:footnote>
  <w:footnote w:id="8">
    <w:p w14:paraId="6B134D96" w14:textId="77777777" w:rsidR="002C6881" w:rsidRDefault="002C6881" w:rsidP="00BC6029">
      <w:pPr>
        <w:pStyle w:val="FootnoteText"/>
        <w:jc w:val="both"/>
      </w:pPr>
      <w:r>
        <w:rPr>
          <w:rStyle w:val="FootnoteReference"/>
        </w:rPr>
        <w:footnoteRef/>
      </w:r>
      <w:r>
        <w:t xml:space="preserve"> </w:t>
      </w:r>
      <w:r w:rsidRPr="00A05807">
        <w:rPr>
          <w:rFonts w:ascii="Times New Roman" w:eastAsia="+mn-ea" w:hAnsi="Times New Roman"/>
          <w:color w:val="000000"/>
          <w:lang w:eastAsia="lv-LV"/>
        </w:rPr>
        <w:t>Eiropas Padomes Konvencija par vardarbības pret sievietēm un vardarbību ģimenē novēršanu un apkarošanu</w:t>
      </w:r>
      <w:r>
        <w:rPr>
          <w:rFonts w:ascii="Times New Roman" w:eastAsia="+mn-ea" w:hAnsi="Times New Roman"/>
          <w:color w:val="000000"/>
          <w:lang w:eastAsia="lv-LV"/>
        </w:rPr>
        <w:t>.</w:t>
      </w:r>
    </w:p>
  </w:footnote>
  <w:footnote w:id="9">
    <w:p w14:paraId="04AD4E6E" w14:textId="77777777" w:rsidR="002C6881" w:rsidRPr="00422808" w:rsidRDefault="002C6881" w:rsidP="00BC6029">
      <w:pPr>
        <w:pStyle w:val="FootnoteText"/>
        <w:rPr>
          <w:rFonts w:ascii="Times New Roman" w:hAnsi="Times New Roman"/>
        </w:rPr>
      </w:pPr>
      <w:r w:rsidRPr="00422808">
        <w:rPr>
          <w:rStyle w:val="FootnoteReference"/>
          <w:rFonts w:ascii="Times New Roman" w:hAnsi="Times New Roman"/>
        </w:rPr>
        <w:footnoteRef/>
      </w:r>
      <w:r w:rsidRPr="00422808">
        <w:rPr>
          <w:rFonts w:ascii="Times New Roman" w:hAnsi="Times New Roman"/>
        </w:rPr>
        <w:t xml:space="preserve"> Finanšu ministrijas prognoze Latvijas valsts budžeta 2017.</w:t>
      </w:r>
      <w:r>
        <w:rPr>
          <w:rFonts w:ascii="Times New Roman" w:hAnsi="Times New Roman"/>
        </w:rPr>
        <w:t> </w:t>
      </w:r>
      <w:r w:rsidRPr="00422808">
        <w:rPr>
          <w:rFonts w:ascii="Times New Roman" w:hAnsi="Times New Roman"/>
        </w:rPr>
        <w:t>gadam sagatavošanai</w:t>
      </w:r>
      <w:r>
        <w:rPr>
          <w:rFonts w:ascii="Times New Roman" w:hAnsi="Times New Roman"/>
        </w:rPr>
        <w:t>.</w:t>
      </w:r>
    </w:p>
  </w:footnote>
  <w:footnote w:id="10">
    <w:p w14:paraId="79320F32" w14:textId="77777777" w:rsidR="002C6881" w:rsidRPr="006D506E" w:rsidRDefault="002C6881" w:rsidP="00BC6029">
      <w:pPr>
        <w:pStyle w:val="FootnoteText"/>
        <w:rPr>
          <w:rFonts w:ascii="Times New Roman" w:hAnsi="Times New Roman"/>
        </w:rPr>
      </w:pPr>
      <w:r w:rsidRPr="006D506E">
        <w:rPr>
          <w:rStyle w:val="FootnoteReference"/>
          <w:rFonts w:ascii="Times New Roman" w:hAnsi="Times New Roman"/>
        </w:rPr>
        <w:footnoteRef/>
      </w:r>
      <w:r w:rsidRPr="006D506E">
        <w:rPr>
          <w:rFonts w:ascii="Times New Roman" w:hAnsi="Times New Roman"/>
        </w:rPr>
        <w:t xml:space="preserve"> </w:t>
      </w:r>
      <w:r>
        <w:rPr>
          <w:rFonts w:ascii="Times New Roman" w:hAnsi="Times New Roman"/>
        </w:rPr>
        <w:t>Grozījumi likumā "</w:t>
      </w:r>
      <w:r w:rsidRPr="006D506E">
        <w:rPr>
          <w:rFonts w:ascii="Times New Roman" w:hAnsi="Times New Roman"/>
        </w:rPr>
        <w:t>Par valsts pensijām</w:t>
      </w:r>
      <w:r>
        <w:rPr>
          <w:rFonts w:ascii="Times New Roman" w:hAnsi="Times New Roman"/>
        </w:rPr>
        <w:t>"</w:t>
      </w:r>
      <w:r w:rsidRPr="006D506E">
        <w:rPr>
          <w:rFonts w:ascii="Times New Roman" w:hAnsi="Times New Roman"/>
        </w:rPr>
        <w:t xml:space="preserve"> pieņemti 10.03.2016.</w:t>
      </w:r>
      <w:r>
        <w:rPr>
          <w:rFonts w:ascii="Times New Roman" w:hAnsi="Times New Roman"/>
        </w:rPr>
        <w:t xml:space="preserve">, </w:t>
      </w:r>
      <w:r w:rsidRPr="006D506E">
        <w:rPr>
          <w:rFonts w:ascii="Times New Roman" w:hAnsi="Times New Roman"/>
        </w:rPr>
        <w:t>spēkā ar 01.06.2016.</w:t>
      </w:r>
      <w:r>
        <w:rPr>
          <w:rFonts w:ascii="Times New Roman" w:hAnsi="Times New Roman"/>
        </w:rPr>
        <w:t>, attiecīgā norma stājas spēkā ar 01.01.2017.</w:t>
      </w:r>
    </w:p>
  </w:footnote>
  <w:footnote w:id="11">
    <w:p w14:paraId="10892DDC" w14:textId="77777777" w:rsidR="002C6881" w:rsidRDefault="002C6881" w:rsidP="003D0715">
      <w:pPr>
        <w:pStyle w:val="FootnoteText"/>
      </w:pPr>
      <w:r w:rsidRPr="00395312">
        <w:rPr>
          <w:rStyle w:val="FootnoteReference"/>
          <w:rFonts w:ascii="Times New Roman" w:hAnsi="Times New Roman"/>
        </w:rPr>
        <w:footnoteRef/>
      </w:r>
      <w:r w:rsidRPr="00395312">
        <w:rPr>
          <w:rFonts w:ascii="Times New Roman" w:hAnsi="Times New Roman"/>
        </w:rPr>
        <w:t xml:space="preserve"> Ministru kabineta 2016.</w:t>
      </w:r>
      <w:r>
        <w:rPr>
          <w:rFonts w:ascii="Times New Roman" w:hAnsi="Times New Roman"/>
        </w:rPr>
        <w:t> </w:t>
      </w:r>
      <w:r w:rsidRPr="00395312">
        <w:rPr>
          <w:rFonts w:ascii="Times New Roman" w:hAnsi="Times New Roman"/>
        </w:rPr>
        <w:t>gada 5.</w:t>
      </w:r>
      <w:r>
        <w:rPr>
          <w:rFonts w:ascii="Times New Roman" w:hAnsi="Times New Roman"/>
        </w:rPr>
        <w:t> </w:t>
      </w:r>
      <w:r w:rsidRPr="00395312">
        <w:rPr>
          <w:rFonts w:ascii="Times New Roman" w:hAnsi="Times New Roman"/>
        </w:rPr>
        <w:t>jūlija noteikumi Nr.</w:t>
      </w:r>
      <w:r>
        <w:rPr>
          <w:rFonts w:ascii="Times New Roman" w:hAnsi="Times New Roman"/>
        </w:rPr>
        <w:t> </w:t>
      </w:r>
      <w:r w:rsidRPr="00395312">
        <w:rPr>
          <w:rFonts w:ascii="Times New Roman" w:hAnsi="Times New Roman"/>
        </w:rPr>
        <w:t xml:space="preserve">445 </w:t>
      </w:r>
      <w:r>
        <w:rPr>
          <w:rFonts w:ascii="Times New Roman" w:hAnsi="Times New Roman"/>
        </w:rPr>
        <w:t>"</w:t>
      </w:r>
      <w:r w:rsidRPr="00395312">
        <w:rPr>
          <w:rFonts w:ascii="Times New Roman" w:hAnsi="Times New Roman"/>
        </w:rPr>
        <w:t>Pedagogu darba samaksas noteikumi</w:t>
      </w:r>
      <w:r>
        <w:rPr>
          <w:rFonts w:ascii="Times New Roman" w:hAnsi="Times New Roman"/>
        </w:rPr>
        <w:t>".</w:t>
      </w:r>
    </w:p>
  </w:footnote>
  <w:footnote w:id="12">
    <w:p w14:paraId="79B10A17" w14:textId="77777777" w:rsidR="002C6881" w:rsidRDefault="002C6881" w:rsidP="003D0715">
      <w:pPr>
        <w:pStyle w:val="FootnoteText"/>
      </w:pPr>
      <w:r>
        <w:rPr>
          <w:rStyle w:val="FootnoteReference"/>
        </w:rPr>
        <w:footnoteRef/>
      </w:r>
      <w:r>
        <w:t xml:space="preserve"> </w:t>
      </w:r>
      <w:r w:rsidRPr="004960B3">
        <w:rPr>
          <w:rFonts w:ascii="Times New Roman" w:hAnsi="Times New Roman"/>
        </w:rPr>
        <w:t>2016.</w:t>
      </w:r>
      <w:r>
        <w:rPr>
          <w:rFonts w:ascii="Times New Roman" w:hAnsi="Times New Roman"/>
        </w:rPr>
        <w:t> </w:t>
      </w:r>
      <w:r w:rsidRPr="004960B3">
        <w:rPr>
          <w:rFonts w:ascii="Times New Roman" w:hAnsi="Times New Roman"/>
        </w:rPr>
        <w:t>gada oktobris</w:t>
      </w:r>
      <w:r>
        <w:rPr>
          <w:rFonts w:ascii="Times New Roman" w:hAnsi="Times New Roman"/>
        </w:rPr>
        <w:t>.</w:t>
      </w:r>
    </w:p>
  </w:footnote>
  <w:footnote w:id="13">
    <w:p w14:paraId="41D6C7E2" w14:textId="1958908B" w:rsidR="002C6881" w:rsidRDefault="002C6881" w:rsidP="003D0715">
      <w:pPr>
        <w:pStyle w:val="FootnoteText"/>
      </w:pPr>
      <w:r>
        <w:rPr>
          <w:rStyle w:val="FootnoteReference"/>
        </w:rPr>
        <w:footnoteRef/>
      </w:r>
      <w:r>
        <w:t xml:space="preserve"> </w:t>
      </w:r>
      <w:r w:rsidRPr="00395312">
        <w:rPr>
          <w:rFonts w:ascii="Times New Roman" w:hAnsi="Times New Roman"/>
        </w:rPr>
        <w:t>Ministru kabineta 2015.</w:t>
      </w:r>
      <w:r>
        <w:rPr>
          <w:rFonts w:ascii="Times New Roman" w:hAnsi="Times New Roman"/>
        </w:rPr>
        <w:t> </w:t>
      </w:r>
      <w:r w:rsidRPr="00395312">
        <w:rPr>
          <w:rFonts w:ascii="Times New Roman" w:hAnsi="Times New Roman"/>
        </w:rPr>
        <w:t>gada 13.</w:t>
      </w:r>
      <w:r>
        <w:rPr>
          <w:rFonts w:ascii="Times New Roman" w:hAnsi="Times New Roman"/>
        </w:rPr>
        <w:t> </w:t>
      </w:r>
      <w:r w:rsidRPr="00395312">
        <w:rPr>
          <w:rFonts w:ascii="Times New Roman" w:hAnsi="Times New Roman"/>
        </w:rPr>
        <w:t>oktobra noteikumi Nr.</w:t>
      </w:r>
      <w:r>
        <w:rPr>
          <w:rFonts w:ascii="Times New Roman" w:hAnsi="Times New Roman"/>
        </w:rPr>
        <w:t> </w:t>
      </w:r>
      <w:r w:rsidRPr="00395312">
        <w:rPr>
          <w:rFonts w:ascii="Times New Roman" w:hAnsi="Times New Roman"/>
        </w:rPr>
        <w:t xml:space="preserve">591 </w:t>
      </w:r>
      <w:r>
        <w:rPr>
          <w:rFonts w:ascii="Times New Roman" w:hAnsi="Times New Roman"/>
        </w:rPr>
        <w:t>"</w:t>
      </w:r>
      <w:r w:rsidRPr="00395312">
        <w:rPr>
          <w:rFonts w:ascii="Times New Roman" w:hAnsi="Times New Roman"/>
        </w:rPr>
        <w:t>Kārtība, kādā izglītojamie tiek uzņemti vispārējās</w:t>
      </w:r>
      <w:r>
        <w:rPr>
          <w:rFonts w:ascii="Times New Roman" w:hAnsi="Times New Roman"/>
        </w:rPr>
        <w:t xml:space="preserve"> izglītības </w:t>
      </w:r>
      <w:r w:rsidRPr="00395312">
        <w:rPr>
          <w:rFonts w:ascii="Times New Roman" w:hAnsi="Times New Roman"/>
        </w:rPr>
        <w:t>iestādēs un speciālajās pirmsskolas izglītības grupās un atskaitīti no tām, kā arī pārcelti uz nākamo klasi</w:t>
      </w:r>
      <w:r>
        <w:rPr>
          <w:rFonts w:ascii="Times New Roman" w:hAnsi="Times New Roman"/>
        </w:rPr>
        <w:t>".</w:t>
      </w:r>
    </w:p>
  </w:footnote>
  <w:footnote w:id="14">
    <w:p w14:paraId="67BEFC0C" w14:textId="77777777" w:rsidR="002C6881" w:rsidRPr="00395312" w:rsidRDefault="002C6881" w:rsidP="003D0715">
      <w:pPr>
        <w:pStyle w:val="FootnoteText"/>
        <w:jc w:val="both"/>
        <w:rPr>
          <w:rFonts w:ascii="Times New Roman" w:hAnsi="Times New Roman"/>
        </w:rPr>
      </w:pPr>
      <w:r w:rsidRPr="00395312">
        <w:rPr>
          <w:rStyle w:val="FootnoteReference"/>
          <w:rFonts w:ascii="Times New Roman" w:hAnsi="Times New Roman"/>
        </w:rPr>
        <w:footnoteRef/>
      </w:r>
      <w:r w:rsidRPr="00395312">
        <w:rPr>
          <w:rFonts w:ascii="Times New Roman" w:hAnsi="Times New Roman"/>
        </w:rPr>
        <w:t xml:space="preserve"> Ministru kabineta 2016.</w:t>
      </w:r>
      <w:r>
        <w:rPr>
          <w:rFonts w:ascii="Times New Roman" w:hAnsi="Times New Roman"/>
        </w:rPr>
        <w:t> </w:t>
      </w:r>
      <w:r w:rsidRPr="00395312">
        <w:rPr>
          <w:rFonts w:ascii="Times New Roman" w:hAnsi="Times New Roman"/>
        </w:rPr>
        <w:t>gada 5.</w:t>
      </w:r>
      <w:r>
        <w:rPr>
          <w:rFonts w:ascii="Times New Roman" w:hAnsi="Times New Roman"/>
        </w:rPr>
        <w:t> </w:t>
      </w:r>
      <w:r w:rsidRPr="00395312">
        <w:rPr>
          <w:rFonts w:ascii="Times New Roman" w:hAnsi="Times New Roman"/>
        </w:rPr>
        <w:t>jūlija noteikumi Nr.</w:t>
      </w:r>
      <w:r>
        <w:rPr>
          <w:rFonts w:ascii="Times New Roman" w:hAnsi="Times New Roman"/>
        </w:rPr>
        <w:t> </w:t>
      </w:r>
      <w:r w:rsidRPr="00395312">
        <w:rPr>
          <w:rFonts w:ascii="Times New Roman" w:hAnsi="Times New Roman"/>
        </w:rPr>
        <w:t xml:space="preserve">447 </w:t>
      </w:r>
      <w:r>
        <w:rPr>
          <w:rFonts w:ascii="Times New Roman" w:hAnsi="Times New Roman"/>
        </w:rPr>
        <w:t>"</w:t>
      </w:r>
      <w:r w:rsidRPr="00395312">
        <w:rPr>
          <w:rFonts w:ascii="Times New Roman" w:hAnsi="Times New Roman"/>
        </w:rPr>
        <w:t>Par valsts budžeta mērķdotāciju pedagogu darba samaksai pašvaldību vispārējās izglītības iestādēs un valsts augstskolu vispārē</w:t>
      </w:r>
      <w:r>
        <w:rPr>
          <w:rFonts w:ascii="Times New Roman" w:hAnsi="Times New Roman"/>
        </w:rPr>
        <w:t>jās vidējās izglītības iestādēs".</w:t>
      </w:r>
    </w:p>
  </w:footnote>
  <w:footnote w:id="15">
    <w:p w14:paraId="24D8351F" w14:textId="77777777" w:rsidR="002C6881" w:rsidRPr="00395312" w:rsidRDefault="002C6881" w:rsidP="003D0715">
      <w:pPr>
        <w:pStyle w:val="FootnoteText"/>
        <w:jc w:val="both"/>
        <w:rPr>
          <w:rFonts w:ascii="Times New Roman" w:hAnsi="Times New Roman"/>
        </w:rPr>
      </w:pPr>
      <w:r w:rsidRPr="00395312">
        <w:rPr>
          <w:rStyle w:val="FootnoteReference"/>
          <w:rFonts w:ascii="Times New Roman" w:hAnsi="Times New Roman"/>
        </w:rPr>
        <w:footnoteRef/>
      </w:r>
      <w:r w:rsidRPr="00395312">
        <w:rPr>
          <w:rFonts w:ascii="Times New Roman" w:hAnsi="Times New Roman"/>
        </w:rPr>
        <w:t xml:space="preserve"> Ministru kabineta 2016.</w:t>
      </w:r>
      <w:r>
        <w:rPr>
          <w:rFonts w:ascii="Times New Roman" w:hAnsi="Times New Roman"/>
        </w:rPr>
        <w:t> </w:t>
      </w:r>
      <w:r w:rsidRPr="00395312">
        <w:rPr>
          <w:rFonts w:ascii="Times New Roman" w:hAnsi="Times New Roman"/>
        </w:rPr>
        <w:t>gada 24.</w:t>
      </w:r>
      <w:r>
        <w:rPr>
          <w:rFonts w:ascii="Times New Roman" w:hAnsi="Times New Roman"/>
        </w:rPr>
        <w:t> </w:t>
      </w:r>
      <w:r w:rsidRPr="00395312">
        <w:rPr>
          <w:rFonts w:ascii="Times New Roman" w:hAnsi="Times New Roman"/>
        </w:rPr>
        <w:t>maija noteikumi Nr.</w:t>
      </w:r>
      <w:r>
        <w:rPr>
          <w:rFonts w:ascii="Times New Roman" w:hAnsi="Times New Roman"/>
        </w:rPr>
        <w:t> </w:t>
      </w:r>
      <w:r w:rsidRPr="00395312">
        <w:rPr>
          <w:rFonts w:ascii="Times New Roman" w:hAnsi="Times New Roman"/>
        </w:rPr>
        <w:t xml:space="preserve">323 </w:t>
      </w:r>
      <w:r>
        <w:rPr>
          <w:rFonts w:ascii="Times New Roman" w:hAnsi="Times New Roman"/>
        </w:rPr>
        <w:t>"</w:t>
      </w:r>
      <w:r w:rsidRPr="00395312">
        <w:rPr>
          <w:rFonts w:ascii="Times New Roman" w:hAnsi="Times New Roman"/>
        </w:rPr>
        <w:t xml:space="preserve">Darbības programmas </w:t>
      </w:r>
      <w:r>
        <w:rPr>
          <w:rFonts w:ascii="Times New Roman" w:hAnsi="Times New Roman"/>
        </w:rPr>
        <w:t>"</w:t>
      </w:r>
      <w:r w:rsidRPr="00395312">
        <w:rPr>
          <w:rFonts w:ascii="Times New Roman" w:hAnsi="Times New Roman"/>
        </w:rPr>
        <w:t>Izaugsme un nodarbinātība</w:t>
      </w:r>
      <w:r>
        <w:rPr>
          <w:rFonts w:ascii="Times New Roman" w:hAnsi="Times New Roman"/>
        </w:rPr>
        <w:t>"</w:t>
      </w:r>
      <w:r w:rsidRPr="00395312">
        <w:rPr>
          <w:rFonts w:ascii="Times New Roman" w:hAnsi="Times New Roman"/>
        </w:rPr>
        <w:t xml:space="preserve"> 8.1.2.</w:t>
      </w:r>
      <w:r>
        <w:rPr>
          <w:rFonts w:ascii="Times New Roman" w:hAnsi="Times New Roman"/>
        </w:rPr>
        <w:t> </w:t>
      </w:r>
      <w:r w:rsidRPr="00395312">
        <w:rPr>
          <w:rFonts w:ascii="Times New Roman" w:hAnsi="Times New Roman"/>
        </w:rPr>
        <w:t xml:space="preserve">specifiskā atbalsta mērķa </w:t>
      </w:r>
      <w:r>
        <w:rPr>
          <w:rFonts w:ascii="Times New Roman" w:hAnsi="Times New Roman"/>
        </w:rPr>
        <w:t>"</w:t>
      </w:r>
      <w:r w:rsidRPr="00395312">
        <w:rPr>
          <w:rFonts w:ascii="Times New Roman" w:hAnsi="Times New Roman"/>
        </w:rPr>
        <w:t>Uzlabot vispārējās izglītības iestāžu mācību vidi</w:t>
      </w:r>
      <w:r>
        <w:rPr>
          <w:rFonts w:ascii="Times New Roman" w:hAnsi="Times New Roman"/>
        </w:rPr>
        <w:t>"</w:t>
      </w:r>
      <w:r w:rsidRPr="00395312">
        <w:rPr>
          <w:rFonts w:ascii="Times New Roman" w:hAnsi="Times New Roman"/>
        </w:rPr>
        <w:t xml:space="preserve"> īstenošanas noteikumi</w:t>
      </w:r>
      <w:r>
        <w:rPr>
          <w:rFonts w:ascii="Times New Roman" w:hAnsi="Times New Roman"/>
        </w:rPr>
        <w:t>".</w:t>
      </w:r>
    </w:p>
  </w:footnote>
  <w:footnote w:id="16">
    <w:p w14:paraId="2FB4D9B7" w14:textId="77777777" w:rsidR="002C6881" w:rsidRPr="00EF0397" w:rsidRDefault="002C6881" w:rsidP="003D0715">
      <w:pPr>
        <w:pStyle w:val="FootnoteText"/>
        <w:rPr>
          <w:rFonts w:ascii="Times New Roman" w:hAnsi="Times New Roman"/>
        </w:rPr>
      </w:pPr>
      <w:r w:rsidRPr="00EF0397">
        <w:rPr>
          <w:rStyle w:val="FootnoteReference"/>
        </w:rPr>
        <w:footnoteRef/>
      </w:r>
      <w:r w:rsidRPr="00EF0397">
        <w:rPr>
          <w:rFonts w:ascii="Times New Roman" w:hAnsi="Times New Roman"/>
        </w:rPr>
        <w:t xml:space="preserve"> Secīgai reformu īstenošanai valdības rīcības plānā </w:t>
      </w:r>
      <w:r>
        <w:rPr>
          <w:rFonts w:ascii="Times New Roman" w:hAnsi="Times New Roman"/>
        </w:rPr>
        <w:t xml:space="preserve">ir mainīti </w:t>
      </w:r>
      <w:r w:rsidRPr="00EF0397">
        <w:rPr>
          <w:rFonts w:ascii="Times New Roman" w:hAnsi="Times New Roman"/>
        </w:rPr>
        <w:t xml:space="preserve">sākotnēji noteiktie izpildes termiņi </w:t>
      </w:r>
      <w:r>
        <w:rPr>
          <w:rFonts w:ascii="Times New Roman" w:hAnsi="Times New Roman"/>
        </w:rPr>
        <w:t xml:space="preserve">vairākiem </w:t>
      </w:r>
      <w:r w:rsidRPr="00EF0397">
        <w:rPr>
          <w:rFonts w:ascii="Times New Roman" w:hAnsi="Times New Roman"/>
        </w:rPr>
        <w:t>uzdevumiem</w:t>
      </w:r>
      <w:r>
        <w:rPr>
          <w:rFonts w:ascii="Times New Roman" w:hAnsi="Times New Roman"/>
        </w:rPr>
        <w:t xml:space="preserve">, t. sk. attiecībā uz </w:t>
      </w:r>
      <w:r w:rsidRPr="00EF0397">
        <w:rPr>
          <w:rFonts w:ascii="Times New Roman" w:hAnsi="Times New Roman"/>
        </w:rPr>
        <w:t>rindu mazināšan</w:t>
      </w:r>
      <w:r>
        <w:rPr>
          <w:rFonts w:ascii="Times New Roman" w:hAnsi="Times New Roman"/>
        </w:rPr>
        <w:t xml:space="preserve">u, </w:t>
      </w:r>
      <w:r w:rsidRPr="00EF0397">
        <w:rPr>
          <w:rFonts w:ascii="Times New Roman" w:hAnsi="Times New Roman"/>
        </w:rPr>
        <w:t xml:space="preserve">tarifu </w:t>
      </w:r>
      <w:r>
        <w:rPr>
          <w:rFonts w:ascii="Times New Roman" w:hAnsi="Times New Roman"/>
        </w:rPr>
        <w:t>pārskatīšanu, vienotas kvalitātes nodrošināšanas sistēmas ieviešanu veselības aprūpes jomā</w:t>
      </w:r>
      <w:r w:rsidRPr="00EF0397">
        <w:rPr>
          <w:rFonts w:ascii="Times New Roman" w:hAnsi="Times New Roman"/>
        </w:rPr>
        <w:t>.</w:t>
      </w:r>
    </w:p>
  </w:footnote>
  <w:footnote w:id="17">
    <w:p w14:paraId="4810FC99" w14:textId="77777777" w:rsidR="002C6881" w:rsidRPr="00705A05" w:rsidRDefault="002C6881" w:rsidP="003D0715">
      <w:pPr>
        <w:pStyle w:val="FootnoteText"/>
        <w:rPr>
          <w:rFonts w:ascii="Times New Roman" w:hAnsi="Times New Roman"/>
          <w:bCs/>
        </w:rPr>
      </w:pPr>
      <w:r w:rsidRPr="00705A05">
        <w:rPr>
          <w:rStyle w:val="FootnoteReference"/>
          <w:rFonts w:ascii="Times New Roman" w:hAnsi="Times New Roman"/>
        </w:rPr>
        <w:footnoteRef/>
      </w:r>
      <w:r w:rsidRPr="00705A05">
        <w:rPr>
          <w:rFonts w:ascii="Times New Roman" w:hAnsi="Times New Roman"/>
        </w:rPr>
        <w:t xml:space="preserve"> </w:t>
      </w:r>
      <w:r w:rsidRPr="00705A05">
        <w:rPr>
          <w:rFonts w:ascii="Times New Roman" w:hAnsi="Times New Roman"/>
          <w:bCs/>
        </w:rPr>
        <w:t xml:space="preserve">Ministru kabineta 2016. gada 27. septembra noteikumi Nr. 642 </w:t>
      </w:r>
      <w:r>
        <w:rPr>
          <w:rFonts w:ascii="Times New Roman" w:hAnsi="Times New Roman"/>
          <w:bCs/>
        </w:rPr>
        <w:t>"</w:t>
      </w:r>
      <w:r w:rsidRPr="00705A05">
        <w:rPr>
          <w:rFonts w:ascii="Times New Roman" w:hAnsi="Times New Roman"/>
          <w:bCs/>
        </w:rPr>
        <w:t>Grozījumi Ministru kabineta 2013.</w:t>
      </w:r>
      <w:r>
        <w:rPr>
          <w:rFonts w:ascii="Times New Roman" w:hAnsi="Times New Roman"/>
          <w:bCs/>
        </w:rPr>
        <w:t> </w:t>
      </w:r>
      <w:r w:rsidRPr="00705A05">
        <w:rPr>
          <w:rFonts w:ascii="Times New Roman" w:hAnsi="Times New Roman"/>
          <w:bCs/>
        </w:rPr>
        <w:t xml:space="preserve">gada 17. decembra noteikumos Nr. 1529 </w:t>
      </w:r>
      <w:r>
        <w:rPr>
          <w:rFonts w:ascii="Times New Roman" w:hAnsi="Times New Roman"/>
          <w:bCs/>
        </w:rPr>
        <w:t>"</w:t>
      </w:r>
      <w:r w:rsidRPr="00705A05">
        <w:rPr>
          <w:rFonts w:ascii="Times New Roman" w:hAnsi="Times New Roman"/>
        </w:rPr>
        <w:t>Veselības aprūpes organizēšanas un finansēšanas kārtība</w:t>
      </w:r>
      <w:r>
        <w:rPr>
          <w:rFonts w:ascii="Times New Roman" w:hAnsi="Times New Roman"/>
          <w:bCs/>
        </w:rPr>
        <w:t>"".</w:t>
      </w:r>
    </w:p>
  </w:footnote>
  <w:footnote w:id="18">
    <w:p w14:paraId="00F0D168" w14:textId="77777777" w:rsidR="00894426" w:rsidRDefault="00894426" w:rsidP="00894426">
      <w:pPr>
        <w:pStyle w:val="FootnoteText"/>
        <w:jc w:val="both"/>
      </w:pPr>
      <w:r w:rsidRPr="009461B5">
        <w:rPr>
          <w:rStyle w:val="FootnoteReference"/>
          <w:rFonts w:ascii="Times New Roman" w:hAnsi="Times New Roman"/>
        </w:rPr>
        <w:footnoteRef/>
      </w:r>
      <w:r w:rsidRPr="009461B5">
        <w:rPr>
          <w:rFonts w:ascii="Times New Roman" w:hAnsi="Times New Roman"/>
        </w:rPr>
        <w:t xml:space="preserve"> Ministru kabineta 2016.</w:t>
      </w:r>
      <w:r>
        <w:rPr>
          <w:rFonts w:ascii="Times New Roman" w:hAnsi="Times New Roman"/>
        </w:rPr>
        <w:t> </w:t>
      </w:r>
      <w:r w:rsidRPr="009461B5">
        <w:rPr>
          <w:rFonts w:ascii="Times New Roman" w:hAnsi="Times New Roman"/>
        </w:rPr>
        <w:t>gada 24.</w:t>
      </w:r>
      <w:r>
        <w:rPr>
          <w:rFonts w:ascii="Times New Roman" w:hAnsi="Times New Roman"/>
        </w:rPr>
        <w:t> </w:t>
      </w:r>
      <w:r w:rsidRPr="009461B5">
        <w:rPr>
          <w:rFonts w:ascii="Times New Roman" w:hAnsi="Times New Roman"/>
        </w:rPr>
        <w:t>maija noteikumi Nr.</w:t>
      </w:r>
      <w:r>
        <w:rPr>
          <w:rFonts w:ascii="Times New Roman" w:hAnsi="Times New Roman"/>
        </w:rPr>
        <w:t> </w:t>
      </w:r>
      <w:r w:rsidRPr="009461B5">
        <w:rPr>
          <w:rFonts w:ascii="Times New Roman" w:hAnsi="Times New Roman"/>
        </w:rPr>
        <w:t xml:space="preserve">322 </w:t>
      </w:r>
      <w:r>
        <w:rPr>
          <w:rFonts w:ascii="Times New Roman" w:hAnsi="Times New Roman"/>
        </w:rPr>
        <w:t>"</w:t>
      </w:r>
      <w:r w:rsidRPr="009461B5">
        <w:rPr>
          <w:rFonts w:ascii="Times New Roman" w:hAnsi="Times New Roman"/>
        </w:rPr>
        <w:t xml:space="preserve">Darbības programmas </w:t>
      </w:r>
      <w:r>
        <w:rPr>
          <w:rFonts w:ascii="Times New Roman" w:hAnsi="Times New Roman"/>
        </w:rPr>
        <w:t>"</w:t>
      </w:r>
      <w:r w:rsidRPr="009461B5">
        <w:rPr>
          <w:rFonts w:ascii="Times New Roman" w:hAnsi="Times New Roman"/>
        </w:rPr>
        <w:t>Izaugsme un nodarbinātība</w:t>
      </w:r>
      <w:r>
        <w:rPr>
          <w:rFonts w:ascii="Times New Roman" w:hAnsi="Times New Roman"/>
        </w:rPr>
        <w:t>"</w:t>
      </w:r>
      <w:r w:rsidRPr="009461B5">
        <w:rPr>
          <w:rFonts w:ascii="Times New Roman" w:hAnsi="Times New Roman"/>
        </w:rPr>
        <w:t xml:space="preserve"> prioritārā virziena </w:t>
      </w:r>
      <w:r>
        <w:rPr>
          <w:rFonts w:ascii="Times New Roman" w:hAnsi="Times New Roman"/>
        </w:rPr>
        <w:t>"</w:t>
      </w:r>
      <w:r w:rsidRPr="009461B5">
        <w:rPr>
          <w:rFonts w:ascii="Times New Roman" w:hAnsi="Times New Roman"/>
        </w:rPr>
        <w:t>Vides aizsardzības un resursu izmantošanas efektivitāte</w:t>
      </w:r>
      <w:r>
        <w:rPr>
          <w:rFonts w:ascii="Times New Roman" w:hAnsi="Times New Roman"/>
        </w:rPr>
        <w:t>"</w:t>
      </w:r>
      <w:r w:rsidRPr="009461B5">
        <w:rPr>
          <w:rFonts w:ascii="Times New Roman" w:hAnsi="Times New Roman"/>
        </w:rPr>
        <w:t xml:space="preserve"> 5.5.1.</w:t>
      </w:r>
      <w:r>
        <w:rPr>
          <w:rFonts w:ascii="Times New Roman" w:hAnsi="Times New Roman"/>
        </w:rPr>
        <w:t> </w:t>
      </w:r>
      <w:r w:rsidRPr="009461B5">
        <w:rPr>
          <w:rFonts w:ascii="Times New Roman" w:hAnsi="Times New Roman"/>
        </w:rPr>
        <w:t xml:space="preserve">specifiskā atbalsta mērķa </w:t>
      </w:r>
      <w:r>
        <w:rPr>
          <w:rFonts w:ascii="Times New Roman" w:hAnsi="Times New Roman"/>
        </w:rPr>
        <w:t>"</w:t>
      </w:r>
      <w:r w:rsidRPr="009461B5">
        <w:rPr>
          <w:rFonts w:ascii="Times New Roman" w:hAnsi="Times New Roman"/>
        </w:rPr>
        <w:t>Saglabāt, aizsargāt un attīstīt nozīmīgu kultūras un dabas mantojumu, kā arī attīstīt ar to saistītos pakalpojumus</w:t>
      </w:r>
      <w:r>
        <w:rPr>
          <w:rFonts w:ascii="Times New Roman" w:hAnsi="Times New Roman"/>
        </w:rPr>
        <w:t>"</w:t>
      </w:r>
      <w:r w:rsidRPr="009461B5">
        <w:rPr>
          <w:rFonts w:ascii="Times New Roman" w:hAnsi="Times New Roman"/>
        </w:rPr>
        <w:t xml:space="preserve"> īstenošanas noteikumi</w:t>
      </w:r>
      <w:r>
        <w:rPr>
          <w:rFonts w:ascii="Times New Roman" w:hAnsi="Times New Roman"/>
        </w:rPr>
        <w:t>".</w:t>
      </w:r>
    </w:p>
  </w:footnote>
  <w:footnote w:id="19">
    <w:p w14:paraId="319E3416" w14:textId="77777777" w:rsidR="00894426" w:rsidRPr="009461B5" w:rsidRDefault="00894426" w:rsidP="00894426">
      <w:pPr>
        <w:pStyle w:val="FootnoteText"/>
        <w:jc w:val="both"/>
        <w:rPr>
          <w:rFonts w:ascii="Times New Roman" w:hAnsi="Times New Roman"/>
        </w:rPr>
      </w:pPr>
      <w:r w:rsidRPr="009461B5">
        <w:rPr>
          <w:rStyle w:val="FootnoteReference"/>
          <w:rFonts w:ascii="Times New Roman" w:hAnsi="Times New Roman"/>
        </w:rPr>
        <w:footnoteRef/>
      </w:r>
      <w:r w:rsidRPr="009461B5">
        <w:rPr>
          <w:rFonts w:ascii="Times New Roman" w:hAnsi="Times New Roman"/>
        </w:rPr>
        <w:t xml:space="preserve"> </w:t>
      </w:r>
      <w:r>
        <w:rPr>
          <w:rFonts w:ascii="Times New Roman" w:hAnsi="Times New Roman"/>
        </w:rPr>
        <w:t>D</w:t>
      </w:r>
      <w:r w:rsidRPr="005C519B">
        <w:rPr>
          <w:rFonts w:ascii="Times New Roman" w:hAnsi="Times New Roman"/>
        </w:rPr>
        <w:t xml:space="preserve">arbības programmas </w:t>
      </w:r>
      <w:r>
        <w:rPr>
          <w:rFonts w:ascii="Times New Roman" w:hAnsi="Times New Roman"/>
        </w:rPr>
        <w:t>"</w:t>
      </w:r>
      <w:r w:rsidRPr="005C519B">
        <w:rPr>
          <w:rFonts w:ascii="Times New Roman" w:hAnsi="Times New Roman"/>
        </w:rPr>
        <w:t>Izaugsme un nodarbinātība</w:t>
      </w:r>
      <w:r>
        <w:rPr>
          <w:rFonts w:ascii="Times New Roman" w:hAnsi="Times New Roman"/>
        </w:rPr>
        <w:t>"</w:t>
      </w:r>
      <w:r w:rsidRPr="009461B5">
        <w:rPr>
          <w:rFonts w:ascii="Times New Roman" w:hAnsi="Times New Roman"/>
        </w:rPr>
        <w:t xml:space="preserve"> 5.6.1.</w:t>
      </w:r>
      <w:r>
        <w:rPr>
          <w:rFonts w:ascii="Times New Roman" w:hAnsi="Times New Roman"/>
        </w:rPr>
        <w:t xml:space="preserve"> specifiskais atbalsta mērķis "Veicināt Rīgas pilsētas </w:t>
      </w:r>
      <w:proofErr w:type="spellStart"/>
      <w:r>
        <w:rPr>
          <w:rFonts w:ascii="Times New Roman" w:hAnsi="Times New Roman"/>
        </w:rPr>
        <w:t>revitalizāciju</w:t>
      </w:r>
      <w:proofErr w:type="spellEnd"/>
      <w:r>
        <w:rPr>
          <w:rFonts w:ascii="Times New Roman" w:hAnsi="Times New Roman"/>
        </w:rPr>
        <w:t>, nodrošinot teritorijas efektīvu sociālekonomisko izmantošanu".</w:t>
      </w:r>
    </w:p>
  </w:footnote>
  <w:footnote w:id="20">
    <w:p w14:paraId="53339249" w14:textId="77777777" w:rsidR="002C6881" w:rsidRPr="00466E70" w:rsidRDefault="002C6881" w:rsidP="003D0715">
      <w:pPr>
        <w:pStyle w:val="FootnoteText"/>
        <w:jc w:val="both"/>
        <w:rPr>
          <w:rFonts w:ascii="Times New Roman" w:hAnsi="Times New Roman"/>
        </w:rPr>
      </w:pPr>
      <w:r>
        <w:rPr>
          <w:rStyle w:val="FootnoteReference"/>
        </w:rPr>
        <w:footnoteRef/>
      </w:r>
      <w:r>
        <w:t xml:space="preserve"> </w:t>
      </w:r>
      <w:r>
        <w:rPr>
          <w:rFonts w:ascii="Times New Roman" w:hAnsi="Times New Roman"/>
        </w:rPr>
        <w:t>D</w:t>
      </w:r>
      <w:r w:rsidRPr="00DF6E9E">
        <w:rPr>
          <w:rFonts w:ascii="Times New Roman" w:hAnsi="Times New Roman"/>
        </w:rPr>
        <w:t xml:space="preserve">arbības programmas </w:t>
      </w:r>
      <w:r>
        <w:rPr>
          <w:rFonts w:ascii="Times New Roman" w:hAnsi="Times New Roman"/>
        </w:rPr>
        <w:t>"</w:t>
      </w:r>
      <w:r w:rsidRPr="00DF6E9E">
        <w:rPr>
          <w:rFonts w:ascii="Times New Roman" w:hAnsi="Times New Roman"/>
        </w:rPr>
        <w:t>Izaugsme un nodarbinātība</w:t>
      </w:r>
      <w:r>
        <w:rPr>
          <w:rFonts w:ascii="Times New Roman" w:hAnsi="Times New Roman"/>
        </w:rPr>
        <w:t xml:space="preserve">" </w:t>
      </w:r>
      <w:r w:rsidRPr="00466E70">
        <w:rPr>
          <w:rFonts w:ascii="Times New Roman" w:hAnsi="Times New Roman"/>
        </w:rPr>
        <w:t>2.2.1.</w:t>
      </w:r>
      <w:r>
        <w:rPr>
          <w:rFonts w:ascii="Times New Roman" w:hAnsi="Times New Roman"/>
        </w:rPr>
        <w:t> </w:t>
      </w:r>
      <w:r w:rsidRPr="00466E70">
        <w:rPr>
          <w:rFonts w:ascii="Times New Roman" w:hAnsi="Times New Roman"/>
        </w:rPr>
        <w:t xml:space="preserve">specifiskā atbalsta mērķa </w:t>
      </w:r>
      <w:r>
        <w:rPr>
          <w:rFonts w:ascii="Times New Roman" w:hAnsi="Times New Roman"/>
        </w:rPr>
        <w:t>"</w:t>
      </w:r>
      <w:r w:rsidRPr="00466E70">
        <w:rPr>
          <w:rFonts w:ascii="Times New Roman" w:hAnsi="Times New Roman"/>
        </w:rPr>
        <w:t xml:space="preserve">Nodrošināt publisko datu </w:t>
      </w:r>
      <w:proofErr w:type="spellStart"/>
      <w:r w:rsidRPr="00466E70">
        <w:rPr>
          <w:rFonts w:ascii="Times New Roman" w:hAnsi="Times New Roman"/>
        </w:rPr>
        <w:t>atkalizmantošanas</w:t>
      </w:r>
      <w:proofErr w:type="spellEnd"/>
      <w:r w:rsidRPr="00466E70">
        <w:rPr>
          <w:rFonts w:ascii="Times New Roman" w:hAnsi="Times New Roman"/>
        </w:rPr>
        <w:t xml:space="preserve"> pieaugumu un efektīvu publiskās pārvaldes un privātā sektora mijiedarbību</w:t>
      </w:r>
      <w:r>
        <w:rPr>
          <w:rFonts w:ascii="Times New Roman" w:hAnsi="Times New Roman"/>
        </w:rPr>
        <w:t>" 2.2.1.2.pasākuma</w:t>
      </w:r>
      <w:r w:rsidRPr="00466E70">
        <w:rPr>
          <w:rFonts w:ascii="Times New Roman" w:hAnsi="Times New Roman"/>
        </w:rPr>
        <w:t xml:space="preserve"> </w:t>
      </w:r>
      <w:r>
        <w:rPr>
          <w:rFonts w:ascii="Times New Roman" w:hAnsi="Times New Roman"/>
        </w:rPr>
        <w:t>"</w:t>
      </w:r>
      <w:r w:rsidRPr="00466E70">
        <w:rPr>
          <w:rFonts w:ascii="Times New Roman" w:hAnsi="Times New Roman"/>
        </w:rPr>
        <w:t>Kultūras mantojuma digitalizācija</w:t>
      </w:r>
      <w:r>
        <w:rPr>
          <w:rFonts w:ascii="Times New Roman" w:hAnsi="Times New Roman"/>
        </w:rPr>
        <w:t>"</w:t>
      </w:r>
      <w:r w:rsidRPr="00466E70">
        <w:rPr>
          <w:rFonts w:ascii="Times New Roman" w:hAnsi="Times New Roman"/>
        </w:rPr>
        <w:t xml:space="preserve"> ietvaros</w:t>
      </w:r>
      <w:r>
        <w:rPr>
          <w:rFonts w:ascii="Times New Roman" w:hAnsi="Times New Roman"/>
        </w:rPr>
        <w:t>.</w:t>
      </w:r>
    </w:p>
  </w:footnote>
  <w:footnote w:id="21">
    <w:p w14:paraId="7C7FCD29" w14:textId="7D6F311F" w:rsidR="002C6881" w:rsidRPr="00C9309B" w:rsidRDefault="002C6881" w:rsidP="003D0715">
      <w:pPr>
        <w:pStyle w:val="CommentText"/>
        <w:jc w:val="both"/>
        <w:rPr>
          <w:rFonts w:ascii="Times New Roman" w:hAnsi="Times New Roman"/>
        </w:rPr>
      </w:pPr>
      <w:r w:rsidRPr="00C9309B">
        <w:rPr>
          <w:rStyle w:val="FootnoteReference"/>
          <w:rFonts w:ascii="Times New Roman" w:hAnsi="Times New Roman"/>
        </w:rPr>
        <w:footnoteRef/>
      </w:r>
      <w:r w:rsidRPr="00C9309B">
        <w:rPr>
          <w:rFonts w:ascii="Times New Roman" w:hAnsi="Times New Roman"/>
        </w:rPr>
        <w:t xml:space="preserve"> </w:t>
      </w:r>
      <w:r>
        <w:rPr>
          <w:rFonts w:ascii="Times New Roman" w:hAnsi="Times New Roman"/>
        </w:rPr>
        <w:t>D</w:t>
      </w:r>
      <w:r w:rsidRPr="00DF6E9E">
        <w:rPr>
          <w:rFonts w:ascii="Times New Roman" w:hAnsi="Times New Roman"/>
        </w:rPr>
        <w:t xml:space="preserve">arbības programmas </w:t>
      </w:r>
      <w:r>
        <w:rPr>
          <w:rFonts w:ascii="Times New Roman" w:hAnsi="Times New Roman"/>
        </w:rPr>
        <w:t>"</w:t>
      </w:r>
      <w:r w:rsidRPr="00DF6E9E">
        <w:rPr>
          <w:rFonts w:ascii="Times New Roman" w:hAnsi="Times New Roman"/>
        </w:rPr>
        <w:t>Izaugsme un nodarbinātība</w:t>
      </w:r>
      <w:r>
        <w:rPr>
          <w:rFonts w:ascii="Times New Roman" w:hAnsi="Times New Roman"/>
        </w:rPr>
        <w:t>"</w:t>
      </w:r>
      <w:r w:rsidRPr="00DF6E9E">
        <w:rPr>
          <w:rFonts w:ascii="Times New Roman" w:hAnsi="Times New Roman"/>
        </w:rPr>
        <w:t xml:space="preserve"> </w:t>
      </w:r>
      <w:r w:rsidRPr="00C9309B">
        <w:rPr>
          <w:rFonts w:ascii="Times New Roman" w:hAnsi="Times New Roman"/>
        </w:rPr>
        <w:t xml:space="preserve">8.1.3. </w:t>
      </w:r>
      <w:r>
        <w:rPr>
          <w:rFonts w:ascii="Times New Roman" w:hAnsi="Times New Roman"/>
        </w:rPr>
        <w:t>specifiskā</w:t>
      </w:r>
      <w:r w:rsidRPr="00466E70">
        <w:rPr>
          <w:rFonts w:ascii="Times New Roman" w:hAnsi="Times New Roman"/>
        </w:rPr>
        <w:t xml:space="preserve"> atbalsta mērķ</w:t>
      </w:r>
      <w:r>
        <w:rPr>
          <w:rFonts w:ascii="Times New Roman" w:hAnsi="Times New Roman"/>
        </w:rPr>
        <w:t>a</w:t>
      </w:r>
      <w:r w:rsidRPr="00466E70">
        <w:rPr>
          <w:rFonts w:ascii="Times New Roman" w:hAnsi="Times New Roman"/>
        </w:rPr>
        <w:t xml:space="preserve"> "Palielināt modernizēto profesionālās izglītības iestāžu</w:t>
      </w:r>
      <w:r>
        <w:rPr>
          <w:rFonts w:ascii="Times New Roman" w:hAnsi="Times New Roman"/>
        </w:rPr>
        <w:t xml:space="preserve"> skaitu" īstenošanas noteikumi.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74E7"/>
    <w:multiLevelType w:val="multilevel"/>
    <w:tmpl w:val="17B4A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D934CD"/>
    <w:multiLevelType w:val="multilevel"/>
    <w:tmpl w:val="252C51E2"/>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188C7011"/>
    <w:multiLevelType w:val="hybridMultilevel"/>
    <w:tmpl w:val="1B70F89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nsid w:val="1C5E08D1"/>
    <w:multiLevelType w:val="hybridMultilevel"/>
    <w:tmpl w:val="CBB80F50"/>
    <w:lvl w:ilvl="0" w:tplc="BE66C808">
      <w:start w:val="1"/>
      <w:numFmt w:val="bullet"/>
      <w:lvlText w:val="•"/>
      <w:lvlJc w:val="left"/>
      <w:pPr>
        <w:tabs>
          <w:tab w:val="num" w:pos="720"/>
        </w:tabs>
        <w:ind w:left="720" w:hanging="360"/>
      </w:pPr>
      <w:rPr>
        <w:rFonts w:ascii="Times New Roman" w:hAnsi="Times New Roman" w:hint="default"/>
      </w:rPr>
    </w:lvl>
    <w:lvl w:ilvl="1" w:tplc="765878E0" w:tentative="1">
      <w:start w:val="1"/>
      <w:numFmt w:val="bullet"/>
      <w:lvlText w:val="•"/>
      <w:lvlJc w:val="left"/>
      <w:pPr>
        <w:tabs>
          <w:tab w:val="num" w:pos="1440"/>
        </w:tabs>
        <w:ind w:left="1440" w:hanging="360"/>
      </w:pPr>
      <w:rPr>
        <w:rFonts w:ascii="Times New Roman" w:hAnsi="Times New Roman" w:hint="default"/>
      </w:rPr>
    </w:lvl>
    <w:lvl w:ilvl="2" w:tplc="88E09386" w:tentative="1">
      <w:start w:val="1"/>
      <w:numFmt w:val="bullet"/>
      <w:lvlText w:val="•"/>
      <w:lvlJc w:val="left"/>
      <w:pPr>
        <w:tabs>
          <w:tab w:val="num" w:pos="2160"/>
        </w:tabs>
        <w:ind w:left="2160" w:hanging="360"/>
      </w:pPr>
      <w:rPr>
        <w:rFonts w:ascii="Times New Roman" w:hAnsi="Times New Roman" w:hint="default"/>
      </w:rPr>
    </w:lvl>
    <w:lvl w:ilvl="3" w:tplc="035634BC" w:tentative="1">
      <w:start w:val="1"/>
      <w:numFmt w:val="bullet"/>
      <w:lvlText w:val="•"/>
      <w:lvlJc w:val="left"/>
      <w:pPr>
        <w:tabs>
          <w:tab w:val="num" w:pos="2880"/>
        </w:tabs>
        <w:ind w:left="2880" w:hanging="360"/>
      </w:pPr>
      <w:rPr>
        <w:rFonts w:ascii="Times New Roman" w:hAnsi="Times New Roman" w:hint="default"/>
      </w:rPr>
    </w:lvl>
    <w:lvl w:ilvl="4" w:tplc="612A14C4" w:tentative="1">
      <w:start w:val="1"/>
      <w:numFmt w:val="bullet"/>
      <w:lvlText w:val="•"/>
      <w:lvlJc w:val="left"/>
      <w:pPr>
        <w:tabs>
          <w:tab w:val="num" w:pos="3600"/>
        </w:tabs>
        <w:ind w:left="3600" w:hanging="360"/>
      </w:pPr>
      <w:rPr>
        <w:rFonts w:ascii="Times New Roman" w:hAnsi="Times New Roman" w:hint="default"/>
      </w:rPr>
    </w:lvl>
    <w:lvl w:ilvl="5" w:tplc="12C4373E" w:tentative="1">
      <w:start w:val="1"/>
      <w:numFmt w:val="bullet"/>
      <w:lvlText w:val="•"/>
      <w:lvlJc w:val="left"/>
      <w:pPr>
        <w:tabs>
          <w:tab w:val="num" w:pos="4320"/>
        </w:tabs>
        <w:ind w:left="4320" w:hanging="360"/>
      </w:pPr>
      <w:rPr>
        <w:rFonts w:ascii="Times New Roman" w:hAnsi="Times New Roman" w:hint="default"/>
      </w:rPr>
    </w:lvl>
    <w:lvl w:ilvl="6" w:tplc="A244B73E" w:tentative="1">
      <w:start w:val="1"/>
      <w:numFmt w:val="bullet"/>
      <w:lvlText w:val="•"/>
      <w:lvlJc w:val="left"/>
      <w:pPr>
        <w:tabs>
          <w:tab w:val="num" w:pos="5040"/>
        </w:tabs>
        <w:ind w:left="5040" w:hanging="360"/>
      </w:pPr>
      <w:rPr>
        <w:rFonts w:ascii="Times New Roman" w:hAnsi="Times New Roman" w:hint="default"/>
      </w:rPr>
    </w:lvl>
    <w:lvl w:ilvl="7" w:tplc="4C3AB9B0" w:tentative="1">
      <w:start w:val="1"/>
      <w:numFmt w:val="bullet"/>
      <w:lvlText w:val="•"/>
      <w:lvlJc w:val="left"/>
      <w:pPr>
        <w:tabs>
          <w:tab w:val="num" w:pos="5760"/>
        </w:tabs>
        <w:ind w:left="5760" w:hanging="360"/>
      </w:pPr>
      <w:rPr>
        <w:rFonts w:ascii="Times New Roman" w:hAnsi="Times New Roman" w:hint="default"/>
      </w:rPr>
    </w:lvl>
    <w:lvl w:ilvl="8" w:tplc="1172B4A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DE50A5A"/>
    <w:multiLevelType w:val="hybridMultilevel"/>
    <w:tmpl w:val="F5F2E2F4"/>
    <w:lvl w:ilvl="0" w:tplc="F0E4FD16">
      <w:start w:val="1"/>
      <w:numFmt w:val="decimal"/>
      <w:lvlText w:val="%1."/>
      <w:lvlJc w:val="left"/>
      <w:pPr>
        <w:ind w:left="394" w:hanging="360"/>
      </w:pPr>
      <w:rPr>
        <w:rFonts w:hint="default"/>
        <w:sz w:val="20"/>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5">
    <w:nsid w:val="210E5535"/>
    <w:multiLevelType w:val="multilevel"/>
    <w:tmpl w:val="ADF081EA"/>
    <w:lvl w:ilvl="0">
      <w:start w:val="1"/>
      <w:numFmt w:val="decimal"/>
      <w:pStyle w:val="Heading1"/>
      <w:lvlText w:val="%1."/>
      <w:lvlJc w:val="left"/>
      <w:pPr>
        <w:ind w:left="720" w:hanging="360"/>
      </w:pPr>
    </w:lvl>
    <w:lvl w:ilvl="1">
      <w:start w:val="1"/>
      <w:numFmt w:val="decimal"/>
      <w:pStyle w:val="Heading2"/>
      <w:isLgl/>
      <w:lvlText w:val="%1.%2."/>
      <w:lvlJc w:val="left"/>
      <w:pPr>
        <w:ind w:left="1211"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6">
    <w:nsid w:val="220C5B84"/>
    <w:multiLevelType w:val="multilevel"/>
    <w:tmpl w:val="5F5CA0C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25393B33"/>
    <w:multiLevelType w:val="hybridMultilevel"/>
    <w:tmpl w:val="A46E7B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3B01DB5"/>
    <w:multiLevelType w:val="multilevel"/>
    <w:tmpl w:val="63169C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7073FDF"/>
    <w:multiLevelType w:val="multilevel"/>
    <w:tmpl w:val="FF9CC9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A9C3675"/>
    <w:multiLevelType w:val="hybridMultilevel"/>
    <w:tmpl w:val="8A04589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1BD442C"/>
    <w:multiLevelType w:val="multilevel"/>
    <w:tmpl w:val="5F5CA0C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45300961"/>
    <w:multiLevelType w:val="hybridMultilevel"/>
    <w:tmpl w:val="B858B130"/>
    <w:lvl w:ilvl="0" w:tplc="8B6C0E94">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5476D36"/>
    <w:multiLevelType w:val="hybridMultilevel"/>
    <w:tmpl w:val="C9F099EC"/>
    <w:lvl w:ilvl="0" w:tplc="04260001">
      <w:start w:val="1"/>
      <w:numFmt w:val="bullet"/>
      <w:lvlText w:val=""/>
      <w:lvlJc w:val="left"/>
      <w:pPr>
        <w:ind w:left="720" w:hanging="360"/>
      </w:pPr>
      <w:rPr>
        <w:rFonts w:ascii="Symbol" w:hAnsi="Symbol" w:hint="default"/>
      </w:rPr>
    </w:lvl>
    <w:lvl w:ilvl="1" w:tplc="6C6C0BF0">
      <w:start w:val="1"/>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65919B8"/>
    <w:multiLevelType w:val="hybridMultilevel"/>
    <w:tmpl w:val="B06E036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533C5D9E"/>
    <w:multiLevelType w:val="hybridMultilevel"/>
    <w:tmpl w:val="738C1D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33E318C"/>
    <w:multiLevelType w:val="multilevel"/>
    <w:tmpl w:val="5F5CA0C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58882FAE"/>
    <w:multiLevelType w:val="multilevel"/>
    <w:tmpl w:val="5F5CA0C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59485AF3"/>
    <w:multiLevelType w:val="hybridMultilevel"/>
    <w:tmpl w:val="6E24BD1A"/>
    <w:lvl w:ilvl="0" w:tplc="85EC254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F72560C"/>
    <w:multiLevelType w:val="hybridMultilevel"/>
    <w:tmpl w:val="FB4C31E2"/>
    <w:lvl w:ilvl="0" w:tplc="3746C7B0">
      <w:start w:val="1"/>
      <w:numFmt w:val="decimal"/>
      <w:lvlText w:val="%1."/>
      <w:lvlJc w:val="left"/>
      <w:pPr>
        <w:ind w:left="726"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6" w:hanging="360"/>
      </w:pPr>
    </w:lvl>
    <w:lvl w:ilvl="2" w:tplc="0426001B" w:tentative="1">
      <w:start w:val="1"/>
      <w:numFmt w:val="lowerRoman"/>
      <w:lvlText w:val="%3."/>
      <w:lvlJc w:val="right"/>
      <w:pPr>
        <w:ind w:left="2166" w:hanging="180"/>
      </w:pPr>
    </w:lvl>
    <w:lvl w:ilvl="3" w:tplc="0426000F" w:tentative="1">
      <w:start w:val="1"/>
      <w:numFmt w:val="decimal"/>
      <w:lvlText w:val="%4."/>
      <w:lvlJc w:val="left"/>
      <w:pPr>
        <w:ind w:left="2886" w:hanging="360"/>
      </w:pPr>
    </w:lvl>
    <w:lvl w:ilvl="4" w:tplc="04260019" w:tentative="1">
      <w:start w:val="1"/>
      <w:numFmt w:val="lowerLetter"/>
      <w:lvlText w:val="%5."/>
      <w:lvlJc w:val="left"/>
      <w:pPr>
        <w:ind w:left="3606" w:hanging="360"/>
      </w:pPr>
    </w:lvl>
    <w:lvl w:ilvl="5" w:tplc="0426001B" w:tentative="1">
      <w:start w:val="1"/>
      <w:numFmt w:val="lowerRoman"/>
      <w:lvlText w:val="%6."/>
      <w:lvlJc w:val="right"/>
      <w:pPr>
        <w:ind w:left="4326" w:hanging="180"/>
      </w:pPr>
    </w:lvl>
    <w:lvl w:ilvl="6" w:tplc="0426000F" w:tentative="1">
      <w:start w:val="1"/>
      <w:numFmt w:val="decimal"/>
      <w:lvlText w:val="%7."/>
      <w:lvlJc w:val="left"/>
      <w:pPr>
        <w:ind w:left="5046" w:hanging="360"/>
      </w:pPr>
    </w:lvl>
    <w:lvl w:ilvl="7" w:tplc="04260019" w:tentative="1">
      <w:start w:val="1"/>
      <w:numFmt w:val="lowerLetter"/>
      <w:lvlText w:val="%8."/>
      <w:lvlJc w:val="left"/>
      <w:pPr>
        <w:ind w:left="5766" w:hanging="360"/>
      </w:pPr>
    </w:lvl>
    <w:lvl w:ilvl="8" w:tplc="0426001B" w:tentative="1">
      <w:start w:val="1"/>
      <w:numFmt w:val="lowerRoman"/>
      <w:lvlText w:val="%9."/>
      <w:lvlJc w:val="right"/>
      <w:pPr>
        <w:ind w:left="6486" w:hanging="180"/>
      </w:pPr>
    </w:lvl>
  </w:abstractNum>
  <w:abstractNum w:abstractNumId="20">
    <w:nsid w:val="603402AB"/>
    <w:multiLevelType w:val="multilevel"/>
    <w:tmpl w:val="35EC02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69073F2"/>
    <w:multiLevelType w:val="multilevel"/>
    <w:tmpl w:val="9A24D1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F0614B2"/>
    <w:multiLevelType w:val="multilevel"/>
    <w:tmpl w:val="5F5CA0C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762D6572"/>
    <w:multiLevelType w:val="multilevel"/>
    <w:tmpl w:val="252C51E2"/>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7788699C"/>
    <w:multiLevelType w:val="multilevel"/>
    <w:tmpl w:val="B98E07A2"/>
    <w:lvl w:ilvl="0">
      <w:start w:val="1"/>
      <w:numFmt w:val="decimal"/>
      <w:lvlText w:val="%1."/>
      <w:lvlJc w:val="left"/>
      <w:pPr>
        <w:ind w:left="720" w:hanging="360"/>
      </w:pPr>
      <w:rPr>
        <w:rFonts w:hint="default"/>
      </w:rPr>
    </w:lvl>
    <w:lvl w:ilvl="1">
      <w:start w:val="1"/>
      <w:numFmt w:val="bullet"/>
      <w:lvlText w:val="-"/>
      <w:lvlJc w:val="left"/>
      <w:pPr>
        <w:ind w:left="786" w:hanging="360"/>
      </w:pPr>
      <w:rPr>
        <w:rFonts w:ascii="Courier New" w:hAnsi="Courier New"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E585297"/>
    <w:multiLevelType w:val="hybridMultilevel"/>
    <w:tmpl w:val="4B02E8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
  </w:num>
  <w:num w:numId="4">
    <w:abstractNumId w:val="18"/>
  </w:num>
  <w:num w:numId="5">
    <w:abstractNumId w:val="20"/>
  </w:num>
  <w:num w:numId="6">
    <w:abstractNumId w:val="0"/>
  </w:num>
  <w:num w:numId="7">
    <w:abstractNumId w:val="8"/>
  </w:num>
  <w:num w:numId="8">
    <w:abstractNumId w:val="6"/>
  </w:num>
  <w:num w:numId="9">
    <w:abstractNumId w:val="1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3"/>
  </w:num>
  <w:num w:numId="13">
    <w:abstractNumId w:val="14"/>
  </w:num>
  <w:num w:numId="14">
    <w:abstractNumId w:val="1"/>
  </w:num>
  <w:num w:numId="15">
    <w:abstractNumId w:val="4"/>
  </w:num>
  <w:num w:numId="16">
    <w:abstractNumId w:val="21"/>
  </w:num>
  <w:num w:numId="17">
    <w:abstractNumId w:val="9"/>
  </w:num>
  <w:num w:numId="18">
    <w:abstractNumId w:val="17"/>
  </w:num>
  <w:num w:numId="19">
    <w:abstractNumId w:val="16"/>
  </w:num>
  <w:num w:numId="20">
    <w:abstractNumId w:val="19"/>
  </w:num>
  <w:num w:numId="21">
    <w:abstractNumId w:val="5"/>
  </w:num>
  <w:num w:numId="22">
    <w:abstractNumId w:val="13"/>
  </w:num>
  <w:num w:numId="23">
    <w:abstractNumId w:val="15"/>
  </w:num>
  <w:num w:numId="24">
    <w:abstractNumId w:val="25"/>
  </w:num>
  <w:num w:numId="25">
    <w:abstractNumId w:val="7"/>
  </w:num>
  <w:num w:numId="26">
    <w:abstractNumId w:val="3"/>
  </w:num>
  <w:num w:numId="27">
    <w:abstractNumId w:val="24"/>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tis Grinbergs">
    <w15:presenceInfo w15:providerId="AD" w15:userId="S-1-5-21-1762135226-342840741-925700815-5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3E6"/>
    <w:rsid w:val="00000DE2"/>
    <w:rsid w:val="00000EBA"/>
    <w:rsid w:val="00002C9A"/>
    <w:rsid w:val="000040DA"/>
    <w:rsid w:val="00004E80"/>
    <w:rsid w:val="000066AE"/>
    <w:rsid w:val="0000671E"/>
    <w:rsid w:val="00006CA9"/>
    <w:rsid w:val="00007DE2"/>
    <w:rsid w:val="000103EC"/>
    <w:rsid w:val="00013CE6"/>
    <w:rsid w:val="0002160C"/>
    <w:rsid w:val="00022618"/>
    <w:rsid w:val="0003373B"/>
    <w:rsid w:val="00040902"/>
    <w:rsid w:val="00041292"/>
    <w:rsid w:val="00042CAE"/>
    <w:rsid w:val="00043452"/>
    <w:rsid w:val="0004574E"/>
    <w:rsid w:val="000512F9"/>
    <w:rsid w:val="000544E5"/>
    <w:rsid w:val="000554B0"/>
    <w:rsid w:val="00055B47"/>
    <w:rsid w:val="000565E6"/>
    <w:rsid w:val="00056AB9"/>
    <w:rsid w:val="00056E40"/>
    <w:rsid w:val="00060BAA"/>
    <w:rsid w:val="0006108D"/>
    <w:rsid w:val="00062289"/>
    <w:rsid w:val="00062404"/>
    <w:rsid w:val="0006293C"/>
    <w:rsid w:val="00066A12"/>
    <w:rsid w:val="000705F8"/>
    <w:rsid w:val="000713A4"/>
    <w:rsid w:val="00072614"/>
    <w:rsid w:val="00073A03"/>
    <w:rsid w:val="00074184"/>
    <w:rsid w:val="0007596B"/>
    <w:rsid w:val="00077D14"/>
    <w:rsid w:val="000804AB"/>
    <w:rsid w:val="000820A1"/>
    <w:rsid w:val="0009008F"/>
    <w:rsid w:val="00091428"/>
    <w:rsid w:val="00091C79"/>
    <w:rsid w:val="0009204C"/>
    <w:rsid w:val="00092A56"/>
    <w:rsid w:val="00094B66"/>
    <w:rsid w:val="00095965"/>
    <w:rsid w:val="000A1583"/>
    <w:rsid w:val="000A2C1E"/>
    <w:rsid w:val="000A35B9"/>
    <w:rsid w:val="000B018F"/>
    <w:rsid w:val="000B258D"/>
    <w:rsid w:val="000B5BE8"/>
    <w:rsid w:val="000B79B1"/>
    <w:rsid w:val="000C264E"/>
    <w:rsid w:val="000C2CAE"/>
    <w:rsid w:val="000C5E71"/>
    <w:rsid w:val="000D0782"/>
    <w:rsid w:val="000D2909"/>
    <w:rsid w:val="000D57E4"/>
    <w:rsid w:val="000D6DCC"/>
    <w:rsid w:val="000E0477"/>
    <w:rsid w:val="000E4EB0"/>
    <w:rsid w:val="000E626B"/>
    <w:rsid w:val="000F05D0"/>
    <w:rsid w:val="000F4D4C"/>
    <w:rsid w:val="000F5677"/>
    <w:rsid w:val="001027B5"/>
    <w:rsid w:val="00103270"/>
    <w:rsid w:val="00103FDD"/>
    <w:rsid w:val="001046DB"/>
    <w:rsid w:val="0010495F"/>
    <w:rsid w:val="00104B29"/>
    <w:rsid w:val="00111E5F"/>
    <w:rsid w:val="00112DAB"/>
    <w:rsid w:val="00113D08"/>
    <w:rsid w:val="00114250"/>
    <w:rsid w:val="001150C5"/>
    <w:rsid w:val="0011790B"/>
    <w:rsid w:val="00123ADA"/>
    <w:rsid w:val="00127408"/>
    <w:rsid w:val="00130AE3"/>
    <w:rsid w:val="00131327"/>
    <w:rsid w:val="00132347"/>
    <w:rsid w:val="001324E0"/>
    <w:rsid w:val="00140358"/>
    <w:rsid w:val="00140D30"/>
    <w:rsid w:val="00141263"/>
    <w:rsid w:val="00154CF7"/>
    <w:rsid w:val="001552BA"/>
    <w:rsid w:val="00157643"/>
    <w:rsid w:val="001671B5"/>
    <w:rsid w:val="0016778D"/>
    <w:rsid w:val="00173A89"/>
    <w:rsid w:val="00180DCA"/>
    <w:rsid w:val="0018112F"/>
    <w:rsid w:val="0018767F"/>
    <w:rsid w:val="001913CF"/>
    <w:rsid w:val="00194304"/>
    <w:rsid w:val="001950CC"/>
    <w:rsid w:val="001951D1"/>
    <w:rsid w:val="00195599"/>
    <w:rsid w:val="001A30D7"/>
    <w:rsid w:val="001A5404"/>
    <w:rsid w:val="001A60A6"/>
    <w:rsid w:val="001B0787"/>
    <w:rsid w:val="001B1CE9"/>
    <w:rsid w:val="001B1F30"/>
    <w:rsid w:val="001B5E72"/>
    <w:rsid w:val="001B62E9"/>
    <w:rsid w:val="001B6963"/>
    <w:rsid w:val="001B7419"/>
    <w:rsid w:val="001B7D0F"/>
    <w:rsid w:val="001C042E"/>
    <w:rsid w:val="001C1DFE"/>
    <w:rsid w:val="001C29FD"/>
    <w:rsid w:val="001C6D83"/>
    <w:rsid w:val="001C71F2"/>
    <w:rsid w:val="001D121E"/>
    <w:rsid w:val="001D1E01"/>
    <w:rsid w:val="001D340B"/>
    <w:rsid w:val="001E0A05"/>
    <w:rsid w:val="001E128D"/>
    <w:rsid w:val="001E3207"/>
    <w:rsid w:val="001E420B"/>
    <w:rsid w:val="001E4800"/>
    <w:rsid w:val="001F31F1"/>
    <w:rsid w:val="001F617A"/>
    <w:rsid w:val="002009ED"/>
    <w:rsid w:val="002013E2"/>
    <w:rsid w:val="0020262F"/>
    <w:rsid w:val="00204037"/>
    <w:rsid w:val="002154A9"/>
    <w:rsid w:val="00217BAA"/>
    <w:rsid w:val="00217EAF"/>
    <w:rsid w:val="0023246B"/>
    <w:rsid w:val="002360C8"/>
    <w:rsid w:val="002407C3"/>
    <w:rsid w:val="00246FA2"/>
    <w:rsid w:val="00253369"/>
    <w:rsid w:val="002536E4"/>
    <w:rsid w:val="00253ECC"/>
    <w:rsid w:val="00253FE0"/>
    <w:rsid w:val="002549B3"/>
    <w:rsid w:val="002561DD"/>
    <w:rsid w:val="00256906"/>
    <w:rsid w:val="00257A95"/>
    <w:rsid w:val="00257D8F"/>
    <w:rsid w:val="00263C60"/>
    <w:rsid w:val="00263F98"/>
    <w:rsid w:val="00265D3D"/>
    <w:rsid w:val="002664EC"/>
    <w:rsid w:val="00266CAE"/>
    <w:rsid w:val="0027035F"/>
    <w:rsid w:val="00271CF7"/>
    <w:rsid w:val="00272151"/>
    <w:rsid w:val="002749F1"/>
    <w:rsid w:val="00277B03"/>
    <w:rsid w:val="00277EC1"/>
    <w:rsid w:val="002807F7"/>
    <w:rsid w:val="00281ECC"/>
    <w:rsid w:val="002828C3"/>
    <w:rsid w:val="0028406B"/>
    <w:rsid w:val="002879FC"/>
    <w:rsid w:val="00291043"/>
    <w:rsid w:val="0029120F"/>
    <w:rsid w:val="002929F8"/>
    <w:rsid w:val="002937E6"/>
    <w:rsid w:val="00296A08"/>
    <w:rsid w:val="002A2864"/>
    <w:rsid w:val="002B285C"/>
    <w:rsid w:val="002B444F"/>
    <w:rsid w:val="002B5944"/>
    <w:rsid w:val="002B6BAD"/>
    <w:rsid w:val="002C4F3F"/>
    <w:rsid w:val="002C6881"/>
    <w:rsid w:val="002C767D"/>
    <w:rsid w:val="002D17D1"/>
    <w:rsid w:val="002D6EE2"/>
    <w:rsid w:val="002D75B4"/>
    <w:rsid w:val="002E0770"/>
    <w:rsid w:val="002E3F8A"/>
    <w:rsid w:val="002E5B2E"/>
    <w:rsid w:val="002E740A"/>
    <w:rsid w:val="002F0E6E"/>
    <w:rsid w:val="002F3CB9"/>
    <w:rsid w:val="002F5E49"/>
    <w:rsid w:val="003040B0"/>
    <w:rsid w:val="00304D5C"/>
    <w:rsid w:val="00311E90"/>
    <w:rsid w:val="0031338B"/>
    <w:rsid w:val="0031492D"/>
    <w:rsid w:val="00314A76"/>
    <w:rsid w:val="00315AA8"/>
    <w:rsid w:val="00317F92"/>
    <w:rsid w:val="003213F1"/>
    <w:rsid w:val="00323E11"/>
    <w:rsid w:val="003332AB"/>
    <w:rsid w:val="003341FA"/>
    <w:rsid w:val="00337161"/>
    <w:rsid w:val="003427B0"/>
    <w:rsid w:val="0034392A"/>
    <w:rsid w:val="00343A3C"/>
    <w:rsid w:val="0034532E"/>
    <w:rsid w:val="003509B4"/>
    <w:rsid w:val="003531DA"/>
    <w:rsid w:val="00353C05"/>
    <w:rsid w:val="00360DDA"/>
    <w:rsid w:val="00361974"/>
    <w:rsid w:val="00363DC1"/>
    <w:rsid w:val="00365044"/>
    <w:rsid w:val="00366452"/>
    <w:rsid w:val="0037183B"/>
    <w:rsid w:val="00371B42"/>
    <w:rsid w:val="003743E3"/>
    <w:rsid w:val="00375D12"/>
    <w:rsid w:val="00380BED"/>
    <w:rsid w:val="00386B2A"/>
    <w:rsid w:val="00386DCE"/>
    <w:rsid w:val="00391DF7"/>
    <w:rsid w:val="00394606"/>
    <w:rsid w:val="00395312"/>
    <w:rsid w:val="0039687D"/>
    <w:rsid w:val="003A1220"/>
    <w:rsid w:val="003A2BE3"/>
    <w:rsid w:val="003A3B11"/>
    <w:rsid w:val="003A5540"/>
    <w:rsid w:val="003C4E97"/>
    <w:rsid w:val="003D0715"/>
    <w:rsid w:val="003D1C81"/>
    <w:rsid w:val="003D3DCB"/>
    <w:rsid w:val="003D7467"/>
    <w:rsid w:val="003E27F6"/>
    <w:rsid w:val="003E439A"/>
    <w:rsid w:val="003E5F1E"/>
    <w:rsid w:val="003F0585"/>
    <w:rsid w:val="003F0B7C"/>
    <w:rsid w:val="003F0C27"/>
    <w:rsid w:val="003F204D"/>
    <w:rsid w:val="003F2B9C"/>
    <w:rsid w:val="003F2C57"/>
    <w:rsid w:val="003F438B"/>
    <w:rsid w:val="003F5C50"/>
    <w:rsid w:val="003F6553"/>
    <w:rsid w:val="003F77F7"/>
    <w:rsid w:val="00402CB0"/>
    <w:rsid w:val="00407A1F"/>
    <w:rsid w:val="004103B7"/>
    <w:rsid w:val="00412342"/>
    <w:rsid w:val="00413580"/>
    <w:rsid w:val="004164E9"/>
    <w:rsid w:val="00417045"/>
    <w:rsid w:val="00422808"/>
    <w:rsid w:val="00426299"/>
    <w:rsid w:val="00441F33"/>
    <w:rsid w:val="00447983"/>
    <w:rsid w:val="00453671"/>
    <w:rsid w:val="00461D20"/>
    <w:rsid w:val="00461F2F"/>
    <w:rsid w:val="004629E6"/>
    <w:rsid w:val="0046357C"/>
    <w:rsid w:val="0046399E"/>
    <w:rsid w:val="004645DD"/>
    <w:rsid w:val="004651E9"/>
    <w:rsid w:val="00466E70"/>
    <w:rsid w:val="004708C9"/>
    <w:rsid w:val="00470FD2"/>
    <w:rsid w:val="00473231"/>
    <w:rsid w:val="004744C5"/>
    <w:rsid w:val="00474A51"/>
    <w:rsid w:val="0047773F"/>
    <w:rsid w:val="00477B00"/>
    <w:rsid w:val="00481627"/>
    <w:rsid w:val="004846BA"/>
    <w:rsid w:val="004913E4"/>
    <w:rsid w:val="00491882"/>
    <w:rsid w:val="0049233A"/>
    <w:rsid w:val="0049347A"/>
    <w:rsid w:val="004948EA"/>
    <w:rsid w:val="004960B3"/>
    <w:rsid w:val="004A0251"/>
    <w:rsid w:val="004A2147"/>
    <w:rsid w:val="004A4E12"/>
    <w:rsid w:val="004A4F7A"/>
    <w:rsid w:val="004A6220"/>
    <w:rsid w:val="004B3203"/>
    <w:rsid w:val="004B4D27"/>
    <w:rsid w:val="004B5878"/>
    <w:rsid w:val="004B60B5"/>
    <w:rsid w:val="004C3936"/>
    <w:rsid w:val="004C6D08"/>
    <w:rsid w:val="004C752B"/>
    <w:rsid w:val="004D186A"/>
    <w:rsid w:val="004D2F5C"/>
    <w:rsid w:val="004D4F2D"/>
    <w:rsid w:val="004D54BD"/>
    <w:rsid w:val="004D583C"/>
    <w:rsid w:val="004D60EC"/>
    <w:rsid w:val="004D7022"/>
    <w:rsid w:val="004E6539"/>
    <w:rsid w:val="004E7FE3"/>
    <w:rsid w:val="004F0E73"/>
    <w:rsid w:val="004F1112"/>
    <w:rsid w:val="004F1ED2"/>
    <w:rsid w:val="004F7609"/>
    <w:rsid w:val="00500259"/>
    <w:rsid w:val="00501115"/>
    <w:rsid w:val="00502D21"/>
    <w:rsid w:val="005037B1"/>
    <w:rsid w:val="00513936"/>
    <w:rsid w:val="0051577D"/>
    <w:rsid w:val="005205FB"/>
    <w:rsid w:val="00520C1C"/>
    <w:rsid w:val="00521401"/>
    <w:rsid w:val="005266CF"/>
    <w:rsid w:val="0052767D"/>
    <w:rsid w:val="00530623"/>
    <w:rsid w:val="00534DB9"/>
    <w:rsid w:val="00536792"/>
    <w:rsid w:val="00537799"/>
    <w:rsid w:val="00537AF3"/>
    <w:rsid w:val="00542E76"/>
    <w:rsid w:val="00545247"/>
    <w:rsid w:val="00545995"/>
    <w:rsid w:val="00547A06"/>
    <w:rsid w:val="00550628"/>
    <w:rsid w:val="005541D5"/>
    <w:rsid w:val="00556B77"/>
    <w:rsid w:val="00560C71"/>
    <w:rsid w:val="00560E6F"/>
    <w:rsid w:val="00563716"/>
    <w:rsid w:val="00567957"/>
    <w:rsid w:val="00570954"/>
    <w:rsid w:val="00571512"/>
    <w:rsid w:val="005745A5"/>
    <w:rsid w:val="00574E98"/>
    <w:rsid w:val="005750D5"/>
    <w:rsid w:val="00577FEB"/>
    <w:rsid w:val="00583470"/>
    <w:rsid w:val="0058635C"/>
    <w:rsid w:val="005866CE"/>
    <w:rsid w:val="00587B8F"/>
    <w:rsid w:val="005908C3"/>
    <w:rsid w:val="00592139"/>
    <w:rsid w:val="00592EF1"/>
    <w:rsid w:val="005A1615"/>
    <w:rsid w:val="005A2A49"/>
    <w:rsid w:val="005A44D2"/>
    <w:rsid w:val="005B490E"/>
    <w:rsid w:val="005B518D"/>
    <w:rsid w:val="005B64A1"/>
    <w:rsid w:val="005C33CE"/>
    <w:rsid w:val="005C5CEF"/>
    <w:rsid w:val="005D53E5"/>
    <w:rsid w:val="005D6D9F"/>
    <w:rsid w:val="005D70C6"/>
    <w:rsid w:val="005E3A46"/>
    <w:rsid w:val="005E48BF"/>
    <w:rsid w:val="005E4C93"/>
    <w:rsid w:val="005E64CE"/>
    <w:rsid w:val="005F0ADE"/>
    <w:rsid w:val="005F340F"/>
    <w:rsid w:val="005F51CD"/>
    <w:rsid w:val="005F7D2C"/>
    <w:rsid w:val="006026A1"/>
    <w:rsid w:val="0061125C"/>
    <w:rsid w:val="0061294A"/>
    <w:rsid w:val="0061392F"/>
    <w:rsid w:val="00614A0C"/>
    <w:rsid w:val="00616336"/>
    <w:rsid w:val="00616FE7"/>
    <w:rsid w:val="006217AF"/>
    <w:rsid w:val="00624A1E"/>
    <w:rsid w:val="00636FAE"/>
    <w:rsid w:val="00650DC1"/>
    <w:rsid w:val="006619DF"/>
    <w:rsid w:val="00663F9F"/>
    <w:rsid w:val="006730B1"/>
    <w:rsid w:val="00685910"/>
    <w:rsid w:val="006902D8"/>
    <w:rsid w:val="00690433"/>
    <w:rsid w:val="0069385A"/>
    <w:rsid w:val="00695FAE"/>
    <w:rsid w:val="00697DDE"/>
    <w:rsid w:val="006A0530"/>
    <w:rsid w:val="006A21B4"/>
    <w:rsid w:val="006A32BF"/>
    <w:rsid w:val="006A4965"/>
    <w:rsid w:val="006A6D74"/>
    <w:rsid w:val="006B0706"/>
    <w:rsid w:val="006B13D3"/>
    <w:rsid w:val="006B33D3"/>
    <w:rsid w:val="006B417A"/>
    <w:rsid w:val="006B7D70"/>
    <w:rsid w:val="006C0131"/>
    <w:rsid w:val="006C09FB"/>
    <w:rsid w:val="006C0F73"/>
    <w:rsid w:val="006D05CC"/>
    <w:rsid w:val="006D20B7"/>
    <w:rsid w:val="006D423A"/>
    <w:rsid w:val="006D5760"/>
    <w:rsid w:val="006D727B"/>
    <w:rsid w:val="006D7C0E"/>
    <w:rsid w:val="006E4DF8"/>
    <w:rsid w:val="006F4609"/>
    <w:rsid w:val="006F6CED"/>
    <w:rsid w:val="006F793C"/>
    <w:rsid w:val="007025BD"/>
    <w:rsid w:val="00705A05"/>
    <w:rsid w:val="00707725"/>
    <w:rsid w:val="00711168"/>
    <w:rsid w:val="00711F66"/>
    <w:rsid w:val="00713555"/>
    <w:rsid w:val="00715381"/>
    <w:rsid w:val="00716B0D"/>
    <w:rsid w:val="00716C26"/>
    <w:rsid w:val="007217DE"/>
    <w:rsid w:val="00722343"/>
    <w:rsid w:val="007226D2"/>
    <w:rsid w:val="0072592E"/>
    <w:rsid w:val="00727E40"/>
    <w:rsid w:val="00730F78"/>
    <w:rsid w:val="00731ED4"/>
    <w:rsid w:val="00732C2B"/>
    <w:rsid w:val="00732E4E"/>
    <w:rsid w:val="007363E1"/>
    <w:rsid w:val="00745480"/>
    <w:rsid w:val="00750317"/>
    <w:rsid w:val="00752305"/>
    <w:rsid w:val="00753A68"/>
    <w:rsid w:val="00756257"/>
    <w:rsid w:val="0075626F"/>
    <w:rsid w:val="007566BD"/>
    <w:rsid w:val="00760E68"/>
    <w:rsid w:val="007660B7"/>
    <w:rsid w:val="0076647D"/>
    <w:rsid w:val="007673E6"/>
    <w:rsid w:val="007729F4"/>
    <w:rsid w:val="007734F0"/>
    <w:rsid w:val="00774FA1"/>
    <w:rsid w:val="00775754"/>
    <w:rsid w:val="007820D1"/>
    <w:rsid w:val="00783AA8"/>
    <w:rsid w:val="00790C8F"/>
    <w:rsid w:val="007927D1"/>
    <w:rsid w:val="00794C7C"/>
    <w:rsid w:val="00797DD9"/>
    <w:rsid w:val="007A4200"/>
    <w:rsid w:val="007A5A33"/>
    <w:rsid w:val="007A71A8"/>
    <w:rsid w:val="007B08E4"/>
    <w:rsid w:val="007B3D71"/>
    <w:rsid w:val="007B504E"/>
    <w:rsid w:val="007C29D9"/>
    <w:rsid w:val="007C4A73"/>
    <w:rsid w:val="007D10AE"/>
    <w:rsid w:val="007D2889"/>
    <w:rsid w:val="007D473A"/>
    <w:rsid w:val="007D4B80"/>
    <w:rsid w:val="007D4EA2"/>
    <w:rsid w:val="007D5177"/>
    <w:rsid w:val="007D7AE9"/>
    <w:rsid w:val="007D7E1A"/>
    <w:rsid w:val="007E0AAC"/>
    <w:rsid w:val="007E39A3"/>
    <w:rsid w:val="007E6EC3"/>
    <w:rsid w:val="007E78C3"/>
    <w:rsid w:val="007F2814"/>
    <w:rsid w:val="007F28A2"/>
    <w:rsid w:val="007F50A1"/>
    <w:rsid w:val="007F5BEC"/>
    <w:rsid w:val="00801990"/>
    <w:rsid w:val="008041F9"/>
    <w:rsid w:val="00815027"/>
    <w:rsid w:val="0082035A"/>
    <w:rsid w:val="00825344"/>
    <w:rsid w:val="00826493"/>
    <w:rsid w:val="008316F0"/>
    <w:rsid w:val="0083435A"/>
    <w:rsid w:val="0083593F"/>
    <w:rsid w:val="008372B5"/>
    <w:rsid w:val="008372E6"/>
    <w:rsid w:val="008377CF"/>
    <w:rsid w:val="00837FE0"/>
    <w:rsid w:val="008409D8"/>
    <w:rsid w:val="00840F0D"/>
    <w:rsid w:val="008419DB"/>
    <w:rsid w:val="00842937"/>
    <w:rsid w:val="008507A3"/>
    <w:rsid w:val="00853B5B"/>
    <w:rsid w:val="00855746"/>
    <w:rsid w:val="00856557"/>
    <w:rsid w:val="00857E8C"/>
    <w:rsid w:val="00861005"/>
    <w:rsid w:val="0086540D"/>
    <w:rsid w:val="008660FE"/>
    <w:rsid w:val="00874E95"/>
    <w:rsid w:val="008760EB"/>
    <w:rsid w:val="0087672D"/>
    <w:rsid w:val="00883398"/>
    <w:rsid w:val="00885B82"/>
    <w:rsid w:val="00885CB6"/>
    <w:rsid w:val="00886B11"/>
    <w:rsid w:val="00887AE7"/>
    <w:rsid w:val="008923E0"/>
    <w:rsid w:val="0089276A"/>
    <w:rsid w:val="00894426"/>
    <w:rsid w:val="00895541"/>
    <w:rsid w:val="00895A83"/>
    <w:rsid w:val="008A026E"/>
    <w:rsid w:val="008A3004"/>
    <w:rsid w:val="008A4B36"/>
    <w:rsid w:val="008B2789"/>
    <w:rsid w:val="008B7506"/>
    <w:rsid w:val="008C009E"/>
    <w:rsid w:val="008C0B37"/>
    <w:rsid w:val="008C3728"/>
    <w:rsid w:val="008C387F"/>
    <w:rsid w:val="008C6494"/>
    <w:rsid w:val="008D4A7E"/>
    <w:rsid w:val="008D63E9"/>
    <w:rsid w:val="008E331A"/>
    <w:rsid w:val="008E3963"/>
    <w:rsid w:val="008E546F"/>
    <w:rsid w:val="008E5E4E"/>
    <w:rsid w:val="008E780D"/>
    <w:rsid w:val="008E7C92"/>
    <w:rsid w:val="008F0ECB"/>
    <w:rsid w:val="009019C6"/>
    <w:rsid w:val="00904244"/>
    <w:rsid w:val="00904512"/>
    <w:rsid w:val="00906B02"/>
    <w:rsid w:val="00906CD2"/>
    <w:rsid w:val="00910883"/>
    <w:rsid w:val="0091618D"/>
    <w:rsid w:val="0092041C"/>
    <w:rsid w:val="009209F1"/>
    <w:rsid w:val="00922B20"/>
    <w:rsid w:val="00924B1E"/>
    <w:rsid w:val="00927748"/>
    <w:rsid w:val="0093015E"/>
    <w:rsid w:val="00931D7B"/>
    <w:rsid w:val="00934BAC"/>
    <w:rsid w:val="009377E3"/>
    <w:rsid w:val="00945A2F"/>
    <w:rsid w:val="00945E87"/>
    <w:rsid w:val="009461B5"/>
    <w:rsid w:val="00952BE2"/>
    <w:rsid w:val="0095390D"/>
    <w:rsid w:val="0095755F"/>
    <w:rsid w:val="00957D78"/>
    <w:rsid w:val="00961689"/>
    <w:rsid w:val="00964BE7"/>
    <w:rsid w:val="00965706"/>
    <w:rsid w:val="00967FB1"/>
    <w:rsid w:val="009709A1"/>
    <w:rsid w:val="00973574"/>
    <w:rsid w:val="00974C34"/>
    <w:rsid w:val="0097535B"/>
    <w:rsid w:val="00980A9A"/>
    <w:rsid w:val="00983360"/>
    <w:rsid w:val="00986643"/>
    <w:rsid w:val="00987F1B"/>
    <w:rsid w:val="009A32E0"/>
    <w:rsid w:val="009A3D11"/>
    <w:rsid w:val="009B2416"/>
    <w:rsid w:val="009B64DD"/>
    <w:rsid w:val="009C4AA2"/>
    <w:rsid w:val="009D0FAF"/>
    <w:rsid w:val="009D5F05"/>
    <w:rsid w:val="009D742D"/>
    <w:rsid w:val="009E2AF1"/>
    <w:rsid w:val="009E361A"/>
    <w:rsid w:val="009F1081"/>
    <w:rsid w:val="009F24D1"/>
    <w:rsid w:val="009F2A7D"/>
    <w:rsid w:val="009F39E0"/>
    <w:rsid w:val="009F6EE6"/>
    <w:rsid w:val="00A00FBD"/>
    <w:rsid w:val="00A038E2"/>
    <w:rsid w:val="00A04B95"/>
    <w:rsid w:val="00A0596D"/>
    <w:rsid w:val="00A05C4D"/>
    <w:rsid w:val="00A06009"/>
    <w:rsid w:val="00A068DE"/>
    <w:rsid w:val="00A069E7"/>
    <w:rsid w:val="00A10A5C"/>
    <w:rsid w:val="00A1234C"/>
    <w:rsid w:val="00A23BC7"/>
    <w:rsid w:val="00A23DCF"/>
    <w:rsid w:val="00A24207"/>
    <w:rsid w:val="00A31120"/>
    <w:rsid w:val="00A401D1"/>
    <w:rsid w:val="00A45CC6"/>
    <w:rsid w:val="00A4782F"/>
    <w:rsid w:val="00A55F43"/>
    <w:rsid w:val="00A56ADC"/>
    <w:rsid w:val="00A5706C"/>
    <w:rsid w:val="00A61A87"/>
    <w:rsid w:val="00A6648C"/>
    <w:rsid w:val="00A672D3"/>
    <w:rsid w:val="00A67B28"/>
    <w:rsid w:val="00A71A4C"/>
    <w:rsid w:val="00A71CD6"/>
    <w:rsid w:val="00A746C9"/>
    <w:rsid w:val="00A74786"/>
    <w:rsid w:val="00A8388E"/>
    <w:rsid w:val="00A85973"/>
    <w:rsid w:val="00A921AA"/>
    <w:rsid w:val="00A92462"/>
    <w:rsid w:val="00A92B08"/>
    <w:rsid w:val="00A9349C"/>
    <w:rsid w:val="00A955F1"/>
    <w:rsid w:val="00A9623B"/>
    <w:rsid w:val="00A9645C"/>
    <w:rsid w:val="00A96E25"/>
    <w:rsid w:val="00AA0197"/>
    <w:rsid w:val="00AA0D28"/>
    <w:rsid w:val="00AA1625"/>
    <w:rsid w:val="00AA2344"/>
    <w:rsid w:val="00AB2419"/>
    <w:rsid w:val="00AC5F54"/>
    <w:rsid w:val="00AD0D30"/>
    <w:rsid w:val="00AD2BFD"/>
    <w:rsid w:val="00AD31D0"/>
    <w:rsid w:val="00AD5CE6"/>
    <w:rsid w:val="00AE0D57"/>
    <w:rsid w:val="00AE3875"/>
    <w:rsid w:val="00AF229C"/>
    <w:rsid w:val="00AF4451"/>
    <w:rsid w:val="00AF44A1"/>
    <w:rsid w:val="00AF66D9"/>
    <w:rsid w:val="00AF6C41"/>
    <w:rsid w:val="00B0140F"/>
    <w:rsid w:val="00B014EA"/>
    <w:rsid w:val="00B02009"/>
    <w:rsid w:val="00B12357"/>
    <w:rsid w:val="00B12A30"/>
    <w:rsid w:val="00B140E0"/>
    <w:rsid w:val="00B14620"/>
    <w:rsid w:val="00B157FC"/>
    <w:rsid w:val="00B16749"/>
    <w:rsid w:val="00B173BB"/>
    <w:rsid w:val="00B17B2D"/>
    <w:rsid w:val="00B203A8"/>
    <w:rsid w:val="00B2288E"/>
    <w:rsid w:val="00B236CB"/>
    <w:rsid w:val="00B238BC"/>
    <w:rsid w:val="00B3052D"/>
    <w:rsid w:val="00B3271C"/>
    <w:rsid w:val="00B32DC3"/>
    <w:rsid w:val="00B33368"/>
    <w:rsid w:val="00B35EFE"/>
    <w:rsid w:val="00B36766"/>
    <w:rsid w:val="00B379A6"/>
    <w:rsid w:val="00B41208"/>
    <w:rsid w:val="00B47A05"/>
    <w:rsid w:val="00B50399"/>
    <w:rsid w:val="00B552FA"/>
    <w:rsid w:val="00B55351"/>
    <w:rsid w:val="00B55898"/>
    <w:rsid w:val="00B55C83"/>
    <w:rsid w:val="00B56E6A"/>
    <w:rsid w:val="00B630AD"/>
    <w:rsid w:val="00B65784"/>
    <w:rsid w:val="00B657ED"/>
    <w:rsid w:val="00B66881"/>
    <w:rsid w:val="00B67D4C"/>
    <w:rsid w:val="00B71722"/>
    <w:rsid w:val="00B7799C"/>
    <w:rsid w:val="00B80338"/>
    <w:rsid w:val="00B80B86"/>
    <w:rsid w:val="00B81D97"/>
    <w:rsid w:val="00B81F74"/>
    <w:rsid w:val="00B862F5"/>
    <w:rsid w:val="00B919D2"/>
    <w:rsid w:val="00B948CF"/>
    <w:rsid w:val="00B94EE2"/>
    <w:rsid w:val="00B962B4"/>
    <w:rsid w:val="00B97681"/>
    <w:rsid w:val="00BA5BE4"/>
    <w:rsid w:val="00BA6273"/>
    <w:rsid w:val="00BB0664"/>
    <w:rsid w:val="00BB5E56"/>
    <w:rsid w:val="00BB6881"/>
    <w:rsid w:val="00BB7C5B"/>
    <w:rsid w:val="00BC4414"/>
    <w:rsid w:val="00BC6029"/>
    <w:rsid w:val="00BD26AF"/>
    <w:rsid w:val="00BD3D29"/>
    <w:rsid w:val="00BE523E"/>
    <w:rsid w:val="00BF0C68"/>
    <w:rsid w:val="00C01DD0"/>
    <w:rsid w:val="00C04C63"/>
    <w:rsid w:val="00C069DC"/>
    <w:rsid w:val="00C149AC"/>
    <w:rsid w:val="00C17296"/>
    <w:rsid w:val="00C216EF"/>
    <w:rsid w:val="00C2331A"/>
    <w:rsid w:val="00C2342A"/>
    <w:rsid w:val="00C23FFB"/>
    <w:rsid w:val="00C27EC3"/>
    <w:rsid w:val="00C30353"/>
    <w:rsid w:val="00C35AB6"/>
    <w:rsid w:val="00C35E7B"/>
    <w:rsid w:val="00C36364"/>
    <w:rsid w:val="00C421B7"/>
    <w:rsid w:val="00C42EB0"/>
    <w:rsid w:val="00C44698"/>
    <w:rsid w:val="00C46F41"/>
    <w:rsid w:val="00C51301"/>
    <w:rsid w:val="00C52FB4"/>
    <w:rsid w:val="00C544EF"/>
    <w:rsid w:val="00C57CF2"/>
    <w:rsid w:val="00C64094"/>
    <w:rsid w:val="00C76859"/>
    <w:rsid w:val="00C76A83"/>
    <w:rsid w:val="00C770C7"/>
    <w:rsid w:val="00C80625"/>
    <w:rsid w:val="00C85C9E"/>
    <w:rsid w:val="00C860B0"/>
    <w:rsid w:val="00C865DD"/>
    <w:rsid w:val="00C865E9"/>
    <w:rsid w:val="00C87383"/>
    <w:rsid w:val="00C87CAF"/>
    <w:rsid w:val="00C87E05"/>
    <w:rsid w:val="00C907F7"/>
    <w:rsid w:val="00C9309B"/>
    <w:rsid w:val="00C936A4"/>
    <w:rsid w:val="00C94B20"/>
    <w:rsid w:val="00C95A13"/>
    <w:rsid w:val="00C96B32"/>
    <w:rsid w:val="00CA4D32"/>
    <w:rsid w:val="00CA5FAF"/>
    <w:rsid w:val="00CB645A"/>
    <w:rsid w:val="00CB6F90"/>
    <w:rsid w:val="00CC04CF"/>
    <w:rsid w:val="00CC2544"/>
    <w:rsid w:val="00CC3E41"/>
    <w:rsid w:val="00CC4D69"/>
    <w:rsid w:val="00CC5B46"/>
    <w:rsid w:val="00CC6CE7"/>
    <w:rsid w:val="00CD2F89"/>
    <w:rsid w:val="00CD3B27"/>
    <w:rsid w:val="00CD68D9"/>
    <w:rsid w:val="00CE18E8"/>
    <w:rsid w:val="00CE2CFD"/>
    <w:rsid w:val="00CF049E"/>
    <w:rsid w:val="00CF1F9A"/>
    <w:rsid w:val="00CF2BB7"/>
    <w:rsid w:val="00D01534"/>
    <w:rsid w:val="00D074DC"/>
    <w:rsid w:val="00D138AC"/>
    <w:rsid w:val="00D13C98"/>
    <w:rsid w:val="00D13CC1"/>
    <w:rsid w:val="00D14165"/>
    <w:rsid w:val="00D1440A"/>
    <w:rsid w:val="00D15C97"/>
    <w:rsid w:val="00D2074E"/>
    <w:rsid w:val="00D229A1"/>
    <w:rsid w:val="00D2434F"/>
    <w:rsid w:val="00D2527C"/>
    <w:rsid w:val="00D2533E"/>
    <w:rsid w:val="00D257BF"/>
    <w:rsid w:val="00D27F4B"/>
    <w:rsid w:val="00D30E9A"/>
    <w:rsid w:val="00D316C0"/>
    <w:rsid w:val="00D3304E"/>
    <w:rsid w:val="00D35193"/>
    <w:rsid w:val="00D37A15"/>
    <w:rsid w:val="00D40A5C"/>
    <w:rsid w:val="00D47BA9"/>
    <w:rsid w:val="00D503B4"/>
    <w:rsid w:val="00D51E5A"/>
    <w:rsid w:val="00D522B7"/>
    <w:rsid w:val="00D52F39"/>
    <w:rsid w:val="00D62682"/>
    <w:rsid w:val="00D671AE"/>
    <w:rsid w:val="00D70DE8"/>
    <w:rsid w:val="00D75988"/>
    <w:rsid w:val="00D776A2"/>
    <w:rsid w:val="00D80FFB"/>
    <w:rsid w:val="00D8162A"/>
    <w:rsid w:val="00D81AC5"/>
    <w:rsid w:val="00D82C3A"/>
    <w:rsid w:val="00D83AE9"/>
    <w:rsid w:val="00D87C71"/>
    <w:rsid w:val="00D91554"/>
    <w:rsid w:val="00D92F2E"/>
    <w:rsid w:val="00D94191"/>
    <w:rsid w:val="00DA18D0"/>
    <w:rsid w:val="00DA2764"/>
    <w:rsid w:val="00DA5A20"/>
    <w:rsid w:val="00DB46FA"/>
    <w:rsid w:val="00DB6C34"/>
    <w:rsid w:val="00DC3D7C"/>
    <w:rsid w:val="00DC428B"/>
    <w:rsid w:val="00DC6355"/>
    <w:rsid w:val="00DC7B86"/>
    <w:rsid w:val="00DD3A91"/>
    <w:rsid w:val="00DD63F4"/>
    <w:rsid w:val="00DD76DA"/>
    <w:rsid w:val="00DE11C8"/>
    <w:rsid w:val="00DE6197"/>
    <w:rsid w:val="00DF2D31"/>
    <w:rsid w:val="00DF50B7"/>
    <w:rsid w:val="00DF6B22"/>
    <w:rsid w:val="00E02C30"/>
    <w:rsid w:val="00E057AA"/>
    <w:rsid w:val="00E057ED"/>
    <w:rsid w:val="00E05E0F"/>
    <w:rsid w:val="00E11CB5"/>
    <w:rsid w:val="00E15FE4"/>
    <w:rsid w:val="00E16C79"/>
    <w:rsid w:val="00E207E2"/>
    <w:rsid w:val="00E22282"/>
    <w:rsid w:val="00E26271"/>
    <w:rsid w:val="00E511DF"/>
    <w:rsid w:val="00E5214F"/>
    <w:rsid w:val="00E524B4"/>
    <w:rsid w:val="00E54027"/>
    <w:rsid w:val="00E5573C"/>
    <w:rsid w:val="00E6287E"/>
    <w:rsid w:val="00E67125"/>
    <w:rsid w:val="00E71477"/>
    <w:rsid w:val="00E7238E"/>
    <w:rsid w:val="00E73794"/>
    <w:rsid w:val="00E748AE"/>
    <w:rsid w:val="00E75922"/>
    <w:rsid w:val="00E81883"/>
    <w:rsid w:val="00E822D0"/>
    <w:rsid w:val="00E83023"/>
    <w:rsid w:val="00E8338A"/>
    <w:rsid w:val="00E84FC1"/>
    <w:rsid w:val="00E84FE6"/>
    <w:rsid w:val="00E91788"/>
    <w:rsid w:val="00E9356D"/>
    <w:rsid w:val="00E94729"/>
    <w:rsid w:val="00E94FB3"/>
    <w:rsid w:val="00E95AA8"/>
    <w:rsid w:val="00E977BD"/>
    <w:rsid w:val="00E97E07"/>
    <w:rsid w:val="00EA3F00"/>
    <w:rsid w:val="00EA7442"/>
    <w:rsid w:val="00EB6157"/>
    <w:rsid w:val="00ED5FCB"/>
    <w:rsid w:val="00ED7D41"/>
    <w:rsid w:val="00EE55CE"/>
    <w:rsid w:val="00EE6BE4"/>
    <w:rsid w:val="00EF60BE"/>
    <w:rsid w:val="00F05B64"/>
    <w:rsid w:val="00F05BA6"/>
    <w:rsid w:val="00F12FEC"/>
    <w:rsid w:val="00F16458"/>
    <w:rsid w:val="00F16B91"/>
    <w:rsid w:val="00F178A0"/>
    <w:rsid w:val="00F213F3"/>
    <w:rsid w:val="00F31A8E"/>
    <w:rsid w:val="00F353B7"/>
    <w:rsid w:val="00F41699"/>
    <w:rsid w:val="00F426E5"/>
    <w:rsid w:val="00F4517C"/>
    <w:rsid w:val="00F46EDF"/>
    <w:rsid w:val="00F470AC"/>
    <w:rsid w:val="00F53A61"/>
    <w:rsid w:val="00F54621"/>
    <w:rsid w:val="00F639BF"/>
    <w:rsid w:val="00F67F7A"/>
    <w:rsid w:val="00F7324F"/>
    <w:rsid w:val="00F76FFA"/>
    <w:rsid w:val="00F8387D"/>
    <w:rsid w:val="00F83B15"/>
    <w:rsid w:val="00F83C6C"/>
    <w:rsid w:val="00F8706C"/>
    <w:rsid w:val="00F9116C"/>
    <w:rsid w:val="00F91EC5"/>
    <w:rsid w:val="00F93119"/>
    <w:rsid w:val="00F936B0"/>
    <w:rsid w:val="00F93E54"/>
    <w:rsid w:val="00F95A09"/>
    <w:rsid w:val="00F95AC8"/>
    <w:rsid w:val="00F95B07"/>
    <w:rsid w:val="00F95EBF"/>
    <w:rsid w:val="00FA0DD3"/>
    <w:rsid w:val="00FA32B7"/>
    <w:rsid w:val="00FA4C2A"/>
    <w:rsid w:val="00FA5AE3"/>
    <w:rsid w:val="00FA64FE"/>
    <w:rsid w:val="00FA731E"/>
    <w:rsid w:val="00FB1108"/>
    <w:rsid w:val="00FB2442"/>
    <w:rsid w:val="00FB52C0"/>
    <w:rsid w:val="00FB746A"/>
    <w:rsid w:val="00FB7655"/>
    <w:rsid w:val="00FC39F1"/>
    <w:rsid w:val="00FC3B23"/>
    <w:rsid w:val="00FD12C2"/>
    <w:rsid w:val="00FD1974"/>
    <w:rsid w:val="00FD66D7"/>
    <w:rsid w:val="00FD76FB"/>
    <w:rsid w:val="00FE19C2"/>
    <w:rsid w:val="00FE3644"/>
    <w:rsid w:val="00FE542E"/>
    <w:rsid w:val="00FF1413"/>
    <w:rsid w:val="00FF1B19"/>
    <w:rsid w:val="00FF55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5A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008F"/>
    <w:pPr>
      <w:keepNext/>
      <w:keepLines/>
      <w:numPr>
        <w:numId w:val="21"/>
      </w:numPr>
      <w:outlineLvl w:val="0"/>
    </w:pPr>
    <w:rPr>
      <w:rFonts w:ascii="Times New Roman Bold" w:eastAsiaTheme="majorEastAsia" w:hAnsi="Times New Roman Bold" w:cstheme="majorBidi"/>
      <w:b/>
      <w:bCs/>
      <w:caps/>
      <w:color w:val="365F91" w:themeColor="accent1" w:themeShade="BF"/>
      <w:sz w:val="28"/>
      <w:szCs w:val="28"/>
    </w:rPr>
  </w:style>
  <w:style w:type="paragraph" w:styleId="Heading2">
    <w:name w:val="heading 2"/>
    <w:basedOn w:val="Normal"/>
    <w:next w:val="Normal"/>
    <w:link w:val="Heading2Char"/>
    <w:uiPriority w:val="9"/>
    <w:unhideWhenUsed/>
    <w:qFormat/>
    <w:rsid w:val="00B02009"/>
    <w:pPr>
      <w:keepNext/>
      <w:keepLines/>
      <w:numPr>
        <w:ilvl w:val="1"/>
        <w:numId w:val="21"/>
      </w:numPr>
      <w:ind w:left="720"/>
      <w:outlineLvl w:val="1"/>
    </w:pPr>
    <w:rPr>
      <w:rFonts w:ascii="Times New Roman" w:eastAsiaTheme="majorEastAsia" w:hAnsi="Times New Roman" w:cstheme="majorBidi"/>
      <w:b/>
      <w:bCs/>
      <w:color w:val="4F81BD" w:themeColor="accent1"/>
      <w:sz w:val="24"/>
      <w:szCs w:val="26"/>
    </w:rPr>
  </w:style>
  <w:style w:type="paragraph" w:styleId="Heading3">
    <w:name w:val="heading 3"/>
    <w:basedOn w:val="Normal"/>
    <w:next w:val="Normal"/>
    <w:link w:val="Heading3Char"/>
    <w:uiPriority w:val="9"/>
    <w:unhideWhenUsed/>
    <w:qFormat/>
    <w:rsid w:val="0009008F"/>
    <w:pPr>
      <w:keepNext/>
      <w:keepLines/>
      <w:spacing w:before="200" w:after="0"/>
      <w:outlineLvl w:val="2"/>
    </w:pPr>
    <w:rPr>
      <w:rFonts w:ascii="Times New Roman" w:eastAsiaTheme="majorEastAsia" w:hAnsi="Times New Roman"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
    <w:basedOn w:val="Normal"/>
    <w:link w:val="ListParagraphChar"/>
    <w:uiPriority w:val="34"/>
    <w:qFormat/>
    <w:rsid w:val="00A04B95"/>
    <w:pPr>
      <w:ind w:left="720"/>
      <w:contextualSpacing/>
    </w:pPr>
  </w:style>
  <w:style w:type="paragraph" w:styleId="FootnoteText">
    <w:name w:val="footnote text"/>
    <w:basedOn w:val="Normal"/>
    <w:link w:val="FootnoteTextChar"/>
    <w:uiPriority w:val="99"/>
    <w:unhideWhenUsed/>
    <w:qFormat/>
    <w:rsid w:val="00A55F43"/>
    <w:pPr>
      <w:spacing w:after="0" w:line="240" w:lineRule="auto"/>
    </w:pPr>
    <w:rPr>
      <w:sz w:val="20"/>
      <w:szCs w:val="20"/>
    </w:rPr>
  </w:style>
  <w:style w:type="character" w:customStyle="1" w:styleId="FootnoteTextChar">
    <w:name w:val="Footnote Text Char"/>
    <w:basedOn w:val="DefaultParagraphFont"/>
    <w:link w:val="FootnoteText"/>
    <w:uiPriority w:val="99"/>
    <w:rsid w:val="00A55F43"/>
    <w:rPr>
      <w:sz w:val="20"/>
      <w:szCs w:val="20"/>
    </w:rPr>
  </w:style>
  <w:style w:type="character" w:styleId="FootnoteReference">
    <w:name w:val="footnote reference"/>
    <w:aliases w:val="Footnote Reference Number,Footnote Reference Superscript,Footnote symbol,fr,ESPON Footnote No,Footnote Refernece,ftref,Odwołanie przypisu,BVI fnr,Footnotes refss,SUPERS,Ref,de nota al pie,-E Fußnotenzeichen,Footnote reference number,E"/>
    <w:basedOn w:val="DefaultParagraphFont"/>
    <w:link w:val="CharCharCharChar"/>
    <w:uiPriority w:val="99"/>
    <w:unhideWhenUsed/>
    <w:qFormat/>
    <w:rsid w:val="00A55F43"/>
    <w:rPr>
      <w:vertAlign w:val="superscript"/>
    </w:rPr>
  </w:style>
  <w:style w:type="character" w:styleId="CommentReference">
    <w:name w:val="annotation reference"/>
    <w:basedOn w:val="DefaultParagraphFont"/>
    <w:uiPriority w:val="99"/>
    <w:semiHidden/>
    <w:unhideWhenUsed/>
    <w:rsid w:val="00123ADA"/>
    <w:rPr>
      <w:sz w:val="16"/>
      <w:szCs w:val="16"/>
    </w:rPr>
  </w:style>
  <w:style w:type="paragraph" w:styleId="CommentText">
    <w:name w:val="annotation text"/>
    <w:basedOn w:val="Normal"/>
    <w:link w:val="CommentTextChar"/>
    <w:uiPriority w:val="99"/>
    <w:unhideWhenUsed/>
    <w:rsid w:val="00123ADA"/>
    <w:pPr>
      <w:spacing w:line="240" w:lineRule="auto"/>
    </w:pPr>
    <w:rPr>
      <w:sz w:val="20"/>
      <w:szCs w:val="20"/>
    </w:rPr>
  </w:style>
  <w:style w:type="character" w:customStyle="1" w:styleId="CommentTextChar">
    <w:name w:val="Comment Text Char"/>
    <w:basedOn w:val="DefaultParagraphFont"/>
    <w:link w:val="CommentText"/>
    <w:uiPriority w:val="99"/>
    <w:rsid w:val="00123ADA"/>
    <w:rPr>
      <w:sz w:val="20"/>
      <w:szCs w:val="20"/>
    </w:rPr>
  </w:style>
  <w:style w:type="paragraph" w:styleId="BalloonText">
    <w:name w:val="Balloon Text"/>
    <w:basedOn w:val="Normal"/>
    <w:link w:val="BalloonTextChar"/>
    <w:uiPriority w:val="99"/>
    <w:semiHidden/>
    <w:unhideWhenUsed/>
    <w:rsid w:val="00123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ADA"/>
    <w:rPr>
      <w:rFonts w:ascii="Tahoma" w:hAnsi="Tahoma" w:cs="Tahoma"/>
      <w:sz w:val="16"/>
      <w:szCs w:val="16"/>
    </w:rPr>
  </w:style>
  <w:style w:type="character" w:styleId="Hyperlink">
    <w:name w:val="Hyperlink"/>
    <w:basedOn w:val="DefaultParagraphFont"/>
    <w:uiPriority w:val="99"/>
    <w:unhideWhenUsed/>
    <w:rsid w:val="0010495F"/>
    <w:rPr>
      <w:color w:val="0000FF" w:themeColor="hyperlink"/>
      <w:u w:val="single"/>
    </w:rPr>
  </w:style>
  <w:style w:type="character" w:customStyle="1" w:styleId="Heading2Char">
    <w:name w:val="Heading 2 Char"/>
    <w:basedOn w:val="DefaultParagraphFont"/>
    <w:link w:val="Heading2"/>
    <w:uiPriority w:val="9"/>
    <w:rsid w:val="00B02009"/>
    <w:rPr>
      <w:rFonts w:ascii="Times New Roman" w:eastAsiaTheme="majorEastAsia" w:hAnsi="Times New Roman" w:cstheme="majorBidi"/>
      <w:b/>
      <w:bCs/>
      <w:color w:val="4F81BD" w:themeColor="accent1"/>
      <w:sz w:val="24"/>
      <w:szCs w:val="26"/>
    </w:rPr>
  </w:style>
  <w:style w:type="character" w:customStyle="1" w:styleId="Heading1Char">
    <w:name w:val="Heading 1 Char"/>
    <w:basedOn w:val="DefaultParagraphFont"/>
    <w:link w:val="Heading1"/>
    <w:uiPriority w:val="9"/>
    <w:rsid w:val="0009008F"/>
    <w:rPr>
      <w:rFonts w:ascii="Times New Roman Bold" w:eastAsiaTheme="majorEastAsia" w:hAnsi="Times New Roman Bold" w:cstheme="majorBidi"/>
      <w:b/>
      <w:bCs/>
      <w:caps/>
      <w:color w:val="365F91" w:themeColor="accent1" w:themeShade="BF"/>
      <w:sz w:val="28"/>
      <w:szCs w:val="28"/>
    </w:rPr>
  </w:style>
  <w:style w:type="character" w:customStyle="1" w:styleId="Heading3Char">
    <w:name w:val="Heading 3 Char"/>
    <w:basedOn w:val="DefaultParagraphFont"/>
    <w:link w:val="Heading3"/>
    <w:uiPriority w:val="9"/>
    <w:rsid w:val="0009008F"/>
    <w:rPr>
      <w:rFonts w:ascii="Times New Roman" w:eastAsiaTheme="majorEastAsia" w:hAnsi="Times New Roman" w:cstheme="majorBidi"/>
      <w:b/>
      <w:bCs/>
      <w:color w:val="4F81BD" w:themeColor="accent1"/>
      <w:sz w:val="24"/>
    </w:rPr>
  </w:style>
  <w:style w:type="paragraph" w:styleId="TOCHeading">
    <w:name w:val="TOC Heading"/>
    <w:basedOn w:val="Heading1"/>
    <w:next w:val="Normal"/>
    <w:uiPriority w:val="39"/>
    <w:semiHidden/>
    <w:unhideWhenUsed/>
    <w:qFormat/>
    <w:rsid w:val="00A23BC7"/>
    <w:pPr>
      <w:numPr>
        <w:numId w:val="0"/>
      </w:numPr>
      <w:spacing w:before="480" w:after="0"/>
      <w:outlineLvl w:val="9"/>
    </w:pPr>
    <w:rPr>
      <w:rFonts w:asciiTheme="majorHAnsi" w:hAnsiTheme="majorHAnsi"/>
      <w:caps w:val="0"/>
      <w:lang w:val="en-US" w:eastAsia="ja-JP"/>
    </w:rPr>
  </w:style>
  <w:style w:type="paragraph" w:styleId="TOC1">
    <w:name w:val="toc 1"/>
    <w:basedOn w:val="Normal"/>
    <w:next w:val="Normal"/>
    <w:autoRedefine/>
    <w:uiPriority w:val="39"/>
    <w:unhideWhenUsed/>
    <w:rsid w:val="00A23BC7"/>
    <w:pPr>
      <w:spacing w:after="100"/>
    </w:pPr>
  </w:style>
  <w:style w:type="paragraph" w:styleId="TOC2">
    <w:name w:val="toc 2"/>
    <w:basedOn w:val="Normal"/>
    <w:next w:val="Normal"/>
    <w:autoRedefine/>
    <w:uiPriority w:val="39"/>
    <w:unhideWhenUsed/>
    <w:rsid w:val="00A23BC7"/>
    <w:pPr>
      <w:spacing w:after="100"/>
      <w:ind w:left="220"/>
    </w:pPr>
  </w:style>
  <w:style w:type="paragraph" w:styleId="TOC3">
    <w:name w:val="toc 3"/>
    <w:basedOn w:val="Normal"/>
    <w:next w:val="Normal"/>
    <w:autoRedefine/>
    <w:uiPriority w:val="39"/>
    <w:unhideWhenUsed/>
    <w:rsid w:val="00A23BC7"/>
    <w:pPr>
      <w:spacing w:after="100"/>
      <w:ind w:left="440"/>
    </w:pPr>
  </w:style>
  <w:style w:type="paragraph" w:styleId="CommentSubject">
    <w:name w:val="annotation subject"/>
    <w:basedOn w:val="CommentText"/>
    <w:next w:val="CommentText"/>
    <w:link w:val="CommentSubjectChar"/>
    <w:uiPriority w:val="99"/>
    <w:semiHidden/>
    <w:unhideWhenUsed/>
    <w:rsid w:val="009019C6"/>
    <w:rPr>
      <w:b/>
      <w:bCs/>
    </w:rPr>
  </w:style>
  <w:style w:type="character" w:customStyle="1" w:styleId="CommentSubjectChar">
    <w:name w:val="Comment Subject Char"/>
    <w:basedOn w:val="CommentTextChar"/>
    <w:link w:val="CommentSubject"/>
    <w:uiPriority w:val="99"/>
    <w:semiHidden/>
    <w:rsid w:val="009019C6"/>
    <w:rPr>
      <w:b/>
      <w:bCs/>
      <w:sz w:val="20"/>
      <w:szCs w:val="20"/>
    </w:rPr>
  </w:style>
  <w:style w:type="paragraph" w:styleId="Header">
    <w:name w:val="header"/>
    <w:basedOn w:val="Normal"/>
    <w:link w:val="HeaderChar"/>
    <w:uiPriority w:val="99"/>
    <w:unhideWhenUsed/>
    <w:rsid w:val="005C33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33CE"/>
  </w:style>
  <w:style w:type="paragraph" w:styleId="Footer">
    <w:name w:val="footer"/>
    <w:basedOn w:val="Normal"/>
    <w:link w:val="FooterChar"/>
    <w:uiPriority w:val="99"/>
    <w:unhideWhenUsed/>
    <w:rsid w:val="005C33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33CE"/>
  </w:style>
  <w:style w:type="paragraph" w:styleId="Revision">
    <w:name w:val="Revision"/>
    <w:hidden/>
    <w:uiPriority w:val="99"/>
    <w:semiHidden/>
    <w:rsid w:val="00D2533E"/>
    <w:pPr>
      <w:spacing w:after="0" w:line="240" w:lineRule="auto"/>
    </w:pPr>
  </w:style>
  <w:style w:type="character" w:customStyle="1" w:styleId="st1">
    <w:name w:val="st1"/>
    <w:basedOn w:val="DefaultParagraphFont"/>
    <w:rsid w:val="005205FB"/>
  </w:style>
  <w:style w:type="paragraph" w:customStyle="1" w:styleId="liknoteik1">
    <w:name w:val="lik_noteik1"/>
    <w:basedOn w:val="Normal"/>
    <w:rsid w:val="005205FB"/>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customStyle="1" w:styleId="likdat1">
    <w:name w:val="lik_dat1"/>
    <w:basedOn w:val="Normal"/>
    <w:rsid w:val="005205FB"/>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character" w:styleId="Emphasis">
    <w:name w:val="Emphasis"/>
    <w:basedOn w:val="DefaultParagraphFont"/>
    <w:uiPriority w:val="20"/>
    <w:qFormat/>
    <w:rsid w:val="005205FB"/>
    <w:rPr>
      <w:i/>
      <w:iCs/>
    </w:rPr>
  </w:style>
  <w:style w:type="character" w:styleId="Strong">
    <w:name w:val="Strong"/>
    <w:basedOn w:val="DefaultParagraphFont"/>
    <w:uiPriority w:val="22"/>
    <w:qFormat/>
    <w:rsid w:val="005205FB"/>
    <w:rPr>
      <w:b/>
      <w:bCs/>
    </w:rPr>
  </w:style>
  <w:style w:type="character" w:customStyle="1" w:styleId="apple-converted-space">
    <w:name w:val="apple-converted-space"/>
    <w:basedOn w:val="DefaultParagraphFont"/>
    <w:rsid w:val="005205FB"/>
  </w:style>
  <w:style w:type="character" w:customStyle="1" w:styleId="ListParagraphChar">
    <w:name w:val="List Paragraph Char"/>
    <w:aliases w:val="2 Char,Strip Char"/>
    <w:link w:val="ListParagraph"/>
    <w:uiPriority w:val="34"/>
    <w:locked/>
    <w:rsid w:val="005205FB"/>
  </w:style>
  <w:style w:type="character" w:styleId="FollowedHyperlink">
    <w:name w:val="FollowedHyperlink"/>
    <w:basedOn w:val="DefaultParagraphFont"/>
    <w:uiPriority w:val="99"/>
    <w:semiHidden/>
    <w:unhideWhenUsed/>
    <w:rsid w:val="00745480"/>
    <w:rPr>
      <w:color w:val="800080" w:themeColor="followedHyperlink"/>
      <w:u w:val="single"/>
    </w:rPr>
  </w:style>
  <w:style w:type="paragraph" w:customStyle="1" w:styleId="naiskr">
    <w:name w:val="naiskr"/>
    <w:basedOn w:val="Normal"/>
    <w:rsid w:val="00705A05"/>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customStyle="1" w:styleId="CharCharCharChar">
    <w:name w:val="Char Char Char Char"/>
    <w:aliases w:val="Char2"/>
    <w:basedOn w:val="Normal"/>
    <w:next w:val="Normal"/>
    <w:link w:val="FootnoteReference"/>
    <w:uiPriority w:val="99"/>
    <w:rsid w:val="00705A05"/>
    <w:pPr>
      <w:keepNext/>
      <w:keepLines/>
      <w:spacing w:before="120" w:after="160" w:line="240" w:lineRule="exact"/>
      <w:jc w:val="both"/>
      <w:textAlignment w:val="baseline"/>
      <w:outlineLvl w:val="0"/>
    </w:pPr>
    <w:rPr>
      <w:vertAlign w:val="superscript"/>
    </w:rPr>
  </w:style>
  <w:style w:type="table" w:styleId="TableGrid">
    <w:name w:val="Table Grid"/>
    <w:basedOn w:val="TableNormal"/>
    <w:uiPriority w:val="59"/>
    <w:rsid w:val="00E94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3519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008F"/>
    <w:pPr>
      <w:keepNext/>
      <w:keepLines/>
      <w:numPr>
        <w:numId w:val="21"/>
      </w:numPr>
      <w:outlineLvl w:val="0"/>
    </w:pPr>
    <w:rPr>
      <w:rFonts w:ascii="Times New Roman Bold" w:eastAsiaTheme="majorEastAsia" w:hAnsi="Times New Roman Bold" w:cstheme="majorBidi"/>
      <w:b/>
      <w:bCs/>
      <w:caps/>
      <w:color w:val="365F91" w:themeColor="accent1" w:themeShade="BF"/>
      <w:sz w:val="28"/>
      <w:szCs w:val="28"/>
    </w:rPr>
  </w:style>
  <w:style w:type="paragraph" w:styleId="Heading2">
    <w:name w:val="heading 2"/>
    <w:basedOn w:val="Normal"/>
    <w:next w:val="Normal"/>
    <w:link w:val="Heading2Char"/>
    <w:uiPriority w:val="9"/>
    <w:unhideWhenUsed/>
    <w:qFormat/>
    <w:rsid w:val="00B02009"/>
    <w:pPr>
      <w:keepNext/>
      <w:keepLines/>
      <w:numPr>
        <w:ilvl w:val="1"/>
        <w:numId w:val="21"/>
      </w:numPr>
      <w:ind w:left="720"/>
      <w:outlineLvl w:val="1"/>
    </w:pPr>
    <w:rPr>
      <w:rFonts w:ascii="Times New Roman" w:eastAsiaTheme="majorEastAsia" w:hAnsi="Times New Roman" w:cstheme="majorBidi"/>
      <w:b/>
      <w:bCs/>
      <w:color w:val="4F81BD" w:themeColor="accent1"/>
      <w:sz w:val="24"/>
      <w:szCs w:val="26"/>
    </w:rPr>
  </w:style>
  <w:style w:type="paragraph" w:styleId="Heading3">
    <w:name w:val="heading 3"/>
    <w:basedOn w:val="Normal"/>
    <w:next w:val="Normal"/>
    <w:link w:val="Heading3Char"/>
    <w:uiPriority w:val="9"/>
    <w:unhideWhenUsed/>
    <w:qFormat/>
    <w:rsid w:val="0009008F"/>
    <w:pPr>
      <w:keepNext/>
      <w:keepLines/>
      <w:spacing w:before="200" w:after="0"/>
      <w:outlineLvl w:val="2"/>
    </w:pPr>
    <w:rPr>
      <w:rFonts w:ascii="Times New Roman" w:eastAsiaTheme="majorEastAsia" w:hAnsi="Times New Roman"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
    <w:basedOn w:val="Normal"/>
    <w:link w:val="ListParagraphChar"/>
    <w:uiPriority w:val="34"/>
    <w:qFormat/>
    <w:rsid w:val="00A04B95"/>
    <w:pPr>
      <w:ind w:left="720"/>
      <w:contextualSpacing/>
    </w:pPr>
  </w:style>
  <w:style w:type="paragraph" w:styleId="FootnoteText">
    <w:name w:val="footnote text"/>
    <w:basedOn w:val="Normal"/>
    <w:link w:val="FootnoteTextChar"/>
    <w:uiPriority w:val="99"/>
    <w:unhideWhenUsed/>
    <w:qFormat/>
    <w:rsid w:val="00A55F43"/>
    <w:pPr>
      <w:spacing w:after="0" w:line="240" w:lineRule="auto"/>
    </w:pPr>
    <w:rPr>
      <w:sz w:val="20"/>
      <w:szCs w:val="20"/>
    </w:rPr>
  </w:style>
  <w:style w:type="character" w:customStyle="1" w:styleId="FootnoteTextChar">
    <w:name w:val="Footnote Text Char"/>
    <w:basedOn w:val="DefaultParagraphFont"/>
    <w:link w:val="FootnoteText"/>
    <w:uiPriority w:val="99"/>
    <w:rsid w:val="00A55F43"/>
    <w:rPr>
      <w:sz w:val="20"/>
      <w:szCs w:val="20"/>
    </w:rPr>
  </w:style>
  <w:style w:type="character" w:styleId="FootnoteReference">
    <w:name w:val="footnote reference"/>
    <w:aliases w:val="Footnote Reference Number,Footnote Reference Superscript,Footnote symbol,fr,ESPON Footnote No,Footnote Refernece,ftref,Odwołanie przypisu,BVI fnr,Footnotes refss,SUPERS,Ref,de nota al pie,-E Fußnotenzeichen,Footnote reference number,E"/>
    <w:basedOn w:val="DefaultParagraphFont"/>
    <w:link w:val="CharCharCharChar"/>
    <w:uiPriority w:val="99"/>
    <w:unhideWhenUsed/>
    <w:qFormat/>
    <w:rsid w:val="00A55F43"/>
    <w:rPr>
      <w:vertAlign w:val="superscript"/>
    </w:rPr>
  </w:style>
  <w:style w:type="character" w:styleId="CommentReference">
    <w:name w:val="annotation reference"/>
    <w:basedOn w:val="DefaultParagraphFont"/>
    <w:uiPriority w:val="99"/>
    <w:semiHidden/>
    <w:unhideWhenUsed/>
    <w:rsid w:val="00123ADA"/>
    <w:rPr>
      <w:sz w:val="16"/>
      <w:szCs w:val="16"/>
    </w:rPr>
  </w:style>
  <w:style w:type="paragraph" w:styleId="CommentText">
    <w:name w:val="annotation text"/>
    <w:basedOn w:val="Normal"/>
    <w:link w:val="CommentTextChar"/>
    <w:uiPriority w:val="99"/>
    <w:unhideWhenUsed/>
    <w:rsid w:val="00123ADA"/>
    <w:pPr>
      <w:spacing w:line="240" w:lineRule="auto"/>
    </w:pPr>
    <w:rPr>
      <w:sz w:val="20"/>
      <w:szCs w:val="20"/>
    </w:rPr>
  </w:style>
  <w:style w:type="character" w:customStyle="1" w:styleId="CommentTextChar">
    <w:name w:val="Comment Text Char"/>
    <w:basedOn w:val="DefaultParagraphFont"/>
    <w:link w:val="CommentText"/>
    <w:uiPriority w:val="99"/>
    <w:rsid w:val="00123ADA"/>
    <w:rPr>
      <w:sz w:val="20"/>
      <w:szCs w:val="20"/>
    </w:rPr>
  </w:style>
  <w:style w:type="paragraph" w:styleId="BalloonText">
    <w:name w:val="Balloon Text"/>
    <w:basedOn w:val="Normal"/>
    <w:link w:val="BalloonTextChar"/>
    <w:uiPriority w:val="99"/>
    <w:semiHidden/>
    <w:unhideWhenUsed/>
    <w:rsid w:val="00123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ADA"/>
    <w:rPr>
      <w:rFonts w:ascii="Tahoma" w:hAnsi="Tahoma" w:cs="Tahoma"/>
      <w:sz w:val="16"/>
      <w:szCs w:val="16"/>
    </w:rPr>
  </w:style>
  <w:style w:type="character" w:styleId="Hyperlink">
    <w:name w:val="Hyperlink"/>
    <w:basedOn w:val="DefaultParagraphFont"/>
    <w:uiPriority w:val="99"/>
    <w:unhideWhenUsed/>
    <w:rsid w:val="0010495F"/>
    <w:rPr>
      <w:color w:val="0000FF" w:themeColor="hyperlink"/>
      <w:u w:val="single"/>
    </w:rPr>
  </w:style>
  <w:style w:type="character" w:customStyle="1" w:styleId="Heading2Char">
    <w:name w:val="Heading 2 Char"/>
    <w:basedOn w:val="DefaultParagraphFont"/>
    <w:link w:val="Heading2"/>
    <w:uiPriority w:val="9"/>
    <w:rsid w:val="00B02009"/>
    <w:rPr>
      <w:rFonts w:ascii="Times New Roman" w:eastAsiaTheme="majorEastAsia" w:hAnsi="Times New Roman" w:cstheme="majorBidi"/>
      <w:b/>
      <w:bCs/>
      <w:color w:val="4F81BD" w:themeColor="accent1"/>
      <w:sz w:val="24"/>
      <w:szCs w:val="26"/>
    </w:rPr>
  </w:style>
  <w:style w:type="character" w:customStyle="1" w:styleId="Heading1Char">
    <w:name w:val="Heading 1 Char"/>
    <w:basedOn w:val="DefaultParagraphFont"/>
    <w:link w:val="Heading1"/>
    <w:uiPriority w:val="9"/>
    <w:rsid w:val="0009008F"/>
    <w:rPr>
      <w:rFonts w:ascii="Times New Roman Bold" w:eastAsiaTheme="majorEastAsia" w:hAnsi="Times New Roman Bold" w:cstheme="majorBidi"/>
      <w:b/>
      <w:bCs/>
      <w:caps/>
      <w:color w:val="365F91" w:themeColor="accent1" w:themeShade="BF"/>
      <w:sz w:val="28"/>
      <w:szCs w:val="28"/>
    </w:rPr>
  </w:style>
  <w:style w:type="character" w:customStyle="1" w:styleId="Heading3Char">
    <w:name w:val="Heading 3 Char"/>
    <w:basedOn w:val="DefaultParagraphFont"/>
    <w:link w:val="Heading3"/>
    <w:uiPriority w:val="9"/>
    <w:rsid w:val="0009008F"/>
    <w:rPr>
      <w:rFonts w:ascii="Times New Roman" w:eastAsiaTheme="majorEastAsia" w:hAnsi="Times New Roman" w:cstheme="majorBidi"/>
      <w:b/>
      <w:bCs/>
      <w:color w:val="4F81BD" w:themeColor="accent1"/>
      <w:sz w:val="24"/>
    </w:rPr>
  </w:style>
  <w:style w:type="paragraph" w:styleId="TOCHeading">
    <w:name w:val="TOC Heading"/>
    <w:basedOn w:val="Heading1"/>
    <w:next w:val="Normal"/>
    <w:uiPriority w:val="39"/>
    <w:semiHidden/>
    <w:unhideWhenUsed/>
    <w:qFormat/>
    <w:rsid w:val="00A23BC7"/>
    <w:pPr>
      <w:numPr>
        <w:numId w:val="0"/>
      </w:numPr>
      <w:spacing w:before="480" w:after="0"/>
      <w:outlineLvl w:val="9"/>
    </w:pPr>
    <w:rPr>
      <w:rFonts w:asciiTheme="majorHAnsi" w:hAnsiTheme="majorHAnsi"/>
      <w:caps w:val="0"/>
      <w:lang w:val="en-US" w:eastAsia="ja-JP"/>
    </w:rPr>
  </w:style>
  <w:style w:type="paragraph" w:styleId="TOC1">
    <w:name w:val="toc 1"/>
    <w:basedOn w:val="Normal"/>
    <w:next w:val="Normal"/>
    <w:autoRedefine/>
    <w:uiPriority w:val="39"/>
    <w:unhideWhenUsed/>
    <w:rsid w:val="00A23BC7"/>
    <w:pPr>
      <w:spacing w:after="100"/>
    </w:pPr>
  </w:style>
  <w:style w:type="paragraph" w:styleId="TOC2">
    <w:name w:val="toc 2"/>
    <w:basedOn w:val="Normal"/>
    <w:next w:val="Normal"/>
    <w:autoRedefine/>
    <w:uiPriority w:val="39"/>
    <w:unhideWhenUsed/>
    <w:rsid w:val="00A23BC7"/>
    <w:pPr>
      <w:spacing w:after="100"/>
      <w:ind w:left="220"/>
    </w:pPr>
  </w:style>
  <w:style w:type="paragraph" w:styleId="TOC3">
    <w:name w:val="toc 3"/>
    <w:basedOn w:val="Normal"/>
    <w:next w:val="Normal"/>
    <w:autoRedefine/>
    <w:uiPriority w:val="39"/>
    <w:unhideWhenUsed/>
    <w:rsid w:val="00A23BC7"/>
    <w:pPr>
      <w:spacing w:after="100"/>
      <w:ind w:left="440"/>
    </w:pPr>
  </w:style>
  <w:style w:type="paragraph" w:styleId="CommentSubject">
    <w:name w:val="annotation subject"/>
    <w:basedOn w:val="CommentText"/>
    <w:next w:val="CommentText"/>
    <w:link w:val="CommentSubjectChar"/>
    <w:uiPriority w:val="99"/>
    <w:semiHidden/>
    <w:unhideWhenUsed/>
    <w:rsid w:val="009019C6"/>
    <w:rPr>
      <w:b/>
      <w:bCs/>
    </w:rPr>
  </w:style>
  <w:style w:type="character" w:customStyle="1" w:styleId="CommentSubjectChar">
    <w:name w:val="Comment Subject Char"/>
    <w:basedOn w:val="CommentTextChar"/>
    <w:link w:val="CommentSubject"/>
    <w:uiPriority w:val="99"/>
    <w:semiHidden/>
    <w:rsid w:val="009019C6"/>
    <w:rPr>
      <w:b/>
      <w:bCs/>
      <w:sz w:val="20"/>
      <w:szCs w:val="20"/>
    </w:rPr>
  </w:style>
  <w:style w:type="paragraph" w:styleId="Header">
    <w:name w:val="header"/>
    <w:basedOn w:val="Normal"/>
    <w:link w:val="HeaderChar"/>
    <w:uiPriority w:val="99"/>
    <w:unhideWhenUsed/>
    <w:rsid w:val="005C33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33CE"/>
  </w:style>
  <w:style w:type="paragraph" w:styleId="Footer">
    <w:name w:val="footer"/>
    <w:basedOn w:val="Normal"/>
    <w:link w:val="FooterChar"/>
    <w:uiPriority w:val="99"/>
    <w:unhideWhenUsed/>
    <w:rsid w:val="005C33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33CE"/>
  </w:style>
  <w:style w:type="paragraph" w:styleId="Revision">
    <w:name w:val="Revision"/>
    <w:hidden/>
    <w:uiPriority w:val="99"/>
    <w:semiHidden/>
    <w:rsid w:val="00D2533E"/>
    <w:pPr>
      <w:spacing w:after="0" w:line="240" w:lineRule="auto"/>
    </w:pPr>
  </w:style>
  <w:style w:type="character" w:customStyle="1" w:styleId="st1">
    <w:name w:val="st1"/>
    <w:basedOn w:val="DefaultParagraphFont"/>
    <w:rsid w:val="005205FB"/>
  </w:style>
  <w:style w:type="paragraph" w:customStyle="1" w:styleId="liknoteik1">
    <w:name w:val="lik_noteik1"/>
    <w:basedOn w:val="Normal"/>
    <w:rsid w:val="005205FB"/>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customStyle="1" w:styleId="likdat1">
    <w:name w:val="lik_dat1"/>
    <w:basedOn w:val="Normal"/>
    <w:rsid w:val="005205FB"/>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character" w:styleId="Emphasis">
    <w:name w:val="Emphasis"/>
    <w:basedOn w:val="DefaultParagraphFont"/>
    <w:uiPriority w:val="20"/>
    <w:qFormat/>
    <w:rsid w:val="005205FB"/>
    <w:rPr>
      <w:i/>
      <w:iCs/>
    </w:rPr>
  </w:style>
  <w:style w:type="character" w:styleId="Strong">
    <w:name w:val="Strong"/>
    <w:basedOn w:val="DefaultParagraphFont"/>
    <w:uiPriority w:val="22"/>
    <w:qFormat/>
    <w:rsid w:val="005205FB"/>
    <w:rPr>
      <w:b/>
      <w:bCs/>
    </w:rPr>
  </w:style>
  <w:style w:type="character" w:customStyle="1" w:styleId="apple-converted-space">
    <w:name w:val="apple-converted-space"/>
    <w:basedOn w:val="DefaultParagraphFont"/>
    <w:rsid w:val="005205FB"/>
  </w:style>
  <w:style w:type="character" w:customStyle="1" w:styleId="ListParagraphChar">
    <w:name w:val="List Paragraph Char"/>
    <w:aliases w:val="2 Char,Strip Char"/>
    <w:link w:val="ListParagraph"/>
    <w:uiPriority w:val="34"/>
    <w:locked/>
    <w:rsid w:val="005205FB"/>
  </w:style>
  <w:style w:type="character" w:styleId="FollowedHyperlink">
    <w:name w:val="FollowedHyperlink"/>
    <w:basedOn w:val="DefaultParagraphFont"/>
    <w:uiPriority w:val="99"/>
    <w:semiHidden/>
    <w:unhideWhenUsed/>
    <w:rsid w:val="00745480"/>
    <w:rPr>
      <w:color w:val="800080" w:themeColor="followedHyperlink"/>
      <w:u w:val="single"/>
    </w:rPr>
  </w:style>
  <w:style w:type="paragraph" w:customStyle="1" w:styleId="naiskr">
    <w:name w:val="naiskr"/>
    <w:basedOn w:val="Normal"/>
    <w:rsid w:val="00705A05"/>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customStyle="1" w:styleId="CharCharCharChar">
    <w:name w:val="Char Char Char Char"/>
    <w:aliases w:val="Char2"/>
    <w:basedOn w:val="Normal"/>
    <w:next w:val="Normal"/>
    <w:link w:val="FootnoteReference"/>
    <w:uiPriority w:val="99"/>
    <w:rsid w:val="00705A05"/>
    <w:pPr>
      <w:keepNext/>
      <w:keepLines/>
      <w:spacing w:before="120" w:after="160" w:line="240" w:lineRule="exact"/>
      <w:jc w:val="both"/>
      <w:textAlignment w:val="baseline"/>
      <w:outlineLvl w:val="0"/>
    </w:pPr>
    <w:rPr>
      <w:vertAlign w:val="superscript"/>
    </w:rPr>
  </w:style>
  <w:style w:type="table" w:styleId="TableGrid">
    <w:name w:val="Table Grid"/>
    <w:basedOn w:val="TableNormal"/>
    <w:uiPriority w:val="59"/>
    <w:rsid w:val="00E94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3519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9073">
      <w:bodyDiv w:val="1"/>
      <w:marLeft w:val="0"/>
      <w:marRight w:val="0"/>
      <w:marTop w:val="0"/>
      <w:marBottom w:val="0"/>
      <w:divBdr>
        <w:top w:val="none" w:sz="0" w:space="0" w:color="auto"/>
        <w:left w:val="none" w:sz="0" w:space="0" w:color="auto"/>
        <w:bottom w:val="none" w:sz="0" w:space="0" w:color="auto"/>
        <w:right w:val="none" w:sz="0" w:space="0" w:color="auto"/>
      </w:divBdr>
    </w:div>
    <w:div w:id="102504240">
      <w:bodyDiv w:val="1"/>
      <w:marLeft w:val="0"/>
      <w:marRight w:val="0"/>
      <w:marTop w:val="0"/>
      <w:marBottom w:val="0"/>
      <w:divBdr>
        <w:top w:val="none" w:sz="0" w:space="0" w:color="auto"/>
        <w:left w:val="none" w:sz="0" w:space="0" w:color="auto"/>
        <w:bottom w:val="none" w:sz="0" w:space="0" w:color="auto"/>
        <w:right w:val="none" w:sz="0" w:space="0" w:color="auto"/>
      </w:divBdr>
      <w:divsChild>
        <w:div w:id="966812927">
          <w:marLeft w:val="0"/>
          <w:marRight w:val="0"/>
          <w:marTop w:val="0"/>
          <w:marBottom w:val="0"/>
          <w:divBdr>
            <w:top w:val="none" w:sz="0" w:space="0" w:color="auto"/>
            <w:left w:val="none" w:sz="0" w:space="0" w:color="auto"/>
            <w:bottom w:val="none" w:sz="0" w:space="0" w:color="auto"/>
            <w:right w:val="none" w:sz="0" w:space="0" w:color="auto"/>
          </w:divBdr>
        </w:div>
        <w:div w:id="516316300">
          <w:marLeft w:val="0"/>
          <w:marRight w:val="0"/>
          <w:marTop w:val="0"/>
          <w:marBottom w:val="0"/>
          <w:divBdr>
            <w:top w:val="none" w:sz="0" w:space="0" w:color="auto"/>
            <w:left w:val="none" w:sz="0" w:space="0" w:color="auto"/>
            <w:bottom w:val="none" w:sz="0" w:space="0" w:color="auto"/>
            <w:right w:val="none" w:sz="0" w:space="0" w:color="auto"/>
          </w:divBdr>
        </w:div>
      </w:divsChild>
    </w:div>
    <w:div w:id="141508765">
      <w:bodyDiv w:val="1"/>
      <w:marLeft w:val="0"/>
      <w:marRight w:val="0"/>
      <w:marTop w:val="0"/>
      <w:marBottom w:val="0"/>
      <w:divBdr>
        <w:top w:val="none" w:sz="0" w:space="0" w:color="auto"/>
        <w:left w:val="none" w:sz="0" w:space="0" w:color="auto"/>
        <w:bottom w:val="none" w:sz="0" w:space="0" w:color="auto"/>
        <w:right w:val="none" w:sz="0" w:space="0" w:color="auto"/>
      </w:divBdr>
    </w:div>
    <w:div w:id="431440930">
      <w:bodyDiv w:val="1"/>
      <w:marLeft w:val="0"/>
      <w:marRight w:val="0"/>
      <w:marTop w:val="0"/>
      <w:marBottom w:val="0"/>
      <w:divBdr>
        <w:top w:val="none" w:sz="0" w:space="0" w:color="auto"/>
        <w:left w:val="none" w:sz="0" w:space="0" w:color="auto"/>
        <w:bottom w:val="none" w:sz="0" w:space="0" w:color="auto"/>
        <w:right w:val="none" w:sz="0" w:space="0" w:color="auto"/>
      </w:divBdr>
    </w:div>
    <w:div w:id="560215974">
      <w:bodyDiv w:val="1"/>
      <w:marLeft w:val="0"/>
      <w:marRight w:val="0"/>
      <w:marTop w:val="0"/>
      <w:marBottom w:val="0"/>
      <w:divBdr>
        <w:top w:val="none" w:sz="0" w:space="0" w:color="auto"/>
        <w:left w:val="none" w:sz="0" w:space="0" w:color="auto"/>
        <w:bottom w:val="none" w:sz="0" w:space="0" w:color="auto"/>
        <w:right w:val="none" w:sz="0" w:space="0" w:color="auto"/>
      </w:divBdr>
    </w:div>
    <w:div w:id="570240613">
      <w:bodyDiv w:val="1"/>
      <w:marLeft w:val="0"/>
      <w:marRight w:val="0"/>
      <w:marTop w:val="0"/>
      <w:marBottom w:val="0"/>
      <w:divBdr>
        <w:top w:val="none" w:sz="0" w:space="0" w:color="auto"/>
        <w:left w:val="none" w:sz="0" w:space="0" w:color="auto"/>
        <w:bottom w:val="none" w:sz="0" w:space="0" w:color="auto"/>
        <w:right w:val="none" w:sz="0" w:space="0" w:color="auto"/>
      </w:divBdr>
      <w:divsChild>
        <w:div w:id="314379342">
          <w:marLeft w:val="0"/>
          <w:marRight w:val="0"/>
          <w:marTop w:val="0"/>
          <w:marBottom w:val="0"/>
          <w:divBdr>
            <w:top w:val="none" w:sz="0" w:space="0" w:color="auto"/>
            <w:left w:val="none" w:sz="0" w:space="0" w:color="auto"/>
            <w:bottom w:val="none" w:sz="0" w:space="0" w:color="auto"/>
            <w:right w:val="none" w:sz="0" w:space="0" w:color="auto"/>
          </w:divBdr>
          <w:divsChild>
            <w:div w:id="163789301">
              <w:marLeft w:val="0"/>
              <w:marRight w:val="0"/>
              <w:marTop w:val="0"/>
              <w:marBottom w:val="0"/>
              <w:divBdr>
                <w:top w:val="none" w:sz="0" w:space="0" w:color="auto"/>
                <w:left w:val="none" w:sz="0" w:space="0" w:color="auto"/>
                <w:bottom w:val="none" w:sz="0" w:space="0" w:color="auto"/>
                <w:right w:val="none" w:sz="0" w:space="0" w:color="auto"/>
              </w:divBdr>
              <w:divsChild>
                <w:div w:id="1495150425">
                  <w:marLeft w:val="0"/>
                  <w:marRight w:val="0"/>
                  <w:marTop w:val="0"/>
                  <w:marBottom w:val="0"/>
                  <w:divBdr>
                    <w:top w:val="none" w:sz="0" w:space="0" w:color="auto"/>
                    <w:left w:val="none" w:sz="0" w:space="0" w:color="auto"/>
                    <w:bottom w:val="none" w:sz="0" w:space="0" w:color="auto"/>
                    <w:right w:val="none" w:sz="0" w:space="0" w:color="auto"/>
                  </w:divBdr>
                  <w:divsChild>
                    <w:div w:id="1684551032">
                      <w:marLeft w:val="0"/>
                      <w:marRight w:val="0"/>
                      <w:marTop w:val="0"/>
                      <w:marBottom w:val="0"/>
                      <w:divBdr>
                        <w:top w:val="none" w:sz="0" w:space="0" w:color="auto"/>
                        <w:left w:val="none" w:sz="0" w:space="0" w:color="auto"/>
                        <w:bottom w:val="none" w:sz="0" w:space="0" w:color="auto"/>
                        <w:right w:val="none" w:sz="0" w:space="0" w:color="auto"/>
                      </w:divBdr>
                      <w:divsChild>
                        <w:div w:id="688335618">
                          <w:marLeft w:val="0"/>
                          <w:marRight w:val="0"/>
                          <w:marTop w:val="0"/>
                          <w:marBottom w:val="0"/>
                          <w:divBdr>
                            <w:top w:val="none" w:sz="0" w:space="0" w:color="auto"/>
                            <w:left w:val="none" w:sz="0" w:space="0" w:color="auto"/>
                            <w:bottom w:val="none" w:sz="0" w:space="0" w:color="auto"/>
                            <w:right w:val="none" w:sz="0" w:space="0" w:color="auto"/>
                          </w:divBdr>
                          <w:divsChild>
                            <w:div w:id="213976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813069">
      <w:bodyDiv w:val="1"/>
      <w:marLeft w:val="0"/>
      <w:marRight w:val="0"/>
      <w:marTop w:val="0"/>
      <w:marBottom w:val="0"/>
      <w:divBdr>
        <w:top w:val="none" w:sz="0" w:space="0" w:color="auto"/>
        <w:left w:val="none" w:sz="0" w:space="0" w:color="auto"/>
        <w:bottom w:val="none" w:sz="0" w:space="0" w:color="auto"/>
        <w:right w:val="none" w:sz="0" w:space="0" w:color="auto"/>
      </w:divBdr>
    </w:div>
    <w:div w:id="664364143">
      <w:bodyDiv w:val="1"/>
      <w:marLeft w:val="0"/>
      <w:marRight w:val="0"/>
      <w:marTop w:val="0"/>
      <w:marBottom w:val="0"/>
      <w:divBdr>
        <w:top w:val="none" w:sz="0" w:space="0" w:color="auto"/>
        <w:left w:val="none" w:sz="0" w:space="0" w:color="auto"/>
        <w:bottom w:val="none" w:sz="0" w:space="0" w:color="auto"/>
        <w:right w:val="none" w:sz="0" w:space="0" w:color="auto"/>
      </w:divBdr>
    </w:div>
    <w:div w:id="757019491">
      <w:bodyDiv w:val="1"/>
      <w:marLeft w:val="0"/>
      <w:marRight w:val="0"/>
      <w:marTop w:val="0"/>
      <w:marBottom w:val="0"/>
      <w:divBdr>
        <w:top w:val="none" w:sz="0" w:space="0" w:color="auto"/>
        <w:left w:val="none" w:sz="0" w:space="0" w:color="auto"/>
        <w:bottom w:val="none" w:sz="0" w:space="0" w:color="auto"/>
        <w:right w:val="none" w:sz="0" w:space="0" w:color="auto"/>
      </w:divBdr>
    </w:div>
    <w:div w:id="775172336">
      <w:bodyDiv w:val="1"/>
      <w:marLeft w:val="0"/>
      <w:marRight w:val="0"/>
      <w:marTop w:val="0"/>
      <w:marBottom w:val="0"/>
      <w:divBdr>
        <w:top w:val="none" w:sz="0" w:space="0" w:color="auto"/>
        <w:left w:val="none" w:sz="0" w:space="0" w:color="auto"/>
        <w:bottom w:val="none" w:sz="0" w:space="0" w:color="auto"/>
        <w:right w:val="none" w:sz="0" w:space="0" w:color="auto"/>
      </w:divBdr>
      <w:divsChild>
        <w:div w:id="178393000">
          <w:marLeft w:val="547"/>
          <w:marRight w:val="0"/>
          <w:marTop w:val="0"/>
          <w:marBottom w:val="0"/>
          <w:divBdr>
            <w:top w:val="none" w:sz="0" w:space="0" w:color="auto"/>
            <w:left w:val="none" w:sz="0" w:space="0" w:color="auto"/>
            <w:bottom w:val="none" w:sz="0" w:space="0" w:color="auto"/>
            <w:right w:val="none" w:sz="0" w:space="0" w:color="auto"/>
          </w:divBdr>
        </w:div>
      </w:divsChild>
    </w:div>
    <w:div w:id="895822576">
      <w:bodyDiv w:val="1"/>
      <w:marLeft w:val="0"/>
      <w:marRight w:val="0"/>
      <w:marTop w:val="0"/>
      <w:marBottom w:val="0"/>
      <w:divBdr>
        <w:top w:val="none" w:sz="0" w:space="0" w:color="auto"/>
        <w:left w:val="none" w:sz="0" w:space="0" w:color="auto"/>
        <w:bottom w:val="none" w:sz="0" w:space="0" w:color="auto"/>
        <w:right w:val="none" w:sz="0" w:space="0" w:color="auto"/>
      </w:divBdr>
    </w:div>
    <w:div w:id="954141210">
      <w:bodyDiv w:val="1"/>
      <w:marLeft w:val="0"/>
      <w:marRight w:val="0"/>
      <w:marTop w:val="0"/>
      <w:marBottom w:val="0"/>
      <w:divBdr>
        <w:top w:val="none" w:sz="0" w:space="0" w:color="auto"/>
        <w:left w:val="none" w:sz="0" w:space="0" w:color="auto"/>
        <w:bottom w:val="none" w:sz="0" w:space="0" w:color="auto"/>
        <w:right w:val="none" w:sz="0" w:space="0" w:color="auto"/>
      </w:divBdr>
    </w:div>
    <w:div w:id="1004747690">
      <w:bodyDiv w:val="1"/>
      <w:marLeft w:val="0"/>
      <w:marRight w:val="0"/>
      <w:marTop w:val="0"/>
      <w:marBottom w:val="0"/>
      <w:divBdr>
        <w:top w:val="none" w:sz="0" w:space="0" w:color="auto"/>
        <w:left w:val="none" w:sz="0" w:space="0" w:color="auto"/>
        <w:bottom w:val="none" w:sz="0" w:space="0" w:color="auto"/>
        <w:right w:val="none" w:sz="0" w:space="0" w:color="auto"/>
      </w:divBdr>
    </w:div>
    <w:div w:id="1056395084">
      <w:bodyDiv w:val="1"/>
      <w:marLeft w:val="0"/>
      <w:marRight w:val="0"/>
      <w:marTop w:val="0"/>
      <w:marBottom w:val="0"/>
      <w:divBdr>
        <w:top w:val="none" w:sz="0" w:space="0" w:color="auto"/>
        <w:left w:val="none" w:sz="0" w:space="0" w:color="auto"/>
        <w:bottom w:val="none" w:sz="0" w:space="0" w:color="auto"/>
        <w:right w:val="none" w:sz="0" w:space="0" w:color="auto"/>
      </w:divBdr>
    </w:div>
    <w:div w:id="1097556414">
      <w:bodyDiv w:val="1"/>
      <w:marLeft w:val="0"/>
      <w:marRight w:val="0"/>
      <w:marTop w:val="0"/>
      <w:marBottom w:val="0"/>
      <w:divBdr>
        <w:top w:val="none" w:sz="0" w:space="0" w:color="auto"/>
        <w:left w:val="none" w:sz="0" w:space="0" w:color="auto"/>
        <w:bottom w:val="none" w:sz="0" w:space="0" w:color="auto"/>
        <w:right w:val="none" w:sz="0" w:space="0" w:color="auto"/>
      </w:divBdr>
    </w:div>
    <w:div w:id="1165852523">
      <w:bodyDiv w:val="1"/>
      <w:marLeft w:val="0"/>
      <w:marRight w:val="0"/>
      <w:marTop w:val="0"/>
      <w:marBottom w:val="0"/>
      <w:divBdr>
        <w:top w:val="none" w:sz="0" w:space="0" w:color="auto"/>
        <w:left w:val="none" w:sz="0" w:space="0" w:color="auto"/>
        <w:bottom w:val="none" w:sz="0" w:space="0" w:color="auto"/>
        <w:right w:val="none" w:sz="0" w:space="0" w:color="auto"/>
      </w:divBdr>
    </w:div>
    <w:div w:id="1197087432">
      <w:bodyDiv w:val="1"/>
      <w:marLeft w:val="0"/>
      <w:marRight w:val="0"/>
      <w:marTop w:val="0"/>
      <w:marBottom w:val="0"/>
      <w:divBdr>
        <w:top w:val="none" w:sz="0" w:space="0" w:color="auto"/>
        <w:left w:val="none" w:sz="0" w:space="0" w:color="auto"/>
        <w:bottom w:val="none" w:sz="0" w:space="0" w:color="auto"/>
        <w:right w:val="none" w:sz="0" w:space="0" w:color="auto"/>
      </w:divBdr>
    </w:div>
    <w:div w:id="1246568251">
      <w:bodyDiv w:val="1"/>
      <w:marLeft w:val="0"/>
      <w:marRight w:val="0"/>
      <w:marTop w:val="0"/>
      <w:marBottom w:val="0"/>
      <w:divBdr>
        <w:top w:val="none" w:sz="0" w:space="0" w:color="auto"/>
        <w:left w:val="none" w:sz="0" w:space="0" w:color="auto"/>
        <w:bottom w:val="none" w:sz="0" w:space="0" w:color="auto"/>
        <w:right w:val="none" w:sz="0" w:space="0" w:color="auto"/>
      </w:divBdr>
      <w:divsChild>
        <w:div w:id="1318609869">
          <w:marLeft w:val="547"/>
          <w:marRight w:val="0"/>
          <w:marTop w:val="0"/>
          <w:marBottom w:val="0"/>
          <w:divBdr>
            <w:top w:val="none" w:sz="0" w:space="0" w:color="auto"/>
            <w:left w:val="none" w:sz="0" w:space="0" w:color="auto"/>
            <w:bottom w:val="none" w:sz="0" w:space="0" w:color="auto"/>
            <w:right w:val="none" w:sz="0" w:space="0" w:color="auto"/>
          </w:divBdr>
        </w:div>
      </w:divsChild>
    </w:div>
    <w:div w:id="1321540409">
      <w:bodyDiv w:val="1"/>
      <w:marLeft w:val="0"/>
      <w:marRight w:val="0"/>
      <w:marTop w:val="0"/>
      <w:marBottom w:val="0"/>
      <w:divBdr>
        <w:top w:val="none" w:sz="0" w:space="0" w:color="auto"/>
        <w:left w:val="none" w:sz="0" w:space="0" w:color="auto"/>
        <w:bottom w:val="none" w:sz="0" w:space="0" w:color="auto"/>
        <w:right w:val="none" w:sz="0" w:space="0" w:color="auto"/>
      </w:divBdr>
      <w:divsChild>
        <w:div w:id="471411764">
          <w:marLeft w:val="0"/>
          <w:marRight w:val="0"/>
          <w:marTop w:val="0"/>
          <w:marBottom w:val="0"/>
          <w:divBdr>
            <w:top w:val="none" w:sz="0" w:space="0" w:color="auto"/>
            <w:left w:val="none" w:sz="0" w:space="0" w:color="auto"/>
            <w:bottom w:val="none" w:sz="0" w:space="0" w:color="auto"/>
            <w:right w:val="none" w:sz="0" w:space="0" w:color="auto"/>
          </w:divBdr>
        </w:div>
        <w:div w:id="1819570526">
          <w:marLeft w:val="0"/>
          <w:marRight w:val="0"/>
          <w:marTop w:val="0"/>
          <w:marBottom w:val="0"/>
          <w:divBdr>
            <w:top w:val="none" w:sz="0" w:space="0" w:color="auto"/>
            <w:left w:val="none" w:sz="0" w:space="0" w:color="auto"/>
            <w:bottom w:val="none" w:sz="0" w:space="0" w:color="auto"/>
            <w:right w:val="none" w:sz="0" w:space="0" w:color="auto"/>
          </w:divBdr>
        </w:div>
      </w:divsChild>
    </w:div>
    <w:div w:id="1374111833">
      <w:bodyDiv w:val="1"/>
      <w:marLeft w:val="0"/>
      <w:marRight w:val="0"/>
      <w:marTop w:val="0"/>
      <w:marBottom w:val="0"/>
      <w:divBdr>
        <w:top w:val="none" w:sz="0" w:space="0" w:color="auto"/>
        <w:left w:val="none" w:sz="0" w:space="0" w:color="auto"/>
        <w:bottom w:val="none" w:sz="0" w:space="0" w:color="auto"/>
        <w:right w:val="none" w:sz="0" w:space="0" w:color="auto"/>
      </w:divBdr>
    </w:div>
    <w:div w:id="1570379090">
      <w:bodyDiv w:val="1"/>
      <w:marLeft w:val="0"/>
      <w:marRight w:val="0"/>
      <w:marTop w:val="0"/>
      <w:marBottom w:val="0"/>
      <w:divBdr>
        <w:top w:val="none" w:sz="0" w:space="0" w:color="auto"/>
        <w:left w:val="none" w:sz="0" w:space="0" w:color="auto"/>
        <w:bottom w:val="none" w:sz="0" w:space="0" w:color="auto"/>
        <w:right w:val="none" w:sz="0" w:space="0" w:color="auto"/>
      </w:divBdr>
    </w:div>
    <w:div w:id="1680499168">
      <w:bodyDiv w:val="1"/>
      <w:marLeft w:val="0"/>
      <w:marRight w:val="0"/>
      <w:marTop w:val="0"/>
      <w:marBottom w:val="0"/>
      <w:divBdr>
        <w:top w:val="none" w:sz="0" w:space="0" w:color="auto"/>
        <w:left w:val="none" w:sz="0" w:space="0" w:color="auto"/>
        <w:bottom w:val="none" w:sz="0" w:space="0" w:color="auto"/>
        <w:right w:val="none" w:sz="0" w:space="0" w:color="auto"/>
      </w:divBdr>
    </w:div>
    <w:div w:id="1722745811">
      <w:bodyDiv w:val="1"/>
      <w:marLeft w:val="0"/>
      <w:marRight w:val="0"/>
      <w:marTop w:val="0"/>
      <w:marBottom w:val="0"/>
      <w:divBdr>
        <w:top w:val="none" w:sz="0" w:space="0" w:color="auto"/>
        <w:left w:val="none" w:sz="0" w:space="0" w:color="auto"/>
        <w:bottom w:val="none" w:sz="0" w:space="0" w:color="auto"/>
        <w:right w:val="none" w:sz="0" w:space="0" w:color="auto"/>
      </w:divBdr>
    </w:div>
    <w:div w:id="1726563197">
      <w:bodyDiv w:val="1"/>
      <w:marLeft w:val="0"/>
      <w:marRight w:val="0"/>
      <w:marTop w:val="0"/>
      <w:marBottom w:val="0"/>
      <w:divBdr>
        <w:top w:val="none" w:sz="0" w:space="0" w:color="auto"/>
        <w:left w:val="none" w:sz="0" w:space="0" w:color="auto"/>
        <w:bottom w:val="none" w:sz="0" w:space="0" w:color="auto"/>
        <w:right w:val="none" w:sz="0" w:space="0" w:color="auto"/>
      </w:divBdr>
    </w:div>
    <w:div w:id="1733307032">
      <w:bodyDiv w:val="1"/>
      <w:marLeft w:val="0"/>
      <w:marRight w:val="0"/>
      <w:marTop w:val="0"/>
      <w:marBottom w:val="0"/>
      <w:divBdr>
        <w:top w:val="none" w:sz="0" w:space="0" w:color="auto"/>
        <w:left w:val="none" w:sz="0" w:space="0" w:color="auto"/>
        <w:bottom w:val="none" w:sz="0" w:space="0" w:color="auto"/>
        <w:right w:val="none" w:sz="0" w:space="0" w:color="auto"/>
      </w:divBdr>
    </w:div>
    <w:div w:id="1842044723">
      <w:bodyDiv w:val="1"/>
      <w:marLeft w:val="0"/>
      <w:marRight w:val="0"/>
      <w:marTop w:val="0"/>
      <w:marBottom w:val="0"/>
      <w:divBdr>
        <w:top w:val="none" w:sz="0" w:space="0" w:color="auto"/>
        <w:left w:val="none" w:sz="0" w:space="0" w:color="auto"/>
        <w:bottom w:val="none" w:sz="0" w:space="0" w:color="auto"/>
        <w:right w:val="none" w:sz="0" w:space="0" w:color="auto"/>
      </w:divBdr>
      <w:divsChild>
        <w:div w:id="1927154618">
          <w:marLeft w:val="0"/>
          <w:marRight w:val="0"/>
          <w:marTop w:val="0"/>
          <w:marBottom w:val="0"/>
          <w:divBdr>
            <w:top w:val="none" w:sz="0" w:space="0" w:color="auto"/>
            <w:left w:val="none" w:sz="0" w:space="0" w:color="auto"/>
            <w:bottom w:val="none" w:sz="0" w:space="0" w:color="auto"/>
            <w:right w:val="none" w:sz="0" w:space="0" w:color="auto"/>
          </w:divBdr>
        </w:div>
        <w:div w:id="1504468704">
          <w:marLeft w:val="0"/>
          <w:marRight w:val="0"/>
          <w:marTop w:val="0"/>
          <w:marBottom w:val="0"/>
          <w:divBdr>
            <w:top w:val="none" w:sz="0" w:space="0" w:color="auto"/>
            <w:left w:val="none" w:sz="0" w:space="0" w:color="auto"/>
            <w:bottom w:val="none" w:sz="0" w:space="0" w:color="auto"/>
            <w:right w:val="none" w:sz="0" w:space="0" w:color="auto"/>
          </w:divBdr>
        </w:div>
      </w:divsChild>
    </w:div>
    <w:div w:id="1852599385">
      <w:bodyDiv w:val="1"/>
      <w:marLeft w:val="0"/>
      <w:marRight w:val="0"/>
      <w:marTop w:val="0"/>
      <w:marBottom w:val="0"/>
      <w:divBdr>
        <w:top w:val="none" w:sz="0" w:space="0" w:color="auto"/>
        <w:left w:val="none" w:sz="0" w:space="0" w:color="auto"/>
        <w:bottom w:val="none" w:sz="0" w:space="0" w:color="auto"/>
        <w:right w:val="none" w:sz="0" w:space="0" w:color="auto"/>
      </w:divBdr>
    </w:div>
    <w:div w:id="1869177933">
      <w:bodyDiv w:val="1"/>
      <w:marLeft w:val="0"/>
      <w:marRight w:val="0"/>
      <w:marTop w:val="0"/>
      <w:marBottom w:val="0"/>
      <w:divBdr>
        <w:top w:val="none" w:sz="0" w:space="0" w:color="auto"/>
        <w:left w:val="none" w:sz="0" w:space="0" w:color="auto"/>
        <w:bottom w:val="none" w:sz="0" w:space="0" w:color="auto"/>
        <w:right w:val="none" w:sz="0" w:space="0" w:color="auto"/>
      </w:divBdr>
    </w:div>
    <w:div w:id="1884323545">
      <w:bodyDiv w:val="1"/>
      <w:marLeft w:val="0"/>
      <w:marRight w:val="0"/>
      <w:marTop w:val="0"/>
      <w:marBottom w:val="0"/>
      <w:divBdr>
        <w:top w:val="none" w:sz="0" w:space="0" w:color="auto"/>
        <w:left w:val="none" w:sz="0" w:space="0" w:color="auto"/>
        <w:bottom w:val="none" w:sz="0" w:space="0" w:color="auto"/>
        <w:right w:val="none" w:sz="0" w:space="0" w:color="auto"/>
      </w:divBdr>
      <w:divsChild>
        <w:div w:id="446201587">
          <w:marLeft w:val="0"/>
          <w:marRight w:val="0"/>
          <w:marTop w:val="0"/>
          <w:marBottom w:val="0"/>
          <w:divBdr>
            <w:top w:val="none" w:sz="0" w:space="0" w:color="auto"/>
            <w:left w:val="none" w:sz="0" w:space="0" w:color="auto"/>
            <w:bottom w:val="none" w:sz="0" w:space="0" w:color="auto"/>
            <w:right w:val="none" w:sz="0" w:space="0" w:color="auto"/>
          </w:divBdr>
        </w:div>
        <w:div w:id="1339504744">
          <w:marLeft w:val="0"/>
          <w:marRight w:val="0"/>
          <w:marTop w:val="0"/>
          <w:marBottom w:val="0"/>
          <w:divBdr>
            <w:top w:val="none" w:sz="0" w:space="0" w:color="auto"/>
            <w:left w:val="none" w:sz="0" w:space="0" w:color="auto"/>
            <w:bottom w:val="none" w:sz="0" w:space="0" w:color="auto"/>
            <w:right w:val="none" w:sz="0" w:space="0" w:color="auto"/>
          </w:divBdr>
        </w:div>
        <w:div w:id="198208750">
          <w:marLeft w:val="0"/>
          <w:marRight w:val="0"/>
          <w:marTop w:val="0"/>
          <w:marBottom w:val="0"/>
          <w:divBdr>
            <w:top w:val="none" w:sz="0" w:space="0" w:color="auto"/>
            <w:left w:val="none" w:sz="0" w:space="0" w:color="auto"/>
            <w:bottom w:val="none" w:sz="0" w:space="0" w:color="auto"/>
            <w:right w:val="none" w:sz="0" w:space="0" w:color="auto"/>
          </w:divBdr>
        </w:div>
        <w:div w:id="208494341">
          <w:marLeft w:val="0"/>
          <w:marRight w:val="0"/>
          <w:marTop w:val="0"/>
          <w:marBottom w:val="0"/>
          <w:divBdr>
            <w:top w:val="none" w:sz="0" w:space="0" w:color="auto"/>
            <w:left w:val="none" w:sz="0" w:space="0" w:color="auto"/>
            <w:bottom w:val="none" w:sz="0" w:space="0" w:color="auto"/>
            <w:right w:val="none" w:sz="0" w:space="0" w:color="auto"/>
          </w:divBdr>
        </w:div>
      </w:divsChild>
    </w:div>
    <w:div w:id="1904826536">
      <w:bodyDiv w:val="1"/>
      <w:marLeft w:val="0"/>
      <w:marRight w:val="0"/>
      <w:marTop w:val="0"/>
      <w:marBottom w:val="0"/>
      <w:divBdr>
        <w:top w:val="none" w:sz="0" w:space="0" w:color="auto"/>
        <w:left w:val="none" w:sz="0" w:space="0" w:color="auto"/>
        <w:bottom w:val="none" w:sz="0" w:space="0" w:color="auto"/>
        <w:right w:val="none" w:sz="0" w:space="0" w:color="auto"/>
      </w:divBdr>
      <w:divsChild>
        <w:div w:id="2021538820">
          <w:marLeft w:val="0"/>
          <w:marRight w:val="0"/>
          <w:marTop w:val="0"/>
          <w:marBottom w:val="0"/>
          <w:divBdr>
            <w:top w:val="none" w:sz="0" w:space="0" w:color="auto"/>
            <w:left w:val="none" w:sz="0" w:space="0" w:color="auto"/>
            <w:bottom w:val="none" w:sz="0" w:space="0" w:color="auto"/>
            <w:right w:val="none" w:sz="0" w:space="0" w:color="auto"/>
          </w:divBdr>
        </w:div>
        <w:div w:id="1855682254">
          <w:marLeft w:val="0"/>
          <w:marRight w:val="0"/>
          <w:marTop w:val="0"/>
          <w:marBottom w:val="0"/>
          <w:divBdr>
            <w:top w:val="none" w:sz="0" w:space="0" w:color="auto"/>
            <w:left w:val="none" w:sz="0" w:space="0" w:color="auto"/>
            <w:bottom w:val="none" w:sz="0" w:space="0" w:color="auto"/>
            <w:right w:val="none" w:sz="0" w:space="0" w:color="auto"/>
          </w:divBdr>
        </w:div>
      </w:divsChild>
    </w:div>
    <w:div w:id="1935045682">
      <w:bodyDiv w:val="1"/>
      <w:marLeft w:val="0"/>
      <w:marRight w:val="0"/>
      <w:marTop w:val="0"/>
      <w:marBottom w:val="0"/>
      <w:divBdr>
        <w:top w:val="none" w:sz="0" w:space="0" w:color="auto"/>
        <w:left w:val="none" w:sz="0" w:space="0" w:color="auto"/>
        <w:bottom w:val="none" w:sz="0" w:space="0" w:color="auto"/>
        <w:right w:val="none" w:sz="0" w:space="0" w:color="auto"/>
      </w:divBdr>
    </w:div>
    <w:div w:id="206452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image" Target="media/image4.png"/><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oleObject" Target="embeddings/oleObject1.bin"/><Relationship Id="rId22" Type="http://schemas.openxmlformats.org/officeDocument/2006/relationships/chart" Target="charts/chart8.xml"/><Relationship Id="rId30"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KCKG\Desktop\Chart%20in%20Microsoft%20Wor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KCIO\Desktop\Copy%20of%20Premjera%20atskait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KCKG\AppData\Local\Microsoft\Windows\Temporary%20Internet%20Files\Content.Outlook\2TU65GX4\GCI%202016-17.xlsx"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PKCIK\Desktop\MP%20zi&#326;ojums_10.2016\papildin&#257;jumi%20Final%20versijai\257_jaundzimusie.xlsx" TargetMode="External"/><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PKCIK\Desktop\MP%20zi&#326;ojums_10.2016\papildin&#257;jumi%20Final%20versijai\79_dabiskais%20pieaugums.xlsx" TargetMode="External"/><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PKCIK\Desktop\MP%20zi&#326;ojums_10.2016\P&#275;c%20FM%20labojumiem\Indikatori_NAP_FINAL_200815_040915_edit.xlsx" TargetMode="External"/><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488407699037617E-2"/>
          <c:y val="5.1400554097404488E-2"/>
          <c:w val="0.90190004374453181"/>
          <c:h val="0.71201370662000585"/>
        </c:manualLayout>
      </c:layout>
      <c:lineChart>
        <c:grouping val="standard"/>
        <c:varyColors val="0"/>
        <c:ser>
          <c:idx val="0"/>
          <c:order val="0"/>
          <c:tx>
            <c:strRef>
              <c:f>Sheet1!$C$124</c:f>
              <c:strCache>
                <c:ptCount val="1"/>
                <c:pt idx="0">
                  <c:v>ES28</c:v>
                </c:pt>
              </c:strCache>
            </c:strRef>
          </c:tx>
          <c:marker>
            <c:symbol val="none"/>
          </c:marker>
          <c:cat>
            <c:numRef>
              <c:f>Sheet1!$D$123:$K$123</c:f>
              <c:numCache>
                <c:formatCode>General</c:formatCode>
                <c:ptCount val="8"/>
                <c:pt idx="0">
                  <c:v>2009</c:v>
                </c:pt>
                <c:pt idx="1">
                  <c:v>2010</c:v>
                </c:pt>
                <c:pt idx="2">
                  <c:v>2011</c:v>
                </c:pt>
                <c:pt idx="3">
                  <c:v>2012</c:v>
                </c:pt>
                <c:pt idx="4">
                  <c:v>2013</c:v>
                </c:pt>
                <c:pt idx="5">
                  <c:v>2014</c:v>
                </c:pt>
                <c:pt idx="6">
                  <c:v>2015</c:v>
                </c:pt>
                <c:pt idx="7">
                  <c:v>2016</c:v>
                </c:pt>
              </c:numCache>
            </c:numRef>
          </c:cat>
          <c:val>
            <c:numRef>
              <c:f>Sheet1!$D$124:$K$124</c:f>
              <c:numCache>
                <c:formatCode>General</c:formatCode>
                <c:ptCount val="8"/>
                <c:pt idx="0">
                  <c:v>-4.4000000000000004</c:v>
                </c:pt>
                <c:pt idx="1">
                  <c:v>2.1</c:v>
                </c:pt>
                <c:pt idx="2">
                  <c:v>1.7</c:v>
                </c:pt>
                <c:pt idx="3">
                  <c:v>-0.5</c:v>
                </c:pt>
                <c:pt idx="4">
                  <c:v>0.2</c:v>
                </c:pt>
                <c:pt idx="5">
                  <c:v>1.6</c:v>
                </c:pt>
                <c:pt idx="6">
                  <c:v>2.2000000000000002</c:v>
                </c:pt>
                <c:pt idx="7">
                  <c:v>1.8</c:v>
                </c:pt>
              </c:numCache>
            </c:numRef>
          </c:val>
          <c:smooth val="0"/>
        </c:ser>
        <c:ser>
          <c:idx val="1"/>
          <c:order val="1"/>
          <c:tx>
            <c:strRef>
              <c:f>Sheet1!$C$125</c:f>
              <c:strCache>
                <c:ptCount val="1"/>
                <c:pt idx="0">
                  <c:v>Latvija</c:v>
                </c:pt>
              </c:strCache>
            </c:strRef>
          </c:tx>
          <c:marker>
            <c:symbol val="none"/>
          </c:marker>
          <c:cat>
            <c:numRef>
              <c:f>Sheet1!$D$123:$K$123</c:f>
              <c:numCache>
                <c:formatCode>General</c:formatCode>
                <c:ptCount val="8"/>
                <c:pt idx="0">
                  <c:v>2009</c:v>
                </c:pt>
                <c:pt idx="1">
                  <c:v>2010</c:v>
                </c:pt>
                <c:pt idx="2">
                  <c:v>2011</c:v>
                </c:pt>
                <c:pt idx="3">
                  <c:v>2012</c:v>
                </c:pt>
                <c:pt idx="4">
                  <c:v>2013</c:v>
                </c:pt>
                <c:pt idx="5">
                  <c:v>2014</c:v>
                </c:pt>
                <c:pt idx="6">
                  <c:v>2015</c:v>
                </c:pt>
                <c:pt idx="7">
                  <c:v>2016</c:v>
                </c:pt>
              </c:numCache>
            </c:numRef>
          </c:cat>
          <c:val>
            <c:numRef>
              <c:f>Sheet1!$D$125:$K$125</c:f>
              <c:numCache>
                <c:formatCode>General</c:formatCode>
                <c:ptCount val="8"/>
                <c:pt idx="0">
                  <c:v>-14.3</c:v>
                </c:pt>
                <c:pt idx="1">
                  <c:v>-3.8</c:v>
                </c:pt>
                <c:pt idx="2">
                  <c:v>6.2</c:v>
                </c:pt>
                <c:pt idx="3">
                  <c:v>4</c:v>
                </c:pt>
                <c:pt idx="4">
                  <c:v>2.9</c:v>
                </c:pt>
                <c:pt idx="5">
                  <c:v>2.1</c:v>
                </c:pt>
                <c:pt idx="6">
                  <c:v>2.7</c:v>
                </c:pt>
                <c:pt idx="7">
                  <c:v>2.5</c:v>
                </c:pt>
              </c:numCache>
            </c:numRef>
          </c:val>
          <c:smooth val="0"/>
        </c:ser>
        <c:dLbls>
          <c:showLegendKey val="0"/>
          <c:showVal val="0"/>
          <c:showCatName val="0"/>
          <c:showSerName val="0"/>
          <c:showPercent val="0"/>
          <c:showBubbleSize val="0"/>
        </c:dLbls>
        <c:marker val="1"/>
        <c:smooth val="0"/>
        <c:axId val="67568000"/>
        <c:axId val="67569920"/>
      </c:lineChart>
      <c:catAx>
        <c:axId val="67568000"/>
        <c:scaling>
          <c:orientation val="minMax"/>
        </c:scaling>
        <c:delete val="0"/>
        <c:axPos val="b"/>
        <c:numFmt formatCode="General" sourceLinked="1"/>
        <c:majorTickMark val="out"/>
        <c:minorTickMark val="none"/>
        <c:tickLblPos val="nextTo"/>
        <c:crossAx val="67569920"/>
        <c:crosses val="autoZero"/>
        <c:auto val="1"/>
        <c:lblAlgn val="ctr"/>
        <c:lblOffset val="100"/>
        <c:noMultiLvlLbl val="0"/>
      </c:catAx>
      <c:valAx>
        <c:axId val="67569920"/>
        <c:scaling>
          <c:orientation val="minMax"/>
        </c:scaling>
        <c:delete val="0"/>
        <c:axPos val="l"/>
        <c:majorGridlines/>
        <c:numFmt formatCode="General" sourceLinked="1"/>
        <c:majorTickMark val="out"/>
        <c:minorTickMark val="none"/>
        <c:tickLblPos val="nextTo"/>
        <c:crossAx val="67568000"/>
        <c:crosses val="autoZero"/>
        <c:crossBetween val="between"/>
      </c:valAx>
    </c:plotArea>
    <c:legend>
      <c:legendPos val="r"/>
      <c:layout>
        <c:manualLayout>
          <c:xMode val="edge"/>
          <c:yMode val="edge"/>
          <c:x val="0.25461067366579176"/>
          <c:y val="0.79591243802857981"/>
          <c:w val="0.52872265966754151"/>
          <c:h val="0.16743438320209975"/>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270058522102407"/>
          <c:y val="0.15162893816066386"/>
          <c:w val="0.63342117069902215"/>
          <c:h val="0.59632693488858513"/>
        </c:manualLayout>
      </c:layout>
      <c:radarChart>
        <c:radarStyle val="marker"/>
        <c:varyColors val="0"/>
        <c:ser>
          <c:idx val="0"/>
          <c:order val="0"/>
          <c:tx>
            <c:strRef>
              <c:f>Sheet1!$G$40</c:f>
              <c:strCache>
                <c:ptCount val="1"/>
                <c:pt idx="0">
                  <c:v>LV</c:v>
                </c:pt>
              </c:strCache>
            </c:strRef>
          </c:tx>
          <c:marker>
            <c:symbol val="none"/>
          </c:marker>
          <c:cat>
            <c:strRef>
              <c:f>Sheet1!$F$41:$F$50</c:f>
              <c:strCache>
                <c:ptCount val="10"/>
                <c:pt idx="0">
                  <c:v>Uzņēmējdarbības  uzsākšana</c:v>
                </c:pt>
                <c:pt idx="1">
                  <c:v>Būvniecības atļaujas</c:v>
                </c:pt>
                <c:pt idx="2">
                  <c:v>Elektroenerģijas pieslēgums</c:v>
                </c:pt>
                <c:pt idx="3">
                  <c:v>Nekustamā īpašuma reģistrācija</c:v>
                </c:pt>
                <c:pt idx="4">
                  <c:v>Kredītu reģistrs</c:v>
                </c:pt>
                <c:pt idx="5">
                  <c:v>Investoru tiesību aizsardzība</c:v>
                </c:pt>
                <c:pt idx="6">
                  <c:v>Nodokļu maksāšana</c:v>
                </c:pt>
                <c:pt idx="7">
                  <c:v>Pārrobežu tirdzniecība</c:v>
                </c:pt>
                <c:pt idx="8">
                  <c:v>Līgumsaistību izpilde</c:v>
                </c:pt>
                <c:pt idx="9">
                  <c:v>Uzņēmējdarbības izbeigšana </c:v>
                </c:pt>
              </c:strCache>
            </c:strRef>
          </c:cat>
          <c:val>
            <c:numRef>
              <c:f>Sheet1!$G$41:$G$50</c:f>
              <c:numCache>
                <c:formatCode>General</c:formatCode>
                <c:ptCount val="10"/>
                <c:pt idx="0">
                  <c:v>94.15</c:v>
                </c:pt>
                <c:pt idx="1">
                  <c:v>78.930000000000007</c:v>
                </c:pt>
                <c:pt idx="2">
                  <c:v>82.14</c:v>
                </c:pt>
                <c:pt idx="3">
                  <c:v>81.87</c:v>
                </c:pt>
                <c:pt idx="4">
                  <c:v>85</c:v>
                </c:pt>
                <c:pt idx="5">
                  <c:v>63.33</c:v>
                </c:pt>
                <c:pt idx="6">
                  <c:v>89.79</c:v>
                </c:pt>
                <c:pt idx="7">
                  <c:v>95.26</c:v>
                </c:pt>
                <c:pt idx="8">
                  <c:v>71.66</c:v>
                </c:pt>
                <c:pt idx="9">
                  <c:v>63.95</c:v>
                </c:pt>
              </c:numCache>
            </c:numRef>
          </c:val>
        </c:ser>
        <c:ser>
          <c:idx val="1"/>
          <c:order val="1"/>
          <c:tx>
            <c:strRef>
              <c:f>Sheet1!$H$40</c:f>
              <c:strCache>
                <c:ptCount val="1"/>
                <c:pt idx="0">
                  <c:v>ES 28</c:v>
                </c:pt>
              </c:strCache>
            </c:strRef>
          </c:tx>
          <c:marker>
            <c:symbol val="none"/>
          </c:marker>
          <c:cat>
            <c:strRef>
              <c:f>Sheet1!$F$41:$F$50</c:f>
              <c:strCache>
                <c:ptCount val="10"/>
                <c:pt idx="0">
                  <c:v>Uzņēmējdarbības  uzsākšana</c:v>
                </c:pt>
                <c:pt idx="1">
                  <c:v>Būvniecības atļaujas</c:v>
                </c:pt>
                <c:pt idx="2">
                  <c:v>Elektroenerģijas pieslēgums</c:v>
                </c:pt>
                <c:pt idx="3">
                  <c:v>Nekustamā īpašuma reģistrācija</c:v>
                </c:pt>
                <c:pt idx="4">
                  <c:v>Kredītu reģistrs</c:v>
                </c:pt>
                <c:pt idx="5">
                  <c:v>Investoru tiesību aizsardzība</c:v>
                </c:pt>
                <c:pt idx="6">
                  <c:v>Nodokļu maksāšana</c:v>
                </c:pt>
                <c:pt idx="7">
                  <c:v>Pārrobežu tirdzniecība</c:v>
                </c:pt>
                <c:pt idx="8">
                  <c:v>Līgumsaistību izpilde</c:v>
                </c:pt>
                <c:pt idx="9">
                  <c:v>Uzņēmējdarbības izbeigšana </c:v>
                </c:pt>
              </c:strCache>
            </c:strRef>
          </c:cat>
          <c:val>
            <c:numRef>
              <c:f>Sheet1!$H$41:$H$50</c:f>
              <c:numCache>
                <c:formatCode>General</c:formatCode>
                <c:ptCount val="10"/>
                <c:pt idx="0">
                  <c:v>90.13</c:v>
                </c:pt>
                <c:pt idx="1">
                  <c:v>74.14</c:v>
                </c:pt>
                <c:pt idx="2">
                  <c:v>81.319999999999993</c:v>
                </c:pt>
                <c:pt idx="3">
                  <c:v>74.8</c:v>
                </c:pt>
                <c:pt idx="4">
                  <c:v>59.64</c:v>
                </c:pt>
                <c:pt idx="5">
                  <c:v>63.33</c:v>
                </c:pt>
                <c:pt idx="6">
                  <c:v>83.29</c:v>
                </c:pt>
                <c:pt idx="7">
                  <c:v>97.38</c:v>
                </c:pt>
                <c:pt idx="8">
                  <c:v>66.63</c:v>
                </c:pt>
                <c:pt idx="9">
                  <c:v>72.069999999999993</c:v>
                </c:pt>
              </c:numCache>
            </c:numRef>
          </c:val>
        </c:ser>
        <c:dLbls>
          <c:showLegendKey val="0"/>
          <c:showVal val="0"/>
          <c:showCatName val="0"/>
          <c:showSerName val="0"/>
          <c:showPercent val="0"/>
          <c:showBubbleSize val="0"/>
        </c:dLbls>
        <c:axId val="73677056"/>
        <c:axId val="73688960"/>
      </c:radarChart>
      <c:catAx>
        <c:axId val="73677056"/>
        <c:scaling>
          <c:orientation val="minMax"/>
        </c:scaling>
        <c:delete val="0"/>
        <c:axPos val="b"/>
        <c:majorGridlines/>
        <c:numFmt formatCode="General" sourceLinked="0"/>
        <c:majorTickMark val="out"/>
        <c:minorTickMark val="none"/>
        <c:tickLblPos val="nextTo"/>
        <c:crossAx val="73688960"/>
        <c:crosses val="autoZero"/>
        <c:auto val="1"/>
        <c:lblAlgn val="ctr"/>
        <c:lblOffset val="100"/>
        <c:noMultiLvlLbl val="0"/>
      </c:catAx>
      <c:valAx>
        <c:axId val="73688960"/>
        <c:scaling>
          <c:orientation val="minMax"/>
        </c:scaling>
        <c:delete val="0"/>
        <c:axPos val="l"/>
        <c:majorGridlines/>
        <c:numFmt formatCode="General" sourceLinked="1"/>
        <c:majorTickMark val="cross"/>
        <c:minorTickMark val="none"/>
        <c:tickLblPos val="nextTo"/>
        <c:crossAx val="73677056"/>
        <c:crosses val="autoZero"/>
        <c:crossBetween val="between"/>
      </c:valAx>
    </c:plotArea>
    <c:legend>
      <c:legendPos val="r"/>
      <c:layout>
        <c:manualLayout>
          <c:xMode val="edge"/>
          <c:yMode val="edge"/>
          <c:x val="0.25418452247045509"/>
          <c:y val="0.89111397913536228"/>
          <c:w val="0.47515856837314668"/>
          <c:h val="9.0983784551864955E-2"/>
        </c:manualLayout>
      </c:layout>
      <c:overlay val="0"/>
    </c:legend>
    <c:plotVisOnly val="1"/>
    <c:dispBlanksAs val="gap"/>
    <c:showDLblsOverMax val="0"/>
  </c:chart>
  <c:spPr>
    <a:ln>
      <a:noFill/>
    </a:ln>
  </c:spPr>
  <c:txPr>
    <a:bodyPr/>
    <a:lstStyle/>
    <a:p>
      <a:pPr>
        <a:defRPr sz="1000">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436330479787072"/>
          <c:y val="0.16685935104641328"/>
          <c:w val="0.65689065289603032"/>
          <c:h val="0.66475662212979569"/>
        </c:manualLayout>
      </c:layout>
      <c:radarChart>
        <c:radarStyle val="marker"/>
        <c:varyColors val="0"/>
        <c:ser>
          <c:idx val="0"/>
          <c:order val="0"/>
          <c:tx>
            <c:strRef>
              <c:f>[1]Eiropa!$C$2</c:f>
              <c:strCache>
                <c:ptCount val="1"/>
                <c:pt idx="0">
                  <c:v>Eiropa</c:v>
                </c:pt>
              </c:strCache>
            </c:strRef>
          </c:tx>
          <c:marker>
            <c:symbol val="none"/>
          </c:marker>
          <c:cat>
            <c:strRef>
              <c:f>[1]Eiropa!$B$3:$B$14</c:f>
              <c:strCache>
                <c:ptCount val="12"/>
                <c:pt idx="0">
                  <c:v>Institūcijas</c:v>
                </c:pt>
                <c:pt idx="1">
                  <c:v>Infrastruktūra</c:v>
                </c:pt>
                <c:pt idx="2">
                  <c:v>Makroekonomiskā vide</c:v>
                </c:pt>
                <c:pt idx="3">
                  <c:v>Veselība un primārā izglītība</c:v>
                </c:pt>
                <c:pt idx="4">
                  <c:v>Augstākā un mūžizglītība</c:v>
                </c:pt>
                <c:pt idx="5">
                  <c:v>Preču tirgus efektivitāte</c:v>
                </c:pt>
                <c:pt idx="6">
                  <c:v>Darba tirgus efektivitāte</c:v>
                </c:pt>
                <c:pt idx="7">
                  <c:v>Finanšu tirgus attīstība</c:v>
                </c:pt>
                <c:pt idx="8">
                  <c:v>Tehnoloģiskais līmenis</c:v>
                </c:pt>
                <c:pt idx="9">
                  <c:v>Tirgus apmērs</c:v>
                </c:pt>
                <c:pt idx="10">
                  <c:v>Biznesa izsmalcinātība</c:v>
                </c:pt>
                <c:pt idx="11">
                  <c:v>P&amp;A, inovācija</c:v>
                </c:pt>
              </c:strCache>
            </c:strRef>
          </c:cat>
          <c:val>
            <c:numRef>
              <c:f>[1]Eiropa!$C$3:$C$14</c:f>
              <c:numCache>
                <c:formatCode>General</c:formatCode>
                <c:ptCount val="12"/>
                <c:pt idx="0">
                  <c:v>4.4964539007092199</c:v>
                </c:pt>
                <c:pt idx="1">
                  <c:v>4.9397163120567376</c:v>
                </c:pt>
                <c:pt idx="2">
                  <c:v>5.1063829787234045</c:v>
                </c:pt>
                <c:pt idx="3">
                  <c:v>6.2375886524822697</c:v>
                </c:pt>
                <c:pt idx="4">
                  <c:v>5.1595744680851068</c:v>
                </c:pt>
                <c:pt idx="5">
                  <c:v>4.7142857142857144</c:v>
                </c:pt>
                <c:pt idx="6">
                  <c:v>4.4609929078014181</c:v>
                </c:pt>
                <c:pt idx="7">
                  <c:v>4.2127659574468082</c:v>
                </c:pt>
                <c:pt idx="8">
                  <c:v>5.3368794326241131</c:v>
                </c:pt>
                <c:pt idx="9">
                  <c:v>4.0709219858156027</c:v>
                </c:pt>
                <c:pt idx="10">
                  <c:v>4.4964539007092199</c:v>
                </c:pt>
                <c:pt idx="11">
                  <c:v>4.0886524822695032</c:v>
                </c:pt>
              </c:numCache>
            </c:numRef>
          </c:val>
        </c:ser>
        <c:ser>
          <c:idx val="1"/>
          <c:order val="1"/>
          <c:tx>
            <c:strRef>
              <c:f>[1]Eiropa!$D$2</c:f>
              <c:strCache>
                <c:ptCount val="1"/>
                <c:pt idx="0">
                  <c:v>LV</c:v>
                </c:pt>
              </c:strCache>
            </c:strRef>
          </c:tx>
          <c:marker>
            <c:symbol val="none"/>
          </c:marker>
          <c:cat>
            <c:strRef>
              <c:f>[1]Eiropa!$B$3:$B$14</c:f>
              <c:strCache>
                <c:ptCount val="12"/>
                <c:pt idx="0">
                  <c:v>Institūcijas</c:v>
                </c:pt>
                <c:pt idx="1">
                  <c:v>Infrastruktūra</c:v>
                </c:pt>
                <c:pt idx="2">
                  <c:v>Makroekonomiskā vide</c:v>
                </c:pt>
                <c:pt idx="3">
                  <c:v>Veselība un primārā izglītība</c:v>
                </c:pt>
                <c:pt idx="4">
                  <c:v>Augstākā un mūžizglītība</c:v>
                </c:pt>
                <c:pt idx="5">
                  <c:v>Preču tirgus efektivitāte</c:v>
                </c:pt>
                <c:pt idx="6">
                  <c:v>Darba tirgus efektivitāte</c:v>
                </c:pt>
                <c:pt idx="7">
                  <c:v>Finanšu tirgus attīstība</c:v>
                </c:pt>
                <c:pt idx="8">
                  <c:v>Tehnoloģiskais līmenis</c:v>
                </c:pt>
                <c:pt idx="9">
                  <c:v>Tirgus apmērs</c:v>
                </c:pt>
                <c:pt idx="10">
                  <c:v>Biznesa izsmalcinātība</c:v>
                </c:pt>
                <c:pt idx="11">
                  <c:v>P&amp;A, inovācija</c:v>
                </c:pt>
              </c:strCache>
            </c:strRef>
          </c:cat>
          <c:val>
            <c:numRef>
              <c:f>[1]Eiropa!$D$3:$D$14</c:f>
              <c:numCache>
                <c:formatCode>General</c:formatCode>
                <c:ptCount val="12"/>
                <c:pt idx="0">
                  <c:v>4</c:v>
                </c:pt>
                <c:pt idx="1">
                  <c:v>4.4000000000000004</c:v>
                </c:pt>
                <c:pt idx="2">
                  <c:v>5.6</c:v>
                </c:pt>
                <c:pt idx="3">
                  <c:v>6.2</c:v>
                </c:pt>
                <c:pt idx="4">
                  <c:v>5</c:v>
                </c:pt>
                <c:pt idx="5">
                  <c:v>4.5</c:v>
                </c:pt>
                <c:pt idx="6">
                  <c:v>4.5999999999999996</c:v>
                </c:pt>
                <c:pt idx="7">
                  <c:v>4.2</c:v>
                </c:pt>
                <c:pt idx="8">
                  <c:v>5.2</c:v>
                </c:pt>
                <c:pt idx="9">
                  <c:v>3.2</c:v>
                </c:pt>
                <c:pt idx="10">
                  <c:v>4.0999999999999996</c:v>
                </c:pt>
                <c:pt idx="11">
                  <c:v>3.4</c:v>
                </c:pt>
              </c:numCache>
            </c:numRef>
          </c:val>
        </c:ser>
        <c:dLbls>
          <c:showLegendKey val="0"/>
          <c:showVal val="0"/>
          <c:showCatName val="0"/>
          <c:showSerName val="0"/>
          <c:showPercent val="0"/>
          <c:showBubbleSize val="0"/>
        </c:dLbls>
        <c:axId val="134787072"/>
        <c:axId val="134788608"/>
      </c:radarChart>
      <c:catAx>
        <c:axId val="134787072"/>
        <c:scaling>
          <c:orientation val="minMax"/>
        </c:scaling>
        <c:delete val="0"/>
        <c:axPos val="b"/>
        <c:majorGridlines/>
        <c:numFmt formatCode="General" sourceLinked="0"/>
        <c:majorTickMark val="out"/>
        <c:minorTickMark val="none"/>
        <c:tickLblPos val="nextTo"/>
        <c:crossAx val="134788608"/>
        <c:crosses val="autoZero"/>
        <c:auto val="1"/>
        <c:lblAlgn val="ctr"/>
        <c:lblOffset val="100"/>
        <c:noMultiLvlLbl val="0"/>
      </c:catAx>
      <c:valAx>
        <c:axId val="134788608"/>
        <c:scaling>
          <c:orientation val="minMax"/>
        </c:scaling>
        <c:delete val="0"/>
        <c:axPos val="l"/>
        <c:majorGridlines/>
        <c:numFmt formatCode="General" sourceLinked="1"/>
        <c:majorTickMark val="cross"/>
        <c:minorTickMark val="none"/>
        <c:tickLblPos val="nextTo"/>
        <c:crossAx val="134787072"/>
        <c:crosses val="autoZero"/>
        <c:crossBetween val="between"/>
      </c:valAx>
    </c:plotArea>
    <c:legend>
      <c:legendPos val="r"/>
      <c:layout>
        <c:manualLayout>
          <c:xMode val="edge"/>
          <c:yMode val="edge"/>
          <c:x val="0"/>
          <c:y val="0.87784565985902618"/>
          <c:w val="1"/>
          <c:h val="0.12177308571395166"/>
        </c:manualLayout>
      </c:layout>
      <c:overlay val="0"/>
    </c:legend>
    <c:plotVisOnly val="1"/>
    <c:dispBlanksAs val="gap"/>
    <c:showDLblsOverMax val="0"/>
  </c:chart>
  <c:spPr>
    <a:ln>
      <a:noFill/>
    </a:ln>
  </c:spPr>
  <c:txPr>
    <a:bodyPr/>
    <a:lstStyle/>
    <a:p>
      <a:pPr>
        <a:defRPr sz="1100">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2020740180627841E-2"/>
          <c:y val="4.7164484643327828E-2"/>
          <c:w val="0.87293207832722608"/>
          <c:h val="0.71471934725026764"/>
        </c:manualLayout>
      </c:layout>
      <c:lineChart>
        <c:grouping val="standard"/>
        <c:varyColors val="0"/>
        <c:ser>
          <c:idx val="0"/>
          <c:order val="0"/>
          <c:tx>
            <c:strRef>
              <c:f>Sheet1!$D$65</c:f>
              <c:strCache>
                <c:ptCount val="1"/>
                <c:pt idx="0">
                  <c:v>Ēnu ekonomikas apjoms Latvijā</c:v>
                </c:pt>
              </c:strCache>
            </c:strRef>
          </c:tx>
          <c:cat>
            <c:numRef>
              <c:f>Sheet1!$C$66:$C$72</c:f>
              <c:numCache>
                <c:formatCode>General</c:formatCode>
                <c:ptCount val="7"/>
                <c:pt idx="0">
                  <c:v>2009</c:v>
                </c:pt>
                <c:pt idx="1">
                  <c:v>2010</c:v>
                </c:pt>
                <c:pt idx="2">
                  <c:v>2011</c:v>
                </c:pt>
                <c:pt idx="3">
                  <c:v>2012</c:v>
                </c:pt>
                <c:pt idx="4">
                  <c:v>2013</c:v>
                </c:pt>
                <c:pt idx="5">
                  <c:v>2014</c:v>
                </c:pt>
                <c:pt idx="6">
                  <c:v>2015</c:v>
                </c:pt>
              </c:numCache>
            </c:numRef>
          </c:cat>
          <c:val>
            <c:numRef>
              <c:f>Sheet1!$D$66:$D$72</c:f>
              <c:numCache>
                <c:formatCode>#,##0.0</c:formatCode>
                <c:ptCount val="7"/>
                <c:pt idx="0">
                  <c:v>27.1</c:v>
                </c:pt>
                <c:pt idx="1">
                  <c:v>27.3</c:v>
                </c:pt>
                <c:pt idx="2" formatCode="General">
                  <c:v>26.5</c:v>
                </c:pt>
                <c:pt idx="3" formatCode="General">
                  <c:v>26.1</c:v>
                </c:pt>
                <c:pt idx="4" formatCode="General">
                  <c:v>25.5</c:v>
                </c:pt>
                <c:pt idx="5" formatCode="General">
                  <c:v>24.7</c:v>
                </c:pt>
                <c:pt idx="6" formatCode="General">
                  <c:v>23.6</c:v>
                </c:pt>
              </c:numCache>
            </c:numRef>
          </c:val>
          <c:smooth val="0"/>
        </c:ser>
        <c:dLbls>
          <c:showLegendKey val="0"/>
          <c:showVal val="0"/>
          <c:showCatName val="0"/>
          <c:showSerName val="0"/>
          <c:showPercent val="0"/>
          <c:showBubbleSize val="0"/>
        </c:dLbls>
        <c:marker val="1"/>
        <c:smooth val="0"/>
        <c:axId val="137829376"/>
        <c:axId val="137837952"/>
      </c:lineChart>
      <c:catAx>
        <c:axId val="137829376"/>
        <c:scaling>
          <c:orientation val="minMax"/>
        </c:scaling>
        <c:delete val="0"/>
        <c:axPos val="b"/>
        <c:numFmt formatCode="General" sourceLinked="1"/>
        <c:majorTickMark val="out"/>
        <c:minorTickMark val="none"/>
        <c:tickLblPos val="nextTo"/>
        <c:crossAx val="137837952"/>
        <c:crosses val="autoZero"/>
        <c:auto val="1"/>
        <c:lblAlgn val="ctr"/>
        <c:lblOffset val="100"/>
        <c:noMultiLvlLbl val="0"/>
      </c:catAx>
      <c:valAx>
        <c:axId val="137837952"/>
        <c:scaling>
          <c:orientation val="minMax"/>
        </c:scaling>
        <c:delete val="0"/>
        <c:axPos val="l"/>
        <c:majorGridlines/>
        <c:numFmt formatCode="#,##0.0" sourceLinked="1"/>
        <c:majorTickMark val="out"/>
        <c:minorTickMark val="none"/>
        <c:tickLblPos val="nextTo"/>
        <c:crossAx val="137829376"/>
        <c:crosses val="autoZero"/>
        <c:crossBetween val="between"/>
      </c:valAx>
    </c:plotArea>
    <c:legend>
      <c:legendPos val="r"/>
      <c:layout>
        <c:manualLayout>
          <c:xMode val="edge"/>
          <c:yMode val="edge"/>
          <c:x val="0.3449784226409901"/>
          <c:y val="0.84385515955242429"/>
          <c:w val="0.31450942227727152"/>
          <c:h val="0.12814235391628681"/>
        </c:manualLayout>
      </c:layout>
      <c:overlay val="0"/>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9098377763020593E-2"/>
          <c:y val="5.3249494892275158E-2"/>
          <c:w val="0.87439559814059387"/>
          <c:h val="0.73357273128901068"/>
        </c:manualLayout>
      </c:layout>
      <c:barChart>
        <c:barDir val="col"/>
        <c:grouping val="clustered"/>
        <c:varyColors val="0"/>
        <c:ser>
          <c:idx val="0"/>
          <c:order val="0"/>
          <c:tx>
            <c:strRef>
              <c:f>'257'!$A$4</c:f>
              <c:strCache>
                <c:ptCount val="1"/>
                <c:pt idx="0">
                  <c:v>Jaundzimušo bērnu skaits</c:v>
                </c:pt>
              </c:strCache>
            </c:strRef>
          </c:tx>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layout>
                <c:manualLayout>
                  <c:x val="0"/>
                  <c:y val="-9.621212121212120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layout>
                <c:manualLayout>
                  <c:x val="-9.1307189542483583E-2"/>
                  <c:y val="-7.6969696969696966E-2"/>
                </c:manualLayout>
              </c:layout>
              <c:spPr/>
              <c:txPr>
                <a:bodyPr/>
                <a:lstStyle/>
                <a:p>
                  <a:pPr>
                    <a:defRPr b="0">
                      <a:solidFill>
                        <a:schemeClr val="bg1">
                          <a:lumMod val="50000"/>
                        </a:schemeClr>
                      </a:solidFill>
                    </a:defRPr>
                  </a:pPr>
                  <a:endParaRPr lang="lv-LV"/>
                </a:p>
              </c:txP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
                  <c:y val="1.000630318310747E-2"/>
                </c:manualLayout>
              </c:layout>
              <c:spPr>
                <a:noFill/>
                <a:ln>
                  <a:noFill/>
                </a:ln>
                <a:effectLst/>
              </c:spPr>
              <c:txPr>
                <a:bodyPr/>
                <a:lstStyle/>
                <a:p>
                  <a:pPr>
                    <a:defRPr b="1">
                      <a:solidFill>
                        <a:schemeClr val="bg1">
                          <a:lumMod val="50000"/>
                        </a:schemeClr>
                      </a:solidFill>
                    </a:defRPr>
                  </a:pPr>
                  <a:endParaRPr lang="lv-LV"/>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a:solidFill>
                      <a:schemeClr val="bg1">
                        <a:lumMod val="50000"/>
                      </a:schemeClr>
                    </a:solidFill>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'257'!$B$3:$R$3</c:f>
              <c:numCache>
                <c:formatCode>General</c:formatCode>
                <c:ptCount val="17"/>
                <c:pt idx="0">
                  <c:v>2004</c:v>
                </c:pt>
                <c:pt idx="1">
                  <c:v>2005</c:v>
                </c:pt>
                <c:pt idx="2">
                  <c:v>2006</c:v>
                </c:pt>
                <c:pt idx="3">
                  <c:v>2007</c:v>
                </c:pt>
                <c:pt idx="4">
                  <c:v>2008</c:v>
                </c:pt>
                <c:pt idx="5">
                  <c:v>2009</c:v>
                </c:pt>
                <c:pt idx="6">
                  <c:v>2010</c:v>
                </c:pt>
                <c:pt idx="7">
                  <c:v>2011</c:v>
                </c:pt>
                <c:pt idx="8">
                  <c:v>2012</c:v>
                </c:pt>
                <c:pt idx="9">
                  <c:v>2013</c:v>
                </c:pt>
                <c:pt idx="10">
                  <c:v>2014</c:v>
                </c:pt>
                <c:pt idx="11">
                  <c:v>2015</c:v>
                </c:pt>
                <c:pt idx="13">
                  <c:v>2017</c:v>
                </c:pt>
                <c:pt idx="16">
                  <c:v>2020</c:v>
                </c:pt>
              </c:numCache>
            </c:numRef>
          </c:cat>
          <c:val>
            <c:numRef>
              <c:f>'257'!$B$4:$R$4</c:f>
              <c:numCache>
                <c:formatCode>General</c:formatCode>
                <c:ptCount val="17"/>
                <c:pt idx="0">
                  <c:v>20551</c:v>
                </c:pt>
                <c:pt idx="1">
                  <c:v>21879</c:v>
                </c:pt>
                <c:pt idx="2">
                  <c:v>22871</c:v>
                </c:pt>
                <c:pt idx="3">
                  <c:v>23958</c:v>
                </c:pt>
                <c:pt idx="4">
                  <c:v>24397</c:v>
                </c:pt>
                <c:pt idx="5">
                  <c:v>22044</c:v>
                </c:pt>
                <c:pt idx="6">
                  <c:v>19781</c:v>
                </c:pt>
                <c:pt idx="7">
                  <c:v>18825</c:v>
                </c:pt>
                <c:pt idx="8">
                  <c:v>19897</c:v>
                </c:pt>
                <c:pt idx="9">
                  <c:v>20596</c:v>
                </c:pt>
                <c:pt idx="10">
                  <c:v>21746</c:v>
                </c:pt>
                <c:pt idx="11" formatCode="#,##0">
                  <c:v>21979</c:v>
                </c:pt>
              </c:numCache>
            </c:numRef>
          </c:val>
        </c:ser>
        <c:dLbls>
          <c:showLegendKey val="0"/>
          <c:showVal val="0"/>
          <c:showCatName val="0"/>
          <c:showSerName val="0"/>
          <c:showPercent val="0"/>
          <c:showBubbleSize val="0"/>
        </c:dLbls>
        <c:gapWidth val="150"/>
        <c:axId val="155397120"/>
        <c:axId val="166021376"/>
      </c:barChart>
      <c:lineChart>
        <c:grouping val="standard"/>
        <c:varyColors val="0"/>
        <c:ser>
          <c:idx val="1"/>
          <c:order val="1"/>
          <c:tx>
            <c:strRef>
              <c:f>'257'!$A$5</c:f>
              <c:strCache>
                <c:ptCount val="1"/>
                <c:pt idx="0">
                  <c:v>Mērķa vērtības, optimistiskā prognoze</c:v>
                </c:pt>
              </c:strCache>
            </c:strRef>
          </c:tx>
          <c:spPr>
            <a:ln>
              <a:noFill/>
            </a:ln>
          </c:spPr>
          <c:dLbls>
            <c:dLbl>
              <c:idx val="10"/>
              <c:layout>
                <c:manualLayout>
                  <c:x val="-5.0381010199324665E-2"/>
                  <c:y val="-3.37308337571389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8.98876404494382E-2"/>
                  <c:y val="-2.739726027397260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6"/>
              <c:layout>
                <c:manualLayout>
                  <c:x val="-5.1541942254895452E-2"/>
                  <c:y val="-1.626127469032963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'257'!$B$3:$R$3</c:f>
              <c:numCache>
                <c:formatCode>General</c:formatCode>
                <c:ptCount val="17"/>
                <c:pt idx="0">
                  <c:v>2004</c:v>
                </c:pt>
                <c:pt idx="1">
                  <c:v>2005</c:v>
                </c:pt>
                <c:pt idx="2">
                  <c:v>2006</c:v>
                </c:pt>
                <c:pt idx="3">
                  <c:v>2007</c:v>
                </c:pt>
                <c:pt idx="4">
                  <c:v>2008</c:v>
                </c:pt>
                <c:pt idx="5">
                  <c:v>2009</c:v>
                </c:pt>
                <c:pt idx="6">
                  <c:v>2010</c:v>
                </c:pt>
                <c:pt idx="7">
                  <c:v>2011</c:v>
                </c:pt>
                <c:pt idx="8">
                  <c:v>2012</c:v>
                </c:pt>
                <c:pt idx="9">
                  <c:v>2013</c:v>
                </c:pt>
                <c:pt idx="10">
                  <c:v>2014</c:v>
                </c:pt>
                <c:pt idx="11">
                  <c:v>2015</c:v>
                </c:pt>
                <c:pt idx="13">
                  <c:v>2017</c:v>
                </c:pt>
                <c:pt idx="16">
                  <c:v>2020</c:v>
                </c:pt>
              </c:numCache>
            </c:numRef>
          </c:cat>
          <c:val>
            <c:numRef>
              <c:f>'257'!$B$5:$R$5</c:f>
              <c:numCache>
                <c:formatCode>General</c:formatCode>
                <c:ptCount val="17"/>
                <c:pt idx="10">
                  <c:v>23000</c:v>
                </c:pt>
                <c:pt idx="13">
                  <c:v>27000</c:v>
                </c:pt>
                <c:pt idx="16">
                  <c:v>28000</c:v>
                </c:pt>
              </c:numCache>
            </c:numRef>
          </c:val>
          <c:smooth val="0"/>
        </c:ser>
        <c:ser>
          <c:idx val="2"/>
          <c:order val="2"/>
          <c:tx>
            <c:strRef>
              <c:f>'257'!$A$6</c:f>
              <c:strCache>
                <c:ptCount val="1"/>
                <c:pt idx="0">
                  <c:v>Mērķa vērtības, reālistiskā prognoze</c:v>
                </c:pt>
              </c:strCache>
            </c:strRef>
          </c:tx>
          <c:spPr>
            <a:ln>
              <a:noFill/>
            </a:ln>
          </c:spPr>
          <c:marker>
            <c:symbol val="triangle"/>
            <c:size val="8"/>
            <c:spPr>
              <a:solidFill>
                <a:schemeClr val="bg1"/>
              </a:solidFill>
              <a:ln>
                <a:solidFill>
                  <a:schemeClr val="tx1"/>
                </a:solidFill>
              </a:ln>
            </c:spPr>
          </c:marker>
          <c:dLbls>
            <c:dLbl>
              <c:idx val="10"/>
              <c:layout>
                <c:manualLayout>
                  <c:x val="-0.1014079475917419"/>
                  <c:y val="-7.047448690294559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8.5607276618512567E-3"/>
                  <c:y val="2.739726027397260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6"/>
              <c:layout>
                <c:manualLayout>
                  <c:x val="-4.49438202247191E-2"/>
                  <c:y val="2.739726027397260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'257'!$B$3:$R$3</c:f>
              <c:numCache>
                <c:formatCode>General</c:formatCode>
                <c:ptCount val="17"/>
                <c:pt idx="0">
                  <c:v>2004</c:v>
                </c:pt>
                <c:pt idx="1">
                  <c:v>2005</c:v>
                </c:pt>
                <c:pt idx="2">
                  <c:v>2006</c:v>
                </c:pt>
                <c:pt idx="3">
                  <c:v>2007</c:v>
                </c:pt>
                <c:pt idx="4">
                  <c:v>2008</c:v>
                </c:pt>
                <c:pt idx="5">
                  <c:v>2009</c:v>
                </c:pt>
                <c:pt idx="6">
                  <c:v>2010</c:v>
                </c:pt>
                <c:pt idx="7">
                  <c:v>2011</c:v>
                </c:pt>
                <c:pt idx="8">
                  <c:v>2012</c:v>
                </c:pt>
                <c:pt idx="9">
                  <c:v>2013</c:v>
                </c:pt>
                <c:pt idx="10">
                  <c:v>2014</c:v>
                </c:pt>
                <c:pt idx="11">
                  <c:v>2015</c:v>
                </c:pt>
                <c:pt idx="13">
                  <c:v>2017</c:v>
                </c:pt>
                <c:pt idx="16">
                  <c:v>2020</c:v>
                </c:pt>
              </c:numCache>
            </c:numRef>
          </c:cat>
          <c:val>
            <c:numRef>
              <c:f>'257'!$B$6:$R$6</c:f>
              <c:numCache>
                <c:formatCode>General</c:formatCode>
                <c:ptCount val="17"/>
                <c:pt idx="10">
                  <c:v>21300</c:v>
                </c:pt>
                <c:pt idx="13">
                  <c:v>25300</c:v>
                </c:pt>
                <c:pt idx="16">
                  <c:v>24000</c:v>
                </c:pt>
              </c:numCache>
            </c:numRef>
          </c:val>
          <c:smooth val="0"/>
        </c:ser>
        <c:dLbls>
          <c:showLegendKey val="0"/>
          <c:showVal val="0"/>
          <c:showCatName val="0"/>
          <c:showSerName val="0"/>
          <c:showPercent val="0"/>
          <c:showBubbleSize val="0"/>
        </c:dLbls>
        <c:marker val="1"/>
        <c:smooth val="0"/>
        <c:axId val="155397120"/>
        <c:axId val="166021376"/>
      </c:lineChart>
      <c:catAx>
        <c:axId val="155397120"/>
        <c:scaling>
          <c:orientation val="minMax"/>
        </c:scaling>
        <c:delete val="0"/>
        <c:axPos val="b"/>
        <c:numFmt formatCode="General" sourceLinked="1"/>
        <c:majorTickMark val="out"/>
        <c:minorTickMark val="none"/>
        <c:tickLblPos val="nextTo"/>
        <c:txPr>
          <a:bodyPr/>
          <a:lstStyle/>
          <a:p>
            <a:pPr>
              <a:defRPr sz="900"/>
            </a:pPr>
            <a:endParaRPr lang="lv-LV"/>
          </a:p>
        </c:txPr>
        <c:crossAx val="166021376"/>
        <c:crosses val="autoZero"/>
        <c:auto val="1"/>
        <c:lblAlgn val="ctr"/>
        <c:lblOffset val="100"/>
        <c:noMultiLvlLbl val="0"/>
      </c:catAx>
      <c:valAx>
        <c:axId val="166021376"/>
        <c:scaling>
          <c:orientation val="minMax"/>
        </c:scaling>
        <c:delete val="0"/>
        <c:axPos val="l"/>
        <c:majorGridlines/>
        <c:numFmt formatCode="General" sourceLinked="1"/>
        <c:majorTickMark val="none"/>
        <c:minorTickMark val="none"/>
        <c:tickLblPos val="nextTo"/>
        <c:crossAx val="155397120"/>
        <c:crosses val="autoZero"/>
        <c:crossBetween val="between"/>
      </c:valAx>
    </c:plotArea>
    <c:legend>
      <c:legendPos val="b"/>
      <c:layout>
        <c:manualLayout>
          <c:xMode val="edge"/>
          <c:yMode val="edge"/>
          <c:x val="5.46137832211314E-4"/>
          <c:y val="0.87460397267247603"/>
          <c:w val="0.99105926652361886"/>
          <c:h val="0.10552763096393773"/>
        </c:manualLayout>
      </c:layout>
      <c:overlay val="0"/>
      <c:txPr>
        <a:bodyPr/>
        <a:lstStyle/>
        <a:p>
          <a:pPr>
            <a:defRPr sz="900"/>
          </a:pPr>
          <a:endParaRPr lang="lv-LV"/>
        </a:p>
      </c:txPr>
    </c:legend>
    <c:plotVisOnly val="1"/>
    <c:dispBlanksAs val="gap"/>
    <c:showDLblsOverMax val="0"/>
  </c:chart>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231800468245445"/>
          <c:y val="9.8045421554809317E-2"/>
          <c:w val="0.86135091547291531"/>
          <c:h val="0.67567262201596145"/>
        </c:manualLayout>
      </c:layout>
      <c:lineChart>
        <c:grouping val="standard"/>
        <c:varyColors val="0"/>
        <c:ser>
          <c:idx val="0"/>
          <c:order val="0"/>
          <c:tx>
            <c:strRef>
              <c:f>'79S_Final'!$A$4</c:f>
              <c:strCache>
                <c:ptCount val="1"/>
                <c:pt idx="0">
                  <c:v>Iedzīvotāju skaita dabiskais pieaugums</c:v>
                </c:pt>
              </c:strCache>
            </c:strRef>
          </c:tx>
          <c:spPr>
            <a:ln w="25400">
              <a:solidFill>
                <a:srgbClr val="C00000"/>
              </a:solidFill>
            </a:ln>
          </c:spPr>
          <c:marker>
            <c:symbol val="circle"/>
            <c:size val="5"/>
            <c:spPr>
              <a:noFill/>
              <a:ln w="12700">
                <a:solidFill>
                  <a:srgbClr val="C00000"/>
                </a:solidFill>
              </a:ln>
            </c:spPr>
          </c:marker>
          <c:cat>
            <c:numRef>
              <c:f>'79S_Final'!$B$3:$V$3</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'79S_Final'!$B$4:$V$4</c:f>
              <c:numCache>
                <c:formatCode>General</c:formatCode>
                <c:ptCount val="21"/>
                <c:pt idx="0">
                  <c:v>-11957</c:v>
                </c:pt>
                <c:pt idx="1">
                  <c:v>-13327</c:v>
                </c:pt>
                <c:pt idx="2">
                  <c:v>-12454</c:v>
                </c:pt>
                <c:pt idx="3">
                  <c:v>-11431</c:v>
                </c:pt>
                <c:pt idx="4">
                  <c:v>-11690</c:v>
                </c:pt>
                <c:pt idx="5">
                  <c:v>-11280</c:v>
                </c:pt>
                <c:pt idx="6">
                  <c:v>-10834</c:v>
                </c:pt>
                <c:pt idx="7">
                  <c:v>-9769</c:v>
                </c:pt>
                <c:pt idx="8">
                  <c:v>-7058</c:v>
                </c:pt>
                <c:pt idx="9">
                  <c:v>-8220</c:v>
                </c:pt>
                <c:pt idx="10">
                  <c:v>-10821</c:v>
                </c:pt>
                <c:pt idx="11">
                  <c:v>-9715</c:v>
                </c:pt>
                <c:pt idx="12">
                  <c:v>-9128</c:v>
                </c:pt>
                <c:pt idx="13">
                  <c:v>-8095</c:v>
                </c:pt>
                <c:pt idx="14">
                  <c:v>-6720</c:v>
                </c:pt>
                <c:pt idx="15" formatCode="#,##0">
                  <c:v>-6499</c:v>
                </c:pt>
              </c:numCache>
            </c:numRef>
          </c:val>
          <c:smooth val="0"/>
        </c:ser>
        <c:ser>
          <c:idx val="1"/>
          <c:order val="1"/>
          <c:tx>
            <c:strRef>
              <c:f>'79S_Final'!$A$5</c:f>
              <c:strCache>
                <c:ptCount val="1"/>
                <c:pt idx="0">
                  <c:v>Vēlamā prognoze</c:v>
                </c:pt>
              </c:strCache>
            </c:strRef>
          </c:tx>
          <c:spPr>
            <a:ln w="25400">
              <a:solidFill>
                <a:srgbClr val="00B050"/>
              </a:solidFill>
              <a:prstDash val="dash"/>
            </a:ln>
          </c:spPr>
          <c:marker>
            <c:symbol val="none"/>
          </c:marker>
          <c:cat>
            <c:numRef>
              <c:f>'79S_Final'!$B$3:$V$3</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'79S_Final'!$B$5:$V$5</c:f>
              <c:numCache>
                <c:formatCode>General</c:formatCode>
                <c:ptCount val="21"/>
                <c:pt idx="11">
                  <c:v>-9715</c:v>
                </c:pt>
                <c:pt idx="12">
                  <c:v>-8900</c:v>
                </c:pt>
                <c:pt idx="13">
                  <c:v>-7800</c:v>
                </c:pt>
                <c:pt idx="14">
                  <c:v>-6500</c:v>
                </c:pt>
                <c:pt idx="15">
                  <c:v>-5000</c:v>
                </c:pt>
                <c:pt idx="16">
                  <c:v>-3600</c:v>
                </c:pt>
                <c:pt idx="17">
                  <c:v>-2200</c:v>
                </c:pt>
                <c:pt idx="18">
                  <c:v>-1300</c:v>
                </c:pt>
                <c:pt idx="19">
                  <c:v>-500</c:v>
                </c:pt>
                <c:pt idx="20">
                  <c:v>0</c:v>
                </c:pt>
              </c:numCache>
            </c:numRef>
          </c:val>
          <c:smooth val="0"/>
        </c:ser>
        <c:ser>
          <c:idx val="2"/>
          <c:order val="2"/>
          <c:tx>
            <c:strRef>
              <c:f>'79S_Final'!$A$6</c:f>
              <c:strCache>
                <c:ptCount val="1"/>
                <c:pt idx="0">
                  <c:v>EM ilgtermiņa darbaspēka prognoze</c:v>
                </c:pt>
              </c:strCache>
            </c:strRef>
          </c:tx>
          <c:spPr>
            <a:ln w="25400">
              <a:solidFill>
                <a:schemeClr val="tx2"/>
              </a:solidFill>
              <a:prstDash val="dash"/>
            </a:ln>
          </c:spPr>
          <c:marker>
            <c:symbol val="none"/>
          </c:marker>
          <c:cat>
            <c:numRef>
              <c:f>'79S_Final'!$B$3:$V$3</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'79S_Final'!$B$6:$V$6</c:f>
              <c:numCache>
                <c:formatCode>General</c:formatCode>
                <c:ptCount val="21"/>
                <c:pt idx="11">
                  <c:v>-9715</c:v>
                </c:pt>
                <c:pt idx="12">
                  <c:v>-9100</c:v>
                </c:pt>
                <c:pt idx="13">
                  <c:v>-10005</c:v>
                </c:pt>
                <c:pt idx="14">
                  <c:v>-10165</c:v>
                </c:pt>
                <c:pt idx="15">
                  <c:v>-10351</c:v>
                </c:pt>
                <c:pt idx="16">
                  <c:v>-10524</c:v>
                </c:pt>
                <c:pt idx="17">
                  <c:v>-10707</c:v>
                </c:pt>
                <c:pt idx="18">
                  <c:v>-10932</c:v>
                </c:pt>
                <c:pt idx="19">
                  <c:v>-11199</c:v>
                </c:pt>
                <c:pt idx="20">
                  <c:v>-11499</c:v>
                </c:pt>
              </c:numCache>
            </c:numRef>
          </c:val>
          <c:smooth val="0"/>
        </c:ser>
        <c:ser>
          <c:idx val="3"/>
          <c:order val="3"/>
          <c:tx>
            <c:strRef>
              <c:f>'79S_Final'!$A$7</c:f>
              <c:strCache>
                <c:ptCount val="1"/>
                <c:pt idx="0">
                  <c:v>Reālistiskā prognoze</c:v>
                </c:pt>
              </c:strCache>
            </c:strRef>
          </c:tx>
          <c:spPr>
            <a:ln w="25400">
              <a:solidFill>
                <a:srgbClr val="C00000"/>
              </a:solidFill>
              <a:prstDash val="dash"/>
            </a:ln>
          </c:spPr>
          <c:marker>
            <c:symbol val="none"/>
          </c:marker>
          <c:dLbls>
            <c:dLbl>
              <c:idx val="15"/>
              <c:layout>
                <c:manualLayout>
                  <c:x val="-1.4951873656667601E-2"/>
                  <c:y val="9.0682374154999745E-3"/>
                </c:manualLayout>
              </c:layout>
              <c:tx>
                <c:rich>
                  <a:bodyPr/>
                  <a:lstStyle/>
                  <a:p>
                    <a:r>
                      <a:rPr lang="en-US"/>
                      <a:t>-6499</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numRef>
              <c:f>'79S_Final'!$B$3:$V$3</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'79S_Final'!$B$7:$V$7</c:f>
              <c:numCache>
                <c:formatCode>General</c:formatCode>
                <c:ptCount val="21"/>
                <c:pt idx="11">
                  <c:v>-9715</c:v>
                </c:pt>
                <c:pt idx="12">
                  <c:v>-9100</c:v>
                </c:pt>
                <c:pt idx="13">
                  <c:v>-8900</c:v>
                </c:pt>
                <c:pt idx="14">
                  <c:v>-8713.240530319541</c:v>
                </c:pt>
                <c:pt idx="15">
                  <c:v>-6596.0128278191587</c:v>
                </c:pt>
                <c:pt idx="16">
                  <c:v>-4329.2297084513921</c:v>
                </c:pt>
                <c:pt idx="17">
                  <c:v>-4421.1892845107723</c:v>
                </c:pt>
                <c:pt idx="18">
                  <c:v>-4517.4551198564986</c:v>
                </c:pt>
                <c:pt idx="19">
                  <c:v>-4782.5356489892001</c:v>
                </c:pt>
                <c:pt idx="20">
                  <c:v>-4939.9129347273993</c:v>
                </c:pt>
              </c:numCache>
            </c:numRef>
          </c:val>
          <c:smooth val="0"/>
        </c:ser>
        <c:dLbls>
          <c:showLegendKey val="0"/>
          <c:showVal val="0"/>
          <c:showCatName val="0"/>
          <c:showSerName val="0"/>
          <c:showPercent val="0"/>
          <c:showBubbleSize val="0"/>
        </c:dLbls>
        <c:marker val="1"/>
        <c:smooth val="0"/>
        <c:axId val="175287680"/>
        <c:axId val="175514368"/>
      </c:lineChart>
      <c:catAx>
        <c:axId val="175287680"/>
        <c:scaling>
          <c:orientation val="minMax"/>
        </c:scaling>
        <c:delete val="0"/>
        <c:axPos val="b"/>
        <c:numFmt formatCode="General" sourceLinked="1"/>
        <c:majorTickMark val="none"/>
        <c:minorTickMark val="none"/>
        <c:tickLblPos val="nextTo"/>
        <c:txPr>
          <a:bodyPr rot="-5400000" vert="horz"/>
          <a:lstStyle/>
          <a:p>
            <a:pPr>
              <a:defRPr sz="800"/>
            </a:pPr>
            <a:endParaRPr lang="lv-LV"/>
          </a:p>
        </c:txPr>
        <c:crossAx val="175514368"/>
        <c:crosses val="autoZero"/>
        <c:auto val="1"/>
        <c:lblAlgn val="ctr"/>
        <c:lblOffset val="100"/>
        <c:noMultiLvlLbl val="0"/>
      </c:catAx>
      <c:valAx>
        <c:axId val="175514368"/>
        <c:scaling>
          <c:orientation val="minMax"/>
          <c:max val="2000"/>
        </c:scaling>
        <c:delete val="0"/>
        <c:axPos val="l"/>
        <c:majorGridlines/>
        <c:numFmt formatCode="General" sourceLinked="1"/>
        <c:majorTickMark val="none"/>
        <c:minorTickMark val="none"/>
        <c:tickLblPos val="nextTo"/>
        <c:crossAx val="175287680"/>
        <c:crosses val="autoZero"/>
        <c:crossBetween val="between"/>
      </c:valAx>
    </c:plotArea>
    <c:legend>
      <c:legendPos val="r"/>
      <c:layout>
        <c:manualLayout>
          <c:xMode val="edge"/>
          <c:yMode val="edge"/>
          <c:x val="0.18456080170905792"/>
          <c:y val="0.79332134780184493"/>
          <c:w val="0.62651299022404805"/>
          <c:h val="0.20592480264636712"/>
        </c:manualLayout>
      </c:layout>
      <c:overlay val="0"/>
      <c:txPr>
        <a:bodyPr/>
        <a:lstStyle/>
        <a:p>
          <a:pPr>
            <a:defRPr sz="900"/>
          </a:pPr>
          <a:endParaRPr lang="lv-LV"/>
        </a:p>
      </c:txPr>
    </c:legend>
    <c:plotVisOnly val="1"/>
    <c:dispBlanksAs val="gap"/>
    <c:showDLblsOverMax val="0"/>
  </c:chart>
  <c:txPr>
    <a:bodyPr/>
    <a:lstStyle/>
    <a:p>
      <a:pPr>
        <a:defRPr>
          <a:latin typeface="+mn-lt"/>
        </a:defRPr>
      </a:pPr>
      <a:endParaRPr lang="lv-LV"/>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7232888868834091E-2"/>
          <c:y val="5.4728751141422699E-2"/>
          <c:w val="0.91650159059630443"/>
          <c:h val="0.65084335777339508"/>
        </c:manualLayout>
      </c:layout>
      <c:lineChart>
        <c:grouping val="standard"/>
        <c:varyColors val="0"/>
        <c:ser>
          <c:idx val="0"/>
          <c:order val="0"/>
          <c:tx>
            <c:strRef>
              <c:f>'304'!$A$4</c:f>
              <c:strCache>
                <c:ptCount val="1"/>
                <c:pt idx="0">
                  <c:v>Veselīgi nodzīvoti mūža gadi, vīrieši</c:v>
                </c:pt>
              </c:strCache>
            </c:strRef>
          </c:tx>
          <c:marker>
            <c:symbol val="square"/>
            <c:size val="5"/>
            <c:spPr>
              <a:solidFill>
                <a:schemeClr val="bg1"/>
              </a:solidFill>
              <a:ln w="3175"/>
            </c:spPr>
          </c:marker>
          <c:dPt>
            <c:idx val="8"/>
            <c:bubble3D val="0"/>
            <c:spPr>
              <a:ln>
                <a:noFill/>
              </a:ln>
            </c:spPr>
          </c:dPt>
          <c:dLbls>
            <c:dLbl>
              <c:idx val="9"/>
              <c:layout>
                <c:manualLayout>
                  <c:x val="-4.298013070715731E-2"/>
                  <c:y val="5.0925925925925923E-2"/>
                </c:manualLayout>
              </c:layout>
              <c:spPr/>
              <c:txPr>
                <a:bodyPr/>
                <a:lstStyle/>
                <a:p>
                  <a:pPr>
                    <a:defRPr sz="800" b="1">
                      <a:solidFill>
                        <a:schemeClr val="tx1">
                          <a:lumMod val="50000"/>
                          <a:lumOff val="50000"/>
                        </a:schemeClr>
                      </a:solidFill>
                    </a:defRPr>
                  </a:pPr>
                  <a:endParaRPr lang="lv-LV"/>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pPr>
                <a:endParaRPr lang="lv-LV"/>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'304'!$C$3:$AB$3</c:f>
              <c:strCache>
                <c:ptCount val="26"/>
                <c:pt idx="0">
                  <c:v>2005</c:v>
                </c:pt>
                <c:pt idx="1">
                  <c:v>2006</c:v>
                </c:pt>
                <c:pt idx="2">
                  <c:v>2007</c:v>
                </c:pt>
                <c:pt idx="3">
                  <c:v>2008</c:v>
                </c:pt>
                <c:pt idx="4">
                  <c:v>2009</c:v>
                </c:pt>
                <c:pt idx="5">
                  <c:v>2010</c:v>
                </c:pt>
                <c:pt idx="6">
                  <c:v>2011</c:v>
                </c:pt>
                <c:pt idx="7">
                  <c:v>2012</c:v>
                </c:pt>
                <c:pt idx="8">
                  <c:v>2013*</c:v>
                </c:pt>
                <c:pt idx="9">
                  <c:v>2014</c:v>
                </c:pt>
                <c:pt idx="10">
                  <c:v>2015</c:v>
                </c:pt>
                <c:pt idx="12">
                  <c:v>2017</c:v>
                </c:pt>
                <c:pt idx="15">
                  <c:v>2020</c:v>
                </c:pt>
                <c:pt idx="25">
                  <c:v>2030</c:v>
                </c:pt>
              </c:strCache>
            </c:strRef>
          </c:cat>
          <c:val>
            <c:numRef>
              <c:f>'304'!$C$4:$AB$4</c:f>
              <c:numCache>
                <c:formatCode>General</c:formatCode>
                <c:ptCount val="26"/>
                <c:pt idx="0">
                  <c:v>50.8</c:v>
                </c:pt>
                <c:pt idx="1">
                  <c:v>50.8</c:v>
                </c:pt>
                <c:pt idx="2">
                  <c:v>51.4</c:v>
                </c:pt>
                <c:pt idx="3">
                  <c:v>51.6</c:v>
                </c:pt>
                <c:pt idx="4">
                  <c:v>52.6</c:v>
                </c:pt>
                <c:pt idx="5">
                  <c:v>53.1</c:v>
                </c:pt>
                <c:pt idx="6">
                  <c:v>53.6</c:v>
                </c:pt>
                <c:pt idx="7">
                  <c:v>54.6</c:v>
                </c:pt>
                <c:pt idx="8">
                  <c:v>51.7</c:v>
                </c:pt>
                <c:pt idx="9">
                  <c:v>51.5</c:v>
                </c:pt>
              </c:numCache>
            </c:numRef>
          </c:val>
          <c:smooth val="0"/>
        </c:ser>
        <c:ser>
          <c:idx val="1"/>
          <c:order val="1"/>
          <c:tx>
            <c:strRef>
              <c:f>'304'!$A$5</c:f>
              <c:strCache>
                <c:ptCount val="1"/>
                <c:pt idx="0">
                  <c:v>Mērķa vērtības, vīrieši</c:v>
                </c:pt>
              </c:strCache>
            </c:strRef>
          </c:tx>
          <c:spPr>
            <a:ln>
              <a:noFill/>
            </a:ln>
          </c:spPr>
          <c:marker>
            <c:symbol val="square"/>
            <c:size val="5"/>
            <c:spPr>
              <a:solidFill>
                <a:srgbClr val="0070C0"/>
              </a:solidFill>
              <a:ln>
                <a:solidFill>
                  <a:srgbClr val="0070C0"/>
                </a:solidFill>
              </a:ln>
            </c:spPr>
          </c:marker>
          <c:dPt>
            <c:idx val="9"/>
            <c:bubble3D val="0"/>
            <c:spPr>
              <a:ln w="22225">
                <a:noFill/>
              </a:ln>
            </c:spPr>
          </c:dPt>
          <c:dLbls>
            <c:dLbl>
              <c:idx val="9"/>
              <c:layout>
                <c:manualLayout>
                  <c:x val="-7.1633237822349575E-3"/>
                  <c:y val="2.7777777777777776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3.1041069723018146E-2"/>
                  <c:y val="3.2407407407407447E-2"/>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2.865329512893983E-2"/>
                  <c:y val="4.1666666666666664E-2"/>
                </c:manualLayout>
              </c:layout>
              <c:showLegendKey val="0"/>
              <c:showVal val="1"/>
              <c:showCatName val="0"/>
              <c:showSerName val="0"/>
              <c:showPercent val="0"/>
              <c:showBubbleSize val="0"/>
              <c:extLst>
                <c:ext xmlns:c15="http://schemas.microsoft.com/office/drawing/2012/chart" uri="{CE6537A1-D6FC-4f65-9D91-7224C49458BB}"/>
              </c:extLst>
            </c:dLbl>
            <c:dLbl>
              <c:idx val="25"/>
              <c:layout>
                <c:manualLayout>
                  <c:x val="-2.148997134670487E-2"/>
                  <c:y val="5.555555555555555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'304'!$C$3:$AB$3</c:f>
              <c:strCache>
                <c:ptCount val="26"/>
                <c:pt idx="0">
                  <c:v>2005</c:v>
                </c:pt>
                <c:pt idx="1">
                  <c:v>2006</c:v>
                </c:pt>
                <c:pt idx="2">
                  <c:v>2007</c:v>
                </c:pt>
                <c:pt idx="3">
                  <c:v>2008</c:v>
                </c:pt>
                <c:pt idx="4">
                  <c:v>2009</c:v>
                </c:pt>
                <c:pt idx="5">
                  <c:v>2010</c:v>
                </c:pt>
                <c:pt idx="6">
                  <c:v>2011</c:v>
                </c:pt>
                <c:pt idx="7">
                  <c:v>2012</c:v>
                </c:pt>
                <c:pt idx="8">
                  <c:v>2013*</c:v>
                </c:pt>
                <c:pt idx="9">
                  <c:v>2014</c:v>
                </c:pt>
                <c:pt idx="10">
                  <c:v>2015</c:v>
                </c:pt>
                <c:pt idx="12">
                  <c:v>2017</c:v>
                </c:pt>
                <c:pt idx="15">
                  <c:v>2020</c:v>
                </c:pt>
                <c:pt idx="25">
                  <c:v>2030</c:v>
                </c:pt>
              </c:strCache>
            </c:strRef>
          </c:cat>
          <c:val>
            <c:numRef>
              <c:f>'304'!$C$5:$AB$5</c:f>
              <c:numCache>
                <c:formatCode>General</c:formatCode>
                <c:ptCount val="26"/>
                <c:pt idx="9">
                  <c:v>54</c:v>
                </c:pt>
                <c:pt idx="12">
                  <c:v>55</c:v>
                </c:pt>
                <c:pt idx="15">
                  <c:v>57</c:v>
                </c:pt>
                <c:pt idx="25">
                  <c:v>60</c:v>
                </c:pt>
              </c:numCache>
            </c:numRef>
          </c:val>
          <c:smooth val="0"/>
        </c:ser>
        <c:ser>
          <c:idx val="2"/>
          <c:order val="2"/>
          <c:tx>
            <c:strRef>
              <c:f>'304'!$A$6</c:f>
              <c:strCache>
                <c:ptCount val="1"/>
                <c:pt idx="0">
                  <c:v>Veselīgi nodzīvoti mūža gadi, sievietes</c:v>
                </c:pt>
              </c:strCache>
            </c:strRef>
          </c:tx>
          <c:spPr>
            <a:ln w="22225">
              <a:solidFill>
                <a:srgbClr val="C00000"/>
              </a:solidFill>
            </a:ln>
          </c:spPr>
          <c:marker>
            <c:symbol val="triangle"/>
            <c:size val="5"/>
            <c:spPr>
              <a:solidFill>
                <a:schemeClr val="bg1"/>
              </a:solidFill>
              <a:ln w="3175">
                <a:solidFill>
                  <a:srgbClr val="C00000"/>
                </a:solidFill>
              </a:ln>
            </c:spPr>
          </c:marker>
          <c:dPt>
            <c:idx val="8"/>
            <c:bubble3D val="0"/>
            <c:spPr>
              <a:ln w="22225">
                <a:noFill/>
              </a:ln>
            </c:spPr>
          </c:dPt>
          <c:dLbls>
            <c:dLbl>
              <c:idx val="9"/>
              <c:layout>
                <c:manualLayout>
                  <c:x val="-4.7755491881566383E-3"/>
                  <c:y val="-9.2596237970253726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1">
                    <a:solidFill>
                      <a:schemeClr val="tx1">
                        <a:lumMod val="50000"/>
                        <a:lumOff val="50000"/>
                      </a:schemeClr>
                    </a:solidFill>
                  </a:defRPr>
                </a:pPr>
                <a:endParaRPr lang="lv-LV"/>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'304'!$C$3:$AB$3</c:f>
              <c:strCache>
                <c:ptCount val="26"/>
                <c:pt idx="0">
                  <c:v>2005</c:v>
                </c:pt>
                <c:pt idx="1">
                  <c:v>2006</c:v>
                </c:pt>
                <c:pt idx="2">
                  <c:v>2007</c:v>
                </c:pt>
                <c:pt idx="3">
                  <c:v>2008</c:v>
                </c:pt>
                <c:pt idx="4">
                  <c:v>2009</c:v>
                </c:pt>
                <c:pt idx="5">
                  <c:v>2010</c:v>
                </c:pt>
                <c:pt idx="6">
                  <c:v>2011</c:v>
                </c:pt>
                <c:pt idx="7">
                  <c:v>2012</c:v>
                </c:pt>
                <c:pt idx="8">
                  <c:v>2013*</c:v>
                </c:pt>
                <c:pt idx="9">
                  <c:v>2014</c:v>
                </c:pt>
                <c:pt idx="10">
                  <c:v>2015</c:v>
                </c:pt>
                <c:pt idx="12">
                  <c:v>2017</c:v>
                </c:pt>
                <c:pt idx="15">
                  <c:v>2020</c:v>
                </c:pt>
                <c:pt idx="25">
                  <c:v>2030</c:v>
                </c:pt>
              </c:strCache>
            </c:strRef>
          </c:cat>
          <c:val>
            <c:numRef>
              <c:f>'304'!$C$6:$AB$6</c:f>
              <c:numCache>
                <c:formatCode>General</c:formatCode>
                <c:ptCount val="26"/>
                <c:pt idx="0">
                  <c:v>53.2</c:v>
                </c:pt>
                <c:pt idx="1">
                  <c:v>52.5</c:v>
                </c:pt>
                <c:pt idx="2">
                  <c:v>54.8</c:v>
                </c:pt>
                <c:pt idx="3">
                  <c:v>54.3</c:v>
                </c:pt>
                <c:pt idx="4">
                  <c:v>56</c:v>
                </c:pt>
                <c:pt idx="5">
                  <c:v>56.4</c:v>
                </c:pt>
                <c:pt idx="6">
                  <c:v>56.6</c:v>
                </c:pt>
                <c:pt idx="7">
                  <c:v>59</c:v>
                </c:pt>
                <c:pt idx="8">
                  <c:v>54.2</c:v>
                </c:pt>
                <c:pt idx="9">
                  <c:v>55.3</c:v>
                </c:pt>
              </c:numCache>
            </c:numRef>
          </c:val>
          <c:smooth val="0"/>
        </c:ser>
        <c:ser>
          <c:idx val="3"/>
          <c:order val="3"/>
          <c:tx>
            <c:strRef>
              <c:f>'304'!$A$7</c:f>
              <c:strCache>
                <c:ptCount val="1"/>
                <c:pt idx="0">
                  <c:v>Mērķa vērtības, sievietes</c:v>
                </c:pt>
              </c:strCache>
            </c:strRef>
          </c:tx>
          <c:spPr>
            <a:ln>
              <a:noFill/>
            </a:ln>
          </c:spPr>
          <c:marker>
            <c:symbol val="triangle"/>
            <c:size val="7"/>
            <c:spPr>
              <a:solidFill>
                <a:srgbClr val="A50021"/>
              </a:solidFill>
              <a:ln>
                <a:solidFill>
                  <a:srgbClr val="A50021"/>
                </a:solidFill>
              </a:ln>
            </c:spPr>
          </c:marker>
          <c:dLbls>
            <c:dLbl>
              <c:idx val="9"/>
              <c:layout>
                <c:manualLayout>
                  <c:x val="-1.193906098413916E-2"/>
                  <c:y val="-2.7777777777777776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3.1041069723018146E-2"/>
                  <c:y val="-4.1666666666666664E-2"/>
                </c:manualLayout>
              </c:layout>
              <c:showLegendKey val="0"/>
              <c:showVal val="1"/>
              <c:showCatName val="0"/>
              <c:showSerName val="0"/>
              <c:showPercent val="0"/>
              <c:showBubbleSize val="0"/>
              <c:extLst>
                <c:ext xmlns:c15="http://schemas.microsoft.com/office/drawing/2012/chart" uri="{CE6537A1-D6FC-4f65-9D91-7224C49458BB}"/>
              </c:extLst>
            </c:dLbl>
            <c:dLbl>
              <c:idx val="15"/>
              <c:layout>
                <c:manualLayout>
                  <c:x val="-3.1041069723018146E-2"/>
                  <c:y val="-4.6296296296296294E-2"/>
                </c:manualLayout>
              </c:layout>
              <c:showLegendKey val="0"/>
              <c:showVal val="1"/>
              <c:showCatName val="0"/>
              <c:showSerName val="0"/>
              <c:showPercent val="0"/>
              <c:showBubbleSize val="0"/>
              <c:extLst>
                <c:ext xmlns:c15="http://schemas.microsoft.com/office/drawing/2012/chart" uri="{CE6537A1-D6FC-4f65-9D91-7224C49458BB}"/>
              </c:extLst>
            </c:dLbl>
            <c:dLbl>
              <c:idx val="25"/>
              <c:layout>
                <c:manualLayout>
                  <c:x val="-2.0684540935869345E-2"/>
                  <c:y val="3.8149752579788844E-2"/>
                </c:manualLayout>
              </c:layout>
              <c:showLegendKey val="0"/>
              <c:showVal val="1"/>
              <c:showCatName val="0"/>
              <c:showSerName val="0"/>
              <c:showPercent val="0"/>
              <c:showBubbleSize val="0"/>
            </c:dLbl>
            <c:spPr>
              <a:noFill/>
              <a:ln>
                <a:noFill/>
              </a:ln>
              <a:effectLst/>
            </c:spPr>
            <c:txPr>
              <a:bodyPr/>
              <a:lstStyle/>
              <a:p>
                <a:pPr>
                  <a:defRPr sz="900" b="1"/>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'304'!$C$3:$AB$3</c:f>
              <c:strCache>
                <c:ptCount val="26"/>
                <c:pt idx="0">
                  <c:v>2005</c:v>
                </c:pt>
                <c:pt idx="1">
                  <c:v>2006</c:v>
                </c:pt>
                <c:pt idx="2">
                  <c:v>2007</c:v>
                </c:pt>
                <c:pt idx="3">
                  <c:v>2008</c:v>
                </c:pt>
                <c:pt idx="4">
                  <c:v>2009</c:v>
                </c:pt>
                <c:pt idx="5">
                  <c:v>2010</c:v>
                </c:pt>
                <c:pt idx="6">
                  <c:v>2011</c:v>
                </c:pt>
                <c:pt idx="7">
                  <c:v>2012</c:v>
                </c:pt>
                <c:pt idx="8">
                  <c:v>2013*</c:v>
                </c:pt>
                <c:pt idx="9">
                  <c:v>2014</c:v>
                </c:pt>
                <c:pt idx="10">
                  <c:v>2015</c:v>
                </c:pt>
                <c:pt idx="12">
                  <c:v>2017</c:v>
                </c:pt>
                <c:pt idx="15">
                  <c:v>2020</c:v>
                </c:pt>
                <c:pt idx="25">
                  <c:v>2030</c:v>
                </c:pt>
              </c:strCache>
            </c:strRef>
          </c:cat>
          <c:val>
            <c:numRef>
              <c:f>'304'!$C$7:$AB$7</c:f>
              <c:numCache>
                <c:formatCode>General</c:formatCode>
                <c:ptCount val="26"/>
                <c:pt idx="9">
                  <c:v>57</c:v>
                </c:pt>
                <c:pt idx="12">
                  <c:v>58</c:v>
                </c:pt>
                <c:pt idx="15">
                  <c:v>60</c:v>
                </c:pt>
                <c:pt idx="25">
                  <c:v>63</c:v>
                </c:pt>
              </c:numCache>
            </c:numRef>
          </c:val>
          <c:smooth val="0"/>
        </c:ser>
        <c:dLbls>
          <c:showLegendKey val="0"/>
          <c:showVal val="0"/>
          <c:showCatName val="0"/>
          <c:showSerName val="0"/>
          <c:showPercent val="0"/>
          <c:showBubbleSize val="0"/>
        </c:dLbls>
        <c:marker val="1"/>
        <c:smooth val="0"/>
        <c:axId val="190167680"/>
        <c:axId val="190197120"/>
      </c:lineChart>
      <c:catAx>
        <c:axId val="190167680"/>
        <c:scaling>
          <c:orientation val="minMax"/>
        </c:scaling>
        <c:delete val="0"/>
        <c:axPos val="b"/>
        <c:numFmt formatCode="General" sourceLinked="1"/>
        <c:majorTickMark val="none"/>
        <c:minorTickMark val="none"/>
        <c:tickLblPos val="nextTo"/>
        <c:txPr>
          <a:bodyPr rot="-5400000" vert="horz"/>
          <a:lstStyle/>
          <a:p>
            <a:pPr>
              <a:defRPr sz="800"/>
            </a:pPr>
            <a:endParaRPr lang="lv-LV"/>
          </a:p>
        </c:txPr>
        <c:crossAx val="190197120"/>
        <c:crosses val="autoZero"/>
        <c:auto val="1"/>
        <c:lblAlgn val="ctr"/>
        <c:lblOffset val="100"/>
        <c:noMultiLvlLbl val="0"/>
      </c:catAx>
      <c:valAx>
        <c:axId val="190197120"/>
        <c:scaling>
          <c:orientation val="minMax"/>
          <c:min val="40"/>
        </c:scaling>
        <c:delete val="0"/>
        <c:axPos val="l"/>
        <c:majorGridlines>
          <c:spPr>
            <a:ln>
              <a:solidFill>
                <a:schemeClr val="bg1">
                  <a:lumMod val="50000"/>
                </a:schemeClr>
              </a:solidFill>
            </a:ln>
          </c:spPr>
        </c:majorGridlines>
        <c:numFmt formatCode="General" sourceLinked="1"/>
        <c:majorTickMark val="none"/>
        <c:minorTickMark val="none"/>
        <c:tickLblPos val="nextTo"/>
        <c:spPr>
          <a:ln w="9525">
            <a:noFill/>
          </a:ln>
        </c:spPr>
        <c:txPr>
          <a:bodyPr/>
          <a:lstStyle/>
          <a:p>
            <a:pPr>
              <a:defRPr sz="900"/>
            </a:pPr>
            <a:endParaRPr lang="lv-LV"/>
          </a:p>
        </c:txPr>
        <c:crossAx val="190167680"/>
        <c:crosses val="autoZero"/>
        <c:crossBetween val="between"/>
      </c:valAx>
      <c:spPr>
        <a:solidFill>
          <a:schemeClr val="bg1"/>
        </a:solidFill>
        <a:ln>
          <a:solidFill>
            <a:schemeClr val="bg1">
              <a:lumMod val="50000"/>
            </a:schemeClr>
          </a:solidFill>
        </a:ln>
      </c:spPr>
    </c:plotArea>
    <c:legend>
      <c:legendPos val="b"/>
      <c:layout/>
      <c:overlay val="0"/>
      <c:spPr>
        <a:noFill/>
      </c:spPr>
      <c:txPr>
        <a:bodyPr/>
        <a:lstStyle/>
        <a:p>
          <a:pPr>
            <a:defRPr sz="900"/>
          </a:pPr>
          <a:endParaRPr lang="lv-LV"/>
        </a:p>
      </c:txPr>
    </c:legend>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2154580677415328E-2"/>
          <c:y val="5.1400554097404488E-2"/>
          <c:w val="0.90045384326959133"/>
          <c:h val="0.68447142023913676"/>
        </c:manualLayout>
      </c:layout>
      <c:lineChart>
        <c:grouping val="standard"/>
        <c:varyColors val="0"/>
        <c:ser>
          <c:idx val="0"/>
          <c:order val="0"/>
          <c:tx>
            <c:strRef>
              <c:f>Sheet1!$D$90</c:f>
              <c:strCache>
                <c:ptCount val="1"/>
                <c:pt idx="0">
                  <c:v>Aizsardzības budžets, % no IKP</c:v>
                </c:pt>
              </c:strCache>
            </c:strRef>
          </c:tx>
          <c:cat>
            <c:numRef>
              <c:f>Sheet1!$C$91:$C$100</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Sheet1!$D$91:$D$100</c:f>
              <c:numCache>
                <c:formatCode>General</c:formatCode>
                <c:ptCount val="10"/>
                <c:pt idx="0">
                  <c:v>1.2</c:v>
                </c:pt>
                <c:pt idx="1">
                  <c:v>1.08</c:v>
                </c:pt>
                <c:pt idx="2">
                  <c:v>1.04</c:v>
                </c:pt>
                <c:pt idx="3">
                  <c:v>0.9</c:v>
                </c:pt>
                <c:pt idx="4">
                  <c:v>0.92</c:v>
                </c:pt>
                <c:pt idx="5">
                  <c:v>0.93</c:v>
                </c:pt>
                <c:pt idx="6">
                  <c:v>1.02</c:v>
                </c:pt>
                <c:pt idx="7">
                  <c:v>1.41</c:v>
                </c:pt>
                <c:pt idx="8">
                  <c:v>1.7</c:v>
                </c:pt>
                <c:pt idx="9">
                  <c:v>2</c:v>
                </c:pt>
              </c:numCache>
            </c:numRef>
          </c:val>
          <c:smooth val="0"/>
        </c:ser>
        <c:dLbls>
          <c:showLegendKey val="0"/>
          <c:showVal val="0"/>
          <c:showCatName val="0"/>
          <c:showSerName val="0"/>
          <c:showPercent val="0"/>
          <c:showBubbleSize val="0"/>
        </c:dLbls>
        <c:marker val="1"/>
        <c:smooth val="0"/>
        <c:axId val="193165568"/>
        <c:axId val="194494464"/>
      </c:lineChart>
      <c:catAx>
        <c:axId val="193165568"/>
        <c:scaling>
          <c:orientation val="minMax"/>
        </c:scaling>
        <c:delete val="0"/>
        <c:axPos val="b"/>
        <c:numFmt formatCode="General" sourceLinked="1"/>
        <c:majorTickMark val="out"/>
        <c:minorTickMark val="none"/>
        <c:tickLblPos val="nextTo"/>
        <c:crossAx val="194494464"/>
        <c:crosses val="autoZero"/>
        <c:auto val="1"/>
        <c:lblAlgn val="ctr"/>
        <c:lblOffset val="100"/>
        <c:noMultiLvlLbl val="0"/>
      </c:catAx>
      <c:valAx>
        <c:axId val="194494464"/>
        <c:scaling>
          <c:orientation val="minMax"/>
          <c:min val="0.8"/>
        </c:scaling>
        <c:delete val="0"/>
        <c:axPos val="l"/>
        <c:majorGridlines/>
        <c:numFmt formatCode="General" sourceLinked="1"/>
        <c:majorTickMark val="out"/>
        <c:minorTickMark val="none"/>
        <c:tickLblPos val="nextTo"/>
        <c:crossAx val="193165568"/>
        <c:crosses val="autoZero"/>
        <c:crossBetween val="between"/>
      </c:valAx>
    </c:plotArea>
    <c:legend>
      <c:legendPos val="r"/>
      <c:layout>
        <c:manualLayout>
          <c:xMode val="edge"/>
          <c:yMode val="edge"/>
          <c:x val="0.32244962057567073"/>
          <c:y val="0.83294964028776974"/>
          <c:w val="0.3194550785754291"/>
          <c:h val="0.13965671557242398"/>
        </c:manualLayout>
      </c:layout>
      <c:overlay val="0"/>
    </c:legend>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0.56496</cdr:x>
      <cdr:y>0.21167</cdr:y>
    </cdr:from>
    <cdr:to>
      <cdr:x>0.64745</cdr:x>
      <cdr:y>0.31028</cdr:y>
    </cdr:to>
    <cdr:cxnSp macro="">
      <cdr:nvCxnSpPr>
        <cdr:cNvPr id="3" name="Straight Connector 2"/>
        <cdr:cNvCxnSpPr/>
      </cdr:nvCxnSpPr>
      <cdr:spPr>
        <a:xfrm xmlns:a="http://schemas.openxmlformats.org/drawingml/2006/main">
          <a:off x="3457576" y="838200"/>
          <a:ext cx="504825" cy="39052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E4F29-9575-4113-AD64-34F1A0841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53</Pages>
  <Words>74194</Words>
  <Characters>42291</Characters>
  <Application>Microsoft Office Word</Application>
  <DocSecurity>0</DocSecurity>
  <Lines>352</Lines>
  <Paragraphs>232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Kārlis Gūtmanis</dc:creator>
  <cp:lastModifiedBy>Pēteris Vilks</cp:lastModifiedBy>
  <cp:revision>19</cp:revision>
  <cp:lastPrinted>2016-11-08T09:41:00Z</cp:lastPrinted>
  <dcterms:created xsi:type="dcterms:W3CDTF">2016-11-09T10:29:00Z</dcterms:created>
  <dcterms:modified xsi:type="dcterms:W3CDTF">2016-11-09T12:58:00Z</dcterms:modified>
</cp:coreProperties>
</file>