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40455" w14:textId="77777777" w:rsidR="0040182C" w:rsidRPr="00575AD6" w:rsidRDefault="0040182C" w:rsidP="0040182C">
      <w:pPr>
        <w:spacing w:before="240" w:after="120" w:line="276" w:lineRule="auto"/>
        <w:jc w:val="center"/>
        <w:rPr>
          <w:b/>
        </w:rPr>
      </w:pPr>
      <w:r w:rsidRPr="00575AD6">
        <w:rPr>
          <w:b/>
        </w:rPr>
        <w:t>INFORMATĪVAIS ZIŅOJUMS</w:t>
      </w:r>
    </w:p>
    <w:p w14:paraId="0816DAB1" w14:textId="77777777" w:rsidR="0040182C" w:rsidRPr="00575AD6" w:rsidRDefault="0040182C" w:rsidP="0040182C">
      <w:pPr>
        <w:pStyle w:val="BodyText"/>
        <w:spacing w:after="120" w:line="276" w:lineRule="auto"/>
        <w:rPr>
          <w:szCs w:val="24"/>
        </w:rPr>
      </w:pPr>
      <w:r w:rsidRPr="00575AD6">
        <w:rPr>
          <w:szCs w:val="24"/>
        </w:rPr>
        <w:t>par Eiropas Savienības Konkurētspējas ministru padomes 2016. gada 28.-29.novembra sanāksmē izskatāmajiem jautājumiem</w:t>
      </w:r>
    </w:p>
    <w:p w14:paraId="6FD07969" w14:textId="77777777" w:rsidR="0040182C" w:rsidRPr="00575AD6" w:rsidRDefault="0040182C" w:rsidP="009D680A">
      <w:pPr>
        <w:pStyle w:val="BodyText"/>
        <w:spacing w:after="120" w:line="276" w:lineRule="auto"/>
        <w:jc w:val="left"/>
        <w:rPr>
          <w:szCs w:val="24"/>
        </w:rPr>
      </w:pPr>
    </w:p>
    <w:p w14:paraId="2BCEAB6E" w14:textId="77777777" w:rsidR="0040182C" w:rsidRPr="00575AD6" w:rsidRDefault="0040182C" w:rsidP="000930AE">
      <w:pPr>
        <w:keepNext/>
        <w:keepLines/>
        <w:spacing w:after="120"/>
        <w:ind w:firstLine="567"/>
        <w:jc w:val="both"/>
      </w:pPr>
      <w:r w:rsidRPr="00575AD6">
        <w:t xml:space="preserve">2016. gada 28.-29.novembrī Briselē (Beļģijā) notiks kārtējā Eiropas Savienības (turpmāk – ES) Konkurētspējas ministru padomes sanāksme iekšējā tirgus un </w:t>
      </w:r>
      <w:r w:rsidRPr="00991A21">
        <w:t xml:space="preserve">rūpniecības jautājumos. Sanāksmē tiks izskatīti šādi Ekonomikas ministrijas (turpmāk – EM), </w:t>
      </w:r>
      <w:r w:rsidR="00804875" w:rsidRPr="00991A21">
        <w:t xml:space="preserve">Kultūras ministrijas (turpmāk – KM), </w:t>
      </w:r>
      <w:r w:rsidRPr="00991A21">
        <w:t>Satiksmes ministrijas (turpmāk – SM) un Tieslietu ministrijas (turpmāk – TM) kompetencē esoši jautājumi:</w:t>
      </w:r>
    </w:p>
    <w:p w14:paraId="32935F39" w14:textId="77777777" w:rsidR="00956C96" w:rsidRPr="00956C96" w:rsidRDefault="00956C96" w:rsidP="00956C96">
      <w:pPr>
        <w:pStyle w:val="PointManual"/>
        <w:numPr>
          <w:ilvl w:val="0"/>
          <w:numId w:val="14"/>
        </w:numPr>
        <w:spacing w:before="360"/>
        <w:jc w:val="both"/>
        <w:rPr>
          <w:b/>
        </w:rPr>
      </w:pPr>
      <w:r w:rsidRPr="00956C96">
        <w:rPr>
          <w:b/>
        </w:rPr>
        <w:t xml:space="preserve">Priekšlikums – Eiropas Parlamenta un Padomes Regula, ar ko novērš ģeogrāfisko bloķēšanu un cita veida diskrimināciju klientu valstspiederības, dzīvesvietas vai uzņēmējdarbības veikšanas vietas dēļ iekšējā tirgū un groza Regulu (EK) Nr. 2006/2004 un Direktīvu 2009/22/EK </w:t>
      </w:r>
      <w:r w:rsidRPr="00956C96">
        <w:rPr>
          <w:b/>
          <w:bCs/>
        </w:rPr>
        <w:t>(pirmais lasījums)</w:t>
      </w:r>
    </w:p>
    <w:p w14:paraId="5AB8D364" w14:textId="37E8D8D3" w:rsidR="00956C96" w:rsidRPr="00C07C95" w:rsidRDefault="00956C96" w:rsidP="00956C96">
      <w:pPr>
        <w:pStyle w:val="DashEqual1"/>
        <w:numPr>
          <w:ilvl w:val="0"/>
          <w:numId w:val="0"/>
        </w:numPr>
        <w:ind w:left="360"/>
        <w:rPr>
          <w:i/>
          <w:lang w:val="lv-LV"/>
        </w:rPr>
      </w:pPr>
      <w:r w:rsidRPr="00C07C95">
        <w:rPr>
          <w:i/>
          <w:lang w:val="lv-LV"/>
        </w:rPr>
        <w:t>= vispārējās pieejas apstiprināšana</w:t>
      </w:r>
      <w:r w:rsidR="009D1B3D" w:rsidRPr="00C07C95">
        <w:rPr>
          <w:i/>
          <w:lang w:val="lv-LV"/>
        </w:rPr>
        <w:t xml:space="preserve"> </w:t>
      </w:r>
    </w:p>
    <w:p w14:paraId="7F927A51" w14:textId="77777777" w:rsidR="00EC545E" w:rsidRDefault="009D1B3D" w:rsidP="007244DD">
      <w:pPr>
        <w:keepNext/>
        <w:keepLines/>
        <w:spacing w:before="240"/>
        <w:ind w:firstLine="360"/>
        <w:jc w:val="both"/>
        <w:rPr>
          <w:color w:val="000000"/>
        </w:rPr>
      </w:pPr>
      <w:r w:rsidRPr="00CC1E86">
        <w:rPr>
          <w:color w:val="000000"/>
        </w:rPr>
        <w:t>Eiropas Komisija</w:t>
      </w:r>
      <w:r w:rsidR="000930AE">
        <w:rPr>
          <w:color w:val="000000"/>
        </w:rPr>
        <w:t xml:space="preserve"> (turpmāk –EK)</w:t>
      </w:r>
      <w:r w:rsidRPr="00CC1E86">
        <w:rPr>
          <w:color w:val="000000"/>
        </w:rPr>
        <w:t xml:space="preserve">, īstenojot </w:t>
      </w:r>
      <w:r w:rsidRPr="00CC1E86">
        <w:rPr>
          <w:i/>
          <w:color w:val="000000"/>
        </w:rPr>
        <w:t>Digitālā vienotā tirgus</w:t>
      </w:r>
      <w:r w:rsidRPr="00CC1E86">
        <w:rPr>
          <w:color w:val="000000"/>
        </w:rPr>
        <w:t xml:space="preserve"> un </w:t>
      </w:r>
      <w:r w:rsidRPr="00CC1E86">
        <w:rPr>
          <w:i/>
          <w:color w:val="000000"/>
        </w:rPr>
        <w:t>Vienotā tirgus stratēģiju</w:t>
      </w:r>
      <w:r w:rsidRPr="00CC1E86">
        <w:rPr>
          <w:color w:val="000000"/>
        </w:rPr>
        <w:t>, ir izstrādājusi trīs virzienu plānu e-komercijas atbalstam, kas paredz novērst ģeogrāfisko bloķēšanu, samazināt pārrobežu pasta sūtījumu piegādes cenas un veicināt to efektivitāti, kā arī, uzlabojot aizsardzību, vairot klientu uzticēšanos pārrobežu darījumiem ES Vienotajā tirgū.</w:t>
      </w:r>
    </w:p>
    <w:p w14:paraId="1997920E" w14:textId="77777777" w:rsidR="00D34733" w:rsidRDefault="009D1B3D" w:rsidP="00D34733">
      <w:pPr>
        <w:shd w:val="clear" w:color="auto" w:fill="FFFFFF"/>
        <w:spacing w:before="60"/>
        <w:ind w:firstLine="360"/>
        <w:jc w:val="both"/>
        <w:rPr>
          <w:color w:val="000000"/>
        </w:rPr>
      </w:pPr>
      <w:r w:rsidRPr="00CC1E86">
        <w:t xml:space="preserve">Šī </w:t>
      </w:r>
      <w:r w:rsidR="000930AE">
        <w:t>EK</w:t>
      </w:r>
      <w:r w:rsidRPr="00CC1E86">
        <w:t xml:space="preserve"> izstrādātā Ģeogrāfiskās bloķēšanas Regulas priekšlikuma mērķis ir, novēršot tiešu un netiešu diskrimināciju, ko īsteno tirgotāji, mākslīgi sadalot tirgu pēc klientu dzīvesvietas, nodrošināt klientiem labāku piekļuvi precēm un pakalpojumiem ES Vienotajā tirgū. Ar šādu atšķirīgu attieksmi klienti saskaras, ne vien iepērkoties tiešsaistē, bet arī ceļojot uz citām ES dalībvalstīm, lai iegādātos preces vai pakalpojumus.</w:t>
      </w:r>
      <w:r w:rsidRPr="00CC1E86">
        <w:rPr>
          <w:color w:val="000000"/>
        </w:rPr>
        <w:t xml:space="preserve"> </w:t>
      </w:r>
    </w:p>
    <w:p w14:paraId="661C1643" w14:textId="34D9B215" w:rsidR="00D34733" w:rsidRDefault="009D1B3D" w:rsidP="00D34733">
      <w:pPr>
        <w:shd w:val="clear" w:color="auto" w:fill="FFFFFF"/>
        <w:spacing w:before="60"/>
        <w:ind w:firstLine="360"/>
        <w:jc w:val="both"/>
        <w:rPr>
          <w:color w:val="000000"/>
        </w:rPr>
      </w:pPr>
      <w:r w:rsidRPr="00CC1E86">
        <w:rPr>
          <w:color w:val="000000"/>
        </w:rPr>
        <w:t>Jaunais regulējums nodrošinās, ka patērētāji, kuri vēlas pirkt preces un pakalpojumus citā ES valstī – gan tiešsaistē, gan personīgi – netiek diskriminēti cenu, tirdzniecības vai maksājumu nosacījumu pieejamības ziņā, ja vien tam nav objektīva pamata</w:t>
      </w:r>
      <w:r w:rsidR="00D34733">
        <w:rPr>
          <w:color w:val="000000"/>
        </w:rPr>
        <w:t>.</w:t>
      </w:r>
    </w:p>
    <w:p w14:paraId="6F65F0F4" w14:textId="77777777" w:rsidR="00D34733" w:rsidRDefault="00D34733" w:rsidP="00D34733">
      <w:pPr>
        <w:shd w:val="clear" w:color="auto" w:fill="FFFFFF"/>
        <w:spacing w:before="60"/>
        <w:ind w:firstLine="360"/>
        <w:jc w:val="both"/>
        <w:rPr>
          <w:color w:val="000000"/>
        </w:rPr>
      </w:pPr>
    </w:p>
    <w:p w14:paraId="09638F9A" w14:textId="77777777" w:rsidR="00D34733" w:rsidRDefault="009D1B3D" w:rsidP="00D34733">
      <w:pPr>
        <w:shd w:val="clear" w:color="auto" w:fill="FFFFFF"/>
        <w:spacing w:before="60"/>
        <w:ind w:firstLine="360"/>
        <w:jc w:val="both"/>
        <w:rPr>
          <w:color w:val="000000"/>
        </w:rPr>
      </w:pPr>
      <w:r w:rsidRPr="009D1B3D">
        <w:rPr>
          <w:b/>
          <w:color w:val="000000"/>
          <w:u w:val="single"/>
        </w:rPr>
        <w:t>Latvijas nostāja:</w:t>
      </w:r>
    </w:p>
    <w:p w14:paraId="779E8397" w14:textId="1CC226F7" w:rsidR="00D34733" w:rsidRDefault="00D34733" w:rsidP="00D34733">
      <w:pPr>
        <w:shd w:val="clear" w:color="auto" w:fill="FFFFFF"/>
        <w:spacing w:before="60"/>
        <w:ind w:firstLine="360"/>
        <w:jc w:val="both"/>
        <w:rPr>
          <w:color w:val="000000"/>
        </w:rPr>
      </w:pPr>
      <w:r w:rsidRPr="009D1B3D">
        <w:t xml:space="preserve">Latvijas </w:t>
      </w:r>
      <w:r>
        <w:t xml:space="preserve">sākotnējā pozīcija ir atspoguļota 2016.gada 21.novembra nacionālajā pozīcijā Nr.2. Latvija kopumā atbalsta vispārējās pieejas </w:t>
      </w:r>
      <w:r w:rsidR="00C07C95">
        <w:t>apstiprināšanu</w:t>
      </w:r>
      <w:r>
        <w:t xml:space="preserve"> par regulas projektu, vienlaikus izsakot nožēlu par vājināto projekta 6.pantu.</w:t>
      </w:r>
    </w:p>
    <w:p w14:paraId="2E8077A5" w14:textId="5F5DA5CC" w:rsidR="00D34733" w:rsidRPr="00D34733" w:rsidRDefault="00D34733" w:rsidP="00D34733">
      <w:pPr>
        <w:shd w:val="clear" w:color="auto" w:fill="FFFFFF"/>
        <w:spacing w:before="60"/>
        <w:ind w:firstLine="360"/>
        <w:jc w:val="both"/>
        <w:rPr>
          <w:color w:val="000000"/>
        </w:rPr>
      </w:pPr>
      <w:r w:rsidRPr="003646AF">
        <w:t>Diskusijās par regulas projektu Latvija vairākkārtēji uzsvēra 6.panta nozīmību regulas projektā. L</w:t>
      </w:r>
      <w:r w:rsidR="00C07C95">
        <w:t>atvija</w:t>
      </w:r>
      <w:r w:rsidRPr="003646AF">
        <w:t xml:space="preserve"> atbalstīja priekšlikuma </w:t>
      </w:r>
      <w:proofErr w:type="spellStart"/>
      <w:r w:rsidRPr="003646AF">
        <w:t>oriģināltekstā</w:t>
      </w:r>
      <w:proofErr w:type="spellEnd"/>
      <w:r w:rsidRPr="003646AF">
        <w:t xml:space="preserve"> piedāvāto 6.panta redakciju, kas paredzēja noteikt, ka ekonomisko operatoru savstarpēji noslēgto līgumu noteikumi, kas ir pretrunā ar šī priekšlikuma prasībām (t.i., ierobežo tirgotāja tiesības pārdot preci patērētājiem no citām dalībvalstīm), nav spēkā.</w:t>
      </w:r>
      <w:r>
        <w:t xml:space="preserve"> </w:t>
      </w:r>
    </w:p>
    <w:p w14:paraId="4AF1925F" w14:textId="77777777" w:rsidR="0040182C" w:rsidRPr="00956C96" w:rsidRDefault="0040182C" w:rsidP="00956C96">
      <w:pPr>
        <w:pStyle w:val="ListParagraph"/>
        <w:keepNext/>
        <w:keepLines/>
        <w:numPr>
          <w:ilvl w:val="0"/>
          <w:numId w:val="14"/>
        </w:numPr>
        <w:spacing w:after="120"/>
        <w:jc w:val="both"/>
        <w:rPr>
          <w:b/>
        </w:rPr>
      </w:pPr>
      <w:r w:rsidRPr="00956C96">
        <w:rPr>
          <w:b/>
        </w:rPr>
        <w:lastRenderedPageBreak/>
        <w:t>Konkurētspējas pārbaude: pašreizējais ekonomiskais stāvoklis</w:t>
      </w:r>
    </w:p>
    <w:p w14:paraId="308923F3" w14:textId="77777777" w:rsidR="0040182C" w:rsidRPr="008B7968" w:rsidRDefault="0040182C" w:rsidP="007244DD">
      <w:pPr>
        <w:keepNext/>
        <w:keepLines/>
        <w:ind w:firstLine="567"/>
        <w:jc w:val="both"/>
        <w:rPr>
          <w:i/>
        </w:rPr>
      </w:pPr>
      <w:r w:rsidRPr="008B7968">
        <w:rPr>
          <w:i/>
        </w:rPr>
        <w:t xml:space="preserve">= Informācija no </w:t>
      </w:r>
      <w:r w:rsidR="000930AE">
        <w:rPr>
          <w:i/>
        </w:rPr>
        <w:t>EK</w:t>
      </w:r>
    </w:p>
    <w:p w14:paraId="1834E82A" w14:textId="77777777" w:rsidR="0040182C" w:rsidRDefault="0040182C" w:rsidP="007244DD">
      <w:pPr>
        <w:keepNext/>
        <w:keepLines/>
        <w:ind w:firstLine="567"/>
        <w:jc w:val="both"/>
        <w:rPr>
          <w:i/>
        </w:rPr>
      </w:pPr>
      <w:r w:rsidRPr="008B7968">
        <w:rPr>
          <w:i/>
        </w:rPr>
        <w:t>= Viedokļu apmaiņa</w:t>
      </w:r>
    </w:p>
    <w:p w14:paraId="40BB404A" w14:textId="77777777" w:rsidR="00851928" w:rsidRPr="008C6633" w:rsidRDefault="00851928" w:rsidP="008475F1">
      <w:pPr>
        <w:pStyle w:val="DashEqual1"/>
        <w:numPr>
          <w:ilvl w:val="0"/>
          <w:numId w:val="0"/>
        </w:numPr>
        <w:spacing w:before="240"/>
        <w:ind w:firstLine="567"/>
        <w:jc w:val="both"/>
        <w:rPr>
          <w:lang w:val="lv-LV"/>
        </w:rPr>
      </w:pPr>
      <w:r w:rsidRPr="008C6633">
        <w:rPr>
          <w:lang w:val="lv-LV"/>
        </w:rPr>
        <w:t>Īstenojot iepriekš ES Padomē lemto attiecībā uz ES Konkurētspējas ministru padomes darba metožu uzlabošanu, 2015.gada otrajā pusē šim nolūkam tika attīstīta t.s. "konkurētspējas pārbaužu"</w:t>
      </w:r>
      <w:r w:rsidRPr="008C6633">
        <w:rPr>
          <w:rStyle w:val="FootnoteReference"/>
          <w:lang w:val="lv-LV"/>
        </w:rPr>
        <w:footnoteReference w:id="1"/>
      </w:r>
      <w:r w:rsidRPr="008C6633">
        <w:rPr>
          <w:lang w:val="lv-LV"/>
        </w:rPr>
        <w:t xml:space="preserve"> pieeja. Konkurētspējas pārbaužu nolūks ir sniegt par ES konkurētspējas jautājumiem atbildīgajiem ministriem aktuālo novērtējumu ekonomisko procesu attīstībā, raugoties no dažādiem konkurētspēju raksturojošiem aspektiem.</w:t>
      </w:r>
    </w:p>
    <w:p w14:paraId="6A9E3717" w14:textId="77777777" w:rsidR="00851928" w:rsidRDefault="00851928" w:rsidP="008475F1">
      <w:pPr>
        <w:keepNext/>
        <w:keepLines/>
        <w:ind w:firstLine="567"/>
        <w:jc w:val="both"/>
      </w:pPr>
      <w:r w:rsidRPr="008C6633">
        <w:t xml:space="preserve">Par konkurētspējas pārbaudes tematisko virzienu šajā sanāksmē Slovākijas prezidentūra sadarbībā ar </w:t>
      </w:r>
      <w:r w:rsidR="000930AE">
        <w:t>EK</w:t>
      </w:r>
      <w:r w:rsidRPr="008C6633">
        <w:t xml:space="preserve"> ir izvēlējusies</w:t>
      </w:r>
      <w:r>
        <w:t xml:space="preserve"> iemaņas un prasmes.</w:t>
      </w:r>
    </w:p>
    <w:p w14:paraId="52B44FE3" w14:textId="77777777" w:rsidR="005F29BE" w:rsidRDefault="005F29BE" w:rsidP="008475F1">
      <w:pPr>
        <w:ind w:firstLine="567"/>
        <w:jc w:val="both"/>
      </w:pPr>
      <w:r>
        <w:t xml:space="preserve">Iemaņas ir aktuāls jautājums, kuram </w:t>
      </w:r>
      <w:r w:rsidR="000930AE">
        <w:t>EK</w:t>
      </w:r>
      <w:r>
        <w:t xml:space="preserve"> ir veltījusi īpašu uzmanību, publicējot Prasmju dienas kārtību</w:t>
      </w:r>
      <w:r>
        <w:rPr>
          <w:rStyle w:val="FootnoteReference"/>
        </w:rPr>
        <w:footnoteReference w:id="2"/>
      </w:r>
      <w:r>
        <w:t xml:space="preserve"> 2016.gada 10.jūnijā.  </w:t>
      </w:r>
    </w:p>
    <w:p w14:paraId="6A698BD5" w14:textId="77777777" w:rsidR="005F29BE" w:rsidRDefault="005F29BE" w:rsidP="008475F1">
      <w:pPr>
        <w:ind w:firstLine="567"/>
        <w:jc w:val="both"/>
      </w:pPr>
      <w:r>
        <w:t xml:space="preserve">Saskaņā ar </w:t>
      </w:r>
      <w:r w:rsidR="000930AE">
        <w:t>EK</w:t>
      </w:r>
      <w:r>
        <w:t xml:space="preserve"> sniegto informāciju ES uzņēmumi saskaras ar izaicinājumiem </w:t>
      </w:r>
      <w:proofErr w:type="spellStart"/>
      <w:r>
        <w:t>rekrutēt</w:t>
      </w:r>
      <w:proofErr w:type="spellEnd"/>
      <w:r>
        <w:t xml:space="preserve"> kompetentu darba spēku ar attiecīgām iemaņām. </w:t>
      </w:r>
      <w:r w:rsidR="000930AE">
        <w:t>EK</w:t>
      </w:r>
      <w:r>
        <w:t xml:space="preserve"> norāda, ka 37% darbaspēka nav pietiekamas digitālās prasmes, bet 13% no darbaspēka digitālo prasmju nav vispār. Vērtējot nākotnes perspektīvas, aktīva uzmanība tiek pievērsta darba tirgus izmaiņām, jo līdz ar </w:t>
      </w:r>
      <w:proofErr w:type="spellStart"/>
      <w:r>
        <w:t>digitalizācijas</w:t>
      </w:r>
      <w:proofErr w:type="spellEnd"/>
      <w:r>
        <w:t xml:space="preserve"> laikmetu, virkne profesiju kļūs mazāk pieprasītas un tiks automatizētas. Vienlaikus EK norāda uz nepieciešamību sekmēt digitālo prasmju stiprināšanu. STEM iemaņas vēl joprojām netiek nodrošinātas saskaņā ar darba tirgus pieprasījumu. Rezultātā EK norāda uz nepieciešamo ilgtermiņa rīcību, lai sekmētu līdzsvarotu pāreju, saskaņā ar pasaules </w:t>
      </w:r>
      <w:proofErr w:type="spellStart"/>
      <w:r>
        <w:t>digitalizācijas</w:t>
      </w:r>
      <w:proofErr w:type="spellEnd"/>
      <w:r>
        <w:t xml:space="preserve"> procesiem. </w:t>
      </w:r>
    </w:p>
    <w:p w14:paraId="6E265872" w14:textId="77777777" w:rsidR="005F29BE" w:rsidRDefault="005F29BE" w:rsidP="008475F1">
      <w:pPr>
        <w:ind w:firstLine="567"/>
        <w:jc w:val="both"/>
      </w:pPr>
      <w:r>
        <w:t xml:space="preserve">Ilustrējot jautājuma aktualitāti un vēsturisko rekomendāciju secību, EK ataino apmācību un iemaņu rekomendāciju īpatsvaru Eiropas semestra rekomendāciju ietvaros, kas norāda uz līdzīgu rekomendāciju tipu lielākajai daļai ES dalībvalstu. Tai skaitā jāmin arī rekomendācijas Latvijai, kas integrētas Eiropas semestra ietvaros 2012.-2016.gada rekomendācijās. </w:t>
      </w:r>
    </w:p>
    <w:p w14:paraId="501C0719" w14:textId="77777777" w:rsidR="00851928" w:rsidRDefault="00851928" w:rsidP="00851928">
      <w:pPr>
        <w:keepNext/>
        <w:keepLines/>
        <w:spacing w:after="120"/>
        <w:jc w:val="both"/>
        <w:rPr>
          <w:i/>
        </w:rPr>
      </w:pPr>
    </w:p>
    <w:p w14:paraId="5E492352" w14:textId="77777777" w:rsidR="00851928" w:rsidRPr="005E1BA4" w:rsidRDefault="005E1BA4" w:rsidP="00851928">
      <w:pPr>
        <w:keepNext/>
        <w:keepLines/>
        <w:spacing w:after="120"/>
        <w:jc w:val="both"/>
        <w:rPr>
          <w:b/>
        </w:rPr>
      </w:pPr>
      <w:r w:rsidRPr="005E1BA4">
        <w:rPr>
          <w:b/>
        </w:rPr>
        <w:t>Latvijas nostāja:</w:t>
      </w:r>
    </w:p>
    <w:p w14:paraId="36DCE771" w14:textId="77777777" w:rsidR="005F29BE" w:rsidRPr="005E1BA4" w:rsidRDefault="005F29BE" w:rsidP="008475F1">
      <w:pPr>
        <w:autoSpaceDE w:val="0"/>
        <w:autoSpaceDN w:val="0"/>
        <w:adjustRightInd w:val="0"/>
        <w:spacing w:before="120"/>
        <w:ind w:firstLine="720"/>
        <w:jc w:val="both"/>
      </w:pPr>
      <w:r w:rsidRPr="005E1BA4">
        <w:t xml:space="preserve">Latvijas izglītības sistēmas reformas kopumā ir vērstas uz labāku iedzīvotāju personīgo, sociālo un profesionālo </w:t>
      </w:r>
      <w:proofErr w:type="spellStart"/>
      <w:r w:rsidRPr="005E1BA4">
        <w:t>pašrealizāciju</w:t>
      </w:r>
      <w:proofErr w:type="spellEnd"/>
      <w:r w:rsidRPr="005E1BA4">
        <w:t>, kur būtisks faktors ir visa veida prasmju pielietojums veiksmīgai integrācijai darba tirgū.</w:t>
      </w:r>
    </w:p>
    <w:p w14:paraId="53A7AE0B" w14:textId="77777777" w:rsidR="005F29BE" w:rsidRPr="005E1BA4" w:rsidRDefault="005F29BE" w:rsidP="008475F1">
      <w:pPr>
        <w:autoSpaceDE w:val="0"/>
        <w:autoSpaceDN w:val="0"/>
        <w:adjustRightInd w:val="0"/>
        <w:spacing w:after="120"/>
        <w:ind w:firstLine="360"/>
        <w:jc w:val="both"/>
        <w:rPr>
          <w:rFonts w:eastAsia="Calibri"/>
        </w:rPr>
      </w:pPr>
      <w:r w:rsidRPr="005E1BA4">
        <w:rPr>
          <w:rFonts w:eastAsia="Calibri"/>
          <w:i/>
        </w:rPr>
        <w:t>Izglītības attīstības pamatnostādnes 2014.-2020.gadam</w:t>
      </w:r>
      <w:r w:rsidRPr="005E1BA4">
        <w:rPr>
          <w:rFonts w:eastAsia="Calibri"/>
        </w:rPr>
        <w:t xml:space="preserve"> </w:t>
      </w:r>
      <w:r w:rsidRPr="005E1BA4">
        <w:t xml:space="preserve">paredz pasākumus, lai nodrošinātu </w:t>
      </w:r>
      <w:r w:rsidRPr="005E1BA4">
        <w:rPr>
          <w:rFonts w:eastAsia="Calibri"/>
        </w:rPr>
        <w:t>kvalitatīvu un iekļaujošu izglītību personības attīstībai, cilvēku labklājībai un ilgtspējīgai valsts izaugsmei. Tādējādi turpinās vairākas izglītības jomas reformas:</w:t>
      </w:r>
    </w:p>
    <w:p w14:paraId="62CCCD96" w14:textId="77777777" w:rsidR="005F29BE" w:rsidRPr="005E1BA4" w:rsidRDefault="005F29BE" w:rsidP="005F29BE">
      <w:pPr>
        <w:pStyle w:val="ListParagraph"/>
        <w:numPr>
          <w:ilvl w:val="0"/>
          <w:numId w:val="5"/>
        </w:numPr>
        <w:autoSpaceDE w:val="0"/>
        <w:autoSpaceDN w:val="0"/>
        <w:adjustRightInd w:val="0"/>
        <w:spacing w:before="120" w:after="120"/>
        <w:contextualSpacing w:val="0"/>
        <w:jc w:val="both"/>
      </w:pPr>
      <w:r w:rsidRPr="005E1BA4">
        <w:t xml:space="preserve">Ar ES struktūrfondu atbalstu IZM turpina </w:t>
      </w:r>
      <w:r w:rsidRPr="005E1BA4">
        <w:rPr>
          <w:b/>
        </w:rPr>
        <w:t>kompetenču pieejā balstīta pamatizglītības standarta satura izstrādi</w:t>
      </w:r>
      <w:r w:rsidRPr="005E1BA4">
        <w:t xml:space="preserve"> (šis standarts noteikts kompetencēs balstītas izglītības jomu, tajā skaitā matemātikā un dabaszinātnēs, apgūstamo saturu, ietverot obligāti apgūstamos mācību priekšmetus un akcentējot daudzveidīgas domāšanas attīstību, ietverot finanšu </w:t>
      </w:r>
      <w:proofErr w:type="spellStart"/>
      <w:r w:rsidRPr="005E1BA4">
        <w:t>pratības</w:t>
      </w:r>
      <w:proofErr w:type="spellEnd"/>
      <w:r w:rsidRPr="005E1BA4">
        <w:t xml:space="preserve"> un ekonomikas jautājumus un </w:t>
      </w:r>
      <w:proofErr w:type="spellStart"/>
      <w:r w:rsidRPr="005E1BA4">
        <w:t>uzņēmējspēju</w:t>
      </w:r>
      <w:proofErr w:type="spellEnd"/>
      <w:r w:rsidRPr="005E1BA4">
        <w:t xml:space="preserve"> attīstīšanas, informācijas tehnoloģiju, saziņas un sadarbības prasmes, kā arī akcentējot </w:t>
      </w:r>
      <w:proofErr w:type="spellStart"/>
      <w:r w:rsidRPr="005E1BA4">
        <w:t>cilvēkdrošību</w:t>
      </w:r>
      <w:proofErr w:type="spellEnd"/>
      <w:r w:rsidRPr="005E1BA4">
        <w:t xml:space="preserve">, aktīvu un veselīgu dzīvesveidu, pašiniciatīvu un jaunradi, sociālās un pilsoniskās prasmes. </w:t>
      </w:r>
      <w:r w:rsidRPr="005E1BA4">
        <w:rPr>
          <w:noProof/>
        </w:rPr>
        <w:t xml:space="preserve">Pēc izveidotā izglītības satura aprobācijas tiks sekmēta pakāpeniska kompetenču pieejā veidota satura </w:t>
      </w:r>
      <w:r w:rsidRPr="005E1BA4">
        <w:rPr>
          <w:noProof/>
        </w:rPr>
        <w:lastRenderedPageBreak/>
        <w:t xml:space="preserve">ieviešana no 1.klases, sākot ar 2018./2019.mācību gadu. </w:t>
      </w:r>
      <w:r w:rsidRPr="005E1BA4">
        <w:t>Līdztekus plānotajām izmaiņām pamatizglītībā, sākot ar 2018.gadu pēctecīgi tiek plānots ieviest izmaiņas valsts vispārējās vidējās izglītības saturā).</w:t>
      </w:r>
    </w:p>
    <w:p w14:paraId="65F7DB6A" w14:textId="77777777" w:rsidR="005F29BE" w:rsidRPr="005E1BA4" w:rsidRDefault="005F29BE" w:rsidP="005F29BE">
      <w:pPr>
        <w:pStyle w:val="ListParagraph"/>
        <w:numPr>
          <w:ilvl w:val="0"/>
          <w:numId w:val="5"/>
        </w:numPr>
        <w:autoSpaceDE w:val="0"/>
        <w:autoSpaceDN w:val="0"/>
        <w:adjustRightInd w:val="0"/>
        <w:spacing w:before="120" w:after="120"/>
        <w:contextualSpacing w:val="0"/>
        <w:jc w:val="both"/>
        <w:rPr>
          <w:iCs/>
        </w:rPr>
      </w:pPr>
      <w:r w:rsidRPr="005E1BA4">
        <w:rPr>
          <w:noProof/>
        </w:rPr>
        <w:t xml:space="preserve">Vienlaikus tiek veicināta </w:t>
      </w:r>
      <w:r w:rsidRPr="005E1BA4">
        <w:rPr>
          <w:b/>
          <w:noProof/>
        </w:rPr>
        <w:t>digitālo mācību līdzekļu izstrāde</w:t>
      </w:r>
      <w:r w:rsidRPr="005E1BA4">
        <w:rPr>
          <w:noProof/>
        </w:rPr>
        <w:t xml:space="preserve">, inovatīvu digitālu mācību saturu izmantojot visos mācību priekšmetos pamata un vidējās izglītības posmā, tajā skaitā, iekļaujošas izglītības īstenošanai, </w:t>
      </w:r>
      <w:r w:rsidRPr="005E1BA4">
        <w:t>nodrošinot</w:t>
      </w:r>
      <w:r w:rsidRPr="005E1BA4">
        <w:rPr>
          <w:noProof/>
        </w:rPr>
        <w:t xml:space="preserve"> to atbilstību pamatizglītības, vispārējās vidējās izglītības valsts standartam un profesionālās izglītības valsts standartam. Ievērojot </w:t>
      </w:r>
      <w:r w:rsidRPr="005E1BA4">
        <w:t>digitālo</w:t>
      </w:r>
      <w:r w:rsidRPr="005E1BA4">
        <w:rPr>
          <w:noProof/>
        </w:rPr>
        <w:t xml:space="preserve"> prasmju nozīmi mūsdienīgajā pasaulē, </w:t>
      </w:r>
      <w:r w:rsidRPr="005E1BA4">
        <w:t>Latvijā tiek piedāvāta to apguve un izmantošana jau sākumskolas posmā.</w:t>
      </w:r>
      <w:r w:rsidRPr="005E1BA4">
        <w:rPr>
          <w:iCs/>
        </w:rPr>
        <w:t xml:space="preserve"> </w:t>
      </w:r>
    </w:p>
    <w:p w14:paraId="70A96F3C" w14:textId="77777777" w:rsidR="005F29BE" w:rsidRPr="005E1BA4" w:rsidRDefault="005F29BE" w:rsidP="005F29BE">
      <w:pPr>
        <w:pStyle w:val="ListParagraph"/>
        <w:numPr>
          <w:ilvl w:val="0"/>
          <w:numId w:val="5"/>
        </w:numPr>
        <w:autoSpaceDE w:val="0"/>
        <w:autoSpaceDN w:val="0"/>
        <w:adjustRightInd w:val="0"/>
        <w:spacing w:before="120" w:after="120"/>
        <w:contextualSpacing w:val="0"/>
        <w:jc w:val="both"/>
        <w:rPr>
          <w:iCs/>
        </w:rPr>
      </w:pPr>
      <w:r w:rsidRPr="005E1BA4">
        <w:rPr>
          <w:iCs/>
        </w:rPr>
        <w:t xml:space="preserve">Lai </w:t>
      </w:r>
      <w:r w:rsidRPr="005E1BA4">
        <w:t>pedagogu</w:t>
      </w:r>
      <w:r w:rsidRPr="005E1BA4">
        <w:rPr>
          <w:iCs/>
        </w:rPr>
        <w:t xml:space="preserve"> profesionālā kvalifikācija ļautu viņiem efektīvi strādāt modernā mācību procesa ietvaros, tajā skaitā, attiecībā uz kompetenču pieejā balstīta izglītības satura ieviešanu un moderno mācību līdzekļu un metožu izmantošanu, tiek nodrošināta </w:t>
      </w:r>
      <w:r w:rsidRPr="005E1BA4">
        <w:rPr>
          <w:b/>
          <w:iCs/>
        </w:rPr>
        <w:t>pedagogu profesionālā pilnveide</w:t>
      </w:r>
      <w:r w:rsidRPr="005E1BA4">
        <w:rPr>
          <w:iCs/>
        </w:rPr>
        <w:t>, sekmējot viņu profesionālās kapacitātes paaugstināšanu.</w:t>
      </w:r>
    </w:p>
    <w:p w14:paraId="2F1D490F" w14:textId="77777777" w:rsidR="005F29BE" w:rsidRPr="005E1BA4" w:rsidRDefault="005F29BE" w:rsidP="005F29BE">
      <w:pPr>
        <w:pStyle w:val="ListParagraph"/>
        <w:numPr>
          <w:ilvl w:val="0"/>
          <w:numId w:val="5"/>
        </w:numPr>
        <w:autoSpaceDE w:val="0"/>
        <w:autoSpaceDN w:val="0"/>
        <w:adjustRightInd w:val="0"/>
        <w:spacing w:before="120" w:after="120"/>
        <w:contextualSpacing w:val="0"/>
        <w:jc w:val="both"/>
      </w:pPr>
      <w:r w:rsidRPr="005E1BA4">
        <w:t xml:space="preserve">Turpinās </w:t>
      </w:r>
      <w:r w:rsidRPr="005E1BA4">
        <w:rPr>
          <w:b/>
        </w:rPr>
        <w:t>profesionālās izglītības satura reforma un darba vidē balstītu mācību pilnveidošana</w:t>
      </w:r>
      <w:r w:rsidRPr="005E1BA4">
        <w:t xml:space="preserve"> (pieņemti vairāki </w:t>
      </w:r>
      <w:r w:rsidRPr="005E1BA4">
        <w:rPr>
          <w:i/>
        </w:rPr>
        <w:t>Profesionālās izglītības likuma</w:t>
      </w:r>
      <w:r w:rsidRPr="005E1BA4">
        <w:t xml:space="preserve"> grozījumi, kas ir vērsti uz iesaistīto pušu ciešāku horizontālu un vertikālu sadarbību, tuvinot izglītības un darba vidi un darba tirgus prasībām atbilstošu prasmju nodrošināšanu, tajā skaitā atbalstot arī darba vidē balstītu mācību īstenošanu. Profesionālās izglītības iestāžu pārvaldības līmenī ir veikti būtiski pasākumi izglītības un darba vides tuvināšanai, tādējādi veicinot profesionālās izglītības ietvaros gatavotā darbaspēka konkurētspēju un prasmju atbilstību darba tirgus pieprasījumam). </w:t>
      </w:r>
    </w:p>
    <w:p w14:paraId="11888C75" w14:textId="77777777" w:rsidR="005F29BE" w:rsidRPr="005E1BA4" w:rsidRDefault="005F29BE" w:rsidP="008475F1">
      <w:pPr>
        <w:autoSpaceDE w:val="0"/>
        <w:autoSpaceDN w:val="0"/>
        <w:adjustRightInd w:val="0"/>
        <w:spacing w:before="120"/>
        <w:ind w:firstLine="360"/>
        <w:jc w:val="both"/>
      </w:pPr>
      <w:r w:rsidRPr="005E1BA4">
        <w:t xml:space="preserve">Ar likumu ir noteikti 2011.gadā ESF projekta ietvaros izveidoto </w:t>
      </w:r>
      <w:r w:rsidRPr="005E1BA4">
        <w:rPr>
          <w:b/>
        </w:rPr>
        <w:t xml:space="preserve">Nozaru ekspertu padomju (NEP) </w:t>
      </w:r>
      <w:r w:rsidRPr="005E1BA4">
        <w:t>darbības mērķi, sekmējot attiecīgās nozares profesionālās izglītības efektivitātes un kvalitātes paaugstināšanu, veicinot valsts un pašvaldību, nozares darba devēju un to apvienību, arodbiedrību un speciālistu sadarbību cilvēkresursu attīstības jautājumos un profesionālās izglītības atbilstību darba tirgus prasībām.</w:t>
      </w:r>
    </w:p>
    <w:p w14:paraId="3E812D56" w14:textId="77777777" w:rsidR="005F29BE" w:rsidRDefault="005F29BE" w:rsidP="008475F1">
      <w:pPr>
        <w:keepNext/>
        <w:keepLines/>
        <w:ind w:firstLine="360"/>
        <w:jc w:val="both"/>
      </w:pPr>
      <w:r>
        <w:t>Papildus esošajām izglītības, tālākizglītības un profesionālās kvalifikācijas celšanas aktivitātēm, jāatzīmē esošās struktūrfondu aktivitātes, kas ir vērstas uz esošā darbaspēka konkurētspējas un kompetences uzlabošanu. Plānotās aktivitātes turpina jau pagājušajā plānošanas periodā aizsāktās apmācību programmas, kurās uzņēmumi var paaugstināt savu darbinieku kompetenci un iemaņas</w:t>
      </w:r>
      <w:r w:rsidR="00F66A05">
        <w:t xml:space="preserve"> IKT jomā, kā arī tehnoloģisko un netehnoloģisko inovāciju ieviešanai</w:t>
      </w:r>
      <w:r>
        <w:t>, lai sekmētu uzņēmuma produktivitātes pieaugumu un starptautisko konkurētspēju.</w:t>
      </w:r>
    </w:p>
    <w:p w14:paraId="7CB504FF" w14:textId="77777777" w:rsidR="005F29BE" w:rsidRDefault="005F29BE" w:rsidP="007244DD">
      <w:pPr>
        <w:keepNext/>
        <w:keepLines/>
        <w:spacing w:after="120"/>
        <w:ind w:firstLine="360"/>
        <w:jc w:val="both"/>
      </w:pPr>
      <w:r>
        <w:t xml:space="preserve">Sekmējot digitālo iemaņu attīstību, jāatzīmē arī uzņēmumu, pašvaldību un citu iestāžu veiktās aktivitātes digitālo iemaņu sekmēšanai, tai skaitā nodrošinot apmācības darba spēka </w:t>
      </w:r>
      <w:proofErr w:type="spellStart"/>
      <w:r>
        <w:t>pārkvalifikācijai</w:t>
      </w:r>
      <w:proofErr w:type="spellEnd"/>
      <w:r>
        <w:t>, pensijas vecuma mērķauditorijas apmācības digitālo rīku lietošanā, kā arī jauniešu intereses sekmēšanā par digitālā laikmeta radītajām iespējām.</w:t>
      </w:r>
    </w:p>
    <w:p w14:paraId="478D92C9" w14:textId="77777777" w:rsidR="005E1BA4" w:rsidRPr="005E1BA4" w:rsidRDefault="005E1BA4" w:rsidP="005E1BA4">
      <w:pPr>
        <w:autoSpaceDE w:val="0"/>
        <w:autoSpaceDN w:val="0"/>
        <w:adjustRightInd w:val="0"/>
        <w:spacing w:before="120" w:after="120"/>
        <w:jc w:val="both"/>
      </w:pPr>
    </w:p>
    <w:p w14:paraId="1D451571" w14:textId="77777777" w:rsidR="0040182C" w:rsidRDefault="0040182C" w:rsidP="00956C96">
      <w:pPr>
        <w:pStyle w:val="ListParagraph"/>
        <w:keepNext/>
        <w:keepLines/>
        <w:numPr>
          <w:ilvl w:val="0"/>
          <w:numId w:val="14"/>
        </w:numPr>
        <w:spacing w:after="120"/>
        <w:jc w:val="both"/>
        <w:rPr>
          <w:b/>
        </w:rPr>
      </w:pPr>
      <w:r w:rsidRPr="008B7968">
        <w:rPr>
          <w:b/>
        </w:rPr>
        <w:t>Vienotais tirgus: gads pēc vienotā tirgus stratēģijas pieņemšanas</w:t>
      </w:r>
    </w:p>
    <w:p w14:paraId="7E546384" w14:textId="77777777" w:rsidR="00956C96" w:rsidRPr="00956C96" w:rsidRDefault="00956C96" w:rsidP="00956C96">
      <w:pPr>
        <w:pStyle w:val="PointManual1"/>
        <w:spacing w:before="120"/>
        <w:ind w:left="360" w:firstLine="0"/>
        <w:rPr>
          <w:b/>
          <w:bCs/>
          <w:i/>
        </w:rPr>
      </w:pPr>
      <w:r w:rsidRPr="00956C96">
        <w:rPr>
          <w:i/>
        </w:rPr>
        <w:t xml:space="preserve">= iepazīstināšana ar </w:t>
      </w:r>
      <w:proofErr w:type="spellStart"/>
      <w:r w:rsidRPr="00956C96">
        <w:rPr>
          <w:i/>
        </w:rPr>
        <w:t>jaunuzņēmumu</w:t>
      </w:r>
      <w:proofErr w:type="spellEnd"/>
      <w:r w:rsidRPr="00956C96">
        <w:rPr>
          <w:i/>
        </w:rPr>
        <w:t xml:space="preserve"> iniciatīvu;</w:t>
      </w:r>
    </w:p>
    <w:p w14:paraId="067ACC7F" w14:textId="77777777" w:rsidR="00956C96" w:rsidRDefault="00956C96" w:rsidP="00956C96">
      <w:pPr>
        <w:keepNext/>
        <w:keepLines/>
        <w:spacing w:after="120"/>
        <w:ind w:left="360"/>
        <w:jc w:val="both"/>
        <w:rPr>
          <w:i/>
        </w:rPr>
      </w:pPr>
      <w:r w:rsidRPr="00956C96">
        <w:rPr>
          <w:i/>
        </w:rPr>
        <w:t>= politikas debates</w:t>
      </w:r>
    </w:p>
    <w:p w14:paraId="3003DC42" w14:textId="77777777" w:rsidR="00BE3DC2" w:rsidRPr="00C07C95" w:rsidRDefault="00BE3DC2" w:rsidP="008475F1">
      <w:pPr>
        <w:pStyle w:val="CommentText"/>
        <w:spacing w:after="0"/>
        <w:ind w:firstLine="360"/>
        <w:jc w:val="both"/>
        <w:rPr>
          <w:sz w:val="24"/>
          <w:szCs w:val="24"/>
          <w:lang w:val="lv-LV"/>
        </w:rPr>
      </w:pPr>
      <w:r w:rsidRPr="00C07C95">
        <w:rPr>
          <w:sz w:val="24"/>
          <w:szCs w:val="24"/>
          <w:lang w:val="lv-LV"/>
        </w:rPr>
        <w:t xml:space="preserve">Taisnīgs un padziļināts Eiropas Savienības Vienotais tirgus ir viens no Eiropas Savienības (turpmāk - ES)  sasniegumiem, kas jau vairāk kā 50 gadus ir palīdzējies </w:t>
      </w:r>
      <w:r w:rsidRPr="00C07C95">
        <w:rPr>
          <w:sz w:val="24"/>
          <w:szCs w:val="24"/>
          <w:lang w:val="lv-LV"/>
        </w:rPr>
        <w:lastRenderedPageBreak/>
        <w:t xml:space="preserve">stiprināt uzņēmēju konkurētspēju, kā arī nodrošinājis patērētājiem iespēju iegādāties plašāku pakalpojumu un preču klāstu par zemākām cenām. </w:t>
      </w:r>
    </w:p>
    <w:p w14:paraId="1F25ABB1" w14:textId="77777777" w:rsidR="00BE3DC2" w:rsidRPr="00C07C95" w:rsidRDefault="00BE3DC2" w:rsidP="008475F1">
      <w:pPr>
        <w:pStyle w:val="CommentText"/>
        <w:spacing w:before="0" w:after="0"/>
        <w:ind w:firstLine="360"/>
        <w:jc w:val="both"/>
        <w:rPr>
          <w:sz w:val="24"/>
          <w:szCs w:val="24"/>
          <w:lang w:val="lv-LV"/>
        </w:rPr>
      </w:pPr>
      <w:r w:rsidRPr="00C07C95">
        <w:rPr>
          <w:sz w:val="24"/>
          <w:szCs w:val="24"/>
          <w:lang w:val="lv-LV"/>
        </w:rPr>
        <w:t xml:space="preserve">Taču, lai arī cik liels progress attiecībā uz ES Vienotā tirgus īstenošanu ir panākts, joprojām uzņēmēji un iedzīvotāji ikdienā saskaras ar dažādiem regulatīviem un neregulatīviem šķēršļiem, kas liedz pilnībā izmantot ES Vienotā tirgus sniegtās priekšrocības, piemēram, pēc </w:t>
      </w:r>
      <w:r w:rsidR="000930AE" w:rsidRPr="00C07C95">
        <w:rPr>
          <w:sz w:val="24"/>
          <w:szCs w:val="24"/>
          <w:lang w:val="lv-LV"/>
        </w:rPr>
        <w:t>EK</w:t>
      </w:r>
      <w:r w:rsidRPr="00C07C95">
        <w:rPr>
          <w:sz w:val="24"/>
          <w:szCs w:val="24"/>
          <w:lang w:val="lv-LV"/>
        </w:rPr>
        <w:t xml:space="preserve"> sniegtajiem aprēķiniem Pakalpojumu direktīvas</w:t>
      </w:r>
      <w:r>
        <w:rPr>
          <w:rStyle w:val="FootnoteReference"/>
        </w:rPr>
        <w:footnoteReference w:id="3"/>
      </w:r>
      <w:r w:rsidRPr="00C07C95">
        <w:rPr>
          <w:sz w:val="24"/>
          <w:szCs w:val="24"/>
          <w:lang w:val="lv-LV"/>
        </w:rPr>
        <w:t xml:space="preserve"> pilnīga īstenošana sniegtu ES IKP papildus 1,8% izaugsmi.</w:t>
      </w:r>
      <w:r>
        <w:rPr>
          <w:rStyle w:val="FootnoteReference"/>
        </w:rPr>
        <w:footnoteReference w:id="4"/>
      </w:r>
      <w:r w:rsidRPr="00C07C95">
        <w:rPr>
          <w:sz w:val="24"/>
          <w:szCs w:val="24"/>
          <w:lang w:val="lv-LV"/>
        </w:rPr>
        <w:t xml:space="preserve"> </w:t>
      </w:r>
    </w:p>
    <w:p w14:paraId="0338655E" w14:textId="77777777" w:rsidR="00BE3DC2" w:rsidRDefault="00BE3DC2" w:rsidP="008475F1">
      <w:pPr>
        <w:pStyle w:val="DashEqual1"/>
        <w:numPr>
          <w:ilvl w:val="0"/>
          <w:numId w:val="0"/>
        </w:numPr>
        <w:ind w:firstLine="567"/>
        <w:jc w:val="both"/>
        <w:rPr>
          <w:lang w:val="lv-LV"/>
        </w:rPr>
      </w:pPr>
      <w:r>
        <w:rPr>
          <w:lang w:val="lv-LV"/>
        </w:rPr>
        <w:t xml:space="preserve">Kā risinājums no </w:t>
      </w:r>
      <w:r w:rsidR="000930AE">
        <w:rPr>
          <w:lang w:val="lv-LV"/>
        </w:rPr>
        <w:t>EK</w:t>
      </w:r>
      <w:r>
        <w:rPr>
          <w:lang w:val="lv-LV"/>
        </w:rPr>
        <w:t xml:space="preserve"> puses sekoja ES Vienotā tirgus stratēģijas</w:t>
      </w:r>
      <w:r>
        <w:rPr>
          <w:rStyle w:val="FootnoteReference"/>
          <w:lang w:val="lv-LV"/>
        </w:rPr>
        <w:footnoteReference w:id="5"/>
      </w:r>
      <w:r>
        <w:rPr>
          <w:lang w:val="lv-LV"/>
        </w:rPr>
        <w:t xml:space="preserve"> izstrāde un publicēšana 2015. gada 28. oktobrī, kuras mērķis, īstenojot vairāk kā 22 iniciatīvas dažādās ES Vienotā tirgus jomās laika posmā no 2016 -2017. gadam, ir veicināt plašāku ES Vienotā tirgus attīstību, sekmējot izaugsmi un nodarbinātību, kā arī īstenojot taisnīgāku un padziļinātāku ES Vienoto tirgu ar stiprinātu rūpniecisko bāzi. </w:t>
      </w:r>
    </w:p>
    <w:p w14:paraId="2595863D" w14:textId="77777777" w:rsidR="00BE3DC2" w:rsidRDefault="00BE3DC2" w:rsidP="008475F1">
      <w:pPr>
        <w:pStyle w:val="DashEqual1"/>
        <w:numPr>
          <w:ilvl w:val="0"/>
          <w:numId w:val="0"/>
        </w:numPr>
        <w:ind w:firstLine="567"/>
        <w:jc w:val="both"/>
        <w:rPr>
          <w:lang w:val="lv-LV"/>
        </w:rPr>
      </w:pPr>
      <w:r>
        <w:rPr>
          <w:lang w:val="lv-LV"/>
        </w:rPr>
        <w:t xml:space="preserve">2016. gada laikā </w:t>
      </w:r>
      <w:r w:rsidR="000930AE">
        <w:rPr>
          <w:lang w:val="lv-LV"/>
        </w:rPr>
        <w:t xml:space="preserve">EK </w:t>
      </w:r>
      <w:r>
        <w:rPr>
          <w:lang w:val="lv-LV"/>
        </w:rPr>
        <w:t>saistībā ar plānotajām iniciatīvām maijā ir publicējusi pirmo leģislatīvo priekšlikumu</w:t>
      </w:r>
      <w:r>
        <w:rPr>
          <w:rStyle w:val="FootnoteReference"/>
          <w:lang w:val="lv-LV"/>
        </w:rPr>
        <w:footnoteReference w:id="6"/>
      </w:r>
      <w:r>
        <w:rPr>
          <w:lang w:val="lv-LV"/>
        </w:rPr>
        <w:t xml:space="preserve">, </w:t>
      </w:r>
      <w:r w:rsidRPr="00976F20">
        <w:rPr>
          <w:lang w:val="lv-LV"/>
        </w:rPr>
        <w:t xml:space="preserve">lai novērstu </w:t>
      </w:r>
      <w:proofErr w:type="spellStart"/>
      <w:r w:rsidRPr="00976F20">
        <w:rPr>
          <w:lang w:val="lv-LV"/>
        </w:rPr>
        <w:t>ģeobloķēšanu</w:t>
      </w:r>
      <w:proofErr w:type="spellEnd"/>
      <w:r w:rsidRPr="00976F20">
        <w:rPr>
          <w:lang w:val="lv-LV"/>
        </w:rPr>
        <w:t xml:space="preserve"> un cita veida diskrimināciju pret patērētājiem valstspiederības vai dzīvesvietas dēļ</w:t>
      </w:r>
      <w:r>
        <w:rPr>
          <w:lang w:val="lv-LV"/>
        </w:rPr>
        <w:t>, kas ir daļa no e-komercijas iniciatīvu paketes</w:t>
      </w:r>
      <w:r>
        <w:rPr>
          <w:rStyle w:val="FootnoteReference"/>
          <w:lang w:val="lv-LV"/>
        </w:rPr>
        <w:footnoteReference w:id="7"/>
      </w:r>
      <w:r>
        <w:rPr>
          <w:lang w:val="lv-LV"/>
        </w:rPr>
        <w:t>. Jūnijā attiecīgi publicētas Standartizācijas iniciatīvu pakete</w:t>
      </w:r>
      <w:r>
        <w:rPr>
          <w:rStyle w:val="FootnoteReference"/>
          <w:lang w:val="lv-LV"/>
        </w:rPr>
        <w:footnoteReference w:id="8"/>
      </w:r>
      <w:r>
        <w:rPr>
          <w:lang w:val="lv-LV"/>
        </w:rPr>
        <w:t>, kas ietver Kopīgu iniciatīvu par standartizācijas jautājumiem un pavaddokumentus ar n</w:t>
      </w:r>
      <w:r w:rsidRPr="00783AEA">
        <w:rPr>
          <w:lang w:val="lv-LV"/>
        </w:rPr>
        <w:t>orādījumi</w:t>
      </w:r>
      <w:r>
        <w:rPr>
          <w:lang w:val="lv-LV"/>
        </w:rPr>
        <w:t>em</w:t>
      </w:r>
      <w:r w:rsidRPr="00783AEA">
        <w:rPr>
          <w:lang w:val="lv-LV"/>
        </w:rPr>
        <w:t xml:space="preserve"> par pakalpojumu standartizāciju</w:t>
      </w:r>
      <w:r>
        <w:rPr>
          <w:lang w:val="lv-LV"/>
        </w:rPr>
        <w:t xml:space="preserve"> un </w:t>
      </w:r>
      <w:r w:rsidRPr="00783AEA">
        <w:rPr>
          <w:lang w:val="lv-LV"/>
        </w:rPr>
        <w:t>Eiropas sadarbības</w:t>
      </w:r>
      <w:r>
        <w:rPr>
          <w:lang w:val="lv-LV"/>
        </w:rPr>
        <w:t xml:space="preserve"> ekonomikas programma</w:t>
      </w:r>
      <w:r>
        <w:rPr>
          <w:rStyle w:val="FootnoteReference"/>
          <w:lang w:val="lv-LV"/>
        </w:rPr>
        <w:footnoteReference w:id="9"/>
      </w:r>
      <w:r>
        <w:rPr>
          <w:lang w:val="lv-LV"/>
        </w:rPr>
        <w:t xml:space="preserve">, kas ietver labās prakses risinājumus un skaidro esošās ES likumdošanas piemērošanu sadarbības ekonomikas platformu piemēros. Vēl novembrī tiks publicēta </w:t>
      </w:r>
      <w:proofErr w:type="spellStart"/>
      <w:r>
        <w:rPr>
          <w:lang w:val="lv-LV"/>
        </w:rPr>
        <w:t>Jaunuzņēmumu</w:t>
      </w:r>
      <w:proofErr w:type="spellEnd"/>
      <w:r>
        <w:rPr>
          <w:lang w:val="lv-LV"/>
        </w:rPr>
        <w:t xml:space="preserve"> iniciatīva, ziņojums, kura mērķis būs veicināt </w:t>
      </w:r>
      <w:proofErr w:type="spellStart"/>
      <w:r>
        <w:rPr>
          <w:lang w:val="lv-LV"/>
        </w:rPr>
        <w:t>jaunuzņēmumu</w:t>
      </w:r>
      <w:proofErr w:type="spellEnd"/>
      <w:r>
        <w:rPr>
          <w:lang w:val="lv-LV"/>
        </w:rPr>
        <w:t xml:space="preserve"> dibināšanu un izaugsmi ES vienotājā tirgū.</w:t>
      </w:r>
    </w:p>
    <w:p w14:paraId="744BA9C0" w14:textId="77777777" w:rsidR="00BE3DC2" w:rsidRDefault="00BE3DC2" w:rsidP="008475F1">
      <w:pPr>
        <w:pStyle w:val="DashEqual1"/>
        <w:numPr>
          <w:ilvl w:val="0"/>
          <w:numId w:val="0"/>
        </w:numPr>
        <w:ind w:firstLine="567"/>
        <w:jc w:val="both"/>
        <w:rPr>
          <w:lang w:val="lv-LV"/>
        </w:rPr>
      </w:pPr>
      <w:r>
        <w:rPr>
          <w:lang w:val="lv-LV"/>
        </w:rPr>
        <w:t xml:space="preserve">Neskatoties uz sasniegto </w:t>
      </w:r>
      <w:r w:rsidR="000930AE">
        <w:rPr>
          <w:lang w:val="lv-LV"/>
        </w:rPr>
        <w:t>EK</w:t>
      </w:r>
      <w:r>
        <w:rPr>
          <w:lang w:val="lv-LV"/>
        </w:rPr>
        <w:t xml:space="preserve"> vēl nav izstrādājusi un publicējusi vairākas iniciatīvas. Līdz 2016 gada beigām vēl tiek plānots publicēt jaunas iniciatīvas pakalpojumu paketes ietvaros, kas ietvers priekšlikumu pakalpojumu sektoru regulējošas likumdošanas paziņošanas procedūras uzlabošanai un pilnveidošanai, priekšlikumu Pakalpojumu kartes iniciatīvai, kura mērķis ir uzlabot pārrobežu nosacījumu pakalpojumu sniegšanā, kā arī iniciatīvas un vadlīnijas attiecībā uz regulētajām profesijām, ka piemēram proporcionalitātes pārbaude, kas būtu piemērojama izstrādājot jaunu likumdošanu regulēto profesiju jomā. </w:t>
      </w:r>
    </w:p>
    <w:p w14:paraId="15BC288F" w14:textId="77777777" w:rsidR="00BE3DC2" w:rsidRPr="00A01F7E" w:rsidRDefault="00BE3DC2" w:rsidP="00BE3DC2">
      <w:pPr>
        <w:pStyle w:val="DashEqual1"/>
        <w:numPr>
          <w:ilvl w:val="0"/>
          <w:numId w:val="0"/>
        </w:numPr>
        <w:spacing w:after="120"/>
        <w:ind w:firstLine="567"/>
        <w:jc w:val="both"/>
        <w:rPr>
          <w:lang w:val="lv-LV"/>
        </w:rPr>
      </w:pPr>
      <w:r>
        <w:rPr>
          <w:lang w:val="lv-LV"/>
        </w:rPr>
        <w:t xml:space="preserve">Pārējās iniciatīvas, kuras paredz ES Vienotā tirgus stratēģija,  </w:t>
      </w:r>
      <w:r w:rsidR="000930AE">
        <w:rPr>
          <w:lang w:val="lv-LV"/>
        </w:rPr>
        <w:t>EK</w:t>
      </w:r>
      <w:r>
        <w:rPr>
          <w:lang w:val="lv-LV"/>
        </w:rPr>
        <w:t xml:space="preserve"> plāno izstrādāt un publicēt 2017. gadā, kā piemēram i</w:t>
      </w:r>
      <w:r w:rsidRPr="007C5E56">
        <w:rPr>
          <w:lang w:val="lv-LV"/>
        </w:rPr>
        <w:t>niciatīvas in</w:t>
      </w:r>
      <w:r>
        <w:rPr>
          <w:lang w:val="lv-LV"/>
        </w:rPr>
        <w:t xml:space="preserve">telektuālā īpašuma tiesību </w:t>
      </w:r>
      <w:r w:rsidRPr="007C5E56">
        <w:rPr>
          <w:lang w:val="lv-LV"/>
        </w:rPr>
        <w:t xml:space="preserve"> regulējuma </w:t>
      </w:r>
      <w:proofErr w:type="spellStart"/>
      <w:r w:rsidRPr="007C5E56">
        <w:rPr>
          <w:lang w:val="lv-LV"/>
        </w:rPr>
        <w:t>mūsdienīgošanai</w:t>
      </w:r>
      <w:proofErr w:type="spellEnd"/>
      <w:r w:rsidRPr="007C5E56">
        <w:rPr>
          <w:lang w:val="lv-LV"/>
        </w:rPr>
        <w:t>, tostarp ES intelektuālā īpašuma tiesību īstenošanas pārskatīšana</w:t>
      </w:r>
      <w:r>
        <w:rPr>
          <w:lang w:val="lv-LV"/>
        </w:rPr>
        <w:t xml:space="preserve">i, iniciatīvas atbilstības un palīdzības paketes ietvaros, kā priekšlikumi Vienotajai digitālajai vārtejai, Vienotajam tirgus informācijas instrumentam un </w:t>
      </w:r>
      <w:r>
        <w:rPr>
          <w:lang w:val="lv-LV"/>
        </w:rPr>
        <w:lastRenderedPageBreak/>
        <w:t>SOLVIT rīcības plānam, kā arī iniciatīvas saistībā ar preču savstarpējo atzīšanu un veicamajiem pasākumiem</w:t>
      </w:r>
      <w:r w:rsidRPr="00501237">
        <w:rPr>
          <w:lang w:val="lv-LV"/>
        </w:rPr>
        <w:t>, kas uzlabotu neatbilstošu ražojumu nepieļaušanu ES tirgū</w:t>
      </w:r>
      <w:r>
        <w:rPr>
          <w:lang w:val="lv-LV"/>
        </w:rPr>
        <w:t xml:space="preserve">. Visbeidzot, plānotas iniciatīvas arī saistībā ar valsts iepirkumu sektora darbības uzlabošanu un </w:t>
      </w:r>
      <w:proofErr w:type="spellStart"/>
      <w:r w:rsidRPr="00A01F7E">
        <w:rPr>
          <w:lang w:val="lv-LV"/>
        </w:rPr>
        <w:t>paraugpraksi</w:t>
      </w:r>
      <w:proofErr w:type="spellEnd"/>
      <w:r w:rsidRPr="00A01F7E">
        <w:rPr>
          <w:lang w:val="lv-LV"/>
        </w:rPr>
        <w:t xml:space="preserve"> attiecībā uz mazumtirdzniecības uzņēmumu dibināšanu</w:t>
      </w:r>
    </w:p>
    <w:p w14:paraId="6E6CA886" w14:textId="77777777" w:rsidR="00BE3DC2" w:rsidRPr="004F7234" w:rsidRDefault="00BE3DC2" w:rsidP="00BE3DC2">
      <w:pPr>
        <w:spacing w:after="120"/>
        <w:ind w:firstLine="567"/>
        <w:jc w:val="both"/>
        <w:rPr>
          <w:b/>
          <w:u w:val="single"/>
        </w:rPr>
      </w:pPr>
      <w:r w:rsidRPr="004F7234">
        <w:rPr>
          <w:b/>
          <w:u w:val="single"/>
        </w:rPr>
        <w:t>Latvijas nostāja:</w:t>
      </w:r>
    </w:p>
    <w:p w14:paraId="598A0DD2" w14:textId="77777777" w:rsidR="00BE3DC2" w:rsidRDefault="00BE3DC2" w:rsidP="00BE3DC2">
      <w:pPr>
        <w:spacing w:after="120"/>
        <w:ind w:left="567"/>
        <w:jc w:val="both"/>
      </w:pPr>
      <w:r w:rsidRPr="008D4796">
        <w:t>Prezidentūra ir sagatavojusi diskusiju jautājumus:</w:t>
      </w:r>
    </w:p>
    <w:p w14:paraId="204115EC" w14:textId="77777777" w:rsidR="00BE3DC2" w:rsidRPr="00BE536A" w:rsidRDefault="00BE3DC2" w:rsidP="00BE3DC2">
      <w:pPr>
        <w:pStyle w:val="ListParagraph"/>
        <w:numPr>
          <w:ilvl w:val="0"/>
          <w:numId w:val="19"/>
        </w:numPr>
        <w:spacing w:after="120"/>
        <w:ind w:left="567" w:hanging="567"/>
        <w:jc w:val="both"/>
        <w:rPr>
          <w:i/>
        </w:rPr>
      </w:pPr>
      <w:r w:rsidRPr="00BE536A">
        <w:rPr>
          <w:i/>
        </w:rPr>
        <w:t>Kā vērtējat līdz šim sasniegto progresu attiecībā uz ES Vienoto tirgus stratēģijas īstenošanu?</w:t>
      </w:r>
    </w:p>
    <w:p w14:paraId="7BF2B009" w14:textId="77777777" w:rsidR="00BE3DC2" w:rsidRPr="00BE536A" w:rsidRDefault="00BE3DC2" w:rsidP="00BE3DC2">
      <w:pPr>
        <w:pStyle w:val="ListParagraph"/>
        <w:numPr>
          <w:ilvl w:val="0"/>
          <w:numId w:val="19"/>
        </w:numPr>
        <w:spacing w:after="120"/>
        <w:ind w:left="567" w:hanging="567"/>
        <w:jc w:val="both"/>
        <w:rPr>
          <w:i/>
        </w:rPr>
      </w:pPr>
      <w:r w:rsidRPr="00BE536A">
        <w:rPr>
          <w:i/>
        </w:rPr>
        <w:t>Kur saskatāt lielāko potenciālu papildus aktivitātēm Vienotajā tirgū, lai no tā iegūtu ES patērētāji un tiktu celta ES rūpnieciskā konkurētspēja?</w:t>
      </w:r>
    </w:p>
    <w:p w14:paraId="2858370B" w14:textId="77777777" w:rsidR="00BE3DC2" w:rsidRPr="00BE536A" w:rsidRDefault="00BE3DC2" w:rsidP="00BE3DC2">
      <w:pPr>
        <w:pStyle w:val="ListParagraph"/>
        <w:numPr>
          <w:ilvl w:val="0"/>
          <w:numId w:val="19"/>
        </w:numPr>
        <w:spacing w:after="120"/>
        <w:ind w:left="567" w:hanging="567"/>
        <w:jc w:val="both"/>
        <w:rPr>
          <w:i/>
        </w:rPr>
      </w:pPr>
      <w:r w:rsidRPr="00BE536A">
        <w:rPr>
          <w:i/>
        </w:rPr>
        <w:t>Kā ES Padome var palīdzēt nodrošināt</w:t>
      </w:r>
      <w:r>
        <w:rPr>
          <w:i/>
        </w:rPr>
        <w:t xml:space="preserve"> strauju un ambiciozu ES V</w:t>
      </w:r>
      <w:r w:rsidRPr="00BE536A">
        <w:rPr>
          <w:i/>
        </w:rPr>
        <w:t>ienotā tirgus stratēģijas ieviešanu?</w:t>
      </w:r>
    </w:p>
    <w:p w14:paraId="5B445884" w14:textId="77777777" w:rsidR="00BE3DC2" w:rsidRDefault="00BE3DC2" w:rsidP="00C46887">
      <w:pPr>
        <w:spacing w:before="120"/>
        <w:ind w:firstLine="567"/>
        <w:jc w:val="both"/>
      </w:pPr>
      <w:r w:rsidRPr="0093369F">
        <w:rPr>
          <w:b/>
        </w:rPr>
        <w:t>Latvija kopumā pozitīvi vērtē un atbalsta ES Vienotā tirgus stratēģijā paredzēto pasākumu kopumu</w:t>
      </w:r>
      <w:r>
        <w:rPr>
          <w:b/>
        </w:rPr>
        <w:t xml:space="preserve"> un sasniegtos rezultātus, taču š</w:t>
      </w:r>
      <w:r>
        <w:t xml:space="preserve">obrīd vēl pāragri spriest par tūlītēju ieguvumu, jo darba grupās norit aktīvs darbs pie pirmajiem </w:t>
      </w:r>
      <w:r w:rsidR="000930AE">
        <w:t>EK</w:t>
      </w:r>
      <w:r>
        <w:t xml:space="preserve"> priekšlikumiem, kur Latvijai svarīgi, lai plānoto pasākumu kopums un priekšlikumu nosacījumi reāli stiprinātu uzņēmēju konkurētspēju, gan Eiropā, gan globālajā tirgū, un netiktu pieņemti pasākumi, kas mazina ES konkurētspēju.</w:t>
      </w:r>
    </w:p>
    <w:p w14:paraId="6804B0A5" w14:textId="77777777" w:rsidR="00BE3DC2" w:rsidRDefault="00BE3DC2" w:rsidP="008475F1">
      <w:pPr>
        <w:ind w:firstLine="567"/>
        <w:jc w:val="both"/>
      </w:pPr>
      <w:r>
        <w:t xml:space="preserve">Vienlaikus Latvijas ieskatā </w:t>
      </w:r>
      <w:r w:rsidRPr="0093369F">
        <w:rPr>
          <w:b/>
        </w:rPr>
        <w:t xml:space="preserve">ir svarīgi panākt </w:t>
      </w:r>
      <w:r>
        <w:t>politikas iniciatīvu saprotamību un vienādu piemērošanu visās ES dalībvalstīs, tādejādi izvairoties no atšķirīgām interpretācijas iespējām, kas varētu  negatīvi ietekmē ES Vienotā tirgus darbību.</w:t>
      </w:r>
    </w:p>
    <w:p w14:paraId="16F98AFA" w14:textId="77777777" w:rsidR="00BE3DC2" w:rsidRDefault="00BE3DC2" w:rsidP="008475F1">
      <w:pPr>
        <w:ind w:firstLine="567"/>
        <w:jc w:val="both"/>
      </w:pPr>
      <w:r>
        <w:t>Latvija vislielāko ieguvumu Vienotā tirgus attīstībā saskata attiecībā uz iniciatīvām pakalpojumu jomas pilnveidošanai un savstarpējās atzīšanas principa ievērošanas uzlabošanai, tai skaitā preču jomā.  Latvijai svarīgi, lai savstarpējās atzīšanas princips tiktu attīstīts un piemērots jomās, kur tas ir visvairāk nepieciešams, lai sekmētu pārrobežu darbību īstenošanu, lai novērstu šķēršļus brīvai preču un pakalpojumu apritei ES, kā arī tiešu vai netiešu diskrimināciju pēc valsts piederības.</w:t>
      </w:r>
    </w:p>
    <w:p w14:paraId="7E5554E9" w14:textId="77777777" w:rsidR="00BE3DC2" w:rsidRDefault="00BE3DC2" w:rsidP="008475F1">
      <w:pPr>
        <w:ind w:firstLine="360"/>
        <w:jc w:val="both"/>
      </w:pPr>
      <w:r>
        <w:t>Attiecībā uz turpmāko procesu</w:t>
      </w:r>
      <w:r w:rsidRPr="00FA01C7">
        <w:rPr>
          <w:i/>
        </w:rPr>
        <w:t xml:space="preserve"> </w:t>
      </w:r>
      <w:r w:rsidRPr="00FA01C7">
        <w:t>ES Vien</w:t>
      </w:r>
      <w:r>
        <w:t xml:space="preserve">otā tirgus stratēģijas ieviešanā Latvija ir atvērta sadarbībai un darbam pie </w:t>
      </w:r>
      <w:r w:rsidR="000930AE">
        <w:t>EK</w:t>
      </w:r>
      <w:r>
        <w:t xml:space="preserve"> priekšlikumu izskatīšanas un vadlīniju ievērošanas nacionālās likumdošanas izstrādē, taču perspektīvā, kad vienlaicīgi norit darbs pie visu priekšlikumu izskatīšanas Padomē, būtu lietderīgi izvērtēt visu publicēto priekšlikumu reālo pienesumu un priekšrocības ES kopējās konkurētspējas celšanai, lai prioritāri virzītu uz apstiprināšanu priekšlikumus ar lielāko pievienoto vērtību.  </w:t>
      </w:r>
    </w:p>
    <w:p w14:paraId="2AA76269" w14:textId="77777777" w:rsidR="00956C96" w:rsidRPr="00956C96" w:rsidRDefault="00956C96" w:rsidP="00956C96">
      <w:pPr>
        <w:pStyle w:val="PointManual"/>
        <w:numPr>
          <w:ilvl w:val="0"/>
          <w:numId w:val="14"/>
        </w:numPr>
        <w:spacing w:before="360"/>
        <w:rPr>
          <w:b/>
        </w:rPr>
      </w:pPr>
      <w:r w:rsidRPr="00956C96">
        <w:rPr>
          <w:b/>
        </w:rPr>
        <w:t>Vienotā patenta sistēmas un Vienotās patenta tiesas īstenošanas pabeigšana un to darbības sākšana</w:t>
      </w:r>
    </w:p>
    <w:p w14:paraId="7277220B" w14:textId="77777777" w:rsidR="00956C96" w:rsidRPr="00956C96" w:rsidRDefault="00956C96" w:rsidP="00956C96">
      <w:pPr>
        <w:keepNext/>
        <w:keepLines/>
        <w:spacing w:after="120"/>
        <w:ind w:left="360"/>
        <w:jc w:val="both"/>
        <w:rPr>
          <w:i/>
        </w:rPr>
      </w:pPr>
      <w:r w:rsidRPr="00956C96">
        <w:rPr>
          <w:i/>
        </w:rPr>
        <w:t xml:space="preserve">= </w:t>
      </w:r>
      <w:r>
        <w:rPr>
          <w:i/>
        </w:rPr>
        <w:t>Viedokļu apmaiņa</w:t>
      </w:r>
    </w:p>
    <w:p w14:paraId="5F620046" w14:textId="77777777" w:rsidR="00956C96" w:rsidRDefault="00956C96" w:rsidP="008475F1">
      <w:pPr>
        <w:ind w:firstLine="360"/>
        <w:jc w:val="both"/>
      </w:pPr>
      <w:r w:rsidRPr="008C6633">
        <w:t xml:space="preserve">Šobrīd Vienotās patentu tiesas Sagatavošanās komitejā notiek gatavošanās tiesas darbības uzsākšanai. Vienotās patentu tiesas izveides nolīgumu ir ratificējušas 11 </w:t>
      </w:r>
      <w:r>
        <w:t>dalīb</w:t>
      </w:r>
      <w:r w:rsidRPr="008C6633">
        <w:t xml:space="preserve">valstis, savukārt, lai tiesa varētu uzsākt savu darbību, vismaz 13 dalībvalstīm (ieskaitot trīs </w:t>
      </w:r>
      <w:r>
        <w:t>dalīb</w:t>
      </w:r>
      <w:r w:rsidRPr="008C6633">
        <w:t>valstis ar lielāko spēkā esošo Eiropas</w:t>
      </w:r>
      <w:r>
        <w:t xml:space="preserve"> patentu skaitu, t.i., Franciju</w:t>
      </w:r>
      <w:r w:rsidRPr="008C6633">
        <w:t>, Vācij</w:t>
      </w:r>
      <w:r>
        <w:t>u</w:t>
      </w:r>
      <w:r w:rsidRPr="008C6633">
        <w:t xml:space="preserve"> un Apvienot</w:t>
      </w:r>
      <w:r>
        <w:t>o</w:t>
      </w:r>
      <w:r w:rsidRPr="008C6633">
        <w:t xml:space="preserve"> Karalisti) ir jābūt ratificējušām Vienotās patentu tiesas izveides nolīgumu.</w:t>
      </w:r>
    </w:p>
    <w:p w14:paraId="4BFF1967" w14:textId="77777777" w:rsidR="00836CEF" w:rsidRDefault="00836CEF" w:rsidP="008475F1">
      <w:pPr>
        <w:ind w:firstLine="360"/>
        <w:jc w:val="both"/>
      </w:pPr>
      <w:r w:rsidRPr="008C6633">
        <w:t xml:space="preserve">Latvija </w:t>
      </w:r>
      <w:r>
        <w:t>tuvākajā laikā</w:t>
      </w:r>
      <w:r w:rsidRPr="008C6633">
        <w:t xml:space="preserve"> varētu ratificēt starptautiskos līgumus "Vienotās patentu tiesas izveides nolīgums" un "Vienotās patentu tiesas Ziemeļvalstu-Baltijas valstu reģionālās nodaļas izveides nolīgums"</w:t>
      </w:r>
      <w:r>
        <w:t xml:space="preserve">, jo likumprojekti par abu iepriekšminēto starptautisko līgumu ratifikāciju š.g. 8.novembrī ir atbalstīti Ministru kabineta sēdē. </w:t>
      </w:r>
      <w:r>
        <w:lastRenderedPageBreak/>
        <w:t>Vienlaikus, šobrīd nav skaidra Apvienotās Karalistes referenduma par izstāšanos no ES ietekme uz Vienotās patentu tiesas sistēmas darbību. Viedokļu apmaiņas mērķis ir saprast Eiropas Savienības dalībvalstu atbalstu iespējamajiem rīcības scenārijiem, lai pēc iespējas drīzāk varētu nodrošināt Vienotās patentu tiesas izveides nolīguma spēkā stāšanos.</w:t>
      </w:r>
    </w:p>
    <w:p w14:paraId="273FC5CF" w14:textId="77777777" w:rsidR="00956C96" w:rsidRDefault="00956C96" w:rsidP="00956C96">
      <w:pPr>
        <w:spacing w:after="120"/>
        <w:ind w:left="360"/>
        <w:jc w:val="both"/>
        <w:rPr>
          <w:b/>
          <w:u w:val="single"/>
        </w:rPr>
      </w:pPr>
      <w:r w:rsidRPr="00956C96">
        <w:rPr>
          <w:b/>
          <w:u w:val="single"/>
        </w:rPr>
        <w:t>Latvijas nostāja:</w:t>
      </w:r>
    </w:p>
    <w:p w14:paraId="14E3C769" w14:textId="77777777" w:rsidR="00836CEF" w:rsidRDefault="00836CEF" w:rsidP="00836CEF">
      <w:pPr>
        <w:spacing w:after="120"/>
        <w:ind w:firstLine="360"/>
        <w:jc w:val="both"/>
        <w:rPr>
          <w:iCs/>
        </w:rPr>
      </w:pPr>
      <w:r w:rsidRPr="005C55C0">
        <w:rPr>
          <w:iCs/>
        </w:rPr>
        <w:t xml:space="preserve">Kopumā Latvija atbalsta savlaicīgu Vienotās patentu tiesas izveides nolīguma spēkā stāšanos. Lai nodrošinātu pēc iespējas plašāku to Eiropas Savienības dalībvalstu loku, kurā Vienotās patentu tiesas izveides nolīgums būs spēkā, Latvija vēlētos sekmēt iespēju, ka Apvienotā Karaliste ratificē Vienotās patentu tiesas nolīgumu 2017.gada sākumā. </w:t>
      </w:r>
    </w:p>
    <w:p w14:paraId="549464CC" w14:textId="5641C078" w:rsidR="00956C96" w:rsidRDefault="00836CEF" w:rsidP="008475F1">
      <w:pPr>
        <w:ind w:firstLine="360"/>
        <w:jc w:val="both"/>
        <w:rPr>
          <w:iCs/>
        </w:rPr>
      </w:pPr>
      <w:r w:rsidRPr="005C55C0">
        <w:rPr>
          <w:iCs/>
        </w:rPr>
        <w:t xml:space="preserve">Vienlaikus, gadījumā, ka Apvienotā Karaliste neredz iespēju ratificēt Vienotās patentu tiesas nolīgumu tuvākajā laikā, Latvijas ieskatā varētu tikt atbalstīta </w:t>
      </w:r>
      <w:r>
        <w:rPr>
          <w:iCs/>
        </w:rPr>
        <w:t xml:space="preserve">Beļģijas, Nīderlandes, Luksemburgas un Zviedrijas delegāciju piedāvātā </w:t>
      </w:r>
      <w:r w:rsidRPr="005C55C0">
        <w:rPr>
          <w:iCs/>
        </w:rPr>
        <w:t xml:space="preserve">vienošanās slēgšana starp līgumslēdzēju valstīm, lai veicinātu Vienotās patentu tiesas izveides nolīguma spēkā stāšanos pēc iespējas drīzāk. </w:t>
      </w:r>
    </w:p>
    <w:p w14:paraId="33819908" w14:textId="77777777" w:rsidR="008475F1" w:rsidRPr="008475F1" w:rsidRDefault="008475F1" w:rsidP="008475F1">
      <w:pPr>
        <w:ind w:firstLine="360"/>
        <w:jc w:val="both"/>
        <w:rPr>
          <w:iCs/>
        </w:rPr>
      </w:pPr>
    </w:p>
    <w:p w14:paraId="5BEBD4B4" w14:textId="77777777" w:rsidR="0040182C" w:rsidRPr="00956C96" w:rsidRDefault="0040182C" w:rsidP="00956C96">
      <w:pPr>
        <w:pStyle w:val="ListParagraph"/>
        <w:numPr>
          <w:ilvl w:val="0"/>
          <w:numId w:val="14"/>
        </w:numPr>
        <w:spacing w:after="120"/>
        <w:jc w:val="both"/>
        <w:rPr>
          <w:b/>
          <w:iCs/>
        </w:rPr>
      </w:pPr>
      <w:r w:rsidRPr="00956C96">
        <w:rPr>
          <w:b/>
          <w:iCs/>
        </w:rPr>
        <w:t>Citi jautājumi:</w:t>
      </w:r>
    </w:p>
    <w:p w14:paraId="014BDB21" w14:textId="77777777" w:rsidR="0040182C" w:rsidRPr="004F7234" w:rsidRDefault="0040182C" w:rsidP="0040182C">
      <w:pPr>
        <w:pStyle w:val="ListParagraph"/>
        <w:spacing w:after="120"/>
        <w:ind w:left="930"/>
        <w:contextualSpacing w:val="0"/>
        <w:jc w:val="both"/>
        <w:rPr>
          <w:b/>
          <w:iCs/>
        </w:rPr>
      </w:pPr>
    </w:p>
    <w:p w14:paraId="56223D61" w14:textId="77777777" w:rsidR="0040182C" w:rsidRPr="00F74BEF" w:rsidRDefault="0040182C" w:rsidP="0040182C">
      <w:pPr>
        <w:pStyle w:val="ListParagraph"/>
        <w:numPr>
          <w:ilvl w:val="0"/>
          <w:numId w:val="2"/>
        </w:numPr>
        <w:spacing w:after="120"/>
        <w:jc w:val="both"/>
        <w:rPr>
          <w:b/>
          <w:iCs/>
        </w:rPr>
      </w:pPr>
      <w:r w:rsidRPr="00F74BEF">
        <w:rPr>
          <w:b/>
          <w:iCs/>
        </w:rPr>
        <w:t>Pašreizējie tiesību aktu priekšlikumi</w:t>
      </w:r>
    </w:p>
    <w:p w14:paraId="7A999B83" w14:textId="77777777" w:rsidR="0040182C" w:rsidRPr="00F74BEF" w:rsidRDefault="0040182C" w:rsidP="0040182C">
      <w:pPr>
        <w:pStyle w:val="ListParagraph"/>
        <w:spacing w:after="120"/>
        <w:ind w:left="1709"/>
        <w:jc w:val="both"/>
        <w:rPr>
          <w:b/>
          <w:iCs/>
        </w:rPr>
      </w:pPr>
      <w:r w:rsidRPr="00F74BEF">
        <w:rPr>
          <w:b/>
          <w:iCs/>
        </w:rPr>
        <w:t>(Atklāta apspriede saskaņā ar 16. pantu (8) Līguma par Eiropas Savienību)</w:t>
      </w:r>
    </w:p>
    <w:p w14:paraId="71EFDDC2" w14:textId="77777777" w:rsidR="0040182C" w:rsidRPr="000930AE" w:rsidRDefault="0040182C" w:rsidP="0040182C">
      <w:pPr>
        <w:pStyle w:val="ListParagraph"/>
        <w:spacing w:after="120"/>
        <w:ind w:left="1709"/>
        <w:jc w:val="both"/>
        <w:rPr>
          <w:i/>
          <w:iCs/>
        </w:rPr>
      </w:pPr>
      <w:r w:rsidRPr="00F74BEF">
        <w:rPr>
          <w:iCs/>
        </w:rPr>
        <w:t xml:space="preserve">i) </w:t>
      </w:r>
      <w:r w:rsidRPr="000930AE">
        <w:rPr>
          <w:i/>
          <w:iCs/>
        </w:rPr>
        <w:t>Priekšlikums Eiropas Parlamenta un Padomes par apstiprināšanu un tirgus uzraudzību mehānisko transportlīdzekļu un to piekabju un, kā arī tādiem transportlīdzekļiem paredzētu sistēmu, sastāvdaļu un atsevišķu tehnisku vienību</w:t>
      </w:r>
    </w:p>
    <w:p w14:paraId="1A1B4E58" w14:textId="77777777" w:rsidR="0040182C" w:rsidRPr="000930AE" w:rsidRDefault="0040182C" w:rsidP="0040182C">
      <w:pPr>
        <w:pStyle w:val="ListParagraph"/>
        <w:spacing w:after="120"/>
        <w:ind w:left="1709"/>
        <w:jc w:val="both"/>
        <w:rPr>
          <w:i/>
          <w:iCs/>
        </w:rPr>
      </w:pPr>
      <w:r w:rsidRPr="000930AE">
        <w:rPr>
          <w:i/>
          <w:iCs/>
        </w:rPr>
        <w:t>= Prezidentvalsts sniegta informācija</w:t>
      </w:r>
    </w:p>
    <w:p w14:paraId="24994AFB" w14:textId="77777777" w:rsidR="003C248D" w:rsidRPr="00D71C8A" w:rsidRDefault="003C248D" w:rsidP="008475F1">
      <w:pPr>
        <w:ind w:firstLine="720"/>
        <w:jc w:val="both"/>
        <w:rPr>
          <w:szCs w:val="28"/>
        </w:rPr>
      </w:pPr>
      <w:r w:rsidRPr="00D71C8A">
        <w:rPr>
          <w:szCs w:val="28"/>
        </w:rPr>
        <w:t xml:space="preserve">Regulas projekta mērķis ir pārskatīt mehānisko transportlīdzekļu un to piekabju tipa apstiprināšanas tiesisko regulējumu, prioritāri pārskatot Pamatdirektīvu galveno uzmanību pievēršot </w:t>
      </w:r>
      <w:r w:rsidR="000930AE">
        <w:rPr>
          <w:szCs w:val="28"/>
        </w:rPr>
        <w:t>t</w:t>
      </w:r>
      <w:r w:rsidRPr="00D71C8A">
        <w:rPr>
          <w:szCs w:val="28"/>
        </w:rPr>
        <w:t>ādiem aspektiem, kā tirgus uzraudzības noteikumu ieviešana, lai papildinātu tipa apstiprināšanas prasības; atsaukšanas un aizsardzības procedūru precizēšana, kā arī to nosacījumu precizēšana, kas jāievēro, piešķirot paplašinājumus apstiprinājumiem, kas izsniegti esošiem transportlīdzekļu tipiem; tipa apstiprināšanas regulējuma izpildes uzlabošana, saskaņojot un uzlabojot tipa apstiprināšanas un ražošanas atbilstības nodrošināšanas procedūras, ko piemēro dalībvalstu iestādes un tehniskie dienesti u.c. aspekti.</w:t>
      </w:r>
    </w:p>
    <w:p w14:paraId="27DE3DD3" w14:textId="6E746F31" w:rsidR="003C248D" w:rsidRPr="00D71C8A" w:rsidRDefault="003C248D" w:rsidP="008475F1">
      <w:pPr>
        <w:ind w:firstLine="720"/>
        <w:jc w:val="both"/>
        <w:rPr>
          <w:iCs/>
        </w:rPr>
      </w:pPr>
      <w:r w:rsidRPr="00D71C8A">
        <w:rPr>
          <w:szCs w:val="28"/>
        </w:rPr>
        <w:t xml:space="preserve">Latvija pieņem zināšanai SK PRES sniegto informāciju par jautājuma virzību Tehniskās harmonizācijas jautājumu darba grupās. Vienlaikus jāatzīmē, ka neskatoties uz diskusijām  joprojām aktuāli ir virkne Latvijas identificētie </w:t>
      </w:r>
      <w:proofErr w:type="spellStart"/>
      <w:r w:rsidRPr="00D71C8A">
        <w:rPr>
          <w:szCs w:val="28"/>
        </w:rPr>
        <w:t>problēmjautājumi</w:t>
      </w:r>
      <w:proofErr w:type="spellEnd"/>
      <w:r w:rsidRPr="00D71C8A">
        <w:rPr>
          <w:szCs w:val="28"/>
        </w:rPr>
        <w:t xml:space="preserve"> (saskaņā ar </w:t>
      </w:r>
      <w:r w:rsidR="00444749">
        <w:rPr>
          <w:szCs w:val="28"/>
        </w:rPr>
        <w:t xml:space="preserve">12.04.2016. Ministru kabinetā apstiprināto </w:t>
      </w:r>
      <w:r w:rsidR="00444749" w:rsidRPr="00935F49">
        <w:rPr>
          <w:szCs w:val="28"/>
        </w:rPr>
        <w:t>Pozīciju Nr.1 “</w:t>
      </w:r>
      <w:r w:rsidR="00444749" w:rsidRPr="001D66EE">
        <w:t>Priekšlikums Eiropas Parlamenta un Padomes Regulai</w:t>
      </w:r>
      <w:r w:rsidR="00444749" w:rsidRPr="00935F49">
        <w:t xml:space="preserve"> </w:t>
      </w:r>
      <w:r w:rsidR="00444749" w:rsidRPr="001D66EE">
        <w:t>par mehānisko transportlīdzekļu un to piekabju, kā arī tādiem transportlīdzekļiem paredzētu sistēmu, sastāvdaļu un atsevišķu tehnisku vienību apstiprināšanu un tirgus uzraudzību”</w:t>
      </w:r>
      <w:r w:rsidRPr="00D71C8A">
        <w:rPr>
          <w:szCs w:val="28"/>
        </w:rPr>
        <w:t>), par kuriem būs nepieciešams rast risinājumu.</w:t>
      </w:r>
    </w:p>
    <w:p w14:paraId="13F69BCD" w14:textId="77777777" w:rsidR="003C248D" w:rsidRDefault="003C248D" w:rsidP="0040182C">
      <w:pPr>
        <w:pStyle w:val="ListParagraph"/>
        <w:spacing w:after="120"/>
        <w:ind w:left="1709"/>
        <w:jc w:val="both"/>
        <w:rPr>
          <w:iCs/>
        </w:rPr>
      </w:pPr>
    </w:p>
    <w:p w14:paraId="76C3BA45" w14:textId="77777777" w:rsidR="0040182C" w:rsidRPr="000930AE" w:rsidRDefault="0040182C" w:rsidP="0040182C">
      <w:pPr>
        <w:pStyle w:val="ListParagraph"/>
        <w:spacing w:after="120"/>
        <w:ind w:left="1709"/>
        <w:jc w:val="both"/>
        <w:rPr>
          <w:i/>
          <w:iCs/>
        </w:rPr>
      </w:pPr>
      <w:r w:rsidRPr="00F74BEF">
        <w:rPr>
          <w:iCs/>
        </w:rPr>
        <w:lastRenderedPageBreak/>
        <w:t xml:space="preserve">ii) </w:t>
      </w:r>
      <w:r w:rsidRPr="000930AE">
        <w:rPr>
          <w:i/>
          <w:iCs/>
        </w:rPr>
        <w:t>(</w:t>
      </w:r>
      <w:proofErr w:type="spellStart"/>
      <w:r w:rsidRPr="000930AE">
        <w:rPr>
          <w:i/>
          <w:iCs/>
        </w:rPr>
        <w:t>iesp</w:t>
      </w:r>
      <w:proofErr w:type="spellEnd"/>
      <w:r w:rsidRPr="000930AE">
        <w:rPr>
          <w:i/>
          <w:iCs/>
        </w:rPr>
        <w:t>.) Priekšlikums Eiropas Parlamenta un Padomes regulai par sadarbību starp valstu iestādēm, kas atbildīgas par tiesību aktu īstenošanu patērētāju tiesību aizsardzības jomā</w:t>
      </w:r>
      <w:r w:rsidR="003C248D" w:rsidRPr="000930AE">
        <w:rPr>
          <w:i/>
          <w:iCs/>
        </w:rPr>
        <w:t xml:space="preserve"> (turpmāk- CPC)</w:t>
      </w:r>
    </w:p>
    <w:p w14:paraId="4DCDEF1D" w14:textId="77777777" w:rsidR="0040182C" w:rsidRPr="000930AE" w:rsidRDefault="0040182C" w:rsidP="0040182C">
      <w:pPr>
        <w:pStyle w:val="ListParagraph"/>
        <w:spacing w:after="120"/>
        <w:ind w:left="1709"/>
        <w:jc w:val="both"/>
        <w:rPr>
          <w:i/>
          <w:iCs/>
        </w:rPr>
      </w:pPr>
      <w:r w:rsidRPr="000930AE">
        <w:rPr>
          <w:i/>
          <w:iCs/>
        </w:rPr>
        <w:t>= Prezidentvalsts sniegta informācija</w:t>
      </w:r>
    </w:p>
    <w:p w14:paraId="705B03B9" w14:textId="77777777" w:rsidR="003C248D" w:rsidRPr="000930AE" w:rsidRDefault="003C248D" w:rsidP="008475F1">
      <w:pPr>
        <w:spacing w:before="240"/>
        <w:ind w:firstLine="720"/>
        <w:jc w:val="both"/>
        <w:rPr>
          <w:iCs/>
        </w:rPr>
      </w:pPr>
      <w:r w:rsidRPr="000930AE">
        <w:rPr>
          <w:iCs/>
        </w:rPr>
        <w:t>11.novembra Padomes Patērētāju aizsardzības un informēšanas darba grupā tika izskatīts pirmais prezidentūras kompromisa priekšlikums. Prezidentūra plāno turpināt darbu pie priekšlikuma ekspertu līmeņa darba grupās.</w:t>
      </w:r>
    </w:p>
    <w:p w14:paraId="28D68BA8" w14:textId="5CC43AF8" w:rsidR="003C248D" w:rsidRPr="008475F1" w:rsidRDefault="003C248D" w:rsidP="008475F1">
      <w:pPr>
        <w:ind w:firstLine="720"/>
        <w:jc w:val="both"/>
        <w:rPr>
          <w:iCs/>
        </w:rPr>
      </w:pPr>
      <w:r w:rsidRPr="000930AE">
        <w:rPr>
          <w:b/>
          <w:iCs/>
        </w:rPr>
        <w:t>Latvija kopumā atbalsta regulas projektu</w:t>
      </w:r>
      <w:r w:rsidRPr="000930AE">
        <w:rPr>
          <w:iCs/>
        </w:rPr>
        <w:t xml:space="preserve">, kas paredz nosacījumus par dalībvalstu kompetento iestāžu savstarpējo sadarbību, kas atbildīgas par tiesību aktu īstenošanu patērētāju tiesību aizsardzības jomā. </w:t>
      </w:r>
      <w:r w:rsidRPr="000930AE">
        <w:rPr>
          <w:b/>
          <w:iCs/>
        </w:rPr>
        <w:t>Latvijai īpaši atbalsta priekšlikumā ietvertās kompetento iestāžu pilnvaras</w:t>
      </w:r>
      <w:r w:rsidRPr="000930AE">
        <w:rPr>
          <w:iCs/>
        </w:rPr>
        <w:t>, kas sniegs nozīmīgu ieguldījumu patērētāju ekonomisko interešu aizsardzībai pārrobežu darījumos. Vienlaikus Latvija uzskata, ka nepieciešams turpināt darbu pie priekšlikuma, pilnveidojot tajā ietverto savstarpējās sadarbības mehānismus, ņemot vērā pieredzi, kas gūta piemērojot līdzšinējo CPC regulējumu un konstatētajām problēmām iestāžu savstarpējā sadarbībā, kas noved pie novēlotiem, vai neatrisinātiem pārkāpumiem pārrobežu darījumos.</w:t>
      </w:r>
    </w:p>
    <w:p w14:paraId="49B87217" w14:textId="77777777" w:rsidR="0040182C" w:rsidRDefault="0040182C" w:rsidP="0040182C">
      <w:pPr>
        <w:pStyle w:val="ListParagraph"/>
        <w:spacing w:after="120"/>
        <w:ind w:left="1709"/>
        <w:jc w:val="both"/>
        <w:rPr>
          <w:b/>
          <w:iCs/>
        </w:rPr>
      </w:pPr>
    </w:p>
    <w:p w14:paraId="43FDAFD3" w14:textId="77777777" w:rsidR="0040182C" w:rsidRDefault="000930AE" w:rsidP="0040182C">
      <w:pPr>
        <w:pStyle w:val="ListParagraph"/>
        <w:numPr>
          <w:ilvl w:val="0"/>
          <w:numId w:val="2"/>
        </w:numPr>
        <w:spacing w:after="120"/>
        <w:jc w:val="both"/>
        <w:rPr>
          <w:b/>
          <w:iCs/>
        </w:rPr>
      </w:pPr>
      <w:r>
        <w:rPr>
          <w:b/>
          <w:iCs/>
        </w:rPr>
        <w:t>EK</w:t>
      </w:r>
      <w:r w:rsidR="0040182C" w:rsidRPr="00F74BEF">
        <w:rPr>
          <w:b/>
          <w:iCs/>
        </w:rPr>
        <w:t xml:space="preserve"> paziņojums par dažiem pantiem Direktīvas 98/44 / EK par tiesisko aizsardzību biotehnoloģijā izgudrojumu</w:t>
      </w:r>
    </w:p>
    <w:p w14:paraId="764F18D3" w14:textId="77777777" w:rsidR="0040182C" w:rsidRDefault="0040182C" w:rsidP="0040182C">
      <w:pPr>
        <w:pStyle w:val="ListParagraph"/>
        <w:spacing w:line="276" w:lineRule="auto"/>
        <w:ind w:left="1709"/>
        <w:jc w:val="both"/>
      </w:pPr>
      <w:r>
        <w:t xml:space="preserve">= </w:t>
      </w:r>
      <w:r w:rsidR="000930AE">
        <w:t>EK</w:t>
      </w:r>
      <w:r>
        <w:t xml:space="preserve"> sniegta informācija</w:t>
      </w:r>
    </w:p>
    <w:p w14:paraId="1962BFDE" w14:textId="77777777" w:rsidR="00836CEF" w:rsidRDefault="00836CEF" w:rsidP="00836CEF">
      <w:pPr>
        <w:ind w:firstLine="720"/>
        <w:jc w:val="both"/>
      </w:pPr>
      <w:r>
        <w:t>Pašreiz aktuālās problēmas saistībā ar šo direktīvu attiecas uz attiecībām starp jaunu augu šķirņu tiesībām (selekcionāru tiesībām) un patentiem uz augiem. Kaut arī Eiropas patentu konvencijas 53.panta b) daļa paredz, ka  selekcijas metodes, ar kurām augi (ne konkrētas šķirnes) ir iegūti, nav patentējamas, Eiropas Patentu organizācijas Paplašinātā Apelācijas padome, kas veic Eiropas patentu konvencijas normu interpretāciju, praktizē, ka paši augi, kas iegūti ar selekcijas metodēm, ir patentējami. Tādējādi tiek apdraudētas selekcionāru tiesības gan radīt jaunas šķirnes, gan pavairot esošās, jo par to var draudēt tiesvedības par patentu pārkāpumiem.</w:t>
      </w:r>
    </w:p>
    <w:p w14:paraId="2C2D9C70" w14:textId="3DB239C5" w:rsidR="00C07C95" w:rsidRPr="00765250" w:rsidRDefault="00836CEF" w:rsidP="00765250">
      <w:pPr>
        <w:ind w:firstLine="720"/>
        <w:jc w:val="both"/>
      </w:pPr>
      <w:r>
        <w:t xml:space="preserve">Pret šādu patentu tiesību interpretāciju iebilst daudzas selekcijas jomā strādājošas kompānijas un NVO (šādas organizācijas un kompānijas sevišķi spēcīgas ir Vācijā, Francijā, Nīderlandē un dažās citās Eiropas valstīs). Turklāt pēdējos gados dažas valstis (Vācija, Nīderlande, Francija) ir mainījušas savus nacionālos likumus, iekļaujot tajos normu par to, ka arī augi, kas iegūti ar selekcijas metodēm, nav patentējami. Citas ES dalībvalstis šajā jomā būtiskas problēmas nesaskata, jo tajās šādu patentu nav, selekcionāru bizness nav nozīmīgs, nav šādu NVO. </w:t>
      </w:r>
    </w:p>
    <w:p w14:paraId="0758CB5B" w14:textId="6CD748FB" w:rsidR="00C07C95" w:rsidRPr="00C07C95" w:rsidRDefault="00C07C95" w:rsidP="00C07C95">
      <w:pPr>
        <w:spacing w:after="120"/>
        <w:ind w:firstLine="567"/>
        <w:rPr>
          <w:b/>
          <w:u w:val="single"/>
        </w:rPr>
      </w:pPr>
      <w:r w:rsidRPr="00CF4B47">
        <w:rPr>
          <w:b/>
          <w:u w:val="single"/>
        </w:rPr>
        <w:t>Latvijas nostāja:</w:t>
      </w:r>
    </w:p>
    <w:p w14:paraId="25A3BAD7" w14:textId="77777777" w:rsidR="00836CEF" w:rsidRDefault="00836CEF" w:rsidP="00765250">
      <w:pPr>
        <w:ind w:firstLine="567"/>
        <w:jc w:val="both"/>
      </w:pPr>
      <w:r>
        <w:t>Norādāms, ka arī Latvijā šādu patentu nav. Latvijā selekcionāru darbība kā uzņēmējdarbības veids nav īpaši attīstīts, šajā nozarē darbojas zinātniskās institūcijas un privātpersonas. Līdz ar to līdz šim Latvijā nav bijusi prakse ar šādiem patentiem. Tomēr varētu piekrist citu valstu izteiktajam viedoklim, ka Eiropas Patentu organizācijas Paplašinātā Apelācijas padomei vajadzētu izvērtēt savu lēmumu ne tikai no formāla juridisko normu interpretācijas aspekta, bet arī no tautsaimnieciskā (sekas, kas rodas ekonomikā, bioloģiskajā daudzveidībā) un tehniskā (kas bez šķirnes vēl var būt selekcijas procesa rezultāts, vai šāds paņēmiens atbilst rūpnieciskās izmantošanas kritērijam) viedokļa.</w:t>
      </w:r>
    </w:p>
    <w:p w14:paraId="53785B6D" w14:textId="45FE0929" w:rsidR="0040182C" w:rsidRDefault="00836CEF" w:rsidP="00765250">
      <w:pPr>
        <w:ind w:firstLine="720"/>
        <w:jc w:val="both"/>
      </w:pPr>
      <w:r>
        <w:t>Vienlaikus, norādāms, ka Latvijai nav īpašu iebildumu pret biotehnoloģijas direktīvas grozīšanu vai citām aktivitātēm, kas ieviestu lielāku skaidrību par selekcionāru tiesību un patentu tiesību ietekmes sfēru.</w:t>
      </w:r>
    </w:p>
    <w:p w14:paraId="4B583957" w14:textId="77777777" w:rsidR="00CF4B47" w:rsidRPr="001500F9" w:rsidRDefault="00CF4B47" w:rsidP="00CF4B47">
      <w:pPr>
        <w:pStyle w:val="ListParagraph"/>
        <w:numPr>
          <w:ilvl w:val="0"/>
          <w:numId w:val="2"/>
        </w:numPr>
        <w:jc w:val="both"/>
        <w:rPr>
          <w:b/>
        </w:rPr>
      </w:pPr>
      <w:r w:rsidRPr="001500F9">
        <w:rPr>
          <w:b/>
          <w:iCs/>
        </w:rPr>
        <w:lastRenderedPageBreak/>
        <w:t>Mazo un vidējo uzņēmumu (turpmāk MVU) vēstnieku 2016 ziņojums ES Konkurētspējas padomei</w:t>
      </w:r>
    </w:p>
    <w:p w14:paraId="129CA928" w14:textId="77777777" w:rsidR="00CF4B47" w:rsidRPr="00CF4B47" w:rsidRDefault="00CF4B47" w:rsidP="00CF4B47">
      <w:pPr>
        <w:pStyle w:val="ListParagraph"/>
        <w:spacing w:after="120"/>
        <w:ind w:left="1196" w:firstLine="153"/>
        <w:contextualSpacing w:val="0"/>
        <w:jc w:val="both"/>
        <w:rPr>
          <w:b/>
          <w:i/>
        </w:rPr>
      </w:pPr>
      <w:r w:rsidRPr="00CF4B47">
        <w:rPr>
          <w:b/>
          <w:i/>
          <w:iCs/>
        </w:rPr>
        <w:t xml:space="preserve">= </w:t>
      </w:r>
      <w:r w:rsidRPr="00CF4B47">
        <w:rPr>
          <w:i/>
          <w:iCs/>
        </w:rPr>
        <w:t xml:space="preserve">EK un MVU vēstnieku sniegta </w:t>
      </w:r>
      <w:r w:rsidRPr="00CF4B47">
        <w:rPr>
          <w:i/>
        </w:rPr>
        <w:t>informācija</w:t>
      </w:r>
    </w:p>
    <w:p w14:paraId="1F122240" w14:textId="77777777" w:rsidR="00CF4B47" w:rsidRPr="00CF4B47" w:rsidRDefault="00CF4B47" w:rsidP="00CF4B47">
      <w:pPr>
        <w:spacing w:after="120"/>
        <w:ind w:firstLine="567"/>
        <w:jc w:val="both"/>
      </w:pPr>
      <w:r w:rsidRPr="00CF4B47">
        <w:t>ES Konkurētspējas ministru padome 2013.gada septembrī nolēma, ka jāuzlabo MVU politikas uzraudzība un aicināja MVU vēstniekus regulāri ziņot par Mazā biznesa akta (</w:t>
      </w:r>
      <w:proofErr w:type="spellStart"/>
      <w:r w:rsidRPr="00CF4B47">
        <w:rPr>
          <w:i/>
        </w:rPr>
        <w:t>Small</w:t>
      </w:r>
      <w:proofErr w:type="spellEnd"/>
      <w:r w:rsidRPr="00CF4B47">
        <w:rPr>
          <w:i/>
        </w:rPr>
        <w:t xml:space="preserve"> </w:t>
      </w:r>
      <w:proofErr w:type="spellStart"/>
      <w:r w:rsidRPr="00CF4B47">
        <w:rPr>
          <w:i/>
        </w:rPr>
        <w:t>Business</w:t>
      </w:r>
      <w:proofErr w:type="spellEnd"/>
      <w:r w:rsidRPr="00CF4B47">
        <w:rPr>
          <w:i/>
        </w:rPr>
        <w:t xml:space="preserve"> </w:t>
      </w:r>
      <w:proofErr w:type="spellStart"/>
      <w:r w:rsidRPr="00CF4B47">
        <w:rPr>
          <w:i/>
        </w:rPr>
        <w:t>Act</w:t>
      </w:r>
      <w:proofErr w:type="spellEnd"/>
      <w:r w:rsidRPr="00CF4B47">
        <w:t>) un citas likumdošanas saistībā ar MVU ieviešanas gaitu. Pirmo reizi šāds ziņojums tika sagatavots 2014.gadā.</w:t>
      </w:r>
    </w:p>
    <w:p w14:paraId="15B8A601" w14:textId="77777777" w:rsidR="00CF4B47" w:rsidRPr="00CF4B47" w:rsidRDefault="00CF4B47" w:rsidP="00CF4B47">
      <w:pPr>
        <w:spacing w:after="120"/>
        <w:ind w:firstLine="567"/>
        <w:rPr>
          <w:b/>
          <w:u w:val="single"/>
        </w:rPr>
      </w:pPr>
      <w:r w:rsidRPr="00CF4B47">
        <w:rPr>
          <w:b/>
          <w:u w:val="single"/>
        </w:rPr>
        <w:t>Latvijas nostāja:</w:t>
      </w:r>
    </w:p>
    <w:p w14:paraId="10DE3D0F" w14:textId="2EF45FB1" w:rsidR="0040182C" w:rsidRPr="00765250" w:rsidRDefault="00CF4B47" w:rsidP="00765250">
      <w:pPr>
        <w:spacing w:after="120"/>
        <w:ind w:firstLine="567"/>
        <w:jc w:val="both"/>
      </w:pPr>
      <w:r w:rsidRPr="00CF4B47">
        <w:t>Pieņemt zināšanai sniegto informāciju.</w:t>
      </w:r>
    </w:p>
    <w:p w14:paraId="38D916AE" w14:textId="77777777" w:rsidR="0040182C" w:rsidRDefault="0040182C" w:rsidP="001500F9">
      <w:pPr>
        <w:pStyle w:val="ListParagraph"/>
        <w:numPr>
          <w:ilvl w:val="0"/>
          <w:numId w:val="2"/>
        </w:numPr>
        <w:spacing w:after="120"/>
        <w:jc w:val="both"/>
        <w:rPr>
          <w:b/>
          <w:iCs/>
        </w:rPr>
      </w:pPr>
      <w:r>
        <w:rPr>
          <w:b/>
          <w:iCs/>
        </w:rPr>
        <w:t>Konference “Sadarbības ekonomika”, 2016.gada 15.novembris</w:t>
      </w:r>
    </w:p>
    <w:p w14:paraId="7B47EDD2" w14:textId="77777777" w:rsidR="0040182C" w:rsidRDefault="0040182C" w:rsidP="0040182C">
      <w:pPr>
        <w:pStyle w:val="ListParagraph"/>
        <w:keepNext/>
        <w:keepLines/>
        <w:spacing w:after="120" w:line="276" w:lineRule="auto"/>
        <w:ind w:left="1709"/>
        <w:jc w:val="both"/>
      </w:pPr>
      <w:r>
        <w:t>= Prezidentvalsts sniegta informācija</w:t>
      </w:r>
    </w:p>
    <w:p w14:paraId="117B7E9D" w14:textId="77777777" w:rsidR="001500F9" w:rsidRDefault="001500F9" w:rsidP="008475F1">
      <w:pPr>
        <w:keepNext/>
        <w:keepLines/>
        <w:ind w:firstLine="567"/>
        <w:jc w:val="both"/>
      </w:pPr>
      <w:r>
        <w:t>Š.g. 2016.gada 15 novembrī Briselē not</w:t>
      </w:r>
      <w:r w:rsidR="00804875">
        <w:t>ika Slovākijas prezidentūras rīkota konference veltīta sadarbības ekonomikas jautājumiem.</w:t>
      </w:r>
      <w:r w:rsidR="001C6542">
        <w:t xml:space="preserve"> Konferences ietvaros uzstājās Eiropas komisijas viceprezidents </w:t>
      </w:r>
      <w:proofErr w:type="spellStart"/>
      <w:r w:rsidR="001C6542">
        <w:t>J.Katainens</w:t>
      </w:r>
      <w:proofErr w:type="spellEnd"/>
      <w:r w:rsidR="001C6542">
        <w:t xml:space="preserve"> un komisāre </w:t>
      </w:r>
      <w:proofErr w:type="spellStart"/>
      <w:r w:rsidR="001C6542">
        <w:t>E.Bienkovska</w:t>
      </w:r>
      <w:proofErr w:type="spellEnd"/>
      <w:r w:rsidR="001C6542">
        <w:t xml:space="preserve">, kā arī virkne uzņēmumu pārstāvju. Labās prakses apmaiņas ietvaros dalībvalstis norādīja, ka regulē transporta vai arī izmitināšanas pakalpojumu sektoru. Regulējums nav paredzēts. Vienlaikus ir virkne regulatīvo normu, kas tiešā veidā skar sadarbības ekonomikas fenomena attīstību. Liela daļa piemēru fokusējās uz ekonomiskās aktivitātes diferencēšanu atkarībā no ienākumu apjoma un kompānijas lieluma. Papildus tika norādīta arī problēma ar individuālajiem darba veicējiem, kuriem nav juridisks statuss un var tikt kvalificēti ēnu ekonomikas segmentā. Tomēr tiek norādīts, ka šie ir darba veicēji, kuru ieņēmumi pat varbūt nesasniedz 150 eiro mēnesī un kompānijas reģistrēšanas process, kā arī ar to saistītie pienākumi, piemēram, finanšu atskaites un grāmatvedība, padara visu procesu par neizpildāmu un </w:t>
      </w:r>
      <w:proofErr w:type="spellStart"/>
      <w:r w:rsidR="001C6542">
        <w:t>demotivējošu</w:t>
      </w:r>
      <w:proofErr w:type="spellEnd"/>
      <w:r w:rsidR="001C6542">
        <w:t>.</w:t>
      </w:r>
    </w:p>
    <w:p w14:paraId="49B5011C" w14:textId="77777777" w:rsidR="002369CA" w:rsidRDefault="002369CA" w:rsidP="008475F1">
      <w:pPr>
        <w:keepNext/>
        <w:keepLines/>
        <w:ind w:firstLine="567"/>
        <w:jc w:val="both"/>
      </w:pPr>
      <w:r>
        <w:t>Visbiežākās tēzes skāra pietiekošu esošo regulējumu, nepieciešamību risināt administratīvā sloga atvieglošanas risinājumus, kā arī dalībvalstu radītos pārrobežu darbības slogu</w:t>
      </w:r>
      <w:r w:rsidR="00D14C11">
        <w:t>s, piemēram, papildus licences, atļaujas un citas reģionālas un lokālas prasības, kas nav harmonizētas ES ietvaros.</w:t>
      </w:r>
    </w:p>
    <w:p w14:paraId="3FF8723A" w14:textId="77777777" w:rsidR="001C6542" w:rsidRPr="001500F9" w:rsidRDefault="001C6542" w:rsidP="005B0ACE">
      <w:pPr>
        <w:keepNext/>
        <w:keepLines/>
        <w:spacing w:after="120"/>
        <w:ind w:firstLine="567"/>
      </w:pPr>
    </w:p>
    <w:p w14:paraId="3942F9DB" w14:textId="77777777" w:rsidR="005B0ACE" w:rsidRPr="008C6633" w:rsidRDefault="005B0ACE" w:rsidP="005B0ACE">
      <w:pPr>
        <w:keepNext/>
        <w:keepLines/>
        <w:spacing w:after="120"/>
        <w:ind w:firstLine="567"/>
        <w:rPr>
          <w:b/>
          <w:u w:val="single"/>
        </w:rPr>
      </w:pPr>
      <w:r w:rsidRPr="008C6633">
        <w:rPr>
          <w:b/>
          <w:u w:val="single"/>
        </w:rPr>
        <w:t>Latvijas nostāja:</w:t>
      </w:r>
    </w:p>
    <w:p w14:paraId="597817C8" w14:textId="77777777" w:rsidR="005B0ACE" w:rsidRDefault="005B0ACE" w:rsidP="00765250">
      <w:pPr>
        <w:ind w:firstLine="567"/>
        <w:jc w:val="both"/>
      </w:pPr>
      <w:r w:rsidRPr="008C6633">
        <w:t>Pieņemt zināšanai sniegto informāciju.</w:t>
      </w:r>
    </w:p>
    <w:p w14:paraId="6F352999" w14:textId="77777777" w:rsidR="00804875" w:rsidRPr="00C07C95" w:rsidRDefault="00804875" w:rsidP="008475F1">
      <w:pPr>
        <w:pStyle w:val="PointManual1"/>
        <w:numPr>
          <w:ilvl w:val="0"/>
          <w:numId w:val="2"/>
        </w:numPr>
        <w:spacing w:before="240"/>
        <w:jc w:val="both"/>
        <w:rPr>
          <w:b/>
          <w:bCs/>
        </w:rPr>
      </w:pPr>
      <w:r w:rsidRPr="00804875">
        <w:rPr>
          <w:b/>
        </w:rPr>
        <w:t>pašreizējie tiesību aktu priekšlikumi (publiska apspriešana saskaņā ar Līguma par Eiropas Savienību 16. panta 8. punktu)</w:t>
      </w:r>
    </w:p>
    <w:p w14:paraId="4A64AFC3" w14:textId="246D85D7" w:rsidR="00C07C95" w:rsidRPr="00804875" w:rsidRDefault="00C07C95" w:rsidP="00C07C95">
      <w:pPr>
        <w:pStyle w:val="Text2"/>
      </w:pPr>
      <w:r w:rsidRPr="00D3610A">
        <w:t>=</w:t>
      </w:r>
      <w:r w:rsidRPr="00D3610A">
        <w:tab/>
      </w:r>
      <w:r>
        <w:rPr>
          <w:i/>
        </w:rPr>
        <w:t>EK</w:t>
      </w:r>
      <w:r w:rsidRPr="00804875">
        <w:rPr>
          <w:i/>
        </w:rPr>
        <w:t xml:space="preserve"> sniegta informācija</w:t>
      </w:r>
    </w:p>
    <w:p w14:paraId="6589B988" w14:textId="77777777" w:rsidR="00804875" w:rsidRDefault="00804875" w:rsidP="008475F1">
      <w:pPr>
        <w:pStyle w:val="PointManual2"/>
        <w:numPr>
          <w:ilvl w:val="0"/>
          <w:numId w:val="22"/>
        </w:numPr>
        <w:spacing w:before="120"/>
        <w:jc w:val="both"/>
        <w:rPr>
          <w:b/>
          <w:bCs/>
        </w:rPr>
      </w:pPr>
      <w:r w:rsidRPr="00D3610A">
        <w:t xml:space="preserve">Priekšlikums – Eiropas Parlamenta un Padomes Direktīva par autortiesībām digitālajā vienotajā tirgū </w:t>
      </w:r>
      <w:r w:rsidRPr="00D3610A">
        <w:rPr>
          <w:b/>
          <w:bCs/>
        </w:rPr>
        <w:t>(pirmais lasījums)</w:t>
      </w:r>
    </w:p>
    <w:p w14:paraId="6F9F866C" w14:textId="77777777" w:rsidR="00C46887" w:rsidRDefault="00C46887" w:rsidP="00C46887">
      <w:pPr>
        <w:pStyle w:val="PointManual2"/>
        <w:ind w:left="0" w:firstLine="0"/>
        <w:jc w:val="both"/>
      </w:pPr>
      <w:r>
        <w:t>Priekšlikuma mērķis ir:</w:t>
      </w:r>
    </w:p>
    <w:p w14:paraId="55F4CC47" w14:textId="77777777" w:rsidR="00C46887" w:rsidRDefault="00C46887" w:rsidP="00C46887">
      <w:pPr>
        <w:pStyle w:val="PointManual2"/>
        <w:numPr>
          <w:ilvl w:val="0"/>
          <w:numId w:val="20"/>
        </w:numPr>
        <w:jc w:val="both"/>
        <w:rPr>
          <w:bCs/>
        </w:rPr>
      </w:pPr>
      <w:r>
        <w:rPr>
          <w:bCs/>
        </w:rPr>
        <w:t>vienotajā tirgū sekmēt aizsargāta satura digitālu izmantošanu izglītībā, pētniecībā un kultūras mantojuma saglabāšanā;</w:t>
      </w:r>
    </w:p>
    <w:p w14:paraId="2B4DA120" w14:textId="77777777" w:rsidR="00C46887" w:rsidRDefault="00C46887" w:rsidP="00C46887">
      <w:pPr>
        <w:pStyle w:val="PointManual2"/>
        <w:numPr>
          <w:ilvl w:val="0"/>
          <w:numId w:val="20"/>
        </w:numPr>
        <w:jc w:val="both"/>
        <w:rPr>
          <w:bCs/>
        </w:rPr>
      </w:pPr>
      <w:r>
        <w:rPr>
          <w:bCs/>
        </w:rPr>
        <w:t xml:space="preserve"> atļaut plašāku tiešsaistes piekļuvi aizsargātajam saturam visā Eiropas Savienībā, un </w:t>
      </w:r>
    </w:p>
    <w:p w14:paraId="5C2B2097" w14:textId="77777777" w:rsidR="00C46887" w:rsidRDefault="00C46887" w:rsidP="00C46887">
      <w:pPr>
        <w:pStyle w:val="PointManual2"/>
        <w:numPr>
          <w:ilvl w:val="0"/>
          <w:numId w:val="20"/>
        </w:numPr>
        <w:jc w:val="both"/>
        <w:rPr>
          <w:bCs/>
        </w:rPr>
      </w:pPr>
      <w:r>
        <w:rPr>
          <w:bCs/>
        </w:rPr>
        <w:t xml:space="preserve">nodrošināt, ka tiešsaistes autortiesību tirgus efektīvi darbojas visiem tā dalībniekiem. </w:t>
      </w:r>
    </w:p>
    <w:p w14:paraId="7D8E2422" w14:textId="77777777" w:rsidR="00C46887" w:rsidRDefault="00C46887" w:rsidP="00C46887">
      <w:pPr>
        <w:pStyle w:val="PointManual2"/>
        <w:spacing w:before="120"/>
        <w:ind w:left="0" w:firstLine="0"/>
        <w:jc w:val="both"/>
        <w:rPr>
          <w:bCs/>
        </w:rPr>
      </w:pPr>
      <w:r>
        <w:rPr>
          <w:bCs/>
        </w:rPr>
        <w:t>Par priekšlikumu uzsāktas nacionālās konsultācijas.</w:t>
      </w:r>
    </w:p>
    <w:p w14:paraId="510D200A" w14:textId="77777777" w:rsidR="00804875" w:rsidRDefault="00804875" w:rsidP="008475F1">
      <w:pPr>
        <w:pStyle w:val="PointManual2"/>
        <w:numPr>
          <w:ilvl w:val="0"/>
          <w:numId w:val="22"/>
        </w:numPr>
        <w:spacing w:before="120"/>
        <w:jc w:val="both"/>
        <w:rPr>
          <w:b/>
          <w:bCs/>
        </w:rPr>
      </w:pPr>
      <w:r w:rsidRPr="00D3610A">
        <w:lastRenderedPageBreak/>
        <w:t xml:space="preserve">Priekšlikums – Eiropas Parlamenta un Padomes Regula, ar ko paredz noteikumus, kā īstenojamas autortiesības un blakustiesības, kuras piemēro noteiktām raidorganizāciju tiešsaistes pārraidēm un televīzijas un radio programmu retranslācijām </w:t>
      </w:r>
      <w:r w:rsidRPr="00D3610A">
        <w:rPr>
          <w:b/>
          <w:bCs/>
        </w:rPr>
        <w:t>(pirmais lasījums)</w:t>
      </w:r>
    </w:p>
    <w:p w14:paraId="7F930ADA" w14:textId="77777777" w:rsidR="00C46887" w:rsidRDefault="00C46887" w:rsidP="00C46887">
      <w:pPr>
        <w:pStyle w:val="PointManual2"/>
        <w:ind w:left="0" w:firstLine="0"/>
        <w:jc w:val="both"/>
      </w:pPr>
      <w:r>
        <w:t>Priekšlikuma mērķis ir:</w:t>
      </w:r>
    </w:p>
    <w:p w14:paraId="47144AA0" w14:textId="77777777" w:rsidR="00C46887" w:rsidRDefault="00C46887" w:rsidP="00C46887">
      <w:pPr>
        <w:pStyle w:val="PointManual2"/>
        <w:numPr>
          <w:ilvl w:val="0"/>
          <w:numId w:val="21"/>
        </w:numPr>
        <w:jc w:val="both"/>
      </w:pPr>
      <w:r>
        <w:t>sekmēt tiešsaistes pakalpojumu sniegšanu pāri robežām un atvieglināt citu dalībvalstu TV un radio programmu digitālo retranslēšanu pa slēgtiem tīkliem;</w:t>
      </w:r>
    </w:p>
    <w:p w14:paraId="707FB8A9" w14:textId="77777777" w:rsidR="00C46887" w:rsidRDefault="00C46887" w:rsidP="00C46887">
      <w:pPr>
        <w:pStyle w:val="PointManual2"/>
        <w:numPr>
          <w:ilvl w:val="0"/>
          <w:numId w:val="21"/>
        </w:numPr>
        <w:jc w:val="both"/>
      </w:pPr>
      <w:r>
        <w:t>radīt apstākļus, kas raidorganizācijām un retranslācijas pakalpojumu operatoriem dod iespēju piedāvāt plašāku piekļuvi TV un radio programmām visā Eiropas Savienības teritorijā un</w:t>
      </w:r>
    </w:p>
    <w:p w14:paraId="6EDC11BE" w14:textId="77777777" w:rsidR="00C46887" w:rsidRDefault="00C46887" w:rsidP="00C46887">
      <w:pPr>
        <w:pStyle w:val="PointManual2"/>
        <w:numPr>
          <w:ilvl w:val="0"/>
          <w:numId w:val="21"/>
        </w:numPr>
        <w:jc w:val="both"/>
      </w:pPr>
      <w:r>
        <w:t>sekmēt patērētāju piekļuvi lielākam skaitam citu dalībvalstu TV un radio programmu.</w:t>
      </w:r>
      <w:r>
        <w:rPr>
          <w:bCs/>
        </w:rPr>
        <w:t xml:space="preserve"> </w:t>
      </w:r>
    </w:p>
    <w:p w14:paraId="0BA1AB06" w14:textId="77777777" w:rsidR="00C46887" w:rsidRDefault="00C46887" w:rsidP="00C46887">
      <w:pPr>
        <w:pStyle w:val="PointManual2"/>
        <w:spacing w:before="120"/>
        <w:ind w:left="0" w:firstLine="0"/>
        <w:jc w:val="both"/>
      </w:pPr>
      <w:r>
        <w:rPr>
          <w:bCs/>
        </w:rPr>
        <w:t>Par priekšlikumu uzsāktas nacionālās konsultācijas.</w:t>
      </w:r>
    </w:p>
    <w:p w14:paraId="542AC88A" w14:textId="77777777" w:rsidR="00804875" w:rsidRDefault="00804875" w:rsidP="008475F1">
      <w:pPr>
        <w:pStyle w:val="PointManual2"/>
        <w:numPr>
          <w:ilvl w:val="0"/>
          <w:numId w:val="22"/>
        </w:numPr>
        <w:spacing w:before="120"/>
        <w:jc w:val="both"/>
        <w:rPr>
          <w:b/>
          <w:bCs/>
        </w:rPr>
      </w:pPr>
      <w:r w:rsidRPr="00D3610A">
        <w:t xml:space="preserve">Priekšlikums – Eiropas Parlamenta un Padomes Regula par to, kā tādu personu interesēs, kas ir neredzīgas, ar redzes traucējumiem vai ar citu </w:t>
      </w:r>
      <w:proofErr w:type="spellStart"/>
      <w:r w:rsidRPr="00D3610A">
        <w:t>iespiedtekstu</w:t>
      </w:r>
      <w:proofErr w:type="spellEnd"/>
      <w:r w:rsidRPr="00D3610A">
        <w:t xml:space="preserve"> lasīšanas invaliditāti, notiek Savienības un trešu valstu pārrobežu apmaiņa ar noteiktu, autortiesību un blakustiesību aizsargātu darbu un citu tiesību objektu eksemplāriem piekļūstamā formā </w:t>
      </w:r>
      <w:r w:rsidRPr="00D3610A">
        <w:rPr>
          <w:b/>
          <w:bCs/>
        </w:rPr>
        <w:t>(pirmais lasījums)</w:t>
      </w:r>
    </w:p>
    <w:p w14:paraId="085C3B4A" w14:textId="77777777" w:rsidR="00C46887" w:rsidRPr="00D3610A" w:rsidRDefault="00C46887" w:rsidP="008475F1">
      <w:pPr>
        <w:pStyle w:val="PointManual2"/>
        <w:spacing w:before="120"/>
        <w:ind w:left="0" w:firstLine="0"/>
        <w:jc w:val="both"/>
      </w:pPr>
    </w:p>
    <w:p w14:paraId="555B419A" w14:textId="77777777" w:rsidR="00804875" w:rsidRDefault="00804875" w:rsidP="008475F1">
      <w:pPr>
        <w:pStyle w:val="PointManual2"/>
        <w:numPr>
          <w:ilvl w:val="0"/>
          <w:numId w:val="22"/>
        </w:numPr>
        <w:jc w:val="both"/>
        <w:rPr>
          <w:b/>
          <w:bCs/>
        </w:rPr>
      </w:pPr>
      <w:r w:rsidRPr="00D3610A">
        <w:t xml:space="preserve">Priekšlikums – Eiropas Parlamenta un Padomes Direktīva par noteiktiem atļautiem ar autortiesībām un blakustiesībām aizsargātu darbu un citu tiesību objektu lietojumiem tādu personu interesēs, kas ir neredzīgas, ar redzes traucējumiem vai ar citu </w:t>
      </w:r>
      <w:proofErr w:type="spellStart"/>
      <w:r w:rsidRPr="00D3610A">
        <w:t>iespiedtekstu</w:t>
      </w:r>
      <w:proofErr w:type="spellEnd"/>
      <w:r w:rsidRPr="00D3610A">
        <w:t xml:space="preserve"> lasīšanas invaliditāti, un ar kuru groza Direktīvu 2001/29/EK par dažu autortiesību un blakustiesību aspektu saskaņošanu informācijas sabiedrībā </w:t>
      </w:r>
      <w:r w:rsidRPr="00D3610A">
        <w:rPr>
          <w:b/>
          <w:bCs/>
        </w:rPr>
        <w:t>(pirmais lasījums)</w:t>
      </w:r>
    </w:p>
    <w:p w14:paraId="2DB30215" w14:textId="376A83F2" w:rsidR="00C46887" w:rsidRPr="00C46887" w:rsidRDefault="00C46887" w:rsidP="008475F1">
      <w:pPr>
        <w:pStyle w:val="PointManual2"/>
        <w:spacing w:before="120"/>
        <w:ind w:left="0" w:firstLine="720"/>
        <w:jc w:val="both"/>
      </w:pPr>
      <w:r w:rsidRPr="00C46887">
        <w:t xml:space="preserve">Eiropas Parlamenta un Padomes Regula par to, kā tādu personu interesēs, kas ir neredzīgas, ar redzes traucējumiem vai ar citu </w:t>
      </w:r>
      <w:proofErr w:type="spellStart"/>
      <w:r w:rsidRPr="00C46887">
        <w:t>iespiedtekstu</w:t>
      </w:r>
      <w:proofErr w:type="spellEnd"/>
      <w:r w:rsidRPr="00C46887">
        <w:t xml:space="preserve"> lasīšanas invaliditāti, notiek Savienības un trešu valstu pārrobežu apmaiņa ar noteiktu, autortiesību un blakustiesību aizsargātu darbu un citu tiesību objektu eksemplāriem piekļūstamā formā un Eiropas Parlamenta un Padomes Direktīva par noteiktiem atļautiem ar autortiesībām un blakustiesībām aizsargātu darbu un citu tiesību objektu lietojumiem tādu personu interesēs, kas ir neredzīgas, ar redzes traucējumiem vai ar citu </w:t>
      </w:r>
      <w:proofErr w:type="spellStart"/>
      <w:r w:rsidRPr="00C46887">
        <w:t>iespiedtekstu</w:t>
      </w:r>
      <w:proofErr w:type="spellEnd"/>
      <w:r w:rsidRPr="00C46887">
        <w:t xml:space="preserve"> lasīšanas invaliditāti, un ar kuru groza Direktīvu 2001/29/EK par dažu autortiesību un blakustiesību aspektu saskaņošanu informācijas sabiedrībā:</w:t>
      </w:r>
    </w:p>
    <w:p w14:paraId="4763B0B4" w14:textId="77777777" w:rsidR="00C46887" w:rsidRPr="00C46887" w:rsidRDefault="00C46887" w:rsidP="00C46887">
      <w:pPr>
        <w:pStyle w:val="PointManual2"/>
        <w:spacing w:before="120"/>
        <w:ind w:left="0" w:firstLine="720"/>
        <w:jc w:val="both"/>
      </w:pPr>
      <w:r w:rsidRPr="00C46887">
        <w:t xml:space="preserve">Abu priekšlikumu mērķis ir Pasaules Intelektuālā īpašuma organizācijas (WIPO) Marrākešas līguma īstenošana, lai atvieglotu piekļuvi publicētiem darbiem personām, kuras ir neredzīgas, ar redzes traucējumiem vai drukas </w:t>
      </w:r>
      <w:proofErr w:type="spellStart"/>
      <w:r w:rsidRPr="00C46887">
        <w:t>lasītnespēju</w:t>
      </w:r>
      <w:proofErr w:type="spellEnd"/>
      <w:r w:rsidRPr="00C46887">
        <w:t xml:space="preserve"> citu iemeslu dēļ. </w:t>
      </w:r>
    </w:p>
    <w:p w14:paraId="55685EE2" w14:textId="572E8F5D" w:rsidR="00C46887" w:rsidRPr="008475F1" w:rsidRDefault="00C46887" w:rsidP="008475F1">
      <w:pPr>
        <w:pStyle w:val="PointManual2"/>
        <w:spacing w:before="120"/>
        <w:ind w:left="0" w:firstLine="720"/>
        <w:jc w:val="both"/>
      </w:pPr>
      <w:r w:rsidRPr="00C46887">
        <w:t>Nacionālās konsultācijas</w:t>
      </w:r>
      <w:r>
        <w:t xml:space="preserve"> par abiem priekšlikumiem ir noslēgušās un šobrīd tiek saskaņota sākotnējā pozīcija. Kopumā Latvija atbalsta abus priekšlikumus. </w:t>
      </w:r>
    </w:p>
    <w:p w14:paraId="4B92322C" w14:textId="77777777" w:rsidR="008475F1" w:rsidRDefault="008475F1" w:rsidP="008475F1">
      <w:pPr>
        <w:pStyle w:val="Text2"/>
        <w:rPr>
          <w:i/>
        </w:rPr>
      </w:pPr>
    </w:p>
    <w:p w14:paraId="69987E16" w14:textId="77777777" w:rsidR="008475F1" w:rsidRDefault="00804875" w:rsidP="008475F1">
      <w:pPr>
        <w:pStyle w:val="Text2"/>
        <w:rPr>
          <w:b/>
          <w:u w:val="single"/>
        </w:rPr>
      </w:pPr>
      <w:r w:rsidRPr="008C6633">
        <w:rPr>
          <w:b/>
          <w:u w:val="single"/>
        </w:rPr>
        <w:t>Latvijas nostāja:</w:t>
      </w:r>
    </w:p>
    <w:p w14:paraId="21B6350C" w14:textId="1A29FA72" w:rsidR="005B0ACE" w:rsidRPr="00575AD6" w:rsidRDefault="00C46887" w:rsidP="008475F1">
      <w:pPr>
        <w:pStyle w:val="Text2"/>
      </w:pPr>
      <w:r>
        <w:t>Pieņemt zināšanai sniegto informāciju.</w:t>
      </w:r>
    </w:p>
    <w:p w14:paraId="661DD2E4" w14:textId="77777777" w:rsidR="00804875" w:rsidRPr="00804875" w:rsidRDefault="00804875" w:rsidP="00804875">
      <w:pPr>
        <w:pStyle w:val="PointManual1"/>
        <w:numPr>
          <w:ilvl w:val="0"/>
          <w:numId w:val="2"/>
        </w:numPr>
        <w:spacing w:before="240"/>
        <w:rPr>
          <w:b/>
        </w:rPr>
      </w:pPr>
      <w:r w:rsidRPr="00804875">
        <w:rPr>
          <w:b/>
        </w:rPr>
        <w:t>Eiropas sociālo tiesību pīlāra konkurētspējas aspekti</w:t>
      </w:r>
    </w:p>
    <w:p w14:paraId="21306440" w14:textId="77777777" w:rsidR="00804875" w:rsidRPr="00804875" w:rsidRDefault="00804875" w:rsidP="00804875">
      <w:pPr>
        <w:pStyle w:val="DashEqual2"/>
        <w:numPr>
          <w:ilvl w:val="0"/>
          <w:numId w:val="0"/>
        </w:numPr>
        <w:ind w:left="1709"/>
        <w:rPr>
          <w:i/>
        </w:rPr>
      </w:pPr>
      <w:r w:rsidRPr="00804875">
        <w:rPr>
          <w:i/>
        </w:rPr>
        <w:lastRenderedPageBreak/>
        <w:t>= Ungārijas delegācijas sniegta informācija</w:t>
      </w:r>
    </w:p>
    <w:p w14:paraId="5882A28C" w14:textId="77777777" w:rsidR="001E09C6" w:rsidRPr="00E3008C" w:rsidRDefault="001E09C6" w:rsidP="00C46887">
      <w:pPr>
        <w:pStyle w:val="NormalWeb"/>
        <w:shd w:val="clear" w:color="auto" w:fill="FFFFFF"/>
        <w:spacing w:before="60" w:beforeAutospacing="0" w:after="60" w:afterAutospacing="0"/>
        <w:ind w:firstLine="720"/>
        <w:jc w:val="both"/>
        <w:rPr>
          <w:color w:val="000000"/>
        </w:rPr>
      </w:pPr>
      <w:r w:rsidRPr="00E3008C">
        <w:rPr>
          <w:color w:val="000000"/>
        </w:rPr>
        <w:t xml:space="preserve">2016. gada 8. martā </w:t>
      </w:r>
      <w:r w:rsidR="000930AE">
        <w:rPr>
          <w:color w:val="000000"/>
        </w:rPr>
        <w:t>EK</w:t>
      </w:r>
      <w:r w:rsidRPr="00E3008C">
        <w:rPr>
          <w:color w:val="000000"/>
        </w:rPr>
        <w:t xml:space="preserve"> ir sākusi plašu apspriešanos un nākusi klajā ar pirmo provizorisko izklāstu par Eiropas sociālo tiesību pīlāru. </w:t>
      </w:r>
      <w:r>
        <w:rPr>
          <w:color w:val="000000"/>
        </w:rPr>
        <w:t xml:space="preserve">Sabiedriskā apspriešana notiek līdz š.g. beigām. </w:t>
      </w:r>
      <w:r w:rsidRPr="00E3008C">
        <w:rPr>
          <w:color w:val="000000"/>
        </w:rPr>
        <w:t xml:space="preserve">Šī iniciatīva ir daļa no </w:t>
      </w:r>
      <w:r w:rsidR="000930AE">
        <w:rPr>
          <w:color w:val="000000"/>
        </w:rPr>
        <w:t>EK</w:t>
      </w:r>
      <w:r w:rsidRPr="00E3008C">
        <w:rPr>
          <w:color w:val="000000"/>
        </w:rPr>
        <w:t xml:space="preserve"> veiktā darba ceļā uz ciešāku un taisnīgāku ekonomisko un monetāro savienību. Kā norādījis </w:t>
      </w:r>
      <w:r w:rsidR="00593FCE">
        <w:rPr>
          <w:color w:val="000000"/>
        </w:rPr>
        <w:t xml:space="preserve">EK prezidents </w:t>
      </w:r>
      <w:proofErr w:type="spellStart"/>
      <w:r w:rsidR="00593FCE">
        <w:rPr>
          <w:color w:val="000000"/>
        </w:rPr>
        <w:t>Ž.K.</w:t>
      </w:r>
      <w:r w:rsidRPr="00E3008C">
        <w:rPr>
          <w:color w:val="000000"/>
        </w:rPr>
        <w:t>Junkers</w:t>
      </w:r>
      <w:proofErr w:type="spellEnd"/>
      <w:r w:rsidRPr="00E3008C">
        <w:rPr>
          <w:color w:val="000000"/>
        </w:rPr>
        <w:t xml:space="preserve">, iniciatīva ir paredzēta </w:t>
      </w:r>
      <w:proofErr w:type="spellStart"/>
      <w:r w:rsidRPr="00E3008C">
        <w:rPr>
          <w:color w:val="000000"/>
        </w:rPr>
        <w:t>eirozonai</w:t>
      </w:r>
      <w:proofErr w:type="spellEnd"/>
      <w:r w:rsidRPr="00E3008C">
        <w:rPr>
          <w:color w:val="000000"/>
        </w:rPr>
        <w:t>, vienlaikus dodot iespēju citām ES dalībvalstīm pievienoties, ja tās vēlas.</w:t>
      </w:r>
      <w:r w:rsidRPr="00E3008C">
        <w:rPr>
          <w:rStyle w:val="apple-converted-space"/>
          <w:color w:val="000000"/>
        </w:rPr>
        <w:t> </w:t>
      </w:r>
    </w:p>
    <w:p w14:paraId="26A2B0A6" w14:textId="77777777" w:rsidR="001E09C6" w:rsidRPr="00E3008C" w:rsidRDefault="001E09C6" w:rsidP="00C46887">
      <w:pPr>
        <w:pStyle w:val="NormalWeb"/>
        <w:shd w:val="clear" w:color="auto" w:fill="FFFFFF"/>
        <w:spacing w:before="60" w:beforeAutospacing="0" w:after="60" w:afterAutospacing="0"/>
        <w:ind w:firstLine="720"/>
        <w:jc w:val="both"/>
        <w:rPr>
          <w:color w:val="000000"/>
        </w:rPr>
      </w:pPr>
      <w:r w:rsidRPr="00E3008C">
        <w:rPr>
          <w:color w:val="000000"/>
        </w:rPr>
        <w:t>Ierosinātie principi neaizstāj spēkā esošās tiesības, bet sniedz iespēju novērtēt un nākotnē saskaņot un uzlabot valstu nodarbinātības un sociālās politikas darbību.</w:t>
      </w:r>
      <w:r w:rsidRPr="00E3008C">
        <w:rPr>
          <w:rStyle w:val="apple-converted-space"/>
          <w:color w:val="000000"/>
        </w:rPr>
        <w:t> </w:t>
      </w:r>
    </w:p>
    <w:p w14:paraId="4A5F9756" w14:textId="77777777" w:rsidR="001E09C6" w:rsidRPr="00E3008C" w:rsidRDefault="001E09C6" w:rsidP="00C46887">
      <w:pPr>
        <w:pStyle w:val="NormalWeb"/>
        <w:shd w:val="clear" w:color="auto" w:fill="FFFFFF"/>
        <w:spacing w:before="60" w:beforeAutospacing="0" w:after="60" w:afterAutospacing="0"/>
        <w:ind w:firstLine="720"/>
        <w:jc w:val="both"/>
        <w:rPr>
          <w:color w:val="000000"/>
        </w:rPr>
      </w:pPr>
      <w:r w:rsidRPr="00E3008C">
        <w:rPr>
          <w:color w:val="000000"/>
        </w:rPr>
        <w:t xml:space="preserve">2016. gada laikā </w:t>
      </w:r>
      <w:r w:rsidR="000930AE">
        <w:rPr>
          <w:color w:val="000000"/>
        </w:rPr>
        <w:t>EK</w:t>
      </w:r>
      <w:r w:rsidRPr="00E3008C">
        <w:rPr>
          <w:color w:val="000000"/>
        </w:rPr>
        <w:t xml:space="preserve"> iesaistīsies debatēs ar citām ES iestādēm, valstu iestādēm un parlamentiem, sociālajiem partneriem un pilsonisko sabiedrību, ekspertiem no akadēmiskajām aprindām un pilsoņiem. Šo debašu rezultāti tiks izmantoti, lai 2017. gada sākumā sagatavotu Eiropas sociālo tiesību pīlāru.</w:t>
      </w:r>
      <w:r w:rsidRPr="00E3008C">
        <w:rPr>
          <w:rStyle w:val="apple-converted-space"/>
          <w:color w:val="000000"/>
        </w:rPr>
        <w:t> </w:t>
      </w:r>
    </w:p>
    <w:p w14:paraId="503D9F93" w14:textId="77777777" w:rsidR="001E09C6" w:rsidRPr="00E3008C" w:rsidRDefault="001E09C6" w:rsidP="00C46887">
      <w:pPr>
        <w:pStyle w:val="NormalWeb"/>
        <w:shd w:val="clear" w:color="auto" w:fill="FFFFFF"/>
        <w:spacing w:before="60" w:beforeAutospacing="0" w:after="60" w:afterAutospacing="0"/>
        <w:ind w:firstLine="567"/>
        <w:jc w:val="both"/>
        <w:rPr>
          <w:color w:val="000000"/>
        </w:rPr>
      </w:pPr>
      <w:r w:rsidRPr="00E3008C">
        <w:rPr>
          <w:color w:val="000000"/>
        </w:rPr>
        <w:t xml:space="preserve">Tiklīdz pīlārs būs sagatavots, tam būtu jākļūst par pamatprincipu kopumu, kas palīdzētu pārraudzīt iesaistīto dalībvalstu nodarbinātības un sociālos rādītājus, veicinātu reformu procesu valstu līmenī un, konkrētāk, kalpotu kā virzienrādītājs konverģences atjaunošanai </w:t>
      </w:r>
      <w:proofErr w:type="spellStart"/>
      <w:r w:rsidRPr="00E3008C">
        <w:rPr>
          <w:color w:val="000000"/>
        </w:rPr>
        <w:t>eirozonā</w:t>
      </w:r>
      <w:proofErr w:type="spellEnd"/>
      <w:r w:rsidRPr="00E3008C">
        <w:rPr>
          <w:color w:val="000000"/>
        </w:rPr>
        <w:t>.</w:t>
      </w:r>
      <w:r w:rsidRPr="00E3008C">
        <w:rPr>
          <w:rStyle w:val="apple-converted-space"/>
          <w:color w:val="000000"/>
        </w:rPr>
        <w:t> </w:t>
      </w:r>
    </w:p>
    <w:p w14:paraId="671FA25E" w14:textId="77777777" w:rsidR="00804875" w:rsidRPr="008C6633" w:rsidRDefault="00804875" w:rsidP="00804875">
      <w:pPr>
        <w:keepNext/>
        <w:keepLines/>
        <w:spacing w:after="120"/>
        <w:ind w:firstLine="567"/>
        <w:rPr>
          <w:b/>
          <w:u w:val="single"/>
        </w:rPr>
      </w:pPr>
      <w:r w:rsidRPr="008C6633">
        <w:rPr>
          <w:b/>
          <w:u w:val="single"/>
        </w:rPr>
        <w:t>Latvijas nostāja:</w:t>
      </w:r>
    </w:p>
    <w:p w14:paraId="43A4D36E" w14:textId="77777777" w:rsidR="00804875" w:rsidRPr="00804875" w:rsidRDefault="00804875" w:rsidP="00804875">
      <w:pPr>
        <w:spacing w:after="120"/>
        <w:jc w:val="both"/>
        <w:rPr>
          <w:iCs/>
        </w:rPr>
      </w:pPr>
      <w:r w:rsidRPr="00804875">
        <w:rPr>
          <w:iCs/>
        </w:rPr>
        <w:t>Pieņemt zināšanai sniegto informāciju.</w:t>
      </w:r>
    </w:p>
    <w:p w14:paraId="254FF04A" w14:textId="77777777" w:rsidR="00D61D04" w:rsidRPr="00D61D04" w:rsidRDefault="00D61D04" w:rsidP="00D61D04">
      <w:pPr>
        <w:pStyle w:val="PointManual1"/>
        <w:numPr>
          <w:ilvl w:val="0"/>
          <w:numId w:val="2"/>
        </w:numPr>
        <w:spacing w:before="240"/>
        <w:rPr>
          <w:b/>
        </w:rPr>
      </w:pPr>
      <w:r w:rsidRPr="00D61D04">
        <w:rPr>
          <w:b/>
        </w:rPr>
        <w:t xml:space="preserve">Rūpniecības politikas nozīme </w:t>
      </w:r>
      <w:r w:rsidR="000930AE">
        <w:rPr>
          <w:b/>
        </w:rPr>
        <w:t>EK</w:t>
      </w:r>
      <w:r w:rsidRPr="00D61D04">
        <w:rPr>
          <w:b/>
        </w:rPr>
        <w:t xml:space="preserve"> 2017. gada darba programmā</w:t>
      </w:r>
    </w:p>
    <w:p w14:paraId="06C20BBF" w14:textId="77777777" w:rsidR="00D61D04" w:rsidRPr="00D61D04" w:rsidRDefault="00D61D04" w:rsidP="00D61D04">
      <w:pPr>
        <w:pStyle w:val="DashEqual2"/>
        <w:rPr>
          <w:b/>
          <w:bCs/>
          <w:i/>
          <w:u w:val="single"/>
        </w:rPr>
      </w:pPr>
      <w:r w:rsidRPr="00D61D04">
        <w:rPr>
          <w:i/>
        </w:rPr>
        <w:t>Vācijas delegācijas sniegta informācija</w:t>
      </w:r>
    </w:p>
    <w:p w14:paraId="5D494F17" w14:textId="77777777" w:rsidR="00C10CCC" w:rsidRPr="008C6633" w:rsidRDefault="00C10CCC" w:rsidP="00C46887">
      <w:pPr>
        <w:pStyle w:val="DashEqual2"/>
        <w:numPr>
          <w:ilvl w:val="0"/>
          <w:numId w:val="0"/>
        </w:numPr>
        <w:spacing w:before="240"/>
        <w:ind w:firstLine="720"/>
        <w:jc w:val="both"/>
      </w:pPr>
      <w:r w:rsidRPr="008C6633">
        <w:t xml:space="preserve">Jautājums darba kārtībā iekļauts pēc </w:t>
      </w:r>
      <w:r>
        <w:t>Vācijas</w:t>
      </w:r>
      <w:r w:rsidRPr="008C6633">
        <w:t xml:space="preserve"> delegācijas aicinājuma.</w:t>
      </w:r>
    </w:p>
    <w:p w14:paraId="606C01BE" w14:textId="77777777" w:rsidR="00C10CCC" w:rsidRPr="008C6633" w:rsidRDefault="00C10CCC" w:rsidP="00C46887">
      <w:pPr>
        <w:pStyle w:val="DashEqual2"/>
        <w:numPr>
          <w:ilvl w:val="0"/>
          <w:numId w:val="0"/>
        </w:numPr>
        <w:spacing w:before="240"/>
        <w:ind w:firstLine="720"/>
        <w:jc w:val="both"/>
        <w:rPr>
          <w:rFonts w:ascii="Verdana" w:hAnsi="Verdana"/>
          <w:sz w:val="22"/>
        </w:rPr>
      </w:pPr>
      <w:r w:rsidRPr="008C6633">
        <w:t xml:space="preserve">Lai arī jau vairākkārt ES dalībvalstis ir nākušas ar ierosinājumu </w:t>
      </w:r>
      <w:r w:rsidR="000930AE">
        <w:t>EK</w:t>
      </w:r>
      <w:r w:rsidRPr="008C6633">
        <w:t xml:space="preserve"> izstrādāt ES rūpniecības attīstības </w:t>
      </w:r>
      <w:proofErr w:type="spellStart"/>
      <w:r w:rsidRPr="008C6633">
        <w:t>ceļakarti</w:t>
      </w:r>
      <w:proofErr w:type="spellEnd"/>
      <w:r w:rsidRPr="008C6633">
        <w:t xml:space="preserve"> un </w:t>
      </w:r>
      <w:r w:rsidR="000930AE">
        <w:t>EK</w:t>
      </w:r>
      <w:r w:rsidRPr="008C6633">
        <w:t xml:space="preserve"> ir solījusi pie tās strādāt, šie solījumi nav īstenoti.</w:t>
      </w:r>
    </w:p>
    <w:p w14:paraId="2A8BAE71" w14:textId="77777777" w:rsidR="00C10CCC" w:rsidRDefault="00C10CCC" w:rsidP="00C10CCC">
      <w:pPr>
        <w:pStyle w:val="DashEqual2"/>
        <w:numPr>
          <w:ilvl w:val="0"/>
          <w:numId w:val="0"/>
        </w:numPr>
        <w:jc w:val="both"/>
      </w:pPr>
      <w:r w:rsidRPr="008C6633">
        <w:t>2016. gada 22. aprīlī</w:t>
      </w:r>
      <w:r w:rsidRPr="008C6633">
        <w:rPr>
          <w:i/>
          <w:iCs/>
        </w:rPr>
        <w:t xml:space="preserve"> </w:t>
      </w:r>
      <w:r w:rsidRPr="008C6633">
        <w:rPr>
          <w:iCs/>
        </w:rPr>
        <w:t>Varšavā, Polijā</w:t>
      </w:r>
      <w:r>
        <w:t xml:space="preserve"> iesākās</w:t>
      </w:r>
      <w:r w:rsidRPr="008C6633">
        <w:t xml:space="preserve"> augst</w:t>
      </w:r>
      <w:r>
        <w:t>a līmeņa diskusijas</w:t>
      </w:r>
      <w:r w:rsidRPr="008C6633">
        <w:t xml:space="preserve"> "Rūpniecības draugi" (</w:t>
      </w:r>
      <w:proofErr w:type="spellStart"/>
      <w:r w:rsidRPr="008C6633">
        <w:rPr>
          <w:i/>
          <w:iCs/>
        </w:rPr>
        <w:t>Friends</w:t>
      </w:r>
      <w:proofErr w:type="spellEnd"/>
      <w:r w:rsidRPr="008C6633">
        <w:rPr>
          <w:i/>
          <w:iCs/>
        </w:rPr>
        <w:t xml:space="preserve"> </w:t>
      </w:r>
      <w:proofErr w:type="spellStart"/>
      <w:r w:rsidRPr="008C6633">
        <w:rPr>
          <w:i/>
          <w:iCs/>
        </w:rPr>
        <w:t>of</w:t>
      </w:r>
      <w:proofErr w:type="spellEnd"/>
      <w:r w:rsidRPr="008C6633">
        <w:rPr>
          <w:i/>
          <w:iCs/>
        </w:rPr>
        <w:t xml:space="preserve"> </w:t>
      </w:r>
      <w:proofErr w:type="spellStart"/>
      <w:r w:rsidRPr="008C6633">
        <w:rPr>
          <w:i/>
          <w:iCs/>
        </w:rPr>
        <w:t>Industry</w:t>
      </w:r>
      <w:proofErr w:type="spellEnd"/>
      <w:r w:rsidRPr="008C6633">
        <w:t>), kurā piedalījās ekonomikas jomu pārstāvošie ministri un augsta līmeņa pārstāvji no 18 ES dalībvalstīm</w:t>
      </w:r>
      <w:r w:rsidRPr="008C6633">
        <w:rPr>
          <w:rStyle w:val="FootnoteReference"/>
          <w:color w:val="000000"/>
        </w:rPr>
        <w:footnoteReference w:id="10"/>
      </w:r>
      <w:r w:rsidRPr="008C6633">
        <w:t xml:space="preserve">. Tikšanās dalībnieki diskutēja par ceturto industriālo revolūciju – Eiropas rūpniecības </w:t>
      </w:r>
      <w:proofErr w:type="spellStart"/>
      <w:r w:rsidRPr="008C6633">
        <w:t>digitalizāciju</w:t>
      </w:r>
      <w:proofErr w:type="spellEnd"/>
      <w:r w:rsidRPr="008C6633">
        <w:t xml:space="preserve"> un ar to saistītajiem izaicinājumiem. Ministri tikšanās laikā atzinīgi novērtēja </w:t>
      </w:r>
      <w:r w:rsidR="000930AE">
        <w:t>EK</w:t>
      </w:r>
      <w:r w:rsidRPr="008C6633">
        <w:t xml:space="preserve"> uzsākto iniciatīvu "Eiropas rūpniecības </w:t>
      </w:r>
      <w:proofErr w:type="spellStart"/>
      <w:r w:rsidRPr="008C6633">
        <w:t>digitalizācija</w:t>
      </w:r>
      <w:proofErr w:type="spellEnd"/>
      <w:r w:rsidRPr="008C6633">
        <w:t xml:space="preserve">". </w:t>
      </w:r>
    </w:p>
    <w:p w14:paraId="3F5EE3BD" w14:textId="5779A2D5" w:rsidR="008475F1" w:rsidRDefault="00C10CCC" w:rsidP="008475F1">
      <w:pPr>
        <w:pStyle w:val="DashEqual2"/>
        <w:numPr>
          <w:ilvl w:val="0"/>
          <w:numId w:val="0"/>
        </w:numPr>
        <w:jc w:val="both"/>
      </w:pPr>
      <w:r>
        <w:t xml:space="preserve">Š.g. septembrī </w:t>
      </w:r>
      <w:r w:rsidRPr="008C6633">
        <w:t>Polija</w:t>
      </w:r>
      <w:r>
        <w:t xml:space="preserve"> </w:t>
      </w:r>
      <w:r w:rsidRPr="008C6633">
        <w:t>sagatavoj</w:t>
      </w:r>
      <w:r>
        <w:t>a</w:t>
      </w:r>
      <w:r w:rsidRPr="008C6633">
        <w:t xml:space="preserve"> vēstuli </w:t>
      </w:r>
      <w:r w:rsidR="000930AE">
        <w:t>EK</w:t>
      </w:r>
      <w:r w:rsidRPr="008C6633">
        <w:t xml:space="preserve"> viceprezidentam </w:t>
      </w:r>
      <w:proofErr w:type="spellStart"/>
      <w:r w:rsidRPr="008C6633">
        <w:t>Jirki</w:t>
      </w:r>
      <w:proofErr w:type="spellEnd"/>
      <w:r w:rsidRPr="008C6633">
        <w:t xml:space="preserve"> </w:t>
      </w:r>
      <w:proofErr w:type="spellStart"/>
      <w:r w:rsidRPr="008C6633">
        <w:t>Katainenam</w:t>
      </w:r>
      <w:proofErr w:type="spellEnd"/>
      <w:r w:rsidRPr="008C6633">
        <w:t xml:space="preserve"> un komisārei </w:t>
      </w:r>
      <w:proofErr w:type="spellStart"/>
      <w:r w:rsidRPr="008C6633">
        <w:t>Elžbetai</w:t>
      </w:r>
      <w:proofErr w:type="spellEnd"/>
      <w:r w:rsidRPr="008C6633">
        <w:t xml:space="preserve"> </w:t>
      </w:r>
      <w:proofErr w:type="spellStart"/>
      <w:r w:rsidRPr="008C6633">
        <w:t>Beņkovskai</w:t>
      </w:r>
      <w:proofErr w:type="spellEnd"/>
      <w:r w:rsidRPr="008C6633">
        <w:t xml:space="preserve"> par nepieciešamību integrēt rūpniecības politiku </w:t>
      </w:r>
      <w:r w:rsidR="000930AE">
        <w:t>EK</w:t>
      </w:r>
      <w:r w:rsidRPr="008C6633">
        <w:t xml:space="preserve"> darba kārtības jautājumos</w:t>
      </w:r>
      <w:r w:rsidR="00593FCE">
        <w:t>. K</w:t>
      </w:r>
      <w:r>
        <w:t xml:space="preserve">opā </w:t>
      </w:r>
      <w:r w:rsidRPr="008C6633">
        <w:t>sagatavoto vēstuli parakstī</w:t>
      </w:r>
      <w:r>
        <w:t>ja</w:t>
      </w:r>
      <w:r w:rsidRPr="008C6633">
        <w:t xml:space="preserve"> </w:t>
      </w:r>
      <w:r>
        <w:t>17</w:t>
      </w:r>
      <w:r w:rsidRPr="008C6633">
        <w:t xml:space="preserve"> ES dalībvalstu ministri, t.sk. Latvija.</w:t>
      </w:r>
    </w:p>
    <w:p w14:paraId="3600EE79" w14:textId="6F738FC1" w:rsidR="00D61D04" w:rsidRPr="008475F1" w:rsidRDefault="00D61D04" w:rsidP="008475F1">
      <w:pPr>
        <w:pStyle w:val="DashEqual2"/>
        <w:numPr>
          <w:ilvl w:val="0"/>
          <w:numId w:val="0"/>
        </w:numPr>
        <w:ind w:firstLine="567"/>
        <w:jc w:val="both"/>
      </w:pPr>
      <w:r w:rsidRPr="008C6633">
        <w:rPr>
          <w:b/>
          <w:u w:val="single"/>
        </w:rPr>
        <w:t>Latvijas nostāja:</w:t>
      </w:r>
    </w:p>
    <w:p w14:paraId="5CC95F10" w14:textId="77777777" w:rsidR="00C10CCC" w:rsidRPr="008C6633" w:rsidRDefault="00C10CCC" w:rsidP="00C10CCC">
      <w:pPr>
        <w:spacing w:after="120"/>
        <w:ind w:firstLine="567"/>
        <w:jc w:val="both"/>
      </w:pPr>
      <w:r w:rsidRPr="008C6633">
        <w:t xml:space="preserve">Latvija kopumā atbalsta </w:t>
      </w:r>
      <w:r>
        <w:t>Vācijas</w:t>
      </w:r>
      <w:r w:rsidRPr="008C6633">
        <w:t xml:space="preserve"> ierosinājumu un cer, ka rūpniecības attīstības stratēģija tiks iekļauta </w:t>
      </w:r>
      <w:r w:rsidR="000930AE">
        <w:t>EK</w:t>
      </w:r>
      <w:r w:rsidRPr="008C6633">
        <w:t xml:space="preserve"> 2017.gada darba programmā</w:t>
      </w:r>
      <w:r w:rsidRPr="008C6633">
        <w:rPr>
          <w:rStyle w:val="s21"/>
        </w:rPr>
        <w:t>.</w:t>
      </w:r>
    </w:p>
    <w:p w14:paraId="3450D11D" w14:textId="77777777" w:rsidR="00C10CCC" w:rsidRPr="008C6633" w:rsidRDefault="00C10CCC" w:rsidP="00C10CCC">
      <w:pPr>
        <w:spacing w:after="120"/>
        <w:ind w:firstLine="567"/>
        <w:jc w:val="both"/>
      </w:pPr>
      <w:r w:rsidRPr="008C6633">
        <w:t xml:space="preserve">Vienlaikus Latvija uzskata, ka būtisks solis turpmākā rūpniecības attīstībā ir rūpniecības </w:t>
      </w:r>
      <w:proofErr w:type="spellStart"/>
      <w:r w:rsidRPr="008C6633">
        <w:t>digitalizācijas</w:t>
      </w:r>
      <w:proofErr w:type="spellEnd"/>
      <w:r w:rsidRPr="008C6633">
        <w:t xml:space="preserve"> ietvars, kas identificē virzienus, kas ir svarīgi arī Latvijas rūpniecības konkurētspējas paaugstināšanai un saskan ar galvenajiem rīcības virzieniem, kas noteikti Latvijas Nacionālās industriālās politikas ietvaros, tostarp, veicināt inovācijas kapacitātes paaugstināšanu, kas ir viens no galvenajiem pīlāriem, lai </w:t>
      </w:r>
      <w:r w:rsidRPr="008C6633">
        <w:lastRenderedPageBreak/>
        <w:t xml:space="preserve">uzlabotu Latvijas rūpniecības nozaru konkurētspēju un paaugstinātu produktivitātes un eksporta apjomus. </w:t>
      </w:r>
    </w:p>
    <w:p w14:paraId="1B731962" w14:textId="77777777" w:rsidR="00C10CCC" w:rsidRPr="008C6633" w:rsidRDefault="00C10CCC" w:rsidP="00C10CCC">
      <w:pPr>
        <w:spacing w:after="120"/>
        <w:ind w:firstLine="567"/>
        <w:jc w:val="both"/>
      </w:pPr>
      <w:r w:rsidRPr="008C6633">
        <w:t xml:space="preserve">Latvija stingri atbalsta iniciatīvas, kas paredzētas, lai sekmētu sadarbību un koordināciju starp dalībvalstīm, veicinot rūpniecības </w:t>
      </w:r>
      <w:proofErr w:type="spellStart"/>
      <w:r w:rsidRPr="008C6633">
        <w:t>digitalizāciju</w:t>
      </w:r>
      <w:proofErr w:type="spellEnd"/>
      <w:r w:rsidRPr="008C6633">
        <w:t>. Vienlaikus norādām, ka pasākumu īstenošanai nevajadzētu radīt nesamērīgu finansiālo vai administratīvo slogu dalībvalstīm.</w:t>
      </w:r>
    </w:p>
    <w:p w14:paraId="29A181E5" w14:textId="77777777" w:rsidR="00D61D04" w:rsidRDefault="00D61D04" w:rsidP="00804875">
      <w:pPr>
        <w:pStyle w:val="ListParagraph"/>
        <w:spacing w:after="120"/>
        <w:ind w:left="1709"/>
        <w:jc w:val="both"/>
        <w:rPr>
          <w:b/>
          <w:iCs/>
        </w:rPr>
      </w:pPr>
    </w:p>
    <w:p w14:paraId="3400F7FF" w14:textId="77777777" w:rsidR="0040182C" w:rsidRDefault="0040182C" w:rsidP="00804875">
      <w:pPr>
        <w:pStyle w:val="ListParagraph"/>
        <w:numPr>
          <w:ilvl w:val="0"/>
          <w:numId w:val="2"/>
        </w:numPr>
        <w:spacing w:after="120"/>
        <w:jc w:val="both"/>
        <w:rPr>
          <w:b/>
          <w:iCs/>
        </w:rPr>
      </w:pPr>
      <w:r w:rsidRPr="008B7968">
        <w:rPr>
          <w:b/>
          <w:iCs/>
        </w:rPr>
        <w:t>Nākamās prezidējošās valsts darba programma</w:t>
      </w:r>
    </w:p>
    <w:p w14:paraId="2436C841" w14:textId="77777777" w:rsidR="0040182C" w:rsidRPr="008B7968" w:rsidRDefault="0040182C" w:rsidP="0040182C">
      <w:pPr>
        <w:pStyle w:val="ListParagraph"/>
        <w:spacing w:after="120"/>
        <w:ind w:left="1709"/>
        <w:jc w:val="both"/>
        <w:rPr>
          <w:b/>
          <w:iCs/>
        </w:rPr>
      </w:pPr>
      <w:r w:rsidRPr="008B7968">
        <w:rPr>
          <w:i/>
          <w:iCs/>
        </w:rPr>
        <w:t>= Maltas delegācijas sniegtā informācija</w:t>
      </w:r>
    </w:p>
    <w:p w14:paraId="64AD3E8D" w14:textId="77777777" w:rsidR="005B0ACE" w:rsidRPr="005B0ACE" w:rsidRDefault="005B0ACE" w:rsidP="00C46887">
      <w:pPr>
        <w:spacing w:after="120"/>
        <w:ind w:firstLine="720"/>
        <w:rPr>
          <w:b/>
          <w:u w:val="single"/>
        </w:rPr>
      </w:pPr>
      <w:r w:rsidRPr="005B0ACE">
        <w:t>Maltas delegācija sniegs informāciju par prioritātēm konkurētspējas jomā 2016.gada pirmajā pusgadā.</w:t>
      </w:r>
    </w:p>
    <w:p w14:paraId="6545985D" w14:textId="77777777" w:rsidR="0040182C" w:rsidRPr="005B0ACE" w:rsidRDefault="0040182C" w:rsidP="005B0ACE">
      <w:pPr>
        <w:spacing w:after="120"/>
        <w:rPr>
          <w:b/>
          <w:u w:val="single"/>
        </w:rPr>
      </w:pPr>
      <w:r w:rsidRPr="005B0ACE">
        <w:rPr>
          <w:b/>
          <w:u w:val="single"/>
        </w:rPr>
        <w:t>Latvijas nostāja:</w:t>
      </w:r>
    </w:p>
    <w:p w14:paraId="3C2A566F" w14:textId="71327614" w:rsidR="0040182C" w:rsidRPr="008B7968" w:rsidRDefault="0040182C" w:rsidP="008475F1">
      <w:pPr>
        <w:spacing w:after="120"/>
        <w:ind w:firstLine="720"/>
        <w:jc w:val="both"/>
      </w:pPr>
      <w:r w:rsidRPr="005B0ACE">
        <w:t>Pieņemt zināšanai sniegto informāciju.</w:t>
      </w:r>
    </w:p>
    <w:p w14:paraId="3F42AFF9" w14:textId="77777777" w:rsidR="0040182C" w:rsidRDefault="0040182C" w:rsidP="0040182C">
      <w:pPr>
        <w:spacing w:line="276" w:lineRule="auto"/>
        <w:jc w:val="both"/>
      </w:pPr>
    </w:p>
    <w:p w14:paraId="7C65C084" w14:textId="77777777" w:rsidR="0040182C" w:rsidRPr="00575AD6" w:rsidRDefault="0040182C" w:rsidP="0040182C">
      <w:pPr>
        <w:spacing w:line="276" w:lineRule="auto"/>
        <w:jc w:val="both"/>
        <w:rPr>
          <w:b/>
        </w:rPr>
      </w:pPr>
      <w:r w:rsidRPr="00575AD6">
        <w:rPr>
          <w:b/>
        </w:rPr>
        <w:t>Latvijas delegācija</w:t>
      </w:r>
    </w:p>
    <w:p w14:paraId="669778B8" w14:textId="77777777" w:rsidR="0040182C" w:rsidRPr="00575AD6" w:rsidRDefault="0040182C" w:rsidP="0040182C">
      <w:pPr>
        <w:spacing w:line="276" w:lineRule="auto"/>
        <w:ind w:left="2835" w:hanging="2977"/>
        <w:jc w:val="both"/>
      </w:pPr>
      <w:r w:rsidRPr="00575AD6">
        <w:t xml:space="preserve">Delegācijas vadītājs: </w:t>
      </w:r>
      <w:r w:rsidRPr="00575AD6">
        <w:tab/>
      </w:r>
      <w:r w:rsidRPr="00575AD6">
        <w:rPr>
          <w:b/>
        </w:rPr>
        <w:t xml:space="preserve">Juris </w:t>
      </w:r>
      <w:proofErr w:type="spellStart"/>
      <w:r w:rsidRPr="00575AD6">
        <w:rPr>
          <w:b/>
        </w:rPr>
        <w:t>Štālmeistars</w:t>
      </w:r>
      <w:proofErr w:type="spellEnd"/>
      <w:r w:rsidRPr="00575AD6">
        <w:t>, vēstnieks, Latvijas Republikas pastāvīgā pārstāvja Eiropas Savienībā vietnieks.</w:t>
      </w:r>
    </w:p>
    <w:p w14:paraId="5BFF12EB" w14:textId="77777777" w:rsidR="0040182C" w:rsidRPr="00575AD6" w:rsidRDefault="0040182C" w:rsidP="0040182C">
      <w:pPr>
        <w:spacing w:line="276" w:lineRule="auto"/>
        <w:ind w:left="2977" w:hanging="2977"/>
        <w:jc w:val="both"/>
      </w:pPr>
    </w:p>
    <w:p w14:paraId="6385A6AC" w14:textId="77777777" w:rsidR="0040182C" w:rsidRPr="00575AD6" w:rsidRDefault="0040182C" w:rsidP="0040182C">
      <w:pPr>
        <w:spacing w:line="276" w:lineRule="auto"/>
        <w:ind w:left="2835" w:hanging="2977"/>
        <w:jc w:val="both"/>
      </w:pPr>
      <w:r w:rsidRPr="00575AD6">
        <w:t xml:space="preserve">Delegācijas dalībnieki: </w:t>
      </w:r>
      <w:r w:rsidRPr="00575AD6">
        <w:tab/>
      </w:r>
      <w:r w:rsidRPr="00575AD6">
        <w:rPr>
          <w:b/>
        </w:rPr>
        <w:t>Zaiga Liepiņa</w:t>
      </w:r>
      <w:r w:rsidRPr="00575AD6">
        <w:t>, Ekonomikas ministrijas valsts sekretāra vietniece;</w:t>
      </w:r>
    </w:p>
    <w:p w14:paraId="19580481" w14:textId="77777777" w:rsidR="0040182C" w:rsidRPr="00575AD6" w:rsidRDefault="00F96CD6" w:rsidP="0040182C">
      <w:pPr>
        <w:spacing w:line="276" w:lineRule="auto"/>
        <w:ind w:left="2835"/>
        <w:jc w:val="both"/>
      </w:pPr>
      <w:r>
        <w:rPr>
          <w:b/>
        </w:rPr>
        <w:t>Aneta Strautmane</w:t>
      </w:r>
      <w:r w:rsidR="0040182C" w:rsidRPr="00575AD6">
        <w:rPr>
          <w:b/>
        </w:rPr>
        <w:t xml:space="preserve">, </w:t>
      </w:r>
      <w:r w:rsidR="0040182C" w:rsidRPr="00575AD6">
        <w:t>Ekonomikas ministrijas Ārējo ekonomisko attiecību departa</w:t>
      </w:r>
      <w:r>
        <w:t>menta, ES lietu nodaļas vecākā referente</w:t>
      </w:r>
      <w:r w:rsidR="0040182C" w:rsidRPr="00575AD6">
        <w:t>;</w:t>
      </w:r>
    </w:p>
    <w:p w14:paraId="60B1918B" w14:textId="77777777" w:rsidR="0040182C" w:rsidRPr="00575AD6" w:rsidRDefault="0040182C" w:rsidP="0040182C">
      <w:pPr>
        <w:spacing w:line="276" w:lineRule="auto"/>
        <w:ind w:left="2835"/>
        <w:jc w:val="both"/>
      </w:pPr>
      <w:r w:rsidRPr="00575AD6">
        <w:rPr>
          <w:b/>
          <w:bCs/>
        </w:rPr>
        <w:t>Rinalds Celmiņš</w:t>
      </w:r>
      <w:r w:rsidRPr="00575AD6">
        <w:rPr>
          <w:bCs/>
        </w:rPr>
        <w:t xml:space="preserve">, </w:t>
      </w:r>
      <w:r w:rsidRPr="00575AD6">
        <w:t>Ekonomikas ministrijas nozares padomnieks Latvijas Republikas Pastāvīgajā pārstāvniecībā Eiropas Savienībā;</w:t>
      </w:r>
    </w:p>
    <w:p w14:paraId="172962AE" w14:textId="77777777" w:rsidR="0040182C" w:rsidRPr="00575AD6" w:rsidRDefault="0040182C" w:rsidP="0040182C">
      <w:pPr>
        <w:spacing w:line="276" w:lineRule="auto"/>
        <w:ind w:left="2835"/>
        <w:jc w:val="both"/>
      </w:pPr>
      <w:r w:rsidRPr="00575AD6">
        <w:rPr>
          <w:b/>
        </w:rPr>
        <w:t>Anna Upena</w:t>
      </w:r>
      <w:r w:rsidRPr="00575AD6">
        <w:t>, Ekonomikas ministrijas nozares padomnieks Latvijas Republikas Pastāvīgajā pārstāvniecībā Eiropas Savienībā.</w:t>
      </w:r>
    </w:p>
    <w:p w14:paraId="29BB773E" w14:textId="77777777" w:rsidR="0040182C" w:rsidRPr="00C9105A" w:rsidRDefault="0040182C" w:rsidP="0040182C">
      <w:pPr>
        <w:ind w:left="2835"/>
        <w:jc w:val="both"/>
        <w:rPr>
          <w:sz w:val="28"/>
          <w:szCs w:val="28"/>
        </w:rPr>
      </w:pPr>
    </w:p>
    <w:p w14:paraId="17DA4AAF" w14:textId="77777777" w:rsidR="0040182C" w:rsidRPr="00C9105A" w:rsidRDefault="0040182C" w:rsidP="0040182C">
      <w:pPr>
        <w:ind w:left="2835"/>
        <w:jc w:val="both"/>
        <w:rPr>
          <w:sz w:val="28"/>
          <w:szCs w:val="28"/>
        </w:rPr>
      </w:pPr>
      <w:r w:rsidRPr="00C9105A">
        <w:rPr>
          <w:b/>
          <w:bCs/>
          <w:sz w:val="28"/>
          <w:szCs w:val="28"/>
        </w:rPr>
        <w:t xml:space="preserve"> </w:t>
      </w:r>
    </w:p>
    <w:p w14:paraId="2C6FE827" w14:textId="77777777" w:rsidR="0040182C" w:rsidRPr="008C6633" w:rsidRDefault="0040182C" w:rsidP="0040182C">
      <w:pPr>
        <w:tabs>
          <w:tab w:val="right" w:pos="8931"/>
        </w:tabs>
      </w:pPr>
      <w:r w:rsidRPr="008C6633">
        <w:t xml:space="preserve">Iesniedzējs: </w:t>
      </w:r>
      <w:r w:rsidRPr="008C6633">
        <w:tab/>
      </w:r>
    </w:p>
    <w:p w14:paraId="5C29EC12" w14:textId="77777777" w:rsidR="0040182C" w:rsidRPr="008C6633" w:rsidRDefault="0040182C" w:rsidP="0040182C">
      <w:pPr>
        <w:tabs>
          <w:tab w:val="right" w:pos="8931"/>
        </w:tabs>
      </w:pPr>
      <w:r w:rsidRPr="008C6633">
        <w:t>Ministru prezidenta biedrs, ekonomikas ministrs</w:t>
      </w:r>
      <w:r w:rsidRPr="008C6633">
        <w:tab/>
        <w:t>A. Ašeradens</w:t>
      </w:r>
    </w:p>
    <w:p w14:paraId="4F524874" w14:textId="77777777" w:rsidR="0040182C" w:rsidRDefault="0040182C" w:rsidP="0040182C">
      <w:pPr>
        <w:jc w:val="both"/>
      </w:pPr>
    </w:p>
    <w:p w14:paraId="308467ED" w14:textId="77777777" w:rsidR="0040182C" w:rsidRPr="008C6633" w:rsidRDefault="0040182C" w:rsidP="0040182C">
      <w:pPr>
        <w:jc w:val="both"/>
      </w:pPr>
    </w:p>
    <w:p w14:paraId="6293BDB2" w14:textId="77777777" w:rsidR="0040182C" w:rsidRPr="008C6633" w:rsidRDefault="0040182C" w:rsidP="0040182C">
      <w:pPr>
        <w:tabs>
          <w:tab w:val="right" w:pos="8931"/>
        </w:tabs>
      </w:pPr>
      <w:r w:rsidRPr="008C6633">
        <w:t>Vīza:</w:t>
      </w:r>
    </w:p>
    <w:p w14:paraId="58E14442" w14:textId="77777777" w:rsidR="0040182C" w:rsidRPr="008C6633" w:rsidRDefault="0040182C" w:rsidP="0040182C">
      <w:pPr>
        <w:tabs>
          <w:tab w:val="right" w:pos="8931"/>
        </w:tabs>
      </w:pPr>
      <w:r w:rsidRPr="008C6633">
        <w:t>Valsts sekretārs</w:t>
      </w:r>
      <w:r w:rsidRPr="008C6633">
        <w:tab/>
        <w:t>J. Stinka</w:t>
      </w:r>
    </w:p>
    <w:p w14:paraId="0C2E1680" w14:textId="77777777" w:rsidR="009D680A" w:rsidRPr="009D680A" w:rsidRDefault="009D680A" w:rsidP="009D680A">
      <w:pPr>
        <w:keepNext/>
        <w:keepLines/>
        <w:spacing w:after="120"/>
        <w:jc w:val="both"/>
        <w:rPr>
          <w:sz w:val="18"/>
          <w:szCs w:val="18"/>
        </w:rPr>
      </w:pPr>
    </w:p>
    <w:p w14:paraId="311E969B" w14:textId="77777777" w:rsidR="009D680A" w:rsidRDefault="009D680A" w:rsidP="0040182C">
      <w:pPr>
        <w:jc w:val="both"/>
        <w:rPr>
          <w:sz w:val="20"/>
          <w:szCs w:val="28"/>
        </w:rPr>
      </w:pPr>
    </w:p>
    <w:p w14:paraId="2724A9E0" w14:textId="3A48C7ED" w:rsidR="0040182C" w:rsidRPr="008475F1" w:rsidRDefault="008475F1" w:rsidP="0040182C">
      <w:pPr>
        <w:jc w:val="both"/>
        <w:rPr>
          <w:sz w:val="20"/>
          <w:szCs w:val="28"/>
        </w:rPr>
      </w:pPr>
      <w:r w:rsidRPr="008475F1">
        <w:rPr>
          <w:sz w:val="20"/>
          <w:szCs w:val="28"/>
        </w:rPr>
        <w:t>2</w:t>
      </w:r>
      <w:r w:rsidR="0040182C" w:rsidRPr="008475F1">
        <w:rPr>
          <w:sz w:val="20"/>
          <w:szCs w:val="28"/>
        </w:rPr>
        <w:t xml:space="preserve">1.11.2016. </w:t>
      </w:r>
    </w:p>
    <w:p w14:paraId="660C1083" w14:textId="18289111" w:rsidR="0040182C" w:rsidRDefault="00E13C0D" w:rsidP="008475F1">
      <w:pPr>
        <w:jc w:val="both"/>
        <w:rPr>
          <w:sz w:val="20"/>
          <w:szCs w:val="28"/>
        </w:rPr>
      </w:pPr>
      <w:r>
        <w:rPr>
          <w:sz w:val="20"/>
          <w:szCs w:val="28"/>
        </w:rPr>
        <w:t>3915</w:t>
      </w:r>
      <w:bookmarkStart w:id="0" w:name="_GoBack"/>
      <w:bookmarkEnd w:id="0"/>
    </w:p>
    <w:p w14:paraId="2318D1CB" w14:textId="77777777" w:rsidR="008475F1" w:rsidRDefault="008475F1" w:rsidP="008475F1">
      <w:pPr>
        <w:tabs>
          <w:tab w:val="left" w:pos="7230"/>
        </w:tabs>
        <w:rPr>
          <w:sz w:val="20"/>
          <w:szCs w:val="20"/>
        </w:rPr>
      </w:pPr>
      <w:proofErr w:type="spellStart"/>
      <w:r w:rsidRPr="006F4744">
        <w:rPr>
          <w:sz w:val="20"/>
          <w:szCs w:val="20"/>
        </w:rPr>
        <w:t>M.Rone</w:t>
      </w:r>
      <w:proofErr w:type="spellEnd"/>
    </w:p>
    <w:p w14:paraId="4387FDB0" w14:textId="7CC87432" w:rsidR="003C792A" w:rsidRPr="009D680A" w:rsidRDefault="008475F1" w:rsidP="009D680A">
      <w:pPr>
        <w:tabs>
          <w:tab w:val="left" w:pos="7230"/>
        </w:tabs>
        <w:rPr>
          <w:sz w:val="20"/>
          <w:szCs w:val="20"/>
        </w:rPr>
      </w:pPr>
      <w:r>
        <w:rPr>
          <w:sz w:val="20"/>
          <w:szCs w:val="20"/>
        </w:rPr>
        <w:t xml:space="preserve">67013265, </w:t>
      </w:r>
      <w:r w:rsidRPr="008475F1">
        <w:rPr>
          <w:sz w:val="20"/>
          <w:szCs w:val="20"/>
          <w:u w:val="single"/>
        </w:rPr>
        <w:t>mara.rone@em.gov.lv</w:t>
      </w:r>
    </w:p>
    <w:sectPr w:rsidR="003C792A" w:rsidRPr="009D680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445F7" w14:textId="77777777" w:rsidR="00625F9B" w:rsidRDefault="00625F9B">
      <w:r>
        <w:separator/>
      </w:r>
    </w:p>
  </w:endnote>
  <w:endnote w:type="continuationSeparator" w:id="0">
    <w:p w14:paraId="5F6545AE" w14:textId="77777777" w:rsidR="00625F9B" w:rsidRDefault="0062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758915"/>
      <w:docPartObj>
        <w:docPartGallery w:val="Page Numbers (Bottom of Page)"/>
        <w:docPartUnique/>
      </w:docPartObj>
    </w:sdtPr>
    <w:sdtEndPr>
      <w:rPr>
        <w:noProof/>
      </w:rPr>
    </w:sdtEndPr>
    <w:sdtContent>
      <w:p w14:paraId="5A6A480F" w14:textId="77777777" w:rsidR="00575AD6" w:rsidRPr="00575AD6" w:rsidRDefault="0040182C" w:rsidP="00575AD6">
        <w:pPr>
          <w:pStyle w:val="Header"/>
          <w:rPr>
            <w:sz w:val="20"/>
          </w:rPr>
        </w:pPr>
        <w:r w:rsidRPr="00575AD6">
          <w:rPr>
            <w:sz w:val="20"/>
          </w:rPr>
          <w:t>EMzino_28-291116_Konkuretspejas_padome; Informatīvais ziņojums par Eiropas Savienības Konkurētspējas ministru padomes 2016. gada 28.-29.novembra sanāksmē izskatāmajiem jautājumiem</w:t>
        </w:r>
      </w:p>
      <w:p w14:paraId="3A5B3DB1" w14:textId="77777777" w:rsidR="00575AD6" w:rsidRDefault="0040182C">
        <w:pPr>
          <w:pStyle w:val="Footer"/>
          <w:jc w:val="right"/>
        </w:pPr>
        <w:r>
          <w:fldChar w:fldCharType="begin"/>
        </w:r>
        <w:r>
          <w:instrText xml:space="preserve"> PAGE   \* MERGEFORMAT </w:instrText>
        </w:r>
        <w:r>
          <w:fldChar w:fldCharType="separate"/>
        </w:r>
        <w:r w:rsidR="00E13C0D">
          <w:rPr>
            <w:noProof/>
          </w:rPr>
          <w:t>10</w:t>
        </w:r>
        <w:r>
          <w:rPr>
            <w:noProof/>
          </w:rPr>
          <w:fldChar w:fldCharType="end"/>
        </w:r>
      </w:p>
    </w:sdtContent>
  </w:sdt>
  <w:p w14:paraId="595A8BC3" w14:textId="77777777" w:rsidR="00575AD6" w:rsidRDefault="00E13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98EE" w14:textId="77777777" w:rsidR="00625F9B" w:rsidRDefault="00625F9B">
      <w:r>
        <w:separator/>
      </w:r>
    </w:p>
  </w:footnote>
  <w:footnote w:type="continuationSeparator" w:id="0">
    <w:p w14:paraId="3E408F01" w14:textId="77777777" w:rsidR="00625F9B" w:rsidRDefault="00625F9B">
      <w:r>
        <w:continuationSeparator/>
      </w:r>
    </w:p>
  </w:footnote>
  <w:footnote w:id="1">
    <w:p w14:paraId="7C310066" w14:textId="77777777" w:rsidR="00851928" w:rsidRPr="00196DB3" w:rsidRDefault="00851928" w:rsidP="00851928">
      <w:pPr>
        <w:pStyle w:val="FootnoteText"/>
      </w:pPr>
      <w:r>
        <w:rPr>
          <w:rStyle w:val="FootnoteReference"/>
        </w:rPr>
        <w:t>1</w:t>
      </w:r>
      <w:r>
        <w:t xml:space="preserve"> </w:t>
      </w:r>
      <w:r w:rsidRPr="00196DB3">
        <w:t xml:space="preserve">Tulk. no angļu val. </w:t>
      </w:r>
      <w:r w:rsidRPr="00196DB3">
        <w:rPr>
          <w:i/>
        </w:rPr>
        <w:t>"</w:t>
      </w:r>
      <w:proofErr w:type="spellStart"/>
      <w:r w:rsidRPr="00196DB3">
        <w:rPr>
          <w:i/>
        </w:rPr>
        <w:t>competitiveness</w:t>
      </w:r>
      <w:proofErr w:type="spellEnd"/>
      <w:r w:rsidRPr="00196DB3">
        <w:rPr>
          <w:i/>
        </w:rPr>
        <w:t xml:space="preserve"> </w:t>
      </w:r>
      <w:proofErr w:type="spellStart"/>
      <w:r w:rsidRPr="00196DB3">
        <w:rPr>
          <w:i/>
        </w:rPr>
        <w:t>check-up</w:t>
      </w:r>
      <w:proofErr w:type="spellEnd"/>
      <w:r w:rsidRPr="00196DB3">
        <w:rPr>
          <w:i/>
        </w:rPr>
        <w:t>"</w:t>
      </w:r>
    </w:p>
  </w:footnote>
  <w:footnote w:id="2">
    <w:p w14:paraId="7EE94A01" w14:textId="77777777" w:rsidR="005F29BE" w:rsidRDefault="005F29BE" w:rsidP="005F29BE">
      <w:pPr>
        <w:pStyle w:val="FootnoteText"/>
      </w:pPr>
      <w:r>
        <w:rPr>
          <w:rStyle w:val="FootnoteReference"/>
        </w:rPr>
        <w:footnoteRef/>
      </w:r>
      <w:r>
        <w:t xml:space="preserve"> </w:t>
      </w:r>
      <w:r w:rsidRPr="00361920">
        <w:t>http://ec.europa.eu/social/main.jsp?catId=1223</w:t>
      </w:r>
    </w:p>
  </w:footnote>
  <w:footnote w:id="3">
    <w:p w14:paraId="56C8F96E" w14:textId="77777777" w:rsidR="00BE3DC2" w:rsidRDefault="00BE3DC2" w:rsidP="00BE3DC2">
      <w:pPr>
        <w:pStyle w:val="FootnoteText"/>
        <w:jc w:val="both"/>
      </w:pPr>
      <w:r>
        <w:rPr>
          <w:rStyle w:val="FootnoteReference"/>
        </w:rPr>
        <w:footnoteRef/>
      </w:r>
      <w:r>
        <w:t xml:space="preserve"> </w:t>
      </w:r>
      <w:r>
        <w:t>Eiropas Parlamenta un Padomes 2006.gada 12.decembra direktīva 2006/123/E par pakalpojumiem iekšējā tirgū.</w:t>
      </w:r>
    </w:p>
  </w:footnote>
  <w:footnote w:id="4">
    <w:p w14:paraId="7715CE8B" w14:textId="77777777" w:rsidR="00BE3DC2" w:rsidRDefault="00BE3DC2" w:rsidP="00BE3DC2">
      <w:pPr>
        <w:pStyle w:val="FootnoteText"/>
        <w:jc w:val="both"/>
      </w:pPr>
      <w:r>
        <w:rPr>
          <w:rStyle w:val="FootnoteReference"/>
        </w:rPr>
        <w:footnoteRef/>
      </w:r>
      <w:r>
        <w:t xml:space="preserve"> </w:t>
      </w:r>
      <w:r w:rsidR="000930AE">
        <w:t xml:space="preserve">EK </w:t>
      </w:r>
      <w:r>
        <w:t>2012.gada pētījums “Pakalpojumu direktīvas ekonomiskā ietekme: pirmais novērtējums pēc īstenošanas”. Pieejams (EN):</w:t>
      </w:r>
    </w:p>
    <w:p w14:paraId="1AA1A5AE" w14:textId="77777777" w:rsidR="00BE3DC2" w:rsidRDefault="00BE3DC2" w:rsidP="00BE3DC2">
      <w:pPr>
        <w:pStyle w:val="FootnoteText"/>
        <w:jc w:val="both"/>
      </w:pPr>
      <w:r>
        <w:t xml:space="preserve"> </w:t>
      </w:r>
      <w:hyperlink r:id="rId1" w:history="1">
        <w:r>
          <w:rPr>
            <w:rStyle w:val="Hyperlink"/>
          </w:rPr>
          <w:t>http://ec.europa.eu/economy_finance/publications/economic_paper/2012/pdf/ecp_456_en.pdf</w:t>
        </w:r>
      </w:hyperlink>
      <w:r>
        <w:t xml:space="preserve"> </w:t>
      </w:r>
    </w:p>
  </w:footnote>
  <w:footnote w:id="5">
    <w:p w14:paraId="465DCF5D" w14:textId="77777777" w:rsidR="00BE3DC2" w:rsidRDefault="00BE3DC2" w:rsidP="00BE3DC2">
      <w:pPr>
        <w:jc w:val="both"/>
      </w:pPr>
      <w:r>
        <w:rPr>
          <w:rStyle w:val="FootnoteReference"/>
        </w:rPr>
        <w:footnoteRef/>
      </w:r>
      <w:r>
        <w:t xml:space="preserve"> </w:t>
      </w:r>
      <w:r w:rsidRPr="009C2C9F">
        <w:rPr>
          <w:sz w:val="20"/>
          <w:szCs w:val="20"/>
        </w:rPr>
        <w:t>Doc. 13370/15</w:t>
      </w:r>
      <w:r w:rsidR="000930AE">
        <w:rPr>
          <w:sz w:val="20"/>
          <w:szCs w:val="20"/>
        </w:rPr>
        <w:t xml:space="preserve"> EK</w:t>
      </w:r>
      <w:r w:rsidRPr="009C2C9F">
        <w:rPr>
          <w:sz w:val="20"/>
          <w:szCs w:val="20"/>
        </w:rPr>
        <w:t xml:space="preserve"> Paziņojumu  Eiropas Parlamenta, Padomei, Eiropas Sociālo lietu komitejai un Reģionālajai komitejai </w:t>
      </w:r>
      <w:hyperlink r:id="rId2" w:history="1">
        <w:r w:rsidRPr="009C2C9F">
          <w:rPr>
            <w:rStyle w:val="Hyperlink"/>
            <w:sz w:val="20"/>
            <w:szCs w:val="20"/>
          </w:rPr>
          <w:t>“Vienotā tirgus pilnīgošana – plašākas iespējas cilvēkiem un uzņēmumiem”</w:t>
        </w:r>
      </w:hyperlink>
      <w:r>
        <w:rPr>
          <w:sz w:val="20"/>
          <w:szCs w:val="20"/>
        </w:rPr>
        <w:t>.</w:t>
      </w:r>
    </w:p>
  </w:footnote>
  <w:footnote w:id="6">
    <w:p w14:paraId="17E903BF" w14:textId="77777777" w:rsidR="00BE3DC2" w:rsidRDefault="00BE3DC2" w:rsidP="00BE3DC2">
      <w:pPr>
        <w:pStyle w:val="FootnoteText"/>
      </w:pPr>
      <w:r>
        <w:rPr>
          <w:rStyle w:val="FootnoteReference"/>
        </w:rPr>
        <w:footnoteRef/>
      </w:r>
      <w:r>
        <w:t xml:space="preserve"> </w:t>
      </w:r>
      <w:r>
        <w:t xml:space="preserve">Doc. 9611/16, </w:t>
      </w:r>
      <w:r w:rsidRPr="00976F20">
        <w:t xml:space="preserve">Priekšlikums </w:t>
      </w:r>
      <w:r>
        <w:t xml:space="preserve">Eiropas Parlamenta un Eiropas Padomes </w:t>
      </w:r>
      <w:proofErr w:type="spellStart"/>
      <w:r>
        <w:t>regulao</w:t>
      </w:r>
      <w:proofErr w:type="spellEnd"/>
      <w:r w:rsidRPr="00976F20">
        <w:t>, ar ko novērš ģeogrāfisko bloķēšanu un cita veida diskrimināciju klientu valstspiederības, dzīvesvietas vai uzņēmējdarbības veikšanas vietas dēļ iekšējā tirgū un groza Regulu (EK) Nr. 2006/2004 un Direktīvu 2009/22/EK</w:t>
      </w:r>
      <w:r>
        <w:t>.</w:t>
      </w:r>
    </w:p>
  </w:footnote>
  <w:footnote w:id="7">
    <w:p w14:paraId="61416B82" w14:textId="77777777" w:rsidR="00BE3DC2" w:rsidRDefault="00BE3DC2" w:rsidP="00BE3DC2">
      <w:pPr>
        <w:pStyle w:val="FootnoteText"/>
      </w:pPr>
      <w:r>
        <w:rPr>
          <w:rStyle w:val="FootnoteReference"/>
        </w:rPr>
        <w:footnoteRef/>
      </w:r>
      <w:r>
        <w:t xml:space="preserve"> </w:t>
      </w:r>
      <w:r>
        <w:t>Doc. 9610/16, Doc. 9706/16,</w:t>
      </w:r>
      <w:r w:rsidRPr="00976F20">
        <w:t xml:space="preserve"> </w:t>
      </w:r>
      <w:r>
        <w:t>Doc. 9565/16,</w:t>
      </w:r>
      <w:r w:rsidRPr="00976F20">
        <w:t xml:space="preserve"> </w:t>
      </w:r>
      <w:r>
        <w:t>Doc. 9610/16 ADD1.</w:t>
      </w:r>
    </w:p>
  </w:footnote>
  <w:footnote w:id="8">
    <w:p w14:paraId="25C6521D" w14:textId="77777777" w:rsidR="00BE3DC2" w:rsidRDefault="00BE3DC2" w:rsidP="00BE3DC2">
      <w:pPr>
        <w:pStyle w:val="FootnoteText"/>
      </w:pPr>
      <w:r>
        <w:rPr>
          <w:rStyle w:val="FootnoteReference"/>
        </w:rPr>
        <w:footnoteRef/>
      </w:r>
      <w:r>
        <w:t xml:space="preserve"> </w:t>
      </w:r>
      <w:r>
        <w:t>Doc. 9969/16,</w:t>
      </w:r>
      <w:r w:rsidRPr="00783AEA">
        <w:t xml:space="preserve"> </w:t>
      </w:r>
      <w:r>
        <w:t>Doc. 9969/16 ADD1, Doc. 10193/16,</w:t>
      </w:r>
      <w:r w:rsidRPr="00976F20">
        <w:t xml:space="preserve"> </w:t>
      </w:r>
      <w:r>
        <w:t>Doc. 9966/16,</w:t>
      </w:r>
      <w:r w:rsidRPr="00976F20">
        <w:t xml:space="preserve"> </w:t>
      </w:r>
      <w:r>
        <w:t>Doc. 9966/16 ADD1.</w:t>
      </w:r>
    </w:p>
  </w:footnote>
  <w:footnote w:id="9">
    <w:p w14:paraId="4448EDFD" w14:textId="77777777" w:rsidR="00BE3DC2" w:rsidRDefault="00BE3DC2" w:rsidP="00BE3DC2">
      <w:pPr>
        <w:pStyle w:val="FootnoteText"/>
      </w:pPr>
      <w:r>
        <w:rPr>
          <w:rStyle w:val="FootnoteReference"/>
        </w:rPr>
        <w:footnoteRef/>
      </w:r>
      <w:r>
        <w:t xml:space="preserve"> </w:t>
      </w:r>
      <w:r>
        <w:t>Doc. 9911/</w:t>
      </w:r>
      <w:r w:rsidRPr="001C42FD">
        <w:t xml:space="preserve">16, </w:t>
      </w:r>
      <w:r w:rsidR="000930AE">
        <w:t>EK</w:t>
      </w:r>
      <w:r w:rsidRPr="001C42FD">
        <w:t xml:space="preserve"> ziņojums Eiropas Parlamentam, Padomei, Eiropas Ekonomikas un sociālo lietu komitejai un Reģionu Komitejai „Eiropas programma sadarbības ekonomikai</w:t>
      </w:r>
    </w:p>
  </w:footnote>
  <w:footnote w:id="10">
    <w:p w14:paraId="3CDED961" w14:textId="77777777" w:rsidR="00C10CCC" w:rsidRDefault="00C10CCC" w:rsidP="00C10CCC">
      <w:pPr>
        <w:pStyle w:val="FootnoteText"/>
      </w:pPr>
      <w:r>
        <w:rPr>
          <w:rStyle w:val="FootnoteReference"/>
        </w:rPr>
        <w:footnoteRef/>
      </w:r>
      <w:r>
        <w:t xml:space="preserve"> </w:t>
      </w:r>
      <w:r w:rsidRPr="004F7234">
        <w:rPr>
          <w:color w:val="000000"/>
        </w:rPr>
        <w:t>Apvienotās Karalistes, Austrijas, Beļģijas, Čehijas, Francijas, Horvātijas, Itālijas, Latvijas, Lietuvas, Luksemburgas, Maltas, Polijas, Portugāles, Rumānijas, Slovēnijas, Spānijas, Ungārijas un Vācijas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1" w15:restartNumberingAfterBreak="0">
    <w:nsid w:val="09941B8E"/>
    <w:multiLevelType w:val="hybridMultilevel"/>
    <w:tmpl w:val="BDFE6B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CDF09DE"/>
    <w:multiLevelType w:val="hybridMultilevel"/>
    <w:tmpl w:val="5F00E7DC"/>
    <w:lvl w:ilvl="0" w:tplc="322C0BB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D54B33"/>
    <w:multiLevelType w:val="hybridMultilevel"/>
    <w:tmpl w:val="4E466802"/>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9840CC3"/>
    <w:multiLevelType w:val="hybridMultilevel"/>
    <w:tmpl w:val="D9C87584"/>
    <w:lvl w:ilvl="0" w:tplc="322C0BB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B75BBA"/>
    <w:multiLevelType w:val="hybridMultilevel"/>
    <w:tmpl w:val="69B234A0"/>
    <w:lvl w:ilvl="0" w:tplc="664254D8">
      <w:start w:val="1"/>
      <w:numFmt w:val="lowerRoman"/>
      <w:lvlText w:val="%1)"/>
      <w:lvlJc w:val="left"/>
      <w:pPr>
        <w:ind w:left="1854" w:hanging="720"/>
      </w:pPr>
      <w:rPr>
        <w:rFonts w:hint="default"/>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7" w15:restartNumberingAfterBreak="0">
    <w:nsid w:val="2E361328"/>
    <w:multiLevelType w:val="hybridMultilevel"/>
    <w:tmpl w:val="F10A9698"/>
    <w:lvl w:ilvl="0" w:tplc="322C0BB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83072E"/>
    <w:multiLevelType w:val="hybridMultilevel"/>
    <w:tmpl w:val="3174A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10" w15:restartNumberingAfterBreak="0">
    <w:nsid w:val="504F297A"/>
    <w:multiLevelType w:val="hybridMultilevel"/>
    <w:tmpl w:val="B4F8062E"/>
    <w:lvl w:ilvl="0" w:tplc="02B422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12" w15:restartNumberingAfterBreak="0">
    <w:nsid w:val="61C93470"/>
    <w:multiLevelType w:val="hybridMultilevel"/>
    <w:tmpl w:val="33B6543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14" w15:restartNumberingAfterBreak="0">
    <w:nsid w:val="70AB1F63"/>
    <w:multiLevelType w:val="hybridMultilevel"/>
    <w:tmpl w:val="07F2494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F169E8"/>
    <w:multiLevelType w:val="hybridMultilevel"/>
    <w:tmpl w:val="9D06557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4397BAF"/>
    <w:multiLevelType w:val="hybridMultilevel"/>
    <w:tmpl w:val="C994EB3C"/>
    <w:lvl w:ilvl="0" w:tplc="04260017">
      <w:start w:val="1"/>
      <w:numFmt w:val="lowerLetter"/>
      <w:lvlText w:val="%1)"/>
      <w:lvlJc w:val="left"/>
      <w:pPr>
        <w:ind w:left="1709" w:hanging="360"/>
      </w:pPr>
    </w:lvl>
    <w:lvl w:ilvl="1" w:tplc="04260019" w:tentative="1">
      <w:start w:val="1"/>
      <w:numFmt w:val="lowerLetter"/>
      <w:lvlText w:val="%2."/>
      <w:lvlJc w:val="left"/>
      <w:pPr>
        <w:ind w:left="2429" w:hanging="360"/>
      </w:pPr>
    </w:lvl>
    <w:lvl w:ilvl="2" w:tplc="0426001B" w:tentative="1">
      <w:start w:val="1"/>
      <w:numFmt w:val="lowerRoman"/>
      <w:lvlText w:val="%3."/>
      <w:lvlJc w:val="right"/>
      <w:pPr>
        <w:ind w:left="3149" w:hanging="180"/>
      </w:pPr>
    </w:lvl>
    <w:lvl w:ilvl="3" w:tplc="0426000F" w:tentative="1">
      <w:start w:val="1"/>
      <w:numFmt w:val="decimal"/>
      <w:lvlText w:val="%4."/>
      <w:lvlJc w:val="left"/>
      <w:pPr>
        <w:ind w:left="3869" w:hanging="360"/>
      </w:pPr>
    </w:lvl>
    <w:lvl w:ilvl="4" w:tplc="04260019" w:tentative="1">
      <w:start w:val="1"/>
      <w:numFmt w:val="lowerLetter"/>
      <w:lvlText w:val="%5."/>
      <w:lvlJc w:val="left"/>
      <w:pPr>
        <w:ind w:left="4589" w:hanging="360"/>
      </w:pPr>
    </w:lvl>
    <w:lvl w:ilvl="5" w:tplc="0426001B" w:tentative="1">
      <w:start w:val="1"/>
      <w:numFmt w:val="lowerRoman"/>
      <w:lvlText w:val="%6."/>
      <w:lvlJc w:val="right"/>
      <w:pPr>
        <w:ind w:left="5309" w:hanging="180"/>
      </w:pPr>
    </w:lvl>
    <w:lvl w:ilvl="6" w:tplc="0426000F" w:tentative="1">
      <w:start w:val="1"/>
      <w:numFmt w:val="decimal"/>
      <w:lvlText w:val="%7."/>
      <w:lvlJc w:val="left"/>
      <w:pPr>
        <w:ind w:left="6029" w:hanging="360"/>
      </w:pPr>
    </w:lvl>
    <w:lvl w:ilvl="7" w:tplc="04260019" w:tentative="1">
      <w:start w:val="1"/>
      <w:numFmt w:val="lowerLetter"/>
      <w:lvlText w:val="%8."/>
      <w:lvlJc w:val="left"/>
      <w:pPr>
        <w:ind w:left="6749" w:hanging="360"/>
      </w:pPr>
    </w:lvl>
    <w:lvl w:ilvl="8" w:tplc="0426001B" w:tentative="1">
      <w:start w:val="1"/>
      <w:numFmt w:val="lowerRoman"/>
      <w:lvlText w:val="%9."/>
      <w:lvlJc w:val="right"/>
      <w:pPr>
        <w:ind w:left="7469" w:hanging="180"/>
      </w:pPr>
    </w:lvl>
  </w:abstractNum>
  <w:abstractNum w:abstractNumId="17" w15:restartNumberingAfterBreak="0">
    <w:nsid w:val="76C94629"/>
    <w:multiLevelType w:val="hybridMultilevel"/>
    <w:tmpl w:val="94F4E372"/>
    <w:lvl w:ilvl="0" w:tplc="04260017">
      <w:start w:val="1"/>
      <w:numFmt w:val="lowerLetter"/>
      <w:lvlText w:val="%1)"/>
      <w:lvlJc w:val="left"/>
      <w:pPr>
        <w:ind w:left="1709" w:hanging="360"/>
      </w:pPr>
    </w:lvl>
    <w:lvl w:ilvl="1" w:tplc="04260019" w:tentative="1">
      <w:start w:val="1"/>
      <w:numFmt w:val="lowerLetter"/>
      <w:lvlText w:val="%2."/>
      <w:lvlJc w:val="left"/>
      <w:pPr>
        <w:ind w:left="2429" w:hanging="360"/>
      </w:pPr>
    </w:lvl>
    <w:lvl w:ilvl="2" w:tplc="0426001B" w:tentative="1">
      <w:start w:val="1"/>
      <w:numFmt w:val="lowerRoman"/>
      <w:lvlText w:val="%3."/>
      <w:lvlJc w:val="right"/>
      <w:pPr>
        <w:ind w:left="3149" w:hanging="180"/>
      </w:pPr>
    </w:lvl>
    <w:lvl w:ilvl="3" w:tplc="0426000F" w:tentative="1">
      <w:start w:val="1"/>
      <w:numFmt w:val="decimal"/>
      <w:lvlText w:val="%4."/>
      <w:lvlJc w:val="left"/>
      <w:pPr>
        <w:ind w:left="3869" w:hanging="360"/>
      </w:pPr>
    </w:lvl>
    <w:lvl w:ilvl="4" w:tplc="04260019" w:tentative="1">
      <w:start w:val="1"/>
      <w:numFmt w:val="lowerLetter"/>
      <w:lvlText w:val="%5."/>
      <w:lvlJc w:val="left"/>
      <w:pPr>
        <w:ind w:left="4589" w:hanging="360"/>
      </w:pPr>
    </w:lvl>
    <w:lvl w:ilvl="5" w:tplc="0426001B" w:tentative="1">
      <w:start w:val="1"/>
      <w:numFmt w:val="lowerRoman"/>
      <w:lvlText w:val="%6."/>
      <w:lvlJc w:val="right"/>
      <w:pPr>
        <w:ind w:left="5309" w:hanging="180"/>
      </w:pPr>
    </w:lvl>
    <w:lvl w:ilvl="6" w:tplc="0426000F" w:tentative="1">
      <w:start w:val="1"/>
      <w:numFmt w:val="decimal"/>
      <w:lvlText w:val="%7."/>
      <w:lvlJc w:val="left"/>
      <w:pPr>
        <w:ind w:left="6029" w:hanging="360"/>
      </w:pPr>
    </w:lvl>
    <w:lvl w:ilvl="7" w:tplc="04260019" w:tentative="1">
      <w:start w:val="1"/>
      <w:numFmt w:val="lowerLetter"/>
      <w:lvlText w:val="%8."/>
      <w:lvlJc w:val="left"/>
      <w:pPr>
        <w:ind w:left="6749" w:hanging="360"/>
      </w:pPr>
    </w:lvl>
    <w:lvl w:ilvl="8" w:tplc="0426001B" w:tentative="1">
      <w:start w:val="1"/>
      <w:numFmt w:val="lowerRoman"/>
      <w:lvlText w:val="%9."/>
      <w:lvlJc w:val="right"/>
      <w:pPr>
        <w:ind w:left="7469" w:hanging="180"/>
      </w:pPr>
    </w:lvl>
  </w:abstractNum>
  <w:abstractNum w:abstractNumId="18" w15:restartNumberingAfterBreak="0">
    <w:nsid w:val="7ACF3A8A"/>
    <w:multiLevelType w:val="singleLevel"/>
    <w:tmpl w:val="0E484FE6"/>
    <w:lvl w:ilvl="0">
      <w:start w:val="1"/>
      <w:numFmt w:val="bullet"/>
      <w:lvlRestart w:val="0"/>
      <w:lvlText w:val="="/>
      <w:lvlJc w:val="left"/>
      <w:pPr>
        <w:tabs>
          <w:tab w:val="num" w:pos="1134"/>
        </w:tabs>
        <w:ind w:left="1134" w:hanging="567"/>
      </w:pPr>
      <w:rPr>
        <w:bdr w:val="none" w:sz="0" w:space="0" w:color="auto"/>
      </w:rPr>
    </w:lvl>
  </w:abstractNum>
  <w:abstractNum w:abstractNumId="19" w15:restartNumberingAfterBreak="0">
    <w:nsid w:val="7D783329"/>
    <w:multiLevelType w:val="hybridMultilevel"/>
    <w:tmpl w:val="CA3AC2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9"/>
  </w:num>
  <w:num w:numId="4">
    <w:abstractNumId w:val="2"/>
  </w:num>
  <w:num w:numId="5">
    <w:abstractNumId w:val="14"/>
  </w:num>
  <w:num w:numId="6">
    <w:abstractNumId w:val="2"/>
  </w:num>
  <w:num w:numId="7">
    <w:abstractNumId w:val="4"/>
  </w:num>
  <w:num w:numId="8">
    <w:abstractNumId w:val="19"/>
  </w:num>
  <w:num w:numId="9">
    <w:abstractNumId w:val="1"/>
  </w:num>
  <w:num w:numId="10">
    <w:abstractNumId w:val="13"/>
  </w:num>
  <w:num w:numId="11">
    <w:abstractNumId w:val="7"/>
  </w:num>
  <w:num w:numId="12">
    <w:abstractNumId w:val="18"/>
    <w:lvlOverride w:ilvl="0">
      <w:startOverride w:val="1"/>
    </w:lvlOverride>
  </w:num>
  <w:num w:numId="13">
    <w:abstractNumId w:val="18"/>
  </w:num>
  <w:num w:numId="14">
    <w:abstractNumId w:val="3"/>
  </w:num>
  <w:num w:numId="15">
    <w:abstractNumId w:val="0"/>
  </w:num>
  <w:num w:numId="16">
    <w:abstractNumId w:val="16"/>
  </w:num>
  <w:num w:numId="17">
    <w:abstractNumId w:val="10"/>
  </w:num>
  <w:num w:numId="18">
    <w:abstractNumId w:val="11"/>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2C"/>
    <w:rsid w:val="00005846"/>
    <w:rsid w:val="00025079"/>
    <w:rsid w:val="000360F9"/>
    <w:rsid w:val="000643A1"/>
    <w:rsid w:val="00085F25"/>
    <w:rsid w:val="000930AE"/>
    <w:rsid w:val="000A4F52"/>
    <w:rsid w:val="000B332F"/>
    <w:rsid w:val="000F6C8D"/>
    <w:rsid w:val="001005B5"/>
    <w:rsid w:val="001045D0"/>
    <w:rsid w:val="00107E47"/>
    <w:rsid w:val="001500F9"/>
    <w:rsid w:val="00155F03"/>
    <w:rsid w:val="001875C8"/>
    <w:rsid w:val="001C6542"/>
    <w:rsid w:val="001E09C6"/>
    <w:rsid w:val="002054B1"/>
    <w:rsid w:val="00206463"/>
    <w:rsid w:val="0021495A"/>
    <w:rsid w:val="0022245B"/>
    <w:rsid w:val="00227A13"/>
    <w:rsid w:val="002369CA"/>
    <w:rsid w:val="00255A20"/>
    <w:rsid w:val="00267245"/>
    <w:rsid w:val="00272288"/>
    <w:rsid w:val="00300E00"/>
    <w:rsid w:val="003951C0"/>
    <w:rsid w:val="003A331B"/>
    <w:rsid w:val="003A65FF"/>
    <w:rsid w:val="003C248D"/>
    <w:rsid w:val="003C792A"/>
    <w:rsid w:val="003E0AD6"/>
    <w:rsid w:val="003E277F"/>
    <w:rsid w:val="003E455D"/>
    <w:rsid w:val="003F0F38"/>
    <w:rsid w:val="0040182C"/>
    <w:rsid w:val="0041120B"/>
    <w:rsid w:val="00423F04"/>
    <w:rsid w:val="00444749"/>
    <w:rsid w:val="00451EEC"/>
    <w:rsid w:val="00455480"/>
    <w:rsid w:val="004B67DF"/>
    <w:rsid w:val="004B6F2F"/>
    <w:rsid w:val="00522747"/>
    <w:rsid w:val="0055542F"/>
    <w:rsid w:val="00582E25"/>
    <w:rsid w:val="00593FCE"/>
    <w:rsid w:val="005B0ACE"/>
    <w:rsid w:val="005B78F4"/>
    <w:rsid w:val="005C0FE0"/>
    <w:rsid w:val="005E1BA4"/>
    <w:rsid w:val="005E4A4A"/>
    <w:rsid w:val="005F29BE"/>
    <w:rsid w:val="005F7DBD"/>
    <w:rsid w:val="00616592"/>
    <w:rsid w:val="00625F9B"/>
    <w:rsid w:val="00630BB2"/>
    <w:rsid w:val="00654BC4"/>
    <w:rsid w:val="00696BF8"/>
    <w:rsid w:val="006D38AC"/>
    <w:rsid w:val="006E3F2D"/>
    <w:rsid w:val="007244DD"/>
    <w:rsid w:val="007279BF"/>
    <w:rsid w:val="007441EB"/>
    <w:rsid w:val="00765250"/>
    <w:rsid w:val="00774CBE"/>
    <w:rsid w:val="00775E33"/>
    <w:rsid w:val="00786C78"/>
    <w:rsid w:val="007A050A"/>
    <w:rsid w:val="00804875"/>
    <w:rsid w:val="00804C75"/>
    <w:rsid w:val="00836CEF"/>
    <w:rsid w:val="008475F1"/>
    <w:rsid w:val="00851928"/>
    <w:rsid w:val="00885C96"/>
    <w:rsid w:val="00897B74"/>
    <w:rsid w:val="008A5C50"/>
    <w:rsid w:val="008B0595"/>
    <w:rsid w:val="008C0C08"/>
    <w:rsid w:val="008D3E0B"/>
    <w:rsid w:val="00912975"/>
    <w:rsid w:val="00930130"/>
    <w:rsid w:val="00956C96"/>
    <w:rsid w:val="0096161D"/>
    <w:rsid w:val="00991A21"/>
    <w:rsid w:val="009B0356"/>
    <w:rsid w:val="009B7786"/>
    <w:rsid w:val="009D1B3D"/>
    <w:rsid w:val="009D680A"/>
    <w:rsid w:val="00A52D34"/>
    <w:rsid w:val="00A80EEB"/>
    <w:rsid w:val="00A928AC"/>
    <w:rsid w:val="00AA6994"/>
    <w:rsid w:val="00AA6E12"/>
    <w:rsid w:val="00AE0FE3"/>
    <w:rsid w:val="00AF002B"/>
    <w:rsid w:val="00B35276"/>
    <w:rsid w:val="00B52928"/>
    <w:rsid w:val="00B63E41"/>
    <w:rsid w:val="00BA194F"/>
    <w:rsid w:val="00BB209E"/>
    <w:rsid w:val="00BC6BA8"/>
    <w:rsid w:val="00BD201B"/>
    <w:rsid w:val="00BE3DC2"/>
    <w:rsid w:val="00C06F53"/>
    <w:rsid w:val="00C07C95"/>
    <w:rsid w:val="00C10CCC"/>
    <w:rsid w:val="00C26AB0"/>
    <w:rsid w:val="00C46887"/>
    <w:rsid w:val="00CD3690"/>
    <w:rsid w:val="00CF4B47"/>
    <w:rsid w:val="00D14C11"/>
    <w:rsid w:val="00D34733"/>
    <w:rsid w:val="00D4444F"/>
    <w:rsid w:val="00D54537"/>
    <w:rsid w:val="00D565B0"/>
    <w:rsid w:val="00D61D04"/>
    <w:rsid w:val="00D62EBB"/>
    <w:rsid w:val="00D71C8A"/>
    <w:rsid w:val="00D77789"/>
    <w:rsid w:val="00DB785A"/>
    <w:rsid w:val="00DE149D"/>
    <w:rsid w:val="00DE7838"/>
    <w:rsid w:val="00E13C0D"/>
    <w:rsid w:val="00E52D2B"/>
    <w:rsid w:val="00E54060"/>
    <w:rsid w:val="00EA05BC"/>
    <w:rsid w:val="00EC545E"/>
    <w:rsid w:val="00ED042B"/>
    <w:rsid w:val="00EE0B74"/>
    <w:rsid w:val="00F01226"/>
    <w:rsid w:val="00F07899"/>
    <w:rsid w:val="00F66A05"/>
    <w:rsid w:val="00F80D0B"/>
    <w:rsid w:val="00F96CD6"/>
    <w:rsid w:val="00FB31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FC18"/>
  <w15:docId w15:val="{D0594E22-25FE-4CCA-AB3A-6B1AF873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2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40182C"/>
    <w:pPr>
      <w:jc w:val="center"/>
    </w:pPr>
    <w:rPr>
      <w:b/>
      <w:szCs w:val="20"/>
      <w:lang w:eastAsia="en-US"/>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40182C"/>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40182C"/>
    <w:pPr>
      <w:tabs>
        <w:tab w:val="center" w:pos="4153"/>
        <w:tab w:val="right" w:pos="8306"/>
      </w:tabs>
    </w:pPr>
  </w:style>
  <w:style w:type="character" w:customStyle="1" w:styleId="HeaderChar">
    <w:name w:val="Header Char"/>
    <w:basedOn w:val="DefaultParagraphFont"/>
    <w:link w:val="Header"/>
    <w:uiPriority w:val="99"/>
    <w:rsid w:val="0040182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0182C"/>
    <w:pPr>
      <w:tabs>
        <w:tab w:val="center" w:pos="4153"/>
        <w:tab w:val="right" w:pos="8306"/>
      </w:tabs>
    </w:pPr>
  </w:style>
  <w:style w:type="character" w:customStyle="1" w:styleId="FooterChar">
    <w:name w:val="Footer Char"/>
    <w:basedOn w:val="DefaultParagraphFont"/>
    <w:link w:val="Footer"/>
    <w:uiPriority w:val="99"/>
    <w:rsid w:val="0040182C"/>
    <w:rPr>
      <w:rFonts w:ascii="Times New Roman" w:eastAsia="Times New Roman" w:hAnsi="Times New Roman" w:cs="Times New Roman"/>
      <w:sz w:val="24"/>
      <w:szCs w:val="24"/>
      <w:lang w:eastAsia="lv-LV"/>
    </w:rPr>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Bull"/>
    <w:basedOn w:val="Normal"/>
    <w:link w:val="ListParagraphChar"/>
    <w:uiPriority w:val="34"/>
    <w:qFormat/>
    <w:rsid w:val="0040182C"/>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Bull Char"/>
    <w:link w:val="ListParagraph"/>
    <w:uiPriority w:val="34"/>
    <w:qFormat/>
    <w:locked/>
    <w:rsid w:val="0040182C"/>
    <w:rPr>
      <w:rFonts w:ascii="Times New Roman" w:eastAsia="Times New Roman" w:hAnsi="Times New Roman" w:cs="Times New Roman"/>
      <w:sz w:val="24"/>
      <w:szCs w:val="24"/>
      <w:lang w:eastAsia="lv-LV"/>
    </w:rPr>
  </w:style>
  <w:style w:type="paragraph" w:styleId="FootnoteText">
    <w:name w:val="footnote text"/>
    <w:aliases w:val="Char,Footnote,Fußnote,Footnote text,Footnote Text Char2,Footnote Text Char1 Char,Footnote Text Char2 Char Char,Footnote Text Char1 Char Char Char,Footnote Text Char2 Char Char Char Char,Footnote Text Char Char1 Char Char Char Char,o,fußn,f"/>
    <w:basedOn w:val="Normal"/>
    <w:link w:val="FootnoteTextChar"/>
    <w:unhideWhenUsed/>
    <w:qFormat/>
    <w:rsid w:val="00851928"/>
    <w:rPr>
      <w:rFonts w:eastAsiaTheme="minorHAnsi" w:cstheme="minorBidi"/>
      <w:sz w:val="20"/>
      <w:szCs w:val="20"/>
      <w:lang w:eastAsia="en-US"/>
    </w:rPr>
  </w:style>
  <w:style w:type="character" w:customStyle="1" w:styleId="FootnoteTextChar">
    <w:name w:val="Footnote Text Char"/>
    <w:aliases w:val="Char Char,Footnote Char,Fußnote Char,Footnote text Char,Footnote Text Char2 Char,Footnote Text Char1 Char Char,Footnote Text Char2 Char Char Char,Footnote Text Char1 Char Char Char Char,Footnote Text Char2 Char Char Char Char Char"/>
    <w:basedOn w:val="DefaultParagraphFont"/>
    <w:link w:val="FootnoteText"/>
    <w:rsid w:val="00851928"/>
    <w:rPr>
      <w:rFonts w:ascii="Times New Roman" w:hAnsi="Times New Roman"/>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16Point"/>
    <w:uiPriority w:val="99"/>
    <w:unhideWhenUsed/>
    <w:qFormat/>
    <w:rsid w:val="00851928"/>
    <w:rPr>
      <w:vertAlign w:val="superscript"/>
    </w:rPr>
  </w:style>
  <w:style w:type="paragraph" w:customStyle="1" w:styleId="16Point">
    <w:name w:val="16 Point"/>
    <w:aliases w:val="Superscript 6 Point,Odwołanie przypisu,de nota al pie,footnote ref,2001+ Fußnotenzeichen,Exposant 3 Point"/>
    <w:basedOn w:val="Normal"/>
    <w:link w:val="FootnoteReference"/>
    <w:uiPriority w:val="99"/>
    <w:rsid w:val="00851928"/>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DashEqual1">
    <w:name w:val="Dash Equal 1"/>
    <w:basedOn w:val="Normal"/>
    <w:rsid w:val="00851928"/>
    <w:pPr>
      <w:numPr>
        <w:numId w:val="3"/>
      </w:numPr>
    </w:pPr>
    <w:rPr>
      <w:rFonts w:eastAsiaTheme="minorHAnsi"/>
      <w:lang w:val="en-US" w:eastAsia="en-US"/>
    </w:rPr>
  </w:style>
  <w:style w:type="paragraph" w:styleId="CommentText">
    <w:name w:val="annotation text"/>
    <w:basedOn w:val="Normal"/>
    <w:link w:val="CommentTextChar"/>
    <w:unhideWhenUsed/>
    <w:rsid w:val="00851928"/>
    <w:pPr>
      <w:spacing w:before="120" w:after="120"/>
    </w:pPr>
    <w:rPr>
      <w:sz w:val="20"/>
      <w:szCs w:val="20"/>
      <w:lang w:val="en-GB" w:eastAsia="en-US"/>
    </w:rPr>
  </w:style>
  <w:style w:type="character" w:customStyle="1" w:styleId="CommentTextChar">
    <w:name w:val="Comment Text Char"/>
    <w:basedOn w:val="DefaultParagraphFont"/>
    <w:link w:val="CommentText"/>
    <w:rsid w:val="00851928"/>
    <w:rPr>
      <w:rFonts w:ascii="Times New Roman" w:eastAsia="Times New Roman" w:hAnsi="Times New Roman" w:cs="Times New Roman"/>
      <w:sz w:val="20"/>
      <w:szCs w:val="20"/>
      <w:lang w:val="en-GB"/>
    </w:rPr>
  </w:style>
  <w:style w:type="character" w:customStyle="1" w:styleId="punktiChar">
    <w:name w:val="punkti Char"/>
    <w:basedOn w:val="DefaultParagraphFont"/>
    <w:link w:val="punkti"/>
    <w:locked/>
    <w:rsid w:val="00851928"/>
    <w:rPr>
      <w:rFonts w:ascii="Helv" w:hAnsi="Helv" w:cs="Helv"/>
      <w:color w:val="000000"/>
      <w:sz w:val="24"/>
    </w:rPr>
  </w:style>
  <w:style w:type="paragraph" w:customStyle="1" w:styleId="punkti">
    <w:name w:val="punkti"/>
    <w:basedOn w:val="Normal"/>
    <w:link w:val="punktiChar"/>
    <w:rsid w:val="00851928"/>
    <w:pPr>
      <w:numPr>
        <w:numId w:val="4"/>
      </w:numPr>
      <w:spacing w:after="120"/>
      <w:contextualSpacing/>
      <w:jc w:val="both"/>
    </w:pPr>
    <w:rPr>
      <w:rFonts w:ascii="Helv" w:eastAsiaTheme="minorHAnsi" w:hAnsi="Helv" w:cs="Helv"/>
      <w:color w:val="000000"/>
      <w:szCs w:val="22"/>
      <w:lang w:eastAsia="en-US"/>
    </w:rPr>
  </w:style>
  <w:style w:type="character" w:styleId="CommentReference">
    <w:name w:val="annotation reference"/>
    <w:basedOn w:val="DefaultParagraphFont"/>
    <w:uiPriority w:val="99"/>
    <w:semiHidden/>
    <w:unhideWhenUsed/>
    <w:rsid w:val="00ED042B"/>
    <w:rPr>
      <w:sz w:val="16"/>
      <w:szCs w:val="16"/>
    </w:rPr>
  </w:style>
  <w:style w:type="paragraph" w:styleId="CommentSubject">
    <w:name w:val="annotation subject"/>
    <w:basedOn w:val="CommentText"/>
    <w:next w:val="CommentText"/>
    <w:link w:val="CommentSubjectChar"/>
    <w:uiPriority w:val="99"/>
    <w:semiHidden/>
    <w:unhideWhenUsed/>
    <w:rsid w:val="00ED042B"/>
    <w:pPr>
      <w:spacing w:before="0" w:after="0"/>
    </w:pPr>
    <w:rPr>
      <w:b/>
      <w:bCs/>
      <w:lang w:val="lv-LV" w:eastAsia="lv-LV"/>
    </w:rPr>
  </w:style>
  <w:style w:type="character" w:customStyle="1" w:styleId="CommentSubjectChar">
    <w:name w:val="Comment Subject Char"/>
    <w:basedOn w:val="CommentTextChar"/>
    <w:link w:val="CommentSubject"/>
    <w:uiPriority w:val="99"/>
    <w:semiHidden/>
    <w:rsid w:val="00ED042B"/>
    <w:rPr>
      <w:rFonts w:ascii="Times New Roman" w:eastAsia="Times New Roman" w:hAnsi="Times New Roman" w:cs="Times New Roman"/>
      <w:b/>
      <w:bCs/>
      <w:sz w:val="20"/>
      <w:szCs w:val="20"/>
      <w:lang w:val="en-GB" w:eastAsia="lv-LV"/>
    </w:rPr>
  </w:style>
  <w:style w:type="paragraph" w:styleId="BalloonText">
    <w:name w:val="Balloon Text"/>
    <w:basedOn w:val="Normal"/>
    <w:link w:val="BalloonTextChar"/>
    <w:uiPriority w:val="99"/>
    <w:semiHidden/>
    <w:unhideWhenUsed/>
    <w:rsid w:val="00ED0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2B"/>
    <w:rPr>
      <w:rFonts w:ascii="Segoe UI" w:eastAsia="Times New Roman" w:hAnsi="Segoe UI" w:cs="Segoe UI"/>
      <w:sz w:val="18"/>
      <w:szCs w:val="18"/>
      <w:lang w:eastAsia="lv-LV"/>
    </w:rPr>
  </w:style>
  <w:style w:type="paragraph" w:customStyle="1" w:styleId="PointManual">
    <w:name w:val="Point Manual"/>
    <w:basedOn w:val="Normal"/>
    <w:rsid w:val="00956C96"/>
    <w:pPr>
      <w:spacing w:before="200"/>
      <w:ind w:left="567" w:hanging="567"/>
    </w:pPr>
    <w:rPr>
      <w:rFonts w:eastAsiaTheme="minorHAnsi"/>
      <w:szCs w:val="22"/>
      <w:lang w:eastAsia="de-DE"/>
    </w:rPr>
  </w:style>
  <w:style w:type="paragraph" w:customStyle="1" w:styleId="Dash">
    <w:name w:val="Dash"/>
    <w:basedOn w:val="Normal"/>
    <w:rsid w:val="00956C96"/>
    <w:pPr>
      <w:numPr>
        <w:numId w:val="10"/>
      </w:numPr>
      <w:spacing w:before="200"/>
    </w:pPr>
    <w:rPr>
      <w:rFonts w:eastAsiaTheme="minorHAnsi"/>
      <w:szCs w:val="22"/>
      <w:lang w:eastAsia="de-DE"/>
    </w:rPr>
  </w:style>
  <w:style w:type="paragraph" w:customStyle="1" w:styleId="PointManual1">
    <w:name w:val="Point Manual (1)"/>
    <w:basedOn w:val="Normal"/>
    <w:rsid w:val="00956C96"/>
    <w:pPr>
      <w:ind w:left="1134" w:hanging="567"/>
    </w:pPr>
    <w:rPr>
      <w:rFonts w:eastAsiaTheme="minorHAnsi"/>
      <w:szCs w:val="22"/>
      <w:lang w:eastAsia="de-DE"/>
    </w:rPr>
  </w:style>
  <w:style w:type="paragraph" w:customStyle="1" w:styleId="Text1">
    <w:name w:val="Text 1"/>
    <w:basedOn w:val="Normal"/>
    <w:rsid w:val="00956C96"/>
    <w:pPr>
      <w:ind w:left="567"/>
    </w:pPr>
    <w:rPr>
      <w:rFonts w:eastAsiaTheme="minorHAnsi"/>
      <w:szCs w:val="22"/>
      <w:lang w:eastAsia="de-DE"/>
    </w:rPr>
  </w:style>
  <w:style w:type="paragraph" w:customStyle="1" w:styleId="Dash1">
    <w:name w:val="Dash 1"/>
    <w:basedOn w:val="Normal"/>
    <w:rsid w:val="00CF4B47"/>
    <w:pPr>
      <w:numPr>
        <w:numId w:val="15"/>
      </w:numPr>
    </w:pPr>
    <w:rPr>
      <w:rFonts w:eastAsiaTheme="minorHAnsi"/>
      <w:szCs w:val="22"/>
      <w:lang w:eastAsia="de-DE"/>
    </w:rPr>
  </w:style>
  <w:style w:type="paragraph" w:customStyle="1" w:styleId="Text2">
    <w:name w:val="Text 2"/>
    <w:basedOn w:val="Normal"/>
    <w:rsid w:val="00804875"/>
    <w:pPr>
      <w:ind w:left="1134"/>
    </w:pPr>
    <w:rPr>
      <w:rFonts w:eastAsiaTheme="minorHAnsi"/>
      <w:szCs w:val="22"/>
      <w:lang w:eastAsia="de-DE"/>
    </w:rPr>
  </w:style>
  <w:style w:type="paragraph" w:customStyle="1" w:styleId="Text3">
    <w:name w:val="Text 3"/>
    <w:basedOn w:val="Normal"/>
    <w:rsid w:val="00804875"/>
    <w:pPr>
      <w:ind w:left="1701"/>
    </w:pPr>
    <w:rPr>
      <w:rFonts w:eastAsiaTheme="minorHAnsi"/>
      <w:szCs w:val="22"/>
      <w:lang w:eastAsia="de-DE"/>
    </w:rPr>
  </w:style>
  <w:style w:type="paragraph" w:customStyle="1" w:styleId="PointManual2">
    <w:name w:val="Point Manual (2)"/>
    <w:basedOn w:val="Normal"/>
    <w:rsid w:val="00804875"/>
    <w:pPr>
      <w:ind w:left="1701" w:hanging="567"/>
    </w:pPr>
    <w:rPr>
      <w:rFonts w:eastAsiaTheme="minorHAnsi"/>
      <w:szCs w:val="22"/>
      <w:lang w:eastAsia="de-DE"/>
    </w:rPr>
  </w:style>
  <w:style w:type="paragraph" w:customStyle="1" w:styleId="DashEqual2">
    <w:name w:val="Dash Equal 2"/>
    <w:basedOn w:val="Normal"/>
    <w:rsid w:val="00804875"/>
    <w:pPr>
      <w:numPr>
        <w:numId w:val="18"/>
      </w:numPr>
    </w:pPr>
    <w:rPr>
      <w:rFonts w:eastAsiaTheme="minorHAnsi"/>
      <w:szCs w:val="22"/>
      <w:lang w:eastAsia="de-DE"/>
    </w:rPr>
  </w:style>
  <w:style w:type="character" w:styleId="Hyperlink">
    <w:name w:val="Hyperlink"/>
    <w:uiPriority w:val="99"/>
    <w:semiHidden/>
    <w:unhideWhenUsed/>
    <w:rsid w:val="00BE3DC2"/>
    <w:rPr>
      <w:color w:val="0000FF"/>
      <w:u w:val="single"/>
    </w:rPr>
  </w:style>
  <w:style w:type="paragraph" w:styleId="NormalWeb">
    <w:name w:val="Normal (Web)"/>
    <w:basedOn w:val="Normal"/>
    <w:uiPriority w:val="99"/>
    <w:semiHidden/>
    <w:unhideWhenUsed/>
    <w:rsid w:val="001E09C6"/>
    <w:pPr>
      <w:spacing w:before="100" w:beforeAutospacing="1" w:after="100" w:afterAutospacing="1"/>
    </w:pPr>
  </w:style>
  <w:style w:type="character" w:customStyle="1" w:styleId="apple-converted-space">
    <w:name w:val="apple-converted-space"/>
    <w:basedOn w:val="DefaultParagraphFont"/>
    <w:rsid w:val="001E09C6"/>
  </w:style>
  <w:style w:type="character" w:customStyle="1" w:styleId="s21">
    <w:name w:val="s21"/>
    <w:basedOn w:val="DefaultParagraphFont"/>
    <w:rsid w:val="00C1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79153">
      <w:bodyDiv w:val="1"/>
      <w:marLeft w:val="0"/>
      <w:marRight w:val="0"/>
      <w:marTop w:val="0"/>
      <w:marBottom w:val="0"/>
      <w:divBdr>
        <w:top w:val="none" w:sz="0" w:space="0" w:color="auto"/>
        <w:left w:val="none" w:sz="0" w:space="0" w:color="auto"/>
        <w:bottom w:val="none" w:sz="0" w:space="0" w:color="auto"/>
        <w:right w:val="none" w:sz="0" w:space="0" w:color="auto"/>
      </w:divBdr>
    </w:div>
    <w:div w:id="12476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regdoc/rep/1/2015/EN/1-2015-550-EN-F1-1.PDF" TargetMode="External"/><Relationship Id="rId1" Type="http://schemas.openxmlformats.org/officeDocument/2006/relationships/hyperlink" Target="http://ec.europa.eu/economy_finance/publications/economic_paper/2012/pdf/ecp_45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4B46-B4F6-47B4-B322-6638BF1D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19629</Words>
  <Characters>11190</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Strautmane</dc:creator>
  <cp:lastModifiedBy>Aneta Strautmane</cp:lastModifiedBy>
  <cp:revision>4</cp:revision>
  <cp:lastPrinted>2016-11-15T12:35:00Z</cp:lastPrinted>
  <dcterms:created xsi:type="dcterms:W3CDTF">2016-11-21T10:59:00Z</dcterms:created>
  <dcterms:modified xsi:type="dcterms:W3CDTF">2016-11-21T11:02:00Z</dcterms:modified>
</cp:coreProperties>
</file>