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B9" w:rsidRDefault="00D87FCE" w:rsidP="00D87FCE">
      <w:pPr>
        <w:pStyle w:val="BodyText"/>
        <w:tabs>
          <w:tab w:val="left" w:pos="1741"/>
          <w:tab w:val="center" w:pos="4323"/>
        </w:tabs>
        <w:jc w:val="left"/>
      </w:pPr>
      <w:bookmarkStart w:id="0" w:name="OLE_LINK1"/>
      <w:bookmarkStart w:id="1" w:name="OLE_LINK2"/>
      <w:r w:rsidRPr="009C372C">
        <w:tab/>
      </w:r>
      <w:r w:rsidRPr="009C372C">
        <w:tab/>
      </w:r>
    </w:p>
    <w:p w:rsidR="00AC5C4A" w:rsidRPr="009C372C" w:rsidRDefault="00AC5C4A" w:rsidP="006027B9">
      <w:pPr>
        <w:pStyle w:val="BodyText"/>
        <w:tabs>
          <w:tab w:val="left" w:pos="1741"/>
          <w:tab w:val="center" w:pos="4323"/>
        </w:tabs>
      </w:pPr>
      <w:r w:rsidRPr="009C372C">
        <w:t>Ministru kabineta rīkojuma projekts</w:t>
      </w:r>
    </w:p>
    <w:p w:rsidR="00306AB4" w:rsidRPr="009C372C" w:rsidRDefault="00306AB4" w:rsidP="00306AB4">
      <w:pPr>
        <w:pStyle w:val="BodyText"/>
      </w:pPr>
      <w:bookmarkStart w:id="2" w:name="OLE_LINK3"/>
      <w:bookmarkStart w:id="3" w:name="OLE_LINK4"/>
      <w:r w:rsidRPr="009C372C">
        <w:t>„Grozījumi Ministru kabineta 2011.gada 8.jūlija rīkojumā Nr.307</w:t>
      </w:r>
    </w:p>
    <w:bookmarkEnd w:id="2"/>
    <w:bookmarkEnd w:id="3"/>
    <w:p w:rsidR="00E562F1" w:rsidRDefault="00306AB4" w:rsidP="00306AB4">
      <w:pPr>
        <w:pStyle w:val="BodyText"/>
      </w:pPr>
      <w:r w:rsidRPr="009C372C">
        <w:t>„Par finansējuma piešķiršanu Padomju okupācijas upuru piemiņas memoriāla kompleksa Latviešu strēlnieku laukumā, Rīgā, izveides izdevumu segšanai””</w:t>
      </w:r>
      <w:r w:rsidR="00AC5C4A" w:rsidRPr="009C372C">
        <w:t xml:space="preserve"> sākotnējās ietekmes novērtējuma </w:t>
      </w:r>
      <w:smartTag w:uri="schemas-tilde-lv/tildestengine" w:element="veidnes">
        <w:smartTagPr>
          <w:attr w:name="id" w:val="-1"/>
          <w:attr w:name="baseform" w:val="ziņojums"/>
          <w:attr w:name="text" w:val="ziņojums"/>
        </w:smartTagPr>
        <w:r w:rsidR="00AC5C4A" w:rsidRPr="009C372C">
          <w:t>ziņojums</w:t>
        </w:r>
      </w:smartTag>
      <w:r w:rsidR="00AC5C4A" w:rsidRPr="009C372C">
        <w:t xml:space="preserve"> (anotācija)</w:t>
      </w:r>
    </w:p>
    <w:p w:rsidR="00BE1BB7" w:rsidRPr="009C372C" w:rsidRDefault="00BE1BB7" w:rsidP="00306AB4">
      <w:pPr>
        <w:pStyle w:val="BodyText"/>
      </w:pPr>
    </w:p>
    <w:tbl>
      <w:tblPr>
        <w:tblpPr w:leftFromText="180" w:rightFromText="180" w:vertAnchor="text" w:horzAnchor="margin" w:tblpXSpec="center" w:tblpY="149"/>
        <w:tblW w:w="5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
        <w:gridCol w:w="1388"/>
        <w:gridCol w:w="8383"/>
      </w:tblGrid>
      <w:tr w:rsidR="009C372C" w:rsidRPr="009C372C" w:rsidTr="00467942">
        <w:trPr>
          <w:trHeight w:val="281"/>
        </w:trPr>
        <w:tc>
          <w:tcPr>
            <w:tcW w:w="5000" w:type="pct"/>
            <w:gridSpan w:val="3"/>
            <w:vAlign w:val="center"/>
          </w:tcPr>
          <w:p w:rsidR="00920EB8" w:rsidRPr="009C372C" w:rsidRDefault="00920EB8" w:rsidP="00920EB8">
            <w:pPr>
              <w:pStyle w:val="naisnod"/>
              <w:spacing w:before="120" w:beforeAutospacing="0" w:after="120" w:afterAutospacing="0"/>
              <w:jc w:val="center"/>
              <w:rPr>
                <w:b/>
              </w:rPr>
            </w:pPr>
            <w:r w:rsidRPr="009C372C">
              <w:rPr>
                <w:b/>
              </w:rPr>
              <w:t>I. Tiesību akta projekta izstrādes nepieciešamība</w:t>
            </w:r>
          </w:p>
        </w:tc>
      </w:tr>
      <w:tr w:rsidR="009C372C" w:rsidRPr="009C372C" w:rsidTr="00467942">
        <w:trPr>
          <w:trHeight w:val="630"/>
        </w:trPr>
        <w:tc>
          <w:tcPr>
            <w:tcW w:w="150" w:type="pct"/>
          </w:tcPr>
          <w:p w:rsidR="00920EB8" w:rsidRPr="009C372C" w:rsidRDefault="00920EB8" w:rsidP="00920EB8">
            <w:pPr>
              <w:pStyle w:val="naiskr"/>
              <w:spacing w:before="0" w:after="0"/>
            </w:pPr>
            <w:r w:rsidRPr="009C372C">
              <w:t>1.</w:t>
            </w:r>
          </w:p>
        </w:tc>
        <w:tc>
          <w:tcPr>
            <w:tcW w:w="689" w:type="pct"/>
          </w:tcPr>
          <w:p w:rsidR="00920EB8" w:rsidRPr="009C372C" w:rsidRDefault="00920EB8" w:rsidP="00211B61">
            <w:pPr>
              <w:pStyle w:val="naiskr"/>
              <w:spacing w:before="0" w:after="0"/>
              <w:ind w:left="1" w:hanging="10"/>
            </w:pPr>
            <w:r w:rsidRPr="009C372C">
              <w:t>Pamatojums</w:t>
            </w:r>
          </w:p>
        </w:tc>
        <w:tc>
          <w:tcPr>
            <w:tcW w:w="4161" w:type="pct"/>
            <w:tcBorders>
              <w:bottom w:val="single" w:sz="4" w:space="0" w:color="auto"/>
            </w:tcBorders>
          </w:tcPr>
          <w:p w:rsidR="005B1B61" w:rsidRPr="009C372C" w:rsidRDefault="00920EB8" w:rsidP="00211B61">
            <w:pPr>
              <w:pStyle w:val="NormalWeb"/>
              <w:tabs>
                <w:tab w:val="left" w:pos="557"/>
              </w:tabs>
              <w:spacing w:before="120" w:after="0"/>
              <w:ind w:left="132" w:right="141"/>
              <w:jc w:val="both"/>
              <w:rPr>
                <w:rFonts w:eastAsiaTheme="minorEastAsia" w:cstheme="minorBidi"/>
              </w:rPr>
            </w:pPr>
            <w:r w:rsidRPr="00C85D45">
              <w:rPr>
                <w:rFonts w:eastAsiaTheme="minorEastAsia" w:cstheme="minorBidi"/>
              </w:rPr>
              <w:t>Ministru kabineta rīkojuma projekts</w:t>
            </w:r>
            <w:r w:rsidR="00306AB4" w:rsidRPr="00C85D45">
              <w:rPr>
                <w:rFonts w:eastAsiaTheme="minorEastAsia" w:cstheme="minorBidi"/>
              </w:rPr>
              <w:t xml:space="preserve"> </w:t>
            </w:r>
            <w:r w:rsidRPr="00C85D45">
              <w:rPr>
                <w:rFonts w:eastAsiaTheme="minorEastAsia" w:cstheme="minorBidi"/>
              </w:rPr>
              <w:t>„</w:t>
            </w:r>
            <w:r w:rsidR="00306AB4" w:rsidRPr="00C85D45">
              <w:rPr>
                <w:rFonts w:eastAsiaTheme="minorEastAsia" w:cstheme="minorBidi"/>
              </w:rPr>
              <w:t>Grozījumi Ministru kabineta 2011.gada 8.jūlija rīkojumā Nr.307 „Par finansējuma piešķiršanu Padomju okupācijas upuru piemiņas memoriāla kompleksa Latviešu strēlnieku laukumā, Rīgā, izveides izdevumu segšanai”</w:t>
            </w:r>
            <w:r w:rsidRPr="00C85D45">
              <w:rPr>
                <w:rFonts w:eastAsiaTheme="minorEastAsia" w:cstheme="minorBidi"/>
              </w:rPr>
              <w:t xml:space="preserve">” (turpmāk – </w:t>
            </w:r>
            <w:r w:rsidR="00A3369F" w:rsidRPr="00C85D45">
              <w:rPr>
                <w:rFonts w:eastAsiaTheme="minorEastAsia" w:cstheme="minorBidi"/>
              </w:rPr>
              <w:t>MK</w:t>
            </w:r>
            <w:r w:rsidRPr="00C85D45">
              <w:rPr>
                <w:rFonts w:eastAsiaTheme="minorEastAsia" w:cstheme="minorBidi"/>
              </w:rPr>
              <w:t xml:space="preserve"> rīkojuma projekts)</w:t>
            </w:r>
            <w:r w:rsidR="00F74632" w:rsidRPr="00C85D45">
              <w:rPr>
                <w:rFonts w:eastAsiaTheme="minorEastAsia" w:cstheme="minorBidi"/>
              </w:rPr>
              <w:t xml:space="preserve"> </w:t>
            </w:r>
            <w:r w:rsidR="00360490" w:rsidRPr="00C85D45">
              <w:rPr>
                <w:iCs/>
              </w:rPr>
              <w:t>sagatavots</w:t>
            </w:r>
            <w:r w:rsidR="00211B61" w:rsidRPr="00C85D45">
              <w:rPr>
                <w:rFonts w:eastAsiaTheme="minorEastAsia" w:cstheme="minorBidi"/>
              </w:rPr>
              <w:t>, lai precizētu Ministru kabineta 2011.gada 8.jūlija rīkojumā Nr.307 „Par finansējuma piešķiršanu Padomju okupācijas upuru piemiņas memoriāla kompleksa Latviešu strēlnieku laukumā, Rīgā, izveides izdevumu segšanai” (turpmāk – MK rīkojums Nr.307) dotos uzdevumus.</w:t>
            </w:r>
          </w:p>
        </w:tc>
      </w:tr>
      <w:tr w:rsidR="009C372C" w:rsidRPr="001606F5" w:rsidTr="00467942">
        <w:trPr>
          <w:trHeight w:val="472"/>
        </w:trPr>
        <w:tc>
          <w:tcPr>
            <w:tcW w:w="150" w:type="pct"/>
          </w:tcPr>
          <w:p w:rsidR="00920EB8" w:rsidRPr="001606F5" w:rsidRDefault="00920EB8" w:rsidP="00920EB8">
            <w:pPr>
              <w:pStyle w:val="naiskr"/>
              <w:spacing w:before="0" w:after="0"/>
            </w:pPr>
            <w:r w:rsidRPr="001606F5">
              <w:t>2.</w:t>
            </w:r>
          </w:p>
        </w:tc>
        <w:tc>
          <w:tcPr>
            <w:tcW w:w="689" w:type="pct"/>
          </w:tcPr>
          <w:p w:rsidR="00920EB8" w:rsidRPr="001606F5" w:rsidRDefault="00920EB8" w:rsidP="00211B61">
            <w:pPr>
              <w:pStyle w:val="naiskr"/>
              <w:spacing w:before="0" w:after="0"/>
              <w:ind w:left="1" w:hanging="10"/>
            </w:pPr>
            <w:r w:rsidRPr="001606F5">
              <w:t>Pašreizējā situācija un problēmas, kuru risināšanai tiesību akta projekts izstrādāts, tiesiskā regulējuma mērķis un būtība</w:t>
            </w:r>
          </w:p>
        </w:tc>
        <w:tc>
          <w:tcPr>
            <w:tcW w:w="4161" w:type="pct"/>
            <w:shd w:val="clear" w:color="auto" w:fill="auto"/>
          </w:tcPr>
          <w:p w:rsidR="00211B61" w:rsidRPr="001606F5" w:rsidRDefault="00E50861" w:rsidP="00211B61">
            <w:pPr>
              <w:pStyle w:val="NormalWeb"/>
              <w:tabs>
                <w:tab w:val="left" w:pos="557"/>
              </w:tabs>
              <w:spacing w:before="120" w:after="0"/>
              <w:ind w:left="132" w:right="141"/>
              <w:jc w:val="both"/>
              <w:rPr>
                <w:rFonts w:eastAsiaTheme="minorEastAsia" w:cstheme="minorBidi"/>
              </w:rPr>
            </w:pPr>
            <w:r w:rsidRPr="001606F5">
              <w:rPr>
                <w:rFonts w:eastAsiaTheme="minorEastAsia" w:cstheme="minorBidi"/>
              </w:rPr>
              <w:t>Pam</w:t>
            </w:r>
            <w:r w:rsidR="00CB0F1F" w:rsidRPr="001606F5">
              <w:rPr>
                <w:rFonts w:eastAsiaTheme="minorEastAsia" w:cstheme="minorBidi"/>
              </w:rPr>
              <w:t>atojoties uz MK rīkojum</w:t>
            </w:r>
            <w:r w:rsidR="00071A35" w:rsidRPr="001606F5">
              <w:rPr>
                <w:rFonts w:eastAsiaTheme="minorEastAsia" w:cstheme="minorBidi"/>
              </w:rPr>
              <w:t>a</w:t>
            </w:r>
            <w:r w:rsidR="00CB0F1F" w:rsidRPr="001606F5">
              <w:rPr>
                <w:rFonts w:eastAsiaTheme="minorEastAsia" w:cstheme="minorBidi"/>
              </w:rPr>
              <w:t xml:space="preserve"> Nr.307:</w:t>
            </w:r>
          </w:p>
          <w:p w:rsidR="00071A35" w:rsidRPr="001606F5" w:rsidRDefault="00211B61" w:rsidP="00071A35">
            <w:pPr>
              <w:pStyle w:val="NormalWeb"/>
              <w:numPr>
                <w:ilvl w:val="0"/>
                <w:numId w:val="21"/>
              </w:numPr>
              <w:tabs>
                <w:tab w:val="left" w:pos="95"/>
                <w:tab w:val="left" w:pos="379"/>
              </w:tabs>
              <w:spacing w:before="120" w:after="0"/>
              <w:ind w:left="95" w:right="141" w:firstLine="0"/>
              <w:jc w:val="both"/>
              <w:rPr>
                <w:rFonts w:eastAsiaTheme="minorEastAsia" w:cstheme="minorBidi"/>
                <w:iCs/>
              </w:rPr>
            </w:pPr>
            <w:r w:rsidRPr="001606F5">
              <w:rPr>
                <w:rFonts w:eastAsiaTheme="minorEastAsia" w:cstheme="minorBidi"/>
              </w:rPr>
              <w:t>1.</w:t>
            </w:r>
            <w:r w:rsidR="00BD3F56" w:rsidRPr="001606F5">
              <w:rPr>
                <w:rFonts w:eastAsiaTheme="minorEastAsia" w:cstheme="minorBidi"/>
                <w:vertAlign w:val="superscript"/>
              </w:rPr>
              <w:t>3</w:t>
            </w:r>
            <w:r w:rsidRPr="001606F5">
              <w:rPr>
                <w:rFonts w:eastAsiaTheme="minorEastAsia" w:cstheme="minorBidi"/>
              </w:rPr>
              <w:t xml:space="preserve"> punktu,  likumā „Par vidēja termiņa budžeta ietvaru 2016., 2017. un 2018.gadam” un likumā „Par valsts budžetu 2016.gadam” Kultūras  ministrijas (turpmāk – KM) budžetā paredzētas ilgtermiņa saistības, la</w:t>
            </w:r>
            <w:r w:rsidRPr="001606F5">
              <w:rPr>
                <w:rFonts w:eastAsiaTheme="minorEastAsia" w:cstheme="minorBidi"/>
                <w:iCs/>
              </w:rPr>
              <w:t xml:space="preserve">i segtu nekustamā īpašuma (nekustamā īpašuma kadastra </w:t>
            </w:r>
            <w:proofErr w:type="spellStart"/>
            <w:r w:rsidRPr="001606F5">
              <w:rPr>
                <w:rFonts w:eastAsiaTheme="minorEastAsia" w:cstheme="minorBidi"/>
                <w:iCs/>
              </w:rPr>
              <w:t>Nr</w:t>
            </w:r>
            <w:proofErr w:type="spellEnd"/>
            <w:r w:rsidRPr="001606F5">
              <w:rPr>
                <w:rFonts w:eastAsiaTheme="minorEastAsia" w:cstheme="minorBidi"/>
                <w:iCs/>
              </w:rPr>
              <w:t xml:space="preserve">. 0100 001 0095) Latviešu strēlnieku laukumā 1, Rīgā (turpmāk – NĪ), uzturēšanas izdevumus valsts akciju sabiedrībai „Valsts nekustamie īpašumi” (turpmāk – VNĪ) 2018. gadā 21 423 </w:t>
            </w:r>
            <w:proofErr w:type="spellStart"/>
            <w:r w:rsidRPr="001606F5">
              <w:rPr>
                <w:rFonts w:eastAsiaTheme="minorEastAsia" w:cstheme="minorBidi"/>
                <w:i/>
                <w:iCs/>
              </w:rPr>
              <w:t>euro</w:t>
            </w:r>
            <w:proofErr w:type="spellEnd"/>
            <w:r w:rsidRPr="001606F5">
              <w:rPr>
                <w:rFonts w:eastAsiaTheme="minorEastAsia" w:cstheme="minorBidi"/>
                <w:iCs/>
              </w:rPr>
              <w:t xml:space="preserve"> un turpmākajā laikposmā 1 692 377 </w:t>
            </w:r>
            <w:proofErr w:type="spellStart"/>
            <w:r w:rsidRPr="001606F5">
              <w:rPr>
                <w:rFonts w:eastAsiaTheme="minorEastAsia" w:cstheme="minorBidi"/>
                <w:i/>
                <w:iCs/>
              </w:rPr>
              <w:t>euro</w:t>
            </w:r>
            <w:proofErr w:type="spellEnd"/>
            <w:r w:rsidRPr="001606F5">
              <w:rPr>
                <w:rFonts w:eastAsiaTheme="minorEastAsia" w:cstheme="minorBidi"/>
                <w:iCs/>
              </w:rPr>
              <w:t xml:space="preserve"> (no 2019. gada līdz 2037. gadam (ieskaitot) 85 690 </w:t>
            </w:r>
            <w:proofErr w:type="spellStart"/>
            <w:r w:rsidRPr="001606F5">
              <w:rPr>
                <w:rFonts w:eastAsiaTheme="minorEastAsia" w:cstheme="minorBidi"/>
                <w:i/>
                <w:iCs/>
              </w:rPr>
              <w:t>euro</w:t>
            </w:r>
            <w:proofErr w:type="spellEnd"/>
            <w:r w:rsidRPr="001606F5">
              <w:rPr>
                <w:rFonts w:eastAsiaTheme="minorEastAsia" w:cstheme="minorBidi"/>
                <w:iCs/>
              </w:rPr>
              <w:t xml:space="preserve"> katru gadu, 2038. gadā 64 267 </w:t>
            </w:r>
            <w:proofErr w:type="spellStart"/>
            <w:r w:rsidRPr="001606F5">
              <w:rPr>
                <w:rFonts w:eastAsiaTheme="minorEastAsia" w:cstheme="minorBidi"/>
                <w:i/>
                <w:iCs/>
              </w:rPr>
              <w:t>euro</w:t>
            </w:r>
            <w:proofErr w:type="spellEnd"/>
            <w:r w:rsidRPr="001606F5">
              <w:rPr>
                <w:rFonts w:eastAsiaTheme="minorEastAsia" w:cstheme="minorBidi"/>
                <w:iCs/>
              </w:rPr>
              <w:t>);</w:t>
            </w:r>
          </w:p>
          <w:p w:rsidR="000E7BB1" w:rsidRPr="001606F5" w:rsidRDefault="00211B61" w:rsidP="00071A35">
            <w:pPr>
              <w:pStyle w:val="NormalWeb"/>
              <w:numPr>
                <w:ilvl w:val="0"/>
                <w:numId w:val="21"/>
              </w:numPr>
              <w:tabs>
                <w:tab w:val="left" w:pos="95"/>
                <w:tab w:val="left" w:pos="379"/>
              </w:tabs>
              <w:spacing w:before="120" w:after="0"/>
              <w:ind w:left="95" w:right="141" w:firstLine="0"/>
              <w:jc w:val="both"/>
              <w:rPr>
                <w:rFonts w:eastAsiaTheme="minorEastAsia" w:cstheme="minorBidi"/>
                <w:iCs/>
              </w:rPr>
            </w:pPr>
            <w:r w:rsidRPr="001606F5">
              <w:rPr>
                <w:rFonts w:eastAsiaTheme="minorEastAsia" w:cstheme="minorBidi"/>
                <w:iCs/>
              </w:rPr>
              <w:t>2.</w:t>
            </w:r>
            <w:r w:rsidR="00BD3F56" w:rsidRPr="001606F5">
              <w:rPr>
                <w:rFonts w:eastAsiaTheme="minorEastAsia" w:cstheme="minorBidi"/>
                <w:iCs/>
                <w:vertAlign w:val="superscript"/>
              </w:rPr>
              <w:t>2</w:t>
            </w:r>
            <w:r w:rsidRPr="001606F5">
              <w:rPr>
                <w:rFonts w:eastAsiaTheme="minorEastAsia" w:cstheme="minorBidi"/>
                <w:iCs/>
              </w:rPr>
              <w:t xml:space="preserve"> punktu,  likumā „Par vidēja termiņa budžeta ietvaru 2016., 2017. un 2018.gadam” un likumā „Par valsts budžetu 201</w:t>
            </w:r>
            <w:r w:rsidR="006B40D6" w:rsidRPr="001606F5">
              <w:rPr>
                <w:rFonts w:eastAsiaTheme="minorEastAsia" w:cstheme="minorBidi"/>
                <w:iCs/>
              </w:rPr>
              <w:t>6</w:t>
            </w:r>
            <w:r w:rsidRPr="001606F5">
              <w:rPr>
                <w:rFonts w:eastAsiaTheme="minorEastAsia" w:cstheme="minorBidi"/>
                <w:iCs/>
              </w:rPr>
              <w:t xml:space="preserve">.gadam” Finanšu ministrijas (turpmāk – FM) budžetā paredzētas ilgtermiņa saistības </w:t>
            </w:r>
            <w:r w:rsidR="005E4E1A" w:rsidRPr="001606F5">
              <w:t xml:space="preserve">kapitālieguldījumu izdevumu segšanai VNĪ, kas saistīti ar ēkas Latviešu strēlnieku laukumā 1, Rīgā (nekustamā īpašuma kadastra </w:t>
            </w:r>
            <w:proofErr w:type="spellStart"/>
            <w:r w:rsidR="005E4E1A" w:rsidRPr="001606F5">
              <w:t>Nr</w:t>
            </w:r>
            <w:proofErr w:type="spellEnd"/>
            <w:r w:rsidR="005E4E1A" w:rsidRPr="001606F5">
              <w:t>. 0100 001 0095), pārbūvi</w:t>
            </w:r>
            <w:r w:rsidR="000E7BB1" w:rsidRPr="001606F5">
              <w:t xml:space="preserve"> (turpmāk – būvniecības I kārta)</w:t>
            </w:r>
            <w:r w:rsidR="005E4E1A" w:rsidRPr="001606F5">
              <w:t>, tai skaitā jaunas piebūves (Nākotnes nams) būvniecību, kā arī Padomju okupācijas upuru piemiņas memoriāla būvniecību</w:t>
            </w:r>
            <w:r w:rsidR="00071A35" w:rsidRPr="001606F5">
              <w:t xml:space="preserve"> (turpmāk – būvniecības II kārta)</w:t>
            </w:r>
            <w:r w:rsidR="005E4E1A" w:rsidRPr="001606F5">
              <w:t xml:space="preserve">, 2018. gadā 5 496 456 </w:t>
            </w:r>
            <w:proofErr w:type="spellStart"/>
            <w:r w:rsidR="005E4E1A" w:rsidRPr="001606F5">
              <w:rPr>
                <w:i/>
              </w:rPr>
              <w:t>euro</w:t>
            </w:r>
            <w:proofErr w:type="spellEnd"/>
            <w:r w:rsidR="005E4E1A" w:rsidRPr="001606F5">
              <w:rPr>
                <w:i/>
              </w:rPr>
              <w:t xml:space="preserve"> </w:t>
            </w:r>
            <w:r w:rsidR="005E4E1A" w:rsidRPr="001606F5">
              <w:t xml:space="preserve">un 2019. gadā 1 896 287 </w:t>
            </w:r>
            <w:proofErr w:type="spellStart"/>
            <w:r w:rsidR="005E4E1A" w:rsidRPr="001606F5">
              <w:rPr>
                <w:i/>
              </w:rPr>
              <w:t>euro</w:t>
            </w:r>
            <w:proofErr w:type="spellEnd"/>
            <w:r w:rsidR="005E4E1A" w:rsidRPr="001606F5">
              <w:t>; kop</w:t>
            </w:r>
            <w:r w:rsidR="00071A35" w:rsidRPr="001606F5">
              <w:t>ā</w:t>
            </w:r>
            <w:r w:rsidR="005E4E1A" w:rsidRPr="001606F5">
              <w:t xml:space="preserve"> </w:t>
            </w:r>
            <w:r w:rsidR="00071A35" w:rsidRPr="001606F5">
              <w:t>2018.−2019. gadā finansējums</w:t>
            </w:r>
            <w:r w:rsidR="005E4E1A" w:rsidRPr="001606F5">
              <w:t xml:space="preserve"> paredzēts 7 392 743 </w:t>
            </w:r>
            <w:proofErr w:type="spellStart"/>
            <w:r w:rsidR="005E4E1A" w:rsidRPr="001606F5">
              <w:rPr>
                <w:i/>
              </w:rPr>
              <w:t>euro</w:t>
            </w:r>
            <w:proofErr w:type="spellEnd"/>
            <w:r w:rsidR="00071A35" w:rsidRPr="001606F5">
              <w:t>.</w:t>
            </w:r>
          </w:p>
          <w:p w:rsidR="00071A35" w:rsidRPr="001606F5" w:rsidRDefault="00071A35" w:rsidP="00071A35">
            <w:pPr>
              <w:pStyle w:val="NormalWeb"/>
              <w:tabs>
                <w:tab w:val="left" w:pos="95"/>
                <w:tab w:val="left" w:pos="379"/>
              </w:tabs>
              <w:spacing w:before="120" w:after="0"/>
              <w:ind w:left="492" w:right="141"/>
              <w:jc w:val="both"/>
              <w:rPr>
                <w:rFonts w:eastAsiaTheme="minorEastAsia" w:cstheme="minorBidi"/>
                <w:iCs/>
              </w:rPr>
            </w:pPr>
            <w:r w:rsidRPr="001606F5">
              <w:rPr>
                <w:rFonts w:eastAsiaTheme="minorEastAsia" w:cstheme="minorBidi"/>
                <w:iCs/>
              </w:rPr>
              <w:t>Saskaņā ar  MK rīkojuma Nr.307:</w:t>
            </w:r>
          </w:p>
          <w:p w:rsidR="00DB0B88" w:rsidRPr="001606F5" w:rsidRDefault="005E4E1A" w:rsidP="00DB0B88">
            <w:pPr>
              <w:pStyle w:val="NormalWeb"/>
              <w:numPr>
                <w:ilvl w:val="0"/>
                <w:numId w:val="21"/>
              </w:numPr>
              <w:tabs>
                <w:tab w:val="left" w:pos="95"/>
                <w:tab w:val="left" w:pos="379"/>
              </w:tabs>
              <w:spacing w:before="120" w:after="0"/>
              <w:ind w:left="95" w:right="141" w:firstLine="0"/>
              <w:jc w:val="both"/>
              <w:rPr>
                <w:rFonts w:eastAsiaTheme="minorEastAsia" w:cstheme="minorBidi"/>
                <w:iCs/>
              </w:rPr>
            </w:pPr>
            <w:r w:rsidRPr="001606F5">
              <w:rPr>
                <w:rFonts w:eastAsiaTheme="minorEastAsia" w:cstheme="minorBidi"/>
                <w:iCs/>
              </w:rPr>
              <w:t xml:space="preserve">3.punktu FM (VNĪ) dots uzdevums </w:t>
            </w:r>
            <w:r w:rsidR="00AA7748" w:rsidRPr="001606F5">
              <w:rPr>
                <w:rFonts w:eastAsiaTheme="minorEastAsia" w:cstheme="minorBidi"/>
                <w:iCs/>
              </w:rPr>
              <w:t xml:space="preserve">nodrošināt </w:t>
            </w:r>
            <w:r w:rsidR="000E7BB1" w:rsidRPr="001606F5">
              <w:rPr>
                <w:rFonts w:eastAsiaTheme="minorEastAsia" w:cstheme="minorBidi"/>
                <w:iCs/>
              </w:rPr>
              <w:t>būvniecības</w:t>
            </w:r>
            <w:r w:rsidR="00AA7748" w:rsidRPr="001606F5">
              <w:rPr>
                <w:rFonts w:eastAsiaTheme="minorEastAsia" w:cstheme="minorBidi"/>
                <w:iCs/>
              </w:rPr>
              <w:t xml:space="preserve"> abu </w:t>
            </w:r>
            <w:r w:rsidR="000E7BB1" w:rsidRPr="001606F5">
              <w:rPr>
                <w:rFonts w:eastAsiaTheme="minorEastAsia" w:cstheme="minorBidi"/>
                <w:iCs/>
              </w:rPr>
              <w:t xml:space="preserve">kārtu </w:t>
            </w:r>
            <w:r w:rsidRPr="001606F5">
              <w:rPr>
                <w:rFonts w:eastAsiaTheme="minorEastAsia" w:cstheme="minorBidi"/>
                <w:iCs/>
              </w:rPr>
              <w:t>darbu pabeigšanu līdz 2018. gada 1. oktobrim;</w:t>
            </w:r>
          </w:p>
          <w:p w:rsidR="00DB0B88" w:rsidRPr="001606F5" w:rsidRDefault="00AA7748" w:rsidP="00DB0B88">
            <w:pPr>
              <w:pStyle w:val="NormalWeb"/>
              <w:numPr>
                <w:ilvl w:val="0"/>
                <w:numId w:val="21"/>
              </w:numPr>
              <w:tabs>
                <w:tab w:val="left" w:pos="95"/>
                <w:tab w:val="left" w:pos="379"/>
              </w:tabs>
              <w:spacing w:before="120" w:after="0"/>
              <w:ind w:left="95" w:right="141" w:firstLine="0"/>
              <w:jc w:val="both"/>
              <w:rPr>
                <w:rFonts w:eastAsiaTheme="minorEastAsia" w:cstheme="minorBidi"/>
                <w:iCs/>
              </w:rPr>
            </w:pPr>
            <w:r w:rsidRPr="001606F5">
              <w:rPr>
                <w:rFonts w:eastAsiaTheme="minorEastAsia" w:cstheme="minorBidi"/>
                <w:iCs/>
              </w:rPr>
              <w:t>4.punktu FM (VNĪ) dots uzdevums, ja būvniecības</w:t>
            </w:r>
            <w:r w:rsidR="000761CC" w:rsidRPr="001606F5">
              <w:rPr>
                <w:rFonts w:eastAsiaTheme="minorEastAsia" w:cstheme="minorBidi"/>
                <w:iCs/>
              </w:rPr>
              <w:t xml:space="preserve"> darbu</w:t>
            </w:r>
            <w:r w:rsidRPr="001606F5">
              <w:rPr>
                <w:rFonts w:eastAsiaTheme="minorEastAsia" w:cstheme="minorBidi"/>
                <w:iCs/>
              </w:rPr>
              <w:t xml:space="preserve"> izmaksu apmērs mainās</w:t>
            </w:r>
            <w:r w:rsidR="00BD3F56" w:rsidRPr="001606F5">
              <w:rPr>
                <w:rFonts w:eastAsiaTheme="minorEastAsia" w:cstheme="minorBidi"/>
                <w:iCs/>
              </w:rPr>
              <w:t>,</w:t>
            </w:r>
            <w:r w:rsidRPr="001606F5">
              <w:rPr>
                <w:rFonts w:eastAsiaTheme="minorEastAsia" w:cstheme="minorBidi"/>
                <w:iCs/>
              </w:rPr>
              <w:t xml:space="preserve">  precizēt ilgtermiņa saistīb</w:t>
            </w:r>
            <w:r w:rsidR="000761CC" w:rsidRPr="001606F5">
              <w:rPr>
                <w:rFonts w:eastAsiaTheme="minorEastAsia" w:cstheme="minorBidi"/>
                <w:iCs/>
              </w:rPr>
              <w:t>as kapitālieguldījumu izdevumu segšanai VNĪ</w:t>
            </w:r>
            <w:r w:rsidRPr="001606F5">
              <w:rPr>
                <w:rFonts w:eastAsiaTheme="minorEastAsia" w:cstheme="minorBidi"/>
                <w:iCs/>
              </w:rPr>
              <w:t>,</w:t>
            </w:r>
            <w:r w:rsidR="000761CC" w:rsidRPr="001606F5">
              <w:rPr>
                <w:rFonts w:eastAsiaTheme="minorEastAsia" w:cstheme="minorBidi"/>
                <w:iCs/>
              </w:rPr>
              <w:t xml:space="preserve"> kas saistīti ar būvniecību,</w:t>
            </w:r>
            <w:r w:rsidRPr="001606F5">
              <w:rPr>
                <w:rFonts w:eastAsiaTheme="minorEastAsia" w:cstheme="minorBidi"/>
                <w:iCs/>
              </w:rPr>
              <w:t xml:space="preserve"> kā arī pēc būvniecības</w:t>
            </w:r>
            <w:r w:rsidR="00BD3F56" w:rsidRPr="001606F5">
              <w:rPr>
                <w:rFonts w:eastAsiaTheme="minorEastAsia" w:cstheme="minorBidi"/>
                <w:iCs/>
              </w:rPr>
              <w:t xml:space="preserve"> darbu</w:t>
            </w:r>
            <w:r w:rsidRPr="001606F5">
              <w:rPr>
                <w:rFonts w:eastAsiaTheme="minorEastAsia" w:cstheme="minorBidi"/>
                <w:iCs/>
              </w:rPr>
              <w:t xml:space="preserve"> pabeigšanas iesniegt KM </w:t>
            </w:r>
            <w:r w:rsidR="00DB0B88" w:rsidRPr="001606F5">
              <w:rPr>
                <w:rFonts w:eastAsiaTheme="minorEastAsia" w:cstheme="minorBidi"/>
                <w:iCs/>
              </w:rPr>
              <w:t>precizētu informāciju par ēkas un tās piebūves Latviešu strēlnieku laukumā 1, Rīgā, uzturēšanas izmaksu apmēru atbilstoši faktiskajām būves apsaimniekošanas un uzturēšanas izmaksām</w:t>
            </w:r>
            <w:r w:rsidRPr="001606F5">
              <w:rPr>
                <w:rFonts w:eastAsiaTheme="minorEastAsia" w:cstheme="minorBidi"/>
                <w:iCs/>
              </w:rPr>
              <w:t>;</w:t>
            </w:r>
          </w:p>
          <w:p w:rsidR="00AA7748" w:rsidRPr="001606F5" w:rsidRDefault="00DB0B88" w:rsidP="00DB0B88">
            <w:pPr>
              <w:pStyle w:val="NormalWeb"/>
              <w:numPr>
                <w:ilvl w:val="0"/>
                <w:numId w:val="21"/>
              </w:numPr>
              <w:tabs>
                <w:tab w:val="left" w:pos="95"/>
                <w:tab w:val="left" w:pos="379"/>
              </w:tabs>
              <w:spacing w:before="120" w:after="0"/>
              <w:ind w:left="95" w:right="141" w:firstLine="0"/>
              <w:jc w:val="both"/>
              <w:rPr>
                <w:rFonts w:eastAsiaTheme="minorEastAsia" w:cstheme="minorBidi"/>
                <w:iCs/>
              </w:rPr>
            </w:pPr>
            <w:r w:rsidRPr="001606F5">
              <w:rPr>
                <w:rFonts w:eastAsiaTheme="minorEastAsia" w:cstheme="minorBidi"/>
                <w:iCs/>
              </w:rPr>
              <w:t xml:space="preserve">5. </w:t>
            </w:r>
            <w:r w:rsidR="00AA7748" w:rsidRPr="001606F5">
              <w:rPr>
                <w:rFonts w:eastAsiaTheme="minorEastAsia" w:cstheme="minorBidi"/>
                <w:iCs/>
              </w:rPr>
              <w:t>pu</w:t>
            </w:r>
            <w:r w:rsidR="000761CC" w:rsidRPr="001606F5">
              <w:rPr>
                <w:rFonts w:eastAsiaTheme="minorEastAsia" w:cstheme="minorBidi"/>
                <w:iCs/>
              </w:rPr>
              <w:t>nktu</w:t>
            </w:r>
            <w:r w:rsidR="00AA7748" w:rsidRPr="001606F5">
              <w:rPr>
                <w:rFonts w:eastAsiaTheme="minorEastAsia" w:cstheme="minorBidi"/>
                <w:iCs/>
              </w:rPr>
              <w:t xml:space="preserve"> KM dots uzdevums iesniegt Ministru kabinetā rīkojuma projektu par </w:t>
            </w:r>
            <w:r w:rsidRPr="001606F5">
              <w:t xml:space="preserve"> </w:t>
            </w:r>
            <w:r w:rsidRPr="001606F5">
              <w:rPr>
                <w:rFonts w:eastAsiaTheme="minorEastAsia" w:cstheme="minorBidi"/>
                <w:iCs/>
              </w:rPr>
              <w:t xml:space="preserve">uzturēšanas izmaksu apmēra </w:t>
            </w:r>
            <w:r w:rsidR="00AA7748" w:rsidRPr="001606F5">
              <w:rPr>
                <w:rFonts w:eastAsiaTheme="minorEastAsia" w:cstheme="minorBidi"/>
                <w:iCs/>
              </w:rPr>
              <w:t>precizēšanu.</w:t>
            </w:r>
          </w:p>
          <w:p w:rsidR="00FA47E8" w:rsidRPr="001606F5" w:rsidRDefault="00FA47E8" w:rsidP="00FA47E8">
            <w:pPr>
              <w:pStyle w:val="NormalWeb"/>
              <w:tabs>
                <w:tab w:val="left" w:pos="557"/>
              </w:tabs>
              <w:spacing w:before="120" w:after="0"/>
              <w:ind w:left="132" w:right="141"/>
              <w:jc w:val="both"/>
              <w:rPr>
                <w:rFonts w:eastAsiaTheme="minorEastAsia" w:cstheme="minorBidi"/>
                <w:u w:val="single"/>
              </w:rPr>
            </w:pPr>
            <w:r w:rsidRPr="001606F5">
              <w:rPr>
                <w:rFonts w:eastAsiaTheme="minorEastAsia" w:cstheme="minorBidi"/>
                <w:u w:val="single"/>
              </w:rPr>
              <w:lastRenderedPageBreak/>
              <w:t>Pašreizējā situācija</w:t>
            </w:r>
            <w:r w:rsidR="006560BA" w:rsidRPr="001606F5">
              <w:rPr>
                <w:rFonts w:eastAsiaTheme="minorEastAsia" w:cstheme="minorBidi"/>
                <w:u w:val="single"/>
              </w:rPr>
              <w:t>.</w:t>
            </w:r>
          </w:p>
          <w:p w:rsidR="00503029" w:rsidRPr="001606F5" w:rsidRDefault="00503029" w:rsidP="00503029">
            <w:pPr>
              <w:pStyle w:val="naiskr"/>
              <w:tabs>
                <w:tab w:val="left" w:pos="366"/>
              </w:tabs>
              <w:spacing w:before="120" w:after="60"/>
              <w:ind w:left="103" w:right="132"/>
              <w:jc w:val="both"/>
              <w:rPr>
                <w:u w:val="single"/>
              </w:rPr>
            </w:pPr>
            <w:r w:rsidRPr="001606F5">
              <w:rPr>
                <w:u w:val="single"/>
              </w:rPr>
              <w:t>Būvniecības I kārtas īstenošana</w:t>
            </w:r>
          </w:p>
          <w:p w:rsidR="00981DCA" w:rsidRPr="001606F5" w:rsidRDefault="00503029" w:rsidP="007E6CA4">
            <w:pPr>
              <w:pStyle w:val="naiskr"/>
              <w:tabs>
                <w:tab w:val="left" w:pos="366"/>
              </w:tabs>
              <w:spacing w:before="0" w:after="120"/>
              <w:ind w:left="103" w:right="132"/>
              <w:jc w:val="both"/>
            </w:pPr>
            <w:r w:rsidRPr="001606F5">
              <w:t>2014.gada 18.jūlijā tika noslēgts Līgums Nr.4-2-14-10/1719 ar SIA „5.IELA” (SIA „Būvprojektu vadība” apakšuzņēmējs) par tehniskā projekta izstrādi un autoruzraudzības veikšanu</w:t>
            </w:r>
            <w:r w:rsidR="00CF2CE1" w:rsidRPr="001606F5">
              <w:t xml:space="preserve">. </w:t>
            </w:r>
            <w:r w:rsidRPr="001606F5">
              <w:t>2015.gada 21.aprīlī VNĪ ar pieņemšan</w:t>
            </w:r>
            <w:r w:rsidR="007D7DEE" w:rsidRPr="001606F5">
              <w:t>as un nodošanas aktu no SIA „5.IELA</w:t>
            </w:r>
            <w:r w:rsidRPr="001606F5">
              <w:t xml:space="preserve">” ir pieņēmusi tehnisko projektu un 2015.gada 20.aprīlī ar pieņemšanas un nodošanas aktu no SIA „VPM </w:t>
            </w:r>
            <w:proofErr w:type="spellStart"/>
            <w:r w:rsidRPr="001606F5">
              <w:t>Latvia</w:t>
            </w:r>
            <w:proofErr w:type="spellEnd"/>
            <w:r w:rsidRPr="001606F5">
              <w:t xml:space="preserve">” ir pieņēmusi pozitīvu ekspertīzes atzinumu par tehnisko projektu. </w:t>
            </w:r>
          </w:p>
          <w:p w:rsidR="006560BA" w:rsidRPr="001606F5" w:rsidRDefault="006560BA" w:rsidP="006560BA">
            <w:pPr>
              <w:pStyle w:val="NormalWeb"/>
              <w:tabs>
                <w:tab w:val="left" w:pos="557"/>
              </w:tabs>
              <w:spacing w:before="0" w:after="0"/>
              <w:ind w:left="132" w:right="141"/>
              <w:jc w:val="both"/>
              <w:rPr>
                <w:rFonts w:eastAsiaTheme="minorEastAsia" w:cstheme="minorBidi"/>
              </w:rPr>
            </w:pPr>
            <w:r w:rsidRPr="001606F5">
              <w:rPr>
                <w:rFonts w:eastAsiaTheme="minorEastAsia" w:cstheme="minorBidi"/>
              </w:rPr>
              <w:t>2016.gada 4.oktobrī stājās spēkā Grozījumi Latvijas Okupācijas muzeja likumā kas paredz noteikt:</w:t>
            </w:r>
          </w:p>
          <w:p w:rsidR="006560BA" w:rsidRPr="001606F5" w:rsidRDefault="006560BA" w:rsidP="006560BA">
            <w:pPr>
              <w:pStyle w:val="NormalWeb"/>
              <w:numPr>
                <w:ilvl w:val="0"/>
                <w:numId w:val="21"/>
              </w:numPr>
              <w:tabs>
                <w:tab w:val="left" w:pos="95"/>
                <w:tab w:val="left" w:pos="379"/>
              </w:tabs>
              <w:spacing w:before="0" w:after="0"/>
              <w:ind w:left="95" w:right="141" w:firstLine="0"/>
              <w:jc w:val="both"/>
              <w:rPr>
                <w:rFonts w:eastAsiaTheme="minorEastAsia" w:cstheme="minorBidi"/>
                <w:iCs/>
              </w:rPr>
            </w:pPr>
            <w:r w:rsidRPr="001606F5">
              <w:rPr>
                <w:rFonts w:eastAsiaTheme="minorEastAsia" w:cstheme="minorBidi"/>
                <w:iCs/>
              </w:rPr>
              <w:t>ka Padomju okupācijas upuru piemiņas memoriāla kompleksa būvniecības projekts ietver būvniecības I kārtu un būvniecības II kārtu;</w:t>
            </w:r>
          </w:p>
          <w:p w:rsidR="006560BA" w:rsidRPr="001606F5" w:rsidRDefault="006560BA" w:rsidP="006560BA">
            <w:pPr>
              <w:pStyle w:val="NormalWeb"/>
              <w:numPr>
                <w:ilvl w:val="0"/>
                <w:numId w:val="21"/>
              </w:numPr>
              <w:tabs>
                <w:tab w:val="left" w:pos="95"/>
                <w:tab w:val="left" w:pos="379"/>
              </w:tabs>
              <w:spacing w:before="0" w:after="0"/>
              <w:ind w:left="95" w:right="141" w:firstLine="0"/>
              <w:jc w:val="both"/>
              <w:rPr>
                <w:rFonts w:eastAsiaTheme="minorEastAsia" w:cstheme="minorBidi"/>
                <w:iCs/>
              </w:rPr>
            </w:pPr>
            <w:r w:rsidRPr="001606F5">
              <w:rPr>
                <w:rFonts w:eastAsiaTheme="minorEastAsia" w:cstheme="minorBidi"/>
                <w:iCs/>
              </w:rPr>
              <w:t>Padomju okupācijas upuru piemiņas memoriāla kompleksam tiek noteikts nacionālo interešu objekta statuss;</w:t>
            </w:r>
          </w:p>
          <w:p w:rsidR="006560BA" w:rsidRPr="001606F5" w:rsidRDefault="006560BA" w:rsidP="006560BA">
            <w:pPr>
              <w:pStyle w:val="NormalWeb"/>
              <w:numPr>
                <w:ilvl w:val="0"/>
                <w:numId w:val="21"/>
              </w:numPr>
              <w:tabs>
                <w:tab w:val="left" w:pos="95"/>
                <w:tab w:val="left" w:pos="379"/>
              </w:tabs>
              <w:spacing w:before="0" w:after="0"/>
              <w:ind w:left="95" w:right="141" w:firstLine="0"/>
              <w:jc w:val="both"/>
              <w:rPr>
                <w:rFonts w:eastAsiaTheme="minorEastAsia" w:cstheme="minorBidi"/>
                <w:iCs/>
              </w:rPr>
            </w:pPr>
            <w:r w:rsidRPr="001606F5">
              <w:rPr>
                <w:rFonts w:eastAsiaTheme="minorEastAsia" w:cstheme="minorBidi"/>
                <w:iCs/>
              </w:rPr>
              <w:t>Padomju okupācijas upuru piemiņas memoriāla kompleksa būvniecības projektu īsteno līdz 2018.gada 1.oktobrim divās kārtās, par katru kārtu iesniedzot Vides aizsardzības un reģionālās attīstības ministrijai atsevišķu būvniecības ieceres iesniegumu;</w:t>
            </w:r>
          </w:p>
          <w:p w:rsidR="006560BA" w:rsidRPr="001606F5" w:rsidRDefault="006560BA" w:rsidP="006560BA">
            <w:pPr>
              <w:pStyle w:val="NormalWeb"/>
              <w:numPr>
                <w:ilvl w:val="0"/>
                <w:numId w:val="21"/>
              </w:numPr>
              <w:tabs>
                <w:tab w:val="left" w:pos="95"/>
                <w:tab w:val="left" w:pos="379"/>
              </w:tabs>
              <w:spacing w:before="0" w:after="0"/>
              <w:ind w:left="95" w:right="141" w:firstLine="0"/>
              <w:jc w:val="both"/>
              <w:rPr>
                <w:rFonts w:eastAsiaTheme="minorEastAsia" w:cstheme="minorBidi"/>
                <w:iCs/>
              </w:rPr>
            </w:pPr>
            <w:r w:rsidRPr="001606F5">
              <w:rPr>
                <w:rFonts w:eastAsiaTheme="minorEastAsia" w:cstheme="minorBidi"/>
                <w:iCs/>
              </w:rPr>
              <w:t>par Padomju okupācijas upuru piemiņas memoriāla kompleksa būvniecības procesa kontroli un tiesiskumu atbildīgā institūcija ir Vides aizsardzības un reģionālās attīstības ministrija, kura pilda Būvniecības likuma 12.panta trešās daļas 1., 3., 4., 5., 5.2, 6., 9. un 10.punktā noteiktās būvvaldes funkcijas un nodrošina, lai būvniecības informācijas sistēmā ir pieejama informācija par būvniecības ieceri;</w:t>
            </w:r>
          </w:p>
          <w:p w:rsidR="006560BA" w:rsidRPr="001606F5" w:rsidRDefault="006560BA" w:rsidP="006560BA">
            <w:pPr>
              <w:pStyle w:val="NormalWeb"/>
              <w:numPr>
                <w:ilvl w:val="0"/>
                <w:numId w:val="21"/>
              </w:numPr>
              <w:tabs>
                <w:tab w:val="left" w:pos="95"/>
                <w:tab w:val="left" w:pos="379"/>
              </w:tabs>
              <w:spacing w:before="0" w:after="0"/>
              <w:ind w:left="95" w:right="141" w:firstLine="0"/>
              <w:jc w:val="both"/>
              <w:rPr>
                <w:rFonts w:eastAsiaTheme="minorEastAsia" w:cstheme="minorBidi"/>
                <w:iCs/>
              </w:rPr>
            </w:pPr>
            <w:r w:rsidRPr="001606F5">
              <w:rPr>
                <w:rFonts w:eastAsiaTheme="minorEastAsia" w:cstheme="minorBidi"/>
                <w:iCs/>
              </w:rPr>
              <w:t>Padomju okupācijas upuru piemiņas memoriāla kompleksa būvdarbu kontroli un pieņemšanu ekspluatācijā veic Būvniecības valsts kontroles birojs;</w:t>
            </w:r>
          </w:p>
          <w:p w:rsidR="006560BA" w:rsidRPr="001606F5" w:rsidRDefault="006560BA" w:rsidP="00A92F3F">
            <w:pPr>
              <w:pStyle w:val="NormalWeb"/>
              <w:numPr>
                <w:ilvl w:val="0"/>
                <w:numId w:val="21"/>
              </w:numPr>
              <w:tabs>
                <w:tab w:val="left" w:pos="95"/>
                <w:tab w:val="left" w:pos="379"/>
              </w:tabs>
              <w:spacing w:before="0" w:after="120"/>
              <w:ind w:left="95" w:right="141" w:firstLine="0"/>
              <w:jc w:val="both"/>
              <w:rPr>
                <w:rFonts w:eastAsiaTheme="minorEastAsia" w:cstheme="minorBidi"/>
                <w:iCs/>
              </w:rPr>
            </w:pPr>
            <w:r w:rsidRPr="001606F5">
              <w:rPr>
                <w:rFonts w:eastAsiaTheme="minorEastAsia" w:cstheme="minorBidi"/>
                <w:iCs/>
              </w:rPr>
              <w:t>būves, kas uzceltas, īstenojot Padomju okupācijas upuru piemiņas memoriāla kompleksu, ir valsts īpašums, kas nostiprināms zemesgrāmatā uz valsts vārda FM personā.</w:t>
            </w:r>
          </w:p>
          <w:p w:rsidR="007E6CA4" w:rsidRPr="001606F5" w:rsidRDefault="00981DCA" w:rsidP="00F01481">
            <w:pPr>
              <w:pStyle w:val="naiskr"/>
              <w:tabs>
                <w:tab w:val="left" w:pos="366"/>
              </w:tabs>
              <w:spacing w:before="0" w:after="0"/>
              <w:ind w:left="103" w:right="132"/>
              <w:jc w:val="both"/>
            </w:pPr>
            <w:r w:rsidRPr="001606F5">
              <w:t xml:space="preserve">Ņemot vērā minēto, VNĪ </w:t>
            </w:r>
            <w:r w:rsidR="00A92F3F" w:rsidRPr="001606F5">
              <w:t>ir aktualizējusi</w:t>
            </w:r>
            <w:r w:rsidR="00344545" w:rsidRPr="001606F5">
              <w:t xml:space="preserve"> topogrāfisko plānu un tehniskos noteikumus no i</w:t>
            </w:r>
            <w:r w:rsidR="00A92F3F" w:rsidRPr="001606F5">
              <w:t>nženierkomunikāciju turētājiem un SIA „5.IELA” ir jāveic nepieciešamās darbības izstrādātā būvprojekta aktualizācijai.</w:t>
            </w:r>
          </w:p>
          <w:p w:rsidR="00697E7B" w:rsidRPr="001606F5" w:rsidRDefault="007E6CA4" w:rsidP="00F948EC">
            <w:pPr>
              <w:pStyle w:val="NoSpacing"/>
              <w:ind w:left="95" w:right="99"/>
              <w:jc w:val="both"/>
              <w:rPr>
                <w:rFonts w:ascii="Times New Roman" w:eastAsia="Calibri" w:hAnsi="Times New Roman" w:cs="Times New Roman"/>
                <w:sz w:val="24"/>
                <w:szCs w:val="24"/>
              </w:rPr>
            </w:pPr>
            <w:r w:rsidRPr="001606F5">
              <w:rPr>
                <w:rFonts w:ascii="Times New Roman" w:eastAsia="Calibri" w:hAnsi="Times New Roman" w:cs="Times New Roman"/>
                <w:sz w:val="24"/>
                <w:szCs w:val="24"/>
              </w:rPr>
              <w:t>2015.gada 17.decembrī tika izsludināts slēgts būvdarbu iepirkuma konkurss</w:t>
            </w:r>
            <w:r w:rsidR="00F01481" w:rsidRPr="001606F5">
              <w:rPr>
                <w:rFonts w:ascii="Times New Roman" w:eastAsia="Calibri" w:hAnsi="Times New Roman" w:cs="Times New Roman"/>
                <w:sz w:val="24"/>
                <w:szCs w:val="24"/>
              </w:rPr>
              <w:t xml:space="preserve"> „Padomju okupācijas upuru piemiņas memoriāla kompleksa Latviešu strēlnieku laukumā, Rīgā, izveide”</w:t>
            </w:r>
            <w:r w:rsidRPr="001606F5">
              <w:rPr>
                <w:rFonts w:ascii="Times New Roman" w:eastAsia="Calibri" w:hAnsi="Times New Roman" w:cs="Times New Roman"/>
                <w:sz w:val="24"/>
                <w:szCs w:val="24"/>
              </w:rPr>
              <w:t xml:space="preserve"> (</w:t>
            </w:r>
            <w:r w:rsidR="00F01481" w:rsidRPr="001606F5">
              <w:rPr>
                <w:rFonts w:ascii="Times New Roman" w:eastAsia="Calibri" w:hAnsi="Times New Roman" w:cs="Times New Roman"/>
                <w:sz w:val="24"/>
                <w:szCs w:val="24"/>
              </w:rPr>
              <w:t xml:space="preserve">Iepirkuma identifikācijas numurs VNĪ/2015/2/4-2/SK-5; </w:t>
            </w:r>
            <w:r w:rsidRPr="001606F5">
              <w:rPr>
                <w:rFonts w:ascii="Times New Roman" w:eastAsia="Calibri" w:hAnsi="Times New Roman" w:cs="Times New Roman"/>
                <w:sz w:val="24"/>
                <w:szCs w:val="24"/>
              </w:rPr>
              <w:t xml:space="preserve">turpmāk – konkurss). </w:t>
            </w:r>
            <w:r w:rsidRPr="00EC1B5C">
              <w:rPr>
                <w:rFonts w:ascii="Times New Roman" w:eastAsia="Calibri" w:hAnsi="Times New Roman" w:cs="Times New Roman"/>
                <w:sz w:val="24"/>
                <w:szCs w:val="24"/>
              </w:rPr>
              <w:t xml:space="preserve">Konkursa I posma – kvalifikācijas atlases piedāvājumu iesniegšanas termiņš būvniecības I </w:t>
            </w:r>
            <w:r w:rsidR="00EC1B5C" w:rsidRPr="00EC1B5C">
              <w:rPr>
                <w:rFonts w:ascii="Times New Roman" w:eastAsia="Calibri" w:hAnsi="Times New Roman" w:cs="Times New Roman"/>
                <w:sz w:val="24"/>
                <w:szCs w:val="24"/>
              </w:rPr>
              <w:t xml:space="preserve">kārtas īstenošanai </w:t>
            </w:r>
            <w:r w:rsidRPr="00EC1B5C">
              <w:rPr>
                <w:rFonts w:ascii="Times New Roman" w:eastAsia="Calibri" w:hAnsi="Times New Roman" w:cs="Times New Roman"/>
                <w:sz w:val="24"/>
                <w:szCs w:val="24"/>
              </w:rPr>
              <w:t>bija 2016.gada 25.februāris.</w:t>
            </w:r>
            <w:r w:rsidR="00EC1B5C">
              <w:rPr>
                <w:rFonts w:ascii="Times New Roman" w:eastAsia="Calibri" w:hAnsi="Times New Roman" w:cs="Times New Roman"/>
                <w:sz w:val="24"/>
                <w:szCs w:val="24"/>
              </w:rPr>
              <w:t xml:space="preserve"> </w:t>
            </w:r>
            <w:r w:rsidRPr="001606F5">
              <w:rPr>
                <w:rFonts w:ascii="Times New Roman" w:eastAsia="Calibri" w:hAnsi="Times New Roman" w:cs="Times New Roman"/>
                <w:sz w:val="24"/>
                <w:szCs w:val="24"/>
              </w:rPr>
              <w:t>Konkursa ietvaros ir saņemti 14 pretendentu piedāvājumi. Pēc iesniegto piedāvājumu izvērtēšanas, tiks paziņoti rezultāti, nosaucot pretendentus, kuri kvalificējās slēgtā konkursa prasībām. Pēc aktualizētā būvprojekta akcepta Vides aizsardzības un reģionālās attīstības ministrijā, tiks uzsākts konkursa II posms, kurā slēgta konkursa procedūrā tiks izvēlēts pretendents kuram tiks piešķirtas līguma slēgšanas tiesības.</w:t>
            </w:r>
          </w:p>
          <w:p w:rsidR="00C46DEE" w:rsidRPr="001606F5" w:rsidRDefault="00C46DEE" w:rsidP="00FA47E8">
            <w:pPr>
              <w:pStyle w:val="naiskr"/>
              <w:tabs>
                <w:tab w:val="left" w:pos="366"/>
              </w:tabs>
              <w:spacing w:before="120" w:after="60"/>
              <w:ind w:left="103" w:right="132"/>
              <w:jc w:val="both"/>
              <w:rPr>
                <w:u w:val="single"/>
              </w:rPr>
            </w:pPr>
            <w:r w:rsidRPr="001606F5">
              <w:rPr>
                <w:u w:val="single"/>
              </w:rPr>
              <w:t>Būvniecības II kārtas īstenoša</w:t>
            </w:r>
            <w:r w:rsidR="00344024" w:rsidRPr="001606F5">
              <w:rPr>
                <w:u w:val="single"/>
              </w:rPr>
              <w:t>na</w:t>
            </w:r>
          </w:p>
          <w:p w:rsidR="00612134" w:rsidRPr="001606F5" w:rsidRDefault="006557CE" w:rsidP="00981DCA">
            <w:pPr>
              <w:pStyle w:val="naiskr"/>
              <w:tabs>
                <w:tab w:val="left" w:pos="366"/>
              </w:tabs>
              <w:spacing w:before="0" w:after="0"/>
              <w:ind w:left="103" w:right="132"/>
              <w:jc w:val="both"/>
            </w:pPr>
            <w:r w:rsidRPr="001606F5">
              <w:t xml:space="preserve">2007.gada 16.novembrī noslēdzās </w:t>
            </w:r>
            <w:r w:rsidR="00CF21E6" w:rsidRPr="001606F5">
              <w:t>KM</w:t>
            </w:r>
            <w:r w:rsidRPr="001606F5">
              <w:t xml:space="preserve"> organizētais konkurss </w:t>
            </w:r>
            <w:r w:rsidR="00EC4D6E" w:rsidRPr="001606F5">
              <w:t>„</w:t>
            </w:r>
            <w:r w:rsidRPr="001606F5">
              <w:t>Padomju okupācijas upuru piemiņas memoriāls</w:t>
            </w:r>
            <w:r w:rsidR="00EC4D6E" w:rsidRPr="001606F5">
              <w:t>”</w:t>
            </w:r>
            <w:r w:rsidRPr="001606F5">
              <w:t xml:space="preserve">, kurā uzvarēja darbs </w:t>
            </w:r>
            <w:r w:rsidR="00EC4D6E" w:rsidRPr="001606F5">
              <w:t>„</w:t>
            </w:r>
            <w:r w:rsidRPr="001606F5">
              <w:t xml:space="preserve">Vēsturiskā </w:t>
            </w:r>
            <w:proofErr w:type="spellStart"/>
            <w:r w:rsidRPr="001606F5">
              <w:t>taktila</w:t>
            </w:r>
            <w:proofErr w:type="spellEnd"/>
            <w:r w:rsidR="00EC4D6E" w:rsidRPr="001606F5">
              <w:t>”</w:t>
            </w:r>
            <w:r w:rsidRPr="001606F5">
              <w:t xml:space="preserve">.  2009.gada 7.aprīlī </w:t>
            </w:r>
            <w:r w:rsidR="007D396B" w:rsidRPr="001606F5">
              <w:t>B</w:t>
            </w:r>
            <w:r w:rsidRPr="001606F5">
              <w:t>ūvvalde ir saskaņojusi skiču projektu (saskaņojuma Nr.587)</w:t>
            </w:r>
            <w:r w:rsidR="00612134" w:rsidRPr="001606F5">
              <w:t xml:space="preserve">, ko </w:t>
            </w:r>
            <w:r w:rsidR="00612134" w:rsidRPr="001606F5">
              <w:lastRenderedPageBreak/>
              <w:t>izstrādājusi SIA „</w:t>
            </w:r>
            <w:proofErr w:type="spellStart"/>
            <w:r w:rsidR="00612134" w:rsidRPr="001606F5">
              <w:t>Taktila</w:t>
            </w:r>
            <w:proofErr w:type="spellEnd"/>
            <w:r w:rsidR="00612134" w:rsidRPr="001606F5">
              <w:t>”</w:t>
            </w:r>
            <w:r w:rsidR="00C5269F" w:rsidRPr="001606F5">
              <w:t xml:space="preserve"> saskaņā ar 2008.gada 9.oktobra līgumu par Padomju okupācijas upuru piemiņas memoriāla būvprojekta izstrādi (ar 2009.gada 29.jūnija vienošanos līguma darbība apturēta, ievērojot ekonomisko situāciju valstī un valsts budžeta samazināšanas politiku)</w:t>
            </w:r>
            <w:r w:rsidR="00981DCA" w:rsidRPr="001606F5">
              <w:t>.</w:t>
            </w:r>
            <w:r w:rsidR="00612134" w:rsidRPr="001606F5">
              <w:t xml:space="preserve"> </w:t>
            </w:r>
            <w:r w:rsidR="007D396B" w:rsidRPr="001606F5">
              <w:t>B</w:t>
            </w:r>
            <w:r w:rsidR="006560BA" w:rsidRPr="001606F5">
              <w:t xml:space="preserve">ūvvaldē 2009.gada 7.aprīlī </w:t>
            </w:r>
            <w:r w:rsidR="00C46DEE" w:rsidRPr="001606F5">
              <w:t>saskaņotajam būvniecības II kārtas skiču projekt</w:t>
            </w:r>
            <w:r w:rsidR="00612134" w:rsidRPr="001606F5">
              <w:t>am ir beidzies derīguma termiņš, taču tajā ietvertie risinājumi tiks ņemti par pamatu būvprojekta minimālā sastāvā izstrādei.</w:t>
            </w:r>
            <w:r w:rsidR="00C46DEE" w:rsidRPr="001606F5">
              <w:t xml:space="preserve"> </w:t>
            </w:r>
            <w:r w:rsidR="00231375" w:rsidRPr="001606F5">
              <w:t>Pēc sarunu procedūras</w:t>
            </w:r>
            <w:r w:rsidR="00612134" w:rsidRPr="001606F5">
              <w:t xml:space="preserve"> ar  SIA „</w:t>
            </w:r>
            <w:proofErr w:type="spellStart"/>
            <w:r w:rsidR="00612134" w:rsidRPr="001606F5">
              <w:t>Taktila</w:t>
            </w:r>
            <w:proofErr w:type="spellEnd"/>
            <w:r w:rsidR="00612134" w:rsidRPr="001606F5">
              <w:t>” par 2008.gad</w:t>
            </w:r>
            <w:r w:rsidR="00981DCA" w:rsidRPr="001606F5">
              <w:t>a 9.oktobrī noslēgtā</w:t>
            </w:r>
            <w:r w:rsidR="00612134" w:rsidRPr="001606F5">
              <w:t xml:space="preserve"> līguma darbības atjaunošanu</w:t>
            </w:r>
            <w:r w:rsidR="00C5269F" w:rsidRPr="001606F5">
              <w:t xml:space="preserve"> </w:t>
            </w:r>
            <w:r w:rsidR="009D15AF" w:rsidRPr="001606F5">
              <w:t>2016.gada 3.martā</w:t>
            </w:r>
            <w:r w:rsidR="00231375" w:rsidRPr="001606F5">
              <w:t xml:space="preserve"> tika</w:t>
            </w:r>
            <w:r w:rsidR="009D15AF" w:rsidRPr="001606F5">
              <w:t xml:space="preserve"> saņemta Iepirkumu uzraudzības b</w:t>
            </w:r>
            <w:r w:rsidR="00981DCA" w:rsidRPr="001606F5">
              <w:t>iroja atļauja līguma slēgšanai.</w:t>
            </w:r>
          </w:p>
          <w:p w:rsidR="004472F2" w:rsidRPr="001606F5" w:rsidRDefault="004472F2" w:rsidP="004472F2">
            <w:pPr>
              <w:pStyle w:val="naiskr"/>
              <w:tabs>
                <w:tab w:val="left" w:pos="142"/>
                <w:tab w:val="left" w:pos="425"/>
              </w:tabs>
              <w:spacing w:after="0"/>
              <w:ind w:left="85" w:right="143" w:firstLine="10"/>
              <w:jc w:val="both"/>
            </w:pPr>
            <w:r w:rsidRPr="001606F5">
              <w:t>Padomju okupācijas upuru piemiņas memoriālu paredzēts izvietot uz Latvijas valstij FM personā piederošās zemes vienības Latviešu Strēlnieku laukumā 1, Rīgā (nekustamā īpašuma kadastra numurs 0100 001 0095) daļas, un uz Rīgas pilsētas pašvaldībai piederošās zemes vienības (nekustamā īpašuma kadastra numurs 0100 001 0108) Latviešu Strēlnieku laukumā 3, Rīgā, daļas. Atbilstoši Rīgas domes  2006.</w:t>
            </w:r>
            <w:r w:rsidR="00E55ED2">
              <w:t xml:space="preserve">gada 7.februāra </w:t>
            </w:r>
            <w:r w:rsidRPr="001606F5">
              <w:t xml:space="preserve">noteikumu Nr.38 „Rīgas vēsturiskā centra un tā aizsardzības zonas teritorijas izmantošanas un apbūves noteikumi” 227.punktam  „nevienas būves daļas projekcija uz zems nedrīkst izvirzīties ārpus šis zemesgabala robežas”- </w:t>
            </w:r>
            <w:proofErr w:type="spellStart"/>
            <w:r w:rsidRPr="001606F5">
              <w:t>t.i</w:t>
            </w:r>
            <w:proofErr w:type="spellEnd"/>
            <w:r w:rsidRPr="001606F5">
              <w:t>.  Padomju okupācijas upuru piemiņas memoriālam jāatrodas uz viena zemesgabala, kas ir īpašumā vienam īpašniekam. Līdz ar to VNĪ šobrīd veic nepieciešamās darbības, lai sadalītu Rīgas pilsētas pašvaldībai piederošo zemes vienību un pievienotu valstij FM personā piederošajai zemes vienībai.</w:t>
            </w:r>
          </w:p>
          <w:p w:rsidR="004472F2" w:rsidRPr="001606F5" w:rsidRDefault="004472F2" w:rsidP="004472F2">
            <w:pPr>
              <w:pStyle w:val="naiskr"/>
              <w:tabs>
                <w:tab w:val="left" w:pos="142"/>
                <w:tab w:val="left" w:pos="425"/>
              </w:tabs>
              <w:spacing w:after="0"/>
              <w:ind w:left="85" w:right="143" w:firstLine="10"/>
              <w:jc w:val="both"/>
            </w:pPr>
            <w:r w:rsidRPr="001606F5">
              <w:t>Līgumu ar SIA „</w:t>
            </w:r>
            <w:proofErr w:type="spellStart"/>
            <w:r w:rsidRPr="001606F5">
              <w:t>Taktila</w:t>
            </w:r>
            <w:proofErr w:type="spellEnd"/>
            <w:r w:rsidRPr="001606F5">
              <w:t>” plānots noslēgt pēc iepriekš minēto darbību veikšanas, kad būs skaidri projektēšanas nosacījumi.</w:t>
            </w:r>
          </w:p>
          <w:p w:rsidR="00F173AD" w:rsidRPr="001606F5" w:rsidRDefault="00DB0B88" w:rsidP="002F10FD">
            <w:pPr>
              <w:pStyle w:val="naiskr"/>
              <w:tabs>
                <w:tab w:val="left" w:pos="142"/>
                <w:tab w:val="left" w:pos="425"/>
              </w:tabs>
              <w:spacing w:before="0" w:after="0"/>
              <w:ind w:left="85" w:right="143" w:firstLine="10"/>
              <w:jc w:val="both"/>
            </w:pPr>
            <w:r w:rsidRPr="001606F5">
              <w:t xml:space="preserve">Ņemot vērā to, ka VNĪ būvniecības </w:t>
            </w:r>
            <w:r w:rsidR="009265FA" w:rsidRPr="001606F5">
              <w:t>projekta īstenošan</w:t>
            </w:r>
            <w:r w:rsidR="005D2207" w:rsidRPr="001606F5">
              <w:t xml:space="preserve">a tiek </w:t>
            </w:r>
            <w:r w:rsidR="009265FA" w:rsidRPr="001606F5">
              <w:t>nodro</w:t>
            </w:r>
            <w:r w:rsidR="00077BDE" w:rsidRPr="001606F5">
              <w:t>šin</w:t>
            </w:r>
            <w:r w:rsidR="005D2207" w:rsidRPr="001606F5">
              <w:t xml:space="preserve">āta </w:t>
            </w:r>
            <w:r w:rsidR="00F01481" w:rsidRPr="001606F5">
              <w:t xml:space="preserve">no </w:t>
            </w:r>
            <w:r w:rsidR="00077BDE" w:rsidRPr="001606F5">
              <w:t xml:space="preserve">VNĪ finanšu resursiem un tos pēc būvniecības darbu pabeigšanas </w:t>
            </w:r>
            <w:r w:rsidR="005D2207" w:rsidRPr="001606F5">
              <w:t>segs</w:t>
            </w:r>
            <w:r w:rsidR="00077BDE" w:rsidRPr="001606F5">
              <w:t xml:space="preserve"> no FM budžetā ilgtermiņa saistībās paredzētā finansējuma, ir sagatavots priekšlikums </w:t>
            </w:r>
            <w:r w:rsidR="00F173AD" w:rsidRPr="001606F5">
              <w:t>Ministru kabinetam</w:t>
            </w:r>
            <w:r w:rsidR="00077BDE" w:rsidRPr="001606F5">
              <w:t xml:space="preserve"> par </w:t>
            </w:r>
            <w:r w:rsidR="00F173AD" w:rsidRPr="001606F5">
              <w:t xml:space="preserve">FM budžetā </w:t>
            </w:r>
            <w:r w:rsidR="00077BDE" w:rsidRPr="001606F5">
              <w:t xml:space="preserve">paredzētā </w:t>
            </w:r>
            <w:r w:rsidR="00F173AD" w:rsidRPr="001606F5">
              <w:t>finansējum</w:t>
            </w:r>
            <w:r w:rsidR="00147C13" w:rsidRPr="001606F5">
              <w:t>a</w:t>
            </w:r>
            <w:r w:rsidR="00F173AD" w:rsidRPr="001606F5">
              <w:t xml:space="preserve"> kapitālieguldījumu izdevumu segšanai VNĪ </w:t>
            </w:r>
            <w:r w:rsidR="00467942" w:rsidRPr="001606F5">
              <w:t>sadalījum</w:t>
            </w:r>
            <w:r w:rsidR="00147C13" w:rsidRPr="001606F5">
              <w:t>a</w:t>
            </w:r>
            <w:r w:rsidR="00467942" w:rsidRPr="001606F5">
              <w:t xml:space="preserve"> pa gadiem</w:t>
            </w:r>
            <w:r w:rsidR="00F173AD" w:rsidRPr="001606F5">
              <w:t xml:space="preserve"> </w:t>
            </w:r>
            <w:r w:rsidR="00147C13" w:rsidRPr="001606F5">
              <w:t>precizēšanu</w:t>
            </w:r>
            <w:r w:rsidR="00F173AD" w:rsidRPr="001606F5">
              <w:t xml:space="preserve">. </w:t>
            </w:r>
          </w:p>
          <w:p w:rsidR="003327E1" w:rsidRPr="001606F5" w:rsidRDefault="003327E1" w:rsidP="00DE101F">
            <w:pPr>
              <w:pStyle w:val="naiskr"/>
              <w:tabs>
                <w:tab w:val="left" w:pos="366"/>
              </w:tabs>
              <w:spacing w:before="120" w:after="60"/>
              <w:ind w:left="103" w:right="132"/>
              <w:jc w:val="both"/>
              <w:rPr>
                <w:u w:val="single"/>
              </w:rPr>
            </w:pPr>
            <w:r w:rsidRPr="001606F5">
              <w:rPr>
                <w:u w:val="single"/>
              </w:rPr>
              <w:t>Precizētā naudas plūsma pa gadiem:</w:t>
            </w:r>
          </w:p>
          <w:tbl>
            <w:tblPr>
              <w:tblW w:w="7821" w:type="dxa"/>
              <w:jc w:val="center"/>
              <w:tblLayout w:type="fixed"/>
              <w:tblLook w:val="04A0" w:firstRow="1" w:lastRow="0" w:firstColumn="1" w:lastColumn="0" w:noHBand="0" w:noVBand="1"/>
            </w:tblPr>
            <w:tblGrid>
              <w:gridCol w:w="479"/>
              <w:gridCol w:w="787"/>
              <w:gridCol w:w="931"/>
              <w:gridCol w:w="951"/>
              <w:gridCol w:w="874"/>
              <w:gridCol w:w="957"/>
              <w:gridCol w:w="939"/>
              <w:gridCol w:w="994"/>
              <w:gridCol w:w="909"/>
            </w:tblGrid>
            <w:tr w:rsidR="00C85D45" w:rsidRPr="001606F5" w:rsidTr="006027B9">
              <w:trPr>
                <w:trHeight w:val="1582"/>
                <w:jc w:val="center"/>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proofErr w:type="spellStart"/>
                  <w:r w:rsidRPr="001606F5">
                    <w:rPr>
                      <w:rFonts w:ascii="Times New Roman" w:eastAsia="Times New Roman" w:hAnsi="Times New Roman" w:cs="Times New Roman"/>
                      <w:sz w:val="16"/>
                      <w:szCs w:val="16"/>
                    </w:rPr>
                    <w:t>Nr.p.k</w:t>
                  </w:r>
                  <w:proofErr w:type="spellEnd"/>
                  <w:r w:rsidRPr="001606F5">
                    <w:rPr>
                      <w:rFonts w:ascii="Times New Roman" w:eastAsia="Times New Roman" w:hAnsi="Times New Roman" w:cs="Times New Roman"/>
                      <w:sz w:val="16"/>
                      <w:szCs w:val="16"/>
                    </w:rPr>
                    <w:t>.</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Pārskata periods (gads)</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 xml:space="preserve">Apstiprinātais FM finansējums kapitālieguldījumiem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 xml:space="preserve">Apstiprinātais KM finansējums uzturēšanas izdevumu segšanai VNĪ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KOPĀ:</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Izmaiņas</w:t>
                  </w:r>
                  <w:r w:rsidRPr="001606F5">
                    <w:rPr>
                      <w:rFonts w:ascii="Times New Roman" w:eastAsia="Times New Roman" w:hAnsi="Times New Roman" w:cs="Times New Roman"/>
                      <w:sz w:val="16"/>
                      <w:szCs w:val="16"/>
                    </w:rPr>
                    <w:br/>
                    <w:t>+/-</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 xml:space="preserve">Precizētais FM finansējums kapitālieguldījumiem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 xml:space="preserve">Apstiprinātais KM finansējums uzturēšanas izdevumu segšanai VNĪ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KOPĀ:</w:t>
                  </w:r>
                </w:p>
              </w:tc>
            </w:tr>
            <w:tr w:rsidR="00C85D45" w:rsidRPr="001606F5" w:rsidTr="00077BDE">
              <w:trPr>
                <w:trHeight w:val="195"/>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1606F5">
                    <w:rPr>
                      <w:rFonts w:ascii="Times New Roman" w:eastAsia="Times New Roman" w:hAnsi="Times New Roman" w:cs="Times New Roman"/>
                      <w:i/>
                      <w:iCs/>
                      <w:sz w:val="16"/>
                      <w:szCs w:val="16"/>
                    </w:rPr>
                    <w:t>1.</w:t>
                  </w:r>
                </w:p>
              </w:tc>
              <w:tc>
                <w:tcPr>
                  <w:tcW w:w="787" w:type="dxa"/>
                  <w:tcBorders>
                    <w:top w:val="nil"/>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1606F5">
                    <w:rPr>
                      <w:rFonts w:ascii="Times New Roman" w:eastAsia="Times New Roman" w:hAnsi="Times New Roman" w:cs="Times New Roman"/>
                      <w:i/>
                      <w:iCs/>
                      <w:sz w:val="16"/>
                      <w:szCs w:val="16"/>
                    </w:rPr>
                    <w:t>2.</w:t>
                  </w:r>
                </w:p>
              </w:tc>
              <w:tc>
                <w:tcPr>
                  <w:tcW w:w="931" w:type="dxa"/>
                  <w:tcBorders>
                    <w:top w:val="nil"/>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1606F5">
                    <w:rPr>
                      <w:rFonts w:ascii="Times New Roman" w:eastAsia="Times New Roman" w:hAnsi="Times New Roman" w:cs="Times New Roman"/>
                      <w:i/>
                      <w:iCs/>
                      <w:sz w:val="16"/>
                      <w:szCs w:val="16"/>
                    </w:rPr>
                    <w:t>3.</w:t>
                  </w:r>
                </w:p>
              </w:tc>
              <w:tc>
                <w:tcPr>
                  <w:tcW w:w="951" w:type="dxa"/>
                  <w:tcBorders>
                    <w:top w:val="nil"/>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1606F5">
                    <w:rPr>
                      <w:rFonts w:ascii="Times New Roman" w:eastAsia="Times New Roman" w:hAnsi="Times New Roman" w:cs="Times New Roman"/>
                      <w:i/>
                      <w:iCs/>
                      <w:sz w:val="16"/>
                      <w:szCs w:val="16"/>
                    </w:rPr>
                    <w:t>4.</w:t>
                  </w:r>
                </w:p>
              </w:tc>
              <w:tc>
                <w:tcPr>
                  <w:tcW w:w="874" w:type="dxa"/>
                  <w:tcBorders>
                    <w:top w:val="nil"/>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1606F5">
                    <w:rPr>
                      <w:rFonts w:ascii="Times New Roman" w:eastAsia="Times New Roman" w:hAnsi="Times New Roman" w:cs="Times New Roman"/>
                      <w:i/>
                      <w:iCs/>
                      <w:sz w:val="16"/>
                      <w:szCs w:val="16"/>
                    </w:rPr>
                    <w:t>5.=3.+4.</w:t>
                  </w:r>
                </w:p>
              </w:tc>
              <w:tc>
                <w:tcPr>
                  <w:tcW w:w="957" w:type="dxa"/>
                  <w:tcBorders>
                    <w:top w:val="nil"/>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1606F5">
                    <w:rPr>
                      <w:rFonts w:ascii="Times New Roman" w:eastAsia="Times New Roman" w:hAnsi="Times New Roman" w:cs="Times New Roman"/>
                      <w:i/>
                      <w:iCs/>
                      <w:sz w:val="16"/>
                      <w:szCs w:val="16"/>
                    </w:rPr>
                    <w:t>6.=5.-10.</w:t>
                  </w:r>
                </w:p>
              </w:tc>
              <w:tc>
                <w:tcPr>
                  <w:tcW w:w="939" w:type="dxa"/>
                  <w:tcBorders>
                    <w:top w:val="nil"/>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1606F5">
                    <w:rPr>
                      <w:rFonts w:ascii="Times New Roman" w:eastAsia="Times New Roman" w:hAnsi="Times New Roman" w:cs="Times New Roman"/>
                      <w:i/>
                      <w:iCs/>
                      <w:sz w:val="16"/>
                      <w:szCs w:val="16"/>
                    </w:rPr>
                    <w:t>7.</w:t>
                  </w:r>
                </w:p>
              </w:tc>
              <w:tc>
                <w:tcPr>
                  <w:tcW w:w="994" w:type="dxa"/>
                  <w:tcBorders>
                    <w:top w:val="nil"/>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1606F5">
                    <w:rPr>
                      <w:rFonts w:ascii="Times New Roman" w:eastAsia="Times New Roman" w:hAnsi="Times New Roman" w:cs="Times New Roman"/>
                      <w:i/>
                      <w:iCs/>
                      <w:sz w:val="16"/>
                      <w:szCs w:val="16"/>
                    </w:rPr>
                    <w:t>8.</w:t>
                  </w:r>
                </w:p>
              </w:tc>
              <w:tc>
                <w:tcPr>
                  <w:tcW w:w="909" w:type="dxa"/>
                  <w:tcBorders>
                    <w:top w:val="nil"/>
                    <w:left w:val="nil"/>
                    <w:bottom w:val="single" w:sz="4" w:space="0" w:color="auto"/>
                    <w:right w:val="single" w:sz="4" w:space="0" w:color="auto"/>
                  </w:tcBorders>
                  <w:shd w:val="clear" w:color="auto" w:fill="auto"/>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i/>
                      <w:iCs/>
                      <w:sz w:val="16"/>
                      <w:szCs w:val="16"/>
                    </w:rPr>
                  </w:pPr>
                  <w:r w:rsidRPr="001606F5">
                    <w:rPr>
                      <w:rFonts w:ascii="Times New Roman" w:eastAsia="Times New Roman" w:hAnsi="Times New Roman" w:cs="Times New Roman"/>
                      <w:i/>
                      <w:iCs/>
                      <w:sz w:val="16"/>
                      <w:szCs w:val="16"/>
                    </w:rPr>
                    <w:t>10.=7.+8.</w:t>
                  </w:r>
                </w:p>
              </w:tc>
            </w:tr>
            <w:tr w:rsidR="00C85D45" w:rsidRPr="001606F5" w:rsidTr="00077BDE">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1</w:t>
                  </w:r>
                </w:p>
              </w:tc>
              <w:tc>
                <w:tcPr>
                  <w:tcW w:w="787"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2018</w:t>
                  </w:r>
                </w:p>
              </w:tc>
              <w:tc>
                <w:tcPr>
                  <w:tcW w:w="931"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5 496 456</w:t>
                  </w:r>
                </w:p>
              </w:tc>
              <w:tc>
                <w:tcPr>
                  <w:tcW w:w="951"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21 423</w:t>
                  </w:r>
                </w:p>
              </w:tc>
              <w:tc>
                <w:tcPr>
                  <w:tcW w:w="874"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5 517 879</w:t>
                  </w:r>
                </w:p>
              </w:tc>
              <w:tc>
                <w:tcPr>
                  <w:tcW w:w="957"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5 496 456</w:t>
                  </w:r>
                </w:p>
              </w:tc>
              <w:tc>
                <w:tcPr>
                  <w:tcW w:w="939"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p>
              </w:tc>
              <w:tc>
                <w:tcPr>
                  <w:tcW w:w="994"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21 423</w:t>
                  </w:r>
                </w:p>
              </w:tc>
              <w:tc>
                <w:tcPr>
                  <w:tcW w:w="909"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21 423</w:t>
                  </w:r>
                </w:p>
              </w:tc>
            </w:tr>
            <w:tr w:rsidR="00C85D45" w:rsidRPr="001606F5" w:rsidTr="00077BDE">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2</w:t>
                  </w:r>
                </w:p>
              </w:tc>
              <w:tc>
                <w:tcPr>
                  <w:tcW w:w="787"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2019</w:t>
                  </w:r>
                </w:p>
              </w:tc>
              <w:tc>
                <w:tcPr>
                  <w:tcW w:w="931"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1 896 287</w:t>
                  </w:r>
                </w:p>
              </w:tc>
              <w:tc>
                <w:tcPr>
                  <w:tcW w:w="951"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85 690</w:t>
                  </w:r>
                </w:p>
              </w:tc>
              <w:tc>
                <w:tcPr>
                  <w:tcW w:w="874"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1 981 977</w:t>
                  </w:r>
                </w:p>
              </w:tc>
              <w:tc>
                <w:tcPr>
                  <w:tcW w:w="957"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1 896 287</w:t>
                  </w:r>
                </w:p>
              </w:tc>
              <w:tc>
                <w:tcPr>
                  <w:tcW w:w="939"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p>
              </w:tc>
              <w:tc>
                <w:tcPr>
                  <w:tcW w:w="994"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85 690</w:t>
                  </w:r>
                </w:p>
              </w:tc>
              <w:tc>
                <w:tcPr>
                  <w:tcW w:w="909"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85 690</w:t>
                  </w:r>
                </w:p>
              </w:tc>
            </w:tr>
            <w:tr w:rsidR="00C85D45" w:rsidRPr="001606F5" w:rsidTr="00077BDE">
              <w:trPr>
                <w:trHeight w:val="300"/>
                <w:jc w:val="center"/>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3</w:t>
                  </w:r>
                </w:p>
              </w:tc>
              <w:tc>
                <w:tcPr>
                  <w:tcW w:w="787"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2020</w:t>
                  </w:r>
                </w:p>
              </w:tc>
              <w:tc>
                <w:tcPr>
                  <w:tcW w:w="931"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p>
              </w:tc>
              <w:tc>
                <w:tcPr>
                  <w:tcW w:w="951"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85 690</w:t>
                  </w:r>
                </w:p>
              </w:tc>
              <w:tc>
                <w:tcPr>
                  <w:tcW w:w="874"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85 690</w:t>
                  </w:r>
                </w:p>
              </w:tc>
              <w:tc>
                <w:tcPr>
                  <w:tcW w:w="957"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-7 392 743</w:t>
                  </w:r>
                </w:p>
              </w:tc>
              <w:tc>
                <w:tcPr>
                  <w:tcW w:w="939"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7 392 743</w:t>
                  </w:r>
                </w:p>
              </w:tc>
              <w:tc>
                <w:tcPr>
                  <w:tcW w:w="994"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85 690</w:t>
                  </w:r>
                </w:p>
              </w:tc>
              <w:tc>
                <w:tcPr>
                  <w:tcW w:w="909" w:type="dxa"/>
                  <w:tcBorders>
                    <w:top w:val="nil"/>
                    <w:left w:val="nil"/>
                    <w:bottom w:val="single" w:sz="4" w:space="0" w:color="auto"/>
                    <w:right w:val="single" w:sz="4" w:space="0" w:color="auto"/>
                  </w:tcBorders>
                  <w:shd w:val="clear" w:color="000000" w:fill="FFFFFF"/>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1606F5">
                    <w:rPr>
                      <w:rFonts w:ascii="Times New Roman" w:eastAsia="Times New Roman" w:hAnsi="Times New Roman" w:cs="Times New Roman"/>
                      <w:sz w:val="16"/>
                      <w:szCs w:val="16"/>
                    </w:rPr>
                    <w:t>7 478 433</w:t>
                  </w:r>
                </w:p>
              </w:tc>
            </w:tr>
            <w:tr w:rsidR="00C85D45" w:rsidRPr="001606F5" w:rsidTr="00077BDE">
              <w:trPr>
                <w:trHeight w:val="300"/>
                <w:jc w:val="center"/>
              </w:trPr>
              <w:tc>
                <w:tcPr>
                  <w:tcW w:w="12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1606F5">
                    <w:rPr>
                      <w:rFonts w:ascii="Times New Roman" w:eastAsia="Times New Roman" w:hAnsi="Times New Roman" w:cs="Times New Roman"/>
                      <w:b/>
                      <w:bCs/>
                      <w:sz w:val="16"/>
                      <w:szCs w:val="16"/>
                    </w:rPr>
                    <w:t>KOPĀ:</w:t>
                  </w:r>
                </w:p>
              </w:tc>
              <w:tc>
                <w:tcPr>
                  <w:tcW w:w="931"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1606F5">
                    <w:rPr>
                      <w:rFonts w:ascii="Times New Roman" w:eastAsia="Times New Roman" w:hAnsi="Times New Roman" w:cs="Times New Roman"/>
                      <w:b/>
                      <w:bCs/>
                      <w:sz w:val="16"/>
                      <w:szCs w:val="16"/>
                    </w:rPr>
                    <w:t>7 392 743</w:t>
                  </w:r>
                </w:p>
              </w:tc>
              <w:tc>
                <w:tcPr>
                  <w:tcW w:w="951"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1606F5">
                    <w:rPr>
                      <w:rFonts w:ascii="Times New Roman" w:eastAsia="Times New Roman" w:hAnsi="Times New Roman" w:cs="Times New Roman"/>
                      <w:b/>
                      <w:bCs/>
                      <w:sz w:val="16"/>
                      <w:szCs w:val="16"/>
                    </w:rPr>
                    <w:t>192 803</w:t>
                  </w:r>
                </w:p>
              </w:tc>
              <w:tc>
                <w:tcPr>
                  <w:tcW w:w="874"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1606F5">
                    <w:rPr>
                      <w:rFonts w:ascii="Times New Roman" w:eastAsia="Times New Roman" w:hAnsi="Times New Roman" w:cs="Times New Roman"/>
                      <w:b/>
                      <w:bCs/>
                      <w:sz w:val="16"/>
                      <w:szCs w:val="16"/>
                    </w:rPr>
                    <w:t>7 585 546</w:t>
                  </w:r>
                </w:p>
              </w:tc>
              <w:tc>
                <w:tcPr>
                  <w:tcW w:w="957"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1606F5">
                    <w:rPr>
                      <w:rFonts w:ascii="Times New Roman" w:eastAsia="Times New Roman" w:hAnsi="Times New Roman" w:cs="Times New Roman"/>
                      <w:b/>
                      <w:bCs/>
                      <w:sz w:val="16"/>
                      <w:szCs w:val="16"/>
                    </w:rPr>
                    <w:t>0</w:t>
                  </w:r>
                </w:p>
              </w:tc>
              <w:tc>
                <w:tcPr>
                  <w:tcW w:w="939"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1606F5">
                    <w:rPr>
                      <w:rFonts w:ascii="Times New Roman" w:eastAsia="Times New Roman" w:hAnsi="Times New Roman" w:cs="Times New Roman"/>
                      <w:b/>
                      <w:bCs/>
                      <w:sz w:val="16"/>
                      <w:szCs w:val="16"/>
                    </w:rPr>
                    <w:t>7 392 743</w:t>
                  </w:r>
                </w:p>
              </w:tc>
              <w:tc>
                <w:tcPr>
                  <w:tcW w:w="994"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1606F5">
                    <w:rPr>
                      <w:rFonts w:ascii="Times New Roman" w:eastAsia="Times New Roman" w:hAnsi="Times New Roman" w:cs="Times New Roman"/>
                      <w:b/>
                      <w:bCs/>
                      <w:sz w:val="16"/>
                      <w:szCs w:val="16"/>
                    </w:rPr>
                    <w:t>192 803</w:t>
                  </w:r>
                </w:p>
              </w:tc>
              <w:tc>
                <w:tcPr>
                  <w:tcW w:w="909" w:type="dxa"/>
                  <w:tcBorders>
                    <w:top w:val="nil"/>
                    <w:left w:val="nil"/>
                    <w:bottom w:val="single" w:sz="4" w:space="0" w:color="auto"/>
                    <w:right w:val="single" w:sz="4" w:space="0" w:color="auto"/>
                  </w:tcBorders>
                  <w:shd w:val="clear" w:color="auto" w:fill="auto"/>
                  <w:noWrap/>
                  <w:vAlign w:val="center"/>
                  <w:hideMark/>
                </w:tcPr>
                <w:p w:rsidR="00F82E32" w:rsidRPr="001606F5" w:rsidRDefault="00F82E32" w:rsidP="0060470C">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1606F5">
                    <w:rPr>
                      <w:rFonts w:ascii="Times New Roman" w:eastAsia="Times New Roman" w:hAnsi="Times New Roman" w:cs="Times New Roman"/>
                      <w:b/>
                      <w:bCs/>
                      <w:sz w:val="16"/>
                      <w:szCs w:val="16"/>
                    </w:rPr>
                    <w:t>7 585 546</w:t>
                  </w:r>
                </w:p>
              </w:tc>
            </w:tr>
          </w:tbl>
          <w:p w:rsidR="0058683D" w:rsidRPr="001606F5" w:rsidRDefault="0058683D" w:rsidP="003327E1">
            <w:pPr>
              <w:pStyle w:val="naiskr"/>
              <w:tabs>
                <w:tab w:val="left" w:pos="142"/>
                <w:tab w:val="left" w:pos="425"/>
              </w:tabs>
              <w:spacing w:before="0" w:after="0"/>
              <w:ind w:left="85" w:right="143" w:firstLine="330"/>
              <w:jc w:val="both"/>
              <w:rPr>
                <w:color w:val="002060"/>
              </w:rPr>
            </w:pPr>
          </w:p>
          <w:p w:rsidR="00F63F9D" w:rsidRPr="001606F5" w:rsidRDefault="003327E1" w:rsidP="00514A71">
            <w:pPr>
              <w:pStyle w:val="naiskr"/>
              <w:tabs>
                <w:tab w:val="left" w:pos="142"/>
                <w:tab w:val="left" w:pos="425"/>
              </w:tabs>
              <w:spacing w:before="0" w:after="0"/>
              <w:ind w:left="85" w:right="143" w:firstLine="330"/>
              <w:jc w:val="both"/>
            </w:pPr>
            <w:r w:rsidRPr="001606F5">
              <w:t>MK rīkojuma projekta tiesiskā regulējuma mērķis un būtība</w:t>
            </w:r>
            <w:r w:rsidR="0005246F" w:rsidRPr="001606F5">
              <w:t xml:space="preserve"> ir precizēt FM budžetā ilgtermiņa saistībās paredzētā finansējuma kapitālieguldījumu izdevumu segšanai VNĪ, kas saistīti būvniecību, </w:t>
            </w:r>
            <w:r w:rsidR="00F01481" w:rsidRPr="001606F5">
              <w:t>sadalījumu</w:t>
            </w:r>
            <w:r w:rsidR="00F63F9D" w:rsidRPr="001606F5">
              <w:t xml:space="preserve"> pa gadiem</w:t>
            </w:r>
            <w:r w:rsidR="00F01481" w:rsidRPr="001606F5">
              <w:t>:</w:t>
            </w:r>
          </w:p>
          <w:p w:rsidR="0005246F" w:rsidRPr="001606F5" w:rsidRDefault="00F01481" w:rsidP="00F01481">
            <w:pPr>
              <w:pStyle w:val="naiskr"/>
              <w:numPr>
                <w:ilvl w:val="0"/>
                <w:numId w:val="27"/>
              </w:numPr>
              <w:tabs>
                <w:tab w:val="left" w:pos="142"/>
                <w:tab w:val="left" w:pos="425"/>
              </w:tabs>
              <w:spacing w:before="0" w:after="0"/>
              <w:ind w:left="95" w:right="143" w:firstLine="320"/>
              <w:jc w:val="both"/>
            </w:pPr>
            <w:r w:rsidRPr="001606F5">
              <w:t>t</w:t>
            </w:r>
            <w:r w:rsidR="00F63F9D" w:rsidRPr="001606F5">
              <w:t xml:space="preserve">ā ietvaros </w:t>
            </w:r>
            <w:r w:rsidR="00F63F9D" w:rsidRPr="001606F5">
              <w:rPr>
                <w:rFonts w:eastAsiaTheme="minorEastAsia" w:cstheme="minorBidi"/>
                <w:iCs/>
              </w:rPr>
              <w:t>tiek svītrots 2.</w:t>
            </w:r>
            <w:r w:rsidR="00F63F9D" w:rsidRPr="001606F5">
              <w:rPr>
                <w:rFonts w:eastAsiaTheme="minorEastAsia" w:cstheme="minorBidi"/>
                <w:iCs/>
                <w:vertAlign w:val="superscript"/>
              </w:rPr>
              <w:t>2</w:t>
            </w:r>
            <w:r w:rsidR="00F63F9D" w:rsidRPr="001606F5">
              <w:rPr>
                <w:rFonts w:eastAsiaTheme="minorEastAsia" w:cstheme="minorBidi"/>
                <w:iCs/>
              </w:rPr>
              <w:t xml:space="preserve"> punkts un papildināts ar 2.</w:t>
            </w:r>
            <w:r w:rsidR="00F63F9D" w:rsidRPr="001606F5">
              <w:rPr>
                <w:rFonts w:eastAsiaTheme="minorEastAsia" w:cstheme="minorBidi"/>
                <w:iCs/>
                <w:vertAlign w:val="superscript"/>
              </w:rPr>
              <w:t>3</w:t>
            </w:r>
            <w:r w:rsidR="00F63F9D" w:rsidRPr="001606F5">
              <w:rPr>
                <w:rFonts w:eastAsiaTheme="minorEastAsia" w:cstheme="minorBidi"/>
                <w:iCs/>
              </w:rPr>
              <w:t xml:space="preserve"> punktu, </w:t>
            </w:r>
            <w:r w:rsidR="00BD0603" w:rsidRPr="001606F5">
              <w:rPr>
                <w:rFonts w:eastAsiaTheme="minorEastAsia" w:cstheme="minorBidi"/>
                <w:iCs/>
              </w:rPr>
              <w:t>likumprojekta “Par valsts budžetu 2017.gadam”</w:t>
            </w:r>
            <w:r w:rsidR="00F63F9D" w:rsidRPr="001606F5">
              <w:rPr>
                <w:rFonts w:eastAsiaTheme="minorEastAsia" w:cstheme="minorBidi"/>
                <w:iCs/>
              </w:rPr>
              <w:t xml:space="preserve"> paredzot </w:t>
            </w:r>
            <w:r w:rsidR="005D2207" w:rsidRPr="001606F5">
              <w:rPr>
                <w:rFonts w:eastAsiaTheme="minorEastAsia" w:cstheme="minorBidi"/>
                <w:iCs/>
              </w:rPr>
              <w:t xml:space="preserve">finansējumu </w:t>
            </w:r>
            <w:r w:rsidR="00F63F9D" w:rsidRPr="001606F5">
              <w:rPr>
                <w:rFonts w:eastAsiaTheme="minorEastAsia" w:cstheme="minorBidi"/>
                <w:iCs/>
              </w:rPr>
              <w:t xml:space="preserve">FM budžetā </w:t>
            </w:r>
            <w:r w:rsidR="00F63F9D" w:rsidRPr="001606F5">
              <w:t>2020. gadā 7</w:t>
            </w:r>
            <w:r w:rsidR="009B1354">
              <w:t> </w:t>
            </w:r>
            <w:r w:rsidR="00F63F9D" w:rsidRPr="001606F5">
              <w:t xml:space="preserve">392 743 </w:t>
            </w:r>
            <w:proofErr w:type="spellStart"/>
            <w:r w:rsidR="00F63F9D" w:rsidRPr="001606F5">
              <w:rPr>
                <w:i/>
              </w:rPr>
              <w:t>euro</w:t>
            </w:r>
            <w:proofErr w:type="spellEnd"/>
            <w:r w:rsidR="00F63F9D" w:rsidRPr="001606F5">
              <w:rPr>
                <w:rFonts w:eastAsiaTheme="minorEastAsia" w:cstheme="minorBidi"/>
                <w:iCs/>
              </w:rPr>
              <w:t xml:space="preserve"> izdevumu segšanai VNĪ, kas saistīti ar kapitālieguldījumiem būvniecības projekta īstenošanā, pēc būvniecības darbu pabeigšanas (kopā </w:t>
            </w:r>
            <w:r w:rsidR="00F63F9D" w:rsidRPr="001606F5">
              <w:rPr>
                <w:rFonts w:eastAsiaTheme="minorEastAsia" w:cstheme="minorBidi"/>
                <w:iCs/>
              </w:rPr>
              <w:lastRenderedPageBreak/>
              <w:t>finansējums paredzēts 7</w:t>
            </w:r>
            <w:r w:rsidR="005D2207" w:rsidRPr="001606F5">
              <w:rPr>
                <w:rFonts w:eastAsiaTheme="minorEastAsia" w:cstheme="minorBidi"/>
                <w:iCs/>
              </w:rPr>
              <w:t> </w:t>
            </w:r>
            <w:r w:rsidR="00F63F9D" w:rsidRPr="001606F5">
              <w:rPr>
                <w:rFonts w:eastAsiaTheme="minorEastAsia" w:cstheme="minorBidi"/>
                <w:iCs/>
              </w:rPr>
              <w:t>392</w:t>
            </w:r>
            <w:r w:rsidR="005D2207" w:rsidRPr="001606F5">
              <w:rPr>
                <w:rFonts w:eastAsiaTheme="minorEastAsia" w:cstheme="minorBidi"/>
                <w:iCs/>
              </w:rPr>
              <w:t> </w:t>
            </w:r>
            <w:r w:rsidR="00F63F9D" w:rsidRPr="001606F5">
              <w:rPr>
                <w:rFonts w:eastAsiaTheme="minorEastAsia" w:cstheme="minorBidi"/>
                <w:iCs/>
              </w:rPr>
              <w:t xml:space="preserve">743 </w:t>
            </w:r>
            <w:proofErr w:type="spellStart"/>
            <w:r w:rsidR="00F63F9D" w:rsidRPr="001606F5">
              <w:rPr>
                <w:rFonts w:eastAsiaTheme="minorEastAsia" w:cstheme="minorBidi"/>
                <w:i/>
                <w:iCs/>
              </w:rPr>
              <w:t>euro</w:t>
            </w:r>
            <w:proofErr w:type="spellEnd"/>
            <w:r w:rsidRPr="001606F5">
              <w:rPr>
                <w:rFonts w:eastAsiaTheme="minorEastAsia" w:cstheme="minorBidi"/>
                <w:iCs/>
              </w:rPr>
              <w:t>);</w:t>
            </w:r>
          </w:p>
          <w:p w:rsidR="00F01481" w:rsidRPr="001606F5" w:rsidRDefault="00F01481" w:rsidP="00F01481">
            <w:pPr>
              <w:pStyle w:val="naiskr"/>
              <w:numPr>
                <w:ilvl w:val="0"/>
                <w:numId w:val="27"/>
              </w:numPr>
              <w:tabs>
                <w:tab w:val="left" w:pos="142"/>
                <w:tab w:val="left" w:pos="425"/>
              </w:tabs>
              <w:spacing w:before="0" w:after="0"/>
              <w:ind w:left="95" w:right="143" w:firstLine="320"/>
              <w:jc w:val="both"/>
            </w:pPr>
            <w:r w:rsidRPr="001606F5">
              <w:rPr>
                <w:iCs/>
              </w:rPr>
              <w:t>3.1.apakšpunktā precizēta atsauce uz 2.</w:t>
            </w:r>
            <w:r w:rsidRPr="001606F5">
              <w:rPr>
                <w:iCs/>
                <w:vertAlign w:val="superscript"/>
              </w:rPr>
              <w:t>3</w:t>
            </w:r>
            <w:r w:rsidRPr="001606F5">
              <w:rPr>
                <w:iCs/>
              </w:rPr>
              <w:t xml:space="preserve"> punktu.</w:t>
            </w:r>
          </w:p>
          <w:p w:rsidR="00DE5685" w:rsidRPr="001606F5" w:rsidRDefault="00DE5685" w:rsidP="0028049A">
            <w:pPr>
              <w:pStyle w:val="naiskr"/>
              <w:tabs>
                <w:tab w:val="left" w:pos="142"/>
                <w:tab w:val="left" w:pos="425"/>
              </w:tabs>
              <w:spacing w:before="0" w:after="0"/>
              <w:ind w:left="85" w:right="143" w:firstLine="330"/>
              <w:jc w:val="both"/>
              <w:rPr>
                <w:sz w:val="16"/>
                <w:szCs w:val="16"/>
              </w:rPr>
            </w:pPr>
          </w:p>
          <w:p w:rsidR="0028049A" w:rsidRPr="001606F5" w:rsidRDefault="00E50861" w:rsidP="0028049A">
            <w:pPr>
              <w:pStyle w:val="naiskr"/>
              <w:tabs>
                <w:tab w:val="left" w:pos="142"/>
                <w:tab w:val="left" w:pos="425"/>
              </w:tabs>
              <w:spacing w:before="0" w:after="0"/>
              <w:ind w:left="85" w:right="143" w:firstLine="330"/>
              <w:jc w:val="both"/>
            </w:pPr>
            <w:r w:rsidRPr="001606F5">
              <w:t xml:space="preserve">Vienlaikus ir sagatavots Ministru kabineta sēdes </w:t>
            </w:r>
            <w:proofErr w:type="spellStart"/>
            <w:r w:rsidRPr="001606F5">
              <w:t>protokollēmuma</w:t>
            </w:r>
            <w:proofErr w:type="spellEnd"/>
            <w:r w:rsidRPr="001606F5">
              <w:t xml:space="preserve"> projekts, kas paredz</w:t>
            </w:r>
            <w:r w:rsidR="006027B9" w:rsidRPr="001606F5">
              <w:t xml:space="preserve"> atbalstīt FM priekšlikumu – izdevumus, kas saistīti ar Padomju okupācijas upuru piemiņas memoriāla kompleksa būvniecības projekta īstenošanu, segt no VNĪ finanšu resursiem un noteikt </w:t>
            </w:r>
            <w:r w:rsidR="0028049A" w:rsidRPr="001606F5">
              <w:t xml:space="preserve">FM </w:t>
            </w:r>
            <w:r w:rsidR="00F01481" w:rsidRPr="001606F5">
              <w:t xml:space="preserve">uzdevumu </w:t>
            </w:r>
            <w:r w:rsidR="0028049A" w:rsidRPr="001606F5">
              <w:t xml:space="preserve">sagatavot priekšlikumu likumprojekta „Par vidēja termiņa budžeta ietvaru 2017., 2018. un 2019.gadam” un likumprojekta „Par valsts budžetu 2017.gadam” izskatīšanai Saeimā otrajā lasījumā par izdevumu </w:t>
            </w:r>
            <w:r w:rsidR="00BD0603" w:rsidRPr="001606F5">
              <w:t xml:space="preserve">samazinājumu </w:t>
            </w:r>
            <w:r w:rsidR="0028049A" w:rsidRPr="001606F5">
              <w:t>budžeta programmas 41.00.00 „Maksājumu nodrošināšana citām valsts iestādēm un personām” budžeta apakšprogramm</w:t>
            </w:r>
            <w:r w:rsidR="00BD0603" w:rsidRPr="001606F5">
              <w:t>ā</w:t>
            </w:r>
            <w:r w:rsidR="0028049A" w:rsidRPr="001606F5">
              <w:t xml:space="preserve"> 41.13.00 „Finansējums VAS „Valsts nekustamie īpašumi” īstenojamiem projektiem un pasākumiem” ilgtermiņa saistību pasākumam „Dotācija VAS „Valsts nekustamie īpašumi” par kapitālieguldījumiem Padomju okupācijas upuru piemiņas memoriāla kompleksa būvniecībā” 2018. gad</w:t>
            </w:r>
            <w:r w:rsidR="00BD0603" w:rsidRPr="001606F5">
              <w:t>ā</w:t>
            </w:r>
            <w:r w:rsidR="0028049A" w:rsidRPr="001606F5">
              <w:t xml:space="preserve"> par 5 496 456 </w:t>
            </w:r>
            <w:proofErr w:type="spellStart"/>
            <w:r w:rsidR="0028049A" w:rsidRPr="001606F5">
              <w:rPr>
                <w:i/>
              </w:rPr>
              <w:t>euro</w:t>
            </w:r>
            <w:proofErr w:type="spellEnd"/>
            <w:r w:rsidR="00BD0603" w:rsidRPr="001606F5">
              <w:t xml:space="preserve">, </w:t>
            </w:r>
            <w:r w:rsidR="0028049A" w:rsidRPr="001606F5">
              <w:t xml:space="preserve"> 2019.gad</w:t>
            </w:r>
            <w:r w:rsidR="00BD0603" w:rsidRPr="001606F5">
              <w:t>ā</w:t>
            </w:r>
            <w:r w:rsidR="0028049A" w:rsidRPr="001606F5">
              <w:t xml:space="preserve"> par 1 896 287 </w:t>
            </w:r>
            <w:proofErr w:type="spellStart"/>
            <w:r w:rsidR="0028049A" w:rsidRPr="001606F5">
              <w:rPr>
                <w:i/>
              </w:rPr>
              <w:t>euro</w:t>
            </w:r>
            <w:proofErr w:type="spellEnd"/>
            <w:r w:rsidR="00BD0603" w:rsidRPr="001606F5">
              <w:t xml:space="preserve"> un palielinājumu 2020.gadā par 7 392 743 </w:t>
            </w:r>
            <w:proofErr w:type="spellStart"/>
            <w:r w:rsidR="00BD0603" w:rsidRPr="001606F5">
              <w:rPr>
                <w:i/>
              </w:rPr>
              <w:t>euro</w:t>
            </w:r>
            <w:proofErr w:type="spellEnd"/>
            <w:r w:rsidR="0028049A" w:rsidRPr="001606F5">
              <w:t>.</w:t>
            </w:r>
          </w:p>
          <w:p w:rsidR="00920EB8" w:rsidRPr="001606F5" w:rsidRDefault="00E50861" w:rsidP="00BE1BB7">
            <w:pPr>
              <w:pStyle w:val="naiskr"/>
              <w:tabs>
                <w:tab w:val="left" w:pos="366"/>
              </w:tabs>
              <w:spacing w:before="0" w:after="120"/>
              <w:ind w:left="103" w:right="132"/>
              <w:jc w:val="both"/>
            </w:pPr>
            <w:r w:rsidRPr="001606F5">
              <w:t>Atbilstoši Ministru kabineta 2009.gada 7.aprīļa noteikumu Nr.300 „Ministru kabineta kārtības rullis” 3.pielikumā ietvertajai politikas jomu klasifikācijai MK rīkojuma projekts atbilst publiskās pārvaldes politikas un budžeta un finanšu politikas jomai.</w:t>
            </w:r>
          </w:p>
        </w:tc>
      </w:tr>
      <w:tr w:rsidR="009C372C" w:rsidRPr="001606F5" w:rsidTr="00467942">
        <w:trPr>
          <w:trHeight w:val="1071"/>
        </w:trPr>
        <w:tc>
          <w:tcPr>
            <w:tcW w:w="150" w:type="pct"/>
          </w:tcPr>
          <w:p w:rsidR="00920EB8" w:rsidRPr="001606F5" w:rsidRDefault="00920EB8" w:rsidP="00920EB8">
            <w:pPr>
              <w:pStyle w:val="naiskr"/>
              <w:spacing w:before="0" w:after="0"/>
            </w:pPr>
            <w:r w:rsidRPr="001606F5">
              <w:lastRenderedPageBreak/>
              <w:t>3.</w:t>
            </w:r>
          </w:p>
        </w:tc>
        <w:tc>
          <w:tcPr>
            <w:tcW w:w="689" w:type="pct"/>
          </w:tcPr>
          <w:p w:rsidR="00920EB8" w:rsidRPr="001606F5" w:rsidRDefault="00920EB8" w:rsidP="00211B61">
            <w:pPr>
              <w:pStyle w:val="naiskr"/>
              <w:spacing w:before="0" w:after="0"/>
              <w:ind w:left="1" w:hanging="10"/>
            </w:pPr>
            <w:r w:rsidRPr="001606F5">
              <w:t>Projekta izstrādē iesaistītās institūcijas</w:t>
            </w:r>
          </w:p>
        </w:tc>
        <w:tc>
          <w:tcPr>
            <w:tcW w:w="4161" w:type="pct"/>
          </w:tcPr>
          <w:p w:rsidR="00920EB8" w:rsidRPr="001606F5" w:rsidRDefault="00920EB8" w:rsidP="00920EB8">
            <w:pPr>
              <w:pStyle w:val="naiskr"/>
              <w:spacing w:before="0" w:after="0"/>
              <w:ind w:left="101"/>
            </w:pPr>
            <w:r w:rsidRPr="001606F5">
              <w:rPr>
                <w:bCs/>
              </w:rPr>
              <w:t>FM (VNĪ).</w:t>
            </w:r>
          </w:p>
        </w:tc>
      </w:tr>
      <w:tr w:rsidR="009C372C" w:rsidRPr="001606F5" w:rsidTr="00467942">
        <w:trPr>
          <w:trHeight w:val="132"/>
        </w:trPr>
        <w:tc>
          <w:tcPr>
            <w:tcW w:w="150" w:type="pct"/>
          </w:tcPr>
          <w:p w:rsidR="00920EB8" w:rsidRPr="001606F5" w:rsidRDefault="00920EB8" w:rsidP="00920EB8">
            <w:pPr>
              <w:pStyle w:val="naiskr"/>
              <w:spacing w:before="0" w:after="0"/>
            </w:pPr>
            <w:r w:rsidRPr="001606F5">
              <w:t>4.</w:t>
            </w:r>
          </w:p>
        </w:tc>
        <w:tc>
          <w:tcPr>
            <w:tcW w:w="689" w:type="pct"/>
          </w:tcPr>
          <w:p w:rsidR="00920EB8" w:rsidRPr="001606F5" w:rsidRDefault="00920EB8" w:rsidP="00211B61">
            <w:pPr>
              <w:pStyle w:val="naiskr"/>
              <w:spacing w:before="0" w:after="0"/>
              <w:ind w:left="1" w:hanging="10"/>
            </w:pPr>
            <w:r w:rsidRPr="001606F5">
              <w:t>Cita informācija</w:t>
            </w:r>
          </w:p>
        </w:tc>
        <w:tc>
          <w:tcPr>
            <w:tcW w:w="4161" w:type="pct"/>
          </w:tcPr>
          <w:p w:rsidR="006D0494" w:rsidRPr="001606F5" w:rsidRDefault="00360490" w:rsidP="00592FC5">
            <w:pPr>
              <w:spacing w:after="120" w:line="240" w:lineRule="auto"/>
              <w:ind w:left="142" w:right="159"/>
              <w:jc w:val="both"/>
              <w:rPr>
                <w:rFonts w:ascii="Times New Roman" w:hAnsi="Times New Roman"/>
                <w:sz w:val="24"/>
                <w:szCs w:val="24"/>
              </w:rPr>
            </w:pPr>
            <w:r w:rsidRPr="001606F5">
              <w:rPr>
                <w:rFonts w:ascii="Times New Roman" w:hAnsi="Times New Roman"/>
                <w:sz w:val="24"/>
                <w:szCs w:val="24"/>
              </w:rPr>
              <w:t>Nav.</w:t>
            </w:r>
          </w:p>
        </w:tc>
      </w:tr>
    </w:tbl>
    <w:p w:rsidR="005A24DB" w:rsidRPr="001606F5" w:rsidRDefault="005A24DB" w:rsidP="00AC5C4A">
      <w:pPr>
        <w:pStyle w:val="BodyText"/>
        <w:rPr>
          <w:bCs w:val="0"/>
        </w:rPr>
      </w:pPr>
    </w:p>
    <w:p w:rsidR="00967817" w:rsidRPr="001606F5" w:rsidRDefault="00967817" w:rsidP="00AC5C4A">
      <w:pPr>
        <w:pStyle w:val="BodyText"/>
        <w:rPr>
          <w:bCs w:val="0"/>
        </w:rPr>
      </w:pPr>
    </w:p>
    <w:bookmarkEnd w:id="0"/>
    <w:bookmarkEnd w:id="1"/>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6"/>
        <w:gridCol w:w="1200"/>
        <w:gridCol w:w="1335"/>
        <w:gridCol w:w="1335"/>
        <w:gridCol w:w="1335"/>
        <w:gridCol w:w="1551"/>
      </w:tblGrid>
      <w:tr w:rsidR="009C372C" w:rsidRPr="001606F5" w:rsidTr="006027B9">
        <w:trPr>
          <w:trHeight w:val="290"/>
          <w:jc w:val="center"/>
        </w:trPr>
        <w:tc>
          <w:tcPr>
            <w:tcW w:w="5000" w:type="pct"/>
            <w:gridSpan w:val="6"/>
          </w:tcPr>
          <w:p w:rsidR="00D80C78" w:rsidRPr="001606F5" w:rsidRDefault="00D80C78" w:rsidP="00597A53">
            <w:pPr>
              <w:pStyle w:val="naisnod"/>
              <w:spacing w:before="120" w:beforeAutospacing="0" w:after="120" w:afterAutospacing="0"/>
              <w:jc w:val="center"/>
              <w:rPr>
                <w:b/>
              </w:rPr>
            </w:pPr>
            <w:r w:rsidRPr="001606F5">
              <w:rPr>
                <w:b/>
              </w:rPr>
              <w:br w:type="page"/>
              <w:t>III. Tiesību akta projekta ietekme uz valsts budžetu un pašvaldību budžetiem</w:t>
            </w:r>
          </w:p>
        </w:tc>
      </w:tr>
      <w:tr w:rsidR="009C372C" w:rsidRPr="001606F5" w:rsidTr="00DE5685">
        <w:trPr>
          <w:trHeight w:val="346"/>
          <w:jc w:val="center"/>
        </w:trPr>
        <w:tc>
          <w:tcPr>
            <w:tcW w:w="1493" w:type="pct"/>
            <w:vMerge w:val="restart"/>
            <w:vAlign w:val="center"/>
          </w:tcPr>
          <w:p w:rsidR="00D80C78" w:rsidRPr="001606F5" w:rsidRDefault="00D80C78" w:rsidP="00D80C78">
            <w:pPr>
              <w:pStyle w:val="naisf"/>
              <w:tabs>
                <w:tab w:val="left" w:pos="7993"/>
              </w:tabs>
              <w:spacing w:before="0" w:after="0"/>
              <w:ind w:left="270" w:right="-1" w:firstLine="0"/>
              <w:jc w:val="center"/>
            </w:pPr>
            <w:r w:rsidRPr="001606F5">
              <w:t>Rādītāji</w:t>
            </w:r>
          </w:p>
        </w:tc>
        <w:tc>
          <w:tcPr>
            <w:tcW w:w="1316" w:type="pct"/>
            <w:gridSpan w:val="2"/>
            <w:vMerge w:val="restart"/>
            <w:vAlign w:val="center"/>
          </w:tcPr>
          <w:p w:rsidR="00D80C78" w:rsidRPr="001606F5" w:rsidRDefault="00D80C78" w:rsidP="00DE101F">
            <w:pPr>
              <w:pStyle w:val="naisf"/>
              <w:tabs>
                <w:tab w:val="left" w:pos="7993"/>
              </w:tabs>
              <w:spacing w:before="0" w:after="0"/>
              <w:ind w:right="-1" w:firstLine="0"/>
              <w:jc w:val="center"/>
            </w:pPr>
            <w:r w:rsidRPr="001606F5">
              <w:t>201</w:t>
            </w:r>
            <w:r w:rsidR="00DE101F" w:rsidRPr="001606F5">
              <w:t>6</w:t>
            </w:r>
            <w:r w:rsidRPr="001606F5">
              <w:t>.gads</w:t>
            </w:r>
          </w:p>
        </w:tc>
        <w:tc>
          <w:tcPr>
            <w:tcW w:w="2191" w:type="pct"/>
            <w:gridSpan w:val="3"/>
            <w:vAlign w:val="center"/>
          </w:tcPr>
          <w:p w:rsidR="00D80C78" w:rsidRPr="001606F5" w:rsidRDefault="00D80C78" w:rsidP="00D80C78">
            <w:pPr>
              <w:pStyle w:val="naisf"/>
              <w:tabs>
                <w:tab w:val="left" w:pos="7993"/>
              </w:tabs>
              <w:spacing w:before="0" w:after="0"/>
              <w:ind w:right="-1" w:firstLine="0"/>
              <w:jc w:val="center"/>
              <w:rPr>
                <w:i/>
              </w:rPr>
            </w:pPr>
            <w:r w:rsidRPr="001606F5">
              <w:t>Turpmākie trīs gadi (</w:t>
            </w:r>
            <w:proofErr w:type="spellStart"/>
            <w:r w:rsidRPr="001606F5">
              <w:rPr>
                <w:i/>
              </w:rPr>
              <w:t>euro</w:t>
            </w:r>
            <w:proofErr w:type="spellEnd"/>
            <w:r w:rsidRPr="001606F5">
              <w:t>)</w:t>
            </w:r>
          </w:p>
        </w:tc>
      </w:tr>
      <w:tr w:rsidR="009C372C" w:rsidRPr="001606F5" w:rsidTr="00DE5685">
        <w:trPr>
          <w:trHeight w:val="349"/>
          <w:jc w:val="center"/>
        </w:trPr>
        <w:tc>
          <w:tcPr>
            <w:tcW w:w="1493" w:type="pct"/>
            <w:vMerge/>
            <w:vAlign w:val="center"/>
          </w:tcPr>
          <w:p w:rsidR="00D80C78" w:rsidRPr="001606F5" w:rsidRDefault="00D80C78" w:rsidP="00D80C78">
            <w:pPr>
              <w:pStyle w:val="naisf"/>
              <w:tabs>
                <w:tab w:val="left" w:pos="7993"/>
              </w:tabs>
              <w:spacing w:before="0" w:after="0"/>
              <w:ind w:right="-1" w:firstLine="0"/>
              <w:jc w:val="left"/>
              <w:rPr>
                <w:i/>
              </w:rPr>
            </w:pPr>
          </w:p>
        </w:tc>
        <w:tc>
          <w:tcPr>
            <w:tcW w:w="1316" w:type="pct"/>
            <w:gridSpan w:val="2"/>
            <w:vMerge/>
            <w:vAlign w:val="center"/>
          </w:tcPr>
          <w:p w:rsidR="00D80C78" w:rsidRPr="001606F5" w:rsidRDefault="00D80C78" w:rsidP="00D80C78">
            <w:pPr>
              <w:pStyle w:val="naisf"/>
              <w:tabs>
                <w:tab w:val="left" w:pos="7993"/>
              </w:tabs>
              <w:spacing w:before="0" w:after="0"/>
              <w:ind w:right="-1" w:firstLine="0"/>
              <w:jc w:val="center"/>
              <w:rPr>
                <w:i/>
              </w:rPr>
            </w:pPr>
          </w:p>
        </w:tc>
        <w:tc>
          <w:tcPr>
            <w:tcW w:w="693" w:type="pct"/>
            <w:vAlign w:val="center"/>
          </w:tcPr>
          <w:p w:rsidR="00D80C78" w:rsidRPr="001606F5" w:rsidRDefault="00D80C78" w:rsidP="00DE101F">
            <w:pPr>
              <w:pStyle w:val="naisf"/>
              <w:tabs>
                <w:tab w:val="left" w:pos="7993"/>
              </w:tabs>
              <w:spacing w:before="0" w:after="0"/>
              <w:ind w:right="-1" w:firstLine="0"/>
              <w:jc w:val="center"/>
              <w:rPr>
                <w:i/>
              </w:rPr>
            </w:pPr>
            <w:r w:rsidRPr="001606F5">
              <w:rPr>
                <w:bCs/>
              </w:rPr>
              <w:t>201</w:t>
            </w:r>
            <w:r w:rsidR="00DE101F" w:rsidRPr="001606F5">
              <w:rPr>
                <w:bCs/>
              </w:rPr>
              <w:t>7</w:t>
            </w:r>
            <w:r w:rsidRPr="001606F5">
              <w:rPr>
                <w:bCs/>
              </w:rPr>
              <w:t>.g.</w:t>
            </w:r>
          </w:p>
        </w:tc>
        <w:tc>
          <w:tcPr>
            <w:tcW w:w="693" w:type="pct"/>
            <w:vAlign w:val="center"/>
          </w:tcPr>
          <w:p w:rsidR="00D80C78" w:rsidRPr="001606F5" w:rsidRDefault="00D80C78" w:rsidP="00DE101F">
            <w:pPr>
              <w:pStyle w:val="naisf"/>
              <w:tabs>
                <w:tab w:val="left" w:pos="7993"/>
              </w:tabs>
              <w:spacing w:before="0" w:after="0"/>
              <w:ind w:right="-1" w:firstLine="0"/>
              <w:jc w:val="center"/>
              <w:rPr>
                <w:i/>
              </w:rPr>
            </w:pPr>
            <w:r w:rsidRPr="001606F5">
              <w:rPr>
                <w:bCs/>
              </w:rPr>
              <w:t>201</w:t>
            </w:r>
            <w:r w:rsidR="00DE101F" w:rsidRPr="001606F5">
              <w:rPr>
                <w:bCs/>
              </w:rPr>
              <w:t>8</w:t>
            </w:r>
            <w:r w:rsidRPr="001606F5">
              <w:rPr>
                <w:bCs/>
              </w:rPr>
              <w:t>.g.</w:t>
            </w:r>
          </w:p>
        </w:tc>
        <w:tc>
          <w:tcPr>
            <w:tcW w:w="805" w:type="pct"/>
            <w:vAlign w:val="center"/>
          </w:tcPr>
          <w:p w:rsidR="00D80C78" w:rsidRPr="001606F5" w:rsidRDefault="00D80C78" w:rsidP="00DE101F">
            <w:pPr>
              <w:pStyle w:val="naisf"/>
              <w:tabs>
                <w:tab w:val="left" w:pos="7993"/>
              </w:tabs>
              <w:spacing w:before="0" w:after="0"/>
              <w:ind w:right="-1" w:firstLine="0"/>
              <w:jc w:val="center"/>
              <w:rPr>
                <w:i/>
              </w:rPr>
            </w:pPr>
            <w:r w:rsidRPr="001606F5">
              <w:rPr>
                <w:bCs/>
              </w:rPr>
              <w:t>201</w:t>
            </w:r>
            <w:r w:rsidR="00DE101F" w:rsidRPr="001606F5">
              <w:rPr>
                <w:bCs/>
              </w:rPr>
              <w:t>9</w:t>
            </w:r>
            <w:r w:rsidRPr="001606F5">
              <w:rPr>
                <w:bCs/>
              </w:rPr>
              <w:t>.g.</w:t>
            </w:r>
          </w:p>
        </w:tc>
      </w:tr>
      <w:tr w:rsidR="009C372C" w:rsidRPr="001606F5" w:rsidTr="00DE5685">
        <w:trPr>
          <w:trHeight w:val="2043"/>
          <w:jc w:val="center"/>
        </w:trPr>
        <w:tc>
          <w:tcPr>
            <w:tcW w:w="1493" w:type="pct"/>
            <w:vMerge/>
            <w:vAlign w:val="center"/>
          </w:tcPr>
          <w:p w:rsidR="00D80C78" w:rsidRPr="001606F5" w:rsidRDefault="00D80C78" w:rsidP="00D80C78">
            <w:pPr>
              <w:pStyle w:val="naisf"/>
              <w:tabs>
                <w:tab w:val="left" w:pos="7993"/>
              </w:tabs>
              <w:spacing w:before="0" w:after="0"/>
              <w:ind w:right="-1" w:firstLine="0"/>
              <w:jc w:val="left"/>
              <w:rPr>
                <w:i/>
              </w:rPr>
            </w:pPr>
          </w:p>
        </w:tc>
        <w:tc>
          <w:tcPr>
            <w:tcW w:w="623" w:type="pct"/>
            <w:vAlign w:val="center"/>
          </w:tcPr>
          <w:p w:rsidR="00D80C78" w:rsidRPr="001606F5" w:rsidRDefault="00D80C78" w:rsidP="00D80C78">
            <w:pPr>
              <w:pStyle w:val="naisf"/>
              <w:tabs>
                <w:tab w:val="left" w:pos="7993"/>
              </w:tabs>
              <w:spacing w:before="0" w:after="0"/>
              <w:ind w:right="-1" w:firstLine="0"/>
              <w:jc w:val="center"/>
              <w:rPr>
                <w:i/>
              </w:rPr>
            </w:pPr>
            <w:r w:rsidRPr="001606F5">
              <w:t>Saskaņā ar valsts budžetu kārtējam gadam</w:t>
            </w:r>
          </w:p>
        </w:tc>
        <w:tc>
          <w:tcPr>
            <w:tcW w:w="693" w:type="pct"/>
            <w:vAlign w:val="center"/>
          </w:tcPr>
          <w:p w:rsidR="00D80C78" w:rsidRPr="001606F5" w:rsidRDefault="00D80C78" w:rsidP="00D80C78">
            <w:pPr>
              <w:pStyle w:val="naisf"/>
              <w:tabs>
                <w:tab w:val="left" w:pos="7993"/>
              </w:tabs>
              <w:spacing w:before="0" w:after="0"/>
              <w:ind w:right="-1" w:firstLine="0"/>
              <w:jc w:val="center"/>
              <w:rPr>
                <w:i/>
              </w:rPr>
            </w:pPr>
            <w:r w:rsidRPr="001606F5">
              <w:t>Izmaiņas kārtējā gadā, salīdzinot ar budžetu kārtējam gadam</w:t>
            </w:r>
          </w:p>
        </w:tc>
        <w:tc>
          <w:tcPr>
            <w:tcW w:w="693" w:type="pct"/>
            <w:vAlign w:val="center"/>
          </w:tcPr>
          <w:p w:rsidR="00D80C78" w:rsidRPr="001606F5" w:rsidRDefault="00D80C78" w:rsidP="00D80C78">
            <w:pPr>
              <w:pStyle w:val="naisf"/>
              <w:tabs>
                <w:tab w:val="left" w:pos="7993"/>
              </w:tabs>
              <w:spacing w:before="0" w:after="0"/>
              <w:ind w:right="-1" w:firstLine="0"/>
              <w:jc w:val="center"/>
              <w:rPr>
                <w:i/>
              </w:rPr>
            </w:pPr>
            <w:r w:rsidRPr="001606F5">
              <w:t xml:space="preserve">Izmaiņas, salīdzinot ar kārtējo </w:t>
            </w:r>
            <w:r w:rsidR="006B40D6" w:rsidRPr="001606F5">
              <w:t>2016.</w:t>
            </w:r>
            <w:r w:rsidRPr="001606F5">
              <w:t>gadu</w:t>
            </w:r>
          </w:p>
        </w:tc>
        <w:tc>
          <w:tcPr>
            <w:tcW w:w="693" w:type="pct"/>
            <w:vAlign w:val="center"/>
          </w:tcPr>
          <w:p w:rsidR="00D80C78" w:rsidRPr="001606F5" w:rsidRDefault="00D80C78" w:rsidP="00D80C78">
            <w:pPr>
              <w:pStyle w:val="naisf"/>
              <w:tabs>
                <w:tab w:val="left" w:pos="7993"/>
              </w:tabs>
              <w:spacing w:before="0" w:after="0"/>
              <w:ind w:right="-1" w:firstLine="0"/>
              <w:jc w:val="center"/>
              <w:rPr>
                <w:i/>
              </w:rPr>
            </w:pPr>
            <w:r w:rsidRPr="001606F5">
              <w:t xml:space="preserve">Izmaiņas, salīdzinot ar kārtējo </w:t>
            </w:r>
            <w:r w:rsidR="006B40D6" w:rsidRPr="001606F5">
              <w:t>2016.</w:t>
            </w:r>
            <w:r w:rsidRPr="001606F5">
              <w:t>gadu</w:t>
            </w:r>
          </w:p>
        </w:tc>
        <w:tc>
          <w:tcPr>
            <w:tcW w:w="805" w:type="pct"/>
            <w:vAlign w:val="center"/>
          </w:tcPr>
          <w:p w:rsidR="00D80C78" w:rsidRPr="001606F5" w:rsidRDefault="00D80C78" w:rsidP="00D80C78">
            <w:pPr>
              <w:pStyle w:val="naisf"/>
              <w:tabs>
                <w:tab w:val="left" w:pos="7993"/>
              </w:tabs>
              <w:spacing w:before="0" w:after="0"/>
              <w:ind w:right="-1" w:firstLine="0"/>
              <w:jc w:val="center"/>
              <w:rPr>
                <w:i/>
              </w:rPr>
            </w:pPr>
            <w:r w:rsidRPr="001606F5">
              <w:t xml:space="preserve">Izmaiņas, salīdzinot ar kārtējo </w:t>
            </w:r>
            <w:r w:rsidR="006B40D6" w:rsidRPr="001606F5">
              <w:t>2016.</w:t>
            </w:r>
            <w:r w:rsidRPr="001606F5">
              <w:t>gadu</w:t>
            </w:r>
          </w:p>
        </w:tc>
      </w:tr>
      <w:tr w:rsidR="009C372C" w:rsidRPr="001606F5" w:rsidTr="006027B9">
        <w:trPr>
          <w:jc w:val="center"/>
        </w:trPr>
        <w:tc>
          <w:tcPr>
            <w:tcW w:w="1493" w:type="pct"/>
            <w:vAlign w:val="center"/>
          </w:tcPr>
          <w:p w:rsidR="00D80C78" w:rsidRPr="001606F5" w:rsidRDefault="00D80C78" w:rsidP="00D80C78">
            <w:pPr>
              <w:pStyle w:val="naisf"/>
              <w:tabs>
                <w:tab w:val="left" w:pos="7993"/>
              </w:tabs>
              <w:spacing w:before="0" w:after="0"/>
              <w:ind w:right="-1" w:firstLine="0"/>
              <w:jc w:val="center"/>
              <w:rPr>
                <w:bCs/>
              </w:rPr>
            </w:pPr>
            <w:r w:rsidRPr="001606F5">
              <w:rPr>
                <w:bCs/>
              </w:rPr>
              <w:t>1</w:t>
            </w:r>
          </w:p>
        </w:tc>
        <w:tc>
          <w:tcPr>
            <w:tcW w:w="623" w:type="pct"/>
            <w:vAlign w:val="center"/>
          </w:tcPr>
          <w:p w:rsidR="00D80C78" w:rsidRPr="001606F5" w:rsidRDefault="00D80C78" w:rsidP="00D80C78">
            <w:pPr>
              <w:pStyle w:val="naisf"/>
              <w:tabs>
                <w:tab w:val="left" w:pos="7993"/>
              </w:tabs>
              <w:spacing w:before="0" w:after="0"/>
              <w:ind w:right="-1" w:firstLine="0"/>
              <w:jc w:val="center"/>
              <w:rPr>
                <w:bCs/>
              </w:rPr>
            </w:pPr>
            <w:r w:rsidRPr="001606F5">
              <w:rPr>
                <w:bCs/>
              </w:rPr>
              <w:t>2</w:t>
            </w:r>
          </w:p>
        </w:tc>
        <w:tc>
          <w:tcPr>
            <w:tcW w:w="693" w:type="pct"/>
            <w:vAlign w:val="center"/>
          </w:tcPr>
          <w:p w:rsidR="00D80C78" w:rsidRPr="001606F5" w:rsidRDefault="00D80C78" w:rsidP="00D80C78">
            <w:pPr>
              <w:pStyle w:val="naisf"/>
              <w:tabs>
                <w:tab w:val="left" w:pos="7993"/>
              </w:tabs>
              <w:spacing w:before="0" w:after="0"/>
              <w:ind w:right="-1" w:firstLine="0"/>
              <w:jc w:val="center"/>
              <w:rPr>
                <w:bCs/>
              </w:rPr>
            </w:pPr>
            <w:r w:rsidRPr="001606F5">
              <w:rPr>
                <w:bCs/>
              </w:rPr>
              <w:t>3</w:t>
            </w:r>
          </w:p>
        </w:tc>
        <w:tc>
          <w:tcPr>
            <w:tcW w:w="693" w:type="pct"/>
            <w:vAlign w:val="center"/>
          </w:tcPr>
          <w:p w:rsidR="00D80C78" w:rsidRPr="001606F5" w:rsidRDefault="00D80C78" w:rsidP="00D80C78">
            <w:pPr>
              <w:pStyle w:val="naisf"/>
              <w:tabs>
                <w:tab w:val="left" w:pos="7993"/>
              </w:tabs>
              <w:spacing w:before="0" w:after="0"/>
              <w:ind w:right="-1" w:firstLine="0"/>
              <w:jc w:val="center"/>
              <w:rPr>
                <w:bCs/>
              </w:rPr>
            </w:pPr>
            <w:r w:rsidRPr="001606F5">
              <w:rPr>
                <w:bCs/>
              </w:rPr>
              <w:t>4</w:t>
            </w:r>
          </w:p>
        </w:tc>
        <w:tc>
          <w:tcPr>
            <w:tcW w:w="693" w:type="pct"/>
            <w:vAlign w:val="center"/>
          </w:tcPr>
          <w:p w:rsidR="00D80C78" w:rsidRPr="001606F5" w:rsidRDefault="00D80C78" w:rsidP="00D80C78">
            <w:pPr>
              <w:pStyle w:val="naisf"/>
              <w:tabs>
                <w:tab w:val="left" w:pos="7993"/>
              </w:tabs>
              <w:spacing w:before="0" w:after="0"/>
              <w:ind w:right="-1" w:firstLine="0"/>
              <w:jc w:val="center"/>
              <w:rPr>
                <w:bCs/>
              </w:rPr>
            </w:pPr>
            <w:r w:rsidRPr="001606F5">
              <w:rPr>
                <w:bCs/>
              </w:rPr>
              <w:t>5</w:t>
            </w:r>
          </w:p>
        </w:tc>
        <w:tc>
          <w:tcPr>
            <w:tcW w:w="805" w:type="pct"/>
            <w:vAlign w:val="center"/>
          </w:tcPr>
          <w:p w:rsidR="00D80C78" w:rsidRPr="001606F5" w:rsidRDefault="00D80C78" w:rsidP="00D80C78">
            <w:pPr>
              <w:pStyle w:val="naisf"/>
              <w:tabs>
                <w:tab w:val="left" w:pos="7993"/>
              </w:tabs>
              <w:spacing w:before="0" w:after="0"/>
              <w:ind w:right="-1" w:firstLine="0"/>
              <w:jc w:val="center"/>
              <w:rPr>
                <w:bCs/>
              </w:rPr>
            </w:pPr>
            <w:r w:rsidRPr="001606F5">
              <w:rPr>
                <w:bCs/>
              </w:rPr>
              <w:t>6</w:t>
            </w:r>
          </w:p>
        </w:tc>
      </w:tr>
      <w:tr w:rsidR="009C372C" w:rsidRPr="001606F5" w:rsidTr="006027B9">
        <w:trPr>
          <w:jc w:val="center"/>
        </w:trPr>
        <w:tc>
          <w:tcPr>
            <w:tcW w:w="1493" w:type="pct"/>
          </w:tcPr>
          <w:p w:rsidR="00D80C78" w:rsidRPr="001606F5" w:rsidRDefault="00D80C78" w:rsidP="00D80C78">
            <w:pPr>
              <w:pStyle w:val="naiskr"/>
              <w:tabs>
                <w:tab w:val="left" w:pos="7993"/>
              </w:tabs>
              <w:spacing w:before="0" w:after="0"/>
              <w:ind w:right="-1"/>
            </w:pPr>
            <w:r w:rsidRPr="001606F5">
              <w:t>1. Budžeta ieņēmumi:</w:t>
            </w:r>
          </w:p>
        </w:tc>
        <w:tc>
          <w:tcPr>
            <w:tcW w:w="623" w:type="pct"/>
          </w:tcPr>
          <w:p w:rsidR="00D80C78" w:rsidRPr="001606F5" w:rsidRDefault="00D80C78" w:rsidP="00D80C78">
            <w:pPr>
              <w:pStyle w:val="naisf"/>
              <w:tabs>
                <w:tab w:val="left" w:pos="7993"/>
              </w:tabs>
              <w:spacing w:before="0" w:after="0"/>
              <w:ind w:right="-1" w:firstLine="0"/>
              <w:jc w:val="center"/>
            </w:pPr>
            <w:r w:rsidRPr="001606F5">
              <w:t>0</w:t>
            </w:r>
          </w:p>
        </w:tc>
        <w:tc>
          <w:tcPr>
            <w:tcW w:w="693" w:type="pct"/>
          </w:tcPr>
          <w:p w:rsidR="00D80C78" w:rsidRPr="001606F5" w:rsidRDefault="00D80C78" w:rsidP="00D80C78">
            <w:pPr>
              <w:pStyle w:val="naisf"/>
              <w:tabs>
                <w:tab w:val="left" w:pos="7993"/>
              </w:tabs>
              <w:spacing w:before="0" w:after="0"/>
              <w:ind w:right="-1" w:firstLine="0"/>
              <w:jc w:val="center"/>
            </w:pPr>
            <w:r w:rsidRPr="001606F5">
              <w:t>0</w:t>
            </w:r>
          </w:p>
        </w:tc>
        <w:tc>
          <w:tcPr>
            <w:tcW w:w="693" w:type="pct"/>
          </w:tcPr>
          <w:p w:rsidR="00D80C78" w:rsidRPr="001606F5" w:rsidRDefault="00D80C78" w:rsidP="00D80C78">
            <w:pPr>
              <w:pStyle w:val="naisf"/>
              <w:tabs>
                <w:tab w:val="left" w:pos="7993"/>
              </w:tabs>
              <w:spacing w:before="0" w:after="0"/>
              <w:ind w:right="-1" w:firstLine="0"/>
              <w:jc w:val="center"/>
            </w:pPr>
            <w:r w:rsidRPr="001606F5">
              <w:t>0</w:t>
            </w:r>
          </w:p>
        </w:tc>
        <w:tc>
          <w:tcPr>
            <w:tcW w:w="693" w:type="pct"/>
          </w:tcPr>
          <w:p w:rsidR="00D80C78" w:rsidRPr="001606F5" w:rsidRDefault="00D80C78" w:rsidP="00D80C78">
            <w:pPr>
              <w:pStyle w:val="naisf"/>
              <w:tabs>
                <w:tab w:val="left" w:pos="7993"/>
              </w:tabs>
              <w:spacing w:before="0" w:after="0"/>
              <w:ind w:right="-1" w:firstLine="0"/>
              <w:jc w:val="center"/>
            </w:pPr>
            <w:r w:rsidRPr="001606F5">
              <w:t>0</w:t>
            </w:r>
          </w:p>
        </w:tc>
        <w:tc>
          <w:tcPr>
            <w:tcW w:w="805" w:type="pct"/>
          </w:tcPr>
          <w:p w:rsidR="00D80C78" w:rsidRPr="001606F5" w:rsidRDefault="00D80C78" w:rsidP="00D80C78">
            <w:pPr>
              <w:pStyle w:val="naisf"/>
              <w:tabs>
                <w:tab w:val="left" w:pos="7993"/>
              </w:tabs>
              <w:spacing w:before="0" w:after="0"/>
              <w:ind w:right="-1" w:firstLine="0"/>
              <w:jc w:val="center"/>
            </w:pPr>
            <w:r w:rsidRPr="001606F5">
              <w:t>0</w:t>
            </w:r>
          </w:p>
        </w:tc>
      </w:tr>
      <w:tr w:rsidR="009C372C" w:rsidRPr="001606F5" w:rsidTr="006027B9">
        <w:trPr>
          <w:jc w:val="center"/>
        </w:trPr>
        <w:tc>
          <w:tcPr>
            <w:tcW w:w="1493" w:type="pct"/>
          </w:tcPr>
          <w:p w:rsidR="00D80C78" w:rsidRPr="001606F5" w:rsidRDefault="00D80C78" w:rsidP="00D80C78">
            <w:pPr>
              <w:pStyle w:val="naiskr"/>
              <w:tabs>
                <w:tab w:val="left" w:pos="7993"/>
              </w:tabs>
              <w:spacing w:before="0" w:after="0"/>
              <w:ind w:left="-14" w:right="-1"/>
            </w:pPr>
            <w:r w:rsidRPr="001606F5">
              <w:t>1.1. valsts pamatbudžets, tai skaitā ieņēmumi no maksas pakalpojumiem un citi pašu ieņēmumi</w:t>
            </w:r>
          </w:p>
        </w:tc>
        <w:tc>
          <w:tcPr>
            <w:tcW w:w="623" w:type="pct"/>
            <w:vAlign w:val="center"/>
          </w:tcPr>
          <w:p w:rsidR="00D80C78" w:rsidRPr="001606F5" w:rsidRDefault="00D80C78" w:rsidP="00D80C78">
            <w:pPr>
              <w:pStyle w:val="naisf"/>
              <w:tabs>
                <w:tab w:val="left" w:pos="7993"/>
              </w:tabs>
              <w:spacing w:before="0" w:after="0"/>
              <w:ind w:right="-1" w:firstLine="0"/>
              <w:jc w:val="center"/>
            </w:pPr>
            <w:r w:rsidRPr="001606F5">
              <w:t>0</w:t>
            </w:r>
          </w:p>
        </w:tc>
        <w:tc>
          <w:tcPr>
            <w:tcW w:w="693" w:type="pct"/>
            <w:vAlign w:val="center"/>
          </w:tcPr>
          <w:p w:rsidR="00D80C78" w:rsidRPr="001606F5" w:rsidRDefault="00D80C78" w:rsidP="00D80C78">
            <w:pPr>
              <w:pStyle w:val="naisf"/>
              <w:tabs>
                <w:tab w:val="left" w:pos="7993"/>
              </w:tabs>
              <w:spacing w:before="0" w:after="0"/>
              <w:ind w:right="-1" w:firstLine="0"/>
              <w:jc w:val="center"/>
            </w:pPr>
            <w:r w:rsidRPr="001606F5">
              <w:t>0</w:t>
            </w:r>
          </w:p>
        </w:tc>
        <w:tc>
          <w:tcPr>
            <w:tcW w:w="693" w:type="pct"/>
            <w:vAlign w:val="center"/>
          </w:tcPr>
          <w:p w:rsidR="00D80C78" w:rsidRPr="001606F5" w:rsidRDefault="00D80C78" w:rsidP="00D80C78">
            <w:pPr>
              <w:pStyle w:val="naisf"/>
              <w:tabs>
                <w:tab w:val="left" w:pos="7993"/>
              </w:tabs>
              <w:spacing w:before="0" w:after="0"/>
              <w:ind w:right="-1" w:firstLine="0"/>
              <w:jc w:val="center"/>
            </w:pPr>
            <w:r w:rsidRPr="001606F5">
              <w:t>0</w:t>
            </w:r>
          </w:p>
        </w:tc>
        <w:tc>
          <w:tcPr>
            <w:tcW w:w="693" w:type="pct"/>
            <w:vAlign w:val="center"/>
          </w:tcPr>
          <w:p w:rsidR="00D80C78" w:rsidRPr="001606F5" w:rsidRDefault="00D80C78" w:rsidP="00D80C78">
            <w:pPr>
              <w:pStyle w:val="naisf"/>
              <w:tabs>
                <w:tab w:val="left" w:pos="7993"/>
              </w:tabs>
              <w:spacing w:before="0" w:after="0"/>
              <w:ind w:right="-1" w:firstLine="0"/>
              <w:jc w:val="center"/>
            </w:pPr>
            <w:r w:rsidRPr="001606F5">
              <w:t>0</w:t>
            </w:r>
          </w:p>
        </w:tc>
        <w:tc>
          <w:tcPr>
            <w:tcW w:w="805" w:type="pct"/>
            <w:vAlign w:val="center"/>
          </w:tcPr>
          <w:p w:rsidR="00D80C78" w:rsidRPr="001606F5" w:rsidRDefault="00D80C78" w:rsidP="00D80C78">
            <w:pPr>
              <w:pStyle w:val="naisf"/>
              <w:tabs>
                <w:tab w:val="left" w:pos="7993"/>
              </w:tabs>
              <w:spacing w:before="0" w:after="0"/>
              <w:ind w:right="-1" w:firstLine="0"/>
              <w:jc w:val="center"/>
            </w:pPr>
            <w:r w:rsidRPr="001606F5">
              <w:t>0</w:t>
            </w:r>
          </w:p>
        </w:tc>
      </w:tr>
      <w:tr w:rsidR="009C372C" w:rsidRPr="001606F5" w:rsidTr="006027B9">
        <w:trPr>
          <w:trHeight w:val="445"/>
          <w:jc w:val="center"/>
        </w:trPr>
        <w:tc>
          <w:tcPr>
            <w:tcW w:w="1493" w:type="pct"/>
          </w:tcPr>
          <w:p w:rsidR="00D80C78" w:rsidRPr="001606F5" w:rsidRDefault="00D80C78" w:rsidP="00D80C78">
            <w:pPr>
              <w:pStyle w:val="naiskr"/>
              <w:tabs>
                <w:tab w:val="left" w:pos="7993"/>
              </w:tabs>
              <w:spacing w:before="0" w:after="0"/>
              <w:ind w:right="-1"/>
            </w:pPr>
            <w:r w:rsidRPr="001606F5">
              <w:t>1.2. valsts speciālais budžets</w:t>
            </w:r>
          </w:p>
        </w:tc>
        <w:tc>
          <w:tcPr>
            <w:tcW w:w="623" w:type="pct"/>
            <w:vAlign w:val="center"/>
          </w:tcPr>
          <w:p w:rsidR="00D80C78" w:rsidRPr="001606F5" w:rsidRDefault="00D80C78" w:rsidP="00D80C78">
            <w:pPr>
              <w:pStyle w:val="naisf"/>
              <w:tabs>
                <w:tab w:val="left" w:pos="7993"/>
              </w:tabs>
              <w:spacing w:before="0" w:after="0"/>
              <w:ind w:right="-1" w:firstLine="0"/>
              <w:jc w:val="center"/>
            </w:pPr>
            <w:r w:rsidRPr="001606F5">
              <w:t>0</w:t>
            </w:r>
          </w:p>
        </w:tc>
        <w:tc>
          <w:tcPr>
            <w:tcW w:w="693" w:type="pct"/>
            <w:vAlign w:val="center"/>
          </w:tcPr>
          <w:p w:rsidR="00D80C78" w:rsidRPr="001606F5" w:rsidRDefault="00D80C78" w:rsidP="00D80C78">
            <w:pPr>
              <w:pStyle w:val="naisf"/>
              <w:tabs>
                <w:tab w:val="left" w:pos="7993"/>
              </w:tabs>
              <w:spacing w:before="0" w:after="0"/>
              <w:ind w:right="-1" w:firstLine="0"/>
              <w:jc w:val="center"/>
            </w:pPr>
            <w:r w:rsidRPr="001606F5">
              <w:t>0</w:t>
            </w:r>
          </w:p>
        </w:tc>
        <w:tc>
          <w:tcPr>
            <w:tcW w:w="693" w:type="pct"/>
            <w:vAlign w:val="center"/>
          </w:tcPr>
          <w:p w:rsidR="00D80C78" w:rsidRPr="001606F5" w:rsidRDefault="00D80C78" w:rsidP="00D80C78">
            <w:pPr>
              <w:pStyle w:val="naisf"/>
              <w:tabs>
                <w:tab w:val="left" w:pos="7993"/>
              </w:tabs>
              <w:spacing w:before="0" w:after="0"/>
              <w:ind w:right="-1" w:firstLine="0"/>
              <w:jc w:val="center"/>
            </w:pPr>
            <w:r w:rsidRPr="001606F5">
              <w:t>0</w:t>
            </w:r>
          </w:p>
        </w:tc>
        <w:tc>
          <w:tcPr>
            <w:tcW w:w="693" w:type="pct"/>
            <w:vAlign w:val="center"/>
          </w:tcPr>
          <w:p w:rsidR="00D80C78" w:rsidRPr="001606F5" w:rsidRDefault="00D80C78" w:rsidP="00D80C78">
            <w:pPr>
              <w:pStyle w:val="naisf"/>
              <w:tabs>
                <w:tab w:val="left" w:pos="7993"/>
              </w:tabs>
              <w:spacing w:before="0" w:after="0"/>
              <w:ind w:right="-1" w:firstLine="0"/>
              <w:jc w:val="center"/>
            </w:pPr>
            <w:r w:rsidRPr="001606F5">
              <w:t>0</w:t>
            </w:r>
          </w:p>
        </w:tc>
        <w:tc>
          <w:tcPr>
            <w:tcW w:w="805" w:type="pct"/>
            <w:vAlign w:val="center"/>
          </w:tcPr>
          <w:p w:rsidR="00D80C78" w:rsidRPr="001606F5" w:rsidRDefault="00D80C78" w:rsidP="00D80C78">
            <w:pPr>
              <w:pStyle w:val="naisf"/>
              <w:tabs>
                <w:tab w:val="left" w:pos="7993"/>
              </w:tabs>
              <w:spacing w:before="0" w:after="0"/>
              <w:ind w:right="-1" w:firstLine="0"/>
              <w:jc w:val="center"/>
            </w:pPr>
            <w:r w:rsidRPr="001606F5">
              <w:t>0</w:t>
            </w:r>
          </w:p>
        </w:tc>
      </w:tr>
      <w:tr w:rsidR="009C372C" w:rsidRPr="001606F5" w:rsidTr="006027B9">
        <w:trPr>
          <w:jc w:val="center"/>
        </w:trPr>
        <w:tc>
          <w:tcPr>
            <w:tcW w:w="1493" w:type="pct"/>
          </w:tcPr>
          <w:p w:rsidR="00D80C78" w:rsidRPr="001606F5" w:rsidRDefault="00D80C78" w:rsidP="00D80C78">
            <w:pPr>
              <w:pStyle w:val="naiskr"/>
              <w:tabs>
                <w:tab w:val="left" w:pos="7993"/>
              </w:tabs>
              <w:spacing w:before="0" w:after="0"/>
              <w:ind w:right="-1"/>
            </w:pPr>
            <w:r w:rsidRPr="001606F5">
              <w:lastRenderedPageBreak/>
              <w:t>1.3. pašvaldību budžets</w:t>
            </w:r>
          </w:p>
        </w:tc>
        <w:tc>
          <w:tcPr>
            <w:tcW w:w="623" w:type="pct"/>
            <w:vAlign w:val="center"/>
          </w:tcPr>
          <w:p w:rsidR="00D80C78" w:rsidRPr="001606F5" w:rsidRDefault="00D80C78" w:rsidP="00D80C78">
            <w:pPr>
              <w:pStyle w:val="naisf"/>
              <w:tabs>
                <w:tab w:val="left" w:pos="7993"/>
              </w:tabs>
              <w:spacing w:before="0" w:after="0"/>
              <w:ind w:right="-1" w:firstLine="0"/>
              <w:jc w:val="center"/>
            </w:pPr>
            <w:r w:rsidRPr="001606F5">
              <w:t>0</w:t>
            </w:r>
          </w:p>
        </w:tc>
        <w:tc>
          <w:tcPr>
            <w:tcW w:w="693" w:type="pct"/>
            <w:vAlign w:val="center"/>
          </w:tcPr>
          <w:p w:rsidR="00D80C78" w:rsidRPr="001606F5" w:rsidRDefault="00D80C78" w:rsidP="00D80C78">
            <w:pPr>
              <w:pStyle w:val="naisf"/>
              <w:tabs>
                <w:tab w:val="left" w:pos="7993"/>
              </w:tabs>
              <w:spacing w:before="0" w:after="0"/>
              <w:ind w:right="-1" w:firstLine="0"/>
              <w:jc w:val="center"/>
            </w:pPr>
            <w:r w:rsidRPr="001606F5">
              <w:t>0</w:t>
            </w:r>
          </w:p>
        </w:tc>
        <w:tc>
          <w:tcPr>
            <w:tcW w:w="693" w:type="pct"/>
            <w:vAlign w:val="center"/>
          </w:tcPr>
          <w:p w:rsidR="00D80C78" w:rsidRPr="001606F5" w:rsidRDefault="00D80C78" w:rsidP="00D80C78">
            <w:pPr>
              <w:pStyle w:val="naisf"/>
              <w:tabs>
                <w:tab w:val="left" w:pos="7993"/>
              </w:tabs>
              <w:spacing w:before="0" w:after="0"/>
              <w:ind w:right="-1" w:firstLine="0"/>
              <w:jc w:val="center"/>
            </w:pPr>
            <w:r w:rsidRPr="001606F5">
              <w:t>0</w:t>
            </w:r>
          </w:p>
        </w:tc>
        <w:tc>
          <w:tcPr>
            <w:tcW w:w="693" w:type="pct"/>
            <w:vAlign w:val="center"/>
          </w:tcPr>
          <w:p w:rsidR="00D80C78" w:rsidRPr="001606F5" w:rsidRDefault="00D80C78" w:rsidP="00D80C78">
            <w:pPr>
              <w:pStyle w:val="naisf"/>
              <w:tabs>
                <w:tab w:val="left" w:pos="7993"/>
              </w:tabs>
              <w:spacing w:before="0" w:after="0"/>
              <w:ind w:right="-1" w:firstLine="0"/>
              <w:jc w:val="center"/>
            </w:pPr>
            <w:r w:rsidRPr="001606F5">
              <w:t>0</w:t>
            </w:r>
          </w:p>
        </w:tc>
        <w:tc>
          <w:tcPr>
            <w:tcW w:w="805" w:type="pct"/>
            <w:vAlign w:val="center"/>
          </w:tcPr>
          <w:p w:rsidR="00D80C78" w:rsidRPr="001606F5" w:rsidRDefault="00D80C78" w:rsidP="00D80C78">
            <w:pPr>
              <w:pStyle w:val="naisf"/>
              <w:tabs>
                <w:tab w:val="left" w:pos="7993"/>
              </w:tabs>
              <w:spacing w:before="0" w:after="0"/>
              <w:ind w:right="-1" w:firstLine="0"/>
              <w:jc w:val="center"/>
            </w:pPr>
            <w:r w:rsidRPr="001606F5">
              <w:t>0</w:t>
            </w:r>
          </w:p>
        </w:tc>
      </w:tr>
      <w:tr w:rsidR="009265FA" w:rsidRPr="001606F5" w:rsidTr="006027B9">
        <w:trPr>
          <w:jc w:val="center"/>
        </w:trPr>
        <w:tc>
          <w:tcPr>
            <w:tcW w:w="1493" w:type="pct"/>
          </w:tcPr>
          <w:p w:rsidR="009265FA" w:rsidRPr="001606F5" w:rsidRDefault="009265FA" w:rsidP="00D80C78">
            <w:pPr>
              <w:pStyle w:val="naiskr"/>
              <w:tabs>
                <w:tab w:val="left" w:pos="7993"/>
              </w:tabs>
              <w:spacing w:before="0" w:after="0"/>
              <w:ind w:right="-1"/>
            </w:pPr>
            <w:r w:rsidRPr="001606F5">
              <w:t>2. Budžeta izdevumi:</w:t>
            </w:r>
          </w:p>
        </w:tc>
        <w:tc>
          <w:tcPr>
            <w:tcW w:w="623" w:type="pct"/>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D80C78">
            <w:pPr>
              <w:pStyle w:val="naisf"/>
              <w:tabs>
                <w:tab w:val="left" w:pos="7993"/>
              </w:tabs>
              <w:spacing w:before="0" w:after="0"/>
              <w:ind w:right="-1" w:firstLine="0"/>
              <w:jc w:val="center"/>
            </w:pPr>
            <w:r w:rsidRPr="001606F5">
              <w:t>0</w:t>
            </w:r>
          </w:p>
        </w:tc>
        <w:tc>
          <w:tcPr>
            <w:tcW w:w="693" w:type="pct"/>
            <w:vAlign w:val="center"/>
          </w:tcPr>
          <w:p w:rsidR="009265FA" w:rsidRPr="001606F5" w:rsidRDefault="009265FA" w:rsidP="009265FA">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21 423</w:t>
            </w:r>
          </w:p>
        </w:tc>
        <w:tc>
          <w:tcPr>
            <w:tcW w:w="805" w:type="pct"/>
            <w:vAlign w:val="center"/>
          </w:tcPr>
          <w:p w:rsidR="009265FA" w:rsidRPr="001606F5" w:rsidRDefault="009265FA" w:rsidP="00130F09">
            <w:pPr>
              <w:pStyle w:val="naisf"/>
              <w:tabs>
                <w:tab w:val="left" w:pos="7993"/>
              </w:tabs>
              <w:spacing w:before="0" w:after="0"/>
              <w:ind w:right="-1" w:firstLine="0"/>
              <w:jc w:val="center"/>
            </w:pPr>
            <w:r w:rsidRPr="001606F5">
              <w:t>85 690</w:t>
            </w:r>
          </w:p>
        </w:tc>
      </w:tr>
      <w:tr w:rsidR="009265FA" w:rsidRPr="001606F5" w:rsidTr="006027B9">
        <w:trPr>
          <w:trHeight w:val="195"/>
          <w:jc w:val="center"/>
        </w:trPr>
        <w:tc>
          <w:tcPr>
            <w:tcW w:w="1493" w:type="pct"/>
          </w:tcPr>
          <w:p w:rsidR="009265FA" w:rsidRPr="001606F5" w:rsidRDefault="009265FA" w:rsidP="00D80C78">
            <w:pPr>
              <w:pStyle w:val="naiskr"/>
              <w:tabs>
                <w:tab w:val="left" w:pos="7993"/>
              </w:tabs>
              <w:spacing w:before="0" w:after="0"/>
              <w:ind w:right="-1"/>
            </w:pPr>
            <w:r w:rsidRPr="001606F5">
              <w:t>2.1. valsts pamatbudžets</w:t>
            </w:r>
          </w:p>
        </w:tc>
        <w:tc>
          <w:tcPr>
            <w:tcW w:w="623" w:type="pct"/>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21 423</w:t>
            </w:r>
          </w:p>
        </w:tc>
        <w:tc>
          <w:tcPr>
            <w:tcW w:w="805" w:type="pct"/>
            <w:vAlign w:val="center"/>
          </w:tcPr>
          <w:p w:rsidR="009265FA" w:rsidRPr="001606F5" w:rsidRDefault="009265FA" w:rsidP="00192836">
            <w:pPr>
              <w:pStyle w:val="naisf"/>
              <w:tabs>
                <w:tab w:val="left" w:pos="7993"/>
              </w:tabs>
              <w:spacing w:before="0" w:after="0"/>
              <w:ind w:right="-1" w:firstLine="0"/>
              <w:jc w:val="center"/>
            </w:pPr>
            <w:r w:rsidRPr="001606F5">
              <w:t>85 690</w:t>
            </w:r>
          </w:p>
        </w:tc>
      </w:tr>
      <w:tr w:rsidR="009265FA" w:rsidRPr="001606F5" w:rsidTr="006027B9">
        <w:trPr>
          <w:jc w:val="center"/>
        </w:trPr>
        <w:tc>
          <w:tcPr>
            <w:tcW w:w="1493" w:type="pct"/>
          </w:tcPr>
          <w:p w:rsidR="009265FA" w:rsidRPr="001606F5" w:rsidRDefault="009265FA" w:rsidP="00D80C78">
            <w:pPr>
              <w:pStyle w:val="naiskr"/>
              <w:tabs>
                <w:tab w:val="left" w:pos="7993"/>
              </w:tabs>
              <w:spacing w:before="0" w:after="0"/>
              <w:ind w:right="-1"/>
            </w:pPr>
            <w:r w:rsidRPr="001606F5">
              <w:t>2.2. valsts speciālais budžets</w:t>
            </w:r>
          </w:p>
        </w:tc>
        <w:tc>
          <w:tcPr>
            <w:tcW w:w="623" w:type="pct"/>
            <w:vAlign w:val="center"/>
          </w:tcPr>
          <w:p w:rsidR="009265FA" w:rsidRPr="001606F5" w:rsidRDefault="009265FA" w:rsidP="00D80C78">
            <w:pPr>
              <w:pStyle w:val="naisf"/>
              <w:tabs>
                <w:tab w:val="left" w:pos="7993"/>
              </w:tabs>
              <w:spacing w:before="0" w:after="0"/>
              <w:ind w:right="-1" w:firstLine="0"/>
              <w:jc w:val="center"/>
              <w:rPr>
                <w:b/>
              </w:rPr>
            </w:pPr>
            <w:r w:rsidRPr="001606F5">
              <w:t>0</w:t>
            </w:r>
          </w:p>
        </w:tc>
        <w:tc>
          <w:tcPr>
            <w:tcW w:w="693" w:type="pct"/>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0</w:t>
            </w:r>
          </w:p>
        </w:tc>
        <w:tc>
          <w:tcPr>
            <w:tcW w:w="805" w:type="pct"/>
            <w:vAlign w:val="center"/>
          </w:tcPr>
          <w:p w:rsidR="009265FA" w:rsidRPr="001606F5" w:rsidRDefault="009265FA" w:rsidP="00192836">
            <w:pPr>
              <w:pStyle w:val="naisf"/>
              <w:tabs>
                <w:tab w:val="left" w:pos="7993"/>
              </w:tabs>
              <w:spacing w:before="0" w:after="0"/>
              <w:ind w:right="-1" w:firstLine="0"/>
              <w:jc w:val="center"/>
            </w:pPr>
            <w:r w:rsidRPr="001606F5">
              <w:t>0</w:t>
            </w:r>
          </w:p>
        </w:tc>
      </w:tr>
      <w:tr w:rsidR="009265FA" w:rsidRPr="001606F5" w:rsidTr="006027B9">
        <w:trPr>
          <w:jc w:val="center"/>
        </w:trPr>
        <w:tc>
          <w:tcPr>
            <w:tcW w:w="1493" w:type="pct"/>
          </w:tcPr>
          <w:p w:rsidR="009265FA" w:rsidRPr="001606F5" w:rsidRDefault="009265FA" w:rsidP="00D80C78">
            <w:pPr>
              <w:pStyle w:val="naiskr"/>
              <w:tabs>
                <w:tab w:val="left" w:pos="7993"/>
              </w:tabs>
              <w:spacing w:before="0" w:after="0"/>
              <w:ind w:right="-1"/>
            </w:pPr>
            <w:r w:rsidRPr="001606F5">
              <w:t xml:space="preserve">2.3. pašvaldību budžets </w:t>
            </w:r>
          </w:p>
        </w:tc>
        <w:tc>
          <w:tcPr>
            <w:tcW w:w="623" w:type="pct"/>
            <w:vAlign w:val="center"/>
          </w:tcPr>
          <w:p w:rsidR="009265FA" w:rsidRPr="001606F5" w:rsidRDefault="009265FA" w:rsidP="00D80C78">
            <w:pPr>
              <w:pStyle w:val="naisf"/>
              <w:tabs>
                <w:tab w:val="left" w:pos="7993"/>
              </w:tabs>
              <w:spacing w:before="0" w:after="0"/>
              <w:ind w:right="-1" w:firstLine="0"/>
              <w:jc w:val="center"/>
              <w:rPr>
                <w:b/>
              </w:rPr>
            </w:pPr>
            <w:r w:rsidRPr="001606F5">
              <w:t>0</w:t>
            </w:r>
          </w:p>
        </w:tc>
        <w:tc>
          <w:tcPr>
            <w:tcW w:w="693" w:type="pct"/>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0</w:t>
            </w:r>
          </w:p>
        </w:tc>
        <w:tc>
          <w:tcPr>
            <w:tcW w:w="805" w:type="pct"/>
            <w:vAlign w:val="center"/>
          </w:tcPr>
          <w:p w:rsidR="009265FA" w:rsidRPr="001606F5" w:rsidRDefault="009265FA" w:rsidP="00192836">
            <w:pPr>
              <w:pStyle w:val="naisf"/>
              <w:tabs>
                <w:tab w:val="left" w:pos="7993"/>
              </w:tabs>
              <w:spacing w:before="0" w:after="0"/>
              <w:ind w:right="-1" w:firstLine="0"/>
              <w:jc w:val="center"/>
            </w:pPr>
            <w:r w:rsidRPr="001606F5">
              <w:t>0</w:t>
            </w:r>
          </w:p>
        </w:tc>
      </w:tr>
      <w:tr w:rsidR="009265FA" w:rsidRPr="001606F5" w:rsidTr="006027B9">
        <w:trPr>
          <w:jc w:val="center"/>
        </w:trPr>
        <w:tc>
          <w:tcPr>
            <w:tcW w:w="1493" w:type="pct"/>
          </w:tcPr>
          <w:p w:rsidR="009265FA" w:rsidRPr="001606F5" w:rsidRDefault="009265FA" w:rsidP="00D80C78">
            <w:pPr>
              <w:pStyle w:val="naiskr"/>
              <w:tabs>
                <w:tab w:val="left" w:pos="7993"/>
              </w:tabs>
              <w:spacing w:before="0" w:after="0"/>
              <w:ind w:right="-1"/>
            </w:pPr>
            <w:r w:rsidRPr="001606F5">
              <w:t>3. Finansiālā ietekme:</w:t>
            </w:r>
          </w:p>
        </w:tc>
        <w:tc>
          <w:tcPr>
            <w:tcW w:w="623" w:type="pct"/>
            <w:shd w:val="clear" w:color="auto" w:fill="auto"/>
            <w:vAlign w:val="center"/>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-21 423</w:t>
            </w:r>
          </w:p>
        </w:tc>
        <w:tc>
          <w:tcPr>
            <w:tcW w:w="805" w:type="pct"/>
            <w:vAlign w:val="center"/>
          </w:tcPr>
          <w:p w:rsidR="009265FA" w:rsidRPr="001606F5" w:rsidRDefault="009265FA" w:rsidP="009265FA">
            <w:pPr>
              <w:pStyle w:val="naisf"/>
              <w:tabs>
                <w:tab w:val="left" w:pos="7993"/>
              </w:tabs>
              <w:spacing w:before="0" w:after="0"/>
              <w:ind w:right="-1" w:firstLine="0"/>
              <w:jc w:val="center"/>
            </w:pPr>
            <w:r w:rsidRPr="001606F5">
              <w:t>-85 690</w:t>
            </w:r>
          </w:p>
        </w:tc>
      </w:tr>
      <w:tr w:rsidR="009265FA" w:rsidRPr="001606F5" w:rsidTr="006027B9">
        <w:trPr>
          <w:jc w:val="center"/>
        </w:trPr>
        <w:tc>
          <w:tcPr>
            <w:tcW w:w="1493" w:type="pct"/>
          </w:tcPr>
          <w:p w:rsidR="009265FA" w:rsidRPr="001606F5" w:rsidRDefault="009265FA" w:rsidP="00D80C78">
            <w:pPr>
              <w:pStyle w:val="naiskr"/>
              <w:tabs>
                <w:tab w:val="left" w:pos="7993"/>
              </w:tabs>
              <w:spacing w:before="0" w:after="0"/>
              <w:ind w:right="-1"/>
            </w:pPr>
            <w:r w:rsidRPr="001606F5">
              <w:t>3.1. valsts pamatbudžets</w:t>
            </w:r>
          </w:p>
        </w:tc>
        <w:tc>
          <w:tcPr>
            <w:tcW w:w="623" w:type="pct"/>
            <w:shd w:val="clear" w:color="auto" w:fill="auto"/>
            <w:vAlign w:val="center"/>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-21 423</w:t>
            </w:r>
          </w:p>
        </w:tc>
        <w:tc>
          <w:tcPr>
            <w:tcW w:w="805" w:type="pct"/>
            <w:vAlign w:val="center"/>
          </w:tcPr>
          <w:p w:rsidR="009265FA" w:rsidRPr="001606F5" w:rsidRDefault="009265FA" w:rsidP="009265FA">
            <w:pPr>
              <w:pStyle w:val="naisf"/>
              <w:tabs>
                <w:tab w:val="left" w:pos="7993"/>
              </w:tabs>
              <w:spacing w:before="0" w:after="0"/>
              <w:ind w:right="-1" w:firstLine="0"/>
              <w:jc w:val="center"/>
            </w:pPr>
            <w:r w:rsidRPr="001606F5">
              <w:t>-85 690</w:t>
            </w:r>
          </w:p>
        </w:tc>
      </w:tr>
      <w:tr w:rsidR="009265FA" w:rsidRPr="001606F5" w:rsidTr="006027B9">
        <w:trPr>
          <w:jc w:val="center"/>
        </w:trPr>
        <w:tc>
          <w:tcPr>
            <w:tcW w:w="1493" w:type="pct"/>
          </w:tcPr>
          <w:p w:rsidR="009265FA" w:rsidRPr="001606F5" w:rsidRDefault="009265FA" w:rsidP="00D80C78">
            <w:pPr>
              <w:pStyle w:val="naiskr"/>
              <w:tabs>
                <w:tab w:val="left" w:pos="7993"/>
              </w:tabs>
              <w:spacing w:before="0" w:after="0"/>
              <w:ind w:right="-1"/>
            </w:pPr>
            <w:r w:rsidRPr="001606F5">
              <w:t>3.2. speciālais budžets</w:t>
            </w:r>
          </w:p>
        </w:tc>
        <w:tc>
          <w:tcPr>
            <w:tcW w:w="623" w:type="pct"/>
            <w:shd w:val="clear" w:color="auto" w:fill="auto"/>
            <w:vAlign w:val="center"/>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0</w:t>
            </w:r>
          </w:p>
        </w:tc>
        <w:tc>
          <w:tcPr>
            <w:tcW w:w="693" w:type="pct"/>
            <w:vAlign w:val="center"/>
          </w:tcPr>
          <w:p w:rsidR="009265FA" w:rsidRPr="001606F5" w:rsidRDefault="009265FA" w:rsidP="009265FA">
            <w:pPr>
              <w:pStyle w:val="naisf"/>
              <w:tabs>
                <w:tab w:val="left" w:pos="7993"/>
              </w:tabs>
              <w:spacing w:before="0" w:after="0"/>
              <w:ind w:right="-1" w:firstLine="0"/>
              <w:jc w:val="center"/>
            </w:pPr>
            <w:r w:rsidRPr="001606F5">
              <w:t>0</w:t>
            </w:r>
          </w:p>
        </w:tc>
        <w:tc>
          <w:tcPr>
            <w:tcW w:w="805" w:type="pct"/>
            <w:vAlign w:val="center"/>
          </w:tcPr>
          <w:p w:rsidR="009265FA" w:rsidRPr="001606F5" w:rsidRDefault="009265FA" w:rsidP="00192836">
            <w:pPr>
              <w:pStyle w:val="naisf"/>
              <w:tabs>
                <w:tab w:val="left" w:pos="7993"/>
              </w:tabs>
              <w:spacing w:before="0" w:after="0"/>
              <w:ind w:right="-1" w:firstLine="0"/>
              <w:jc w:val="center"/>
            </w:pPr>
            <w:r w:rsidRPr="001606F5">
              <w:t>0</w:t>
            </w:r>
          </w:p>
        </w:tc>
      </w:tr>
      <w:tr w:rsidR="009265FA" w:rsidRPr="001606F5" w:rsidTr="006027B9">
        <w:trPr>
          <w:jc w:val="center"/>
        </w:trPr>
        <w:tc>
          <w:tcPr>
            <w:tcW w:w="1493" w:type="pct"/>
          </w:tcPr>
          <w:p w:rsidR="009265FA" w:rsidRPr="001606F5" w:rsidRDefault="009265FA" w:rsidP="00D80C78">
            <w:pPr>
              <w:pStyle w:val="naiskr"/>
              <w:tabs>
                <w:tab w:val="left" w:pos="7993"/>
              </w:tabs>
              <w:spacing w:before="0" w:after="0"/>
              <w:ind w:right="-1"/>
            </w:pPr>
            <w:r w:rsidRPr="001606F5">
              <w:t xml:space="preserve">3.3. pašvaldību budžets </w:t>
            </w:r>
          </w:p>
        </w:tc>
        <w:tc>
          <w:tcPr>
            <w:tcW w:w="623" w:type="pct"/>
            <w:shd w:val="clear" w:color="auto" w:fill="auto"/>
            <w:vAlign w:val="center"/>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0</w:t>
            </w:r>
          </w:p>
        </w:tc>
        <w:tc>
          <w:tcPr>
            <w:tcW w:w="693" w:type="pct"/>
            <w:vAlign w:val="center"/>
          </w:tcPr>
          <w:p w:rsidR="009265FA" w:rsidRPr="001606F5" w:rsidRDefault="009265FA" w:rsidP="009265FA">
            <w:pPr>
              <w:pStyle w:val="naisf"/>
              <w:tabs>
                <w:tab w:val="left" w:pos="7993"/>
              </w:tabs>
              <w:spacing w:before="0" w:after="0"/>
              <w:ind w:right="-1" w:firstLine="0"/>
              <w:jc w:val="center"/>
            </w:pPr>
            <w:r w:rsidRPr="001606F5">
              <w:t>0</w:t>
            </w:r>
          </w:p>
        </w:tc>
        <w:tc>
          <w:tcPr>
            <w:tcW w:w="805" w:type="pct"/>
            <w:vAlign w:val="center"/>
          </w:tcPr>
          <w:p w:rsidR="009265FA" w:rsidRPr="001606F5" w:rsidRDefault="009265FA" w:rsidP="00192836">
            <w:pPr>
              <w:pStyle w:val="naisf"/>
              <w:tabs>
                <w:tab w:val="left" w:pos="7993"/>
              </w:tabs>
              <w:spacing w:before="0" w:after="0"/>
              <w:ind w:right="-1" w:firstLine="0"/>
              <w:jc w:val="center"/>
            </w:pPr>
            <w:r w:rsidRPr="001606F5">
              <w:t>0</w:t>
            </w:r>
          </w:p>
        </w:tc>
      </w:tr>
      <w:tr w:rsidR="009265FA" w:rsidRPr="001606F5" w:rsidTr="006027B9">
        <w:trPr>
          <w:jc w:val="center"/>
        </w:trPr>
        <w:tc>
          <w:tcPr>
            <w:tcW w:w="1493" w:type="pct"/>
            <w:vMerge w:val="restart"/>
          </w:tcPr>
          <w:p w:rsidR="009265FA" w:rsidRPr="001606F5" w:rsidRDefault="009265FA" w:rsidP="00D80C78">
            <w:pPr>
              <w:pStyle w:val="naiskr"/>
              <w:tabs>
                <w:tab w:val="left" w:pos="7993"/>
              </w:tabs>
              <w:spacing w:before="0" w:after="0"/>
              <w:ind w:right="-1"/>
            </w:pPr>
            <w:r w:rsidRPr="001606F5">
              <w:t>4. Finanšu līdzekļi papildu izde</w:t>
            </w:r>
            <w:r w:rsidRPr="001606F5">
              <w:softHyphen/>
              <w:t>vumu finansēšanai (kompensējošu izdevumu samazinājumu norāda ar "+" zīmi)</w:t>
            </w:r>
          </w:p>
        </w:tc>
        <w:tc>
          <w:tcPr>
            <w:tcW w:w="623" w:type="pct"/>
            <w:vMerge w:val="restart"/>
            <w:vAlign w:val="center"/>
          </w:tcPr>
          <w:p w:rsidR="009265FA" w:rsidRPr="001606F5" w:rsidRDefault="009265FA" w:rsidP="00D80C78">
            <w:pPr>
              <w:pStyle w:val="naisf"/>
              <w:tabs>
                <w:tab w:val="left" w:pos="7993"/>
              </w:tabs>
              <w:spacing w:before="0" w:after="0"/>
              <w:ind w:right="-1" w:firstLine="0"/>
              <w:jc w:val="center"/>
            </w:pPr>
            <w:r w:rsidRPr="001606F5">
              <w:t>X</w:t>
            </w:r>
          </w:p>
        </w:tc>
        <w:tc>
          <w:tcPr>
            <w:tcW w:w="693" w:type="pct"/>
            <w:vMerge w:val="restart"/>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0</w:t>
            </w:r>
          </w:p>
        </w:tc>
        <w:tc>
          <w:tcPr>
            <w:tcW w:w="693" w:type="pct"/>
            <w:vAlign w:val="center"/>
          </w:tcPr>
          <w:p w:rsidR="009265FA" w:rsidRPr="001606F5" w:rsidRDefault="009265FA" w:rsidP="009265FA">
            <w:pPr>
              <w:pStyle w:val="naisf"/>
              <w:tabs>
                <w:tab w:val="left" w:pos="7993"/>
              </w:tabs>
              <w:spacing w:before="0" w:after="0"/>
              <w:ind w:right="-1" w:firstLine="0"/>
              <w:jc w:val="center"/>
            </w:pPr>
            <w:r w:rsidRPr="001606F5">
              <w:t>0</w:t>
            </w:r>
          </w:p>
        </w:tc>
        <w:tc>
          <w:tcPr>
            <w:tcW w:w="805" w:type="pct"/>
            <w:vAlign w:val="center"/>
          </w:tcPr>
          <w:p w:rsidR="009265FA" w:rsidRPr="001606F5" w:rsidRDefault="009265FA" w:rsidP="00192836">
            <w:pPr>
              <w:pStyle w:val="naisf"/>
              <w:tabs>
                <w:tab w:val="left" w:pos="7993"/>
              </w:tabs>
              <w:spacing w:before="0" w:after="0"/>
              <w:ind w:right="-1" w:firstLine="0"/>
              <w:jc w:val="center"/>
            </w:pPr>
            <w:r w:rsidRPr="001606F5">
              <w:t>0</w:t>
            </w:r>
          </w:p>
        </w:tc>
      </w:tr>
      <w:tr w:rsidR="009265FA" w:rsidRPr="001606F5" w:rsidTr="006027B9">
        <w:trPr>
          <w:jc w:val="center"/>
        </w:trPr>
        <w:tc>
          <w:tcPr>
            <w:tcW w:w="1493" w:type="pct"/>
            <w:vMerge/>
          </w:tcPr>
          <w:p w:rsidR="009265FA" w:rsidRPr="001606F5" w:rsidRDefault="009265FA" w:rsidP="00D80C78">
            <w:pPr>
              <w:tabs>
                <w:tab w:val="left" w:pos="7993"/>
              </w:tabs>
              <w:ind w:right="-1"/>
              <w:rPr>
                <w:rFonts w:ascii="Times New Roman" w:hAnsi="Times New Roman"/>
                <w:sz w:val="24"/>
                <w:szCs w:val="24"/>
              </w:rPr>
            </w:pPr>
          </w:p>
        </w:tc>
        <w:tc>
          <w:tcPr>
            <w:tcW w:w="623" w:type="pct"/>
            <w:vMerge/>
          </w:tcPr>
          <w:p w:rsidR="009265FA" w:rsidRPr="001606F5" w:rsidRDefault="009265FA" w:rsidP="00D80C78">
            <w:pPr>
              <w:pStyle w:val="Header"/>
              <w:tabs>
                <w:tab w:val="left" w:pos="7993"/>
              </w:tabs>
              <w:ind w:right="-1"/>
              <w:jc w:val="center"/>
              <w:rPr>
                <w:rFonts w:ascii="Times New Roman" w:hAnsi="Times New Roman"/>
                <w:sz w:val="24"/>
                <w:szCs w:val="24"/>
              </w:rPr>
            </w:pPr>
          </w:p>
        </w:tc>
        <w:tc>
          <w:tcPr>
            <w:tcW w:w="693" w:type="pct"/>
            <w:vMerge/>
          </w:tcPr>
          <w:p w:rsidR="009265FA" w:rsidRPr="001606F5" w:rsidRDefault="009265FA" w:rsidP="00D80C78">
            <w:pPr>
              <w:pStyle w:val="naisf"/>
              <w:tabs>
                <w:tab w:val="left" w:pos="7993"/>
              </w:tabs>
              <w:spacing w:before="0" w:after="0"/>
              <w:ind w:right="-1" w:firstLine="0"/>
              <w:jc w:val="center"/>
            </w:pPr>
          </w:p>
        </w:tc>
        <w:tc>
          <w:tcPr>
            <w:tcW w:w="693" w:type="pct"/>
          </w:tcPr>
          <w:p w:rsidR="009265FA" w:rsidRPr="001606F5" w:rsidRDefault="009265FA" w:rsidP="009265FA">
            <w:pPr>
              <w:pStyle w:val="naisf"/>
              <w:tabs>
                <w:tab w:val="left" w:pos="7993"/>
              </w:tabs>
              <w:spacing w:before="0" w:after="0"/>
              <w:ind w:right="-1" w:firstLine="0"/>
              <w:jc w:val="center"/>
            </w:pPr>
            <w:r w:rsidRPr="001606F5">
              <w:t>0</w:t>
            </w:r>
          </w:p>
        </w:tc>
        <w:tc>
          <w:tcPr>
            <w:tcW w:w="693" w:type="pct"/>
            <w:vAlign w:val="center"/>
          </w:tcPr>
          <w:p w:rsidR="009265FA" w:rsidRPr="001606F5" w:rsidRDefault="009265FA" w:rsidP="009265FA">
            <w:pPr>
              <w:pStyle w:val="naisf"/>
              <w:tabs>
                <w:tab w:val="left" w:pos="7993"/>
              </w:tabs>
              <w:spacing w:before="0" w:after="0"/>
              <w:ind w:right="-1" w:firstLine="0"/>
              <w:jc w:val="center"/>
            </w:pPr>
            <w:r w:rsidRPr="001606F5">
              <w:t>0</w:t>
            </w:r>
          </w:p>
        </w:tc>
        <w:tc>
          <w:tcPr>
            <w:tcW w:w="805" w:type="pct"/>
            <w:vAlign w:val="center"/>
          </w:tcPr>
          <w:p w:rsidR="009265FA" w:rsidRPr="001606F5" w:rsidRDefault="009265FA" w:rsidP="00192836">
            <w:pPr>
              <w:pStyle w:val="naisf"/>
              <w:tabs>
                <w:tab w:val="left" w:pos="7993"/>
              </w:tabs>
              <w:spacing w:before="0" w:after="0"/>
              <w:ind w:right="-1" w:firstLine="0"/>
              <w:jc w:val="center"/>
            </w:pPr>
            <w:r w:rsidRPr="001606F5">
              <w:t>0</w:t>
            </w:r>
          </w:p>
        </w:tc>
      </w:tr>
      <w:tr w:rsidR="009265FA" w:rsidRPr="001606F5" w:rsidTr="006027B9">
        <w:trPr>
          <w:jc w:val="center"/>
        </w:trPr>
        <w:tc>
          <w:tcPr>
            <w:tcW w:w="1493" w:type="pct"/>
            <w:vMerge/>
          </w:tcPr>
          <w:p w:rsidR="009265FA" w:rsidRPr="001606F5" w:rsidRDefault="009265FA" w:rsidP="00D80C78">
            <w:pPr>
              <w:tabs>
                <w:tab w:val="left" w:pos="7993"/>
              </w:tabs>
              <w:ind w:right="-1"/>
              <w:rPr>
                <w:rFonts w:ascii="Times New Roman" w:hAnsi="Times New Roman"/>
                <w:sz w:val="24"/>
                <w:szCs w:val="24"/>
              </w:rPr>
            </w:pPr>
          </w:p>
        </w:tc>
        <w:tc>
          <w:tcPr>
            <w:tcW w:w="623" w:type="pct"/>
            <w:vMerge/>
          </w:tcPr>
          <w:p w:rsidR="009265FA" w:rsidRPr="001606F5" w:rsidRDefault="009265FA" w:rsidP="00D80C78">
            <w:pPr>
              <w:pStyle w:val="Header"/>
              <w:tabs>
                <w:tab w:val="left" w:pos="7993"/>
              </w:tabs>
              <w:ind w:right="-1"/>
              <w:jc w:val="center"/>
              <w:rPr>
                <w:rFonts w:ascii="Times New Roman" w:hAnsi="Times New Roman"/>
                <w:sz w:val="24"/>
                <w:szCs w:val="24"/>
              </w:rPr>
            </w:pPr>
          </w:p>
        </w:tc>
        <w:tc>
          <w:tcPr>
            <w:tcW w:w="693" w:type="pct"/>
            <w:vMerge/>
          </w:tcPr>
          <w:p w:rsidR="009265FA" w:rsidRPr="001606F5" w:rsidRDefault="009265FA" w:rsidP="00D80C78">
            <w:pPr>
              <w:pStyle w:val="naisf"/>
              <w:tabs>
                <w:tab w:val="left" w:pos="7993"/>
              </w:tabs>
              <w:spacing w:before="0" w:after="0"/>
              <w:ind w:right="-1" w:firstLine="0"/>
              <w:jc w:val="center"/>
            </w:pPr>
          </w:p>
        </w:tc>
        <w:tc>
          <w:tcPr>
            <w:tcW w:w="693" w:type="pct"/>
            <w:vAlign w:val="center"/>
          </w:tcPr>
          <w:p w:rsidR="009265FA" w:rsidRPr="001606F5" w:rsidRDefault="009265FA" w:rsidP="009265FA">
            <w:pPr>
              <w:pStyle w:val="naislab"/>
              <w:tabs>
                <w:tab w:val="left" w:pos="7993"/>
              </w:tabs>
              <w:spacing w:before="0" w:after="0"/>
              <w:ind w:right="-1"/>
              <w:jc w:val="center"/>
            </w:pPr>
            <w:r w:rsidRPr="001606F5">
              <w:t>0</w:t>
            </w:r>
          </w:p>
        </w:tc>
        <w:tc>
          <w:tcPr>
            <w:tcW w:w="693" w:type="pct"/>
            <w:vAlign w:val="center"/>
          </w:tcPr>
          <w:p w:rsidR="009265FA" w:rsidRPr="001606F5" w:rsidRDefault="009265FA" w:rsidP="009265FA">
            <w:pPr>
              <w:pStyle w:val="naislab"/>
              <w:tabs>
                <w:tab w:val="left" w:pos="7993"/>
              </w:tabs>
              <w:spacing w:before="0" w:after="0"/>
              <w:ind w:right="-1"/>
              <w:jc w:val="center"/>
            </w:pPr>
            <w:r w:rsidRPr="001606F5">
              <w:t>0</w:t>
            </w:r>
          </w:p>
        </w:tc>
        <w:tc>
          <w:tcPr>
            <w:tcW w:w="805" w:type="pct"/>
            <w:vAlign w:val="center"/>
          </w:tcPr>
          <w:p w:rsidR="009265FA" w:rsidRPr="001606F5" w:rsidRDefault="009265FA" w:rsidP="00192836">
            <w:pPr>
              <w:pStyle w:val="naisf"/>
              <w:tabs>
                <w:tab w:val="left" w:pos="7993"/>
              </w:tabs>
              <w:spacing w:before="0" w:after="0"/>
              <w:ind w:right="-1" w:firstLine="0"/>
              <w:jc w:val="center"/>
            </w:pPr>
            <w:r w:rsidRPr="001606F5">
              <w:t>0</w:t>
            </w:r>
          </w:p>
        </w:tc>
      </w:tr>
      <w:tr w:rsidR="009265FA" w:rsidRPr="001606F5" w:rsidTr="006027B9">
        <w:trPr>
          <w:jc w:val="center"/>
        </w:trPr>
        <w:tc>
          <w:tcPr>
            <w:tcW w:w="1493" w:type="pct"/>
          </w:tcPr>
          <w:p w:rsidR="009265FA" w:rsidRPr="001606F5" w:rsidRDefault="009265FA" w:rsidP="00D80C78">
            <w:pPr>
              <w:pStyle w:val="naiskr"/>
              <w:tabs>
                <w:tab w:val="left" w:pos="7993"/>
              </w:tabs>
              <w:spacing w:before="0" w:after="0"/>
              <w:ind w:right="-1"/>
            </w:pPr>
            <w:r w:rsidRPr="001606F5">
              <w:t>5. Precizēta finansiālā ietekme:</w:t>
            </w:r>
          </w:p>
        </w:tc>
        <w:tc>
          <w:tcPr>
            <w:tcW w:w="623" w:type="pct"/>
            <w:vMerge w:val="restart"/>
            <w:vAlign w:val="center"/>
          </w:tcPr>
          <w:p w:rsidR="009265FA" w:rsidRPr="001606F5" w:rsidRDefault="009265FA" w:rsidP="00D80C78">
            <w:pPr>
              <w:pStyle w:val="Header"/>
              <w:tabs>
                <w:tab w:val="left" w:pos="7993"/>
              </w:tabs>
              <w:ind w:right="-1"/>
              <w:jc w:val="center"/>
              <w:rPr>
                <w:rFonts w:ascii="Times New Roman" w:hAnsi="Times New Roman"/>
                <w:sz w:val="24"/>
                <w:szCs w:val="24"/>
              </w:rPr>
            </w:pPr>
            <w:r w:rsidRPr="001606F5">
              <w:rPr>
                <w:rFonts w:ascii="Times New Roman" w:hAnsi="Times New Roman"/>
                <w:sz w:val="24"/>
                <w:szCs w:val="24"/>
              </w:rPr>
              <w:t>X</w:t>
            </w:r>
          </w:p>
        </w:tc>
        <w:tc>
          <w:tcPr>
            <w:tcW w:w="693" w:type="pct"/>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-21 423</w:t>
            </w:r>
          </w:p>
        </w:tc>
        <w:tc>
          <w:tcPr>
            <w:tcW w:w="805" w:type="pct"/>
            <w:vAlign w:val="center"/>
          </w:tcPr>
          <w:p w:rsidR="009265FA" w:rsidRPr="001606F5" w:rsidRDefault="009265FA" w:rsidP="009265FA">
            <w:pPr>
              <w:pStyle w:val="naisf"/>
              <w:tabs>
                <w:tab w:val="left" w:pos="7993"/>
              </w:tabs>
              <w:spacing w:before="0" w:after="0"/>
              <w:ind w:right="-1" w:firstLine="0"/>
              <w:jc w:val="center"/>
            </w:pPr>
            <w:r w:rsidRPr="001606F5">
              <w:t>-85 690</w:t>
            </w:r>
          </w:p>
        </w:tc>
      </w:tr>
      <w:tr w:rsidR="009265FA" w:rsidRPr="001606F5" w:rsidTr="006027B9">
        <w:trPr>
          <w:jc w:val="center"/>
        </w:trPr>
        <w:tc>
          <w:tcPr>
            <w:tcW w:w="1493" w:type="pct"/>
          </w:tcPr>
          <w:p w:rsidR="009265FA" w:rsidRPr="001606F5" w:rsidRDefault="009265FA" w:rsidP="00D80C78">
            <w:pPr>
              <w:pStyle w:val="naiskr"/>
              <w:tabs>
                <w:tab w:val="left" w:pos="7993"/>
              </w:tabs>
              <w:spacing w:before="0" w:after="0"/>
              <w:ind w:right="-1"/>
            </w:pPr>
            <w:r w:rsidRPr="001606F5">
              <w:t>5.1. valsts pamatbudžets</w:t>
            </w:r>
          </w:p>
        </w:tc>
        <w:tc>
          <w:tcPr>
            <w:tcW w:w="623" w:type="pct"/>
            <w:vMerge/>
            <w:vAlign w:val="center"/>
          </w:tcPr>
          <w:p w:rsidR="009265FA" w:rsidRPr="001606F5" w:rsidRDefault="009265FA" w:rsidP="00D80C78">
            <w:pPr>
              <w:pStyle w:val="naisf"/>
              <w:tabs>
                <w:tab w:val="left" w:pos="7993"/>
              </w:tabs>
              <w:spacing w:before="0" w:after="0"/>
              <w:ind w:right="-1" w:firstLine="0"/>
              <w:jc w:val="center"/>
            </w:pPr>
          </w:p>
        </w:tc>
        <w:tc>
          <w:tcPr>
            <w:tcW w:w="693" w:type="pct"/>
          </w:tcPr>
          <w:p w:rsidR="009265FA" w:rsidRPr="001606F5" w:rsidRDefault="009265FA" w:rsidP="00D80C78">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0</w:t>
            </w:r>
          </w:p>
        </w:tc>
        <w:tc>
          <w:tcPr>
            <w:tcW w:w="693" w:type="pct"/>
          </w:tcPr>
          <w:p w:rsidR="009265FA" w:rsidRPr="001606F5" w:rsidRDefault="009265FA" w:rsidP="009265FA">
            <w:pPr>
              <w:pStyle w:val="naisf"/>
              <w:tabs>
                <w:tab w:val="left" w:pos="7993"/>
              </w:tabs>
              <w:spacing w:before="0" w:after="0"/>
              <w:ind w:right="-1" w:firstLine="0"/>
              <w:jc w:val="center"/>
            </w:pPr>
            <w:r w:rsidRPr="001606F5">
              <w:t>-21 423</w:t>
            </w:r>
          </w:p>
        </w:tc>
        <w:tc>
          <w:tcPr>
            <w:tcW w:w="805" w:type="pct"/>
            <w:vAlign w:val="center"/>
          </w:tcPr>
          <w:p w:rsidR="009265FA" w:rsidRPr="001606F5" w:rsidRDefault="009265FA" w:rsidP="009265FA">
            <w:pPr>
              <w:pStyle w:val="naisf"/>
              <w:tabs>
                <w:tab w:val="left" w:pos="7993"/>
              </w:tabs>
              <w:spacing w:before="0" w:after="0"/>
              <w:ind w:right="-1" w:firstLine="0"/>
              <w:jc w:val="center"/>
            </w:pPr>
            <w:r w:rsidRPr="001606F5">
              <w:t>-85 690</w:t>
            </w:r>
          </w:p>
        </w:tc>
      </w:tr>
      <w:tr w:rsidR="009265FA" w:rsidRPr="001606F5" w:rsidTr="006027B9">
        <w:trPr>
          <w:jc w:val="center"/>
        </w:trPr>
        <w:tc>
          <w:tcPr>
            <w:tcW w:w="1493" w:type="pct"/>
          </w:tcPr>
          <w:p w:rsidR="009265FA" w:rsidRPr="001606F5" w:rsidRDefault="009265FA" w:rsidP="00D80C78">
            <w:pPr>
              <w:pStyle w:val="naiskr"/>
              <w:tabs>
                <w:tab w:val="left" w:pos="7993"/>
              </w:tabs>
              <w:spacing w:before="0" w:after="0"/>
              <w:ind w:right="-1"/>
            </w:pPr>
            <w:r w:rsidRPr="001606F5">
              <w:t>5.2. speciālais budžets</w:t>
            </w:r>
          </w:p>
        </w:tc>
        <w:tc>
          <w:tcPr>
            <w:tcW w:w="623" w:type="pct"/>
            <w:vMerge/>
            <w:vAlign w:val="center"/>
          </w:tcPr>
          <w:p w:rsidR="009265FA" w:rsidRPr="001606F5" w:rsidRDefault="009265FA" w:rsidP="00D80C78">
            <w:pPr>
              <w:pStyle w:val="naisf"/>
              <w:tabs>
                <w:tab w:val="left" w:pos="7993"/>
              </w:tabs>
              <w:spacing w:before="0" w:after="0"/>
              <w:ind w:right="-1" w:firstLine="0"/>
              <w:jc w:val="center"/>
            </w:pPr>
          </w:p>
        </w:tc>
        <w:tc>
          <w:tcPr>
            <w:tcW w:w="693" w:type="pct"/>
            <w:vAlign w:val="center"/>
          </w:tcPr>
          <w:p w:rsidR="009265FA" w:rsidRPr="001606F5" w:rsidRDefault="009265FA" w:rsidP="00D80C78">
            <w:pPr>
              <w:pStyle w:val="naisf"/>
              <w:tabs>
                <w:tab w:val="left" w:pos="7993"/>
              </w:tabs>
              <w:spacing w:before="0" w:after="0"/>
              <w:ind w:right="-1" w:firstLine="0"/>
              <w:jc w:val="center"/>
              <w:rPr>
                <w:b/>
              </w:rPr>
            </w:pPr>
            <w:r w:rsidRPr="001606F5">
              <w:t>0</w:t>
            </w:r>
          </w:p>
        </w:tc>
        <w:tc>
          <w:tcPr>
            <w:tcW w:w="693" w:type="pct"/>
            <w:vAlign w:val="center"/>
          </w:tcPr>
          <w:p w:rsidR="009265FA" w:rsidRPr="001606F5" w:rsidRDefault="009265FA" w:rsidP="00D80C78">
            <w:pPr>
              <w:pStyle w:val="naisf"/>
              <w:tabs>
                <w:tab w:val="left" w:pos="7993"/>
              </w:tabs>
              <w:spacing w:before="0" w:after="0"/>
              <w:ind w:right="-1" w:firstLine="0"/>
              <w:jc w:val="center"/>
              <w:rPr>
                <w:b/>
              </w:rPr>
            </w:pPr>
            <w:r w:rsidRPr="001606F5">
              <w:t>0</w:t>
            </w:r>
          </w:p>
        </w:tc>
        <w:tc>
          <w:tcPr>
            <w:tcW w:w="693" w:type="pct"/>
            <w:vAlign w:val="center"/>
          </w:tcPr>
          <w:p w:rsidR="009265FA" w:rsidRPr="001606F5" w:rsidRDefault="009265FA" w:rsidP="00417593">
            <w:pPr>
              <w:pStyle w:val="naisf"/>
              <w:tabs>
                <w:tab w:val="left" w:pos="7993"/>
              </w:tabs>
              <w:spacing w:before="0" w:after="0"/>
              <w:ind w:right="-1" w:firstLine="0"/>
              <w:jc w:val="center"/>
              <w:rPr>
                <w:b/>
              </w:rPr>
            </w:pPr>
            <w:r w:rsidRPr="001606F5">
              <w:t>0</w:t>
            </w:r>
          </w:p>
        </w:tc>
        <w:tc>
          <w:tcPr>
            <w:tcW w:w="805" w:type="pct"/>
            <w:vAlign w:val="center"/>
          </w:tcPr>
          <w:p w:rsidR="009265FA" w:rsidRPr="001606F5" w:rsidRDefault="009265FA" w:rsidP="00D80C78">
            <w:pPr>
              <w:pStyle w:val="naisf"/>
              <w:tabs>
                <w:tab w:val="left" w:pos="7993"/>
              </w:tabs>
              <w:spacing w:before="0" w:after="0"/>
              <w:ind w:right="-1" w:firstLine="0"/>
              <w:jc w:val="center"/>
              <w:rPr>
                <w:b/>
              </w:rPr>
            </w:pPr>
            <w:r w:rsidRPr="001606F5">
              <w:t>0</w:t>
            </w:r>
          </w:p>
        </w:tc>
      </w:tr>
      <w:tr w:rsidR="009265FA" w:rsidRPr="001606F5" w:rsidTr="006027B9">
        <w:trPr>
          <w:jc w:val="center"/>
        </w:trPr>
        <w:tc>
          <w:tcPr>
            <w:tcW w:w="1493" w:type="pct"/>
          </w:tcPr>
          <w:p w:rsidR="009265FA" w:rsidRPr="001606F5" w:rsidRDefault="009265FA" w:rsidP="00D80C78">
            <w:pPr>
              <w:pStyle w:val="naiskr"/>
              <w:tabs>
                <w:tab w:val="left" w:pos="7993"/>
              </w:tabs>
              <w:spacing w:before="0" w:after="0"/>
              <w:ind w:right="-1"/>
            </w:pPr>
            <w:r w:rsidRPr="001606F5">
              <w:t xml:space="preserve">5.3. pašvaldību budžets </w:t>
            </w:r>
          </w:p>
        </w:tc>
        <w:tc>
          <w:tcPr>
            <w:tcW w:w="623" w:type="pct"/>
            <w:vMerge/>
            <w:vAlign w:val="center"/>
          </w:tcPr>
          <w:p w:rsidR="009265FA" w:rsidRPr="001606F5" w:rsidRDefault="009265FA" w:rsidP="00D80C78">
            <w:pPr>
              <w:pStyle w:val="naisf"/>
              <w:tabs>
                <w:tab w:val="left" w:pos="7993"/>
              </w:tabs>
              <w:spacing w:before="0" w:after="0"/>
              <w:ind w:right="-1" w:firstLine="0"/>
              <w:jc w:val="center"/>
            </w:pPr>
          </w:p>
        </w:tc>
        <w:tc>
          <w:tcPr>
            <w:tcW w:w="693" w:type="pct"/>
            <w:vAlign w:val="center"/>
          </w:tcPr>
          <w:p w:rsidR="009265FA" w:rsidRPr="001606F5" w:rsidRDefault="009265FA" w:rsidP="00D80C78">
            <w:pPr>
              <w:pStyle w:val="naisf"/>
              <w:tabs>
                <w:tab w:val="left" w:pos="7993"/>
              </w:tabs>
              <w:spacing w:before="0" w:after="0"/>
              <w:ind w:right="-1" w:firstLine="0"/>
              <w:jc w:val="center"/>
              <w:rPr>
                <w:b/>
              </w:rPr>
            </w:pPr>
            <w:r w:rsidRPr="001606F5">
              <w:t>0</w:t>
            </w:r>
          </w:p>
        </w:tc>
        <w:tc>
          <w:tcPr>
            <w:tcW w:w="693" w:type="pct"/>
            <w:vAlign w:val="center"/>
          </w:tcPr>
          <w:p w:rsidR="009265FA" w:rsidRPr="001606F5" w:rsidRDefault="009265FA" w:rsidP="00D80C78">
            <w:pPr>
              <w:pStyle w:val="naisf"/>
              <w:tabs>
                <w:tab w:val="left" w:pos="7993"/>
              </w:tabs>
              <w:spacing w:before="0" w:after="0"/>
              <w:ind w:right="-1" w:firstLine="0"/>
              <w:jc w:val="center"/>
              <w:rPr>
                <w:b/>
              </w:rPr>
            </w:pPr>
            <w:r w:rsidRPr="001606F5">
              <w:t>0</w:t>
            </w:r>
          </w:p>
        </w:tc>
        <w:tc>
          <w:tcPr>
            <w:tcW w:w="693" w:type="pct"/>
            <w:vAlign w:val="center"/>
          </w:tcPr>
          <w:p w:rsidR="009265FA" w:rsidRPr="001606F5" w:rsidRDefault="009265FA" w:rsidP="00D80C78">
            <w:pPr>
              <w:pStyle w:val="naisf"/>
              <w:tabs>
                <w:tab w:val="left" w:pos="7993"/>
              </w:tabs>
              <w:spacing w:before="0" w:after="0"/>
              <w:ind w:right="-1" w:firstLine="0"/>
              <w:jc w:val="center"/>
              <w:rPr>
                <w:b/>
              </w:rPr>
            </w:pPr>
            <w:r w:rsidRPr="001606F5">
              <w:t>0</w:t>
            </w:r>
          </w:p>
        </w:tc>
        <w:tc>
          <w:tcPr>
            <w:tcW w:w="805" w:type="pct"/>
            <w:vAlign w:val="center"/>
          </w:tcPr>
          <w:p w:rsidR="009265FA" w:rsidRPr="001606F5" w:rsidRDefault="009265FA" w:rsidP="00D80C78">
            <w:pPr>
              <w:pStyle w:val="naisf"/>
              <w:tabs>
                <w:tab w:val="left" w:pos="7993"/>
              </w:tabs>
              <w:spacing w:before="0" w:after="0"/>
              <w:ind w:right="-1" w:firstLine="0"/>
              <w:jc w:val="center"/>
              <w:rPr>
                <w:b/>
              </w:rPr>
            </w:pPr>
            <w:r w:rsidRPr="001606F5">
              <w:t>0</w:t>
            </w:r>
          </w:p>
        </w:tc>
      </w:tr>
      <w:tr w:rsidR="009265FA" w:rsidRPr="001606F5" w:rsidTr="006027B9">
        <w:trPr>
          <w:trHeight w:val="760"/>
          <w:jc w:val="center"/>
        </w:trPr>
        <w:tc>
          <w:tcPr>
            <w:tcW w:w="1493" w:type="pct"/>
          </w:tcPr>
          <w:p w:rsidR="009265FA" w:rsidRPr="001606F5" w:rsidRDefault="009265FA" w:rsidP="00D80C78">
            <w:pPr>
              <w:pStyle w:val="naiskr"/>
              <w:tabs>
                <w:tab w:val="left" w:pos="7993"/>
              </w:tabs>
              <w:spacing w:before="0" w:after="0"/>
              <w:ind w:right="-1"/>
            </w:pPr>
            <w:r w:rsidRPr="001606F5">
              <w:t>6. Detalizēts ieņēmumu un izdevu</w:t>
            </w:r>
            <w:r w:rsidRPr="001606F5">
              <w:softHyphen/>
              <w:t>mu aprēķins (ja nepieciešams, detalizētu ieņēmumu un izdevumu aprēķinu var pievienot anotācijas pielikumā):</w:t>
            </w:r>
          </w:p>
        </w:tc>
        <w:tc>
          <w:tcPr>
            <w:tcW w:w="3507" w:type="pct"/>
            <w:gridSpan w:val="5"/>
            <w:vMerge w:val="restart"/>
          </w:tcPr>
          <w:p w:rsidR="009265FA" w:rsidRPr="001606F5" w:rsidRDefault="009265FA" w:rsidP="00192836">
            <w:pPr>
              <w:spacing w:after="0" w:line="240" w:lineRule="auto"/>
              <w:ind w:left="44" w:right="147"/>
              <w:jc w:val="both"/>
              <w:rPr>
                <w:rFonts w:ascii="Times New Roman" w:eastAsia="Times New Roman" w:hAnsi="Times New Roman" w:cs="Times New Roman"/>
                <w:sz w:val="24"/>
                <w:szCs w:val="24"/>
              </w:rPr>
            </w:pPr>
            <w:r w:rsidRPr="001606F5">
              <w:rPr>
                <w:rFonts w:ascii="Times New Roman" w:eastAsia="Times New Roman" w:hAnsi="Times New Roman" w:cs="Times New Roman"/>
                <w:sz w:val="24"/>
                <w:szCs w:val="24"/>
              </w:rPr>
              <w:t>Informāciju par finansējuma izmaiņām MK rīkojuma Nr.307 īstenošanai skatīt anotācijas I. sadaļas 2. punktā.</w:t>
            </w:r>
          </w:p>
          <w:p w:rsidR="009265FA" w:rsidRPr="001606F5" w:rsidRDefault="009265FA" w:rsidP="00A42E0B">
            <w:pPr>
              <w:spacing w:after="120" w:line="240" w:lineRule="auto"/>
              <w:ind w:right="102"/>
              <w:jc w:val="both"/>
              <w:rPr>
                <w:rFonts w:ascii="Times New Roman" w:hAnsi="Times New Roman"/>
                <w:sz w:val="24"/>
                <w:szCs w:val="24"/>
              </w:rPr>
            </w:pPr>
          </w:p>
        </w:tc>
      </w:tr>
      <w:tr w:rsidR="009265FA" w:rsidRPr="001606F5" w:rsidTr="006027B9">
        <w:trPr>
          <w:jc w:val="center"/>
        </w:trPr>
        <w:tc>
          <w:tcPr>
            <w:tcW w:w="1493" w:type="pct"/>
          </w:tcPr>
          <w:p w:rsidR="009265FA" w:rsidRPr="001606F5" w:rsidRDefault="009265FA" w:rsidP="00D80C78">
            <w:pPr>
              <w:pStyle w:val="naiskr"/>
              <w:tabs>
                <w:tab w:val="left" w:pos="7993"/>
              </w:tabs>
              <w:spacing w:before="0" w:after="0"/>
              <w:ind w:right="-1"/>
            </w:pPr>
            <w:r w:rsidRPr="001606F5">
              <w:t>6.1. detalizēts ieņēmumu aprēķins</w:t>
            </w:r>
          </w:p>
        </w:tc>
        <w:tc>
          <w:tcPr>
            <w:tcW w:w="3507" w:type="pct"/>
            <w:gridSpan w:val="5"/>
            <w:vMerge/>
          </w:tcPr>
          <w:p w:rsidR="009265FA" w:rsidRPr="001606F5" w:rsidRDefault="009265FA" w:rsidP="00D80C78">
            <w:pPr>
              <w:pStyle w:val="naisf"/>
              <w:tabs>
                <w:tab w:val="left" w:pos="7993"/>
              </w:tabs>
              <w:spacing w:before="0" w:after="0"/>
              <w:ind w:right="-1" w:firstLine="0"/>
              <w:rPr>
                <w:b/>
                <w:i/>
              </w:rPr>
            </w:pPr>
          </w:p>
        </w:tc>
      </w:tr>
      <w:tr w:rsidR="009265FA" w:rsidRPr="001606F5" w:rsidTr="006027B9">
        <w:trPr>
          <w:trHeight w:val="373"/>
          <w:jc w:val="center"/>
        </w:trPr>
        <w:tc>
          <w:tcPr>
            <w:tcW w:w="1493" w:type="pct"/>
          </w:tcPr>
          <w:p w:rsidR="009265FA" w:rsidRPr="001606F5" w:rsidRDefault="009265FA" w:rsidP="00D80C78">
            <w:pPr>
              <w:pStyle w:val="naiskr"/>
              <w:tabs>
                <w:tab w:val="left" w:pos="7993"/>
              </w:tabs>
              <w:spacing w:before="0" w:after="0"/>
              <w:ind w:right="-1"/>
            </w:pPr>
            <w:r w:rsidRPr="001606F5">
              <w:t>6.2. detalizēts izdevumu aprēķins</w:t>
            </w:r>
          </w:p>
        </w:tc>
        <w:tc>
          <w:tcPr>
            <w:tcW w:w="3507" w:type="pct"/>
            <w:gridSpan w:val="5"/>
            <w:vMerge/>
          </w:tcPr>
          <w:p w:rsidR="009265FA" w:rsidRPr="001606F5" w:rsidRDefault="009265FA" w:rsidP="00D80C78">
            <w:pPr>
              <w:pStyle w:val="naisf"/>
              <w:tabs>
                <w:tab w:val="left" w:pos="7993"/>
              </w:tabs>
              <w:spacing w:before="0" w:after="0"/>
              <w:ind w:right="-1" w:firstLine="0"/>
              <w:rPr>
                <w:b/>
                <w:i/>
              </w:rPr>
            </w:pPr>
          </w:p>
        </w:tc>
      </w:tr>
      <w:tr w:rsidR="009265FA" w:rsidRPr="001606F5" w:rsidTr="006027B9">
        <w:trPr>
          <w:jc w:val="center"/>
        </w:trPr>
        <w:tc>
          <w:tcPr>
            <w:tcW w:w="1493" w:type="pct"/>
            <w:tcBorders>
              <w:bottom w:val="single" w:sz="4" w:space="0" w:color="auto"/>
            </w:tcBorders>
          </w:tcPr>
          <w:p w:rsidR="009265FA" w:rsidRPr="001606F5" w:rsidRDefault="009265FA" w:rsidP="00D80C78">
            <w:pPr>
              <w:pStyle w:val="naiskr"/>
              <w:tabs>
                <w:tab w:val="left" w:pos="7993"/>
              </w:tabs>
              <w:spacing w:before="0" w:after="0"/>
              <w:ind w:right="-1"/>
            </w:pPr>
            <w:r w:rsidRPr="001606F5">
              <w:t>7. Cita informācija</w:t>
            </w:r>
          </w:p>
        </w:tc>
        <w:tc>
          <w:tcPr>
            <w:tcW w:w="3507" w:type="pct"/>
            <w:gridSpan w:val="5"/>
            <w:tcBorders>
              <w:bottom w:val="single" w:sz="4" w:space="0" w:color="auto"/>
            </w:tcBorders>
          </w:tcPr>
          <w:p w:rsidR="009265FA" w:rsidRPr="001606F5" w:rsidRDefault="009265FA" w:rsidP="002C457C">
            <w:pPr>
              <w:pStyle w:val="NormalWeb"/>
              <w:tabs>
                <w:tab w:val="left" w:pos="7993"/>
              </w:tabs>
              <w:spacing w:before="0" w:after="0"/>
              <w:ind w:right="-1"/>
              <w:jc w:val="both"/>
            </w:pPr>
            <w:r w:rsidRPr="001606F5">
              <w:rPr>
                <w:bCs/>
              </w:rPr>
              <w:t>MK rīkojuma projekta ietvaros norādītie provizoriski aprēķinātie kapitālieguldījumu apmēri var tikt precizēti būvniecības darbu laikā, ja objektīvu vai ekonomiski pamatotu iemeslu rezultātā  mainījies to apmērs. Provizoriski aprēķinātais nomas maksas izdevumu apmērs atbilstoši faktiskajām nomas objekta pārvaldīšanas izmaksām precizējams pēc būvobjektu nodošanas ekspluatācijā.</w:t>
            </w:r>
          </w:p>
        </w:tc>
      </w:tr>
    </w:tbl>
    <w:p w:rsidR="00D80C78" w:rsidRPr="001606F5" w:rsidRDefault="00D80C78" w:rsidP="00D80C78">
      <w:pPr>
        <w:pStyle w:val="naisf"/>
        <w:tabs>
          <w:tab w:val="left" w:pos="7993"/>
        </w:tabs>
        <w:spacing w:before="0" w:after="0"/>
        <w:ind w:right="-1" w:firstLine="0"/>
      </w:pPr>
    </w:p>
    <w:p w:rsidR="00967817" w:rsidRPr="001606F5" w:rsidRDefault="00967817" w:rsidP="00D80C78">
      <w:pPr>
        <w:pStyle w:val="naisf"/>
        <w:tabs>
          <w:tab w:val="left" w:pos="7993"/>
        </w:tabs>
        <w:spacing w:before="0" w:after="0"/>
        <w:ind w:right="-1" w:firstLine="0"/>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45"/>
        <w:gridCol w:w="4536"/>
        <w:gridCol w:w="4512"/>
      </w:tblGrid>
      <w:tr w:rsidR="009C372C" w:rsidRPr="001606F5" w:rsidTr="006F0CD4">
        <w:trPr>
          <w:jc w:val="center"/>
        </w:trPr>
        <w:tc>
          <w:tcPr>
            <w:tcW w:w="9593" w:type="dxa"/>
            <w:gridSpan w:val="3"/>
            <w:tcBorders>
              <w:top w:val="single" w:sz="4" w:space="0" w:color="auto"/>
              <w:left w:val="single" w:sz="4" w:space="0" w:color="auto"/>
              <w:bottom w:val="single" w:sz="4" w:space="0" w:color="auto"/>
              <w:right w:val="single" w:sz="4" w:space="0" w:color="auto"/>
            </w:tcBorders>
          </w:tcPr>
          <w:p w:rsidR="00D80C78" w:rsidRPr="001606F5" w:rsidRDefault="00D80C78" w:rsidP="00D80C78">
            <w:pPr>
              <w:pStyle w:val="naisnod"/>
              <w:tabs>
                <w:tab w:val="left" w:pos="7993"/>
              </w:tabs>
              <w:spacing w:before="0" w:after="60"/>
              <w:ind w:right="-1"/>
              <w:jc w:val="center"/>
              <w:rPr>
                <w:b/>
              </w:rPr>
            </w:pPr>
            <w:r w:rsidRPr="001606F5">
              <w:rPr>
                <w:b/>
              </w:rPr>
              <w:t>VII. Tiesību akta projekta izpildes nodrošināšana un tās ietekme uz institūcijām</w:t>
            </w:r>
          </w:p>
        </w:tc>
      </w:tr>
      <w:tr w:rsidR="009C372C" w:rsidRPr="001606F5" w:rsidTr="00DE568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351"/>
          <w:jc w:val="center"/>
        </w:trPr>
        <w:tc>
          <w:tcPr>
            <w:tcW w:w="545" w:type="dxa"/>
            <w:tcBorders>
              <w:top w:val="outset" w:sz="6" w:space="0" w:color="000000"/>
              <w:left w:val="outset" w:sz="6" w:space="0" w:color="000000"/>
              <w:bottom w:val="outset" w:sz="6" w:space="0" w:color="000000"/>
              <w:right w:val="outset" w:sz="6" w:space="0" w:color="000000"/>
            </w:tcBorders>
            <w:hideMark/>
          </w:tcPr>
          <w:p w:rsidR="00D80C78" w:rsidRPr="001606F5" w:rsidRDefault="00D80C78" w:rsidP="00D80C78">
            <w:pPr>
              <w:pStyle w:val="NormalWeb"/>
              <w:tabs>
                <w:tab w:val="left" w:pos="7993"/>
              </w:tabs>
              <w:spacing w:before="0" w:after="0"/>
              <w:ind w:right="-1"/>
              <w:jc w:val="center"/>
            </w:pPr>
            <w:r w:rsidRPr="001606F5">
              <w:t>1.</w:t>
            </w:r>
          </w:p>
        </w:tc>
        <w:tc>
          <w:tcPr>
            <w:tcW w:w="4536" w:type="dxa"/>
            <w:tcBorders>
              <w:top w:val="outset" w:sz="6" w:space="0" w:color="000000"/>
              <w:left w:val="outset" w:sz="6" w:space="0" w:color="000000"/>
              <w:bottom w:val="outset" w:sz="6" w:space="0" w:color="000000"/>
              <w:right w:val="outset" w:sz="6" w:space="0" w:color="000000"/>
            </w:tcBorders>
            <w:hideMark/>
          </w:tcPr>
          <w:p w:rsidR="00D80C78" w:rsidRPr="001606F5" w:rsidRDefault="00D80C78" w:rsidP="00D80C78">
            <w:pPr>
              <w:pStyle w:val="NormalWeb"/>
              <w:tabs>
                <w:tab w:val="left" w:pos="7993"/>
              </w:tabs>
              <w:spacing w:before="0" w:after="0"/>
              <w:ind w:right="-1"/>
            </w:pPr>
            <w:r w:rsidRPr="001606F5">
              <w:t>Projekta izpildē iesaistītās institūcijas</w:t>
            </w:r>
          </w:p>
        </w:tc>
        <w:tc>
          <w:tcPr>
            <w:tcW w:w="4512" w:type="dxa"/>
            <w:tcBorders>
              <w:top w:val="outset" w:sz="6" w:space="0" w:color="000000"/>
              <w:left w:val="outset" w:sz="6" w:space="0" w:color="000000"/>
              <w:bottom w:val="outset" w:sz="6" w:space="0" w:color="000000"/>
              <w:right w:val="outset" w:sz="6" w:space="0" w:color="000000"/>
            </w:tcBorders>
          </w:tcPr>
          <w:p w:rsidR="00D80C78" w:rsidRPr="001606F5" w:rsidRDefault="00184A2C" w:rsidP="00360490">
            <w:pPr>
              <w:pStyle w:val="NormalWeb"/>
              <w:tabs>
                <w:tab w:val="left" w:pos="7993"/>
              </w:tabs>
              <w:spacing w:before="0" w:after="0"/>
              <w:ind w:right="-1"/>
              <w:jc w:val="both"/>
            </w:pPr>
            <w:r w:rsidRPr="001606F5">
              <w:rPr>
                <w:bCs/>
              </w:rPr>
              <w:t xml:space="preserve">FM </w:t>
            </w:r>
            <w:r w:rsidR="00595C58" w:rsidRPr="001606F5">
              <w:rPr>
                <w:bCs/>
              </w:rPr>
              <w:t>(VNĪ</w:t>
            </w:r>
            <w:r w:rsidR="00360490" w:rsidRPr="001606F5">
              <w:rPr>
                <w:bCs/>
              </w:rPr>
              <w:t>)</w:t>
            </w:r>
            <w:r w:rsidR="008A2853" w:rsidRPr="001606F5">
              <w:rPr>
                <w:bCs/>
              </w:rPr>
              <w:t>, VARAM</w:t>
            </w:r>
            <w:r w:rsidR="00192836" w:rsidRPr="001606F5">
              <w:rPr>
                <w:bCs/>
              </w:rPr>
              <w:t xml:space="preserve"> un KM</w:t>
            </w:r>
            <w:r w:rsidR="00D80C78" w:rsidRPr="001606F5">
              <w:rPr>
                <w:iCs/>
              </w:rPr>
              <w:t>.</w:t>
            </w:r>
          </w:p>
        </w:tc>
      </w:tr>
      <w:tr w:rsidR="009C372C" w:rsidRPr="001606F5" w:rsidTr="00DE568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1574"/>
          <w:jc w:val="center"/>
        </w:trPr>
        <w:tc>
          <w:tcPr>
            <w:tcW w:w="545" w:type="dxa"/>
            <w:tcBorders>
              <w:top w:val="outset" w:sz="6" w:space="0" w:color="000000"/>
              <w:left w:val="outset" w:sz="6" w:space="0" w:color="000000"/>
              <w:bottom w:val="outset" w:sz="6" w:space="0" w:color="000000"/>
              <w:right w:val="outset" w:sz="6" w:space="0" w:color="000000"/>
            </w:tcBorders>
            <w:hideMark/>
          </w:tcPr>
          <w:p w:rsidR="00D80C78" w:rsidRPr="001606F5" w:rsidRDefault="00D80C78" w:rsidP="00D80C78">
            <w:pPr>
              <w:pStyle w:val="NormalWeb"/>
              <w:tabs>
                <w:tab w:val="left" w:pos="7993"/>
              </w:tabs>
              <w:spacing w:before="0" w:after="0"/>
              <w:ind w:right="-1"/>
              <w:jc w:val="center"/>
            </w:pPr>
            <w:r w:rsidRPr="001606F5">
              <w:t>2.</w:t>
            </w:r>
          </w:p>
        </w:tc>
        <w:tc>
          <w:tcPr>
            <w:tcW w:w="4536" w:type="dxa"/>
            <w:tcBorders>
              <w:top w:val="outset" w:sz="6" w:space="0" w:color="000000"/>
              <w:left w:val="outset" w:sz="6" w:space="0" w:color="000000"/>
              <w:bottom w:val="outset" w:sz="6" w:space="0" w:color="000000"/>
              <w:right w:val="outset" w:sz="6" w:space="0" w:color="000000"/>
            </w:tcBorders>
            <w:hideMark/>
          </w:tcPr>
          <w:p w:rsidR="00D80C78" w:rsidRPr="001606F5" w:rsidRDefault="00D80C78" w:rsidP="00D80C78">
            <w:pPr>
              <w:pStyle w:val="NormalWeb"/>
              <w:tabs>
                <w:tab w:val="left" w:pos="7993"/>
              </w:tabs>
              <w:spacing w:before="0" w:after="0"/>
              <w:ind w:right="-1"/>
            </w:pPr>
            <w:r w:rsidRPr="001606F5">
              <w:t>Projekta izpildes ietekme uz pārvaldes funkcijām un institucionālo struktūru.</w:t>
            </w:r>
          </w:p>
          <w:p w:rsidR="00D80C78" w:rsidRPr="001606F5" w:rsidRDefault="00D80C78" w:rsidP="00D80C78">
            <w:pPr>
              <w:pStyle w:val="NormalWeb"/>
              <w:tabs>
                <w:tab w:val="left" w:pos="7993"/>
              </w:tabs>
              <w:spacing w:before="0" w:after="0"/>
              <w:ind w:right="-1"/>
            </w:pPr>
            <w:r w:rsidRPr="001606F5">
              <w:t>Jaunu institūciju izveide, esošu institūciju likvidācija vai reorganizācija, to ietekme uz institūcijas cilvēkresursiem</w:t>
            </w:r>
          </w:p>
        </w:tc>
        <w:tc>
          <w:tcPr>
            <w:tcW w:w="4512" w:type="dxa"/>
            <w:tcBorders>
              <w:top w:val="outset" w:sz="6" w:space="0" w:color="000000"/>
              <w:left w:val="outset" w:sz="6" w:space="0" w:color="000000"/>
              <w:bottom w:val="outset" w:sz="6" w:space="0" w:color="000000"/>
              <w:right w:val="outset" w:sz="6" w:space="0" w:color="000000"/>
            </w:tcBorders>
          </w:tcPr>
          <w:p w:rsidR="00D80C78" w:rsidRPr="001606F5" w:rsidRDefault="00D80C78" w:rsidP="00D80C78">
            <w:pPr>
              <w:pStyle w:val="naiskr"/>
              <w:tabs>
                <w:tab w:val="left" w:pos="7993"/>
              </w:tabs>
              <w:spacing w:before="0" w:after="0"/>
              <w:ind w:right="-1"/>
              <w:jc w:val="both"/>
              <w:rPr>
                <w:iCs/>
              </w:rPr>
            </w:pPr>
            <w:r w:rsidRPr="001606F5">
              <w:t>Projekts šo jomu neskar.</w:t>
            </w:r>
          </w:p>
        </w:tc>
      </w:tr>
      <w:tr w:rsidR="009C372C" w:rsidRPr="001606F5" w:rsidTr="00DE568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301"/>
          <w:jc w:val="center"/>
        </w:trPr>
        <w:tc>
          <w:tcPr>
            <w:tcW w:w="545" w:type="dxa"/>
            <w:tcBorders>
              <w:top w:val="outset" w:sz="6" w:space="0" w:color="000000"/>
              <w:left w:val="outset" w:sz="6" w:space="0" w:color="000000"/>
              <w:bottom w:val="outset" w:sz="6" w:space="0" w:color="000000"/>
              <w:right w:val="outset" w:sz="6" w:space="0" w:color="000000"/>
            </w:tcBorders>
            <w:hideMark/>
          </w:tcPr>
          <w:p w:rsidR="00D80C78" w:rsidRPr="001606F5" w:rsidRDefault="00D80C78" w:rsidP="00D80C78">
            <w:pPr>
              <w:pStyle w:val="NormalWeb"/>
              <w:tabs>
                <w:tab w:val="left" w:pos="7993"/>
              </w:tabs>
              <w:spacing w:before="0" w:after="0"/>
              <w:ind w:right="-1"/>
              <w:jc w:val="center"/>
            </w:pPr>
            <w:r w:rsidRPr="001606F5">
              <w:lastRenderedPageBreak/>
              <w:t>3.</w:t>
            </w:r>
          </w:p>
        </w:tc>
        <w:tc>
          <w:tcPr>
            <w:tcW w:w="4536" w:type="dxa"/>
            <w:tcBorders>
              <w:top w:val="outset" w:sz="6" w:space="0" w:color="000000"/>
              <w:left w:val="outset" w:sz="6" w:space="0" w:color="000000"/>
              <w:bottom w:val="outset" w:sz="6" w:space="0" w:color="000000"/>
              <w:right w:val="outset" w:sz="6" w:space="0" w:color="000000"/>
            </w:tcBorders>
            <w:hideMark/>
          </w:tcPr>
          <w:p w:rsidR="00D80C78" w:rsidRPr="001606F5" w:rsidRDefault="00D80C78" w:rsidP="00D80C78">
            <w:pPr>
              <w:pStyle w:val="NormalWeb"/>
              <w:tabs>
                <w:tab w:val="left" w:pos="7993"/>
              </w:tabs>
              <w:spacing w:before="0" w:after="60"/>
              <w:ind w:right="-1"/>
            </w:pPr>
            <w:r w:rsidRPr="001606F5">
              <w:t>Cita informācija</w:t>
            </w:r>
          </w:p>
        </w:tc>
        <w:tc>
          <w:tcPr>
            <w:tcW w:w="4512" w:type="dxa"/>
            <w:tcBorders>
              <w:top w:val="outset" w:sz="6" w:space="0" w:color="000000"/>
              <w:left w:val="outset" w:sz="6" w:space="0" w:color="000000"/>
              <w:bottom w:val="outset" w:sz="6" w:space="0" w:color="000000"/>
              <w:right w:val="outset" w:sz="6" w:space="0" w:color="000000"/>
            </w:tcBorders>
          </w:tcPr>
          <w:p w:rsidR="00D80C78" w:rsidRPr="001606F5" w:rsidRDefault="00D80C78" w:rsidP="00D80C78">
            <w:pPr>
              <w:pStyle w:val="naiskr"/>
              <w:tabs>
                <w:tab w:val="left" w:pos="7993"/>
              </w:tabs>
              <w:spacing w:before="0" w:after="0"/>
              <w:ind w:right="-1"/>
              <w:jc w:val="both"/>
              <w:rPr>
                <w:iCs/>
              </w:rPr>
            </w:pPr>
            <w:r w:rsidRPr="001606F5">
              <w:rPr>
                <w:iCs/>
              </w:rPr>
              <w:t>Nav.</w:t>
            </w:r>
          </w:p>
        </w:tc>
      </w:tr>
    </w:tbl>
    <w:p w:rsidR="00967817" w:rsidRPr="001606F5" w:rsidRDefault="00D80C78" w:rsidP="00C85D45">
      <w:pPr>
        <w:tabs>
          <w:tab w:val="left" w:pos="7993"/>
        </w:tabs>
        <w:spacing w:before="75" w:after="75" w:line="240" w:lineRule="auto"/>
        <w:ind w:right="-1"/>
        <w:rPr>
          <w:rFonts w:ascii="Times New Roman" w:eastAsia="Times New Roman" w:hAnsi="Times New Roman"/>
          <w:iCs/>
          <w:sz w:val="24"/>
          <w:szCs w:val="24"/>
        </w:rPr>
      </w:pPr>
      <w:r w:rsidRPr="001606F5">
        <w:rPr>
          <w:rFonts w:ascii="Times New Roman" w:eastAsia="Times New Roman" w:hAnsi="Times New Roman"/>
          <w:iCs/>
          <w:sz w:val="24"/>
          <w:szCs w:val="24"/>
        </w:rPr>
        <w:t>Anotācijas II,</w:t>
      </w:r>
      <w:r w:rsidR="00192836" w:rsidRPr="001606F5">
        <w:rPr>
          <w:rFonts w:ascii="Times New Roman" w:eastAsia="Times New Roman" w:hAnsi="Times New Roman"/>
          <w:iCs/>
          <w:sz w:val="24"/>
          <w:szCs w:val="24"/>
        </w:rPr>
        <w:t xml:space="preserve"> </w:t>
      </w:r>
      <w:r w:rsidRPr="001606F5">
        <w:rPr>
          <w:rFonts w:ascii="Times New Roman" w:eastAsia="Times New Roman" w:hAnsi="Times New Roman"/>
          <w:iCs/>
          <w:sz w:val="24"/>
          <w:szCs w:val="24"/>
        </w:rPr>
        <w:t xml:space="preserve">V un VI sadaļa – projekts šīs jomas neskar. </w:t>
      </w:r>
    </w:p>
    <w:p w:rsidR="00C85D45" w:rsidRDefault="00C85D45" w:rsidP="00C85D45">
      <w:pPr>
        <w:tabs>
          <w:tab w:val="left" w:pos="7993"/>
        </w:tabs>
        <w:spacing w:before="75" w:after="75" w:line="240" w:lineRule="auto"/>
        <w:ind w:right="-1"/>
        <w:rPr>
          <w:rFonts w:ascii="Times New Roman" w:eastAsia="Times New Roman" w:hAnsi="Times New Roman"/>
          <w:iCs/>
          <w:sz w:val="24"/>
          <w:szCs w:val="24"/>
        </w:rPr>
      </w:pPr>
    </w:p>
    <w:p w:rsidR="001606F5" w:rsidRDefault="001606F5" w:rsidP="00C85D45">
      <w:pPr>
        <w:tabs>
          <w:tab w:val="left" w:pos="7993"/>
        </w:tabs>
        <w:spacing w:before="75" w:after="75" w:line="240" w:lineRule="auto"/>
        <w:ind w:right="-1"/>
        <w:rPr>
          <w:rFonts w:ascii="Times New Roman" w:eastAsia="Times New Roman" w:hAnsi="Times New Roman"/>
          <w:iCs/>
          <w:sz w:val="24"/>
          <w:szCs w:val="24"/>
        </w:rPr>
      </w:pPr>
    </w:p>
    <w:p w:rsidR="001606F5" w:rsidRPr="001606F5" w:rsidRDefault="001606F5" w:rsidP="00C85D45">
      <w:pPr>
        <w:tabs>
          <w:tab w:val="left" w:pos="7993"/>
        </w:tabs>
        <w:spacing w:before="75" w:after="75" w:line="240" w:lineRule="auto"/>
        <w:ind w:right="-1"/>
        <w:rPr>
          <w:rFonts w:ascii="Times New Roman" w:eastAsia="Times New Roman" w:hAnsi="Times New Roman"/>
          <w:iCs/>
          <w:sz w:val="24"/>
          <w:szCs w:val="24"/>
        </w:rPr>
      </w:pPr>
    </w:p>
    <w:p w:rsidR="008A2853" w:rsidRPr="0060470C" w:rsidRDefault="0060470C" w:rsidP="006047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Finanšu ministre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E7AAF" w:rsidRPr="00DD3C34">
        <w:tab/>
      </w:r>
      <w:r w:rsidR="007E7AAF" w:rsidRPr="00DD3C34">
        <w:tab/>
      </w:r>
      <w:proofErr w:type="spellStart"/>
      <w:r w:rsidRPr="0060470C">
        <w:rPr>
          <w:rFonts w:ascii="Times New Roman" w:eastAsia="Times New Roman" w:hAnsi="Times New Roman" w:cs="Times New Roman"/>
          <w:sz w:val="24"/>
          <w:szCs w:val="24"/>
        </w:rPr>
        <w:t>D.Reizniece-Ozola</w:t>
      </w:r>
      <w:proofErr w:type="spellEnd"/>
    </w:p>
    <w:p w:rsidR="008A2853" w:rsidRPr="001606F5" w:rsidRDefault="008A2853" w:rsidP="00360490">
      <w:pPr>
        <w:pStyle w:val="naisf"/>
        <w:tabs>
          <w:tab w:val="left" w:pos="6804"/>
        </w:tabs>
        <w:spacing w:before="0" w:after="0"/>
        <w:ind w:left="-426" w:firstLine="0"/>
        <w:rPr>
          <w:sz w:val="20"/>
          <w:szCs w:val="20"/>
        </w:rPr>
      </w:pPr>
    </w:p>
    <w:p w:rsidR="008A2853" w:rsidRDefault="008A2853" w:rsidP="00360490">
      <w:pPr>
        <w:pStyle w:val="naisf"/>
        <w:tabs>
          <w:tab w:val="left" w:pos="6804"/>
        </w:tabs>
        <w:spacing w:before="0" w:after="0"/>
        <w:ind w:left="-426" w:firstLine="0"/>
        <w:rPr>
          <w:sz w:val="20"/>
          <w:szCs w:val="20"/>
        </w:rPr>
      </w:pPr>
    </w:p>
    <w:p w:rsidR="001606F5" w:rsidRDefault="001606F5" w:rsidP="00360490">
      <w:pPr>
        <w:pStyle w:val="naisf"/>
        <w:tabs>
          <w:tab w:val="left" w:pos="6804"/>
        </w:tabs>
        <w:spacing w:before="0" w:after="0"/>
        <w:ind w:left="-426" w:firstLine="0"/>
        <w:rPr>
          <w:sz w:val="20"/>
          <w:szCs w:val="20"/>
        </w:rPr>
      </w:pPr>
    </w:p>
    <w:p w:rsidR="001606F5" w:rsidRDefault="001606F5" w:rsidP="00360490">
      <w:pPr>
        <w:pStyle w:val="naisf"/>
        <w:tabs>
          <w:tab w:val="left" w:pos="6804"/>
        </w:tabs>
        <w:spacing w:before="0" w:after="0"/>
        <w:ind w:left="-426" w:firstLine="0"/>
        <w:rPr>
          <w:sz w:val="20"/>
          <w:szCs w:val="20"/>
        </w:rPr>
      </w:pPr>
    </w:p>
    <w:p w:rsidR="001606F5" w:rsidRDefault="001606F5" w:rsidP="00360490">
      <w:pPr>
        <w:pStyle w:val="naisf"/>
        <w:tabs>
          <w:tab w:val="left" w:pos="6804"/>
        </w:tabs>
        <w:spacing w:before="0" w:after="0"/>
        <w:ind w:left="-426" w:firstLine="0"/>
        <w:rPr>
          <w:sz w:val="20"/>
          <w:szCs w:val="20"/>
        </w:rPr>
      </w:pPr>
    </w:p>
    <w:p w:rsidR="001606F5" w:rsidRDefault="001606F5" w:rsidP="00360490">
      <w:pPr>
        <w:pStyle w:val="naisf"/>
        <w:tabs>
          <w:tab w:val="left" w:pos="6804"/>
        </w:tabs>
        <w:spacing w:before="0" w:after="0"/>
        <w:ind w:left="-426" w:firstLine="0"/>
        <w:rPr>
          <w:sz w:val="20"/>
          <w:szCs w:val="20"/>
        </w:rPr>
      </w:pPr>
    </w:p>
    <w:p w:rsidR="001606F5" w:rsidRDefault="001606F5" w:rsidP="00360490">
      <w:pPr>
        <w:pStyle w:val="naisf"/>
        <w:tabs>
          <w:tab w:val="left" w:pos="6804"/>
        </w:tabs>
        <w:spacing w:before="0" w:after="0"/>
        <w:ind w:left="-426" w:firstLine="0"/>
        <w:rPr>
          <w:sz w:val="20"/>
          <w:szCs w:val="20"/>
        </w:rPr>
      </w:pPr>
    </w:p>
    <w:p w:rsidR="001606F5" w:rsidRPr="001606F5" w:rsidRDefault="001606F5" w:rsidP="00360490">
      <w:pPr>
        <w:pStyle w:val="naisf"/>
        <w:tabs>
          <w:tab w:val="left" w:pos="6804"/>
        </w:tabs>
        <w:spacing w:before="0" w:after="0"/>
        <w:ind w:left="-426" w:firstLine="0"/>
        <w:rPr>
          <w:sz w:val="20"/>
          <w:szCs w:val="20"/>
        </w:rPr>
      </w:pPr>
    </w:p>
    <w:p w:rsidR="005A7F96" w:rsidRPr="001606F5" w:rsidRDefault="005A7F96" w:rsidP="00360490">
      <w:pPr>
        <w:pStyle w:val="naisf"/>
        <w:tabs>
          <w:tab w:val="left" w:pos="6804"/>
        </w:tabs>
        <w:spacing w:before="0" w:after="0"/>
        <w:ind w:left="-426" w:firstLine="0"/>
        <w:rPr>
          <w:sz w:val="20"/>
          <w:szCs w:val="20"/>
        </w:rPr>
      </w:pPr>
    </w:p>
    <w:p w:rsidR="008A2853" w:rsidRPr="001606F5" w:rsidRDefault="008A2853" w:rsidP="00360490">
      <w:pPr>
        <w:pStyle w:val="naisf"/>
        <w:tabs>
          <w:tab w:val="left" w:pos="6804"/>
        </w:tabs>
        <w:spacing w:before="0" w:after="0"/>
        <w:ind w:left="-426" w:firstLine="0"/>
        <w:rPr>
          <w:sz w:val="20"/>
          <w:szCs w:val="20"/>
        </w:rPr>
      </w:pPr>
    </w:p>
    <w:p w:rsidR="00360490" w:rsidRPr="001606F5" w:rsidRDefault="005D2207" w:rsidP="00360490">
      <w:pPr>
        <w:pStyle w:val="naisf"/>
        <w:tabs>
          <w:tab w:val="left" w:pos="6804"/>
        </w:tabs>
        <w:spacing w:before="0" w:after="0"/>
        <w:ind w:left="-426" w:firstLine="0"/>
        <w:rPr>
          <w:sz w:val="20"/>
          <w:szCs w:val="20"/>
        </w:rPr>
      </w:pPr>
      <w:r w:rsidRPr="001606F5">
        <w:rPr>
          <w:sz w:val="20"/>
          <w:szCs w:val="20"/>
        </w:rPr>
        <w:t>13</w:t>
      </w:r>
      <w:r w:rsidR="00070649" w:rsidRPr="001606F5">
        <w:rPr>
          <w:sz w:val="20"/>
          <w:szCs w:val="20"/>
        </w:rPr>
        <w:t>.</w:t>
      </w:r>
      <w:r w:rsidR="007D396B" w:rsidRPr="001606F5">
        <w:rPr>
          <w:sz w:val="20"/>
          <w:szCs w:val="20"/>
        </w:rPr>
        <w:t>1</w:t>
      </w:r>
      <w:r w:rsidR="00070649" w:rsidRPr="001606F5">
        <w:rPr>
          <w:sz w:val="20"/>
          <w:szCs w:val="20"/>
        </w:rPr>
        <w:t>0</w:t>
      </w:r>
      <w:r w:rsidR="00360490" w:rsidRPr="001606F5">
        <w:rPr>
          <w:sz w:val="20"/>
          <w:szCs w:val="20"/>
        </w:rPr>
        <w:t>.201</w:t>
      </w:r>
      <w:r w:rsidR="00DE101F" w:rsidRPr="001606F5">
        <w:rPr>
          <w:sz w:val="20"/>
          <w:szCs w:val="20"/>
        </w:rPr>
        <w:t>6</w:t>
      </w:r>
      <w:r w:rsidR="00360490" w:rsidRPr="001606F5">
        <w:rPr>
          <w:sz w:val="20"/>
          <w:szCs w:val="20"/>
        </w:rPr>
        <w:t>. 1</w:t>
      </w:r>
      <w:r w:rsidR="00DC1878" w:rsidRPr="001606F5">
        <w:rPr>
          <w:sz w:val="20"/>
          <w:szCs w:val="20"/>
        </w:rPr>
        <w:t>3</w:t>
      </w:r>
      <w:r w:rsidR="00360490" w:rsidRPr="001606F5">
        <w:rPr>
          <w:sz w:val="20"/>
          <w:szCs w:val="20"/>
        </w:rPr>
        <w:t>:</w:t>
      </w:r>
      <w:r w:rsidR="00984E4A" w:rsidRPr="001606F5">
        <w:rPr>
          <w:sz w:val="20"/>
          <w:szCs w:val="20"/>
        </w:rPr>
        <w:t>17</w:t>
      </w:r>
    </w:p>
    <w:p w:rsidR="00360490" w:rsidRPr="001606F5" w:rsidRDefault="001606F5" w:rsidP="00360490">
      <w:pPr>
        <w:pStyle w:val="naisf"/>
        <w:tabs>
          <w:tab w:val="left" w:pos="6804"/>
        </w:tabs>
        <w:spacing w:before="0" w:after="0"/>
        <w:ind w:left="-426" w:firstLine="0"/>
        <w:rPr>
          <w:sz w:val="20"/>
          <w:szCs w:val="20"/>
        </w:rPr>
      </w:pPr>
      <w:bookmarkStart w:id="4" w:name="OLE_LINK8"/>
      <w:bookmarkStart w:id="5" w:name="OLE_LINK15"/>
      <w:r w:rsidRPr="001606F5">
        <w:rPr>
          <w:sz w:val="20"/>
          <w:szCs w:val="20"/>
        </w:rPr>
        <w:t>17</w:t>
      </w:r>
      <w:r w:rsidR="0060470C">
        <w:rPr>
          <w:sz w:val="20"/>
          <w:szCs w:val="20"/>
        </w:rPr>
        <w:t>48</w:t>
      </w:r>
      <w:bookmarkStart w:id="6" w:name="_GoBack"/>
      <w:bookmarkEnd w:id="6"/>
    </w:p>
    <w:p w:rsidR="00360490" w:rsidRPr="001606F5" w:rsidRDefault="00360490" w:rsidP="00360490">
      <w:pPr>
        <w:pStyle w:val="naisf"/>
        <w:tabs>
          <w:tab w:val="left" w:pos="6804"/>
        </w:tabs>
        <w:spacing w:before="0" w:after="0"/>
        <w:ind w:left="-426" w:firstLine="0"/>
        <w:rPr>
          <w:sz w:val="20"/>
          <w:szCs w:val="20"/>
        </w:rPr>
      </w:pPr>
      <w:r w:rsidRPr="001606F5">
        <w:rPr>
          <w:sz w:val="20"/>
          <w:szCs w:val="20"/>
        </w:rPr>
        <w:t>A.Gulbe</w:t>
      </w:r>
    </w:p>
    <w:p w:rsidR="00304C12" w:rsidRPr="009C372C" w:rsidRDefault="00360490" w:rsidP="00353229">
      <w:pPr>
        <w:pStyle w:val="naisf"/>
        <w:tabs>
          <w:tab w:val="left" w:pos="6804"/>
        </w:tabs>
        <w:spacing w:before="0" w:after="0"/>
        <w:ind w:left="-426" w:firstLine="0"/>
      </w:pPr>
      <w:r w:rsidRPr="001606F5">
        <w:rPr>
          <w:sz w:val="20"/>
          <w:szCs w:val="20"/>
        </w:rPr>
        <w:t>67024698, aiga.gulbe@vni.lv</w:t>
      </w:r>
      <w:bookmarkEnd w:id="4"/>
      <w:bookmarkEnd w:id="5"/>
    </w:p>
    <w:sectPr w:rsidR="00304C12" w:rsidRPr="009C372C" w:rsidSect="00C85D45">
      <w:headerReference w:type="default" r:id="rId10"/>
      <w:footerReference w:type="default" r:id="rId11"/>
      <w:headerReference w:type="first" r:id="rId12"/>
      <w:footerReference w:type="first" r:id="rId13"/>
      <w:pgSz w:w="11906" w:h="16838" w:code="9"/>
      <w:pgMar w:top="992" w:right="1134" w:bottom="992" w:left="1701" w:header="720" w:footer="98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DF" w:rsidRDefault="008157DF" w:rsidP="00AC5C4A">
      <w:pPr>
        <w:spacing w:after="0" w:line="240" w:lineRule="auto"/>
      </w:pPr>
      <w:r>
        <w:separator/>
      </w:r>
    </w:p>
  </w:endnote>
  <w:endnote w:type="continuationSeparator" w:id="0">
    <w:p w:rsidR="008157DF" w:rsidRDefault="008157DF" w:rsidP="00AC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DF" w:rsidRPr="00A3369F" w:rsidRDefault="008157DF" w:rsidP="0076068D">
    <w:pPr>
      <w:pStyle w:val="BodyText"/>
      <w:ind w:left="-426" w:right="-425"/>
      <w:jc w:val="both"/>
      <w:rPr>
        <w:szCs w:val="16"/>
      </w:rPr>
    </w:pPr>
    <w:r w:rsidRPr="00BA5C06">
      <w:rPr>
        <w:b w:val="0"/>
        <w:noProof/>
        <w:sz w:val="16"/>
        <w:szCs w:val="16"/>
      </w:rPr>
      <w:fldChar w:fldCharType="begin"/>
    </w:r>
    <w:r w:rsidRPr="00BA5C06">
      <w:rPr>
        <w:b w:val="0"/>
        <w:noProof/>
        <w:sz w:val="16"/>
        <w:szCs w:val="16"/>
      </w:rPr>
      <w:instrText xml:space="preserve"> FILENAME </w:instrText>
    </w:r>
    <w:r w:rsidRPr="00BA5C06">
      <w:rPr>
        <w:b w:val="0"/>
        <w:noProof/>
        <w:sz w:val="16"/>
        <w:szCs w:val="16"/>
      </w:rPr>
      <w:fldChar w:fldCharType="separate"/>
    </w:r>
    <w:r w:rsidR="007E7AAF">
      <w:rPr>
        <w:b w:val="0"/>
        <w:noProof/>
        <w:sz w:val="16"/>
        <w:szCs w:val="16"/>
      </w:rPr>
      <w:t>FMAnot_021116_GrozRik307</w:t>
    </w:r>
    <w:r w:rsidRPr="00BA5C06">
      <w:rPr>
        <w:b w:val="0"/>
        <w:noProof/>
        <w:sz w:val="16"/>
        <w:szCs w:val="16"/>
      </w:rPr>
      <w:fldChar w:fldCharType="end"/>
    </w:r>
    <w:r w:rsidRPr="00A3369F">
      <w:rPr>
        <w:b w:val="0"/>
        <w:bCs w:val="0"/>
        <w:sz w:val="16"/>
        <w:szCs w:val="16"/>
      </w:rPr>
      <w:t>; Ministru kabineta rīkojuma projekt</w:t>
    </w:r>
    <w:r>
      <w:rPr>
        <w:b w:val="0"/>
        <w:bCs w:val="0"/>
        <w:sz w:val="16"/>
        <w:szCs w:val="16"/>
      </w:rPr>
      <w:t>a</w:t>
    </w:r>
    <w:r w:rsidRPr="00A3369F">
      <w:rPr>
        <w:b w:val="0"/>
        <w:bCs w:val="0"/>
        <w:sz w:val="16"/>
        <w:szCs w:val="16"/>
      </w:rPr>
      <w:t xml:space="preserve"> „Grozījumi Ministru kabineta 2011.gada 8.jūlija rīkojumā Nr.307 „Par finansējuma piešķiršanu Padomju okupācijas upuru piemiņas memoriāla kompleksa Latviešu strēlnieku laukumā, Rīgā, izveides izdevumu segšanai”” </w:t>
    </w:r>
    <w:r w:rsidRPr="008B04A2">
      <w:rPr>
        <w:b w:val="0"/>
        <w:bCs w:val="0"/>
        <w:sz w:val="16"/>
        <w:szCs w:val="16"/>
      </w:rPr>
      <w:t xml:space="preserve">sākotnējās ietekmes novērtējuma </w:t>
    </w:r>
    <w:smartTag w:uri="schemas-tilde-lv/tildestengine" w:element="veidnes">
      <w:smartTagPr>
        <w:attr w:name="text" w:val="ziņojums"/>
        <w:attr w:name="baseform" w:val="ziņojums"/>
        <w:attr w:name="id" w:val="-1"/>
      </w:smartTagPr>
      <w:r w:rsidRPr="008B04A2">
        <w:rPr>
          <w:b w:val="0"/>
          <w:bCs w:val="0"/>
          <w:sz w:val="16"/>
          <w:szCs w:val="16"/>
        </w:rPr>
        <w:t>ziņojums</w:t>
      </w:r>
    </w:smartTag>
    <w:r w:rsidRPr="008B04A2">
      <w:rPr>
        <w:b w:val="0"/>
        <w:bCs w:val="0"/>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DF" w:rsidRDefault="008157DF">
    <w:pPr>
      <w:pStyle w:val="Footer"/>
      <w:jc w:val="center"/>
    </w:pPr>
  </w:p>
  <w:p w:rsidR="008157DF" w:rsidRPr="00A3369F" w:rsidRDefault="008157DF" w:rsidP="0097491A">
    <w:pPr>
      <w:pStyle w:val="BodyText"/>
      <w:jc w:val="both"/>
      <w:rPr>
        <w:b w:val="0"/>
        <w:bCs w:val="0"/>
        <w:sz w:val="16"/>
        <w:szCs w:val="16"/>
      </w:rPr>
    </w:pPr>
    <w:r w:rsidRPr="00BA5C06">
      <w:rPr>
        <w:b w:val="0"/>
        <w:bCs w:val="0"/>
        <w:sz w:val="16"/>
        <w:szCs w:val="16"/>
      </w:rPr>
      <w:t>FM</w:t>
    </w:r>
    <w:r w:rsidR="007E7AAF">
      <w:rPr>
        <w:b w:val="0"/>
        <w:bCs w:val="0"/>
        <w:sz w:val="16"/>
        <w:szCs w:val="16"/>
      </w:rPr>
      <w:t>Anot</w:t>
    </w:r>
    <w:r w:rsidRPr="00BA5C06">
      <w:rPr>
        <w:b w:val="0"/>
        <w:bCs w:val="0"/>
        <w:sz w:val="16"/>
        <w:szCs w:val="16"/>
      </w:rPr>
      <w:t>_</w:t>
    </w:r>
    <w:r w:rsidR="007E7AAF">
      <w:rPr>
        <w:b w:val="0"/>
        <w:bCs w:val="0"/>
        <w:sz w:val="16"/>
        <w:szCs w:val="16"/>
      </w:rPr>
      <w:t>021116_GrozRik307</w:t>
    </w:r>
    <w:r w:rsidRPr="00A3369F">
      <w:rPr>
        <w:b w:val="0"/>
        <w:bCs w:val="0"/>
        <w:sz w:val="16"/>
        <w:szCs w:val="16"/>
      </w:rPr>
      <w:t>; Ministru kabineta rīkojuma projekt</w:t>
    </w:r>
    <w:r>
      <w:rPr>
        <w:b w:val="0"/>
        <w:bCs w:val="0"/>
        <w:sz w:val="16"/>
        <w:szCs w:val="16"/>
      </w:rPr>
      <w:t xml:space="preserve">a </w:t>
    </w:r>
    <w:r w:rsidRPr="00A3369F">
      <w:rPr>
        <w:b w:val="0"/>
        <w:bCs w:val="0"/>
        <w:sz w:val="16"/>
        <w:szCs w:val="16"/>
      </w:rPr>
      <w:t xml:space="preserve">„Grozījumi Ministru kabineta 2011.gada 8.jūlija rīkojumā Nr.307 „Par finansējuma piešķiršanu Padomju okupācijas upuru piemiņas memoriāla kompleksa Latviešu strēlnieku laukumā, Rīgā, izveides izdevumu segšanai”” </w:t>
    </w:r>
    <w:r w:rsidRPr="008B04A2">
      <w:rPr>
        <w:b w:val="0"/>
        <w:bCs w:val="0"/>
        <w:sz w:val="16"/>
        <w:szCs w:val="16"/>
      </w:rPr>
      <w:t xml:space="preserve">sākotnējās ietekmes novērtējuma </w:t>
    </w:r>
    <w:smartTag w:uri="schemas-tilde-lv/tildestengine" w:element="veidnes">
      <w:smartTagPr>
        <w:attr w:name="text" w:val="ziņojums"/>
        <w:attr w:name="baseform" w:val="ziņojums"/>
        <w:attr w:name="id" w:val="-1"/>
      </w:smartTagPr>
      <w:r w:rsidRPr="008B04A2">
        <w:rPr>
          <w:b w:val="0"/>
          <w:bCs w:val="0"/>
          <w:sz w:val="16"/>
          <w:szCs w:val="16"/>
        </w:rPr>
        <w:t>ziņojums</w:t>
      </w:r>
    </w:smartTag>
    <w:r w:rsidRPr="008B04A2">
      <w:rPr>
        <w:b w:val="0"/>
        <w:bCs w:val="0"/>
        <w:sz w:val="16"/>
        <w:szCs w:val="16"/>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DF" w:rsidRDefault="008157DF" w:rsidP="00AC5C4A">
      <w:pPr>
        <w:spacing w:after="0" w:line="240" w:lineRule="auto"/>
      </w:pPr>
      <w:r>
        <w:separator/>
      </w:r>
    </w:p>
  </w:footnote>
  <w:footnote w:type="continuationSeparator" w:id="0">
    <w:p w:rsidR="008157DF" w:rsidRDefault="008157DF" w:rsidP="00AC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271"/>
      <w:docPartObj>
        <w:docPartGallery w:val="Page Numbers (Top of Page)"/>
        <w:docPartUnique/>
      </w:docPartObj>
    </w:sdtPr>
    <w:sdtEndPr>
      <w:rPr>
        <w:rFonts w:ascii="Times New Roman" w:hAnsi="Times New Roman"/>
      </w:rPr>
    </w:sdtEndPr>
    <w:sdtContent>
      <w:sdt>
        <w:sdtPr>
          <w:id w:val="107732141"/>
          <w:docPartObj>
            <w:docPartGallery w:val="Page Numbers (Top of Page)"/>
            <w:docPartUnique/>
          </w:docPartObj>
        </w:sdtPr>
        <w:sdtEndPr>
          <w:rPr>
            <w:rFonts w:ascii="Times New Roman" w:hAnsi="Times New Roman"/>
          </w:rPr>
        </w:sdtEndPr>
        <w:sdtContent>
          <w:p w:rsidR="008157DF" w:rsidRPr="0097491A" w:rsidRDefault="008157DF">
            <w:pPr>
              <w:pStyle w:val="Header"/>
              <w:jc w:val="center"/>
              <w:rPr>
                <w:rFonts w:ascii="Times New Roman" w:hAnsi="Times New Roman"/>
              </w:rPr>
            </w:pPr>
            <w:r w:rsidRPr="0097491A">
              <w:rPr>
                <w:rFonts w:ascii="Times New Roman" w:hAnsi="Times New Roman"/>
              </w:rPr>
              <w:fldChar w:fldCharType="begin"/>
            </w:r>
            <w:r w:rsidRPr="0097491A">
              <w:rPr>
                <w:rFonts w:ascii="Times New Roman" w:hAnsi="Times New Roman"/>
              </w:rPr>
              <w:instrText xml:space="preserve"> PAGE   \* MERGEFORMAT </w:instrText>
            </w:r>
            <w:r w:rsidRPr="0097491A">
              <w:rPr>
                <w:rFonts w:ascii="Times New Roman" w:hAnsi="Times New Roman"/>
              </w:rPr>
              <w:fldChar w:fldCharType="separate"/>
            </w:r>
            <w:r w:rsidR="0060470C">
              <w:rPr>
                <w:rFonts w:ascii="Times New Roman" w:hAnsi="Times New Roman"/>
                <w:noProof/>
              </w:rPr>
              <w:t>6</w:t>
            </w:r>
            <w:r w:rsidRPr="0097491A">
              <w:rPr>
                <w:rFonts w:ascii="Times New Roman" w:hAnsi="Times New Roman"/>
              </w:rPr>
              <w:fldChar w:fldCharType="end"/>
            </w:r>
          </w:p>
        </w:sdtContent>
      </w:sdt>
    </w:sdtContent>
  </w:sdt>
  <w:p w:rsidR="008157DF" w:rsidRPr="0097491A" w:rsidRDefault="008157DF" w:rsidP="0097491A">
    <w:pPr>
      <w:pStyle w:val="Header"/>
    </w:pPr>
  </w:p>
  <w:p w:rsidR="008157DF" w:rsidRDefault="008157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DF" w:rsidRDefault="008157DF">
    <w:pPr>
      <w:pStyle w:val="Header"/>
      <w:jc w:val="center"/>
    </w:pPr>
  </w:p>
  <w:p w:rsidR="008157DF" w:rsidRDefault="00815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679"/>
    <w:multiLevelType w:val="hybridMultilevel"/>
    <w:tmpl w:val="003C79FE"/>
    <w:lvl w:ilvl="0" w:tplc="84341EF4">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2">
    <w:nsid w:val="0E2D7534"/>
    <w:multiLevelType w:val="hybridMultilevel"/>
    <w:tmpl w:val="3FFE69F4"/>
    <w:lvl w:ilvl="0" w:tplc="C4EE7524">
      <w:start w:val="1"/>
      <w:numFmt w:val="bullet"/>
      <w:lvlText w:val="-"/>
      <w:lvlJc w:val="left"/>
      <w:pPr>
        <w:ind w:left="862" w:hanging="360"/>
      </w:pPr>
      <w:rPr>
        <w:rFonts w:ascii="Arial" w:hAnsi="Aria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
    <w:nsid w:val="0FA72DBA"/>
    <w:multiLevelType w:val="hybridMultilevel"/>
    <w:tmpl w:val="7322573A"/>
    <w:lvl w:ilvl="0" w:tplc="0E763512">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4">
    <w:nsid w:val="18077BAB"/>
    <w:multiLevelType w:val="hybridMultilevel"/>
    <w:tmpl w:val="003C79FE"/>
    <w:lvl w:ilvl="0" w:tplc="84341EF4">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nsid w:val="18CD2B50"/>
    <w:multiLevelType w:val="hybridMultilevel"/>
    <w:tmpl w:val="76F05EC8"/>
    <w:lvl w:ilvl="0" w:tplc="4ACCC7FA">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Courier New"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Courier New"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Courier New" w:hint="default"/>
      </w:rPr>
    </w:lvl>
    <w:lvl w:ilvl="8" w:tplc="04260005" w:tentative="1">
      <w:start w:val="1"/>
      <w:numFmt w:val="bullet"/>
      <w:lvlText w:val=""/>
      <w:lvlJc w:val="left"/>
      <w:pPr>
        <w:ind w:left="6680" w:hanging="360"/>
      </w:pPr>
      <w:rPr>
        <w:rFonts w:ascii="Wingdings" w:hAnsi="Wingdings" w:hint="default"/>
      </w:rPr>
    </w:lvl>
  </w:abstractNum>
  <w:abstractNum w:abstractNumId="6">
    <w:nsid w:val="1D6B4546"/>
    <w:multiLevelType w:val="hybridMultilevel"/>
    <w:tmpl w:val="946A48D2"/>
    <w:lvl w:ilvl="0" w:tplc="04260011">
      <w:start w:val="1"/>
      <w:numFmt w:val="decimal"/>
      <w:lvlText w:val="%1)"/>
      <w:lvlJc w:val="left"/>
      <w:pPr>
        <w:ind w:left="1104" w:hanging="360"/>
      </w:p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7">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8">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9">
    <w:nsid w:val="2F922696"/>
    <w:multiLevelType w:val="hybridMultilevel"/>
    <w:tmpl w:val="36F81146"/>
    <w:lvl w:ilvl="0" w:tplc="96B66D3C">
      <w:start w:val="2"/>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nsid w:val="30FF7406"/>
    <w:multiLevelType w:val="hybridMultilevel"/>
    <w:tmpl w:val="6EAAE576"/>
    <w:lvl w:ilvl="0" w:tplc="728CE784">
      <w:start w:val="3"/>
      <w:numFmt w:val="bullet"/>
      <w:lvlText w:val="–"/>
      <w:lvlJc w:val="left"/>
      <w:pPr>
        <w:ind w:left="492" w:hanging="360"/>
      </w:pPr>
      <w:rPr>
        <w:rFonts w:ascii="Times New Roman" w:eastAsiaTheme="minorEastAsia"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1">
    <w:nsid w:val="338F2FE7"/>
    <w:multiLevelType w:val="hybridMultilevel"/>
    <w:tmpl w:val="B5D2B6CC"/>
    <w:lvl w:ilvl="0" w:tplc="083E7FA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nsid w:val="351B7FC5"/>
    <w:multiLevelType w:val="hybridMultilevel"/>
    <w:tmpl w:val="10B2F4F6"/>
    <w:lvl w:ilvl="0" w:tplc="B330BD4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4">
    <w:nsid w:val="3B8D5A89"/>
    <w:multiLevelType w:val="hybridMultilevel"/>
    <w:tmpl w:val="E154D004"/>
    <w:lvl w:ilvl="0" w:tplc="61E4C37E">
      <w:start w:val="1"/>
      <w:numFmt w:val="bullet"/>
      <w:lvlText w:val=""/>
      <w:lvlJc w:val="left"/>
      <w:pPr>
        <w:ind w:left="927" w:hanging="360"/>
      </w:pPr>
      <w:rPr>
        <w:rFonts w:ascii="Symbol" w:hAnsi="Symbol"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3C862163"/>
    <w:multiLevelType w:val="hybridMultilevel"/>
    <w:tmpl w:val="F29E4AE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D256F09"/>
    <w:multiLevelType w:val="hybridMultilevel"/>
    <w:tmpl w:val="EAE04CDA"/>
    <w:lvl w:ilvl="0" w:tplc="26501FCA">
      <w:start w:val="8"/>
      <w:numFmt w:val="bullet"/>
      <w:lvlText w:val="–"/>
      <w:lvlJc w:val="left"/>
      <w:pPr>
        <w:ind w:left="492" w:hanging="360"/>
      </w:pPr>
      <w:rPr>
        <w:rFonts w:ascii="Times New Roman" w:eastAsia="Times New Roman"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7">
    <w:nsid w:val="3D522B5F"/>
    <w:multiLevelType w:val="hybridMultilevel"/>
    <w:tmpl w:val="06CACAFE"/>
    <w:lvl w:ilvl="0" w:tplc="F260EAFA">
      <w:start w:val="2016"/>
      <w:numFmt w:val="bullet"/>
      <w:lvlText w:val="–"/>
      <w:lvlJc w:val="left"/>
      <w:pPr>
        <w:ind w:left="492" w:hanging="360"/>
      </w:pPr>
      <w:rPr>
        <w:rFonts w:ascii="Times New Roman" w:eastAsia="Times New Roman"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8">
    <w:nsid w:val="3F5C7A25"/>
    <w:multiLevelType w:val="hybridMultilevel"/>
    <w:tmpl w:val="E9807986"/>
    <w:lvl w:ilvl="0" w:tplc="D1D0B860">
      <w:start w:val="3"/>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9">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nsid w:val="46E87349"/>
    <w:multiLevelType w:val="hybridMultilevel"/>
    <w:tmpl w:val="3F565406"/>
    <w:lvl w:ilvl="0" w:tplc="4EE4D53E">
      <w:start w:val="7"/>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21">
    <w:nsid w:val="4A223BE8"/>
    <w:multiLevelType w:val="multilevel"/>
    <w:tmpl w:val="BD1A089C"/>
    <w:lvl w:ilvl="0">
      <w:start w:val="1"/>
      <w:numFmt w:val="decimal"/>
      <w:lvlText w:val="%1."/>
      <w:lvlJc w:val="left"/>
      <w:pPr>
        <w:ind w:left="1080" w:hanging="360"/>
      </w:pPr>
      <w:rPr>
        <w:rFonts w:hint="default"/>
      </w:rPr>
    </w:lvl>
    <w:lvl w:ilvl="1">
      <w:start w:val="1"/>
      <w:numFmt w:val="decimal"/>
      <w:isLgl/>
      <w:lvlText w:val="%1.%2."/>
      <w:lvlJc w:val="left"/>
      <w:pPr>
        <w:ind w:left="1848" w:hanging="1128"/>
      </w:pPr>
      <w:rPr>
        <w:rFonts w:hint="default"/>
        <w:color w:val="000000"/>
      </w:rPr>
    </w:lvl>
    <w:lvl w:ilvl="2">
      <w:start w:val="1"/>
      <w:numFmt w:val="decimal"/>
      <w:isLgl/>
      <w:lvlText w:val="%1.%2.%3."/>
      <w:lvlJc w:val="left"/>
      <w:pPr>
        <w:ind w:left="1848" w:hanging="1128"/>
      </w:pPr>
      <w:rPr>
        <w:rFonts w:hint="default"/>
        <w:color w:val="000000"/>
      </w:rPr>
    </w:lvl>
    <w:lvl w:ilvl="3">
      <w:start w:val="1"/>
      <w:numFmt w:val="decimal"/>
      <w:isLgl/>
      <w:lvlText w:val="%1.%2.%3.%4."/>
      <w:lvlJc w:val="left"/>
      <w:pPr>
        <w:ind w:left="1848" w:hanging="1128"/>
      </w:pPr>
      <w:rPr>
        <w:rFonts w:hint="default"/>
        <w:color w:val="000000"/>
      </w:rPr>
    </w:lvl>
    <w:lvl w:ilvl="4">
      <w:start w:val="1"/>
      <w:numFmt w:val="decimal"/>
      <w:isLgl/>
      <w:lvlText w:val="%1.%2.%3.%4.%5."/>
      <w:lvlJc w:val="left"/>
      <w:pPr>
        <w:ind w:left="1848" w:hanging="1128"/>
      </w:pPr>
      <w:rPr>
        <w:rFonts w:hint="default"/>
        <w:color w:val="000000"/>
      </w:rPr>
    </w:lvl>
    <w:lvl w:ilvl="5">
      <w:start w:val="1"/>
      <w:numFmt w:val="decimal"/>
      <w:isLgl/>
      <w:lvlText w:val="%1.%2.%3.%4.%5.%6."/>
      <w:lvlJc w:val="left"/>
      <w:pPr>
        <w:ind w:left="1848" w:hanging="1128"/>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2">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23">
    <w:nsid w:val="5D6F43E4"/>
    <w:multiLevelType w:val="hybridMultilevel"/>
    <w:tmpl w:val="A0C8A7C8"/>
    <w:lvl w:ilvl="0" w:tplc="DE9A724E">
      <w:numFmt w:val="bullet"/>
      <w:lvlText w:val="–"/>
      <w:lvlJc w:val="left"/>
      <w:pPr>
        <w:ind w:left="546" w:hanging="360"/>
      </w:pPr>
      <w:rPr>
        <w:rFonts w:ascii="Times New Roman" w:eastAsia="Calibri" w:hAnsi="Times New Roman" w:cs="Times New Roman" w:hint="default"/>
      </w:rPr>
    </w:lvl>
    <w:lvl w:ilvl="1" w:tplc="04260003" w:tentative="1">
      <w:start w:val="1"/>
      <w:numFmt w:val="bullet"/>
      <w:lvlText w:val="o"/>
      <w:lvlJc w:val="left"/>
      <w:pPr>
        <w:ind w:left="1266" w:hanging="360"/>
      </w:pPr>
      <w:rPr>
        <w:rFonts w:ascii="Courier New" w:hAnsi="Courier New" w:cs="Courier New" w:hint="default"/>
      </w:rPr>
    </w:lvl>
    <w:lvl w:ilvl="2" w:tplc="04260005" w:tentative="1">
      <w:start w:val="1"/>
      <w:numFmt w:val="bullet"/>
      <w:lvlText w:val=""/>
      <w:lvlJc w:val="left"/>
      <w:pPr>
        <w:ind w:left="1986" w:hanging="360"/>
      </w:pPr>
      <w:rPr>
        <w:rFonts w:ascii="Wingdings" w:hAnsi="Wingdings" w:hint="default"/>
      </w:rPr>
    </w:lvl>
    <w:lvl w:ilvl="3" w:tplc="04260001" w:tentative="1">
      <w:start w:val="1"/>
      <w:numFmt w:val="bullet"/>
      <w:lvlText w:val=""/>
      <w:lvlJc w:val="left"/>
      <w:pPr>
        <w:ind w:left="2706" w:hanging="360"/>
      </w:pPr>
      <w:rPr>
        <w:rFonts w:ascii="Symbol" w:hAnsi="Symbol" w:hint="default"/>
      </w:rPr>
    </w:lvl>
    <w:lvl w:ilvl="4" w:tplc="04260003" w:tentative="1">
      <w:start w:val="1"/>
      <w:numFmt w:val="bullet"/>
      <w:lvlText w:val="o"/>
      <w:lvlJc w:val="left"/>
      <w:pPr>
        <w:ind w:left="3426" w:hanging="360"/>
      </w:pPr>
      <w:rPr>
        <w:rFonts w:ascii="Courier New" w:hAnsi="Courier New" w:cs="Courier New" w:hint="default"/>
      </w:rPr>
    </w:lvl>
    <w:lvl w:ilvl="5" w:tplc="04260005" w:tentative="1">
      <w:start w:val="1"/>
      <w:numFmt w:val="bullet"/>
      <w:lvlText w:val=""/>
      <w:lvlJc w:val="left"/>
      <w:pPr>
        <w:ind w:left="4146" w:hanging="360"/>
      </w:pPr>
      <w:rPr>
        <w:rFonts w:ascii="Wingdings" w:hAnsi="Wingdings" w:hint="default"/>
      </w:rPr>
    </w:lvl>
    <w:lvl w:ilvl="6" w:tplc="04260001" w:tentative="1">
      <w:start w:val="1"/>
      <w:numFmt w:val="bullet"/>
      <w:lvlText w:val=""/>
      <w:lvlJc w:val="left"/>
      <w:pPr>
        <w:ind w:left="4866" w:hanging="360"/>
      </w:pPr>
      <w:rPr>
        <w:rFonts w:ascii="Symbol" w:hAnsi="Symbol" w:hint="default"/>
      </w:rPr>
    </w:lvl>
    <w:lvl w:ilvl="7" w:tplc="04260003" w:tentative="1">
      <w:start w:val="1"/>
      <w:numFmt w:val="bullet"/>
      <w:lvlText w:val="o"/>
      <w:lvlJc w:val="left"/>
      <w:pPr>
        <w:ind w:left="5586" w:hanging="360"/>
      </w:pPr>
      <w:rPr>
        <w:rFonts w:ascii="Courier New" w:hAnsi="Courier New" w:cs="Courier New" w:hint="default"/>
      </w:rPr>
    </w:lvl>
    <w:lvl w:ilvl="8" w:tplc="04260005" w:tentative="1">
      <w:start w:val="1"/>
      <w:numFmt w:val="bullet"/>
      <w:lvlText w:val=""/>
      <w:lvlJc w:val="left"/>
      <w:pPr>
        <w:ind w:left="6306" w:hanging="360"/>
      </w:pPr>
      <w:rPr>
        <w:rFonts w:ascii="Wingdings" w:hAnsi="Wingdings" w:hint="default"/>
      </w:rPr>
    </w:lvl>
  </w:abstractNum>
  <w:abstractNum w:abstractNumId="24">
    <w:nsid w:val="5FB6150B"/>
    <w:multiLevelType w:val="hybridMultilevel"/>
    <w:tmpl w:val="2FBCB6BE"/>
    <w:lvl w:ilvl="0" w:tplc="71625494">
      <w:start w:val="7"/>
      <w:numFmt w:val="bullet"/>
      <w:lvlText w:val="-"/>
      <w:lvlJc w:val="left"/>
      <w:pPr>
        <w:ind w:left="775" w:hanging="360"/>
      </w:pPr>
      <w:rPr>
        <w:rFonts w:ascii="Times New Roman" w:eastAsia="Calibri" w:hAnsi="Times New Roman" w:cs="Times New Roman"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25">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6">
    <w:nsid w:val="781E61E1"/>
    <w:multiLevelType w:val="hybridMultilevel"/>
    <w:tmpl w:val="79D09976"/>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8"/>
  </w:num>
  <w:num w:numId="3">
    <w:abstractNumId w:val="13"/>
  </w:num>
  <w:num w:numId="4">
    <w:abstractNumId w:val="22"/>
  </w:num>
  <w:num w:numId="5">
    <w:abstractNumId w:val="2"/>
  </w:num>
  <w:num w:numId="6">
    <w:abstractNumId w:val="25"/>
  </w:num>
  <w:num w:numId="7">
    <w:abstractNumId w:val="9"/>
  </w:num>
  <w:num w:numId="8">
    <w:abstractNumId w:val="6"/>
  </w:num>
  <w:num w:numId="9">
    <w:abstractNumId w:val="1"/>
  </w:num>
  <w:num w:numId="10">
    <w:abstractNumId w:val="3"/>
  </w:num>
  <w:num w:numId="11">
    <w:abstractNumId w:val="26"/>
  </w:num>
  <w:num w:numId="12">
    <w:abstractNumId w:val="15"/>
  </w:num>
  <w:num w:numId="13">
    <w:abstractNumId w:val="7"/>
  </w:num>
  <w:num w:numId="14">
    <w:abstractNumId w:val="23"/>
  </w:num>
  <w:num w:numId="15">
    <w:abstractNumId w:val="14"/>
  </w:num>
  <w:num w:numId="16">
    <w:abstractNumId w:val="12"/>
  </w:num>
  <w:num w:numId="17">
    <w:abstractNumId w:val="5"/>
  </w:num>
  <w:num w:numId="18">
    <w:abstractNumId w:val="21"/>
  </w:num>
  <w:num w:numId="19">
    <w:abstractNumId w:val="11"/>
  </w:num>
  <w:num w:numId="20">
    <w:abstractNumId w:val="17"/>
  </w:num>
  <w:num w:numId="21">
    <w:abstractNumId w:val="16"/>
  </w:num>
  <w:num w:numId="22">
    <w:abstractNumId w:val="4"/>
  </w:num>
  <w:num w:numId="23">
    <w:abstractNumId w:val="20"/>
  </w:num>
  <w:num w:numId="24">
    <w:abstractNumId w:val="18"/>
  </w:num>
  <w:num w:numId="25">
    <w:abstractNumId w:val="10"/>
  </w:num>
  <w:num w:numId="26">
    <w:abstractNumId w:val="0"/>
  </w:num>
  <w:num w:numId="2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ors Belovs">
    <w15:presenceInfo w15:providerId="None" w15:userId="Igors Belo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4A"/>
    <w:rsid w:val="00001DF2"/>
    <w:rsid w:val="000043CC"/>
    <w:rsid w:val="00004BB1"/>
    <w:rsid w:val="00006AC8"/>
    <w:rsid w:val="00012465"/>
    <w:rsid w:val="0001303B"/>
    <w:rsid w:val="000206FE"/>
    <w:rsid w:val="00036D16"/>
    <w:rsid w:val="00044A20"/>
    <w:rsid w:val="000477BC"/>
    <w:rsid w:val="0005246F"/>
    <w:rsid w:val="00052D64"/>
    <w:rsid w:val="000565DE"/>
    <w:rsid w:val="00060EA9"/>
    <w:rsid w:val="00061467"/>
    <w:rsid w:val="00063D59"/>
    <w:rsid w:val="000675EB"/>
    <w:rsid w:val="00070649"/>
    <w:rsid w:val="00071A35"/>
    <w:rsid w:val="00071DC3"/>
    <w:rsid w:val="000761CC"/>
    <w:rsid w:val="00077BDE"/>
    <w:rsid w:val="0008174A"/>
    <w:rsid w:val="000837A3"/>
    <w:rsid w:val="00090DD1"/>
    <w:rsid w:val="00097B34"/>
    <w:rsid w:val="000A1036"/>
    <w:rsid w:val="000A7AFF"/>
    <w:rsid w:val="000B29EA"/>
    <w:rsid w:val="000C4FF6"/>
    <w:rsid w:val="000D0A04"/>
    <w:rsid w:val="000D24AB"/>
    <w:rsid w:val="000E07D2"/>
    <w:rsid w:val="000E7BB1"/>
    <w:rsid w:val="000F4E1A"/>
    <w:rsid w:val="00106420"/>
    <w:rsid w:val="00115C4B"/>
    <w:rsid w:val="0012048D"/>
    <w:rsid w:val="00121C41"/>
    <w:rsid w:val="00123817"/>
    <w:rsid w:val="00126EF6"/>
    <w:rsid w:val="00130F09"/>
    <w:rsid w:val="00133F2F"/>
    <w:rsid w:val="0014334F"/>
    <w:rsid w:val="00147C13"/>
    <w:rsid w:val="001533BD"/>
    <w:rsid w:val="001606F5"/>
    <w:rsid w:val="00160AB5"/>
    <w:rsid w:val="00163DBE"/>
    <w:rsid w:val="00170EB9"/>
    <w:rsid w:val="0017338A"/>
    <w:rsid w:val="00173AE8"/>
    <w:rsid w:val="00177481"/>
    <w:rsid w:val="001800E0"/>
    <w:rsid w:val="00184A2C"/>
    <w:rsid w:val="00186128"/>
    <w:rsid w:val="00190C3C"/>
    <w:rsid w:val="00192836"/>
    <w:rsid w:val="001A16D1"/>
    <w:rsid w:val="001A3B43"/>
    <w:rsid w:val="001D137E"/>
    <w:rsid w:val="001D3ABA"/>
    <w:rsid w:val="001E09B6"/>
    <w:rsid w:val="001E133F"/>
    <w:rsid w:val="001F21D2"/>
    <w:rsid w:val="00211B61"/>
    <w:rsid w:val="00213BCC"/>
    <w:rsid w:val="00220EDE"/>
    <w:rsid w:val="00224CB2"/>
    <w:rsid w:val="002267B8"/>
    <w:rsid w:val="00226809"/>
    <w:rsid w:val="00231375"/>
    <w:rsid w:val="00234C8D"/>
    <w:rsid w:val="002361AB"/>
    <w:rsid w:val="00237BD1"/>
    <w:rsid w:val="00243488"/>
    <w:rsid w:val="00243815"/>
    <w:rsid w:val="00245EE9"/>
    <w:rsid w:val="00246D10"/>
    <w:rsid w:val="00246E8A"/>
    <w:rsid w:val="0024797E"/>
    <w:rsid w:val="002531B5"/>
    <w:rsid w:val="002600E0"/>
    <w:rsid w:val="00260EBF"/>
    <w:rsid w:val="0026528B"/>
    <w:rsid w:val="00265440"/>
    <w:rsid w:val="00270336"/>
    <w:rsid w:val="0027152E"/>
    <w:rsid w:val="00272C4A"/>
    <w:rsid w:val="00272E93"/>
    <w:rsid w:val="002745E6"/>
    <w:rsid w:val="0028049A"/>
    <w:rsid w:val="002806E5"/>
    <w:rsid w:val="00282608"/>
    <w:rsid w:val="0028389B"/>
    <w:rsid w:val="0028407B"/>
    <w:rsid w:val="00287311"/>
    <w:rsid w:val="00287AE4"/>
    <w:rsid w:val="00292080"/>
    <w:rsid w:val="00292315"/>
    <w:rsid w:val="00296ABC"/>
    <w:rsid w:val="002A4218"/>
    <w:rsid w:val="002A66EE"/>
    <w:rsid w:val="002A7B0D"/>
    <w:rsid w:val="002B0F39"/>
    <w:rsid w:val="002C0BBA"/>
    <w:rsid w:val="002C4076"/>
    <w:rsid w:val="002C443B"/>
    <w:rsid w:val="002C457C"/>
    <w:rsid w:val="002C4F7E"/>
    <w:rsid w:val="002C6108"/>
    <w:rsid w:val="002D167D"/>
    <w:rsid w:val="002F10FD"/>
    <w:rsid w:val="002F3029"/>
    <w:rsid w:val="002F4518"/>
    <w:rsid w:val="002F5B39"/>
    <w:rsid w:val="002F70FB"/>
    <w:rsid w:val="00303031"/>
    <w:rsid w:val="00303ECB"/>
    <w:rsid w:val="00304C12"/>
    <w:rsid w:val="003062CF"/>
    <w:rsid w:val="00306AB4"/>
    <w:rsid w:val="00312C2F"/>
    <w:rsid w:val="00313CBA"/>
    <w:rsid w:val="003217B4"/>
    <w:rsid w:val="00322140"/>
    <w:rsid w:val="00323B42"/>
    <w:rsid w:val="00323EE7"/>
    <w:rsid w:val="0032614D"/>
    <w:rsid w:val="00330341"/>
    <w:rsid w:val="00330B3E"/>
    <w:rsid w:val="00332653"/>
    <w:rsid w:val="003327E1"/>
    <w:rsid w:val="00344024"/>
    <w:rsid w:val="00344545"/>
    <w:rsid w:val="00351EEE"/>
    <w:rsid w:val="00353229"/>
    <w:rsid w:val="00354070"/>
    <w:rsid w:val="00355D4B"/>
    <w:rsid w:val="00360490"/>
    <w:rsid w:val="003718DC"/>
    <w:rsid w:val="00377BC2"/>
    <w:rsid w:val="003819E2"/>
    <w:rsid w:val="0039060C"/>
    <w:rsid w:val="003975A9"/>
    <w:rsid w:val="003A1F15"/>
    <w:rsid w:val="003A284A"/>
    <w:rsid w:val="003B1B6E"/>
    <w:rsid w:val="003B2514"/>
    <w:rsid w:val="003B71F3"/>
    <w:rsid w:val="003C1708"/>
    <w:rsid w:val="003D1D08"/>
    <w:rsid w:val="003D66BE"/>
    <w:rsid w:val="003D7384"/>
    <w:rsid w:val="003E34C7"/>
    <w:rsid w:val="003F38BC"/>
    <w:rsid w:val="003F6F40"/>
    <w:rsid w:val="004044A9"/>
    <w:rsid w:val="00404607"/>
    <w:rsid w:val="004107AF"/>
    <w:rsid w:val="00412298"/>
    <w:rsid w:val="00413792"/>
    <w:rsid w:val="00416061"/>
    <w:rsid w:val="00416F88"/>
    <w:rsid w:val="00417593"/>
    <w:rsid w:val="00417925"/>
    <w:rsid w:val="00422AE6"/>
    <w:rsid w:val="00422BFB"/>
    <w:rsid w:val="00422EF4"/>
    <w:rsid w:val="0042467F"/>
    <w:rsid w:val="00425BBD"/>
    <w:rsid w:val="0043045D"/>
    <w:rsid w:val="00432226"/>
    <w:rsid w:val="00442BC7"/>
    <w:rsid w:val="00444B0B"/>
    <w:rsid w:val="00446DF3"/>
    <w:rsid w:val="004472F2"/>
    <w:rsid w:val="004510EE"/>
    <w:rsid w:val="004525A3"/>
    <w:rsid w:val="004635FC"/>
    <w:rsid w:val="00467942"/>
    <w:rsid w:val="00475BF4"/>
    <w:rsid w:val="00476E9D"/>
    <w:rsid w:val="00482D67"/>
    <w:rsid w:val="004917F9"/>
    <w:rsid w:val="00496E09"/>
    <w:rsid w:val="004B4F67"/>
    <w:rsid w:val="004C20EE"/>
    <w:rsid w:val="004C24CA"/>
    <w:rsid w:val="004C3822"/>
    <w:rsid w:val="004C473F"/>
    <w:rsid w:val="004E07B6"/>
    <w:rsid w:val="004E0E61"/>
    <w:rsid w:val="004E1C0C"/>
    <w:rsid w:val="004E26F4"/>
    <w:rsid w:val="004F1F17"/>
    <w:rsid w:val="004F3124"/>
    <w:rsid w:val="004F6778"/>
    <w:rsid w:val="0050159F"/>
    <w:rsid w:val="00503029"/>
    <w:rsid w:val="00512D1C"/>
    <w:rsid w:val="00514A71"/>
    <w:rsid w:val="00516791"/>
    <w:rsid w:val="005167EC"/>
    <w:rsid w:val="00516DBB"/>
    <w:rsid w:val="00525A05"/>
    <w:rsid w:val="00532646"/>
    <w:rsid w:val="005342EF"/>
    <w:rsid w:val="0053702E"/>
    <w:rsid w:val="00537FFD"/>
    <w:rsid w:val="00541BB2"/>
    <w:rsid w:val="00546EB7"/>
    <w:rsid w:val="00550C38"/>
    <w:rsid w:val="005572DD"/>
    <w:rsid w:val="00557DA3"/>
    <w:rsid w:val="00560D8A"/>
    <w:rsid w:val="00572B5C"/>
    <w:rsid w:val="00575E3C"/>
    <w:rsid w:val="00580C21"/>
    <w:rsid w:val="00582538"/>
    <w:rsid w:val="00585A93"/>
    <w:rsid w:val="0058683D"/>
    <w:rsid w:val="00592FC5"/>
    <w:rsid w:val="00593F8B"/>
    <w:rsid w:val="0059499E"/>
    <w:rsid w:val="00595C58"/>
    <w:rsid w:val="00597A53"/>
    <w:rsid w:val="005A24DB"/>
    <w:rsid w:val="005A4BE8"/>
    <w:rsid w:val="005A7F96"/>
    <w:rsid w:val="005B0D3A"/>
    <w:rsid w:val="005B1B61"/>
    <w:rsid w:val="005B5494"/>
    <w:rsid w:val="005C0012"/>
    <w:rsid w:val="005C6465"/>
    <w:rsid w:val="005D2207"/>
    <w:rsid w:val="005D3A13"/>
    <w:rsid w:val="005E4E1A"/>
    <w:rsid w:val="005E5070"/>
    <w:rsid w:val="005E5EE4"/>
    <w:rsid w:val="005F038F"/>
    <w:rsid w:val="005F125B"/>
    <w:rsid w:val="005F1F59"/>
    <w:rsid w:val="00600635"/>
    <w:rsid w:val="006027B9"/>
    <w:rsid w:val="0060312B"/>
    <w:rsid w:val="0060470C"/>
    <w:rsid w:val="00607BC3"/>
    <w:rsid w:val="00610B74"/>
    <w:rsid w:val="00612134"/>
    <w:rsid w:val="006138C2"/>
    <w:rsid w:val="00620968"/>
    <w:rsid w:val="00623903"/>
    <w:rsid w:val="00624A25"/>
    <w:rsid w:val="00637110"/>
    <w:rsid w:val="00642BE2"/>
    <w:rsid w:val="00643FB3"/>
    <w:rsid w:val="00654131"/>
    <w:rsid w:val="006557CE"/>
    <w:rsid w:val="00655FB2"/>
    <w:rsid w:val="006560BA"/>
    <w:rsid w:val="00682092"/>
    <w:rsid w:val="00683B69"/>
    <w:rsid w:val="006946BD"/>
    <w:rsid w:val="00697E7B"/>
    <w:rsid w:val="006A39D7"/>
    <w:rsid w:val="006A4F76"/>
    <w:rsid w:val="006B40D6"/>
    <w:rsid w:val="006B4BD1"/>
    <w:rsid w:val="006C0411"/>
    <w:rsid w:val="006D0494"/>
    <w:rsid w:val="006D48EF"/>
    <w:rsid w:val="006E11E5"/>
    <w:rsid w:val="006E26A6"/>
    <w:rsid w:val="006E66A7"/>
    <w:rsid w:val="006F04B3"/>
    <w:rsid w:val="006F0CD4"/>
    <w:rsid w:val="006F215F"/>
    <w:rsid w:val="006F3B4C"/>
    <w:rsid w:val="006F6C80"/>
    <w:rsid w:val="006F78DA"/>
    <w:rsid w:val="007072C9"/>
    <w:rsid w:val="00715DE4"/>
    <w:rsid w:val="00727270"/>
    <w:rsid w:val="0073224E"/>
    <w:rsid w:val="00736060"/>
    <w:rsid w:val="00754FF1"/>
    <w:rsid w:val="00757849"/>
    <w:rsid w:val="0076068D"/>
    <w:rsid w:val="00764399"/>
    <w:rsid w:val="00776D01"/>
    <w:rsid w:val="00781BB5"/>
    <w:rsid w:val="00781D64"/>
    <w:rsid w:val="007906A2"/>
    <w:rsid w:val="007955DF"/>
    <w:rsid w:val="00796C95"/>
    <w:rsid w:val="007A79AA"/>
    <w:rsid w:val="007C0127"/>
    <w:rsid w:val="007C0142"/>
    <w:rsid w:val="007C084E"/>
    <w:rsid w:val="007C1D57"/>
    <w:rsid w:val="007C40B8"/>
    <w:rsid w:val="007C5DFE"/>
    <w:rsid w:val="007C6776"/>
    <w:rsid w:val="007D396B"/>
    <w:rsid w:val="007D7DEE"/>
    <w:rsid w:val="007E20A4"/>
    <w:rsid w:val="007E2479"/>
    <w:rsid w:val="007E27E4"/>
    <w:rsid w:val="007E4920"/>
    <w:rsid w:val="007E6CA4"/>
    <w:rsid w:val="007E7AAF"/>
    <w:rsid w:val="007F5480"/>
    <w:rsid w:val="008045B9"/>
    <w:rsid w:val="008136CB"/>
    <w:rsid w:val="00813EFE"/>
    <w:rsid w:val="008157DF"/>
    <w:rsid w:val="00817B86"/>
    <w:rsid w:val="00820424"/>
    <w:rsid w:val="00833ABA"/>
    <w:rsid w:val="00842C93"/>
    <w:rsid w:val="00843C3E"/>
    <w:rsid w:val="00850715"/>
    <w:rsid w:val="00856C91"/>
    <w:rsid w:val="008612B4"/>
    <w:rsid w:val="00861823"/>
    <w:rsid w:val="00861D6F"/>
    <w:rsid w:val="00862C37"/>
    <w:rsid w:val="00866B17"/>
    <w:rsid w:val="00866EFA"/>
    <w:rsid w:val="008736C9"/>
    <w:rsid w:val="0087448A"/>
    <w:rsid w:val="00875DD5"/>
    <w:rsid w:val="008864F2"/>
    <w:rsid w:val="00893C60"/>
    <w:rsid w:val="00897E10"/>
    <w:rsid w:val="008A2853"/>
    <w:rsid w:val="008A4837"/>
    <w:rsid w:val="008A6AE2"/>
    <w:rsid w:val="008B04A2"/>
    <w:rsid w:val="008D5724"/>
    <w:rsid w:val="008E1D34"/>
    <w:rsid w:val="008E3794"/>
    <w:rsid w:val="008E44B9"/>
    <w:rsid w:val="008E59AF"/>
    <w:rsid w:val="008E6E67"/>
    <w:rsid w:val="008F6042"/>
    <w:rsid w:val="0090197B"/>
    <w:rsid w:val="00902536"/>
    <w:rsid w:val="00902553"/>
    <w:rsid w:val="00906DA2"/>
    <w:rsid w:val="00906F29"/>
    <w:rsid w:val="009148C7"/>
    <w:rsid w:val="00917486"/>
    <w:rsid w:val="00917F5C"/>
    <w:rsid w:val="00920EB8"/>
    <w:rsid w:val="00925014"/>
    <w:rsid w:val="009265FA"/>
    <w:rsid w:val="00926D83"/>
    <w:rsid w:val="00931B1C"/>
    <w:rsid w:val="009469B3"/>
    <w:rsid w:val="009512DA"/>
    <w:rsid w:val="0095297F"/>
    <w:rsid w:val="00953931"/>
    <w:rsid w:val="00954FCF"/>
    <w:rsid w:val="00957211"/>
    <w:rsid w:val="00964F03"/>
    <w:rsid w:val="009674AF"/>
    <w:rsid w:val="00967817"/>
    <w:rsid w:val="00973070"/>
    <w:rsid w:val="0097491A"/>
    <w:rsid w:val="00977151"/>
    <w:rsid w:val="00980779"/>
    <w:rsid w:val="00981DCA"/>
    <w:rsid w:val="009843C5"/>
    <w:rsid w:val="00984E4A"/>
    <w:rsid w:val="00985B12"/>
    <w:rsid w:val="00987E92"/>
    <w:rsid w:val="00990F90"/>
    <w:rsid w:val="00991AE1"/>
    <w:rsid w:val="00993517"/>
    <w:rsid w:val="00994535"/>
    <w:rsid w:val="00997340"/>
    <w:rsid w:val="009A4344"/>
    <w:rsid w:val="009B1354"/>
    <w:rsid w:val="009B23FE"/>
    <w:rsid w:val="009B26BF"/>
    <w:rsid w:val="009C0E9C"/>
    <w:rsid w:val="009C0F8C"/>
    <w:rsid w:val="009C1888"/>
    <w:rsid w:val="009C35B2"/>
    <w:rsid w:val="009C372C"/>
    <w:rsid w:val="009C41AB"/>
    <w:rsid w:val="009C743A"/>
    <w:rsid w:val="009D15AF"/>
    <w:rsid w:val="009E1512"/>
    <w:rsid w:val="009E7E9E"/>
    <w:rsid w:val="00A23594"/>
    <w:rsid w:val="00A3369F"/>
    <w:rsid w:val="00A336AB"/>
    <w:rsid w:val="00A3628A"/>
    <w:rsid w:val="00A36BA3"/>
    <w:rsid w:val="00A420A2"/>
    <w:rsid w:val="00A42E0B"/>
    <w:rsid w:val="00A4482A"/>
    <w:rsid w:val="00A61D29"/>
    <w:rsid w:val="00A65503"/>
    <w:rsid w:val="00A6559E"/>
    <w:rsid w:val="00A655FC"/>
    <w:rsid w:val="00A778A5"/>
    <w:rsid w:val="00A837A0"/>
    <w:rsid w:val="00A84506"/>
    <w:rsid w:val="00A92F3F"/>
    <w:rsid w:val="00A9391E"/>
    <w:rsid w:val="00AA1C5A"/>
    <w:rsid w:val="00AA2099"/>
    <w:rsid w:val="00AA6B62"/>
    <w:rsid w:val="00AA7748"/>
    <w:rsid w:val="00AB0E64"/>
    <w:rsid w:val="00AB16AA"/>
    <w:rsid w:val="00AB4726"/>
    <w:rsid w:val="00AB6FC9"/>
    <w:rsid w:val="00AC5C4A"/>
    <w:rsid w:val="00AD3E3D"/>
    <w:rsid w:val="00AD703F"/>
    <w:rsid w:val="00AD7683"/>
    <w:rsid w:val="00AE173D"/>
    <w:rsid w:val="00AE2D3F"/>
    <w:rsid w:val="00AE4A03"/>
    <w:rsid w:val="00B00BB2"/>
    <w:rsid w:val="00B112B1"/>
    <w:rsid w:val="00B20B95"/>
    <w:rsid w:val="00B2205B"/>
    <w:rsid w:val="00B23CB5"/>
    <w:rsid w:val="00B2564E"/>
    <w:rsid w:val="00B26A25"/>
    <w:rsid w:val="00B33C8E"/>
    <w:rsid w:val="00B34B3A"/>
    <w:rsid w:val="00B36792"/>
    <w:rsid w:val="00B402B3"/>
    <w:rsid w:val="00B4488F"/>
    <w:rsid w:val="00B45610"/>
    <w:rsid w:val="00B47D98"/>
    <w:rsid w:val="00B51CF2"/>
    <w:rsid w:val="00B51F5F"/>
    <w:rsid w:val="00B563D9"/>
    <w:rsid w:val="00B5695A"/>
    <w:rsid w:val="00B60429"/>
    <w:rsid w:val="00B6076C"/>
    <w:rsid w:val="00B60F37"/>
    <w:rsid w:val="00B65715"/>
    <w:rsid w:val="00B709D3"/>
    <w:rsid w:val="00B738A4"/>
    <w:rsid w:val="00B7471D"/>
    <w:rsid w:val="00B76043"/>
    <w:rsid w:val="00B8155F"/>
    <w:rsid w:val="00B82127"/>
    <w:rsid w:val="00B934E9"/>
    <w:rsid w:val="00B9667F"/>
    <w:rsid w:val="00BA0C59"/>
    <w:rsid w:val="00BA5C06"/>
    <w:rsid w:val="00BA675F"/>
    <w:rsid w:val="00BA732D"/>
    <w:rsid w:val="00BB033B"/>
    <w:rsid w:val="00BB4361"/>
    <w:rsid w:val="00BB51DF"/>
    <w:rsid w:val="00BC107D"/>
    <w:rsid w:val="00BC49D0"/>
    <w:rsid w:val="00BD0603"/>
    <w:rsid w:val="00BD361C"/>
    <w:rsid w:val="00BD3F56"/>
    <w:rsid w:val="00BD5C49"/>
    <w:rsid w:val="00BE0AC0"/>
    <w:rsid w:val="00BE1BB7"/>
    <w:rsid w:val="00BE79A1"/>
    <w:rsid w:val="00BF2F28"/>
    <w:rsid w:val="00C031E6"/>
    <w:rsid w:val="00C038D1"/>
    <w:rsid w:val="00C0799C"/>
    <w:rsid w:val="00C10115"/>
    <w:rsid w:val="00C13C76"/>
    <w:rsid w:val="00C164B7"/>
    <w:rsid w:val="00C174C5"/>
    <w:rsid w:val="00C21CA6"/>
    <w:rsid w:val="00C24448"/>
    <w:rsid w:val="00C31FD7"/>
    <w:rsid w:val="00C43680"/>
    <w:rsid w:val="00C4524D"/>
    <w:rsid w:val="00C46DEE"/>
    <w:rsid w:val="00C5269F"/>
    <w:rsid w:val="00C56981"/>
    <w:rsid w:val="00C71AE1"/>
    <w:rsid w:val="00C74067"/>
    <w:rsid w:val="00C82A70"/>
    <w:rsid w:val="00C85D45"/>
    <w:rsid w:val="00C8719C"/>
    <w:rsid w:val="00C879CF"/>
    <w:rsid w:val="00C941B8"/>
    <w:rsid w:val="00CA1976"/>
    <w:rsid w:val="00CA290B"/>
    <w:rsid w:val="00CA51B7"/>
    <w:rsid w:val="00CB0F1F"/>
    <w:rsid w:val="00CB394C"/>
    <w:rsid w:val="00CB5ADF"/>
    <w:rsid w:val="00CC3CDF"/>
    <w:rsid w:val="00CC6B4A"/>
    <w:rsid w:val="00CD20F5"/>
    <w:rsid w:val="00CD494E"/>
    <w:rsid w:val="00CD6D10"/>
    <w:rsid w:val="00CD7891"/>
    <w:rsid w:val="00CF21E6"/>
    <w:rsid w:val="00CF2CE1"/>
    <w:rsid w:val="00CF462B"/>
    <w:rsid w:val="00D006F2"/>
    <w:rsid w:val="00D01EEF"/>
    <w:rsid w:val="00D118F6"/>
    <w:rsid w:val="00D12FC0"/>
    <w:rsid w:val="00D142F9"/>
    <w:rsid w:val="00D143D7"/>
    <w:rsid w:val="00D2230E"/>
    <w:rsid w:val="00D2448C"/>
    <w:rsid w:val="00D33276"/>
    <w:rsid w:val="00D36297"/>
    <w:rsid w:val="00D370A7"/>
    <w:rsid w:val="00D43527"/>
    <w:rsid w:val="00D6075C"/>
    <w:rsid w:val="00D64D07"/>
    <w:rsid w:val="00D73C9B"/>
    <w:rsid w:val="00D75B73"/>
    <w:rsid w:val="00D762F5"/>
    <w:rsid w:val="00D80C78"/>
    <w:rsid w:val="00D857B1"/>
    <w:rsid w:val="00D87FCE"/>
    <w:rsid w:val="00D91391"/>
    <w:rsid w:val="00D936F7"/>
    <w:rsid w:val="00D950A0"/>
    <w:rsid w:val="00DA430B"/>
    <w:rsid w:val="00DA5463"/>
    <w:rsid w:val="00DA6444"/>
    <w:rsid w:val="00DB0B88"/>
    <w:rsid w:val="00DC1878"/>
    <w:rsid w:val="00DC7E63"/>
    <w:rsid w:val="00DD148C"/>
    <w:rsid w:val="00DE101F"/>
    <w:rsid w:val="00DE5685"/>
    <w:rsid w:val="00DE6F63"/>
    <w:rsid w:val="00E019DF"/>
    <w:rsid w:val="00E0736C"/>
    <w:rsid w:val="00E14BD7"/>
    <w:rsid w:val="00E21256"/>
    <w:rsid w:val="00E36A02"/>
    <w:rsid w:val="00E420FD"/>
    <w:rsid w:val="00E45329"/>
    <w:rsid w:val="00E50861"/>
    <w:rsid w:val="00E55ED2"/>
    <w:rsid w:val="00E562F1"/>
    <w:rsid w:val="00E57BD2"/>
    <w:rsid w:val="00E611A6"/>
    <w:rsid w:val="00E63CF8"/>
    <w:rsid w:val="00E64647"/>
    <w:rsid w:val="00E72060"/>
    <w:rsid w:val="00E73658"/>
    <w:rsid w:val="00E74647"/>
    <w:rsid w:val="00E75798"/>
    <w:rsid w:val="00E759E3"/>
    <w:rsid w:val="00E8249E"/>
    <w:rsid w:val="00E83BD9"/>
    <w:rsid w:val="00E90578"/>
    <w:rsid w:val="00EA4460"/>
    <w:rsid w:val="00EA51B4"/>
    <w:rsid w:val="00EB2B05"/>
    <w:rsid w:val="00EB3002"/>
    <w:rsid w:val="00EB4E86"/>
    <w:rsid w:val="00EB56B8"/>
    <w:rsid w:val="00EC1091"/>
    <w:rsid w:val="00EC127B"/>
    <w:rsid w:val="00EC1B5C"/>
    <w:rsid w:val="00EC2C61"/>
    <w:rsid w:val="00EC464C"/>
    <w:rsid w:val="00EC4ADB"/>
    <w:rsid w:val="00EC4D6E"/>
    <w:rsid w:val="00EC5331"/>
    <w:rsid w:val="00EC5484"/>
    <w:rsid w:val="00EC791A"/>
    <w:rsid w:val="00EC7B02"/>
    <w:rsid w:val="00ED1283"/>
    <w:rsid w:val="00ED1E43"/>
    <w:rsid w:val="00ED2A9C"/>
    <w:rsid w:val="00ED4F8C"/>
    <w:rsid w:val="00ED5CE2"/>
    <w:rsid w:val="00EE305B"/>
    <w:rsid w:val="00EF02E5"/>
    <w:rsid w:val="00EF2349"/>
    <w:rsid w:val="00EF359A"/>
    <w:rsid w:val="00EF4F23"/>
    <w:rsid w:val="00F01481"/>
    <w:rsid w:val="00F01747"/>
    <w:rsid w:val="00F03837"/>
    <w:rsid w:val="00F054D7"/>
    <w:rsid w:val="00F0566E"/>
    <w:rsid w:val="00F123C8"/>
    <w:rsid w:val="00F12547"/>
    <w:rsid w:val="00F173AD"/>
    <w:rsid w:val="00F17E09"/>
    <w:rsid w:val="00F208D2"/>
    <w:rsid w:val="00F21194"/>
    <w:rsid w:val="00F24158"/>
    <w:rsid w:val="00F42C36"/>
    <w:rsid w:val="00F51A5F"/>
    <w:rsid w:val="00F5340F"/>
    <w:rsid w:val="00F63F9D"/>
    <w:rsid w:val="00F73FBB"/>
    <w:rsid w:val="00F74519"/>
    <w:rsid w:val="00F74632"/>
    <w:rsid w:val="00F75F88"/>
    <w:rsid w:val="00F82279"/>
    <w:rsid w:val="00F82E32"/>
    <w:rsid w:val="00F8503C"/>
    <w:rsid w:val="00F85CE4"/>
    <w:rsid w:val="00F8651B"/>
    <w:rsid w:val="00F8781B"/>
    <w:rsid w:val="00F878CA"/>
    <w:rsid w:val="00F93A0C"/>
    <w:rsid w:val="00F9465E"/>
    <w:rsid w:val="00F948EC"/>
    <w:rsid w:val="00FA195D"/>
    <w:rsid w:val="00FA47E8"/>
    <w:rsid w:val="00FA4BDA"/>
    <w:rsid w:val="00FA7655"/>
    <w:rsid w:val="00FB5EB0"/>
    <w:rsid w:val="00FB5F8B"/>
    <w:rsid w:val="00FC0EA9"/>
    <w:rsid w:val="00FC2012"/>
    <w:rsid w:val="00FC26EE"/>
    <w:rsid w:val="00FC2A5B"/>
    <w:rsid w:val="00FC30BE"/>
    <w:rsid w:val="00FC3140"/>
    <w:rsid w:val="00FC48AA"/>
    <w:rsid w:val="00FD2518"/>
    <w:rsid w:val="00FD349F"/>
    <w:rsid w:val="00FD41D3"/>
    <w:rsid w:val="00FD746C"/>
    <w:rsid w:val="00FE4EC7"/>
    <w:rsid w:val="00FE6E6D"/>
    <w:rsid w:val="00FF01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306AB4"/>
    <w:pPr>
      <w:keepNext/>
      <w:spacing w:before="240" w:after="60" w:line="240" w:lineRule="auto"/>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5C4A"/>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C5C4A"/>
    <w:rPr>
      <w:rFonts w:ascii="Times New Roman" w:eastAsia="Times New Roman" w:hAnsi="Times New Roman" w:cs="Times New Roman"/>
      <w:b/>
      <w:bCs/>
      <w:sz w:val="24"/>
      <w:szCs w:val="24"/>
    </w:rPr>
  </w:style>
  <w:style w:type="paragraph" w:styleId="Header">
    <w:name w:val="header"/>
    <w:aliases w:val="18pt Bold"/>
    <w:basedOn w:val="Normal"/>
    <w:link w:val="HeaderChar"/>
    <w:uiPriority w:val="99"/>
    <w:unhideWhenUsed/>
    <w:rsid w:val="00AC5C4A"/>
    <w:pPr>
      <w:tabs>
        <w:tab w:val="center" w:pos="4153"/>
        <w:tab w:val="right" w:pos="8306"/>
      </w:tabs>
      <w:spacing w:after="0" w:line="240" w:lineRule="auto"/>
    </w:pPr>
    <w:rPr>
      <w:rFonts w:ascii="Arial" w:eastAsia="Calibri" w:hAnsi="Arial" w:cs="Times New Roman"/>
      <w:sz w:val="20"/>
      <w:szCs w:val="20"/>
    </w:rPr>
  </w:style>
  <w:style w:type="character" w:customStyle="1" w:styleId="HeaderChar">
    <w:name w:val="Header Char"/>
    <w:aliases w:val="18pt Bold Char"/>
    <w:basedOn w:val="DefaultParagraphFont"/>
    <w:link w:val="Header"/>
    <w:uiPriority w:val="99"/>
    <w:rsid w:val="00AC5C4A"/>
    <w:rPr>
      <w:rFonts w:ascii="Arial" w:eastAsia="Calibri" w:hAnsi="Arial" w:cs="Times New Roman"/>
      <w:sz w:val="20"/>
      <w:szCs w:val="20"/>
    </w:rPr>
  </w:style>
  <w:style w:type="paragraph" w:customStyle="1" w:styleId="naisf">
    <w:name w:val="naisf"/>
    <w:basedOn w:val="Normal"/>
    <w:rsid w:val="00AC5C4A"/>
    <w:pPr>
      <w:spacing w:before="88" w:after="88" w:line="240" w:lineRule="auto"/>
      <w:ind w:firstLine="439"/>
      <w:jc w:val="both"/>
    </w:pPr>
    <w:rPr>
      <w:rFonts w:ascii="Times New Roman" w:eastAsia="Times New Roman" w:hAnsi="Times New Roman" w:cs="Times New Roman"/>
      <w:sz w:val="24"/>
      <w:szCs w:val="24"/>
    </w:rPr>
  </w:style>
  <w:style w:type="paragraph" w:styleId="NormalWeb">
    <w:name w:val="Normal (Web)"/>
    <w:basedOn w:val="Normal"/>
    <w:rsid w:val="00AC5C4A"/>
    <w:pPr>
      <w:spacing w:before="88" w:after="88" w:line="240" w:lineRule="auto"/>
    </w:pPr>
    <w:rPr>
      <w:rFonts w:ascii="Times New Roman" w:eastAsia="Times New Roman" w:hAnsi="Times New Roman" w:cs="Times New Roman"/>
      <w:sz w:val="24"/>
      <w:szCs w:val="24"/>
    </w:rPr>
  </w:style>
  <w:style w:type="paragraph" w:customStyle="1" w:styleId="naisvisr">
    <w:name w:val="naisvisr"/>
    <w:basedOn w:val="Normal"/>
    <w:rsid w:val="00AC5C4A"/>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AC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uiPriority w:val="99"/>
    <w:rsid w:val="00AC5C4A"/>
    <w:pPr>
      <w:spacing w:before="75" w:after="75"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AC5C4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AC5C4A"/>
    <w:rPr>
      <w:rFonts w:ascii="Times New Roman" w:eastAsia="Calibri" w:hAnsi="Times New Roman" w:cs="Times New Roman"/>
      <w:sz w:val="20"/>
      <w:szCs w:val="20"/>
    </w:rPr>
  </w:style>
  <w:style w:type="paragraph" w:customStyle="1" w:styleId="naislab">
    <w:name w:val="naislab"/>
    <w:basedOn w:val="Normal"/>
    <w:rsid w:val="00AC5C4A"/>
    <w:pPr>
      <w:spacing w:before="75" w:after="75" w:line="240" w:lineRule="auto"/>
      <w:jc w:val="right"/>
    </w:pPr>
    <w:rPr>
      <w:rFonts w:ascii="Times New Roman" w:eastAsia="Times New Roman" w:hAnsi="Times New Roman" w:cs="Times New Roman"/>
      <w:sz w:val="24"/>
      <w:szCs w:val="24"/>
    </w:rPr>
  </w:style>
  <w:style w:type="paragraph" w:styleId="PlainText">
    <w:name w:val="Plain Text"/>
    <w:basedOn w:val="Normal"/>
    <w:link w:val="PlainTextChar"/>
    <w:uiPriority w:val="99"/>
    <w:rsid w:val="00AC5C4A"/>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AC5C4A"/>
    <w:rPr>
      <w:rFonts w:ascii="Courier New" w:eastAsia="Times New Roman" w:hAnsi="Courier New" w:cs="Times New Roman"/>
      <w:sz w:val="28"/>
      <w:szCs w:val="20"/>
    </w:rPr>
  </w:style>
  <w:style w:type="paragraph" w:styleId="Footer">
    <w:name w:val="footer"/>
    <w:basedOn w:val="Normal"/>
    <w:link w:val="FooterChar"/>
    <w:uiPriority w:val="99"/>
    <w:unhideWhenUsed/>
    <w:rsid w:val="00AC5C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5C4A"/>
  </w:style>
  <w:style w:type="paragraph" w:styleId="BalloonText">
    <w:name w:val="Balloon Text"/>
    <w:basedOn w:val="Normal"/>
    <w:link w:val="BalloonTextChar"/>
    <w:uiPriority w:val="99"/>
    <w:semiHidden/>
    <w:unhideWhenUsed/>
    <w:rsid w:val="00AC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4A"/>
    <w:rPr>
      <w:rFonts w:ascii="Tahoma" w:hAnsi="Tahoma" w:cs="Tahoma"/>
      <w:sz w:val="16"/>
      <w:szCs w:val="16"/>
    </w:rPr>
  </w:style>
  <w:style w:type="paragraph" w:styleId="ListParagraph">
    <w:name w:val="List Paragraph"/>
    <w:basedOn w:val="Normal"/>
    <w:uiPriority w:val="34"/>
    <w:qFormat/>
    <w:rsid w:val="00CD6D10"/>
    <w:pPr>
      <w:spacing w:after="0" w:line="240" w:lineRule="auto"/>
      <w:ind w:left="720"/>
    </w:pPr>
    <w:rPr>
      <w:rFonts w:ascii="Calibri" w:eastAsiaTheme="minorHAnsi" w:hAnsi="Calibri" w:cs="Times New Roman"/>
      <w:lang w:eastAsia="en-US"/>
    </w:rPr>
  </w:style>
  <w:style w:type="character" w:customStyle="1" w:styleId="Heading3Char">
    <w:name w:val="Heading 3 Char"/>
    <w:basedOn w:val="DefaultParagraphFont"/>
    <w:link w:val="Heading3"/>
    <w:uiPriority w:val="99"/>
    <w:rsid w:val="00306AB4"/>
    <w:rPr>
      <w:rFonts w:ascii="Arial" w:eastAsia="Times New Roman" w:hAnsi="Arial" w:cs="Arial"/>
      <w:b/>
      <w:bCs/>
      <w:sz w:val="26"/>
      <w:szCs w:val="26"/>
      <w:lang w:val="en-US" w:eastAsia="en-US"/>
    </w:rPr>
  </w:style>
  <w:style w:type="character" w:customStyle="1" w:styleId="Heading1Char">
    <w:name w:val="Heading 1 Char"/>
    <w:basedOn w:val="DefaultParagraphFont"/>
    <w:link w:val="Heading1"/>
    <w:uiPriority w:val="9"/>
    <w:rsid w:val="00413792"/>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DefaultParagraphFont"/>
    <w:rsid w:val="006D0494"/>
  </w:style>
  <w:style w:type="character" w:styleId="Emphasis">
    <w:name w:val="Emphasis"/>
    <w:basedOn w:val="DefaultParagraphFont"/>
    <w:uiPriority w:val="20"/>
    <w:qFormat/>
    <w:rsid w:val="00330B3E"/>
    <w:rPr>
      <w:b/>
      <w:bCs/>
      <w:i w:val="0"/>
      <w:iCs w:val="0"/>
    </w:rPr>
  </w:style>
  <w:style w:type="character" w:customStyle="1" w:styleId="st1">
    <w:name w:val="st1"/>
    <w:basedOn w:val="DefaultParagraphFont"/>
    <w:rsid w:val="00330B3E"/>
  </w:style>
  <w:style w:type="paragraph" w:styleId="Revision">
    <w:name w:val="Revision"/>
    <w:hidden/>
    <w:uiPriority w:val="99"/>
    <w:semiHidden/>
    <w:rsid w:val="002F4518"/>
    <w:pPr>
      <w:spacing w:after="0" w:line="240" w:lineRule="auto"/>
    </w:pPr>
  </w:style>
  <w:style w:type="table" w:styleId="TableGrid">
    <w:name w:val="Table Grid"/>
    <w:basedOn w:val="TableNormal"/>
    <w:uiPriority w:val="59"/>
    <w:rsid w:val="00475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4024"/>
    <w:rPr>
      <w:sz w:val="16"/>
      <w:szCs w:val="16"/>
    </w:rPr>
  </w:style>
  <w:style w:type="paragraph" w:styleId="CommentText">
    <w:name w:val="annotation text"/>
    <w:basedOn w:val="Normal"/>
    <w:link w:val="CommentTextChar"/>
    <w:uiPriority w:val="99"/>
    <w:semiHidden/>
    <w:unhideWhenUsed/>
    <w:rsid w:val="00344024"/>
    <w:pPr>
      <w:spacing w:line="240" w:lineRule="auto"/>
    </w:pPr>
    <w:rPr>
      <w:sz w:val="20"/>
      <w:szCs w:val="20"/>
    </w:rPr>
  </w:style>
  <w:style w:type="character" w:customStyle="1" w:styleId="CommentTextChar">
    <w:name w:val="Comment Text Char"/>
    <w:basedOn w:val="DefaultParagraphFont"/>
    <w:link w:val="CommentText"/>
    <w:uiPriority w:val="99"/>
    <w:semiHidden/>
    <w:rsid w:val="00344024"/>
    <w:rPr>
      <w:sz w:val="20"/>
      <w:szCs w:val="20"/>
    </w:rPr>
  </w:style>
  <w:style w:type="paragraph" w:styleId="CommentSubject">
    <w:name w:val="annotation subject"/>
    <w:basedOn w:val="CommentText"/>
    <w:next w:val="CommentText"/>
    <w:link w:val="CommentSubjectChar"/>
    <w:uiPriority w:val="99"/>
    <w:semiHidden/>
    <w:unhideWhenUsed/>
    <w:rsid w:val="00344024"/>
    <w:rPr>
      <w:b/>
      <w:bCs/>
    </w:rPr>
  </w:style>
  <w:style w:type="character" w:customStyle="1" w:styleId="CommentSubjectChar">
    <w:name w:val="Comment Subject Char"/>
    <w:basedOn w:val="CommentTextChar"/>
    <w:link w:val="CommentSubject"/>
    <w:uiPriority w:val="99"/>
    <w:semiHidden/>
    <w:rsid w:val="00344024"/>
    <w:rPr>
      <w:b/>
      <w:bCs/>
      <w:sz w:val="20"/>
      <w:szCs w:val="20"/>
    </w:rPr>
  </w:style>
  <w:style w:type="paragraph" w:styleId="NoSpacing">
    <w:name w:val="No Spacing"/>
    <w:uiPriority w:val="1"/>
    <w:qFormat/>
    <w:rsid w:val="00981D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306AB4"/>
    <w:pPr>
      <w:keepNext/>
      <w:spacing w:before="240" w:after="60" w:line="240" w:lineRule="auto"/>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5C4A"/>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C5C4A"/>
    <w:rPr>
      <w:rFonts w:ascii="Times New Roman" w:eastAsia="Times New Roman" w:hAnsi="Times New Roman" w:cs="Times New Roman"/>
      <w:b/>
      <w:bCs/>
      <w:sz w:val="24"/>
      <w:szCs w:val="24"/>
    </w:rPr>
  </w:style>
  <w:style w:type="paragraph" w:styleId="Header">
    <w:name w:val="header"/>
    <w:aliases w:val="18pt Bold"/>
    <w:basedOn w:val="Normal"/>
    <w:link w:val="HeaderChar"/>
    <w:uiPriority w:val="99"/>
    <w:unhideWhenUsed/>
    <w:rsid w:val="00AC5C4A"/>
    <w:pPr>
      <w:tabs>
        <w:tab w:val="center" w:pos="4153"/>
        <w:tab w:val="right" w:pos="8306"/>
      </w:tabs>
      <w:spacing w:after="0" w:line="240" w:lineRule="auto"/>
    </w:pPr>
    <w:rPr>
      <w:rFonts w:ascii="Arial" w:eastAsia="Calibri" w:hAnsi="Arial" w:cs="Times New Roman"/>
      <w:sz w:val="20"/>
      <w:szCs w:val="20"/>
    </w:rPr>
  </w:style>
  <w:style w:type="character" w:customStyle="1" w:styleId="HeaderChar">
    <w:name w:val="Header Char"/>
    <w:aliases w:val="18pt Bold Char"/>
    <w:basedOn w:val="DefaultParagraphFont"/>
    <w:link w:val="Header"/>
    <w:uiPriority w:val="99"/>
    <w:rsid w:val="00AC5C4A"/>
    <w:rPr>
      <w:rFonts w:ascii="Arial" w:eastAsia="Calibri" w:hAnsi="Arial" w:cs="Times New Roman"/>
      <w:sz w:val="20"/>
      <w:szCs w:val="20"/>
    </w:rPr>
  </w:style>
  <w:style w:type="paragraph" w:customStyle="1" w:styleId="naisf">
    <w:name w:val="naisf"/>
    <w:basedOn w:val="Normal"/>
    <w:rsid w:val="00AC5C4A"/>
    <w:pPr>
      <w:spacing w:before="88" w:after="88" w:line="240" w:lineRule="auto"/>
      <w:ind w:firstLine="439"/>
      <w:jc w:val="both"/>
    </w:pPr>
    <w:rPr>
      <w:rFonts w:ascii="Times New Roman" w:eastAsia="Times New Roman" w:hAnsi="Times New Roman" w:cs="Times New Roman"/>
      <w:sz w:val="24"/>
      <w:szCs w:val="24"/>
    </w:rPr>
  </w:style>
  <w:style w:type="paragraph" w:styleId="NormalWeb">
    <w:name w:val="Normal (Web)"/>
    <w:basedOn w:val="Normal"/>
    <w:rsid w:val="00AC5C4A"/>
    <w:pPr>
      <w:spacing w:before="88" w:after="88" w:line="240" w:lineRule="auto"/>
    </w:pPr>
    <w:rPr>
      <w:rFonts w:ascii="Times New Roman" w:eastAsia="Times New Roman" w:hAnsi="Times New Roman" w:cs="Times New Roman"/>
      <w:sz w:val="24"/>
      <w:szCs w:val="24"/>
    </w:rPr>
  </w:style>
  <w:style w:type="paragraph" w:customStyle="1" w:styleId="naisvisr">
    <w:name w:val="naisvisr"/>
    <w:basedOn w:val="Normal"/>
    <w:rsid w:val="00AC5C4A"/>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AC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uiPriority w:val="99"/>
    <w:rsid w:val="00AC5C4A"/>
    <w:pPr>
      <w:spacing w:before="75" w:after="75"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AC5C4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AC5C4A"/>
    <w:rPr>
      <w:rFonts w:ascii="Times New Roman" w:eastAsia="Calibri" w:hAnsi="Times New Roman" w:cs="Times New Roman"/>
      <w:sz w:val="20"/>
      <w:szCs w:val="20"/>
    </w:rPr>
  </w:style>
  <w:style w:type="paragraph" w:customStyle="1" w:styleId="naislab">
    <w:name w:val="naislab"/>
    <w:basedOn w:val="Normal"/>
    <w:rsid w:val="00AC5C4A"/>
    <w:pPr>
      <w:spacing w:before="75" w:after="75" w:line="240" w:lineRule="auto"/>
      <w:jc w:val="right"/>
    </w:pPr>
    <w:rPr>
      <w:rFonts w:ascii="Times New Roman" w:eastAsia="Times New Roman" w:hAnsi="Times New Roman" w:cs="Times New Roman"/>
      <w:sz w:val="24"/>
      <w:szCs w:val="24"/>
    </w:rPr>
  </w:style>
  <w:style w:type="paragraph" w:styleId="PlainText">
    <w:name w:val="Plain Text"/>
    <w:basedOn w:val="Normal"/>
    <w:link w:val="PlainTextChar"/>
    <w:uiPriority w:val="99"/>
    <w:rsid w:val="00AC5C4A"/>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AC5C4A"/>
    <w:rPr>
      <w:rFonts w:ascii="Courier New" w:eastAsia="Times New Roman" w:hAnsi="Courier New" w:cs="Times New Roman"/>
      <w:sz w:val="28"/>
      <w:szCs w:val="20"/>
    </w:rPr>
  </w:style>
  <w:style w:type="paragraph" w:styleId="Footer">
    <w:name w:val="footer"/>
    <w:basedOn w:val="Normal"/>
    <w:link w:val="FooterChar"/>
    <w:uiPriority w:val="99"/>
    <w:unhideWhenUsed/>
    <w:rsid w:val="00AC5C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5C4A"/>
  </w:style>
  <w:style w:type="paragraph" w:styleId="BalloonText">
    <w:name w:val="Balloon Text"/>
    <w:basedOn w:val="Normal"/>
    <w:link w:val="BalloonTextChar"/>
    <w:uiPriority w:val="99"/>
    <w:semiHidden/>
    <w:unhideWhenUsed/>
    <w:rsid w:val="00AC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4A"/>
    <w:rPr>
      <w:rFonts w:ascii="Tahoma" w:hAnsi="Tahoma" w:cs="Tahoma"/>
      <w:sz w:val="16"/>
      <w:szCs w:val="16"/>
    </w:rPr>
  </w:style>
  <w:style w:type="paragraph" w:styleId="ListParagraph">
    <w:name w:val="List Paragraph"/>
    <w:basedOn w:val="Normal"/>
    <w:uiPriority w:val="34"/>
    <w:qFormat/>
    <w:rsid w:val="00CD6D10"/>
    <w:pPr>
      <w:spacing w:after="0" w:line="240" w:lineRule="auto"/>
      <w:ind w:left="720"/>
    </w:pPr>
    <w:rPr>
      <w:rFonts w:ascii="Calibri" w:eastAsiaTheme="minorHAnsi" w:hAnsi="Calibri" w:cs="Times New Roman"/>
      <w:lang w:eastAsia="en-US"/>
    </w:rPr>
  </w:style>
  <w:style w:type="character" w:customStyle="1" w:styleId="Heading3Char">
    <w:name w:val="Heading 3 Char"/>
    <w:basedOn w:val="DefaultParagraphFont"/>
    <w:link w:val="Heading3"/>
    <w:uiPriority w:val="99"/>
    <w:rsid w:val="00306AB4"/>
    <w:rPr>
      <w:rFonts w:ascii="Arial" w:eastAsia="Times New Roman" w:hAnsi="Arial" w:cs="Arial"/>
      <w:b/>
      <w:bCs/>
      <w:sz w:val="26"/>
      <w:szCs w:val="26"/>
      <w:lang w:val="en-US" w:eastAsia="en-US"/>
    </w:rPr>
  </w:style>
  <w:style w:type="character" w:customStyle="1" w:styleId="Heading1Char">
    <w:name w:val="Heading 1 Char"/>
    <w:basedOn w:val="DefaultParagraphFont"/>
    <w:link w:val="Heading1"/>
    <w:uiPriority w:val="9"/>
    <w:rsid w:val="00413792"/>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DefaultParagraphFont"/>
    <w:rsid w:val="006D0494"/>
  </w:style>
  <w:style w:type="character" w:styleId="Emphasis">
    <w:name w:val="Emphasis"/>
    <w:basedOn w:val="DefaultParagraphFont"/>
    <w:uiPriority w:val="20"/>
    <w:qFormat/>
    <w:rsid w:val="00330B3E"/>
    <w:rPr>
      <w:b/>
      <w:bCs/>
      <w:i w:val="0"/>
      <w:iCs w:val="0"/>
    </w:rPr>
  </w:style>
  <w:style w:type="character" w:customStyle="1" w:styleId="st1">
    <w:name w:val="st1"/>
    <w:basedOn w:val="DefaultParagraphFont"/>
    <w:rsid w:val="00330B3E"/>
  </w:style>
  <w:style w:type="paragraph" w:styleId="Revision">
    <w:name w:val="Revision"/>
    <w:hidden/>
    <w:uiPriority w:val="99"/>
    <w:semiHidden/>
    <w:rsid w:val="002F4518"/>
    <w:pPr>
      <w:spacing w:after="0" w:line="240" w:lineRule="auto"/>
    </w:pPr>
  </w:style>
  <w:style w:type="table" w:styleId="TableGrid">
    <w:name w:val="Table Grid"/>
    <w:basedOn w:val="TableNormal"/>
    <w:uiPriority w:val="59"/>
    <w:rsid w:val="00475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4024"/>
    <w:rPr>
      <w:sz w:val="16"/>
      <w:szCs w:val="16"/>
    </w:rPr>
  </w:style>
  <w:style w:type="paragraph" w:styleId="CommentText">
    <w:name w:val="annotation text"/>
    <w:basedOn w:val="Normal"/>
    <w:link w:val="CommentTextChar"/>
    <w:uiPriority w:val="99"/>
    <w:semiHidden/>
    <w:unhideWhenUsed/>
    <w:rsid w:val="00344024"/>
    <w:pPr>
      <w:spacing w:line="240" w:lineRule="auto"/>
    </w:pPr>
    <w:rPr>
      <w:sz w:val="20"/>
      <w:szCs w:val="20"/>
    </w:rPr>
  </w:style>
  <w:style w:type="character" w:customStyle="1" w:styleId="CommentTextChar">
    <w:name w:val="Comment Text Char"/>
    <w:basedOn w:val="DefaultParagraphFont"/>
    <w:link w:val="CommentText"/>
    <w:uiPriority w:val="99"/>
    <w:semiHidden/>
    <w:rsid w:val="00344024"/>
    <w:rPr>
      <w:sz w:val="20"/>
      <w:szCs w:val="20"/>
    </w:rPr>
  </w:style>
  <w:style w:type="paragraph" w:styleId="CommentSubject">
    <w:name w:val="annotation subject"/>
    <w:basedOn w:val="CommentText"/>
    <w:next w:val="CommentText"/>
    <w:link w:val="CommentSubjectChar"/>
    <w:uiPriority w:val="99"/>
    <w:semiHidden/>
    <w:unhideWhenUsed/>
    <w:rsid w:val="00344024"/>
    <w:rPr>
      <w:b/>
      <w:bCs/>
    </w:rPr>
  </w:style>
  <w:style w:type="character" w:customStyle="1" w:styleId="CommentSubjectChar">
    <w:name w:val="Comment Subject Char"/>
    <w:basedOn w:val="CommentTextChar"/>
    <w:link w:val="CommentSubject"/>
    <w:uiPriority w:val="99"/>
    <w:semiHidden/>
    <w:rsid w:val="00344024"/>
    <w:rPr>
      <w:b/>
      <w:bCs/>
      <w:sz w:val="20"/>
      <w:szCs w:val="20"/>
    </w:rPr>
  </w:style>
  <w:style w:type="paragraph" w:styleId="NoSpacing">
    <w:name w:val="No Spacing"/>
    <w:uiPriority w:val="1"/>
    <w:qFormat/>
    <w:rsid w:val="00981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8230">
      <w:bodyDiv w:val="1"/>
      <w:marLeft w:val="0"/>
      <w:marRight w:val="0"/>
      <w:marTop w:val="0"/>
      <w:marBottom w:val="0"/>
      <w:divBdr>
        <w:top w:val="none" w:sz="0" w:space="0" w:color="auto"/>
        <w:left w:val="none" w:sz="0" w:space="0" w:color="auto"/>
        <w:bottom w:val="none" w:sz="0" w:space="0" w:color="auto"/>
        <w:right w:val="none" w:sz="0" w:space="0" w:color="auto"/>
      </w:divBdr>
    </w:div>
    <w:div w:id="229467113">
      <w:bodyDiv w:val="1"/>
      <w:marLeft w:val="0"/>
      <w:marRight w:val="0"/>
      <w:marTop w:val="0"/>
      <w:marBottom w:val="0"/>
      <w:divBdr>
        <w:top w:val="none" w:sz="0" w:space="0" w:color="auto"/>
        <w:left w:val="none" w:sz="0" w:space="0" w:color="auto"/>
        <w:bottom w:val="none" w:sz="0" w:space="0" w:color="auto"/>
        <w:right w:val="none" w:sz="0" w:space="0" w:color="auto"/>
      </w:divBdr>
    </w:div>
    <w:div w:id="446700074">
      <w:bodyDiv w:val="1"/>
      <w:marLeft w:val="0"/>
      <w:marRight w:val="0"/>
      <w:marTop w:val="0"/>
      <w:marBottom w:val="0"/>
      <w:divBdr>
        <w:top w:val="none" w:sz="0" w:space="0" w:color="auto"/>
        <w:left w:val="none" w:sz="0" w:space="0" w:color="auto"/>
        <w:bottom w:val="none" w:sz="0" w:space="0" w:color="auto"/>
        <w:right w:val="none" w:sz="0" w:space="0" w:color="auto"/>
      </w:divBdr>
    </w:div>
    <w:div w:id="519394191">
      <w:bodyDiv w:val="1"/>
      <w:marLeft w:val="0"/>
      <w:marRight w:val="0"/>
      <w:marTop w:val="0"/>
      <w:marBottom w:val="0"/>
      <w:divBdr>
        <w:top w:val="none" w:sz="0" w:space="0" w:color="auto"/>
        <w:left w:val="none" w:sz="0" w:space="0" w:color="auto"/>
        <w:bottom w:val="none" w:sz="0" w:space="0" w:color="auto"/>
        <w:right w:val="none" w:sz="0" w:space="0" w:color="auto"/>
      </w:divBdr>
    </w:div>
    <w:div w:id="646402209">
      <w:bodyDiv w:val="1"/>
      <w:marLeft w:val="0"/>
      <w:marRight w:val="0"/>
      <w:marTop w:val="0"/>
      <w:marBottom w:val="0"/>
      <w:divBdr>
        <w:top w:val="none" w:sz="0" w:space="0" w:color="auto"/>
        <w:left w:val="none" w:sz="0" w:space="0" w:color="auto"/>
        <w:bottom w:val="none" w:sz="0" w:space="0" w:color="auto"/>
        <w:right w:val="none" w:sz="0" w:space="0" w:color="auto"/>
      </w:divBdr>
    </w:div>
    <w:div w:id="669523316">
      <w:bodyDiv w:val="1"/>
      <w:marLeft w:val="0"/>
      <w:marRight w:val="0"/>
      <w:marTop w:val="0"/>
      <w:marBottom w:val="0"/>
      <w:divBdr>
        <w:top w:val="none" w:sz="0" w:space="0" w:color="auto"/>
        <w:left w:val="none" w:sz="0" w:space="0" w:color="auto"/>
        <w:bottom w:val="none" w:sz="0" w:space="0" w:color="auto"/>
        <w:right w:val="none" w:sz="0" w:space="0" w:color="auto"/>
      </w:divBdr>
    </w:div>
    <w:div w:id="716078842">
      <w:bodyDiv w:val="1"/>
      <w:marLeft w:val="0"/>
      <w:marRight w:val="0"/>
      <w:marTop w:val="0"/>
      <w:marBottom w:val="0"/>
      <w:divBdr>
        <w:top w:val="none" w:sz="0" w:space="0" w:color="auto"/>
        <w:left w:val="none" w:sz="0" w:space="0" w:color="auto"/>
        <w:bottom w:val="none" w:sz="0" w:space="0" w:color="auto"/>
        <w:right w:val="none" w:sz="0" w:space="0" w:color="auto"/>
      </w:divBdr>
    </w:div>
    <w:div w:id="777798099">
      <w:bodyDiv w:val="1"/>
      <w:marLeft w:val="0"/>
      <w:marRight w:val="0"/>
      <w:marTop w:val="0"/>
      <w:marBottom w:val="0"/>
      <w:divBdr>
        <w:top w:val="none" w:sz="0" w:space="0" w:color="auto"/>
        <w:left w:val="none" w:sz="0" w:space="0" w:color="auto"/>
        <w:bottom w:val="none" w:sz="0" w:space="0" w:color="auto"/>
        <w:right w:val="none" w:sz="0" w:space="0" w:color="auto"/>
      </w:divBdr>
    </w:div>
    <w:div w:id="781530164">
      <w:bodyDiv w:val="1"/>
      <w:marLeft w:val="0"/>
      <w:marRight w:val="0"/>
      <w:marTop w:val="0"/>
      <w:marBottom w:val="0"/>
      <w:divBdr>
        <w:top w:val="none" w:sz="0" w:space="0" w:color="auto"/>
        <w:left w:val="none" w:sz="0" w:space="0" w:color="auto"/>
        <w:bottom w:val="none" w:sz="0" w:space="0" w:color="auto"/>
        <w:right w:val="none" w:sz="0" w:space="0" w:color="auto"/>
      </w:divBdr>
    </w:div>
    <w:div w:id="807475860">
      <w:bodyDiv w:val="1"/>
      <w:marLeft w:val="0"/>
      <w:marRight w:val="0"/>
      <w:marTop w:val="0"/>
      <w:marBottom w:val="0"/>
      <w:divBdr>
        <w:top w:val="none" w:sz="0" w:space="0" w:color="auto"/>
        <w:left w:val="none" w:sz="0" w:space="0" w:color="auto"/>
        <w:bottom w:val="none" w:sz="0" w:space="0" w:color="auto"/>
        <w:right w:val="none" w:sz="0" w:space="0" w:color="auto"/>
      </w:divBdr>
    </w:div>
    <w:div w:id="897664767">
      <w:bodyDiv w:val="1"/>
      <w:marLeft w:val="0"/>
      <w:marRight w:val="0"/>
      <w:marTop w:val="0"/>
      <w:marBottom w:val="0"/>
      <w:divBdr>
        <w:top w:val="none" w:sz="0" w:space="0" w:color="auto"/>
        <w:left w:val="none" w:sz="0" w:space="0" w:color="auto"/>
        <w:bottom w:val="none" w:sz="0" w:space="0" w:color="auto"/>
        <w:right w:val="none" w:sz="0" w:space="0" w:color="auto"/>
      </w:divBdr>
    </w:div>
    <w:div w:id="902908990">
      <w:bodyDiv w:val="1"/>
      <w:marLeft w:val="0"/>
      <w:marRight w:val="0"/>
      <w:marTop w:val="0"/>
      <w:marBottom w:val="0"/>
      <w:divBdr>
        <w:top w:val="none" w:sz="0" w:space="0" w:color="auto"/>
        <w:left w:val="none" w:sz="0" w:space="0" w:color="auto"/>
        <w:bottom w:val="none" w:sz="0" w:space="0" w:color="auto"/>
        <w:right w:val="none" w:sz="0" w:space="0" w:color="auto"/>
      </w:divBdr>
    </w:div>
    <w:div w:id="1119303239">
      <w:bodyDiv w:val="1"/>
      <w:marLeft w:val="0"/>
      <w:marRight w:val="0"/>
      <w:marTop w:val="0"/>
      <w:marBottom w:val="0"/>
      <w:divBdr>
        <w:top w:val="none" w:sz="0" w:space="0" w:color="auto"/>
        <w:left w:val="none" w:sz="0" w:space="0" w:color="auto"/>
        <w:bottom w:val="none" w:sz="0" w:space="0" w:color="auto"/>
        <w:right w:val="none" w:sz="0" w:space="0" w:color="auto"/>
      </w:divBdr>
    </w:div>
    <w:div w:id="1221601004">
      <w:bodyDiv w:val="1"/>
      <w:marLeft w:val="0"/>
      <w:marRight w:val="0"/>
      <w:marTop w:val="0"/>
      <w:marBottom w:val="0"/>
      <w:divBdr>
        <w:top w:val="none" w:sz="0" w:space="0" w:color="auto"/>
        <w:left w:val="none" w:sz="0" w:space="0" w:color="auto"/>
        <w:bottom w:val="none" w:sz="0" w:space="0" w:color="auto"/>
        <w:right w:val="none" w:sz="0" w:space="0" w:color="auto"/>
      </w:divBdr>
    </w:div>
    <w:div w:id="1271015610">
      <w:bodyDiv w:val="1"/>
      <w:marLeft w:val="0"/>
      <w:marRight w:val="0"/>
      <w:marTop w:val="0"/>
      <w:marBottom w:val="0"/>
      <w:divBdr>
        <w:top w:val="none" w:sz="0" w:space="0" w:color="auto"/>
        <w:left w:val="none" w:sz="0" w:space="0" w:color="auto"/>
        <w:bottom w:val="none" w:sz="0" w:space="0" w:color="auto"/>
        <w:right w:val="none" w:sz="0" w:space="0" w:color="auto"/>
      </w:divBdr>
    </w:div>
    <w:div w:id="1353414284">
      <w:bodyDiv w:val="1"/>
      <w:marLeft w:val="0"/>
      <w:marRight w:val="0"/>
      <w:marTop w:val="0"/>
      <w:marBottom w:val="0"/>
      <w:divBdr>
        <w:top w:val="none" w:sz="0" w:space="0" w:color="auto"/>
        <w:left w:val="none" w:sz="0" w:space="0" w:color="auto"/>
        <w:bottom w:val="none" w:sz="0" w:space="0" w:color="auto"/>
        <w:right w:val="none" w:sz="0" w:space="0" w:color="auto"/>
      </w:divBdr>
    </w:div>
    <w:div w:id="1519269454">
      <w:bodyDiv w:val="1"/>
      <w:marLeft w:val="0"/>
      <w:marRight w:val="0"/>
      <w:marTop w:val="0"/>
      <w:marBottom w:val="0"/>
      <w:divBdr>
        <w:top w:val="none" w:sz="0" w:space="0" w:color="auto"/>
        <w:left w:val="none" w:sz="0" w:space="0" w:color="auto"/>
        <w:bottom w:val="none" w:sz="0" w:space="0" w:color="auto"/>
        <w:right w:val="none" w:sz="0" w:space="0" w:color="auto"/>
      </w:divBdr>
    </w:div>
    <w:div w:id="1520583990">
      <w:bodyDiv w:val="1"/>
      <w:marLeft w:val="0"/>
      <w:marRight w:val="0"/>
      <w:marTop w:val="0"/>
      <w:marBottom w:val="0"/>
      <w:divBdr>
        <w:top w:val="none" w:sz="0" w:space="0" w:color="auto"/>
        <w:left w:val="none" w:sz="0" w:space="0" w:color="auto"/>
        <w:bottom w:val="none" w:sz="0" w:space="0" w:color="auto"/>
        <w:right w:val="none" w:sz="0" w:space="0" w:color="auto"/>
      </w:divBdr>
    </w:div>
    <w:div w:id="1660422064">
      <w:bodyDiv w:val="1"/>
      <w:marLeft w:val="0"/>
      <w:marRight w:val="0"/>
      <w:marTop w:val="0"/>
      <w:marBottom w:val="0"/>
      <w:divBdr>
        <w:top w:val="none" w:sz="0" w:space="0" w:color="auto"/>
        <w:left w:val="none" w:sz="0" w:space="0" w:color="auto"/>
        <w:bottom w:val="none" w:sz="0" w:space="0" w:color="auto"/>
        <w:right w:val="none" w:sz="0" w:space="0" w:color="auto"/>
      </w:divBdr>
    </w:div>
    <w:div w:id="1679770869">
      <w:bodyDiv w:val="1"/>
      <w:marLeft w:val="0"/>
      <w:marRight w:val="0"/>
      <w:marTop w:val="0"/>
      <w:marBottom w:val="0"/>
      <w:divBdr>
        <w:top w:val="none" w:sz="0" w:space="0" w:color="auto"/>
        <w:left w:val="none" w:sz="0" w:space="0" w:color="auto"/>
        <w:bottom w:val="none" w:sz="0" w:space="0" w:color="auto"/>
        <w:right w:val="none" w:sz="0" w:space="0" w:color="auto"/>
      </w:divBdr>
    </w:div>
    <w:div w:id="1731810045">
      <w:bodyDiv w:val="1"/>
      <w:marLeft w:val="0"/>
      <w:marRight w:val="0"/>
      <w:marTop w:val="0"/>
      <w:marBottom w:val="0"/>
      <w:divBdr>
        <w:top w:val="none" w:sz="0" w:space="0" w:color="auto"/>
        <w:left w:val="none" w:sz="0" w:space="0" w:color="auto"/>
        <w:bottom w:val="none" w:sz="0" w:space="0" w:color="auto"/>
        <w:right w:val="none" w:sz="0" w:space="0" w:color="auto"/>
      </w:divBdr>
    </w:div>
    <w:div w:id="1751809774">
      <w:bodyDiv w:val="1"/>
      <w:marLeft w:val="0"/>
      <w:marRight w:val="0"/>
      <w:marTop w:val="0"/>
      <w:marBottom w:val="0"/>
      <w:divBdr>
        <w:top w:val="none" w:sz="0" w:space="0" w:color="auto"/>
        <w:left w:val="none" w:sz="0" w:space="0" w:color="auto"/>
        <w:bottom w:val="none" w:sz="0" w:space="0" w:color="auto"/>
        <w:right w:val="none" w:sz="0" w:space="0" w:color="auto"/>
      </w:divBdr>
    </w:div>
    <w:div w:id="1845436263">
      <w:bodyDiv w:val="1"/>
      <w:marLeft w:val="0"/>
      <w:marRight w:val="0"/>
      <w:marTop w:val="0"/>
      <w:marBottom w:val="0"/>
      <w:divBdr>
        <w:top w:val="none" w:sz="0" w:space="0" w:color="auto"/>
        <w:left w:val="none" w:sz="0" w:space="0" w:color="auto"/>
        <w:bottom w:val="none" w:sz="0" w:space="0" w:color="auto"/>
        <w:right w:val="none" w:sz="0" w:space="0" w:color="auto"/>
      </w:divBdr>
    </w:div>
    <w:div w:id="1901359884">
      <w:bodyDiv w:val="1"/>
      <w:marLeft w:val="0"/>
      <w:marRight w:val="0"/>
      <w:marTop w:val="0"/>
      <w:marBottom w:val="0"/>
      <w:divBdr>
        <w:top w:val="none" w:sz="0" w:space="0" w:color="auto"/>
        <w:left w:val="none" w:sz="0" w:space="0" w:color="auto"/>
        <w:bottom w:val="none" w:sz="0" w:space="0" w:color="auto"/>
        <w:right w:val="none" w:sz="0" w:space="0" w:color="auto"/>
      </w:divBdr>
    </w:div>
    <w:div w:id="1914118717">
      <w:bodyDiv w:val="1"/>
      <w:marLeft w:val="0"/>
      <w:marRight w:val="0"/>
      <w:marTop w:val="0"/>
      <w:marBottom w:val="0"/>
      <w:divBdr>
        <w:top w:val="none" w:sz="0" w:space="0" w:color="auto"/>
        <w:left w:val="none" w:sz="0" w:space="0" w:color="auto"/>
        <w:bottom w:val="none" w:sz="0" w:space="0" w:color="auto"/>
        <w:right w:val="none" w:sz="0" w:space="0" w:color="auto"/>
      </w:divBdr>
    </w:div>
    <w:div w:id="20018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5FA28-5A4C-4E73-BCD0-A2FBA5643F65}">
  <ds:schemaRefs>
    <ds:schemaRef ds:uri="http://schemas.openxmlformats.org/officeDocument/2006/bibliography"/>
  </ds:schemaRefs>
</ds:datastoreItem>
</file>

<file path=customXml/itemProps2.xml><?xml version="1.0" encoding="utf-8"?>
<ds:datastoreItem xmlns:ds="http://schemas.openxmlformats.org/officeDocument/2006/customXml" ds:itemID="{2BD124F7-FCBE-448E-A010-DFE99710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8396</Words>
  <Characters>4787</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vector>
  </TitlesOfParts>
  <Manager>B.Bāne</Manager>
  <Company>Finanšu ministrija (VNĪ)</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2012.gada 24.augusta rīkojumā Nr.410 „Par finansējuma piešķiršanu Korupcijas novēršanas un apkarošanas biroja ēku Aristida Briāna ielā 13, Rīgā, būvniecības projekta izdevumu segšanai”” sāko</dc:title>
  <dc:subject>Anotācija</dc:subject>
  <dc:creator>A.Gulbe</dc:creator>
  <cp:lastModifiedBy>Lita Kokorēviča</cp:lastModifiedBy>
  <cp:revision>4</cp:revision>
  <cp:lastPrinted>2016-11-01T10:39:00Z</cp:lastPrinted>
  <dcterms:created xsi:type="dcterms:W3CDTF">2016-11-02T15:33:00Z</dcterms:created>
  <dcterms:modified xsi:type="dcterms:W3CDTF">2016-11-03T12:45:00Z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-698148068</vt:i4>
  </property>
</Properties>
</file>