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33D" w:rsidRPr="005E7B97" w:rsidRDefault="00C5533D" w:rsidP="00C5533D">
      <w:pPr>
        <w:ind w:firstLine="720"/>
        <w:jc w:val="right"/>
        <w:rPr>
          <w:rFonts w:eastAsia="Times New Roman" w:cs="Times New Roman"/>
          <w:i/>
          <w:sz w:val="28"/>
          <w:szCs w:val="28"/>
        </w:rPr>
      </w:pPr>
      <w:r w:rsidRPr="005E7B97">
        <w:rPr>
          <w:rFonts w:eastAsia="Times New Roman" w:cs="Times New Roman"/>
          <w:i/>
          <w:sz w:val="28"/>
          <w:szCs w:val="28"/>
        </w:rPr>
        <w:t>Ministru kabineta atbildes vēstules projekts</w:t>
      </w:r>
    </w:p>
    <w:p w:rsidR="00C5533D" w:rsidRPr="005E7B97" w:rsidRDefault="00C5533D" w:rsidP="00C5533D">
      <w:pPr>
        <w:ind w:firstLine="720"/>
        <w:jc w:val="right"/>
        <w:rPr>
          <w:rFonts w:eastAsia="Times New Roman" w:cs="Times New Roman"/>
          <w:b/>
          <w:sz w:val="28"/>
          <w:szCs w:val="28"/>
        </w:rPr>
      </w:pPr>
    </w:p>
    <w:p w:rsidR="00C5533D" w:rsidRPr="005E7B97" w:rsidRDefault="00C5533D" w:rsidP="00C5533D">
      <w:pPr>
        <w:jc w:val="right"/>
        <w:rPr>
          <w:b/>
          <w:bCs/>
          <w:sz w:val="28"/>
          <w:szCs w:val="28"/>
          <w:lang w:eastAsia="lv-LV"/>
        </w:rPr>
      </w:pPr>
      <w:r w:rsidRPr="005E7B97">
        <w:rPr>
          <w:b/>
          <w:bCs/>
          <w:sz w:val="28"/>
          <w:szCs w:val="28"/>
          <w:lang w:eastAsia="lv-LV"/>
        </w:rPr>
        <w:t>Latvijas Republikas Saeimas</w:t>
      </w:r>
    </w:p>
    <w:p w:rsidR="00C5533D" w:rsidRPr="005E7B97" w:rsidRDefault="00C5533D" w:rsidP="00C5533D">
      <w:pPr>
        <w:jc w:val="right"/>
        <w:rPr>
          <w:rFonts w:eastAsia="Times New Roman" w:cs="Times New Roman"/>
          <w:b/>
          <w:bCs/>
          <w:sz w:val="28"/>
          <w:szCs w:val="28"/>
          <w:lang w:eastAsia="lv-LV"/>
        </w:rPr>
      </w:pPr>
      <w:r w:rsidRPr="002B2941">
        <w:rPr>
          <w:sz w:val="28"/>
          <w:szCs w:val="28"/>
        </w:rPr>
        <w:t>Saeimas Mandātu, ētikas un iesniegumu komisijai</w:t>
      </w:r>
    </w:p>
    <w:p w:rsidR="00C5533D" w:rsidRPr="005E7B97" w:rsidRDefault="00C5533D" w:rsidP="00C5533D">
      <w:pPr>
        <w:jc w:val="both"/>
        <w:rPr>
          <w:rFonts w:eastAsia="Times New Roman" w:cs="Times New Roman"/>
          <w:i/>
          <w:sz w:val="28"/>
          <w:szCs w:val="28"/>
        </w:rPr>
      </w:pPr>
    </w:p>
    <w:p w:rsidR="00C5533D" w:rsidRPr="00C5533D" w:rsidRDefault="00C5533D" w:rsidP="00C5533D">
      <w:pPr>
        <w:jc w:val="both"/>
        <w:rPr>
          <w:rFonts w:eastAsia="Times New Roman" w:cs="Times New Roman"/>
          <w:bCs/>
          <w:i/>
          <w:szCs w:val="24"/>
        </w:rPr>
      </w:pPr>
      <w:r w:rsidRPr="00C5533D">
        <w:rPr>
          <w:rFonts w:cs="Times New Roman"/>
          <w:i/>
          <w:szCs w:val="24"/>
        </w:rPr>
        <w:t xml:space="preserve">Par </w:t>
      </w:r>
      <w:r w:rsidRPr="00C5533D">
        <w:rPr>
          <w:rFonts w:cs="Times New Roman"/>
          <w:i/>
          <w:szCs w:val="24"/>
        </w:rPr>
        <w:t xml:space="preserve">informatīvā ziņojuma </w:t>
      </w:r>
      <w:r w:rsidRPr="00C5533D">
        <w:rPr>
          <w:rFonts w:eastAsia="Times New Roman" w:cs="Times New Roman"/>
          <w:bCs/>
          <w:i/>
          <w:szCs w:val="24"/>
        </w:rPr>
        <w:t xml:space="preserve">“Par </w:t>
      </w:r>
    </w:p>
    <w:p w:rsidR="00C5533D" w:rsidRPr="00C5533D" w:rsidRDefault="00C5533D" w:rsidP="00C5533D">
      <w:pPr>
        <w:jc w:val="both"/>
        <w:rPr>
          <w:rFonts w:eastAsia="Times New Roman" w:cs="Times New Roman"/>
          <w:bCs/>
          <w:i/>
          <w:szCs w:val="24"/>
        </w:rPr>
      </w:pPr>
      <w:r w:rsidRPr="00C5533D">
        <w:rPr>
          <w:rFonts w:eastAsia="Times New Roman" w:cs="Times New Roman"/>
          <w:bCs/>
          <w:i/>
          <w:szCs w:val="24"/>
        </w:rPr>
        <w:t xml:space="preserve">nekustamā īpašuma nodokļa </w:t>
      </w:r>
    </w:p>
    <w:p w:rsidR="00C5533D" w:rsidRPr="00C5533D" w:rsidRDefault="00C5533D" w:rsidP="00C5533D">
      <w:pPr>
        <w:jc w:val="both"/>
        <w:rPr>
          <w:rFonts w:eastAsia="Times New Roman" w:cs="Times New Roman"/>
          <w:bCs/>
          <w:i/>
          <w:szCs w:val="24"/>
        </w:rPr>
      </w:pPr>
      <w:r w:rsidRPr="00C5533D">
        <w:rPr>
          <w:rFonts w:eastAsia="Times New Roman" w:cs="Times New Roman"/>
          <w:bCs/>
          <w:i/>
          <w:szCs w:val="24"/>
        </w:rPr>
        <w:t>atcelšanu vienīgajam īpašumam”</w:t>
      </w:r>
    </w:p>
    <w:p w:rsidR="00C5533D" w:rsidRPr="00C5533D" w:rsidRDefault="00C5533D" w:rsidP="00C5533D">
      <w:pPr>
        <w:jc w:val="both"/>
        <w:rPr>
          <w:rFonts w:eastAsia="Times New Roman" w:cs="Times New Roman"/>
          <w:bCs/>
          <w:i/>
          <w:sz w:val="28"/>
          <w:szCs w:val="28"/>
        </w:rPr>
      </w:pPr>
      <w:r w:rsidRPr="00C5533D">
        <w:rPr>
          <w:rFonts w:eastAsia="Times New Roman" w:cs="Times New Roman"/>
          <w:bCs/>
          <w:i/>
          <w:szCs w:val="24"/>
        </w:rPr>
        <w:t>sagatavošanas aizkavēšanos</w:t>
      </w:r>
    </w:p>
    <w:p w:rsidR="00C5533D" w:rsidRPr="00C5533D" w:rsidRDefault="00C5533D" w:rsidP="00C5533D">
      <w:pPr>
        <w:widowControl w:val="0"/>
        <w:tabs>
          <w:tab w:val="left" w:pos="6740"/>
        </w:tabs>
        <w:rPr>
          <w:rFonts w:cs="Times New Roman"/>
          <w:i/>
          <w:sz w:val="28"/>
          <w:szCs w:val="28"/>
        </w:rPr>
      </w:pPr>
    </w:p>
    <w:p w:rsidR="00C5533D" w:rsidRPr="0040643F" w:rsidRDefault="00C5533D" w:rsidP="00C5533D">
      <w:pPr>
        <w:ind w:firstLine="720"/>
        <w:jc w:val="both"/>
        <w:rPr>
          <w:rFonts w:cs="Times New Roman"/>
          <w:sz w:val="26"/>
          <w:szCs w:val="26"/>
        </w:rPr>
      </w:pPr>
      <w:r w:rsidRPr="0040643F">
        <w:rPr>
          <w:rFonts w:cs="Times New Roman"/>
          <w:sz w:val="26"/>
          <w:szCs w:val="26"/>
        </w:rPr>
        <w:t xml:space="preserve">Atbildot uz </w:t>
      </w:r>
      <w:r w:rsidRPr="0040643F">
        <w:rPr>
          <w:sz w:val="26"/>
          <w:szCs w:val="26"/>
        </w:rPr>
        <w:t xml:space="preserve">Saeimas Mandātu, ētikas un iesniegumu </w:t>
      </w:r>
      <w:r w:rsidRPr="0040643F">
        <w:rPr>
          <w:rFonts w:cs="Times New Roman"/>
          <w:sz w:val="26"/>
          <w:szCs w:val="26"/>
        </w:rPr>
        <w:t xml:space="preserve">komisijas (turpmāk- Komisija) 2016.gada </w:t>
      </w:r>
      <w:r w:rsidRPr="0040643F">
        <w:rPr>
          <w:rFonts w:cs="Times New Roman"/>
          <w:sz w:val="26"/>
          <w:szCs w:val="26"/>
        </w:rPr>
        <w:t>……..</w:t>
      </w:r>
      <w:r w:rsidRPr="0040643F">
        <w:rPr>
          <w:rFonts w:cs="Times New Roman"/>
          <w:sz w:val="26"/>
          <w:szCs w:val="26"/>
        </w:rPr>
        <w:t xml:space="preserve"> vēstuli Nr. </w:t>
      </w:r>
      <w:r w:rsidRPr="0040643F">
        <w:rPr>
          <w:rFonts w:cs="Times New Roman"/>
          <w:sz w:val="26"/>
          <w:szCs w:val="26"/>
        </w:rPr>
        <w:t>………</w:t>
      </w:r>
      <w:r w:rsidRPr="0040643F">
        <w:rPr>
          <w:rFonts w:cs="Times New Roman"/>
          <w:sz w:val="26"/>
          <w:szCs w:val="26"/>
        </w:rPr>
        <w:t xml:space="preserve"> </w:t>
      </w:r>
      <w:r w:rsidR="0040643F" w:rsidRPr="0040643F">
        <w:rPr>
          <w:sz w:val="26"/>
          <w:szCs w:val="26"/>
        </w:rPr>
        <w:t>par</w:t>
      </w:r>
      <w:r w:rsidR="0040643F" w:rsidRPr="0040643F">
        <w:rPr>
          <w:sz w:val="26"/>
          <w:szCs w:val="26"/>
        </w:rPr>
        <w:t xml:space="preserve"> Saeimas 2016. gada 16. jūnija paziņojumā "Par 10 496 Latvijas pilsoņu kolektīvā iesnieguma "Par nekustamā īpašuma nodokļa atcelšanu vienīgajam īpašumam"</w:t>
      </w:r>
      <w:r w:rsidRPr="0040643F">
        <w:rPr>
          <w:rFonts w:cs="Times New Roman"/>
          <w:sz w:val="26"/>
          <w:szCs w:val="26"/>
        </w:rPr>
        <w:t>, kurā Komisija lūdz izskatīt  iespēju par iespējams atcelt nekustamā īpašuma nodokli vienīgajam mājoklim, Ministru kabinets sniedz šādu informāciju.</w:t>
      </w:r>
    </w:p>
    <w:p w:rsidR="00C5533D" w:rsidRPr="00C5533D" w:rsidRDefault="00C5533D" w:rsidP="00C5533D">
      <w:pPr>
        <w:ind w:firstLine="720"/>
        <w:jc w:val="both"/>
        <w:rPr>
          <w:rFonts w:cs="Times New Roman"/>
          <w:sz w:val="26"/>
          <w:szCs w:val="26"/>
        </w:rPr>
      </w:pP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sz w:val="26"/>
          <w:szCs w:val="26"/>
        </w:rPr>
        <w:t>Ministru kabinets 2016.gada 19.aprīļa sēdē, atbalstot likumprojektu “Grozījumi Nekustamā īpašuma valsts kadastra likumā”, Finanšu ministrijai sadarbībā ar Tieslietu ministriju, Latvijas Pašvaldību savienību, Latvijas Darba devēju konfederāciju, pieaicinot kompetentās institūcijas, tika uzdots izstrādāt un līdz 2016.gada 31.decembrim noteiktā kārtībā iesniegt izskatīšanai Ministru kabinetā grozījumus likumā “Par nekustamā īpašuma nodokli”, kas nodrošinātu samērīgu nekustamā īpašuma nodokļa sloga pieaugumu, ņemot vērā nekustamā īpašuma nodokļa bāzes – kadastrālo vērtību – straujo pieaugumu un nepieciešamību nodrošināt budžeta ieņēmumus (prot. Nr.19 31.§ 4.punkts).</w:t>
      </w:r>
    </w:p>
    <w:p w:rsidR="00C5533D" w:rsidRPr="00C5533D" w:rsidRDefault="00C5533D" w:rsidP="00C5533D">
      <w:pPr>
        <w:ind w:firstLine="720"/>
        <w:jc w:val="both"/>
        <w:outlineLvl w:val="0"/>
        <w:rPr>
          <w:rFonts w:eastAsia="Times New Roman" w:cs="Times New Roman"/>
          <w:sz w:val="26"/>
          <w:szCs w:val="26"/>
        </w:rPr>
      </w:pPr>
      <w:r w:rsidRPr="00C5533D">
        <w:rPr>
          <w:rFonts w:eastAsia="Calibri" w:cs="Times New Roman"/>
          <w:sz w:val="26"/>
          <w:szCs w:val="26"/>
        </w:rPr>
        <w:t>Ņemot vērā jau sākotnēji Ministru kabineta 2016.gada 19.aprīļa sēdē doto uzdevumu, Finanšu ministrijā sākotnēji tika izstrādāti vairāki iespējamie nekustamā īpašuma nodokļa samērīga pieauguma nodrošināšanas varianti un,</w:t>
      </w:r>
      <w:r w:rsidRPr="00C5533D">
        <w:rPr>
          <w:rFonts w:eastAsia="Times New Roman" w:cs="Times New Roman"/>
          <w:sz w:val="26"/>
          <w:szCs w:val="26"/>
        </w:rPr>
        <w:t xml:space="preserve"> saistībā ar kadastrālo vērtību straujajām izmaiņām, ir izveidota </w:t>
      </w:r>
      <w:proofErr w:type="spellStart"/>
      <w:r w:rsidRPr="00C5533D">
        <w:rPr>
          <w:rFonts w:eastAsia="Times New Roman" w:cs="Times New Roman"/>
          <w:sz w:val="26"/>
          <w:szCs w:val="26"/>
        </w:rPr>
        <w:t>starpinstitucionāla</w:t>
      </w:r>
      <w:proofErr w:type="spellEnd"/>
      <w:r w:rsidRPr="00C5533D">
        <w:rPr>
          <w:rFonts w:eastAsia="Times New Roman" w:cs="Times New Roman"/>
          <w:sz w:val="26"/>
          <w:szCs w:val="26"/>
        </w:rPr>
        <w:t xml:space="preserve"> darba grupa, kuras mērķis ir meklēt sabalansētus risinājums nekustamā īpašuma nodokļa jomā saistībā ar nodokļa bāzes straujām izmaiņām.</w:t>
      </w: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sz w:val="26"/>
          <w:szCs w:val="26"/>
        </w:rPr>
        <w:t>Finanšu ministrijā ir notikušas jau trīs minētās darba grupas ar iesaistītajām valsts un nevalstiskajām institūcijām (2016.gada 25.maijā, 30.jūnijā un 1.septembrī), kuru rezultātā iesaistīto institūciju viedokļi par iespējamo optimālāko risinājuma variantu (t.sk. arī par vienīgā mājokļa neaplikšanu ar nodokli) krasi atšķiras. Tai pat laikā darba grupās tika nolemts, ka ir jānosaka paredzamo grozījumu likumā “Par nekustamā īpašuma nodokli” mērķis un jāveic padziļināta piedāvāto variantu fiskālās ietekmes analīze.</w:t>
      </w: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sz w:val="26"/>
          <w:szCs w:val="26"/>
        </w:rPr>
        <w:t>Šobrīd Finanšu ministrijā tiek vērtēti vēl daži alternatīvi modeļi, kā nodrošināt samērīgu nekustamā īpašuma nodokļa slogu, nesamazinot pašvaldību budžeta ieņēmumus. Tomēr jānorāda, ka visiem šiem modeļiem ir dažādi trūkumi un arī pašvaldībām ir dažādi viedokļi par iespējamo problēmas risinājumu. Vienlaikus jāuzsver, ka gan Finanšu ministrijas, gan pašvaldību ieskatā būtu jāsaglabā pašvaldībām piešķirtā kompetence ar saistošajiem noteikumiem īstenot arī ilgtermiņā labvēlīgāku nekustamā īpašuma nodokļa politiku konkrētajā pašvaldībā. No sākotnēji piedāvātajiem 6 risinājuma modeļiem pašlaik aktīvs darbs notiek ar diviem:</w:t>
      </w:r>
    </w:p>
    <w:p w:rsidR="00C5533D" w:rsidRPr="00C5533D" w:rsidRDefault="00C5533D" w:rsidP="00C5533D">
      <w:pPr>
        <w:widowControl w:val="0"/>
        <w:ind w:firstLine="720"/>
        <w:jc w:val="both"/>
        <w:rPr>
          <w:rFonts w:eastAsia="Calibri" w:cs="Times New Roman"/>
          <w:sz w:val="26"/>
          <w:szCs w:val="26"/>
        </w:rPr>
      </w:pP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b/>
          <w:sz w:val="26"/>
          <w:szCs w:val="26"/>
        </w:rPr>
        <w:t>1.modelis:</w:t>
      </w:r>
      <w:r w:rsidRPr="00C5533D">
        <w:rPr>
          <w:rFonts w:eastAsia="Calibri" w:cs="Times New Roman"/>
          <w:sz w:val="26"/>
          <w:szCs w:val="26"/>
        </w:rPr>
        <w:t xml:space="preserve"> Ar nodokli neapliekamā vai ar samazinātu nodokļa likmi apliekamā minimuma (platības) noteikšana attiecībā uz dzīvojamajiem īpašumiem (dzīvokļiem, ēkām), par katru īpašumā deklarēto personu (platības apmērs ir diskutējams), atlikušajai ar nodokli apliekamajai daļai piemērojot vienu nodokļa likmi (likmes apmērs ir diskutējams un nosakāms tādā apmērā, lai nesamazinātu pašvaldību budžeta ieņēmumus), vienlaikus saglabājot pašvaldībām tiesības ar saistošajiem noteikumiem paredzēt šai daļai no likuma atšķirīgu nodokļa likmi:</w:t>
      </w: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sz w:val="26"/>
          <w:szCs w:val="26"/>
        </w:rPr>
        <w:t>(+) aizsargātas arī īrnieku intereses;</w:t>
      </w: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sz w:val="26"/>
          <w:szCs w:val="26"/>
        </w:rPr>
        <w:t>(+) tiek saglabātas pašvaldību tiesības un iespējas, labāk pārzinot savu iedzīvotāju vajadzības un pašvaldību iespējas, īstenot atbilstošu nodokļa politiku;</w:t>
      </w: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sz w:val="26"/>
          <w:szCs w:val="26"/>
        </w:rPr>
        <w:t>(-) pastāv “</w:t>
      </w:r>
      <w:proofErr w:type="spellStart"/>
      <w:r w:rsidRPr="00C5533D">
        <w:rPr>
          <w:rFonts w:eastAsia="Calibri" w:cs="Times New Roman"/>
          <w:sz w:val="26"/>
          <w:szCs w:val="26"/>
        </w:rPr>
        <w:t>shēmošanas</w:t>
      </w:r>
      <w:proofErr w:type="spellEnd"/>
      <w:r w:rsidRPr="00C5533D">
        <w:rPr>
          <w:rFonts w:eastAsia="Calibri" w:cs="Times New Roman"/>
          <w:sz w:val="26"/>
          <w:szCs w:val="26"/>
        </w:rPr>
        <w:t>” risks ar dzīvesvietas deklarēšanu dārgākajā īpašumā;</w:t>
      </w: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sz w:val="26"/>
          <w:szCs w:val="26"/>
        </w:rPr>
        <w:t>(-) nerisina nodokļa sloga pieaugumu zemei;</w:t>
      </w: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sz w:val="26"/>
          <w:szCs w:val="26"/>
        </w:rPr>
        <w:t>(-) sarežģīta administrēšana, kurai papildus nepieciešami finanšu resursi.</w:t>
      </w:r>
    </w:p>
    <w:p w:rsidR="00C5533D" w:rsidRPr="00C5533D" w:rsidRDefault="00C5533D" w:rsidP="00C5533D">
      <w:pPr>
        <w:widowControl w:val="0"/>
        <w:ind w:firstLine="720"/>
        <w:jc w:val="both"/>
        <w:rPr>
          <w:rFonts w:eastAsia="Calibri" w:cs="Times New Roman"/>
          <w:sz w:val="26"/>
          <w:szCs w:val="26"/>
        </w:rPr>
      </w:pP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b/>
          <w:sz w:val="26"/>
          <w:szCs w:val="26"/>
        </w:rPr>
        <w:t>2.modelis:</w:t>
      </w:r>
      <w:r w:rsidRPr="00C5533D">
        <w:rPr>
          <w:rFonts w:eastAsia="Calibri" w:cs="Times New Roman"/>
          <w:sz w:val="26"/>
          <w:szCs w:val="26"/>
        </w:rPr>
        <w:t xml:space="preserve"> Esošo kadastrālo vērtību sliekšņu pārskatīšana, no kuriem tiek piemērota progresīvā nodokļa likme (0,4% un 0,6% likmi piemēro tikai sliekšņa pārsniegumam):</w:t>
      </w: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sz w:val="26"/>
          <w:szCs w:val="26"/>
        </w:rPr>
        <w:tab/>
        <w:t xml:space="preserve">- līdz 150 (vai 100) tūkst. </w:t>
      </w:r>
      <w:proofErr w:type="spellStart"/>
      <w:r w:rsidRPr="00C5533D">
        <w:rPr>
          <w:rFonts w:eastAsia="Calibri" w:cs="Times New Roman"/>
          <w:sz w:val="26"/>
          <w:szCs w:val="26"/>
        </w:rPr>
        <w:t>euro</w:t>
      </w:r>
      <w:proofErr w:type="spellEnd"/>
      <w:r w:rsidRPr="00C5533D">
        <w:rPr>
          <w:rFonts w:eastAsia="Calibri" w:cs="Times New Roman"/>
          <w:sz w:val="26"/>
          <w:szCs w:val="26"/>
        </w:rPr>
        <w:t xml:space="preserve"> - 0,2%, </w:t>
      </w: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sz w:val="26"/>
          <w:szCs w:val="26"/>
        </w:rPr>
        <w:tab/>
        <w:t xml:space="preserve">- no 150 (vai 100) tūkst. </w:t>
      </w:r>
      <w:proofErr w:type="spellStart"/>
      <w:r w:rsidRPr="00C5533D">
        <w:rPr>
          <w:rFonts w:eastAsia="Calibri" w:cs="Times New Roman"/>
          <w:sz w:val="26"/>
          <w:szCs w:val="26"/>
        </w:rPr>
        <w:t>euro</w:t>
      </w:r>
      <w:proofErr w:type="spellEnd"/>
      <w:r w:rsidRPr="00C5533D">
        <w:rPr>
          <w:rFonts w:eastAsia="Calibri" w:cs="Times New Roman"/>
          <w:sz w:val="26"/>
          <w:szCs w:val="26"/>
        </w:rPr>
        <w:t xml:space="preserve"> līdz 300 (vai 200) tūkst. </w:t>
      </w:r>
      <w:proofErr w:type="spellStart"/>
      <w:r w:rsidRPr="00C5533D">
        <w:rPr>
          <w:rFonts w:eastAsia="Calibri" w:cs="Times New Roman"/>
          <w:sz w:val="26"/>
          <w:szCs w:val="26"/>
        </w:rPr>
        <w:t>euro</w:t>
      </w:r>
      <w:proofErr w:type="spellEnd"/>
      <w:r w:rsidRPr="00C5533D">
        <w:rPr>
          <w:rFonts w:eastAsia="Calibri" w:cs="Times New Roman"/>
          <w:sz w:val="26"/>
          <w:szCs w:val="26"/>
        </w:rPr>
        <w:t xml:space="preserve"> - 0,4%,  </w:t>
      </w: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sz w:val="26"/>
          <w:szCs w:val="26"/>
        </w:rPr>
        <w:tab/>
        <w:t xml:space="preserve">- virs 300 (vai 200) tūkst. </w:t>
      </w:r>
      <w:proofErr w:type="spellStart"/>
      <w:r w:rsidRPr="00C5533D">
        <w:rPr>
          <w:rFonts w:eastAsia="Calibri" w:cs="Times New Roman"/>
          <w:sz w:val="26"/>
          <w:szCs w:val="26"/>
        </w:rPr>
        <w:t>euro</w:t>
      </w:r>
      <w:proofErr w:type="spellEnd"/>
      <w:r w:rsidRPr="00C5533D">
        <w:rPr>
          <w:rFonts w:eastAsia="Calibri" w:cs="Times New Roman"/>
          <w:sz w:val="26"/>
          <w:szCs w:val="26"/>
        </w:rPr>
        <w:t xml:space="preserve"> - 0,6%.</w:t>
      </w: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sz w:val="26"/>
          <w:szCs w:val="26"/>
        </w:rPr>
        <w:t>Papildus iespējams paredzēt, ka</w:t>
      </w:r>
      <w:r w:rsidRPr="00C5533D">
        <w:rPr>
          <w:rFonts w:eastAsia="Calibri" w:cs="Times New Roman"/>
          <w:sz w:val="26"/>
          <w:szCs w:val="26"/>
        </w:rPr>
        <w:tab/>
        <w:t xml:space="preserve">līdz dzīvojamo īpašumu (dzīvokļiem, ēkām) 50 tūkst. </w:t>
      </w:r>
      <w:proofErr w:type="spellStart"/>
      <w:r w:rsidRPr="00C5533D">
        <w:rPr>
          <w:rFonts w:eastAsia="Calibri" w:cs="Times New Roman"/>
          <w:sz w:val="26"/>
          <w:szCs w:val="26"/>
        </w:rPr>
        <w:t>euro</w:t>
      </w:r>
      <w:proofErr w:type="spellEnd"/>
      <w:r w:rsidRPr="00C5533D">
        <w:rPr>
          <w:rFonts w:eastAsia="Calibri" w:cs="Times New Roman"/>
          <w:sz w:val="26"/>
          <w:szCs w:val="26"/>
        </w:rPr>
        <w:t xml:space="preserve"> slieksnim piemēro likmi 0,1%.</w:t>
      </w: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sz w:val="26"/>
          <w:szCs w:val="26"/>
        </w:rPr>
        <w:t>(+) tiek novērsts nesamērīgs nodokļa sloga pieaugums mājokļiem(dzīvokļiem, ēkām) un līdz ar to arī kopumā;</w:t>
      </w: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sz w:val="26"/>
          <w:szCs w:val="26"/>
        </w:rPr>
        <w:t>(+) tiek vienkāršota nodokļa administrēšana;</w:t>
      </w: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sz w:val="26"/>
          <w:szCs w:val="26"/>
        </w:rPr>
        <w:t>(+) nav nepieciešami papildus izdevumi nodokļa administrēšanai;</w:t>
      </w: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sz w:val="26"/>
          <w:szCs w:val="26"/>
        </w:rPr>
        <w:t>(+) nodokļa aprēķins ir vienkāršs un saprotams nodokļa maksātājiem;</w:t>
      </w: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sz w:val="26"/>
          <w:szCs w:val="26"/>
        </w:rPr>
        <w:t>(-) nerisina nodokļa sloga pieaugumu zemei.</w:t>
      </w: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sz w:val="26"/>
          <w:szCs w:val="26"/>
        </w:rPr>
        <w:t xml:space="preserve">Pie sliekšņa 150 tūkst. </w:t>
      </w:r>
      <w:proofErr w:type="spellStart"/>
      <w:r w:rsidRPr="00C5533D">
        <w:rPr>
          <w:rFonts w:eastAsia="Calibri" w:cs="Times New Roman"/>
          <w:sz w:val="26"/>
          <w:szCs w:val="26"/>
        </w:rPr>
        <w:t>euro</w:t>
      </w:r>
      <w:proofErr w:type="spellEnd"/>
      <w:r w:rsidRPr="00C5533D">
        <w:rPr>
          <w:rFonts w:eastAsia="Calibri" w:cs="Times New Roman"/>
          <w:sz w:val="26"/>
          <w:szCs w:val="26"/>
        </w:rPr>
        <w:t xml:space="preserve"> ar 0,2% likmi tiktu aplikti 98,7% no visām savrupmājām Latvijā, bet - 91,2% Pierīgā (savukārt pie alternatīvā sliekšņa 100 tūkst. </w:t>
      </w:r>
      <w:proofErr w:type="spellStart"/>
      <w:r w:rsidRPr="00C5533D">
        <w:rPr>
          <w:rFonts w:eastAsia="Calibri" w:cs="Times New Roman"/>
          <w:sz w:val="26"/>
          <w:szCs w:val="26"/>
        </w:rPr>
        <w:t>euro</w:t>
      </w:r>
      <w:proofErr w:type="spellEnd"/>
      <w:r w:rsidRPr="00C5533D">
        <w:rPr>
          <w:rFonts w:eastAsia="Calibri" w:cs="Times New Roman"/>
          <w:sz w:val="26"/>
          <w:szCs w:val="26"/>
        </w:rPr>
        <w:t xml:space="preserve"> attiecīgi 97,1% un 80,9%).</w:t>
      </w: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sz w:val="26"/>
          <w:szCs w:val="26"/>
        </w:rPr>
        <w:t xml:space="preserve">Savukārt 0,6% likme kadastrālās vērtības pārsniegumam virs 300 tūkst. </w:t>
      </w:r>
      <w:proofErr w:type="spellStart"/>
      <w:r w:rsidRPr="00C5533D">
        <w:rPr>
          <w:rFonts w:eastAsia="Calibri" w:cs="Times New Roman"/>
          <w:sz w:val="26"/>
          <w:szCs w:val="26"/>
        </w:rPr>
        <w:t>euro</w:t>
      </w:r>
      <w:proofErr w:type="spellEnd"/>
      <w:r w:rsidRPr="00C5533D">
        <w:rPr>
          <w:rFonts w:eastAsia="Calibri" w:cs="Times New Roman"/>
          <w:sz w:val="26"/>
          <w:szCs w:val="26"/>
        </w:rPr>
        <w:t xml:space="preserve"> tiktu piemērota vienīgi 0,25% no visām savrupmājām Latvijā, bet 1,98% - Pierīgā.</w:t>
      </w: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sz w:val="26"/>
          <w:szCs w:val="26"/>
        </w:rPr>
        <w:t xml:space="preserve">Abu modeļu galvenais trūkums ir tas, ka tie būtībā nerisinās jautājumu par nekustāmā īpašuma nodokli zemei, kas ir pamata iemesls iedzīvotāju maksājumu pieaugumam. Šajā sakarā nākamajā starpinstitūciju darba grupas sanāksmē š.g. 26.oktobrī ir plānots apspriest minēto jautājumu , lai tuvinātos kopīgai izpratnei par iespējamiem risinājuma variantiem. Šo darbu </w:t>
      </w:r>
      <w:proofErr w:type="spellStart"/>
      <w:r w:rsidRPr="00C5533D">
        <w:rPr>
          <w:rFonts w:eastAsia="Calibri" w:cs="Times New Roman"/>
          <w:sz w:val="26"/>
          <w:szCs w:val="26"/>
        </w:rPr>
        <w:t>sarežģī</w:t>
      </w:r>
      <w:proofErr w:type="spellEnd"/>
      <w:r w:rsidRPr="00C5533D">
        <w:rPr>
          <w:rFonts w:eastAsia="Calibri" w:cs="Times New Roman"/>
          <w:sz w:val="26"/>
          <w:szCs w:val="26"/>
        </w:rPr>
        <w:t xml:space="preserve"> tas, ka ēkas un zemes īpašnieki bieži ir dažādas personas, ēkai piesaistītā zemes gabala platība nav normēta, dzīvojamās ēkas īpašnieks visu nodokļa slogu var attiecināt uz īrniekiem (īpaši izteikta problēma denacionalizētajos īpašumos).</w:t>
      </w:r>
    </w:p>
    <w:p w:rsidR="00C5533D" w:rsidRPr="00C5533D" w:rsidRDefault="00C5533D" w:rsidP="00C5533D">
      <w:pPr>
        <w:widowControl w:val="0"/>
        <w:ind w:firstLine="720"/>
        <w:jc w:val="both"/>
        <w:rPr>
          <w:rFonts w:eastAsia="Calibri" w:cs="Times New Roman"/>
          <w:sz w:val="26"/>
          <w:szCs w:val="26"/>
        </w:rPr>
      </w:pPr>
      <w:r w:rsidRPr="00C5533D">
        <w:rPr>
          <w:rFonts w:eastAsia="Calibri" w:cs="Times New Roman"/>
          <w:sz w:val="26"/>
          <w:szCs w:val="26"/>
        </w:rPr>
        <w:t>Veicot iespējamo nekustamā īpašuma nodokļa samērīga pieauguma variantu padziļinātu fiskālo analīzi, Finanšu ministrija secinājusi, ka tās rīcībā nav fiskālai analīzei nepieciešamā informācija dažādos griezumos, kā arī šo informāciju nevar iegūt no Valsts zemes dienesta. Lai nodrošinātu Finanšu ministriju ar fiskālai analīzei nepieciešamo informāciju, Finanšu ministrijā tika veikts iepirkums “Datu pakalpojumu iegāde Finanšu ministrijai par nekustamā īpašuma nodokļa objektiem un to maksātājiem 2016. un 2018.gadā”. Iepirkuma rezultātā 2016.gada 3.oktobrī tika noslēgts pakalpojuma līgums par Finanšu ministrijai nepieciešamo datu apstrādi un piegādi. Līguma izpildes termiņš – 45 dienas no līguma noslēgšanas dienas.</w:t>
      </w:r>
    </w:p>
    <w:p w:rsidR="00C5533D" w:rsidRPr="00C5533D" w:rsidRDefault="00C5533D" w:rsidP="00C5533D">
      <w:pPr>
        <w:ind w:firstLine="720"/>
        <w:jc w:val="both"/>
        <w:outlineLvl w:val="0"/>
        <w:rPr>
          <w:rFonts w:eastAsia="Times New Roman" w:cs="Times New Roman"/>
          <w:color w:val="000000"/>
          <w:sz w:val="26"/>
          <w:szCs w:val="26"/>
        </w:rPr>
      </w:pPr>
      <w:r w:rsidRPr="00C5533D">
        <w:rPr>
          <w:rFonts w:eastAsia="Calibri" w:cs="Times New Roman"/>
          <w:sz w:val="26"/>
          <w:szCs w:val="26"/>
        </w:rPr>
        <w:t xml:space="preserve">Ņemot vērā Finanšu ministrijā izveidotajā starpinstitūciju darba grupā norādīto, ka lēmuma pieņemšanai par atbalstāmo variantu jābalstās uz objektīvu datu analīzi, jo tas ietekmē gan pašvaldību budžeta ieņēmumus, gan administrēšanas izdevumus, mūsuprāt, būtu pārsteidzīga kāda varianta atbalstīšana vai noraidīšana, par to iepriekš nediskutējot darba grupā. </w:t>
      </w:r>
      <w:r w:rsidRPr="00C5533D">
        <w:rPr>
          <w:rFonts w:eastAsia="Calibri" w:cs="Times New Roman"/>
          <w:b/>
          <w:sz w:val="26"/>
          <w:szCs w:val="26"/>
        </w:rPr>
        <w:t xml:space="preserve">Līdz ar to lūdzam pagarināt </w:t>
      </w:r>
      <w:r w:rsidRPr="00C5533D">
        <w:rPr>
          <w:rFonts w:eastAsia="Calibri" w:cs="Times New Roman"/>
          <w:b/>
          <w:sz w:val="26"/>
          <w:szCs w:val="26"/>
        </w:rPr>
        <w:t>Komisijas u</w:t>
      </w:r>
      <w:r w:rsidRPr="00C5533D">
        <w:rPr>
          <w:rFonts w:eastAsia="Calibri" w:cs="Times New Roman"/>
          <w:b/>
          <w:sz w:val="26"/>
          <w:szCs w:val="26"/>
        </w:rPr>
        <w:t xml:space="preserve">zdevuma izpildi </w:t>
      </w:r>
      <w:r w:rsidRPr="00C5533D">
        <w:rPr>
          <w:rFonts w:eastAsia="Times New Roman" w:cs="Times New Roman"/>
          <w:sz w:val="26"/>
          <w:szCs w:val="26"/>
        </w:rPr>
        <w:t xml:space="preserve">līdz š.g. 30.novembrim, kad Finanšu ministrija būs prezentējusi darba grupas locekļiem sākotnējos analītiskos datus un saņēmusi darba grupas locekļu sākotnējo viedokli par tiem. </w:t>
      </w:r>
    </w:p>
    <w:p w:rsidR="00C5533D" w:rsidRPr="00C5533D" w:rsidRDefault="00C5533D" w:rsidP="00C5533D">
      <w:pPr>
        <w:spacing w:before="120" w:after="120"/>
        <w:ind w:firstLine="142"/>
        <w:rPr>
          <w:rFonts w:eastAsia="Times New Roman" w:cs="Times New Roman"/>
          <w:sz w:val="26"/>
          <w:szCs w:val="26"/>
        </w:rPr>
      </w:pPr>
      <w:r w:rsidRPr="00C5533D">
        <w:rPr>
          <w:rFonts w:eastAsia="Times New Roman" w:cs="Times New Roman"/>
          <w:sz w:val="26"/>
          <w:szCs w:val="26"/>
        </w:rPr>
        <w:t>Ar cieņu</w:t>
      </w:r>
    </w:p>
    <w:p w:rsidR="00C5533D" w:rsidRPr="00C5533D" w:rsidRDefault="00C5533D" w:rsidP="00C5533D">
      <w:pPr>
        <w:spacing w:before="120" w:after="120"/>
        <w:rPr>
          <w:rFonts w:eastAsia="Times New Roman" w:cs="Times New Roman"/>
          <w:sz w:val="26"/>
          <w:szCs w:val="26"/>
        </w:rPr>
      </w:pPr>
      <w:r w:rsidRPr="00C5533D">
        <w:rPr>
          <w:rFonts w:eastAsia="Times New Roman" w:cs="Times New Roman"/>
          <w:sz w:val="26"/>
          <w:szCs w:val="26"/>
        </w:rPr>
        <w:t xml:space="preserve">Ministru prezidents </w:t>
      </w:r>
      <w:r w:rsidRPr="00C5533D">
        <w:rPr>
          <w:rFonts w:eastAsia="Times New Roman" w:cs="Times New Roman"/>
          <w:sz w:val="26"/>
          <w:szCs w:val="26"/>
        </w:rPr>
        <w:tab/>
      </w:r>
      <w:r w:rsidRPr="00C5533D">
        <w:rPr>
          <w:rFonts w:eastAsia="Times New Roman" w:cs="Times New Roman"/>
          <w:sz w:val="26"/>
          <w:szCs w:val="26"/>
        </w:rPr>
        <w:tab/>
      </w:r>
      <w:r w:rsidRPr="00C5533D">
        <w:rPr>
          <w:rFonts w:eastAsia="Times New Roman" w:cs="Times New Roman"/>
          <w:sz w:val="26"/>
          <w:szCs w:val="26"/>
        </w:rPr>
        <w:tab/>
      </w:r>
      <w:r w:rsidRPr="00C5533D">
        <w:rPr>
          <w:rFonts w:eastAsia="Times New Roman" w:cs="Times New Roman"/>
          <w:sz w:val="26"/>
          <w:szCs w:val="26"/>
        </w:rPr>
        <w:tab/>
        <w:t xml:space="preserve">                             </w:t>
      </w:r>
      <w:proofErr w:type="spellStart"/>
      <w:r w:rsidRPr="00C5533D">
        <w:rPr>
          <w:rFonts w:eastAsia="Times New Roman" w:cs="Times New Roman"/>
          <w:sz w:val="26"/>
          <w:szCs w:val="26"/>
        </w:rPr>
        <w:t>M.Kučinskis</w:t>
      </w:r>
      <w:proofErr w:type="spellEnd"/>
    </w:p>
    <w:p w:rsidR="00C5533D" w:rsidRPr="00C5533D" w:rsidRDefault="00C5533D" w:rsidP="00C5533D">
      <w:pPr>
        <w:spacing w:line="276" w:lineRule="auto"/>
        <w:rPr>
          <w:rFonts w:eastAsia="Times New Roman" w:cs="Times New Roman"/>
          <w:sz w:val="26"/>
          <w:szCs w:val="26"/>
        </w:rPr>
      </w:pPr>
    </w:p>
    <w:p w:rsidR="00C5533D" w:rsidRPr="00C5533D" w:rsidRDefault="00C5533D" w:rsidP="00C5533D">
      <w:pPr>
        <w:spacing w:line="276" w:lineRule="auto"/>
        <w:rPr>
          <w:rFonts w:eastAsia="Times New Roman" w:cs="Times New Roman"/>
          <w:sz w:val="26"/>
          <w:szCs w:val="26"/>
        </w:rPr>
      </w:pPr>
      <w:r w:rsidRPr="00C5533D">
        <w:rPr>
          <w:rFonts w:eastAsia="Times New Roman" w:cs="Times New Roman"/>
          <w:sz w:val="26"/>
          <w:szCs w:val="26"/>
        </w:rPr>
        <w:t>Iesniedzējs:</w:t>
      </w:r>
    </w:p>
    <w:p w:rsidR="00C5533D" w:rsidRPr="00C5533D" w:rsidRDefault="00C5533D" w:rsidP="00C21D1D">
      <w:pPr>
        <w:tabs>
          <w:tab w:val="left" w:pos="6096"/>
        </w:tabs>
        <w:spacing w:line="276" w:lineRule="auto"/>
        <w:rPr>
          <w:rFonts w:cs="Times New Roman"/>
          <w:sz w:val="26"/>
          <w:szCs w:val="26"/>
        </w:rPr>
      </w:pPr>
      <w:r w:rsidRPr="00C5533D">
        <w:rPr>
          <w:rFonts w:eastAsia="Times New Roman" w:cs="Times New Roman"/>
          <w:sz w:val="26"/>
          <w:szCs w:val="26"/>
        </w:rPr>
        <w:t>Finanšu ministre</w:t>
      </w:r>
      <w:r w:rsidR="00C21D1D">
        <w:rPr>
          <w:rFonts w:eastAsia="Times New Roman" w:cs="Times New Roman"/>
          <w:sz w:val="26"/>
          <w:szCs w:val="26"/>
        </w:rPr>
        <w:tab/>
      </w:r>
      <w:proofErr w:type="spellStart"/>
      <w:r w:rsidRPr="00C5533D">
        <w:rPr>
          <w:rFonts w:eastAsia="Times New Roman" w:cs="Times New Roman"/>
          <w:sz w:val="26"/>
          <w:szCs w:val="26"/>
        </w:rPr>
        <w:t>D.Reizniece</w:t>
      </w:r>
      <w:proofErr w:type="spellEnd"/>
      <w:r w:rsidRPr="00C5533D">
        <w:rPr>
          <w:rFonts w:eastAsia="Times New Roman" w:cs="Times New Roman"/>
          <w:sz w:val="26"/>
          <w:szCs w:val="26"/>
        </w:rPr>
        <w:t xml:space="preserve"> – Ozola</w:t>
      </w:r>
    </w:p>
    <w:p w:rsidR="00473539" w:rsidRPr="00C5533D" w:rsidRDefault="00473539" w:rsidP="00C5533D">
      <w:pPr>
        <w:jc w:val="both"/>
        <w:rPr>
          <w:sz w:val="26"/>
          <w:szCs w:val="26"/>
        </w:rPr>
      </w:pPr>
    </w:p>
    <w:sectPr w:rsidR="00473539" w:rsidRPr="00C5533D" w:rsidSect="008E03FC">
      <w:headerReference w:type="default" r:id="rId6"/>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613" w:rsidRDefault="00876613" w:rsidP="00C5533D">
      <w:r>
        <w:separator/>
      </w:r>
    </w:p>
  </w:endnote>
  <w:endnote w:type="continuationSeparator" w:id="0">
    <w:p w:rsidR="00876613" w:rsidRDefault="00876613" w:rsidP="00C5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3D" w:rsidRPr="00C5533D" w:rsidRDefault="00C5533D" w:rsidP="00C5533D">
    <w:pPr>
      <w:spacing w:line="276" w:lineRule="auto"/>
      <w:rPr>
        <w:i/>
        <w:sz w:val="20"/>
        <w:szCs w:val="20"/>
      </w:rPr>
    </w:pPr>
    <w:sdt>
      <w:sdtPr>
        <w:rPr>
          <w:i/>
          <w:sz w:val="20"/>
          <w:szCs w:val="20"/>
        </w:rPr>
        <w:id w:val="1857145886"/>
        <w:docPartObj>
          <w:docPartGallery w:val="Page Numbers (Bottom of Page)"/>
          <w:docPartUnique/>
        </w:docPartObj>
      </w:sdtPr>
      <w:sdtEndPr>
        <w:rPr>
          <w:noProof/>
        </w:rPr>
      </w:sdtEndPr>
      <w:sdtContent>
        <w:sdt>
          <w:sdtPr>
            <w:rPr>
              <w:i/>
              <w:sz w:val="20"/>
              <w:szCs w:val="20"/>
            </w:rPr>
            <w:id w:val="169069341"/>
            <w:docPartObj>
              <w:docPartGallery w:val="Page Numbers (Bottom of Page)"/>
              <w:docPartUnique/>
            </w:docPartObj>
          </w:sdtPr>
          <w:sdtContent>
            <w:r w:rsidRPr="00C5533D">
              <w:rPr>
                <w:i/>
                <w:sz w:val="20"/>
                <w:szCs w:val="20"/>
              </w:rPr>
              <w:t>FMPav_</w:t>
            </w:r>
            <w:r>
              <w:rPr>
                <w:i/>
                <w:sz w:val="20"/>
                <w:szCs w:val="20"/>
              </w:rPr>
              <w:t>2410</w:t>
            </w:r>
            <w:r w:rsidRPr="00C5533D">
              <w:rPr>
                <w:i/>
                <w:sz w:val="20"/>
                <w:szCs w:val="20"/>
              </w:rPr>
              <w:t xml:space="preserve">2016; Atbildes vēstules projekts Latvijas Republika Saeimas </w:t>
            </w:r>
            <w:r w:rsidRPr="00C5533D">
              <w:rPr>
                <w:i/>
                <w:sz w:val="20"/>
                <w:szCs w:val="20"/>
              </w:rPr>
              <w:t xml:space="preserve">Mandātu, ētikas un iesniegumu </w:t>
            </w:r>
            <w:r w:rsidRPr="00C5533D">
              <w:rPr>
                <w:i/>
                <w:sz w:val="20"/>
                <w:szCs w:val="20"/>
              </w:rPr>
              <w:t>komisijai</w:t>
            </w:r>
          </w:sdtContent>
        </w:sdt>
      </w:sdtContent>
    </w:sdt>
  </w:p>
  <w:p w:rsidR="00C5533D" w:rsidRPr="00C5533D" w:rsidRDefault="00C5533D" w:rsidP="00C55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613" w:rsidRDefault="00876613" w:rsidP="00C5533D">
      <w:r>
        <w:separator/>
      </w:r>
    </w:p>
  </w:footnote>
  <w:footnote w:type="continuationSeparator" w:id="0">
    <w:p w:rsidR="00876613" w:rsidRDefault="00876613" w:rsidP="00C55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458613"/>
      <w:docPartObj>
        <w:docPartGallery w:val="Page Numbers (Top of Page)"/>
        <w:docPartUnique/>
      </w:docPartObj>
    </w:sdtPr>
    <w:sdtEndPr>
      <w:rPr>
        <w:noProof/>
      </w:rPr>
    </w:sdtEndPr>
    <w:sdtContent>
      <w:p w:rsidR="008E03FC" w:rsidRDefault="008E03FC">
        <w:pPr>
          <w:pStyle w:val="Header"/>
          <w:jc w:val="center"/>
        </w:pPr>
        <w:r>
          <w:fldChar w:fldCharType="begin"/>
        </w:r>
        <w:r>
          <w:instrText xml:space="preserve"> PAGE   \* MERGEFORMAT </w:instrText>
        </w:r>
        <w:r>
          <w:fldChar w:fldCharType="separate"/>
        </w:r>
        <w:r w:rsidR="00157B9B">
          <w:rPr>
            <w:noProof/>
          </w:rPr>
          <w:t>3</w:t>
        </w:r>
        <w:r>
          <w:rPr>
            <w:noProof/>
          </w:rPr>
          <w:fldChar w:fldCharType="end"/>
        </w:r>
      </w:p>
    </w:sdtContent>
  </w:sdt>
  <w:p w:rsidR="007F1663" w:rsidRDefault="007F1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3D"/>
    <w:rsid w:val="00157B9B"/>
    <w:rsid w:val="002B1B05"/>
    <w:rsid w:val="003E635A"/>
    <w:rsid w:val="0040643F"/>
    <w:rsid w:val="00473539"/>
    <w:rsid w:val="00495028"/>
    <w:rsid w:val="007855A6"/>
    <w:rsid w:val="007F1663"/>
    <w:rsid w:val="00876613"/>
    <w:rsid w:val="008D65BC"/>
    <w:rsid w:val="008E03FC"/>
    <w:rsid w:val="00C21D1D"/>
    <w:rsid w:val="00C5533D"/>
    <w:rsid w:val="00D46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9AEA0-6A51-4669-98A1-FE5F0291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33D"/>
    <w:pPr>
      <w:tabs>
        <w:tab w:val="center" w:pos="4153"/>
        <w:tab w:val="right" w:pos="8306"/>
      </w:tabs>
    </w:pPr>
  </w:style>
  <w:style w:type="character" w:customStyle="1" w:styleId="HeaderChar">
    <w:name w:val="Header Char"/>
    <w:basedOn w:val="DefaultParagraphFont"/>
    <w:link w:val="Header"/>
    <w:uiPriority w:val="99"/>
    <w:rsid w:val="00C5533D"/>
  </w:style>
  <w:style w:type="paragraph" w:styleId="Footer">
    <w:name w:val="footer"/>
    <w:basedOn w:val="Normal"/>
    <w:link w:val="FooterChar"/>
    <w:uiPriority w:val="99"/>
    <w:unhideWhenUsed/>
    <w:rsid w:val="00C5533D"/>
    <w:pPr>
      <w:tabs>
        <w:tab w:val="center" w:pos="4153"/>
        <w:tab w:val="right" w:pos="8306"/>
      </w:tabs>
    </w:pPr>
  </w:style>
  <w:style w:type="character" w:customStyle="1" w:styleId="FooterChar">
    <w:name w:val="Footer Char"/>
    <w:basedOn w:val="DefaultParagraphFont"/>
    <w:link w:val="Footer"/>
    <w:uiPriority w:val="99"/>
    <w:rsid w:val="00C5533D"/>
  </w:style>
  <w:style w:type="paragraph" w:styleId="BalloonText">
    <w:name w:val="Balloon Text"/>
    <w:basedOn w:val="Normal"/>
    <w:link w:val="BalloonTextChar"/>
    <w:uiPriority w:val="99"/>
    <w:semiHidden/>
    <w:unhideWhenUsed/>
    <w:rsid w:val="00406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826</Words>
  <Characters>6181</Characters>
  <Application>Microsoft Office Word</Application>
  <DocSecurity>0</DocSecurity>
  <Lines>309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 Kaļāne</dc:creator>
  <cp:keywords/>
  <dc:description/>
  <cp:lastModifiedBy>Astra Kaļāne</cp:lastModifiedBy>
  <cp:revision>10</cp:revision>
  <cp:lastPrinted>2016-10-24T13:48:00Z</cp:lastPrinted>
  <dcterms:created xsi:type="dcterms:W3CDTF">2016-10-24T13:34:00Z</dcterms:created>
  <dcterms:modified xsi:type="dcterms:W3CDTF">2016-10-24T14:04:00Z</dcterms:modified>
</cp:coreProperties>
</file>